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3C3E0A16" w14:textId="68FA3108" w:rsidR="00C2682A" w:rsidRPr="00AB6D88" w:rsidRDefault="00727E61" w:rsidP="00FA5524">
                <w:pPr>
                  <w:rPr>
                    <w:rStyle w:val="PlaceholderText"/>
                    <w:rFonts w:cs="Arial"/>
                  </w:rPr>
                </w:pPr>
                <w:r>
                  <w:rPr>
                    <w:rStyle w:val="PlaceholderText"/>
                    <w:rFonts w:cs="Arial"/>
                  </w:rPr>
                  <w:t>DACT</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4D71A234" w:rsidR="00C2682A" w:rsidRPr="00AB6D88" w:rsidRDefault="00930231"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27E61">
                  <w:rPr>
                    <w:rFonts w:cs="Arial"/>
                  </w:rPr>
                  <w:t>Non-financial counterparty</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C3E0A1C" w14:textId="036A5DCD" w:rsidR="00C2682A" w:rsidRPr="00AB6D88" w:rsidRDefault="00727E61"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5D115503" w:rsidR="00C2682A" w:rsidRPr="00AB6D88" w:rsidRDefault="00727E61" w:rsidP="00FA5524">
                <w:pPr>
                  <w:rPr>
                    <w:rFonts w:cs="Arial"/>
                  </w:rPr>
                </w:pPr>
                <w:r>
                  <w:rPr>
                    <w:rFonts w:cs="Arial"/>
                  </w:rPr>
                  <w:t>Netherlands</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Heading1"/>
        <w:numPr>
          <w:ilvl w:val="0"/>
          <w:numId w:val="0"/>
        </w:numPr>
        <w:ind w:left="431" w:hanging="431"/>
      </w:pPr>
      <w:r>
        <w:t>Introduction</w:t>
      </w:r>
    </w:p>
    <w:p w14:paraId="3C3E0A24" w14:textId="77777777" w:rsidR="00F87897" w:rsidRPr="001D47A5" w:rsidRDefault="00F87897" w:rsidP="00F87897">
      <w:pPr>
        <w:rPr>
          <w:rStyle w:val="IntenseEmphasis"/>
        </w:rPr>
      </w:pPr>
      <w:r w:rsidRPr="001D47A5">
        <w:rPr>
          <w:rStyle w:val="IntenseEmphasis"/>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2FA96802" w14:textId="6AF3DEB7" w:rsidR="00727E61" w:rsidRDefault="00727E61" w:rsidP="00727E61">
      <w:pPr>
        <w:rPr>
          <w:rFonts w:ascii="Calibri" w:hAnsi="Calibri"/>
          <w:szCs w:val="22"/>
          <w:lang w:eastAsia="en-US"/>
        </w:rPr>
      </w:pPr>
      <w:permStart w:id="1594194160" w:edGrp="everyone"/>
      <w:proofErr w:type="gramStart"/>
      <w:r>
        <w:t>First of all</w:t>
      </w:r>
      <w:proofErr w:type="gramEnd"/>
      <w:r>
        <w:t>, we would like to state that the DACT appreciates the opportunity to respond to the MAR R</w:t>
      </w:r>
      <w:r>
        <w:t>e</w:t>
      </w:r>
      <w:r>
        <w:t>view Report. Given the profession we represent, we will focus our answer on section 3, more specifically section 3.1 Spot FX contracts of the consultation paper.</w:t>
      </w:r>
    </w:p>
    <w:permEnd w:id="1594194160"/>
    <w:p w14:paraId="3C3E0A27" w14:textId="1F853781" w:rsidR="00F87897" w:rsidRDefault="00F87897" w:rsidP="00F87897"/>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4DFDB122" w14:textId="2D54E531" w:rsidR="00727E61" w:rsidRDefault="00727E61">
      <w:pPr>
        <w:divId w:val="1169832723"/>
        <w:rPr>
          <w:rFonts w:ascii="Calibri" w:hAnsi="Calibri"/>
          <w:szCs w:val="22"/>
          <w:lang w:eastAsia="en-US"/>
        </w:rPr>
      </w:pPr>
      <w:permStart w:id="751114692" w:edGrp="everyone"/>
      <w:r>
        <w:t>Although we recognize earlier misconduct in FX spot markets, we do not think that the scope of MAR should be extended to include spot FX contracts</w:t>
      </w:r>
      <w:r>
        <w:t xml:space="preserve"> at this moment in time</w:t>
      </w:r>
      <w:r>
        <w:t xml:space="preserve">. We believe </w:t>
      </w:r>
      <w:bookmarkStart w:id="3" w:name="_GoBack"/>
      <w:bookmarkEnd w:id="3"/>
      <w:r>
        <w:t xml:space="preserve">that the stated arguments in the Review report against extension of the scope currently outweigh the arguments in </w:t>
      </w:r>
      <w:r>
        <w:t>favour</w:t>
      </w:r>
      <w:r>
        <w:t xml:space="preserve"> of the scope extension</w:t>
      </w:r>
      <w:r>
        <w:t xml:space="preserve">. </w:t>
      </w:r>
      <w:proofErr w:type="gramStart"/>
      <w:r>
        <w:t>Therefore</w:t>
      </w:r>
      <w:proofErr w:type="gramEnd"/>
      <w:r>
        <w:t xml:space="preserve"> we encourage you to take more time before such extension would indeed be considered in order to </w:t>
      </w:r>
      <w:r w:rsidR="00A76326">
        <w:t xml:space="preserve">allow a full </w:t>
      </w:r>
      <w:r>
        <w:t>assess</w:t>
      </w:r>
      <w:r w:rsidR="00A76326">
        <w:t>ment of</w:t>
      </w:r>
      <w:r>
        <w:t xml:space="preserve"> </w:t>
      </w:r>
      <w:r w:rsidR="00A76326">
        <w:t>the impact of such a scope extension</w:t>
      </w:r>
      <w:r>
        <w:t xml:space="preserve">. </w:t>
      </w:r>
    </w:p>
    <w:p w14:paraId="18814C15" w14:textId="77777777" w:rsidR="00727E61" w:rsidRDefault="00727E61">
      <w:pPr>
        <w:divId w:val="1169832723"/>
      </w:pPr>
      <w:r>
        <w:t xml:space="preserve">Firstly, the FX Global Code, which is adhered to by a large portion of the market and for which we advocate at our members, has been an important step forward to improve the global FX markets. This FX Global Code addresses many of the issues that the market faced earlier. We strongly support your argument to wait until the FX Global Code is further embedded in the market and adhered to </w:t>
      </w:r>
      <w:proofErr w:type="spellStart"/>
      <w:r>
        <w:t>by</w:t>
      </w:r>
      <w:proofErr w:type="spellEnd"/>
      <w:r>
        <w:t xml:space="preserve"> more market participants before FX spot transactions would </w:t>
      </w:r>
      <w:proofErr w:type="gramStart"/>
      <w:r>
        <w:t>be considered to be</w:t>
      </w:r>
      <w:proofErr w:type="gramEnd"/>
      <w:r>
        <w:t xml:space="preserve"> in scope of MAR.</w:t>
      </w:r>
    </w:p>
    <w:p w14:paraId="3C3E0A2C" w14:textId="3350763B" w:rsidR="00A8728B" w:rsidRDefault="00727E61" w:rsidP="00A8728B">
      <w:r>
        <w:t>Next to that, it is currently unclear how a scope extension might affect the FX spot market and its potential disruptive direct and indirect effects, while corporate counterparties in the FX spot market only trade to hedge commercial risks. We would encourage a thorough research of these potential primary and secondary effects before considering this scope extension</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4621C934" w14:textId="77777777" w:rsidR="00727E61" w:rsidRDefault="00727E61" w:rsidP="00727E61">
      <w:pPr>
        <w:rPr>
          <w:rFonts w:ascii="Calibri" w:hAnsi="Calibri"/>
          <w:szCs w:val="22"/>
          <w:lang w:eastAsia="en-US"/>
        </w:rPr>
      </w:pPr>
      <w:permStart w:id="1040662039" w:edGrp="everyone"/>
      <w:r>
        <w:t>We agree with ESMA’s view that structural changes would be needed and the potential disruptive effects this might have for corporate users as market participants in spot FX transactions, but also NCAs.</w:t>
      </w:r>
    </w:p>
    <w:permEnd w:id="1040662039"/>
    <w:p w14:paraId="3C3E0A31" w14:textId="61AE44AE" w:rsidR="00A8728B" w:rsidRDefault="00A8728B" w:rsidP="00A8728B"/>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77777777" w:rsidR="002E1760" w:rsidRDefault="002E1760" w:rsidP="002E1760">
      <w:permStart w:id="1114596086" w:edGrp="everyone"/>
      <w:r>
        <w:t>TYPE YOUR TEXT HERE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lastRenderedPageBreak/>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3C3E0A4A" w14:textId="77777777" w:rsidR="00A263DF" w:rsidRDefault="00A263DF" w:rsidP="00A263DF">
      <w:permStart w:id="707658946" w:edGrp="everyone"/>
      <w:r>
        <w:t>TYPE YOUR TEXT HERE</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C3E0A4F" w14:textId="77777777" w:rsidR="00A263DF" w:rsidRDefault="00A263DF" w:rsidP="00A263DF">
      <w:permStart w:id="797404044" w:edGrp="everyone"/>
      <w:r>
        <w:t>TYPE YOUR TEXT HERE</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77777777" w:rsidR="002E1760" w:rsidRDefault="002E1760" w:rsidP="002E1760">
      <w:permStart w:id="1572474776" w:edGrp="everyone"/>
      <w:r>
        <w:t>TYPE YOUR TEXT HERE</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77777777" w:rsidR="008418E3" w:rsidRDefault="008418E3" w:rsidP="008418E3">
      <w:permStart w:id="1766684248" w:edGrp="everyone"/>
      <w:r>
        <w:t>TYPE YOUR TEXT HERE</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lastRenderedPageBreak/>
        <w:t>Do you agree with ESMA’s preliminary view</w:t>
      </w:r>
      <w:r w:rsidR="009003B8">
        <w:t>?</w:t>
      </w:r>
    </w:p>
    <w:p w14:paraId="3C3E0A5D" w14:textId="77777777" w:rsidR="00F469F8" w:rsidRDefault="00F469F8" w:rsidP="00F469F8">
      <w:r>
        <w:t>&lt;ESMA_QUESTION_CP_MAR_11&gt;</w:t>
      </w:r>
    </w:p>
    <w:p w14:paraId="3C3E0A5E" w14:textId="77777777" w:rsidR="00F469F8" w:rsidRDefault="00F469F8" w:rsidP="00F469F8">
      <w:permStart w:id="332164447" w:edGrp="everyone"/>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3C3E0A68" w14:textId="77777777" w:rsidR="00646C30" w:rsidRDefault="00646C30" w:rsidP="00646C30">
      <w:permStart w:id="770132907" w:edGrp="everyone"/>
      <w:r>
        <w:t>TYPE YOUR TEXT HERE</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3C3E0A6D" w14:textId="77777777" w:rsidR="00646C30" w:rsidRDefault="00646C30" w:rsidP="00646C30">
      <w:permStart w:id="416102086" w:edGrp="everyone"/>
      <w:r>
        <w:t>TYPE YOUR TEXT HERE</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77777777" w:rsidR="00646C30" w:rsidRDefault="00646C30" w:rsidP="00646C30">
      <w:permStart w:id="831264800" w:edGrp="everyone"/>
      <w:r>
        <w:t>TYPE YOUR TEXT HERE</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 xml:space="preserve">What is an appropriate balance between the scope of inside information relating to commodity derivatives and allowing commodity producers to undertake hedging </w:t>
      </w:r>
      <w:r w:rsidRPr="00C228C1">
        <w:lastRenderedPageBreak/>
        <w:t>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lastRenderedPageBreak/>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3C3E0AA4" w14:textId="77777777" w:rsidR="00646C30" w:rsidRDefault="00646C30" w:rsidP="00646C30">
      <w:permStart w:id="611875542" w:edGrp="everyone"/>
      <w:r>
        <w:t>TYPE YOUR TEXT HERE</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3C3E0AA9" w14:textId="77777777" w:rsidR="00646C30" w:rsidRDefault="00646C30" w:rsidP="00646C30">
      <w:permStart w:id="1829000557" w:edGrp="everyone"/>
      <w:r>
        <w:t>TYPE YOUR TEXT HERE</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3C3E0AAE" w14:textId="77777777" w:rsidR="00646C30" w:rsidRDefault="00646C30" w:rsidP="00646C30">
      <w:permStart w:id="1678079242" w:edGrp="everyone"/>
      <w:r>
        <w:t>TYPE YOUR TEXT HERE</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77777777" w:rsidR="00646C30" w:rsidRDefault="00646C30" w:rsidP="00646C30">
      <w:permStart w:id="266360711" w:edGrp="everyone"/>
      <w:r>
        <w:t>TYPE YOUR TEXT HERE</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lastRenderedPageBreak/>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3C3E0AB8" w14:textId="77777777" w:rsidR="00646C30" w:rsidRDefault="00646C30" w:rsidP="00646C30">
      <w:permStart w:id="1420902335" w:edGrp="everyone"/>
      <w:r>
        <w:t>TYPE YOUR TEXT HERE</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3C3E0ACC" w14:textId="77777777" w:rsidR="00646C30" w:rsidRDefault="00646C30" w:rsidP="00646C30">
      <w:permStart w:id="1371158119" w:edGrp="everyone"/>
      <w:r>
        <w:t>TYPE YOUR TEXT HERE</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3C3E0AD1" w14:textId="77777777" w:rsidR="00646C30" w:rsidRDefault="00646C30" w:rsidP="00646C30">
      <w:permStart w:id="146477293" w:edGrp="everyone"/>
      <w:r>
        <w:t>TYPE YOUR TEXT HERE</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77777777" w:rsidR="00646C30" w:rsidRDefault="00646C30" w:rsidP="00646C30">
      <w:permStart w:id="427762830" w:edGrp="everyone"/>
      <w:r>
        <w:t>TYPE YOUR TEXT HERE</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77777777" w:rsidR="00646C30" w:rsidRDefault="00646C30" w:rsidP="00646C30">
      <w:permStart w:id="2098217667" w:edGrp="everyone"/>
      <w:r>
        <w:t>TYPE YOUR TEXT HERE</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C3E0AEA" w14:textId="77777777" w:rsidR="00646C30" w:rsidRDefault="00646C30" w:rsidP="00646C30">
      <w:permStart w:id="1933056180" w:edGrp="everyone"/>
      <w:r>
        <w:t>TYPE YOUR TEXT HERE</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lastRenderedPageBreak/>
        <w:t>&lt;ESMA_QUESTION_CP_MAR_</w:t>
      </w:r>
      <w:r w:rsidR="00B6351C">
        <w:t>40</w:t>
      </w:r>
      <w:r>
        <w:t>&gt;</w:t>
      </w:r>
    </w:p>
    <w:p w14:paraId="3C3E0AEF" w14:textId="77777777" w:rsidR="00646C30" w:rsidRDefault="00646C30" w:rsidP="00646C30">
      <w:permStart w:id="1252881600" w:edGrp="everyone"/>
      <w:r>
        <w:t>TYPE YOUR TEXT HERE</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C3E0AF4" w14:textId="77777777" w:rsidR="00646C30" w:rsidRDefault="00646C30" w:rsidP="00646C30">
      <w:permStart w:id="93392546" w:edGrp="everyone"/>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77777777" w:rsidR="00646C30" w:rsidRDefault="00646C30" w:rsidP="00646C30">
      <w:permStart w:id="1148858332" w:edGrp="everyone"/>
      <w:r>
        <w:t>TYPE YOUR TEXT HERE</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77777777" w:rsidR="00646C30" w:rsidRDefault="00646C30" w:rsidP="00646C30">
      <w:permStart w:id="513950227" w:edGrp="everyone"/>
      <w:r>
        <w:t>TYPE YOUR TEXT HERE</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C3E0B03" w14:textId="77777777" w:rsidR="00646C30" w:rsidRDefault="00646C30" w:rsidP="00646C30">
      <w:permStart w:id="1908500529" w:edGrp="everyone"/>
      <w:r>
        <w:t>TYPE YOUR TEXT HERE</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77777777" w:rsidR="00646C30" w:rsidRDefault="00646C30" w:rsidP="00646C30">
      <w:permStart w:id="673864140" w:edGrp="everyone"/>
      <w:r>
        <w:t>TYPE YOUR TEXT HERE</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lastRenderedPageBreak/>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3C3E0B0D" w14:textId="77777777" w:rsidR="00646C30" w:rsidRDefault="00646C30" w:rsidP="00646C30">
      <w:permStart w:id="274992488" w:edGrp="everyone"/>
      <w:r>
        <w:t>TYPE YOUR TEXT HERE</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77777777" w:rsidR="00646C30" w:rsidRDefault="00646C30" w:rsidP="00646C30">
      <w:permStart w:id="1265633318" w:edGrp="everyone"/>
      <w:r>
        <w:t>TYPE YOUR TEXT HERE</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77777777" w:rsidR="00646C30" w:rsidRDefault="00646C30" w:rsidP="00646C30">
      <w:permStart w:id="306464996" w:edGrp="everyone"/>
      <w:r>
        <w:t>TYPE YOUR TEXT HERE</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3C3E0B3A" w14:textId="77777777" w:rsidR="00646C30" w:rsidRDefault="00646C30" w:rsidP="00646C30">
      <w:permStart w:id="680881453" w:edGrp="everyone"/>
      <w:r>
        <w:t>TYPE YOUR TEXT HERE</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77777777" w:rsidR="00646C30" w:rsidRDefault="00646C30" w:rsidP="00646C30">
      <w:permStart w:id="1771316849" w:edGrp="everyone"/>
      <w:r>
        <w:t>TYPE YOUR TEXT HERE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lastRenderedPageBreak/>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lastRenderedPageBreak/>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3E0B84" w14:textId="77777777" w:rsidR="00646C30" w:rsidRDefault="00646C30" w:rsidP="00646C30">
      <w:permStart w:id="889603544" w:edGrp="everyone"/>
      <w:r>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3C887" w14:textId="77777777" w:rsidR="00930231" w:rsidRDefault="00930231">
      <w:r>
        <w:separator/>
      </w:r>
    </w:p>
    <w:p w14:paraId="19A0CF2B" w14:textId="77777777" w:rsidR="00930231" w:rsidRDefault="00930231"/>
  </w:endnote>
  <w:endnote w:type="continuationSeparator" w:id="0">
    <w:p w14:paraId="12398184" w14:textId="77777777" w:rsidR="00930231" w:rsidRDefault="00930231">
      <w:r>
        <w:continuationSeparator/>
      </w:r>
    </w:p>
    <w:p w14:paraId="432A5761" w14:textId="77777777" w:rsidR="00930231" w:rsidRDefault="00930231"/>
  </w:endnote>
  <w:endnote w:type="continuationNotice" w:id="1">
    <w:p w14:paraId="6D9566C5" w14:textId="77777777" w:rsidR="00930231" w:rsidRDefault="00930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616B9B" w14:paraId="3C3E0B9C" w14:textId="77777777" w:rsidTr="00315E96">
      <w:trPr>
        <w:trHeight w:val="284"/>
      </w:trPr>
      <w:tc>
        <w:tcPr>
          <w:tcW w:w="8460" w:type="dxa"/>
        </w:tcPr>
        <w:p w14:paraId="3C3E0B9A" w14:textId="77777777" w:rsidR="00FA5524" w:rsidRPr="00315E96" w:rsidRDefault="00FA5524" w:rsidP="00315E96">
          <w:pPr>
            <w:pStyle w:val="00Footer"/>
            <w:rPr>
              <w:lang w:val="fr-FR"/>
            </w:rPr>
          </w:pPr>
        </w:p>
      </w:tc>
      <w:tc>
        <w:tcPr>
          <w:tcW w:w="952" w:type="dxa"/>
        </w:tcPr>
        <w:p w14:paraId="3C3E0B9B" w14:textId="77777777" w:rsidR="00FA5524" w:rsidRPr="00616B9B" w:rsidRDefault="00FA552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3C3E0B9D" w14:textId="77777777" w:rsidR="00FA5524" w:rsidRDefault="00FA5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AC" w14:textId="77777777" w:rsidR="00FA5524" w:rsidRDefault="00FA5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AEE05" w14:textId="77777777" w:rsidR="00930231" w:rsidRDefault="00930231">
      <w:r>
        <w:separator/>
      </w:r>
    </w:p>
    <w:p w14:paraId="5F7A24C9" w14:textId="77777777" w:rsidR="00930231" w:rsidRDefault="00930231"/>
  </w:footnote>
  <w:footnote w:type="continuationSeparator" w:id="0">
    <w:p w14:paraId="5D94FD3E" w14:textId="77777777" w:rsidR="00930231" w:rsidRDefault="00930231">
      <w:r>
        <w:continuationSeparator/>
      </w:r>
    </w:p>
    <w:p w14:paraId="37C41FA5" w14:textId="77777777" w:rsidR="00930231" w:rsidRDefault="00930231"/>
  </w:footnote>
  <w:footnote w:type="continuationNotice" w:id="1">
    <w:p w14:paraId="4120A137" w14:textId="77777777" w:rsidR="00930231" w:rsidRDefault="00930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9" w14:textId="77777777" w:rsidR="00FA5524" w:rsidRDefault="00FA5524">
    <w:pPr>
      <w:pStyle w:val="Header"/>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E" w14:textId="77777777" w:rsidR="00FA5524" w:rsidRDefault="00FA5524" w:rsidP="00013CCE">
    <w:pPr>
      <w:pStyle w:val="Header"/>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F" w14:textId="77777777" w:rsidR="00FA5524" w:rsidRDefault="00FA55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2F4496" w14:paraId="3C3E0BA2" w14:textId="77777777" w:rsidTr="000C06C9">
      <w:trPr>
        <w:trHeight w:val="284"/>
      </w:trPr>
      <w:tc>
        <w:tcPr>
          <w:tcW w:w="8460" w:type="dxa"/>
        </w:tcPr>
        <w:p w14:paraId="3C3E0BA0" w14:textId="77777777" w:rsidR="00FA5524" w:rsidRPr="000C3B6D" w:rsidRDefault="00FA5524" w:rsidP="000C06C9">
          <w:pPr>
            <w:pStyle w:val="00Footer"/>
            <w:rPr>
              <w:lang w:val="fr-FR"/>
            </w:rPr>
          </w:pPr>
        </w:p>
      </w:tc>
      <w:tc>
        <w:tcPr>
          <w:tcW w:w="952" w:type="dxa"/>
        </w:tcPr>
        <w:p w14:paraId="3C3E0BA1" w14:textId="77777777" w:rsidR="00FA5524" w:rsidRPr="00146B34" w:rsidRDefault="00FA5524" w:rsidP="000C06C9">
          <w:pPr>
            <w:pStyle w:val="00aPagenumber"/>
            <w:rPr>
              <w:lang w:val="fr-FR"/>
            </w:rPr>
          </w:pPr>
        </w:p>
      </w:tc>
    </w:tr>
  </w:tbl>
  <w:p w14:paraId="3C3E0BA3" w14:textId="77777777" w:rsidR="00FA5524" w:rsidRPr="00DB46C3" w:rsidRDefault="00FA5524">
    <w:pPr>
      <w:rPr>
        <w:lang w:val="fr-FR"/>
      </w:rPr>
    </w:pPr>
  </w:p>
  <w:p w14:paraId="3C3E0BA4" w14:textId="77777777" w:rsidR="00FA5524" w:rsidRPr="002F4496" w:rsidRDefault="00FA5524">
    <w:pPr>
      <w:pStyle w:val="Header"/>
      <w:rPr>
        <w:lang w:val="fr-FR"/>
      </w:rPr>
    </w:pPr>
  </w:p>
  <w:p w14:paraId="3C3E0BA5" w14:textId="77777777" w:rsidR="00FA5524" w:rsidRPr="002F4496" w:rsidRDefault="00FA5524" w:rsidP="000C06C9">
    <w:pPr>
      <w:pStyle w:val="Header"/>
      <w:tabs>
        <w:tab w:val="clear" w:pos="4536"/>
        <w:tab w:val="clear" w:pos="9072"/>
        <w:tab w:val="left" w:pos="8227"/>
      </w:tabs>
      <w:rPr>
        <w:lang w:val="fr-FR"/>
      </w:rPr>
    </w:pPr>
  </w:p>
  <w:p w14:paraId="3C3E0BA6" w14:textId="77777777" w:rsidR="00FA5524" w:rsidRPr="002F4496" w:rsidRDefault="00FA5524" w:rsidP="00583885">
    <w:pPr>
      <w:pStyle w:val="Header"/>
      <w:jc w:val="right"/>
      <w:rPr>
        <w:lang w:val="fr-FR"/>
      </w:rPr>
    </w:pPr>
  </w:p>
  <w:p w14:paraId="3C3E0BA7" w14:textId="77777777" w:rsidR="00FA5524" w:rsidRPr="002F4496" w:rsidRDefault="00FA5524">
    <w:pPr>
      <w:pStyle w:val="Header"/>
      <w:rPr>
        <w:lang w:val="fr-FR"/>
      </w:rPr>
    </w:pPr>
  </w:p>
  <w:p w14:paraId="3C3E0BA8" w14:textId="77777777" w:rsidR="00FA5524" w:rsidRPr="002F4496" w:rsidRDefault="00FA5524">
    <w:pPr>
      <w:pStyle w:val="Header"/>
      <w:rPr>
        <w:lang w:val="fr-FR"/>
      </w:rPr>
    </w:pPr>
  </w:p>
  <w:p w14:paraId="3C3E0BA9" w14:textId="77777777" w:rsidR="00FA5524" w:rsidRPr="002F4496" w:rsidRDefault="00FA5524">
    <w:pPr>
      <w:pStyle w:val="Header"/>
      <w:rPr>
        <w:lang w:val="fr-FR"/>
      </w:rPr>
    </w:pPr>
  </w:p>
  <w:p w14:paraId="3C3E0BAA" w14:textId="77777777" w:rsidR="00FA5524" w:rsidRPr="002F4496" w:rsidRDefault="00FA5524">
    <w:pPr>
      <w:pStyle w:val="Header"/>
      <w:rPr>
        <w:highlight w:val="yellow"/>
        <w:lang w:val="fr-FR"/>
      </w:rPr>
    </w:pPr>
  </w:p>
  <w:p w14:paraId="3C3E0BAB" w14:textId="77777777" w:rsidR="00FA5524" w:rsidRDefault="00FA5524">
    <w:pPr>
      <w:pStyle w:val="Header"/>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930"/>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E61"/>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231"/>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6326"/>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405579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69832723">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617532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315B5457-E1AE-4C1C-BB6C-D80117B32A08}">
  <ds:schemaRefs>
    <ds:schemaRef ds:uri="http://schemas.openxmlformats.org/officeDocument/2006/bibliography"/>
  </ds:schemaRefs>
</ds:datastoreItem>
</file>

<file path=customXml/itemProps6.xml><?xml version="1.0" encoding="utf-8"?>
<ds:datastoreItem xmlns:ds="http://schemas.openxmlformats.org/officeDocument/2006/customXml" ds:itemID="{D9B3DFAE-131E-4C15-8994-9E9BA81B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3525</Words>
  <Characters>20096</Characters>
  <Application>Microsoft Office Word</Application>
  <DocSecurity>8</DocSecurity>
  <Lines>167</Lines>
  <Paragraphs>47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23574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Bastianen, Erwin (NEON)</cp:lastModifiedBy>
  <cp:revision>3</cp:revision>
  <cp:lastPrinted>2015-02-18T11:01:00Z</cp:lastPrinted>
  <dcterms:created xsi:type="dcterms:W3CDTF">2019-11-29T15:52:00Z</dcterms:created>
  <dcterms:modified xsi:type="dcterms:W3CDTF">2019-11-29T16:03:00Z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