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hAnsiTheme="minorHAnsi" w:cstheme="minorHAnsi"/>
        </w:rPr>
        <w:id w:val="-973058580"/>
        <w:docPartObj>
          <w:docPartGallery w:val="Cover Pages"/>
          <w:docPartUnique/>
        </w:docPartObj>
      </w:sdt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128" w:type="dxa"/>
            <w:tblLayout w:type="fixed"/>
            <w:tblCellMar>
              <w:left w:w="0" w:type="dxa"/>
              <w:right w:w="0" w:type="dxa"/>
            </w:tblCellMar>
            <w:tblLook w:val="01E0" w:firstRow="1" w:lastRow="1" w:firstColumn="1" w:lastColumn="1" w:noHBand="0" w:noVBand="0"/>
          </w:tblPr>
          <w:tblGrid>
            <w:gridCol w:w="10128"/>
          </w:tblGrid>
          <w:tr w:rsidR="00AF2EF7" w:rsidRPr="00B8572C" w14:paraId="55D8B106" w14:textId="77777777" w:rsidTr="00FD2158">
            <w:trPr>
              <w:trHeight w:hRule="exact" w:val="1109"/>
            </w:trPr>
            <w:tc>
              <w:tcPr>
                <w:tcW w:w="10128" w:type="dxa"/>
                <w:vAlign w:val="bottom"/>
              </w:tcPr>
              <w:p w14:paraId="2A8545EF" w14:textId="3CDBB7D7" w:rsidR="00AF2EF7" w:rsidRPr="00B8572C" w:rsidRDefault="00C1698A" w:rsidP="00D13661">
                <w:pPr>
                  <w:pStyle w:val="Titel"/>
                  <w:spacing w:line="276" w:lineRule="auto"/>
                  <w:ind w:right="854"/>
                  <w:rPr>
                    <w:rFonts w:asciiTheme="minorHAnsi" w:hAnsiTheme="minorHAnsi" w:cstheme="minorHAnsi"/>
                    <w:sz w:val="48"/>
                    <w:szCs w:val="48"/>
                  </w:rPr>
                </w:pPr>
                <w:r>
                  <w:rPr>
                    <w:rFonts w:asciiTheme="minorHAnsi" w:hAnsiTheme="minorHAnsi" w:cstheme="minorHAnsi"/>
                    <w:sz w:val="48"/>
                    <w:szCs w:val="48"/>
                  </w:rPr>
                  <w:t xml:space="preserve">Response Form to the </w:t>
                </w:r>
                <w:r w:rsidR="008B2AF1">
                  <w:rPr>
                    <w:rFonts w:asciiTheme="minorHAnsi" w:hAnsiTheme="minorHAnsi" w:cstheme="minorHAnsi"/>
                    <w:sz w:val="48"/>
                    <w:szCs w:val="48"/>
                  </w:rPr>
                  <w:t xml:space="preserve">Consultation Paper </w:t>
                </w:r>
              </w:p>
            </w:tc>
          </w:tr>
          <w:tr w:rsidR="00AB6157" w:rsidRPr="00B8572C" w14:paraId="76D253F5" w14:textId="77777777" w:rsidTr="00FD2158">
            <w:trPr>
              <w:trHeight w:hRule="exact" w:val="1274"/>
            </w:trPr>
            <w:tc>
              <w:tcPr>
                <w:tcW w:w="10128" w:type="dxa"/>
                <w:tcMar>
                  <w:top w:w="142" w:type="dxa"/>
                </w:tcMar>
              </w:tcPr>
              <w:p w14:paraId="26CF3934" w14:textId="08E21947" w:rsidR="00AB6157" w:rsidRPr="00B8572C" w:rsidRDefault="00FD2158" w:rsidP="0090520E">
                <w:pPr>
                  <w:pStyle w:val="berschrift2"/>
                  <w:numPr>
                    <w:ilvl w:val="0"/>
                    <w:numId w:val="0"/>
                  </w:numPr>
                  <w:ind w:left="142"/>
                </w:pPr>
                <w:r w:rsidRPr="00FD2158">
                  <w:t>Draft technical advice on commercial terms for providing clearing services under EMIR (FRANDT)</w:t>
                </w: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10FB09AA"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paper and in particular on the specific questions summarised in Annex </w:t>
          </w:r>
          <w:r w:rsidR="00220938" w:rsidRPr="00220938">
            <w:rPr>
              <w:rFonts w:asciiTheme="minorHAnsi" w:eastAsiaTheme="minorEastAsia" w:hAnsiTheme="minorHAnsi" w:cstheme="minorBidi"/>
              <w:sz w:val="22"/>
              <w:szCs w:val="20"/>
              <w:lang w:eastAsia="en-US"/>
            </w:rPr>
            <w:t>III</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5F176DD6"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w:t>
          </w:r>
          <w:r w:rsidRPr="00AF7EC4">
            <w:rPr>
              <w:rFonts w:asciiTheme="minorHAnsi" w:eastAsiaTheme="minorEastAsia" w:hAnsiTheme="minorHAnsi" w:cstheme="minorBidi"/>
              <w:sz w:val="22"/>
              <w:szCs w:val="20"/>
              <w:lang w:eastAsia="en-US"/>
            </w:rPr>
            <w:t xml:space="preserve">by </w:t>
          </w:r>
          <w:r w:rsidR="0090520E">
            <w:rPr>
              <w:rFonts w:asciiTheme="minorHAnsi" w:eastAsiaTheme="minorEastAsia" w:hAnsiTheme="minorHAnsi" w:cstheme="minorBidi"/>
              <w:b/>
              <w:sz w:val="22"/>
              <w:szCs w:val="20"/>
              <w:lang w:eastAsia="en-US"/>
            </w:rPr>
            <w:t>2 December 2019</w:t>
          </w:r>
          <w:r w:rsidRPr="00AF7EC4">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6"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E7297E">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76A28DE4" w:rsidR="00C85C8B" w:rsidRPr="00C85C8B" w:rsidRDefault="00C85C8B" w:rsidP="00C85C8B">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7634C8">
            <w:rPr>
              <w:rFonts w:eastAsiaTheme="minorEastAsia" w:cstheme="minorBidi"/>
              <w:szCs w:val="20"/>
              <w:lang w:eastAsia="en-US"/>
            </w:rPr>
            <w:t>FRANDT</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1D8D7089" w:rsidR="00C85C8B" w:rsidRPr="00C85C8B" w:rsidRDefault="00C85C8B" w:rsidP="00C85C8B">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7634C8">
            <w:rPr>
              <w:rFonts w:eastAsiaTheme="minorEastAsia" w:cstheme="minorBidi"/>
              <w:szCs w:val="20"/>
              <w:lang w:eastAsia="en-US"/>
            </w:rPr>
            <w:t>FRANDT</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7634C8">
            <w:rPr>
              <w:rFonts w:eastAsiaTheme="minorEastAsia" w:cstheme="minorBidi"/>
              <w:szCs w:val="20"/>
              <w:lang w:eastAsia="en-US"/>
            </w:rPr>
            <w:t>FRANDT</w:t>
          </w:r>
          <w:r w:rsidRPr="00C85C8B">
            <w:rPr>
              <w:rFonts w:eastAsiaTheme="minorEastAsia" w:cstheme="minorBidi"/>
              <w:szCs w:val="20"/>
              <w:lang w:eastAsia="en-US"/>
            </w:rPr>
            <w:t>_ABC</w:t>
          </w:r>
          <w:r w:rsidR="007634C8">
            <w:rPr>
              <w:rFonts w:eastAsiaTheme="minorEastAsia" w:cstheme="minorBidi"/>
              <w:szCs w:val="20"/>
              <w:lang w:eastAsia="en-US"/>
            </w:rPr>
            <w:t>D</w:t>
          </w:r>
          <w:r w:rsidRPr="00C85C8B">
            <w:rPr>
              <w:rFonts w:eastAsiaTheme="minorEastAsia" w:cstheme="minorBidi"/>
              <w:szCs w:val="20"/>
              <w:lang w:eastAsia="en-US"/>
            </w:rPr>
            <w:t>_RESPONSEFORM.</w:t>
          </w:r>
        </w:p>
        <w:p w14:paraId="1A9C59D6" w14:textId="509803BB" w:rsidR="00C85C8B" w:rsidRPr="00C85C8B" w:rsidRDefault="00C85C8B" w:rsidP="00C85C8B">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7"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w:t>
          </w:r>
          <w:r w:rsidR="0045465A" w:rsidRPr="0045465A">
            <w:rPr>
              <w:rFonts w:eastAsiaTheme="minorEastAsia" w:cstheme="minorBidi"/>
              <w:szCs w:val="20"/>
              <w:lang w:eastAsia="en-US"/>
            </w:rPr>
            <w:t>Draft technical advice on commercial terms for providing clearing services under EMIR (FRANDT)</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
        <w:p w14:paraId="01ABA9D1" w14:textId="77777777" w:rsidR="00244792" w:rsidRPr="00244792" w:rsidRDefault="00244792" w:rsidP="00244792">
          <w:pPr>
            <w:spacing w:after="250" w:line="276" w:lineRule="auto"/>
            <w:jc w:val="both"/>
            <w:rPr>
              <w:rFonts w:asciiTheme="minorHAnsi" w:eastAsiaTheme="minorEastAsia" w:hAnsiTheme="minorHAnsi" w:cstheme="minorBidi"/>
              <w:sz w:val="22"/>
              <w:szCs w:val="20"/>
              <w:lang w:eastAsia="en-US"/>
            </w:rPr>
          </w:pPr>
          <w:r w:rsidRPr="00244792">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319E5FEA" w14:textId="77777777" w:rsidR="00244792" w:rsidRPr="00244792" w:rsidRDefault="00244792" w:rsidP="00244792">
          <w:pPr>
            <w:spacing w:after="250" w:line="276" w:lineRule="auto"/>
            <w:jc w:val="both"/>
            <w:rPr>
              <w:rFonts w:asciiTheme="minorHAnsi" w:eastAsiaTheme="minorEastAsia" w:hAnsiTheme="minorHAnsi" w:cstheme="minorBidi"/>
              <w:b/>
              <w:sz w:val="22"/>
              <w:szCs w:val="20"/>
              <w:lang w:eastAsia="en-US"/>
            </w:rPr>
          </w:pPr>
          <w:r w:rsidRPr="00244792">
            <w:rPr>
              <w:rFonts w:asciiTheme="minorHAnsi" w:eastAsiaTheme="minorEastAsia" w:hAnsiTheme="minorHAnsi" w:cstheme="minorBidi"/>
              <w:b/>
              <w:sz w:val="22"/>
              <w:szCs w:val="20"/>
              <w:lang w:eastAsia="en-US"/>
            </w:rPr>
            <w:t>Data protection</w:t>
          </w:r>
        </w:p>
        <w:p w14:paraId="23D25533" w14:textId="77777777" w:rsidR="00244792" w:rsidRPr="00244792" w:rsidRDefault="00244792" w:rsidP="00244792">
          <w:pPr>
            <w:spacing w:after="250" w:line="276" w:lineRule="auto"/>
            <w:jc w:val="both"/>
            <w:rPr>
              <w:rFonts w:asciiTheme="minorHAnsi" w:eastAsiaTheme="minorEastAsia" w:hAnsiTheme="minorHAnsi" w:cstheme="minorBidi"/>
              <w:sz w:val="22"/>
              <w:szCs w:val="20"/>
              <w:lang w:eastAsia="en-US"/>
            </w:rPr>
          </w:pPr>
          <w:r w:rsidRPr="00244792">
            <w:rPr>
              <w:rFonts w:asciiTheme="minorHAnsi" w:eastAsiaTheme="minorEastAsia" w:hAnsiTheme="minorHAnsi" w:cstheme="minorBidi"/>
              <w:sz w:val="22"/>
              <w:szCs w:val="20"/>
              <w:lang w:eastAsia="en-US"/>
            </w:rPr>
            <w:t xml:space="preserve">Information on data protection can be found at </w:t>
          </w:r>
          <w:hyperlink r:id="rId18" w:history="1">
            <w:r w:rsidRPr="00244792">
              <w:rPr>
                <w:rStyle w:val="Hyperlink"/>
                <w:rFonts w:asciiTheme="minorHAnsi" w:eastAsiaTheme="minorEastAsia" w:hAnsiTheme="minorHAnsi" w:cstheme="minorBidi"/>
                <w:sz w:val="22"/>
                <w:szCs w:val="20"/>
                <w:lang w:eastAsia="en-US"/>
              </w:rPr>
              <w:t>www.esma.europa.eu</w:t>
            </w:r>
          </w:hyperlink>
          <w:r w:rsidRPr="00244792">
            <w:rPr>
              <w:rFonts w:asciiTheme="minorHAnsi" w:eastAsiaTheme="minorEastAsia" w:hAnsiTheme="minorHAnsi" w:cstheme="minorBidi"/>
              <w:sz w:val="22"/>
              <w:szCs w:val="20"/>
              <w:lang w:eastAsia="en-US"/>
            </w:rPr>
            <w:t xml:space="preserve"> under the heading </w:t>
          </w:r>
          <w:r w:rsidRPr="00244792">
            <w:rPr>
              <w:rFonts w:asciiTheme="minorHAnsi" w:eastAsiaTheme="minorEastAsia" w:hAnsiTheme="minorHAnsi" w:cstheme="minorBidi"/>
              <w:sz w:val="22"/>
              <w:szCs w:val="20"/>
              <w:u w:val="single"/>
              <w:lang w:eastAsia="en-US"/>
            </w:rPr>
            <w:t>‘</w:t>
          </w:r>
          <w:hyperlink r:id="rId19" w:history="1">
            <w:r w:rsidRPr="00244792">
              <w:rPr>
                <w:rStyle w:val="Hyperlink"/>
                <w:rFonts w:asciiTheme="minorHAnsi" w:eastAsiaTheme="minorEastAsia" w:hAnsiTheme="minorHAnsi" w:cstheme="minorBidi"/>
                <w:sz w:val="22"/>
                <w:szCs w:val="20"/>
                <w:lang w:eastAsia="en-US"/>
              </w:rPr>
              <w:t>Data protection</w:t>
            </w:r>
          </w:hyperlink>
          <w:r w:rsidRPr="00244792">
            <w:rPr>
              <w:rFonts w:asciiTheme="minorHAnsi" w:eastAsiaTheme="minorEastAsia" w:hAnsiTheme="minorHAnsi" w:cstheme="minorBidi"/>
              <w:sz w:val="22"/>
              <w:szCs w:val="20"/>
              <w:u w:val="single"/>
              <w:lang w:eastAsia="en-US"/>
            </w:rPr>
            <w:t>’</w:t>
          </w:r>
          <w:r w:rsidRPr="00244792">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14912E5E" w14:textId="2303DD7F" w:rsidR="00AF2EF7" w:rsidRPr="00B8572C" w:rsidRDefault="008811B4" w:rsidP="00AF2EF7">
          <w:pPr>
            <w:spacing w:after="120" w:line="276" w:lineRule="auto"/>
            <w:rPr>
              <w:rFonts w:asciiTheme="minorHAnsi" w:hAnsiTheme="minorHAnsi" w:cstheme="minorHAnsi"/>
            </w:rPr>
          </w:pPr>
          <w:r w:rsidRPr="008811B4">
            <w:rPr>
              <w:rFonts w:asciiTheme="minorHAnsi" w:eastAsiaTheme="minorEastAsia" w:hAnsiTheme="minorHAnsi" w:cstheme="minorBidi"/>
              <w:sz w:val="22"/>
              <w:szCs w:val="20"/>
              <w:lang w:eastAsia="en-US"/>
            </w:rPr>
            <w:t>All interested stakeholders are invited to respond to this consultation. In particular, responses are sought from counterparties acting (or intending to act) as clearing service providers and counterparties that are current or potential clearing clients</w:t>
          </w:r>
          <w:r>
            <w:rPr>
              <w:rFonts w:asciiTheme="minorHAnsi" w:eastAsiaTheme="minorEastAsia" w:hAnsiTheme="minorHAnsi" w:cstheme="minorBidi"/>
              <w:sz w:val="22"/>
              <w:szCs w:val="20"/>
              <w:lang w:eastAsia="en-US"/>
            </w:rPr>
            <w:t>.</w:t>
          </w: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berschrift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val="de-DE" w:eastAsia="de-DE"/>
            </w:rPr>
            <w:id w:val="-1905066999"/>
            <w:text/>
          </w:sdtPr>
          <w:sdtEndPr/>
          <w:sdtContent>
            <w:tc>
              <w:tcPr>
                <w:tcW w:w="5595" w:type="dxa"/>
                <w:shd w:val="clear" w:color="auto" w:fill="auto"/>
              </w:tcPr>
              <w:p w14:paraId="1B67440D" w14:textId="04705D7C" w:rsidR="00C85C8B" w:rsidRPr="00770399" w:rsidRDefault="00770399" w:rsidP="00C85C8B">
                <w:pPr>
                  <w:rPr>
                    <w:rFonts w:ascii="Arial" w:hAnsi="Arial" w:cs="Arial"/>
                    <w:color w:val="808080"/>
                    <w:sz w:val="20"/>
                    <w:lang w:val="de-DE" w:eastAsia="de-DE"/>
                  </w:rPr>
                </w:pPr>
                <w:r w:rsidRPr="00770399">
                  <w:rPr>
                    <w:rFonts w:ascii="Arial" w:hAnsi="Arial" w:cs="Arial"/>
                    <w:color w:val="808080"/>
                    <w:sz w:val="20"/>
                    <w:lang w:val="de-DE" w:eastAsia="de-DE"/>
                  </w:rPr>
                  <w:t>German Banking Industry Committee / Deutsche Kreditwirtschaft</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24E77DE0" w:rsidR="00C85C8B" w:rsidRPr="00C85C8B" w:rsidRDefault="001962CE"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770399">
                  <w:rPr>
                    <w:rFonts w:ascii="Arial" w:hAnsi="Arial" w:cs="Arial"/>
                    <w:sz w:val="20"/>
                    <w:lang w:eastAsia="de-DE"/>
                  </w:rPr>
                  <w:t>Banking sector</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4687CC6B" w:rsidR="00C85C8B" w:rsidRPr="00C85C8B" w:rsidRDefault="00770399"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0E1BB55C" w:rsidR="00C85C8B" w:rsidRPr="00C85C8B" w:rsidRDefault="00770399" w:rsidP="00C85C8B">
                <w:pPr>
                  <w:rPr>
                    <w:rFonts w:ascii="Arial" w:hAnsi="Arial" w:cs="Arial"/>
                    <w:sz w:val="20"/>
                    <w:lang w:eastAsia="de-DE"/>
                  </w:rPr>
                </w:pPr>
                <w:r>
                  <w:rPr>
                    <w:rFonts w:ascii="Arial" w:hAnsi="Arial" w:cs="Arial"/>
                    <w:sz w:val="20"/>
                    <w:lang w:eastAsia="de-DE"/>
                  </w:rPr>
                  <w:t>Germany</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1F2A020A"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7634C8" w:rsidRPr="007634C8">
        <w:rPr>
          <w:rFonts w:asciiTheme="minorHAnsi" w:eastAsiaTheme="minorEastAsia" w:hAnsiTheme="minorHAnsi" w:cstheme="minorBidi"/>
          <w:sz w:val="22"/>
          <w:szCs w:val="20"/>
          <w:lang w:eastAsia="en-US"/>
        </w:rPr>
        <w:t>FRANDT</w:t>
      </w:r>
      <w:r w:rsidRPr="00C85C8B">
        <w:rPr>
          <w:rFonts w:asciiTheme="minorHAnsi" w:eastAsiaTheme="minorEastAsia" w:hAnsiTheme="minorHAnsi" w:cstheme="minorBidi"/>
          <w:sz w:val="22"/>
          <w:szCs w:val="20"/>
          <w:lang w:eastAsia="en-US"/>
        </w:rPr>
        <w:t>_1&gt;</w:t>
      </w:r>
    </w:p>
    <w:p w14:paraId="224BBF28" w14:textId="77777777" w:rsidR="00770399" w:rsidRPr="00770399" w:rsidRDefault="00770399" w:rsidP="00770399">
      <w:pPr>
        <w:spacing w:after="250" w:line="276" w:lineRule="auto"/>
        <w:jc w:val="both"/>
        <w:rPr>
          <w:rFonts w:ascii="Arial" w:hAnsi="Arial" w:cs="Arial"/>
          <w:color w:val="002060"/>
          <w:sz w:val="22"/>
          <w:szCs w:val="22"/>
          <w:lang w:eastAsia="en-US"/>
        </w:rPr>
      </w:pPr>
      <w:permStart w:id="885457707" w:edGrp="everyone"/>
      <w:r w:rsidRPr="00770399">
        <w:rPr>
          <w:rFonts w:ascii="Arial" w:hAnsi="Arial" w:cs="Arial"/>
          <w:color w:val="002060"/>
          <w:sz w:val="22"/>
          <w:szCs w:val="22"/>
          <w:lang w:eastAsia="en-US"/>
        </w:rPr>
        <w:t>The German Banking Industry Committee (GBIC – the voice of the leading German banking-sector associations: the Association of German Cooperative Banks (BVR), the Association of German Banks (BdB), the Association of German Public Banks (VÖB), the German Savings Banks Association (DSGV), and the Association of German Pfandbrief Banks (vdp)) welcomes the opportunity to comment on the proposal for a specification of the conditions under which the commercial terms under which clearing services are provided are to be considered to be fair, reasonable, non-discriminatory and transparent (FRANDT-requirements).</w:t>
      </w:r>
    </w:p>
    <w:p w14:paraId="4EF12005" w14:textId="77777777" w:rsidR="00770399" w:rsidRPr="00770399" w:rsidRDefault="00770399" w:rsidP="00770399">
      <w:pPr>
        <w:spacing w:after="250" w:line="276" w:lineRule="auto"/>
        <w:jc w:val="both"/>
        <w:rPr>
          <w:rFonts w:ascii="Arial" w:hAnsi="Arial" w:cs="Arial"/>
          <w:color w:val="002060"/>
          <w:sz w:val="22"/>
          <w:szCs w:val="22"/>
          <w:lang w:eastAsia="en-US"/>
        </w:rPr>
      </w:pPr>
      <w:r w:rsidRPr="00770399">
        <w:rPr>
          <w:rFonts w:ascii="Arial" w:hAnsi="Arial" w:cs="Arial"/>
          <w:color w:val="002060"/>
          <w:sz w:val="22"/>
          <w:szCs w:val="22"/>
          <w:lang w:eastAsia="en-US"/>
        </w:rPr>
        <w:t>These FRANDT-requirements need to strike the right balance between the interests of market participants seeking access to clearing services on fair and transparent terms on the one hand and the interests of clearing service providers which need to have the right to determine independently and in line with the institution’s business as well its risk management strategy whether, and if so, to what extent they are willing and able to provide client-clearing services.</w:t>
      </w:r>
    </w:p>
    <w:p w14:paraId="13664C64" w14:textId="77777777" w:rsidR="00770399" w:rsidRPr="00770399" w:rsidRDefault="00770399" w:rsidP="00770399">
      <w:pPr>
        <w:spacing w:after="250" w:line="276" w:lineRule="auto"/>
        <w:jc w:val="both"/>
        <w:rPr>
          <w:rFonts w:ascii="Arial" w:hAnsi="Arial" w:cs="Arial"/>
          <w:color w:val="002060"/>
          <w:sz w:val="22"/>
          <w:szCs w:val="22"/>
          <w:lang w:eastAsia="en-US"/>
        </w:rPr>
      </w:pPr>
      <w:r w:rsidRPr="00770399">
        <w:rPr>
          <w:rFonts w:ascii="Arial" w:hAnsi="Arial" w:cs="Arial"/>
          <w:color w:val="002060"/>
          <w:sz w:val="22"/>
          <w:szCs w:val="22"/>
          <w:lang w:eastAsia="en-US"/>
        </w:rPr>
        <w:t xml:space="preserve">The consultation paper generally recognises this by addressing both the difficulties clients may have in obtaining access to clearing services and the considerable challenges and costs associated with establishing client clearing services. </w:t>
      </w:r>
    </w:p>
    <w:p w14:paraId="568D535F" w14:textId="77777777" w:rsidR="00770399" w:rsidRPr="00770399" w:rsidRDefault="00770399" w:rsidP="00770399">
      <w:pPr>
        <w:spacing w:after="250" w:line="276" w:lineRule="auto"/>
        <w:jc w:val="both"/>
        <w:rPr>
          <w:rFonts w:ascii="Arial" w:hAnsi="Arial" w:cs="Arial"/>
          <w:color w:val="002060"/>
          <w:sz w:val="22"/>
          <w:szCs w:val="22"/>
          <w:lang w:eastAsia="en-US"/>
        </w:rPr>
      </w:pPr>
      <w:r w:rsidRPr="00770399">
        <w:rPr>
          <w:rFonts w:ascii="Arial" w:hAnsi="Arial" w:cs="Arial"/>
          <w:color w:val="002060"/>
          <w:sz w:val="22"/>
          <w:szCs w:val="22"/>
          <w:lang w:eastAsia="en-US"/>
        </w:rPr>
        <w:t xml:space="preserve">In this context it should be noted that, apart from the factors mentioned under Section 4 of the Consultation Paper (in particular in paras. 23 to 27), the burdens associated with the constantly changing and expanding complex regulatory requirements also work as a strong disincentive for institutions to establish or expand client clearing services. Another central aspect is the mitigation and management of the risks associated with clients and client positions: Effective and efficient risk management is, of course, of paramount importance and institutions will always have to make a risk assessment before considering whether to offer or expand client </w:t>
      </w:r>
      <w:r w:rsidRPr="00770399">
        <w:rPr>
          <w:rFonts w:ascii="Arial" w:hAnsi="Arial" w:cs="Arial"/>
          <w:color w:val="002060"/>
          <w:sz w:val="22"/>
          <w:szCs w:val="22"/>
          <w:lang w:eastAsia="en-US"/>
        </w:rPr>
        <w:lastRenderedPageBreak/>
        <w:t>clearing services and under what conditions they are able to offer these services to new clients or able to continue to offer services to existing clients.</w:t>
      </w:r>
    </w:p>
    <w:p w14:paraId="06C44273" w14:textId="77777777" w:rsidR="00770399" w:rsidRPr="00770399" w:rsidRDefault="00770399" w:rsidP="00770399">
      <w:pPr>
        <w:spacing w:after="250" w:line="276" w:lineRule="auto"/>
        <w:jc w:val="both"/>
        <w:rPr>
          <w:rFonts w:ascii="Arial" w:hAnsi="Arial" w:cs="Arial"/>
          <w:color w:val="002060"/>
          <w:sz w:val="22"/>
          <w:szCs w:val="22"/>
          <w:lang w:eastAsia="en-US"/>
        </w:rPr>
      </w:pPr>
      <w:r w:rsidRPr="00770399">
        <w:rPr>
          <w:rFonts w:ascii="Arial" w:hAnsi="Arial" w:cs="Arial"/>
          <w:color w:val="002060"/>
          <w:sz w:val="22"/>
          <w:szCs w:val="22"/>
          <w:lang w:eastAsia="en-US"/>
        </w:rPr>
        <w:t xml:space="preserve">In addition, it is also important to take into account that the conditions under which client clearing services can be provided are, to a considerable extent, determined by the relevant central counterparties (CCPs). </w:t>
      </w:r>
    </w:p>
    <w:p w14:paraId="3235EE93" w14:textId="77777777" w:rsidR="00770399" w:rsidRPr="00770399" w:rsidRDefault="00770399" w:rsidP="00770399">
      <w:pPr>
        <w:spacing w:after="250" w:line="276" w:lineRule="auto"/>
        <w:jc w:val="both"/>
        <w:rPr>
          <w:rFonts w:ascii="Arial" w:hAnsi="Arial" w:cs="Arial"/>
          <w:color w:val="002060"/>
          <w:sz w:val="22"/>
          <w:szCs w:val="22"/>
          <w:lang w:eastAsia="en-US"/>
        </w:rPr>
      </w:pPr>
      <w:r w:rsidRPr="00770399">
        <w:rPr>
          <w:rFonts w:ascii="Arial" w:hAnsi="Arial" w:cs="Arial"/>
          <w:color w:val="002060"/>
          <w:sz w:val="22"/>
          <w:szCs w:val="22"/>
          <w:lang w:eastAsia="en-US"/>
        </w:rPr>
        <w:t xml:space="preserve">It should further be noted that the clients requiring clearing services for OTC-derivatives are generally experienced market participants who - in many cases - will have already negotiated contractual arrangements for clearing services and who are well accustomed with the regulatory framework and the contractual arrangements used for these purposes (in particular the standard market documentation elements forming part of these contractual arrangements). </w:t>
      </w:r>
    </w:p>
    <w:p w14:paraId="5A0E4B1A" w14:textId="77777777" w:rsidR="00770399" w:rsidRPr="00770399" w:rsidRDefault="00770399" w:rsidP="00770399">
      <w:pPr>
        <w:spacing w:after="250" w:line="276" w:lineRule="auto"/>
        <w:jc w:val="both"/>
        <w:rPr>
          <w:rFonts w:ascii="Arial" w:hAnsi="Arial" w:cs="Arial"/>
          <w:color w:val="002060"/>
          <w:sz w:val="22"/>
          <w:szCs w:val="22"/>
          <w:lang w:eastAsia="en-US"/>
        </w:rPr>
      </w:pPr>
      <w:r w:rsidRPr="00770399">
        <w:rPr>
          <w:rFonts w:ascii="Arial" w:hAnsi="Arial" w:cs="Arial"/>
          <w:color w:val="002060"/>
          <w:sz w:val="22"/>
          <w:szCs w:val="22"/>
          <w:lang w:eastAsia="en-US"/>
        </w:rPr>
        <w:t xml:space="preserve">Against this background a number of aspects of the proposals made in the Consultation Paper raise concerns and should be reviewed in order to ensure that the FRANDT-requirements will ultimately achieve the intended purposes and help to facilitate access to clearing services while also encouraging institutions to offer client clearing services. </w:t>
      </w:r>
    </w:p>
    <w:p w14:paraId="71640C25" w14:textId="77777777" w:rsidR="00770399" w:rsidRPr="00770399" w:rsidRDefault="00770399" w:rsidP="00770399">
      <w:pPr>
        <w:autoSpaceDE w:val="0"/>
        <w:autoSpaceDN w:val="0"/>
        <w:adjustRightInd w:val="0"/>
        <w:spacing w:after="250" w:line="276" w:lineRule="auto"/>
        <w:ind w:left="360" w:hanging="360"/>
        <w:contextualSpacing/>
        <w:jc w:val="both"/>
        <w:rPr>
          <w:rFonts w:ascii="Arial" w:hAnsi="Arial" w:cs="Arial"/>
          <w:color w:val="002060"/>
          <w:sz w:val="22"/>
          <w:szCs w:val="22"/>
          <w:lang w:val="en-US"/>
        </w:rPr>
      </w:pPr>
      <w:r w:rsidRPr="00770399">
        <w:rPr>
          <w:rFonts w:ascii="Arial" w:hAnsi="Arial" w:cs="Arial"/>
          <w:color w:val="002060"/>
          <w:sz w:val="22"/>
          <w:szCs w:val="22"/>
          <w:lang w:val="en-US" w:eastAsia="en-US"/>
        </w:rPr>
        <w:t>The following issues raise the most serious concerns:</w:t>
      </w:r>
    </w:p>
    <w:p w14:paraId="2632D045" w14:textId="77777777" w:rsidR="00770399" w:rsidRPr="00770399" w:rsidRDefault="00770399" w:rsidP="00770399">
      <w:pPr>
        <w:numPr>
          <w:ilvl w:val="0"/>
          <w:numId w:val="6"/>
        </w:numPr>
        <w:autoSpaceDE w:val="0"/>
        <w:autoSpaceDN w:val="0"/>
        <w:adjustRightInd w:val="0"/>
        <w:spacing w:after="250" w:line="276" w:lineRule="auto"/>
        <w:ind w:left="360"/>
        <w:jc w:val="both"/>
        <w:rPr>
          <w:rFonts w:ascii="Arial" w:hAnsi="Arial" w:cs="Arial"/>
          <w:color w:val="002060"/>
          <w:sz w:val="22"/>
          <w:szCs w:val="22"/>
          <w:lang w:eastAsia="en-US"/>
        </w:rPr>
      </w:pPr>
      <w:r w:rsidRPr="00770399">
        <w:rPr>
          <w:rFonts w:ascii="Arial" w:hAnsi="Arial" w:cs="Arial"/>
          <w:color w:val="002060"/>
          <w:sz w:val="22"/>
          <w:szCs w:val="22"/>
          <w:lang w:eastAsia="en-US"/>
        </w:rPr>
        <w:t>The proposed requirements regarding the disclosure of the contractual terms and/or the contractual documentation used in connection with client clearing services, in particular the proposal to require the institutions to publish the contractual agreements even where these are standard industry documentations (and the proposed requirement to replicate statutory requirements in the contractual agreement itself, both of which will be counterproductive as they are likely to cause confusion and even legal uncertainty).</w:t>
      </w:r>
    </w:p>
    <w:p w14:paraId="066C9F0B" w14:textId="77777777" w:rsidR="00770399" w:rsidRPr="00770399" w:rsidRDefault="00770399" w:rsidP="00770399">
      <w:pPr>
        <w:numPr>
          <w:ilvl w:val="0"/>
          <w:numId w:val="6"/>
        </w:numPr>
        <w:autoSpaceDE w:val="0"/>
        <w:autoSpaceDN w:val="0"/>
        <w:adjustRightInd w:val="0"/>
        <w:spacing w:after="250" w:line="276" w:lineRule="auto"/>
        <w:ind w:left="360"/>
        <w:jc w:val="both"/>
        <w:rPr>
          <w:rFonts w:ascii="Arial" w:hAnsi="Arial" w:cs="Arial"/>
          <w:color w:val="002060"/>
          <w:sz w:val="22"/>
          <w:szCs w:val="22"/>
          <w:lang w:eastAsia="en-US"/>
        </w:rPr>
      </w:pPr>
      <w:r w:rsidRPr="00770399">
        <w:rPr>
          <w:rFonts w:ascii="Arial" w:hAnsi="Arial" w:cs="Arial"/>
          <w:color w:val="002060"/>
          <w:sz w:val="22"/>
          <w:szCs w:val="22"/>
          <w:lang w:eastAsia="en-US"/>
        </w:rPr>
        <w:t>The potential restrictions on termination rights.</w:t>
      </w:r>
    </w:p>
    <w:p w14:paraId="6269C0CC" w14:textId="78CAE6A9" w:rsidR="00770399" w:rsidRPr="00770399" w:rsidRDefault="00770399" w:rsidP="00770399">
      <w:pPr>
        <w:numPr>
          <w:ilvl w:val="0"/>
          <w:numId w:val="6"/>
        </w:numPr>
        <w:autoSpaceDE w:val="0"/>
        <w:autoSpaceDN w:val="0"/>
        <w:adjustRightInd w:val="0"/>
        <w:spacing w:after="250" w:line="276" w:lineRule="auto"/>
        <w:ind w:left="360"/>
        <w:jc w:val="both"/>
        <w:rPr>
          <w:rFonts w:ascii="Arial" w:hAnsi="Arial" w:cs="Arial"/>
          <w:color w:val="002060"/>
          <w:sz w:val="22"/>
          <w:szCs w:val="22"/>
          <w:lang w:eastAsia="en-US"/>
        </w:rPr>
      </w:pPr>
      <w:r w:rsidRPr="00770399">
        <w:rPr>
          <w:rFonts w:ascii="Arial" w:hAnsi="Arial" w:cs="Arial"/>
          <w:color w:val="002060"/>
          <w:sz w:val="22"/>
          <w:szCs w:val="22"/>
          <w:lang w:eastAsia="en-US"/>
        </w:rPr>
        <w:t>The obligation to disclose risk control criteria.</w:t>
      </w:r>
    </w:p>
    <w:permEnd w:id="885457707"/>
    <w:p w14:paraId="15D00E65" w14:textId="07981F2B"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7634C8" w:rsidRPr="007634C8">
        <w:rPr>
          <w:rFonts w:asciiTheme="minorHAnsi" w:eastAsiaTheme="minorEastAsia" w:hAnsiTheme="minorHAnsi" w:cstheme="minorBidi"/>
          <w:sz w:val="22"/>
          <w:szCs w:val="20"/>
          <w:lang w:eastAsia="en-US"/>
        </w:rPr>
        <w:t>FRANDT</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289A1E31" w14:textId="15BD04BA" w:rsidR="00AB6157" w:rsidRDefault="00AB6157" w:rsidP="00C1698A">
      <w:pPr>
        <w:spacing w:line="276" w:lineRule="auto"/>
        <w:rPr>
          <w:rFonts w:asciiTheme="minorHAnsi" w:hAnsiTheme="minorHAnsi" w:cstheme="minorHAnsi"/>
          <w:b/>
          <w:sz w:val="28"/>
          <w:szCs w:val="28"/>
        </w:rPr>
      </w:pPr>
    </w:p>
    <w:bookmarkEnd w:id="0"/>
    <w:p w14:paraId="797BC345" w14:textId="77777777" w:rsidR="007634C8" w:rsidRDefault="007634C8" w:rsidP="007634C8">
      <w:pPr>
        <w:pStyle w:val="Questionstyle"/>
        <w:numPr>
          <w:ilvl w:val="0"/>
          <w:numId w:val="9"/>
        </w:numPr>
        <w:spacing w:after="250" w:line="276" w:lineRule="auto"/>
      </w:pPr>
      <w:r>
        <w:t>: Do you generally agree with the approach on transparency and how to publicly disclose fees and commercial terms and other conditions? Please elaborate and if you disagree with any specific requirement, please suggest alternative ones. You can also suggest additional ones.</w:t>
      </w:r>
    </w:p>
    <w:p w14:paraId="1BFF276A" w14:textId="77777777" w:rsidR="007634C8" w:rsidRDefault="007634C8" w:rsidP="007634C8">
      <w:pPr>
        <w:rPr>
          <w:rFonts w:ascii="Arial" w:hAnsi="Arial" w:cs="Arial"/>
        </w:rPr>
      </w:pPr>
      <w:r>
        <w:rPr>
          <w:rFonts w:ascii="Arial" w:hAnsi="Arial" w:cs="Arial"/>
        </w:rPr>
        <w:t>&lt;ESMA_QUESTION_FRANDT_1&gt;</w:t>
      </w:r>
    </w:p>
    <w:p w14:paraId="27408FCE" w14:textId="77777777" w:rsidR="00770399" w:rsidRPr="00770399" w:rsidRDefault="00770399" w:rsidP="00770399">
      <w:pPr>
        <w:rPr>
          <w:rFonts w:ascii="Arial" w:hAnsi="Arial" w:cs="Arial"/>
          <w:color w:val="002060"/>
          <w:sz w:val="22"/>
          <w:szCs w:val="22"/>
        </w:rPr>
      </w:pPr>
      <w:permStart w:id="963859669" w:edGrp="everyone"/>
      <w:r w:rsidRPr="00770399">
        <w:rPr>
          <w:rFonts w:ascii="Arial" w:hAnsi="Arial" w:cs="Arial"/>
          <w:color w:val="002060"/>
          <w:sz w:val="22"/>
          <w:szCs w:val="22"/>
        </w:rPr>
        <w:t xml:space="preserve">We have serious concerns over the proposed scope of the disclosure requirement regarding contractual terms (as proposed in Section 6.1, para. 43 and Articles 2 (1) (c) and 4 of the draft delegated act), in particular as far as this is also meant to include a disclosure of the contractual agreements, including those elements consisting of standard market documentations (instead of providing an overview over key elements and/or general information on the standard market documentations used): </w:t>
      </w:r>
    </w:p>
    <w:p w14:paraId="72D9A860" w14:textId="77777777" w:rsidR="00770399" w:rsidRPr="00770399" w:rsidRDefault="00770399" w:rsidP="00770399">
      <w:pPr>
        <w:rPr>
          <w:rFonts w:ascii="Arial" w:hAnsi="Arial" w:cs="Arial"/>
          <w:color w:val="002060"/>
          <w:sz w:val="22"/>
          <w:szCs w:val="22"/>
        </w:rPr>
      </w:pPr>
    </w:p>
    <w:p w14:paraId="231D6336" w14:textId="77777777" w:rsidR="00770399" w:rsidRPr="00770399" w:rsidRDefault="00770399" w:rsidP="00770399">
      <w:pPr>
        <w:rPr>
          <w:rFonts w:ascii="Arial" w:hAnsi="Arial" w:cs="Arial"/>
          <w:color w:val="002060"/>
          <w:sz w:val="22"/>
          <w:szCs w:val="22"/>
        </w:rPr>
      </w:pPr>
      <w:r w:rsidRPr="00770399">
        <w:rPr>
          <w:rFonts w:ascii="Arial" w:hAnsi="Arial" w:cs="Arial"/>
          <w:color w:val="002060"/>
          <w:sz w:val="22"/>
          <w:szCs w:val="22"/>
        </w:rPr>
        <w:t xml:space="preserve">We, of course, agree that institutions offering client clearing services should provide market participants with appropriate information on the contractual framework applicable to client clearing relationships. </w:t>
      </w:r>
    </w:p>
    <w:p w14:paraId="3973DDAB" w14:textId="77777777" w:rsidR="00770399" w:rsidRPr="00770399" w:rsidRDefault="00770399" w:rsidP="00770399">
      <w:pPr>
        <w:rPr>
          <w:rFonts w:ascii="Arial" w:hAnsi="Arial" w:cs="Arial"/>
          <w:color w:val="002060"/>
          <w:sz w:val="22"/>
          <w:szCs w:val="22"/>
        </w:rPr>
      </w:pPr>
    </w:p>
    <w:p w14:paraId="2D0BB4CD" w14:textId="77777777" w:rsidR="00770399" w:rsidRPr="00770399" w:rsidRDefault="00770399" w:rsidP="00770399">
      <w:pPr>
        <w:rPr>
          <w:rFonts w:ascii="Arial" w:hAnsi="Arial" w:cs="Arial"/>
          <w:color w:val="002060"/>
          <w:sz w:val="22"/>
          <w:szCs w:val="22"/>
        </w:rPr>
      </w:pPr>
      <w:r w:rsidRPr="00770399">
        <w:rPr>
          <w:rFonts w:ascii="Arial" w:hAnsi="Arial" w:cs="Arial"/>
          <w:color w:val="002060"/>
          <w:sz w:val="22"/>
          <w:szCs w:val="22"/>
        </w:rPr>
        <w:t xml:space="preserve">However, we strongly believe that the disclosure requirement should be limited to a general overview over key elements and/or general information on the contractual documentation to be used. </w:t>
      </w:r>
    </w:p>
    <w:p w14:paraId="3523E17C" w14:textId="77777777" w:rsidR="00770399" w:rsidRPr="00770399" w:rsidRDefault="00770399" w:rsidP="00770399">
      <w:pPr>
        <w:rPr>
          <w:rFonts w:ascii="Arial" w:hAnsi="Arial" w:cs="Arial"/>
          <w:color w:val="002060"/>
          <w:sz w:val="22"/>
          <w:szCs w:val="22"/>
        </w:rPr>
      </w:pPr>
    </w:p>
    <w:p w14:paraId="3C8E10B0" w14:textId="77777777" w:rsidR="00770399" w:rsidRPr="00770399" w:rsidRDefault="00770399" w:rsidP="00770399">
      <w:pPr>
        <w:rPr>
          <w:rFonts w:ascii="Arial" w:hAnsi="Arial" w:cs="Arial"/>
          <w:b/>
          <w:sz w:val="22"/>
          <w:szCs w:val="22"/>
        </w:rPr>
      </w:pPr>
      <w:r w:rsidRPr="00770399">
        <w:rPr>
          <w:rFonts w:ascii="Arial" w:hAnsi="Arial" w:cs="Arial"/>
          <w:color w:val="002060"/>
          <w:sz w:val="22"/>
          <w:szCs w:val="22"/>
        </w:rPr>
        <w:t>An obligation to disclose the entire contractual framework, including those elements consisting of standard market documentations, will not achieve the intended purpose and will rather result in confusing, incomplete and</w:t>
      </w:r>
      <w:r w:rsidRPr="00770399">
        <w:rPr>
          <w:rFonts w:ascii="Arial" w:hAnsi="Arial" w:cs="Arial"/>
          <w:b/>
          <w:sz w:val="22"/>
          <w:szCs w:val="22"/>
        </w:rPr>
        <w:t xml:space="preserve"> </w:t>
      </w:r>
      <w:r w:rsidRPr="00770399">
        <w:rPr>
          <w:rFonts w:ascii="Arial" w:hAnsi="Arial" w:cs="Arial"/>
          <w:color w:val="002060"/>
          <w:sz w:val="22"/>
          <w:szCs w:val="22"/>
        </w:rPr>
        <w:t>unhelpful information for the market participants:</w:t>
      </w:r>
    </w:p>
    <w:p w14:paraId="31230415" w14:textId="77777777" w:rsidR="00770399" w:rsidRPr="00770399" w:rsidRDefault="00770399" w:rsidP="00770399">
      <w:pPr>
        <w:rPr>
          <w:rFonts w:ascii="Arial" w:hAnsi="Arial" w:cs="Arial"/>
          <w:color w:val="002060"/>
          <w:sz w:val="22"/>
          <w:szCs w:val="22"/>
        </w:rPr>
      </w:pPr>
    </w:p>
    <w:p w14:paraId="276072CC" w14:textId="77777777" w:rsidR="00770399" w:rsidRPr="00770399" w:rsidRDefault="00770399" w:rsidP="00770399">
      <w:pPr>
        <w:ind w:left="284" w:hanging="284"/>
        <w:rPr>
          <w:rFonts w:ascii="Arial" w:hAnsi="Arial" w:cs="Arial"/>
          <w:color w:val="002060"/>
          <w:sz w:val="22"/>
          <w:szCs w:val="22"/>
          <w:u w:val="single"/>
        </w:rPr>
      </w:pPr>
      <w:r w:rsidRPr="00770399">
        <w:rPr>
          <w:rFonts w:ascii="Arial" w:hAnsi="Arial" w:cs="Arial"/>
          <w:color w:val="002060"/>
          <w:sz w:val="22"/>
          <w:szCs w:val="22"/>
          <w:u w:val="single"/>
        </w:rPr>
        <w:t>1.</w:t>
      </w:r>
      <w:r w:rsidRPr="00770399">
        <w:rPr>
          <w:rFonts w:ascii="Arial" w:hAnsi="Arial" w:cs="Arial"/>
          <w:color w:val="002060"/>
          <w:sz w:val="22"/>
          <w:szCs w:val="22"/>
          <w:u w:val="single"/>
        </w:rPr>
        <w:tab/>
        <w:t>Unnecessary and unhelpful information:</w:t>
      </w:r>
    </w:p>
    <w:p w14:paraId="3A20B56E" w14:textId="77777777" w:rsidR="00770399" w:rsidRPr="00770399" w:rsidRDefault="00770399" w:rsidP="00770399">
      <w:pPr>
        <w:ind w:left="284" w:hanging="284"/>
        <w:rPr>
          <w:rFonts w:ascii="Arial" w:hAnsi="Arial" w:cs="Arial"/>
          <w:color w:val="002060"/>
          <w:sz w:val="22"/>
          <w:szCs w:val="22"/>
          <w:u w:val="single"/>
        </w:rPr>
      </w:pPr>
    </w:p>
    <w:p w14:paraId="13DD1514" w14:textId="77777777" w:rsidR="00770399" w:rsidRPr="00770399" w:rsidRDefault="00770399" w:rsidP="00770399">
      <w:pPr>
        <w:autoSpaceDE w:val="0"/>
        <w:autoSpaceDN w:val="0"/>
        <w:adjustRightInd w:val="0"/>
        <w:spacing w:after="250" w:line="276" w:lineRule="auto"/>
        <w:ind w:left="284"/>
        <w:jc w:val="both"/>
        <w:rPr>
          <w:rFonts w:ascii="Arial" w:hAnsi="Arial" w:cs="Arial"/>
          <w:color w:val="002060"/>
          <w:sz w:val="22"/>
          <w:szCs w:val="22"/>
        </w:rPr>
      </w:pPr>
      <w:r w:rsidRPr="00770399">
        <w:rPr>
          <w:rFonts w:ascii="Arial" w:hAnsi="Arial" w:cs="Arial"/>
          <w:color w:val="002060"/>
          <w:sz w:val="22"/>
          <w:szCs w:val="22"/>
        </w:rPr>
        <w:t xml:space="preserve">As the Consultation Paper acknowledges, market participants regularly rely on the standard market client clearing documentations developed by various associations (standard documentations), including, for example, the German client clearing documentation (Clearing Framework Agreement documentation / CRV-documentation). Market participants are well accustomed to these standard documentations and usually have considerable experience with these documents (not least because of their similarity with the standard market documentations for non-cleared OTC-derivative transactions). A disclosure requirement including these documentations would considerably inflate the scale of the documentation to be disclosed without providing any additional/helpful information to the market participants. </w:t>
      </w:r>
    </w:p>
    <w:p w14:paraId="237E6B1F" w14:textId="77777777" w:rsidR="00770399" w:rsidRPr="00770399" w:rsidRDefault="00770399" w:rsidP="00770399">
      <w:pPr>
        <w:autoSpaceDE w:val="0"/>
        <w:autoSpaceDN w:val="0"/>
        <w:adjustRightInd w:val="0"/>
        <w:spacing w:after="250" w:line="276" w:lineRule="auto"/>
        <w:ind w:left="284"/>
        <w:jc w:val="both"/>
        <w:rPr>
          <w:rFonts w:ascii="Arial" w:hAnsi="Arial" w:cs="Arial"/>
          <w:color w:val="002060"/>
          <w:sz w:val="22"/>
          <w:szCs w:val="22"/>
        </w:rPr>
      </w:pPr>
      <w:r w:rsidRPr="00770399">
        <w:rPr>
          <w:rFonts w:ascii="Arial" w:hAnsi="Arial" w:cs="Arial"/>
          <w:color w:val="002060"/>
          <w:sz w:val="22"/>
          <w:szCs w:val="22"/>
        </w:rPr>
        <w:t>A disclosure of these standard market documentations will actually be distracting and make it more difficult for market participants to compare offers and identify differences. Market participants would have more clarity if the disclosure obligation focussed on general information providing an overview over key aspects. In this context it needs to be recognised that any advance information provided on the contractual documentation cannot replace the necessary legal review of the contractual documentation by the client in the negotiations.</w:t>
      </w:r>
    </w:p>
    <w:p w14:paraId="43E04958" w14:textId="77777777" w:rsidR="00770399" w:rsidRPr="00770399" w:rsidRDefault="00770399" w:rsidP="00770399">
      <w:pPr>
        <w:ind w:left="284" w:hanging="284"/>
        <w:rPr>
          <w:rFonts w:ascii="Arial" w:hAnsi="Arial" w:cs="Arial"/>
          <w:color w:val="002060"/>
          <w:sz w:val="22"/>
          <w:szCs w:val="22"/>
          <w:u w:val="single"/>
        </w:rPr>
      </w:pPr>
      <w:r w:rsidRPr="00770399">
        <w:rPr>
          <w:rFonts w:ascii="Arial" w:hAnsi="Arial" w:cs="Arial"/>
          <w:color w:val="002060"/>
          <w:sz w:val="22"/>
          <w:szCs w:val="22"/>
          <w:u w:val="single"/>
        </w:rPr>
        <w:t>2. Potential for confusion and misunderstandings in case of disclosure requirement extending to standard market documentations:</w:t>
      </w:r>
    </w:p>
    <w:p w14:paraId="0E6AA0F2" w14:textId="77777777" w:rsidR="00770399" w:rsidRPr="00770399" w:rsidRDefault="00770399" w:rsidP="00770399">
      <w:pPr>
        <w:ind w:left="284" w:hanging="284"/>
        <w:rPr>
          <w:rFonts w:ascii="Arial" w:hAnsi="Arial" w:cs="Arial"/>
          <w:color w:val="002060"/>
          <w:sz w:val="22"/>
          <w:szCs w:val="22"/>
        </w:rPr>
      </w:pPr>
    </w:p>
    <w:p w14:paraId="2BAD0D93" w14:textId="77777777" w:rsidR="00770399" w:rsidRPr="00770399" w:rsidRDefault="00770399" w:rsidP="00770399">
      <w:pPr>
        <w:autoSpaceDE w:val="0"/>
        <w:autoSpaceDN w:val="0"/>
        <w:adjustRightInd w:val="0"/>
        <w:spacing w:after="250" w:line="276" w:lineRule="auto"/>
        <w:ind w:left="284"/>
        <w:jc w:val="both"/>
        <w:rPr>
          <w:rFonts w:ascii="Arial" w:hAnsi="Arial" w:cs="Arial"/>
          <w:color w:val="002060"/>
          <w:sz w:val="22"/>
          <w:szCs w:val="22"/>
        </w:rPr>
      </w:pPr>
      <w:r w:rsidRPr="00770399">
        <w:rPr>
          <w:rFonts w:ascii="Arial" w:hAnsi="Arial" w:cs="Arial"/>
          <w:color w:val="002060"/>
          <w:sz w:val="22"/>
          <w:szCs w:val="22"/>
        </w:rPr>
        <w:lastRenderedPageBreak/>
        <w:t xml:space="preserve">The standard market documentations used in this context necessarily consist of more than one element. The documentation may, for example, comprise general terms or a master agreement addressing the general aspects of the client clearing relationship, including the netting provisions, and further documents such as collateral agreements and other annexes and supplemental agreements. These documentations constantly undergo reviews and adjustments: New elements are added from time to time (sometimes at very short notice where required by regulatory changes or in order to address legal developments) and existing elements may be amended, modernised or even deleted (if they have become obsolete) from time to time. </w:t>
      </w:r>
    </w:p>
    <w:p w14:paraId="28EE99F2" w14:textId="77777777" w:rsidR="00770399" w:rsidRPr="00770399" w:rsidRDefault="00770399" w:rsidP="00770399">
      <w:pPr>
        <w:autoSpaceDE w:val="0"/>
        <w:autoSpaceDN w:val="0"/>
        <w:adjustRightInd w:val="0"/>
        <w:spacing w:after="250" w:line="276" w:lineRule="auto"/>
        <w:ind w:left="284"/>
        <w:jc w:val="both"/>
        <w:rPr>
          <w:rFonts w:ascii="Arial" w:hAnsi="Arial" w:cs="Arial"/>
          <w:color w:val="002060"/>
          <w:sz w:val="22"/>
          <w:szCs w:val="22"/>
        </w:rPr>
      </w:pPr>
      <w:r w:rsidRPr="00770399">
        <w:rPr>
          <w:rFonts w:ascii="Arial" w:hAnsi="Arial" w:cs="Arial"/>
          <w:color w:val="002060"/>
          <w:sz w:val="22"/>
          <w:szCs w:val="22"/>
        </w:rPr>
        <w:t xml:space="preserve">Thus, the client clearing documentations based on standard market documentations will constantly be subject to changes and adjustments. Institutions relying on these documentations as part of their contractual framework for clearing services will therefore regularly review and re-adjust the documentation they intend to use for client clearing services accordingly (amendments and changes can of course only implemented into existing contractual relationships with clients in accordance with their terms and regularly require the agreement/consent of the client). Any disclosed standard market documentation will therefore always give an incomplete and misleading impression of the documentation actually used. </w:t>
      </w:r>
    </w:p>
    <w:p w14:paraId="64948EB6" w14:textId="77777777" w:rsidR="00770399" w:rsidRPr="00770399" w:rsidRDefault="00770399" w:rsidP="00770399">
      <w:pPr>
        <w:autoSpaceDE w:val="0"/>
        <w:autoSpaceDN w:val="0"/>
        <w:adjustRightInd w:val="0"/>
        <w:spacing w:after="250" w:line="276" w:lineRule="auto"/>
        <w:ind w:left="284"/>
        <w:jc w:val="both"/>
        <w:rPr>
          <w:rFonts w:ascii="Arial" w:hAnsi="Arial" w:cs="Arial"/>
          <w:color w:val="002060"/>
          <w:sz w:val="22"/>
          <w:szCs w:val="22"/>
        </w:rPr>
      </w:pPr>
      <w:r w:rsidRPr="00770399">
        <w:rPr>
          <w:rFonts w:ascii="Arial" w:hAnsi="Arial" w:cs="Arial"/>
          <w:color w:val="002060"/>
          <w:sz w:val="22"/>
          <w:szCs w:val="22"/>
        </w:rPr>
        <w:t>On a more general note, it should be taken into consideration that institutions are already subject to numerous and often duplicative information requirements covering the risks connected to clearing which often include references to and descriptions of contractual terms.</w:t>
      </w:r>
    </w:p>
    <w:p w14:paraId="3233C5FE" w14:textId="77777777" w:rsidR="00770399" w:rsidRPr="00770399" w:rsidRDefault="00770399" w:rsidP="00770399">
      <w:pPr>
        <w:ind w:left="284" w:hanging="284"/>
        <w:rPr>
          <w:rFonts w:ascii="Arial" w:hAnsi="Arial" w:cs="Arial"/>
          <w:color w:val="002060"/>
          <w:sz w:val="22"/>
          <w:szCs w:val="22"/>
          <w:u w:val="single"/>
        </w:rPr>
      </w:pPr>
      <w:r w:rsidRPr="00770399">
        <w:rPr>
          <w:rFonts w:ascii="Arial" w:hAnsi="Arial" w:cs="Arial"/>
          <w:color w:val="002060"/>
          <w:sz w:val="22"/>
          <w:szCs w:val="22"/>
          <w:u w:val="single"/>
        </w:rPr>
        <w:t>3.</w:t>
      </w:r>
      <w:r w:rsidRPr="00770399">
        <w:rPr>
          <w:rFonts w:ascii="Arial" w:hAnsi="Arial" w:cs="Arial"/>
          <w:color w:val="002060"/>
          <w:sz w:val="22"/>
          <w:szCs w:val="22"/>
          <w:u w:val="single"/>
        </w:rPr>
        <w:tab/>
        <w:t xml:space="preserve">Incomplete/misleading information as contractual framework for clearing services (including standard market documentation elements is always negotiated: </w:t>
      </w:r>
    </w:p>
    <w:p w14:paraId="073F6E01" w14:textId="77777777" w:rsidR="00770399" w:rsidRPr="00770399" w:rsidRDefault="00770399" w:rsidP="00770399">
      <w:pPr>
        <w:ind w:left="284" w:hanging="284"/>
        <w:rPr>
          <w:rFonts w:ascii="Arial" w:hAnsi="Arial" w:cs="Arial"/>
          <w:color w:val="002060"/>
          <w:sz w:val="22"/>
          <w:szCs w:val="22"/>
          <w:u w:val="single"/>
        </w:rPr>
      </w:pPr>
    </w:p>
    <w:p w14:paraId="276BCFD7" w14:textId="77777777" w:rsidR="00770399" w:rsidRPr="00770399" w:rsidRDefault="00770399" w:rsidP="00770399">
      <w:pPr>
        <w:autoSpaceDE w:val="0"/>
        <w:autoSpaceDN w:val="0"/>
        <w:adjustRightInd w:val="0"/>
        <w:spacing w:after="250" w:line="276" w:lineRule="auto"/>
        <w:ind w:left="284"/>
        <w:jc w:val="both"/>
        <w:rPr>
          <w:rFonts w:ascii="Arial" w:hAnsi="Arial" w:cs="Arial"/>
          <w:color w:val="002060"/>
          <w:sz w:val="22"/>
          <w:szCs w:val="22"/>
        </w:rPr>
      </w:pPr>
      <w:r w:rsidRPr="00770399">
        <w:rPr>
          <w:rFonts w:ascii="Arial" w:hAnsi="Arial" w:cs="Arial"/>
          <w:color w:val="002060"/>
          <w:sz w:val="22"/>
          <w:szCs w:val="22"/>
        </w:rPr>
        <w:t xml:space="preserve">The proposed disclosure requirements appears to be based on the assumption that the contractual terms for clearing services are largely uniform, predetermined and fully standardised. This is not the case: Rather – and despite the fact that the contractual arrangement will often be based on standardised components and general terms and standard market documentations – it is always and necessarily subject to (often detailed and intensive) negotiations between the parties: The contractual arrangement applicable between the parties will thus be individualised to a considerable extent as it will be adjusted to the specific circumstances, scope and the interests of the parties. Thus, the contractual frameworks applicable to the parties may differ considerably.  </w:t>
      </w:r>
    </w:p>
    <w:p w14:paraId="261A84EA" w14:textId="3C0C6A6A" w:rsidR="00770399" w:rsidRDefault="00770399" w:rsidP="00770399">
      <w:pPr>
        <w:autoSpaceDE w:val="0"/>
        <w:autoSpaceDN w:val="0"/>
        <w:adjustRightInd w:val="0"/>
        <w:spacing w:after="250" w:line="276" w:lineRule="auto"/>
        <w:jc w:val="both"/>
        <w:rPr>
          <w:rFonts w:ascii="Arial" w:hAnsi="Arial" w:cs="Arial"/>
        </w:rPr>
      </w:pPr>
      <w:r w:rsidRPr="00770399">
        <w:rPr>
          <w:rFonts w:ascii="Arial" w:hAnsi="Arial" w:cs="Arial"/>
          <w:color w:val="002060"/>
          <w:sz w:val="22"/>
          <w:szCs w:val="22"/>
        </w:rPr>
        <w:t>Against this background, we strongly believe that the disclosure requirement regarding general contractual terms should be limited to a requirement to set out the on general information providing an overview over key information including, where applicable, a clear indication of  the type of standard market documentations an institution is willing to use for client clearing purposes (which may, where appropriate and possible, include a link or reference to a website where the documentation is explained and/or published), thereby actually providing significantly more clarity on the differences in the offers between the various clearing service providers.</w:t>
      </w:r>
    </w:p>
    <w:permEnd w:id="963859669"/>
    <w:p w14:paraId="2AAA68FE" w14:textId="77777777" w:rsidR="007634C8" w:rsidRDefault="007634C8" w:rsidP="007634C8">
      <w:pPr>
        <w:rPr>
          <w:rFonts w:ascii="Arial" w:hAnsi="Arial" w:cs="Arial"/>
        </w:rPr>
      </w:pPr>
      <w:r>
        <w:rPr>
          <w:rFonts w:ascii="Arial" w:hAnsi="Arial" w:cs="Arial"/>
        </w:rPr>
        <w:t>&lt;ESMA_QUESTION_FRANDT_1&gt;</w:t>
      </w:r>
    </w:p>
    <w:p w14:paraId="668A9557" w14:textId="77777777" w:rsidR="007634C8" w:rsidRDefault="007634C8" w:rsidP="007634C8">
      <w:pPr>
        <w:rPr>
          <w:rFonts w:ascii="Arial" w:hAnsi="Arial" w:cs="Arial"/>
        </w:rPr>
      </w:pPr>
    </w:p>
    <w:p w14:paraId="6D9005DE" w14:textId="77777777" w:rsidR="007634C8" w:rsidRDefault="007634C8" w:rsidP="007634C8">
      <w:pPr>
        <w:pStyle w:val="Questionstyle"/>
        <w:numPr>
          <w:ilvl w:val="0"/>
          <w:numId w:val="9"/>
        </w:numPr>
        <w:spacing w:after="250" w:line="276" w:lineRule="auto"/>
      </w:pPr>
      <w:r>
        <w:t>: Do you generally agree with the elements to be taken into consideration in the commercial terms for the provision of clearing services? Please elaborate and if you disagree with any specific element, please suggest alternative ones. You can also suggest additional ones.</w:t>
      </w:r>
    </w:p>
    <w:p w14:paraId="493DF8A1" w14:textId="77777777" w:rsidR="007634C8" w:rsidRDefault="007634C8" w:rsidP="007634C8">
      <w:pPr>
        <w:rPr>
          <w:rFonts w:ascii="Arial" w:hAnsi="Arial" w:cs="Arial"/>
        </w:rPr>
      </w:pPr>
      <w:r>
        <w:rPr>
          <w:rFonts w:ascii="Arial" w:hAnsi="Arial" w:cs="Arial"/>
        </w:rPr>
        <w:t>&lt;ESMA_QUESTION_FRANDT_2&gt;</w:t>
      </w:r>
    </w:p>
    <w:p w14:paraId="7E6A2967" w14:textId="77777777" w:rsidR="00770399" w:rsidRPr="00770399" w:rsidRDefault="00770399" w:rsidP="00770399">
      <w:pPr>
        <w:ind w:left="284" w:hanging="284"/>
        <w:rPr>
          <w:rFonts w:ascii="Arial" w:hAnsi="Arial" w:cs="Arial"/>
          <w:color w:val="002060"/>
          <w:sz w:val="22"/>
          <w:szCs w:val="22"/>
          <w:u w:val="single"/>
        </w:rPr>
      </w:pPr>
      <w:permStart w:id="1506557908" w:edGrp="everyone"/>
      <w:r w:rsidRPr="00770399">
        <w:rPr>
          <w:rFonts w:ascii="Arial" w:hAnsi="Arial" w:cs="Arial"/>
          <w:color w:val="002060"/>
          <w:sz w:val="22"/>
          <w:szCs w:val="22"/>
          <w:u w:val="single"/>
        </w:rPr>
        <w:t>1.</w:t>
      </w:r>
      <w:r w:rsidRPr="00770399">
        <w:rPr>
          <w:rFonts w:ascii="Arial" w:hAnsi="Arial" w:cs="Arial"/>
          <w:color w:val="002060"/>
          <w:sz w:val="22"/>
          <w:szCs w:val="22"/>
          <w:u w:val="single"/>
        </w:rPr>
        <w:tab/>
        <w:t>Scope of disclosure requirements regarding standardised commercial terms in standard documentations (Section 6.2/para. 65 et seq. – Art. 2 (1) (c) and/or Art. 4 of the draft delegated act)</w:t>
      </w:r>
    </w:p>
    <w:p w14:paraId="49C35418" w14:textId="77777777" w:rsidR="00770399" w:rsidRPr="00770399" w:rsidRDefault="00770399" w:rsidP="00770399">
      <w:pPr>
        <w:rPr>
          <w:rFonts w:ascii="Arial" w:hAnsi="Arial" w:cs="Arial"/>
          <w:color w:val="002060"/>
          <w:sz w:val="22"/>
          <w:szCs w:val="22"/>
        </w:rPr>
      </w:pPr>
    </w:p>
    <w:p w14:paraId="657E0A56" w14:textId="77777777" w:rsidR="00770399" w:rsidRPr="00770399" w:rsidRDefault="00770399" w:rsidP="00770399">
      <w:pPr>
        <w:autoSpaceDE w:val="0"/>
        <w:autoSpaceDN w:val="0"/>
        <w:adjustRightInd w:val="0"/>
        <w:spacing w:after="250" w:line="276" w:lineRule="auto"/>
        <w:jc w:val="both"/>
        <w:rPr>
          <w:rFonts w:ascii="Arial" w:hAnsi="Arial" w:cs="Arial"/>
          <w:color w:val="002060"/>
          <w:sz w:val="22"/>
          <w:szCs w:val="22"/>
        </w:rPr>
      </w:pPr>
      <w:r w:rsidRPr="00770399">
        <w:rPr>
          <w:rFonts w:ascii="Arial" w:hAnsi="Arial" w:cs="Arial"/>
          <w:color w:val="002060"/>
          <w:sz w:val="22"/>
          <w:szCs w:val="22"/>
        </w:rPr>
        <w:t>The comments under Q1 regarding general contractual terms and standardised documentations apply correspondingly.</w:t>
      </w:r>
    </w:p>
    <w:p w14:paraId="2F5F7B7B" w14:textId="77777777" w:rsidR="00770399" w:rsidRPr="00770399" w:rsidRDefault="00770399" w:rsidP="00770399">
      <w:pPr>
        <w:autoSpaceDE w:val="0"/>
        <w:autoSpaceDN w:val="0"/>
        <w:adjustRightInd w:val="0"/>
        <w:spacing w:after="250" w:line="276" w:lineRule="auto"/>
        <w:jc w:val="both"/>
        <w:rPr>
          <w:rFonts w:ascii="Arial" w:hAnsi="Arial" w:cs="Arial"/>
          <w:color w:val="002060"/>
          <w:sz w:val="22"/>
          <w:szCs w:val="22"/>
        </w:rPr>
      </w:pPr>
      <w:r w:rsidRPr="00770399">
        <w:rPr>
          <w:rFonts w:ascii="Arial" w:hAnsi="Arial" w:cs="Arial"/>
          <w:color w:val="002060"/>
          <w:sz w:val="22"/>
          <w:szCs w:val="22"/>
        </w:rPr>
        <w:t xml:space="preserve">In addition, we believe that specific requirements, as set out in the proposed Art. 4 of the proposed delegated act are too detailed and may leave too little room for adjustments to contractual practices of the relevant applicable law and/or already existing market practices (primarily evidenced by standard market documentations). </w:t>
      </w:r>
    </w:p>
    <w:p w14:paraId="7D10E948" w14:textId="77777777" w:rsidR="00770399" w:rsidRPr="00770399" w:rsidRDefault="00770399" w:rsidP="00770399">
      <w:pPr>
        <w:autoSpaceDE w:val="0"/>
        <w:autoSpaceDN w:val="0"/>
        <w:adjustRightInd w:val="0"/>
        <w:spacing w:after="250" w:line="276" w:lineRule="auto"/>
        <w:jc w:val="both"/>
        <w:rPr>
          <w:rFonts w:ascii="Arial" w:hAnsi="Arial" w:cs="Arial"/>
          <w:color w:val="002060"/>
          <w:sz w:val="22"/>
          <w:szCs w:val="22"/>
        </w:rPr>
      </w:pPr>
      <w:r w:rsidRPr="00770399">
        <w:rPr>
          <w:rFonts w:ascii="Arial" w:hAnsi="Arial" w:cs="Arial"/>
          <w:color w:val="002060"/>
          <w:sz w:val="22"/>
          <w:szCs w:val="22"/>
        </w:rPr>
        <w:t>These requirements are also too rigid to take into account the constant development of market practices as well as the regulatory framework and the contractual arrangements reflecting market practices and the regulatory framework.</w:t>
      </w:r>
    </w:p>
    <w:p w14:paraId="0CD279ED" w14:textId="77777777" w:rsidR="00770399" w:rsidRPr="00770399" w:rsidRDefault="00770399" w:rsidP="00770399">
      <w:pPr>
        <w:autoSpaceDE w:val="0"/>
        <w:autoSpaceDN w:val="0"/>
        <w:adjustRightInd w:val="0"/>
        <w:spacing w:after="250" w:line="276" w:lineRule="auto"/>
        <w:jc w:val="both"/>
        <w:rPr>
          <w:rFonts w:ascii="Arial" w:hAnsi="Arial" w:cs="Arial"/>
          <w:color w:val="002060"/>
          <w:sz w:val="22"/>
          <w:szCs w:val="22"/>
        </w:rPr>
      </w:pPr>
      <w:r w:rsidRPr="00770399">
        <w:rPr>
          <w:rFonts w:ascii="Arial" w:hAnsi="Arial" w:cs="Arial"/>
          <w:color w:val="002060"/>
          <w:sz w:val="22"/>
          <w:szCs w:val="22"/>
        </w:rPr>
        <w:t>The disclosure requirement thus (and as already set out in our response to Q1 above) should be reviewed and clearly limited to key elements, and in particular, not extend to standard market documentations.</w:t>
      </w:r>
    </w:p>
    <w:p w14:paraId="019C3BDD" w14:textId="77777777" w:rsidR="00770399" w:rsidRPr="00770399" w:rsidRDefault="00770399" w:rsidP="00770399">
      <w:pPr>
        <w:rPr>
          <w:rFonts w:ascii="Arial" w:hAnsi="Arial" w:cs="Arial"/>
          <w:color w:val="002060"/>
          <w:sz w:val="22"/>
          <w:szCs w:val="22"/>
        </w:rPr>
      </w:pPr>
    </w:p>
    <w:p w14:paraId="61B13AB1" w14:textId="77777777" w:rsidR="00770399" w:rsidRPr="00770399" w:rsidRDefault="00770399" w:rsidP="00770399">
      <w:pPr>
        <w:ind w:left="284" w:hanging="284"/>
        <w:rPr>
          <w:rFonts w:ascii="Arial" w:hAnsi="Arial" w:cs="Arial"/>
          <w:color w:val="002060"/>
          <w:sz w:val="22"/>
          <w:szCs w:val="22"/>
          <w:u w:val="single"/>
        </w:rPr>
      </w:pPr>
      <w:r w:rsidRPr="00770399">
        <w:rPr>
          <w:rFonts w:ascii="Arial" w:hAnsi="Arial" w:cs="Arial"/>
          <w:color w:val="002060"/>
          <w:sz w:val="22"/>
          <w:szCs w:val="22"/>
          <w:u w:val="single"/>
        </w:rPr>
        <w:t>2. Replication of local law (Section 6.2 para. 65 - Art. 4 (4) of the draft delegated act)</w:t>
      </w:r>
    </w:p>
    <w:p w14:paraId="672574FC" w14:textId="77777777" w:rsidR="00770399" w:rsidRPr="00770399" w:rsidRDefault="00770399" w:rsidP="00770399">
      <w:pPr>
        <w:rPr>
          <w:rFonts w:ascii="Arial" w:hAnsi="Arial" w:cs="Arial"/>
          <w:color w:val="002060"/>
          <w:sz w:val="22"/>
          <w:szCs w:val="22"/>
        </w:rPr>
      </w:pPr>
    </w:p>
    <w:p w14:paraId="2305E74D" w14:textId="77777777" w:rsidR="00770399" w:rsidRPr="00770399" w:rsidRDefault="00770399" w:rsidP="00770399">
      <w:pPr>
        <w:rPr>
          <w:rFonts w:ascii="Arial" w:hAnsi="Arial" w:cs="Arial"/>
          <w:color w:val="002060"/>
          <w:sz w:val="22"/>
          <w:szCs w:val="22"/>
        </w:rPr>
      </w:pPr>
      <w:r w:rsidRPr="00770399">
        <w:rPr>
          <w:rFonts w:ascii="Arial" w:hAnsi="Arial" w:cs="Arial"/>
          <w:color w:val="002060"/>
          <w:sz w:val="22"/>
          <w:szCs w:val="22"/>
        </w:rPr>
        <w:t xml:space="preserve">We have very serious concerns over the proposal to require the replication of the contents of applicable local law: </w:t>
      </w:r>
    </w:p>
    <w:p w14:paraId="34874333" w14:textId="77777777" w:rsidR="00770399" w:rsidRPr="00770399" w:rsidRDefault="00770399" w:rsidP="00770399">
      <w:pPr>
        <w:ind w:left="284"/>
        <w:rPr>
          <w:rFonts w:ascii="Arial" w:hAnsi="Arial" w:cs="Arial"/>
          <w:color w:val="002060"/>
          <w:sz w:val="22"/>
          <w:szCs w:val="22"/>
        </w:rPr>
      </w:pPr>
    </w:p>
    <w:p w14:paraId="4429C748" w14:textId="77777777" w:rsidR="00770399" w:rsidRPr="00770399" w:rsidRDefault="00770399" w:rsidP="00770399">
      <w:pPr>
        <w:rPr>
          <w:rFonts w:ascii="Arial" w:hAnsi="Arial" w:cs="Arial"/>
          <w:color w:val="002060"/>
          <w:sz w:val="22"/>
          <w:szCs w:val="22"/>
        </w:rPr>
      </w:pPr>
      <w:r w:rsidRPr="00770399">
        <w:rPr>
          <w:rFonts w:ascii="Arial" w:hAnsi="Arial" w:cs="Arial"/>
          <w:color w:val="002060"/>
          <w:sz w:val="22"/>
          <w:szCs w:val="22"/>
        </w:rPr>
        <w:t>For one, a replication of statutory/legal requirements in a contractual agreement bears the risk that these replicated statutory/legal requirements become part of the contractual terms or are considered to constitute contractual terms. This cannot be intended since this would raise very serious and difficult questions on the legal nature of these (replicated) statutory/legal requirements, especially in case they change (while the contractual agreement in place remains unchanged).</w:t>
      </w:r>
    </w:p>
    <w:p w14:paraId="11CEE123" w14:textId="77777777" w:rsidR="00770399" w:rsidRPr="00770399" w:rsidRDefault="00770399" w:rsidP="00770399">
      <w:pPr>
        <w:ind w:left="284"/>
        <w:rPr>
          <w:rFonts w:ascii="Arial" w:hAnsi="Arial" w:cs="Arial"/>
          <w:color w:val="002060"/>
          <w:sz w:val="22"/>
          <w:szCs w:val="22"/>
        </w:rPr>
      </w:pPr>
    </w:p>
    <w:p w14:paraId="489FB63C" w14:textId="77777777" w:rsidR="00770399" w:rsidRPr="00770399" w:rsidRDefault="00770399" w:rsidP="00770399">
      <w:pPr>
        <w:rPr>
          <w:rFonts w:ascii="Arial" w:hAnsi="Arial" w:cs="Arial"/>
          <w:color w:val="002060"/>
          <w:sz w:val="22"/>
          <w:szCs w:val="22"/>
        </w:rPr>
      </w:pPr>
      <w:r w:rsidRPr="00770399">
        <w:rPr>
          <w:rFonts w:ascii="Arial" w:hAnsi="Arial" w:cs="Arial"/>
          <w:color w:val="002060"/>
          <w:sz w:val="22"/>
          <w:szCs w:val="22"/>
        </w:rPr>
        <w:t>Such replication of applicable laws would also make the contractual agreement confusing and simply difficult to apply and understand: A contractual agreement, as a legal instrument, should only include provisions which are of a contractual nature and these should not be mixed with statutory law or purely informational content.</w:t>
      </w:r>
    </w:p>
    <w:p w14:paraId="321EF051" w14:textId="77777777" w:rsidR="00770399" w:rsidRPr="00770399" w:rsidRDefault="00770399" w:rsidP="00770399">
      <w:pPr>
        <w:ind w:left="284"/>
        <w:rPr>
          <w:rFonts w:ascii="Arial" w:hAnsi="Arial" w:cs="Arial"/>
          <w:color w:val="002060"/>
          <w:sz w:val="22"/>
          <w:szCs w:val="22"/>
        </w:rPr>
      </w:pPr>
    </w:p>
    <w:p w14:paraId="67F62911" w14:textId="77777777" w:rsidR="00770399" w:rsidRPr="00770399" w:rsidRDefault="00770399" w:rsidP="00770399">
      <w:pPr>
        <w:rPr>
          <w:rFonts w:ascii="Arial" w:hAnsi="Arial" w:cs="Arial"/>
          <w:color w:val="002060"/>
          <w:sz w:val="22"/>
          <w:szCs w:val="22"/>
        </w:rPr>
      </w:pPr>
      <w:r w:rsidRPr="00770399">
        <w:rPr>
          <w:rFonts w:ascii="Arial" w:hAnsi="Arial" w:cs="Arial"/>
          <w:color w:val="002060"/>
          <w:sz w:val="22"/>
          <w:szCs w:val="22"/>
        </w:rPr>
        <w:t>In this context it should be taken into account that the market participants are regulated entities and are used to references to regulatory/legal requirements and are capable and – as addressees of these requirements – actually expected to understand and implement them.</w:t>
      </w:r>
    </w:p>
    <w:p w14:paraId="6992629D" w14:textId="77777777" w:rsidR="00770399" w:rsidRPr="00770399" w:rsidRDefault="00770399" w:rsidP="00770399">
      <w:pPr>
        <w:ind w:left="284"/>
        <w:rPr>
          <w:rFonts w:ascii="Arial" w:hAnsi="Arial" w:cs="Arial"/>
          <w:color w:val="002060"/>
          <w:sz w:val="22"/>
          <w:szCs w:val="22"/>
        </w:rPr>
      </w:pPr>
      <w:bookmarkStart w:id="1" w:name="_GoBack"/>
      <w:bookmarkEnd w:id="1"/>
    </w:p>
    <w:p w14:paraId="2FDE2163" w14:textId="77777777" w:rsidR="00770399" w:rsidRPr="00770399" w:rsidRDefault="00770399" w:rsidP="00770399">
      <w:pPr>
        <w:rPr>
          <w:rFonts w:ascii="Arial" w:hAnsi="Arial" w:cs="Arial"/>
          <w:color w:val="002060"/>
          <w:sz w:val="22"/>
          <w:szCs w:val="22"/>
        </w:rPr>
      </w:pPr>
      <w:r w:rsidRPr="00770399">
        <w:rPr>
          <w:rFonts w:ascii="Arial" w:hAnsi="Arial" w:cs="Arial"/>
          <w:color w:val="002060"/>
          <w:sz w:val="22"/>
          <w:szCs w:val="22"/>
        </w:rPr>
        <w:lastRenderedPageBreak/>
        <w:t xml:space="preserve">Should it nevertheless be deemed necessary to set out a requirement to provide the market participants with information on these statutory/legal requirements, institutions should be permitted to do this via a clear reference to the law in question or at least via references to a website or via a separate (non-contractual) informational document. </w:t>
      </w:r>
    </w:p>
    <w:p w14:paraId="77B3B292" w14:textId="77777777" w:rsidR="00770399" w:rsidRPr="00770399" w:rsidRDefault="00770399" w:rsidP="00770399">
      <w:pPr>
        <w:rPr>
          <w:rFonts w:ascii="Arial" w:hAnsi="Arial" w:cs="Arial"/>
          <w:sz w:val="22"/>
          <w:szCs w:val="22"/>
        </w:rPr>
      </w:pPr>
    </w:p>
    <w:p w14:paraId="43D6828D" w14:textId="77777777" w:rsidR="00770399" w:rsidRPr="00770399" w:rsidRDefault="00770399" w:rsidP="00770399">
      <w:pPr>
        <w:ind w:left="284" w:hanging="284"/>
        <w:rPr>
          <w:rFonts w:ascii="Arial" w:hAnsi="Arial" w:cs="Arial"/>
          <w:color w:val="002060"/>
          <w:sz w:val="22"/>
          <w:szCs w:val="22"/>
          <w:u w:val="single"/>
        </w:rPr>
      </w:pPr>
      <w:r w:rsidRPr="00770399">
        <w:rPr>
          <w:rFonts w:ascii="Arial" w:hAnsi="Arial" w:cs="Arial"/>
          <w:color w:val="002060"/>
          <w:sz w:val="22"/>
          <w:szCs w:val="22"/>
          <w:u w:val="single"/>
        </w:rPr>
        <w:t>3.</w:t>
      </w:r>
      <w:r w:rsidRPr="00770399">
        <w:rPr>
          <w:rFonts w:ascii="Arial" w:hAnsi="Arial" w:cs="Arial"/>
          <w:color w:val="002060"/>
          <w:sz w:val="22"/>
          <w:szCs w:val="22"/>
          <w:u w:val="single"/>
        </w:rPr>
        <w:tab/>
        <w:t>Termination provisions (Section 6.2 para 74 – Art. 4 (3) of the draft delegated act)</w:t>
      </w:r>
    </w:p>
    <w:p w14:paraId="175B2A46" w14:textId="77777777" w:rsidR="00770399" w:rsidRPr="00770399" w:rsidRDefault="00770399" w:rsidP="00770399">
      <w:pPr>
        <w:ind w:left="284"/>
        <w:rPr>
          <w:rFonts w:ascii="Arial" w:hAnsi="Arial" w:cs="Arial"/>
          <w:color w:val="002060"/>
          <w:sz w:val="22"/>
          <w:szCs w:val="22"/>
        </w:rPr>
      </w:pPr>
    </w:p>
    <w:p w14:paraId="1F718B1C" w14:textId="77777777" w:rsidR="00770399" w:rsidRPr="00770399" w:rsidRDefault="00770399" w:rsidP="00770399">
      <w:pPr>
        <w:rPr>
          <w:rFonts w:ascii="Arial" w:hAnsi="Arial" w:cs="Arial"/>
          <w:color w:val="002060"/>
          <w:sz w:val="22"/>
          <w:szCs w:val="22"/>
        </w:rPr>
      </w:pPr>
      <w:r w:rsidRPr="00770399">
        <w:rPr>
          <w:rFonts w:ascii="Arial" w:hAnsi="Arial" w:cs="Arial"/>
          <w:color w:val="002060"/>
          <w:sz w:val="22"/>
          <w:szCs w:val="22"/>
        </w:rPr>
        <w:t>As regards the requirements concerning termination provisions it should be taken into account that a termination may – under certain circumstances – be required and merited with immediate effect or very little advance warning (especially where permitted under applicable statutory law).  Any other understanding would effectively amount to an obligation to contract.</w:t>
      </w:r>
    </w:p>
    <w:p w14:paraId="61F2762E" w14:textId="77777777" w:rsidR="00770399" w:rsidRPr="00770399" w:rsidRDefault="00770399" w:rsidP="00770399">
      <w:pPr>
        <w:ind w:left="284"/>
        <w:rPr>
          <w:rFonts w:ascii="Arial" w:hAnsi="Arial" w:cs="Arial"/>
          <w:color w:val="002060"/>
          <w:sz w:val="22"/>
          <w:szCs w:val="22"/>
        </w:rPr>
      </w:pPr>
    </w:p>
    <w:p w14:paraId="2DACA7B7" w14:textId="77777777" w:rsidR="00770399" w:rsidRPr="00770399" w:rsidRDefault="00770399" w:rsidP="00770399">
      <w:pPr>
        <w:rPr>
          <w:rFonts w:ascii="Arial" w:hAnsi="Arial" w:cs="Arial"/>
          <w:color w:val="002060"/>
          <w:sz w:val="22"/>
          <w:szCs w:val="22"/>
        </w:rPr>
      </w:pPr>
      <w:r w:rsidRPr="00770399">
        <w:rPr>
          <w:rFonts w:ascii="Arial" w:hAnsi="Arial" w:cs="Arial"/>
          <w:color w:val="002060"/>
          <w:sz w:val="22"/>
          <w:szCs w:val="22"/>
        </w:rPr>
        <w:t xml:space="preserve">This should be clarified in order to prevent misconceptions. </w:t>
      </w:r>
    </w:p>
    <w:p w14:paraId="53AAEBA0" w14:textId="77777777" w:rsidR="00770399" w:rsidRPr="00770399" w:rsidRDefault="00770399" w:rsidP="00770399">
      <w:pPr>
        <w:ind w:left="284"/>
        <w:rPr>
          <w:rFonts w:ascii="Arial" w:hAnsi="Arial" w:cs="Arial"/>
          <w:color w:val="002060"/>
          <w:sz w:val="22"/>
          <w:szCs w:val="22"/>
        </w:rPr>
      </w:pPr>
    </w:p>
    <w:p w14:paraId="5F1E324A" w14:textId="77777777" w:rsidR="00770399" w:rsidRPr="00770399" w:rsidRDefault="00770399" w:rsidP="00770399">
      <w:pPr>
        <w:rPr>
          <w:rFonts w:ascii="Arial" w:hAnsi="Arial" w:cs="Arial"/>
          <w:color w:val="002060"/>
          <w:sz w:val="22"/>
          <w:szCs w:val="22"/>
        </w:rPr>
      </w:pPr>
      <w:r w:rsidRPr="00770399">
        <w:rPr>
          <w:rFonts w:ascii="Arial" w:hAnsi="Arial" w:cs="Arial"/>
          <w:color w:val="002060"/>
          <w:sz w:val="22"/>
          <w:szCs w:val="22"/>
        </w:rPr>
        <w:t>It should further be noted and recognised that the contractual arrangements may be subject to and/or rely on legal concepts concerning an early termination existing in the relevant governing law. One example is the German law concept of material cause (“wichtiger Grund”) allowing for an early termination in circumstances where it would be unreasonable to expect a party to continue the contractual relationship - a right which cannot be waived contractually.</w:t>
      </w:r>
    </w:p>
    <w:p w14:paraId="247C2091" w14:textId="77777777" w:rsidR="00770399" w:rsidRPr="00770399" w:rsidRDefault="00770399" w:rsidP="00770399">
      <w:pPr>
        <w:rPr>
          <w:rFonts w:ascii="Arial" w:hAnsi="Arial" w:cs="Arial"/>
          <w:color w:val="002060"/>
          <w:sz w:val="22"/>
          <w:szCs w:val="22"/>
        </w:rPr>
      </w:pPr>
    </w:p>
    <w:p w14:paraId="48FA32CB" w14:textId="77777777" w:rsidR="00770399" w:rsidRPr="00770399" w:rsidRDefault="00770399" w:rsidP="00770399">
      <w:pPr>
        <w:ind w:left="284" w:hanging="284"/>
        <w:rPr>
          <w:rFonts w:ascii="Arial" w:hAnsi="Arial" w:cs="Arial"/>
          <w:color w:val="002060"/>
          <w:sz w:val="22"/>
          <w:szCs w:val="22"/>
          <w:u w:val="single"/>
        </w:rPr>
      </w:pPr>
      <w:r w:rsidRPr="00770399">
        <w:rPr>
          <w:rFonts w:ascii="Arial" w:hAnsi="Arial" w:cs="Arial"/>
          <w:color w:val="002060"/>
          <w:sz w:val="22"/>
          <w:szCs w:val="22"/>
          <w:u w:val="single"/>
        </w:rPr>
        <w:t>4.</w:t>
      </w:r>
      <w:r w:rsidRPr="00770399">
        <w:rPr>
          <w:rFonts w:ascii="Arial" w:hAnsi="Arial" w:cs="Arial"/>
          <w:color w:val="002060"/>
          <w:sz w:val="22"/>
          <w:szCs w:val="22"/>
          <w:u w:val="single"/>
        </w:rPr>
        <w:tab/>
        <w:t>Contractual agreement applicable through life of contracts (Art. 2 (4) (c) of the draft delegated act)</w:t>
      </w:r>
    </w:p>
    <w:p w14:paraId="417B609A" w14:textId="77777777" w:rsidR="00770399" w:rsidRPr="00770399" w:rsidRDefault="00770399" w:rsidP="00770399">
      <w:pPr>
        <w:rPr>
          <w:rFonts w:ascii="Arial" w:hAnsi="Arial" w:cs="Arial"/>
          <w:color w:val="002060"/>
          <w:sz w:val="22"/>
          <w:szCs w:val="22"/>
        </w:rPr>
      </w:pPr>
    </w:p>
    <w:p w14:paraId="3535B908" w14:textId="77777777" w:rsidR="00770399" w:rsidRPr="00770399" w:rsidRDefault="00770399" w:rsidP="00770399">
      <w:pPr>
        <w:rPr>
          <w:rFonts w:ascii="Arial" w:hAnsi="Arial" w:cs="Arial"/>
          <w:color w:val="002060"/>
          <w:sz w:val="22"/>
          <w:szCs w:val="22"/>
        </w:rPr>
      </w:pPr>
      <w:r w:rsidRPr="00770399">
        <w:rPr>
          <w:rFonts w:ascii="Arial" w:hAnsi="Arial" w:cs="Arial"/>
          <w:color w:val="002060"/>
          <w:sz w:val="22"/>
          <w:szCs w:val="22"/>
        </w:rPr>
        <w:t xml:space="preserve">The proposed Art. 2 (4) can be misunderstood as prohibiting any changes to existing agreements. While it is of course true that amendments will generally only be possible with the consent of the counterparty, there may be circumstances which may merit a unilateral right to make adjustments. One example are changes which are required in order to ensure the continued clearing of transactions (in particular if required under the rules and regulations of a CCP) or any changes required to ensure regulatory compliance. </w:t>
      </w:r>
    </w:p>
    <w:p w14:paraId="69082D83" w14:textId="77777777" w:rsidR="00770399" w:rsidRPr="00770399" w:rsidRDefault="00770399" w:rsidP="00770399">
      <w:pPr>
        <w:ind w:left="284"/>
        <w:rPr>
          <w:rFonts w:ascii="Arial" w:hAnsi="Arial" w:cs="Arial"/>
          <w:color w:val="002060"/>
          <w:sz w:val="22"/>
          <w:szCs w:val="22"/>
        </w:rPr>
      </w:pPr>
    </w:p>
    <w:p w14:paraId="4A5FD18A" w14:textId="15ECBD83" w:rsidR="00770399" w:rsidRPr="00770399" w:rsidRDefault="00770399" w:rsidP="007634C8">
      <w:pPr>
        <w:rPr>
          <w:rFonts w:ascii="Arial" w:hAnsi="Arial" w:cs="Arial"/>
          <w:color w:val="002060"/>
          <w:sz w:val="22"/>
          <w:szCs w:val="22"/>
        </w:rPr>
      </w:pPr>
      <w:r w:rsidRPr="00770399">
        <w:rPr>
          <w:rFonts w:ascii="Arial" w:hAnsi="Arial" w:cs="Arial"/>
          <w:color w:val="002060"/>
          <w:sz w:val="22"/>
          <w:szCs w:val="22"/>
        </w:rPr>
        <w:t xml:space="preserve">This should at least be clarified. </w:t>
      </w:r>
    </w:p>
    <w:permEnd w:id="1506557908"/>
    <w:p w14:paraId="3E19358D" w14:textId="77777777" w:rsidR="007634C8" w:rsidRDefault="007634C8" w:rsidP="007634C8">
      <w:pPr>
        <w:rPr>
          <w:rFonts w:ascii="Arial" w:hAnsi="Arial" w:cs="Arial"/>
        </w:rPr>
      </w:pPr>
      <w:r>
        <w:rPr>
          <w:rFonts w:ascii="Arial" w:hAnsi="Arial" w:cs="Arial"/>
        </w:rPr>
        <w:t>&lt;ESMA_QUESTION_FRANDT_2&gt;</w:t>
      </w:r>
    </w:p>
    <w:p w14:paraId="682833AB" w14:textId="77777777" w:rsidR="007634C8" w:rsidRDefault="007634C8" w:rsidP="007634C8">
      <w:pPr>
        <w:rPr>
          <w:rFonts w:ascii="Arial" w:hAnsi="Arial" w:cs="Arial"/>
        </w:rPr>
      </w:pPr>
    </w:p>
    <w:p w14:paraId="695311F7" w14:textId="77777777" w:rsidR="007634C8" w:rsidRDefault="007634C8" w:rsidP="007634C8">
      <w:pPr>
        <w:pStyle w:val="Questionstyle"/>
        <w:numPr>
          <w:ilvl w:val="0"/>
          <w:numId w:val="9"/>
        </w:numPr>
        <w:spacing w:after="250" w:line="276" w:lineRule="auto"/>
      </w:pPr>
      <w:r>
        <w:t>: Do you generally agree with the suggestions to assist in facilitating access to clearing services? Do you generally agree with the requirements listed to ensure prices are fair, proportionate and non-discriminatory? Please elaborate and if you disagree with any specific element, please suggest alternative ones. You can also suggest additional ones.</w:t>
      </w:r>
    </w:p>
    <w:p w14:paraId="32E531AF" w14:textId="77777777" w:rsidR="007634C8" w:rsidRDefault="007634C8" w:rsidP="007634C8">
      <w:pPr>
        <w:rPr>
          <w:rFonts w:ascii="Arial" w:hAnsi="Arial" w:cs="Arial"/>
        </w:rPr>
      </w:pPr>
      <w:r>
        <w:rPr>
          <w:rFonts w:ascii="Arial" w:hAnsi="Arial" w:cs="Arial"/>
        </w:rPr>
        <w:t>&lt;ESMA_QUESTION_FRANDT_3&gt;</w:t>
      </w:r>
    </w:p>
    <w:p w14:paraId="46D69AF9" w14:textId="77777777" w:rsidR="00770399" w:rsidRPr="00770399" w:rsidRDefault="00770399" w:rsidP="00770399">
      <w:pPr>
        <w:rPr>
          <w:rFonts w:ascii="Arial" w:hAnsi="Arial" w:cs="Arial"/>
          <w:color w:val="002060"/>
          <w:sz w:val="22"/>
          <w:szCs w:val="22"/>
        </w:rPr>
      </w:pPr>
      <w:permStart w:id="842020735" w:edGrp="everyone"/>
      <w:r w:rsidRPr="00770399">
        <w:rPr>
          <w:rFonts w:ascii="Arial" w:hAnsi="Arial" w:cs="Arial"/>
          <w:color w:val="002060"/>
          <w:sz w:val="22"/>
          <w:szCs w:val="22"/>
        </w:rPr>
        <w:t xml:space="preserve">The comments on the access to clearing services in the introduction apply correspondingly, especially regarding the fact that the parties involved are usually experienced market participants. </w:t>
      </w:r>
    </w:p>
    <w:p w14:paraId="32041255" w14:textId="77777777" w:rsidR="00770399" w:rsidRPr="00770399" w:rsidRDefault="00770399" w:rsidP="00770399">
      <w:pPr>
        <w:rPr>
          <w:rFonts w:ascii="Arial" w:hAnsi="Arial" w:cs="Arial"/>
          <w:color w:val="002060"/>
          <w:sz w:val="22"/>
          <w:szCs w:val="22"/>
        </w:rPr>
      </w:pPr>
    </w:p>
    <w:p w14:paraId="6140127B" w14:textId="77777777" w:rsidR="00770399" w:rsidRPr="00770399" w:rsidRDefault="00770399" w:rsidP="00770399">
      <w:pPr>
        <w:rPr>
          <w:rFonts w:ascii="Arial" w:hAnsi="Arial" w:cs="Arial"/>
          <w:color w:val="002060"/>
          <w:sz w:val="22"/>
          <w:szCs w:val="22"/>
        </w:rPr>
      </w:pPr>
      <w:r w:rsidRPr="00770399">
        <w:rPr>
          <w:rFonts w:ascii="Arial" w:hAnsi="Arial" w:cs="Arial"/>
          <w:color w:val="002060"/>
          <w:sz w:val="22"/>
          <w:szCs w:val="22"/>
        </w:rPr>
        <w:t>In this context it should be taken into account that the recent legislative changes already addressed the issue of access to clearing by further limiting the personal scope of the clearing obligation, thereby further reducing the scope of market participants relying on clearing services.</w:t>
      </w:r>
    </w:p>
    <w:p w14:paraId="7211DD16" w14:textId="77777777" w:rsidR="00770399" w:rsidRPr="00770399" w:rsidRDefault="00770399" w:rsidP="00770399">
      <w:pPr>
        <w:rPr>
          <w:rFonts w:ascii="Arial" w:hAnsi="Arial" w:cs="Arial"/>
          <w:color w:val="002060"/>
          <w:sz w:val="22"/>
          <w:szCs w:val="22"/>
        </w:rPr>
      </w:pPr>
    </w:p>
    <w:p w14:paraId="33D6C10E" w14:textId="0F2F2CD1" w:rsidR="00770399" w:rsidRPr="00770399" w:rsidRDefault="00770399" w:rsidP="007634C8">
      <w:pPr>
        <w:rPr>
          <w:rFonts w:ascii="Arial" w:hAnsi="Arial" w:cs="Arial"/>
          <w:color w:val="002060"/>
          <w:sz w:val="22"/>
          <w:szCs w:val="22"/>
        </w:rPr>
      </w:pPr>
      <w:r w:rsidRPr="00770399">
        <w:rPr>
          <w:rFonts w:ascii="Arial" w:hAnsi="Arial" w:cs="Arial"/>
          <w:color w:val="002060"/>
          <w:sz w:val="22"/>
          <w:szCs w:val="22"/>
        </w:rPr>
        <w:t>This should be reflected more clearly in the requirements.</w:t>
      </w:r>
    </w:p>
    <w:permEnd w:id="842020735"/>
    <w:p w14:paraId="7CF98E6E" w14:textId="77777777" w:rsidR="007634C8" w:rsidRDefault="007634C8" w:rsidP="007634C8">
      <w:pPr>
        <w:rPr>
          <w:rFonts w:ascii="Arial" w:hAnsi="Arial" w:cs="Arial"/>
        </w:rPr>
      </w:pPr>
      <w:r>
        <w:rPr>
          <w:rFonts w:ascii="Arial" w:hAnsi="Arial" w:cs="Arial"/>
        </w:rPr>
        <w:t>&lt;ESMA_QUESTION_FRANDT_3&gt;</w:t>
      </w:r>
    </w:p>
    <w:p w14:paraId="0CDA0A4D" w14:textId="77777777" w:rsidR="007634C8" w:rsidRDefault="007634C8" w:rsidP="007634C8">
      <w:pPr>
        <w:rPr>
          <w:rFonts w:ascii="Arial" w:hAnsi="Arial" w:cs="Arial"/>
        </w:rPr>
      </w:pPr>
    </w:p>
    <w:p w14:paraId="23C9D4A9" w14:textId="77777777" w:rsidR="007634C8" w:rsidRDefault="007634C8" w:rsidP="007634C8">
      <w:pPr>
        <w:pStyle w:val="Questionstyle"/>
        <w:numPr>
          <w:ilvl w:val="0"/>
          <w:numId w:val="9"/>
        </w:numPr>
        <w:spacing w:after="250" w:line="276" w:lineRule="auto"/>
      </w:pPr>
      <w:r>
        <w:t>: Do you generally agree with the proposed elements regarding the risk control criteria? Please elaborate and if you disagree with any, please suggest alternative or additional ones.</w:t>
      </w:r>
    </w:p>
    <w:p w14:paraId="10F02313" w14:textId="77777777" w:rsidR="007634C8" w:rsidRDefault="007634C8" w:rsidP="007634C8">
      <w:pPr>
        <w:rPr>
          <w:rFonts w:ascii="Arial" w:hAnsi="Arial" w:cs="Arial"/>
        </w:rPr>
      </w:pPr>
      <w:r>
        <w:rPr>
          <w:rFonts w:ascii="Arial" w:hAnsi="Arial" w:cs="Arial"/>
        </w:rPr>
        <w:t>&lt;ESMA_QUESTION_FRANDT_4&gt;</w:t>
      </w:r>
    </w:p>
    <w:p w14:paraId="15F3EE1E" w14:textId="77777777" w:rsidR="00770399" w:rsidRPr="00770399" w:rsidRDefault="00770399" w:rsidP="00770399">
      <w:pPr>
        <w:rPr>
          <w:rFonts w:ascii="Arial" w:hAnsi="Arial" w:cs="Arial"/>
          <w:color w:val="002060"/>
          <w:sz w:val="22"/>
          <w:szCs w:val="22"/>
        </w:rPr>
      </w:pPr>
      <w:permStart w:id="16784335" w:edGrp="everyone"/>
      <w:r w:rsidRPr="00770399">
        <w:rPr>
          <w:rFonts w:ascii="Arial" w:hAnsi="Arial" w:cs="Arial"/>
          <w:color w:val="002060"/>
          <w:sz w:val="22"/>
          <w:szCs w:val="22"/>
        </w:rPr>
        <w:t>The disclosure requirement regarding “risk control criteria” also raises serious concerns and should be reviewed:</w:t>
      </w:r>
    </w:p>
    <w:p w14:paraId="4A02AF31" w14:textId="77777777" w:rsidR="00770399" w:rsidRPr="00770399" w:rsidRDefault="00770399" w:rsidP="00770399">
      <w:pPr>
        <w:rPr>
          <w:rFonts w:ascii="Arial" w:hAnsi="Arial" w:cs="Arial"/>
          <w:color w:val="002060"/>
          <w:sz w:val="22"/>
          <w:szCs w:val="22"/>
        </w:rPr>
      </w:pPr>
    </w:p>
    <w:p w14:paraId="6407D0C7" w14:textId="77777777" w:rsidR="00770399" w:rsidRPr="00770399" w:rsidRDefault="00770399" w:rsidP="00770399">
      <w:pPr>
        <w:rPr>
          <w:rFonts w:ascii="Arial" w:hAnsi="Arial" w:cs="Arial"/>
          <w:color w:val="002060"/>
          <w:sz w:val="22"/>
          <w:szCs w:val="22"/>
        </w:rPr>
      </w:pPr>
      <w:r w:rsidRPr="00770399">
        <w:rPr>
          <w:rFonts w:ascii="Arial" w:hAnsi="Arial" w:cs="Arial"/>
          <w:color w:val="002060"/>
          <w:sz w:val="22"/>
          <w:szCs w:val="22"/>
        </w:rPr>
        <w:t xml:space="preserve">For one, the information in question is part of the institution specific wider, complex and general risk management approach. As such, the information is highly sensitive. </w:t>
      </w:r>
    </w:p>
    <w:p w14:paraId="1AE1444D" w14:textId="77777777" w:rsidR="00770399" w:rsidRPr="00770399" w:rsidRDefault="00770399" w:rsidP="00770399">
      <w:pPr>
        <w:rPr>
          <w:rFonts w:ascii="Arial" w:hAnsi="Arial" w:cs="Arial"/>
          <w:color w:val="002060"/>
          <w:sz w:val="22"/>
          <w:szCs w:val="22"/>
        </w:rPr>
      </w:pPr>
    </w:p>
    <w:p w14:paraId="0CAC24FB" w14:textId="7CB01548" w:rsidR="00770399" w:rsidRPr="00770399" w:rsidRDefault="00770399" w:rsidP="007634C8">
      <w:pPr>
        <w:rPr>
          <w:rFonts w:ascii="Arial" w:hAnsi="Arial" w:cs="Arial"/>
          <w:color w:val="002060"/>
          <w:sz w:val="22"/>
          <w:szCs w:val="22"/>
        </w:rPr>
      </w:pPr>
      <w:r w:rsidRPr="00770399">
        <w:rPr>
          <w:rFonts w:ascii="Arial" w:hAnsi="Arial" w:cs="Arial"/>
          <w:color w:val="002060"/>
          <w:sz w:val="22"/>
          <w:szCs w:val="22"/>
        </w:rPr>
        <w:t>In addition, as the information concerned is institutions specific, it cannot serve the purpose it is intended for, as it is not a useful basis for comparing the conditions for clearing services between various clearing service providers.</w:t>
      </w:r>
    </w:p>
    <w:permEnd w:id="16784335"/>
    <w:p w14:paraId="748C53A5" w14:textId="77777777" w:rsidR="007634C8" w:rsidRDefault="007634C8" w:rsidP="007634C8">
      <w:pPr>
        <w:rPr>
          <w:rFonts w:ascii="Arial" w:hAnsi="Arial" w:cs="Arial"/>
        </w:rPr>
      </w:pPr>
      <w:r>
        <w:rPr>
          <w:rFonts w:ascii="Arial" w:hAnsi="Arial" w:cs="Arial"/>
        </w:rPr>
        <w:t>&lt;ESMA_QUESTION_FRANDT_4&gt;</w:t>
      </w:r>
    </w:p>
    <w:p w14:paraId="4671DB73" w14:textId="77777777" w:rsidR="007634C8" w:rsidRDefault="007634C8" w:rsidP="007634C8">
      <w:pPr>
        <w:rPr>
          <w:rFonts w:ascii="Arial" w:hAnsi="Arial" w:cs="Arial"/>
        </w:rPr>
      </w:pPr>
    </w:p>
    <w:p w14:paraId="18FCA405" w14:textId="77777777" w:rsidR="007634C8" w:rsidRDefault="007634C8" w:rsidP="007634C8">
      <w:pPr>
        <w:pStyle w:val="Questionstyle"/>
        <w:numPr>
          <w:ilvl w:val="0"/>
          <w:numId w:val="9"/>
        </w:numPr>
        <w:spacing w:after="250" w:line="276" w:lineRule="auto"/>
      </w:pPr>
      <w:r>
        <w:t>: Do you identify other benefits and costs not mentioned above associated to the proposed approach (option 2)? If you advocated for a different approach, how would it impact this section on the impact assessment? Please provide details. </w:t>
      </w:r>
    </w:p>
    <w:p w14:paraId="2F2D141B" w14:textId="77777777" w:rsidR="007634C8" w:rsidRDefault="007634C8" w:rsidP="007634C8">
      <w:pPr>
        <w:rPr>
          <w:rFonts w:ascii="Arial" w:hAnsi="Arial" w:cs="Arial"/>
        </w:rPr>
      </w:pPr>
      <w:r>
        <w:rPr>
          <w:rFonts w:ascii="Arial" w:hAnsi="Arial" w:cs="Arial"/>
        </w:rPr>
        <w:t>&lt;ESMA_QUESTION_FRANDT_5&gt;</w:t>
      </w:r>
    </w:p>
    <w:p w14:paraId="6F6923CD" w14:textId="77777777" w:rsidR="007634C8" w:rsidRDefault="007634C8" w:rsidP="007634C8">
      <w:pPr>
        <w:rPr>
          <w:rFonts w:ascii="Arial" w:hAnsi="Arial" w:cs="Arial"/>
        </w:rPr>
      </w:pPr>
      <w:permStart w:id="781584278" w:edGrp="everyone"/>
      <w:r>
        <w:rPr>
          <w:rFonts w:ascii="Arial" w:hAnsi="Arial" w:cs="Arial"/>
        </w:rPr>
        <w:t>TYPE YOUR TEXT HERE</w:t>
      </w:r>
    </w:p>
    <w:permEnd w:id="781584278"/>
    <w:p w14:paraId="2F8F6111" w14:textId="77777777" w:rsidR="007634C8" w:rsidRDefault="007634C8" w:rsidP="007634C8">
      <w:pPr>
        <w:rPr>
          <w:rFonts w:ascii="Arial" w:hAnsi="Arial" w:cs="Arial"/>
        </w:rPr>
      </w:pPr>
      <w:r>
        <w:rPr>
          <w:rFonts w:ascii="Arial" w:hAnsi="Arial" w:cs="Arial"/>
        </w:rPr>
        <w:t>&lt;ESMA_QUESTION_FRANDT_5&gt;</w:t>
      </w:r>
    </w:p>
    <w:p w14:paraId="2A8B8ABD" w14:textId="77777777" w:rsidR="007634C8" w:rsidRDefault="007634C8" w:rsidP="007634C8">
      <w:pPr>
        <w:rPr>
          <w:rFonts w:ascii="Arial" w:hAnsi="Arial" w:cs="Arial"/>
        </w:rPr>
      </w:pPr>
    </w:p>
    <w:p w14:paraId="46564C07" w14:textId="77777777" w:rsidR="007634C8" w:rsidRPr="007B52B2" w:rsidRDefault="007634C8" w:rsidP="007634C8">
      <w:pPr>
        <w:rPr>
          <w:rFonts w:ascii="Arial" w:hAnsi="Arial" w:cs="Arial"/>
        </w:rPr>
      </w:pPr>
    </w:p>
    <w:p w14:paraId="0F6B052D" w14:textId="5D1998FE" w:rsidR="00BE0B46" w:rsidRDefault="00BE0B46" w:rsidP="00C1698A">
      <w:pPr>
        <w:spacing w:line="276" w:lineRule="auto"/>
        <w:rPr>
          <w:rFonts w:asciiTheme="minorHAnsi" w:hAnsiTheme="minorHAnsi" w:cstheme="minorHAnsi"/>
          <w:b/>
          <w:sz w:val="28"/>
          <w:szCs w:val="28"/>
        </w:rPr>
      </w:pPr>
    </w:p>
    <w:sectPr w:rsidR="00BE0B46"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71809F" w14:textId="77777777" w:rsidR="00A14150" w:rsidRDefault="00A14150" w:rsidP="007E7997">
      <w:r>
        <w:separator/>
      </w:r>
    </w:p>
  </w:endnote>
  <w:endnote w:type="continuationSeparator" w:id="0">
    <w:p w14:paraId="3E94EEBA" w14:textId="77777777" w:rsidR="00A14150" w:rsidRDefault="00A14150" w:rsidP="007E7997">
      <w:r>
        <w:continuationSeparator/>
      </w:r>
    </w:p>
  </w:endnote>
  <w:endnote w:type="continuationNotice" w:id="1">
    <w:p w14:paraId="2CB7E42E" w14:textId="77777777" w:rsidR="00A14150" w:rsidRDefault="00A141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4752671"/>
      <w:docPartObj>
        <w:docPartGallery w:val="Page Numbers (Bottom of Page)"/>
        <w:docPartUnique/>
      </w:docPartObj>
    </w:sdtPr>
    <w:sdtEndPr>
      <w:rPr>
        <w:noProof/>
      </w:rPr>
    </w:sdtEndPr>
    <w:sdtContent>
      <w:p w14:paraId="0CF5505D" w14:textId="212D7D4F" w:rsidR="00E36813" w:rsidRDefault="00E36813">
        <w:pPr>
          <w:pStyle w:val="Fuzeile"/>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F3915" w14:textId="5B409BB3" w:rsidR="00E36813" w:rsidRDefault="00E36813" w:rsidP="007A160F">
    <w:pPr>
      <w:pStyle w:val="Fuzeile"/>
    </w:pPr>
    <w:r>
      <w:rPr>
        <w:rFonts w:asciiTheme="majorHAnsi" w:hAnsiTheme="majorHAnsi"/>
        <w:color w:val="FFFFFF" w:themeColor="background1"/>
      </w:rPr>
      <w:tab/>
    </w:r>
    <w:r>
      <w:rPr>
        <w:rFonts w:asciiTheme="majorHAnsi" w:hAnsiTheme="majorHAnsi"/>
        <w:color w:val="FFFFFF" w:themeColor="background1"/>
      </w:rPr>
      <w:tab/>
    </w:r>
    <w:r w:rsidR="004E2B62">
      <w:rPr>
        <w:rFonts w:asciiTheme="majorHAnsi" w:hAnsiTheme="majorHAnsi"/>
        <w:color w:val="FFFFFF" w:themeColor="background1"/>
      </w:rPr>
      <w:t>3</w:t>
    </w:r>
    <w:r w:rsidR="0090520E">
      <w:rPr>
        <w:rFonts w:asciiTheme="majorHAnsi" w:hAnsiTheme="majorHAnsi"/>
        <w:color w:val="FFFFFF" w:themeColor="background1"/>
      </w:rPr>
      <w:t xml:space="preserve"> October </w:t>
    </w:r>
    <w:r w:rsidR="00AB6157">
      <w:rPr>
        <w:rFonts w:asciiTheme="majorHAnsi" w:hAnsiTheme="majorHAnsi"/>
        <w:color w:val="FFFFFF" w:themeColor="background1"/>
      </w:rPr>
      <w:t>2019</w:t>
    </w:r>
    <w:r w:rsidR="00FF6930">
      <w:rPr>
        <w:rFonts w:asciiTheme="majorHAnsi" w:hAnsiTheme="majorHAnsi"/>
        <w:color w:val="FFFFFF" w:themeColor="background1"/>
      </w:rPr>
      <w:t xml:space="preserve"> </w:t>
    </w:r>
    <w:r w:rsidR="00FF6930" w:rsidRPr="00A17284">
      <w:rPr>
        <w:rFonts w:asciiTheme="majorHAnsi" w:hAnsiTheme="majorHAnsi"/>
        <w:color w:val="FFFFFF" w:themeColor="background1"/>
      </w:rPr>
      <w:t>ESMA</w:t>
    </w:r>
    <w:r w:rsidR="00A17284">
      <w:rPr>
        <w:rFonts w:asciiTheme="majorHAnsi" w:hAnsiTheme="majorHAnsi"/>
        <w:color w:val="FFFFFF" w:themeColor="background1"/>
      </w:rPr>
      <w:t>70-15</w:t>
    </w:r>
    <w:r w:rsidR="0090520E">
      <w:rPr>
        <w:rFonts w:asciiTheme="majorHAnsi" w:hAnsiTheme="majorHAnsi"/>
        <w:color w:val="FFFFFF" w:themeColor="background1"/>
      </w:rPr>
      <w:t>1-</w:t>
    </w:r>
    <w:r w:rsidR="004E2B62">
      <w:rPr>
        <w:rFonts w:asciiTheme="majorHAnsi" w:hAnsiTheme="majorHAnsi"/>
        <w:color w:val="FFFFFF" w:themeColor="background1"/>
      </w:rPr>
      <w:t>2758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752247"/>
      <w:docPartObj>
        <w:docPartGallery w:val="Page Numbers (Bottom of Page)"/>
        <w:docPartUnique/>
      </w:docPartObj>
    </w:sdtPr>
    <w:sdtEndPr>
      <w:rPr>
        <w:noProof/>
      </w:rPr>
    </w:sdtEndPr>
    <w:sdtContent>
      <w:p w14:paraId="4C9B3DBF" w14:textId="6ECC1B82" w:rsidR="00E36813" w:rsidRDefault="00E36813">
        <w:pPr>
          <w:pStyle w:val="Fuzeile"/>
          <w:jc w:val="center"/>
        </w:pPr>
        <w:r>
          <w:fldChar w:fldCharType="begin"/>
        </w:r>
        <w:r>
          <w:instrText xml:space="preserve"> PAGE   \* MERGEFORMAT </w:instrText>
        </w:r>
        <w:r>
          <w:fldChar w:fldCharType="separate"/>
        </w:r>
        <w:r w:rsidR="001962CE">
          <w:rPr>
            <w:noProof/>
          </w:rPr>
          <w:t>8</w:t>
        </w:r>
        <w:r>
          <w:rPr>
            <w:noProof/>
          </w:rPr>
          <w:fldChar w:fldCharType="end"/>
        </w:r>
      </w:p>
    </w:sdtContent>
  </w:sdt>
  <w:p w14:paraId="5EAB6EC7" w14:textId="1F85019A" w:rsidR="00E36813" w:rsidRDefault="00E36813" w:rsidP="00FB24ED">
    <w:pPr>
      <w:pStyle w:val="Fuzeil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12AF9" w14:textId="77777777" w:rsidR="00A14150" w:rsidRDefault="00A14150" w:rsidP="007E7997">
      <w:r>
        <w:separator/>
      </w:r>
    </w:p>
  </w:footnote>
  <w:footnote w:type="continuationSeparator" w:id="0">
    <w:p w14:paraId="5F478404" w14:textId="77777777" w:rsidR="00A14150" w:rsidRDefault="00A14150" w:rsidP="007E7997">
      <w:r>
        <w:continuationSeparator/>
      </w:r>
    </w:p>
  </w:footnote>
  <w:footnote w:type="continuationNotice" w:id="1">
    <w:p w14:paraId="07E6600E" w14:textId="77777777" w:rsidR="00A14150" w:rsidRDefault="00A141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956F7" w14:textId="77777777" w:rsidR="00E36813" w:rsidRDefault="00E36813">
    <w:pPr>
      <w:pStyle w:val="Kopfzeile"/>
    </w:pPr>
  </w:p>
  <w:p w14:paraId="59FA3C9D" w14:textId="77777777" w:rsidR="00E36813" w:rsidRDefault="00E3681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91035" w14:textId="77777777" w:rsidR="00E36813" w:rsidRDefault="00E36813">
    <w:pPr>
      <w:pStyle w:val="Kopfzeile"/>
    </w:pPr>
    <w:r>
      <w:rPr>
        <w:noProof/>
        <w:lang w:val="de-DE" w:eastAsia="de-DE"/>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B6EC4" w14:textId="5E62980F" w:rsidR="00E36813" w:rsidRDefault="00E36813" w:rsidP="00B50534">
    <w:pPr>
      <w:pStyle w:val="Kopfzeile"/>
      <w:jc w:val="right"/>
      <w:rPr>
        <w:b/>
        <w:color w:val="FF0000"/>
      </w:rPr>
    </w:pPr>
    <w:r w:rsidRPr="008D5F86">
      <w:rPr>
        <w:rFonts w:ascii="Arial" w:hAnsi="Arial" w:cs="Arial"/>
        <w:noProof/>
        <w:lang w:val="de-DE" w:eastAsia="de-DE"/>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DCCAA18"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21FF53CF" w:rsidR="00E36813" w:rsidRPr="00D13661" w:rsidRDefault="00E36813" w:rsidP="00B50534">
    <w:pPr>
      <w:pStyle w:val="Kopfzeile"/>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lang w:val="de-DE" w:eastAsia="de-DE"/>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276D8625" w14:textId="77777777" w:rsidR="00E36813" w:rsidRPr="00C3170E" w:rsidRDefault="00E36813" w:rsidP="00B50534">
    <w:pPr>
      <w:pStyle w:val="Kopfzeile"/>
      <w:jc w:val="right"/>
      <w:rPr>
        <w:color w:val="2F5496" w:themeColor="accent5" w:themeShade="BF"/>
        <w:sz w:val="20"/>
      </w:rPr>
    </w:pPr>
  </w:p>
  <w:p w14:paraId="5EAB6EC6" w14:textId="77777777" w:rsidR="00E36813" w:rsidRPr="00B50534" w:rsidRDefault="00E36813" w:rsidP="00B50534">
    <w:pPr>
      <w:pStyle w:val="Kopfzeile"/>
      <w:jc w:val="right"/>
      <w:rPr>
        <w:b/>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pStyle w:val="Listenabsatz"/>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AD1101"/>
    <w:multiLevelType w:val="multilevel"/>
    <w:tmpl w:val="766C753E"/>
    <w:lvl w:ilvl="0">
      <w:start w:val="1"/>
      <w:numFmt w:val="upperRoman"/>
      <w:pStyle w:val="berschrift1"/>
      <w:lvlText w:val="%1."/>
      <w:lvlJc w:val="righ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0"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9"/>
  </w:num>
  <w:num w:numId="4">
    <w:abstractNumId w:val="1"/>
  </w:num>
  <w:num w:numId="5">
    <w:abstractNumId w:val="7"/>
  </w:num>
  <w:num w:numId="6">
    <w:abstractNumId w:val="11"/>
  </w:num>
  <w:num w:numId="7">
    <w:abstractNumId w:val="6"/>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GB" w:vendorID="64" w:dllVersion="131078" w:nlCheck="1" w:checkStyle="1"/>
  <w:activeWritingStyle w:appName="MSWord" w:lang="de-DE" w:vendorID="64" w:dllVersion="131078" w:nlCheck="1" w:checkStyle="1"/>
  <w:activeWritingStyle w:appName="MSWord" w:lang="en-US" w:vendorID="64" w:dllVersion="131078" w:nlCheck="1" w:checkStyle="1"/>
  <w:attachedTemplate r:id="rId1"/>
  <w:documentProtection w:edit="readOnly" w:enforcement="1" w:cryptProviderType="rsaAES" w:cryptAlgorithmClass="hash" w:cryptAlgorithmType="typeAny" w:cryptAlgorithmSid="14" w:cryptSpinCount="100000" w:hash="U1rVclwcpWuCSR5/9U0wHH+W+F4uGoIN7R0ocpoAuKgngNtsLhUS6LNdyKaC0mVuP8G3jqmSNoMvTQqxV0ujYA==" w:salt="9FyX6ID89o/773uuf+4s0w=="/>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62CE"/>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3BFB"/>
    <w:rsid w:val="00217478"/>
    <w:rsid w:val="00220938"/>
    <w:rsid w:val="00224806"/>
    <w:rsid w:val="00232F8E"/>
    <w:rsid w:val="00233071"/>
    <w:rsid w:val="00235E99"/>
    <w:rsid w:val="0024299F"/>
    <w:rsid w:val="00244792"/>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46A67"/>
    <w:rsid w:val="0035030F"/>
    <w:rsid w:val="00353C4B"/>
    <w:rsid w:val="003545A6"/>
    <w:rsid w:val="00356C60"/>
    <w:rsid w:val="003578D1"/>
    <w:rsid w:val="00366D42"/>
    <w:rsid w:val="0036748C"/>
    <w:rsid w:val="00372615"/>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43C6"/>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465A"/>
    <w:rsid w:val="00455577"/>
    <w:rsid w:val="00456795"/>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B62"/>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276D5"/>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2DE4"/>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34C8"/>
    <w:rsid w:val="00764582"/>
    <w:rsid w:val="00765FA3"/>
    <w:rsid w:val="00766961"/>
    <w:rsid w:val="00766B5A"/>
    <w:rsid w:val="00767E8C"/>
    <w:rsid w:val="00770399"/>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10D9"/>
    <w:rsid w:val="00851EE3"/>
    <w:rsid w:val="00853121"/>
    <w:rsid w:val="008555E4"/>
    <w:rsid w:val="00864E60"/>
    <w:rsid w:val="00866A09"/>
    <w:rsid w:val="008712BF"/>
    <w:rsid w:val="00872209"/>
    <w:rsid w:val="00873656"/>
    <w:rsid w:val="00880140"/>
    <w:rsid w:val="008811B4"/>
    <w:rsid w:val="008842F7"/>
    <w:rsid w:val="00885B94"/>
    <w:rsid w:val="0089075A"/>
    <w:rsid w:val="00890F80"/>
    <w:rsid w:val="00892BFD"/>
    <w:rsid w:val="0089338A"/>
    <w:rsid w:val="00894199"/>
    <w:rsid w:val="008948BE"/>
    <w:rsid w:val="008A1E27"/>
    <w:rsid w:val="008A2A3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50AF"/>
    <w:rsid w:val="008E7DBA"/>
    <w:rsid w:val="008F3386"/>
    <w:rsid w:val="008F3AD9"/>
    <w:rsid w:val="008F4642"/>
    <w:rsid w:val="008F4E00"/>
    <w:rsid w:val="008F761D"/>
    <w:rsid w:val="00900D44"/>
    <w:rsid w:val="00902520"/>
    <w:rsid w:val="0090520E"/>
    <w:rsid w:val="00906DC4"/>
    <w:rsid w:val="00906E30"/>
    <w:rsid w:val="0091457F"/>
    <w:rsid w:val="0091729E"/>
    <w:rsid w:val="0093261E"/>
    <w:rsid w:val="0094008E"/>
    <w:rsid w:val="00941C0C"/>
    <w:rsid w:val="009437F2"/>
    <w:rsid w:val="0094528B"/>
    <w:rsid w:val="009578C8"/>
    <w:rsid w:val="00960A8B"/>
    <w:rsid w:val="00965128"/>
    <w:rsid w:val="00973F43"/>
    <w:rsid w:val="0097785D"/>
    <w:rsid w:val="0098011D"/>
    <w:rsid w:val="00981912"/>
    <w:rsid w:val="009819C0"/>
    <w:rsid w:val="00987A75"/>
    <w:rsid w:val="00991A8A"/>
    <w:rsid w:val="00992611"/>
    <w:rsid w:val="00994303"/>
    <w:rsid w:val="0099526D"/>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4150"/>
    <w:rsid w:val="00A16579"/>
    <w:rsid w:val="00A17284"/>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4E3"/>
    <w:rsid w:val="00A7281F"/>
    <w:rsid w:val="00A73949"/>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AF7EC4"/>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4ED"/>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3A70"/>
    <w:rsid w:val="00C76054"/>
    <w:rsid w:val="00C779A2"/>
    <w:rsid w:val="00C80546"/>
    <w:rsid w:val="00C83CAD"/>
    <w:rsid w:val="00C8419E"/>
    <w:rsid w:val="00C851D7"/>
    <w:rsid w:val="00C85C8B"/>
    <w:rsid w:val="00C867AD"/>
    <w:rsid w:val="00C87F9F"/>
    <w:rsid w:val="00C901E4"/>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042"/>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393D"/>
    <w:rsid w:val="00EA5DE1"/>
    <w:rsid w:val="00EB0C86"/>
    <w:rsid w:val="00EB0E16"/>
    <w:rsid w:val="00EB236F"/>
    <w:rsid w:val="00EB237E"/>
    <w:rsid w:val="00EC1546"/>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82E52"/>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158"/>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berschrift1">
    <w:name w:val="heading 1"/>
    <w:basedOn w:val="Standard"/>
    <w:next w:val="Standard"/>
    <w:link w:val="berschrift1Zchn"/>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berschrift3">
    <w:name w:val="heading 3"/>
    <w:basedOn w:val="Standard"/>
    <w:next w:val="Standard"/>
    <w:link w:val="berschrift3Zchn"/>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berschrift4">
    <w:name w:val="heading 4"/>
    <w:basedOn w:val="Standard"/>
    <w:next w:val="Standard"/>
    <w:link w:val="berschrift4Zchn"/>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berschrift7">
    <w:name w:val="heading 7"/>
    <w:basedOn w:val="Standard"/>
    <w:next w:val="Standard"/>
    <w:link w:val="berschrift7Zch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berschrift8">
    <w:name w:val="heading 8"/>
    <w:basedOn w:val="Standard"/>
    <w:next w:val="Standard"/>
    <w:link w:val="berschrift8Zch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berschrift9">
    <w:name w:val="heading 9"/>
    <w:basedOn w:val="Standard"/>
    <w:next w:val="Standard"/>
    <w:link w:val="berschrift9Zch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rsid w:val="00020300"/>
    <w:rPr>
      <w:rFonts w:asciiTheme="majorHAnsi" w:eastAsiaTheme="majorEastAsia" w:hAnsiTheme="majorHAnsi" w:cstheme="majorBidi"/>
      <w:sz w:val="24"/>
      <w:szCs w:val="22"/>
      <w:lang w:val="en-GB" w:eastAsia="en-GB"/>
    </w:rPr>
  </w:style>
  <w:style w:type="character" w:customStyle="1" w:styleId="berschrift3Zchn">
    <w:name w:val="Überschrift 3 Zchn"/>
    <w:basedOn w:val="Absatz-Standardschriftart"/>
    <w:link w:val="berschrift3"/>
    <w:rsid w:val="00020300"/>
    <w:rPr>
      <w:rFonts w:asciiTheme="majorHAnsi" w:eastAsiaTheme="majorEastAsia" w:hAnsiTheme="majorHAnsi" w:cstheme="majorBidi"/>
      <w:sz w:val="24"/>
      <w:szCs w:val="24"/>
      <w:lang w:val="en-GB" w:eastAsia="en-GB"/>
    </w:rPr>
  </w:style>
  <w:style w:type="character" w:customStyle="1" w:styleId="berschrift1Zchn">
    <w:name w:val="Überschrift 1 Zchn"/>
    <w:basedOn w:val="Absatz-Standardschriftart"/>
    <w:link w:val="berschrift1"/>
    <w:rsid w:val="00FE0BD8"/>
    <w:rPr>
      <w:rFonts w:asciiTheme="majorHAnsi" w:eastAsiaTheme="majorEastAsia" w:hAnsiTheme="majorHAnsi" w:cstheme="majorBidi"/>
      <w:b/>
      <w:sz w:val="32"/>
      <w:szCs w:val="32"/>
      <w:lang w:val="en-GB" w:eastAsia="en-GB"/>
    </w:rPr>
  </w:style>
  <w:style w:type="character" w:customStyle="1" w:styleId="berschrift2Zchn">
    <w:name w:val="Überschrift 2 Zchn"/>
    <w:basedOn w:val="Absatz-Standardschriftart"/>
    <w:link w:val="berschrift2"/>
    <w:rsid w:val="003C167E"/>
    <w:rPr>
      <w:rFonts w:asciiTheme="majorHAnsi" w:eastAsiaTheme="majorEastAsia" w:hAnsiTheme="majorHAnsi" w:cstheme="majorBidi"/>
      <w:b/>
      <w:sz w:val="28"/>
      <w:szCs w:val="28"/>
      <w:lang w:val="en-GB" w:eastAsia="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autoRedefine/>
    <w:rsid w:val="002574D1"/>
    <w:pPr>
      <w:numPr>
        <w:numId w:val="2"/>
      </w:numPr>
    </w:pPr>
    <w:rPr>
      <w:b/>
      <w:sz w:val="28"/>
    </w:rPr>
  </w:style>
  <w:style w:type="character" w:customStyle="1" w:styleId="Title1Char">
    <w:name w:val="Title 1 Char"/>
    <w:basedOn w:val="Absatz-Standardschriftart"/>
    <w:link w:val="Title1"/>
    <w:rsid w:val="003C4EB5"/>
    <w:rPr>
      <w:rFonts w:eastAsiaTheme="majorEastAsia" w:cstheme="minorHAnsi"/>
      <w:b/>
      <w:sz w:val="28"/>
      <w:szCs w:val="22"/>
      <w:lang w:val="en-GB" w:eastAsia="en-GB"/>
    </w:rPr>
  </w:style>
  <w:style w:type="paragraph" w:styleId="Listenabsatz">
    <w:name w:val="List Paragraph"/>
    <w:aliases w:val="Paragraphe EI,Paragraphe de liste1,EC,Paragraphe de liste,Normal Nivel 1,List Paragraph Main,List first level,List Paragraph_Sections"/>
    <w:basedOn w:val="Standard"/>
    <w:link w:val="ListenabsatzZchn"/>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enabsatz"/>
    <w:link w:val="Title3Char"/>
    <w:autoRedefine/>
    <w:rsid w:val="002574D1"/>
    <w:pPr>
      <w:numPr>
        <w:ilvl w:val="3"/>
        <w:numId w:val="2"/>
      </w:numPr>
    </w:pPr>
  </w:style>
  <w:style w:type="character" w:customStyle="1" w:styleId="Title3Char">
    <w:name w:val="Title 3 Char"/>
    <w:basedOn w:val="Absatz-Standardschriftar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Standard"/>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Absatz-Standardschriftar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b/>
      <w:sz w:val="28"/>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sz w:val="24"/>
      <w:szCs w:val="22"/>
      <w:lang w:val="en-GB" w:eastAsia="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rsid w:val="00AA054E"/>
    <w:rPr>
      <w:rFonts w:asciiTheme="majorHAnsi" w:eastAsiaTheme="majorEastAsia" w:hAnsiTheme="majorHAnsi" w:cstheme="majorBidi"/>
      <w:i/>
      <w:iCs/>
      <w:color w:val="44546A" w:themeColor="text2"/>
      <w:sz w:val="21"/>
      <w:szCs w:val="21"/>
      <w:lang w:val="en-GB" w:eastAsia="en-GB"/>
    </w:rPr>
  </w:style>
  <w:style w:type="paragraph" w:styleId="Titel">
    <w:name w:val="Title"/>
    <w:basedOn w:val="Standard"/>
    <w:next w:val="Standard"/>
    <w:link w:val="TitelZchn"/>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elZchn">
    <w:name w:val="Titel Zchn"/>
    <w:basedOn w:val="Absatz-Standardschriftart"/>
    <w:link w:val="Titel"/>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Untertitel">
    <w:name w:val="Subtitle"/>
    <w:basedOn w:val="Standard"/>
    <w:next w:val="Standard"/>
    <w:link w:val="UntertitelZchn"/>
    <w:uiPriority w:val="11"/>
    <w:qFormat/>
    <w:rsid w:val="00366D42"/>
    <w:pPr>
      <w:numPr>
        <w:ilvl w:val="1"/>
      </w:numPr>
    </w:pPr>
    <w:rPr>
      <w:rFonts w:asciiTheme="majorHAnsi" w:eastAsiaTheme="majorEastAsia" w:hAnsiTheme="majorHAnsi" w:cstheme="majorBidi"/>
      <w:b/>
      <w:sz w:val="28"/>
    </w:rPr>
  </w:style>
  <w:style w:type="character" w:customStyle="1" w:styleId="UntertitelZchn">
    <w:name w:val="Untertitel Zchn"/>
    <w:basedOn w:val="Absatz-Standardschriftart"/>
    <w:link w:val="Untertitel"/>
    <w:uiPriority w:val="11"/>
    <w:rsid w:val="00366D42"/>
    <w:rPr>
      <w:rFonts w:asciiTheme="majorHAnsi" w:eastAsiaTheme="majorEastAsia" w:hAnsiTheme="majorHAnsi" w:cstheme="majorBidi"/>
      <w:b/>
      <w:sz w:val="28"/>
      <w:szCs w:val="24"/>
      <w:lang w:val="en-GB"/>
    </w:rPr>
  </w:style>
  <w:style w:type="character" w:customStyle="1" w:styleId="berschrift7Zchn">
    <w:name w:val="Überschrift 7 Zchn"/>
    <w:basedOn w:val="Absatz-Standardschriftart"/>
    <w:link w:val="berschrift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berschrift8Zchn">
    <w:name w:val="Überschrift 8 Zchn"/>
    <w:basedOn w:val="Absatz-Standardschriftart"/>
    <w:link w:val="berschrift8"/>
    <w:rsid w:val="00AA054E"/>
    <w:rPr>
      <w:rFonts w:asciiTheme="majorHAnsi" w:eastAsiaTheme="majorEastAsia" w:hAnsiTheme="majorHAnsi" w:cstheme="majorBidi"/>
      <w:b/>
      <w:bCs/>
      <w:color w:val="44546A" w:themeColor="text2"/>
      <w:sz w:val="24"/>
      <w:szCs w:val="24"/>
      <w:lang w:val="en-GB" w:eastAsia="en-GB"/>
    </w:rPr>
  </w:style>
  <w:style w:type="character" w:customStyle="1" w:styleId="berschrift9Zchn">
    <w:name w:val="Überschrift 9 Zchn"/>
    <w:basedOn w:val="Absatz-Standardschriftart"/>
    <w:link w:val="berschrift9"/>
    <w:rsid w:val="00AA054E"/>
    <w:rPr>
      <w:rFonts w:asciiTheme="majorHAnsi" w:eastAsiaTheme="majorEastAsia" w:hAnsiTheme="majorHAnsi" w:cstheme="majorBidi"/>
      <w:b/>
      <w:bCs/>
      <w:i/>
      <w:iCs/>
      <w:color w:val="44546A" w:themeColor="text2"/>
      <w:sz w:val="24"/>
      <w:szCs w:val="24"/>
      <w:lang w:val="en-GB" w:eastAsia="en-GB"/>
    </w:rPr>
  </w:style>
  <w:style w:type="paragraph" w:styleId="Beschriftung">
    <w:name w:val="caption"/>
    <w:basedOn w:val="Standard"/>
    <w:next w:val="Standard"/>
    <w:uiPriority w:val="35"/>
    <w:semiHidden/>
    <w:unhideWhenUsed/>
    <w:qFormat/>
    <w:rsid w:val="00AA054E"/>
    <w:rPr>
      <w:b/>
      <w:bCs/>
      <w:smallCaps/>
      <w:color w:val="595959"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404040" w:themeColor="text1" w:themeTint="BF"/>
    </w:rPr>
  </w:style>
  <w:style w:type="character" w:customStyle="1" w:styleId="ZitatZchn">
    <w:name w:val="Zitat Zchn"/>
    <w:basedOn w:val="Absatz-Standardschriftart"/>
    <w:link w:val="Zitat"/>
    <w:uiPriority w:val="29"/>
    <w:rsid w:val="00AA054E"/>
    <w:rPr>
      <w:i/>
      <w:iCs/>
      <w:color w:val="404040"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5B9BD5" w:themeColor="accent1"/>
      <w:sz w:val="28"/>
      <w:szCs w:val="28"/>
    </w:rPr>
  </w:style>
  <w:style w:type="character" w:styleId="SchwacheHervorhebung">
    <w:name w:val="Subtle Emphasis"/>
    <w:basedOn w:val="Absatz-Standardschriftart"/>
    <w:uiPriority w:val="19"/>
    <w:qFormat/>
    <w:rsid w:val="00287C8F"/>
    <w:rPr>
      <w:rFonts w:asciiTheme="majorHAnsi" w:hAnsiTheme="majorHAnsi"/>
      <w:i/>
      <w:iCs/>
      <w:color w:val="auto"/>
      <w:sz w:val="22"/>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AA054E"/>
    <w:p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rsid w:val="007E7997"/>
    <w:pPr>
      <w:tabs>
        <w:tab w:val="center" w:pos="4536"/>
        <w:tab w:val="right" w:pos="9072"/>
      </w:tabs>
    </w:pPr>
  </w:style>
  <w:style w:type="character" w:customStyle="1" w:styleId="KopfzeileZchn">
    <w:name w:val="Kopfzeile Zchn"/>
    <w:basedOn w:val="Absatz-Standardschriftart"/>
    <w:link w:val="Kopfzeile"/>
    <w:uiPriority w:val="99"/>
    <w:rsid w:val="007E7997"/>
    <w:rPr>
      <w:sz w:val="22"/>
    </w:rPr>
  </w:style>
  <w:style w:type="paragraph" w:styleId="Fuzeile">
    <w:name w:val="footer"/>
    <w:basedOn w:val="Standard"/>
    <w:link w:val="FuzeileZchn"/>
    <w:uiPriority w:val="99"/>
    <w:unhideWhenUsed/>
    <w:rsid w:val="007E7997"/>
    <w:pPr>
      <w:tabs>
        <w:tab w:val="center" w:pos="4536"/>
        <w:tab w:val="right" w:pos="9072"/>
      </w:tabs>
    </w:pPr>
  </w:style>
  <w:style w:type="character" w:customStyle="1" w:styleId="FuzeileZchn">
    <w:name w:val="Fußzeile Zchn"/>
    <w:basedOn w:val="Absatz-Standardschriftart"/>
    <w:link w:val="Fuzeile"/>
    <w:uiPriority w:val="99"/>
    <w:rsid w:val="007E7997"/>
    <w:rPr>
      <w:sz w:val="22"/>
    </w:rPr>
  </w:style>
  <w:style w:type="paragraph" w:customStyle="1" w:styleId="00aPagenumber">
    <w:name w:val="00a_Page number"/>
    <w:basedOn w:val="Standard"/>
    <w:rsid w:val="007E7997"/>
    <w:pPr>
      <w:spacing w:line="280" w:lineRule="atLeast"/>
      <w:jc w:val="right"/>
    </w:pPr>
    <w:rPr>
      <w:rFonts w:ascii="Georgia" w:hAnsi="Georgia"/>
      <w:color w:val="000000"/>
      <w:lang w:eastAsia="de-DE"/>
    </w:rPr>
  </w:style>
  <w:style w:type="paragraph" w:customStyle="1" w:styleId="02Date">
    <w:name w:val="02_Date"/>
    <w:basedOn w:val="Standard"/>
    <w:rsid w:val="00636E02"/>
    <w:pPr>
      <w:spacing w:line="220" w:lineRule="exact"/>
    </w:pPr>
    <w:rPr>
      <w:rFonts w:ascii="Georgia" w:hAnsi="Georgia"/>
      <w:sz w:val="17"/>
      <w:lang w:eastAsia="de-DE"/>
    </w:rPr>
  </w:style>
  <w:style w:type="paragraph" w:styleId="Verzeichnis1">
    <w:name w:val="toc 1"/>
    <w:basedOn w:val="Standard"/>
    <w:next w:val="Standard"/>
    <w:autoRedefine/>
    <w:uiPriority w:val="39"/>
    <w:unhideWhenUsed/>
    <w:rsid w:val="00B81A44"/>
    <w:pPr>
      <w:tabs>
        <w:tab w:val="left" w:pos="440"/>
        <w:tab w:val="right" w:leader="dot" w:pos="9062"/>
      </w:tabs>
      <w:spacing w:after="100"/>
    </w:pPr>
  </w:style>
  <w:style w:type="paragraph" w:styleId="Verzeichnis2">
    <w:name w:val="toc 2"/>
    <w:basedOn w:val="Standard"/>
    <w:next w:val="Standard"/>
    <w:autoRedefine/>
    <w:uiPriority w:val="39"/>
    <w:unhideWhenUsed/>
    <w:rsid w:val="00BC422A"/>
    <w:pPr>
      <w:spacing w:after="100"/>
      <w:ind w:left="220"/>
    </w:pPr>
  </w:style>
  <w:style w:type="paragraph" w:styleId="Verzeichnis3">
    <w:name w:val="toc 3"/>
    <w:basedOn w:val="Standard"/>
    <w:next w:val="Standard"/>
    <w:autoRedefine/>
    <w:uiPriority w:val="39"/>
    <w:unhideWhenUsed/>
    <w:rsid w:val="00BC422A"/>
    <w:pPr>
      <w:spacing w:after="100"/>
      <w:ind w:left="440"/>
    </w:pPr>
  </w:style>
  <w:style w:type="character" w:styleId="Hyperlink">
    <w:name w:val="Hyperlink"/>
    <w:basedOn w:val="Absatz-Standardschriftart"/>
    <w:uiPriority w:val="99"/>
    <w:unhideWhenUsed/>
    <w:rsid w:val="00BC422A"/>
    <w:rPr>
      <w:color w:val="0563C1" w:themeColor="hyperlink"/>
      <w:u w:val="single"/>
    </w:rPr>
  </w:style>
  <w:style w:type="paragraph" w:customStyle="1" w:styleId="Questionstyle">
    <w:name w:val="Question style"/>
    <w:basedOn w:val="Standard"/>
    <w:next w:val="Standard"/>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Absatz-Standardschriftart"/>
    <w:link w:val="Questionstyle"/>
    <w:rsid w:val="00F77851"/>
    <w:rPr>
      <w:rFonts w:eastAsia="Times New Roman" w:cstheme="minorHAnsi"/>
      <w:sz w:val="22"/>
      <w:szCs w:val="22"/>
      <w:lang w:val="en-GB" w:eastAsia="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semiHidden/>
    <w:unhideWhenUsed/>
    <w:qFormat/>
    <w:rsid w:val="006F53E8"/>
    <w:rPr>
      <w:sz w:val="16"/>
    </w:rPr>
  </w:style>
  <w:style w:type="character" w:customStyle="1" w:styleId="FunotentextZchn">
    <w:name w:val="Fußnotentext Zchn"/>
    <w:basedOn w:val="Absatz-Standardschriftart"/>
    <w:link w:val="Funotentext"/>
    <w:uiPriority w:val="99"/>
    <w:semiHidden/>
    <w:rsid w:val="006F53E8"/>
    <w:rPr>
      <w:sz w:val="16"/>
      <w:lang w:val="en-GB"/>
    </w:rPr>
  </w:style>
  <w:style w:type="character" w:styleId="Funotenzeichen">
    <w:name w:val="footnote reference"/>
    <w:aliases w:val="SUPERS,Footnote reference number,Footnote symbol,note TESI,-E Fußnotenzeichen,number,BVI fnr,Footnote Reference Superscript,(Footnote Reference),EN Footnote Reference,Voetnootverwijzing,Times 10 Point,Exposant 3 Poi,16 Point, BVI fnr"/>
    <w:basedOn w:val="Absatz-Standardschriftart"/>
    <w:uiPriority w:val="99"/>
    <w:unhideWhenUsed/>
    <w:qFormat/>
    <w:rsid w:val="00A91D91"/>
    <w:rPr>
      <w:rFonts w:asciiTheme="majorHAnsi" w:hAnsiTheme="majorHAnsi"/>
      <w:sz w:val="16"/>
      <w:vertAlign w:val="superscript"/>
    </w:rPr>
  </w:style>
  <w:style w:type="paragraph" w:customStyle="1" w:styleId="Footnote">
    <w:name w:val="Footnote"/>
    <w:basedOn w:val="Funotentext"/>
    <w:link w:val="FootnoteChar"/>
    <w:rsid w:val="00B50534"/>
    <w:rPr>
      <w:lang w:val="nl-BE"/>
    </w:rPr>
  </w:style>
  <w:style w:type="character" w:customStyle="1" w:styleId="FootnoteChar">
    <w:name w:val="Footnote Char"/>
    <w:basedOn w:val="FunotentextZchn"/>
    <w:link w:val="Footnote"/>
    <w:rsid w:val="00B50534"/>
    <w:rPr>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Standard"/>
    <w:rsid w:val="00287C8F"/>
    <w:pPr>
      <w:numPr>
        <w:numId w:val="5"/>
      </w:numPr>
      <w:tabs>
        <w:tab w:val="clear" w:pos="284"/>
        <w:tab w:val="num" w:pos="567"/>
      </w:tabs>
      <w:ind w:left="567" w:hanging="454"/>
    </w:pPr>
    <w:rPr>
      <w:rFonts w:ascii="Georgia" w:hAnsi="Georgia"/>
      <w:sz w:val="20"/>
      <w:lang w:eastAsia="de-DE"/>
    </w:rPr>
  </w:style>
  <w:style w:type="paragraph" w:styleId="Sprechblasentext">
    <w:name w:val="Balloon Text"/>
    <w:basedOn w:val="Standard"/>
    <w:link w:val="SprechblasentextZchn"/>
    <w:uiPriority w:val="99"/>
    <w:semiHidden/>
    <w:unhideWhenUsed/>
    <w:rsid w:val="003C167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167E"/>
    <w:rPr>
      <w:rFonts w:ascii="Tahoma" w:hAnsi="Tahoma" w:cs="Tahoma"/>
      <w:sz w:val="16"/>
      <w:szCs w:val="16"/>
      <w:lang w:val="en-GB"/>
    </w:rPr>
  </w:style>
  <w:style w:type="character" w:styleId="Kommentarzeichen">
    <w:name w:val="annotation reference"/>
    <w:basedOn w:val="Absatz-Standardschriftart"/>
    <w:uiPriority w:val="99"/>
    <w:semiHidden/>
    <w:unhideWhenUsed/>
    <w:rsid w:val="00FA2400"/>
    <w:rPr>
      <w:sz w:val="16"/>
      <w:szCs w:val="16"/>
    </w:rPr>
  </w:style>
  <w:style w:type="paragraph" w:styleId="Kommentartext">
    <w:name w:val="annotation text"/>
    <w:basedOn w:val="Standard"/>
    <w:link w:val="KommentartextZchn"/>
    <w:uiPriority w:val="99"/>
    <w:unhideWhenUsed/>
    <w:rsid w:val="00FA2400"/>
    <w:rPr>
      <w:sz w:val="20"/>
    </w:rPr>
  </w:style>
  <w:style w:type="character" w:customStyle="1" w:styleId="KommentartextZchn">
    <w:name w:val="Kommentartext Zchn"/>
    <w:basedOn w:val="Absatz-Standardschriftart"/>
    <w:link w:val="Kommentartext"/>
    <w:uiPriority w:val="99"/>
    <w:rsid w:val="00FA2400"/>
    <w:rPr>
      <w:lang w:val="en-GB"/>
    </w:rPr>
  </w:style>
  <w:style w:type="paragraph" w:styleId="Kommentarthema">
    <w:name w:val="annotation subject"/>
    <w:basedOn w:val="Kommentartext"/>
    <w:next w:val="Kommentartext"/>
    <w:link w:val="KommentarthemaZchn"/>
    <w:uiPriority w:val="99"/>
    <w:semiHidden/>
    <w:unhideWhenUsed/>
    <w:rsid w:val="00FA2400"/>
    <w:rPr>
      <w:b/>
      <w:bCs/>
    </w:rPr>
  </w:style>
  <w:style w:type="character" w:customStyle="1" w:styleId="KommentarthemaZchn">
    <w:name w:val="Kommentarthema Zchn"/>
    <w:basedOn w:val="KommentartextZchn"/>
    <w:link w:val="Kommentarthema"/>
    <w:uiPriority w:val="99"/>
    <w:semiHidden/>
    <w:rsid w:val="00FA2400"/>
    <w:rPr>
      <w:b/>
      <w:bCs/>
      <w:lang w:val="en-GB"/>
    </w:rPr>
  </w:style>
  <w:style w:type="paragraph" w:styleId="berarbeitung">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BesuchterHyperlink">
    <w:name w:val="FollowedHyperlink"/>
    <w:basedOn w:val="Absatz-Standardschriftart"/>
    <w:uiPriority w:val="99"/>
    <w:semiHidden/>
    <w:unhideWhenUsed/>
    <w:rsid w:val="007B354B"/>
    <w:rPr>
      <w:color w:val="954F72" w:themeColor="followedHyperlink"/>
      <w:u w:val="single"/>
    </w:rPr>
  </w:style>
  <w:style w:type="paragraph" w:styleId="StandardWeb">
    <w:name w:val="Normal (Web)"/>
    <w:basedOn w:val="Standard"/>
    <w:uiPriority w:val="99"/>
    <w:semiHidden/>
    <w:unhideWhenUsed/>
    <w:rsid w:val="00B424F5"/>
    <w:pPr>
      <w:spacing w:before="100" w:beforeAutospacing="1" w:after="100" w:afterAutospacing="1"/>
    </w:pPr>
  </w:style>
  <w:style w:type="character" w:customStyle="1" w:styleId="outputecliaff">
    <w:name w:val="outputecliaff"/>
    <w:basedOn w:val="Absatz-Standardschriftart"/>
    <w:rsid w:val="00595F08"/>
  </w:style>
  <w:style w:type="paragraph" w:customStyle="1" w:styleId="05HeadlinenoIndex">
    <w:name w:val="05_Headline no Index"/>
    <w:basedOn w:val="Standard"/>
    <w:rsid w:val="005C7E1F"/>
    <w:pPr>
      <w:spacing w:after="250" w:line="300" w:lineRule="exact"/>
      <w:jc w:val="both"/>
    </w:pPr>
    <w:rPr>
      <w:rFonts w:ascii="Georgia" w:hAnsi="Georgia"/>
      <w:b/>
      <w:lang w:eastAsia="de-DE"/>
    </w:rPr>
  </w:style>
  <w:style w:type="paragraph" w:customStyle="1" w:styleId="04BodyText">
    <w:name w:val="04_Body Text"/>
    <w:basedOn w:val="Standard"/>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aliases w:val="Paragraphe EI Zchn,Paragraphe de liste1 Zchn,EC Zchn,Paragraphe de liste Zchn,Normal Nivel 1 Zchn,List Paragraph Main Zchn,List first level Zchn,List Paragraph_Sections Zchn"/>
    <w:basedOn w:val="Absatz-Standardschriftart"/>
    <w:link w:val="Listenabsatz"/>
    <w:uiPriority w:val="34"/>
    <w:rsid w:val="00695AF2"/>
    <w:rPr>
      <w:rFonts w:eastAsiaTheme="majorEastAsia" w:cstheme="minorHAnsi"/>
      <w:sz w:val="22"/>
      <w:szCs w:val="22"/>
      <w:lang w:val="en-GB" w:eastAsia="en-GB"/>
    </w:rPr>
  </w:style>
  <w:style w:type="table" w:customStyle="1" w:styleId="TableGrid3">
    <w:name w:val="Table Grid3"/>
    <w:basedOn w:val="NormaleTabelle"/>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bsatz-Standardschriftart"/>
    <w:uiPriority w:val="99"/>
    <w:semiHidden/>
    <w:unhideWhenUsed/>
    <w:rsid w:val="00244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esma.europa.eu/about-esma/data-protec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ost-Trading Policy Document" ma:contentTypeID="0x01010001BD15C3986B91498E0AE644B715B9EE01080087D15FE546E30B45B9BBC45FA14F869C" ma:contentTypeVersion="14" ma:contentTypeDescription="" ma:contentTypeScope="" ma:versionID="6c22cca56ce01193b119cc2461a23d90">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0fba296c37c96e7e7129886a0b5426a" ns2:_="" ns3:_="">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d082429-7842-4b54-bb20-96c85011588b"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a842971e-647d-4879-adf7-d46819988cd9"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4;#Post-Trading|edaa1ce6-4b9b-4aac-a462-2b226ce43f53"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ESMA70-151-2758</_dlc_DocId>
    <TaxCatchAll xmlns="20fbe147-bbda-4e53-b6b1-7e8bbff3fe19">
      <Value>4</Value>
      <Value>25</Value>
      <Value>212</Value>
      <Value>165</Value>
    </TaxCatchAll>
    <_dlc_DocIdUrl xmlns="20fbe147-bbda-4e53-b6b1-7e8bbff3fe19">
      <Url>https://sherpa.esma.europa.eu/sites/MKT/PTR/_layouts/15/DocIdRedir.aspx?ID=ESMA70-151-2758</Url>
      <Description>ESMA70-151-2758</Description>
    </_dlc_DocIdUrl>
    <Year xmlns="20fbe147-bbda-4e53-b6b1-7e8bbff3fe19">2019</Year>
    <MeetingDate xmlns="20fbe147-bbda-4e53-b6b1-7e8bbff3fe19"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EMIR</TermName>
          <TermId xmlns="http://schemas.microsoft.com/office/infopath/2007/PartnerControls">79202087-eb2d-40a2-b85c-d4f7da6c50df</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667C590C-0952-4EAA-B055-3E76033E1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4.xml><?xml version="1.0" encoding="utf-8"?>
<ds:datastoreItem xmlns:ds="http://schemas.openxmlformats.org/officeDocument/2006/customXml" ds:itemID="{8337F5EE-E87B-49CE-96B5-F95CE63A0DF2}">
  <ds:schemaRefs>
    <ds:schemaRef ds:uri="http://www.w3.org/XML/1998/namespace"/>
    <ds:schemaRef ds:uri="http://schemas.microsoft.com/office/2006/metadata/properties"/>
    <ds:schemaRef ds:uri="http://schemas.microsoft.com/office/2006/documentManagement/types"/>
    <ds:schemaRef ds:uri="20fbe147-bbda-4e53-b6b1-7e8bbff3fe19"/>
    <ds:schemaRef ds:uri="http://purl.org/dc/elements/1.1/"/>
    <ds:schemaRef ds:uri="http://schemas.microsoft.com/office/infopath/2007/PartnerControls"/>
    <ds:schemaRef ds:uri="http://purl.org/dc/terms/"/>
    <ds:schemaRef ds:uri="http://schemas.openxmlformats.org/package/2006/metadata/core-properties"/>
    <ds:schemaRef ds:uri="http://schemas.microsoft.com/sharepoint/v4"/>
    <ds:schemaRef ds:uri="http://purl.org/dc/dcmitype/"/>
  </ds:schemaRefs>
</ds:datastoreItem>
</file>

<file path=customXml/itemProps5.xml><?xml version="1.0" encoding="utf-8"?>
<ds:datastoreItem xmlns:ds="http://schemas.openxmlformats.org/officeDocument/2006/customXml" ds:itemID="{F53FBB67-A857-4F5F-9CF7-9901B7D41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0</TotalTime>
  <Pages>10</Pages>
  <Words>2770</Words>
  <Characters>17451</Characters>
  <Application>Microsoft Office Word</Application>
  <DocSecurity>8</DocSecurity>
  <Lines>145</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ESMA</Company>
  <LinksUpToDate>false</LinksUpToDate>
  <CharactersWithSpaces>20181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Koehling, Lambert</cp:lastModifiedBy>
  <cp:revision>3</cp:revision>
  <cp:lastPrinted>2019-10-03T14:20:00Z</cp:lastPrinted>
  <dcterms:created xsi:type="dcterms:W3CDTF">2019-11-29T14:28:00Z</dcterms:created>
  <dcterms:modified xsi:type="dcterms:W3CDTF">2019-11-29T14:32:00Z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25;#Public|a0c619ff-bd46-48f0-b213-6b7c03fe156d</vt:lpwstr>
  </property>
  <property fmtid="{D5CDD505-2E9C-101B-9397-08002B2CF9AE}" pid="4" name="ContentTypeId">
    <vt:lpwstr>0x01010001BD15C3986B91498E0AE644B715B9EE01080087D15FE546E30B45B9BBC45FA14F869C</vt:lpwstr>
  </property>
  <property fmtid="{D5CDD505-2E9C-101B-9397-08002B2CF9AE}" pid="5" name="_dlc_DocIdItemGuid">
    <vt:lpwstr>ad3a0656-fa11-4f19-bc0e-3d747e0ee69c</vt:lpwstr>
  </property>
  <property fmtid="{D5CDD505-2E9C-101B-9397-08002B2CF9AE}" pid="6" name="DocumentType">
    <vt:lpwstr>165;#Form / Request|efe27f23-61a2-47e7-916e-544dd02c80f4</vt:lpwstr>
  </property>
  <property fmtid="{D5CDD505-2E9C-101B-9397-08002B2CF9AE}" pid="7" name="Topic">
    <vt:lpwstr>212;#EMIR|79202087-eb2d-40a2-b85c-d4f7da6c50df</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4;#Post-Trading|edaa1ce6-4b9b-4aac-a462-2b226ce43f53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
  </property>
</Properties>
</file>