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128" w:type="dxa"/>
            <w:tblLayout w:type="fixed"/>
            <w:tblCellMar>
              <w:left w:w="0" w:type="dxa"/>
              <w:right w:w="0" w:type="dxa"/>
            </w:tblCellMar>
            <w:tblLook w:val="01E0" w:firstRow="1" w:lastRow="1" w:firstColumn="1" w:lastColumn="1" w:noHBand="0" w:noVBand="0"/>
          </w:tblPr>
          <w:tblGrid>
            <w:gridCol w:w="10128"/>
          </w:tblGrid>
          <w:tr w:rsidR="00AF2EF7" w:rsidRPr="00B8572C" w14:paraId="55D8B106" w14:textId="77777777" w:rsidTr="00FD2158">
            <w:trPr>
              <w:trHeight w:hRule="exact" w:val="1109"/>
            </w:trPr>
            <w:tc>
              <w:tcPr>
                <w:tcW w:w="10128" w:type="dxa"/>
                <w:vAlign w:val="bottom"/>
              </w:tcPr>
              <w:p w14:paraId="2A8545EF" w14:textId="3CDBB7D7"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FD2158">
            <w:trPr>
              <w:trHeight w:hRule="exact" w:val="1274"/>
            </w:trPr>
            <w:tc>
              <w:tcPr>
                <w:tcW w:w="10128" w:type="dxa"/>
                <w:tcMar>
                  <w:top w:w="142" w:type="dxa"/>
                </w:tcMar>
              </w:tcPr>
              <w:p w14:paraId="26CF3934" w14:textId="08E21947" w:rsidR="00AB6157" w:rsidRPr="00B8572C" w:rsidRDefault="00FD2158" w:rsidP="0090520E">
                <w:pPr>
                  <w:pStyle w:val="Heading2"/>
                  <w:numPr>
                    <w:ilvl w:val="0"/>
                    <w:numId w:val="0"/>
                  </w:numPr>
                  <w:ind w:left="142"/>
                </w:pPr>
                <w:r w:rsidRPr="00FD2158">
                  <w:t>Draft technical advice on commercial terms for providing clearing services under EMIR (FRANDT)</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10FB09AA"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220938" w:rsidRPr="00220938">
            <w:rPr>
              <w:rFonts w:asciiTheme="minorHAnsi" w:eastAsiaTheme="minorEastAsia" w:hAnsiTheme="minorHAnsi" w:cstheme="minorBidi"/>
              <w:sz w:val="22"/>
              <w:szCs w:val="20"/>
              <w:lang w:eastAsia="en-US"/>
            </w:rPr>
            <w:t>III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5F176DD6"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w:t>
          </w:r>
          <w:r w:rsidRPr="00AF7EC4">
            <w:rPr>
              <w:rFonts w:asciiTheme="minorHAnsi" w:eastAsiaTheme="minorEastAsia" w:hAnsiTheme="minorHAnsi" w:cstheme="minorBidi"/>
              <w:sz w:val="22"/>
              <w:szCs w:val="20"/>
              <w:lang w:eastAsia="en-US"/>
            </w:rPr>
            <w:t xml:space="preserve">by </w:t>
          </w:r>
          <w:r w:rsidR="0090520E">
            <w:rPr>
              <w:rFonts w:asciiTheme="minorHAnsi" w:eastAsiaTheme="minorEastAsia" w:hAnsiTheme="minorHAnsi" w:cstheme="minorBidi"/>
              <w:b/>
              <w:sz w:val="22"/>
              <w:szCs w:val="20"/>
              <w:lang w:eastAsia="en-US"/>
            </w:rPr>
            <w:t>2 December 2019</w:t>
          </w:r>
          <w:r w:rsidRPr="00AF7EC4">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76A28DE4"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7634C8">
            <w:rPr>
              <w:rFonts w:eastAsiaTheme="minorEastAsia" w:cstheme="minorBidi"/>
              <w:szCs w:val="20"/>
              <w:lang w:eastAsia="en-US"/>
            </w:rPr>
            <w:t>FRANDT</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1D8D7089"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7634C8">
            <w:rPr>
              <w:rFonts w:eastAsiaTheme="minorEastAsia" w:cstheme="minorBidi"/>
              <w:szCs w:val="20"/>
              <w:lang w:eastAsia="en-US"/>
            </w:rPr>
            <w:t>FRANDT</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7634C8">
            <w:rPr>
              <w:rFonts w:eastAsiaTheme="minorEastAsia" w:cstheme="minorBidi"/>
              <w:szCs w:val="20"/>
              <w:lang w:eastAsia="en-US"/>
            </w:rPr>
            <w:t>FRANDT</w:t>
          </w:r>
          <w:r w:rsidRPr="00C85C8B">
            <w:rPr>
              <w:rFonts w:eastAsiaTheme="minorEastAsia" w:cstheme="minorBidi"/>
              <w:szCs w:val="20"/>
              <w:lang w:eastAsia="en-US"/>
            </w:rPr>
            <w:t>_ABC</w:t>
          </w:r>
          <w:r w:rsidR="007634C8">
            <w:rPr>
              <w:rFonts w:eastAsiaTheme="minorEastAsia" w:cstheme="minorBidi"/>
              <w:szCs w:val="20"/>
              <w:lang w:eastAsia="en-US"/>
            </w:rPr>
            <w:t>D</w:t>
          </w:r>
          <w:r w:rsidRPr="00C85C8B">
            <w:rPr>
              <w:rFonts w:eastAsiaTheme="minorEastAsia" w:cstheme="minorBidi"/>
              <w:szCs w:val="20"/>
              <w:lang w:eastAsia="en-US"/>
            </w:rPr>
            <w:t>_RESPONSEFORM.</w:t>
          </w:r>
        </w:p>
        <w:p w14:paraId="1A9C59D6" w14:textId="509803BB"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w:t>
          </w:r>
          <w:r w:rsidR="0045465A" w:rsidRPr="0045465A">
            <w:rPr>
              <w:rFonts w:eastAsiaTheme="minorEastAsia" w:cstheme="minorBidi"/>
              <w:szCs w:val="20"/>
              <w:lang w:eastAsia="en-US"/>
            </w:rPr>
            <w:t>Draft technical advice on commercial terms for providing clearing services under EMIR (FRANDT)</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01ABA9D1" w14:textId="77777777" w:rsidR="00244792" w:rsidRPr="00244792" w:rsidRDefault="00244792" w:rsidP="00244792">
          <w:pPr>
            <w:spacing w:after="250" w:line="276" w:lineRule="auto"/>
            <w:jc w:val="both"/>
            <w:rPr>
              <w:rFonts w:asciiTheme="minorHAnsi" w:eastAsiaTheme="minorEastAsia" w:hAnsiTheme="minorHAnsi" w:cstheme="minorBidi"/>
              <w:sz w:val="22"/>
              <w:szCs w:val="20"/>
              <w:lang w:eastAsia="en-US"/>
            </w:rPr>
          </w:pPr>
          <w:r w:rsidRPr="00244792">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319E5FEA" w14:textId="77777777" w:rsidR="00244792" w:rsidRPr="00244792" w:rsidRDefault="00244792" w:rsidP="00244792">
          <w:pPr>
            <w:spacing w:after="250" w:line="276" w:lineRule="auto"/>
            <w:jc w:val="both"/>
            <w:rPr>
              <w:rFonts w:asciiTheme="minorHAnsi" w:eastAsiaTheme="minorEastAsia" w:hAnsiTheme="minorHAnsi" w:cstheme="minorBidi"/>
              <w:b/>
              <w:sz w:val="22"/>
              <w:szCs w:val="20"/>
              <w:lang w:eastAsia="en-US"/>
            </w:rPr>
          </w:pPr>
          <w:r w:rsidRPr="00244792">
            <w:rPr>
              <w:rFonts w:asciiTheme="minorHAnsi" w:eastAsiaTheme="minorEastAsia" w:hAnsiTheme="minorHAnsi" w:cstheme="minorBidi"/>
              <w:b/>
              <w:sz w:val="22"/>
              <w:szCs w:val="20"/>
              <w:lang w:eastAsia="en-US"/>
            </w:rPr>
            <w:t>Data protection</w:t>
          </w:r>
        </w:p>
        <w:p w14:paraId="23D25533" w14:textId="77777777" w:rsidR="00244792" w:rsidRPr="00244792" w:rsidRDefault="00244792" w:rsidP="00244792">
          <w:pPr>
            <w:spacing w:after="250" w:line="276" w:lineRule="auto"/>
            <w:jc w:val="both"/>
            <w:rPr>
              <w:rFonts w:asciiTheme="minorHAnsi" w:eastAsiaTheme="minorEastAsia" w:hAnsiTheme="minorHAnsi" w:cstheme="minorBidi"/>
              <w:sz w:val="22"/>
              <w:szCs w:val="20"/>
              <w:lang w:eastAsia="en-US"/>
            </w:rPr>
          </w:pPr>
          <w:r w:rsidRPr="00244792">
            <w:rPr>
              <w:rFonts w:asciiTheme="minorHAnsi" w:eastAsiaTheme="minorEastAsia" w:hAnsiTheme="minorHAnsi" w:cstheme="minorBidi"/>
              <w:sz w:val="22"/>
              <w:szCs w:val="20"/>
              <w:lang w:eastAsia="en-US"/>
            </w:rPr>
            <w:t xml:space="preserve">Information on data protection can be found at </w:t>
          </w:r>
          <w:hyperlink r:id="rId18" w:history="1">
            <w:r w:rsidRPr="00244792">
              <w:rPr>
                <w:rStyle w:val="Hyperlink"/>
                <w:rFonts w:asciiTheme="minorHAnsi" w:eastAsiaTheme="minorEastAsia" w:hAnsiTheme="minorHAnsi" w:cstheme="minorBidi"/>
                <w:sz w:val="22"/>
                <w:szCs w:val="20"/>
                <w:lang w:eastAsia="en-US"/>
              </w:rPr>
              <w:t>www.esma.europa.eu</w:t>
            </w:r>
          </w:hyperlink>
          <w:r w:rsidRPr="00244792">
            <w:rPr>
              <w:rFonts w:asciiTheme="minorHAnsi" w:eastAsiaTheme="minorEastAsia" w:hAnsiTheme="minorHAnsi" w:cstheme="minorBidi"/>
              <w:sz w:val="22"/>
              <w:szCs w:val="20"/>
              <w:lang w:eastAsia="en-US"/>
            </w:rPr>
            <w:t xml:space="preserve"> under the heading </w:t>
          </w:r>
          <w:r w:rsidRPr="00244792">
            <w:rPr>
              <w:rFonts w:asciiTheme="minorHAnsi" w:eastAsiaTheme="minorEastAsia" w:hAnsiTheme="minorHAnsi" w:cstheme="minorBidi"/>
              <w:sz w:val="22"/>
              <w:szCs w:val="20"/>
              <w:u w:val="single"/>
              <w:lang w:eastAsia="en-US"/>
            </w:rPr>
            <w:t>‘</w:t>
          </w:r>
          <w:hyperlink r:id="rId19" w:history="1">
            <w:r w:rsidRPr="00244792">
              <w:rPr>
                <w:rStyle w:val="Hyperlink"/>
                <w:rFonts w:asciiTheme="minorHAnsi" w:eastAsiaTheme="minorEastAsia" w:hAnsiTheme="minorHAnsi" w:cstheme="minorBidi"/>
                <w:sz w:val="22"/>
                <w:szCs w:val="20"/>
                <w:lang w:eastAsia="en-US"/>
              </w:rPr>
              <w:t>Data protection</w:t>
            </w:r>
          </w:hyperlink>
          <w:r w:rsidRPr="00244792">
            <w:rPr>
              <w:rFonts w:asciiTheme="minorHAnsi" w:eastAsiaTheme="minorEastAsia" w:hAnsiTheme="minorHAnsi" w:cstheme="minorBidi"/>
              <w:sz w:val="22"/>
              <w:szCs w:val="20"/>
              <w:u w:val="single"/>
              <w:lang w:eastAsia="en-US"/>
            </w:rPr>
            <w:t>’</w:t>
          </w:r>
          <w:r w:rsidRPr="00244792">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14912E5E" w14:textId="2303DD7F" w:rsidR="00AF2EF7" w:rsidRPr="00B8572C" w:rsidRDefault="008811B4" w:rsidP="00AF2EF7">
          <w:pPr>
            <w:spacing w:after="120" w:line="276" w:lineRule="auto"/>
            <w:rPr>
              <w:rFonts w:asciiTheme="minorHAnsi" w:hAnsiTheme="minorHAnsi" w:cstheme="minorHAnsi"/>
            </w:rPr>
          </w:pPr>
          <w:r w:rsidRPr="008811B4">
            <w:rPr>
              <w:rFonts w:asciiTheme="minorHAnsi" w:eastAsiaTheme="minorEastAsia" w:hAnsiTheme="minorHAnsi" w:cstheme="minorBidi"/>
              <w:sz w:val="22"/>
              <w:szCs w:val="20"/>
              <w:lang w:eastAsia="en-US"/>
            </w:rPr>
            <w:t>All interested stakeholders are invited to respond to this consultation. In particular, responses are sought from counterparties acting (or intending to act) as clearing service providers and counterparties that are current or potential clearing clients</w:t>
          </w:r>
          <w:r>
            <w:rPr>
              <w:rFonts w:asciiTheme="minorHAnsi" w:eastAsiaTheme="minorEastAsia" w:hAnsiTheme="minorHAnsi" w:cstheme="minorBidi"/>
              <w:sz w:val="22"/>
              <w:szCs w:val="20"/>
              <w:lang w:eastAsia="en-US"/>
            </w:rPr>
            <w:t>.</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02AF8D56" w:rsidR="00C85C8B" w:rsidRPr="00C85C8B" w:rsidRDefault="00456E15" w:rsidP="00456E15">
                <w:pPr>
                  <w:rPr>
                    <w:rFonts w:ascii="Arial" w:hAnsi="Arial" w:cs="Arial"/>
                    <w:color w:val="808080"/>
                    <w:sz w:val="20"/>
                    <w:lang w:eastAsia="de-DE"/>
                  </w:rPr>
                </w:pPr>
                <w:r>
                  <w:rPr>
                    <w:rFonts w:ascii="Arial" w:hAnsi="Arial" w:cs="Arial"/>
                    <w:color w:val="808080"/>
                    <w:sz w:val="20"/>
                    <w:lang w:eastAsia="de-DE"/>
                  </w:rPr>
                  <w:t>Citadel</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79F91159" w:rsidR="00C85C8B" w:rsidRPr="00C85C8B" w:rsidRDefault="0075463D"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456E15">
                  <w:rPr>
                    <w:rFonts w:ascii="Arial" w:hAnsi="Arial" w:cs="Arial"/>
                    <w:sz w:val="20"/>
                    <w:lang w:eastAsia="de-DE"/>
                  </w:rPr>
                  <w:t>Other Financial service providers</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77777777" w:rsidR="00C85C8B" w:rsidRPr="00C85C8B" w:rsidRDefault="00C85C8B" w:rsidP="00C85C8B">
                <w:pPr>
                  <w:rPr>
                    <w:rFonts w:ascii="Arial" w:hAnsi="Arial" w:cs="Arial"/>
                    <w:sz w:val="20"/>
                    <w:lang w:eastAsia="de-DE"/>
                  </w:rPr>
                </w:pPr>
                <w:r w:rsidRPr="00C85C8B">
                  <w:rPr>
                    <w:rFonts w:ascii="Segoe UI Symbol" w:hAnsi="Segoe UI Symbol" w:cs="Segoe UI Symbol"/>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4188B476" w:rsidR="00C85C8B" w:rsidRPr="00C85C8B" w:rsidRDefault="00456E15" w:rsidP="00C85C8B">
                <w:pPr>
                  <w:rPr>
                    <w:rFonts w:ascii="Arial" w:hAnsi="Arial" w:cs="Arial"/>
                    <w:sz w:val="20"/>
                    <w:lang w:eastAsia="de-DE"/>
                  </w:rPr>
                </w:pPr>
                <w:r>
                  <w:rPr>
                    <w:rFonts w:ascii="Arial" w:hAnsi="Arial" w:cs="Arial"/>
                    <w:sz w:val="20"/>
                    <w:lang w:eastAsia="de-DE"/>
                  </w:rPr>
                  <w:t>International</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1F2A020A"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7634C8" w:rsidRPr="007634C8">
        <w:rPr>
          <w:rFonts w:asciiTheme="minorHAnsi" w:eastAsiaTheme="minorEastAsia" w:hAnsiTheme="minorHAnsi" w:cstheme="minorBidi"/>
          <w:sz w:val="22"/>
          <w:szCs w:val="20"/>
          <w:lang w:eastAsia="en-US"/>
        </w:rPr>
        <w:t>FRANDT</w:t>
      </w:r>
      <w:r w:rsidRPr="00C85C8B">
        <w:rPr>
          <w:rFonts w:asciiTheme="minorHAnsi" w:eastAsiaTheme="minorEastAsia" w:hAnsiTheme="minorHAnsi" w:cstheme="minorBidi"/>
          <w:sz w:val="22"/>
          <w:szCs w:val="20"/>
          <w:lang w:eastAsia="en-US"/>
        </w:rPr>
        <w:t>_1&gt;</w:t>
      </w:r>
    </w:p>
    <w:p w14:paraId="47ADB56A" w14:textId="3257918B" w:rsidR="00456E15" w:rsidRPr="00373A7C" w:rsidRDefault="00456E15" w:rsidP="00C85C8B">
      <w:pPr>
        <w:spacing w:after="250" w:line="276" w:lineRule="auto"/>
        <w:jc w:val="both"/>
        <w:rPr>
          <w:rFonts w:ascii="Arial" w:eastAsiaTheme="minorEastAsia" w:hAnsi="Arial" w:cs="Arial"/>
          <w:lang w:eastAsia="en-US"/>
        </w:rPr>
      </w:pPr>
      <w:permStart w:id="885457707" w:edGrp="everyone"/>
      <w:r w:rsidRPr="00373A7C">
        <w:rPr>
          <w:rFonts w:ascii="Arial" w:eastAsiaTheme="minorEastAsia" w:hAnsi="Arial" w:cs="Arial"/>
          <w:lang w:eastAsia="en-US"/>
        </w:rPr>
        <w:t>We note that on page 7 of the consultation document, there is a suggestion that the FRANDT principles should only be appl</w:t>
      </w:r>
      <w:r w:rsidR="00B64E27" w:rsidRPr="00373A7C">
        <w:rPr>
          <w:rFonts w:ascii="Arial" w:eastAsiaTheme="minorEastAsia" w:hAnsi="Arial" w:cs="Arial"/>
          <w:lang w:eastAsia="en-US"/>
        </w:rPr>
        <w:t>i</w:t>
      </w:r>
      <w:r w:rsidRPr="00373A7C">
        <w:rPr>
          <w:rFonts w:ascii="Arial" w:eastAsiaTheme="minorEastAsia" w:hAnsi="Arial" w:cs="Arial"/>
          <w:lang w:eastAsia="en-US"/>
        </w:rPr>
        <w:t>ed to classes of derivatives that have been declared subject to the clearing obligation under EMIR (see paragraph 12).</w:t>
      </w:r>
    </w:p>
    <w:p w14:paraId="227BC5C2" w14:textId="2FF2EEB1" w:rsidR="00456E15" w:rsidRPr="00373A7C" w:rsidRDefault="00170C11" w:rsidP="00C85C8B">
      <w:pPr>
        <w:spacing w:after="250" w:line="276" w:lineRule="auto"/>
        <w:jc w:val="both"/>
        <w:rPr>
          <w:rFonts w:ascii="Arial" w:eastAsiaTheme="minorEastAsia" w:hAnsi="Arial" w:cs="Arial"/>
          <w:lang w:eastAsia="en-US"/>
        </w:rPr>
      </w:pPr>
      <w:r w:rsidRPr="00373A7C">
        <w:rPr>
          <w:rFonts w:ascii="Arial" w:eastAsiaTheme="minorEastAsia" w:hAnsi="Arial" w:cs="Arial"/>
          <w:lang w:eastAsia="en-US"/>
        </w:rPr>
        <w:t>In our view, there</w:t>
      </w:r>
      <w:r w:rsidR="00456E15" w:rsidRPr="00373A7C">
        <w:rPr>
          <w:rFonts w:ascii="Arial" w:eastAsiaTheme="minorEastAsia" w:hAnsi="Arial" w:cs="Arial"/>
          <w:lang w:eastAsia="en-US"/>
        </w:rPr>
        <w:t xml:space="preserve"> is no legal basis for limiting the application of FRANDT in this manner.  EMIR Refit requires clearing members, and clients providing clearing services, to provide </w:t>
      </w:r>
      <w:r w:rsidR="00456E15" w:rsidRPr="00373A7C">
        <w:rPr>
          <w:rFonts w:ascii="Arial" w:eastAsiaTheme="minorEastAsia" w:hAnsi="Arial" w:cs="Arial"/>
          <w:u w:val="single"/>
          <w:lang w:eastAsia="en-US"/>
        </w:rPr>
        <w:t>all</w:t>
      </w:r>
      <w:r w:rsidR="00456E15" w:rsidRPr="00373A7C">
        <w:rPr>
          <w:rFonts w:ascii="Arial" w:eastAsiaTheme="minorEastAsia" w:hAnsi="Arial" w:cs="Arial"/>
          <w:lang w:eastAsia="en-US"/>
        </w:rPr>
        <w:t xml:space="preserve"> of their </w:t>
      </w:r>
      <w:r w:rsidRPr="00373A7C">
        <w:rPr>
          <w:rFonts w:ascii="Arial" w:eastAsiaTheme="minorEastAsia" w:hAnsi="Arial" w:cs="Arial"/>
          <w:lang w:eastAsia="en-US"/>
        </w:rPr>
        <w:t xml:space="preserve">derivatives </w:t>
      </w:r>
      <w:r w:rsidR="00456E15" w:rsidRPr="00373A7C">
        <w:rPr>
          <w:rFonts w:ascii="Arial" w:eastAsiaTheme="minorEastAsia" w:hAnsi="Arial" w:cs="Arial"/>
          <w:lang w:eastAsia="en-US"/>
        </w:rPr>
        <w:t>clearing services on fair, reasonable, non-discriminatory, and transparent commercial terms.  These provisions are specifically designed to increase customer access to central clearing, regardless of whether or not a specific instrument is subject to the EMIR clearing obl</w:t>
      </w:r>
      <w:r w:rsidR="00DC7059" w:rsidRPr="00373A7C">
        <w:rPr>
          <w:rFonts w:ascii="Arial" w:eastAsiaTheme="minorEastAsia" w:hAnsi="Arial" w:cs="Arial"/>
          <w:lang w:eastAsia="en-US"/>
        </w:rPr>
        <w:t>i</w:t>
      </w:r>
      <w:r w:rsidR="00456E15" w:rsidRPr="00373A7C">
        <w:rPr>
          <w:rFonts w:ascii="Arial" w:eastAsiaTheme="minorEastAsia" w:hAnsi="Arial" w:cs="Arial"/>
          <w:lang w:eastAsia="en-US"/>
        </w:rPr>
        <w:t>gation.  Customers wis</w:t>
      </w:r>
      <w:r w:rsidRPr="00373A7C">
        <w:rPr>
          <w:rFonts w:ascii="Arial" w:eastAsiaTheme="minorEastAsia" w:hAnsi="Arial" w:cs="Arial"/>
          <w:lang w:eastAsia="en-US"/>
        </w:rPr>
        <w:t>hing to clear (a) single-name CDS,</w:t>
      </w:r>
      <w:r w:rsidR="00456E15" w:rsidRPr="00373A7C">
        <w:rPr>
          <w:rFonts w:ascii="Arial" w:eastAsiaTheme="minorEastAsia" w:hAnsi="Arial" w:cs="Arial"/>
          <w:lang w:eastAsia="en-US"/>
        </w:rPr>
        <w:t xml:space="preserve"> </w:t>
      </w:r>
      <w:r w:rsidRPr="00373A7C">
        <w:rPr>
          <w:rFonts w:ascii="Arial" w:eastAsiaTheme="minorEastAsia" w:hAnsi="Arial" w:cs="Arial"/>
          <w:lang w:eastAsia="en-US"/>
        </w:rPr>
        <w:t xml:space="preserve">(b) </w:t>
      </w:r>
      <w:r w:rsidR="00456E15" w:rsidRPr="00373A7C">
        <w:rPr>
          <w:rFonts w:ascii="Arial" w:eastAsiaTheme="minorEastAsia" w:hAnsi="Arial" w:cs="Arial"/>
          <w:lang w:eastAsia="en-US"/>
        </w:rPr>
        <w:t xml:space="preserve">FX non-deliverable forwards, </w:t>
      </w:r>
      <w:r w:rsidRPr="00373A7C">
        <w:rPr>
          <w:rFonts w:ascii="Arial" w:eastAsiaTheme="minorEastAsia" w:hAnsi="Arial" w:cs="Arial"/>
          <w:lang w:eastAsia="en-US"/>
        </w:rPr>
        <w:t>or (c) interest rate swaps and index CDS not subject to the CO</w:t>
      </w:r>
      <w:r w:rsidR="00456E15" w:rsidRPr="00373A7C">
        <w:rPr>
          <w:rFonts w:ascii="Arial" w:eastAsiaTheme="minorEastAsia" w:hAnsi="Arial" w:cs="Arial"/>
          <w:lang w:eastAsia="en-US"/>
        </w:rPr>
        <w:t xml:space="preserve"> should benefit from the FRANDT provisions in the same manner as a customer clearing IRS positions that are covered by the EMIR clearing obligation.</w:t>
      </w:r>
    </w:p>
    <w:p w14:paraId="221452CF" w14:textId="6EA99216" w:rsidR="003109DB" w:rsidRPr="00373A7C" w:rsidRDefault="00456E15" w:rsidP="00C85C8B">
      <w:pPr>
        <w:spacing w:after="250" w:line="276" w:lineRule="auto"/>
        <w:jc w:val="both"/>
        <w:rPr>
          <w:rFonts w:ascii="Arial" w:eastAsiaTheme="minorEastAsia" w:hAnsi="Arial" w:cs="Arial"/>
          <w:lang w:eastAsia="en-US"/>
        </w:rPr>
      </w:pPr>
      <w:r w:rsidRPr="00373A7C">
        <w:rPr>
          <w:rFonts w:ascii="Arial" w:eastAsiaTheme="minorEastAsia" w:hAnsi="Arial" w:cs="Arial"/>
          <w:lang w:eastAsia="en-US"/>
        </w:rPr>
        <w:t xml:space="preserve">We </w:t>
      </w:r>
      <w:r w:rsidR="009A1BC3" w:rsidRPr="00373A7C">
        <w:rPr>
          <w:rFonts w:ascii="Arial" w:eastAsiaTheme="minorEastAsia" w:hAnsi="Arial" w:cs="Arial"/>
          <w:lang w:eastAsia="en-US"/>
        </w:rPr>
        <w:t xml:space="preserve">strongly </w:t>
      </w:r>
      <w:r w:rsidRPr="00373A7C">
        <w:rPr>
          <w:rFonts w:ascii="Arial" w:eastAsiaTheme="minorEastAsia" w:hAnsi="Arial" w:cs="Arial"/>
          <w:lang w:eastAsia="en-US"/>
        </w:rPr>
        <w:t xml:space="preserve">urge ESMA to clarify the general applicability of the FRANDT requirements to all </w:t>
      </w:r>
      <w:r w:rsidR="00170C11" w:rsidRPr="00373A7C">
        <w:rPr>
          <w:rFonts w:ascii="Arial" w:eastAsiaTheme="minorEastAsia" w:hAnsi="Arial" w:cs="Arial"/>
          <w:lang w:eastAsia="en-US"/>
        </w:rPr>
        <w:t xml:space="preserve">derivatives </w:t>
      </w:r>
      <w:r w:rsidRPr="00373A7C">
        <w:rPr>
          <w:rFonts w:ascii="Arial" w:eastAsiaTheme="minorEastAsia" w:hAnsi="Arial" w:cs="Arial"/>
          <w:lang w:eastAsia="en-US"/>
        </w:rPr>
        <w:t>clearing services in the final report.</w:t>
      </w:r>
    </w:p>
    <w:permEnd w:id="885457707"/>
    <w:p w14:paraId="15D00E65" w14:textId="6A5A379C"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7634C8" w:rsidRPr="007634C8">
        <w:rPr>
          <w:rFonts w:asciiTheme="minorHAnsi" w:eastAsiaTheme="minorEastAsia" w:hAnsiTheme="minorHAnsi" w:cstheme="minorBidi"/>
          <w:sz w:val="22"/>
          <w:szCs w:val="20"/>
          <w:lang w:eastAsia="en-US"/>
        </w:rPr>
        <w:t>FRANDT</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89A1E31" w14:textId="15BD04BA" w:rsidR="00AB6157" w:rsidRDefault="00AB6157" w:rsidP="00C1698A">
      <w:pPr>
        <w:spacing w:line="276" w:lineRule="auto"/>
        <w:rPr>
          <w:rFonts w:asciiTheme="minorHAnsi" w:hAnsiTheme="minorHAnsi" w:cstheme="minorHAnsi"/>
          <w:b/>
          <w:sz w:val="28"/>
          <w:szCs w:val="28"/>
        </w:rPr>
      </w:pPr>
    </w:p>
    <w:bookmarkEnd w:id="0"/>
    <w:p w14:paraId="797BC345" w14:textId="77777777" w:rsidR="007634C8" w:rsidRDefault="007634C8" w:rsidP="007634C8">
      <w:pPr>
        <w:pStyle w:val="Questionstyle"/>
        <w:numPr>
          <w:ilvl w:val="0"/>
          <w:numId w:val="9"/>
        </w:numPr>
        <w:spacing w:after="250" w:line="276" w:lineRule="auto"/>
      </w:pPr>
      <w:r>
        <w:t>: Do you generally agree with the approach on transparency and how to publicly disclose fees and commercial terms and other conditions? Please elaborate and if you disagree with any specific requirement, please suggest alternative ones. You can also suggest additional ones.</w:t>
      </w:r>
    </w:p>
    <w:p w14:paraId="1BFF276A" w14:textId="77777777" w:rsidR="007634C8" w:rsidRDefault="007634C8" w:rsidP="007634C8">
      <w:pPr>
        <w:rPr>
          <w:rFonts w:ascii="Arial" w:hAnsi="Arial" w:cs="Arial"/>
        </w:rPr>
      </w:pPr>
      <w:r>
        <w:rPr>
          <w:rFonts w:ascii="Arial" w:hAnsi="Arial" w:cs="Arial"/>
        </w:rPr>
        <w:t>&lt;ESMA_QUESTION_FRANDT_1&gt;</w:t>
      </w:r>
    </w:p>
    <w:p w14:paraId="2697DA9C" w14:textId="77777777" w:rsidR="007634C8" w:rsidRDefault="007634C8" w:rsidP="007634C8">
      <w:pPr>
        <w:rPr>
          <w:rFonts w:ascii="Arial" w:hAnsi="Arial" w:cs="Arial"/>
        </w:rPr>
      </w:pPr>
      <w:permStart w:id="963859669" w:edGrp="everyone"/>
      <w:r>
        <w:rPr>
          <w:rFonts w:ascii="Arial" w:hAnsi="Arial" w:cs="Arial"/>
        </w:rPr>
        <w:t>TYPE YOUR TEXT HERE</w:t>
      </w:r>
    </w:p>
    <w:permEnd w:id="963859669"/>
    <w:p w14:paraId="2AAA68FE" w14:textId="77777777" w:rsidR="007634C8" w:rsidRDefault="007634C8" w:rsidP="007634C8">
      <w:pPr>
        <w:rPr>
          <w:rFonts w:ascii="Arial" w:hAnsi="Arial" w:cs="Arial"/>
        </w:rPr>
      </w:pPr>
      <w:r>
        <w:rPr>
          <w:rFonts w:ascii="Arial" w:hAnsi="Arial" w:cs="Arial"/>
        </w:rPr>
        <w:t>&lt;ESMA_QUESTION_FRANDT_1&gt;</w:t>
      </w:r>
    </w:p>
    <w:p w14:paraId="668A9557" w14:textId="77777777" w:rsidR="007634C8" w:rsidRDefault="007634C8" w:rsidP="007634C8">
      <w:pPr>
        <w:rPr>
          <w:rFonts w:ascii="Arial" w:hAnsi="Arial" w:cs="Arial"/>
        </w:rPr>
      </w:pPr>
    </w:p>
    <w:p w14:paraId="6D9005DE" w14:textId="77777777" w:rsidR="007634C8" w:rsidRDefault="007634C8" w:rsidP="007634C8">
      <w:pPr>
        <w:pStyle w:val="Questionstyle"/>
        <w:numPr>
          <w:ilvl w:val="0"/>
          <w:numId w:val="9"/>
        </w:numPr>
        <w:spacing w:after="250" w:line="276" w:lineRule="auto"/>
      </w:pPr>
      <w:r>
        <w:t>: Do you generally agree with the elements to be taken into consideration in the commercial terms for the provision of clearing services? Please elaborate and if you disagree with any specific element, please suggest alternative ones. You can also suggest additional ones.</w:t>
      </w:r>
    </w:p>
    <w:p w14:paraId="493DF8A1" w14:textId="77777777" w:rsidR="007634C8" w:rsidRDefault="007634C8" w:rsidP="007634C8">
      <w:pPr>
        <w:rPr>
          <w:rFonts w:ascii="Arial" w:hAnsi="Arial" w:cs="Arial"/>
        </w:rPr>
      </w:pPr>
      <w:r>
        <w:rPr>
          <w:rFonts w:ascii="Arial" w:hAnsi="Arial" w:cs="Arial"/>
        </w:rPr>
        <w:t>&lt;ESMA_QUESTION_FRANDT_2&gt;</w:t>
      </w:r>
    </w:p>
    <w:p w14:paraId="69781061" w14:textId="77777777" w:rsidR="007634C8" w:rsidRDefault="007634C8" w:rsidP="007634C8">
      <w:pPr>
        <w:rPr>
          <w:rFonts w:ascii="Arial" w:hAnsi="Arial" w:cs="Arial"/>
        </w:rPr>
      </w:pPr>
      <w:permStart w:id="1506557908" w:edGrp="everyone"/>
      <w:r>
        <w:rPr>
          <w:rFonts w:ascii="Arial" w:hAnsi="Arial" w:cs="Arial"/>
        </w:rPr>
        <w:t>TYPE YOUR TEXT HERE</w:t>
      </w:r>
    </w:p>
    <w:permEnd w:id="1506557908"/>
    <w:p w14:paraId="3E19358D" w14:textId="77777777" w:rsidR="007634C8" w:rsidRDefault="007634C8" w:rsidP="007634C8">
      <w:pPr>
        <w:rPr>
          <w:rFonts w:ascii="Arial" w:hAnsi="Arial" w:cs="Arial"/>
        </w:rPr>
      </w:pPr>
      <w:r>
        <w:rPr>
          <w:rFonts w:ascii="Arial" w:hAnsi="Arial" w:cs="Arial"/>
        </w:rPr>
        <w:t>&lt;ESMA_QUESTION_FRANDT_2&gt;</w:t>
      </w:r>
    </w:p>
    <w:p w14:paraId="682833AB" w14:textId="77777777" w:rsidR="007634C8" w:rsidRDefault="007634C8" w:rsidP="007634C8">
      <w:pPr>
        <w:rPr>
          <w:rFonts w:ascii="Arial" w:hAnsi="Arial" w:cs="Arial"/>
        </w:rPr>
      </w:pPr>
    </w:p>
    <w:p w14:paraId="695311F7" w14:textId="77777777" w:rsidR="007634C8" w:rsidRDefault="007634C8" w:rsidP="007634C8">
      <w:pPr>
        <w:pStyle w:val="Questionstyle"/>
        <w:numPr>
          <w:ilvl w:val="0"/>
          <w:numId w:val="9"/>
        </w:numPr>
        <w:spacing w:after="250" w:line="276" w:lineRule="auto"/>
      </w:pPr>
      <w:r>
        <w:t>: Do you generally agree with the suggestions to assist in facilitating access to clearing services? Do you generally agree with the requirements listed to ensure prices are fair, proportionate and non-discriminatory? Please elaborate and if you disagree with any specific element, please suggest alternative ones. You can also suggest additional ones.</w:t>
      </w:r>
    </w:p>
    <w:p w14:paraId="32E531AF" w14:textId="77777777" w:rsidR="007634C8" w:rsidRDefault="007634C8" w:rsidP="007634C8">
      <w:pPr>
        <w:rPr>
          <w:rFonts w:ascii="Arial" w:hAnsi="Arial" w:cs="Arial"/>
        </w:rPr>
      </w:pPr>
      <w:r>
        <w:rPr>
          <w:rFonts w:ascii="Arial" w:hAnsi="Arial" w:cs="Arial"/>
        </w:rPr>
        <w:t>&lt;ESMA_QUESTION_FRANDT_3&gt;</w:t>
      </w:r>
    </w:p>
    <w:p w14:paraId="459A2667" w14:textId="6D47F317" w:rsidR="00C94615" w:rsidRDefault="00BE48E0" w:rsidP="007634C8">
      <w:pPr>
        <w:rPr>
          <w:rFonts w:ascii="Arial" w:hAnsi="Arial" w:cs="Arial"/>
        </w:rPr>
      </w:pPr>
      <w:permStart w:id="842020735" w:edGrp="everyone"/>
      <w:r>
        <w:rPr>
          <w:rFonts w:ascii="Arial" w:hAnsi="Arial" w:cs="Arial"/>
        </w:rPr>
        <w:t>We agree that</w:t>
      </w:r>
      <w:r w:rsidR="00492682">
        <w:rPr>
          <w:rFonts w:ascii="Arial" w:hAnsi="Arial" w:cs="Arial"/>
        </w:rPr>
        <w:t xml:space="preserve"> it</w:t>
      </w:r>
      <w:r>
        <w:rPr>
          <w:rFonts w:ascii="Arial" w:hAnsi="Arial" w:cs="Arial"/>
        </w:rPr>
        <w:t xml:space="preserve"> is critical that </w:t>
      </w:r>
      <w:r w:rsidR="00603D66">
        <w:rPr>
          <w:rFonts w:ascii="Arial" w:hAnsi="Arial" w:cs="Arial"/>
        </w:rPr>
        <w:t xml:space="preserve">both </w:t>
      </w:r>
      <w:r>
        <w:rPr>
          <w:rFonts w:ascii="Arial" w:hAnsi="Arial" w:cs="Arial"/>
        </w:rPr>
        <w:t xml:space="preserve">the onboarding process and the commercial terms offered to the customer are fair and transparent and believe ESMA should consider additional </w:t>
      </w:r>
      <w:r w:rsidR="00CE3AA5">
        <w:rPr>
          <w:rFonts w:ascii="Arial" w:hAnsi="Arial" w:cs="Arial"/>
        </w:rPr>
        <w:t>clarification</w:t>
      </w:r>
      <w:r>
        <w:rPr>
          <w:rFonts w:ascii="Arial" w:hAnsi="Arial" w:cs="Arial"/>
        </w:rPr>
        <w:t xml:space="preserve"> in this area.</w:t>
      </w:r>
    </w:p>
    <w:p w14:paraId="22ED93EA" w14:textId="02395786" w:rsidR="00BE48E0" w:rsidRDefault="00BE48E0" w:rsidP="007634C8">
      <w:pPr>
        <w:rPr>
          <w:rFonts w:ascii="Arial" w:hAnsi="Arial" w:cs="Arial"/>
        </w:rPr>
      </w:pPr>
    </w:p>
    <w:p w14:paraId="6CDF5EA8" w14:textId="6FDF15A7" w:rsidR="00BE48E0" w:rsidRDefault="00BE48E0" w:rsidP="007634C8">
      <w:pPr>
        <w:rPr>
          <w:rFonts w:ascii="Arial" w:hAnsi="Arial" w:cs="Arial"/>
        </w:rPr>
      </w:pPr>
      <w:r>
        <w:rPr>
          <w:rFonts w:ascii="Arial" w:hAnsi="Arial" w:cs="Arial"/>
        </w:rPr>
        <w:t xml:space="preserve">In particular, </w:t>
      </w:r>
      <w:r w:rsidR="00603D66">
        <w:rPr>
          <w:rFonts w:ascii="Arial" w:hAnsi="Arial" w:cs="Arial"/>
        </w:rPr>
        <w:t>experience suggest</w:t>
      </w:r>
      <w:r w:rsidR="00DC7059">
        <w:rPr>
          <w:rFonts w:ascii="Arial" w:hAnsi="Arial" w:cs="Arial"/>
        </w:rPr>
        <w:t>s that trading personnel affili</w:t>
      </w:r>
      <w:r w:rsidR="00603D66">
        <w:rPr>
          <w:rFonts w:ascii="Arial" w:hAnsi="Arial" w:cs="Arial"/>
        </w:rPr>
        <w:t xml:space="preserve">ated with a clearing member may have </w:t>
      </w:r>
      <w:r w:rsidR="00B64E27">
        <w:rPr>
          <w:rFonts w:ascii="Arial" w:hAnsi="Arial" w:cs="Arial"/>
        </w:rPr>
        <w:t xml:space="preserve">commercial </w:t>
      </w:r>
      <w:r w:rsidR="00603D66">
        <w:rPr>
          <w:rFonts w:ascii="Arial" w:hAnsi="Arial" w:cs="Arial"/>
        </w:rPr>
        <w:t xml:space="preserve">incentives that conflict with those of the </w:t>
      </w:r>
      <w:r w:rsidR="00C1008F">
        <w:rPr>
          <w:rFonts w:ascii="Arial" w:hAnsi="Arial" w:cs="Arial"/>
        </w:rPr>
        <w:t xml:space="preserve">client </w:t>
      </w:r>
      <w:r w:rsidR="00603D66">
        <w:rPr>
          <w:rFonts w:ascii="Arial" w:hAnsi="Arial" w:cs="Arial"/>
        </w:rPr>
        <w:t>clearing business, given the higher profit potential associated with trading uncleared derivatives</w:t>
      </w:r>
      <w:r w:rsidR="00C1008F">
        <w:rPr>
          <w:rFonts w:ascii="Arial" w:hAnsi="Arial" w:cs="Arial"/>
        </w:rPr>
        <w:t xml:space="preserve"> with clients</w:t>
      </w:r>
      <w:r w:rsidR="00603D66">
        <w:rPr>
          <w:rFonts w:ascii="Arial" w:hAnsi="Arial" w:cs="Arial"/>
        </w:rPr>
        <w:t>.  As a result, trading personnel may seek to interfere with decisions of the clearing business regarding whether to offer clearing services to a particular client, and on what terms.</w:t>
      </w:r>
    </w:p>
    <w:p w14:paraId="7312E5D6" w14:textId="35B6E32A" w:rsidR="00603D66" w:rsidRDefault="00603D66" w:rsidP="007634C8">
      <w:pPr>
        <w:rPr>
          <w:rFonts w:ascii="Arial" w:hAnsi="Arial" w:cs="Arial"/>
        </w:rPr>
      </w:pPr>
    </w:p>
    <w:p w14:paraId="631DD11F" w14:textId="5D846440" w:rsidR="00603D66" w:rsidRDefault="00603D66" w:rsidP="00603D66">
      <w:pPr>
        <w:rPr>
          <w:rFonts w:ascii="Arial" w:hAnsi="Arial" w:cs="Arial"/>
        </w:rPr>
      </w:pPr>
      <w:r>
        <w:rPr>
          <w:rFonts w:ascii="Arial" w:hAnsi="Arial" w:cs="Arial"/>
        </w:rPr>
        <w:t xml:space="preserve">Therefore, </w:t>
      </w:r>
      <w:r w:rsidR="0053050A">
        <w:rPr>
          <w:rFonts w:ascii="Arial" w:hAnsi="Arial" w:cs="Arial"/>
        </w:rPr>
        <w:t xml:space="preserve">in light of Article 4(3a), </w:t>
      </w:r>
      <w:r>
        <w:rPr>
          <w:rFonts w:ascii="Arial" w:hAnsi="Arial" w:cs="Arial"/>
        </w:rPr>
        <w:t xml:space="preserve">we recommend that ESMA </w:t>
      </w:r>
      <w:r w:rsidR="0053050A">
        <w:rPr>
          <w:rFonts w:ascii="Arial" w:hAnsi="Arial" w:cs="Arial"/>
        </w:rPr>
        <w:t>clarify that</w:t>
      </w:r>
      <w:r>
        <w:rPr>
          <w:rFonts w:ascii="Arial" w:hAnsi="Arial" w:cs="Arial"/>
        </w:rPr>
        <w:t xml:space="preserve"> trading personnel </w:t>
      </w:r>
      <w:r w:rsidR="0053050A">
        <w:rPr>
          <w:rFonts w:ascii="Arial" w:hAnsi="Arial" w:cs="Arial"/>
        </w:rPr>
        <w:t xml:space="preserve">shall not </w:t>
      </w:r>
      <w:r w:rsidRPr="00603D66">
        <w:rPr>
          <w:rFonts w:ascii="Arial" w:hAnsi="Arial" w:cs="Arial"/>
        </w:rPr>
        <w:t xml:space="preserve">directly or </w:t>
      </w:r>
      <w:r w:rsidR="0053050A">
        <w:rPr>
          <w:rFonts w:ascii="Arial" w:hAnsi="Arial" w:cs="Arial"/>
        </w:rPr>
        <w:t>indirectly interfere</w:t>
      </w:r>
      <w:r w:rsidRPr="00603D66">
        <w:rPr>
          <w:rFonts w:ascii="Arial" w:hAnsi="Arial" w:cs="Arial"/>
        </w:rPr>
        <w:t xml:space="preserve"> with</w:t>
      </w:r>
      <w:r>
        <w:rPr>
          <w:rFonts w:ascii="Arial" w:hAnsi="Arial" w:cs="Arial"/>
        </w:rPr>
        <w:t>,</w:t>
      </w:r>
      <w:r w:rsidRPr="00603D66">
        <w:rPr>
          <w:rFonts w:ascii="Arial" w:hAnsi="Arial" w:cs="Arial"/>
        </w:rPr>
        <w:t xml:space="preserve"> or</w:t>
      </w:r>
      <w:r>
        <w:rPr>
          <w:rFonts w:ascii="Arial" w:hAnsi="Arial" w:cs="Arial"/>
        </w:rPr>
        <w:t xml:space="preserve"> </w:t>
      </w:r>
      <w:r w:rsidRPr="00603D66">
        <w:rPr>
          <w:rFonts w:ascii="Arial" w:hAnsi="Arial" w:cs="Arial"/>
        </w:rPr>
        <w:t>attempt to influence</w:t>
      </w:r>
      <w:r>
        <w:rPr>
          <w:rFonts w:ascii="Arial" w:hAnsi="Arial" w:cs="Arial"/>
        </w:rPr>
        <w:t>,</w:t>
      </w:r>
      <w:r w:rsidRPr="00603D66">
        <w:rPr>
          <w:rFonts w:ascii="Arial" w:hAnsi="Arial" w:cs="Arial"/>
        </w:rPr>
        <w:t xml:space="preserve"> the decision of </w:t>
      </w:r>
      <w:r w:rsidR="00C1008F">
        <w:rPr>
          <w:rFonts w:ascii="Arial" w:hAnsi="Arial" w:cs="Arial"/>
        </w:rPr>
        <w:t xml:space="preserve">client </w:t>
      </w:r>
      <w:r>
        <w:rPr>
          <w:rFonts w:ascii="Arial" w:hAnsi="Arial" w:cs="Arial"/>
        </w:rPr>
        <w:t>clearing personnel within that entity (or an</w:t>
      </w:r>
      <w:r w:rsidRPr="00603D66">
        <w:rPr>
          <w:rFonts w:ascii="Arial" w:hAnsi="Arial" w:cs="Arial"/>
        </w:rPr>
        <w:t xml:space="preserve"> affiliated clearing</w:t>
      </w:r>
      <w:r>
        <w:rPr>
          <w:rFonts w:ascii="Arial" w:hAnsi="Arial" w:cs="Arial"/>
        </w:rPr>
        <w:t xml:space="preserve"> </w:t>
      </w:r>
      <w:r w:rsidRPr="00603D66">
        <w:rPr>
          <w:rFonts w:ascii="Arial" w:hAnsi="Arial" w:cs="Arial"/>
        </w:rPr>
        <w:t>member</w:t>
      </w:r>
      <w:r>
        <w:rPr>
          <w:rFonts w:ascii="Arial" w:hAnsi="Arial" w:cs="Arial"/>
        </w:rPr>
        <w:t xml:space="preserve"> or client </w:t>
      </w:r>
      <w:r w:rsidR="0053050A">
        <w:rPr>
          <w:rFonts w:ascii="Arial" w:hAnsi="Arial" w:cs="Arial"/>
        </w:rPr>
        <w:t>providing</w:t>
      </w:r>
      <w:r>
        <w:rPr>
          <w:rFonts w:ascii="Arial" w:hAnsi="Arial" w:cs="Arial"/>
        </w:rPr>
        <w:t xml:space="preserve"> clearing services)</w:t>
      </w:r>
      <w:r w:rsidRPr="00603D66">
        <w:rPr>
          <w:rFonts w:ascii="Arial" w:hAnsi="Arial" w:cs="Arial"/>
        </w:rPr>
        <w:t xml:space="preserve"> to provide clearing services</w:t>
      </w:r>
      <w:r>
        <w:rPr>
          <w:rFonts w:ascii="Arial" w:hAnsi="Arial" w:cs="Arial"/>
        </w:rPr>
        <w:t xml:space="preserve"> </w:t>
      </w:r>
      <w:r w:rsidRPr="00603D66">
        <w:rPr>
          <w:rFonts w:ascii="Arial" w:hAnsi="Arial" w:cs="Arial"/>
        </w:rPr>
        <w:t>to a particular customer,</w:t>
      </w:r>
      <w:r>
        <w:rPr>
          <w:rFonts w:ascii="Arial" w:hAnsi="Arial" w:cs="Arial"/>
        </w:rPr>
        <w:t xml:space="preserve"> </w:t>
      </w:r>
      <w:r w:rsidRPr="00603D66">
        <w:rPr>
          <w:rFonts w:ascii="Arial" w:hAnsi="Arial" w:cs="Arial"/>
        </w:rPr>
        <w:t>includi</w:t>
      </w:r>
      <w:r>
        <w:rPr>
          <w:rFonts w:ascii="Arial" w:hAnsi="Arial" w:cs="Arial"/>
        </w:rPr>
        <w:t>ng but not limited to</w:t>
      </w:r>
      <w:r w:rsidRPr="00603D66">
        <w:rPr>
          <w:rFonts w:ascii="Arial" w:hAnsi="Arial" w:cs="Arial"/>
        </w:rPr>
        <w:t>:</w:t>
      </w:r>
    </w:p>
    <w:p w14:paraId="4CC71495" w14:textId="77777777" w:rsidR="00603D66" w:rsidRPr="00603D66" w:rsidRDefault="00603D66" w:rsidP="00603D66">
      <w:pPr>
        <w:rPr>
          <w:rFonts w:ascii="Arial" w:hAnsi="Arial" w:cs="Arial"/>
        </w:rPr>
      </w:pPr>
    </w:p>
    <w:p w14:paraId="4F9FA03C" w14:textId="6DE2BC98" w:rsidR="00603D66" w:rsidRPr="00603D66" w:rsidRDefault="00603D66" w:rsidP="00603D66">
      <w:pPr>
        <w:ind w:left="708"/>
        <w:rPr>
          <w:rFonts w:ascii="Arial" w:hAnsi="Arial" w:cs="Arial"/>
        </w:rPr>
      </w:pPr>
      <w:r w:rsidRPr="00603D66">
        <w:rPr>
          <w:rFonts w:ascii="Arial" w:hAnsi="Arial" w:cs="Arial"/>
        </w:rPr>
        <w:t>(i) Whether to offer clearing services</w:t>
      </w:r>
      <w:r>
        <w:rPr>
          <w:rFonts w:ascii="Arial" w:hAnsi="Arial" w:cs="Arial"/>
        </w:rPr>
        <w:t xml:space="preserve"> </w:t>
      </w:r>
      <w:r w:rsidRPr="00603D66">
        <w:rPr>
          <w:rFonts w:ascii="Arial" w:hAnsi="Arial" w:cs="Arial"/>
        </w:rPr>
        <w:t>to a particular customer;</w:t>
      </w:r>
    </w:p>
    <w:p w14:paraId="406A2853" w14:textId="7A98F22C" w:rsidR="00603D66" w:rsidRDefault="00603D66" w:rsidP="00603D66">
      <w:pPr>
        <w:ind w:left="708"/>
        <w:rPr>
          <w:rFonts w:ascii="Arial" w:hAnsi="Arial" w:cs="Arial"/>
        </w:rPr>
      </w:pPr>
      <w:r w:rsidRPr="00603D66">
        <w:rPr>
          <w:rFonts w:ascii="Arial" w:hAnsi="Arial" w:cs="Arial"/>
        </w:rPr>
        <w:t>(i</w:t>
      </w:r>
      <w:r>
        <w:rPr>
          <w:rFonts w:ascii="Arial" w:hAnsi="Arial" w:cs="Arial"/>
        </w:rPr>
        <w:t>i)</w:t>
      </w:r>
      <w:r w:rsidRPr="00603D66">
        <w:rPr>
          <w:rFonts w:ascii="Arial" w:hAnsi="Arial" w:cs="Arial"/>
        </w:rPr>
        <w:t xml:space="preserve"> </w:t>
      </w:r>
      <w:r w:rsidR="00DC7059">
        <w:rPr>
          <w:rFonts w:ascii="Arial" w:hAnsi="Arial" w:cs="Arial"/>
        </w:rPr>
        <w:t>The commer</w:t>
      </w:r>
      <w:r>
        <w:rPr>
          <w:rFonts w:ascii="Arial" w:hAnsi="Arial" w:cs="Arial"/>
        </w:rPr>
        <w:t xml:space="preserve">cial terms offered to a </w:t>
      </w:r>
      <w:r w:rsidRPr="00603D66">
        <w:rPr>
          <w:rFonts w:ascii="Arial" w:hAnsi="Arial" w:cs="Arial"/>
        </w:rPr>
        <w:t>particular</w:t>
      </w:r>
      <w:r>
        <w:rPr>
          <w:rFonts w:ascii="Arial" w:hAnsi="Arial" w:cs="Arial"/>
        </w:rPr>
        <w:t xml:space="preserve"> </w:t>
      </w:r>
      <w:r w:rsidRPr="00603D66">
        <w:rPr>
          <w:rFonts w:ascii="Arial" w:hAnsi="Arial" w:cs="Arial"/>
        </w:rPr>
        <w:t>customer</w:t>
      </w:r>
      <w:r>
        <w:rPr>
          <w:rFonts w:ascii="Arial" w:hAnsi="Arial" w:cs="Arial"/>
        </w:rPr>
        <w:t xml:space="preserve"> </w:t>
      </w:r>
      <w:r w:rsidRPr="00603D66">
        <w:rPr>
          <w:rFonts w:ascii="Arial" w:hAnsi="Arial" w:cs="Arial"/>
        </w:rPr>
        <w:t>for clearing services</w:t>
      </w:r>
      <w:r>
        <w:rPr>
          <w:rFonts w:ascii="Arial" w:hAnsi="Arial" w:cs="Arial"/>
        </w:rPr>
        <w:t>, including</w:t>
      </w:r>
      <w:r w:rsidRPr="00603D66">
        <w:rPr>
          <w:rFonts w:ascii="Arial" w:hAnsi="Arial" w:cs="Arial"/>
        </w:rPr>
        <w:t xml:space="preserve"> fees</w:t>
      </w:r>
      <w:r>
        <w:rPr>
          <w:rFonts w:ascii="Arial" w:hAnsi="Arial" w:cs="Arial"/>
        </w:rPr>
        <w:t>;</w:t>
      </w:r>
    </w:p>
    <w:p w14:paraId="4257554E" w14:textId="4C199F9C" w:rsidR="00603D66" w:rsidRPr="00603D66" w:rsidRDefault="00603D66" w:rsidP="00603D66">
      <w:pPr>
        <w:ind w:left="708"/>
        <w:rPr>
          <w:rFonts w:ascii="Arial" w:hAnsi="Arial" w:cs="Arial"/>
        </w:rPr>
      </w:pPr>
      <w:r>
        <w:rPr>
          <w:rFonts w:ascii="Arial" w:hAnsi="Arial" w:cs="Arial"/>
        </w:rPr>
        <w:t xml:space="preserve">(iii) </w:t>
      </w:r>
      <w:r w:rsidRPr="00603D66">
        <w:rPr>
          <w:rFonts w:ascii="Arial" w:hAnsi="Arial" w:cs="Arial"/>
        </w:rPr>
        <w:t>Whether to set or adjust risk</w:t>
      </w:r>
      <w:r>
        <w:rPr>
          <w:rFonts w:ascii="Arial" w:hAnsi="Arial" w:cs="Arial"/>
        </w:rPr>
        <w:t xml:space="preserve"> </w:t>
      </w:r>
      <w:r w:rsidRPr="00603D66">
        <w:rPr>
          <w:rFonts w:ascii="Arial" w:hAnsi="Arial" w:cs="Arial"/>
        </w:rPr>
        <w:t>tolerance levels for a particular</w:t>
      </w:r>
      <w:r>
        <w:rPr>
          <w:rFonts w:ascii="Arial" w:hAnsi="Arial" w:cs="Arial"/>
        </w:rPr>
        <w:t xml:space="preserve"> </w:t>
      </w:r>
      <w:r w:rsidRPr="00603D66">
        <w:rPr>
          <w:rFonts w:ascii="Arial" w:hAnsi="Arial" w:cs="Arial"/>
        </w:rPr>
        <w:t>customer;</w:t>
      </w:r>
      <w:r>
        <w:rPr>
          <w:rFonts w:ascii="Arial" w:hAnsi="Arial" w:cs="Arial"/>
        </w:rPr>
        <w:t xml:space="preserve"> and</w:t>
      </w:r>
    </w:p>
    <w:p w14:paraId="115C7F94" w14:textId="185886B5" w:rsidR="00603D66" w:rsidRDefault="00603D66" w:rsidP="00603D66">
      <w:pPr>
        <w:ind w:left="708"/>
        <w:rPr>
          <w:rFonts w:ascii="Arial" w:hAnsi="Arial" w:cs="Arial"/>
        </w:rPr>
      </w:pPr>
      <w:r w:rsidRPr="00603D66">
        <w:rPr>
          <w:rFonts w:ascii="Arial" w:hAnsi="Arial" w:cs="Arial"/>
        </w:rPr>
        <w:lastRenderedPageBreak/>
        <w:t>(</w:t>
      </w:r>
      <w:r>
        <w:rPr>
          <w:rFonts w:ascii="Arial" w:hAnsi="Arial" w:cs="Arial"/>
        </w:rPr>
        <w:t>i</w:t>
      </w:r>
      <w:r w:rsidRPr="00603D66">
        <w:rPr>
          <w:rFonts w:ascii="Arial" w:hAnsi="Arial" w:cs="Arial"/>
        </w:rPr>
        <w:t>v) Whether to accept certain forms of</w:t>
      </w:r>
      <w:r>
        <w:rPr>
          <w:rFonts w:ascii="Arial" w:hAnsi="Arial" w:cs="Arial"/>
        </w:rPr>
        <w:t xml:space="preserve"> </w:t>
      </w:r>
      <w:r w:rsidRPr="00603D66">
        <w:rPr>
          <w:rFonts w:ascii="Arial" w:hAnsi="Arial" w:cs="Arial"/>
        </w:rPr>
        <w:t>collatera</w:t>
      </w:r>
      <w:r>
        <w:rPr>
          <w:rFonts w:ascii="Arial" w:hAnsi="Arial" w:cs="Arial"/>
        </w:rPr>
        <w:t>l from a particular customer.</w:t>
      </w:r>
    </w:p>
    <w:p w14:paraId="17347B17" w14:textId="77777777" w:rsidR="00B64E27" w:rsidRPr="00603D66" w:rsidRDefault="00B64E27" w:rsidP="00603D66">
      <w:pPr>
        <w:ind w:left="708"/>
        <w:rPr>
          <w:rFonts w:ascii="Arial" w:hAnsi="Arial" w:cs="Arial"/>
        </w:rPr>
      </w:pPr>
    </w:p>
    <w:p w14:paraId="2994A1BC" w14:textId="6BC3518C" w:rsidR="00994606" w:rsidRDefault="00603D66" w:rsidP="00603D66">
      <w:pPr>
        <w:rPr>
          <w:rFonts w:ascii="Arial" w:hAnsi="Arial" w:cs="Arial"/>
        </w:rPr>
      </w:pPr>
      <w:r>
        <w:rPr>
          <w:rFonts w:ascii="Arial" w:hAnsi="Arial" w:cs="Arial"/>
        </w:rPr>
        <w:t>Each clearing member (or client offering clearing services) should document how these requirements are implemented</w:t>
      </w:r>
      <w:r w:rsidR="00B64E27">
        <w:rPr>
          <w:rFonts w:ascii="Arial" w:hAnsi="Arial" w:cs="Arial"/>
        </w:rPr>
        <w:t xml:space="preserve"> and monitored</w:t>
      </w:r>
      <w:r>
        <w:rPr>
          <w:rFonts w:ascii="Arial" w:hAnsi="Arial" w:cs="Arial"/>
        </w:rPr>
        <w:t>.</w:t>
      </w:r>
      <w:r w:rsidR="00994606">
        <w:rPr>
          <w:rFonts w:ascii="Arial" w:hAnsi="Arial" w:cs="Arial"/>
        </w:rPr>
        <w:t xml:space="preserve">  </w:t>
      </w:r>
    </w:p>
    <w:p w14:paraId="57023E1A" w14:textId="77777777" w:rsidR="00994606" w:rsidRDefault="00994606" w:rsidP="00603D66">
      <w:pPr>
        <w:rPr>
          <w:rFonts w:ascii="Arial" w:hAnsi="Arial" w:cs="Arial"/>
        </w:rPr>
      </w:pPr>
    </w:p>
    <w:p w14:paraId="7CF98E6E" w14:textId="20A6E0A3" w:rsidR="007634C8" w:rsidRDefault="0053050A" w:rsidP="007634C8">
      <w:pPr>
        <w:rPr>
          <w:rFonts w:ascii="Arial" w:hAnsi="Arial" w:cs="Arial"/>
        </w:rPr>
      </w:pPr>
      <w:r>
        <w:rPr>
          <w:rFonts w:ascii="Arial" w:hAnsi="Arial" w:cs="Arial"/>
        </w:rPr>
        <w:t>This additional clarification seeks</w:t>
      </w:r>
      <w:r w:rsidR="00C1008F">
        <w:rPr>
          <w:rFonts w:ascii="Arial" w:hAnsi="Arial" w:cs="Arial"/>
        </w:rPr>
        <w:t xml:space="preserve"> to minimi</w:t>
      </w:r>
      <w:r w:rsidR="00994606">
        <w:rPr>
          <w:rFonts w:ascii="Arial" w:hAnsi="Arial" w:cs="Arial"/>
        </w:rPr>
        <w:t xml:space="preserve">ze internal conflicts of interest that could impede customer access to clearing services on a fair and non-discriminatory basis.  Therefore, </w:t>
      </w:r>
      <w:r>
        <w:rPr>
          <w:rFonts w:ascii="Arial" w:hAnsi="Arial" w:cs="Arial"/>
        </w:rPr>
        <w:t>it is</w:t>
      </w:r>
      <w:r w:rsidR="00994606">
        <w:rPr>
          <w:rFonts w:ascii="Arial" w:hAnsi="Arial" w:cs="Arial"/>
        </w:rPr>
        <w:t xml:space="preserve"> clearly within the scope of </w:t>
      </w:r>
      <w:r>
        <w:rPr>
          <w:rFonts w:ascii="Arial" w:hAnsi="Arial" w:cs="Arial"/>
        </w:rPr>
        <w:t xml:space="preserve">the technical advice </w:t>
      </w:r>
      <w:r w:rsidR="00B64E27">
        <w:rPr>
          <w:rFonts w:ascii="Arial" w:hAnsi="Arial" w:cs="Arial"/>
        </w:rPr>
        <w:t>that</w:t>
      </w:r>
      <w:r w:rsidR="00994606">
        <w:rPr>
          <w:rFonts w:ascii="Arial" w:hAnsi="Arial" w:cs="Arial"/>
        </w:rPr>
        <w:t xml:space="preserve"> </w:t>
      </w:r>
      <w:r>
        <w:rPr>
          <w:rFonts w:ascii="Arial" w:hAnsi="Arial" w:cs="Arial"/>
        </w:rPr>
        <w:t>is</w:t>
      </w:r>
      <w:r w:rsidR="00B64E27">
        <w:rPr>
          <w:rFonts w:ascii="Arial" w:hAnsi="Arial" w:cs="Arial"/>
        </w:rPr>
        <w:t xml:space="preserve"> envisaged to be</w:t>
      </w:r>
      <w:r w:rsidR="00994606">
        <w:rPr>
          <w:rFonts w:ascii="Arial" w:hAnsi="Arial" w:cs="Arial"/>
        </w:rPr>
        <w:t xml:space="preserve"> </w:t>
      </w:r>
      <w:r>
        <w:rPr>
          <w:rFonts w:ascii="Arial" w:hAnsi="Arial" w:cs="Arial"/>
        </w:rPr>
        <w:t>provided</w:t>
      </w:r>
      <w:r w:rsidR="00994606">
        <w:rPr>
          <w:rFonts w:ascii="Arial" w:hAnsi="Arial" w:cs="Arial"/>
        </w:rPr>
        <w:t xml:space="preserve"> under section (c) of Article 4(3a) of EMIR.  In addition, </w:t>
      </w:r>
      <w:r>
        <w:rPr>
          <w:rFonts w:ascii="Arial" w:hAnsi="Arial" w:cs="Arial"/>
        </w:rPr>
        <w:t>this clarification would be</w:t>
      </w:r>
      <w:r w:rsidR="00994606">
        <w:rPr>
          <w:rFonts w:ascii="Arial" w:hAnsi="Arial" w:cs="Arial"/>
        </w:rPr>
        <w:t xml:space="preserve"> consistent with, and give meaning to, the general language in Article 4(3a) that “</w:t>
      </w:r>
      <w:r w:rsidR="00994606" w:rsidRPr="00994606">
        <w:rPr>
          <w:rFonts w:ascii="Arial" w:hAnsi="Arial" w:cs="Arial"/>
        </w:rPr>
        <w:t>clearing</w:t>
      </w:r>
      <w:r w:rsidR="00B64E27">
        <w:rPr>
          <w:rFonts w:ascii="Arial" w:hAnsi="Arial" w:cs="Arial"/>
        </w:rPr>
        <w:t xml:space="preserve"> </w:t>
      </w:r>
      <w:r w:rsidR="00994606" w:rsidRPr="00994606">
        <w:rPr>
          <w:rFonts w:ascii="Arial" w:hAnsi="Arial" w:cs="Arial"/>
        </w:rPr>
        <w:t>members and clients shall take all reasonable measures to identify, prevent, manage</w:t>
      </w:r>
      <w:r w:rsidR="00B64E27">
        <w:rPr>
          <w:rFonts w:ascii="Arial" w:hAnsi="Arial" w:cs="Arial"/>
        </w:rPr>
        <w:t xml:space="preserve"> </w:t>
      </w:r>
      <w:r w:rsidR="00994606" w:rsidRPr="00994606">
        <w:rPr>
          <w:rFonts w:ascii="Arial" w:hAnsi="Arial" w:cs="Arial"/>
        </w:rPr>
        <w:t xml:space="preserve">and </w:t>
      </w:r>
      <w:r w:rsidR="00994606" w:rsidRPr="00424CE6">
        <w:rPr>
          <w:rFonts w:asciiTheme="minorHAnsi" w:hAnsiTheme="minorHAnsi" w:cstheme="minorHAnsi"/>
        </w:rPr>
        <w:t xml:space="preserve">monitor conflicts of interest, in particular between the trading unit and the clearing unit.”  Finally, we note that </w:t>
      </w:r>
      <w:r w:rsidR="00B64E27" w:rsidRPr="00424CE6">
        <w:rPr>
          <w:rFonts w:asciiTheme="minorHAnsi" w:hAnsiTheme="minorHAnsi" w:cstheme="minorHAnsi"/>
        </w:rPr>
        <w:t>similar</w:t>
      </w:r>
      <w:r w:rsidR="00994606" w:rsidRPr="00424CE6">
        <w:rPr>
          <w:rFonts w:asciiTheme="minorHAnsi" w:hAnsiTheme="minorHAnsi" w:cstheme="minorHAnsi"/>
        </w:rPr>
        <w:t xml:space="preserve"> requirements have already been suc</w:t>
      </w:r>
      <w:r w:rsidR="00C1008F" w:rsidRPr="00424CE6">
        <w:rPr>
          <w:rFonts w:asciiTheme="minorHAnsi" w:hAnsiTheme="minorHAnsi" w:cstheme="minorHAnsi"/>
        </w:rPr>
        <w:t>cessfully implemented in the U</w:t>
      </w:r>
      <w:r w:rsidR="00CE3AA5">
        <w:rPr>
          <w:rFonts w:asciiTheme="minorHAnsi" w:hAnsiTheme="minorHAnsi" w:cstheme="minorHAnsi"/>
        </w:rPr>
        <w:t>.</w:t>
      </w:r>
      <w:r w:rsidR="00C1008F" w:rsidRPr="00424CE6">
        <w:rPr>
          <w:rFonts w:asciiTheme="minorHAnsi" w:hAnsiTheme="minorHAnsi" w:cstheme="minorHAnsi"/>
        </w:rPr>
        <w:t>S</w:t>
      </w:r>
      <w:r w:rsidR="00CE3AA5">
        <w:rPr>
          <w:rFonts w:asciiTheme="minorHAnsi" w:hAnsiTheme="minorHAnsi" w:cstheme="minorHAnsi"/>
        </w:rPr>
        <w:t>.</w:t>
      </w:r>
      <w:r w:rsidR="00424CE6" w:rsidRPr="00424CE6">
        <w:rPr>
          <w:rFonts w:asciiTheme="minorHAnsi" w:hAnsiTheme="minorHAnsi" w:cstheme="minorHAnsi"/>
        </w:rPr>
        <w:t xml:space="preserve"> (</w:t>
      </w:r>
      <w:r w:rsidR="00424CE6">
        <w:rPr>
          <w:rFonts w:asciiTheme="minorHAnsi" w:hAnsiTheme="minorHAnsi" w:cstheme="minorHAnsi"/>
        </w:rPr>
        <w:t>s</w:t>
      </w:r>
      <w:r w:rsidR="00424CE6" w:rsidRPr="00424CE6">
        <w:rPr>
          <w:rFonts w:asciiTheme="minorHAnsi" w:hAnsiTheme="minorHAnsi" w:cstheme="minorHAnsi"/>
        </w:rPr>
        <w:t xml:space="preserve">ee pages 5-6 of </w:t>
      </w:r>
      <w:hyperlink r:id="rId20" w:history="1">
        <w:r w:rsidR="00424CE6" w:rsidRPr="00424CE6">
          <w:rPr>
            <w:rStyle w:val="Hyperlink"/>
            <w:rFonts w:asciiTheme="minorHAnsi" w:eastAsiaTheme="majorEastAsia" w:hAnsiTheme="minorHAnsi" w:cstheme="minorHAnsi"/>
          </w:rPr>
          <w:t>https://www.sullcrom.com/siteFiles/Publica</w:t>
        </w:r>
        <w:bookmarkStart w:id="1" w:name="_GoBack"/>
        <w:bookmarkEnd w:id="1"/>
        <w:r w:rsidR="00424CE6" w:rsidRPr="00424CE6">
          <w:rPr>
            <w:rStyle w:val="Hyperlink"/>
            <w:rFonts w:asciiTheme="minorHAnsi" w:eastAsiaTheme="majorEastAsia" w:hAnsiTheme="minorHAnsi" w:cstheme="minorHAnsi"/>
          </w:rPr>
          <w:t>tions/SC_Publication_CFTC_Adopts_Internal_Business_Conduct_Rules.pdf</w:t>
        </w:r>
      </w:hyperlink>
      <w:r w:rsidR="00424CE6" w:rsidRPr="00424CE6">
        <w:rPr>
          <w:rFonts w:asciiTheme="minorHAnsi" w:hAnsiTheme="minorHAnsi" w:cstheme="minorHAnsi"/>
        </w:rPr>
        <w:t>)</w:t>
      </w:r>
      <w:r w:rsidR="00C1008F" w:rsidRPr="00424CE6">
        <w:rPr>
          <w:rFonts w:asciiTheme="minorHAnsi" w:hAnsiTheme="minorHAnsi" w:cstheme="minorHAnsi"/>
        </w:rPr>
        <w:t>.</w:t>
      </w:r>
      <w:r w:rsidR="00994606" w:rsidRPr="00424CE6">
        <w:rPr>
          <w:rStyle w:val="FootnoteReference"/>
          <w:rFonts w:asciiTheme="minorHAnsi" w:hAnsiTheme="minorHAnsi" w:cstheme="minorHAnsi"/>
          <w:sz w:val="24"/>
        </w:rPr>
        <w:footnoteReference w:id="2"/>
      </w:r>
      <w:r w:rsidR="00C1008F" w:rsidRPr="00424CE6">
        <w:rPr>
          <w:rFonts w:asciiTheme="minorHAnsi" w:hAnsiTheme="minorHAnsi" w:cstheme="minorHAnsi"/>
        </w:rPr>
        <w:t xml:space="preserve">  As a result, all of the leading providers of derivatives clearing services</w:t>
      </w:r>
      <w:r w:rsidR="00191EBB" w:rsidRPr="00424CE6">
        <w:rPr>
          <w:rFonts w:asciiTheme="minorHAnsi" w:hAnsiTheme="minorHAnsi" w:cstheme="minorHAnsi"/>
        </w:rPr>
        <w:t xml:space="preserve"> in the EU</w:t>
      </w:r>
      <w:r w:rsidR="00C1008F" w:rsidRPr="00424CE6">
        <w:rPr>
          <w:rFonts w:asciiTheme="minorHAnsi" w:hAnsiTheme="minorHAnsi" w:cstheme="minorHAnsi"/>
        </w:rPr>
        <w:t xml:space="preserve"> already comply with similar</w:t>
      </w:r>
      <w:r w:rsidR="00C1008F">
        <w:rPr>
          <w:rFonts w:ascii="Arial" w:hAnsi="Arial" w:cs="Arial"/>
        </w:rPr>
        <w:t xml:space="preserve"> requirements for their U.S. business</w:t>
      </w:r>
      <w:r w:rsidR="00191EBB">
        <w:rPr>
          <w:rFonts w:ascii="Arial" w:hAnsi="Arial" w:cs="Arial"/>
        </w:rPr>
        <w:t>es</w:t>
      </w:r>
      <w:r w:rsidR="00C1008F">
        <w:rPr>
          <w:rFonts w:ascii="Arial" w:hAnsi="Arial" w:cs="Arial"/>
        </w:rPr>
        <w:t>, and should be able to easily extend these protections to EU clearing customers.</w:t>
      </w:r>
      <w:r w:rsidR="00994606">
        <w:rPr>
          <w:rFonts w:ascii="Arial" w:hAnsi="Arial" w:cs="Arial"/>
        </w:rPr>
        <w:t xml:space="preserve"> </w:t>
      </w:r>
      <w:permEnd w:id="842020735"/>
      <w:r w:rsidR="007634C8">
        <w:rPr>
          <w:rFonts w:ascii="Arial" w:hAnsi="Arial" w:cs="Arial"/>
        </w:rPr>
        <w:t>&lt;ESMA_QUESTION_FRANDT_3&gt;</w:t>
      </w:r>
    </w:p>
    <w:p w14:paraId="0CDA0A4D" w14:textId="77777777" w:rsidR="007634C8" w:rsidRDefault="007634C8" w:rsidP="007634C8">
      <w:pPr>
        <w:rPr>
          <w:rFonts w:ascii="Arial" w:hAnsi="Arial" w:cs="Arial"/>
        </w:rPr>
      </w:pPr>
    </w:p>
    <w:p w14:paraId="23C9D4A9" w14:textId="77777777" w:rsidR="007634C8" w:rsidRDefault="007634C8" w:rsidP="007634C8">
      <w:pPr>
        <w:pStyle w:val="Questionstyle"/>
        <w:numPr>
          <w:ilvl w:val="0"/>
          <w:numId w:val="9"/>
        </w:numPr>
        <w:spacing w:after="250" w:line="276" w:lineRule="auto"/>
      </w:pPr>
      <w:r>
        <w:t>: Do you generally agree with the proposed elements regarding the risk control criteria? Please elaborate and if you disagree with any, please suggest alternative or additional ones.</w:t>
      </w:r>
    </w:p>
    <w:p w14:paraId="10F02313" w14:textId="77777777" w:rsidR="007634C8" w:rsidRDefault="007634C8" w:rsidP="007634C8">
      <w:pPr>
        <w:rPr>
          <w:rFonts w:ascii="Arial" w:hAnsi="Arial" w:cs="Arial"/>
        </w:rPr>
      </w:pPr>
      <w:r>
        <w:rPr>
          <w:rFonts w:ascii="Arial" w:hAnsi="Arial" w:cs="Arial"/>
        </w:rPr>
        <w:t>&lt;ESMA_QUESTION_FRANDT_4&gt;</w:t>
      </w:r>
    </w:p>
    <w:p w14:paraId="677E54E9" w14:textId="77777777" w:rsidR="007634C8" w:rsidRDefault="007634C8" w:rsidP="007634C8">
      <w:pPr>
        <w:rPr>
          <w:rFonts w:ascii="Arial" w:hAnsi="Arial" w:cs="Arial"/>
        </w:rPr>
      </w:pPr>
      <w:permStart w:id="16784335" w:edGrp="everyone"/>
      <w:r>
        <w:rPr>
          <w:rFonts w:ascii="Arial" w:hAnsi="Arial" w:cs="Arial"/>
        </w:rPr>
        <w:t>TYPE YOUR TEXT HERE</w:t>
      </w:r>
    </w:p>
    <w:permEnd w:id="16784335"/>
    <w:p w14:paraId="748C53A5" w14:textId="77777777" w:rsidR="007634C8" w:rsidRDefault="007634C8" w:rsidP="007634C8">
      <w:pPr>
        <w:rPr>
          <w:rFonts w:ascii="Arial" w:hAnsi="Arial" w:cs="Arial"/>
        </w:rPr>
      </w:pPr>
      <w:r>
        <w:rPr>
          <w:rFonts w:ascii="Arial" w:hAnsi="Arial" w:cs="Arial"/>
        </w:rPr>
        <w:t>&lt;ESMA_QUESTION_FRANDT_4&gt;</w:t>
      </w:r>
    </w:p>
    <w:p w14:paraId="4671DB73" w14:textId="77777777" w:rsidR="007634C8" w:rsidRDefault="007634C8" w:rsidP="007634C8">
      <w:pPr>
        <w:rPr>
          <w:rFonts w:ascii="Arial" w:hAnsi="Arial" w:cs="Arial"/>
        </w:rPr>
      </w:pPr>
    </w:p>
    <w:p w14:paraId="18FCA405" w14:textId="77777777" w:rsidR="007634C8" w:rsidRDefault="007634C8" w:rsidP="007634C8">
      <w:pPr>
        <w:pStyle w:val="Questionstyle"/>
        <w:numPr>
          <w:ilvl w:val="0"/>
          <w:numId w:val="9"/>
        </w:numPr>
        <w:spacing w:after="250" w:line="276" w:lineRule="auto"/>
      </w:pPr>
      <w:r>
        <w:t>: Do you identify other benefits and costs not mentioned above associated to the proposed approach (option 2)? If you advocated for a different approach, how would it impact this section on the impact assessment? Please provide details. </w:t>
      </w:r>
    </w:p>
    <w:p w14:paraId="2F2D141B" w14:textId="77777777" w:rsidR="007634C8" w:rsidRDefault="007634C8" w:rsidP="007634C8">
      <w:pPr>
        <w:rPr>
          <w:rFonts w:ascii="Arial" w:hAnsi="Arial" w:cs="Arial"/>
        </w:rPr>
      </w:pPr>
      <w:r>
        <w:rPr>
          <w:rFonts w:ascii="Arial" w:hAnsi="Arial" w:cs="Arial"/>
        </w:rPr>
        <w:t>&lt;ESMA_QUESTION_FRANDT_5&gt;</w:t>
      </w:r>
    </w:p>
    <w:p w14:paraId="6F6923CD" w14:textId="77777777" w:rsidR="007634C8" w:rsidRDefault="007634C8" w:rsidP="007634C8">
      <w:pPr>
        <w:rPr>
          <w:rFonts w:ascii="Arial" w:hAnsi="Arial" w:cs="Arial"/>
        </w:rPr>
      </w:pPr>
      <w:permStart w:id="781584278" w:edGrp="everyone"/>
      <w:r>
        <w:rPr>
          <w:rFonts w:ascii="Arial" w:hAnsi="Arial" w:cs="Arial"/>
        </w:rPr>
        <w:t>TYPE YOUR TEXT HERE</w:t>
      </w:r>
    </w:p>
    <w:permEnd w:id="781584278"/>
    <w:p w14:paraId="2F8F6111" w14:textId="77777777" w:rsidR="007634C8" w:rsidRDefault="007634C8" w:rsidP="007634C8">
      <w:pPr>
        <w:rPr>
          <w:rFonts w:ascii="Arial" w:hAnsi="Arial" w:cs="Arial"/>
        </w:rPr>
      </w:pPr>
      <w:r>
        <w:rPr>
          <w:rFonts w:ascii="Arial" w:hAnsi="Arial" w:cs="Arial"/>
        </w:rPr>
        <w:t>&lt;ESMA_QUESTION_FRANDT_5&gt;</w:t>
      </w:r>
    </w:p>
    <w:p w14:paraId="2A8B8ABD" w14:textId="77777777" w:rsidR="007634C8" w:rsidRDefault="007634C8" w:rsidP="007634C8">
      <w:pPr>
        <w:rPr>
          <w:rFonts w:ascii="Arial" w:hAnsi="Arial" w:cs="Arial"/>
        </w:rPr>
      </w:pPr>
    </w:p>
    <w:p w14:paraId="46564C07" w14:textId="77777777" w:rsidR="007634C8" w:rsidRPr="007B52B2" w:rsidRDefault="007634C8" w:rsidP="007634C8">
      <w:pPr>
        <w:rPr>
          <w:rFonts w:ascii="Arial" w:hAnsi="Arial" w:cs="Arial"/>
        </w:rPr>
      </w:pPr>
    </w:p>
    <w:p w14:paraId="0F6B052D" w14:textId="5D1998FE" w:rsidR="00BE0B46" w:rsidRDefault="00BE0B46" w:rsidP="00C1698A">
      <w:pPr>
        <w:spacing w:line="276" w:lineRule="auto"/>
        <w:rPr>
          <w:rFonts w:asciiTheme="minorHAnsi" w:hAnsiTheme="minorHAnsi" w:cstheme="minorHAnsi"/>
          <w:b/>
          <w:sz w:val="28"/>
          <w:szCs w:val="28"/>
        </w:rPr>
      </w:pPr>
    </w:p>
    <w:sectPr w:rsidR="00BE0B46" w:rsidSect="00C85C8B">
      <w:headerReference w:type="default" r:id="rId21"/>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1809F" w14:textId="77777777" w:rsidR="00A14150" w:rsidRDefault="00A14150" w:rsidP="007E7997">
      <w:r>
        <w:separator/>
      </w:r>
    </w:p>
  </w:endnote>
  <w:endnote w:type="continuationSeparator" w:id="0">
    <w:p w14:paraId="3E94EEBA" w14:textId="77777777" w:rsidR="00A14150" w:rsidRDefault="00A14150" w:rsidP="007E7997">
      <w:r>
        <w:continuationSeparator/>
      </w:r>
    </w:p>
  </w:endnote>
  <w:endnote w:type="continuationNotice" w:id="1">
    <w:p w14:paraId="2CB7E42E" w14:textId="77777777" w:rsidR="00A14150" w:rsidRDefault="00A14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F3915" w14:textId="5B409BB3"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4E2B62">
      <w:rPr>
        <w:rFonts w:asciiTheme="majorHAnsi" w:hAnsiTheme="majorHAnsi"/>
        <w:color w:val="FFFFFF" w:themeColor="background1"/>
      </w:rPr>
      <w:t>3</w:t>
    </w:r>
    <w:r w:rsidR="0090520E">
      <w:rPr>
        <w:rFonts w:asciiTheme="majorHAnsi" w:hAnsiTheme="majorHAnsi"/>
        <w:color w:val="FFFFFF" w:themeColor="background1"/>
      </w:rPr>
      <w:t xml:space="preserve"> October </w:t>
    </w:r>
    <w:r w:rsidR="00AB6157">
      <w:rPr>
        <w:rFonts w:asciiTheme="majorHAnsi" w:hAnsiTheme="majorHAnsi"/>
        <w:color w:val="FFFFFF" w:themeColor="background1"/>
      </w:rPr>
      <w:t>2019</w:t>
    </w:r>
    <w:r w:rsidR="00FF6930">
      <w:rPr>
        <w:rFonts w:asciiTheme="majorHAnsi" w:hAnsiTheme="majorHAnsi"/>
        <w:color w:val="FFFFFF" w:themeColor="background1"/>
      </w:rPr>
      <w:t xml:space="preserve"> </w:t>
    </w:r>
    <w:r w:rsidR="00FF6930" w:rsidRPr="00A17284">
      <w:rPr>
        <w:rFonts w:asciiTheme="majorHAnsi" w:hAnsiTheme="majorHAnsi"/>
        <w:color w:val="FFFFFF" w:themeColor="background1"/>
      </w:rPr>
      <w:t>ESMA</w:t>
    </w:r>
    <w:r w:rsidR="00A17284">
      <w:rPr>
        <w:rFonts w:asciiTheme="majorHAnsi" w:hAnsiTheme="majorHAnsi"/>
        <w:color w:val="FFFFFF" w:themeColor="background1"/>
      </w:rPr>
      <w:t>70-15</w:t>
    </w:r>
    <w:r w:rsidR="0090520E">
      <w:rPr>
        <w:rFonts w:asciiTheme="majorHAnsi" w:hAnsiTheme="majorHAnsi"/>
        <w:color w:val="FFFFFF" w:themeColor="background1"/>
      </w:rPr>
      <w:t>1-</w:t>
    </w:r>
    <w:r w:rsidR="004E2B62">
      <w:rPr>
        <w:rFonts w:asciiTheme="majorHAnsi" w:hAnsiTheme="majorHAnsi"/>
        <w:color w:val="FFFFFF" w:themeColor="background1"/>
      </w:rPr>
      <w:t>2758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752247"/>
      <w:docPartObj>
        <w:docPartGallery w:val="Page Numbers (Bottom of Page)"/>
        <w:docPartUnique/>
      </w:docPartObj>
    </w:sdtPr>
    <w:sdtEndPr>
      <w:rPr>
        <w:noProof/>
      </w:rPr>
    </w:sdtEndPr>
    <w:sdtContent>
      <w:p w14:paraId="4C9B3DBF" w14:textId="261A08DA" w:rsidR="00E36813" w:rsidRDefault="00E36813">
        <w:pPr>
          <w:pStyle w:val="Footer"/>
          <w:jc w:val="center"/>
        </w:pPr>
        <w:r>
          <w:fldChar w:fldCharType="begin"/>
        </w:r>
        <w:r>
          <w:instrText xml:space="preserve"> PAGE   \* MERGEFORMAT </w:instrText>
        </w:r>
        <w:r>
          <w:fldChar w:fldCharType="separate"/>
        </w:r>
        <w:r w:rsidR="0075463D">
          <w:rPr>
            <w:noProof/>
          </w:rPr>
          <w:t>3</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12AF9" w14:textId="77777777" w:rsidR="00A14150" w:rsidRDefault="00A14150" w:rsidP="007E7997">
      <w:r>
        <w:separator/>
      </w:r>
    </w:p>
  </w:footnote>
  <w:footnote w:type="continuationSeparator" w:id="0">
    <w:p w14:paraId="5F478404" w14:textId="77777777" w:rsidR="00A14150" w:rsidRDefault="00A14150" w:rsidP="007E7997">
      <w:r>
        <w:continuationSeparator/>
      </w:r>
    </w:p>
  </w:footnote>
  <w:footnote w:type="continuationNotice" w:id="1">
    <w:p w14:paraId="07E6600E" w14:textId="77777777" w:rsidR="00A14150" w:rsidRDefault="00A14150"/>
  </w:footnote>
  <w:footnote w:id="2">
    <w:p w14:paraId="52ED1EB0" w14:textId="3203067B" w:rsidR="00994606" w:rsidRDefault="00994606" w:rsidP="00994606">
      <w:pPr>
        <w:pStyle w:val="FootnoteText"/>
      </w:pPr>
      <w:r>
        <w:rPr>
          <w:rStyle w:val="FootnoteReference"/>
        </w:rPr>
        <w:footnoteRef/>
      </w:r>
      <w:r w:rsidR="00FE75C0">
        <w:t xml:space="preserve"> </w:t>
      </w:r>
      <w:r>
        <w:t xml:space="preserve">See </w:t>
      </w:r>
      <w:r w:rsidR="00FE75C0">
        <w:t xml:space="preserve">also </w:t>
      </w:r>
      <w:r>
        <w:t>§23.605(d), 77 Fed. Reg. 20128 at page 20211, available at:</w:t>
      </w:r>
    </w:p>
    <w:p w14:paraId="7972C99C" w14:textId="12DCA9C8" w:rsidR="00994606" w:rsidRPr="00994606" w:rsidRDefault="0075463D" w:rsidP="00994606">
      <w:pPr>
        <w:pStyle w:val="FootnoteText"/>
        <w:rPr>
          <w:lang w:val="en-US"/>
        </w:rPr>
      </w:pPr>
      <w:hyperlink r:id="rId1" w:history="1">
        <w:r w:rsidR="00994606" w:rsidRPr="00820C44">
          <w:rPr>
            <w:rStyle w:val="Hyperlink"/>
          </w:rPr>
          <w:t>http://www.cftc.gov/idc/groups/public/@lrfederalregister/documents/file/2012-5317a.pdf</w:t>
        </w:r>
      </w:hyperlink>
      <w:r w:rsidR="00994606">
        <w:t>.</w:t>
      </w:r>
      <w:r w:rsidR="00D9235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1035" w14:textId="77777777" w:rsidR="00E36813" w:rsidRDefault="00E36813">
    <w:pPr>
      <w:pStyle w:val="Header"/>
    </w:pPr>
    <w:r>
      <w:rPr>
        <w:noProof/>
        <w:lang w:val="en-US" w:eastAsia="en-US"/>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B6EC4" w14:textId="5E62980F" w:rsidR="00E36813" w:rsidRDefault="00E36813" w:rsidP="00B50534">
    <w:pPr>
      <w:pStyle w:val="Header"/>
      <w:jc w:val="right"/>
      <w:rPr>
        <w:b/>
        <w:color w:val="FF0000"/>
      </w:rPr>
    </w:pPr>
    <w:r w:rsidRPr="008D5F86">
      <w:rPr>
        <w:rFonts w:ascii="Arial" w:hAnsi="Arial" w:cs="Arial"/>
        <w:noProof/>
        <w:lang w:val="en-US" w:eastAsia="en-US"/>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DCCAA18"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21FF53CF"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lang w:val="en-US" w:eastAsia="en-US"/>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GB" w:vendorID="64" w:dllVersion="131078" w:nlCheck="1" w:checkStyle="1"/>
  <w:proofState w:spelling="clean"/>
  <w:attachedTemplate r:id="rId1"/>
  <w:documentProtection w:edit="readOnly" w:enforcement="1" w:cryptProviderType="rsaAES" w:cryptAlgorithmClass="hash" w:cryptAlgorithmType="typeAny" w:cryptAlgorithmSid="14" w:cryptSpinCount="100000" w:hash="U1rVclwcpWuCSR5/9U0wHH+W+F4uGoIN7R0ocpoAuKgngNtsLhUS6LNdyKaC0mVuP8G3jqmSNoMvTQqxV0ujYA==" w:salt="9FyX6ID89o/773uuf+4s0w=="/>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0C11"/>
    <w:rsid w:val="001735B8"/>
    <w:rsid w:val="00177AA7"/>
    <w:rsid w:val="00180917"/>
    <w:rsid w:val="00180E53"/>
    <w:rsid w:val="00181CB7"/>
    <w:rsid w:val="001862A5"/>
    <w:rsid w:val="00186A70"/>
    <w:rsid w:val="00191035"/>
    <w:rsid w:val="001918E5"/>
    <w:rsid w:val="00191EBB"/>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0938"/>
    <w:rsid w:val="00224806"/>
    <w:rsid w:val="00232F8E"/>
    <w:rsid w:val="00233071"/>
    <w:rsid w:val="00235E99"/>
    <w:rsid w:val="0024299F"/>
    <w:rsid w:val="00244792"/>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6B03"/>
    <w:rsid w:val="00307397"/>
    <w:rsid w:val="003101EF"/>
    <w:rsid w:val="003109DB"/>
    <w:rsid w:val="00312BDD"/>
    <w:rsid w:val="00314117"/>
    <w:rsid w:val="00317EDF"/>
    <w:rsid w:val="003279E7"/>
    <w:rsid w:val="00327B62"/>
    <w:rsid w:val="00330C46"/>
    <w:rsid w:val="00331FE9"/>
    <w:rsid w:val="0033324D"/>
    <w:rsid w:val="0033587C"/>
    <w:rsid w:val="00336BF9"/>
    <w:rsid w:val="003371E8"/>
    <w:rsid w:val="00337471"/>
    <w:rsid w:val="0034151D"/>
    <w:rsid w:val="00342B5B"/>
    <w:rsid w:val="00343532"/>
    <w:rsid w:val="00345469"/>
    <w:rsid w:val="003454ED"/>
    <w:rsid w:val="00345EB9"/>
    <w:rsid w:val="00346A67"/>
    <w:rsid w:val="0035030F"/>
    <w:rsid w:val="00353C4B"/>
    <w:rsid w:val="003545A6"/>
    <w:rsid w:val="00356C60"/>
    <w:rsid w:val="003578D1"/>
    <w:rsid w:val="00366D42"/>
    <w:rsid w:val="0036748C"/>
    <w:rsid w:val="00372615"/>
    <w:rsid w:val="00373A3C"/>
    <w:rsid w:val="00373A7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168D"/>
    <w:rsid w:val="003C481D"/>
    <w:rsid w:val="003C4EB5"/>
    <w:rsid w:val="003D2CED"/>
    <w:rsid w:val="003D344A"/>
    <w:rsid w:val="003D3BB8"/>
    <w:rsid w:val="003D43C6"/>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4CE6"/>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465A"/>
    <w:rsid w:val="00455577"/>
    <w:rsid w:val="00456795"/>
    <w:rsid w:val="00456E15"/>
    <w:rsid w:val="00461CC8"/>
    <w:rsid w:val="00462B2F"/>
    <w:rsid w:val="00465EAA"/>
    <w:rsid w:val="004708CA"/>
    <w:rsid w:val="004709E7"/>
    <w:rsid w:val="00470ADE"/>
    <w:rsid w:val="004712C7"/>
    <w:rsid w:val="004759EB"/>
    <w:rsid w:val="00477919"/>
    <w:rsid w:val="00482611"/>
    <w:rsid w:val="00482A27"/>
    <w:rsid w:val="00487DCE"/>
    <w:rsid w:val="00492682"/>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B62"/>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276D5"/>
    <w:rsid w:val="0053050A"/>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461"/>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3D66"/>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2DE4"/>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17EA"/>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63D"/>
    <w:rsid w:val="00754B57"/>
    <w:rsid w:val="0075671D"/>
    <w:rsid w:val="0076002F"/>
    <w:rsid w:val="0076038B"/>
    <w:rsid w:val="00761744"/>
    <w:rsid w:val="007634C8"/>
    <w:rsid w:val="00764582"/>
    <w:rsid w:val="00765FA3"/>
    <w:rsid w:val="00766961"/>
    <w:rsid w:val="00766B5A"/>
    <w:rsid w:val="00767E8C"/>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11B4"/>
    <w:rsid w:val="008842F7"/>
    <w:rsid w:val="00885B94"/>
    <w:rsid w:val="0089075A"/>
    <w:rsid w:val="00890F80"/>
    <w:rsid w:val="00892BFD"/>
    <w:rsid w:val="0089338A"/>
    <w:rsid w:val="00894199"/>
    <w:rsid w:val="008948BE"/>
    <w:rsid w:val="008A1E27"/>
    <w:rsid w:val="008A2A3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50AF"/>
    <w:rsid w:val="008E7DBA"/>
    <w:rsid w:val="008F3386"/>
    <w:rsid w:val="008F3AD9"/>
    <w:rsid w:val="008F4642"/>
    <w:rsid w:val="008F4E00"/>
    <w:rsid w:val="008F761D"/>
    <w:rsid w:val="00900D44"/>
    <w:rsid w:val="00902520"/>
    <w:rsid w:val="0090520E"/>
    <w:rsid w:val="00906DC4"/>
    <w:rsid w:val="00906E30"/>
    <w:rsid w:val="0091457F"/>
    <w:rsid w:val="0091729E"/>
    <w:rsid w:val="0093261E"/>
    <w:rsid w:val="0094008E"/>
    <w:rsid w:val="00941C0C"/>
    <w:rsid w:val="009437F2"/>
    <w:rsid w:val="0094528B"/>
    <w:rsid w:val="009578C8"/>
    <w:rsid w:val="00960A8B"/>
    <w:rsid w:val="00965128"/>
    <w:rsid w:val="00973F43"/>
    <w:rsid w:val="0097785D"/>
    <w:rsid w:val="0098011D"/>
    <w:rsid w:val="00981912"/>
    <w:rsid w:val="009819C0"/>
    <w:rsid w:val="00987A75"/>
    <w:rsid w:val="00991A8A"/>
    <w:rsid w:val="00992611"/>
    <w:rsid w:val="00994303"/>
    <w:rsid w:val="00994606"/>
    <w:rsid w:val="0099526D"/>
    <w:rsid w:val="009A0054"/>
    <w:rsid w:val="009A0F6E"/>
    <w:rsid w:val="009A1BC3"/>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0C91"/>
    <w:rsid w:val="00A02199"/>
    <w:rsid w:val="00A026A4"/>
    <w:rsid w:val="00A04044"/>
    <w:rsid w:val="00A11D0C"/>
    <w:rsid w:val="00A14150"/>
    <w:rsid w:val="00A16579"/>
    <w:rsid w:val="00A17284"/>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4E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AF7EC4"/>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423"/>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4ED"/>
    <w:rsid w:val="00B648F2"/>
    <w:rsid w:val="00B64E27"/>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48E0"/>
    <w:rsid w:val="00BE567F"/>
    <w:rsid w:val="00BF0A29"/>
    <w:rsid w:val="00BF25CD"/>
    <w:rsid w:val="00BF5553"/>
    <w:rsid w:val="00BF6049"/>
    <w:rsid w:val="00BF75CD"/>
    <w:rsid w:val="00C00F1C"/>
    <w:rsid w:val="00C0346D"/>
    <w:rsid w:val="00C0358F"/>
    <w:rsid w:val="00C03BB0"/>
    <w:rsid w:val="00C041CF"/>
    <w:rsid w:val="00C0696A"/>
    <w:rsid w:val="00C1008F"/>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3A70"/>
    <w:rsid w:val="00C76054"/>
    <w:rsid w:val="00C779A2"/>
    <w:rsid w:val="00C80546"/>
    <w:rsid w:val="00C83CAD"/>
    <w:rsid w:val="00C8419E"/>
    <w:rsid w:val="00C851D7"/>
    <w:rsid w:val="00C85C8B"/>
    <w:rsid w:val="00C867AD"/>
    <w:rsid w:val="00C87F9F"/>
    <w:rsid w:val="00C901E4"/>
    <w:rsid w:val="00C94615"/>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3AA5"/>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042"/>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2350"/>
    <w:rsid w:val="00D978C6"/>
    <w:rsid w:val="00DA03F6"/>
    <w:rsid w:val="00DA134A"/>
    <w:rsid w:val="00DA1A2E"/>
    <w:rsid w:val="00DA3413"/>
    <w:rsid w:val="00DA426E"/>
    <w:rsid w:val="00DA4339"/>
    <w:rsid w:val="00DA4B1B"/>
    <w:rsid w:val="00DA4EFC"/>
    <w:rsid w:val="00DA648D"/>
    <w:rsid w:val="00DA726D"/>
    <w:rsid w:val="00DB40BD"/>
    <w:rsid w:val="00DB4B8E"/>
    <w:rsid w:val="00DB4F4B"/>
    <w:rsid w:val="00DC070F"/>
    <w:rsid w:val="00DC3858"/>
    <w:rsid w:val="00DC3A57"/>
    <w:rsid w:val="00DC7059"/>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393D"/>
    <w:rsid w:val="00EA5DE1"/>
    <w:rsid w:val="00EB0C86"/>
    <w:rsid w:val="00EB0E16"/>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82E52"/>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158"/>
    <w:rsid w:val="00FD2677"/>
    <w:rsid w:val="00FD28B8"/>
    <w:rsid w:val="00FE0BD8"/>
    <w:rsid w:val="00FE1709"/>
    <w:rsid w:val="00FE1FC9"/>
    <w:rsid w:val="00FE75C0"/>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44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https://www.sullcrom.com/siteFiles/Publications/SC_Publication_CFTC_Adopts_Internal_Business_Conduct_Rule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sma.europa.eu/about-esma/data-protec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cftc.gov/idc/groups/public/@lrfederalregister/documents/file/2012-5317a.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4" ma:contentTypeDescription="" ma:contentTypeScope="" ma:versionID="6c22cca56ce01193b119cc2461a23d90">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ba296c37c96e7e7129886a0b5426a" ns2:_="" ns3:_="">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ESMA70-151-2758</_dlc_DocId>
    <TaxCatchAll xmlns="20fbe147-bbda-4e53-b6b1-7e8bbff3fe19">
      <Value>4</Value>
      <Value>25</Value>
      <Value>212</Value>
      <Value>165</Value>
    </TaxCatchAll>
    <_dlc_DocIdUrl xmlns="20fbe147-bbda-4e53-b6b1-7e8bbff3fe19">
      <Url>https://sherpa.esma.europa.eu/sites/MKT/PTR/_layouts/15/DocIdRedir.aspx?ID=ESMA70-151-2758</Url>
      <Description>ESMA70-151-2758</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EMIR</TermName>
          <TermId xmlns="http://schemas.microsoft.com/office/infopath/2007/PartnerControls">79202087-eb2d-40a2-b85c-d4f7da6c50df</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667C590C-0952-4EAA-B055-3E76033E1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4.xml><?xml version="1.0" encoding="utf-8"?>
<ds:datastoreItem xmlns:ds="http://schemas.openxmlformats.org/officeDocument/2006/customXml" ds:itemID="{8337F5EE-E87B-49CE-96B5-F95CE63A0DF2}">
  <ds:schemaRefs>
    <ds:schemaRef ds:uri="http://purl.org/dc/terms/"/>
    <ds:schemaRef ds:uri="http://schemas.microsoft.com/office/2006/documentManagement/types"/>
    <ds:schemaRef ds:uri="http://purl.org/dc/elements/1.1/"/>
    <ds:schemaRef ds:uri="20fbe147-bbda-4e53-b6b1-7e8bbff3fe19"/>
    <ds:schemaRef ds:uri="http://schemas.microsoft.com/sharepoint/v4"/>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4AA76FE7-9963-41F4-9FD1-023286FF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1149</TotalTime>
  <Pages>7</Pages>
  <Words>1328</Words>
  <Characters>7575</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Platt, Jonah</cp:lastModifiedBy>
  <cp:revision>26</cp:revision>
  <cp:lastPrinted>2019-10-03T14:20:00Z</cp:lastPrinted>
  <dcterms:created xsi:type="dcterms:W3CDTF">2019-10-17T16:21:00Z</dcterms:created>
  <dcterms:modified xsi:type="dcterms:W3CDTF">2019-11-21T16:14:00Z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25;#Public|a0c619ff-bd46-48f0-b213-6b7c03fe156d</vt:lpwstr>
  </property>
  <property fmtid="{D5CDD505-2E9C-101B-9397-08002B2CF9AE}" pid="4" name="ContentTypeId">
    <vt:lpwstr>0x01010001BD15C3986B91498E0AE644B715B9EE01080087D15FE546E30B45B9BBC45FA14F869C</vt:lpwstr>
  </property>
  <property fmtid="{D5CDD505-2E9C-101B-9397-08002B2CF9AE}" pid="5" name="_dlc_DocIdItemGuid">
    <vt:lpwstr>ad3a0656-fa11-4f19-bc0e-3d747e0ee69c</vt:lpwstr>
  </property>
  <property fmtid="{D5CDD505-2E9C-101B-9397-08002B2CF9AE}" pid="6" name="DocumentType">
    <vt:lpwstr>165;#Form / Request|efe27f23-61a2-47e7-916e-544dd02c80f4</vt:lpwstr>
  </property>
  <property fmtid="{D5CDD505-2E9C-101B-9397-08002B2CF9AE}" pid="7" name="Topic">
    <vt:lpwstr>212;#EMIR|79202087-eb2d-40a2-b85c-d4f7da6c50df</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4;#Post-Trading|edaa1ce6-4b9b-4aac-a462-2b226ce43f53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
  </property>
</Properties>
</file>