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128" w:type="dxa"/>
            <w:tblLayout w:type="fixed"/>
            <w:tblCellMar>
              <w:left w:w="0" w:type="dxa"/>
              <w:right w:w="0" w:type="dxa"/>
            </w:tblCellMar>
            <w:tblLook w:val="01E0" w:firstRow="1" w:lastRow="1" w:firstColumn="1" w:lastColumn="1" w:noHBand="0" w:noVBand="0"/>
          </w:tblPr>
          <w:tblGrid>
            <w:gridCol w:w="10128"/>
          </w:tblGrid>
          <w:tr w:rsidR="00AF2EF7" w:rsidRPr="00B8572C" w14:paraId="55D8B106" w14:textId="77777777" w:rsidTr="00FD2158">
            <w:trPr>
              <w:trHeight w:hRule="exact" w:val="1109"/>
            </w:trPr>
            <w:tc>
              <w:tcPr>
                <w:tcW w:w="10128"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FD2158">
            <w:trPr>
              <w:trHeight w:hRule="exact" w:val="1274"/>
            </w:trPr>
            <w:tc>
              <w:tcPr>
                <w:tcW w:w="10128" w:type="dxa"/>
                <w:tcMar>
                  <w:top w:w="142" w:type="dxa"/>
                </w:tcMar>
              </w:tcPr>
              <w:p w14:paraId="26CF3934" w14:textId="08E21947" w:rsidR="00AB6157" w:rsidRPr="00B8572C" w:rsidRDefault="00FD2158" w:rsidP="0090520E">
                <w:pPr>
                  <w:pStyle w:val="Heading2"/>
                  <w:numPr>
                    <w:ilvl w:val="0"/>
                    <w:numId w:val="0"/>
                  </w:numPr>
                  <w:ind w:left="142"/>
                </w:pPr>
                <w:r w:rsidRPr="00FD2158">
                  <w:t>Draft technical advice on commercial terms for providing clearing services under EMIR (FRANDT)</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10FB09A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F176DD6"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w:t>
          </w:r>
          <w:r w:rsidRPr="00AF7EC4">
            <w:rPr>
              <w:rFonts w:asciiTheme="minorHAnsi" w:eastAsiaTheme="minorEastAsia" w:hAnsiTheme="minorHAnsi" w:cstheme="minorBidi"/>
              <w:sz w:val="22"/>
              <w:szCs w:val="20"/>
              <w:lang w:eastAsia="en-US"/>
            </w:rPr>
            <w:t xml:space="preserve">by </w:t>
          </w:r>
          <w:r w:rsidR="0090520E">
            <w:rPr>
              <w:rFonts w:asciiTheme="minorHAnsi" w:eastAsiaTheme="minorEastAsia" w:hAnsiTheme="minorHAnsi" w:cstheme="minorBidi"/>
              <w:b/>
              <w:sz w:val="22"/>
              <w:szCs w:val="20"/>
              <w:lang w:eastAsia="en-US"/>
            </w:rPr>
            <w:t>2 December 2019</w:t>
          </w:r>
          <w:r w:rsidRPr="00AF7EC4">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76A28DE4"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7634C8">
            <w:rPr>
              <w:rFonts w:eastAsiaTheme="minorEastAsia" w:cstheme="minorBidi"/>
              <w:szCs w:val="20"/>
              <w:lang w:eastAsia="en-US"/>
            </w:rPr>
            <w:t>FRANDT</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1D8D7089"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7634C8">
            <w:rPr>
              <w:rFonts w:eastAsiaTheme="minorEastAsia" w:cstheme="minorBidi"/>
              <w:szCs w:val="20"/>
              <w:lang w:eastAsia="en-US"/>
            </w:rPr>
            <w:t>FRANDT</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7634C8">
            <w:rPr>
              <w:rFonts w:eastAsiaTheme="minorEastAsia" w:cstheme="minorBidi"/>
              <w:szCs w:val="20"/>
              <w:lang w:eastAsia="en-US"/>
            </w:rPr>
            <w:t>FRANDT</w:t>
          </w:r>
          <w:r w:rsidRPr="00C85C8B">
            <w:rPr>
              <w:rFonts w:eastAsiaTheme="minorEastAsia" w:cstheme="minorBidi"/>
              <w:szCs w:val="20"/>
              <w:lang w:eastAsia="en-US"/>
            </w:rPr>
            <w:t>_ABC</w:t>
          </w:r>
          <w:r w:rsidR="007634C8">
            <w:rPr>
              <w:rFonts w:eastAsiaTheme="minorEastAsia" w:cstheme="minorBidi"/>
              <w:szCs w:val="20"/>
              <w:lang w:eastAsia="en-US"/>
            </w:rPr>
            <w:t>D</w:t>
          </w:r>
          <w:r w:rsidRPr="00C85C8B">
            <w:rPr>
              <w:rFonts w:eastAsiaTheme="minorEastAsia" w:cstheme="minorBidi"/>
              <w:szCs w:val="20"/>
              <w:lang w:eastAsia="en-US"/>
            </w:rPr>
            <w:t>_RESPONSEFORM.</w:t>
          </w:r>
        </w:p>
        <w:p w14:paraId="1A9C59D6" w14:textId="509803BB"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w:t>
          </w:r>
          <w:r w:rsidR="0045465A" w:rsidRPr="0045465A">
            <w:rPr>
              <w:rFonts w:eastAsiaTheme="minorEastAsia" w:cstheme="minorBidi"/>
              <w:szCs w:val="20"/>
              <w:lang w:eastAsia="en-US"/>
            </w:rPr>
            <w:t>Draft technical advice on commercial terms for providing clearing services under EMIR (FRANDT)</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01ABA9D1" w14:textId="77777777" w:rsidR="00244792" w:rsidRPr="00244792" w:rsidRDefault="00244792" w:rsidP="00244792">
          <w:pPr>
            <w:spacing w:after="250" w:line="276" w:lineRule="auto"/>
            <w:jc w:val="both"/>
            <w:rPr>
              <w:rFonts w:asciiTheme="minorHAnsi" w:eastAsiaTheme="minorEastAsia" w:hAnsiTheme="minorHAnsi" w:cstheme="minorBidi"/>
              <w:sz w:val="22"/>
              <w:szCs w:val="20"/>
              <w:lang w:eastAsia="en-US"/>
            </w:rPr>
          </w:pPr>
          <w:r w:rsidRPr="00244792">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19E5FEA" w14:textId="77777777" w:rsidR="00244792" w:rsidRPr="00244792" w:rsidRDefault="00244792" w:rsidP="00244792">
          <w:pPr>
            <w:spacing w:after="250" w:line="276" w:lineRule="auto"/>
            <w:jc w:val="both"/>
            <w:rPr>
              <w:rFonts w:asciiTheme="minorHAnsi" w:eastAsiaTheme="minorEastAsia" w:hAnsiTheme="minorHAnsi" w:cstheme="minorBidi"/>
              <w:b/>
              <w:sz w:val="22"/>
              <w:szCs w:val="20"/>
              <w:lang w:eastAsia="en-US"/>
            </w:rPr>
          </w:pPr>
          <w:r w:rsidRPr="00244792">
            <w:rPr>
              <w:rFonts w:asciiTheme="minorHAnsi" w:eastAsiaTheme="minorEastAsia" w:hAnsiTheme="minorHAnsi" w:cstheme="minorBidi"/>
              <w:b/>
              <w:sz w:val="22"/>
              <w:szCs w:val="20"/>
              <w:lang w:eastAsia="en-US"/>
            </w:rPr>
            <w:t>Data protection</w:t>
          </w:r>
        </w:p>
        <w:p w14:paraId="23D25533" w14:textId="77777777" w:rsidR="00244792" w:rsidRPr="00244792" w:rsidRDefault="00244792" w:rsidP="00244792">
          <w:pPr>
            <w:spacing w:after="250" w:line="276" w:lineRule="auto"/>
            <w:jc w:val="both"/>
            <w:rPr>
              <w:rFonts w:asciiTheme="minorHAnsi" w:eastAsiaTheme="minorEastAsia" w:hAnsiTheme="minorHAnsi" w:cstheme="minorBidi"/>
              <w:sz w:val="22"/>
              <w:szCs w:val="20"/>
              <w:lang w:eastAsia="en-US"/>
            </w:rPr>
          </w:pPr>
          <w:r w:rsidRPr="00244792">
            <w:rPr>
              <w:rFonts w:asciiTheme="minorHAnsi" w:eastAsiaTheme="minorEastAsia" w:hAnsiTheme="minorHAnsi" w:cstheme="minorBidi"/>
              <w:sz w:val="22"/>
              <w:szCs w:val="20"/>
              <w:lang w:eastAsia="en-US"/>
            </w:rPr>
            <w:t xml:space="preserve">Information on data protection can be found at </w:t>
          </w:r>
          <w:hyperlink r:id="rId18" w:history="1">
            <w:r w:rsidRPr="00244792">
              <w:rPr>
                <w:rStyle w:val="Hyperlink"/>
                <w:rFonts w:asciiTheme="minorHAnsi" w:eastAsiaTheme="minorEastAsia" w:hAnsiTheme="minorHAnsi" w:cstheme="minorBidi"/>
                <w:sz w:val="22"/>
                <w:szCs w:val="20"/>
                <w:lang w:eastAsia="en-US"/>
              </w:rPr>
              <w:t>www.esma.europa.eu</w:t>
            </w:r>
          </w:hyperlink>
          <w:r w:rsidRPr="00244792">
            <w:rPr>
              <w:rFonts w:asciiTheme="minorHAnsi" w:eastAsiaTheme="minorEastAsia" w:hAnsiTheme="minorHAnsi" w:cstheme="minorBidi"/>
              <w:sz w:val="22"/>
              <w:szCs w:val="20"/>
              <w:lang w:eastAsia="en-US"/>
            </w:rPr>
            <w:t xml:space="preserve"> under the heading </w:t>
          </w:r>
          <w:r w:rsidRPr="00244792">
            <w:rPr>
              <w:rFonts w:asciiTheme="minorHAnsi" w:eastAsiaTheme="minorEastAsia" w:hAnsiTheme="minorHAnsi" w:cstheme="minorBidi"/>
              <w:sz w:val="22"/>
              <w:szCs w:val="20"/>
              <w:u w:val="single"/>
              <w:lang w:eastAsia="en-US"/>
            </w:rPr>
            <w:t>‘</w:t>
          </w:r>
          <w:hyperlink r:id="rId19" w:history="1">
            <w:r w:rsidRPr="00244792">
              <w:rPr>
                <w:rStyle w:val="Hyperlink"/>
                <w:rFonts w:asciiTheme="minorHAnsi" w:eastAsiaTheme="minorEastAsia" w:hAnsiTheme="minorHAnsi" w:cstheme="minorBidi"/>
                <w:sz w:val="22"/>
                <w:szCs w:val="20"/>
                <w:lang w:eastAsia="en-US"/>
              </w:rPr>
              <w:t>Data protection</w:t>
            </w:r>
          </w:hyperlink>
          <w:r w:rsidRPr="00244792">
            <w:rPr>
              <w:rFonts w:asciiTheme="minorHAnsi" w:eastAsiaTheme="minorEastAsia" w:hAnsiTheme="minorHAnsi" w:cstheme="minorBidi"/>
              <w:sz w:val="22"/>
              <w:szCs w:val="20"/>
              <w:u w:val="single"/>
              <w:lang w:eastAsia="en-US"/>
            </w:rPr>
            <w:t>’</w:t>
          </w:r>
          <w:r w:rsidRPr="00244792">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2303DD7F" w:rsidR="00AF2EF7" w:rsidRPr="00B8572C" w:rsidRDefault="008811B4" w:rsidP="00AF2EF7">
          <w:pPr>
            <w:spacing w:after="120" w:line="276" w:lineRule="auto"/>
            <w:rPr>
              <w:rFonts w:asciiTheme="minorHAnsi" w:hAnsiTheme="minorHAnsi" w:cstheme="minorHAnsi"/>
            </w:rPr>
          </w:pPr>
          <w:r w:rsidRPr="008811B4">
            <w:rPr>
              <w:rFonts w:asciiTheme="minorHAnsi" w:eastAsiaTheme="minorEastAsia" w:hAnsiTheme="minorHAnsi" w:cstheme="minorBidi"/>
              <w:sz w:val="22"/>
              <w:szCs w:val="20"/>
              <w:lang w:eastAsia="en-US"/>
            </w:rPr>
            <w:t>All interested stakeholders are invited to respond to this consultation. In particular, responses are sought from counterparties acting (or intending to act) as clearing service providers and counterparties that are current or potential clearing clients</w:t>
          </w:r>
          <w:r>
            <w:rPr>
              <w:rFonts w:asciiTheme="minorHAnsi" w:eastAsiaTheme="minorEastAsia" w:hAnsiTheme="minorHAnsi" w:cstheme="minorBidi"/>
              <w:sz w:val="22"/>
              <w:szCs w:val="20"/>
              <w:lang w:eastAsia="en-US"/>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10A53C7C" w:rsidR="00C85C8B" w:rsidRPr="00C85C8B" w:rsidRDefault="00483618" w:rsidP="00C85C8B">
                <w:pPr>
                  <w:rPr>
                    <w:rFonts w:ascii="Arial" w:hAnsi="Arial" w:cs="Arial"/>
                    <w:color w:val="808080"/>
                    <w:sz w:val="20"/>
                    <w:lang w:eastAsia="de-DE"/>
                  </w:rPr>
                </w:pPr>
                <w:r>
                  <w:rPr>
                    <w:rFonts w:ascii="Arial" w:hAnsi="Arial" w:cs="Arial"/>
                    <w:color w:val="808080"/>
                    <w:sz w:val="20"/>
                    <w:lang w:eastAsia="de-DE"/>
                  </w:rPr>
                  <w:t>AIMA / MFA</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5DB6D93B" w:rsidR="00C85C8B" w:rsidRPr="00C85C8B" w:rsidRDefault="00483618"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ascii="Arial" w:hAnsi="Arial" w:cs="Arial"/>
                    <w:sz w:val="20"/>
                    <w:lang w:eastAsia="de-DE"/>
                  </w:rPr>
                  <w:t>Investment Services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4EB54B7D" w:rsidR="00C85C8B" w:rsidRPr="00C85C8B" w:rsidRDefault="00483618"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3FA36A95" w:rsidR="00C85C8B" w:rsidRPr="00C85C8B" w:rsidRDefault="00483618" w:rsidP="00C85C8B">
                <w:pPr>
                  <w:rPr>
                    <w:rFonts w:ascii="Arial" w:hAnsi="Arial" w:cs="Arial"/>
                    <w:sz w:val="20"/>
                    <w:lang w:eastAsia="de-DE"/>
                  </w:rPr>
                </w:pPr>
                <w:r>
                  <w:rPr>
                    <w:rFonts w:ascii="Arial" w:hAnsi="Arial" w:cs="Arial"/>
                    <w:sz w:val="20"/>
                    <w:lang w:eastAsia="de-DE"/>
                  </w:rPr>
                  <w:t>International</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1F2A020A"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7634C8" w:rsidRPr="007634C8">
        <w:rPr>
          <w:rFonts w:asciiTheme="minorHAnsi" w:eastAsiaTheme="minorEastAsia" w:hAnsiTheme="minorHAnsi" w:cstheme="minorBidi"/>
          <w:sz w:val="22"/>
          <w:szCs w:val="20"/>
          <w:lang w:eastAsia="en-US"/>
        </w:rPr>
        <w:t>FRANDT</w:t>
      </w:r>
      <w:r w:rsidRPr="00C85C8B">
        <w:rPr>
          <w:rFonts w:asciiTheme="minorHAnsi" w:eastAsiaTheme="minorEastAsia" w:hAnsiTheme="minorHAnsi" w:cstheme="minorBidi"/>
          <w:sz w:val="22"/>
          <w:szCs w:val="20"/>
          <w:lang w:eastAsia="en-US"/>
        </w:rPr>
        <w:t>_1&gt;</w:t>
      </w:r>
    </w:p>
    <w:p w14:paraId="2B89C3E3" w14:textId="77777777" w:rsidR="00483618" w:rsidRPr="005700A2" w:rsidRDefault="00483618" w:rsidP="00483618">
      <w:pPr>
        <w:jc w:val="both"/>
        <w:rPr>
          <w:rFonts w:ascii="Open Sans" w:hAnsi="Open Sans" w:cs="Open Sans"/>
          <w:sz w:val="20"/>
          <w:szCs w:val="20"/>
        </w:rPr>
      </w:pPr>
      <w:permStart w:id="885457707" w:edGrp="everyone"/>
      <w:r w:rsidRPr="005700A2">
        <w:rPr>
          <w:rFonts w:ascii="Open Sans" w:hAnsi="Open Sans" w:cs="Open Sans"/>
          <w:sz w:val="20"/>
          <w:szCs w:val="20"/>
        </w:rPr>
        <w:t>The Alternative Investment Management Association</w:t>
      </w:r>
      <w:r w:rsidRPr="005700A2">
        <w:rPr>
          <w:rStyle w:val="FootnoteReference"/>
          <w:rFonts w:ascii="Open Sans" w:hAnsi="Open Sans" w:cs="Open Sans"/>
          <w:sz w:val="20"/>
          <w:szCs w:val="20"/>
        </w:rPr>
        <w:footnoteReference w:id="2"/>
      </w:r>
      <w:r w:rsidRPr="005700A2">
        <w:rPr>
          <w:rFonts w:ascii="Open Sans" w:hAnsi="Open Sans" w:cs="Open Sans"/>
          <w:sz w:val="20"/>
          <w:szCs w:val="20"/>
        </w:rPr>
        <w:t xml:space="preserve"> (“AIMA”) and Managed Funds Association</w:t>
      </w:r>
      <w:r w:rsidRPr="005700A2">
        <w:rPr>
          <w:rStyle w:val="FootnoteReference"/>
          <w:rFonts w:ascii="Open Sans" w:hAnsi="Open Sans" w:cs="Open Sans"/>
          <w:sz w:val="20"/>
          <w:szCs w:val="20"/>
        </w:rPr>
        <w:footnoteReference w:id="3"/>
      </w:r>
      <w:r w:rsidRPr="005700A2">
        <w:rPr>
          <w:rFonts w:ascii="Open Sans" w:hAnsi="Open Sans" w:cs="Open Sans"/>
          <w:sz w:val="20"/>
          <w:szCs w:val="20"/>
        </w:rPr>
        <w:t xml:space="preserve"> (“MFA”; collectively, the “Associations”) welcome the opportunity to respond to the European Securities and Markets Authority (“ESMA”) regarding its “Consultation Paper on draft technical advice on commercial terms for providing clearing services under EMIR (FRANDT)”</w:t>
      </w:r>
      <w:r w:rsidRPr="005700A2">
        <w:rPr>
          <w:rStyle w:val="FootnoteReference"/>
          <w:rFonts w:ascii="Open Sans" w:hAnsi="Open Sans" w:cs="Open Sans"/>
          <w:sz w:val="20"/>
          <w:szCs w:val="20"/>
        </w:rPr>
        <w:footnoteReference w:id="4"/>
      </w:r>
      <w:r w:rsidRPr="005700A2">
        <w:rPr>
          <w:rFonts w:ascii="Open Sans" w:hAnsi="Open Sans" w:cs="Open Sans"/>
          <w:sz w:val="20"/>
          <w:szCs w:val="20"/>
        </w:rPr>
        <w:t xml:space="preserve"> (the </w:t>
      </w:r>
      <w:r>
        <w:rPr>
          <w:rFonts w:ascii="Open Sans" w:hAnsi="Open Sans" w:cs="Open Sans"/>
          <w:sz w:val="20"/>
          <w:szCs w:val="20"/>
        </w:rPr>
        <w:t>“</w:t>
      </w:r>
      <w:r w:rsidRPr="005700A2">
        <w:rPr>
          <w:rFonts w:ascii="Open Sans" w:hAnsi="Open Sans" w:cs="Open Sans"/>
          <w:sz w:val="20"/>
          <w:szCs w:val="20"/>
        </w:rPr>
        <w:t xml:space="preserve">CP”). </w:t>
      </w:r>
    </w:p>
    <w:p w14:paraId="5F2C9E26" w14:textId="77777777" w:rsidR="00483618" w:rsidRDefault="00483618" w:rsidP="00483618">
      <w:pPr>
        <w:jc w:val="both"/>
        <w:rPr>
          <w:rFonts w:ascii="Open Sans" w:hAnsi="Open Sans" w:cs="Open Sans"/>
          <w:sz w:val="20"/>
          <w:szCs w:val="20"/>
        </w:rPr>
      </w:pPr>
    </w:p>
    <w:p w14:paraId="4DBC0AF8" w14:textId="77777777" w:rsidR="00483618" w:rsidRPr="005700A2" w:rsidRDefault="00483618" w:rsidP="00483618">
      <w:pPr>
        <w:jc w:val="both"/>
        <w:rPr>
          <w:rFonts w:ascii="Open Sans" w:hAnsi="Open Sans" w:cs="Open Sans"/>
          <w:sz w:val="20"/>
          <w:szCs w:val="20"/>
        </w:rPr>
      </w:pPr>
      <w:r w:rsidRPr="005700A2">
        <w:rPr>
          <w:rFonts w:ascii="Open Sans" w:hAnsi="Open Sans" w:cs="Open Sans"/>
          <w:sz w:val="20"/>
          <w:szCs w:val="20"/>
        </w:rPr>
        <w:t xml:space="preserve">The Associations strongly support the change made </w:t>
      </w:r>
      <w:r>
        <w:rPr>
          <w:rFonts w:ascii="Open Sans" w:hAnsi="Open Sans" w:cs="Open Sans"/>
          <w:sz w:val="20"/>
          <w:szCs w:val="20"/>
        </w:rPr>
        <w:t>to</w:t>
      </w:r>
      <w:r w:rsidRPr="005700A2">
        <w:rPr>
          <w:rFonts w:ascii="Open Sans" w:hAnsi="Open Sans" w:cs="Open Sans"/>
          <w:sz w:val="20"/>
          <w:szCs w:val="20"/>
        </w:rPr>
        <w:t xml:space="preserve"> Article 4 of EMIR as part of the Refit</w:t>
      </w:r>
      <w:r w:rsidRPr="005700A2">
        <w:rPr>
          <w:rStyle w:val="FootnoteReference"/>
          <w:rFonts w:ascii="Open Sans" w:hAnsi="Open Sans" w:cs="Open Sans"/>
          <w:sz w:val="20"/>
          <w:szCs w:val="20"/>
        </w:rPr>
        <w:footnoteReference w:id="5"/>
      </w:r>
      <w:r w:rsidRPr="005700A2">
        <w:rPr>
          <w:rFonts w:ascii="Open Sans" w:hAnsi="Open Sans" w:cs="Open Sans"/>
          <w:sz w:val="20"/>
          <w:szCs w:val="20"/>
        </w:rPr>
        <w:t xml:space="preserve"> package to </w:t>
      </w:r>
      <w:r>
        <w:rPr>
          <w:rFonts w:ascii="Open Sans" w:hAnsi="Open Sans" w:cs="Open Sans"/>
          <w:sz w:val="20"/>
          <w:szCs w:val="20"/>
        </w:rPr>
        <w:t>require clearing services to be provided on a</w:t>
      </w:r>
      <w:r w:rsidRPr="005700A2">
        <w:rPr>
          <w:rFonts w:ascii="Open Sans" w:hAnsi="Open Sans" w:cs="Open Sans"/>
          <w:sz w:val="20"/>
          <w:szCs w:val="20"/>
        </w:rPr>
        <w:t xml:space="preserve"> “fair, reasonable, non-discriminatory and </w:t>
      </w:r>
      <w:r w:rsidRPr="005700A2">
        <w:rPr>
          <w:rFonts w:ascii="Open Sans" w:hAnsi="Open Sans" w:cs="Open Sans"/>
          <w:sz w:val="20"/>
          <w:szCs w:val="20"/>
        </w:rPr>
        <w:lastRenderedPageBreak/>
        <w:t xml:space="preserve">transparent” (“FRANDT”) </w:t>
      </w:r>
      <w:r>
        <w:rPr>
          <w:rFonts w:ascii="Open Sans" w:hAnsi="Open Sans" w:cs="Open Sans"/>
          <w:sz w:val="20"/>
          <w:szCs w:val="20"/>
        </w:rPr>
        <w:t>basis</w:t>
      </w:r>
      <w:r w:rsidRPr="005700A2">
        <w:rPr>
          <w:rFonts w:ascii="Open Sans" w:hAnsi="Open Sans" w:cs="Open Sans"/>
          <w:sz w:val="20"/>
          <w:szCs w:val="20"/>
        </w:rPr>
        <w:t xml:space="preserve">. Taken together with other recent legislative changes, notably recent developments under </w:t>
      </w:r>
      <w:r>
        <w:rPr>
          <w:rFonts w:ascii="Open Sans" w:hAnsi="Open Sans" w:cs="Open Sans"/>
          <w:sz w:val="20"/>
          <w:szCs w:val="20"/>
        </w:rPr>
        <w:t xml:space="preserve">the </w:t>
      </w:r>
      <w:r w:rsidRPr="005700A2">
        <w:rPr>
          <w:rFonts w:ascii="Open Sans" w:hAnsi="Open Sans" w:cs="Open Sans"/>
          <w:sz w:val="20"/>
          <w:szCs w:val="20"/>
        </w:rPr>
        <w:t>C</w:t>
      </w:r>
      <w:r>
        <w:rPr>
          <w:rFonts w:ascii="Open Sans" w:hAnsi="Open Sans" w:cs="Open Sans"/>
          <w:sz w:val="20"/>
          <w:szCs w:val="20"/>
        </w:rPr>
        <w:t xml:space="preserve">apital </w:t>
      </w:r>
      <w:r w:rsidRPr="005700A2">
        <w:rPr>
          <w:rFonts w:ascii="Open Sans" w:hAnsi="Open Sans" w:cs="Open Sans"/>
          <w:sz w:val="20"/>
          <w:szCs w:val="20"/>
        </w:rPr>
        <w:t>R</w:t>
      </w:r>
      <w:r>
        <w:rPr>
          <w:rFonts w:ascii="Open Sans" w:hAnsi="Open Sans" w:cs="Open Sans"/>
          <w:sz w:val="20"/>
          <w:szCs w:val="20"/>
        </w:rPr>
        <w:t xml:space="preserve">equirements </w:t>
      </w:r>
      <w:r w:rsidRPr="005700A2">
        <w:rPr>
          <w:rFonts w:ascii="Open Sans" w:hAnsi="Open Sans" w:cs="Open Sans"/>
          <w:sz w:val="20"/>
          <w:szCs w:val="20"/>
        </w:rPr>
        <w:t>R</w:t>
      </w:r>
      <w:r>
        <w:rPr>
          <w:rFonts w:ascii="Open Sans" w:hAnsi="Open Sans" w:cs="Open Sans"/>
          <w:sz w:val="20"/>
          <w:szCs w:val="20"/>
        </w:rPr>
        <w:t>egulation,</w:t>
      </w:r>
      <w:r>
        <w:rPr>
          <w:rStyle w:val="FootnoteReference"/>
          <w:rFonts w:ascii="Open Sans" w:hAnsi="Open Sans" w:cs="Open Sans"/>
          <w:sz w:val="20"/>
          <w:szCs w:val="20"/>
        </w:rPr>
        <w:footnoteReference w:id="6"/>
      </w:r>
      <w:r w:rsidRPr="005700A2">
        <w:rPr>
          <w:rFonts w:ascii="Open Sans" w:hAnsi="Open Sans" w:cs="Open Sans"/>
          <w:sz w:val="20"/>
          <w:szCs w:val="20"/>
        </w:rPr>
        <w:t xml:space="preserve"> which have clarified the </w:t>
      </w:r>
      <w:r>
        <w:rPr>
          <w:rFonts w:ascii="Open Sans" w:hAnsi="Open Sans" w:cs="Open Sans"/>
          <w:sz w:val="20"/>
          <w:szCs w:val="20"/>
        </w:rPr>
        <w:t>treatment of</w:t>
      </w:r>
      <w:r w:rsidRPr="005700A2">
        <w:rPr>
          <w:rFonts w:ascii="Open Sans" w:hAnsi="Open Sans" w:cs="Open Sans"/>
          <w:sz w:val="20"/>
          <w:szCs w:val="20"/>
        </w:rPr>
        <w:t xml:space="preserve"> </w:t>
      </w:r>
      <w:r>
        <w:rPr>
          <w:rFonts w:ascii="Open Sans" w:hAnsi="Open Sans" w:cs="Open Sans"/>
          <w:sz w:val="20"/>
          <w:szCs w:val="20"/>
        </w:rPr>
        <w:t xml:space="preserve">client </w:t>
      </w:r>
      <w:r w:rsidRPr="005700A2">
        <w:rPr>
          <w:rFonts w:ascii="Open Sans" w:hAnsi="Open Sans" w:cs="Open Sans"/>
          <w:sz w:val="20"/>
          <w:szCs w:val="20"/>
        </w:rPr>
        <w:t xml:space="preserve">margin </w:t>
      </w:r>
      <w:r>
        <w:rPr>
          <w:rFonts w:ascii="Open Sans" w:hAnsi="Open Sans" w:cs="Open Sans"/>
          <w:sz w:val="20"/>
          <w:szCs w:val="20"/>
        </w:rPr>
        <w:t>posted on centrally cleared derivatives positions</w:t>
      </w:r>
      <w:r w:rsidRPr="005700A2">
        <w:rPr>
          <w:rFonts w:ascii="Open Sans" w:hAnsi="Open Sans" w:cs="Open Sans"/>
          <w:sz w:val="20"/>
          <w:szCs w:val="20"/>
        </w:rPr>
        <w:t xml:space="preserve">, FRANDT has the potential to improve </w:t>
      </w:r>
      <w:r>
        <w:rPr>
          <w:rFonts w:ascii="Open Sans" w:hAnsi="Open Sans" w:cs="Open Sans"/>
          <w:sz w:val="20"/>
          <w:szCs w:val="20"/>
        </w:rPr>
        <w:t xml:space="preserve">significantly </w:t>
      </w:r>
      <w:r w:rsidRPr="005700A2">
        <w:rPr>
          <w:rFonts w:ascii="Open Sans" w:hAnsi="Open Sans" w:cs="Open Sans"/>
          <w:sz w:val="20"/>
          <w:szCs w:val="20"/>
        </w:rPr>
        <w:t xml:space="preserve">the </w:t>
      </w:r>
      <w:r>
        <w:rPr>
          <w:rFonts w:ascii="Open Sans" w:hAnsi="Open Sans" w:cs="Open Sans"/>
          <w:sz w:val="20"/>
          <w:szCs w:val="20"/>
        </w:rPr>
        <w:t>access of</w:t>
      </w:r>
      <w:r w:rsidRPr="005700A2">
        <w:rPr>
          <w:rFonts w:ascii="Open Sans" w:hAnsi="Open Sans" w:cs="Open Sans"/>
          <w:sz w:val="20"/>
          <w:szCs w:val="20"/>
        </w:rPr>
        <w:t xml:space="preserve"> buy-side market participants to central clearing</w:t>
      </w:r>
      <w:r>
        <w:rPr>
          <w:rFonts w:ascii="Open Sans" w:hAnsi="Open Sans" w:cs="Open Sans"/>
          <w:sz w:val="20"/>
          <w:szCs w:val="20"/>
        </w:rPr>
        <w:t xml:space="preserve"> and the terms of which such access is provided</w:t>
      </w:r>
      <w:r w:rsidRPr="005700A2">
        <w:rPr>
          <w:rFonts w:ascii="Open Sans" w:hAnsi="Open Sans" w:cs="Open Sans"/>
          <w:sz w:val="20"/>
          <w:szCs w:val="20"/>
        </w:rPr>
        <w:t xml:space="preserve">. </w:t>
      </w:r>
      <w:r>
        <w:rPr>
          <w:rFonts w:ascii="Open Sans" w:hAnsi="Open Sans" w:cs="Open Sans"/>
          <w:sz w:val="20"/>
          <w:szCs w:val="20"/>
        </w:rPr>
        <w:t xml:space="preserve"> </w:t>
      </w:r>
      <w:r w:rsidRPr="005700A2">
        <w:rPr>
          <w:rFonts w:ascii="Open Sans" w:hAnsi="Open Sans" w:cs="Open Sans"/>
          <w:sz w:val="20"/>
          <w:szCs w:val="20"/>
        </w:rPr>
        <w:t>We</w:t>
      </w:r>
      <w:r>
        <w:rPr>
          <w:rFonts w:ascii="Open Sans" w:hAnsi="Open Sans" w:cs="Open Sans"/>
          <w:sz w:val="20"/>
          <w:szCs w:val="20"/>
        </w:rPr>
        <w:t>,</w:t>
      </w:r>
      <w:r w:rsidRPr="005700A2">
        <w:rPr>
          <w:rFonts w:ascii="Open Sans" w:hAnsi="Open Sans" w:cs="Open Sans"/>
          <w:sz w:val="20"/>
          <w:szCs w:val="20"/>
        </w:rPr>
        <w:t xml:space="preserve"> therefore</w:t>
      </w:r>
      <w:r>
        <w:rPr>
          <w:rFonts w:ascii="Open Sans" w:hAnsi="Open Sans" w:cs="Open Sans"/>
          <w:sz w:val="20"/>
          <w:szCs w:val="20"/>
        </w:rPr>
        <w:t>,</w:t>
      </w:r>
      <w:r w:rsidRPr="005700A2">
        <w:rPr>
          <w:rFonts w:ascii="Open Sans" w:hAnsi="Open Sans" w:cs="Open Sans"/>
          <w:sz w:val="20"/>
          <w:szCs w:val="20"/>
        </w:rPr>
        <w:t xml:space="preserve"> welcome </w:t>
      </w:r>
      <w:r>
        <w:rPr>
          <w:rFonts w:ascii="Open Sans" w:hAnsi="Open Sans" w:cs="Open Sans"/>
          <w:sz w:val="20"/>
          <w:szCs w:val="20"/>
        </w:rPr>
        <w:t xml:space="preserve">the CP and </w:t>
      </w:r>
      <w:r w:rsidRPr="005700A2">
        <w:rPr>
          <w:rFonts w:ascii="Open Sans" w:hAnsi="Open Sans" w:cs="Open Sans"/>
          <w:sz w:val="20"/>
          <w:szCs w:val="20"/>
        </w:rPr>
        <w:t xml:space="preserve">ESMA’s work to </w:t>
      </w:r>
      <w:r>
        <w:rPr>
          <w:rFonts w:ascii="Open Sans" w:hAnsi="Open Sans" w:cs="Open Sans"/>
          <w:sz w:val="20"/>
          <w:szCs w:val="20"/>
        </w:rPr>
        <w:t>properly implement</w:t>
      </w:r>
      <w:r w:rsidRPr="005700A2">
        <w:rPr>
          <w:rFonts w:ascii="Open Sans" w:hAnsi="Open Sans" w:cs="Open Sans"/>
          <w:sz w:val="20"/>
          <w:szCs w:val="20"/>
        </w:rPr>
        <w:t xml:space="preserve"> the </w:t>
      </w:r>
      <w:r>
        <w:rPr>
          <w:rFonts w:ascii="Open Sans" w:hAnsi="Open Sans" w:cs="Open Sans"/>
          <w:sz w:val="20"/>
          <w:szCs w:val="20"/>
        </w:rPr>
        <w:t xml:space="preserve">FRANDT </w:t>
      </w:r>
      <w:r w:rsidRPr="005700A2">
        <w:rPr>
          <w:rFonts w:ascii="Open Sans" w:hAnsi="Open Sans" w:cs="Open Sans"/>
          <w:sz w:val="20"/>
          <w:szCs w:val="20"/>
        </w:rPr>
        <w:t xml:space="preserve">concept through Level 2 measures to ensure that it is effective in its goals. </w:t>
      </w:r>
    </w:p>
    <w:p w14:paraId="41FDACE7" w14:textId="77777777" w:rsidR="00483618" w:rsidRPr="005700A2" w:rsidRDefault="00483618" w:rsidP="00483618">
      <w:pPr>
        <w:jc w:val="both"/>
        <w:rPr>
          <w:rFonts w:ascii="Open Sans" w:hAnsi="Open Sans" w:cs="Open Sans"/>
          <w:sz w:val="20"/>
          <w:szCs w:val="20"/>
        </w:rPr>
      </w:pPr>
    </w:p>
    <w:p w14:paraId="3BDEE778" w14:textId="77777777" w:rsidR="00483618" w:rsidRPr="00E95C71" w:rsidRDefault="00483618" w:rsidP="00483618">
      <w:pPr>
        <w:jc w:val="both"/>
        <w:rPr>
          <w:rFonts w:ascii="Open Sans" w:hAnsi="Open Sans" w:cs="Open Sans"/>
          <w:sz w:val="20"/>
          <w:szCs w:val="20"/>
        </w:rPr>
      </w:pPr>
      <w:r>
        <w:rPr>
          <w:rFonts w:ascii="Open Sans" w:hAnsi="Open Sans" w:cs="Open Sans"/>
          <w:sz w:val="20"/>
          <w:szCs w:val="20"/>
        </w:rPr>
        <w:t xml:space="preserve">On </w:t>
      </w:r>
      <w:r w:rsidRPr="005700A2">
        <w:rPr>
          <w:rFonts w:ascii="Open Sans" w:hAnsi="Open Sans" w:cs="Open Sans"/>
          <w:sz w:val="20"/>
          <w:szCs w:val="20"/>
        </w:rPr>
        <w:t>Question 3 of the CP</w:t>
      </w:r>
      <w:r>
        <w:rPr>
          <w:rFonts w:ascii="Open Sans" w:hAnsi="Open Sans" w:cs="Open Sans"/>
          <w:sz w:val="20"/>
          <w:szCs w:val="20"/>
        </w:rPr>
        <w:t>,</w:t>
      </w:r>
      <w:r w:rsidRPr="005700A2">
        <w:rPr>
          <w:rFonts w:ascii="Open Sans" w:hAnsi="Open Sans" w:cs="Open Sans"/>
          <w:sz w:val="20"/>
          <w:szCs w:val="20"/>
        </w:rPr>
        <w:t xml:space="preserve"> ESMA asks for feedback regarding its suggestions to assist in facilitating access to clearing services. </w:t>
      </w:r>
      <w:r>
        <w:rPr>
          <w:rFonts w:ascii="Open Sans" w:hAnsi="Open Sans" w:cs="Open Sans"/>
          <w:sz w:val="20"/>
          <w:szCs w:val="20"/>
        </w:rPr>
        <w:t xml:space="preserve"> </w:t>
      </w:r>
      <w:r w:rsidRPr="005700A2">
        <w:rPr>
          <w:rFonts w:ascii="Open Sans" w:hAnsi="Open Sans" w:cs="Open Sans"/>
          <w:sz w:val="20"/>
          <w:szCs w:val="20"/>
        </w:rPr>
        <w:t>On this specific point</w:t>
      </w:r>
      <w:r>
        <w:rPr>
          <w:rFonts w:ascii="Open Sans" w:hAnsi="Open Sans" w:cs="Open Sans"/>
          <w:sz w:val="20"/>
          <w:szCs w:val="20"/>
        </w:rPr>
        <w:t>,</w:t>
      </w:r>
      <w:r w:rsidRPr="005700A2">
        <w:rPr>
          <w:rFonts w:ascii="Open Sans" w:hAnsi="Open Sans" w:cs="Open Sans"/>
          <w:sz w:val="20"/>
          <w:szCs w:val="20"/>
        </w:rPr>
        <w:t xml:space="preserve"> </w:t>
      </w:r>
      <w:r>
        <w:rPr>
          <w:rFonts w:ascii="Open Sans" w:hAnsi="Open Sans" w:cs="Open Sans"/>
          <w:sz w:val="20"/>
          <w:szCs w:val="20"/>
        </w:rPr>
        <w:t>the Associations</w:t>
      </w:r>
      <w:r w:rsidRPr="005700A2">
        <w:rPr>
          <w:rFonts w:ascii="Open Sans" w:hAnsi="Open Sans" w:cs="Open Sans"/>
          <w:sz w:val="20"/>
          <w:szCs w:val="20"/>
        </w:rPr>
        <w:t xml:space="preserve"> believe that it is critical that both the onboarding process and the commercial terms offered to the c</w:t>
      </w:r>
      <w:r>
        <w:rPr>
          <w:rFonts w:ascii="Open Sans" w:hAnsi="Open Sans" w:cs="Open Sans"/>
          <w:sz w:val="20"/>
          <w:szCs w:val="20"/>
        </w:rPr>
        <w:t>lient</w:t>
      </w:r>
      <w:r w:rsidRPr="005700A2">
        <w:rPr>
          <w:rFonts w:ascii="Open Sans" w:hAnsi="Open Sans" w:cs="Open Sans"/>
          <w:sz w:val="20"/>
          <w:szCs w:val="20"/>
        </w:rPr>
        <w:t xml:space="preserve"> are fair and transparent</w:t>
      </w:r>
      <w:r>
        <w:rPr>
          <w:rFonts w:ascii="Open Sans" w:hAnsi="Open Sans" w:cs="Open Sans"/>
          <w:sz w:val="20"/>
          <w:szCs w:val="20"/>
        </w:rPr>
        <w:t>,</w:t>
      </w:r>
      <w:r w:rsidRPr="005700A2">
        <w:rPr>
          <w:rFonts w:ascii="Open Sans" w:hAnsi="Open Sans" w:cs="Open Sans"/>
          <w:sz w:val="20"/>
          <w:szCs w:val="20"/>
        </w:rPr>
        <w:t xml:space="preserve"> and</w:t>
      </w:r>
      <w:r>
        <w:rPr>
          <w:rFonts w:ascii="Open Sans" w:hAnsi="Open Sans" w:cs="Open Sans"/>
          <w:sz w:val="20"/>
          <w:szCs w:val="20"/>
        </w:rPr>
        <w:t xml:space="preserve"> thus, we request that</w:t>
      </w:r>
      <w:r w:rsidRPr="005700A2">
        <w:rPr>
          <w:rFonts w:ascii="Open Sans" w:hAnsi="Open Sans" w:cs="Open Sans"/>
          <w:sz w:val="20"/>
          <w:szCs w:val="20"/>
        </w:rPr>
        <w:t xml:space="preserve"> ESMA consider additional requirements in this area.  </w:t>
      </w:r>
      <w:proofErr w:type="gramStart"/>
      <w:r w:rsidRPr="005700A2">
        <w:rPr>
          <w:rFonts w:ascii="Open Sans" w:hAnsi="Open Sans" w:cs="Open Sans"/>
          <w:sz w:val="20"/>
          <w:szCs w:val="20"/>
        </w:rPr>
        <w:t>In particular,</w:t>
      </w:r>
      <w:r>
        <w:rPr>
          <w:rFonts w:ascii="Open Sans" w:hAnsi="Open Sans" w:cs="Open Sans"/>
          <w:sz w:val="20"/>
          <w:szCs w:val="20"/>
        </w:rPr>
        <w:t xml:space="preserve"> we</w:t>
      </w:r>
      <w:proofErr w:type="gramEnd"/>
      <w:r>
        <w:rPr>
          <w:rFonts w:ascii="Open Sans" w:hAnsi="Open Sans" w:cs="Open Sans"/>
          <w:sz w:val="20"/>
          <w:szCs w:val="20"/>
        </w:rPr>
        <w:t xml:space="preserve"> believe that ESMA should prohibit</w:t>
      </w:r>
      <w:r w:rsidRPr="005700A2">
        <w:rPr>
          <w:rFonts w:ascii="Open Sans" w:hAnsi="Open Sans" w:cs="Open Sans"/>
          <w:sz w:val="20"/>
          <w:szCs w:val="20"/>
        </w:rPr>
        <w:t xml:space="preserve"> trading personnel from interfering with, or attempting to influence, decisions by clearing personnel with respect to whether to onboard a c</w:t>
      </w:r>
      <w:r>
        <w:rPr>
          <w:rFonts w:ascii="Open Sans" w:hAnsi="Open Sans" w:cs="Open Sans"/>
          <w:sz w:val="20"/>
          <w:szCs w:val="20"/>
        </w:rPr>
        <w:t>lient</w:t>
      </w:r>
      <w:r w:rsidRPr="005700A2">
        <w:rPr>
          <w:rFonts w:ascii="Open Sans" w:hAnsi="Open Sans" w:cs="Open Sans"/>
          <w:sz w:val="20"/>
          <w:szCs w:val="20"/>
        </w:rPr>
        <w:t xml:space="preserve"> or the commercial terms offered to such c</w:t>
      </w:r>
      <w:r>
        <w:rPr>
          <w:rFonts w:ascii="Open Sans" w:hAnsi="Open Sans" w:cs="Open Sans"/>
          <w:sz w:val="20"/>
          <w:szCs w:val="20"/>
        </w:rPr>
        <w:t>lient</w:t>
      </w:r>
      <w:r w:rsidRPr="005700A2">
        <w:rPr>
          <w:rFonts w:ascii="Open Sans" w:hAnsi="Open Sans" w:cs="Open Sans"/>
          <w:sz w:val="20"/>
          <w:szCs w:val="20"/>
        </w:rPr>
        <w:t>.  Th</w:t>
      </w:r>
      <w:r>
        <w:rPr>
          <w:rFonts w:ascii="Open Sans" w:hAnsi="Open Sans" w:cs="Open Sans"/>
          <w:sz w:val="20"/>
          <w:szCs w:val="20"/>
        </w:rPr>
        <w:t>e Level 1 text already</w:t>
      </w:r>
      <w:r w:rsidRPr="005700A2">
        <w:rPr>
          <w:rFonts w:ascii="Open Sans" w:hAnsi="Open Sans" w:cs="Open Sans"/>
          <w:sz w:val="20"/>
          <w:szCs w:val="20"/>
        </w:rPr>
        <w:t xml:space="preserve"> </w:t>
      </w:r>
      <w:r>
        <w:rPr>
          <w:rFonts w:ascii="Open Sans" w:hAnsi="Open Sans" w:cs="Open Sans"/>
          <w:sz w:val="20"/>
          <w:szCs w:val="20"/>
        </w:rPr>
        <w:t>includes a</w:t>
      </w:r>
      <w:r w:rsidRPr="005700A2">
        <w:rPr>
          <w:rFonts w:ascii="Open Sans" w:hAnsi="Open Sans" w:cs="Open Sans"/>
          <w:sz w:val="20"/>
          <w:szCs w:val="20"/>
        </w:rPr>
        <w:t xml:space="preserve"> prohibition on conflicts </w:t>
      </w:r>
      <w:r>
        <w:rPr>
          <w:rFonts w:ascii="Open Sans" w:hAnsi="Open Sans" w:cs="Open Sans"/>
          <w:sz w:val="20"/>
          <w:szCs w:val="20"/>
        </w:rPr>
        <w:t>as it relates to the</w:t>
      </w:r>
      <w:r w:rsidRPr="005700A2">
        <w:rPr>
          <w:rFonts w:ascii="Open Sans" w:hAnsi="Open Sans" w:cs="Open Sans"/>
          <w:sz w:val="20"/>
          <w:szCs w:val="20"/>
        </w:rPr>
        <w:t xml:space="preserve"> FRANDT </w:t>
      </w:r>
      <w:r>
        <w:rPr>
          <w:rFonts w:ascii="Open Sans" w:hAnsi="Open Sans" w:cs="Open Sans"/>
          <w:sz w:val="20"/>
          <w:szCs w:val="20"/>
        </w:rPr>
        <w:t>concept.</w:t>
      </w:r>
      <w:r>
        <w:rPr>
          <w:rStyle w:val="FootnoteReference"/>
          <w:rFonts w:ascii="Open Sans" w:hAnsi="Open Sans" w:cs="Open Sans"/>
          <w:sz w:val="20"/>
          <w:szCs w:val="20"/>
        </w:rPr>
        <w:footnoteReference w:id="7"/>
      </w:r>
      <w:r>
        <w:rPr>
          <w:rFonts w:ascii="Open Sans" w:hAnsi="Open Sans" w:cs="Open Sans"/>
          <w:sz w:val="20"/>
          <w:szCs w:val="20"/>
        </w:rPr>
        <w:t xml:space="preserve">  Therefore, imposition of our recommended requirement in the Level 2 measures would be</w:t>
      </w:r>
      <w:r w:rsidRPr="005700A2">
        <w:rPr>
          <w:rFonts w:ascii="Open Sans" w:hAnsi="Open Sans" w:cs="Open Sans"/>
          <w:sz w:val="20"/>
          <w:szCs w:val="20"/>
        </w:rPr>
        <w:t xml:space="preserve"> consistent with </w:t>
      </w:r>
      <w:r>
        <w:rPr>
          <w:rFonts w:ascii="Open Sans" w:hAnsi="Open Sans" w:cs="Open Sans"/>
          <w:sz w:val="20"/>
          <w:szCs w:val="20"/>
        </w:rPr>
        <w:t xml:space="preserve">the Level 1 text as well as the </w:t>
      </w:r>
      <w:r w:rsidRPr="005700A2">
        <w:rPr>
          <w:rFonts w:ascii="Open Sans" w:hAnsi="Open Sans" w:cs="Open Sans"/>
          <w:sz w:val="20"/>
          <w:szCs w:val="20"/>
        </w:rPr>
        <w:t xml:space="preserve">internal conflicts of interest requirements that </w:t>
      </w:r>
      <w:r w:rsidRPr="00E95C71">
        <w:rPr>
          <w:rFonts w:ascii="Open Sans" w:hAnsi="Open Sans" w:cs="Open Sans"/>
          <w:sz w:val="20"/>
          <w:szCs w:val="20"/>
        </w:rPr>
        <w:t>clearing members must comply with in other jurisdictions, notably the US.</w:t>
      </w:r>
      <w:r w:rsidRPr="00E95C71">
        <w:rPr>
          <w:rStyle w:val="FootnoteReference"/>
          <w:rFonts w:ascii="Open Sans" w:hAnsi="Open Sans" w:cs="Open Sans"/>
          <w:sz w:val="20"/>
          <w:szCs w:val="20"/>
        </w:rPr>
        <w:footnoteReference w:id="8"/>
      </w:r>
    </w:p>
    <w:p w14:paraId="7162C05B" w14:textId="77777777" w:rsidR="00483618" w:rsidRPr="00E95C71" w:rsidRDefault="00483618" w:rsidP="00483618">
      <w:pPr>
        <w:jc w:val="both"/>
        <w:rPr>
          <w:rFonts w:ascii="Open Sans" w:hAnsi="Open Sans" w:cs="Open Sans"/>
          <w:sz w:val="20"/>
          <w:szCs w:val="20"/>
        </w:rPr>
      </w:pPr>
    </w:p>
    <w:p w14:paraId="747A541F" w14:textId="77777777" w:rsidR="00483618" w:rsidRPr="00E95C71" w:rsidRDefault="00483618" w:rsidP="00483618">
      <w:pPr>
        <w:jc w:val="both"/>
        <w:rPr>
          <w:rFonts w:ascii="Open Sans" w:hAnsi="Open Sans" w:cs="Open Sans"/>
          <w:sz w:val="20"/>
          <w:szCs w:val="20"/>
        </w:rPr>
      </w:pPr>
      <w:r w:rsidRPr="00E95C71">
        <w:rPr>
          <w:rFonts w:ascii="Open Sans" w:hAnsi="Open Sans" w:cs="Open Sans"/>
          <w:sz w:val="20"/>
          <w:szCs w:val="20"/>
        </w:rPr>
        <w:t>Further, in the context of “</w:t>
      </w:r>
      <w:r w:rsidRPr="00402B3C">
        <w:rPr>
          <w:rFonts w:ascii="Open Sans" w:hAnsi="Open Sans" w:cs="Open Sans"/>
          <w:sz w:val="20"/>
          <w:szCs w:val="20"/>
        </w:rPr>
        <w:t xml:space="preserve">unbiased and rational contractual arrangements”, we believe that the </w:t>
      </w:r>
      <w:r>
        <w:rPr>
          <w:rFonts w:ascii="Open Sans" w:hAnsi="Open Sans" w:cs="Open Sans"/>
          <w:sz w:val="20"/>
          <w:szCs w:val="20"/>
        </w:rPr>
        <w:t xml:space="preserve">delegated act should stipulate that </w:t>
      </w:r>
      <w:r w:rsidRPr="00402B3C">
        <w:rPr>
          <w:rFonts w:ascii="Open Sans" w:hAnsi="Open Sans" w:cs="Open Sans"/>
          <w:sz w:val="20"/>
          <w:szCs w:val="20"/>
        </w:rPr>
        <w:t xml:space="preserve">clearing terms offered by clearing members should not contain terms that unnecessarily reduce clients’ rights relating to cleared derivatives compared to uncleared derivatives.  </w:t>
      </w:r>
      <w:proofErr w:type="gramStart"/>
      <w:r w:rsidRPr="00402B3C">
        <w:rPr>
          <w:rFonts w:ascii="Open Sans" w:hAnsi="Open Sans" w:cs="Open Sans"/>
          <w:sz w:val="20"/>
          <w:szCs w:val="20"/>
        </w:rPr>
        <w:t>In particular, clients</w:t>
      </w:r>
      <w:proofErr w:type="gramEnd"/>
      <w:r w:rsidRPr="00402B3C">
        <w:rPr>
          <w:rFonts w:ascii="Open Sans" w:hAnsi="Open Sans" w:cs="Open Sans"/>
          <w:sz w:val="20"/>
          <w:szCs w:val="20"/>
        </w:rPr>
        <w:t xml:space="preserve"> should not be limited in their rights to </w:t>
      </w:r>
      <w:r>
        <w:rPr>
          <w:rFonts w:ascii="Open Sans" w:hAnsi="Open Sans" w:cs="Open Sans"/>
          <w:sz w:val="20"/>
          <w:szCs w:val="20"/>
        </w:rPr>
        <w:t xml:space="preserve">make a </w:t>
      </w:r>
      <w:r w:rsidRPr="00402B3C">
        <w:rPr>
          <w:rFonts w:ascii="Open Sans" w:hAnsi="Open Sans" w:cs="Open Sans"/>
          <w:sz w:val="20"/>
          <w:szCs w:val="20"/>
        </w:rPr>
        <w:t xml:space="preserve">claim </w:t>
      </w:r>
      <w:r>
        <w:rPr>
          <w:rFonts w:ascii="Open Sans" w:hAnsi="Open Sans" w:cs="Open Sans"/>
          <w:sz w:val="20"/>
          <w:szCs w:val="20"/>
        </w:rPr>
        <w:t>against</w:t>
      </w:r>
      <w:r w:rsidRPr="00402B3C">
        <w:rPr>
          <w:rFonts w:ascii="Open Sans" w:hAnsi="Open Sans" w:cs="Open Sans"/>
          <w:sz w:val="20"/>
          <w:szCs w:val="20"/>
        </w:rPr>
        <w:t xml:space="preserve"> their clearing member</w:t>
      </w:r>
      <w:r>
        <w:rPr>
          <w:rFonts w:ascii="Open Sans" w:hAnsi="Open Sans" w:cs="Open Sans"/>
          <w:sz w:val="20"/>
          <w:szCs w:val="20"/>
        </w:rPr>
        <w:t>s</w:t>
      </w:r>
      <w:r w:rsidRPr="00402B3C">
        <w:rPr>
          <w:rFonts w:ascii="Open Sans" w:hAnsi="Open Sans" w:cs="Open Sans"/>
          <w:sz w:val="20"/>
          <w:szCs w:val="20"/>
        </w:rPr>
        <w:t xml:space="preserve"> for losses that clients incur should their clearing member be declared in default.</w:t>
      </w:r>
    </w:p>
    <w:p w14:paraId="13FA2D37" w14:textId="77777777" w:rsidR="00483618" w:rsidRDefault="00483618" w:rsidP="00483618">
      <w:pPr>
        <w:jc w:val="both"/>
        <w:rPr>
          <w:rFonts w:ascii="Open Sans" w:hAnsi="Open Sans" w:cs="Open Sans"/>
          <w:sz w:val="20"/>
          <w:szCs w:val="20"/>
        </w:rPr>
      </w:pPr>
    </w:p>
    <w:p w14:paraId="7FA54582" w14:textId="77777777" w:rsidR="00483618" w:rsidRPr="005700A2" w:rsidRDefault="00483618" w:rsidP="00483618">
      <w:pPr>
        <w:jc w:val="both"/>
        <w:rPr>
          <w:rFonts w:ascii="Open Sans" w:hAnsi="Open Sans" w:cs="Open Sans"/>
          <w:sz w:val="20"/>
          <w:szCs w:val="20"/>
        </w:rPr>
      </w:pPr>
      <w:r w:rsidRPr="005700A2">
        <w:rPr>
          <w:rFonts w:ascii="Open Sans" w:hAnsi="Open Sans" w:cs="Open Sans"/>
          <w:sz w:val="20"/>
          <w:szCs w:val="20"/>
        </w:rPr>
        <w:t>Overall, we believe that ESMA has approached its work on draft technical advice in a comprehensive and well-considered manner</w:t>
      </w:r>
      <w:r>
        <w:rPr>
          <w:rFonts w:ascii="Open Sans" w:hAnsi="Open Sans" w:cs="Open Sans"/>
          <w:sz w:val="20"/>
          <w:szCs w:val="20"/>
        </w:rPr>
        <w:t>,</w:t>
      </w:r>
      <w:r w:rsidRPr="005700A2">
        <w:rPr>
          <w:rFonts w:ascii="Open Sans" w:hAnsi="Open Sans" w:cs="Open Sans"/>
          <w:sz w:val="20"/>
          <w:szCs w:val="20"/>
        </w:rPr>
        <w:t xml:space="preserve"> and </w:t>
      </w:r>
      <w:r>
        <w:rPr>
          <w:rFonts w:ascii="Open Sans" w:hAnsi="Open Sans" w:cs="Open Sans"/>
          <w:sz w:val="20"/>
          <w:szCs w:val="20"/>
        </w:rPr>
        <w:t xml:space="preserve">the Associations </w:t>
      </w:r>
      <w:r w:rsidRPr="005700A2">
        <w:rPr>
          <w:rFonts w:ascii="Open Sans" w:hAnsi="Open Sans" w:cs="Open Sans"/>
          <w:sz w:val="20"/>
          <w:szCs w:val="20"/>
        </w:rPr>
        <w:t xml:space="preserve">welcome the level of detail that has been provided with respect to the principles associated with the FRANDT concept. </w:t>
      </w:r>
      <w:r>
        <w:rPr>
          <w:rFonts w:ascii="Open Sans" w:hAnsi="Open Sans" w:cs="Open Sans"/>
          <w:sz w:val="20"/>
          <w:szCs w:val="20"/>
        </w:rPr>
        <w:t xml:space="preserve"> </w:t>
      </w:r>
      <w:r w:rsidRPr="005700A2">
        <w:rPr>
          <w:rFonts w:ascii="Open Sans" w:hAnsi="Open Sans" w:cs="Open Sans"/>
          <w:sz w:val="20"/>
          <w:szCs w:val="20"/>
        </w:rPr>
        <w:t xml:space="preserve">We encourage ESMA and, ultimately, the European Commission to ensure that this detailed approach is reflected in the final Level 2 </w:t>
      </w:r>
      <w:r>
        <w:rPr>
          <w:rFonts w:ascii="Open Sans" w:hAnsi="Open Sans" w:cs="Open Sans"/>
          <w:sz w:val="20"/>
          <w:szCs w:val="20"/>
        </w:rPr>
        <w:t>measures.  We</w:t>
      </w:r>
      <w:r w:rsidRPr="005700A2">
        <w:rPr>
          <w:rFonts w:ascii="Open Sans" w:hAnsi="Open Sans" w:cs="Open Sans"/>
          <w:sz w:val="20"/>
          <w:szCs w:val="20"/>
        </w:rPr>
        <w:t xml:space="preserve"> also encourage </w:t>
      </w:r>
      <w:r>
        <w:rPr>
          <w:rFonts w:ascii="Open Sans" w:hAnsi="Open Sans" w:cs="Open Sans"/>
          <w:sz w:val="20"/>
          <w:szCs w:val="20"/>
        </w:rPr>
        <w:t xml:space="preserve">the </w:t>
      </w:r>
      <w:r w:rsidRPr="005700A2">
        <w:rPr>
          <w:rFonts w:ascii="Open Sans" w:hAnsi="Open Sans" w:cs="Open Sans"/>
          <w:sz w:val="20"/>
          <w:szCs w:val="20"/>
        </w:rPr>
        <w:t xml:space="preserve">National Competent Authorities (“NCAs”) to </w:t>
      </w:r>
      <w:r>
        <w:rPr>
          <w:rFonts w:ascii="Open Sans" w:hAnsi="Open Sans" w:cs="Open Sans"/>
          <w:sz w:val="20"/>
          <w:szCs w:val="20"/>
        </w:rPr>
        <w:t>pay close attention to the FRANDT provision in their supervision of clearing members and central counterparties.</w:t>
      </w:r>
    </w:p>
    <w:permEnd w:id="885457707"/>
    <w:p w14:paraId="15D00E65" w14:textId="07981F2B"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7634C8" w:rsidRPr="007634C8">
        <w:rPr>
          <w:rFonts w:asciiTheme="minorHAnsi" w:eastAsiaTheme="minorEastAsia" w:hAnsiTheme="minorHAnsi" w:cstheme="minorBidi"/>
          <w:sz w:val="22"/>
          <w:szCs w:val="20"/>
          <w:lang w:eastAsia="en-US"/>
        </w:rPr>
        <w:t>FRANDT</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15BD04BA" w:rsidR="00AB6157" w:rsidRDefault="00AB6157" w:rsidP="00C1698A">
      <w:pPr>
        <w:spacing w:line="276" w:lineRule="auto"/>
        <w:rPr>
          <w:rFonts w:asciiTheme="minorHAnsi" w:hAnsiTheme="minorHAnsi" w:cstheme="minorHAnsi"/>
          <w:b/>
          <w:sz w:val="28"/>
          <w:szCs w:val="28"/>
        </w:rPr>
      </w:pPr>
    </w:p>
    <w:bookmarkEnd w:id="0"/>
    <w:p w14:paraId="797BC345" w14:textId="77777777" w:rsidR="007634C8" w:rsidRDefault="007634C8" w:rsidP="007634C8">
      <w:pPr>
        <w:pStyle w:val="Questionstyle"/>
        <w:numPr>
          <w:ilvl w:val="0"/>
          <w:numId w:val="9"/>
        </w:numPr>
        <w:spacing w:after="250" w:line="276" w:lineRule="auto"/>
      </w:pPr>
      <w:r>
        <w:t>: Do you generally agree with the approach on transparency and how to publicly disclose fees and commercial terms and other conditions? Please elaborate and if you disagree with any specific requirement, please suggest alternative ones. You can also suggest additional ones.</w:t>
      </w:r>
    </w:p>
    <w:p w14:paraId="1BFF276A" w14:textId="77777777" w:rsidR="007634C8" w:rsidRDefault="007634C8" w:rsidP="007634C8">
      <w:pPr>
        <w:rPr>
          <w:rFonts w:ascii="Arial" w:hAnsi="Arial" w:cs="Arial"/>
        </w:rPr>
      </w:pPr>
      <w:r>
        <w:rPr>
          <w:rFonts w:ascii="Arial" w:hAnsi="Arial" w:cs="Arial"/>
        </w:rPr>
        <w:t>&lt;ESMA_QUESTION_FRANDT_1&gt;</w:t>
      </w:r>
    </w:p>
    <w:p w14:paraId="2697DA9C" w14:textId="77777777" w:rsidR="007634C8" w:rsidRDefault="007634C8" w:rsidP="007634C8">
      <w:pPr>
        <w:rPr>
          <w:rFonts w:ascii="Arial" w:hAnsi="Arial" w:cs="Arial"/>
        </w:rPr>
      </w:pPr>
      <w:permStart w:id="963859669" w:edGrp="everyone"/>
      <w:r>
        <w:rPr>
          <w:rFonts w:ascii="Arial" w:hAnsi="Arial" w:cs="Arial"/>
        </w:rPr>
        <w:t>TYPE YOUR TEXT HERE</w:t>
      </w:r>
    </w:p>
    <w:permEnd w:id="963859669"/>
    <w:p w14:paraId="2AAA68FE" w14:textId="77777777" w:rsidR="007634C8" w:rsidRDefault="007634C8" w:rsidP="007634C8">
      <w:pPr>
        <w:rPr>
          <w:rFonts w:ascii="Arial" w:hAnsi="Arial" w:cs="Arial"/>
        </w:rPr>
      </w:pPr>
      <w:r>
        <w:rPr>
          <w:rFonts w:ascii="Arial" w:hAnsi="Arial" w:cs="Arial"/>
        </w:rPr>
        <w:t>&lt;ESMA_QUESTION_FRANDT_1&gt;</w:t>
      </w:r>
    </w:p>
    <w:p w14:paraId="668A9557" w14:textId="77777777" w:rsidR="007634C8" w:rsidRDefault="007634C8" w:rsidP="007634C8">
      <w:pPr>
        <w:rPr>
          <w:rFonts w:ascii="Arial" w:hAnsi="Arial" w:cs="Arial"/>
        </w:rPr>
      </w:pPr>
    </w:p>
    <w:p w14:paraId="6D9005DE" w14:textId="77777777" w:rsidR="007634C8" w:rsidRDefault="007634C8" w:rsidP="007634C8">
      <w:pPr>
        <w:pStyle w:val="Questionstyle"/>
        <w:numPr>
          <w:ilvl w:val="0"/>
          <w:numId w:val="9"/>
        </w:numPr>
        <w:spacing w:after="250" w:line="276" w:lineRule="auto"/>
      </w:pPr>
      <w:r>
        <w:t>: Do you generally agree with the elements to be taken into consideration in the commercial terms for the provision of clearing services? Please elaborate and if you disagree with any specific element, please suggest alternative ones. You can also suggest additional ones.</w:t>
      </w:r>
    </w:p>
    <w:p w14:paraId="493DF8A1" w14:textId="77777777" w:rsidR="007634C8" w:rsidRDefault="007634C8" w:rsidP="007634C8">
      <w:pPr>
        <w:rPr>
          <w:rFonts w:ascii="Arial" w:hAnsi="Arial" w:cs="Arial"/>
        </w:rPr>
      </w:pPr>
      <w:r>
        <w:rPr>
          <w:rFonts w:ascii="Arial" w:hAnsi="Arial" w:cs="Arial"/>
        </w:rPr>
        <w:t>&lt;ESMA_QUESTION_FRANDT_2&gt;</w:t>
      </w:r>
    </w:p>
    <w:p w14:paraId="1B2173D4" w14:textId="77777777" w:rsidR="00483618" w:rsidRDefault="00483618" w:rsidP="00483618">
      <w:pPr>
        <w:jc w:val="both"/>
        <w:rPr>
          <w:rFonts w:ascii="Open Sans" w:hAnsi="Open Sans" w:cs="Open Sans"/>
          <w:sz w:val="20"/>
          <w:szCs w:val="20"/>
        </w:rPr>
      </w:pPr>
      <w:permStart w:id="1506557908" w:edGrp="everyone"/>
      <w:r>
        <w:rPr>
          <w:rFonts w:ascii="Open Sans" w:hAnsi="Open Sans" w:cs="Open Sans"/>
          <w:sz w:val="20"/>
          <w:szCs w:val="20"/>
        </w:rPr>
        <w:t>I</w:t>
      </w:r>
      <w:r w:rsidRPr="00E95C71">
        <w:rPr>
          <w:rFonts w:ascii="Open Sans" w:hAnsi="Open Sans" w:cs="Open Sans"/>
          <w:sz w:val="20"/>
          <w:szCs w:val="20"/>
        </w:rPr>
        <w:t>n the context</w:t>
      </w:r>
      <w:bookmarkStart w:id="1" w:name="_GoBack"/>
      <w:bookmarkEnd w:id="1"/>
      <w:r w:rsidRPr="00E95C71">
        <w:rPr>
          <w:rFonts w:ascii="Open Sans" w:hAnsi="Open Sans" w:cs="Open Sans"/>
          <w:sz w:val="20"/>
          <w:szCs w:val="20"/>
        </w:rPr>
        <w:t xml:space="preserve"> of “</w:t>
      </w:r>
      <w:r w:rsidRPr="00402B3C">
        <w:rPr>
          <w:rFonts w:ascii="Open Sans" w:hAnsi="Open Sans" w:cs="Open Sans"/>
          <w:sz w:val="20"/>
          <w:szCs w:val="20"/>
        </w:rPr>
        <w:t xml:space="preserve">unbiased and rational contractual arrangements”, we believe that the </w:t>
      </w:r>
      <w:r>
        <w:rPr>
          <w:rFonts w:ascii="Open Sans" w:hAnsi="Open Sans" w:cs="Open Sans"/>
          <w:sz w:val="20"/>
          <w:szCs w:val="20"/>
        </w:rPr>
        <w:t xml:space="preserve">delegated act should stipulate that </w:t>
      </w:r>
      <w:r w:rsidRPr="00402B3C">
        <w:rPr>
          <w:rFonts w:ascii="Open Sans" w:hAnsi="Open Sans" w:cs="Open Sans"/>
          <w:sz w:val="20"/>
          <w:szCs w:val="20"/>
        </w:rPr>
        <w:t xml:space="preserve">clearing terms offered by clearing members should not contain terms that unnecessarily reduce clients’ rights relating to cleared derivatives compared to uncleared derivatives.  </w:t>
      </w:r>
      <w:proofErr w:type="gramStart"/>
      <w:r w:rsidRPr="00402B3C">
        <w:rPr>
          <w:rFonts w:ascii="Open Sans" w:hAnsi="Open Sans" w:cs="Open Sans"/>
          <w:sz w:val="20"/>
          <w:szCs w:val="20"/>
        </w:rPr>
        <w:t>In particular, clients</w:t>
      </w:r>
      <w:proofErr w:type="gramEnd"/>
      <w:r w:rsidRPr="00402B3C">
        <w:rPr>
          <w:rFonts w:ascii="Open Sans" w:hAnsi="Open Sans" w:cs="Open Sans"/>
          <w:sz w:val="20"/>
          <w:szCs w:val="20"/>
        </w:rPr>
        <w:t xml:space="preserve"> should not be limited in their rights to </w:t>
      </w:r>
      <w:r>
        <w:rPr>
          <w:rFonts w:ascii="Open Sans" w:hAnsi="Open Sans" w:cs="Open Sans"/>
          <w:sz w:val="20"/>
          <w:szCs w:val="20"/>
        </w:rPr>
        <w:t xml:space="preserve">make a </w:t>
      </w:r>
      <w:r w:rsidRPr="00402B3C">
        <w:rPr>
          <w:rFonts w:ascii="Open Sans" w:hAnsi="Open Sans" w:cs="Open Sans"/>
          <w:sz w:val="20"/>
          <w:szCs w:val="20"/>
        </w:rPr>
        <w:t xml:space="preserve">claim </w:t>
      </w:r>
      <w:r>
        <w:rPr>
          <w:rFonts w:ascii="Open Sans" w:hAnsi="Open Sans" w:cs="Open Sans"/>
          <w:sz w:val="20"/>
          <w:szCs w:val="20"/>
        </w:rPr>
        <w:t>against</w:t>
      </w:r>
      <w:r w:rsidRPr="00402B3C">
        <w:rPr>
          <w:rFonts w:ascii="Open Sans" w:hAnsi="Open Sans" w:cs="Open Sans"/>
          <w:sz w:val="20"/>
          <w:szCs w:val="20"/>
        </w:rPr>
        <w:t xml:space="preserve"> their clearing member</w:t>
      </w:r>
      <w:r>
        <w:rPr>
          <w:rFonts w:ascii="Open Sans" w:hAnsi="Open Sans" w:cs="Open Sans"/>
          <w:sz w:val="20"/>
          <w:szCs w:val="20"/>
        </w:rPr>
        <w:t>s</w:t>
      </w:r>
      <w:r w:rsidRPr="00402B3C">
        <w:rPr>
          <w:rFonts w:ascii="Open Sans" w:hAnsi="Open Sans" w:cs="Open Sans"/>
          <w:sz w:val="20"/>
          <w:szCs w:val="20"/>
        </w:rPr>
        <w:t xml:space="preserve"> for losses that clients incur should their clearing member be declared in default.</w:t>
      </w:r>
    </w:p>
    <w:permEnd w:id="1506557908"/>
    <w:p w14:paraId="3E19358D" w14:textId="35806EA5" w:rsidR="007634C8" w:rsidRDefault="007634C8" w:rsidP="007634C8">
      <w:pPr>
        <w:rPr>
          <w:rFonts w:ascii="Arial" w:hAnsi="Arial" w:cs="Arial"/>
        </w:rPr>
      </w:pPr>
      <w:r>
        <w:rPr>
          <w:rFonts w:ascii="Arial" w:hAnsi="Arial" w:cs="Arial"/>
        </w:rPr>
        <w:t>&lt;ESMA_QUESTION_FRANDT_2&gt;</w:t>
      </w:r>
    </w:p>
    <w:p w14:paraId="682833AB" w14:textId="77777777" w:rsidR="007634C8" w:rsidRDefault="007634C8" w:rsidP="007634C8">
      <w:pPr>
        <w:rPr>
          <w:rFonts w:ascii="Arial" w:hAnsi="Arial" w:cs="Arial"/>
        </w:rPr>
      </w:pPr>
    </w:p>
    <w:p w14:paraId="695311F7" w14:textId="77777777" w:rsidR="007634C8" w:rsidRDefault="007634C8" w:rsidP="007634C8">
      <w:pPr>
        <w:pStyle w:val="Questionstyle"/>
        <w:numPr>
          <w:ilvl w:val="0"/>
          <w:numId w:val="9"/>
        </w:numPr>
        <w:spacing w:after="250" w:line="276" w:lineRule="auto"/>
      </w:pPr>
      <w:r>
        <w:t>: Do you generally agree with the suggestions to assist in facilitating access to clearing services? Do you generally agree with the requirements listed to ensure prices are fair, proportionate and non-discriminatory? Please elaborate and if you disagree with any specific element, please suggest alternative ones. You can also suggest additional ones.</w:t>
      </w:r>
    </w:p>
    <w:p w14:paraId="32E531AF" w14:textId="77777777" w:rsidR="007634C8" w:rsidRDefault="007634C8" w:rsidP="007634C8">
      <w:pPr>
        <w:rPr>
          <w:rFonts w:ascii="Arial" w:hAnsi="Arial" w:cs="Arial"/>
        </w:rPr>
      </w:pPr>
      <w:r>
        <w:rPr>
          <w:rFonts w:ascii="Arial" w:hAnsi="Arial" w:cs="Arial"/>
        </w:rPr>
        <w:t>&lt;ESMA_QUESTION_FRANDT_3&gt;</w:t>
      </w:r>
    </w:p>
    <w:p w14:paraId="17A08BD1" w14:textId="77777777" w:rsidR="00483618" w:rsidRPr="00E95C71" w:rsidRDefault="00483618" w:rsidP="00483618">
      <w:pPr>
        <w:jc w:val="both"/>
        <w:rPr>
          <w:rFonts w:ascii="Open Sans" w:hAnsi="Open Sans" w:cs="Open Sans"/>
          <w:sz w:val="20"/>
          <w:szCs w:val="20"/>
        </w:rPr>
      </w:pPr>
      <w:permStart w:id="842020735" w:edGrp="everyone"/>
      <w:r w:rsidRPr="005700A2">
        <w:rPr>
          <w:rFonts w:ascii="Open Sans" w:hAnsi="Open Sans" w:cs="Open Sans"/>
          <w:sz w:val="20"/>
          <w:szCs w:val="20"/>
        </w:rPr>
        <w:t>On this specific point</w:t>
      </w:r>
      <w:r>
        <w:rPr>
          <w:rFonts w:ascii="Open Sans" w:hAnsi="Open Sans" w:cs="Open Sans"/>
          <w:sz w:val="20"/>
          <w:szCs w:val="20"/>
        </w:rPr>
        <w:t>,</w:t>
      </w:r>
      <w:r w:rsidRPr="005700A2">
        <w:rPr>
          <w:rFonts w:ascii="Open Sans" w:hAnsi="Open Sans" w:cs="Open Sans"/>
          <w:sz w:val="20"/>
          <w:szCs w:val="20"/>
        </w:rPr>
        <w:t xml:space="preserve"> </w:t>
      </w:r>
      <w:r>
        <w:rPr>
          <w:rFonts w:ascii="Open Sans" w:hAnsi="Open Sans" w:cs="Open Sans"/>
          <w:sz w:val="20"/>
          <w:szCs w:val="20"/>
        </w:rPr>
        <w:t>the Associations</w:t>
      </w:r>
      <w:r w:rsidRPr="005700A2">
        <w:rPr>
          <w:rFonts w:ascii="Open Sans" w:hAnsi="Open Sans" w:cs="Open Sans"/>
          <w:sz w:val="20"/>
          <w:szCs w:val="20"/>
        </w:rPr>
        <w:t xml:space="preserve"> believe that it is critical that both the onboarding process and the commercial terms offered to the c</w:t>
      </w:r>
      <w:r>
        <w:rPr>
          <w:rFonts w:ascii="Open Sans" w:hAnsi="Open Sans" w:cs="Open Sans"/>
          <w:sz w:val="20"/>
          <w:szCs w:val="20"/>
        </w:rPr>
        <w:t>lient</w:t>
      </w:r>
      <w:r w:rsidRPr="005700A2">
        <w:rPr>
          <w:rFonts w:ascii="Open Sans" w:hAnsi="Open Sans" w:cs="Open Sans"/>
          <w:sz w:val="20"/>
          <w:szCs w:val="20"/>
        </w:rPr>
        <w:t xml:space="preserve"> are fair and transparent</w:t>
      </w:r>
      <w:r>
        <w:rPr>
          <w:rFonts w:ascii="Open Sans" w:hAnsi="Open Sans" w:cs="Open Sans"/>
          <w:sz w:val="20"/>
          <w:szCs w:val="20"/>
        </w:rPr>
        <w:t>,</w:t>
      </w:r>
      <w:r w:rsidRPr="005700A2">
        <w:rPr>
          <w:rFonts w:ascii="Open Sans" w:hAnsi="Open Sans" w:cs="Open Sans"/>
          <w:sz w:val="20"/>
          <w:szCs w:val="20"/>
        </w:rPr>
        <w:t xml:space="preserve"> and</w:t>
      </w:r>
      <w:r>
        <w:rPr>
          <w:rFonts w:ascii="Open Sans" w:hAnsi="Open Sans" w:cs="Open Sans"/>
          <w:sz w:val="20"/>
          <w:szCs w:val="20"/>
        </w:rPr>
        <w:t xml:space="preserve"> thus, we request that</w:t>
      </w:r>
      <w:r w:rsidRPr="005700A2">
        <w:rPr>
          <w:rFonts w:ascii="Open Sans" w:hAnsi="Open Sans" w:cs="Open Sans"/>
          <w:sz w:val="20"/>
          <w:szCs w:val="20"/>
        </w:rPr>
        <w:t xml:space="preserve"> ESMA consider additional requirements in this area.  </w:t>
      </w:r>
      <w:proofErr w:type="gramStart"/>
      <w:r w:rsidRPr="005700A2">
        <w:rPr>
          <w:rFonts w:ascii="Open Sans" w:hAnsi="Open Sans" w:cs="Open Sans"/>
          <w:sz w:val="20"/>
          <w:szCs w:val="20"/>
        </w:rPr>
        <w:t>In particular,</w:t>
      </w:r>
      <w:r>
        <w:rPr>
          <w:rFonts w:ascii="Open Sans" w:hAnsi="Open Sans" w:cs="Open Sans"/>
          <w:sz w:val="20"/>
          <w:szCs w:val="20"/>
        </w:rPr>
        <w:t xml:space="preserve"> we</w:t>
      </w:r>
      <w:proofErr w:type="gramEnd"/>
      <w:r>
        <w:rPr>
          <w:rFonts w:ascii="Open Sans" w:hAnsi="Open Sans" w:cs="Open Sans"/>
          <w:sz w:val="20"/>
          <w:szCs w:val="20"/>
        </w:rPr>
        <w:t xml:space="preserve"> believe that ESMA should prohibit</w:t>
      </w:r>
      <w:r w:rsidRPr="005700A2">
        <w:rPr>
          <w:rFonts w:ascii="Open Sans" w:hAnsi="Open Sans" w:cs="Open Sans"/>
          <w:sz w:val="20"/>
          <w:szCs w:val="20"/>
        </w:rPr>
        <w:t xml:space="preserve"> trading personnel from interfering with, or attempting to influence, decisions by clearing personnel with respect to whether to onboard a c</w:t>
      </w:r>
      <w:r>
        <w:rPr>
          <w:rFonts w:ascii="Open Sans" w:hAnsi="Open Sans" w:cs="Open Sans"/>
          <w:sz w:val="20"/>
          <w:szCs w:val="20"/>
        </w:rPr>
        <w:t>lient</w:t>
      </w:r>
      <w:r w:rsidRPr="005700A2">
        <w:rPr>
          <w:rFonts w:ascii="Open Sans" w:hAnsi="Open Sans" w:cs="Open Sans"/>
          <w:sz w:val="20"/>
          <w:szCs w:val="20"/>
        </w:rPr>
        <w:t xml:space="preserve"> or the commercial terms offered to such c</w:t>
      </w:r>
      <w:r>
        <w:rPr>
          <w:rFonts w:ascii="Open Sans" w:hAnsi="Open Sans" w:cs="Open Sans"/>
          <w:sz w:val="20"/>
          <w:szCs w:val="20"/>
        </w:rPr>
        <w:t>lient</w:t>
      </w:r>
      <w:r w:rsidRPr="005700A2">
        <w:rPr>
          <w:rFonts w:ascii="Open Sans" w:hAnsi="Open Sans" w:cs="Open Sans"/>
          <w:sz w:val="20"/>
          <w:szCs w:val="20"/>
        </w:rPr>
        <w:t>.  Th</w:t>
      </w:r>
      <w:r>
        <w:rPr>
          <w:rFonts w:ascii="Open Sans" w:hAnsi="Open Sans" w:cs="Open Sans"/>
          <w:sz w:val="20"/>
          <w:szCs w:val="20"/>
        </w:rPr>
        <w:t>e Level 1 text already</w:t>
      </w:r>
      <w:r w:rsidRPr="005700A2">
        <w:rPr>
          <w:rFonts w:ascii="Open Sans" w:hAnsi="Open Sans" w:cs="Open Sans"/>
          <w:sz w:val="20"/>
          <w:szCs w:val="20"/>
        </w:rPr>
        <w:t xml:space="preserve"> </w:t>
      </w:r>
      <w:r>
        <w:rPr>
          <w:rFonts w:ascii="Open Sans" w:hAnsi="Open Sans" w:cs="Open Sans"/>
          <w:sz w:val="20"/>
          <w:szCs w:val="20"/>
        </w:rPr>
        <w:t>includes a</w:t>
      </w:r>
      <w:r w:rsidRPr="005700A2">
        <w:rPr>
          <w:rFonts w:ascii="Open Sans" w:hAnsi="Open Sans" w:cs="Open Sans"/>
          <w:sz w:val="20"/>
          <w:szCs w:val="20"/>
        </w:rPr>
        <w:t xml:space="preserve"> prohibition on conflicts </w:t>
      </w:r>
      <w:r>
        <w:rPr>
          <w:rFonts w:ascii="Open Sans" w:hAnsi="Open Sans" w:cs="Open Sans"/>
          <w:sz w:val="20"/>
          <w:szCs w:val="20"/>
        </w:rPr>
        <w:t>as it relates to the</w:t>
      </w:r>
      <w:r w:rsidRPr="005700A2">
        <w:rPr>
          <w:rFonts w:ascii="Open Sans" w:hAnsi="Open Sans" w:cs="Open Sans"/>
          <w:sz w:val="20"/>
          <w:szCs w:val="20"/>
        </w:rPr>
        <w:t xml:space="preserve"> FRANDT </w:t>
      </w:r>
      <w:r>
        <w:rPr>
          <w:rFonts w:ascii="Open Sans" w:hAnsi="Open Sans" w:cs="Open Sans"/>
          <w:sz w:val="20"/>
          <w:szCs w:val="20"/>
        </w:rPr>
        <w:t>concept.</w:t>
      </w:r>
      <w:r>
        <w:rPr>
          <w:rStyle w:val="FootnoteReference"/>
          <w:rFonts w:ascii="Open Sans" w:hAnsi="Open Sans" w:cs="Open Sans"/>
          <w:sz w:val="20"/>
          <w:szCs w:val="20"/>
        </w:rPr>
        <w:footnoteReference w:id="9"/>
      </w:r>
      <w:r>
        <w:rPr>
          <w:rFonts w:ascii="Open Sans" w:hAnsi="Open Sans" w:cs="Open Sans"/>
          <w:sz w:val="20"/>
          <w:szCs w:val="20"/>
        </w:rPr>
        <w:t xml:space="preserve">  Therefore, imposition of our recommended requirement in the Level 2 measures would be</w:t>
      </w:r>
      <w:r w:rsidRPr="005700A2">
        <w:rPr>
          <w:rFonts w:ascii="Open Sans" w:hAnsi="Open Sans" w:cs="Open Sans"/>
          <w:sz w:val="20"/>
          <w:szCs w:val="20"/>
        </w:rPr>
        <w:t xml:space="preserve"> consistent with </w:t>
      </w:r>
      <w:r>
        <w:rPr>
          <w:rFonts w:ascii="Open Sans" w:hAnsi="Open Sans" w:cs="Open Sans"/>
          <w:sz w:val="20"/>
          <w:szCs w:val="20"/>
        </w:rPr>
        <w:t xml:space="preserve">the Level 1 text as well as the </w:t>
      </w:r>
      <w:r w:rsidRPr="005700A2">
        <w:rPr>
          <w:rFonts w:ascii="Open Sans" w:hAnsi="Open Sans" w:cs="Open Sans"/>
          <w:sz w:val="20"/>
          <w:szCs w:val="20"/>
        </w:rPr>
        <w:t xml:space="preserve">internal conflicts of interest requirements that </w:t>
      </w:r>
      <w:r w:rsidRPr="00E95C71">
        <w:rPr>
          <w:rFonts w:ascii="Open Sans" w:hAnsi="Open Sans" w:cs="Open Sans"/>
          <w:sz w:val="20"/>
          <w:szCs w:val="20"/>
        </w:rPr>
        <w:t>clearing members must comply with in other jurisdictions, notably the US.</w:t>
      </w:r>
      <w:r w:rsidRPr="00E95C71">
        <w:rPr>
          <w:rStyle w:val="FootnoteReference"/>
          <w:rFonts w:ascii="Open Sans" w:hAnsi="Open Sans" w:cs="Open Sans"/>
          <w:sz w:val="20"/>
          <w:szCs w:val="20"/>
        </w:rPr>
        <w:footnoteReference w:id="10"/>
      </w:r>
    </w:p>
    <w:permEnd w:id="842020735"/>
    <w:p w14:paraId="7CF98E6E" w14:textId="77777777" w:rsidR="007634C8" w:rsidRDefault="007634C8" w:rsidP="007634C8">
      <w:pPr>
        <w:rPr>
          <w:rFonts w:ascii="Arial" w:hAnsi="Arial" w:cs="Arial"/>
        </w:rPr>
      </w:pPr>
      <w:r>
        <w:rPr>
          <w:rFonts w:ascii="Arial" w:hAnsi="Arial" w:cs="Arial"/>
        </w:rPr>
        <w:t>&lt;ESMA_QUESTION_FRANDT_3&gt;</w:t>
      </w:r>
    </w:p>
    <w:p w14:paraId="0CDA0A4D" w14:textId="77777777" w:rsidR="007634C8" w:rsidRDefault="007634C8" w:rsidP="007634C8">
      <w:pPr>
        <w:rPr>
          <w:rFonts w:ascii="Arial" w:hAnsi="Arial" w:cs="Arial"/>
        </w:rPr>
      </w:pPr>
    </w:p>
    <w:p w14:paraId="23C9D4A9" w14:textId="77777777" w:rsidR="007634C8" w:rsidRDefault="007634C8" w:rsidP="007634C8">
      <w:pPr>
        <w:pStyle w:val="Questionstyle"/>
        <w:numPr>
          <w:ilvl w:val="0"/>
          <w:numId w:val="9"/>
        </w:numPr>
        <w:spacing w:after="250" w:line="276" w:lineRule="auto"/>
      </w:pPr>
      <w:r>
        <w:lastRenderedPageBreak/>
        <w:t>: Do you generally agree with the proposed elements regarding the risk control criteria? Please elaborate and if you disagree with any, please suggest alternative or additional ones.</w:t>
      </w:r>
    </w:p>
    <w:p w14:paraId="10F02313" w14:textId="77777777" w:rsidR="007634C8" w:rsidRDefault="007634C8" w:rsidP="007634C8">
      <w:pPr>
        <w:rPr>
          <w:rFonts w:ascii="Arial" w:hAnsi="Arial" w:cs="Arial"/>
        </w:rPr>
      </w:pPr>
      <w:r>
        <w:rPr>
          <w:rFonts w:ascii="Arial" w:hAnsi="Arial" w:cs="Arial"/>
        </w:rPr>
        <w:t>&lt;ESMA_QUESTION_FRANDT_4&gt;</w:t>
      </w:r>
    </w:p>
    <w:p w14:paraId="677E54E9" w14:textId="77777777" w:rsidR="007634C8" w:rsidRDefault="007634C8" w:rsidP="007634C8">
      <w:pPr>
        <w:rPr>
          <w:rFonts w:ascii="Arial" w:hAnsi="Arial" w:cs="Arial"/>
        </w:rPr>
      </w:pPr>
      <w:permStart w:id="16784335" w:edGrp="everyone"/>
      <w:r>
        <w:rPr>
          <w:rFonts w:ascii="Arial" w:hAnsi="Arial" w:cs="Arial"/>
        </w:rPr>
        <w:t>TYPE YOUR TEXT HERE</w:t>
      </w:r>
    </w:p>
    <w:permEnd w:id="16784335"/>
    <w:p w14:paraId="748C53A5" w14:textId="77777777" w:rsidR="007634C8" w:rsidRDefault="007634C8" w:rsidP="007634C8">
      <w:pPr>
        <w:rPr>
          <w:rFonts w:ascii="Arial" w:hAnsi="Arial" w:cs="Arial"/>
        </w:rPr>
      </w:pPr>
      <w:r>
        <w:rPr>
          <w:rFonts w:ascii="Arial" w:hAnsi="Arial" w:cs="Arial"/>
        </w:rPr>
        <w:t>&lt;ESMA_QUESTION_FRANDT_4&gt;</w:t>
      </w:r>
    </w:p>
    <w:p w14:paraId="4671DB73" w14:textId="77777777" w:rsidR="007634C8" w:rsidRDefault="007634C8" w:rsidP="007634C8">
      <w:pPr>
        <w:rPr>
          <w:rFonts w:ascii="Arial" w:hAnsi="Arial" w:cs="Arial"/>
        </w:rPr>
      </w:pPr>
    </w:p>
    <w:p w14:paraId="18FCA405" w14:textId="77777777" w:rsidR="007634C8" w:rsidRDefault="007634C8" w:rsidP="007634C8">
      <w:pPr>
        <w:pStyle w:val="Questionstyle"/>
        <w:numPr>
          <w:ilvl w:val="0"/>
          <w:numId w:val="9"/>
        </w:numPr>
        <w:spacing w:after="250" w:line="276" w:lineRule="auto"/>
      </w:pPr>
      <w:r>
        <w:t>: Do you identify other benefits and costs not mentioned above associated to the proposed approach (option 2)? If you advocated for a different approach, how would it impact this section on the impact assessment? Please provide details. </w:t>
      </w:r>
    </w:p>
    <w:p w14:paraId="2F2D141B" w14:textId="77777777" w:rsidR="007634C8" w:rsidRDefault="007634C8" w:rsidP="007634C8">
      <w:pPr>
        <w:rPr>
          <w:rFonts w:ascii="Arial" w:hAnsi="Arial" w:cs="Arial"/>
        </w:rPr>
      </w:pPr>
      <w:r>
        <w:rPr>
          <w:rFonts w:ascii="Arial" w:hAnsi="Arial" w:cs="Arial"/>
        </w:rPr>
        <w:t>&lt;ESMA_QUESTION_FRANDT_5&gt;</w:t>
      </w:r>
    </w:p>
    <w:p w14:paraId="6F6923CD" w14:textId="77777777" w:rsidR="007634C8" w:rsidRDefault="007634C8" w:rsidP="007634C8">
      <w:pPr>
        <w:rPr>
          <w:rFonts w:ascii="Arial" w:hAnsi="Arial" w:cs="Arial"/>
        </w:rPr>
      </w:pPr>
      <w:permStart w:id="781584278" w:edGrp="everyone"/>
      <w:r>
        <w:rPr>
          <w:rFonts w:ascii="Arial" w:hAnsi="Arial" w:cs="Arial"/>
        </w:rPr>
        <w:t>TYPE YOUR TEXT HERE</w:t>
      </w:r>
    </w:p>
    <w:permEnd w:id="781584278"/>
    <w:p w14:paraId="2F8F6111" w14:textId="77777777" w:rsidR="007634C8" w:rsidRDefault="007634C8" w:rsidP="007634C8">
      <w:pPr>
        <w:rPr>
          <w:rFonts w:ascii="Arial" w:hAnsi="Arial" w:cs="Arial"/>
        </w:rPr>
      </w:pPr>
      <w:r>
        <w:rPr>
          <w:rFonts w:ascii="Arial" w:hAnsi="Arial" w:cs="Arial"/>
        </w:rPr>
        <w:t>&lt;ESMA_QUESTION_FRANDT_5&gt;</w:t>
      </w:r>
    </w:p>
    <w:p w14:paraId="2A8B8ABD" w14:textId="77777777" w:rsidR="007634C8" w:rsidRDefault="007634C8" w:rsidP="007634C8">
      <w:pPr>
        <w:rPr>
          <w:rFonts w:ascii="Arial" w:hAnsi="Arial" w:cs="Arial"/>
        </w:rPr>
      </w:pPr>
    </w:p>
    <w:p w14:paraId="46564C07" w14:textId="77777777" w:rsidR="007634C8" w:rsidRPr="007B52B2" w:rsidRDefault="007634C8" w:rsidP="007634C8">
      <w:pPr>
        <w:rPr>
          <w:rFonts w:ascii="Arial" w:hAnsi="Arial" w:cs="Arial"/>
        </w:rPr>
      </w:pPr>
    </w:p>
    <w:p w14:paraId="0F6B052D" w14:textId="5D1998FE" w:rsidR="00BE0B46" w:rsidRDefault="00BE0B46" w:rsidP="00C1698A">
      <w:pPr>
        <w:spacing w:line="276" w:lineRule="auto"/>
        <w:rPr>
          <w:rFonts w:asciiTheme="minorHAnsi" w:hAnsiTheme="minorHAnsi" w:cstheme="minorHAnsi"/>
          <w:b/>
          <w:sz w:val="28"/>
          <w:szCs w:val="28"/>
        </w:rPr>
      </w:pPr>
    </w:p>
    <w:sectPr w:rsidR="00BE0B46"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1809F" w14:textId="77777777" w:rsidR="00A14150" w:rsidRDefault="00A14150" w:rsidP="007E7997">
      <w:r>
        <w:separator/>
      </w:r>
    </w:p>
  </w:endnote>
  <w:endnote w:type="continuationSeparator" w:id="0">
    <w:p w14:paraId="3E94EEBA" w14:textId="77777777" w:rsidR="00A14150" w:rsidRDefault="00A14150" w:rsidP="007E7997">
      <w:r>
        <w:continuationSeparator/>
      </w:r>
    </w:p>
  </w:endnote>
  <w:endnote w:type="continuationNotice" w:id="1">
    <w:p w14:paraId="2CB7E42E" w14:textId="77777777" w:rsidR="00A14150" w:rsidRDefault="00A141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Arial"/>
    <w:panose1 w:val="020B0606030504020204"/>
    <w:charset w:val="00"/>
    <w:family w:val="auto"/>
    <w:pitch w:val="variable"/>
    <w:sig w:usb0="20000A87" w:usb1="40000000"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5B409BB3"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4E2B62">
      <w:rPr>
        <w:rFonts w:asciiTheme="majorHAnsi" w:hAnsiTheme="majorHAnsi"/>
        <w:color w:val="FFFFFF" w:themeColor="background1"/>
      </w:rPr>
      <w:t>3</w:t>
    </w:r>
    <w:r w:rsidR="0090520E">
      <w:rPr>
        <w:rFonts w:asciiTheme="majorHAnsi" w:hAnsiTheme="majorHAnsi"/>
        <w:color w:val="FFFFFF" w:themeColor="background1"/>
      </w:rPr>
      <w:t xml:space="preserve"> October </w:t>
    </w:r>
    <w:r w:rsidR="00AB6157">
      <w:rPr>
        <w:rFonts w:asciiTheme="majorHAnsi" w:hAnsiTheme="majorHAnsi"/>
        <w:color w:val="FFFFFF" w:themeColor="background1"/>
      </w:rPr>
      <w:t>2019</w:t>
    </w:r>
    <w:r w:rsidR="00FF6930">
      <w:rPr>
        <w:rFonts w:asciiTheme="majorHAnsi" w:hAnsiTheme="majorHAnsi"/>
        <w:color w:val="FFFFFF" w:themeColor="background1"/>
      </w:rPr>
      <w:t xml:space="preserve"> </w:t>
    </w:r>
    <w:r w:rsidR="00FF6930" w:rsidRPr="00A17284">
      <w:rPr>
        <w:rFonts w:asciiTheme="majorHAnsi" w:hAnsiTheme="majorHAnsi"/>
        <w:color w:val="FFFFFF" w:themeColor="background1"/>
      </w:rPr>
      <w:t>ESMA</w:t>
    </w:r>
    <w:r w:rsidR="00A17284">
      <w:rPr>
        <w:rFonts w:asciiTheme="majorHAnsi" w:hAnsiTheme="majorHAnsi"/>
        <w:color w:val="FFFFFF" w:themeColor="background1"/>
      </w:rPr>
      <w:t>70-15</w:t>
    </w:r>
    <w:r w:rsidR="0090520E">
      <w:rPr>
        <w:rFonts w:asciiTheme="majorHAnsi" w:hAnsiTheme="majorHAnsi"/>
        <w:color w:val="FFFFFF" w:themeColor="background1"/>
      </w:rPr>
      <w:t>1-</w:t>
    </w:r>
    <w:r w:rsidR="004E2B62">
      <w:rPr>
        <w:rFonts w:asciiTheme="majorHAnsi" w:hAnsiTheme="majorHAnsi"/>
        <w:color w:val="FFFFFF" w:themeColor="background1"/>
      </w:rPr>
      <w:t>2758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12AF9" w14:textId="77777777" w:rsidR="00A14150" w:rsidRDefault="00A14150" w:rsidP="007E7997">
      <w:r>
        <w:separator/>
      </w:r>
    </w:p>
  </w:footnote>
  <w:footnote w:type="continuationSeparator" w:id="0">
    <w:p w14:paraId="5F478404" w14:textId="77777777" w:rsidR="00A14150" w:rsidRDefault="00A14150" w:rsidP="007E7997">
      <w:r>
        <w:continuationSeparator/>
      </w:r>
    </w:p>
  </w:footnote>
  <w:footnote w:type="continuationNotice" w:id="1">
    <w:p w14:paraId="07E6600E" w14:textId="77777777" w:rsidR="00A14150" w:rsidRDefault="00A14150"/>
  </w:footnote>
  <w:footnote w:id="2">
    <w:p w14:paraId="026884B7" w14:textId="77777777" w:rsidR="00483618" w:rsidRPr="00BD3F15" w:rsidRDefault="00483618" w:rsidP="00483618">
      <w:pPr>
        <w:pStyle w:val="FootnoteText"/>
        <w:rPr>
          <w:rFonts w:ascii="Open Sans" w:hAnsi="Open Sans" w:cs="Open Sans"/>
          <w:szCs w:val="16"/>
        </w:rPr>
      </w:pPr>
      <w:r w:rsidRPr="00BD3F15">
        <w:rPr>
          <w:rStyle w:val="FootnoteReference"/>
          <w:rFonts w:ascii="Open Sans" w:hAnsi="Open Sans" w:cs="Open Sans"/>
          <w:szCs w:val="16"/>
        </w:rPr>
        <w:footnoteRef/>
      </w:r>
      <w:r w:rsidRPr="00BD3F15">
        <w:rPr>
          <w:rFonts w:ascii="Open Sans" w:hAnsi="Open Sans" w:cs="Open Sans"/>
          <w:szCs w:val="16"/>
        </w:rPr>
        <w:t xml:space="preserve"> AIMA is the global representative of the alternative investment industry, with more than 1,900 corporate members in over 60 countries. AIMA’s fund manager members collectively manage more than $2 trillion in assets. AIMA draws upon the expertise and diversity of its membership to provide leadership in industry initiatives such as advocacy, policy and regulatory engagement, educational programs and sound practice guides. AIMA works to raise media and public awareness of the value of the industry. AIMA set up the Alternative Credit Council (“ACC”) to help firms focused in the private credit and direct lending space. The ACC currently represents over 100 members that manage $350 billion of private credit assets globally. AIMA is committed to developing skills and education standards and is a co-founder of the Chartered Alternative Investment Analyst designation (CAIA) – the first and only specialized educational standard for alternative investment specialists. AIMA is governed by its Council (Board of Directors).</w:t>
      </w:r>
    </w:p>
  </w:footnote>
  <w:footnote w:id="3">
    <w:p w14:paraId="7EB816F3" w14:textId="77777777" w:rsidR="00483618" w:rsidRPr="00BD3F15" w:rsidRDefault="00483618" w:rsidP="00483618">
      <w:pPr>
        <w:pStyle w:val="FootnoteText"/>
        <w:rPr>
          <w:rFonts w:ascii="Open Sans" w:hAnsi="Open Sans" w:cs="Open Sans"/>
          <w:szCs w:val="16"/>
        </w:rPr>
      </w:pPr>
      <w:r w:rsidRPr="00BD3F15">
        <w:rPr>
          <w:rFonts w:ascii="Open Sans" w:hAnsi="Open Sans" w:cs="Open Sans"/>
          <w:szCs w:val="16"/>
          <w:vertAlign w:val="superscript"/>
        </w:rPr>
        <w:footnoteRef/>
      </w:r>
      <w:r w:rsidRPr="00BD3F15">
        <w:rPr>
          <w:rFonts w:ascii="Open Sans" w:hAnsi="Open Sans" w:cs="Open Sans"/>
          <w:szCs w:val="16"/>
          <w:vertAlign w:val="superscript"/>
        </w:rPr>
        <w:t xml:space="preserve">  </w:t>
      </w:r>
      <w:r w:rsidRPr="00BD3F15">
        <w:rPr>
          <w:rFonts w:ascii="Open Sans" w:hAnsi="Open Sans" w:cs="Open Sans"/>
          <w:szCs w:val="16"/>
        </w:rPr>
        <w:t>Managed Funds Association (MFA) represents the global alternative investment industry and its investors by advocating for sound industry practices and public policies that foster efficient, transparent, and fair capital markets. MFA, based in Washington, DC, is an advocacy, education, and communications organization established to enable hedge fund and managed futures firms in the alternative investment industry to participate in public policy discourse, share best practices and learn from peers, and communicate the industry’s contributions to the global economy. MFA members help pension plans, university endowments, charitable organizations, qualified individuals and other institutional investors to diversify their investments, manage risk, and generate attractive returns over time. MFA has cultivated a global membership and actively engages with regulators and policymakers in Asia, Europe, the Americas, Australia and all other regions where MFA members are market participants.</w:t>
      </w:r>
    </w:p>
  </w:footnote>
  <w:footnote w:id="4">
    <w:p w14:paraId="77556A81" w14:textId="77777777" w:rsidR="00483618" w:rsidRPr="00BD3F15" w:rsidRDefault="00483618" w:rsidP="00483618">
      <w:pPr>
        <w:jc w:val="both"/>
        <w:rPr>
          <w:rFonts w:ascii="Open Sans" w:hAnsi="Open Sans" w:cs="Open Sans"/>
          <w:sz w:val="16"/>
          <w:szCs w:val="16"/>
        </w:rPr>
      </w:pPr>
      <w:r w:rsidRPr="00BD3F15">
        <w:rPr>
          <w:rStyle w:val="FootnoteReference"/>
          <w:rFonts w:ascii="Open Sans" w:hAnsi="Open Sans" w:cs="Open Sans"/>
          <w:szCs w:val="16"/>
        </w:rPr>
        <w:footnoteRef/>
      </w:r>
      <w:r w:rsidRPr="00BD3F15">
        <w:rPr>
          <w:rFonts w:ascii="Open Sans" w:hAnsi="Open Sans" w:cs="Open Sans"/>
          <w:sz w:val="16"/>
          <w:szCs w:val="16"/>
        </w:rPr>
        <w:t xml:space="preserve"> ESMA70-151-2672. Online at: </w:t>
      </w:r>
      <w:hyperlink r:id="rId1" w:history="1">
        <w:r w:rsidRPr="00BD3F15">
          <w:rPr>
            <w:rStyle w:val="Hyperlink"/>
            <w:rFonts w:ascii="Open Sans" w:hAnsi="Open Sans" w:cs="Open Sans"/>
            <w:sz w:val="16"/>
            <w:szCs w:val="16"/>
          </w:rPr>
          <w:t>https://www.esma.europa.eu/sites/default/files/library/esma70-151-2672_ta-frandt_art_43a.pdf</w:t>
        </w:r>
      </w:hyperlink>
    </w:p>
  </w:footnote>
  <w:footnote w:id="5">
    <w:p w14:paraId="22E3BBF2" w14:textId="77777777" w:rsidR="00483618" w:rsidRPr="00BD3F15" w:rsidRDefault="00483618" w:rsidP="00483618">
      <w:pPr>
        <w:pStyle w:val="FootnoteText"/>
        <w:rPr>
          <w:rFonts w:ascii="Open Sans" w:hAnsi="Open Sans" w:cs="Open Sans"/>
          <w:szCs w:val="16"/>
        </w:rPr>
      </w:pPr>
      <w:r w:rsidRPr="00BD3F15">
        <w:rPr>
          <w:rStyle w:val="FootnoteReference"/>
          <w:rFonts w:ascii="Open Sans" w:hAnsi="Open Sans" w:cs="Open Sans"/>
          <w:szCs w:val="16"/>
        </w:rPr>
        <w:footnoteRef/>
      </w:r>
      <w:r w:rsidRPr="00BD3F15">
        <w:rPr>
          <w:rFonts w:ascii="Open Sans" w:hAnsi="Open Sans" w:cs="Open Sans"/>
          <w:szCs w:val="16"/>
        </w:rPr>
        <w:t xml:space="preserve"> </w:t>
      </w:r>
      <w:r w:rsidRPr="00BD3F15">
        <w:rPr>
          <w:rFonts w:ascii="Open Sans" w:hAnsi="Open Sans" w:cs="Open Sans"/>
          <w:szCs w:val="16"/>
          <w:shd w:val="clear" w:color="auto" w:fill="FFFFFF"/>
        </w:rPr>
        <w:t xml:space="preserve">Regulation (EU) 2019/834 of the European Parliament and of the Council of 20 May 2019 amending Regulation (EU) No 648/2012 as regards the clearing obligation, the suspension of the clearing obligation, the reporting requirements, the risk-mitigation techniques for OTC derivative contracts not cleared by a central counterparty, the registration and supervision of trade repositories and the requirements for trade repositories. Online at: </w:t>
      </w:r>
      <w:hyperlink r:id="rId2" w:history="1">
        <w:r w:rsidRPr="00BD3F15">
          <w:rPr>
            <w:rStyle w:val="Hyperlink"/>
            <w:rFonts w:ascii="Open Sans" w:hAnsi="Open Sans" w:cs="Open Sans"/>
            <w:szCs w:val="16"/>
          </w:rPr>
          <w:t>https://eur-lex.europa.eu/legal-content/EN/TXT/PDF/?uri=CELEX:32019R0834&amp;from=EN</w:t>
        </w:r>
      </w:hyperlink>
      <w:r w:rsidRPr="00BD3F15">
        <w:rPr>
          <w:rFonts w:ascii="Open Sans" w:hAnsi="Open Sans" w:cs="Open Sans"/>
          <w:szCs w:val="16"/>
        </w:rPr>
        <w:t>.</w:t>
      </w:r>
    </w:p>
  </w:footnote>
  <w:footnote w:id="6">
    <w:p w14:paraId="15ADE7BE" w14:textId="77777777" w:rsidR="00483618" w:rsidRPr="00BD3F15" w:rsidRDefault="00483618" w:rsidP="00483618">
      <w:pPr>
        <w:pStyle w:val="FootnoteText"/>
        <w:rPr>
          <w:rFonts w:ascii="Open Sans" w:hAnsi="Open Sans" w:cs="Open Sans"/>
          <w:szCs w:val="16"/>
        </w:rPr>
      </w:pPr>
      <w:r w:rsidRPr="00BD3F15">
        <w:rPr>
          <w:rStyle w:val="FootnoteReference"/>
          <w:rFonts w:ascii="Open Sans" w:hAnsi="Open Sans" w:cs="Open Sans"/>
          <w:szCs w:val="16"/>
        </w:rPr>
        <w:footnoteRef/>
      </w:r>
      <w:r w:rsidRPr="00BD3F15">
        <w:rPr>
          <w:rFonts w:ascii="Open Sans" w:hAnsi="Open Sans" w:cs="Open Sans"/>
          <w:szCs w:val="16"/>
        </w:rPr>
        <w:t xml:space="preserve"> Online at: </w:t>
      </w:r>
      <w:hyperlink r:id="rId3" w:history="1">
        <w:r w:rsidRPr="00BD3F15">
          <w:rPr>
            <w:rStyle w:val="Hyperlink"/>
            <w:rFonts w:ascii="Open Sans" w:hAnsi="Open Sans" w:cs="Open Sans"/>
            <w:szCs w:val="16"/>
          </w:rPr>
          <w:t>https://eur-lex.europa.eu/legal-content/EN/TXT/HTML/?uri=CELEX:32013R0575&amp;from=EN</w:t>
        </w:r>
      </w:hyperlink>
      <w:r w:rsidRPr="00BD3F15">
        <w:rPr>
          <w:rFonts w:ascii="Open Sans" w:hAnsi="Open Sans" w:cs="Open Sans"/>
          <w:szCs w:val="16"/>
        </w:rPr>
        <w:t>.</w:t>
      </w:r>
    </w:p>
  </w:footnote>
  <w:footnote w:id="7">
    <w:p w14:paraId="4BA019AC" w14:textId="77777777" w:rsidR="00483618" w:rsidRPr="00BD3F15" w:rsidRDefault="00483618" w:rsidP="00483618">
      <w:pPr>
        <w:pStyle w:val="FootnoteText"/>
        <w:rPr>
          <w:rFonts w:ascii="Open Sans" w:hAnsi="Open Sans" w:cs="Open Sans"/>
          <w:szCs w:val="16"/>
        </w:rPr>
      </w:pPr>
      <w:r w:rsidRPr="00BD3F15">
        <w:rPr>
          <w:rStyle w:val="FootnoteReference"/>
          <w:rFonts w:ascii="Open Sans" w:hAnsi="Open Sans" w:cs="Open Sans"/>
          <w:szCs w:val="16"/>
        </w:rPr>
        <w:footnoteRef/>
      </w:r>
      <w:r w:rsidRPr="00BD3F15">
        <w:rPr>
          <w:rFonts w:ascii="Open Sans" w:hAnsi="Open Sans" w:cs="Open Sans"/>
          <w:szCs w:val="16"/>
        </w:rPr>
        <w:t xml:space="preserve"> See Article 4(3a) of the EMIR Refit text.  Online at: </w:t>
      </w:r>
      <w:hyperlink r:id="rId4" w:history="1">
        <w:r w:rsidRPr="00BD3F15">
          <w:rPr>
            <w:rStyle w:val="Hyperlink"/>
            <w:rFonts w:ascii="Open Sans" w:hAnsi="Open Sans" w:cs="Open Sans"/>
            <w:szCs w:val="16"/>
          </w:rPr>
          <w:t>https://eur-lex.europa.eu/legal-content/EN/TXT/HTML/?uri=CELEX:32019R0834&amp;from=EN</w:t>
        </w:r>
      </w:hyperlink>
      <w:r w:rsidRPr="00BD3F15">
        <w:rPr>
          <w:rFonts w:ascii="Open Sans" w:hAnsi="Open Sans" w:cs="Open Sans"/>
          <w:szCs w:val="16"/>
        </w:rPr>
        <w:t>.</w:t>
      </w:r>
    </w:p>
  </w:footnote>
  <w:footnote w:id="8">
    <w:p w14:paraId="5805B76C" w14:textId="77777777" w:rsidR="00483618" w:rsidRPr="00BD3F15" w:rsidRDefault="00483618" w:rsidP="00483618">
      <w:pPr>
        <w:pStyle w:val="FootnoteText"/>
        <w:rPr>
          <w:rFonts w:ascii="Open Sans" w:hAnsi="Open Sans" w:cs="Open Sans"/>
          <w:szCs w:val="16"/>
        </w:rPr>
      </w:pPr>
      <w:r w:rsidRPr="00BD3F15">
        <w:rPr>
          <w:rStyle w:val="FootnoteReference"/>
          <w:rFonts w:ascii="Open Sans" w:hAnsi="Open Sans" w:cs="Open Sans"/>
          <w:szCs w:val="16"/>
        </w:rPr>
        <w:footnoteRef/>
      </w:r>
      <w:r w:rsidRPr="00BD3F15">
        <w:rPr>
          <w:rFonts w:ascii="Open Sans" w:hAnsi="Open Sans" w:cs="Open Sans"/>
          <w:szCs w:val="16"/>
        </w:rPr>
        <w:t xml:space="preserve"> </w:t>
      </w:r>
      <w:r w:rsidRPr="00BD3F15">
        <w:rPr>
          <w:rFonts w:ascii="Open Sans" w:hAnsi="Open Sans" w:cs="Open Sans"/>
          <w:i/>
          <w:szCs w:val="16"/>
        </w:rPr>
        <w:t>See</w:t>
      </w:r>
      <w:r w:rsidRPr="00BD3F15">
        <w:rPr>
          <w:rFonts w:ascii="Open Sans" w:hAnsi="Open Sans" w:cs="Open Sans"/>
          <w:szCs w:val="16"/>
        </w:rPr>
        <w:t xml:space="preserve"> US Commodity Futures Trading Commission final rules on “Swap Dealer and Major Swap Participant Recordkeeping, Reporting, and Duties Rules; Futures Commission Merchant and Introducing Broker Conflicts of Interest Rules; and Chief Compliance Officer Rules for Swap Dealers, Major Swap Participants, and Futures Commission Merchants”, 77 Fed. Reg. 64 (April 3, 2012).  Online at: </w:t>
      </w:r>
      <w:hyperlink r:id="rId5" w:history="1">
        <w:r w:rsidRPr="00BD3F15">
          <w:rPr>
            <w:rStyle w:val="Hyperlink"/>
            <w:rFonts w:ascii="Open Sans" w:hAnsi="Open Sans" w:cs="Open Sans"/>
            <w:szCs w:val="16"/>
          </w:rPr>
          <w:t>https://www.govinfo.gov/content/pkg/FR-2012-04-03/pdf/2012-5317.pdf</w:t>
        </w:r>
      </w:hyperlink>
      <w:r w:rsidRPr="00BD3F15">
        <w:rPr>
          <w:rFonts w:ascii="Open Sans" w:hAnsi="Open Sans" w:cs="Open Sans"/>
          <w:szCs w:val="16"/>
        </w:rPr>
        <w:t xml:space="preserve">. </w:t>
      </w:r>
    </w:p>
  </w:footnote>
  <w:footnote w:id="9">
    <w:p w14:paraId="05209A96" w14:textId="77777777" w:rsidR="00483618" w:rsidRPr="00BD3F15" w:rsidRDefault="00483618" w:rsidP="00483618">
      <w:pPr>
        <w:pStyle w:val="FootnoteText"/>
        <w:rPr>
          <w:rFonts w:ascii="Open Sans" w:hAnsi="Open Sans" w:cs="Open Sans"/>
          <w:szCs w:val="16"/>
        </w:rPr>
      </w:pPr>
      <w:r w:rsidRPr="00BD3F15">
        <w:rPr>
          <w:rStyle w:val="FootnoteReference"/>
          <w:rFonts w:ascii="Open Sans" w:hAnsi="Open Sans" w:cs="Open Sans"/>
          <w:szCs w:val="16"/>
        </w:rPr>
        <w:footnoteRef/>
      </w:r>
      <w:r w:rsidRPr="00BD3F15">
        <w:rPr>
          <w:rFonts w:ascii="Open Sans" w:hAnsi="Open Sans" w:cs="Open Sans"/>
          <w:szCs w:val="16"/>
        </w:rPr>
        <w:t xml:space="preserve"> See Article 4(3a) of the EMIR Refit text.  Online at: </w:t>
      </w:r>
      <w:hyperlink r:id="rId6" w:history="1">
        <w:r w:rsidRPr="00BD3F15">
          <w:rPr>
            <w:rStyle w:val="Hyperlink"/>
            <w:rFonts w:ascii="Open Sans" w:hAnsi="Open Sans" w:cs="Open Sans"/>
            <w:szCs w:val="16"/>
          </w:rPr>
          <w:t>https://eur-lex.europa.eu/legal-content/EN/TXT/HTML/?uri=CELEX:32019R0834&amp;from=EN</w:t>
        </w:r>
      </w:hyperlink>
      <w:r w:rsidRPr="00BD3F15">
        <w:rPr>
          <w:rFonts w:ascii="Open Sans" w:hAnsi="Open Sans" w:cs="Open Sans"/>
          <w:szCs w:val="16"/>
        </w:rPr>
        <w:t>.</w:t>
      </w:r>
    </w:p>
  </w:footnote>
  <w:footnote w:id="10">
    <w:p w14:paraId="4ED725D0" w14:textId="77777777" w:rsidR="00483618" w:rsidRPr="00BD3F15" w:rsidRDefault="00483618" w:rsidP="00483618">
      <w:pPr>
        <w:pStyle w:val="FootnoteText"/>
        <w:rPr>
          <w:rFonts w:ascii="Open Sans" w:hAnsi="Open Sans" w:cs="Open Sans"/>
          <w:szCs w:val="16"/>
        </w:rPr>
      </w:pPr>
      <w:r w:rsidRPr="00BD3F15">
        <w:rPr>
          <w:rStyle w:val="FootnoteReference"/>
          <w:rFonts w:ascii="Open Sans" w:hAnsi="Open Sans" w:cs="Open Sans"/>
          <w:szCs w:val="16"/>
        </w:rPr>
        <w:footnoteRef/>
      </w:r>
      <w:r w:rsidRPr="00BD3F15">
        <w:rPr>
          <w:rFonts w:ascii="Open Sans" w:hAnsi="Open Sans" w:cs="Open Sans"/>
          <w:szCs w:val="16"/>
        </w:rPr>
        <w:t xml:space="preserve"> </w:t>
      </w:r>
      <w:r w:rsidRPr="00BD3F15">
        <w:rPr>
          <w:rFonts w:ascii="Open Sans" w:hAnsi="Open Sans" w:cs="Open Sans"/>
          <w:i/>
          <w:szCs w:val="16"/>
        </w:rPr>
        <w:t>See</w:t>
      </w:r>
      <w:r w:rsidRPr="00BD3F15">
        <w:rPr>
          <w:rFonts w:ascii="Open Sans" w:hAnsi="Open Sans" w:cs="Open Sans"/>
          <w:szCs w:val="16"/>
        </w:rPr>
        <w:t xml:space="preserve"> US Commodity Futures Trading Commission final rules on “Swap Dealer and Major Swap Participant Recordkeeping, Reporting, and Duties Rules; Futures Commission Merchant and Introducing Broker Conflicts of Interest Rules; and Chief Compliance Officer Rules for Swap Dealers, Major Swap Participants, and Futures Commission Merchants”, 77 Fed. Reg. 64 (April 3, 2012).  Online at: </w:t>
      </w:r>
      <w:hyperlink r:id="rId7" w:history="1">
        <w:r w:rsidRPr="00BD3F15">
          <w:rPr>
            <w:rStyle w:val="Hyperlink"/>
            <w:rFonts w:ascii="Open Sans" w:hAnsi="Open Sans" w:cs="Open Sans"/>
            <w:szCs w:val="16"/>
          </w:rPr>
          <w:t>https://www.govinfo.gov/content/pkg/FR-2012-04-03/pdf/2012-5317.pdf</w:t>
        </w:r>
      </w:hyperlink>
      <w:r w:rsidRPr="00BD3F15">
        <w:rPr>
          <w:rFonts w:ascii="Open Sans" w:hAnsi="Open Sans" w:cs="Open Sans"/>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CAA18"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21FF53CF"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U1rVclwcpWuCSR5/9U0wHH+W+F4uGoIN7R0ocpoAuKgngNtsLhUS6LNdyKaC0mVuP8G3jqmSNoMvTQqxV0ujYA==" w:salt="9FyX6ID89o/773uuf+4s0w=="/>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32F8E"/>
    <w:rsid w:val="00233071"/>
    <w:rsid w:val="00235E99"/>
    <w:rsid w:val="0024299F"/>
    <w:rsid w:val="00244792"/>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46A67"/>
    <w:rsid w:val="0035030F"/>
    <w:rsid w:val="00353C4B"/>
    <w:rsid w:val="003545A6"/>
    <w:rsid w:val="00356C60"/>
    <w:rsid w:val="003578D1"/>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43C6"/>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465A"/>
    <w:rsid w:val="00455577"/>
    <w:rsid w:val="00456795"/>
    <w:rsid w:val="00461CC8"/>
    <w:rsid w:val="00462B2F"/>
    <w:rsid w:val="00465EAA"/>
    <w:rsid w:val="004708CA"/>
    <w:rsid w:val="004709E7"/>
    <w:rsid w:val="00470ADE"/>
    <w:rsid w:val="004712C7"/>
    <w:rsid w:val="004759EB"/>
    <w:rsid w:val="00477919"/>
    <w:rsid w:val="00482611"/>
    <w:rsid w:val="00482A27"/>
    <w:rsid w:val="00483618"/>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B62"/>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276D5"/>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2DE4"/>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34C8"/>
    <w:rsid w:val="00764582"/>
    <w:rsid w:val="00765FA3"/>
    <w:rsid w:val="00766961"/>
    <w:rsid w:val="00766B5A"/>
    <w:rsid w:val="00767E8C"/>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11B4"/>
    <w:rsid w:val="008842F7"/>
    <w:rsid w:val="00885B94"/>
    <w:rsid w:val="0089075A"/>
    <w:rsid w:val="00890F80"/>
    <w:rsid w:val="00892BFD"/>
    <w:rsid w:val="0089338A"/>
    <w:rsid w:val="00894199"/>
    <w:rsid w:val="008948BE"/>
    <w:rsid w:val="008A1E27"/>
    <w:rsid w:val="008A2A3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50AF"/>
    <w:rsid w:val="008E7DBA"/>
    <w:rsid w:val="008F3386"/>
    <w:rsid w:val="008F3AD9"/>
    <w:rsid w:val="008F4642"/>
    <w:rsid w:val="008F4E00"/>
    <w:rsid w:val="008F761D"/>
    <w:rsid w:val="00900D44"/>
    <w:rsid w:val="00902520"/>
    <w:rsid w:val="0090520E"/>
    <w:rsid w:val="00906DC4"/>
    <w:rsid w:val="00906E30"/>
    <w:rsid w:val="0091457F"/>
    <w:rsid w:val="0091729E"/>
    <w:rsid w:val="0093261E"/>
    <w:rsid w:val="0094008E"/>
    <w:rsid w:val="00941C0C"/>
    <w:rsid w:val="009437F2"/>
    <w:rsid w:val="0094528B"/>
    <w:rsid w:val="009578C8"/>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4150"/>
    <w:rsid w:val="00A16579"/>
    <w:rsid w:val="00A17284"/>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2AF"/>
    <w:rsid w:val="00A54ED7"/>
    <w:rsid w:val="00A61561"/>
    <w:rsid w:val="00A63249"/>
    <w:rsid w:val="00A6691F"/>
    <w:rsid w:val="00A67E6A"/>
    <w:rsid w:val="00A70F49"/>
    <w:rsid w:val="00A72203"/>
    <w:rsid w:val="00A724E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AF7EC4"/>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4ED"/>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3A70"/>
    <w:rsid w:val="00C76054"/>
    <w:rsid w:val="00C779A2"/>
    <w:rsid w:val="00C80546"/>
    <w:rsid w:val="00C83CAD"/>
    <w:rsid w:val="00C8419E"/>
    <w:rsid w:val="00C851D7"/>
    <w:rsid w:val="00C85C8B"/>
    <w:rsid w:val="00C867AD"/>
    <w:rsid w:val="00C87F9F"/>
    <w:rsid w:val="00C901E4"/>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042"/>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393D"/>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82E52"/>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158"/>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44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esma.europa.eu/about-esma/data-protec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HTML/?uri=CELEX:32013R0575&amp;from=EN" TargetMode="External"/><Relationship Id="rId7" Type="http://schemas.openxmlformats.org/officeDocument/2006/relationships/hyperlink" Target="https://www.govinfo.gov/content/pkg/FR-2012-04-03/pdf/2012-5317.pdf" TargetMode="External"/><Relationship Id="rId2" Type="http://schemas.openxmlformats.org/officeDocument/2006/relationships/hyperlink" Target="https://eur-lex.europa.eu/legal-content/EN/TXT/PDF/?uri=CELEX:32019R0834&amp;from=EN" TargetMode="External"/><Relationship Id="rId1" Type="http://schemas.openxmlformats.org/officeDocument/2006/relationships/hyperlink" Target="https://www.esma.europa.eu/sites/default/files/library/esma70-151-2672_ta-frandt_art_43a.pdf" TargetMode="External"/><Relationship Id="rId6" Type="http://schemas.openxmlformats.org/officeDocument/2006/relationships/hyperlink" Target="https://eur-lex.europa.eu/legal-content/EN/TXT/HTML/?uri=CELEX:32019R0834&amp;from=EN" TargetMode="External"/><Relationship Id="rId5" Type="http://schemas.openxmlformats.org/officeDocument/2006/relationships/hyperlink" Target="https://www.govinfo.gov/content/pkg/FR-2012-04-03/pdf/2012-5317.pdf" TargetMode="External"/><Relationship Id="rId4" Type="http://schemas.openxmlformats.org/officeDocument/2006/relationships/hyperlink" Target="https://eur-lex.europa.eu/legal-content/EN/TXT/HTML/?uri=CELEX:32019R0834&amp;from=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ESMA70-151-2758</_dlc_DocId>
    <TaxCatchAll xmlns="20fbe147-bbda-4e53-b6b1-7e8bbff3fe19">
      <Value>4</Value>
      <Value>25</Value>
      <Value>212</Value>
      <Value>165</Value>
    </TaxCatchAll>
    <_dlc_DocIdUrl xmlns="20fbe147-bbda-4e53-b6b1-7e8bbff3fe19">
      <Url>https://sherpa.esma.europa.eu/sites/MKT/PTR/_layouts/15/DocIdRedir.aspx?ID=ESMA70-151-2758</Url>
      <Description>ESMA70-151-2758</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EMIR</TermName>
          <TermId xmlns="http://schemas.microsoft.com/office/infopath/2007/PartnerControls">79202087-eb2d-40a2-b85c-d4f7da6c50df</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4" ma:contentTypeDescription="" ma:contentTypeScope="" ma:versionID="6c22cca56ce01193b119cc2461a23d90">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ba296c37c96e7e7129886a0b5426a" ns2:_="" ns3:_="">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20fbe147-bbda-4e53-b6b1-7e8bbff3fe19"/>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667C590C-0952-4EAA-B055-3E76033E1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C91CFA-547E-48ED-8AC8-67659101C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3</TotalTime>
  <Pages>8</Pages>
  <Words>1424</Words>
  <Characters>8120</Characters>
  <Application>Microsoft Office Word</Application>
  <DocSecurity>8</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Adam Jacobs-Dean</cp:lastModifiedBy>
  <cp:revision>3</cp:revision>
  <cp:lastPrinted>2019-10-03T14:20:00Z</cp:lastPrinted>
  <dcterms:created xsi:type="dcterms:W3CDTF">2019-11-26T09:21:00Z</dcterms:created>
  <dcterms:modified xsi:type="dcterms:W3CDTF">2019-11-26T09:24:00Z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25;#Public|a0c619ff-bd46-48f0-b213-6b7c03fe156d</vt:lpwstr>
  </property>
  <property fmtid="{D5CDD505-2E9C-101B-9397-08002B2CF9AE}" pid="4" name="ContentTypeId">
    <vt:lpwstr>0x01010001BD15C3986B91498E0AE644B715B9EE01080087D15FE546E30B45B9BBC45FA14F869C</vt:lpwstr>
  </property>
  <property fmtid="{D5CDD505-2E9C-101B-9397-08002B2CF9AE}" pid="5" name="_dlc_DocIdItemGuid">
    <vt:lpwstr>ad3a0656-fa11-4f19-bc0e-3d747e0ee69c</vt:lpwstr>
  </property>
  <property fmtid="{D5CDD505-2E9C-101B-9397-08002B2CF9AE}" pid="6" name="DocumentType">
    <vt:lpwstr>165;#Form / Request|efe27f23-61a2-47e7-916e-544dd02c80f4</vt:lpwstr>
  </property>
  <property fmtid="{D5CDD505-2E9C-101B-9397-08002B2CF9AE}" pid="7" name="Topic">
    <vt:lpwstr>212;#EMIR|79202087-eb2d-40a2-b85c-d4f7da6c50df</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
  </property>
</Properties>
</file>