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Stopka"/>
              <w:rPr>
                <w:rFonts w:cs="Arial"/>
                <w:sz w:val="22"/>
                <w:szCs w:val="22"/>
              </w:rPr>
            </w:pPr>
            <w:bookmarkStart w:id="0" w:name="_GoBack"/>
            <w:bookmarkEnd w:id="0"/>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6" w:history="1">
        <w:r w:rsidRPr="005B6B12">
          <w:rPr>
            <w:rStyle w:val="Hipercz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Nagwe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kstzastpczy"/>
              <w:rFonts w:cs="Arial"/>
            </w:rPr>
            <w:id w:val="651570699"/>
            <w:text/>
          </w:sdtPr>
          <w:sdtEndPr>
            <w:rPr>
              <w:rStyle w:val="Tekstzastpczy"/>
            </w:rPr>
          </w:sdtEndPr>
          <w:sdtContent>
            <w:tc>
              <w:tcPr>
                <w:tcW w:w="5595" w:type="dxa"/>
                <w:shd w:val="clear" w:color="auto" w:fill="auto"/>
              </w:tcPr>
              <w:p w14:paraId="3C3E0A16" w14:textId="181B1C3C" w:rsidR="00C2682A" w:rsidRPr="00AB6D88" w:rsidRDefault="009208F2" w:rsidP="009208F2">
                <w:pPr>
                  <w:rPr>
                    <w:rStyle w:val="Tekstzastpczy"/>
                    <w:rFonts w:cs="Arial"/>
                  </w:rPr>
                </w:pPr>
                <w:r>
                  <w:rPr>
                    <w:rStyle w:val="Tekstzastpczy"/>
                    <w:rFonts w:cs="Arial"/>
                  </w:rPr>
                  <w:t>Warsaw Stock Exchange</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6ACD6D67" w:rsidR="00C2682A" w:rsidRPr="00AB6D88" w:rsidRDefault="002E2CB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208F2">
                  <w:rPr>
                    <w:rFonts w:cs="Arial"/>
                  </w:rPr>
                  <w:t>Regulated markets/Exchanges/Trading Systems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tc>
          <w:tcPr>
            <w:tcW w:w="5595" w:type="dxa"/>
            <w:shd w:val="clear" w:color="auto" w:fill="auto"/>
          </w:tcPr>
          <w:p w14:paraId="3C3E0A1C" w14:textId="2AB110D4" w:rsidR="00C2682A" w:rsidRPr="00AB6D88" w:rsidRDefault="00986540" w:rsidP="00FA5524">
            <w:pPr>
              <w:rPr>
                <w:rFonts w:cs="Arial"/>
              </w:rPr>
            </w:pPr>
            <w:r>
              <w:rPr>
                <w:rFonts w:ascii="MS Gothic" w:eastAsia="MS Gothic" w:hAnsi="MS Gothic" w:cs="Arial" w:hint="eastAsia"/>
              </w:rPr>
              <w:t>N</w:t>
            </w:r>
            <w:r>
              <w:rPr>
                <w:rFonts w:ascii="MS Gothic" w:eastAsia="MS Gothic" w:hAnsi="MS Gothic" w:cs="Arial"/>
              </w:rPr>
              <w:t>O</w:t>
            </w:r>
          </w:p>
        </w:tc>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3B6576AE" w:rsidR="00C2682A" w:rsidRPr="00AB6D88" w:rsidRDefault="009208F2" w:rsidP="00FA5524">
                <w:pPr>
                  <w:rPr>
                    <w:rFonts w:cs="Arial"/>
                  </w:rPr>
                </w:pPr>
                <w:r>
                  <w:rPr>
                    <w:rFonts w:cs="Arial"/>
                  </w:rPr>
                  <w:t>Europe</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Nagwek1"/>
        <w:numPr>
          <w:ilvl w:val="0"/>
          <w:numId w:val="0"/>
        </w:numPr>
        <w:ind w:left="431" w:hanging="431"/>
      </w:pPr>
      <w:r>
        <w:t>Introduction</w:t>
      </w:r>
    </w:p>
    <w:p w14:paraId="3C3E0A24" w14:textId="77777777" w:rsidR="00F87897" w:rsidRPr="001D47A5" w:rsidRDefault="00F87897" w:rsidP="00F87897">
      <w:pPr>
        <w:rPr>
          <w:rStyle w:val="Wyrnienieintensywne"/>
        </w:rPr>
      </w:pPr>
      <w:r w:rsidRPr="001D47A5">
        <w:rPr>
          <w:rStyle w:val="Wyrnienieintensywne"/>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7D7FE44D" w14:textId="77777777" w:rsidR="009C6B41" w:rsidRPr="009C6B41" w:rsidRDefault="009C6B41" w:rsidP="009C6B41">
      <w:pPr>
        <w:spacing w:after="120" w:line="240" w:lineRule="atLeast"/>
        <w:jc w:val="both"/>
        <w:rPr>
          <w:rFonts w:cs="Arial"/>
          <w:sz w:val="22"/>
          <w:szCs w:val="22"/>
        </w:rPr>
      </w:pPr>
      <w:permStart w:id="1594194160" w:edGrp="everyone"/>
      <w:r w:rsidRPr="009C6B41">
        <w:rPr>
          <w:rFonts w:cs="Arial"/>
          <w:sz w:val="22"/>
          <w:szCs w:val="22"/>
        </w:rPr>
        <w:t xml:space="preserve">The Warsaw Stock Exchange (WSE) welcomes the possibility to respond to the ESMA Consultation Paper on MAR review report. </w:t>
      </w:r>
    </w:p>
    <w:p w14:paraId="2E664C1E" w14:textId="77777777" w:rsidR="009C6B41" w:rsidRPr="009C6B41" w:rsidRDefault="009C6B41" w:rsidP="009C6B41">
      <w:pPr>
        <w:autoSpaceDE w:val="0"/>
        <w:autoSpaceDN w:val="0"/>
        <w:spacing w:after="120"/>
        <w:jc w:val="both"/>
        <w:rPr>
          <w:rFonts w:cs="Arial"/>
          <w:color w:val="000000"/>
          <w:sz w:val="22"/>
          <w:szCs w:val="22"/>
          <w:lang w:val="en-US" w:eastAsia="pl-PL"/>
        </w:rPr>
      </w:pPr>
      <w:r w:rsidRPr="009C6B41">
        <w:rPr>
          <w:rFonts w:cs="Arial"/>
          <w:color w:val="000000"/>
          <w:sz w:val="22"/>
          <w:szCs w:val="22"/>
          <w:lang w:val="en-US" w:eastAsia="pl-PL"/>
        </w:rPr>
        <w:t xml:space="preserve">The Warsaw Stock Exchange is a leading financial instruments exchange in Central and Eastern Europe (CEE). FTSE Russell announced the upgrade of Poland from Emerging Markets to Developed Markets on 29 September 2017. The decision took effect on 24 September 2018. WSE uses a state-of-the-art trading system and its listed companies meet the highest standards of corporate governance and disclosure requirements. </w:t>
      </w:r>
    </w:p>
    <w:p w14:paraId="2582F557" w14:textId="77777777" w:rsidR="009C6B41" w:rsidRPr="009C6B41" w:rsidRDefault="009C6B41" w:rsidP="009C6B41">
      <w:pPr>
        <w:autoSpaceDE w:val="0"/>
        <w:autoSpaceDN w:val="0"/>
        <w:spacing w:after="120"/>
        <w:jc w:val="both"/>
        <w:rPr>
          <w:rFonts w:cs="Arial"/>
          <w:color w:val="000000"/>
          <w:sz w:val="22"/>
          <w:szCs w:val="22"/>
          <w:lang w:val="en-US" w:eastAsia="pl-PL"/>
        </w:rPr>
      </w:pPr>
      <w:r w:rsidRPr="009C6B41">
        <w:rPr>
          <w:rFonts w:cs="Arial"/>
          <w:color w:val="000000"/>
          <w:sz w:val="22"/>
          <w:szCs w:val="22"/>
          <w:lang w:val="en-US" w:eastAsia="pl-PL"/>
        </w:rPr>
        <w:t>The markets operated by WSE list stocks and bonds of nearly a thousand local and international issuers. The Exchange also offers trade in derivatives and structured products, as well as information services.</w:t>
      </w:r>
    </w:p>
    <w:p w14:paraId="2C0AC74D" w14:textId="77777777" w:rsidR="009C6B41" w:rsidRPr="009C6B41" w:rsidRDefault="009C6B41" w:rsidP="009C6B41">
      <w:pPr>
        <w:autoSpaceDE w:val="0"/>
        <w:autoSpaceDN w:val="0"/>
        <w:spacing w:after="120"/>
        <w:jc w:val="both"/>
        <w:rPr>
          <w:rFonts w:cs="Arial"/>
          <w:color w:val="000000"/>
          <w:sz w:val="22"/>
          <w:szCs w:val="22"/>
          <w:lang w:eastAsia="pl-PL"/>
        </w:rPr>
      </w:pPr>
      <w:r w:rsidRPr="009C6B41">
        <w:rPr>
          <w:rFonts w:cs="Arial"/>
          <w:color w:val="000000"/>
          <w:sz w:val="22"/>
          <w:szCs w:val="22"/>
          <w:lang w:eastAsia="pl-PL"/>
        </w:rPr>
        <w:t>More than 25 years of experience, high safety of trading, operational excellence and a broad range of products make WSE one of the most recognized Polish financial institutions in the world.</w:t>
      </w:r>
    </w:p>
    <w:p w14:paraId="348C8D65" w14:textId="77777777" w:rsidR="009C6B41" w:rsidRPr="009C6B41" w:rsidRDefault="009C6B41" w:rsidP="009C6B41">
      <w:pPr>
        <w:autoSpaceDE w:val="0"/>
        <w:autoSpaceDN w:val="0"/>
        <w:spacing w:after="120"/>
        <w:jc w:val="both"/>
        <w:rPr>
          <w:rFonts w:cs="Arial"/>
          <w:color w:val="000000"/>
          <w:sz w:val="22"/>
          <w:szCs w:val="22"/>
          <w:lang w:eastAsia="pl-PL"/>
        </w:rPr>
      </w:pPr>
      <w:r w:rsidRPr="009C6B41">
        <w:rPr>
          <w:rFonts w:cs="Arial"/>
          <w:color w:val="000000"/>
          <w:sz w:val="22"/>
          <w:szCs w:val="22"/>
          <w:lang w:eastAsia="pl-PL"/>
        </w:rPr>
        <w:t>The WSE Group conducts activity in the following segments:</w:t>
      </w:r>
    </w:p>
    <w:p w14:paraId="0F192CEB" w14:textId="765DBC0D"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organising trade in financial instruments and conducting activities related to such trade;</w:t>
      </w:r>
    </w:p>
    <w:p w14:paraId="53DCE2F3" w14:textId="0D0BF193"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organising an alternative trading system;</w:t>
      </w:r>
    </w:p>
    <w:p w14:paraId="5BFB6B3A" w14:textId="7DF4660D"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operating the wholesale Treasury bond market;</w:t>
      </w:r>
    </w:p>
    <w:p w14:paraId="574D7FF0" w14:textId="161B3181"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operating a commodity exchange;</w:t>
      </w:r>
    </w:p>
    <w:p w14:paraId="5331FB4B" w14:textId="36FFBEEC"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operating a register of certificates of origin;</w:t>
      </w:r>
    </w:p>
    <w:p w14:paraId="3F8255AC" w14:textId="619B7C53"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providing the services of trade operator and entity responsible for balancing;</w:t>
      </w:r>
    </w:p>
    <w:p w14:paraId="061D70C5" w14:textId="2A6AAE50"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operating a clearing house and settlement institution which performs the functions of an</w:t>
      </w:r>
    </w:p>
    <w:p w14:paraId="327BDB68" w14:textId="77777777"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exchange clearing house for transactions in exchange commodities;</w:t>
      </w:r>
    </w:p>
    <w:p w14:paraId="549CF434" w14:textId="00FBDC17" w:rsidR="009C6B41" w:rsidRPr="009C6B41" w:rsidRDefault="009C6B41" w:rsidP="009C6B41">
      <w:pPr>
        <w:pStyle w:val="Akapitzlist"/>
        <w:numPr>
          <w:ilvl w:val="0"/>
          <w:numId w:val="40"/>
        </w:numPr>
        <w:autoSpaceDE w:val="0"/>
        <w:autoSpaceDN w:val="0"/>
        <w:spacing w:after="120"/>
        <w:jc w:val="both"/>
        <w:rPr>
          <w:rFonts w:cs="Arial"/>
          <w:color w:val="000000"/>
          <w:sz w:val="22"/>
          <w:szCs w:val="22"/>
          <w:lang w:eastAsia="pl-PL"/>
        </w:rPr>
      </w:pPr>
      <w:r w:rsidRPr="009C6B41">
        <w:rPr>
          <w:rFonts w:cs="Arial"/>
          <w:color w:val="000000"/>
          <w:sz w:val="22"/>
          <w:szCs w:val="22"/>
          <w:lang w:eastAsia="pl-PL"/>
        </w:rPr>
        <w:t>organising reference rate WIBID and WIBOR fixings;</w:t>
      </w:r>
    </w:p>
    <w:p w14:paraId="24515D69" w14:textId="32437814" w:rsidR="009C6B41" w:rsidRPr="009C6B41" w:rsidRDefault="009C6B41" w:rsidP="009C6B41">
      <w:pPr>
        <w:pStyle w:val="Akapitzlist"/>
        <w:numPr>
          <w:ilvl w:val="0"/>
          <w:numId w:val="40"/>
        </w:numPr>
        <w:spacing w:after="120"/>
        <w:jc w:val="both"/>
        <w:rPr>
          <w:rFonts w:cs="Arial"/>
          <w:color w:val="000000"/>
          <w:sz w:val="22"/>
          <w:szCs w:val="22"/>
          <w:lang w:val="en-US" w:eastAsia="pl-PL"/>
        </w:rPr>
      </w:pPr>
      <w:r w:rsidRPr="009C6B41">
        <w:rPr>
          <w:rFonts w:cs="Arial"/>
          <w:color w:val="000000"/>
          <w:sz w:val="22"/>
          <w:szCs w:val="22"/>
          <w:lang w:eastAsia="pl-PL"/>
        </w:rPr>
        <w:t>conducting</w:t>
      </w:r>
      <w:r w:rsidRPr="009C6B41">
        <w:rPr>
          <w:rFonts w:cs="Arial"/>
          <w:color w:val="000000"/>
          <w:sz w:val="22"/>
          <w:szCs w:val="22"/>
          <w:lang w:val="en-US" w:eastAsia="pl-PL"/>
        </w:rPr>
        <w:t xml:space="preserve"> activities in capital market education, promotion and information.</w:t>
      </w:r>
    </w:p>
    <w:p w14:paraId="27734886" w14:textId="77777777" w:rsidR="009C6B41" w:rsidRPr="009C6B41" w:rsidRDefault="009C6B41" w:rsidP="009C6B41">
      <w:pPr>
        <w:spacing w:after="120"/>
        <w:jc w:val="both"/>
        <w:rPr>
          <w:rFonts w:cs="Arial"/>
          <w:color w:val="1F497D"/>
          <w:sz w:val="22"/>
          <w:szCs w:val="22"/>
          <w:lang w:val="en-US" w:eastAsia="en-US"/>
        </w:rPr>
      </w:pPr>
    </w:p>
    <w:p w14:paraId="60795BE9" w14:textId="77777777" w:rsidR="009C6B41" w:rsidRPr="009C6B41" w:rsidRDefault="009C6B41" w:rsidP="009C6B41">
      <w:pPr>
        <w:spacing w:after="120" w:line="240" w:lineRule="atLeast"/>
        <w:jc w:val="both"/>
        <w:rPr>
          <w:rFonts w:cs="Arial"/>
          <w:sz w:val="22"/>
          <w:szCs w:val="22"/>
        </w:rPr>
      </w:pPr>
      <w:r w:rsidRPr="009C6B41">
        <w:rPr>
          <w:rFonts w:cs="Arial"/>
          <w:sz w:val="22"/>
          <w:szCs w:val="22"/>
        </w:rPr>
        <w:t>Since 9 November 2010, WSE is a public company listed on Warsaw Stock Exchange.</w:t>
      </w:r>
    </w:p>
    <w:permEnd w:id="1594194160"/>
    <w:p w14:paraId="3C3E0A27" w14:textId="77777777" w:rsidR="00F87897" w:rsidRDefault="00F87897" w:rsidP="00F87897"/>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2C84FF1" w14:textId="0C96EBD1" w:rsidR="00BB6B92" w:rsidRPr="00BB6B92" w:rsidRDefault="00BB6B92" w:rsidP="00BB6B92">
      <w:pPr>
        <w:spacing w:after="120" w:line="300" w:lineRule="atLeast"/>
        <w:jc w:val="both"/>
        <w:rPr>
          <w:rFonts w:cs="Arial"/>
          <w:color w:val="000000" w:themeColor="text1"/>
          <w:sz w:val="22"/>
          <w:szCs w:val="22"/>
        </w:rPr>
      </w:pPr>
      <w:permStart w:id="707658946" w:edGrp="everyone"/>
      <w:r w:rsidRPr="00BB6B92">
        <w:rPr>
          <w:rFonts w:cs="Arial"/>
          <w:color w:val="000000" w:themeColor="text1"/>
          <w:sz w:val="22"/>
          <w:szCs w:val="22"/>
        </w:rPr>
        <w:t>In our opinion reporting mechanism under Article 5(3) of MAR shoul</w:t>
      </w:r>
      <w:r>
        <w:rPr>
          <w:rFonts w:cs="Arial"/>
          <w:color w:val="000000" w:themeColor="text1"/>
          <w:sz w:val="22"/>
          <w:szCs w:val="22"/>
        </w:rPr>
        <w:t>d</w:t>
      </w:r>
      <w:r w:rsidRPr="00BB6B92">
        <w:rPr>
          <w:rFonts w:cs="Arial"/>
          <w:color w:val="000000" w:themeColor="text1"/>
          <w:sz w:val="22"/>
          <w:szCs w:val="22"/>
        </w:rPr>
        <w:t xml:space="preserve"> be modified. This mechanism is formalised, complicated and partly impractical. The NCAs have the possibility to obtain part of this information directly from the investment firms. Additionally, we believe that current obligation to report under Article 5(3) of MAR to NCAs of trading venue on which the shares are traded without the request, approval or acquiescence of the issuer should be removed. We agree with ESMA’s </w:t>
      </w:r>
      <w:r>
        <w:rPr>
          <w:rFonts w:cs="Arial"/>
          <w:color w:val="000000" w:themeColor="text1"/>
          <w:sz w:val="22"/>
          <w:szCs w:val="22"/>
        </w:rPr>
        <w:t xml:space="preserve">view </w:t>
      </w:r>
      <w:r w:rsidRPr="00BB6B92">
        <w:rPr>
          <w:rFonts w:cs="Arial"/>
          <w:color w:val="000000" w:themeColor="text1"/>
          <w:sz w:val="22"/>
          <w:szCs w:val="22"/>
        </w:rPr>
        <w:t>that in those cases issuers may not necessarily be aware of their shares being traded on a certain venue and full compliance with this reporting requirements might be practically impossible. It causes excessive burden on issuers to identify all relevant authorities and creates uncertainty in relation to how to ensure compliance with the rule.</w:t>
      </w:r>
    </w:p>
    <w:permEnd w:id="707658946"/>
    <w:p w14:paraId="3C3E0A4A" w14:textId="77777777" w:rsidR="00A263DF" w:rsidRDefault="00A263DF" w:rsidP="00A263DF"/>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1800B9EA" w14:textId="5EC6DFBD" w:rsidR="00A2338D" w:rsidRPr="00A2338D" w:rsidRDefault="00A2338D" w:rsidP="00A2338D">
      <w:pPr>
        <w:spacing w:after="120" w:line="300" w:lineRule="atLeast"/>
        <w:jc w:val="both"/>
        <w:rPr>
          <w:rFonts w:cs="Arial"/>
          <w:color w:val="000000" w:themeColor="text1"/>
          <w:sz w:val="22"/>
          <w:szCs w:val="22"/>
        </w:rPr>
      </w:pPr>
      <w:permStart w:id="797404044" w:edGrp="everyone"/>
      <w:r w:rsidRPr="00A2338D">
        <w:rPr>
          <w:rFonts w:cs="Arial"/>
          <w:color w:val="000000" w:themeColor="text1"/>
          <w:sz w:val="22"/>
          <w:szCs w:val="22"/>
        </w:rPr>
        <w:t>It seems that Option 2 is the best way to modify the current reporting mechanism. Additionally</w:t>
      </w:r>
      <w:r>
        <w:rPr>
          <w:rFonts w:cs="Arial"/>
          <w:color w:val="000000" w:themeColor="text1"/>
          <w:sz w:val="22"/>
          <w:szCs w:val="22"/>
        </w:rPr>
        <w:t>,</w:t>
      </w:r>
      <w:r w:rsidRPr="00A2338D">
        <w:rPr>
          <w:rFonts w:cs="Arial"/>
          <w:color w:val="000000" w:themeColor="text1"/>
          <w:sz w:val="22"/>
          <w:szCs w:val="22"/>
        </w:rPr>
        <w:t xml:space="preserve"> we would suggest that Option 2 should be modified so that issuers should only be required to report to the NCA that is defined in Article 17(3) of MAR and </w:t>
      </w:r>
      <w:r w:rsidRPr="00A2338D">
        <w:rPr>
          <w:rFonts w:cs="Arial"/>
          <w:color w:val="000000" w:themeColor="text1"/>
          <w:sz w:val="22"/>
          <w:szCs w:val="22"/>
          <w:shd w:val="clear" w:color="auto" w:fill="FFFFFF"/>
        </w:rPr>
        <w:t>Commission Delegated </w:t>
      </w:r>
      <w:r w:rsidRPr="00A2338D">
        <w:rPr>
          <w:rStyle w:val="Uwydatnienie"/>
          <w:rFonts w:cs="Arial"/>
          <w:bCs/>
          <w:color w:val="000000" w:themeColor="text1"/>
          <w:sz w:val="22"/>
          <w:szCs w:val="22"/>
          <w:shd w:val="clear" w:color="auto" w:fill="FFFFFF"/>
        </w:rPr>
        <w:t>Regulation</w:t>
      </w:r>
      <w:r w:rsidRPr="00A2338D">
        <w:rPr>
          <w:rFonts w:cs="Arial"/>
          <w:color w:val="000000" w:themeColor="text1"/>
          <w:sz w:val="22"/>
          <w:szCs w:val="22"/>
          <w:shd w:val="clear" w:color="auto" w:fill="FFFFFF"/>
        </w:rPr>
        <w:t> (EU) </w:t>
      </w:r>
      <w:r w:rsidRPr="00A2338D">
        <w:rPr>
          <w:rStyle w:val="Uwydatnienie"/>
          <w:rFonts w:cs="Arial"/>
          <w:bCs/>
          <w:color w:val="000000" w:themeColor="text1"/>
          <w:sz w:val="22"/>
          <w:szCs w:val="22"/>
          <w:shd w:val="clear" w:color="auto" w:fill="FFFFFF"/>
        </w:rPr>
        <w:t>2016/522</w:t>
      </w:r>
      <w:r w:rsidRPr="00A2338D">
        <w:rPr>
          <w:rFonts w:cs="Arial"/>
          <w:color w:val="000000" w:themeColor="text1"/>
          <w:sz w:val="22"/>
          <w:szCs w:val="22"/>
        </w:rPr>
        <w:t xml:space="preserve">, which is the NCA the issuer must provide information to regarding delayed disclosure. </w:t>
      </w:r>
    </w:p>
    <w:p w14:paraId="6EE9167A" w14:textId="77777777" w:rsidR="00A2338D" w:rsidRPr="00A2338D" w:rsidRDefault="00A2338D" w:rsidP="00A2338D">
      <w:pPr>
        <w:spacing w:after="120" w:line="300" w:lineRule="atLeast"/>
        <w:jc w:val="both"/>
        <w:rPr>
          <w:rFonts w:cs="Arial"/>
          <w:color w:val="000000" w:themeColor="text1"/>
          <w:sz w:val="22"/>
          <w:szCs w:val="22"/>
        </w:rPr>
      </w:pPr>
      <w:r w:rsidRPr="00A2338D">
        <w:rPr>
          <w:rFonts w:cs="Arial"/>
          <w:color w:val="000000" w:themeColor="text1"/>
          <w:sz w:val="22"/>
          <w:szCs w:val="22"/>
        </w:rPr>
        <w:t xml:space="preserve">The rationale behind this is that that reporting obligation would match the extension of the disclosure obligation under Article 17 of MAR, meaning that issuers are well aware of the distinction in obligations in relation to trading venues where they have requested for admittance to trading and other trading venues where their instruments are traded (with or without their knowledge). </w:t>
      </w:r>
    </w:p>
    <w:p w14:paraId="7F1049AB" w14:textId="77777777" w:rsidR="00A2338D" w:rsidRPr="00A2338D" w:rsidRDefault="00A2338D" w:rsidP="00A2338D">
      <w:pPr>
        <w:spacing w:after="120" w:line="300" w:lineRule="atLeast"/>
        <w:jc w:val="both"/>
        <w:rPr>
          <w:rFonts w:cs="Arial"/>
          <w:color w:val="000000" w:themeColor="text1"/>
          <w:sz w:val="22"/>
          <w:szCs w:val="22"/>
        </w:rPr>
      </w:pPr>
      <w:r w:rsidRPr="00A2338D">
        <w:rPr>
          <w:rFonts w:cs="Arial"/>
          <w:color w:val="000000" w:themeColor="text1"/>
          <w:sz w:val="22"/>
          <w:szCs w:val="22"/>
        </w:rPr>
        <w:t>Option 3 requires from the issuer more activity. Before reporting the issuer would be obliged to verify which market is relevant in term of liquidity according to Article 26(1) of MiFIR. Additionally the ”most relevant market in terms of liquidity” concept is less established among issuers than other ways to determine the NCA and the possibility of it changing once a year makes it less predictable and less transparent. In our opinion, such solution is not the best way to modify the reporting mechanism.</w:t>
      </w:r>
    </w:p>
    <w:p w14:paraId="2EE70EFF" w14:textId="77777777" w:rsidR="00A2338D" w:rsidRPr="00A2338D" w:rsidRDefault="00A2338D" w:rsidP="00A2338D">
      <w:pPr>
        <w:spacing w:after="120" w:line="300" w:lineRule="atLeast"/>
        <w:jc w:val="both"/>
        <w:rPr>
          <w:rFonts w:cs="Arial"/>
          <w:color w:val="000000" w:themeColor="text1"/>
          <w:sz w:val="22"/>
          <w:szCs w:val="22"/>
        </w:rPr>
      </w:pPr>
      <w:r w:rsidRPr="00A2338D">
        <w:rPr>
          <w:rFonts w:cs="Arial"/>
          <w:color w:val="000000" w:themeColor="text1"/>
          <w:sz w:val="22"/>
          <w:szCs w:val="22"/>
        </w:rPr>
        <w:t xml:space="preserve">We believe that a modified version of Option 2 that requires all relevant information to be reported to the one NCA already known to the issuers should be recommended. </w:t>
      </w:r>
    </w:p>
    <w:permEnd w:id="797404044"/>
    <w:p w14:paraId="3C3E0A4F" w14:textId="77777777"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4CB77E65" w14:textId="51950F89" w:rsidR="003519E2" w:rsidRPr="003519E2" w:rsidRDefault="003519E2" w:rsidP="003519E2">
      <w:pPr>
        <w:spacing w:after="120" w:line="300" w:lineRule="atLeast"/>
        <w:jc w:val="both"/>
        <w:rPr>
          <w:rFonts w:cs="Arial"/>
          <w:color w:val="000000" w:themeColor="text1"/>
          <w:sz w:val="22"/>
          <w:szCs w:val="22"/>
        </w:rPr>
      </w:pPr>
      <w:permStart w:id="1572474776" w:edGrp="everyone"/>
      <w:r w:rsidRPr="003519E2">
        <w:rPr>
          <w:rFonts w:cs="Arial"/>
          <w:color w:val="000000" w:themeColor="text1"/>
          <w:sz w:val="22"/>
          <w:szCs w:val="22"/>
        </w:rPr>
        <w:t xml:space="preserve">Yes. In our opinion reference to Article 25(1) and (2) of MiFIR should be removed from </w:t>
      </w:r>
      <w:bookmarkStart w:id="4" w:name="_Hlk25673539"/>
      <w:r w:rsidRPr="003519E2">
        <w:rPr>
          <w:rFonts w:cs="Arial"/>
          <w:color w:val="000000" w:themeColor="text1"/>
          <w:sz w:val="22"/>
          <w:szCs w:val="22"/>
        </w:rPr>
        <w:t>Article 5(3) of MAR</w:t>
      </w:r>
      <w:bookmarkEnd w:id="4"/>
      <w:r w:rsidRPr="003519E2">
        <w:rPr>
          <w:rFonts w:cs="Arial"/>
          <w:color w:val="000000" w:themeColor="text1"/>
          <w:sz w:val="22"/>
          <w:szCs w:val="22"/>
        </w:rPr>
        <w:t xml:space="preserve">. If NCA can access the same information, we do not see any reason to report the same information twice. We believe that such double reporting is too burdensome for the issuers and useful for market participants. </w:t>
      </w:r>
    </w:p>
    <w:permEnd w:id="1572474776"/>
    <w:p w14:paraId="3C3E0A54" w14:textId="77777777" w:rsidR="002E1760" w:rsidRDefault="002E1760" w:rsidP="002E1760"/>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51C219AB" w14:textId="542FD733" w:rsidR="003519E2" w:rsidRPr="003519E2" w:rsidRDefault="003519E2" w:rsidP="003519E2">
      <w:pPr>
        <w:spacing w:after="120" w:line="300" w:lineRule="atLeast"/>
        <w:jc w:val="both"/>
        <w:rPr>
          <w:rFonts w:cs="Arial"/>
          <w:color w:val="000000" w:themeColor="text1"/>
          <w:sz w:val="22"/>
          <w:szCs w:val="22"/>
        </w:rPr>
      </w:pPr>
      <w:permStart w:id="1766684248" w:edGrp="everyone"/>
      <w:r w:rsidRPr="003519E2">
        <w:rPr>
          <w:rFonts w:cs="Arial"/>
          <w:color w:val="000000" w:themeColor="text1"/>
          <w:sz w:val="22"/>
          <w:szCs w:val="22"/>
        </w:rPr>
        <w:t xml:space="preserve">We consider that the list of fields to be reported by the issuers to the NCA under Article 5(3) of MAR should be as short as possible. The list of fields should be limited. As a consequence, the report to the NCAs should include only this information which tied up it with transaction report which NCAs obtain under MiFIR. </w:t>
      </w:r>
    </w:p>
    <w:permEnd w:id="1766684248"/>
    <w:p w14:paraId="3C3E0A59" w14:textId="77777777" w:rsidR="008418E3" w:rsidRDefault="008418E3" w:rsidP="008418E3"/>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7726F614" w14:textId="2C36E82C" w:rsidR="003519E2" w:rsidRPr="003519E2" w:rsidRDefault="003519E2" w:rsidP="003519E2">
      <w:pPr>
        <w:spacing w:after="120" w:line="300" w:lineRule="atLeast"/>
        <w:rPr>
          <w:rFonts w:cs="Arial"/>
          <w:color w:val="000000" w:themeColor="text1"/>
          <w:sz w:val="22"/>
          <w:szCs w:val="22"/>
        </w:rPr>
      </w:pPr>
      <w:permStart w:id="332164447" w:edGrp="everyone"/>
      <w:r w:rsidRPr="003519E2">
        <w:rPr>
          <w:rFonts w:cs="Arial"/>
          <w:color w:val="000000" w:themeColor="text1"/>
          <w:sz w:val="22"/>
          <w:szCs w:val="22"/>
        </w:rPr>
        <w:t>We agree with ESMA’s preliminary view concerning the publication of aggregated data only.</w:t>
      </w:r>
    </w:p>
    <w:permEnd w:id="332164447"/>
    <w:p w14:paraId="3C3E0A5E" w14:textId="77777777" w:rsidR="00F469F8" w:rsidRDefault="00F469F8" w:rsidP="00F469F8"/>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75EC7A39" w14:textId="559906D0" w:rsidR="00C826C1" w:rsidRPr="00C826C1" w:rsidRDefault="00C826C1" w:rsidP="00C826C1">
      <w:pPr>
        <w:spacing w:after="120" w:line="300" w:lineRule="atLeast"/>
        <w:jc w:val="both"/>
        <w:rPr>
          <w:rFonts w:cs="Arial"/>
          <w:color w:val="000000" w:themeColor="text1"/>
          <w:sz w:val="22"/>
          <w:szCs w:val="22"/>
        </w:rPr>
      </w:pPr>
      <w:permStart w:id="1943283503" w:edGrp="everyone"/>
      <w:r w:rsidRPr="00C826C1">
        <w:rPr>
          <w:rFonts w:cs="Arial"/>
          <w:color w:val="000000" w:themeColor="text1"/>
          <w:sz w:val="22"/>
          <w:szCs w:val="22"/>
        </w:rPr>
        <w:t xml:space="preserve">We believe that, the aggregated volume traded and the weighted average price paid for the shares in each trading session should be sufficient for the market participants. </w:t>
      </w:r>
    </w:p>
    <w:permEnd w:id="1943283503"/>
    <w:p w14:paraId="3C3E0A63" w14:textId="77777777" w:rsidR="00F469F8" w:rsidRDefault="00F469F8" w:rsidP="00F469F8"/>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lastRenderedPageBreak/>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84CBF2A" w14:textId="27E31BFB" w:rsidR="00B232EC" w:rsidRPr="008D224A" w:rsidRDefault="00B232EC" w:rsidP="00B232EC">
      <w:pPr>
        <w:pStyle w:val="Default"/>
        <w:spacing w:after="120"/>
        <w:jc w:val="both"/>
        <w:rPr>
          <w:rFonts w:ascii="Arial" w:hAnsi="Arial" w:cs="Arial"/>
          <w:color w:val="auto"/>
          <w:sz w:val="22"/>
          <w:szCs w:val="22"/>
          <w:lang w:val="en-US"/>
        </w:rPr>
      </w:pPr>
      <w:permStart w:id="770132907" w:edGrp="everyone"/>
      <w:r w:rsidRPr="008D224A">
        <w:rPr>
          <w:rFonts w:ascii="Arial" w:hAnsi="Arial" w:cs="Arial"/>
          <w:color w:val="auto"/>
          <w:sz w:val="22"/>
          <w:szCs w:val="22"/>
          <w:lang w:val="en-US"/>
        </w:rPr>
        <w:t>The biggest difficulty that has been experienced by our side is identifying the moment in which the information becomes inside information. It would be very helpful to define the conditions that have to occur to define that exact moment. Also the common issue is with the moment when you express the intention (also during internal analysis) or the written decision and the direction of it actually made. It would be also necessary to elaborate on M&amp;A process – what kind of information and at what stage of the process should be considered as the momentum for the information to become an inside information.</w:t>
      </w:r>
    </w:p>
    <w:permEnd w:id="770132907"/>
    <w:p w14:paraId="3C3E0A68" w14:textId="77777777" w:rsidR="00646C30" w:rsidRDefault="00646C30" w:rsidP="00646C30"/>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1763D2DC" w14:textId="01A14329" w:rsidR="00B232EC" w:rsidRPr="008D224A" w:rsidRDefault="00B232EC" w:rsidP="00B232EC">
      <w:pPr>
        <w:pStyle w:val="Default"/>
        <w:spacing w:after="120"/>
        <w:jc w:val="both"/>
        <w:rPr>
          <w:rFonts w:ascii="Arial" w:hAnsi="Arial" w:cs="Arial"/>
          <w:color w:val="auto"/>
          <w:sz w:val="22"/>
          <w:szCs w:val="22"/>
          <w:lang w:val="en-US"/>
        </w:rPr>
      </w:pPr>
      <w:permStart w:id="416102086" w:edGrp="everyone"/>
      <w:r w:rsidRPr="008D224A">
        <w:rPr>
          <w:rFonts w:ascii="Arial" w:hAnsi="Arial" w:cs="Arial"/>
          <w:color w:val="auto"/>
          <w:sz w:val="22"/>
          <w:szCs w:val="22"/>
          <w:lang w:val="en-US"/>
        </w:rPr>
        <w:t>The definition leaves too much space for NCAs to interpret the definition of the inside information in various ways. Hence, the approach and identified situation that already happened concerning the inside information aren’t unified enough across EU countries. There should be more guidance in this respect, so that issuers are equally exposed to that matter.</w:t>
      </w:r>
    </w:p>
    <w:permEnd w:id="416102086"/>
    <w:p w14:paraId="3C3E0A6D" w14:textId="77777777"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359587A" w:rsidR="00646C30" w:rsidRDefault="005330D4" w:rsidP="00646C30">
      <w:permStart w:id="831264800" w:edGrp="everyone"/>
      <w:r>
        <w:t xml:space="preserve">NO. </w:t>
      </w:r>
      <w:r w:rsidRPr="005330D4">
        <w:rPr>
          <w:sz w:val="22"/>
          <w:szCs w:val="22"/>
        </w:rPr>
        <w:t>We have not identified such information so far.</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lastRenderedPageBreak/>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lastRenderedPageBreak/>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71D6625B" w14:textId="29F70F4E" w:rsidR="005330D4" w:rsidRPr="008D224A" w:rsidRDefault="005330D4" w:rsidP="005330D4">
      <w:pPr>
        <w:pStyle w:val="Default"/>
        <w:spacing w:after="120"/>
        <w:jc w:val="both"/>
        <w:rPr>
          <w:rFonts w:ascii="Arial" w:hAnsi="Arial" w:cs="Arial"/>
          <w:color w:val="auto"/>
          <w:sz w:val="22"/>
          <w:szCs w:val="22"/>
          <w:lang w:val="en-US"/>
        </w:rPr>
      </w:pPr>
      <w:permStart w:id="611875542" w:edGrp="everyone"/>
      <w:r w:rsidRPr="008D224A">
        <w:rPr>
          <w:rFonts w:ascii="Arial" w:hAnsi="Arial" w:cs="Arial"/>
          <w:color w:val="auto"/>
          <w:sz w:val="22"/>
          <w:szCs w:val="22"/>
          <w:lang w:val="en-US"/>
        </w:rPr>
        <w:t>In practice the conditions defined in MAR apply mostly to M&amp;A area and in this respect they are sufficient. However, other situations in limited cases could also require an option for delaying information i.e in the area of financial reporting. The area where the whole process is being reported and several phases create the obligation to report the inside information should also include more detailed information about delaying those exact few pieces of inside information in the process.</w:t>
      </w:r>
    </w:p>
    <w:permEnd w:id="611875542"/>
    <w:p w14:paraId="3C3E0AA4" w14:textId="77777777" w:rsidR="00646C30" w:rsidRDefault="00646C30" w:rsidP="00646C30"/>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537EFF0C" w14:textId="2E65B6CE" w:rsidR="00A03C63" w:rsidRPr="008D224A" w:rsidRDefault="00A03C63" w:rsidP="00A03C63">
      <w:pPr>
        <w:pStyle w:val="Default"/>
        <w:spacing w:after="120"/>
        <w:jc w:val="both"/>
        <w:rPr>
          <w:rFonts w:ascii="Arial" w:hAnsi="Arial" w:cs="Arial"/>
          <w:color w:val="auto"/>
          <w:sz w:val="22"/>
          <w:szCs w:val="22"/>
          <w:lang w:val="en-US"/>
        </w:rPr>
      </w:pPr>
      <w:permStart w:id="1829000557" w:edGrp="everyone"/>
      <w:r w:rsidRPr="008D224A">
        <w:rPr>
          <w:rFonts w:ascii="Arial" w:hAnsi="Arial" w:cs="Arial"/>
          <w:color w:val="auto"/>
          <w:sz w:val="22"/>
          <w:szCs w:val="22"/>
          <w:lang w:val="en-US"/>
        </w:rPr>
        <w:t>A very common situation is where a decision on something is made but the details are still being worked on. It might turn out in the further process that based on collected information the conditions of the information might change even the main direction is the same as initially made. Therefore the first publication might be in fact misleading even though the inside information has been created and it won’t change. It’s difficult to assess in this type of situation whether the information can be delayed.</w:t>
      </w:r>
    </w:p>
    <w:permEnd w:id="1829000557"/>
    <w:p w14:paraId="3C3E0AA9" w14:textId="77777777" w:rsidR="00646C30" w:rsidRDefault="00646C30" w:rsidP="00646C30"/>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2508E2FA" w14:textId="32B982BE" w:rsidR="003B04CF" w:rsidRPr="008D224A" w:rsidRDefault="003B04CF" w:rsidP="0038740B">
      <w:pPr>
        <w:pStyle w:val="Default"/>
        <w:spacing w:after="120"/>
        <w:jc w:val="both"/>
        <w:rPr>
          <w:rFonts w:ascii="Arial" w:hAnsi="Arial" w:cs="Arial"/>
          <w:color w:val="auto"/>
          <w:sz w:val="22"/>
          <w:szCs w:val="22"/>
          <w:lang w:val="en-US"/>
        </w:rPr>
      </w:pPr>
      <w:permStart w:id="1678079242" w:edGrp="everyone"/>
      <w:r w:rsidRPr="008D224A">
        <w:rPr>
          <w:rFonts w:ascii="Arial" w:hAnsi="Arial" w:cs="Arial"/>
          <w:color w:val="auto"/>
          <w:sz w:val="22"/>
          <w:szCs w:val="22"/>
          <w:lang w:val="en-US"/>
        </w:rPr>
        <w:t>The regulation is already very detailed and requires a lot of activities on the issuer side. The system is already efficient and additional systems and control added create the risk of overregulation which won’t be translated into the real results that are behind of proposed changes.</w:t>
      </w:r>
    </w:p>
    <w:permEnd w:id="1678079242"/>
    <w:p w14:paraId="3C3E0AAE" w14:textId="77777777" w:rsidR="00646C30" w:rsidRDefault="00646C30" w:rsidP="00646C30"/>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1DA086CD" w14:textId="304B3D59" w:rsidR="0038740B" w:rsidRPr="008D224A" w:rsidRDefault="0038740B" w:rsidP="0038740B">
      <w:pPr>
        <w:pStyle w:val="Default"/>
        <w:spacing w:after="120"/>
        <w:jc w:val="both"/>
        <w:rPr>
          <w:rFonts w:ascii="Arial" w:hAnsi="Arial" w:cs="Arial"/>
          <w:color w:val="auto"/>
          <w:sz w:val="22"/>
          <w:szCs w:val="22"/>
          <w:lang w:val="en-US"/>
        </w:rPr>
      </w:pPr>
      <w:permStart w:id="266360711" w:edGrp="everyone"/>
      <w:r w:rsidRPr="008D224A">
        <w:rPr>
          <w:rFonts w:ascii="Arial" w:hAnsi="Arial" w:cs="Arial"/>
          <w:color w:val="auto"/>
          <w:sz w:val="22"/>
          <w:szCs w:val="22"/>
          <w:lang w:val="en-US"/>
        </w:rPr>
        <w:t>The most common issue is during M&amp;A process. It is very hard to decide at which stage the inside information is created considering various stages of internal analysis, cooperation with external partners and potential decisions inside the company or capital group.</w:t>
      </w:r>
    </w:p>
    <w:permEnd w:id="266360711"/>
    <w:p w14:paraId="3C3E0AB3" w14:textId="77777777" w:rsidR="00646C30" w:rsidRDefault="00646C30" w:rsidP="00646C30"/>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68B7FA04" w14:textId="01F7EA11" w:rsidR="00E105C2" w:rsidRPr="008D224A" w:rsidRDefault="00E105C2" w:rsidP="00E105C2">
      <w:pPr>
        <w:spacing w:after="120"/>
        <w:jc w:val="both"/>
        <w:rPr>
          <w:rFonts w:cs="Arial"/>
          <w:sz w:val="22"/>
          <w:szCs w:val="22"/>
          <w:lang w:val="en-US"/>
        </w:rPr>
      </w:pPr>
      <w:permStart w:id="1420902335" w:edGrp="everyone"/>
      <w:r w:rsidRPr="008D224A">
        <w:rPr>
          <w:rFonts w:cs="Arial"/>
          <w:sz w:val="22"/>
          <w:szCs w:val="22"/>
          <w:lang w:val="en-US"/>
        </w:rPr>
        <w:t>The system is effective at the moment. There shouldn’t be any notification to NCAs where the delayed inside information loses its inside nature.</w:t>
      </w:r>
    </w:p>
    <w:permEnd w:id="1420902335"/>
    <w:p w14:paraId="3C3E0AB8" w14:textId="77777777" w:rsidR="00646C30" w:rsidRDefault="00646C30" w:rsidP="00646C30"/>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A69242" w14:textId="5E64B83F" w:rsidR="00837F80" w:rsidRDefault="00837F80" w:rsidP="00837F80">
      <w:pPr>
        <w:jc w:val="both"/>
        <w:rPr>
          <w:rFonts w:cs="Arial"/>
          <w:sz w:val="22"/>
          <w:szCs w:val="22"/>
          <w:lang w:eastAsia="pl-PL"/>
        </w:rPr>
      </w:pPr>
      <w:permStart w:id="385179280" w:edGrp="everyone"/>
      <w:r w:rsidRPr="003056A2">
        <w:rPr>
          <w:rFonts w:cs="Arial"/>
          <w:sz w:val="22"/>
          <w:szCs w:val="22"/>
          <w:lang w:eastAsia="pl-PL"/>
        </w:rPr>
        <w:t xml:space="preserve">WSE is of the view that the option </w:t>
      </w:r>
      <w:r w:rsidRPr="003056A2">
        <w:rPr>
          <w:rFonts w:cs="Arial"/>
          <w:sz w:val="22"/>
          <w:szCs w:val="22"/>
        </w:rPr>
        <w:t xml:space="preserve">foreseen in </w:t>
      </w:r>
      <w:r w:rsidRPr="003056A2">
        <w:rPr>
          <w:rFonts w:cs="Arial"/>
          <w:sz w:val="22"/>
          <w:szCs w:val="22"/>
          <w:lang w:eastAsia="pl-PL"/>
        </w:rPr>
        <w:t xml:space="preserve">Article 17(5) of MAR for </w:t>
      </w:r>
      <w:r w:rsidRPr="003056A2">
        <w:rPr>
          <w:rFonts w:cs="Arial"/>
          <w:sz w:val="22"/>
          <w:szCs w:val="22"/>
        </w:rPr>
        <w:t xml:space="preserve">credit or financial institution to delay disclosure of inside information </w:t>
      </w:r>
      <w:r w:rsidRPr="003056A2">
        <w:rPr>
          <w:rFonts w:cs="Arial"/>
          <w:sz w:val="22"/>
          <w:szCs w:val="22"/>
          <w:lang w:eastAsia="pl-PL"/>
        </w:rPr>
        <w:t xml:space="preserve">should be </w:t>
      </w:r>
      <w:r w:rsidRPr="003056A2">
        <w:rPr>
          <w:rFonts w:cs="Arial"/>
          <w:sz w:val="22"/>
          <w:szCs w:val="22"/>
        </w:rPr>
        <w:t>expended to include the case of the listed issuer which is controlling, directly or indirectly, a credit or financial institution regardless whether it’s a listed or non-listed institution</w:t>
      </w:r>
      <w:r w:rsidRPr="003056A2">
        <w:rPr>
          <w:rFonts w:cs="Arial"/>
          <w:sz w:val="22"/>
          <w:szCs w:val="22"/>
          <w:lang w:eastAsia="pl-PL"/>
        </w:rPr>
        <w:t xml:space="preserve">. </w:t>
      </w:r>
      <w:r>
        <w:rPr>
          <w:rFonts w:cs="Arial"/>
          <w:sz w:val="22"/>
          <w:szCs w:val="22"/>
          <w:lang w:eastAsia="pl-PL"/>
        </w:rPr>
        <w:t xml:space="preserve">As we understand, </w:t>
      </w:r>
      <w:r w:rsidRPr="003056A2">
        <w:rPr>
          <w:rFonts w:cs="Arial"/>
          <w:sz w:val="22"/>
          <w:szCs w:val="22"/>
          <w:lang w:eastAsia="pl-PL"/>
        </w:rPr>
        <w:t>actually</w:t>
      </w:r>
      <w:r>
        <w:rPr>
          <w:rFonts w:cs="Arial"/>
          <w:sz w:val="22"/>
          <w:szCs w:val="22"/>
          <w:lang w:eastAsia="pl-PL"/>
        </w:rPr>
        <w:t xml:space="preserve"> the listed issuer</w:t>
      </w:r>
      <w:r w:rsidRPr="003056A2">
        <w:rPr>
          <w:rFonts w:cs="Arial"/>
          <w:sz w:val="22"/>
          <w:szCs w:val="22"/>
          <w:lang w:eastAsia="pl-PL"/>
        </w:rPr>
        <w:t xml:space="preserve"> which is </w:t>
      </w:r>
      <w:r w:rsidRPr="003056A2">
        <w:rPr>
          <w:rFonts w:cs="Arial"/>
          <w:sz w:val="22"/>
          <w:szCs w:val="22"/>
        </w:rPr>
        <w:t xml:space="preserve">controlling a credit or financial institution is able to delay disclosure of inside information mainly on the basis of Article 17 (4) of MAR when all the conditions set out in this Article are met, </w:t>
      </w:r>
      <w:r>
        <w:rPr>
          <w:rFonts w:cs="Arial"/>
          <w:sz w:val="22"/>
          <w:szCs w:val="22"/>
        </w:rPr>
        <w:t xml:space="preserve">not </w:t>
      </w:r>
      <w:r w:rsidRPr="003056A2">
        <w:rPr>
          <w:rFonts w:cs="Arial"/>
          <w:sz w:val="22"/>
          <w:szCs w:val="22"/>
        </w:rPr>
        <w:t xml:space="preserve">on the basis of </w:t>
      </w:r>
      <w:r w:rsidRPr="003056A2">
        <w:rPr>
          <w:rFonts w:cs="Arial"/>
          <w:sz w:val="22"/>
          <w:szCs w:val="22"/>
          <w:lang w:eastAsia="pl-PL"/>
        </w:rPr>
        <w:t>Article 17 (5) of MAR</w:t>
      </w:r>
      <w:r>
        <w:rPr>
          <w:rFonts w:cs="Arial"/>
          <w:sz w:val="22"/>
          <w:szCs w:val="22"/>
          <w:lang w:eastAsia="pl-PL"/>
        </w:rPr>
        <w:t xml:space="preserve"> since the issuer is not the </w:t>
      </w:r>
      <w:r w:rsidRPr="003056A2">
        <w:rPr>
          <w:rFonts w:cs="Arial"/>
          <w:sz w:val="22"/>
          <w:szCs w:val="22"/>
        </w:rPr>
        <w:t>credit or financial institution</w:t>
      </w:r>
      <w:r>
        <w:rPr>
          <w:rFonts w:cs="Arial"/>
          <w:sz w:val="22"/>
          <w:szCs w:val="22"/>
        </w:rPr>
        <w:t xml:space="preserve"> itself</w:t>
      </w:r>
      <w:r w:rsidRPr="003056A2">
        <w:rPr>
          <w:rFonts w:cs="Arial"/>
          <w:sz w:val="22"/>
          <w:szCs w:val="22"/>
          <w:lang w:eastAsia="pl-PL"/>
        </w:rPr>
        <w:t xml:space="preserve">. Therefore, we are in favour of expending </w:t>
      </w:r>
      <w:r w:rsidRPr="003056A2">
        <w:rPr>
          <w:rFonts w:cs="Arial"/>
          <w:sz w:val="22"/>
          <w:szCs w:val="22"/>
          <w:lang w:val="en"/>
        </w:rPr>
        <w:t xml:space="preserve">the scope of application of </w:t>
      </w:r>
      <w:r w:rsidRPr="003056A2">
        <w:rPr>
          <w:rFonts w:cs="Arial"/>
          <w:sz w:val="22"/>
          <w:szCs w:val="22"/>
        </w:rPr>
        <w:t>Article 17</w:t>
      </w:r>
      <w:r w:rsidRPr="003056A2">
        <w:rPr>
          <w:rFonts w:cs="Arial"/>
          <w:sz w:val="22"/>
          <w:szCs w:val="22"/>
          <w:lang w:eastAsia="pl-PL"/>
        </w:rPr>
        <w:t xml:space="preserve"> (5) of MAR. </w:t>
      </w:r>
    </w:p>
    <w:p w14:paraId="712F77EF" w14:textId="77777777" w:rsidR="00837F80" w:rsidRPr="003056A2" w:rsidRDefault="00837F80" w:rsidP="00837F80">
      <w:pPr>
        <w:jc w:val="both"/>
        <w:rPr>
          <w:rFonts w:cs="Arial"/>
          <w:sz w:val="22"/>
          <w:szCs w:val="22"/>
        </w:rPr>
      </w:pPr>
    </w:p>
    <w:p w14:paraId="5D45BE86" w14:textId="75CAE253" w:rsidR="00837F80" w:rsidRPr="003056A2" w:rsidRDefault="00837F80" w:rsidP="0083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2"/>
          <w:szCs w:val="22"/>
          <w:lang w:eastAsia="pl-PL"/>
        </w:rPr>
      </w:pPr>
      <w:r w:rsidRPr="003056A2">
        <w:rPr>
          <w:rFonts w:cs="Arial"/>
          <w:sz w:val="22"/>
          <w:szCs w:val="22"/>
        </w:rPr>
        <w:t xml:space="preserve">However, if </w:t>
      </w:r>
      <w:r>
        <w:rPr>
          <w:rFonts w:cs="Arial"/>
          <w:sz w:val="22"/>
          <w:szCs w:val="22"/>
        </w:rPr>
        <w:t>abovementioned</w:t>
      </w:r>
      <w:r w:rsidRPr="003056A2">
        <w:rPr>
          <w:rFonts w:cs="Arial"/>
          <w:sz w:val="22"/>
          <w:szCs w:val="22"/>
        </w:rPr>
        <w:t xml:space="preserve"> modification of </w:t>
      </w:r>
      <w:r w:rsidRPr="003056A2">
        <w:rPr>
          <w:rFonts w:cs="Arial"/>
          <w:sz w:val="22"/>
          <w:szCs w:val="22"/>
          <w:lang w:eastAsia="pl-PL"/>
        </w:rPr>
        <w:t xml:space="preserve">Article 17(5) is adopted, it </w:t>
      </w:r>
      <w:r>
        <w:rPr>
          <w:rFonts w:cs="Arial"/>
          <w:sz w:val="22"/>
          <w:szCs w:val="22"/>
          <w:lang w:eastAsia="pl-PL"/>
        </w:rPr>
        <w:t xml:space="preserve">would be necessary to decide </w:t>
      </w:r>
      <w:r w:rsidRPr="003056A2">
        <w:rPr>
          <w:rFonts w:cs="Arial"/>
          <w:sz w:val="22"/>
          <w:szCs w:val="22"/>
          <w:lang w:eastAsia="pl-PL"/>
        </w:rPr>
        <w:t xml:space="preserve">which entity should </w:t>
      </w:r>
      <w:r>
        <w:rPr>
          <w:rFonts w:cs="Arial"/>
          <w:sz w:val="22"/>
          <w:szCs w:val="22"/>
          <w:lang w:eastAsia="pl-PL"/>
        </w:rPr>
        <w:t xml:space="preserve">be required to </w:t>
      </w:r>
      <w:r w:rsidRPr="003056A2">
        <w:rPr>
          <w:rFonts w:cs="Arial"/>
          <w:sz w:val="22"/>
          <w:szCs w:val="22"/>
          <w:lang w:eastAsia="pl-PL"/>
        </w:rPr>
        <w:t>apply to the supervisory authority for the consent to delay the disclosure of inside information.</w:t>
      </w:r>
    </w:p>
    <w:permEnd w:id="385179280"/>
    <w:p w14:paraId="3C3E0ABD" w14:textId="77777777" w:rsidR="00646C30" w:rsidRDefault="00646C30" w:rsidP="00646C30"/>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lastRenderedPageBreak/>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48717625" w14:textId="604C1613" w:rsidR="00C82C09" w:rsidRPr="00C82C09" w:rsidRDefault="00C82C09" w:rsidP="00C82C09">
      <w:pPr>
        <w:jc w:val="both"/>
        <w:rPr>
          <w:rFonts w:cs="Arial"/>
          <w:sz w:val="22"/>
          <w:szCs w:val="22"/>
          <w:lang w:eastAsia="en-US"/>
        </w:rPr>
      </w:pPr>
      <w:permStart w:id="1371158119" w:edGrp="everyone"/>
      <w:r w:rsidRPr="00C82C09">
        <w:rPr>
          <w:rFonts w:cs="Arial"/>
          <w:sz w:val="22"/>
          <w:szCs w:val="22"/>
        </w:rPr>
        <w:t>We would like to point out that the scope and complexity of obligations and procedures applicable to parties participating in the market sounding mean that DMP and potential investors are reluctant to use the market sounding procedure. Especially for potential investors, the legal regime is too burdensome. Therefore, it should first be considered whether all applicable procedures and specifi</w:t>
      </w:r>
      <w:r w:rsidR="007A5272">
        <w:rPr>
          <w:rFonts w:cs="Arial"/>
          <w:sz w:val="22"/>
          <w:szCs w:val="22"/>
        </w:rPr>
        <w:t>c requirements set forth in Article</w:t>
      </w:r>
      <w:r w:rsidRPr="00C82C09">
        <w:rPr>
          <w:rFonts w:cs="Arial"/>
          <w:sz w:val="22"/>
          <w:szCs w:val="22"/>
        </w:rPr>
        <w:t xml:space="preserve"> 11 </w:t>
      </w:r>
      <w:r w:rsidR="007A5272">
        <w:rPr>
          <w:rFonts w:cs="Arial"/>
          <w:sz w:val="22"/>
          <w:szCs w:val="22"/>
        </w:rPr>
        <w:t xml:space="preserve">of MAR </w:t>
      </w:r>
      <w:r w:rsidRPr="00C82C09">
        <w:rPr>
          <w:rFonts w:cs="Arial"/>
          <w:sz w:val="22"/>
          <w:szCs w:val="22"/>
        </w:rPr>
        <w:t>and CDR 2016/960, are really necessary. Limiting the changes to tightening the definition and introducing further procedural requirements (such as mandatory registration of telephone connections) will not, in our opinion, increase interest in the solution, which was supposed to serve to better protect potential investors and facilitate DMP's relations with them.</w:t>
      </w:r>
    </w:p>
    <w:permEnd w:id="1371158119"/>
    <w:p w14:paraId="3C3E0ACC" w14:textId="77777777" w:rsidR="00646C30" w:rsidRDefault="00646C30" w:rsidP="00646C30"/>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 xml:space="preserve">Do you think that the reference to “prior to the announcement of a transaction” in the definition of market sounding is appropriate or whether it should be amended to </w:t>
      </w:r>
      <w:r w:rsidRPr="00BF409D">
        <w:lastRenderedPageBreak/>
        <w:t>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2F94DA3" w14:textId="40A2FE45" w:rsidR="008640DB" w:rsidRPr="008640DB" w:rsidRDefault="008640DB" w:rsidP="008640DB">
      <w:pPr>
        <w:jc w:val="both"/>
        <w:rPr>
          <w:sz w:val="22"/>
          <w:szCs w:val="22"/>
          <w:lang w:val="en-US" w:eastAsia="en-US"/>
        </w:rPr>
      </w:pPr>
      <w:permStart w:id="1933056180" w:edGrp="everyone"/>
      <w:r w:rsidRPr="008640DB">
        <w:rPr>
          <w:sz w:val="22"/>
          <w:szCs w:val="22"/>
          <w:lang w:val="en-US"/>
        </w:rPr>
        <w:t xml:space="preserve">Yes, insider lists play significant role as they enable NCAs to complete their investigations, therefore </w:t>
      </w:r>
      <w:r>
        <w:rPr>
          <w:sz w:val="22"/>
          <w:szCs w:val="22"/>
          <w:lang w:val="en-US"/>
        </w:rPr>
        <w:t xml:space="preserve">the </w:t>
      </w:r>
      <w:r w:rsidRPr="008640DB">
        <w:rPr>
          <w:sz w:val="22"/>
          <w:szCs w:val="22"/>
          <w:lang w:val="en-US"/>
        </w:rPr>
        <w:t>insider lists should be maintained.</w:t>
      </w:r>
    </w:p>
    <w:permEnd w:id="1933056180"/>
    <w:p w14:paraId="3C3E0AEA" w14:textId="77777777" w:rsidR="00646C30" w:rsidRDefault="00646C30" w:rsidP="00646C30"/>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1C3BB1B9" w14:textId="46466AC7" w:rsidR="00B7061C" w:rsidRPr="00341D48" w:rsidRDefault="00854468" w:rsidP="00854468">
      <w:pPr>
        <w:jc w:val="both"/>
        <w:rPr>
          <w:rFonts w:cs="Arial"/>
          <w:sz w:val="22"/>
          <w:szCs w:val="22"/>
        </w:rPr>
      </w:pPr>
      <w:permStart w:id="1252881600" w:edGrp="everyone"/>
      <w:r w:rsidRPr="00341D48">
        <w:rPr>
          <w:rFonts w:cs="Arial"/>
          <w:sz w:val="22"/>
          <w:szCs w:val="22"/>
        </w:rPr>
        <w:t xml:space="preserve">Some facilities for issuers listed on SME Growth Markets seem to be apparent. Such an example is the Article 18(6) of MAR. SME Growth Market Issuers are exempt from drawing up the insider list, provided that they are able to provide NCA with an insider list, at its request. In fact, such facilitation may create greater risks for such issuers than "regular" obligations in this regard. In the event of a request by a supervisory authority addressed to the issuer after a longer period of the moment when the inside information has been created, the issuer may have serious problems in completing such request. Thus, the solution that was to be a facilitation for small companies, creates a serious risk for companies listed on SME GM due to incorrect execution of the NCA’s request. </w:t>
      </w:r>
    </w:p>
    <w:permEnd w:id="1252881600"/>
    <w:p w14:paraId="3C3E0AEF" w14:textId="77777777" w:rsidR="00646C30" w:rsidRDefault="00646C30" w:rsidP="00646C30"/>
    <w:p w14:paraId="3C3E0AF0" w14:textId="77777777" w:rsidR="00646C30" w:rsidRDefault="00646C30" w:rsidP="00646C30">
      <w:r>
        <w:lastRenderedPageBreak/>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1F8857AF" w14:textId="693DA0DA" w:rsidR="003A05B8" w:rsidRDefault="003A05B8" w:rsidP="003A05B8">
      <w:pPr>
        <w:jc w:val="both"/>
        <w:rPr>
          <w:rFonts w:cs="Arial"/>
          <w:sz w:val="22"/>
          <w:szCs w:val="22"/>
        </w:rPr>
      </w:pPr>
      <w:permStart w:id="93392546" w:edGrp="everyone"/>
      <w:r w:rsidRPr="003B2C19">
        <w:rPr>
          <w:rFonts w:cs="Arial"/>
          <w:sz w:val="22"/>
          <w:szCs w:val="22"/>
        </w:rPr>
        <w:t xml:space="preserve">We do not recognise any efficient systems and solutions that would help issuers to provide NCAs, at their request, the exhaustive insider list. The only effective solution seems to be making a list immediately after identifying inside information and updating the list on a regular basis, with the appearance of new people and circumstances. </w:t>
      </w:r>
    </w:p>
    <w:p w14:paraId="2FB6FD87" w14:textId="77777777" w:rsidR="00F32AA8" w:rsidRPr="003B2C19" w:rsidRDefault="00F32AA8" w:rsidP="003A05B8">
      <w:pPr>
        <w:jc w:val="both"/>
        <w:rPr>
          <w:rFonts w:cs="Arial"/>
          <w:sz w:val="22"/>
          <w:szCs w:val="22"/>
        </w:rPr>
      </w:pPr>
    </w:p>
    <w:p w14:paraId="4C9884C1" w14:textId="79CEA722" w:rsidR="003A05B8" w:rsidRPr="003B2C19" w:rsidRDefault="003A05B8" w:rsidP="003A05B8">
      <w:pPr>
        <w:jc w:val="both"/>
        <w:rPr>
          <w:rFonts w:cs="Arial"/>
          <w:sz w:val="22"/>
          <w:szCs w:val="22"/>
          <w:lang w:val="en-US"/>
        </w:rPr>
      </w:pPr>
      <w:r w:rsidRPr="003B2C19">
        <w:rPr>
          <w:rFonts w:cs="Arial"/>
          <w:sz w:val="22"/>
          <w:szCs w:val="22"/>
        </w:rPr>
        <w:t>Therefore, we are not in favour of imposing on issuers any requirements to have some special systems and/or controls. The decision what kind of internal procedures or systems and controls suit the best the issuer needs should be fully left to each issuer, provided that these</w:t>
      </w:r>
      <w:r w:rsidR="009C6B41">
        <w:rPr>
          <w:rFonts w:cs="Arial"/>
          <w:sz w:val="22"/>
          <w:szCs w:val="22"/>
        </w:rPr>
        <w:t xml:space="preserve"> n</w:t>
      </w:r>
      <w:r w:rsidRPr="003B2C19">
        <w:rPr>
          <w:rFonts w:cs="Arial"/>
          <w:sz w:val="22"/>
          <w:szCs w:val="22"/>
        </w:rPr>
        <w:t xml:space="preserve"> arrangements meet the requirements of this provision.  </w:t>
      </w:r>
    </w:p>
    <w:permEnd w:id="93392546"/>
    <w:p w14:paraId="3C3E0AF4" w14:textId="77777777" w:rsidR="00646C30" w:rsidRDefault="00646C30" w:rsidP="00646C30"/>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7B7BBEA9" w14:textId="0BD40955" w:rsidR="00724CE9" w:rsidRPr="008E08C6" w:rsidRDefault="00724CE9" w:rsidP="00724CE9">
      <w:pPr>
        <w:jc w:val="both"/>
        <w:rPr>
          <w:rFonts w:cs="Arial"/>
          <w:sz w:val="22"/>
          <w:szCs w:val="22"/>
        </w:rPr>
      </w:pPr>
      <w:permStart w:id="1148858332" w:edGrp="everyone"/>
      <w:r w:rsidRPr="008E08C6">
        <w:rPr>
          <w:rFonts w:cs="Arial"/>
          <w:sz w:val="22"/>
          <w:szCs w:val="22"/>
        </w:rPr>
        <w:t>We agree that access to insider lists is an essential tool for identifying person who could potentially be involved in market abuse (Q 39). Therefore, the insider list should be complete and include all persons who actually had access to the inside information concerned. However, as long as we interpret the provision correctly</w:t>
      </w:r>
      <w:r w:rsidRPr="008E08C6">
        <w:rPr>
          <w:rFonts w:cs="Arial"/>
          <w:sz w:val="22"/>
          <w:szCs w:val="22"/>
          <w:lang w:val="en-US"/>
        </w:rPr>
        <w:t xml:space="preserve">, </w:t>
      </w:r>
      <w:r w:rsidRPr="008E08C6">
        <w:rPr>
          <w:rFonts w:cs="Arial"/>
          <w:sz w:val="22"/>
          <w:szCs w:val="22"/>
        </w:rPr>
        <w:t>Article 18 (1) (a) of MAR does not cover all persons who, based on other provisions of MAR, may gain access to inside information. Article 18(1)(a) says only about persons "</w:t>
      </w:r>
      <w:r w:rsidRPr="008E08C6">
        <w:rPr>
          <w:rFonts w:cs="Arial"/>
          <w:i/>
          <w:sz w:val="22"/>
          <w:szCs w:val="22"/>
        </w:rPr>
        <w:t>who are working for them under a contract of employment, or otherwise performing tasks through which they have access to inside information"</w:t>
      </w:r>
      <w:r w:rsidRPr="008E08C6">
        <w:rPr>
          <w:rFonts w:cs="Arial"/>
          <w:sz w:val="22"/>
          <w:szCs w:val="22"/>
        </w:rPr>
        <w:t xml:space="preserve">. The main question concerns </w:t>
      </w:r>
      <w:r w:rsidR="008E08C6" w:rsidRPr="008E08C6">
        <w:rPr>
          <w:rFonts w:cs="Arial"/>
          <w:sz w:val="22"/>
          <w:szCs w:val="22"/>
        </w:rPr>
        <w:t>the</w:t>
      </w:r>
      <w:r w:rsidRPr="008E08C6">
        <w:rPr>
          <w:rFonts w:cs="Arial"/>
          <w:sz w:val="22"/>
          <w:szCs w:val="22"/>
        </w:rPr>
        <w:t xml:space="preserve"> persons </w:t>
      </w:r>
      <w:r w:rsidR="008E08C6" w:rsidRPr="008E08C6">
        <w:rPr>
          <w:rFonts w:cs="Arial"/>
          <w:sz w:val="22"/>
          <w:szCs w:val="22"/>
        </w:rPr>
        <w:t xml:space="preserve">such </w:t>
      </w:r>
      <w:r w:rsidRPr="008E08C6">
        <w:rPr>
          <w:rFonts w:cs="Arial"/>
          <w:sz w:val="22"/>
          <w:szCs w:val="22"/>
        </w:rPr>
        <w:t>as the other party to negotiations</w:t>
      </w:r>
      <w:r w:rsidR="008E08C6" w:rsidRPr="008E08C6">
        <w:rPr>
          <w:rFonts w:cs="Arial"/>
          <w:sz w:val="22"/>
          <w:szCs w:val="22"/>
        </w:rPr>
        <w:t xml:space="preserve"> (i.e. negotiations of the contract, transactions)</w:t>
      </w:r>
      <w:r w:rsidRPr="008E08C6">
        <w:rPr>
          <w:rFonts w:cs="Arial"/>
          <w:sz w:val="22"/>
          <w:szCs w:val="22"/>
        </w:rPr>
        <w:t>, who do not work for the issuer and yet often have access to inside information. According to the Article 18 of MAR, there is no legal basis for entering such persons on the insider list and requesting them to provide personal data necessary for the insider list to be prepared in accordance with le</w:t>
      </w:r>
      <w:r w:rsidR="008E08C6">
        <w:rPr>
          <w:rFonts w:cs="Arial"/>
          <w:sz w:val="22"/>
          <w:szCs w:val="22"/>
        </w:rPr>
        <w:t>gal re</w:t>
      </w:r>
      <w:r w:rsidRPr="008E08C6">
        <w:rPr>
          <w:rFonts w:cs="Arial"/>
          <w:sz w:val="22"/>
          <w:szCs w:val="22"/>
        </w:rPr>
        <w:t>quirements.</w:t>
      </w:r>
    </w:p>
    <w:permEnd w:id="1148858332"/>
    <w:p w14:paraId="3C3E0AF9" w14:textId="77777777" w:rsidR="00646C30" w:rsidRDefault="00646C30" w:rsidP="00646C30"/>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299CBD70" w14:textId="7F81D7F8" w:rsidR="00DB58CC" w:rsidRPr="00743156" w:rsidRDefault="009C6B41" w:rsidP="009C6B41">
      <w:pPr>
        <w:autoSpaceDE w:val="0"/>
        <w:autoSpaceDN w:val="0"/>
        <w:spacing w:after="120"/>
        <w:jc w:val="both"/>
        <w:rPr>
          <w:color w:val="000000"/>
          <w:sz w:val="22"/>
          <w:szCs w:val="22"/>
          <w:lang w:val="en-US" w:eastAsia="pl-PL"/>
        </w:rPr>
      </w:pPr>
      <w:permStart w:id="513950227" w:edGrp="everyone"/>
      <w:r w:rsidRPr="009C6B41">
        <w:rPr>
          <w:color w:val="000000"/>
          <w:sz w:val="22"/>
          <w:szCs w:val="22"/>
          <w:lang w:val="en-US" w:eastAsia="pl-PL"/>
        </w:rPr>
        <w:t>Yes,</w:t>
      </w:r>
      <w:r w:rsidRPr="009C6B41">
        <w:rPr>
          <w:sz w:val="22"/>
          <w:szCs w:val="22"/>
        </w:rPr>
        <w:t xml:space="preserve"> </w:t>
      </w:r>
      <w:r>
        <w:rPr>
          <w:sz w:val="22"/>
          <w:szCs w:val="22"/>
        </w:rPr>
        <w:t xml:space="preserve">we do believe that </w:t>
      </w:r>
      <w:r w:rsidRPr="009C6B41">
        <w:rPr>
          <w:sz w:val="22"/>
          <w:szCs w:val="22"/>
        </w:rPr>
        <w:t>maintaining the permanent insider section</w:t>
      </w:r>
      <w:r w:rsidRPr="009C6B41">
        <w:rPr>
          <w:color w:val="000000"/>
          <w:sz w:val="22"/>
          <w:szCs w:val="22"/>
          <w:lang w:val="en-US" w:eastAsia="pl-PL"/>
        </w:rPr>
        <w:t xml:space="preserve"> </w:t>
      </w:r>
      <w:r w:rsidR="00DB58CC">
        <w:rPr>
          <w:color w:val="000000"/>
          <w:sz w:val="22"/>
          <w:szCs w:val="22"/>
          <w:lang w:val="en-US" w:eastAsia="pl-PL"/>
        </w:rPr>
        <w:t>could be useful</w:t>
      </w:r>
      <w:r w:rsidR="0020707C">
        <w:rPr>
          <w:color w:val="000000"/>
          <w:sz w:val="22"/>
          <w:szCs w:val="22"/>
          <w:lang w:val="en-US" w:eastAsia="pl-PL"/>
        </w:rPr>
        <w:t xml:space="preserve"> </w:t>
      </w:r>
      <w:r w:rsidR="00DB58CC">
        <w:rPr>
          <w:color w:val="000000"/>
          <w:sz w:val="22"/>
          <w:szCs w:val="22"/>
          <w:lang w:val="en-US" w:eastAsia="pl-PL"/>
        </w:rPr>
        <w:t xml:space="preserve">for </w:t>
      </w:r>
      <w:r w:rsidR="00743156">
        <w:rPr>
          <w:color w:val="000000"/>
          <w:sz w:val="22"/>
          <w:szCs w:val="22"/>
          <w:lang w:val="en-US" w:eastAsia="pl-PL"/>
        </w:rPr>
        <w:t xml:space="preserve">the </w:t>
      </w:r>
      <w:r w:rsidR="00DB58CC">
        <w:rPr>
          <w:color w:val="000000"/>
          <w:sz w:val="22"/>
          <w:szCs w:val="22"/>
          <w:lang w:val="en-US" w:eastAsia="pl-PL"/>
        </w:rPr>
        <w:t xml:space="preserve">issuer as well as NCAs, </w:t>
      </w:r>
      <w:r w:rsidR="0020707C">
        <w:rPr>
          <w:color w:val="000000"/>
          <w:sz w:val="22"/>
          <w:szCs w:val="22"/>
          <w:lang w:val="en-US" w:eastAsia="pl-PL"/>
        </w:rPr>
        <w:t>providing</w:t>
      </w:r>
      <w:r w:rsidR="00DB58CC" w:rsidRPr="009C6B41">
        <w:rPr>
          <w:color w:val="000000"/>
          <w:sz w:val="22"/>
          <w:szCs w:val="22"/>
          <w:lang w:val="en-US" w:eastAsia="pl-PL"/>
        </w:rPr>
        <w:t xml:space="preserve"> that permanent list includes </w:t>
      </w:r>
      <w:r w:rsidR="00DB58CC">
        <w:rPr>
          <w:color w:val="000000"/>
          <w:sz w:val="22"/>
          <w:szCs w:val="22"/>
          <w:lang w:val="en-US" w:eastAsia="pl-PL"/>
        </w:rPr>
        <w:t xml:space="preserve">only persons having </w:t>
      </w:r>
      <w:r w:rsidR="0020707C">
        <w:rPr>
          <w:color w:val="000000"/>
          <w:sz w:val="22"/>
          <w:szCs w:val="22"/>
          <w:lang w:val="en-US" w:eastAsia="pl-PL"/>
        </w:rPr>
        <w:t xml:space="preserve">actual </w:t>
      </w:r>
      <w:r w:rsidR="00DB58CC">
        <w:rPr>
          <w:color w:val="000000"/>
          <w:sz w:val="22"/>
          <w:szCs w:val="22"/>
          <w:lang w:val="en-US" w:eastAsia="pl-PL"/>
        </w:rPr>
        <w:t xml:space="preserve">access to </w:t>
      </w:r>
      <w:r w:rsidR="00743156">
        <w:rPr>
          <w:color w:val="000000"/>
          <w:sz w:val="22"/>
          <w:szCs w:val="22"/>
          <w:lang w:val="en-US" w:eastAsia="pl-PL"/>
        </w:rPr>
        <w:t>every</w:t>
      </w:r>
      <w:r w:rsidR="00DB58CC">
        <w:rPr>
          <w:color w:val="000000"/>
          <w:sz w:val="22"/>
          <w:szCs w:val="22"/>
          <w:lang w:val="en-US" w:eastAsia="pl-PL"/>
        </w:rPr>
        <w:t xml:space="preserve"> </w:t>
      </w:r>
      <w:r w:rsidR="00DB58CC">
        <w:rPr>
          <w:color w:val="000000"/>
          <w:sz w:val="22"/>
          <w:szCs w:val="22"/>
          <w:lang w:val="en-US" w:eastAsia="pl-PL"/>
        </w:rPr>
        <w:lastRenderedPageBreak/>
        <w:t xml:space="preserve">inside information. </w:t>
      </w:r>
      <w:r w:rsidR="00743156">
        <w:rPr>
          <w:color w:val="000000"/>
          <w:sz w:val="22"/>
          <w:szCs w:val="22"/>
          <w:lang w:val="en-US" w:eastAsia="pl-PL"/>
        </w:rPr>
        <w:t xml:space="preserve">However, we are against defining specific functions which should be included in such a list. In our opinion, it will </w:t>
      </w:r>
      <w:r w:rsidR="0020707C">
        <w:rPr>
          <w:color w:val="000000"/>
          <w:sz w:val="22"/>
          <w:szCs w:val="22"/>
          <w:lang w:val="en-US" w:eastAsia="pl-PL"/>
        </w:rPr>
        <w:t>very much</w:t>
      </w:r>
      <w:r w:rsidR="00743156">
        <w:rPr>
          <w:color w:val="000000"/>
          <w:sz w:val="22"/>
          <w:szCs w:val="22"/>
          <w:lang w:val="en-US" w:eastAsia="pl-PL"/>
        </w:rPr>
        <w:t xml:space="preserve"> depend on each individual issuer </w:t>
      </w:r>
      <w:r w:rsidR="0020707C">
        <w:rPr>
          <w:color w:val="000000"/>
          <w:sz w:val="22"/>
          <w:szCs w:val="22"/>
          <w:lang w:val="en-US" w:eastAsia="pl-PL"/>
        </w:rPr>
        <w:t xml:space="preserve">what specific functions (persons) within its </w:t>
      </w:r>
      <w:r w:rsidR="0020707C" w:rsidRPr="000D32A3">
        <w:rPr>
          <w:color w:val="000000"/>
          <w:sz w:val="22"/>
          <w:szCs w:val="22"/>
          <w:lang w:eastAsia="pl-PL"/>
        </w:rPr>
        <w:t>organisation</w:t>
      </w:r>
      <w:r w:rsidR="0020707C">
        <w:rPr>
          <w:color w:val="000000"/>
          <w:sz w:val="22"/>
          <w:szCs w:val="22"/>
          <w:lang w:val="en-US" w:eastAsia="pl-PL"/>
        </w:rPr>
        <w:t xml:space="preserve"> may always be privy to inside information. </w:t>
      </w:r>
    </w:p>
    <w:permEnd w:id="513950227"/>
    <w:p w14:paraId="3C3E0AFE" w14:textId="77777777" w:rsidR="00646C30" w:rsidRDefault="00646C30" w:rsidP="00646C30"/>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1E9A7C08" w14:textId="2224374E" w:rsidR="005F4FD0" w:rsidRDefault="005F4FD0" w:rsidP="005F4FD0">
      <w:pPr>
        <w:jc w:val="both"/>
        <w:rPr>
          <w:rFonts w:cs="Arial"/>
          <w:color w:val="000000"/>
          <w:sz w:val="22"/>
          <w:szCs w:val="22"/>
        </w:rPr>
      </w:pPr>
      <w:permStart w:id="1908500529" w:edGrp="everyone"/>
      <w:r w:rsidRPr="005F4FD0">
        <w:rPr>
          <w:rFonts w:cs="Arial"/>
          <w:color w:val="000000"/>
          <w:sz w:val="22"/>
          <w:szCs w:val="22"/>
          <w:lang w:eastAsia="pl-PL"/>
        </w:rPr>
        <w:t xml:space="preserve">We agree that insider list regime might be amended as stated in ESMA preliminary view (sec. 189)  that only one contact natural person for each legal person acting on behalf or for the account of the issuer having access to inside information should be included in the insider list while others should be included in legal person insider lists. </w:t>
      </w:r>
      <w:r w:rsidRPr="005F4FD0">
        <w:rPr>
          <w:rFonts w:cs="Arial"/>
          <w:color w:val="000000"/>
          <w:sz w:val="22"/>
          <w:szCs w:val="22"/>
        </w:rPr>
        <w:t>Such legal entity would obliged to inform the issuer about persons acting on the account of issuer within the scope of such legal entity. Issuers would prepare the lists acting on the basis of documents prepares by each legal entity.</w:t>
      </w:r>
    </w:p>
    <w:p w14:paraId="3262AD40" w14:textId="77777777" w:rsidR="005F4FD0" w:rsidRPr="005F4FD0" w:rsidRDefault="005F4FD0" w:rsidP="005F4FD0">
      <w:pPr>
        <w:jc w:val="both"/>
        <w:rPr>
          <w:rFonts w:cs="Arial"/>
          <w:color w:val="000000"/>
          <w:sz w:val="22"/>
          <w:szCs w:val="22"/>
          <w:lang w:eastAsia="en-US"/>
        </w:rPr>
      </w:pPr>
    </w:p>
    <w:p w14:paraId="279513A7" w14:textId="3D95CDED" w:rsidR="005F4FD0" w:rsidRPr="005F4FD0" w:rsidRDefault="005F4FD0" w:rsidP="005F4FD0">
      <w:pPr>
        <w:jc w:val="both"/>
        <w:rPr>
          <w:rFonts w:ascii="Calibri" w:hAnsi="Calibri"/>
          <w:sz w:val="22"/>
          <w:szCs w:val="22"/>
          <w:lang w:val="en-US"/>
        </w:rPr>
      </w:pPr>
      <w:r w:rsidRPr="005F4FD0">
        <w:rPr>
          <w:rFonts w:cs="Arial"/>
          <w:sz w:val="22"/>
          <w:szCs w:val="22"/>
          <w:lang w:eastAsia="pl-PL"/>
        </w:rPr>
        <w:t>In order to introduce such a model effectively and fairly, it would be important to establish appropriate legal solutions ensuring, i.e.: proper verification of the correctness of lists prepared by other legal entity, efficient flow of information and the scope of responsibility of the issuer and legal entity for the correctness of lists prepared by the latter.</w:t>
      </w:r>
      <w:r w:rsidRPr="005F4FD0">
        <w:rPr>
          <w:sz w:val="22"/>
          <w:szCs w:val="22"/>
        </w:rPr>
        <w:t xml:space="preserve"> </w:t>
      </w:r>
      <w:r w:rsidRPr="005F4FD0">
        <w:rPr>
          <w:rFonts w:cs="Arial"/>
          <w:sz w:val="22"/>
          <w:szCs w:val="22"/>
          <w:lang w:eastAsia="pl-PL"/>
        </w:rPr>
        <w:t>Especially the scope of supervisory powers of NCA in relation to other legal entity requires consideration.</w:t>
      </w:r>
    </w:p>
    <w:permEnd w:id="1908500529"/>
    <w:p w14:paraId="3C3E0B03" w14:textId="77777777" w:rsidR="00646C30" w:rsidRDefault="00646C30" w:rsidP="00646C30"/>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729F0779" w14:textId="32A5E1BF" w:rsidR="00746F3D" w:rsidRPr="00746F3D" w:rsidRDefault="00746F3D" w:rsidP="00746F3D">
      <w:pPr>
        <w:pStyle w:val="Default"/>
        <w:jc w:val="both"/>
        <w:rPr>
          <w:rFonts w:ascii="Arial" w:hAnsi="Arial" w:cs="Arial"/>
          <w:color w:val="auto"/>
          <w:sz w:val="22"/>
          <w:szCs w:val="22"/>
          <w:lang w:val="en-GB"/>
        </w:rPr>
      </w:pPr>
      <w:permStart w:id="274992488" w:edGrp="everyone"/>
      <w:r w:rsidRPr="00746F3D">
        <w:rPr>
          <w:rFonts w:ascii="Arial" w:hAnsi="Arial" w:cs="Arial"/>
          <w:bCs/>
          <w:color w:val="auto"/>
          <w:sz w:val="22"/>
          <w:szCs w:val="22"/>
          <w:lang w:val="en-GB"/>
        </w:rPr>
        <w:t xml:space="preserve">We believe that the current </w:t>
      </w:r>
      <w:r w:rsidRPr="00746F3D">
        <w:rPr>
          <w:rFonts w:ascii="Arial" w:hAnsi="Arial" w:cs="Arial"/>
          <w:color w:val="auto"/>
          <w:sz w:val="22"/>
          <w:szCs w:val="22"/>
          <w:lang w:val="en-GB" w:eastAsia="pl-PL"/>
        </w:rPr>
        <w:t xml:space="preserve">threshold for the notification obligation set out at the total amount of 5,000 Euro, is too law and </w:t>
      </w:r>
      <w:r w:rsidRPr="00746F3D">
        <w:rPr>
          <w:rFonts w:ascii="Arial" w:hAnsi="Arial" w:cs="Arial"/>
          <w:color w:val="auto"/>
          <w:sz w:val="22"/>
          <w:szCs w:val="22"/>
          <w:lang w:val="en-GB"/>
        </w:rPr>
        <w:t xml:space="preserve">easily reachable </w:t>
      </w:r>
      <w:r w:rsidRPr="00746F3D">
        <w:rPr>
          <w:rFonts w:ascii="Arial" w:hAnsi="Arial" w:cs="Arial"/>
          <w:color w:val="auto"/>
          <w:sz w:val="22"/>
          <w:szCs w:val="22"/>
          <w:lang w:val="en-GB" w:eastAsia="pl-PL"/>
        </w:rPr>
        <w:t xml:space="preserve">in the case of the larger issuers, particularly the one with instruments traded on a regulated market. In turn the threshold, for example, of 20,000 Euro seems far too high for smaller companies, especially SMEs issuers, in which case the current threshold of 5,000 Euro </w:t>
      </w:r>
      <w:r w:rsidRPr="00746F3D">
        <w:rPr>
          <w:rFonts w:ascii="Arial" w:hAnsi="Arial" w:cs="Arial"/>
          <w:color w:val="auto"/>
          <w:sz w:val="22"/>
          <w:szCs w:val="22"/>
          <w:lang w:val="en-GB"/>
        </w:rPr>
        <w:t xml:space="preserve">could be considered adequate and not requiring any modification. </w:t>
      </w:r>
    </w:p>
    <w:p w14:paraId="59EE8FA3" w14:textId="77777777" w:rsidR="00746F3D" w:rsidRPr="00746F3D" w:rsidRDefault="00746F3D" w:rsidP="00746F3D">
      <w:pPr>
        <w:pStyle w:val="Default"/>
        <w:jc w:val="both"/>
        <w:rPr>
          <w:rFonts w:ascii="Arial" w:hAnsi="Arial" w:cs="Arial"/>
          <w:color w:val="auto"/>
          <w:sz w:val="22"/>
          <w:szCs w:val="22"/>
          <w:lang w:val="en-GB"/>
        </w:rPr>
      </w:pPr>
    </w:p>
    <w:p w14:paraId="30094299" w14:textId="77777777" w:rsidR="00746F3D" w:rsidRPr="00746F3D" w:rsidRDefault="00746F3D" w:rsidP="00746F3D">
      <w:pPr>
        <w:pStyle w:val="Default"/>
        <w:spacing w:after="120"/>
        <w:jc w:val="both"/>
        <w:rPr>
          <w:rFonts w:ascii="Arial" w:hAnsi="Arial" w:cs="Arial"/>
          <w:color w:val="auto"/>
          <w:sz w:val="22"/>
          <w:szCs w:val="22"/>
          <w:lang w:val="en-GB"/>
        </w:rPr>
      </w:pPr>
      <w:r w:rsidRPr="00746F3D">
        <w:rPr>
          <w:rFonts w:ascii="Arial" w:hAnsi="Arial" w:cs="Arial"/>
          <w:color w:val="auto"/>
          <w:sz w:val="22"/>
          <w:szCs w:val="22"/>
          <w:lang w:val="en-GB"/>
        </w:rPr>
        <w:t>For instance, in Poland, there are 387 issuers on NewConnect (SME Growth Market), among which there are:</w:t>
      </w:r>
    </w:p>
    <w:p w14:paraId="6E4CAE03" w14:textId="77777777" w:rsidR="00746F3D" w:rsidRPr="00746F3D" w:rsidRDefault="00746F3D" w:rsidP="00746F3D">
      <w:pPr>
        <w:pStyle w:val="Default"/>
        <w:numPr>
          <w:ilvl w:val="0"/>
          <w:numId w:val="39"/>
        </w:numPr>
        <w:spacing w:after="120"/>
        <w:ind w:left="714" w:hanging="357"/>
        <w:jc w:val="both"/>
        <w:rPr>
          <w:rFonts w:ascii="Arial" w:hAnsi="Arial" w:cs="Arial"/>
          <w:color w:val="auto"/>
          <w:sz w:val="22"/>
          <w:szCs w:val="22"/>
          <w:lang w:val="en-GB"/>
        </w:rPr>
      </w:pPr>
      <w:r w:rsidRPr="00746F3D">
        <w:rPr>
          <w:rFonts w:ascii="Arial" w:hAnsi="Arial" w:cs="Arial"/>
          <w:color w:val="auto"/>
          <w:sz w:val="22"/>
          <w:szCs w:val="22"/>
          <w:lang w:val="en-GB"/>
        </w:rPr>
        <w:lastRenderedPageBreak/>
        <w:t>282 issuers with market capitalisations less than 5 million Euro, including 112 issuers with market capitalisations less than 1 million Euro ;</w:t>
      </w:r>
    </w:p>
    <w:p w14:paraId="0EBC9F68" w14:textId="77777777" w:rsidR="00746F3D" w:rsidRPr="00746F3D" w:rsidRDefault="00746F3D" w:rsidP="00746F3D">
      <w:pPr>
        <w:pStyle w:val="Default"/>
        <w:numPr>
          <w:ilvl w:val="0"/>
          <w:numId w:val="39"/>
        </w:numPr>
        <w:spacing w:after="120"/>
        <w:jc w:val="both"/>
        <w:rPr>
          <w:rFonts w:ascii="Arial" w:hAnsi="Arial" w:cs="Arial"/>
          <w:color w:val="auto"/>
          <w:sz w:val="22"/>
          <w:szCs w:val="22"/>
          <w:lang w:val="en-GB"/>
        </w:rPr>
      </w:pPr>
      <w:r w:rsidRPr="00746F3D">
        <w:rPr>
          <w:rFonts w:ascii="Arial" w:hAnsi="Arial" w:cs="Arial"/>
          <w:color w:val="auto"/>
          <w:sz w:val="22"/>
          <w:szCs w:val="22"/>
          <w:lang w:val="en-GB"/>
        </w:rPr>
        <w:t xml:space="preserve">80 issuers with market capitalisations between 5-20 million Euro, and </w:t>
      </w:r>
    </w:p>
    <w:p w14:paraId="753C0510" w14:textId="77777777" w:rsidR="00746F3D" w:rsidRPr="00746F3D" w:rsidRDefault="00746F3D" w:rsidP="00746F3D">
      <w:pPr>
        <w:pStyle w:val="Default"/>
        <w:numPr>
          <w:ilvl w:val="0"/>
          <w:numId w:val="39"/>
        </w:numPr>
        <w:spacing w:after="120"/>
        <w:ind w:left="714" w:hanging="357"/>
        <w:jc w:val="both"/>
        <w:rPr>
          <w:rFonts w:ascii="Arial" w:hAnsi="Arial" w:cs="Arial"/>
          <w:color w:val="auto"/>
          <w:sz w:val="22"/>
          <w:szCs w:val="22"/>
          <w:lang w:val="en-GB"/>
        </w:rPr>
      </w:pPr>
      <w:r w:rsidRPr="00746F3D">
        <w:rPr>
          <w:rFonts w:ascii="Arial" w:hAnsi="Arial" w:cs="Arial"/>
          <w:color w:val="auto"/>
          <w:sz w:val="22"/>
          <w:szCs w:val="22"/>
          <w:lang w:val="en-GB"/>
        </w:rPr>
        <w:t xml:space="preserve">25 issuers with market capitalisations above 20 million Euro. </w:t>
      </w:r>
    </w:p>
    <w:p w14:paraId="1A9B1E11" w14:textId="22CF7FE2" w:rsidR="00746F3D" w:rsidRPr="0061140C" w:rsidRDefault="00746F3D" w:rsidP="00746F3D">
      <w:pPr>
        <w:pStyle w:val="Default"/>
        <w:spacing w:after="120"/>
        <w:jc w:val="both"/>
        <w:rPr>
          <w:rFonts w:ascii="Arial" w:hAnsi="Arial" w:cs="Arial"/>
          <w:color w:val="auto"/>
          <w:sz w:val="22"/>
          <w:szCs w:val="22"/>
          <w:lang w:val="en-GB" w:eastAsia="pl-PL"/>
        </w:rPr>
      </w:pPr>
      <w:r w:rsidRPr="00746F3D">
        <w:rPr>
          <w:rFonts w:ascii="Arial" w:hAnsi="Arial" w:cs="Arial"/>
          <w:color w:val="auto"/>
          <w:sz w:val="22"/>
          <w:szCs w:val="22"/>
          <w:lang w:val="en-GB" w:eastAsia="pl-PL"/>
        </w:rPr>
        <w:t>Therefore, a</w:t>
      </w:r>
      <w:r w:rsidRPr="00746F3D">
        <w:rPr>
          <w:rFonts w:ascii="Arial" w:hAnsi="Arial" w:cs="Arial"/>
          <w:color w:val="auto"/>
          <w:sz w:val="22"/>
          <w:szCs w:val="22"/>
          <w:lang w:val="en-GB"/>
        </w:rPr>
        <w:t xml:space="preserve">s regards the value of the threshold that triggers the notification obligation for managers’ transactions </w:t>
      </w:r>
      <w:r w:rsidRPr="00746F3D">
        <w:rPr>
          <w:rFonts w:ascii="Arial" w:hAnsi="Arial" w:cs="Arial"/>
          <w:color w:val="auto"/>
          <w:sz w:val="22"/>
          <w:szCs w:val="22"/>
          <w:lang w:val="en-GB" w:eastAsia="pl-PL"/>
        </w:rPr>
        <w:t xml:space="preserve">we suggest considering whether it should be </w:t>
      </w:r>
      <w:r w:rsidRPr="00746F3D">
        <w:rPr>
          <w:rFonts w:ascii="Arial" w:hAnsi="Arial" w:cs="Arial"/>
          <w:i/>
          <w:color w:val="auto"/>
          <w:sz w:val="22"/>
          <w:szCs w:val="22"/>
          <w:lang w:val="en-GB" w:eastAsia="pl-PL"/>
        </w:rPr>
        <w:t>“one fit all”</w:t>
      </w:r>
      <w:r w:rsidRPr="00746F3D">
        <w:rPr>
          <w:rFonts w:ascii="Arial" w:hAnsi="Arial" w:cs="Arial"/>
          <w:color w:val="auto"/>
          <w:sz w:val="22"/>
          <w:szCs w:val="22"/>
          <w:lang w:val="en-GB" w:eastAsia="pl-PL"/>
        </w:rPr>
        <w:t xml:space="preserve"> threshold for all issuers or </w:t>
      </w:r>
      <w:r w:rsidRPr="00746F3D">
        <w:rPr>
          <w:rFonts w:ascii="Arial" w:hAnsi="Arial" w:cs="Arial"/>
          <w:color w:val="auto"/>
          <w:sz w:val="22"/>
          <w:szCs w:val="22"/>
          <w:lang w:val="en-GB"/>
        </w:rPr>
        <w:t>maybe it is desirable to have two separate thresholds</w:t>
      </w:r>
      <w:r w:rsidRPr="00746F3D">
        <w:rPr>
          <w:rFonts w:ascii="Arial" w:hAnsi="Arial" w:cs="Arial"/>
          <w:color w:val="auto"/>
          <w:sz w:val="22"/>
          <w:szCs w:val="22"/>
          <w:lang w:val="en-GB" w:eastAsia="pl-PL"/>
        </w:rPr>
        <w:t xml:space="preserve"> depending on the size of the issuers or the type of trading venue where the financial instruments of such issuer are traded, i.e. regulated market or MTF/ OTF. Th</w:t>
      </w:r>
      <w:r w:rsidR="0061140C">
        <w:rPr>
          <w:rFonts w:ascii="Arial" w:hAnsi="Arial" w:cs="Arial"/>
          <w:color w:val="auto"/>
          <w:sz w:val="22"/>
          <w:szCs w:val="22"/>
          <w:lang w:val="en-GB" w:eastAsia="pl-PL"/>
        </w:rPr>
        <w:t>erefore,</w:t>
      </w:r>
      <w:r w:rsidRPr="00746F3D">
        <w:rPr>
          <w:rFonts w:ascii="Arial" w:hAnsi="Arial" w:cs="Arial"/>
          <w:color w:val="auto"/>
          <w:sz w:val="22"/>
          <w:szCs w:val="22"/>
          <w:lang w:val="en-GB" w:eastAsia="pl-PL"/>
        </w:rPr>
        <w:t xml:space="preserve"> we suggest considering one of the following options: </w:t>
      </w:r>
    </w:p>
    <w:p w14:paraId="4BDD3157" w14:textId="77777777" w:rsidR="00746F3D" w:rsidRPr="00746F3D" w:rsidRDefault="00746F3D" w:rsidP="0074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szCs w:val="22"/>
          <w:lang w:eastAsia="pl-PL"/>
        </w:rPr>
      </w:pPr>
    </w:p>
    <w:p w14:paraId="7FBAB529" w14:textId="77777777" w:rsidR="00746F3D" w:rsidRPr="00746F3D" w:rsidRDefault="00746F3D" w:rsidP="0074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Arial"/>
          <w:b/>
          <w:sz w:val="22"/>
          <w:szCs w:val="22"/>
          <w:lang w:eastAsia="pl-PL"/>
        </w:rPr>
      </w:pPr>
      <w:r w:rsidRPr="00746F3D">
        <w:rPr>
          <w:rFonts w:cs="Arial"/>
          <w:b/>
          <w:sz w:val="22"/>
          <w:szCs w:val="22"/>
          <w:lang w:eastAsia="pl-PL"/>
        </w:rPr>
        <w:t>Option 1:</w:t>
      </w:r>
    </w:p>
    <w:p w14:paraId="38C4EEF0" w14:textId="77777777" w:rsidR="00746F3D" w:rsidRPr="00746F3D" w:rsidRDefault="00746F3D" w:rsidP="00746F3D">
      <w:pPr>
        <w:pStyle w:val="Akapitzlis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val="0"/>
        <w:jc w:val="both"/>
        <w:rPr>
          <w:rFonts w:cs="Arial"/>
          <w:sz w:val="22"/>
          <w:szCs w:val="22"/>
          <w:lang w:eastAsia="pl-PL"/>
        </w:rPr>
      </w:pPr>
      <w:r w:rsidRPr="00746F3D">
        <w:rPr>
          <w:rFonts w:cs="Arial"/>
          <w:sz w:val="22"/>
          <w:szCs w:val="22"/>
          <w:lang w:eastAsia="pl-PL"/>
        </w:rPr>
        <w:t xml:space="preserve">keep the current threshold of 5,000 Euro for the issuers whose financial instruments are admitted to trading only on an MTF / OTF,  and </w:t>
      </w:r>
    </w:p>
    <w:p w14:paraId="760F4F91" w14:textId="77777777" w:rsidR="00746F3D" w:rsidRPr="00746F3D" w:rsidRDefault="00746F3D" w:rsidP="00746F3D">
      <w:pPr>
        <w:pStyle w:val="Akapitzlis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val="0"/>
        <w:jc w:val="both"/>
        <w:rPr>
          <w:rFonts w:cs="Arial"/>
          <w:sz w:val="22"/>
          <w:szCs w:val="22"/>
          <w:lang w:eastAsia="pl-PL"/>
        </w:rPr>
      </w:pPr>
      <w:r w:rsidRPr="00746F3D">
        <w:rPr>
          <w:rFonts w:cs="Arial"/>
          <w:sz w:val="22"/>
          <w:szCs w:val="22"/>
          <w:lang w:eastAsia="pl-PL"/>
        </w:rPr>
        <w:t xml:space="preserve">introduce a higher threshold of 20,000 Euro for the issuers whose financial instruments are admitted to trading on regulated market. </w:t>
      </w:r>
    </w:p>
    <w:p w14:paraId="446C5A79" w14:textId="4DB52F07" w:rsidR="00746F3D" w:rsidRPr="00746F3D" w:rsidRDefault="00746F3D" w:rsidP="0074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i/>
          <w:sz w:val="22"/>
          <w:szCs w:val="22"/>
          <w:lang w:eastAsia="pl-PL"/>
        </w:rPr>
      </w:pPr>
      <w:r w:rsidRPr="00746F3D">
        <w:rPr>
          <w:rFonts w:cs="Arial"/>
          <w:i/>
          <w:sz w:val="22"/>
          <w:szCs w:val="22"/>
          <w:lang w:eastAsia="pl-PL"/>
        </w:rPr>
        <w:t xml:space="preserve">(Another solution within this option </w:t>
      </w:r>
      <w:r w:rsidR="0061140C">
        <w:rPr>
          <w:rFonts w:cs="Arial"/>
          <w:i/>
          <w:sz w:val="22"/>
          <w:szCs w:val="22"/>
          <w:lang w:eastAsia="pl-PL"/>
        </w:rPr>
        <w:t xml:space="preserve">could </w:t>
      </w:r>
      <w:r w:rsidRPr="00746F3D">
        <w:rPr>
          <w:rFonts w:cs="Arial"/>
          <w:i/>
          <w:sz w:val="22"/>
          <w:szCs w:val="22"/>
          <w:lang w:eastAsia="pl-PL"/>
        </w:rPr>
        <w:t xml:space="preserve">be to keep the current threshold of 5,000 Euro for  the issuers </w:t>
      </w:r>
      <w:r w:rsidR="0061140C">
        <w:rPr>
          <w:rFonts w:cs="Arial"/>
          <w:i/>
          <w:sz w:val="22"/>
          <w:szCs w:val="22"/>
          <w:lang w:eastAsia="pl-PL"/>
        </w:rPr>
        <w:t>which</w:t>
      </w:r>
      <w:r w:rsidRPr="00746F3D">
        <w:rPr>
          <w:rFonts w:cs="Arial"/>
          <w:i/>
          <w:sz w:val="22"/>
          <w:szCs w:val="22"/>
          <w:lang w:eastAsia="pl-PL"/>
        </w:rPr>
        <w:t xml:space="preserve"> are </w:t>
      </w:r>
      <w:r w:rsidR="0061140C">
        <w:rPr>
          <w:rFonts w:cs="Arial"/>
          <w:i/>
          <w:sz w:val="22"/>
          <w:szCs w:val="22"/>
          <w:lang w:eastAsia="pl-PL"/>
        </w:rPr>
        <w:t xml:space="preserve">considered as </w:t>
      </w:r>
      <w:r w:rsidRPr="00746F3D">
        <w:rPr>
          <w:rFonts w:cs="Arial"/>
          <w:i/>
          <w:sz w:val="22"/>
          <w:szCs w:val="22"/>
          <w:lang w:eastAsia="pl-PL"/>
        </w:rPr>
        <w:t xml:space="preserve">SMEs according </w:t>
      </w:r>
      <w:r w:rsidR="0061140C">
        <w:rPr>
          <w:rFonts w:cs="Arial"/>
          <w:i/>
          <w:sz w:val="22"/>
          <w:szCs w:val="22"/>
          <w:lang w:eastAsia="pl-PL"/>
        </w:rPr>
        <w:t>with</w:t>
      </w:r>
      <w:r w:rsidRPr="00746F3D">
        <w:rPr>
          <w:rFonts w:cs="Arial"/>
          <w:i/>
          <w:sz w:val="22"/>
          <w:szCs w:val="22"/>
          <w:lang w:eastAsia="pl-PL"/>
        </w:rPr>
        <w:t xml:space="preserve"> EU law. However, the problem with this option is the lack of one, unified definition of SME under EU legislation. Moreover, this option might lead to existence of two different regime on one particular trading venue.)</w:t>
      </w:r>
    </w:p>
    <w:p w14:paraId="0BD7A3E9" w14:textId="77777777" w:rsidR="00746F3D" w:rsidRPr="00746F3D" w:rsidRDefault="00746F3D" w:rsidP="0074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b/>
          <w:sz w:val="22"/>
          <w:szCs w:val="22"/>
          <w:lang w:eastAsia="pl-PL"/>
        </w:rPr>
      </w:pPr>
      <w:r w:rsidRPr="00746F3D">
        <w:rPr>
          <w:rFonts w:cs="Arial"/>
          <w:b/>
          <w:sz w:val="22"/>
          <w:szCs w:val="22"/>
          <w:lang w:eastAsia="pl-PL"/>
        </w:rPr>
        <w:t>Option 2:</w:t>
      </w:r>
    </w:p>
    <w:p w14:paraId="6AB7CDDA" w14:textId="299F9A8B" w:rsidR="00746F3D" w:rsidRPr="00746F3D" w:rsidRDefault="00746F3D" w:rsidP="00746F3D">
      <w:pPr>
        <w:pStyle w:val="Akapitzlis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2"/>
          <w:szCs w:val="22"/>
          <w:lang w:eastAsia="pl-PL"/>
        </w:rPr>
      </w:pPr>
      <w:r w:rsidRPr="00746F3D">
        <w:rPr>
          <w:rFonts w:cs="Arial"/>
          <w:sz w:val="22"/>
          <w:szCs w:val="22"/>
          <w:lang w:eastAsia="pl-PL"/>
        </w:rPr>
        <w:t>introduce a higher threshold of 10,000 Euro for all issuers whose financial instruments are admitted to trading</w:t>
      </w:r>
      <w:r w:rsidR="0061140C">
        <w:rPr>
          <w:rFonts w:cs="Arial"/>
          <w:sz w:val="22"/>
          <w:szCs w:val="22"/>
          <w:lang w:eastAsia="pl-PL"/>
        </w:rPr>
        <w:t>,</w:t>
      </w:r>
      <w:r w:rsidRPr="00746F3D">
        <w:rPr>
          <w:rFonts w:cs="Arial"/>
          <w:sz w:val="22"/>
          <w:szCs w:val="22"/>
          <w:lang w:eastAsia="pl-PL"/>
        </w:rPr>
        <w:t xml:space="preserve"> regardless of their size and the place of trading (i.e. regulated</w:t>
      </w:r>
      <w:r w:rsidR="0094472F">
        <w:rPr>
          <w:rFonts w:cs="Arial"/>
          <w:sz w:val="22"/>
          <w:szCs w:val="22"/>
          <w:lang w:eastAsia="pl-PL"/>
        </w:rPr>
        <w:t xml:space="preserve"> market, MTF</w:t>
      </w:r>
      <w:r w:rsidRPr="00746F3D">
        <w:rPr>
          <w:rFonts w:cs="Arial"/>
          <w:sz w:val="22"/>
          <w:szCs w:val="22"/>
          <w:lang w:eastAsia="pl-PL"/>
        </w:rPr>
        <w:t xml:space="preserve">/ OTF). </w:t>
      </w:r>
    </w:p>
    <w:permEnd w:id="274992488"/>
    <w:p w14:paraId="3C3E0B0D" w14:textId="77777777" w:rsidR="00646C30" w:rsidRDefault="00646C30" w:rsidP="00646C30"/>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5B01566B" w14:textId="77777777" w:rsidR="00316EA1" w:rsidRDefault="00316EA1" w:rsidP="00316EA1">
      <w:pPr>
        <w:jc w:val="both"/>
        <w:rPr>
          <w:rFonts w:cs="Arial"/>
          <w:sz w:val="22"/>
          <w:szCs w:val="22"/>
        </w:rPr>
      </w:pPr>
      <w:permStart w:id="1265633318" w:edGrp="everyone"/>
      <w:r w:rsidRPr="003056A2">
        <w:rPr>
          <w:rFonts w:cs="Arial"/>
          <w:sz w:val="22"/>
          <w:szCs w:val="22"/>
        </w:rPr>
        <w:t xml:space="preserve">We believe that there should be one single threshold applicable in each Member States and the possibility for NCAs to raise the threshold discretionary should be abolish. </w:t>
      </w:r>
    </w:p>
    <w:p w14:paraId="73B9B5CF" w14:textId="77777777" w:rsidR="00316EA1" w:rsidRPr="003056A2" w:rsidRDefault="00316EA1" w:rsidP="00316EA1">
      <w:pPr>
        <w:jc w:val="both"/>
        <w:rPr>
          <w:rFonts w:cs="Arial"/>
          <w:sz w:val="22"/>
          <w:szCs w:val="22"/>
        </w:rPr>
      </w:pPr>
    </w:p>
    <w:p w14:paraId="5D5D3FCE" w14:textId="7B407AF3" w:rsidR="00316EA1" w:rsidRPr="003056A2" w:rsidRDefault="00316EA1" w:rsidP="00316EA1">
      <w:pPr>
        <w:jc w:val="both"/>
        <w:rPr>
          <w:rFonts w:cs="Arial"/>
          <w:sz w:val="22"/>
          <w:szCs w:val="22"/>
          <w:lang w:eastAsia="pl-PL"/>
        </w:rPr>
      </w:pPr>
      <w:r w:rsidRPr="003056A2">
        <w:rPr>
          <w:rFonts w:cs="Arial"/>
          <w:sz w:val="22"/>
          <w:szCs w:val="22"/>
        </w:rPr>
        <w:t>Harmonized threshold across the Union would be especially valuable for investors carrying out cross-border transactions. It’s also in line with Capital Market Union that promotes every effort to facilitat</w:t>
      </w:r>
      <w:r>
        <w:rPr>
          <w:rFonts w:cs="Arial"/>
          <w:sz w:val="22"/>
          <w:szCs w:val="22"/>
        </w:rPr>
        <w:t>e more cross-border activities.</w:t>
      </w:r>
    </w:p>
    <w:permEnd w:id="1265633318"/>
    <w:p w14:paraId="3C3E0B12" w14:textId="0DDB5AA0" w:rsidR="00646C30" w:rsidRDefault="00646C30" w:rsidP="00646C30"/>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lastRenderedPageBreak/>
        <w:t>&lt;ESMA_QUESTION_CP_MAR_</w:t>
      </w:r>
      <w:r w:rsidR="00DD7418">
        <w:t>48</w:t>
      </w:r>
      <w:r>
        <w:t>&gt;</w:t>
      </w:r>
    </w:p>
    <w:p w14:paraId="17146155" w14:textId="11134F8F" w:rsidR="0094472F" w:rsidRDefault="0094472F" w:rsidP="0094472F">
      <w:pPr>
        <w:jc w:val="both"/>
        <w:rPr>
          <w:rFonts w:cs="Arial"/>
          <w:sz w:val="22"/>
          <w:szCs w:val="22"/>
        </w:rPr>
      </w:pPr>
      <w:permStart w:id="234174884" w:edGrp="everyone"/>
      <w:r w:rsidRPr="003056A2">
        <w:rPr>
          <w:rFonts w:cs="Arial"/>
          <w:sz w:val="22"/>
          <w:szCs w:val="22"/>
        </w:rPr>
        <w:t xml:space="preserve">One of the </w:t>
      </w:r>
      <w:r>
        <w:rPr>
          <w:rFonts w:cs="Arial"/>
        </w:rPr>
        <w:t xml:space="preserve">possible </w:t>
      </w:r>
      <w:r w:rsidRPr="003056A2">
        <w:rPr>
          <w:rFonts w:cs="Arial"/>
          <w:sz w:val="22"/>
          <w:szCs w:val="22"/>
        </w:rPr>
        <w:t xml:space="preserve">option </w:t>
      </w:r>
      <w:r>
        <w:rPr>
          <w:rFonts w:cs="Arial"/>
        </w:rPr>
        <w:t xml:space="preserve">could </w:t>
      </w:r>
      <w:r w:rsidRPr="003056A2">
        <w:rPr>
          <w:rFonts w:cs="Arial"/>
          <w:sz w:val="22"/>
          <w:szCs w:val="22"/>
        </w:rPr>
        <w:t>be to set the reporting threshold depending on the market capitalisation of the issuers or the type of trading venue where the financial instruments are traded.</w:t>
      </w:r>
    </w:p>
    <w:p w14:paraId="2CDFD4F3" w14:textId="77777777" w:rsidR="0094472F" w:rsidRPr="003056A2" w:rsidRDefault="0094472F" w:rsidP="0094472F">
      <w:pPr>
        <w:jc w:val="both"/>
        <w:rPr>
          <w:rFonts w:cs="Arial"/>
          <w:sz w:val="22"/>
          <w:szCs w:val="22"/>
        </w:rPr>
      </w:pPr>
    </w:p>
    <w:p w14:paraId="03E6C8EF" w14:textId="77777777" w:rsidR="0094472F" w:rsidRPr="003056A2" w:rsidRDefault="0094472F" w:rsidP="0094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cs="Arial"/>
          <w:b/>
          <w:sz w:val="22"/>
          <w:szCs w:val="22"/>
          <w:lang w:eastAsia="pl-PL"/>
        </w:rPr>
      </w:pPr>
      <w:r w:rsidRPr="003056A2">
        <w:rPr>
          <w:rFonts w:cs="Arial"/>
          <w:b/>
          <w:sz w:val="22"/>
          <w:szCs w:val="22"/>
          <w:lang w:eastAsia="pl-PL"/>
        </w:rPr>
        <w:t>Option 1:</w:t>
      </w:r>
    </w:p>
    <w:p w14:paraId="47B71E23" w14:textId="77777777" w:rsidR="0094472F" w:rsidRPr="003056A2" w:rsidRDefault="0094472F" w:rsidP="0094472F">
      <w:pPr>
        <w:pStyle w:val="Akapitzlis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val="0"/>
        <w:jc w:val="both"/>
        <w:rPr>
          <w:rFonts w:cs="Arial"/>
          <w:sz w:val="22"/>
          <w:szCs w:val="22"/>
          <w:lang w:eastAsia="pl-PL"/>
        </w:rPr>
      </w:pPr>
      <w:r w:rsidRPr="003056A2">
        <w:rPr>
          <w:rFonts w:cs="Arial"/>
          <w:sz w:val="22"/>
          <w:szCs w:val="22"/>
          <w:lang w:eastAsia="pl-PL"/>
        </w:rPr>
        <w:t xml:space="preserve">keep the current threshold of 5,000 Euro for the issuers whose financial instruments are admitted to trading only on an MTF / OTF,  and </w:t>
      </w:r>
    </w:p>
    <w:p w14:paraId="570C1016" w14:textId="77777777" w:rsidR="0094472F" w:rsidRPr="003056A2" w:rsidRDefault="0094472F" w:rsidP="0094472F">
      <w:pPr>
        <w:pStyle w:val="Akapitzlist"/>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val="0"/>
        <w:jc w:val="both"/>
        <w:rPr>
          <w:rFonts w:cs="Arial"/>
          <w:sz w:val="22"/>
          <w:szCs w:val="22"/>
          <w:lang w:eastAsia="pl-PL"/>
        </w:rPr>
      </w:pPr>
      <w:r w:rsidRPr="003056A2">
        <w:rPr>
          <w:rFonts w:cs="Arial"/>
          <w:sz w:val="22"/>
          <w:szCs w:val="22"/>
          <w:lang w:eastAsia="pl-PL"/>
        </w:rPr>
        <w:t xml:space="preserve">introduce a higher threshold of 20,000 Euro for the issuers whose financial instruments are admitted to trading on regulated market. </w:t>
      </w:r>
    </w:p>
    <w:p w14:paraId="04D20100" w14:textId="77777777" w:rsidR="0094472F" w:rsidRDefault="0094472F" w:rsidP="0094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both"/>
        <w:rPr>
          <w:rFonts w:cs="Arial"/>
          <w:i/>
          <w:sz w:val="22"/>
          <w:szCs w:val="22"/>
          <w:lang w:eastAsia="pl-PL"/>
        </w:rPr>
      </w:pPr>
      <w:r w:rsidRPr="003056A2">
        <w:rPr>
          <w:rFonts w:cs="Arial"/>
          <w:i/>
          <w:sz w:val="22"/>
          <w:szCs w:val="22"/>
          <w:lang w:eastAsia="pl-PL"/>
        </w:rPr>
        <w:t>(Another solution within this option might be to keep the current threshold of 5,000 Euro for  the issuers who are SMEs according to EU law. However, the problem with this option is the lack of one, unified definition of SME under EU legislation. Moreover, this option might lead to existence of two different regime on one particular trading venue.)</w:t>
      </w:r>
    </w:p>
    <w:p w14:paraId="7C0E7A57" w14:textId="77777777" w:rsidR="0094472F" w:rsidRPr="003056A2" w:rsidRDefault="0094472F" w:rsidP="0094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jc w:val="both"/>
        <w:rPr>
          <w:rFonts w:cs="Arial"/>
          <w:sz w:val="22"/>
          <w:szCs w:val="22"/>
          <w:lang w:eastAsia="pl-PL"/>
        </w:rPr>
      </w:pPr>
    </w:p>
    <w:p w14:paraId="077D0AC9" w14:textId="77777777" w:rsidR="0094472F" w:rsidRPr="003056A2" w:rsidRDefault="0094472F" w:rsidP="00944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b/>
          <w:sz w:val="22"/>
          <w:szCs w:val="22"/>
          <w:lang w:eastAsia="pl-PL"/>
        </w:rPr>
      </w:pPr>
      <w:r w:rsidRPr="003056A2">
        <w:rPr>
          <w:rFonts w:cs="Arial"/>
          <w:b/>
          <w:sz w:val="22"/>
          <w:szCs w:val="22"/>
          <w:lang w:eastAsia="pl-PL"/>
        </w:rPr>
        <w:t>Option 2:</w:t>
      </w:r>
    </w:p>
    <w:p w14:paraId="631373D2" w14:textId="77777777" w:rsidR="0094472F" w:rsidRPr="003056A2" w:rsidRDefault="0094472F" w:rsidP="0094472F">
      <w:pPr>
        <w:pStyle w:val="Akapitzlist"/>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Arial"/>
          <w:sz w:val="22"/>
          <w:szCs w:val="22"/>
          <w:lang w:eastAsia="pl-PL"/>
        </w:rPr>
      </w:pPr>
      <w:r w:rsidRPr="003056A2">
        <w:rPr>
          <w:rFonts w:cs="Arial"/>
          <w:sz w:val="22"/>
          <w:szCs w:val="22"/>
          <w:lang w:eastAsia="pl-PL"/>
        </w:rPr>
        <w:t>introduce a higher threshold of 10,000 Euro for all issuers whose financial instruments are admitted to trading regardless of their size and the place of trading (i.e. regulated market, MTF</w:t>
      </w:r>
      <w:r>
        <w:rPr>
          <w:rFonts w:cs="Arial"/>
          <w:lang w:eastAsia="pl-PL"/>
        </w:rPr>
        <w:t xml:space="preserve"> </w:t>
      </w:r>
      <w:r w:rsidRPr="003056A2">
        <w:rPr>
          <w:rFonts w:cs="Arial"/>
          <w:sz w:val="22"/>
          <w:szCs w:val="22"/>
          <w:lang w:eastAsia="pl-PL"/>
        </w:rPr>
        <w:t>/ OTF).</w:t>
      </w:r>
    </w:p>
    <w:permEnd w:id="234174884"/>
    <w:p w14:paraId="3C3E0B17" w14:textId="77777777" w:rsidR="00646C30" w:rsidRDefault="00646C30" w:rsidP="00646C30"/>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lastRenderedPageBreak/>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E6EE5A" w14:textId="3C44238A" w:rsidR="001A130D" w:rsidRPr="00B05E0F" w:rsidRDefault="001A130D" w:rsidP="001A130D">
      <w:pPr>
        <w:rPr>
          <w:rFonts w:cs="Arial"/>
          <w:sz w:val="22"/>
          <w:szCs w:val="22"/>
        </w:rPr>
      </w:pPr>
      <w:permStart w:id="1771316849" w:edGrp="everyone"/>
      <w:r w:rsidRPr="00B05E0F">
        <w:rPr>
          <w:rFonts w:cs="Arial"/>
          <w:sz w:val="22"/>
          <w:szCs w:val="22"/>
        </w:rPr>
        <w:t>In our opinion, the extension of the immediate sale to financial instruments other than shares, in particular to bonds, is justified.</w:t>
      </w:r>
    </w:p>
    <w:permEnd w:id="1771316849"/>
    <w:p w14:paraId="3C3E0B3F" w14:textId="77777777" w:rsidR="00646C30" w:rsidRDefault="00646C30" w:rsidP="00646C30"/>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19A79C0" w14:textId="671EE8B4" w:rsidR="00EB3B93" w:rsidRPr="00EB3B93" w:rsidRDefault="00EB3B93" w:rsidP="00EB3B93">
      <w:pPr>
        <w:jc w:val="both"/>
        <w:rPr>
          <w:rFonts w:cs="Arial"/>
          <w:sz w:val="22"/>
          <w:szCs w:val="22"/>
          <w:lang w:eastAsia="en-US"/>
        </w:rPr>
      </w:pPr>
      <w:permStart w:id="1172058443" w:edGrp="everyone"/>
      <w:r w:rsidRPr="00EB3B93">
        <w:rPr>
          <w:rFonts w:cs="Arial"/>
          <w:sz w:val="22"/>
          <w:szCs w:val="22"/>
        </w:rPr>
        <w:lastRenderedPageBreak/>
        <w:t>Regardless of the fact that other criteria should be taken into account, we note that, similarly to the market soundings procedure, the permission for trading procedure is too complicated and the circumstances are too vague for the issuer to be willing to use this solution, even in the event of an urgent need of PDMR. That is why we suggest that ESMA would consider to simplify the catalogue of circumstances and types of transactions when trading during a closed period may be permitted by the issuer.</w:t>
      </w:r>
    </w:p>
    <w:permEnd w:id="1172058443"/>
    <w:p w14:paraId="3C3E0B44" w14:textId="77777777" w:rsidR="00646C30" w:rsidRDefault="00646C30" w:rsidP="00646C30"/>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 xml:space="preserve">ESMA would like to gather views from stakeholders on whether other entities than the asset management company (e.g. depository) and other entities on which the </w:t>
      </w:r>
      <w:r w:rsidRPr="0042739E">
        <w:lastRenderedPageBreak/>
        <w:t>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0DA00ACD" w14:textId="79C509F8" w:rsidR="00521807" w:rsidRDefault="00521807" w:rsidP="00521807">
      <w:pPr>
        <w:jc w:val="both"/>
        <w:rPr>
          <w:rFonts w:cs="Arial"/>
          <w:sz w:val="22"/>
          <w:szCs w:val="22"/>
        </w:rPr>
      </w:pPr>
      <w:permStart w:id="2025406494" w:edGrp="everyone"/>
      <w:r w:rsidRPr="00521807">
        <w:rPr>
          <w:rFonts w:cs="Arial"/>
          <w:sz w:val="22"/>
          <w:szCs w:val="22"/>
        </w:rPr>
        <w:t xml:space="preserve">We believe that the proposal to harmonisation of reporting formats of order book data needs to be considered very carefully, conducted in a harmonised fashion, and be accompanied by an impact assessment, as trading venues have already invested significant resources and costs into developing systems to comply with the current requirements. </w:t>
      </w:r>
      <w:r w:rsidRPr="00521807">
        <w:rPr>
          <w:rFonts w:cs="Arial"/>
          <w:sz w:val="22"/>
          <w:szCs w:val="22"/>
          <w:lang w:val="en-US"/>
        </w:rPr>
        <w:t xml:space="preserve">There is a risk that this proposal could result in increasing the burden on NCAs and venues, without achieving its objective on improving market surveillance. The underlying question is if the potential advantages of cross-market order book surveillance justify the efforts and costs that </w:t>
      </w:r>
      <w:r w:rsidRPr="00521807">
        <w:rPr>
          <w:rFonts w:cs="Arial"/>
          <w:sz w:val="22"/>
          <w:szCs w:val="22"/>
        </w:rPr>
        <w:t xml:space="preserve">trading venues would incur to implement new common standards to order book data transmit such data to NCAs. </w:t>
      </w:r>
    </w:p>
    <w:p w14:paraId="18407AAD" w14:textId="77777777" w:rsidR="00521807" w:rsidRPr="00521807" w:rsidRDefault="00521807" w:rsidP="00521807">
      <w:pPr>
        <w:jc w:val="both"/>
        <w:rPr>
          <w:rFonts w:cs="Arial"/>
          <w:sz w:val="22"/>
          <w:szCs w:val="22"/>
          <w:lang w:val="en-US" w:eastAsia="en-US"/>
        </w:rPr>
      </w:pPr>
    </w:p>
    <w:p w14:paraId="3CCEAA58" w14:textId="06763562" w:rsidR="00521807" w:rsidRPr="00521807" w:rsidRDefault="00521807" w:rsidP="00521807">
      <w:pPr>
        <w:jc w:val="both"/>
        <w:rPr>
          <w:rFonts w:cs="Arial"/>
          <w:sz w:val="22"/>
          <w:szCs w:val="22"/>
        </w:rPr>
      </w:pPr>
      <w:r w:rsidRPr="00521807">
        <w:rPr>
          <w:rFonts w:cs="Arial"/>
          <w:sz w:val="22"/>
          <w:szCs w:val="22"/>
        </w:rPr>
        <w:t xml:space="preserve">Costs of harmonisation of reporting formats of order book data are difficult to estimate, at least until further clarity is provided on the specific changes that would be required. Providing XML to all regulators requires some development and testing and, the greater the changes, the higher the </w:t>
      </w:r>
      <w:r w:rsidRPr="00521807">
        <w:rPr>
          <w:rFonts w:cs="Arial"/>
          <w:sz w:val="22"/>
          <w:szCs w:val="22"/>
        </w:rPr>
        <w:lastRenderedPageBreak/>
        <w:t xml:space="preserve">costs. We would hence urge that a cost-benefit analysis is conducted before any measure is decided. Any further increase in costs would have to be proportionate and reasonable, and the benefits clearly demonstrated. </w:t>
      </w:r>
    </w:p>
    <w:permEnd w:id="2025406494"/>
    <w:p w14:paraId="3C3E0B70" w14:textId="77777777" w:rsidR="00646C30" w:rsidRDefault="00646C30" w:rsidP="00646C30"/>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4793861B" w14:textId="69A2F255" w:rsidR="000C3DB1" w:rsidRPr="000C3DB1" w:rsidRDefault="000C3DB1" w:rsidP="000C3DB1">
      <w:pPr>
        <w:jc w:val="both"/>
        <w:rPr>
          <w:rFonts w:cs="Arial"/>
          <w:sz w:val="22"/>
          <w:szCs w:val="22"/>
        </w:rPr>
      </w:pPr>
      <w:permStart w:id="482090286" w:edGrp="everyone"/>
      <w:r w:rsidRPr="000C3DB1">
        <w:rPr>
          <w:rFonts w:cs="Arial"/>
          <w:sz w:val="22"/>
          <w:szCs w:val="22"/>
        </w:rPr>
        <w:t xml:space="preserve">In our opinion daily reporting proposal needs to be considered very carefully and be accompanied by an impact assessment, as trading venues have already invested significant resources and costs into developing systems to comply with the current requirements. However, we fail to understand, from the Consultation Paper, a) the deficiencies identified by ESMA in the current ad-hoc system and b) the advantages of a regular reporting mechanism.  </w:t>
      </w:r>
    </w:p>
    <w:p w14:paraId="018C8F15" w14:textId="77777777" w:rsidR="000C3DB1" w:rsidRPr="000C3DB1" w:rsidRDefault="000C3DB1" w:rsidP="000C3DB1">
      <w:pPr>
        <w:jc w:val="both"/>
        <w:rPr>
          <w:rFonts w:cs="Arial"/>
          <w:sz w:val="22"/>
          <w:szCs w:val="22"/>
        </w:rPr>
      </w:pPr>
      <w:r w:rsidRPr="000C3DB1">
        <w:rPr>
          <w:rFonts w:cs="Arial"/>
          <w:sz w:val="22"/>
          <w:szCs w:val="22"/>
        </w:rPr>
        <w:t xml:space="preserve">In its consultation paper ESMA does not provide any information on why NCAs would require regular access to all data. While some NCAs require regular reporting already, for the majority this would require NCAs to heavily invest in IT infrastructure (servers, storage, lines, cloud, trainings etc.). Moreover, it would consume a lot of time and budget before any such data transfer could start. Unlike transfer and processing of smaller data subsets the transfer of entire data pools is complex and slow. Examining entire data pools instead of relevant data only for concrete case specific questions of potential market abuse may also lead to confusion and even wrong conclusions. </w:t>
      </w:r>
    </w:p>
    <w:p w14:paraId="585FAC2A" w14:textId="77777777" w:rsidR="000C3DB1" w:rsidRDefault="000C3DB1" w:rsidP="000C3DB1">
      <w:pPr>
        <w:jc w:val="both"/>
        <w:rPr>
          <w:rFonts w:cs="Arial"/>
          <w:sz w:val="22"/>
          <w:szCs w:val="22"/>
        </w:rPr>
      </w:pPr>
    </w:p>
    <w:p w14:paraId="0859C0DE" w14:textId="77777777" w:rsidR="000C3DB1" w:rsidRPr="000C3DB1" w:rsidRDefault="000C3DB1" w:rsidP="000C3DB1">
      <w:pPr>
        <w:jc w:val="both"/>
        <w:rPr>
          <w:rFonts w:cs="Arial"/>
          <w:sz w:val="22"/>
          <w:szCs w:val="22"/>
        </w:rPr>
      </w:pPr>
      <w:r w:rsidRPr="000C3DB1">
        <w:rPr>
          <w:rFonts w:cs="Arial"/>
          <w:sz w:val="22"/>
          <w:szCs w:val="22"/>
        </w:rPr>
        <w:t xml:space="preserve">We strongly believe that any proposal to change the requirements for trading venues to provide order book data to regulators should also apply to investment firms in the same way, as this is essential in order to deliver the full view of order data for regulators to monitor activity for market abuse. It is crucial that the approach taken applies to all in the same way so that it can be ensured that there is a level playing field for all entities engaged in trading activity. </w:t>
      </w:r>
    </w:p>
    <w:p w14:paraId="7648CCE1" w14:textId="77777777" w:rsidR="000C3DB1" w:rsidRPr="000C3DB1" w:rsidRDefault="000C3DB1" w:rsidP="000C3DB1">
      <w:pPr>
        <w:jc w:val="both"/>
        <w:rPr>
          <w:rFonts w:cs="Arial"/>
          <w:sz w:val="22"/>
          <w:szCs w:val="22"/>
          <w:lang w:val="en-US"/>
        </w:rPr>
      </w:pPr>
      <w:r w:rsidRPr="000C3DB1">
        <w:rPr>
          <w:rFonts w:cs="Arial"/>
          <w:sz w:val="22"/>
          <w:szCs w:val="22"/>
          <w:lang w:val="en-US"/>
        </w:rPr>
        <w:t xml:space="preserve">According to ESMA’s review report, the cross-market order book would only cover trading venues (Art. 25.2 MiFIR) but not </w:t>
      </w:r>
      <w:r w:rsidRPr="000C3DB1">
        <w:rPr>
          <w:rFonts w:cs="Arial"/>
          <w:sz w:val="22"/>
          <w:szCs w:val="22"/>
        </w:rPr>
        <w:t xml:space="preserve">OTC and bilateral trading, such as </w:t>
      </w:r>
      <w:r w:rsidRPr="000C3DB1">
        <w:rPr>
          <w:rStyle w:val="Uwydatnienie"/>
          <w:rFonts w:cs="Arial"/>
          <w:i w:val="0"/>
          <w:iCs w:val="0"/>
          <w:sz w:val="22"/>
          <w:szCs w:val="22"/>
          <w:shd w:val="clear" w:color="auto" w:fill="FFFFFF"/>
        </w:rPr>
        <w:t>systematic internalisation</w:t>
      </w:r>
      <w:r w:rsidRPr="000C3DB1">
        <w:rPr>
          <w:rFonts w:cs="Arial"/>
          <w:sz w:val="22"/>
          <w:szCs w:val="22"/>
          <w:lang w:val="en-US"/>
        </w:rPr>
        <w:t>. The OTC space remains a black box, which seems contrary to the purpose of an EU cross-market order book surveillance as it would give an incomplete picture of all trading activities within the EU. This calls the usefulness of the order book data pool into question. The EU cross-market order book would add new (legal, administrative, organisational, financial) requirements on trading venues which is neither justified from a level playing field perspective nor from the point that trading venues have established systems and controls to detect and prevent market manipulation which certain market participants in the OTC space have not accomplished in an equivalent manner. Therefore, we believe further assessment is required with respect to this proposal and a harmonised approach needs to be ensured, especially across different type of venues.</w:t>
      </w:r>
    </w:p>
    <w:p w14:paraId="695CAECE" w14:textId="77777777" w:rsidR="000C3DB1" w:rsidRDefault="000C3DB1" w:rsidP="000C3DB1">
      <w:pPr>
        <w:jc w:val="both"/>
        <w:rPr>
          <w:rFonts w:cs="Arial"/>
          <w:sz w:val="22"/>
          <w:szCs w:val="22"/>
        </w:rPr>
      </w:pPr>
    </w:p>
    <w:p w14:paraId="61E8BCF9" w14:textId="77777777" w:rsidR="000C3DB1" w:rsidRPr="000C3DB1" w:rsidRDefault="000C3DB1" w:rsidP="000C3DB1">
      <w:pPr>
        <w:jc w:val="both"/>
        <w:rPr>
          <w:rFonts w:cs="Arial"/>
          <w:sz w:val="22"/>
          <w:szCs w:val="22"/>
        </w:rPr>
      </w:pPr>
      <w:r w:rsidRPr="000C3DB1">
        <w:rPr>
          <w:rFonts w:cs="Arial"/>
          <w:sz w:val="22"/>
          <w:szCs w:val="22"/>
        </w:rPr>
        <w:t xml:space="preserve">Additionally we would highlight that this data cannot be delivered intraday and thus should only be required </w:t>
      </w:r>
      <w:r w:rsidRPr="000C3DB1">
        <w:rPr>
          <w:rFonts w:cs="Arial"/>
          <w:b/>
          <w:bCs/>
          <w:sz w:val="22"/>
          <w:szCs w:val="22"/>
          <w:u w:val="single"/>
        </w:rPr>
        <w:t>on a T+1 basis</w:t>
      </w:r>
      <w:r w:rsidRPr="000C3DB1">
        <w:rPr>
          <w:rFonts w:cs="Arial"/>
          <w:sz w:val="22"/>
          <w:szCs w:val="22"/>
        </w:rPr>
        <w:t>. These requirements cover a significant amount of data and this would give sufficient time for venues to submit it in the required format and with the required fields, including client code information (e.g. personal data of natural person). In our opinion this should allow NCAs to efficiently carry out market surveillance activities.</w:t>
      </w:r>
    </w:p>
    <w:p w14:paraId="38A68DF9" w14:textId="77777777" w:rsidR="000C3DB1" w:rsidRPr="000C3DB1" w:rsidRDefault="000C3DB1" w:rsidP="000C3DB1">
      <w:pPr>
        <w:jc w:val="both"/>
        <w:rPr>
          <w:rFonts w:cs="Arial"/>
          <w:sz w:val="22"/>
          <w:szCs w:val="22"/>
        </w:rPr>
      </w:pPr>
      <w:r w:rsidRPr="000C3DB1">
        <w:rPr>
          <w:rFonts w:cs="Arial"/>
          <w:sz w:val="22"/>
          <w:szCs w:val="22"/>
        </w:rPr>
        <w:t xml:space="preserve">We should remember that in order to reduce the amount of sensitive data flowing through the trading system, as well as minimise any latency impact due to large message sizes, trading venues operates an approach that has trading firm supply so called short codes on each order and supply a mapping file out of band on a pre- or post-trade basis. For that reason order data cannot </w:t>
      </w:r>
      <w:r w:rsidRPr="000C3DB1">
        <w:rPr>
          <w:rFonts w:cs="Arial"/>
          <w:sz w:val="22"/>
          <w:szCs w:val="22"/>
        </w:rPr>
        <w:lastRenderedPageBreak/>
        <w:t>be delivered intraday and should be required on a T+1 basis, alike transactions data under obligation set out in Article 26 of MiFIR.</w:t>
      </w:r>
    </w:p>
    <w:p w14:paraId="0F9EC106" w14:textId="77777777" w:rsidR="000C3DB1" w:rsidRDefault="000C3DB1" w:rsidP="000C3DB1">
      <w:pPr>
        <w:jc w:val="both"/>
        <w:rPr>
          <w:rFonts w:cs="Arial"/>
          <w:sz w:val="22"/>
          <w:szCs w:val="22"/>
        </w:rPr>
      </w:pPr>
    </w:p>
    <w:p w14:paraId="68A16A69" w14:textId="77777777" w:rsidR="000C3DB1" w:rsidRPr="000C3DB1" w:rsidRDefault="000C3DB1" w:rsidP="000C3DB1">
      <w:pPr>
        <w:jc w:val="both"/>
        <w:rPr>
          <w:rFonts w:cs="Arial"/>
          <w:sz w:val="22"/>
          <w:szCs w:val="22"/>
        </w:rPr>
      </w:pPr>
      <w:r w:rsidRPr="000C3DB1">
        <w:rPr>
          <w:rFonts w:cs="Arial"/>
          <w:sz w:val="22"/>
          <w:szCs w:val="22"/>
        </w:rPr>
        <w:t xml:space="preserve">To conclude, further analysis is required by ESMA, otherwise there is a risk that this proposal would result in a large burden for both NCAs and trading venues in terms of adapting their IT-infrastructures, with potentially little to no improvement on monitoring efforts. While we acknowledge that some trading venues need to comply with similar requirements in certain jurisdictions, we are concerned that broad and continuous data reports may not improve the monitoring efforts of the NCAs </w:t>
      </w:r>
      <w:r w:rsidRPr="000C3DB1">
        <w:rPr>
          <w:rFonts w:cs="Arial"/>
          <w:sz w:val="22"/>
          <w:szCs w:val="22"/>
          <w:lang w:val="en-US"/>
        </w:rPr>
        <w:t>unless further valuation is done to demonstrate what is required. In any case, any further assessment will need to ensure a harmonised approach is taken.</w:t>
      </w:r>
    </w:p>
    <w:permEnd w:id="482090286"/>
    <w:p w14:paraId="3C3E0B75" w14:textId="77777777" w:rsidR="00646C30" w:rsidRDefault="00646C30" w:rsidP="00646C30"/>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4A6E5EDD" w14:textId="54A04910" w:rsidR="00CE0B3C" w:rsidRDefault="00CE0B3C" w:rsidP="00CE0B3C">
      <w:pPr>
        <w:jc w:val="both"/>
        <w:rPr>
          <w:rFonts w:cs="Arial"/>
          <w:sz w:val="22"/>
          <w:szCs w:val="22"/>
        </w:rPr>
      </w:pPr>
      <w:permStart w:id="81003916" w:edGrp="everyone"/>
      <w:r w:rsidRPr="00CE0B3C">
        <w:rPr>
          <w:rFonts w:cs="Arial"/>
          <w:sz w:val="22"/>
          <w:szCs w:val="22"/>
          <w:shd w:val="clear" w:color="auto" w:fill="FFFFFF"/>
        </w:rPr>
        <w:t>According to our </w:t>
      </w:r>
      <w:r w:rsidRPr="00CE0B3C">
        <w:rPr>
          <w:rStyle w:val="Uwydatnienie"/>
          <w:rFonts w:cs="Arial"/>
          <w:i w:val="0"/>
          <w:iCs w:val="0"/>
          <w:sz w:val="22"/>
          <w:szCs w:val="22"/>
        </w:rPr>
        <w:t xml:space="preserve">understanding of the proposal of </w:t>
      </w:r>
      <w:r w:rsidRPr="00CE0B3C">
        <w:rPr>
          <w:rFonts w:cs="Arial"/>
          <w:sz w:val="22"/>
          <w:szCs w:val="22"/>
        </w:rPr>
        <w:t>limiting the daily reporting of order book data, trading venue should have to two mechanism: (1) a daily reporting mechanism limited to specific types of financial instruments and (2) a daily record keeping and ad-hoc transmission mechanism for the rest of financial instruments.</w:t>
      </w:r>
    </w:p>
    <w:p w14:paraId="6B5FD11C" w14:textId="77777777" w:rsidR="00CE0B3C" w:rsidRPr="00CE0B3C" w:rsidRDefault="00CE0B3C" w:rsidP="00CE0B3C">
      <w:pPr>
        <w:jc w:val="both"/>
        <w:rPr>
          <w:rStyle w:val="Uwydatnienie"/>
          <w:rFonts w:cs="Arial"/>
          <w:i w:val="0"/>
          <w:iCs w:val="0"/>
          <w:sz w:val="22"/>
          <w:szCs w:val="22"/>
          <w:lang w:val="en-US"/>
        </w:rPr>
      </w:pPr>
    </w:p>
    <w:p w14:paraId="073A3306" w14:textId="77777777" w:rsidR="00CE0B3C" w:rsidRPr="00CE0B3C" w:rsidRDefault="00CE0B3C" w:rsidP="00CE0B3C">
      <w:pPr>
        <w:jc w:val="both"/>
        <w:rPr>
          <w:rFonts w:cs="Arial"/>
          <w:sz w:val="22"/>
          <w:szCs w:val="22"/>
        </w:rPr>
      </w:pPr>
      <w:r w:rsidRPr="00CE0B3C">
        <w:rPr>
          <w:rStyle w:val="Uwydatnienie"/>
          <w:rFonts w:cs="Arial"/>
          <w:i w:val="0"/>
          <w:iCs w:val="0"/>
          <w:sz w:val="22"/>
          <w:szCs w:val="22"/>
          <w:shd w:val="clear" w:color="auto" w:fill="FFFFFF"/>
        </w:rPr>
        <w:t xml:space="preserve">In the view of WSE this proposal would be the worst-case scenario. In such a case </w:t>
      </w:r>
      <w:r w:rsidRPr="00CE0B3C">
        <w:rPr>
          <w:rFonts w:cs="Arial"/>
          <w:sz w:val="22"/>
          <w:szCs w:val="22"/>
        </w:rPr>
        <w:t xml:space="preserve">trading venue would be required to maintain, at the same time, two different mechanisms for order-book data gathering for market surveillance purposes. </w:t>
      </w:r>
    </w:p>
    <w:p w14:paraId="5EC42334" w14:textId="77777777" w:rsidR="00CE0B3C" w:rsidRPr="00CE0B3C" w:rsidRDefault="00CE0B3C" w:rsidP="00CE0B3C">
      <w:pPr>
        <w:jc w:val="both"/>
        <w:rPr>
          <w:rFonts w:cs="Arial"/>
          <w:sz w:val="22"/>
          <w:szCs w:val="22"/>
          <w:lang w:val="en-US"/>
        </w:rPr>
      </w:pPr>
      <w:r w:rsidRPr="00CE0B3C">
        <w:rPr>
          <w:rFonts w:cs="Arial"/>
          <w:color w:val="222222"/>
          <w:sz w:val="22"/>
          <w:szCs w:val="22"/>
          <w:lang w:val="en"/>
        </w:rPr>
        <w:t>Such solution would not only be expensive, but would also require market operators to dedicate specific human resources to support its operation.</w:t>
      </w:r>
    </w:p>
    <w:permEnd w:id="81003916"/>
    <w:p w14:paraId="3C3E0B7A" w14:textId="77777777" w:rsidR="00646C30" w:rsidRDefault="00646C30" w:rsidP="00646C30"/>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251295EA" w14:textId="605089B7" w:rsidR="00FF57FA" w:rsidRDefault="00FF57FA" w:rsidP="00FF57FA">
      <w:pPr>
        <w:jc w:val="both"/>
        <w:rPr>
          <w:rFonts w:cs="Arial"/>
          <w:sz w:val="22"/>
          <w:szCs w:val="22"/>
        </w:rPr>
      </w:pPr>
      <w:permStart w:id="889603544" w:edGrp="everyone"/>
      <w:r w:rsidRPr="00FF57FA">
        <w:rPr>
          <w:rFonts w:cs="Arial"/>
          <w:sz w:val="22"/>
          <w:szCs w:val="22"/>
        </w:rPr>
        <w:lastRenderedPageBreak/>
        <w:t>In our opinion administrative sanctions could be more efficient than criminal ones</w:t>
      </w:r>
      <w:r>
        <w:rPr>
          <w:rFonts w:cs="Arial"/>
          <w:sz w:val="22"/>
          <w:szCs w:val="22"/>
        </w:rPr>
        <w:t xml:space="preserve"> and</w:t>
      </w:r>
      <w:r w:rsidRPr="00FF57FA">
        <w:rPr>
          <w:rFonts w:cs="Arial"/>
          <w:sz w:val="22"/>
          <w:szCs w:val="22"/>
        </w:rPr>
        <w:t xml:space="preserve"> easier to enforce. However, as regards the amount of administrative penalties, the adoption of legal solutions that are the same for the entire European Union does not bring the intended results and should therefore be reviewed.</w:t>
      </w:r>
    </w:p>
    <w:p w14:paraId="0CC00A59" w14:textId="77777777" w:rsidR="00FF57FA" w:rsidRPr="00FF57FA" w:rsidRDefault="00FF57FA" w:rsidP="00FF57FA">
      <w:pPr>
        <w:jc w:val="both"/>
        <w:rPr>
          <w:rFonts w:cs="Arial"/>
          <w:sz w:val="22"/>
          <w:szCs w:val="22"/>
          <w:lang w:eastAsia="en-US"/>
        </w:rPr>
      </w:pPr>
    </w:p>
    <w:p w14:paraId="550DFB70" w14:textId="77777777" w:rsidR="00FF57FA" w:rsidRDefault="00FF57FA" w:rsidP="00FF57FA">
      <w:pPr>
        <w:jc w:val="both"/>
        <w:rPr>
          <w:rFonts w:cs="Arial"/>
          <w:sz w:val="22"/>
          <w:szCs w:val="22"/>
        </w:rPr>
      </w:pPr>
      <w:r w:rsidRPr="00FF57FA">
        <w:rPr>
          <w:rFonts w:cs="Arial"/>
          <w:sz w:val="22"/>
          <w:szCs w:val="22"/>
        </w:rPr>
        <w:t>We believe that in order to improve the competitiveness of the EU capital market and its attractiveness as a place for capital to be raised by enterprises, it is very important to consider introducing legal solutions that would better regulate the issue of penalties for violations of MAR regulations than before. The introduction of a mechanism setting the maximum level of penalties, which is mandatory for all countries and does not depend on any other factors, such as the type of market (regulated market, MTF, SME Growth Market), the size of the domestic market, the size or capitalization of issuers, as well as the type of infringement, may lead to the conviction that there is no difference between fines for a formal violation of MAR, and the most serious violations aimed at committing market abuse.</w:t>
      </w:r>
    </w:p>
    <w:p w14:paraId="3AC09AD9" w14:textId="77777777" w:rsidR="00FF57FA" w:rsidRPr="00FF57FA" w:rsidRDefault="00FF57FA" w:rsidP="00FF57FA">
      <w:pPr>
        <w:jc w:val="both"/>
        <w:rPr>
          <w:rFonts w:cs="Arial"/>
          <w:sz w:val="22"/>
          <w:szCs w:val="22"/>
        </w:rPr>
      </w:pPr>
    </w:p>
    <w:p w14:paraId="1473D1D4" w14:textId="77777777" w:rsidR="00FF57FA" w:rsidRPr="00FF57FA" w:rsidRDefault="00FF57FA" w:rsidP="00FF57FA">
      <w:pPr>
        <w:jc w:val="both"/>
        <w:rPr>
          <w:rFonts w:cs="Arial"/>
          <w:sz w:val="22"/>
          <w:szCs w:val="22"/>
        </w:rPr>
      </w:pPr>
      <w:r w:rsidRPr="00FF57FA">
        <w:rPr>
          <w:rFonts w:cs="Arial"/>
          <w:sz w:val="22"/>
          <w:szCs w:val="22"/>
        </w:rPr>
        <w:t>There are too wide gaps between national markets to maintain the solution of setting one level of maximum fines for fraud for all entities. Some domestic trading venues are characterized by the fact that their participants are mostly very small issuers. For instance, in Poland, there are 387 on NewConnect (SME GM), including:</w:t>
      </w:r>
    </w:p>
    <w:p w14:paraId="3A457933" w14:textId="77777777" w:rsidR="00FF57FA" w:rsidRPr="00FF57FA" w:rsidRDefault="00FF57FA" w:rsidP="00FF57FA">
      <w:pPr>
        <w:jc w:val="both"/>
        <w:rPr>
          <w:rFonts w:cs="Arial"/>
          <w:sz w:val="22"/>
          <w:szCs w:val="22"/>
        </w:rPr>
      </w:pPr>
      <w:r w:rsidRPr="00FF57FA">
        <w:rPr>
          <w:rFonts w:cs="Arial"/>
          <w:sz w:val="22"/>
          <w:szCs w:val="22"/>
        </w:rPr>
        <w:t>•         282 issuers with market capitalisations less than 5 million Euro, including 112 issuers with market capitalisations less than 1 million Euro ;</w:t>
      </w:r>
    </w:p>
    <w:p w14:paraId="1647626F" w14:textId="77777777" w:rsidR="00FF57FA" w:rsidRPr="00FF57FA" w:rsidRDefault="00FF57FA" w:rsidP="00FF57FA">
      <w:pPr>
        <w:jc w:val="both"/>
        <w:rPr>
          <w:rFonts w:cs="Arial"/>
          <w:sz w:val="22"/>
          <w:szCs w:val="22"/>
        </w:rPr>
      </w:pPr>
      <w:r w:rsidRPr="00FF57FA">
        <w:rPr>
          <w:rFonts w:cs="Arial"/>
          <w:sz w:val="22"/>
          <w:szCs w:val="22"/>
        </w:rPr>
        <w:t xml:space="preserve">•         80 issuers with market capitalisations between 5-20 million Euro, and </w:t>
      </w:r>
    </w:p>
    <w:p w14:paraId="4B980C0C" w14:textId="77777777" w:rsidR="00FF57FA" w:rsidRDefault="00FF57FA" w:rsidP="00FF57FA">
      <w:pPr>
        <w:jc w:val="both"/>
        <w:rPr>
          <w:rFonts w:cs="Arial"/>
          <w:sz w:val="22"/>
          <w:szCs w:val="22"/>
        </w:rPr>
      </w:pPr>
      <w:r w:rsidRPr="00FF57FA">
        <w:rPr>
          <w:rFonts w:cs="Arial"/>
          <w:sz w:val="22"/>
          <w:szCs w:val="22"/>
        </w:rPr>
        <w:t>•         25 issuers with market capitalisations above 20 million Euro.</w:t>
      </w:r>
    </w:p>
    <w:p w14:paraId="0A014223" w14:textId="77777777" w:rsidR="00FF57FA" w:rsidRPr="00FF57FA" w:rsidRDefault="00FF57FA" w:rsidP="00FF57FA">
      <w:pPr>
        <w:jc w:val="both"/>
        <w:rPr>
          <w:rFonts w:cs="Arial"/>
          <w:sz w:val="22"/>
          <w:szCs w:val="22"/>
        </w:rPr>
      </w:pPr>
    </w:p>
    <w:p w14:paraId="23130C64" w14:textId="77777777" w:rsidR="00FF57FA" w:rsidRDefault="00FF57FA" w:rsidP="00FF57FA">
      <w:pPr>
        <w:jc w:val="both"/>
        <w:rPr>
          <w:rFonts w:cs="Arial"/>
          <w:sz w:val="22"/>
          <w:szCs w:val="22"/>
        </w:rPr>
      </w:pPr>
      <w:r w:rsidRPr="00FF57FA">
        <w:rPr>
          <w:rFonts w:cs="Arial"/>
          <w:sz w:val="22"/>
          <w:szCs w:val="22"/>
        </w:rPr>
        <w:t>Such small companies are terrified of potential penalties that the NCA may impose on them for violating MAR regulations, especially since the regulations do not specify what kind of violation deserves the highest penalty, and how high the penalty can be imposed for a formal offense when no intention is noted committing abuse. PDMRs and CAPs (closely associated persons) feel the same “personal anxiety”. They have to fulfil a number of formal obligations, and for failing to do so they may receive a penalty which, in the case of managers in small companies, may lead even to their personal bankruptcy. The universal solution contained in MAR and MAD, whereas the arbitration between NCAs is used, creates too much risk of legal uncertainty, and because is unfair and effectively discourages activity on the capital market.</w:t>
      </w:r>
    </w:p>
    <w:p w14:paraId="587C0967" w14:textId="77777777" w:rsidR="00631D29" w:rsidRPr="00FF57FA" w:rsidRDefault="00631D29" w:rsidP="00FF57FA">
      <w:pPr>
        <w:jc w:val="both"/>
        <w:rPr>
          <w:rFonts w:cs="Arial"/>
          <w:sz w:val="22"/>
          <w:szCs w:val="22"/>
        </w:rPr>
      </w:pPr>
    </w:p>
    <w:p w14:paraId="20D62F0D" w14:textId="2981AA48" w:rsidR="00FF57FA" w:rsidRPr="00FF57FA" w:rsidRDefault="00FF57FA" w:rsidP="00FF57FA">
      <w:pPr>
        <w:jc w:val="both"/>
        <w:rPr>
          <w:rFonts w:cs="Arial"/>
          <w:sz w:val="22"/>
          <w:szCs w:val="22"/>
        </w:rPr>
      </w:pPr>
      <w:r w:rsidRPr="00FF57FA">
        <w:rPr>
          <w:rFonts w:cs="Arial"/>
          <w:sz w:val="22"/>
          <w:szCs w:val="22"/>
        </w:rPr>
        <w:t>Therefore, we are calling for ESMA to include in its work a thorough review of the system of the type and amount of penalties used by NCAs for violations of MAR regulations, and introduce clear criteria regarding the size of entities and the seriousness of the misconduct.</w:t>
      </w:r>
    </w:p>
    <w:permEnd w:id="889603544"/>
    <w:p w14:paraId="3C3E0B84" w14:textId="77777777" w:rsidR="00646C30" w:rsidRDefault="00646C30" w:rsidP="00646C30"/>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63799" w14:textId="77777777" w:rsidR="005F5D5B" w:rsidRDefault="005F5D5B">
      <w:r>
        <w:separator/>
      </w:r>
    </w:p>
    <w:p w14:paraId="317FD60E" w14:textId="77777777" w:rsidR="005F5D5B" w:rsidRDefault="005F5D5B"/>
  </w:endnote>
  <w:endnote w:type="continuationSeparator" w:id="0">
    <w:p w14:paraId="0C524F07" w14:textId="77777777" w:rsidR="005F5D5B" w:rsidRDefault="005F5D5B">
      <w:r>
        <w:continuationSeparator/>
      </w:r>
    </w:p>
    <w:p w14:paraId="4CAE7CD5" w14:textId="77777777" w:rsidR="005F5D5B" w:rsidRDefault="005F5D5B"/>
  </w:endnote>
  <w:endnote w:type="continuationNotice" w:id="1">
    <w:p w14:paraId="2D7ABC7A" w14:textId="77777777" w:rsidR="005F5D5B" w:rsidRDefault="005F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6B41" w:rsidRPr="00616B9B" w14:paraId="3C3E0B9C" w14:textId="77777777" w:rsidTr="00315E96">
      <w:trPr>
        <w:trHeight w:val="284"/>
      </w:trPr>
      <w:tc>
        <w:tcPr>
          <w:tcW w:w="8460" w:type="dxa"/>
        </w:tcPr>
        <w:p w14:paraId="3C3E0B9A" w14:textId="77777777" w:rsidR="009C6B41" w:rsidRPr="00315E96" w:rsidRDefault="009C6B41" w:rsidP="00315E96">
          <w:pPr>
            <w:pStyle w:val="00Footer"/>
            <w:rPr>
              <w:lang w:val="fr-FR"/>
            </w:rPr>
          </w:pPr>
        </w:p>
      </w:tc>
      <w:tc>
        <w:tcPr>
          <w:tcW w:w="952" w:type="dxa"/>
        </w:tcPr>
        <w:p w14:paraId="3C3E0B9B" w14:textId="77777777" w:rsidR="009C6B41" w:rsidRPr="00616B9B" w:rsidRDefault="009C6B4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2CBB">
            <w:rPr>
              <w:rFonts w:cs="Arial"/>
              <w:noProof/>
              <w:sz w:val="22"/>
              <w:szCs w:val="22"/>
            </w:rPr>
            <w:t>15</w:t>
          </w:r>
          <w:r w:rsidRPr="00616B9B">
            <w:rPr>
              <w:rFonts w:cs="Arial"/>
              <w:noProof/>
              <w:sz w:val="22"/>
              <w:szCs w:val="22"/>
            </w:rPr>
            <w:fldChar w:fldCharType="end"/>
          </w:r>
        </w:p>
      </w:tc>
    </w:tr>
  </w:tbl>
  <w:p w14:paraId="3C3E0B9D" w14:textId="77777777" w:rsidR="009C6B41" w:rsidRDefault="009C6B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AC" w14:textId="77777777" w:rsidR="009C6B41" w:rsidRDefault="009C6B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5B02" w14:textId="77777777" w:rsidR="005F5D5B" w:rsidRDefault="005F5D5B">
      <w:r>
        <w:separator/>
      </w:r>
    </w:p>
    <w:p w14:paraId="48423185" w14:textId="77777777" w:rsidR="005F5D5B" w:rsidRDefault="005F5D5B"/>
  </w:footnote>
  <w:footnote w:type="continuationSeparator" w:id="0">
    <w:p w14:paraId="7CB1529F" w14:textId="77777777" w:rsidR="005F5D5B" w:rsidRDefault="005F5D5B">
      <w:r>
        <w:continuationSeparator/>
      </w:r>
    </w:p>
    <w:p w14:paraId="39BBA47C" w14:textId="77777777" w:rsidR="005F5D5B" w:rsidRDefault="005F5D5B"/>
  </w:footnote>
  <w:footnote w:type="continuationNotice" w:id="1">
    <w:p w14:paraId="55FFAB09" w14:textId="77777777" w:rsidR="005F5D5B" w:rsidRDefault="005F5D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9" w14:textId="77777777" w:rsidR="009C6B41" w:rsidRDefault="009C6B41">
    <w:pPr>
      <w:pStyle w:val="Nagwek"/>
    </w:pPr>
    <w:r>
      <w:rPr>
        <w:noProof/>
        <w:lang w:val="pl-PL" w:eastAsia="pl-PL"/>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E" w14:textId="77777777" w:rsidR="009C6B41" w:rsidRDefault="009C6B41" w:rsidP="00013CCE">
    <w:pPr>
      <w:pStyle w:val="Nagwek"/>
      <w:jc w:val="right"/>
    </w:pPr>
    <w:r>
      <w:rPr>
        <w:noProof/>
        <w:lang w:val="pl-PL" w:eastAsia="pl-PL"/>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F" w14:textId="77777777" w:rsidR="009C6B41" w:rsidRDefault="009C6B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C6B41" w:rsidRPr="002F4496" w14:paraId="3C3E0BA2" w14:textId="77777777" w:rsidTr="000C06C9">
      <w:trPr>
        <w:trHeight w:val="284"/>
      </w:trPr>
      <w:tc>
        <w:tcPr>
          <w:tcW w:w="8460" w:type="dxa"/>
        </w:tcPr>
        <w:p w14:paraId="3C3E0BA0" w14:textId="77777777" w:rsidR="009C6B41" w:rsidRPr="000C3B6D" w:rsidRDefault="009C6B41" w:rsidP="000C06C9">
          <w:pPr>
            <w:pStyle w:val="00Footer"/>
            <w:rPr>
              <w:lang w:val="fr-FR"/>
            </w:rPr>
          </w:pPr>
        </w:p>
      </w:tc>
      <w:tc>
        <w:tcPr>
          <w:tcW w:w="952" w:type="dxa"/>
        </w:tcPr>
        <w:p w14:paraId="3C3E0BA1" w14:textId="77777777" w:rsidR="009C6B41" w:rsidRPr="00146B34" w:rsidRDefault="009C6B41" w:rsidP="000C06C9">
          <w:pPr>
            <w:pStyle w:val="00aPagenumber"/>
            <w:rPr>
              <w:lang w:val="fr-FR"/>
            </w:rPr>
          </w:pPr>
        </w:p>
      </w:tc>
    </w:tr>
  </w:tbl>
  <w:p w14:paraId="3C3E0BA3" w14:textId="77777777" w:rsidR="009C6B41" w:rsidRPr="00DB46C3" w:rsidRDefault="009C6B41">
    <w:pPr>
      <w:rPr>
        <w:lang w:val="fr-FR"/>
      </w:rPr>
    </w:pPr>
  </w:p>
  <w:p w14:paraId="3C3E0BA4" w14:textId="77777777" w:rsidR="009C6B41" w:rsidRPr="002F4496" w:rsidRDefault="009C6B41">
    <w:pPr>
      <w:pStyle w:val="Nagwek"/>
      <w:rPr>
        <w:lang w:val="fr-FR"/>
      </w:rPr>
    </w:pPr>
  </w:p>
  <w:p w14:paraId="3C3E0BA5" w14:textId="77777777" w:rsidR="009C6B41" w:rsidRPr="002F4496" w:rsidRDefault="009C6B41" w:rsidP="000C06C9">
    <w:pPr>
      <w:pStyle w:val="Nagwek"/>
      <w:tabs>
        <w:tab w:val="clear" w:pos="4536"/>
        <w:tab w:val="clear" w:pos="9072"/>
        <w:tab w:val="left" w:pos="8227"/>
      </w:tabs>
      <w:rPr>
        <w:lang w:val="fr-FR"/>
      </w:rPr>
    </w:pPr>
  </w:p>
  <w:p w14:paraId="3C3E0BA6" w14:textId="77777777" w:rsidR="009C6B41" w:rsidRPr="002F4496" w:rsidRDefault="009C6B41" w:rsidP="00583885">
    <w:pPr>
      <w:pStyle w:val="Nagwek"/>
      <w:jc w:val="right"/>
      <w:rPr>
        <w:lang w:val="fr-FR"/>
      </w:rPr>
    </w:pPr>
  </w:p>
  <w:p w14:paraId="3C3E0BA7" w14:textId="77777777" w:rsidR="009C6B41" w:rsidRPr="002F4496" w:rsidRDefault="009C6B41">
    <w:pPr>
      <w:pStyle w:val="Nagwek"/>
      <w:rPr>
        <w:lang w:val="fr-FR"/>
      </w:rPr>
    </w:pPr>
  </w:p>
  <w:p w14:paraId="3C3E0BA8" w14:textId="77777777" w:rsidR="009C6B41" w:rsidRPr="002F4496" w:rsidRDefault="009C6B41">
    <w:pPr>
      <w:pStyle w:val="Nagwek"/>
      <w:rPr>
        <w:lang w:val="fr-FR"/>
      </w:rPr>
    </w:pPr>
  </w:p>
  <w:p w14:paraId="3C3E0BA9" w14:textId="77777777" w:rsidR="009C6B41" w:rsidRPr="002F4496" w:rsidRDefault="009C6B41">
    <w:pPr>
      <w:pStyle w:val="Nagwek"/>
      <w:rPr>
        <w:lang w:val="fr-FR"/>
      </w:rPr>
    </w:pPr>
  </w:p>
  <w:p w14:paraId="3C3E0BAA" w14:textId="77777777" w:rsidR="009C6B41" w:rsidRPr="002F4496" w:rsidRDefault="009C6B41">
    <w:pPr>
      <w:pStyle w:val="Nagwek"/>
      <w:rPr>
        <w:highlight w:val="yellow"/>
        <w:lang w:val="fr-FR"/>
      </w:rPr>
    </w:pPr>
  </w:p>
  <w:p w14:paraId="3C3E0BAB" w14:textId="77777777" w:rsidR="009C6B41" w:rsidRDefault="009C6B41">
    <w:pPr>
      <w:pStyle w:val="Nagwek"/>
    </w:pPr>
    <w:r>
      <w:rPr>
        <w:noProof/>
        <w:lang w:val="pl-PL" w:eastAsia="pl-PL"/>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321C54"/>
    <w:multiLevelType w:val="hybridMultilevel"/>
    <w:tmpl w:val="E870B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E1A3606"/>
    <w:multiLevelType w:val="hybridMultilevel"/>
    <w:tmpl w:val="956A70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9456F4"/>
    <w:multiLevelType w:val="hybridMultilevel"/>
    <w:tmpl w:val="4FBE979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427D54"/>
    <w:multiLevelType w:val="hybridMultilevel"/>
    <w:tmpl w:val="95E2A9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8"/>
  </w:num>
  <w:num w:numId="3">
    <w:abstractNumId w:val="11"/>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7"/>
  </w:num>
  <w:num w:numId="21">
    <w:abstractNumId w:val="38"/>
  </w:num>
  <w:num w:numId="22">
    <w:abstractNumId w:val="25"/>
  </w:num>
  <w:num w:numId="23">
    <w:abstractNumId w:val="9"/>
  </w:num>
  <w:num w:numId="24">
    <w:abstractNumId w:val="30"/>
  </w:num>
  <w:num w:numId="25">
    <w:abstractNumId w:val="29"/>
  </w:num>
  <w:num w:numId="26">
    <w:abstractNumId w:val="19"/>
  </w:num>
  <w:num w:numId="27">
    <w:abstractNumId w:val="34"/>
  </w:num>
  <w:num w:numId="28">
    <w:abstractNumId w:val="40"/>
  </w:num>
  <w:num w:numId="29">
    <w:abstractNumId w:val="7"/>
  </w:num>
  <w:num w:numId="30">
    <w:abstractNumId w:val="3"/>
  </w:num>
  <w:num w:numId="31">
    <w:abstractNumId w:val="21"/>
  </w:num>
  <w:num w:numId="32">
    <w:abstractNumId w:val="20"/>
  </w:num>
  <w:num w:numId="33">
    <w:abstractNumId w:val="36"/>
  </w:num>
  <w:num w:numId="34">
    <w:abstractNumId w:val="35"/>
  </w:num>
  <w:num w:numId="35">
    <w:abstractNumId w:val="5"/>
  </w:num>
  <w:num w:numId="36">
    <w:abstractNumId w:val="37"/>
  </w:num>
  <w:num w:numId="37">
    <w:abstractNumId w:val="2"/>
  </w:num>
  <w:num w:numId="38">
    <w:abstractNumId w:val="23"/>
  </w:num>
  <w:num w:numId="39">
    <w:abstractNumId w:val="31"/>
  </w:num>
  <w:num w:numId="4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2E5E"/>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6F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3DB1"/>
    <w:rsid w:val="000C55C8"/>
    <w:rsid w:val="000C57C4"/>
    <w:rsid w:val="000C5FD3"/>
    <w:rsid w:val="000C701D"/>
    <w:rsid w:val="000C7C4A"/>
    <w:rsid w:val="000D17AA"/>
    <w:rsid w:val="000D2D0B"/>
    <w:rsid w:val="000D32A3"/>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30D"/>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380"/>
    <w:rsid w:val="001F3996"/>
    <w:rsid w:val="001F44A4"/>
    <w:rsid w:val="001F579D"/>
    <w:rsid w:val="001F65EF"/>
    <w:rsid w:val="001F697B"/>
    <w:rsid w:val="002005A6"/>
    <w:rsid w:val="00204CBC"/>
    <w:rsid w:val="002051F1"/>
    <w:rsid w:val="002067BA"/>
    <w:rsid w:val="0020707C"/>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2CBB"/>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6EA1"/>
    <w:rsid w:val="00317FC8"/>
    <w:rsid w:val="003223D7"/>
    <w:rsid w:val="00323D9F"/>
    <w:rsid w:val="00324FDB"/>
    <w:rsid w:val="00325F48"/>
    <w:rsid w:val="0033194F"/>
    <w:rsid w:val="00332304"/>
    <w:rsid w:val="00332406"/>
    <w:rsid w:val="00332D8D"/>
    <w:rsid w:val="00336B56"/>
    <w:rsid w:val="00341B25"/>
    <w:rsid w:val="00341D48"/>
    <w:rsid w:val="00341EC0"/>
    <w:rsid w:val="0034240C"/>
    <w:rsid w:val="00344496"/>
    <w:rsid w:val="00345968"/>
    <w:rsid w:val="00347667"/>
    <w:rsid w:val="003507E2"/>
    <w:rsid w:val="003516D4"/>
    <w:rsid w:val="003519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40B"/>
    <w:rsid w:val="003926C1"/>
    <w:rsid w:val="00392900"/>
    <w:rsid w:val="00393357"/>
    <w:rsid w:val="00395E7B"/>
    <w:rsid w:val="00395F4C"/>
    <w:rsid w:val="003A05B8"/>
    <w:rsid w:val="003A51C5"/>
    <w:rsid w:val="003A5DAC"/>
    <w:rsid w:val="003A6591"/>
    <w:rsid w:val="003A6E9A"/>
    <w:rsid w:val="003B04CF"/>
    <w:rsid w:val="003B08C8"/>
    <w:rsid w:val="003B2567"/>
    <w:rsid w:val="003B2C19"/>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2D4"/>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07"/>
    <w:rsid w:val="0052183D"/>
    <w:rsid w:val="00522B01"/>
    <w:rsid w:val="00522F44"/>
    <w:rsid w:val="0052360A"/>
    <w:rsid w:val="005242BA"/>
    <w:rsid w:val="005243B8"/>
    <w:rsid w:val="005252DD"/>
    <w:rsid w:val="00530A8D"/>
    <w:rsid w:val="00531C6D"/>
    <w:rsid w:val="00532EF4"/>
    <w:rsid w:val="005330D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0EC0"/>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FD0"/>
    <w:rsid w:val="005F5ACF"/>
    <w:rsid w:val="005F5D5B"/>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140C"/>
    <w:rsid w:val="0061263A"/>
    <w:rsid w:val="00612C41"/>
    <w:rsid w:val="006145DE"/>
    <w:rsid w:val="0061478E"/>
    <w:rsid w:val="00614E65"/>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D29"/>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600"/>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4CE9"/>
    <w:rsid w:val="00725FB1"/>
    <w:rsid w:val="00726630"/>
    <w:rsid w:val="00727F73"/>
    <w:rsid w:val="00730705"/>
    <w:rsid w:val="00730944"/>
    <w:rsid w:val="0073248E"/>
    <w:rsid w:val="00733EE9"/>
    <w:rsid w:val="00735B8E"/>
    <w:rsid w:val="00736651"/>
    <w:rsid w:val="0073673C"/>
    <w:rsid w:val="00736935"/>
    <w:rsid w:val="00743156"/>
    <w:rsid w:val="00743DE7"/>
    <w:rsid w:val="0074509E"/>
    <w:rsid w:val="00745B9F"/>
    <w:rsid w:val="00746F3D"/>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272"/>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37F8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468"/>
    <w:rsid w:val="0085590C"/>
    <w:rsid w:val="008575EB"/>
    <w:rsid w:val="00862DDD"/>
    <w:rsid w:val="0086326D"/>
    <w:rsid w:val="00863CC1"/>
    <w:rsid w:val="008640DB"/>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08C6"/>
    <w:rsid w:val="008E1B6A"/>
    <w:rsid w:val="008E3054"/>
    <w:rsid w:val="008E32FF"/>
    <w:rsid w:val="008E4927"/>
    <w:rsid w:val="008E5625"/>
    <w:rsid w:val="008E5C5B"/>
    <w:rsid w:val="008E6A37"/>
    <w:rsid w:val="008F0354"/>
    <w:rsid w:val="008F085A"/>
    <w:rsid w:val="008F1462"/>
    <w:rsid w:val="008F2413"/>
    <w:rsid w:val="008F248D"/>
    <w:rsid w:val="008F2ADF"/>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38F1"/>
    <w:rsid w:val="00915EBA"/>
    <w:rsid w:val="00917093"/>
    <w:rsid w:val="0092030E"/>
    <w:rsid w:val="009208F2"/>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472F"/>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2C5"/>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540"/>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B41"/>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3C63"/>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338D"/>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2EC"/>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061C"/>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6B92"/>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26C1"/>
    <w:rsid w:val="00C82C09"/>
    <w:rsid w:val="00C85387"/>
    <w:rsid w:val="00C85E52"/>
    <w:rsid w:val="00C86471"/>
    <w:rsid w:val="00C8677B"/>
    <w:rsid w:val="00C86F96"/>
    <w:rsid w:val="00C909C6"/>
    <w:rsid w:val="00C923B7"/>
    <w:rsid w:val="00C940EE"/>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0B3C"/>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8CC"/>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05C2"/>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3B93"/>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094F"/>
    <w:rsid w:val="00F016BE"/>
    <w:rsid w:val="00F01ACC"/>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AA8"/>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7FA"/>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6C30"/>
    <w:rPr>
      <w:rFonts w:ascii="Arial" w:hAnsi="Arial"/>
      <w:szCs w:val="24"/>
      <w:lang w:eastAsia="de-DE"/>
    </w:rPr>
  </w:style>
  <w:style w:type="paragraph" w:styleId="Nagwek1">
    <w:name w:val="heading 1"/>
    <w:basedOn w:val="Normalny"/>
    <w:next w:val="Normalny"/>
    <w:link w:val="Nagwek1Znak"/>
    <w:qFormat/>
    <w:locked/>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lock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Paragraphe de liste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jc w:val="both"/>
    </w:pPr>
    <w:rPr>
      <w:b/>
      <w:szCs w:val="20"/>
      <w:u w:val="single"/>
    </w:rPr>
  </w:style>
  <w:style w:type="paragraph" w:customStyle="1" w:styleId="Bullet">
    <w:name w:val="Bullet"/>
    <w:basedOn w:val="Normalny"/>
    <w:locked/>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ny"/>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ny"/>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ny"/>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ny"/>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ny"/>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locked/>
    <w:rsid w:val="000D2D0B"/>
    <w:pPr>
      <w:spacing w:after="240"/>
    </w:pPr>
    <w:rPr>
      <w:rFonts w:ascii="Times New Roman" w:hAnsi="Times New Roman"/>
      <w:sz w:val="24"/>
      <w:lang w:eastAsia="en-US"/>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locked/>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locked/>
    <w:rsid w:val="000D2D0B"/>
    <w:rPr>
      <w:rFonts w:cs="Arial"/>
      <w:sz w:val="24"/>
      <w:lang w:eastAsia="en-US"/>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ny"/>
    <w:locked/>
    <w:rsid w:val="000D2D0B"/>
    <w:pPr>
      <w:jc w:val="center"/>
    </w:pPr>
    <w:rPr>
      <w:rFonts w:ascii="Times New Roman" w:hAnsi="Times New Roman"/>
      <w:b/>
      <w:sz w:val="24"/>
      <w:lang w:eastAsia="en-US"/>
    </w:rPr>
  </w:style>
  <w:style w:type="paragraph" w:customStyle="1" w:styleId="Statut">
    <w:name w:val="Statut"/>
    <w:basedOn w:val="Normalny"/>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locked/>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ny"/>
    <w:locked/>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lang w:eastAsia="en-US"/>
    </w:rPr>
  </w:style>
  <w:style w:type="paragraph" w:styleId="Listanumerowana2">
    <w:name w:val="List Number 2"/>
    <w:basedOn w:val="Normalny"/>
    <w:locked/>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locked/>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eastAsia="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291945">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06334997">
      <w:bodyDiv w:val="1"/>
      <w:marLeft w:val="0"/>
      <w:marRight w:val="0"/>
      <w:marTop w:val="0"/>
      <w:marBottom w:val="0"/>
      <w:divBdr>
        <w:top w:val="none" w:sz="0" w:space="0" w:color="auto"/>
        <w:left w:val="none" w:sz="0" w:space="0" w:color="auto"/>
        <w:bottom w:val="none" w:sz="0" w:space="0" w:color="auto"/>
        <w:right w:val="none" w:sz="0" w:space="0" w:color="auto"/>
      </w:divBdr>
      <w:divsChild>
        <w:div w:id="1452285718">
          <w:marLeft w:val="0"/>
          <w:marRight w:val="0"/>
          <w:marTop w:val="0"/>
          <w:marBottom w:val="0"/>
          <w:divBdr>
            <w:top w:val="none" w:sz="0" w:space="0" w:color="auto"/>
            <w:left w:val="none" w:sz="0" w:space="0" w:color="auto"/>
            <w:bottom w:val="none" w:sz="0" w:space="0" w:color="auto"/>
            <w:right w:val="none" w:sz="0" w:space="0" w:color="auto"/>
          </w:divBdr>
          <w:divsChild>
            <w:div w:id="2083403332">
              <w:marLeft w:val="0"/>
              <w:marRight w:val="0"/>
              <w:marTop w:val="0"/>
              <w:marBottom w:val="0"/>
              <w:divBdr>
                <w:top w:val="none" w:sz="0" w:space="0" w:color="auto"/>
                <w:left w:val="none" w:sz="0" w:space="0" w:color="auto"/>
                <w:bottom w:val="none" w:sz="0" w:space="0" w:color="auto"/>
                <w:right w:val="none" w:sz="0" w:space="0" w:color="auto"/>
              </w:divBdr>
              <w:divsChild>
                <w:div w:id="579950741">
                  <w:marLeft w:val="0"/>
                  <w:marRight w:val="0"/>
                  <w:marTop w:val="0"/>
                  <w:marBottom w:val="0"/>
                  <w:divBdr>
                    <w:top w:val="none" w:sz="0" w:space="0" w:color="auto"/>
                    <w:left w:val="none" w:sz="0" w:space="0" w:color="auto"/>
                    <w:bottom w:val="none" w:sz="0" w:space="0" w:color="auto"/>
                    <w:right w:val="none" w:sz="0" w:space="0" w:color="auto"/>
                  </w:divBdr>
                  <w:divsChild>
                    <w:div w:id="2059741701">
                      <w:marLeft w:val="0"/>
                      <w:marRight w:val="0"/>
                      <w:marTop w:val="0"/>
                      <w:marBottom w:val="0"/>
                      <w:divBdr>
                        <w:top w:val="none" w:sz="0" w:space="0" w:color="auto"/>
                        <w:left w:val="none" w:sz="0" w:space="0" w:color="auto"/>
                        <w:bottom w:val="none" w:sz="0" w:space="0" w:color="auto"/>
                        <w:right w:val="none" w:sz="0" w:space="0" w:color="auto"/>
                      </w:divBdr>
                      <w:divsChild>
                        <w:div w:id="226914945">
                          <w:marLeft w:val="0"/>
                          <w:marRight w:val="0"/>
                          <w:marTop w:val="0"/>
                          <w:marBottom w:val="0"/>
                          <w:divBdr>
                            <w:top w:val="none" w:sz="0" w:space="0" w:color="auto"/>
                            <w:left w:val="none" w:sz="0" w:space="0" w:color="auto"/>
                            <w:bottom w:val="none" w:sz="0" w:space="0" w:color="auto"/>
                            <w:right w:val="none" w:sz="0" w:space="0" w:color="auto"/>
                          </w:divBdr>
                          <w:divsChild>
                            <w:div w:id="725647196">
                              <w:marLeft w:val="2070"/>
                              <w:marRight w:val="3960"/>
                              <w:marTop w:val="0"/>
                              <w:marBottom w:val="0"/>
                              <w:divBdr>
                                <w:top w:val="none" w:sz="0" w:space="0" w:color="auto"/>
                                <w:left w:val="none" w:sz="0" w:space="0" w:color="auto"/>
                                <w:bottom w:val="none" w:sz="0" w:space="0" w:color="auto"/>
                                <w:right w:val="none" w:sz="0" w:space="0" w:color="auto"/>
                              </w:divBdr>
                              <w:divsChild>
                                <w:div w:id="1923484170">
                                  <w:marLeft w:val="0"/>
                                  <w:marRight w:val="0"/>
                                  <w:marTop w:val="0"/>
                                  <w:marBottom w:val="0"/>
                                  <w:divBdr>
                                    <w:top w:val="none" w:sz="0" w:space="0" w:color="auto"/>
                                    <w:left w:val="none" w:sz="0" w:space="0" w:color="auto"/>
                                    <w:bottom w:val="none" w:sz="0" w:space="0" w:color="auto"/>
                                    <w:right w:val="none" w:sz="0" w:space="0" w:color="auto"/>
                                  </w:divBdr>
                                  <w:divsChild>
                                    <w:div w:id="924846280">
                                      <w:marLeft w:val="0"/>
                                      <w:marRight w:val="0"/>
                                      <w:marTop w:val="0"/>
                                      <w:marBottom w:val="0"/>
                                      <w:divBdr>
                                        <w:top w:val="none" w:sz="0" w:space="0" w:color="auto"/>
                                        <w:left w:val="none" w:sz="0" w:space="0" w:color="auto"/>
                                        <w:bottom w:val="none" w:sz="0" w:space="0" w:color="auto"/>
                                        <w:right w:val="none" w:sz="0" w:space="0" w:color="auto"/>
                                      </w:divBdr>
                                      <w:divsChild>
                                        <w:div w:id="1250508045">
                                          <w:marLeft w:val="0"/>
                                          <w:marRight w:val="0"/>
                                          <w:marTop w:val="0"/>
                                          <w:marBottom w:val="0"/>
                                          <w:divBdr>
                                            <w:top w:val="none" w:sz="0" w:space="0" w:color="auto"/>
                                            <w:left w:val="none" w:sz="0" w:space="0" w:color="auto"/>
                                            <w:bottom w:val="none" w:sz="0" w:space="0" w:color="auto"/>
                                            <w:right w:val="none" w:sz="0" w:space="0" w:color="auto"/>
                                          </w:divBdr>
                                          <w:divsChild>
                                            <w:div w:id="1195582251">
                                              <w:marLeft w:val="0"/>
                                              <w:marRight w:val="0"/>
                                              <w:marTop w:val="90"/>
                                              <w:marBottom w:val="0"/>
                                              <w:divBdr>
                                                <w:top w:val="none" w:sz="0" w:space="0" w:color="auto"/>
                                                <w:left w:val="none" w:sz="0" w:space="0" w:color="auto"/>
                                                <w:bottom w:val="none" w:sz="0" w:space="0" w:color="auto"/>
                                                <w:right w:val="none" w:sz="0" w:space="0" w:color="auto"/>
                                              </w:divBdr>
                                              <w:divsChild>
                                                <w:div w:id="700131449">
                                                  <w:marLeft w:val="0"/>
                                                  <w:marRight w:val="0"/>
                                                  <w:marTop w:val="0"/>
                                                  <w:marBottom w:val="0"/>
                                                  <w:divBdr>
                                                    <w:top w:val="none" w:sz="0" w:space="0" w:color="auto"/>
                                                    <w:left w:val="none" w:sz="0" w:space="0" w:color="auto"/>
                                                    <w:bottom w:val="none" w:sz="0" w:space="0" w:color="auto"/>
                                                    <w:right w:val="none" w:sz="0" w:space="0" w:color="auto"/>
                                                  </w:divBdr>
                                                  <w:divsChild>
                                                    <w:div w:id="2027828312">
                                                      <w:marLeft w:val="0"/>
                                                      <w:marRight w:val="0"/>
                                                      <w:marTop w:val="0"/>
                                                      <w:marBottom w:val="405"/>
                                                      <w:divBdr>
                                                        <w:top w:val="none" w:sz="0" w:space="0" w:color="auto"/>
                                                        <w:left w:val="none" w:sz="0" w:space="0" w:color="auto"/>
                                                        <w:bottom w:val="none" w:sz="0" w:space="0" w:color="auto"/>
                                                        <w:right w:val="none" w:sz="0" w:space="0" w:color="auto"/>
                                                      </w:divBdr>
                                                      <w:divsChild>
                                                        <w:div w:id="2001809231">
                                                          <w:marLeft w:val="0"/>
                                                          <w:marRight w:val="0"/>
                                                          <w:marTop w:val="0"/>
                                                          <w:marBottom w:val="0"/>
                                                          <w:divBdr>
                                                            <w:top w:val="none" w:sz="0" w:space="0" w:color="auto"/>
                                                            <w:left w:val="none" w:sz="0" w:space="0" w:color="auto"/>
                                                            <w:bottom w:val="none" w:sz="0" w:space="0" w:color="auto"/>
                                                            <w:right w:val="none" w:sz="0" w:space="0" w:color="auto"/>
                                                          </w:divBdr>
                                                          <w:divsChild>
                                                            <w:div w:id="1380083525">
                                                              <w:marLeft w:val="0"/>
                                                              <w:marRight w:val="0"/>
                                                              <w:marTop w:val="0"/>
                                                              <w:marBottom w:val="0"/>
                                                              <w:divBdr>
                                                                <w:top w:val="none" w:sz="0" w:space="0" w:color="auto"/>
                                                                <w:left w:val="none" w:sz="0" w:space="0" w:color="auto"/>
                                                                <w:bottom w:val="none" w:sz="0" w:space="0" w:color="auto"/>
                                                                <w:right w:val="none" w:sz="0" w:space="0" w:color="auto"/>
                                                              </w:divBdr>
                                                              <w:divsChild>
                                                                <w:div w:id="1868104986">
                                                                  <w:marLeft w:val="0"/>
                                                                  <w:marRight w:val="0"/>
                                                                  <w:marTop w:val="0"/>
                                                                  <w:marBottom w:val="0"/>
                                                                  <w:divBdr>
                                                                    <w:top w:val="none" w:sz="0" w:space="0" w:color="auto"/>
                                                                    <w:left w:val="none" w:sz="0" w:space="0" w:color="auto"/>
                                                                    <w:bottom w:val="none" w:sz="0" w:space="0" w:color="auto"/>
                                                                    <w:right w:val="none" w:sz="0" w:space="0" w:color="auto"/>
                                                                  </w:divBdr>
                                                                  <w:divsChild>
                                                                    <w:div w:id="1320617243">
                                                                      <w:marLeft w:val="0"/>
                                                                      <w:marRight w:val="0"/>
                                                                      <w:marTop w:val="0"/>
                                                                      <w:marBottom w:val="0"/>
                                                                      <w:divBdr>
                                                                        <w:top w:val="none" w:sz="0" w:space="0" w:color="auto"/>
                                                                        <w:left w:val="none" w:sz="0" w:space="0" w:color="auto"/>
                                                                        <w:bottom w:val="none" w:sz="0" w:space="0" w:color="auto"/>
                                                                        <w:right w:val="none" w:sz="0" w:space="0" w:color="auto"/>
                                                                      </w:divBdr>
                                                                      <w:divsChild>
                                                                        <w:div w:id="1552572581">
                                                                          <w:marLeft w:val="0"/>
                                                                          <w:marRight w:val="0"/>
                                                                          <w:marTop w:val="0"/>
                                                                          <w:marBottom w:val="0"/>
                                                                          <w:divBdr>
                                                                            <w:top w:val="none" w:sz="0" w:space="0" w:color="auto"/>
                                                                            <w:left w:val="none" w:sz="0" w:space="0" w:color="auto"/>
                                                                            <w:bottom w:val="none" w:sz="0" w:space="0" w:color="auto"/>
                                                                            <w:right w:val="none" w:sz="0" w:space="0" w:color="auto"/>
                                                                          </w:divBdr>
                                                                          <w:divsChild>
                                                                            <w:div w:id="635985876">
                                                                              <w:marLeft w:val="0"/>
                                                                              <w:marRight w:val="0"/>
                                                                              <w:marTop w:val="0"/>
                                                                              <w:marBottom w:val="0"/>
                                                                              <w:divBdr>
                                                                                <w:top w:val="none" w:sz="0" w:space="0" w:color="auto"/>
                                                                                <w:left w:val="none" w:sz="0" w:space="0" w:color="auto"/>
                                                                                <w:bottom w:val="none" w:sz="0" w:space="0" w:color="auto"/>
                                                                                <w:right w:val="none" w:sz="0" w:space="0" w:color="auto"/>
                                                                              </w:divBdr>
                                                                              <w:divsChild>
                                                                                <w:div w:id="84546098">
                                                                                  <w:marLeft w:val="0"/>
                                                                                  <w:marRight w:val="0"/>
                                                                                  <w:marTop w:val="0"/>
                                                                                  <w:marBottom w:val="0"/>
                                                                                  <w:divBdr>
                                                                                    <w:top w:val="none" w:sz="0" w:space="0" w:color="auto"/>
                                                                                    <w:left w:val="none" w:sz="0" w:space="0" w:color="auto"/>
                                                                                    <w:bottom w:val="none" w:sz="0" w:space="0" w:color="auto"/>
                                                                                    <w:right w:val="none" w:sz="0" w:space="0" w:color="auto"/>
                                                                                  </w:divBdr>
                                                                                  <w:divsChild>
                                                                                    <w:div w:id="2120105229">
                                                                                      <w:marLeft w:val="0"/>
                                                                                      <w:marRight w:val="0"/>
                                                                                      <w:marTop w:val="0"/>
                                                                                      <w:marBottom w:val="0"/>
                                                                                      <w:divBdr>
                                                                                        <w:top w:val="none" w:sz="0" w:space="0" w:color="auto"/>
                                                                                        <w:left w:val="none" w:sz="0" w:space="0" w:color="auto"/>
                                                                                        <w:bottom w:val="none" w:sz="0" w:space="0" w:color="auto"/>
                                                                                        <w:right w:val="none" w:sz="0" w:space="0" w:color="auto"/>
                                                                                      </w:divBdr>
                                                                                    </w:div>
                                                                                    <w:div w:id="335376979">
                                                                                      <w:marLeft w:val="0"/>
                                                                                      <w:marRight w:val="0"/>
                                                                                      <w:marTop w:val="0"/>
                                                                                      <w:marBottom w:val="0"/>
                                                                                      <w:divBdr>
                                                                                        <w:top w:val="none" w:sz="0" w:space="0" w:color="auto"/>
                                                                                        <w:left w:val="none" w:sz="0" w:space="0" w:color="auto"/>
                                                                                        <w:bottom w:val="none" w:sz="0" w:space="0" w:color="auto"/>
                                                                                        <w:right w:val="none" w:sz="0" w:space="0" w:color="auto"/>
                                                                                      </w:divBdr>
                                                                                      <w:divsChild>
                                                                                        <w:div w:id="1120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232981">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118204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5696259">
      <w:bodyDiv w:val="1"/>
      <w:marLeft w:val="0"/>
      <w:marRight w:val="0"/>
      <w:marTop w:val="0"/>
      <w:marBottom w:val="0"/>
      <w:divBdr>
        <w:top w:val="none" w:sz="0" w:space="0" w:color="auto"/>
        <w:left w:val="none" w:sz="0" w:space="0" w:color="auto"/>
        <w:bottom w:val="none" w:sz="0" w:space="0" w:color="auto"/>
        <w:right w:val="none" w:sz="0" w:space="0" w:color="auto"/>
      </w:divBdr>
    </w:div>
    <w:div w:id="955675736">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57920477">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43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purl.org/dc/terms/"/>
    <ds:schemaRef ds:uri="20fbe147-bbda-4e53-b6b1-7e8bbff3fe19"/>
    <ds:schemaRef ds:uri="http://www.w3.org/XML/1998/namespace"/>
    <ds:schemaRef ds:uri="http://purl.org/dc/dcmitype/"/>
    <ds:schemaRef ds:uri="http://purl.org/dc/elements/1.1/"/>
    <ds:schemaRef ds:uri="http://schemas.microsoft.com/sharepoint/v4"/>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52757000-22DD-4B7E-B6A8-00D34683151A}">
  <ds:schemaRefs>
    <ds:schemaRef ds:uri="http://schemas.openxmlformats.org/officeDocument/2006/bibliography"/>
  </ds:schemaRefs>
</ds:datastoreItem>
</file>

<file path=customXml/itemProps6.xml><?xml version="1.0" encoding="utf-8"?>
<ds:datastoreItem xmlns:ds="http://schemas.openxmlformats.org/officeDocument/2006/customXml" ds:itemID="{488A6690-52EE-4496-B642-D8F4EAB4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7294</Words>
  <Characters>41048</Characters>
  <Application>Microsoft Office Word</Application>
  <DocSecurity>8</DocSecurity>
  <Lines>342</Lines>
  <Paragraphs>96</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48246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Mariola 3 </cp:lastModifiedBy>
  <cp:revision>2</cp:revision>
  <cp:lastPrinted>2019-11-29T15:57:00Z</cp:lastPrinted>
  <dcterms:created xsi:type="dcterms:W3CDTF">2019-11-29T17:37:00Z</dcterms:created>
  <dcterms:modified xsi:type="dcterms:W3CDTF">2019-11-29T17:37:00Z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