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20"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3C3E0A16" w14:textId="68BE9C14" w:rsidR="00C2682A" w:rsidRPr="00AB6D88" w:rsidRDefault="00336414" w:rsidP="00FA5524">
                <w:pPr>
                  <w:rPr>
                    <w:rStyle w:val="PlaceholderText"/>
                    <w:rFonts w:cs="Arial"/>
                  </w:rPr>
                </w:pPr>
                <w:r>
                  <w:rPr>
                    <w:rStyle w:val="PlaceholderText"/>
                    <w:rFonts w:cs="Arial"/>
                  </w:rPr>
                  <w:t>TradingHub</w:t>
                </w:r>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2D715402" w:rsidR="00C2682A" w:rsidRPr="00AB6D88" w:rsidRDefault="00791474"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36414">
                  <w:rPr>
                    <w:rFonts w:cs="Arial"/>
                  </w:rPr>
                  <w:t>Other Financial service providers</w:t>
                </w:r>
              </w:sdtContent>
            </w:sdt>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C3E0A1C" w14:textId="74F8EA82" w:rsidR="00C2682A" w:rsidRPr="00AB6D88" w:rsidRDefault="00336414"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44AE22EF" w:rsidR="00C2682A" w:rsidRPr="00AB6D88" w:rsidRDefault="00336414" w:rsidP="00FA5524">
                <w:pPr>
                  <w:rPr>
                    <w:rFonts w:cs="Arial"/>
                  </w:rPr>
                </w:pPr>
                <w:r>
                  <w:rPr>
                    <w:rFonts w:cs="Arial"/>
                  </w:rPr>
                  <w:t>International</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Heading1"/>
        <w:numPr>
          <w:ilvl w:val="0"/>
          <w:numId w:val="0"/>
        </w:numPr>
        <w:ind w:left="431" w:hanging="431"/>
      </w:pPr>
      <w:r>
        <w:t>Introduction</w:t>
      </w:r>
    </w:p>
    <w:p w14:paraId="3C3E0A24" w14:textId="77777777" w:rsidR="00F87897" w:rsidRPr="001D47A5" w:rsidRDefault="00F87897" w:rsidP="00F87897">
      <w:pPr>
        <w:rPr>
          <w:rStyle w:val="IntenseEmphasis"/>
        </w:rPr>
      </w:pPr>
      <w:r w:rsidRPr="001D47A5">
        <w:rPr>
          <w:rStyle w:val="IntenseEmphasis"/>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97F1205" w:rsidR="00F87897" w:rsidRDefault="00336414" w:rsidP="00F87897">
      <w:permStart w:id="1594194160" w:edGrp="everyone"/>
      <w:r>
        <w:t>TradingHub provides market abuse surveillance to a large proportion of buyside and sellside firms.  TradingHub’s buyside clients represent 20% (USD 13trn) of the global AUM (USD 67trn).  TradingHub’s sellside clients represent 30%-40% of the tier 1 banks.  TradingHub has also analysed data for regulators around the world..</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3C3E0A2C" w14:textId="77777777" w:rsidR="00A8728B" w:rsidRDefault="00A8728B" w:rsidP="00A8728B">
      <w:permStart w:id="751114692" w:edGrp="everyone"/>
      <w:r>
        <w:t>TYPE YOUR TEXT HERE</w:t>
      </w:r>
      <w:permEnd w:id="751114692"/>
    </w:p>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3C3E0A31" w14:textId="77777777" w:rsidR="00A8728B" w:rsidRDefault="00A8728B" w:rsidP="00A8728B">
      <w:permStart w:id="1040662039" w:edGrp="everyone"/>
      <w:r>
        <w:t>TYPE YOUR TEXT HERE</w:t>
      </w:r>
      <w:permEnd w:id="1040662039"/>
    </w:p>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3C3E0A36" w14:textId="77777777" w:rsidR="002E1760" w:rsidRDefault="002E1760" w:rsidP="002E1760">
      <w:permStart w:id="1114596086" w:edGrp="everyone"/>
      <w:r>
        <w:t>TYPE YOUR TEXT HERE</w:t>
      </w:r>
      <w:permEnd w:id="1114596086"/>
    </w:p>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lastRenderedPageBreak/>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3C3E0A4F" w14:textId="77777777" w:rsidR="00A263DF" w:rsidRDefault="00A263DF" w:rsidP="00A263DF">
      <w:permStart w:id="797404044" w:edGrp="everyone"/>
      <w:r>
        <w:t>TYPE YOUR TEXT HERE</w:t>
      </w:r>
      <w:permEnd w:id="797404044"/>
    </w:p>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t>&lt;ESMA_QUESTION_</w:t>
      </w:r>
      <w:r w:rsidR="00227C1A">
        <w:t>CP_MAR_</w:t>
      </w:r>
      <w:r>
        <w:t>9&gt;</w:t>
      </w:r>
    </w:p>
    <w:p w14:paraId="3C3E0A54" w14:textId="77777777" w:rsidR="002E1760" w:rsidRDefault="002E1760" w:rsidP="002E1760">
      <w:permStart w:id="1572474776" w:edGrp="everyone"/>
      <w:r>
        <w:t>TYPE YOUR TEXT HERE</w:t>
      </w:r>
      <w:permEnd w:id="1572474776"/>
    </w:p>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77777777" w:rsidR="008418E3" w:rsidRDefault="008418E3" w:rsidP="008418E3">
      <w:permStart w:id="1766684248" w:edGrp="everyone"/>
      <w:r>
        <w:t>TYPE YOUR TEXT HERE</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77777777" w:rsidR="00F469F8" w:rsidRDefault="00F469F8"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C3E0A63" w14:textId="77777777" w:rsidR="00F469F8" w:rsidRDefault="00F469F8" w:rsidP="00F469F8">
      <w:permStart w:id="1943283503" w:edGrp="everyone"/>
      <w:r>
        <w:t>TYPE YOUR TEXT HERE</w:t>
      </w:r>
      <w:permEnd w:id="1943283503"/>
    </w:p>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lastRenderedPageBreak/>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3C3E0A6D" w14:textId="77777777" w:rsidR="00646C30" w:rsidRDefault="00646C30" w:rsidP="00646C30">
      <w:permStart w:id="416102086" w:edGrp="everyone"/>
      <w:r>
        <w:t>TYPE YOUR TEXT HERE</w:t>
      </w:r>
      <w:permEnd w:id="416102086"/>
    </w:p>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4BF67344" w14:textId="77777777" w:rsidR="00336414" w:rsidRDefault="00336414">
      <w:pPr>
        <w:divId w:val="1037124613"/>
        <w:rPr>
          <w:rFonts w:ascii="Calibri" w:hAnsi="Calibri"/>
          <w:szCs w:val="22"/>
          <w:lang w:eastAsia="en-US"/>
        </w:rPr>
      </w:pPr>
      <w:permStart w:id="583142347" w:edGrp="everyone"/>
      <w:r>
        <w:rPr>
          <w:lang w:eastAsia="en-US"/>
        </w:rPr>
        <w:t>Article 7(1)(d) of MAR clarifies the scope of inside information for persons charged with the execution of orders concerning financial instruments, by providing that “</w:t>
      </w:r>
      <w:r>
        <w:rPr>
          <w:i/>
          <w:iCs/>
          <w:lang w:eastAsia="en-US"/>
        </w:rPr>
        <w:t>for persons charged with the execution of orders concerning financial instruments, it also means information conveyed by a client and relating to the client’s pending orders in financial instruments, which is of a precise nature, relating, directly or indirectly, to one or more issuers or to one or more financial instruments, and which, if it were made public, would be likely to have a significant effect on the prices of those financial instruments, the price of related spot commodity contracts, or on the price of related derivative financial instruments</w:t>
      </w:r>
      <w:r>
        <w:rPr>
          <w:lang w:eastAsia="en-US"/>
        </w:rPr>
        <w:t>.”</w:t>
      </w:r>
    </w:p>
    <w:p w14:paraId="48B0E6E6" w14:textId="77777777" w:rsidR="00336414" w:rsidRDefault="00336414">
      <w:pPr>
        <w:divId w:val="1037124613"/>
        <w:rPr>
          <w:lang w:eastAsia="en-US"/>
        </w:rPr>
      </w:pPr>
    </w:p>
    <w:p w14:paraId="4596CE4F" w14:textId="77777777" w:rsidR="00336414" w:rsidRDefault="00336414">
      <w:pPr>
        <w:divId w:val="1037124613"/>
        <w:rPr>
          <w:lang w:eastAsia="en-US"/>
        </w:rPr>
      </w:pPr>
      <w:r>
        <w:rPr>
          <w:lang w:eastAsia="en-US"/>
        </w:rPr>
        <w:t>ESMA says that this “</w:t>
      </w:r>
      <w:r>
        <w:rPr>
          <w:i/>
          <w:iCs/>
          <w:lang w:eastAsia="en-US"/>
        </w:rPr>
        <w:t>identifies the relevant meaning of financial information for the market abuse practice known as ‘front running’</w:t>
      </w:r>
      <w:r>
        <w:rPr>
          <w:lang w:eastAsia="en-US"/>
        </w:rPr>
        <w:t>”, and considers that “</w:t>
      </w:r>
      <w:r>
        <w:rPr>
          <w:i/>
          <w:iCs/>
          <w:lang w:eastAsia="en-US"/>
        </w:rPr>
        <w:t>some clarifications as regards the definition of inside information and front running behaviours could be needed</w:t>
      </w:r>
      <w:r>
        <w:rPr>
          <w:lang w:eastAsia="en-US"/>
        </w:rPr>
        <w:t>.”</w:t>
      </w:r>
    </w:p>
    <w:p w14:paraId="457594D9" w14:textId="77777777" w:rsidR="00336414" w:rsidRDefault="00336414">
      <w:pPr>
        <w:divId w:val="1037124613"/>
        <w:rPr>
          <w:lang w:eastAsia="en-US"/>
        </w:rPr>
      </w:pPr>
    </w:p>
    <w:p w14:paraId="4ADC351A" w14:textId="3B4ABDDC" w:rsidR="00336414" w:rsidRDefault="00336414">
      <w:pPr>
        <w:divId w:val="1037124613"/>
        <w:rPr>
          <w:lang w:eastAsia="en-US"/>
        </w:rPr>
      </w:pPr>
      <w:r>
        <w:rPr>
          <w:lang w:eastAsia="en-US"/>
        </w:rPr>
        <w:t>Unlike other vendors of trade surveillance software, TradingHub</w:t>
      </w:r>
      <w:r>
        <w:rPr>
          <w:lang w:eastAsia="en-US"/>
        </w:rPr>
        <w:t xml:space="preserve"> capture</w:t>
      </w:r>
      <w:r>
        <w:rPr>
          <w:lang w:eastAsia="en-US"/>
        </w:rPr>
        <w:t>s</w:t>
      </w:r>
      <w:r>
        <w:rPr>
          <w:lang w:eastAsia="en-US"/>
        </w:rPr>
        <w:t xml:space="preserve"> abuses (including front running) </w:t>
      </w:r>
      <w:r>
        <w:rPr>
          <w:lang w:eastAsia="en-US"/>
        </w:rPr>
        <w:t>that</w:t>
      </w:r>
      <w:r>
        <w:rPr>
          <w:lang w:eastAsia="en-US"/>
        </w:rPr>
        <w:t xml:space="preserve"> are achieved through related instruments using </w:t>
      </w:r>
      <w:r>
        <w:rPr>
          <w:lang w:eastAsia="en-US"/>
        </w:rPr>
        <w:t>a ‘general market model’ (“</w:t>
      </w:r>
      <w:r w:rsidRPr="00336414">
        <w:rPr>
          <w:b/>
          <w:bCs/>
          <w:lang w:eastAsia="en-US"/>
        </w:rPr>
        <w:t>GMM</w:t>
      </w:r>
      <w:r>
        <w:rPr>
          <w:lang w:eastAsia="en-US"/>
        </w:rPr>
        <w:t>”)</w:t>
      </w:r>
      <w:r>
        <w:rPr>
          <w:lang w:eastAsia="en-US"/>
        </w:rPr>
        <w:t xml:space="preserve">. </w:t>
      </w:r>
      <w:r>
        <w:rPr>
          <w:lang w:eastAsia="en-US"/>
        </w:rPr>
        <w:t xml:space="preserve">The GMM seeks to determine the likely impact of trades and orders across different but correlated markets.  For example, abuse of the USD:AUD spot FX market can cause movement in the USD:NZD market.  The GMM determines the strength of this relationship and is able to spot abuse (including front-running) across assets (as well as cross-market and cross-product). </w:t>
      </w:r>
      <w:r>
        <w:rPr>
          <w:lang w:eastAsia="en-US"/>
        </w:rPr>
        <w:t>The definition within 7(1)(d) only seem to consider the effect on:</w:t>
      </w:r>
    </w:p>
    <w:p w14:paraId="7CEE1257" w14:textId="77777777" w:rsidR="00336414" w:rsidRDefault="00336414" w:rsidP="00336414">
      <w:pPr>
        <w:pStyle w:val="ListParagraph"/>
        <w:numPr>
          <w:ilvl w:val="0"/>
          <w:numId w:val="37"/>
        </w:numPr>
        <w:contextualSpacing w:val="0"/>
        <w:divId w:val="1037124613"/>
        <w:rPr>
          <w:lang w:eastAsia="en-US"/>
        </w:rPr>
      </w:pPr>
      <w:r>
        <w:rPr>
          <w:lang w:eastAsia="en-US"/>
        </w:rPr>
        <w:t>The financial instruments themselves</w:t>
      </w:r>
    </w:p>
    <w:p w14:paraId="54428306" w14:textId="77777777" w:rsidR="00336414" w:rsidRDefault="00336414" w:rsidP="00336414">
      <w:pPr>
        <w:pStyle w:val="ListParagraph"/>
        <w:numPr>
          <w:ilvl w:val="0"/>
          <w:numId w:val="37"/>
        </w:numPr>
        <w:contextualSpacing w:val="0"/>
        <w:divId w:val="1037124613"/>
        <w:rPr>
          <w:lang w:eastAsia="en-US"/>
        </w:rPr>
      </w:pPr>
      <w:r>
        <w:rPr>
          <w:lang w:eastAsia="en-US"/>
        </w:rPr>
        <w:t>Related spot commodity contracts</w:t>
      </w:r>
    </w:p>
    <w:p w14:paraId="16A95AEB" w14:textId="77777777" w:rsidR="00336414" w:rsidRDefault="00336414" w:rsidP="00336414">
      <w:pPr>
        <w:pStyle w:val="ListParagraph"/>
        <w:numPr>
          <w:ilvl w:val="0"/>
          <w:numId w:val="37"/>
        </w:numPr>
        <w:contextualSpacing w:val="0"/>
        <w:divId w:val="1037124613"/>
        <w:rPr>
          <w:lang w:eastAsia="en-US"/>
        </w:rPr>
      </w:pPr>
      <w:r>
        <w:rPr>
          <w:lang w:eastAsia="en-US"/>
        </w:rPr>
        <w:t>Related derivative financial instruments</w:t>
      </w:r>
    </w:p>
    <w:p w14:paraId="7A11A5C3" w14:textId="43C35632" w:rsidR="00336414" w:rsidRDefault="00336414">
      <w:pPr>
        <w:divId w:val="1037124613"/>
        <w:rPr>
          <w:rFonts w:eastAsiaTheme="minorEastAsia"/>
          <w:lang w:eastAsia="en-US"/>
        </w:rPr>
      </w:pPr>
      <w:r>
        <w:rPr>
          <w:lang w:eastAsia="en-US"/>
        </w:rPr>
        <w:t xml:space="preserve">This doesn’t seem to encompass all related instruments on which abuse could be envisaged. For example, an abuse using </w:t>
      </w:r>
      <w:r>
        <w:rPr>
          <w:lang w:eastAsia="en-US"/>
        </w:rPr>
        <w:t xml:space="preserve">the abuse mentioned above (USD:AUD and USD:NZD) </w:t>
      </w:r>
      <w:r>
        <w:rPr>
          <w:lang w:eastAsia="en-US"/>
        </w:rPr>
        <w:t>wouldn’t seem to be captured within this definition. Also, it’s not clear whether category 3 means derivatives on the financial instrument for which the information is known or any related derivative.</w:t>
      </w:r>
    </w:p>
    <w:p w14:paraId="1211131E" w14:textId="77777777" w:rsidR="00336414" w:rsidRDefault="00336414">
      <w:pPr>
        <w:divId w:val="1037124613"/>
        <w:rPr>
          <w:lang w:eastAsia="en-US"/>
        </w:rPr>
      </w:pPr>
    </w:p>
    <w:p w14:paraId="3C3E0A8B" w14:textId="2917A6B4" w:rsidR="00646C30" w:rsidRDefault="00336414" w:rsidP="00646C30">
      <w:r>
        <w:rPr>
          <w:lang w:eastAsia="en-US"/>
        </w:rPr>
        <w:t>We would</w:t>
      </w:r>
      <w:r>
        <w:rPr>
          <w:lang w:eastAsia="en-US"/>
        </w:rPr>
        <w:t xml:space="preserve"> suggest that the definition be extended to include the effect on any financial instrument whose price movements are highly correlated to the price movements of the financial instrument in question.</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lastRenderedPageBreak/>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3C3E0A9A" w14:textId="77777777" w:rsidR="00646C30" w:rsidRDefault="00646C30" w:rsidP="00646C30">
      <w:permStart w:id="210436899" w:edGrp="everyone"/>
      <w:r>
        <w:t>TYPE YOUR TEXT HERE</w:t>
      </w:r>
      <w:permEnd w:id="210436899"/>
    </w:p>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3C3E0AA4" w14:textId="77777777" w:rsidR="00646C30" w:rsidRDefault="00646C30" w:rsidP="00646C30">
      <w:permStart w:id="611875542" w:edGrp="everyone"/>
      <w:r>
        <w:t>TYPE YOUR TEXT HERE</w:t>
      </w:r>
      <w:permEnd w:id="611875542"/>
    </w:p>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3C3E0AAE" w14:textId="77777777" w:rsidR="00646C30" w:rsidRDefault="00646C30" w:rsidP="00646C30">
      <w:permStart w:id="1678079242" w:edGrp="everyone"/>
      <w:r>
        <w:t>TYPE YOUR TEXT HERE</w:t>
      </w:r>
      <w:permEnd w:id="1678079242"/>
    </w:p>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lastRenderedPageBreak/>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3C3E0AB8" w14:textId="77777777" w:rsidR="00646C30" w:rsidRDefault="00646C30" w:rsidP="00646C30">
      <w:permStart w:id="1420902335" w:edGrp="everyone"/>
      <w:r>
        <w:t>TYPE YOUR TEXT HERE</w:t>
      </w:r>
      <w:permEnd w:id="1420902335"/>
    </w:p>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lastRenderedPageBreak/>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C3E0AD6" w14:textId="77777777" w:rsidR="00646C30" w:rsidRDefault="00646C30" w:rsidP="00646C30">
      <w:permStart w:id="73213744" w:edGrp="everyone"/>
      <w:r>
        <w:t>TYPE YOUR TEXT HERE</w:t>
      </w:r>
      <w:permEnd w:id="73213744"/>
    </w:p>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3C3E0AE5" w14:textId="77777777" w:rsidR="00646C30" w:rsidRDefault="00646C30" w:rsidP="00646C30">
      <w:permStart w:id="2098217667" w:edGrp="everyone"/>
      <w:r>
        <w:t>TYPE YOUR TEXT HERE</w:t>
      </w:r>
      <w:permEnd w:id="2098217667"/>
    </w:p>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lastRenderedPageBreak/>
        <w:t>&lt;ESMA_QUESTION_CP_MAR_</w:t>
      </w:r>
      <w:r w:rsidR="00B6351C">
        <w:t>39</w:t>
      </w:r>
      <w:r>
        <w:t>&gt;</w:t>
      </w:r>
    </w:p>
    <w:p w14:paraId="3C3E0AEA" w14:textId="77777777" w:rsidR="00646C30" w:rsidRDefault="00646C30" w:rsidP="00646C30">
      <w:permStart w:id="1933056180" w:edGrp="everyone"/>
      <w:r>
        <w:t>TYPE YOUR TEXT HERE</w:t>
      </w:r>
      <w:permEnd w:id="1933056180"/>
    </w:p>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3C3E0AFE" w14:textId="77777777" w:rsidR="00646C30" w:rsidRDefault="00646C30" w:rsidP="00646C30">
      <w:permStart w:id="513950227" w:edGrp="everyone"/>
      <w:r>
        <w:t>TYPE YOUR TEXT HERE</w:t>
      </w:r>
      <w:permEnd w:id="513950227"/>
    </w:p>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t>Do you agree with ESMA’s preliminary view</w:t>
      </w:r>
      <w:r>
        <w:t>?</w:t>
      </w:r>
    </w:p>
    <w:p w14:paraId="3C3E0B02" w14:textId="77777777" w:rsidR="00646C30" w:rsidRDefault="00646C30" w:rsidP="00646C30">
      <w:r>
        <w:t>&lt;ESMA_QUESTION_CP_MAR_</w:t>
      </w:r>
      <w:r w:rsidR="00B6351C">
        <w:t>44</w:t>
      </w:r>
      <w:r>
        <w:t>&gt;</w:t>
      </w:r>
    </w:p>
    <w:p w14:paraId="3C3E0B03" w14:textId="77777777" w:rsidR="00646C30" w:rsidRDefault="00646C30" w:rsidP="00646C30">
      <w:permStart w:id="1908500529" w:edGrp="everyone"/>
      <w:r>
        <w:t>TYPE YOUR TEXT HERE</w:t>
      </w:r>
      <w:permEnd w:id="1908500529"/>
    </w:p>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lastRenderedPageBreak/>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p>
    <w:p w14:paraId="3C3E0B0C" w14:textId="77777777" w:rsidR="00646C30" w:rsidRDefault="00646C30" w:rsidP="00646C30">
      <w:r>
        <w:t>&lt;ESMA_QUESTION_CP_MAR_</w:t>
      </w:r>
      <w:r w:rsidR="00B6351C">
        <w:t>46</w:t>
      </w:r>
      <w:r>
        <w:t>&gt;</w:t>
      </w:r>
    </w:p>
    <w:p w14:paraId="3C3E0B0D" w14:textId="77777777" w:rsidR="00646C30" w:rsidRDefault="00646C30" w:rsidP="00646C30">
      <w:permStart w:id="274992488" w:edGrp="everyone"/>
      <w:r>
        <w:t>TYPE YOUR TEXT HERE</w:t>
      </w:r>
      <w:permEnd w:id="274992488"/>
    </w:p>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p w14:paraId="3C3E0B19" w14:textId="77777777" w:rsidR="00646C30" w:rsidRDefault="00646C30" w:rsidP="002E1760"/>
    <w:p w14:paraId="3C3E0B1A" w14:textId="77777777" w:rsidR="00646C30" w:rsidRDefault="00074979" w:rsidP="00646C30">
      <w:pPr>
        <w:pStyle w:val="CPQuestions"/>
      </w:pPr>
      <w:r w:rsidRPr="00074979">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3C3E0B21" w14:textId="77777777" w:rsidR="00646C30" w:rsidRDefault="00646C30" w:rsidP="00646C30">
      <w:permStart w:id="619659001" w:edGrp="everyone"/>
      <w:r>
        <w:t>TYPE YOUR TEXT HERE</w:t>
      </w:r>
      <w:permEnd w:id="619659001"/>
    </w:p>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3C3E0B30" w14:textId="77777777" w:rsidR="00646C30" w:rsidRDefault="00646C30" w:rsidP="00646C30">
      <w:permStart w:id="439554279" w:edGrp="everyone"/>
      <w:r>
        <w:t>TYPE YOUR TEXT HERE</w:t>
      </w:r>
      <w:permEnd w:id="439554279"/>
    </w:p>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3C3E0B3A" w14:textId="77777777" w:rsidR="00646C30" w:rsidRDefault="00646C30" w:rsidP="00646C30">
      <w:permStart w:id="680881453" w:edGrp="everyone"/>
      <w:r>
        <w:t>TYPE YOUR TEXT HERE</w:t>
      </w:r>
      <w:permEnd w:id="680881453"/>
    </w:p>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3C3E0B3F" w14:textId="77777777" w:rsidR="00646C30" w:rsidRDefault="00646C30" w:rsidP="00646C30">
      <w:permStart w:id="1771316849" w:edGrp="everyone"/>
      <w:r>
        <w:lastRenderedPageBreak/>
        <w:t>TYPE YOUR TEXT HERE</w:t>
      </w:r>
      <w:permEnd w:id="1771316849"/>
    </w:p>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lastRenderedPageBreak/>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2675A803" w14:textId="45AE18DD" w:rsidR="00791474" w:rsidRDefault="00791474" w:rsidP="00791474">
      <w:pPr>
        <w:rPr>
          <w:rFonts w:ascii="Calibri" w:hAnsi="Calibri"/>
          <w:szCs w:val="22"/>
          <w:lang w:eastAsia="en-US"/>
        </w:rPr>
      </w:pPr>
      <w:permStart w:id="2025406494" w:edGrp="everyone"/>
      <w:r>
        <w:rPr>
          <w:lang w:eastAsia="en-US"/>
        </w:rPr>
        <w:t>This seems to be focused on the availability of order book data to NCAs</w:t>
      </w:r>
      <w:r>
        <w:rPr>
          <w:lang w:eastAsia="en-US"/>
        </w:rPr>
        <w:t>.  However, this data would be incredibly useful for market abuse surveillance if made available to all providers.</w:t>
      </w:r>
    </w:p>
    <w:p w14:paraId="0ABB35B0" w14:textId="77777777" w:rsidR="00791474" w:rsidRDefault="00791474" w:rsidP="00791474">
      <w:pPr>
        <w:rPr>
          <w:lang w:eastAsia="en-US"/>
        </w:rPr>
      </w:pPr>
    </w:p>
    <w:p w14:paraId="4B075610" w14:textId="77777777" w:rsidR="00791474" w:rsidRDefault="00791474" w:rsidP="00791474">
      <w:pPr>
        <w:rPr>
          <w:lang w:val="en-US" w:eastAsia="zh-CN"/>
        </w:rPr>
      </w:pPr>
      <w:r>
        <w:rPr>
          <w:lang w:val="en-US"/>
        </w:rPr>
        <w:t>From a market abuse surveillance perspective, the availability of cross-market order book data opens a wide range of possibilities for improving existing detection methodology. In particular, in the presence of full order book data, cases of layering and spoofing, momentum ignition (stop-loss hunting), and quote stuffing, become much clearer and therefore easier to identify.</w:t>
      </w:r>
    </w:p>
    <w:p w14:paraId="737D7555" w14:textId="77777777" w:rsidR="00791474" w:rsidRDefault="00791474" w:rsidP="00791474">
      <w:pPr>
        <w:rPr>
          <w:lang w:val="en-US"/>
        </w:rPr>
      </w:pPr>
    </w:p>
    <w:p w14:paraId="2F0B2FB2" w14:textId="77777777" w:rsidR="00791474" w:rsidRDefault="00791474" w:rsidP="00791474">
      <w:pPr>
        <w:rPr>
          <w:lang w:val="en-US"/>
        </w:rPr>
      </w:pPr>
      <w:r>
        <w:rPr>
          <w:lang w:val="en-US"/>
        </w:rPr>
        <w:t xml:space="preserve">Even if a daily order book data feed is not a practically achievable goal, standardised historical order book data would be extremely useful in modelling expected order flow and, in general, expected market impact (a key determinant of market abuse severity). As a third-party provider in the regulatory space, we would welcome the harmonisation of reporting formats of order book data; such a requirement would make order </w:t>
      </w:r>
      <w:r>
        <w:rPr>
          <w:lang w:val="en-US"/>
        </w:rPr>
        <w:lastRenderedPageBreak/>
        <w:t>book data easily and reliably ingestible, improving the quality of our analytics and strengthening our metric performance overall.</w:t>
      </w:r>
    </w:p>
    <w:p w14:paraId="5B319634" w14:textId="77777777" w:rsidR="00791474" w:rsidRDefault="00791474" w:rsidP="00791474">
      <w:pPr>
        <w:rPr>
          <w:lang w:eastAsia="en-US"/>
        </w:rPr>
      </w:pPr>
    </w:p>
    <w:p w14:paraId="185C413A" w14:textId="60151A88" w:rsidR="00791474" w:rsidRDefault="00791474" w:rsidP="00791474">
      <w:pPr>
        <w:rPr>
          <w:lang w:eastAsia="en-US"/>
        </w:rPr>
      </w:pPr>
      <w:r>
        <w:rPr>
          <w:lang w:val="en-US"/>
        </w:rPr>
        <w:t xml:space="preserve">With respect to the specific format, </w:t>
      </w:r>
      <w:r>
        <w:rPr>
          <w:lang w:val="en-US"/>
        </w:rPr>
        <w:t xml:space="preserve">TradingHub would highlight that </w:t>
      </w:r>
      <w:r>
        <w:rPr>
          <w:lang w:val="en-US"/>
        </w:rPr>
        <w:t>XML is not a particularly space-efficient way to transmit order book data.</w:t>
      </w:r>
      <w:r>
        <w:rPr>
          <w:lang w:val="en-US"/>
        </w:rPr>
        <w:t xml:space="preserve">  Given the large amounts of data to be transmitted, </w:t>
      </w:r>
      <w:bookmarkStart w:id="3" w:name="_GoBack"/>
      <w:bookmarkEnd w:id="3"/>
      <w:r>
        <w:rPr>
          <w:lang w:val="en-US"/>
        </w:rPr>
        <w:t>FIX format would probably be more space efficient method.</w:t>
      </w:r>
    </w:p>
    <w:permEnd w:id="2025406494"/>
    <w:p w14:paraId="3C3E0B70" w14:textId="3AF746EF" w:rsidR="00646C30" w:rsidRDefault="00646C30" w:rsidP="00646C30"/>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E0B94" w14:textId="77777777" w:rsidR="002D08B8" w:rsidRDefault="002D08B8">
      <w:r>
        <w:separator/>
      </w:r>
    </w:p>
    <w:p w14:paraId="3C3E0B95" w14:textId="77777777" w:rsidR="002D08B8" w:rsidRDefault="002D08B8"/>
  </w:endnote>
  <w:endnote w:type="continuationSeparator" w:id="0">
    <w:p w14:paraId="3C3E0B96" w14:textId="77777777" w:rsidR="002D08B8" w:rsidRDefault="002D08B8">
      <w:r>
        <w:continuationSeparator/>
      </w:r>
    </w:p>
    <w:p w14:paraId="3C3E0B97" w14:textId="77777777" w:rsidR="002D08B8" w:rsidRDefault="002D08B8"/>
  </w:endnote>
  <w:endnote w:type="continuationNotice" w:id="1">
    <w:p w14:paraId="3C3E0B98" w14:textId="77777777" w:rsidR="002D08B8" w:rsidRDefault="002D0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45C5" w14:textId="77777777" w:rsidR="00EF67F1" w:rsidRDefault="00EF6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C3E0B9D" w14:textId="77777777" w:rsidR="00FA5524" w:rsidRDefault="00FA5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01CC" w14:textId="77777777" w:rsidR="00EF67F1" w:rsidRDefault="00EF67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AC" w14:textId="77777777" w:rsidR="00FA5524" w:rsidRDefault="00FA5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0B8F" w14:textId="77777777" w:rsidR="002D08B8" w:rsidRDefault="002D08B8">
      <w:r>
        <w:separator/>
      </w:r>
    </w:p>
    <w:p w14:paraId="3C3E0B90" w14:textId="77777777" w:rsidR="002D08B8" w:rsidRDefault="002D08B8"/>
  </w:footnote>
  <w:footnote w:type="continuationSeparator" w:id="0">
    <w:p w14:paraId="3C3E0B91" w14:textId="77777777" w:rsidR="002D08B8" w:rsidRDefault="002D08B8">
      <w:r>
        <w:continuationSeparator/>
      </w:r>
    </w:p>
    <w:p w14:paraId="3C3E0B92" w14:textId="77777777" w:rsidR="002D08B8" w:rsidRDefault="002D08B8"/>
  </w:footnote>
  <w:footnote w:type="continuationNotice" w:id="1">
    <w:p w14:paraId="3C3E0B93" w14:textId="77777777" w:rsidR="002D08B8" w:rsidRDefault="002D0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E17E" w14:textId="77777777" w:rsidR="00EF67F1" w:rsidRDefault="00EF6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9" w14:textId="77777777" w:rsidR="00FA5524" w:rsidRDefault="00FA5524">
    <w:pPr>
      <w:pStyle w:val="Header"/>
    </w:pPr>
    <w:r>
      <w:rPr>
        <w:noProof/>
        <w:lang w:eastAsia="en-GB"/>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E" w14:textId="77777777" w:rsidR="00FA5524" w:rsidRDefault="00FA5524" w:rsidP="00013CCE">
    <w:pPr>
      <w:pStyle w:val="Header"/>
      <w:jc w:val="right"/>
    </w:pPr>
    <w:r>
      <w:rPr>
        <w:noProof/>
        <w:lang w:eastAsia="en-GB"/>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0B9F" w14:textId="77777777" w:rsidR="00FA5524" w:rsidRDefault="00FA552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Header"/>
      <w:rPr>
        <w:lang w:val="fr-FR"/>
      </w:rPr>
    </w:pPr>
  </w:p>
  <w:p w14:paraId="3C3E0BA5" w14:textId="77777777" w:rsidR="00FA5524" w:rsidRPr="002F4496" w:rsidRDefault="00FA5524" w:rsidP="000C06C9">
    <w:pPr>
      <w:pStyle w:val="Header"/>
      <w:tabs>
        <w:tab w:val="clear" w:pos="4536"/>
        <w:tab w:val="clear" w:pos="9072"/>
        <w:tab w:val="left" w:pos="8227"/>
      </w:tabs>
      <w:rPr>
        <w:lang w:val="fr-FR"/>
      </w:rPr>
    </w:pPr>
  </w:p>
  <w:p w14:paraId="3C3E0BA6" w14:textId="77777777" w:rsidR="00FA5524" w:rsidRPr="002F4496" w:rsidRDefault="00FA5524" w:rsidP="00583885">
    <w:pPr>
      <w:pStyle w:val="Header"/>
      <w:jc w:val="right"/>
      <w:rPr>
        <w:lang w:val="fr-FR"/>
      </w:rPr>
    </w:pPr>
  </w:p>
  <w:p w14:paraId="3C3E0BA7" w14:textId="77777777" w:rsidR="00FA5524" w:rsidRPr="002F4496" w:rsidRDefault="00FA5524">
    <w:pPr>
      <w:pStyle w:val="Header"/>
      <w:rPr>
        <w:lang w:val="fr-FR"/>
      </w:rPr>
    </w:pPr>
  </w:p>
  <w:p w14:paraId="3C3E0BA8" w14:textId="77777777" w:rsidR="00FA5524" w:rsidRPr="002F4496" w:rsidRDefault="00FA5524">
    <w:pPr>
      <w:pStyle w:val="Header"/>
      <w:rPr>
        <w:lang w:val="fr-FR"/>
      </w:rPr>
    </w:pPr>
  </w:p>
  <w:p w14:paraId="3C3E0BA9" w14:textId="77777777" w:rsidR="00FA5524" w:rsidRPr="002F4496" w:rsidRDefault="00FA5524">
    <w:pPr>
      <w:pStyle w:val="Header"/>
      <w:rPr>
        <w:lang w:val="fr-FR"/>
      </w:rPr>
    </w:pPr>
  </w:p>
  <w:p w14:paraId="3C3E0BAA" w14:textId="77777777" w:rsidR="00FA5524" w:rsidRPr="002F4496" w:rsidRDefault="00FA5524">
    <w:pPr>
      <w:pStyle w:val="Header"/>
      <w:rPr>
        <w:highlight w:val="yellow"/>
        <w:lang w:val="fr-FR"/>
      </w:rPr>
    </w:pPr>
  </w:p>
  <w:p w14:paraId="3C3E0BAB" w14:textId="77777777" w:rsidR="00FA5524" w:rsidRDefault="00FA5524">
    <w:pPr>
      <w:pStyle w:val="Header"/>
    </w:pPr>
    <w:r>
      <w:rPr>
        <w:noProof/>
        <w:lang w:eastAsia="en-GB"/>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F91EC8"/>
    <w:multiLevelType w:val="hybridMultilevel"/>
    <w:tmpl w:val="275ECF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8"/>
  </w:num>
  <w:num w:numId="24">
    <w:abstractNumId w:val="28"/>
  </w:num>
  <w:num w:numId="25">
    <w:abstractNumId w:val="27"/>
  </w:num>
  <w:num w:numId="26">
    <w:abstractNumId w:val="18"/>
  </w:num>
  <w:num w:numId="27">
    <w:abstractNumId w:val="31"/>
  </w:num>
  <w:num w:numId="28">
    <w:abstractNumId w:val="37"/>
  </w:num>
  <w:num w:numId="29">
    <w:abstractNumId w:val="6"/>
  </w:num>
  <w:num w:numId="30">
    <w:abstractNumId w:val="2"/>
  </w:num>
  <w:num w:numId="31">
    <w:abstractNumId w:val="20"/>
  </w:num>
  <w:num w:numId="32">
    <w:abstractNumId w:val="19"/>
  </w:num>
  <w:num w:numId="33">
    <w:abstractNumId w:val="33"/>
  </w:num>
  <w:num w:numId="34">
    <w:abstractNumId w:val="32"/>
  </w:num>
  <w:num w:numId="35">
    <w:abstractNumId w:val="4"/>
  </w:num>
  <w:num w:numId="36">
    <w:abstractNumId w:val="3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414"/>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474"/>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7F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3712461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23926568">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2B5D101-2394-4C07-9CCB-AD4F9D03FA9C}">
  <ds:schemaRefs>
    <ds:schemaRef ds:uri="http://schemas.openxmlformats.org/officeDocument/2006/bibliography"/>
  </ds:schemaRefs>
</ds:datastoreItem>
</file>

<file path=customXml/itemProps6.xml><?xml version="1.0" encoding="utf-8"?>
<ds:datastoreItem xmlns:ds="http://schemas.openxmlformats.org/officeDocument/2006/customXml" ds:itemID="{7CAAEA39-374F-4819-B674-FFB92F67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3685</Words>
  <Characters>22138</Characters>
  <Application>Microsoft Office Word</Application>
  <DocSecurity>8</DocSecurity>
  <Lines>184</Lines>
  <Paragraphs>51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25772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Hesketh</cp:lastModifiedBy>
  <cp:revision>4</cp:revision>
  <cp:lastPrinted>2015-02-18T11:01:00Z</cp:lastPrinted>
  <dcterms:created xsi:type="dcterms:W3CDTF">2019-11-27T16:21:00Z</dcterms:created>
  <dcterms:modified xsi:type="dcterms:W3CDTF">2019-11-27T16:32:00Z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