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C3E0A16" w14:textId="2E9EA140" w:rsidR="00C2682A" w:rsidRPr="00AB6D88" w:rsidRDefault="00FA26A8" w:rsidP="00FA5524">
                <w:pPr>
                  <w:rPr>
                    <w:rStyle w:val="PlaceholderText"/>
                    <w:rFonts w:cs="Arial"/>
                  </w:rPr>
                </w:pPr>
                <w:r>
                  <w:rPr>
                    <w:rStyle w:val="PlaceholderText"/>
                    <w:rFonts w:cs="Arial"/>
                  </w:rPr>
                  <w:t>State Street</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23583DD1" w:rsidR="00C2682A" w:rsidRPr="00AB6D88" w:rsidRDefault="00BD2CFD"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A26A8">
                  <w:rPr>
                    <w:rFonts w:cs="Arial"/>
                  </w:rPr>
                  <w:t>Investment Services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C3E0A1C"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551D1BC1" w:rsidR="00C2682A" w:rsidRPr="00AB6D88" w:rsidRDefault="00BD2CFD" w:rsidP="00FA5524">
                <w:pPr>
                  <w:rPr>
                    <w:rFonts w:cs="Arial"/>
                  </w:rPr>
                </w:pPr>
                <w:r>
                  <w:rPr>
                    <w:rFonts w:cs="Arial"/>
                  </w:rPr>
                  <w:t>Europe</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Heading1"/>
        <w:numPr>
          <w:ilvl w:val="0"/>
          <w:numId w:val="0"/>
        </w:numPr>
        <w:ind w:left="431" w:hanging="431"/>
      </w:pPr>
      <w:r>
        <w:t>Introduction</w:t>
      </w:r>
    </w:p>
    <w:p w14:paraId="3C3E0A24" w14:textId="77777777" w:rsidR="00F87897" w:rsidRPr="001D47A5" w:rsidRDefault="00F87897" w:rsidP="00F87897">
      <w:pPr>
        <w:rPr>
          <w:rStyle w:val="IntenseEmphasis"/>
        </w:rPr>
      </w:pPr>
      <w:r w:rsidRPr="001D47A5">
        <w:rPr>
          <w:rStyle w:val="IntenseEmphasi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21E40E2B" w14:textId="036F6E60" w:rsidR="00FA26A8" w:rsidRPr="00C833A0" w:rsidRDefault="00FA26A8" w:rsidP="00FA26A8">
      <w:pPr>
        <w:spacing w:after="160" w:line="276" w:lineRule="auto"/>
        <w:jc w:val="both"/>
        <w:rPr>
          <w:rFonts w:ascii="Times New Roman" w:hAnsi="Times New Roman"/>
          <w:color w:val="000000"/>
          <w:sz w:val="22"/>
          <w:szCs w:val="22"/>
          <w:lang w:eastAsia="ko-KR"/>
        </w:rPr>
      </w:pPr>
      <w:permStart w:id="1594194160" w:edGrp="everyone"/>
      <w:r w:rsidRPr="00C833A0">
        <w:rPr>
          <w:rFonts w:ascii="Times New Roman" w:hAnsi="Times New Roman"/>
          <w:sz w:val="22"/>
          <w:szCs w:val="22"/>
        </w:rPr>
        <w:t xml:space="preserve">State Street Corporation (‘State Street’) welcomes the opportunity to provide comments on the European Securities and Markets Authority (ESMA) consultation paper on the </w:t>
      </w:r>
      <w:r>
        <w:rPr>
          <w:rFonts w:ascii="Times New Roman" w:hAnsi="Times New Roman"/>
          <w:sz w:val="22"/>
          <w:szCs w:val="22"/>
        </w:rPr>
        <w:t>review</w:t>
      </w:r>
      <w:r w:rsidRPr="00C833A0">
        <w:rPr>
          <w:rFonts w:ascii="Times New Roman" w:hAnsi="Times New Roman"/>
          <w:sz w:val="22"/>
          <w:szCs w:val="22"/>
        </w:rPr>
        <w:t xml:space="preserve"> of the Market Abuse Regulation (MAR). </w:t>
      </w:r>
      <w:r w:rsidRPr="00C833A0">
        <w:rPr>
          <w:rFonts w:ascii="Times New Roman" w:hAnsi="Times New Roman"/>
          <w:color w:val="000000"/>
          <w:sz w:val="22"/>
          <w:szCs w:val="22"/>
          <w:lang w:eastAsia="ko-KR"/>
        </w:rPr>
        <w:t>State Street is one of the world's leading providers of financial services to institutional investors, including investment servicing, investment management and investment research and trading. With $32.90 trillion in assets under custody and administration and $2.95 trillion</w:t>
      </w:r>
      <w:r w:rsidRPr="00C833A0">
        <w:rPr>
          <w:rStyle w:val="FootnoteReference"/>
          <w:rFonts w:ascii="Times New Roman" w:hAnsi="Times New Roman"/>
          <w:color w:val="000000"/>
          <w:sz w:val="22"/>
          <w:szCs w:val="22"/>
          <w:lang w:eastAsia="ko-KR"/>
        </w:rPr>
        <w:footnoteReference w:id="2"/>
      </w:r>
      <w:r w:rsidRPr="00C833A0">
        <w:rPr>
          <w:rFonts w:ascii="Times New Roman" w:hAnsi="Times New Roman"/>
          <w:color w:val="000000"/>
          <w:sz w:val="22"/>
          <w:szCs w:val="22"/>
          <w:lang w:eastAsia="ko-KR"/>
        </w:rPr>
        <w:t xml:space="preserve"> in assets under management as of 30 September 2019, State Street operates in more than 100 geographic markets worldwide, including in Europe, the US, Canada and Asia.</w:t>
      </w:r>
    </w:p>
    <w:p w14:paraId="45004B82" w14:textId="1C0027F0" w:rsidR="00FA26A8" w:rsidRPr="00C833A0" w:rsidRDefault="00FA26A8" w:rsidP="00FA26A8">
      <w:pPr>
        <w:spacing w:after="160" w:line="276" w:lineRule="auto"/>
        <w:jc w:val="both"/>
        <w:rPr>
          <w:rFonts w:ascii="Times New Roman" w:hAnsi="Times New Roman"/>
          <w:color w:val="000000"/>
          <w:sz w:val="22"/>
          <w:szCs w:val="22"/>
          <w:lang w:eastAsia="ko-KR"/>
        </w:rPr>
      </w:pPr>
      <w:r w:rsidRPr="00C833A0">
        <w:rPr>
          <w:rFonts w:ascii="Times New Roman" w:hAnsi="Times New Roman"/>
          <w:color w:val="000000"/>
          <w:sz w:val="22"/>
          <w:szCs w:val="22"/>
          <w:lang w:eastAsia="ko-KR"/>
        </w:rPr>
        <w:t xml:space="preserve">With regards to the scope of MAR, State Street does not support the </w:t>
      </w:r>
      <w:r>
        <w:rPr>
          <w:rFonts w:ascii="Times New Roman" w:hAnsi="Times New Roman"/>
          <w:color w:val="000000"/>
          <w:sz w:val="22"/>
          <w:szCs w:val="22"/>
          <w:lang w:eastAsia="ko-KR"/>
        </w:rPr>
        <w:t xml:space="preserve">proposed </w:t>
      </w:r>
      <w:r w:rsidRPr="00C833A0">
        <w:rPr>
          <w:rFonts w:ascii="Times New Roman" w:hAnsi="Times New Roman"/>
          <w:color w:val="000000"/>
          <w:sz w:val="22"/>
          <w:szCs w:val="22"/>
          <w:lang w:eastAsia="ko-KR"/>
        </w:rPr>
        <w:t xml:space="preserve">extension of the MAR framework to spot FX contracts. We can understand the rationale behind the European Commission’s mandate to ESMA. As noted in the consultation, the reasons put forward in favour include the size of the spot FX market, as well as the interlinkages with other financial instruments. While we welcome ESMA’s approach of presenting both arguments in favour </w:t>
      </w:r>
      <w:r w:rsidR="00946786">
        <w:rPr>
          <w:rFonts w:ascii="Times New Roman" w:hAnsi="Times New Roman"/>
          <w:color w:val="000000"/>
          <w:sz w:val="22"/>
          <w:szCs w:val="22"/>
          <w:lang w:eastAsia="ko-KR"/>
        </w:rPr>
        <w:t xml:space="preserve">of </w:t>
      </w:r>
      <w:r w:rsidRPr="00C833A0">
        <w:rPr>
          <w:rFonts w:ascii="Times New Roman" w:hAnsi="Times New Roman"/>
          <w:color w:val="000000"/>
          <w:sz w:val="22"/>
          <w:szCs w:val="22"/>
          <w:lang w:eastAsia="ko-KR"/>
        </w:rPr>
        <w:t>and against extending the scope of MAR, we do not believe the significance of each argument is sufficiently reflected; more precisely, we believe the arguments against significantly outweigh the potential benefits.</w:t>
      </w:r>
    </w:p>
    <w:p w14:paraId="375D836F" w14:textId="77777777" w:rsidR="00FA26A8" w:rsidRDefault="00FA26A8" w:rsidP="00FA26A8">
      <w:pPr>
        <w:spacing w:after="160" w:line="276" w:lineRule="auto"/>
        <w:jc w:val="both"/>
        <w:rPr>
          <w:rFonts w:ascii="Times New Roman" w:hAnsi="Times New Roman"/>
          <w:color w:val="000000"/>
          <w:sz w:val="22"/>
          <w:szCs w:val="22"/>
          <w:lang w:eastAsia="ko-KR"/>
        </w:rPr>
      </w:pPr>
      <w:r w:rsidRPr="00C833A0">
        <w:rPr>
          <w:rFonts w:ascii="Times New Roman" w:hAnsi="Times New Roman"/>
          <w:color w:val="000000"/>
          <w:sz w:val="22"/>
          <w:szCs w:val="22"/>
          <w:lang w:eastAsia="ko-KR"/>
        </w:rPr>
        <w:t xml:space="preserve">In particular, we would like to highlight the FX Global Code, which we believe has gone a long way to promoting integrity in global FX markets. We note that the </w:t>
      </w:r>
      <w:r>
        <w:rPr>
          <w:rFonts w:ascii="Times New Roman" w:hAnsi="Times New Roman"/>
          <w:color w:val="000000"/>
          <w:sz w:val="22"/>
          <w:szCs w:val="22"/>
          <w:lang w:eastAsia="ko-KR"/>
        </w:rPr>
        <w:t xml:space="preserve">FX </w:t>
      </w:r>
      <w:r w:rsidRPr="00C833A0">
        <w:rPr>
          <w:rFonts w:ascii="Times New Roman" w:hAnsi="Times New Roman"/>
          <w:color w:val="000000"/>
          <w:sz w:val="22"/>
          <w:szCs w:val="22"/>
          <w:lang w:eastAsia="ko-KR"/>
        </w:rPr>
        <w:t xml:space="preserve">Global Code has been widely adopted by both market participants and central banks. In so far as regulators have specific outstanding concerns on the spot FX market, we believe these should be raised and addressed through the FX Global Code, which is scheduled to be reviewed in 2020. We believe this would </w:t>
      </w:r>
      <w:r>
        <w:rPr>
          <w:rFonts w:ascii="Times New Roman" w:hAnsi="Times New Roman"/>
          <w:color w:val="000000"/>
          <w:sz w:val="22"/>
          <w:szCs w:val="22"/>
          <w:lang w:eastAsia="ko-KR"/>
        </w:rPr>
        <w:t xml:space="preserve">be </w:t>
      </w:r>
      <w:r w:rsidRPr="00C833A0">
        <w:rPr>
          <w:rFonts w:ascii="Times New Roman" w:hAnsi="Times New Roman"/>
          <w:color w:val="000000"/>
          <w:sz w:val="22"/>
          <w:szCs w:val="22"/>
          <w:lang w:eastAsia="ko-KR"/>
        </w:rPr>
        <w:t xml:space="preserve">a more appropriate and proportionate approach in comparison to bringing spot FX contracts within the scope of MAR, or indeed MiFID/R (or establishing </w:t>
      </w:r>
      <w:r>
        <w:rPr>
          <w:rFonts w:ascii="Times New Roman" w:hAnsi="Times New Roman"/>
          <w:color w:val="000000"/>
          <w:sz w:val="22"/>
          <w:szCs w:val="22"/>
          <w:lang w:eastAsia="ko-KR"/>
        </w:rPr>
        <w:t xml:space="preserve">a </w:t>
      </w:r>
      <w:r w:rsidRPr="00C833A0">
        <w:rPr>
          <w:rFonts w:ascii="Times New Roman" w:hAnsi="Times New Roman"/>
          <w:color w:val="000000"/>
          <w:sz w:val="22"/>
          <w:szCs w:val="22"/>
          <w:lang w:eastAsia="ko-KR"/>
        </w:rPr>
        <w:t>MiFID-like regime).</w:t>
      </w:r>
    </w:p>
    <w:p w14:paraId="1987FE90" w14:textId="77777777" w:rsidR="00FA26A8" w:rsidRPr="00C727BE" w:rsidRDefault="00FA26A8" w:rsidP="00FA26A8">
      <w:pPr>
        <w:spacing w:after="120" w:line="276" w:lineRule="auto"/>
        <w:jc w:val="both"/>
        <w:rPr>
          <w:rFonts w:ascii="Times New Roman" w:eastAsia="SimSun" w:hAnsi="Times New Roman"/>
          <w:sz w:val="22"/>
          <w:szCs w:val="22"/>
          <w:lang w:eastAsia="zh-CN"/>
        </w:rPr>
      </w:pPr>
      <w:bookmarkStart w:id="3" w:name="_Hlk25928766"/>
      <w:r>
        <w:rPr>
          <w:rFonts w:ascii="Times New Roman" w:eastAsia="SimSun" w:hAnsi="Times New Roman"/>
          <w:sz w:val="22"/>
          <w:szCs w:val="22"/>
          <w:lang w:eastAsia="zh-CN"/>
        </w:rPr>
        <w:t xml:space="preserve">In addition to the above, State Street is generally supportive of the more detailed comments expressed in the separate response to the ESMA consultation paper submitted by the </w:t>
      </w:r>
      <w:r w:rsidRPr="006A35D8">
        <w:rPr>
          <w:rFonts w:ascii="Times New Roman" w:eastAsia="SimSun" w:hAnsi="Times New Roman"/>
          <w:sz w:val="22"/>
          <w:szCs w:val="22"/>
          <w:lang w:eastAsia="zh-CN"/>
        </w:rPr>
        <w:t>Global Foreign Exchange Division (GFXD) of the Global Financial Markets Association (GFMA)</w:t>
      </w:r>
      <w:r>
        <w:rPr>
          <w:rFonts w:ascii="Times New Roman" w:eastAsia="SimSun" w:hAnsi="Times New Roman"/>
          <w:sz w:val="22"/>
          <w:szCs w:val="22"/>
          <w:lang w:eastAsia="zh-CN"/>
        </w:rPr>
        <w:t>.</w:t>
      </w:r>
    </w:p>
    <w:bookmarkEnd w:id="3"/>
    <w:p w14:paraId="113D877F" w14:textId="77777777" w:rsidR="00FA26A8" w:rsidRPr="00C833A0" w:rsidRDefault="00FA26A8" w:rsidP="00FA26A8">
      <w:pPr>
        <w:spacing w:after="160" w:line="276" w:lineRule="auto"/>
        <w:jc w:val="both"/>
        <w:rPr>
          <w:rFonts w:ascii="Times New Roman" w:hAnsi="Times New Roman"/>
          <w:color w:val="000000"/>
          <w:sz w:val="22"/>
          <w:szCs w:val="22"/>
          <w:lang w:eastAsia="ko-KR"/>
        </w:rPr>
      </w:pPr>
      <w:r w:rsidRPr="00C833A0">
        <w:rPr>
          <w:rFonts w:ascii="Times New Roman" w:hAnsi="Times New Roman"/>
          <w:color w:val="000000"/>
          <w:sz w:val="22"/>
          <w:szCs w:val="22"/>
          <w:lang w:eastAsia="ko-KR"/>
        </w:rPr>
        <w:t xml:space="preserve">Regarding MAR and collective investment undertakings (CIUs), </w:t>
      </w:r>
      <w:r>
        <w:rPr>
          <w:rFonts w:ascii="Times New Roman" w:hAnsi="Times New Roman"/>
          <w:color w:val="000000"/>
          <w:sz w:val="22"/>
          <w:szCs w:val="22"/>
          <w:lang w:eastAsia="ko-KR"/>
        </w:rPr>
        <w:t xml:space="preserve">State Street broadly supports the view that they should be differentiated from other issuers.  However we have a number of concerns on </w:t>
      </w:r>
      <w:r w:rsidRPr="00C833A0">
        <w:rPr>
          <w:rFonts w:ascii="Times New Roman" w:hAnsi="Times New Roman"/>
          <w:color w:val="000000"/>
          <w:sz w:val="22"/>
          <w:szCs w:val="22"/>
          <w:lang w:eastAsia="ko-KR"/>
        </w:rPr>
        <w:t>the application</w:t>
      </w:r>
      <w:r>
        <w:rPr>
          <w:rFonts w:ascii="Times New Roman" w:hAnsi="Times New Roman"/>
          <w:color w:val="000000"/>
          <w:sz w:val="22"/>
          <w:szCs w:val="22"/>
          <w:lang w:eastAsia="ko-KR"/>
        </w:rPr>
        <w:t>s</w:t>
      </w:r>
      <w:r w:rsidRPr="00C833A0">
        <w:rPr>
          <w:rFonts w:ascii="Times New Roman" w:hAnsi="Times New Roman"/>
          <w:color w:val="000000"/>
          <w:sz w:val="22"/>
          <w:szCs w:val="22"/>
          <w:lang w:eastAsia="ko-KR"/>
        </w:rPr>
        <w:t xml:space="preserve"> of the </w:t>
      </w:r>
      <w:r w:rsidRPr="00221FF5">
        <w:rPr>
          <w:rFonts w:ascii="Times New Roman" w:hAnsi="Times New Roman"/>
          <w:color w:val="000000"/>
          <w:sz w:val="22"/>
          <w:szCs w:val="22"/>
          <w:lang w:eastAsia="ko-KR"/>
        </w:rPr>
        <w:t>Persons Discharging Managerial Responsibilities</w:t>
      </w:r>
      <w:r>
        <w:rPr>
          <w:rFonts w:ascii="Times New Roman" w:hAnsi="Times New Roman"/>
          <w:color w:val="000000"/>
          <w:sz w:val="22"/>
          <w:szCs w:val="22"/>
          <w:lang w:eastAsia="ko-KR"/>
        </w:rPr>
        <w:t xml:space="preserve"> (</w:t>
      </w:r>
      <w:r w:rsidRPr="00C833A0">
        <w:rPr>
          <w:rFonts w:ascii="Times New Roman" w:hAnsi="Times New Roman"/>
          <w:color w:val="000000"/>
          <w:sz w:val="22"/>
          <w:szCs w:val="22"/>
          <w:lang w:eastAsia="ko-KR"/>
        </w:rPr>
        <w:t>PDMR</w:t>
      </w:r>
      <w:r>
        <w:rPr>
          <w:rFonts w:ascii="Times New Roman" w:hAnsi="Times New Roman"/>
          <w:color w:val="000000"/>
          <w:sz w:val="22"/>
          <w:szCs w:val="22"/>
          <w:lang w:eastAsia="ko-KR"/>
        </w:rPr>
        <w:t>)</w:t>
      </w:r>
      <w:r w:rsidRPr="00C833A0">
        <w:rPr>
          <w:rFonts w:ascii="Times New Roman" w:hAnsi="Times New Roman"/>
          <w:color w:val="000000"/>
          <w:sz w:val="22"/>
          <w:szCs w:val="22"/>
          <w:lang w:eastAsia="ko-KR"/>
        </w:rPr>
        <w:t xml:space="preserve"> obligations. While we agree with ESMA’s preliminary view that the current definition of PDMR may not sufficiently capture persons that may be </w:t>
      </w:r>
      <w:r w:rsidRPr="00C833A0">
        <w:rPr>
          <w:rFonts w:ascii="Times New Roman" w:hAnsi="Times New Roman"/>
          <w:color w:val="000000"/>
          <w:sz w:val="22"/>
          <w:szCs w:val="22"/>
          <w:lang w:eastAsia="ko-KR"/>
        </w:rPr>
        <w:lastRenderedPageBreak/>
        <w:t>relevant in the context of CIUs, we believe ESMA’s proposed approach, namely to incorporate the definition of “relevant person” may result in too broad an application. We would encourage ESMA to revisit this. Similarly, we do not believe that a deposit</w:t>
      </w:r>
      <w:r>
        <w:rPr>
          <w:rFonts w:ascii="Times New Roman" w:hAnsi="Times New Roman"/>
          <w:color w:val="000000"/>
          <w:sz w:val="22"/>
          <w:szCs w:val="22"/>
          <w:lang w:eastAsia="ko-KR"/>
        </w:rPr>
        <w:t>a</w:t>
      </w:r>
      <w:r w:rsidRPr="00C833A0">
        <w:rPr>
          <w:rFonts w:ascii="Times New Roman" w:hAnsi="Times New Roman"/>
          <w:color w:val="000000"/>
          <w:sz w:val="22"/>
          <w:szCs w:val="22"/>
          <w:lang w:eastAsia="ko-KR"/>
        </w:rPr>
        <w:t>ry should be brought within scope of the PDMR obligations, where it has been delegated tasks by a CIU.</w:t>
      </w:r>
    </w:p>
    <w:p w14:paraId="0D304EE1" w14:textId="4A55D9FD" w:rsidR="00FA26A8" w:rsidRDefault="00FA26A8" w:rsidP="00FA26A8">
      <w:pPr>
        <w:spacing w:after="120" w:line="276" w:lineRule="auto"/>
        <w:jc w:val="both"/>
        <w:rPr>
          <w:rFonts w:ascii="Times New Roman" w:hAnsi="Times New Roman"/>
          <w:color w:val="000000"/>
          <w:sz w:val="22"/>
          <w:szCs w:val="22"/>
          <w:lang w:eastAsia="ko-KR"/>
        </w:rPr>
      </w:pPr>
      <w:r>
        <w:rPr>
          <w:rFonts w:ascii="Times New Roman" w:hAnsi="Times New Roman"/>
          <w:color w:val="000000"/>
          <w:sz w:val="22"/>
          <w:szCs w:val="22"/>
          <w:lang w:eastAsia="ko-KR"/>
        </w:rPr>
        <w:t>I</w:t>
      </w:r>
      <w:r w:rsidRPr="00C833A0">
        <w:rPr>
          <w:rFonts w:ascii="Times New Roman" w:hAnsi="Times New Roman"/>
          <w:color w:val="000000"/>
          <w:sz w:val="22"/>
          <w:szCs w:val="22"/>
          <w:lang w:eastAsia="ko-KR"/>
        </w:rPr>
        <w:t>n the context of a cross-market order book surveillance framework, we would like to exercise caution and highlight the practical challenges of mandating trading venues to report order</w:t>
      </w:r>
      <w:r>
        <w:rPr>
          <w:rFonts w:ascii="Times New Roman" w:hAnsi="Times New Roman"/>
          <w:color w:val="000000"/>
          <w:sz w:val="22"/>
          <w:szCs w:val="22"/>
          <w:lang w:eastAsia="ko-KR"/>
        </w:rPr>
        <w:t xml:space="preserve"> </w:t>
      </w:r>
      <w:r w:rsidRPr="00C833A0">
        <w:rPr>
          <w:rFonts w:ascii="Times New Roman" w:hAnsi="Times New Roman"/>
          <w:color w:val="000000"/>
          <w:sz w:val="22"/>
          <w:szCs w:val="22"/>
          <w:lang w:eastAsia="ko-KR"/>
        </w:rPr>
        <w:t xml:space="preserve">book </w:t>
      </w:r>
      <w:r>
        <w:rPr>
          <w:rFonts w:ascii="Times New Roman" w:hAnsi="Times New Roman"/>
          <w:color w:val="000000"/>
          <w:sz w:val="22"/>
          <w:szCs w:val="22"/>
          <w:lang w:eastAsia="ko-KR"/>
        </w:rPr>
        <w:t xml:space="preserve">data </w:t>
      </w:r>
      <w:r w:rsidRPr="00C833A0">
        <w:rPr>
          <w:rFonts w:ascii="Times New Roman" w:hAnsi="Times New Roman"/>
          <w:color w:val="000000"/>
          <w:sz w:val="22"/>
          <w:szCs w:val="22"/>
          <w:lang w:eastAsia="ko-KR"/>
        </w:rPr>
        <w:t>on a daily basis. By definition, order-book data will capture significantly more information than transaction reporting. This may present a s</w:t>
      </w:r>
      <w:r w:rsidR="00946786">
        <w:rPr>
          <w:rFonts w:ascii="Times New Roman" w:hAnsi="Times New Roman"/>
          <w:color w:val="000000"/>
          <w:sz w:val="22"/>
          <w:szCs w:val="22"/>
          <w:lang w:eastAsia="ko-KR"/>
        </w:rPr>
        <w:t xml:space="preserve">ubstantive </w:t>
      </w:r>
      <w:r w:rsidRPr="00C833A0">
        <w:rPr>
          <w:rFonts w:ascii="Times New Roman" w:hAnsi="Times New Roman"/>
          <w:color w:val="000000"/>
          <w:sz w:val="22"/>
          <w:szCs w:val="22"/>
          <w:lang w:eastAsia="ko-KR"/>
        </w:rPr>
        <w:t xml:space="preserve">challenge for </w:t>
      </w:r>
      <w:r>
        <w:rPr>
          <w:rFonts w:ascii="Times New Roman" w:hAnsi="Times New Roman"/>
          <w:color w:val="000000"/>
          <w:sz w:val="22"/>
          <w:szCs w:val="22"/>
          <w:lang w:eastAsia="ko-KR"/>
        </w:rPr>
        <w:t xml:space="preserve">both industry participants and </w:t>
      </w:r>
      <w:r w:rsidRPr="00C833A0">
        <w:rPr>
          <w:rFonts w:ascii="Times New Roman" w:hAnsi="Times New Roman"/>
          <w:color w:val="000000"/>
          <w:sz w:val="22"/>
          <w:szCs w:val="22"/>
          <w:lang w:eastAsia="ko-KR"/>
        </w:rPr>
        <w:t>national competent authorities, who will need to have the systems and infrastructure in place to receive, store and analyse this data. Furthermore  we are supportive of efforts to facilitate cooperation</w:t>
      </w:r>
      <w:r w:rsidRPr="00C833A0">
        <w:rPr>
          <w:rFonts w:ascii="Times New Roman" w:eastAsia="SimSun" w:hAnsi="Times New Roman"/>
          <w:sz w:val="22"/>
          <w:szCs w:val="22"/>
          <w:lang w:eastAsia="zh-CN"/>
        </w:rPr>
        <w:t xml:space="preserve"> and the exchange of information between supervisory and tax authorities</w:t>
      </w:r>
      <w:r w:rsidRPr="00C833A0">
        <w:rPr>
          <w:rFonts w:ascii="Times New Roman" w:hAnsi="Times New Roman"/>
          <w:color w:val="000000"/>
          <w:sz w:val="22"/>
          <w:szCs w:val="22"/>
          <w:lang w:eastAsia="ko-KR"/>
        </w:rPr>
        <w:t xml:space="preserve">. We would encourage ESMA to take into account the implementation of  </w:t>
      </w:r>
      <w:r w:rsidRPr="00C833A0">
        <w:rPr>
          <w:rFonts w:ascii="Times New Roman" w:eastAsia="SimSun" w:hAnsi="Times New Roman"/>
          <w:sz w:val="22"/>
          <w:szCs w:val="22"/>
          <w:lang w:eastAsia="zh-CN"/>
        </w:rPr>
        <w:t>Council Directive (EU) 2018/822</w:t>
      </w:r>
      <w:r>
        <w:rPr>
          <w:rFonts w:ascii="Times New Roman" w:eastAsia="SimSun" w:hAnsi="Times New Roman"/>
          <w:sz w:val="22"/>
          <w:szCs w:val="22"/>
          <w:lang w:eastAsia="zh-CN"/>
        </w:rPr>
        <w:t>,</w:t>
      </w:r>
      <w:r w:rsidRPr="00C833A0">
        <w:rPr>
          <w:rFonts w:ascii="Times New Roman" w:eastAsia="SimSun" w:hAnsi="Times New Roman"/>
          <w:sz w:val="22"/>
          <w:szCs w:val="22"/>
          <w:lang w:eastAsia="zh-CN"/>
        </w:rPr>
        <w:t xml:space="preserve"> or ‘DAC 6’</w:t>
      </w:r>
      <w:r>
        <w:rPr>
          <w:rFonts w:ascii="Times New Roman" w:eastAsia="SimSun" w:hAnsi="Times New Roman"/>
          <w:sz w:val="22"/>
          <w:szCs w:val="22"/>
          <w:lang w:eastAsia="zh-CN"/>
        </w:rPr>
        <w:t>,</w:t>
      </w:r>
      <w:r w:rsidRPr="00C833A0">
        <w:rPr>
          <w:rFonts w:ascii="Times New Roman" w:eastAsia="SimSun" w:hAnsi="Times New Roman"/>
          <w:sz w:val="22"/>
          <w:szCs w:val="22"/>
          <w:lang w:eastAsia="zh-CN"/>
        </w:rPr>
        <w:t xml:space="preserve"> in this regard.</w:t>
      </w:r>
      <w:r w:rsidRPr="00C833A0">
        <w:rPr>
          <w:rFonts w:ascii="Times New Roman" w:hAnsi="Times New Roman"/>
          <w:color w:val="000000"/>
          <w:sz w:val="22"/>
          <w:szCs w:val="22"/>
          <w:lang w:eastAsia="ko-KR"/>
        </w:rPr>
        <w:t xml:space="preserve"> </w:t>
      </w:r>
    </w:p>
    <w:p w14:paraId="5B1F795B" w14:textId="77777777" w:rsidR="00FA7798" w:rsidRDefault="00FA26A8" w:rsidP="00FA7798">
      <w:pPr>
        <w:spacing w:line="276" w:lineRule="auto"/>
        <w:rPr>
          <w:rFonts w:ascii="Times New Roman" w:hAnsi="Times New Roman"/>
          <w:color w:val="000000"/>
          <w:sz w:val="22"/>
          <w:szCs w:val="22"/>
          <w:lang w:eastAsia="ko-KR"/>
        </w:rPr>
      </w:pPr>
      <w:r w:rsidRPr="00C833A0">
        <w:rPr>
          <w:rFonts w:ascii="Times New Roman" w:hAnsi="Times New Roman"/>
          <w:color w:val="000000"/>
          <w:sz w:val="22"/>
          <w:szCs w:val="22"/>
          <w:lang w:eastAsia="ko-KR"/>
        </w:rPr>
        <w:t>We have set out below more detailed response</w:t>
      </w:r>
      <w:r>
        <w:rPr>
          <w:rFonts w:ascii="Times New Roman" w:hAnsi="Times New Roman"/>
          <w:color w:val="000000"/>
          <w:sz w:val="22"/>
          <w:szCs w:val="22"/>
          <w:lang w:eastAsia="ko-KR"/>
        </w:rPr>
        <w:t>s</w:t>
      </w:r>
      <w:r w:rsidRPr="00C833A0">
        <w:rPr>
          <w:rFonts w:ascii="Times New Roman" w:hAnsi="Times New Roman"/>
          <w:color w:val="000000"/>
          <w:sz w:val="22"/>
          <w:szCs w:val="22"/>
          <w:lang w:eastAsia="ko-KR"/>
        </w:rPr>
        <w:t xml:space="preserve"> to the specific questions of the consultation. Should you wish to discuss further any aspect of our response, please do not hesitate to contact State Street.</w:t>
      </w:r>
    </w:p>
    <w:p w14:paraId="3C3E0A27" w14:textId="4828AA71" w:rsidR="00F87897" w:rsidRDefault="00FA26A8" w:rsidP="00F87897">
      <w:r>
        <w:t xml:space="preserve"> </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10FB7C67" w14:textId="368ABC88" w:rsidR="006004FE" w:rsidRPr="00C833A0" w:rsidRDefault="006004FE" w:rsidP="00FA7798">
      <w:pPr>
        <w:spacing w:after="120" w:line="276" w:lineRule="auto"/>
        <w:jc w:val="both"/>
        <w:rPr>
          <w:rFonts w:ascii="Times New Roman" w:eastAsia="SimSun" w:hAnsi="Times New Roman"/>
          <w:sz w:val="22"/>
          <w:szCs w:val="22"/>
          <w:lang w:eastAsia="zh-CN"/>
        </w:rPr>
      </w:pPr>
      <w:permStart w:id="751114692" w:edGrp="everyone"/>
      <w:r w:rsidRPr="00C833A0">
        <w:rPr>
          <w:rFonts w:ascii="Times New Roman" w:eastAsia="SimSun" w:hAnsi="Times New Roman"/>
          <w:sz w:val="22"/>
          <w:szCs w:val="22"/>
          <w:lang w:eastAsia="zh-CN"/>
        </w:rPr>
        <w:t xml:space="preserve">We neither support nor deem it necessary to extend the scope of the MAR to spot FX contracts. We welcome ESMA’s approach in the consultation paper of comparing the arguments in favour of extending the scope to the arguments against. In our view, the arguments against extending the scope significantly outweigh any potential benefits.     </w:t>
      </w:r>
    </w:p>
    <w:p w14:paraId="1AE02588" w14:textId="77777777" w:rsidR="006004FE" w:rsidRPr="00C833A0" w:rsidRDefault="006004FE" w:rsidP="00FA7798">
      <w:pPr>
        <w:spacing w:after="120"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 xml:space="preserve">With regards to promoting market integrity, we believe this is being addressed in wholesale FX markets by the establishment, and subsequent widespread adoption, of the FX Global Code. We note that more than 40 central banks and more than 200 market participants, including State Street, are signatories to the </w:t>
      </w:r>
      <w:r>
        <w:rPr>
          <w:rFonts w:ascii="Times New Roman" w:eastAsia="SimSun" w:hAnsi="Times New Roman"/>
          <w:sz w:val="22"/>
          <w:szCs w:val="22"/>
          <w:lang w:eastAsia="zh-CN"/>
        </w:rPr>
        <w:t xml:space="preserve">FX </w:t>
      </w:r>
      <w:r w:rsidRPr="00C833A0">
        <w:rPr>
          <w:rFonts w:ascii="Times New Roman" w:eastAsia="SimSun" w:hAnsi="Times New Roman"/>
          <w:sz w:val="22"/>
          <w:szCs w:val="22"/>
          <w:lang w:eastAsia="zh-CN"/>
        </w:rPr>
        <w:t xml:space="preserve">Global Code. Should European policymakers consider there to be any outstanding concerns, we believe this should be addressed through the review of the </w:t>
      </w:r>
      <w:r>
        <w:rPr>
          <w:rFonts w:ascii="Times New Roman" w:eastAsia="SimSun" w:hAnsi="Times New Roman"/>
          <w:sz w:val="22"/>
          <w:szCs w:val="22"/>
          <w:lang w:eastAsia="zh-CN"/>
        </w:rPr>
        <w:t xml:space="preserve">FX </w:t>
      </w:r>
      <w:r w:rsidRPr="00C833A0">
        <w:rPr>
          <w:rFonts w:ascii="Times New Roman" w:eastAsia="SimSun" w:hAnsi="Times New Roman"/>
          <w:sz w:val="22"/>
          <w:szCs w:val="22"/>
          <w:lang w:eastAsia="zh-CN"/>
        </w:rPr>
        <w:t>Global Code, which is scheduled to take place in 2020.</w:t>
      </w:r>
    </w:p>
    <w:p w14:paraId="240C8908" w14:textId="1CF00D40" w:rsidR="006004FE" w:rsidRPr="00C833A0" w:rsidRDefault="006004FE" w:rsidP="00FA7798">
      <w:pPr>
        <w:spacing w:after="120"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While the FX Global Code remains voluntary, we have observed that it is becoming more prominent in regulator’s thinking in regards to FX markets. For example, the FCA previously established a framework for formally recognising industry codes; recognition of a code is not intended to mandate but rather encourage the use of a particular code. The FCA clarified that it will only recognise codes where they fulfil certain criteria. The recognition criteria takes into account the operational objectives of the FCA, one of which is “protecting and enhancing the integrity of the UK financial system”. In addition, adherence to recognised industry codes will be considered by the FCA under the Senior Managers and Certification Regime (SM&amp;CR) and, in particular, the obligation to observe “proper standards of market of conduct”. The FCA announced its recognition of the FX Global Code on 26 June 2019.</w:t>
      </w:r>
    </w:p>
    <w:p w14:paraId="0FF1BB58" w14:textId="77777777" w:rsidR="006004FE" w:rsidRPr="00C833A0" w:rsidRDefault="006004FE" w:rsidP="00FA7798">
      <w:pPr>
        <w:spacing w:after="120"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 xml:space="preserve">We appreciate that other jurisdictions do not have an equivalent framework as the UK SM&amp;CR. Nevertheless, adopting a similar approach as the FCA with regards to recognition may help to clarify the expectations of regulators and be a more proportionate approach to addressing outstanding concerns.       </w:t>
      </w:r>
    </w:p>
    <w:p w14:paraId="5A262450" w14:textId="22675652" w:rsidR="00FA7798" w:rsidRDefault="006004FE" w:rsidP="00FA7798">
      <w:pPr>
        <w:spacing w:line="276" w:lineRule="auto"/>
        <w:rPr>
          <w:rFonts w:ascii="Times New Roman" w:eastAsia="SimSun" w:hAnsi="Times New Roman"/>
          <w:sz w:val="22"/>
          <w:szCs w:val="22"/>
          <w:lang w:eastAsia="zh-CN"/>
        </w:rPr>
      </w:pPr>
      <w:r w:rsidRPr="00C833A0">
        <w:rPr>
          <w:rFonts w:ascii="Times New Roman" w:eastAsia="SimSun" w:hAnsi="Times New Roman"/>
          <w:sz w:val="22"/>
          <w:szCs w:val="22"/>
          <w:lang w:eastAsia="zh-CN"/>
        </w:rPr>
        <w:t>We note that ESMA also makes reference  to the UK’s Fair and Effective Markets Review (FEMR) and, in particular, recommendation 3.b regarding the establishment of a “</w:t>
      </w:r>
      <w:r>
        <w:rPr>
          <w:rFonts w:ascii="Times New Roman" w:eastAsia="SimSun" w:hAnsi="Times New Roman"/>
          <w:sz w:val="22"/>
          <w:szCs w:val="22"/>
          <w:lang w:eastAsia="zh-CN"/>
        </w:rPr>
        <w:t>[…]</w:t>
      </w:r>
      <w:r w:rsidRPr="001837B0">
        <w:rPr>
          <w:rFonts w:ascii="Times New Roman" w:eastAsia="SimSun" w:hAnsi="Times New Roman"/>
          <w:i/>
          <w:sz w:val="22"/>
          <w:szCs w:val="22"/>
          <w:lang w:eastAsia="zh-CN"/>
        </w:rPr>
        <w:t>new statutory civil and criminal market abuse regime for spot foreign exchange</w:t>
      </w:r>
      <w:r w:rsidRPr="001837B0">
        <w:rPr>
          <w:rFonts w:ascii="Times New Roman" w:eastAsia="SimSun" w:hAnsi="Times New Roman"/>
          <w:sz w:val="22"/>
          <w:szCs w:val="22"/>
          <w:lang w:eastAsia="zh-CN"/>
        </w:rPr>
        <w:t>[</w:t>
      </w:r>
      <w:r w:rsidRPr="00C833A0">
        <w:rPr>
          <w:rFonts w:ascii="Times New Roman" w:eastAsia="SimSun" w:hAnsi="Times New Roman"/>
          <w:sz w:val="22"/>
          <w:szCs w:val="22"/>
          <w:lang w:eastAsia="zh-CN"/>
        </w:rPr>
        <w:t>…</w:t>
      </w:r>
      <w:r>
        <w:rPr>
          <w:rFonts w:ascii="Times New Roman" w:eastAsia="SimSun" w:hAnsi="Times New Roman"/>
          <w:sz w:val="22"/>
          <w:szCs w:val="22"/>
          <w:lang w:eastAsia="zh-CN"/>
        </w:rPr>
        <w:t>]</w:t>
      </w:r>
      <w:r w:rsidRPr="00C833A0">
        <w:rPr>
          <w:rFonts w:ascii="Times New Roman" w:eastAsia="SimSun" w:hAnsi="Times New Roman"/>
          <w:sz w:val="22"/>
          <w:szCs w:val="22"/>
          <w:lang w:eastAsia="zh-CN"/>
        </w:rPr>
        <w:t xml:space="preserve">”. In the most recent progress report, submitted to the UK Chancellor of the Exchequer in May 2018, there is extensive reference made to the FX Global Code. However, we note the </w:t>
      </w:r>
      <w:r>
        <w:rPr>
          <w:rFonts w:ascii="Times New Roman" w:eastAsia="SimSun" w:hAnsi="Times New Roman"/>
          <w:sz w:val="22"/>
          <w:szCs w:val="22"/>
          <w:lang w:eastAsia="zh-CN"/>
        </w:rPr>
        <w:t xml:space="preserve">progress </w:t>
      </w:r>
      <w:r w:rsidRPr="00C833A0">
        <w:rPr>
          <w:rFonts w:ascii="Times New Roman" w:eastAsia="SimSun" w:hAnsi="Times New Roman"/>
          <w:sz w:val="22"/>
          <w:szCs w:val="22"/>
          <w:lang w:eastAsia="zh-CN"/>
        </w:rPr>
        <w:t xml:space="preserve">report did not renew calls for the implementation of recommendation 3b. </w:t>
      </w:r>
    </w:p>
    <w:p w14:paraId="70E101AE" w14:textId="77777777" w:rsidR="00FA7798" w:rsidRDefault="00FA7798" w:rsidP="00A8728B">
      <w:pPr>
        <w:rPr>
          <w:rFonts w:ascii="Times New Roman" w:eastAsia="SimSun" w:hAnsi="Times New Roman"/>
          <w:sz w:val="22"/>
          <w:szCs w:val="22"/>
          <w:lang w:eastAsia="zh-CN"/>
        </w:rPr>
      </w:pPr>
    </w:p>
    <w:p w14:paraId="576243BA" w14:textId="77777777" w:rsidR="00FA7798" w:rsidRDefault="006004FE" w:rsidP="00FA7798">
      <w:pPr>
        <w:spacing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 xml:space="preserve">We would also question the suggestion that national competent authorities (NCAs) may not have the necessary tools to supervise or sanction market abuse in spot FX markets, </w:t>
      </w:r>
      <w:r>
        <w:rPr>
          <w:rFonts w:ascii="Times New Roman" w:eastAsia="SimSun" w:hAnsi="Times New Roman"/>
          <w:sz w:val="22"/>
          <w:szCs w:val="22"/>
          <w:lang w:eastAsia="zh-CN"/>
        </w:rPr>
        <w:t>as illustrated by</w:t>
      </w:r>
      <w:r w:rsidRPr="00C833A0">
        <w:rPr>
          <w:rFonts w:ascii="Times New Roman" w:eastAsia="SimSun" w:hAnsi="Times New Roman"/>
          <w:sz w:val="22"/>
          <w:szCs w:val="22"/>
          <w:lang w:eastAsia="zh-CN"/>
        </w:rPr>
        <w:t xml:space="preserve"> the more-than USD 10bn of fines imposed by </w:t>
      </w:r>
      <w:r>
        <w:rPr>
          <w:rFonts w:ascii="Times New Roman" w:eastAsia="SimSun" w:hAnsi="Times New Roman"/>
          <w:sz w:val="22"/>
          <w:szCs w:val="22"/>
          <w:lang w:eastAsia="zh-CN"/>
        </w:rPr>
        <w:t>NCAs</w:t>
      </w:r>
      <w:r w:rsidRPr="00C833A0">
        <w:rPr>
          <w:rFonts w:ascii="Times New Roman" w:eastAsia="SimSun" w:hAnsi="Times New Roman"/>
          <w:sz w:val="22"/>
          <w:szCs w:val="22"/>
          <w:lang w:eastAsia="zh-CN"/>
        </w:rPr>
        <w:t xml:space="preserve"> in relation to market manipulation. Furthermore, as ESMA notes, these fines were imposed by </w:t>
      </w:r>
      <w:r>
        <w:rPr>
          <w:rFonts w:ascii="Times New Roman" w:eastAsia="SimSun" w:hAnsi="Times New Roman"/>
          <w:sz w:val="22"/>
          <w:szCs w:val="22"/>
          <w:lang w:eastAsia="zh-CN"/>
        </w:rPr>
        <w:t>NCAs</w:t>
      </w:r>
      <w:r w:rsidRPr="00C833A0">
        <w:rPr>
          <w:rFonts w:ascii="Times New Roman" w:eastAsia="SimSun" w:hAnsi="Times New Roman"/>
          <w:sz w:val="22"/>
          <w:szCs w:val="22"/>
          <w:lang w:eastAsia="zh-CN"/>
        </w:rPr>
        <w:t xml:space="preserve"> in various jurisdictions. It is our understanding that none of these jurisdictions have, or are indeed considering, extending their respective market abuse regimes to spot FX markets. Given the inherently global nature of these markets, the EU taking an approach that is inconsistent with other major jurisdictions could present a significant challenge and cause unnecessary market disruption.</w:t>
      </w:r>
    </w:p>
    <w:p w14:paraId="3C3E0A2C" w14:textId="19B888BC" w:rsidR="00A8728B" w:rsidRDefault="006004FE" w:rsidP="00A8728B">
      <w:r>
        <w:t xml:space="preserve"> </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lastRenderedPageBreak/>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72C08D6D" w14:textId="7B34E038" w:rsidR="00FA7798" w:rsidRPr="00C833A0" w:rsidRDefault="00FA7798" w:rsidP="00FA7798">
      <w:pPr>
        <w:spacing w:after="120" w:line="276" w:lineRule="auto"/>
        <w:jc w:val="both"/>
        <w:rPr>
          <w:rFonts w:ascii="Times New Roman" w:hAnsi="Times New Roman"/>
          <w:color w:val="000000" w:themeColor="text1"/>
          <w:sz w:val="22"/>
          <w:szCs w:val="22"/>
        </w:rPr>
      </w:pPr>
      <w:bookmarkStart w:id="4" w:name="_Hlk25939781"/>
      <w:permStart w:id="1040662039" w:edGrp="everyone"/>
      <w:r w:rsidRPr="00C833A0">
        <w:rPr>
          <w:rFonts w:ascii="Times New Roman" w:hAnsi="Times New Roman"/>
          <w:color w:val="000000" w:themeColor="text1"/>
          <w:sz w:val="22"/>
          <w:szCs w:val="22"/>
        </w:rPr>
        <w:t>We broadly agree with ESMA’s preliminary view regarding the structural changes necessary to extend the scope of MAR to spot FX contracts, and the challenges these present. This is highlighted by the size of the global FX market and the range of market participants involved. In particular we would emphasise the significant cost implications for both NCAs and market participants, as referenced by ESMA in paragraph 22</w:t>
      </w:r>
      <w:r>
        <w:rPr>
          <w:rFonts w:ascii="Times New Roman" w:hAnsi="Times New Roman"/>
          <w:color w:val="000000" w:themeColor="text1"/>
          <w:sz w:val="22"/>
          <w:szCs w:val="22"/>
        </w:rPr>
        <w:t xml:space="preserve"> of the consultation paper</w:t>
      </w:r>
      <w:r w:rsidRPr="00C833A0">
        <w:rPr>
          <w:rFonts w:ascii="Times New Roman" w:hAnsi="Times New Roman"/>
          <w:color w:val="000000" w:themeColor="text1"/>
          <w:sz w:val="22"/>
          <w:szCs w:val="22"/>
        </w:rPr>
        <w:t xml:space="preserve">. </w:t>
      </w:r>
    </w:p>
    <w:p w14:paraId="6DE1929B" w14:textId="77777777" w:rsidR="00FA7798" w:rsidRDefault="00FA7798" w:rsidP="00FA7798">
      <w:pPr>
        <w:spacing w:line="276" w:lineRule="auto"/>
        <w:rPr>
          <w:rFonts w:ascii="Times New Roman" w:hAnsi="Times New Roman"/>
          <w:color w:val="000000" w:themeColor="text1"/>
          <w:sz w:val="22"/>
          <w:szCs w:val="22"/>
        </w:rPr>
      </w:pPr>
      <w:r w:rsidRPr="00C833A0">
        <w:rPr>
          <w:rFonts w:ascii="Times New Roman" w:hAnsi="Times New Roman"/>
          <w:color w:val="000000" w:themeColor="text1"/>
          <w:sz w:val="22"/>
          <w:szCs w:val="22"/>
        </w:rPr>
        <w:t xml:space="preserve">We support ESMA’s comment in paragraph 17 that it may be advisable to wait until the FX Global Code is further embedded and any outcomes of the </w:t>
      </w:r>
      <w:r>
        <w:rPr>
          <w:rFonts w:ascii="Times New Roman" w:hAnsi="Times New Roman"/>
          <w:color w:val="000000" w:themeColor="text1"/>
          <w:sz w:val="22"/>
          <w:szCs w:val="22"/>
        </w:rPr>
        <w:t>r</w:t>
      </w:r>
      <w:r w:rsidRPr="00C833A0">
        <w:rPr>
          <w:rFonts w:ascii="Times New Roman" w:hAnsi="Times New Roman"/>
          <w:color w:val="000000" w:themeColor="text1"/>
          <w:sz w:val="22"/>
          <w:szCs w:val="22"/>
        </w:rPr>
        <w:t>eview process have been sufficiently considered</w:t>
      </w:r>
      <w:bookmarkEnd w:id="4"/>
      <w:r w:rsidRPr="00C833A0">
        <w:rPr>
          <w:rFonts w:ascii="Times New Roman" w:hAnsi="Times New Roman"/>
          <w:color w:val="000000" w:themeColor="text1"/>
          <w:sz w:val="22"/>
          <w:szCs w:val="22"/>
        </w:rPr>
        <w:t xml:space="preserve">. </w:t>
      </w:r>
    </w:p>
    <w:p w14:paraId="3C3E0A31" w14:textId="05BAE4A0" w:rsidR="00A8728B" w:rsidRDefault="00FA7798" w:rsidP="00A8728B">
      <w:r>
        <w:t xml:space="preserve"> </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200E90A9" w14:textId="77777777" w:rsidR="00FA7798" w:rsidRDefault="00FA7798" w:rsidP="00FA7798">
      <w:pPr>
        <w:spacing w:line="276" w:lineRule="auto"/>
        <w:jc w:val="both"/>
        <w:rPr>
          <w:rFonts w:ascii="Times New Roman" w:eastAsia="SimSun" w:hAnsi="Times New Roman"/>
          <w:color w:val="000000" w:themeColor="text1"/>
          <w:sz w:val="22"/>
          <w:szCs w:val="22"/>
          <w:lang w:eastAsia="zh-CN"/>
        </w:rPr>
      </w:pPr>
      <w:permStart w:id="1114596086" w:edGrp="everyone"/>
      <w:r w:rsidRPr="00C833A0">
        <w:rPr>
          <w:rFonts w:ascii="Times New Roman" w:eastAsia="SimSun" w:hAnsi="Times New Roman"/>
          <w:color w:val="000000" w:themeColor="text1"/>
          <w:sz w:val="22"/>
          <w:szCs w:val="22"/>
          <w:lang w:eastAsia="zh-CN"/>
        </w:rPr>
        <w:t>We would agree with ESMA’s analysis that the MAR and the BMR are largely complementary pieces of legislation. Regarding the definition of a benchmark under the two regulations, we would agree that these are largely consistent and do not believe the slight differences noted by ESMA could increase the likelihood that potential market abuse risks materialise.</w:t>
      </w:r>
    </w:p>
    <w:p w14:paraId="43E72156" w14:textId="24B3C80E" w:rsidR="002E1760" w:rsidRDefault="00FA7798" w:rsidP="002E1760">
      <w:r>
        <w:t xml:space="preserve"> </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lastRenderedPageBreak/>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77777777" w:rsidR="00A263DF" w:rsidRDefault="00A263DF" w:rsidP="00A263DF">
      <w:permStart w:id="707658946" w:edGrp="everyone"/>
      <w:r>
        <w:t>TYPE YOUR TEXT HERE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77777777" w:rsidR="00A263DF" w:rsidRDefault="00A263DF" w:rsidP="00A263DF">
      <w:permStart w:id="797404044" w:edGrp="everyone"/>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77777777" w:rsidR="002E1760" w:rsidRDefault="002E1760" w:rsidP="002E1760">
      <w:permStart w:id="1572474776" w:edGrp="everyone"/>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lastRenderedPageBreak/>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3C3E0A68" w14:textId="77777777" w:rsidR="00646C30" w:rsidRDefault="00646C30" w:rsidP="00646C30">
      <w:permStart w:id="770132907" w:edGrp="everyone"/>
      <w:r>
        <w:t>TYPE YOUR TEXT HERE</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18DAB364" w14:textId="7A9CF9F5" w:rsidR="00FA7798" w:rsidRPr="00C833A0" w:rsidRDefault="00FA7798" w:rsidP="00FA7798">
      <w:pPr>
        <w:spacing w:after="120" w:line="276" w:lineRule="auto"/>
        <w:jc w:val="both"/>
        <w:rPr>
          <w:rFonts w:ascii="Times New Roman" w:eastAsia="SimSun" w:hAnsi="Times New Roman"/>
          <w:sz w:val="22"/>
          <w:szCs w:val="22"/>
          <w:lang w:eastAsia="zh-CN"/>
        </w:rPr>
      </w:pPr>
      <w:permStart w:id="416102086" w:edGrp="everyone"/>
      <w:r w:rsidRPr="00C833A0">
        <w:rPr>
          <w:rFonts w:ascii="Times New Roman" w:eastAsia="SimSun" w:hAnsi="Times New Roman"/>
          <w:sz w:val="22"/>
          <w:szCs w:val="22"/>
          <w:lang w:eastAsia="zh-CN"/>
        </w:rPr>
        <w:t xml:space="preserve">State Street is of the view that the current definition of inside information is indeed sufficient for the purposes of identifying and combating market abuse, and do not believe there to be any obvious shortcomings. Furthermore, the additional guidance issued by ESMA in this area has been helpful.     </w:t>
      </w:r>
    </w:p>
    <w:p w14:paraId="3C3E0A6D" w14:textId="09BC53FB" w:rsidR="00646C30" w:rsidRDefault="00FA7798" w:rsidP="00646C30">
      <w:r>
        <w:t xml:space="preserve"> </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lastRenderedPageBreak/>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0EA4EBE" w14:textId="1BD0E774" w:rsidR="00A1637A" w:rsidRPr="00C833A0" w:rsidRDefault="00A1637A" w:rsidP="00A1637A">
      <w:pPr>
        <w:spacing w:after="120" w:line="276" w:lineRule="auto"/>
        <w:jc w:val="both"/>
        <w:rPr>
          <w:rFonts w:ascii="Times New Roman" w:eastAsia="SimSun" w:hAnsi="Times New Roman"/>
          <w:sz w:val="22"/>
          <w:szCs w:val="22"/>
          <w:lang w:eastAsia="zh-CN"/>
        </w:rPr>
      </w:pPr>
      <w:permStart w:id="583142347" w:edGrp="everyone"/>
      <w:r>
        <w:t xml:space="preserve"> </w:t>
      </w:r>
      <w:r w:rsidRPr="00C833A0">
        <w:rPr>
          <w:rFonts w:ascii="Times New Roman" w:eastAsia="SimSun" w:hAnsi="Times New Roman"/>
          <w:sz w:val="22"/>
          <w:szCs w:val="22"/>
          <w:lang w:eastAsia="zh-CN"/>
        </w:rPr>
        <w:t xml:space="preserve">In the consultation paper, ESMA indicates that front-running is relevant beyond persons charged with the execution of orders who have knowledge relating to a client order. We believe this is sensible and it is something that State Street already implements in practice. Nevertheless, we would welcome such a clarification in the legislative framework. </w:t>
      </w:r>
    </w:p>
    <w:p w14:paraId="27DB9DC6" w14:textId="77777777" w:rsidR="00A1637A" w:rsidRPr="00C833A0" w:rsidRDefault="00A1637A" w:rsidP="00A1637A">
      <w:pPr>
        <w:spacing w:after="120"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 xml:space="preserve">State Street believes that the expanded scope should be applicable to all persons involved in the pre-trade lifecycle. This would include research analysts and persons involved in various internal committees where investment strategies may be discussed and investment activities reasonably anticipated. In addition, this broadened scope should cover all persons with access to aggregated information, such as advisors and brokers, as well as persons in support functions (e.g. IT, compliance), where they have access to pre-trade information. </w:t>
      </w:r>
    </w:p>
    <w:p w14:paraId="2F408B19" w14:textId="77777777" w:rsidR="00A1637A" w:rsidRPr="00C833A0" w:rsidRDefault="00A1637A" w:rsidP="00A1637A">
      <w:pPr>
        <w:spacing w:after="120"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 xml:space="preserve">Furthermore, we believe this clarification would result in greater international consistency, as other jurisdictions currently view front-running through a broader lens than the EU.           </w:t>
      </w:r>
    </w:p>
    <w:p w14:paraId="3C3E0A8B" w14:textId="384BFF1E" w:rsidR="00646C30" w:rsidRDefault="00A1637A" w:rsidP="00646C30">
      <w:r>
        <w:t xml:space="preserve"> </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4F79857D" w14:textId="7C6ACC63" w:rsidR="00A1637A" w:rsidRPr="00C833A0" w:rsidRDefault="00A1637A" w:rsidP="00A1637A">
      <w:pPr>
        <w:spacing w:after="120" w:line="276" w:lineRule="auto"/>
        <w:jc w:val="both"/>
        <w:rPr>
          <w:rFonts w:ascii="Times New Roman" w:eastAsia="SimSun" w:hAnsi="Times New Roman"/>
          <w:sz w:val="22"/>
          <w:szCs w:val="22"/>
          <w:lang w:eastAsia="zh-CN"/>
        </w:rPr>
      </w:pPr>
      <w:permStart w:id="1948856452" w:edGrp="everyone"/>
      <w:r w:rsidRPr="00C833A0">
        <w:rPr>
          <w:rFonts w:ascii="Times New Roman" w:eastAsia="SimSun" w:hAnsi="Times New Roman"/>
          <w:sz w:val="22"/>
          <w:szCs w:val="22"/>
          <w:lang w:eastAsia="zh-CN"/>
        </w:rPr>
        <w:t>No</w:t>
      </w:r>
      <w:r>
        <w:rPr>
          <w:rFonts w:ascii="Times New Roman" w:eastAsia="SimSun" w:hAnsi="Times New Roman"/>
          <w:sz w:val="22"/>
          <w:szCs w:val="22"/>
          <w:lang w:eastAsia="zh-CN"/>
        </w:rPr>
        <w:t>twithstanding our response to Question 20</w:t>
      </w:r>
      <w:r w:rsidRPr="00C833A0">
        <w:rPr>
          <w:rFonts w:ascii="Times New Roman" w:eastAsia="SimSun" w:hAnsi="Times New Roman"/>
          <w:sz w:val="22"/>
          <w:szCs w:val="22"/>
          <w:lang w:eastAsia="zh-CN"/>
        </w:rPr>
        <w:t xml:space="preserve">, we do not see </w:t>
      </w:r>
      <w:r>
        <w:rPr>
          <w:rFonts w:ascii="Times New Roman" w:eastAsia="SimSun" w:hAnsi="Times New Roman"/>
          <w:sz w:val="22"/>
          <w:szCs w:val="22"/>
          <w:lang w:eastAsia="zh-CN"/>
        </w:rPr>
        <w:t>the need</w:t>
      </w:r>
      <w:r w:rsidRPr="00C833A0">
        <w:rPr>
          <w:rFonts w:ascii="Times New Roman" w:eastAsia="SimSun" w:hAnsi="Times New Roman"/>
          <w:sz w:val="22"/>
          <w:szCs w:val="22"/>
          <w:lang w:eastAsia="zh-CN"/>
        </w:rPr>
        <w:t xml:space="preserve"> for additional specific conditions for illiquid instruments.  </w:t>
      </w:r>
    </w:p>
    <w:permEnd w:id="1948856452"/>
    <w:p w14:paraId="3C3E0A90" w14:textId="0402D9D1" w:rsidR="00646C30" w:rsidRDefault="00646C30" w:rsidP="00646C30"/>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0304F015" w14:textId="1592B11E" w:rsidR="00A1637A" w:rsidRPr="00C833A0" w:rsidRDefault="00A1637A" w:rsidP="00A1637A">
      <w:pPr>
        <w:spacing w:after="120" w:line="276" w:lineRule="auto"/>
        <w:jc w:val="both"/>
        <w:rPr>
          <w:rFonts w:ascii="Times New Roman" w:eastAsia="SimSun" w:hAnsi="Times New Roman"/>
          <w:sz w:val="22"/>
          <w:szCs w:val="22"/>
          <w:lang w:eastAsia="zh-CN"/>
        </w:rPr>
      </w:pPr>
      <w:permStart w:id="969017955" w:edGrp="everyone"/>
      <w:r w:rsidRPr="00C833A0">
        <w:rPr>
          <w:rFonts w:ascii="Times New Roman" w:eastAsia="SimSun" w:hAnsi="Times New Roman"/>
          <w:sz w:val="22"/>
          <w:szCs w:val="22"/>
          <w:lang w:eastAsia="zh-CN"/>
        </w:rPr>
        <w:t>We can appreciate ESMA’s concern in this area and in particular, the potential for a conflict of interest where brokers benefit at the expense of their clients. We agree with the underlying premise that while it is sensible for brokers to engage in such activity, from a general risk management perspective, the broker should not actively profit from</w:t>
      </w:r>
      <w:r>
        <w:rPr>
          <w:rFonts w:ascii="Times New Roman" w:eastAsia="SimSun" w:hAnsi="Times New Roman"/>
          <w:sz w:val="22"/>
          <w:szCs w:val="22"/>
          <w:lang w:eastAsia="zh-CN"/>
        </w:rPr>
        <w:t xml:space="preserve"> this </w:t>
      </w:r>
      <w:r w:rsidRPr="00C833A0">
        <w:rPr>
          <w:rFonts w:ascii="Times New Roman" w:eastAsia="SimSun" w:hAnsi="Times New Roman"/>
          <w:sz w:val="22"/>
          <w:szCs w:val="22"/>
          <w:lang w:eastAsia="zh-CN"/>
        </w:rPr>
        <w:t xml:space="preserve">and it should certainly not </w:t>
      </w:r>
      <w:r>
        <w:rPr>
          <w:rFonts w:ascii="Times New Roman" w:eastAsia="SimSun" w:hAnsi="Times New Roman"/>
          <w:sz w:val="22"/>
          <w:szCs w:val="22"/>
          <w:lang w:eastAsia="zh-CN"/>
        </w:rPr>
        <w:t xml:space="preserve">be </w:t>
      </w:r>
      <w:r w:rsidRPr="00C833A0">
        <w:rPr>
          <w:rFonts w:ascii="Times New Roman" w:eastAsia="SimSun" w:hAnsi="Times New Roman"/>
          <w:sz w:val="22"/>
          <w:szCs w:val="22"/>
          <w:lang w:eastAsia="zh-CN"/>
        </w:rPr>
        <w:t xml:space="preserve">to the detriment of clients. However, this is not something that we have observed in practice. </w:t>
      </w:r>
    </w:p>
    <w:p w14:paraId="6F7AF7B8" w14:textId="0D7C5EE1" w:rsidR="00A1637A" w:rsidRPr="00C833A0" w:rsidRDefault="00A1637A" w:rsidP="00A1637A">
      <w:pPr>
        <w:spacing w:after="120"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With regards to additional transparency, we understand that a number of brokers already disclose their use of pre-hedging arrangements to clients. We would be supportive of further efforts to improve transparency.</w:t>
      </w:r>
    </w:p>
    <w:p w14:paraId="3C3E0A95" w14:textId="6E3F2A40" w:rsidR="00646C30" w:rsidRDefault="00A1637A" w:rsidP="00646C30">
      <w:r>
        <w:t xml:space="preserve"> </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0FE96CE7" w14:textId="495D7B86" w:rsidR="00A1637A" w:rsidRPr="00C833A0" w:rsidRDefault="00A1637A" w:rsidP="00A1637A">
      <w:pPr>
        <w:spacing w:line="276" w:lineRule="auto"/>
        <w:jc w:val="both"/>
        <w:rPr>
          <w:rFonts w:ascii="Times New Roman" w:eastAsia="SimSun" w:hAnsi="Times New Roman"/>
          <w:sz w:val="22"/>
          <w:szCs w:val="22"/>
          <w:lang w:eastAsia="zh-CN"/>
        </w:rPr>
      </w:pPr>
      <w:permStart w:id="1807571479" w:edGrp="everyone"/>
      <w:r w:rsidRPr="00C833A0">
        <w:rPr>
          <w:rFonts w:ascii="Times New Roman" w:eastAsia="SimSun" w:hAnsi="Times New Roman"/>
          <w:sz w:val="22"/>
          <w:szCs w:val="22"/>
          <w:lang w:eastAsia="zh-CN"/>
        </w:rPr>
        <w:t xml:space="preserve">We do not believe that pre-hedging is specific to a subset of financial instruments. </w:t>
      </w:r>
      <w:r w:rsidR="00946786">
        <w:rPr>
          <w:rFonts w:ascii="Times New Roman" w:eastAsia="SimSun" w:hAnsi="Times New Roman"/>
          <w:sz w:val="22"/>
          <w:szCs w:val="22"/>
          <w:lang w:eastAsia="zh-CN"/>
        </w:rPr>
        <w:t xml:space="preserve">However, </w:t>
      </w:r>
      <w:r w:rsidRPr="00C833A0">
        <w:rPr>
          <w:rFonts w:ascii="Times New Roman" w:eastAsia="SimSun" w:hAnsi="Times New Roman"/>
          <w:sz w:val="22"/>
          <w:szCs w:val="22"/>
          <w:lang w:eastAsia="zh-CN"/>
        </w:rPr>
        <w:t xml:space="preserve">should policymakers have particular outstanding concerns on pre-hedging in relation to wholesale FX markets, we believe these should be addressed through the upcoming review </w:t>
      </w:r>
      <w:r>
        <w:rPr>
          <w:rFonts w:ascii="Times New Roman" w:eastAsia="SimSun" w:hAnsi="Times New Roman"/>
          <w:sz w:val="22"/>
          <w:szCs w:val="22"/>
          <w:lang w:eastAsia="zh-CN"/>
        </w:rPr>
        <w:t xml:space="preserve">of the </w:t>
      </w:r>
      <w:r w:rsidRPr="00C833A0">
        <w:rPr>
          <w:rFonts w:ascii="Times New Roman" w:eastAsia="SimSun" w:hAnsi="Times New Roman"/>
          <w:sz w:val="22"/>
          <w:szCs w:val="22"/>
          <w:lang w:eastAsia="zh-CN"/>
        </w:rPr>
        <w:t>FX Global Code, rather than revisions to MAR.</w:t>
      </w:r>
    </w:p>
    <w:permEnd w:id="1807571479"/>
    <w:p w14:paraId="3C3E0A9F" w14:textId="717AA42D" w:rsidR="00646C30" w:rsidRDefault="00646C30" w:rsidP="00646C30"/>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77777777" w:rsidR="00646C30" w:rsidRDefault="00646C30" w:rsidP="00646C30">
      <w:permStart w:id="611875542" w:edGrp="everyone"/>
      <w:r>
        <w:t>TYPE YOUR TEXT HERE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lastRenderedPageBreak/>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77777777" w:rsidR="00646C30" w:rsidRDefault="00646C30" w:rsidP="00646C30">
      <w:permStart w:id="1678079242" w:edGrp="everyone"/>
      <w:r>
        <w:t>TYPE YOUR TEXT HERE</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77777777" w:rsidR="00646C30" w:rsidRDefault="00646C30" w:rsidP="00646C30">
      <w:permStart w:id="1420902335" w:edGrp="everyone"/>
      <w:r>
        <w:t>TYPE YOUR TEXT HERE</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lastRenderedPageBreak/>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14DB0683" w14:textId="09B57F35" w:rsidR="00AB0132" w:rsidRDefault="00A1637A" w:rsidP="00AB0132">
      <w:pPr>
        <w:spacing w:line="276" w:lineRule="auto"/>
        <w:jc w:val="both"/>
      </w:pPr>
      <w:permStart w:id="1371158119" w:edGrp="everyone"/>
      <w:r w:rsidRPr="00A1637A">
        <w:t>We agree with the proposed amendments to Article 11 put forward by ESMA. We are aware that some market participants have interpreted Article 11 as optional. In order to promote consistent application, we would welcome further clarification in MAR that it is in fact an obligatory provision.</w:t>
      </w:r>
    </w:p>
    <w:p w14:paraId="3C3E0ACC" w14:textId="7751B6B4" w:rsidR="00646C30" w:rsidRDefault="00A1637A" w:rsidP="00646C30">
      <w:r>
        <w:t xml:space="preserve"> </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77777777" w:rsidR="00646C30" w:rsidRDefault="00646C30" w:rsidP="00646C30">
      <w:permStart w:id="146477293" w:edGrp="everyone"/>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lastRenderedPageBreak/>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7777777" w:rsidR="00646C30" w:rsidRDefault="00646C30" w:rsidP="00646C30">
      <w:permStart w:id="2098217667" w:edGrp="everyone"/>
      <w:r>
        <w:t>TYPE YOUR TEXT HERE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1C016119" w14:textId="65997889" w:rsidR="00AB0132" w:rsidRPr="00C833A0" w:rsidRDefault="00AB0132" w:rsidP="00AB0132">
      <w:pPr>
        <w:pStyle w:val="ListParagraph"/>
        <w:spacing w:after="120" w:line="276" w:lineRule="auto"/>
        <w:ind w:left="0"/>
        <w:contextualSpacing w:val="0"/>
        <w:jc w:val="both"/>
        <w:rPr>
          <w:rFonts w:ascii="Times New Roman" w:hAnsi="Times New Roman"/>
          <w:color w:val="000000" w:themeColor="text1"/>
          <w:sz w:val="22"/>
          <w:szCs w:val="22"/>
        </w:rPr>
      </w:pPr>
      <w:permStart w:id="1933056180" w:edGrp="everyone"/>
      <w:r>
        <w:t xml:space="preserve"> </w:t>
      </w:r>
      <w:r w:rsidRPr="00C833A0">
        <w:rPr>
          <w:rFonts w:ascii="Times New Roman" w:hAnsi="Times New Roman"/>
          <w:color w:val="000000" w:themeColor="text1"/>
          <w:sz w:val="22"/>
          <w:szCs w:val="22"/>
        </w:rPr>
        <w:t>State Street agrees with ESMA’s view on the usefulness of insider lists. We believe that insider lists can assist in actively informing a</w:t>
      </w:r>
      <w:r>
        <w:rPr>
          <w:rFonts w:ascii="Times New Roman" w:hAnsi="Times New Roman"/>
          <w:color w:val="000000" w:themeColor="text1"/>
          <w:sz w:val="22"/>
          <w:szCs w:val="22"/>
        </w:rPr>
        <w:t xml:space="preserve">n organisation </w:t>
      </w:r>
      <w:r w:rsidRPr="00C833A0">
        <w:rPr>
          <w:rFonts w:ascii="Times New Roman" w:hAnsi="Times New Roman"/>
          <w:color w:val="000000" w:themeColor="text1"/>
          <w:sz w:val="22"/>
          <w:szCs w:val="22"/>
        </w:rPr>
        <w:t xml:space="preserve">of potential new risks and contribute to the overall soundness of its risk management. </w:t>
      </w:r>
    </w:p>
    <w:permEnd w:id="1933056180"/>
    <w:p w14:paraId="3C3E0AEA" w14:textId="2024EB93" w:rsidR="00646C30" w:rsidRDefault="00646C30" w:rsidP="00646C30"/>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6ABE7656" w14:textId="5C7A786E" w:rsidR="00AB0132" w:rsidRPr="00C833A0" w:rsidRDefault="00AB0132" w:rsidP="00AB0132">
      <w:pPr>
        <w:spacing w:after="120" w:line="276" w:lineRule="auto"/>
        <w:jc w:val="both"/>
        <w:rPr>
          <w:rFonts w:ascii="Times New Roman" w:eastAsia="SimSun" w:hAnsi="Times New Roman"/>
          <w:sz w:val="22"/>
          <w:szCs w:val="22"/>
          <w:lang w:eastAsia="zh-CN"/>
        </w:rPr>
      </w:pPr>
      <w:permStart w:id="1252881600" w:edGrp="everyone"/>
      <w:r w:rsidRPr="00C833A0">
        <w:rPr>
          <w:rFonts w:ascii="Times New Roman" w:eastAsia="SimSun" w:hAnsi="Times New Roman"/>
          <w:sz w:val="22"/>
          <w:szCs w:val="22"/>
          <w:lang w:eastAsia="zh-CN"/>
        </w:rPr>
        <w:t>We would be supportive of amendments to the insider list regime</w:t>
      </w:r>
      <w:r>
        <w:rPr>
          <w:rFonts w:ascii="Times New Roman" w:eastAsia="SimSun" w:hAnsi="Times New Roman"/>
          <w:sz w:val="22"/>
          <w:szCs w:val="22"/>
          <w:lang w:eastAsia="zh-CN"/>
        </w:rPr>
        <w:t>,</w:t>
      </w:r>
      <w:r w:rsidRPr="00C833A0">
        <w:rPr>
          <w:rFonts w:ascii="Times New Roman" w:eastAsia="SimSun" w:hAnsi="Times New Roman"/>
          <w:sz w:val="22"/>
          <w:szCs w:val="22"/>
          <w:lang w:eastAsia="zh-CN"/>
        </w:rPr>
        <w:t xml:space="preserve"> which limit its scope to persons with actual access to inside information, rather than persons who may potentially have access to inside information. Again, we believe this will support a firm’s overall approach to risk management. </w:t>
      </w:r>
    </w:p>
    <w:p w14:paraId="27CEAD95" w14:textId="77777777" w:rsidR="00AB0132" w:rsidRPr="00C833A0" w:rsidRDefault="00AB0132" w:rsidP="00AB0132">
      <w:pPr>
        <w:spacing w:after="120"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 xml:space="preserve">In the consultation paper, ESMA makes reference to provisions included in the proposed SME growth regulation. We do not believe ESMA needs to further clarify the insider list with regards to persons with regular access and persons with only situational (or </w:t>
      </w:r>
      <w:r w:rsidRPr="001837B0">
        <w:rPr>
          <w:rFonts w:ascii="Times New Roman" w:eastAsia="SimSun" w:hAnsi="Times New Roman"/>
          <w:i/>
          <w:sz w:val="22"/>
          <w:szCs w:val="22"/>
          <w:lang w:eastAsia="zh-CN"/>
        </w:rPr>
        <w:t>ad hoc</w:t>
      </w:r>
      <w:r w:rsidRPr="00C833A0">
        <w:rPr>
          <w:rFonts w:ascii="Times New Roman" w:eastAsia="SimSun" w:hAnsi="Times New Roman"/>
          <w:sz w:val="22"/>
          <w:szCs w:val="22"/>
          <w:lang w:eastAsia="zh-CN"/>
        </w:rPr>
        <w:t xml:space="preserve">) access.      </w:t>
      </w:r>
    </w:p>
    <w:p w14:paraId="3C3E0AEF" w14:textId="098B1B5D" w:rsidR="00646C30" w:rsidRDefault="00AB0132" w:rsidP="00646C30">
      <w:r>
        <w:t xml:space="preserve"> </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lastRenderedPageBreak/>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0CACDAD3" w14:textId="76996A5A" w:rsidR="00AB0132" w:rsidRDefault="00AB0132" w:rsidP="00AB0132">
      <w:pPr>
        <w:spacing w:line="276" w:lineRule="auto"/>
        <w:jc w:val="both"/>
        <w:rPr>
          <w:rFonts w:ascii="Times New Roman" w:hAnsi="Times New Roman"/>
          <w:color w:val="000000" w:themeColor="text1"/>
          <w:sz w:val="22"/>
          <w:szCs w:val="22"/>
        </w:rPr>
      </w:pPr>
      <w:permStart w:id="1148858332" w:edGrp="everyone"/>
      <w:r>
        <w:t xml:space="preserve"> </w:t>
      </w:r>
      <w:r w:rsidRPr="00C833A0">
        <w:rPr>
          <w:rFonts w:ascii="Times New Roman" w:hAnsi="Times New Roman"/>
          <w:color w:val="000000" w:themeColor="text1"/>
          <w:sz w:val="22"/>
          <w:szCs w:val="22"/>
        </w:rPr>
        <w:t xml:space="preserve">We believe that expanding the requirement of insider lists to include all persons with access to inside information, including those not acting on behalf of an issuer, would seem logical and provide clarity </w:t>
      </w:r>
      <w:r w:rsidR="00946786">
        <w:rPr>
          <w:rFonts w:ascii="Times New Roman" w:hAnsi="Times New Roman"/>
          <w:color w:val="000000" w:themeColor="text1"/>
          <w:sz w:val="22"/>
          <w:szCs w:val="22"/>
        </w:rPr>
        <w:t xml:space="preserve">with respect to </w:t>
      </w:r>
      <w:r w:rsidRPr="00C833A0">
        <w:rPr>
          <w:rFonts w:ascii="Times New Roman" w:hAnsi="Times New Roman"/>
          <w:color w:val="000000" w:themeColor="text1"/>
          <w:sz w:val="22"/>
          <w:szCs w:val="22"/>
        </w:rPr>
        <w:t xml:space="preserve">applicable regulatory requirements. </w:t>
      </w:r>
    </w:p>
    <w:p w14:paraId="3C3E0AF9" w14:textId="344315EC" w:rsidR="00646C30" w:rsidRDefault="00AB0132" w:rsidP="00646C30">
      <w:r>
        <w:t xml:space="preserve">  </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2C3FB16E" w14:textId="21B8EA9B" w:rsidR="00AB0132" w:rsidRPr="00C833A0" w:rsidRDefault="00AB0132" w:rsidP="00AB0132">
      <w:pPr>
        <w:spacing w:after="120" w:line="276" w:lineRule="auto"/>
        <w:jc w:val="both"/>
        <w:rPr>
          <w:rFonts w:ascii="Times New Roman" w:eastAsia="SimSun" w:hAnsi="Times New Roman"/>
          <w:sz w:val="22"/>
          <w:szCs w:val="22"/>
          <w:lang w:eastAsia="zh-CN"/>
        </w:rPr>
      </w:pPr>
      <w:permStart w:id="513950227" w:edGrp="everyone"/>
      <w:r w:rsidRPr="00C833A0">
        <w:rPr>
          <w:rFonts w:ascii="Times New Roman" w:eastAsia="SimSun" w:hAnsi="Times New Roman"/>
          <w:sz w:val="22"/>
          <w:szCs w:val="22"/>
          <w:lang w:eastAsia="zh-CN"/>
        </w:rPr>
        <w:t>State Street does not make use of the option of using a permanent insider section as part of our insider lists. Nevertheless, we recognise the concerns flagged by ESMA in the consultation paper. If the permanent insider section is to be maintained, we believe that further guidance that facilitate</w:t>
      </w:r>
      <w:r>
        <w:rPr>
          <w:rFonts w:ascii="Times New Roman" w:eastAsia="SimSun" w:hAnsi="Times New Roman"/>
          <w:sz w:val="22"/>
          <w:szCs w:val="22"/>
          <w:lang w:eastAsia="zh-CN"/>
        </w:rPr>
        <w:t>s</w:t>
      </w:r>
      <w:r w:rsidRPr="00C833A0">
        <w:rPr>
          <w:rFonts w:ascii="Times New Roman" w:eastAsia="SimSun" w:hAnsi="Times New Roman"/>
          <w:sz w:val="22"/>
          <w:szCs w:val="22"/>
          <w:lang w:eastAsia="zh-CN"/>
        </w:rPr>
        <w:t xml:space="preserve"> its appropriate use may be helpful.     </w:t>
      </w:r>
    </w:p>
    <w:permEnd w:id="513950227"/>
    <w:p w14:paraId="3C3E0AFE" w14:textId="584331F1" w:rsidR="00646C30" w:rsidRDefault="00646C30" w:rsidP="00646C30"/>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6F92821F" w14:textId="6296DFB0" w:rsidR="00AB0132" w:rsidRDefault="00AB0132" w:rsidP="00AB0132">
      <w:pPr>
        <w:spacing w:line="276" w:lineRule="auto"/>
        <w:jc w:val="both"/>
        <w:rPr>
          <w:rFonts w:ascii="Times New Roman" w:eastAsia="SimSun" w:hAnsi="Times New Roman"/>
          <w:sz w:val="22"/>
          <w:szCs w:val="22"/>
          <w:lang w:eastAsia="zh-CN"/>
        </w:rPr>
      </w:pPr>
      <w:permStart w:id="1908500529" w:edGrp="everyone"/>
      <w:r w:rsidRPr="00C833A0">
        <w:rPr>
          <w:rFonts w:ascii="Times New Roman" w:eastAsia="SimSun" w:hAnsi="Times New Roman"/>
          <w:sz w:val="22"/>
          <w:szCs w:val="22"/>
          <w:lang w:eastAsia="zh-CN"/>
        </w:rPr>
        <w:t>We support ESMA’s preliminary view that the issuer should only include one contact person per external provider and that each external provider should maintain its own insider list to effectively manage their own internal risk. It may be helpful if ESMA provides further clarity on its expectation, for example, with regards to responsibilities and when the information is to be made available to NCAs.</w:t>
      </w:r>
    </w:p>
    <w:p w14:paraId="3C3E0B03" w14:textId="3BB37B6B" w:rsidR="00646C30" w:rsidRDefault="00AB0132" w:rsidP="00646C30">
      <w:r>
        <w:t xml:space="preserve"> </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lastRenderedPageBreak/>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77777777" w:rsidR="00646C30" w:rsidRDefault="00646C30" w:rsidP="00646C30">
      <w:permStart w:id="274992488" w:edGrp="everyone"/>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lastRenderedPageBreak/>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77777777" w:rsidR="00646C30" w:rsidRDefault="00646C30" w:rsidP="00646C30">
      <w:permStart w:id="680881453" w:edGrp="everyone"/>
      <w:r>
        <w:t>TYPE YOUR TEXT HERE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lastRenderedPageBreak/>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50945C1F" w14:textId="6FFAF2C2" w:rsidR="00AB0132" w:rsidRPr="00C833A0" w:rsidRDefault="00AB0132" w:rsidP="00AB0132">
      <w:pPr>
        <w:spacing w:after="120" w:line="276" w:lineRule="auto"/>
        <w:jc w:val="both"/>
        <w:rPr>
          <w:rFonts w:ascii="Times New Roman" w:eastAsia="SimSun" w:hAnsi="Times New Roman"/>
          <w:sz w:val="22"/>
          <w:szCs w:val="22"/>
          <w:lang w:eastAsia="zh-CN"/>
        </w:rPr>
      </w:pPr>
      <w:permStart w:id="1585398486" w:edGrp="everyone"/>
      <w:r>
        <w:t xml:space="preserve"> </w:t>
      </w:r>
      <w:bookmarkStart w:id="5" w:name="_Hlk25947611"/>
      <w:r>
        <w:rPr>
          <w:rFonts w:ascii="Times New Roman" w:eastAsia="SimSun" w:hAnsi="Times New Roman"/>
          <w:sz w:val="22"/>
          <w:szCs w:val="22"/>
          <w:lang w:eastAsia="zh-CN"/>
        </w:rPr>
        <w:t>State Street</w:t>
      </w:r>
      <w:r w:rsidRPr="00C833A0">
        <w:rPr>
          <w:rFonts w:ascii="Times New Roman" w:eastAsia="SimSun" w:hAnsi="Times New Roman"/>
          <w:sz w:val="22"/>
          <w:szCs w:val="22"/>
          <w:lang w:eastAsia="zh-CN"/>
        </w:rPr>
        <w:t xml:space="preserve"> </w:t>
      </w:r>
      <w:r>
        <w:rPr>
          <w:rFonts w:ascii="Times New Roman" w:eastAsia="SimSun" w:hAnsi="Times New Roman"/>
          <w:sz w:val="22"/>
          <w:szCs w:val="22"/>
          <w:lang w:eastAsia="zh-CN"/>
        </w:rPr>
        <w:t>agrees that the features of</w:t>
      </w:r>
      <w:r w:rsidRPr="00C833A0">
        <w:rPr>
          <w:rFonts w:ascii="Times New Roman" w:eastAsia="SimSun" w:hAnsi="Times New Roman"/>
          <w:sz w:val="22"/>
          <w:szCs w:val="22"/>
          <w:lang w:eastAsia="zh-CN"/>
        </w:rPr>
        <w:t xml:space="preserve"> CIUs</w:t>
      </w:r>
      <w:r>
        <w:rPr>
          <w:rFonts w:ascii="Times New Roman" w:eastAsia="SimSun" w:hAnsi="Times New Roman"/>
          <w:sz w:val="22"/>
          <w:szCs w:val="22"/>
          <w:lang w:eastAsia="zh-CN"/>
        </w:rPr>
        <w:t xml:space="preserve"> mean they should be differentiated relative to other issuers for the purposes of MAR</w:t>
      </w:r>
      <w:bookmarkEnd w:id="5"/>
      <w:r>
        <w:rPr>
          <w:rFonts w:ascii="Times New Roman" w:eastAsia="SimSun" w:hAnsi="Times New Roman"/>
          <w:sz w:val="22"/>
          <w:szCs w:val="22"/>
          <w:lang w:eastAsia="zh-CN"/>
        </w:rPr>
        <w:t>.</w:t>
      </w:r>
    </w:p>
    <w:p w14:paraId="3C3E0B49" w14:textId="5550BDC8" w:rsidR="00646C30" w:rsidRDefault="00AB0132" w:rsidP="00646C30">
      <w:r>
        <w:t xml:space="preserve"> </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7C143DF2" w14:textId="48B5A208" w:rsidR="00AB0132" w:rsidRPr="00C833A0" w:rsidRDefault="00AB0132" w:rsidP="00AB0132">
      <w:pPr>
        <w:spacing w:after="120" w:line="276" w:lineRule="auto"/>
        <w:jc w:val="both"/>
        <w:rPr>
          <w:rFonts w:ascii="Times New Roman" w:eastAsia="SimSun" w:hAnsi="Times New Roman"/>
          <w:sz w:val="22"/>
          <w:szCs w:val="22"/>
          <w:lang w:eastAsia="zh-CN"/>
        </w:rPr>
      </w:pPr>
      <w:permStart w:id="1390705103" w:edGrp="everyone"/>
      <w:r>
        <w:rPr>
          <w:rFonts w:ascii="Times New Roman" w:eastAsia="SimSun" w:hAnsi="Times New Roman"/>
          <w:sz w:val="22"/>
          <w:szCs w:val="22"/>
          <w:lang w:eastAsia="zh-CN"/>
        </w:rPr>
        <w:t>While we generally believe that the provisions contained in sectoral legislation are adequate, b</w:t>
      </w:r>
      <w:r w:rsidRPr="00C833A0">
        <w:rPr>
          <w:rFonts w:ascii="Times New Roman" w:eastAsia="SimSun" w:hAnsi="Times New Roman"/>
          <w:sz w:val="22"/>
          <w:szCs w:val="22"/>
          <w:lang w:eastAsia="zh-CN"/>
        </w:rPr>
        <w:t xml:space="preserve">ased on the analysis undertaken by ESMA, we </w:t>
      </w:r>
      <w:r>
        <w:rPr>
          <w:rFonts w:ascii="Times New Roman" w:eastAsia="SimSun" w:hAnsi="Times New Roman"/>
          <w:sz w:val="22"/>
          <w:szCs w:val="22"/>
          <w:lang w:eastAsia="zh-CN"/>
        </w:rPr>
        <w:t>recognise</w:t>
      </w:r>
      <w:r w:rsidRPr="00C833A0">
        <w:rPr>
          <w:rFonts w:ascii="Times New Roman" w:eastAsia="SimSun" w:hAnsi="Times New Roman"/>
          <w:sz w:val="22"/>
          <w:szCs w:val="22"/>
          <w:lang w:eastAsia="zh-CN"/>
        </w:rPr>
        <w:t xml:space="preserve"> there </w:t>
      </w:r>
      <w:r>
        <w:rPr>
          <w:rFonts w:ascii="Times New Roman" w:eastAsia="SimSun" w:hAnsi="Times New Roman"/>
          <w:sz w:val="22"/>
          <w:szCs w:val="22"/>
          <w:lang w:eastAsia="zh-CN"/>
        </w:rPr>
        <w:t xml:space="preserve">may be </w:t>
      </w:r>
      <w:r w:rsidRPr="00C833A0">
        <w:rPr>
          <w:rFonts w:ascii="Times New Roman" w:eastAsia="SimSun" w:hAnsi="Times New Roman"/>
          <w:sz w:val="22"/>
          <w:szCs w:val="22"/>
          <w:lang w:eastAsia="zh-CN"/>
        </w:rPr>
        <w:t>grounds to extend the PDMR obligations to CIUs and their management companies. However, we would flag the potential challenges from applying certain requirements of Article 19 of MAR to CIUs, including those highlighted in paragraph 224 of the consultation paper.</w:t>
      </w:r>
      <w:r>
        <w:rPr>
          <w:rFonts w:ascii="Times New Roman" w:eastAsia="SimSun" w:hAnsi="Times New Roman"/>
          <w:sz w:val="22"/>
          <w:szCs w:val="22"/>
          <w:lang w:eastAsia="zh-CN"/>
        </w:rPr>
        <w:t xml:space="preserve"> </w:t>
      </w:r>
      <w:r w:rsidRPr="00C833A0">
        <w:rPr>
          <w:rFonts w:ascii="Times New Roman" w:eastAsia="SimSun" w:hAnsi="Times New Roman"/>
          <w:sz w:val="22"/>
          <w:szCs w:val="22"/>
          <w:lang w:eastAsia="zh-CN"/>
        </w:rPr>
        <w:t xml:space="preserve"> </w:t>
      </w:r>
    </w:p>
    <w:p w14:paraId="3C3E0B4E" w14:textId="6ED5E6EA" w:rsidR="00646C30" w:rsidRDefault="00AB0132" w:rsidP="00646C30">
      <w:r>
        <w:t xml:space="preserve"> </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7D32B309" w14:textId="0B81356F" w:rsidR="001E1CF6" w:rsidRPr="00C833A0" w:rsidRDefault="001E1CF6" w:rsidP="001E1CF6">
      <w:pPr>
        <w:spacing w:after="120" w:line="276" w:lineRule="auto"/>
        <w:jc w:val="both"/>
        <w:rPr>
          <w:rFonts w:ascii="Times New Roman" w:eastAsia="SimSun" w:hAnsi="Times New Roman"/>
          <w:sz w:val="22"/>
          <w:szCs w:val="22"/>
          <w:lang w:eastAsia="zh-CN"/>
        </w:rPr>
      </w:pPr>
      <w:permStart w:id="1861502119" w:edGrp="everyone"/>
      <w:r>
        <w:t xml:space="preserve"> </w:t>
      </w:r>
      <w:bookmarkStart w:id="6" w:name="_Hlk25947715"/>
      <w:r w:rsidR="00946786">
        <w:rPr>
          <w:rFonts w:ascii="Times New Roman" w:eastAsia="SimSun" w:hAnsi="Times New Roman"/>
          <w:sz w:val="22"/>
          <w:szCs w:val="22"/>
          <w:lang w:eastAsia="zh-CN"/>
        </w:rPr>
        <w:t>While we reaffirm</w:t>
      </w:r>
      <w:r>
        <w:rPr>
          <w:rFonts w:ascii="Times New Roman" w:eastAsia="SimSun" w:hAnsi="Times New Roman"/>
          <w:sz w:val="22"/>
          <w:szCs w:val="22"/>
          <w:lang w:eastAsia="zh-CN"/>
        </w:rPr>
        <w:t xml:space="preserve"> our views on current sectoral legislation</w:t>
      </w:r>
      <w:r w:rsidR="00946786">
        <w:rPr>
          <w:rFonts w:ascii="Times New Roman" w:eastAsia="SimSun" w:hAnsi="Times New Roman"/>
          <w:sz w:val="22"/>
          <w:szCs w:val="22"/>
          <w:lang w:eastAsia="zh-CN"/>
        </w:rPr>
        <w:t xml:space="preserve"> as expressed in the response to question 59</w:t>
      </w:r>
      <w:r>
        <w:rPr>
          <w:rFonts w:ascii="Times New Roman" w:eastAsia="SimSun" w:hAnsi="Times New Roman"/>
          <w:sz w:val="22"/>
          <w:szCs w:val="22"/>
          <w:lang w:eastAsia="zh-CN"/>
        </w:rPr>
        <w:t>, w</w:t>
      </w:r>
      <w:r w:rsidRPr="00C833A0">
        <w:rPr>
          <w:rFonts w:ascii="Times New Roman" w:eastAsia="SimSun" w:hAnsi="Times New Roman"/>
          <w:sz w:val="22"/>
          <w:szCs w:val="22"/>
          <w:lang w:eastAsia="zh-CN"/>
        </w:rPr>
        <w:t xml:space="preserve">e agree that </w:t>
      </w:r>
      <w:r w:rsidR="001E2CAE">
        <w:rPr>
          <w:rFonts w:ascii="Times New Roman" w:eastAsia="SimSun" w:hAnsi="Times New Roman"/>
          <w:sz w:val="22"/>
          <w:szCs w:val="22"/>
          <w:lang w:eastAsia="zh-CN"/>
        </w:rPr>
        <w:t xml:space="preserve">a literal reading of </w:t>
      </w:r>
      <w:r w:rsidRPr="00C833A0">
        <w:rPr>
          <w:rFonts w:ascii="Times New Roman" w:eastAsia="SimSun" w:hAnsi="Times New Roman"/>
          <w:sz w:val="22"/>
          <w:szCs w:val="22"/>
          <w:lang w:eastAsia="zh-CN"/>
        </w:rPr>
        <w:t xml:space="preserve">the current definition of PDMR under MAR may not be sufficient to capture persons that may be relevant in the context of CIUs. </w:t>
      </w:r>
      <w:bookmarkEnd w:id="6"/>
    </w:p>
    <w:permEnd w:id="1861502119"/>
    <w:p w14:paraId="3C3E0B53" w14:textId="1D0B6B1D" w:rsidR="00646C30" w:rsidRDefault="00646C30" w:rsidP="00646C30"/>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lastRenderedPageBreak/>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640F14FA" w14:textId="77777777" w:rsidR="001E1CF6" w:rsidRPr="00C833A0" w:rsidRDefault="001E1CF6" w:rsidP="001E1CF6">
      <w:pPr>
        <w:spacing w:after="120" w:line="276" w:lineRule="auto"/>
        <w:jc w:val="both"/>
        <w:rPr>
          <w:rFonts w:ascii="Times New Roman" w:eastAsia="SimSun" w:hAnsi="Times New Roman"/>
          <w:sz w:val="22"/>
          <w:szCs w:val="22"/>
          <w:lang w:eastAsia="zh-CN"/>
        </w:rPr>
      </w:pPr>
      <w:permStart w:id="518088190" w:edGrp="everyone"/>
      <w:r>
        <w:t xml:space="preserve"> </w:t>
      </w:r>
      <w:r w:rsidRPr="00C833A0">
        <w:rPr>
          <w:rFonts w:ascii="Times New Roman" w:eastAsia="SimSun" w:hAnsi="Times New Roman"/>
          <w:sz w:val="22"/>
          <w:szCs w:val="22"/>
          <w:lang w:eastAsia="zh-CN"/>
        </w:rPr>
        <w:t xml:space="preserve">Notwithstanding our response to question 60, we believe that extending the PDMR obligations to individuals captured under the “relevant persons” definition under </w:t>
      </w:r>
      <w:r>
        <w:rPr>
          <w:rFonts w:ascii="Times New Roman" w:eastAsia="SimSun" w:hAnsi="Times New Roman"/>
          <w:sz w:val="22"/>
          <w:szCs w:val="22"/>
          <w:lang w:eastAsia="zh-CN"/>
        </w:rPr>
        <w:t xml:space="preserve">the </w:t>
      </w:r>
      <w:r w:rsidRPr="00C833A0">
        <w:rPr>
          <w:rFonts w:ascii="Times New Roman" w:eastAsia="SimSun" w:hAnsi="Times New Roman"/>
          <w:sz w:val="22"/>
          <w:szCs w:val="22"/>
          <w:lang w:eastAsia="zh-CN"/>
        </w:rPr>
        <w:t>UCITS Implementing Directive would result in too broad a scope of application.</w:t>
      </w:r>
    </w:p>
    <w:p w14:paraId="31A4B10F" w14:textId="77777777" w:rsidR="001E1CF6" w:rsidRPr="00C833A0" w:rsidRDefault="001E1CF6" w:rsidP="001E1CF6">
      <w:pPr>
        <w:spacing w:after="120"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 xml:space="preserve">When considering the definition of PDMR, there appear to be two key elements. Firstly, the individual is of sufficient seniority to make or influence managerial decisions. Secondly, the individual should have regular access to inside information; this is implied in Article 3.1(25)(a) and outlined more explicitly in 3.1(25)(b). However, both of these elements would not be reflected if PDMR obligations applied to “relevant persons”. </w:t>
      </w:r>
    </w:p>
    <w:p w14:paraId="1629580E" w14:textId="77777777" w:rsidR="001E1CF6" w:rsidRPr="00C833A0" w:rsidRDefault="001E1CF6" w:rsidP="001E1CF6">
      <w:pPr>
        <w:spacing w:after="120"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 xml:space="preserve">When considering the definition of relevant persons, while it would appear to capture senior management and portfolio managers, as per the intentions of ESMA, it could also bring into scope a wide range of employees with neither managerial decision-making responsibilities nor regular access to inside information. We believe this would be disproportionate, inappropriate and unnecessarily burdensome.    </w:t>
      </w:r>
    </w:p>
    <w:permEnd w:id="518088190"/>
    <w:p w14:paraId="3C3E0B58" w14:textId="6986F4E7" w:rsidR="00646C30" w:rsidRDefault="00646C30" w:rsidP="00646C30"/>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06E41C01" w14:textId="422BFA06" w:rsidR="001E1CF6" w:rsidRDefault="001E1CF6" w:rsidP="001E1CF6">
      <w:pPr>
        <w:spacing w:after="120" w:line="276" w:lineRule="auto"/>
        <w:jc w:val="both"/>
        <w:rPr>
          <w:rFonts w:ascii="Times New Roman" w:eastAsia="SimSun" w:hAnsi="Times New Roman"/>
          <w:sz w:val="22"/>
          <w:szCs w:val="22"/>
          <w:lang w:eastAsia="zh-CN"/>
        </w:rPr>
      </w:pPr>
      <w:permStart w:id="1489983752" w:edGrp="everyone"/>
      <w:r>
        <w:t xml:space="preserve"> </w:t>
      </w:r>
      <w:r w:rsidRPr="00C833A0">
        <w:rPr>
          <w:rFonts w:ascii="Times New Roman" w:eastAsia="SimSun" w:hAnsi="Times New Roman"/>
          <w:sz w:val="22"/>
          <w:szCs w:val="22"/>
          <w:lang w:eastAsia="zh-CN"/>
        </w:rPr>
        <w:t>In the context of exchange-traded funds</w:t>
      </w:r>
      <w:r>
        <w:rPr>
          <w:rFonts w:ascii="Times New Roman" w:eastAsia="SimSun" w:hAnsi="Times New Roman"/>
          <w:sz w:val="22"/>
          <w:szCs w:val="22"/>
          <w:lang w:eastAsia="zh-CN"/>
        </w:rPr>
        <w:t xml:space="preserve"> (ETFs)</w:t>
      </w:r>
      <w:r w:rsidRPr="00C833A0">
        <w:rPr>
          <w:rFonts w:ascii="Times New Roman" w:eastAsia="SimSun" w:hAnsi="Times New Roman"/>
          <w:sz w:val="22"/>
          <w:szCs w:val="22"/>
          <w:lang w:eastAsia="zh-CN"/>
        </w:rPr>
        <w:t xml:space="preserve">, ESMA may want to consider the appropriateness of </w:t>
      </w:r>
      <w:r w:rsidR="00FD670B">
        <w:rPr>
          <w:rFonts w:ascii="Times New Roman" w:eastAsia="SimSun" w:hAnsi="Times New Roman"/>
          <w:sz w:val="22"/>
          <w:szCs w:val="22"/>
          <w:lang w:eastAsia="zh-CN"/>
        </w:rPr>
        <w:t>applying</w:t>
      </w:r>
      <w:r w:rsidRPr="00C833A0">
        <w:rPr>
          <w:rFonts w:ascii="Times New Roman" w:eastAsia="SimSun" w:hAnsi="Times New Roman"/>
          <w:sz w:val="22"/>
          <w:szCs w:val="22"/>
          <w:lang w:eastAsia="zh-CN"/>
        </w:rPr>
        <w:t xml:space="preserve"> the PDMR obligations to authorised participants (APs) and relevant employees at market-mak</w:t>
      </w:r>
      <w:r>
        <w:rPr>
          <w:rFonts w:ascii="Times New Roman" w:eastAsia="SimSun" w:hAnsi="Times New Roman"/>
          <w:sz w:val="22"/>
          <w:szCs w:val="22"/>
          <w:lang w:eastAsia="zh-CN"/>
        </w:rPr>
        <w:t>ers</w:t>
      </w:r>
      <w:r w:rsidRPr="00C833A0">
        <w:rPr>
          <w:rFonts w:ascii="Times New Roman" w:eastAsia="SimSun" w:hAnsi="Times New Roman"/>
          <w:sz w:val="22"/>
          <w:szCs w:val="22"/>
          <w:lang w:eastAsia="zh-CN"/>
        </w:rPr>
        <w:t xml:space="preserve"> (often referred to as official liquidity providers or OLPs).   </w:t>
      </w:r>
      <w:bookmarkStart w:id="7" w:name="_Hlk25311872"/>
    </w:p>
    <w:p w14:paraId="7812FB59" w14:textId="77777777" w:rsidR="001E1CF6" w:rsidRPr="00C833A0" w:rsidRDefault="001E1CF6" w:rsidP="001E1CF6">
      <w:pPr>
        <w:spacing w:after="120"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With regards to deposit</w:t>
      </w:r>
      <w:r>
        <w:rPr>
          <w:rFonts w:ascii="Times New Roman" w:eastAsia="SimSun" w:hAnsi="Times New Roman"/>
          <w:sz w:val="22"/>
          <w:szCs w:val="22"/>
          <w:lang w:eastAsia="zh-CN"/>
        </w:rPr>
        <w:t>a</w:t>
      </w:r>
      <w:r w:rsidRPr="00C833A0">
        <w:rPr>
          <w:rFonts w:ascii="Times New Roman" w:eastAsia="SimSun" w:hAnsi="Times New Roman"/>
          <w:sz w:val="22"/>
          <w:szCs w:val="22"/>
          <w:lang w:eastAsia="zh-CN"/>
        </w:rPr>
        <w:t>ries, we see little rationale for such entities to be brought within scope of the PDMR regime. When considering the definition of PDMR in Article 3.1(25) of MAR, we note it is limited to:</w:t>
      </w:r>
    </w:p>
    <w:p w14:paraId="0B416CE3" w14:textId="77777777" w:rsidR="001E1CF6" w:rsidRPr="00C833A0" w:rsidRDefault="001E1CF6" w:rsidP="001E1CF6">
      <w:pPr>
        <w:spacing w:after="120" w:line="276" w:lineRule="auto"/>
        <w:jc w:val="both"/>
        <w:rPr>
          <w:rFonts w:ascii="Times New Roman" w:eastAsia="SimSun" w:hAnsi="Times New Roman"/>
          <w:i/>
          <w:sz w:val="22"/>
          <w:szCs w:val="22"/>
          <w:lang w:eastAsia="zh-CN"/>
        </w:rPr>
      </w:pPr>
      <w:r w:rsidRPr="00C833A0">
        <w:rPr>
          <w:rFonts w:ascii="Times New Roman" w:eastAsia="SimSun" w:hAnsi="Times New Roman"/>
          <w:i/>
          <w:sz w:val="22"/>
          <w:szCs w:val="22"/>
          <w:lang w:eastAsia="zh-CN"/>
        </w:rPr>
        <w:t>“…a person within an issuer, an emission allowance market participant or another entity referred to in Article 19(10)…”</w:t>
      </w:r>
    </w:p>
    <w:p w14:paraId="67FAF523" w14:textId="77777777" w:rsidR="001E1CF6" w:rsidRPr="00C833A0" w:rsidRDefault="001E1CF6" w:rsidP="001E1CF6">
      <w:pPr>
        <w:spacing w:after="120"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It is clear that a deposit</w:t>
      </w:r>
      <w:r>
        <w:rPr>
          <w:rFonts w:ascii="Times New Roman" w:eastAsia="SimSun" w:hAnsi="Times New Roman"/>
          <w:sz w:val="22"/>
          <w:szCs w:val="22"/>
          <w:lang w:eastAsia="zh-CN"/>
        </w:rPr>
        <w:t>a</w:t>
      </w:r>
      <w:r w:rsidRPr="00C833A0">
        <w:rPr>
          <w:rFonts w:ascii="Times New Roman" w:eastAsia="SimSun" w:hAnsi="Times New Roman"/>
          <w:sz w:val="22"/>
          <w:szCs w:val="22"/>
          <w:lang w:eastAsia="zh-CN"/>
        </w:rPr>
        <w:t xml:space="preserve">ry would not fall within the definition of such entities on its own. Similarly, while we can appreciate ESMA’s consideration of applying PDMR obligations to entities to which a CIU has delegated certain tasks (implying that such entities can indirectly be considered an issuer), we believe ESMA should recognise the nature of the tasks performed. In relation to CIUs, a depositary may undertake the safekeeping of assets, the monitoring of net cash flows and oversight of the activities of the manager. We do not believe such activities can, or should, be equated to the performance of delegated portfolio management (and related) services by the management company. </w:t>
      </w:r>
    </w:p>
    <w:p w14:paraId="219B3428" w14:textId="7438C628" w:rsidR="001E1CF6" w:rsidRPr="00C833A0" w:rsidRDefault="001E1CF6" w:rsidP="001E1CF6">
      <w:pPr>
        <w:spacing w:after="120" w:line="276" w:lineRule="auto"/>
        <w:jc w:val="both"/>
        <w:rPr>
          <w:rFonts w:ascii="Times New Roman" w:eastAsia="SimSun" w:hAnsi="Times New Roman"/>
          <w:i/>
          <w:sz w:val="22"/>
          <w:szCs w:val="22"/>
          <w:lang w:eastAsia="zh-CN"/>
        </w:rPr>
      </w:pPr>
      <w:r w:rsidRPr="00C833A0">
        <w:rPr>
          <w:rFonts w:ascii="Times New Roman" w:eastAsia="SimSun" w:hAnsi="Times New Roman"/>
          <w:sz w:val="22"/>
          <w:szCs w:val="22"/>
          <w:lang w:eastAsia="zh-CN"/>
        </w:rPr>
        <w:t>In addition, a deposit</w:t>
      </w:r>
      <w:r>
        <w:rPr>
          <w:rFonts w:ascii="Times New Roman" w:eastAsia="SimSun" w:hAnsi="Times New Roman"/>
          <w:sz w:val="22"/>
          <w:szCs w:val="22"/>
          <w:lang w:eastAsia="zh-CN"/>
        </w:rPr>
        <w:t>a</w:t>
      </w:r>
      <w:r w:rsidRPr="00C833A0">
        <w:rPr>
          <w:rFonts w:ascii="Times New Roman" w:eastAsia="SimSun" w:hAnsi="Times New Roman"/>
          <w:sz w:val="22"/>
          <w:szCs w:val="22"/>
          <w:lang w:eastAsia="zh-CN"/>
        </w:rPr>
        <w:t xml:space="preserve">ry will generally be subject to stringent personal account dealing policies and procedures, particularly where they are part of a larger banking group, including in relation to the CIUs to which </w:t>
      </w:r>
      <w:r w:rsidRPr="00C833A0">
        <w:rPr>
          <w:rFonts w:ascii="Times New Roman" w:eastAsia="SimSun" w:hAnsi="Times New Roman"/>
          <w:sz w:val="22"/>
          <w:szCs w:val="22"/>
          <w:lang w:eastAsia="zh-CN"/>
        </w:rPr>
        <w:lastRenderedPageBreak/>
        <w:t>they provide their services. As such, we would not support the extension of the PDMR regime to deposit</w:t>
      </w:r>
      <w:r>
        <w:rPr>
          <w:rFonts w:ascii="Times New Roman" w:eastAsia="SimSun" w:hAnsi="Times New Roman"/>
          <w:sz w:val="22"/>
          <w:szCs w:val="22"/>
          <w:lang w:eastAsia="zh-CN"/>
        </w:rPr>
        <w:t>a</w:t>
      </w:r>
      <w:r w:rsidRPr="00C833A0">
        <w:rPr>
          <w:rFonts w:ascii="Times New Roman" w:eastAsia="SimSun" w:hAnsi="Times New Roman"/>
          <w:sz w:val="22"/>
          <w:szCs w:val="22"/>
          <w:lang w:eastAsia="zh-CN"/>
        </w:rPr>
        <w:t xml:space="preserve">ries. </w:t>
      </w:r>
    </w:p>
    <w:bookmarkEnd w:id="7"/>
    <w:permEnd w:id="1489983752"/>
    <w:p w14:paraId="3C3E0B5D" w14:textId="30B5AB17" w:rsidR="00646C30" w:rsidRDefault="00646C30" w:rsidP="00646C30"/>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C458D1" w14:textId="4EC17303" w:rsidR="001E1CF6" w:rsidRPr="00C833A0" w:rsidRDefault="001E1CF6" w:rsidP="001E1CF6">
      <w:pPr>
        <w:spacing w:after="120" w:line="276" w:lineRule="auto"/>
        <w:jc w:val="both"/>
        <w:rPr>
          <w:rFonts w:ascii="Times New Roman" w:eastAsia="SimSun" w:hAnsi="Times New Roman"/>
          <w:color w:val="000000" w:themeColor="text1"/>
          <w:sz w:val="22"/>
          <w:szCs w:val="22"/>
          <w:lang w:eastAsia="zh-CN"/>
        </w:rPr>
      </w:pPr>
      <w:permStart w:id="1272137283" w:edGrp="everyone"/>
      <w:r>
        <w:t xml:space="preserve"> </w:t>
      </w:r>
      <w:r w:rsidRPr="00C833A0">
        <w:rPr>
          <w:rFonts w:ascii="Times New Roman" w:eastAsia="SimSun" w:hAnsi="Times New Roman"/>
          <w:color w:val="000000" w:themeColor="text1"/>
          <w:sz w:val="22"/>
          <w:szCs w:val="22"/>
          <w:lang w:eastAsia="zh-CN"/>
        </w:rPr>
        <w:t xml:space="preserve">In line with our previous response relating to the consistent regulatory treatment across CIUs, we agree with ESMA’s conclusion. </w:t>
      </w:r>
    </w:p>
    <w:p w14:paraId="3C3E0B62" w14:textId="19D5DE78" w:rsidR="00646C30" w:rsidRDefault="001E1CF6" w:rsidP="00646C30">
      <w:r>
        <w:t xml:space="preserve"> </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10EE2009" w:rsidR="00646C30" w:rsidRDefault="001E1CF6" w:rsidP="00646C30">
      <w:permStart w:id="1364398990" w:edGrp="everyone"/>
      <w:r w:rsidRPr="00C833A0">
        <w:rPr>
          <w:rFonts w:ascii="Times New Roman" w:hAnsi="Times New Roman"/>
          <w:color w:val="000000" w:themeColor="text1"/>
          <w:sz w:val="22"/>
          <w:szCs w:val="22"/>
        </w:rPr>
        <w:t>We broadly agree with ESMA’s preliminary view</w:t>
      </w:r>
      <w:r>
        <w:rPr>
          <w:rFonts w:ascii="Times New Roman" w:hAnsi="Times New Roman"/>
          <w:color w:val="000000" w:themeColor="text1"/>
          <w:sz w:val="22"/>
          <w:szCs w:val="22"/>
        </w:rPr>
        <w:t>, although we note that CIUs and/or their management companies are already subject to str</w:t>
      </w:r>
      <w:r w:rsidR="00FD670B">
        <w:rPr>
          <w:rFonts w:ascii="Times New Roman" w:hAnsi="Times New Roman"/>
          <w:color w:val="000000" w:themeColor="text1"/>
          <w:sz w:val="22"/>
          <w:szCs w:val="22"/>
        </w:rPr>
        <w:t>ingent</w:t>
      </w:r>
      <w:r>
        <w:rPr>
          <w:rFonts w:ascii="Times New Roman" w:hAnsi="Times New Roman"/>
          <w:color w:val="000000" w:themeColor="text1"/>
          <w:sz w:val="22"/>
          <w:szCs w:val="22"/>
        </w:rPr>
        <w:t xml:space="preserve"> disclosure obligations. </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1B54B629" w:rsidR="00646C30" w:rsidRDefault="001E1CF6" w:rsidP="00646C30">
      <w:permStart w:id="1228214564" w:edGrp="everyone"/>
      <w:r w:rsidRPr="00C833A0">
        <w:rPr>
          <w:rFonts w:ascii="Times New Roman" w:hAnsi="Times New Roman"/>
          <w:color w:val="000000" w:themeColor="text1"/>
          <w:sz w:val="22"/>
          <w:szCs w:val="22"/>
        </w:rPr>
        <w:t>We agree with ESMA’s preliminary view and do not believe that further clarifications from ESMA are necessary</w:t>
      </w:r>
      <w:r>
        <w:rPr>
          <w:rFonts w:ascii="Times New Roman" w:hAnsi="Times New Roman"/>
          <w:color w:val="000000" w:themeColor="text1"/>
          <w:sz w:val="22"/>
          <w:szCs w:val="22"/>
        </w:rPr>
        <w:t>.</w:t>
      </w:r>
      <w:r>
        <w:t xml:space="preserve"> </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1EF81197" w14:textId="77777777" w:rsidR="001E1CF6" w:rsidRDefault="001E1CF6" w:rsidP="001E1CF6">
      <w:pPr>
        <w:spacing w:line="276" w:lineRule="auto"/>
        <w:jc w:val="both"/>
        <w:rPr>
          <w:rFonts w:ascii="Times New Roman" w:eastAsia="SimSun" w:hAnsi="Times New Roman"/>
          <w:sz w:val="22"/>
          <w:szCs w:val="22"/>
          <w:lang w:eastAsia="zh-CN"/>
        </w:rPr>
      </w:pPr>
      <w:permStart w:id="2025406494" w:edGrp="everyone"/>
      <w:r>
        <w:t xml:space="preserve"> </w:t>
      </w:r>
      <w:r w:rsidRPr="00C833A0">
        <w:rPr>
          <w:rFonts w:ascii="Times New Roman" w:eastAsia="SimSun" w:hAnsi="Times New Roman"/>
          <w:sz w:val="22"/>
          <w:szCs w:val="22"/>
          <w:lang w:eastAsia="zh-CN"/>
        </w:rPr>
        <w:t>Notwithstanding our comments below, and consistent with the European Commission’s mandate to take into account current transaction reporting obligations, we believe that the ISO 20022 seems a sensible and appropriate methodology. We would also support the use of XML templates.</w:t>
      </w:r>
    </w:p>
    <w:p w14:paraId="3C3E0B70" w14:textId="62562C8D" w:rsidR="00646C30" w:rsidRDefault="001E1CF6" w:rsidP="00646C30">
      <w:r>
        <w:t xml:space="preserve"> </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lastRenderedPageBreak/>
        <w:t>&lt;ESMA_QUESTION_CP_MAR_</w:t>
      </w:r>
      <w:r w:rsidR="00D53941">
        <w:t>67</w:t>
      </w:r>
      <w:r>
        <w:t>&gt;</w:t>
      </w:r>
    </w:p>
    <w:p w14:paraId="0FC66D48" w14:textId="00A1D508" w:rsidR="001E1CF6" w:rsidRPr="00C833A0" w:rsidRDefault="001E1CF6" w:rsidP="001E1CF6">
      <w:pPr>
        <w:spacing w:after="120" w:line="276" w:lineRule="auto"/>
        <w:jc w:val="both"/>
        <w:rPr>
          <w:rFonts w:ascii="Times New Roman" w:eastAsia="SimSun" w:hAnsi="Times New Roman"/>
          <w:sz w:val="22"/>
          <w:szCs w:val="22"/>
          <w:lang w:eastAsia="zh-CN"/>
        </w:rPr>
      </w:pPr>
      <w:permStart w:id="482090286" w:edGrp="everyone"/>
      <w:r w:rsidRPr="00C833A0">
        <w:rPr>
          <w:rFonts w:ascii="Times New Roman" w:eastAsia="SimSun" w:hAnsi="Times New Roman"/>
          <w:sz w:val="22"/>
          <w:szCs w:val="22"/>
          <w:lang w:eastAsia="zh-CN"/>
        </w:rPr>
        <w:t>We have significant concerns with regards to any proposed mandatory obligation on the reporting of order book data, particularly if this were to be required on a daily basis. As noted in paragraph 266 of the consultation paper, previously issued guidelines by ESMA ha</w:t>
      </w:r>
      <w:r>
        <w:rPr>
          <w:rFonts w:ascii="Times New Roman" w:eastAsia="SimSun" w:hAnsi="Times New Roman"/>
          <w:sz w:val="22"/>
          <w:szCs w:val="22"/>
          <w:lang w:eastAsia="zh-CN"/>
        </w:rPr>
        <w:t>ve</w:t>
      </w:r>
      <w:r w:rsidRPr="00C833A0">
        <w:rPr>
          <w:rFonts w:ascii="Times New Roman" w:eastAsia="SimSun" w:hAnsi="Times New Roman"/>
          <w:sz w:val="22"/>
          <w:szCs w:val="22"/>
          <w:lang w:eastAsia="zh-CN"/>
        </w:rPr>
        <w:t xml:space="preserve"> clarified that “orders” in relation to Article 25(2) of MiFIR includes:</w:t>
      </w:r>
    </w:p>
    <w:p w14:paraId="4A5B1DFA" w14:textId="77777777" w:rsidR="001E1CF6" w:rsidRPr="00C833A0" w:rsidRDefault="001E1CF6" w:rsidP="001E1CF6">
      <w:pPr>
        <w:spacing w:after="120" w:line="276" w:lineRule="auto"/>
        <w:jc w:val="both"/>
        <w:rPr>
          <w:rFonts w:ascii="Times New Roman" w:eastAsia="SimSun" w:hAnsi="Times New Roman"/>
          <w:i/>
          <w:sz w:val="22"/>
          <w:szCs w:val="22"/>
          <w:lang w:eastAsia="zh-CN"/>
        </w:rPr>
      </w:pPr>
      <w:r w:rsidRPr="00C833A0">
        <w:rPr>
          <w:rFonts w:ascii="Times New Roman" w:eastAsia="SimSun" w:hAnsi="Times New Roman"/>
          <w:i/>
          <w:sz w:val="22"/>
          <w:szCs w:val="22"/>
          <w:lang w:eastAsia="zh-CN"/>
        </w:rPr>
        <w:t>“…active, inactive, suspended, implicit and rerouted as well as order modifications, cancellations and rejections, firm and indicative quotes.”</w:t>
      </w:r>
    </w:p>
    <w:p w14:paraId="2499C9DA" w14:textId="77777777" w:rsidR="001E1CF6" w:rsidRPr="00C833A0" w:rsidRDefault="001E1CF6" w:rsidP="001E1CF6">
      <w:pPr>
        <w:spacing w:after="120"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 xml:space="preserve">This generates </w:t>
      </w:r>
      <w:r>
        <w:rPr>
          <w:rFonts w:ascii="Times New Roman" w:eastAsia="SimSun" w:hAnsi="Times New Roman"/>
          <w:sz w:val="22"/>
          <w:szCs w:val="22"/>
          <w:lang w:eastAsia="zh-CN"/>
        </w:rPr>
        <w:t xml:space="preserve">significant reporting obligations and resulting </w:t>
      </w:r>
      <w:r w:rsidRPr="00C833A0">
        <w:rPr>
          <w:rFonts w:ascii="Times New Roman" w:eastAsia="SimSun" w:hAnsi="Times New Roman"/>
          <w:sz w:val="22"/>
          <w:szCs w:val="22"/>
          <w:lang w:eastAsia="zh-CN"/>
        </w:rPr>
        <w:t>amount</w:t>
      </w:r>
      <w:r>
        <w:rPr>
          <w:rFonts w:ascii="Times New Roman" w:eastAsia="SimSun" w:hAnsi="Times New Roman"/>
          <w:sz w:val="22"/>
          <w:szCs w:val="22"/>
          <w:lang w:eastAsia="zh-CN"/>
        </w:rPr>
        <w:t>s</w:t>
      </w:r>
      <w:r w:rsidRPr="00C833A0">
        <w:rPr>
          <w:rFonts w:ascii="Times New Roman" w:eastAsia="SimSun" w:hAnsi="Times New Roman"/>
          <w:sz w:val="22"/>
          <w:szCs w:val="22"/>
          <w:lang w:eastAsia="zh-CN"/>
        </w:rPr>
        <w:t xml:space="preserve"> of data. We can understand the rationale of ESMA and certain national competent authorities in wanting to have this data available. However, we believe that imposing an additional industry-wide requirement to transmit this data on a daily </w:t>
      </w:r>
      <w:r>
        <w:rPr>
          <w:rFonts w:ascii="Times New Roman" w:eastAsia="SimSun" w:hAnsi="Times New Roman"/>
          <w:sz w:val="22"/>
          <w:szCs w:val="22"/>
          <w:lang w:eastAsia="zh-CN"/>
        </w:rPr>
        <w:t xml:space="preserve">basis </w:t>
      </w:r>
      <w:r w:rsidRPr="00C833A0">
        <w:rPr>
          <w:rFonts w:ascii="Times New Roman" w:eastAsia="SimSun" w:hAnsi="Times New Roman"/>
          <w:sz w:val="22"/>
          <w:szCs w:val="22"/>
          <w:lang w:eastAsia="zh-CN"/>
        </w:rPr>
        <w:t xml:space="preserve">would present significant operational challenges and costs, for the industry </w:t>
      </w:r>
      <w:r>
        <w:rPr>
          <w:rFonts w:ascii="Times New Roman" w:eastAsia="SimSun" w:hAnsi="Times New Roman"/>
          <w:sz w:val="22"/>
          <w:szCs w:val="22"/>
          <w:lang w:eastAsia="zh-CN"/>
        </w:rPr>
        <w:t xml:space="preserve">as well as </w:t>
      </w:r>
      <w:r w:rsidRPr="00C833A0">
        <w:rPr>
          <w:rFonts w:ascii="Times New Roman" w:eastAsia="SimSun" w:hAnsi="Times New Roman"/>
          <w:sz w:val="22"/>
          <w:szCs w:val="22"/>
          <w:lang w:eastAsia="zh-CN"/>
        </w:rPr>
        <w:t xml:space="preserve">national competent authorities, which will need to have the systems in place to receive and analyse this data.  </w:t>
      </w:r>
    </w:p>
    <w:p w14:paraId="53907DE3" w14:textId="77777777" w:rsidR="001E1CF6" w:rsidRDefault="001E1CF6" w:rsidP="001E1CF6">
      <w:pPr>
        <w:spacing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Furthermore, ESMA notes in the consultation that a number of NCAs are already making use of the current framework. While the approach taken may differ amongst NCAs, it is not clear whether there are outstanding concerns or limitations of the current framework that need to be addressed. In so far as this is the case, we do not believe there is a need to change the existing framework and would prefer a continuation of the current ad-hoc approach</w:t>
      </w:r>
      <w:r>
        <w:rPr>
          <w:rFonts w:ascii="Times New Roman" w:eastAsia="SimSun" w:hAnsi="Times New Roman"/>
          <w:sz w:val="22"/>
          <w:szCs w:val="22"/>
          <w:lang w:eastAsia="zh-CN"/>
        </w:rPr>
        <w:t>.</w:t>
      </w:r>
    </w:p>
    <w:p w14:paraId="3C3E0B75" w14:textId="501AB326" w:rsidR="00646C30" w:rsidRDefault="001E1CF6" w:rsidP="00646C30">
      <w:r>
        <w:t xml:space="preserve"> </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F461B87" w14:textId="77777777" w:rsidR="001E1CF6" w:rsidRPr="00C833A0" w:rsidRDefault="001E1CF6" w:rsidP="001E1CF6">
      <w:pPr>
        <w:spacing w:after="120" w:line="276" w:lineRule="auto"/>
        <w:jc w:val="both"/>
        <w:rPr>
          <w:rFonts w:ascii="Times New Roman" w:eastAsia="SimSun" w:hAnsi="Times New Roman"/>
          <w:sz w:val="22"/>
          <w:szCs w:val="22"/>
          <w:lang w:eastAsia="zh-CN"/>
        </w:rPr>
      </w:pPr>
      <w:permStart w:id="81003916" w:edGrp="everyone"/>
      <w:r>
        <w:t xml:space="preserve"> </w:t>
      </w:r>
      <w:r w:rsidRPr="00C833A0">
        <w:rPr>
          <w:rFonts w:ascii="Times New Roman" w:eastAsia="SimSun" w:hAnsi="Times New Roman"/>
          <w:sz w:val="22"/>
          <w:szCs w:val="22"/>
          <w:lang w:eastAsia="zh-CN"/>
        </w:rPr>
        <w:t>While it is difficult to provide a more granular approximation of the likely costs at this stage, we do believe that the instruments in</w:t>
      </w:r>
      <w:r>
        <w:rPr>
          <w:rFonts w:ascii="Times New Roman" w:eastAsia="SimSun" w:hAnsi="Times New Roman"/>
          <w:sz w:val="22"/>
          <w:szCs w:val="22"/>
          <w:lang w:eastAsia="zh-CN"/>
        </w:rPr>
        <w:t>-scope</w:t>
      </w:r>
      <w:r w:rsidRPr="00C833A0">
        <w:rPr>
          <w:rFonts w:ascii="Times New Roman" w:eastAsia="SimSun" w:hAnsi="Times New Roman"/>
          <w:sz w:val="22"/>
          <w:szCs w:val="22"/>
          <w:lang w:eastAsia="zh-CN"/>
        </w:rPr>
        <w:t xml:space="preserve"> may have a bearing. For example, given the idiosyncrasies of FX, which ESMA considers in the earlier part of the consultation, the costs are likely to be higher than for fixed-income or equity instrument</w:t>
      </w:r>
      <w:r>
        <w:rPr>
          <w:rFonts w:ascii="Times New Roman" w:eastAsia="SimSun" w:hAnsi="Times New Roman"/>
          <w:sz w:val="22"/>
          <w:szCs w:val="22"/>
          <w:lang w:eastAsia="zh-CN"/>
        </w:rPr>
        <w:t>s</w:t>
      </w:r>
      <w:r w:rsidRPr="00C833A0">
        <w:rPr>
          <w:rFonts w:ascii="Times New Roman" w:eastAsia="SimSun" w:hAnsi="Times New Roman"/>
          <w:sz w:val="22"/>
          <w:szCs w:val="22"/>
          <w:lang w:eastAsia="zh-CN"/>
        </w:rPr>
        <w:t xml:space="preserve">.  </w:t>
      </w:r>
    </w:p>
    <w:permEnd w:id="81003916"/>
    <w:p w14:paraId="3C3E0B7A" w14:textId="7F9ADF62" w:rsidR="00646C30" w:rsidRDefault="00646C30" w:rsidP="00646C30"/>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6E87D9A8" w14:textId="77777777" w:rsidR="00416F1F" w:rsidRPr="00C833A0" w:rsidRDefault="001E1CF6" w:rsidP="00416F1F">
      <w:pPr>
        <w:spacing w:after="120" w:line="276" w:lineRule="auto"/>
        <w:jc w:val="both"/>
        <w:rPr>
          <w:rFonts w:ascii="Times New Roman" w:eastAsia="SimSun" w:hAnsi="Times New Roman"/>
          <w:sz w:val="22"/>
          <w:szCs w:val="22"/>
          <w:lang w:eastAsia="zh-CN"/>
        </w:rPr>
      </w:pPr>
      <w:permStart w:id="59336310" w:edGrp="everyone"/>
      <w:r>
        <w:t xml:space="preserve"> </w:t>
      </w:r>
      <w:r w:rsidR="00416F1F" w:rsidRPr="00C833A0">
        <w:rPr>
          <w:rFonts w:ascii="Times New Roman" w:eastAsia="SimSun" w:hAnsi="Times New Roman"/>
          <w:sz w:val="22"/>
          <w:szCs w:val="22"/>
          <w:lang w:eastAsia="zh-CN"/>
        </w:rPr>
        <w:t xml:space="preserve">The proposed amendments put forward by ESMA seek to address potential regulatory gaps and facilitate exchange of information between supervisory and tax authorities; as such we are supportive of these proposals, particularly where they may help avoid further obligations on market participants. </w:t>
      </w:r>
    </w:p>
    <w:p w14:paraId="6CB5F93D" w14:textId="77777777" w:rsidR="00416F1F" w:rsidRPr="00C833A0" w:rsidRDefault="00416F1F" w:rsidP="00416F1F">
      <w:pPr>
        <w:spacing w:line="276" w:lineRule="auto"/>
        <w:jc w:val="both"/>
        <w:rPr>
          <w:rFonts w:ascii="Times New Roman" w:eastAsia="SimSun" w:hAnsi="Times New Roman"/>
          <w:sz w:val="22"/>
          <w:szCs w:val="22"/>
          <w:lang w:eastAsia="zh-CN"/>
        </w:rPr>
      </w:pPr>
      <w:r w:rsidRPr="00C833A0">
        <w:rPr>
          <w:rFonts w:ascii="Times New Roman" w:eastAsia="SimSun" w:hAnsi="Times New Roman"/>
          <w:sz w:val="22"/>
          <w:szCs w:val="22"/>
          <w:lang w:eastAsia="zh-CN"/>
        </w:rPr>
        <w:t xml:space="preserve">In addition to the transaction reporting regime under MiFID II, ESMA may wish to take into account the implementation of </w:t>
      </w:r>
      <w:bookmarkStart w:id="8" w:name="_Hlk25331195"/>
      <w:r w:rsidRPr="00C833A0">
        <w:rPr>
          <w:rFonts w:ascii="Times New Roman" w:eastAsia="SimSun" w:hAnsi="Times New Roman"/>
          <w:sz w:val="22"/>
          <w:szCs w:val="22"/>
          <w:lang w:eastAsia="zh-CN"/>
        </w:rPr>
        <w:t>Council Directive (EU) 2018/822, also referred to as ‘DAC 6’</w:t>
      </w:r>
      <w:bookmarkEnd w:id="8"/>
      <w:r w:rsidRPr="00C833A0">
        <w:rPr>
          <w:rFonts w:ascii="Times New Roman" w:eastAsia="SimSun" w:hAnsi="Times New Roman"/>
          <w:sz w:val="22"/>
          <w:szCs w:val="22"/>
          <w:lang w:eastAsia="zh-CN"/>
        </w:rPr>
        <w:t xml:space="preserve">. We believe the provisions </w:t>
      </w:r>
      <w:r w:rsidRPr="00C833A0">
        <w:rPr>
          <w:rFonts w:ascii="Times New Roman" w:eastAsia="SimSun" w:hAnsi="Times New Roman"/>
          <w:sz w:val="22"/>
          <w:szCs w:val="22"/>
          <w:lang w:eastAsia="zh-CN"/>
        </w:rPr>
        <w:lastRenderedPageBreak/>
        <w:t xml:space="preserve">enshrined in Level 1 of the DAC 6 may, to a certain degree, help to address the considerations set out in paragraph 317 of the consultation paper. However, we understand that in ongoing technical discussions, the reporting regime under the EU Securities Financing Transaction Regulation (SFTR) has been proposed as a possible option to fulfil the reporting obligations under the DAC 6. We would like to highlight the unsuitability of the SFTR regime in this regard, given the absence of important data fields and because such reports are not accessible to tax authorities. If policymakers continue with this proposal, it may necessitate amendments to the SFTR regime, which we believe would be an undesirable outcome.    </w:t>
      </w:r>
    </w:p>
    <w:p w14:paraId="3C3E0B7F" w14:textId="3627D70D" w:rsidR="00646C30" w:rsidRDefault="001E1CF6" w:rsidP="00646C30">
      <w:r>
        <w:t xml:space="preserve"> </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0B94" w14:textId="77777777" w:rsidR="001E1CF6" w:rsidRDefault="001E1CF6">
      <w:r>
        <w:separator/>
      </w:r>
    </w:p>
    <w:p w14:paraId="3C3E0B95" w14:textId="77777777" w:rsidR="001E1CF6" w:rsidRDefault="001E1CF6"/>
  </w:endnote>
  <w:endnote w:type="continuationSeparator" w:id="0">
    <w:p w14:paraId="3C3E0B96" w14:textId="77777777" w:rsidR="001E1CF6" w:rsidRDefault="001E1CF6">
      <w:r>
        <w:continuationSeparator/>
      </w:r>
    </w:p>
    <w:p w14:paraId="3C3E0B97" w14:textId="77777777" w:rsidR="001E1CF6" w:rsidRDefault="001E1CF6"/>
  </w:endnote>
  <w:endnote w:type="continuationNotice" w:id="1">
    <w:p w14:paraId="3C3E0B98" w14:textId="77777777" w:rsidR="001E1CF6" w:rsidRDefault="001E1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9959A" w14:textId="77777777" w:rsidR="001E1CF6" w:rsidRDefault="001E1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E1CF6" w:rsidRPr="00616B9B" w14:paraId="3C3E0B9C" w14:textId="77777777" w:rsidTr="00315E96">
      <w:trPr>
        <w:trHeight w:val="284"/>
      </w:trPr>
      <w:tc>
        <w:tcPr>
          <w:tcW w:w="8460" w:type="dxa"/>
        </w:tcPr>
        <w:p w14:paraId="3C3E0B9A" w14:textId="77777777" w:rsidR="001E1CF6" w:rsidRPr="00315E96" w:rsidRDefault="001E1CF6" w:rsidP="00315E96">
          <w:pPr>
            <w:pStyle w:val="00Footer"/>
            <w:rPr>
              <w:lang w:val="fr-FR"/>
            </w:rPr>
          </w:pPr>
        </w:p>
      </w:tc>
      <w:tc>
        <w:tcPr>
          <w:tcW w:w="952" w:type="dxa"/>
        </w:tcPr>
        <w:p w14:paraId="3C3E0B9B" w14:textId="77777777" w:rsidR="001E1CF6" w:rsidRPr="00616B9B" w:rsidRDefault="001E1CF6"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1E1CF6" w:rsidRDefault="001E1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4B33" w14:textId="77777777" w:rsidR="001E1CF6" w:rsidRDefault="001E1C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1E1CF6" w:rsidRDefault="001E1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E0B8F" w14:textId="77777777" w:rsidR="001E1CF6" w:rsidRDefault="001E1CF6">
      <w:r>
        <w:separator/>
      </w:r>
    </w:p>
    <w:p w14:paraId="3C3E0B90" w14:textId="77777777" w:rsidR="001E1CF6" w:rsidRDefault="001E1CF6"/>
  </w:footnote>
  <w:footnote w:type="continuationSeparator" w:id="0">
    <w:p w14:paraId="3C3E0B91" w14:textId="77777777" w:rsidR="001E1CF6" w:rsidRDefault="001E1CF6">
      <w:r>
        <w:continuationSeparator/>
      </w:r>
    </w:p>
    <w:p w14:paraId="3C3E0B92" w14:textId="77777777" w:rsidR="001E1CF6" w:rsidRDefault="001E1CF6"/>
  </w:footnote>
  <w:footnote w:type="continuationNotice" w:id="1">
    <w:p w14:paraId="3C3E0B93" w14:textId="77777777" w:rsidR="001E1CF6" w:rsidRDefault="001E1CF6"/>
  </w:footnote>
  <w:footnote w:id="2">
    <w:p w14:paraId="039A7F85" w14:textId="77777777" w:rsidR="001E1CF6" w:rsidRPr="00B131AA" w:rsidRDefault="001E1CF6" w:rsidP="00FA26A8">
      <w:pPr>
        <w:autoSpaceDE w:val="0"/>
        <w:autoSpaceDN w:val="0"/>
        <w:adjustRightInd w:val="0"/>
        <w:rPr>
          <w:i/>
          <w:sz w:val="16"/>
          <w:szCs w:val="16"/>
        </w:rPr>
      </w:pPr>
      <w:r w:rsidRPr="00B131AA">
        <w:rPr>
          <w:rStyle w:val="FootnoteReference"/>
          <w:sz w:val="16"/>
          <w:szCs w:val="16"/>
        </w:rPr>
        <w:footnoteRef/>
      </w:r>
      <w:r w:rsidRPr="00B131AA">
        <w:rPr>
          <w:sz w:val="16"/>
          <w:szCs w:val="16"/>
        </w:rPr>
        <w:t xml:space="preserve"> </w:t>
      </w:r>
      <w:r w:rsidRPr="00573E0D">
        <w:rPr>
          <w:sz w:val="16"/>
          <w:szCs w:val="16"/>
        </w:rPr>
        <w:t>Assets under management include the assets of the SPDR® Gold ETF and the SPDR® Long Dollar Gold Trust ETF (approximately $44 billion as of September 30, 2019), for which State Street Global Advisors Funds Distributors, LLC (SSGA FD) serves as marketing agent; SSGA FD and State Street Global Advisors are affiliated.</w:t>
      </w:r>
    </w:p>
    <w:p w14:paraId="591AB714" w14:textId="77777777" w:rsidR="001E1CF6" w:rsidRPr="00B131AA" w:rsidRDefault="001E1CF6" w:rsidP="00FA26A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96EF5" w14:textId="77777777" w:rsidR="001E1CF6" w:rsidRDefault="001E1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1E1CF6" w:rsidRDefault="001E1CF6">
    <w:pPr>
      <w:pStyle w:val="Header"/>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1E1CF6" w:rsidRDefault="001E1CF6" w:rsidP="00013CCE">
    <w:pPr>
      <w:pStyle w:val="Header"/>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1E1CF6" w:rsidRDefault="001E1CF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E1CF6" w:rsidRPr="002F4496" w14:paraId="3C3E0BA2" w14:textId="77777777" w:rsidTr="000C06C9">
      <w:trPr>
        <w:trHeight w:val="284"/>
      </w:trPr>
      <w:tc>
        <w:tcPr>
          <w:tcW w:w="8460" w:type="dxa"/>
        </w:tcPr>
        <w:p w14:paraId="3C3E0BA0" w14:textId="77777777" w:rsidR="001E1CF6" w:rsidRPr="000C3B6D" w:rsidRDefault="001E1CF6" w:rsidP="000C06C9">
          <w:pPr>
            <w:pStyle w:val="00Footer"/>
            <w:rPr>
              <w:lang w:val="fr-FR"/>
            </w:rPr>
          </w:pPr>
        </w:p>
      </w:tc>
      <w:tc>
        <w:tcPr>
          <w:tcW w:w="952" w:type="dxa"/>
        </w:tcPr>
        <w:p w14:paraId="3C3E0BA1" w14:textId="77777777" w:rsidR="001E1CF6" w:rsidRPr="00146B34" w:rsidRDefault="001E1CF6" w:rsidP="000C06C9">
          <w:pPr>
            <w:pStyle w:val="00aPagenumber"/>
            <w:rPr>
              <w:lang w:val="fr-FR"/>
            </w:rPr>
          </w:pPr>
        </w:p>
      </w:tc>
    </w:tr>
  </w:tbl>
  <w:p w14:paraId="3C3E0BA3" w14:textId="77777777" w:rsidR="001E1CF6" w:rsidRPr="00DB46C3" w:rsidRDefault="001E1CF6">
    <w:pPr>
      <w:rPr>
        <w:lang w:val="fr-FR"/>
      </w:rPr>
    </w:pPr>
  </w:p>
  <w:p w14:paraId="3C3E0BA4" w14:textId="77777777" w:rsidR="001E1CF6" w:rsidRPr="002F4496" w:rsidRDefault="001E1CF6">
    <w:pPr>
      <w:pStyle w:val="Header"/>
      <w:rPr>
        <w:lang w:val="fr-FR"/>
      </w:rPr>
    </w:pPr>
  </w:p>
  <w:p w14:paraId="3C3E0BA5" w14:textId="77777777" w:rsidR="001E1CF6" w:rsidRPr="002F4496" w:rsidRDefault="001E1CF6" w:rsidP="000C06C9">
    <w:pPr>
      <w:pStyle w:val="Header"/>
      <w:tabs>
        <w:tab w:val="clear" w:pos="4536"/>
        <w:tab w:val="clear" w:pos="9072"/>
        <w:tab w:val="left" w:pos="8227"/>
      </w:tabs>
      <w:rPr>
        <w:lang w:val="fr-FR"/>
      </w:rPr>
    </w:pPr>
  </w:p>
  <w:p w14:paraId="3C3E0BA6" w14:textId="77777777" w:rsidR="001E1CF6" w:rsidRPr="002F4496" w:rsidRDefault="001E1CF6" w:rsidP="00583885">
    <w:pPr>
      <w:pStyle w:val="Header"/>
      <w:jc w:val="right"/>
      <w:rPr>
        <w:lang w:val="fr-FR"/>
      </w:rPr>
    </w:pPr>
  </w:p>
  <w:p w14:paraId="3C3E0BA7" w14:textId="77777777" w:rsidR="001E1CF6" w:rsidRPr="002F4496" w:rsidRDefault="001E1CF6">
    <w:pPr>
      <w:pStyle w:val="Header"/>
      <w:rPr>
        <w:lang w:val="fr-FR"/>
      </w:rPr>
    </w:pPr>
  </w:p>
  <w:p w14:paraId="3C3E0BA8" w14:textId="77777777" w:rsidR="001E1CF6" w:rsidRPr="002F4496" w:rsidRDefault="001E1CF6">
    <w:pPr>
      <w:pStyle w:val="Header"/>
      <w:rPr>
        <w:lang w:val="fr-FR"/>
      </w:rPr>
    </w:pPr>
  </w:p>
  <w:p w14:paraId="3C3E0BA9" w14:textId="77777777" w:rsidR="001E1CF6" w:rsidRPr="002F4496" w:rsidRDefault="001E1CF6">
    <w:pPr>
      <w:pStyle w:val="Header"/>
      <w:rPr>
        <w:lang w:val="fr-FR"/>
      </w:rPr>
    </w:pPr>
  </w:p>
  <w:p w14:paraId="3C3E0BAA" w14:textId="77777777" w:rsidR="001E1CF6" w:rsidRPr="002F4496" w:rsidRDefault="001E1CF6">
    <w:pPr>
      <w:pStyle w:val="Header"/>
      <w:rPr>
        <w:highlight w:val="yellow"/>
        <w:lang w:val="fr-FR"/>
      </w:rPr>
    </w:pPr>
  </w:p>
  <w:p w14:paraId="3C3E0BAB" w14:textId="77777777" w:rsidR="001E1CF6" w:rsidRDefault="001E1CF6">
    <w:pPr>
      <w:pStyle w:val="Header"/>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876"/>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3F04"/>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04"/>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1CF6"/>
    <w:rsid w:val="001E2CAE"/>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0BBB"/>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6F1F"/>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1E7F"/>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4FE"/>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54D9"/>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786"/>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37A"/>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0132"/>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2CFD"/>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072"/>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256D"/>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1A3F"/>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0F50"/>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26A8"/>
    <w:rsid w:val="00FA5524"/>
    <w:rsid w:val="00FA5535"/>
    <w:rsid w:val="00FA7206"/>
    <w:rsid w:val="00FA7798"/>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670B"/>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documentManagement/types"/>
    <ds:schemaRef ds:uri="http://purl.org/dc/elements/1.1/"/>
    <ds:schemaRef ds:uri="20fbe147-bbda-4e53-b6b1-7e8bbff3fe19"/>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E9BD76-F7E5-4532-82E7-35B8F86FCB19}">
  <ds:schemaRefs>
    <ds:schemaRef ds:uri="http://schemas.openxmlformats.org/officeDocument/2006/bibliography"/>
  </ds:schemaRefs>
</ds:datastoreItem>
</file>

<file path=customXml/itemProps6.xml><?xml version="1.0" encoding="utf-8"?>
<ds:datastoreItem xmlns:ds="http://schemas.openxmlformats.org/officeDocument/2006/customXml" ds:itemID="{7EFABF26-900E-4518-B59A-1BF4E5CC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6117</Words>
  <Characters>35498</Characters>
  <Application>Microsoft Office Word</Application>
  <DocSecurity>8</DocSecurity>
  <Lines>772</Lines>
  <Paragraphs>352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41384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keywords>General</cp:keywords>
  <cp:lastModifiedBy>Oddud, Rayhan</cp:lastModifiedBy>
  <cp:revision>16</cp:revision>
  <cp:lastPrinted>2015-02-18T11:01:00Z</cp:lastPrinted>
  <dcterms:created xsi:type="dcterms:W3CDTF">2019-11-29T16:52:00Z</dcterms:created>
  <dcterms:modified xsi:type="dcterms:W3CDTF">2019-11-29T20:30:00Z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y fmtid="{D5CDD505-2E9C-101B-9397-08002B2CF9AE}" pid="10" name="TitusGUID">
    <vt:lpwstr>4f854fe2-1116-461e-93cd-80799259f61f</vt:lpwstr>
  </property>
  <property fmtid="{D5CDD505-2E9C-101B-9397-08002B2CF9AE}" pid="11" name="SSCClassification">
    <vt:lpwstr>G</vt:lpwstr>
  </property>
  <property fmtid="{D5CDD505-2E9C-101B-9397-08002B2CF9AE}" pid="12" name="SSCVisualMarks">
    <vt:lpwstr>Y</vt:lpwstr>
  </property>
</Properties>
</file>