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Sidfo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5" w:history="1">
        <w:r w:rsidRPr="005B6B12">
          <w:rPr>
            <w:rStyle w:val="Hyperl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tc>
          <w:tcPr>
            <w:tcW w:w="5595" w:type="dxa"/>
            <w:shd w:val="clear" w:color="auto" w:fill="auto"/>
          </w:tcPr>
          <w:p w14:paraId="3C3E0A16" w14:textId="103EAFD6" w:rsidR="00C2682A" w:rsidRPr="00AB6D88" w:rsidRDefault="00134675" w:rsidP="00FA5524">
            <w:pPr>
              <w:rPr>
                <w:rStyle w:val="Platshllartext"/>
                <w:rFonts w:cs="Arial"/>
              </w:rPr>
            </w:pPr>
            <w:r>
              <w:rPr>
                <w:rStyle w:val="Platshllartext"/>
                <w:rFonts w:cs="Arial"/>
              </w:rPr>
              <w:t>Spotlight Stock Market</w:t>
            </w:r>
            <w:sdt>
              <w:sdtPr>
                <w:rPr>
                  <w:rStyle w:val="Platshllartext"/>
                  <w:rFonts w:cs="Arial"/>
                </w:rPr>
                <w:id w:val="-1872136383"/>
                <w:showingPlcHdr/>
                <w:text/>
              </w:sdtPr>
              <w:sdtEndPr>
                <w:rPr>
                  <w:rStyle w:val="Platshllartext"/>
                </w:rPr>
              </w:sdtEndPr>
              <w:sdtContent>
                <w:r>
                  <w:rPr>
                    <w:rStyle w:val="Platshllartext"/>
                    <w:rFonts w:cs="Arial"/>
                  </w:rPr>
                  <w:t xml:space="preserve">     </w:t>
                </w:r>
              </w:sdtContent>
            </w:sdt>
          </w:p>
        </w:tc>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5BBAA492" w:rsidR="00C2682A" w:rsidRPr="00AB6D88" w:rsidRDefault="00FF0DE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72016">
                  <w:rPr>
                    <w:rFonts w:cs="Arial"/>
                  </w:rPr>
                  <w:t>Regulated markets/Exchanges/Trading Systems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422E216C" w:rsidR="00C2682A" w:rsidRPr="00AB6D88" w:rsidRDefault="00572016" w:rsidP="00FA5524">
                <w:pPr>
                  <w:rPr>
                    <w:rFonts w:cs="Arial"/>
                  </w:rPr>
                </w:pPr>
                <w:r>
                  <w:rPr>
                    <w:rFonts w:cs="Arial"/>
                  </w:rPr>
                  <w:t>Sweden</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Rubrik1"/>
        <w:numPr>
          <w:ilvl w:val="0"/>
          <w:numId w:val="0"/>
        </w:numPr>
        <w:ind w:left="431" w:hanging="431"/>
      </w:pPr>
      <w:r>
        <w:t>Introduction</w:t>
      </w:r>
    </w:p>
    <w:p w14:paraId="3C3E0A24" w14:textId="77777777" w:rsidR="00F87897" w:rsidRPr="001D47A5" w:rsidRDefault="00F87897" w:rsidP="00F87897">
      <w:pPr>
        <w:rPr>
          <w:rStyle w:val="Starkbetoning"/>
        </w:rPr>
      </w:pPr>
      <w:r w:rsidRPr="001D47A5">
        <w:rPr>
          <w:rStyle w:val="Starkbetoning"/>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269947A1" w14:textId="77777777" w:rsidR="000F0136" w:rsidRDefault="006C5FDA" w:rsidP="00F87897">
      <w:permStart w:id="1594194160" w:edGrp="everyone"/>
      <w:r>
        <w:t>Spotlight</w:t>
      </w:r>
      <w:r w:rsidR="00C205A5">
        <w:t xml:space="preserve"> is glad for the opportunity to comment </w:t>
      </w:r>
      <w:r w:rsidR="00C245D7">
        <w:t xml:space="preserve">on the current market abuse legislation. </w:t>
      </w:r>
    </w:p>
    <w:p w14:paraId="63E10AC6" w14:textId="77777777" w:rsidR="000F0136" w:rsidRDefault="000F0136" w:rsidP="00F87897"/>
    <w:p w14:paraId="07307CDA" w14:textId="77777777" w:rsidR="007E5C80" w:rsidRDefault="00C245D7" w:rsidP="00F87897">
      <w:r>
        <w:t xml:space="preserve">Our general view is that </w:t>
      </w:r>
      <w:r w:rsidR="008C61B3">
        <w:t xml:space="preserve">in order to have a </w:t>
      </w:r>
      <w:r w:rsidR="000F0136">
        <w:t>well-functioning</w:t>
      </w:r>
      <w:r w:rsidR="008C61B3">
        <w:t xml:space="preserve"> market, high investor confidence is essential</w:t>
      </w:r>
      <w:r w:rsidR="000D5CA2">
        <w:t xml:space="preserve">. </w:t>
      </w:r>
      <w:r w:rsidR="001456F4">
        <w:t>Therefore,</w:t>
      </w:r>
      <w:r w:rsidR="000D5CA2">
        <w:t xml:space="preserve"> having </w:t>
      </w:r>
      <w:r w:rsidR="00E449E8">
        <w:t>a regulation that safeguards the investors interest</w:t>
      </w:r>
      <w:r w:rsidR="001456F4">
        <w:t>s</w:t>
      </w:r>
      <w:r w:rsidR="00E449E8">
        <w:t xml:space="preserve"> </w:t>
      </w:r>
      <w:r w:rsidR="002108BA">
        <w:t>is key. However</w:t>
      </w:r>
      <w:r w:rsidR="009D75E1">
        <w:t xml:space="preserve">, the regulation must at the same time be </w:t>
      </w:r>
      <w:r w:rsidR="00BA42B7">
        <w:t xml:space="preserve">comprehensible and </w:t>
      </w:r>
      <w:r w:rsidR="002F7FC5">
        <w:t>possible for issuer</w:t>
      </w:r>
      <w:r w:rsidR="00DF2AF4">
        <w:t>s</w:t>
      </w:r>
      <w:r w:rsidR="002F7FC5">
        <w:t xml:space="preserve"> to comply with</w:t>
      </w:r>
      <w:r w:rsidR="001456F4">
        <w:t>,</w:t>
      </w:r>
      <w:r w:rsidR="002F7FC5">
        <w:t xml:space="preserve"> without imposing </w:t>
      </w:r>
      <w:r w:rsidR="0022000A">
        <w:t xml:space="preserve">to high barriers </w:t>
      </w:r>
      <w:r w:rsidR="000B6523">
        <w:t xml:space="preserve">that deter them from being listed </w:t>
      </w:r>
      <w:r w:rsidR="0022000A">
        <w:t>and</w:t>
      </w:r>
      <w:r w:rsidR="00DF2AF4">
        <w:t xml:space="preserve"> without </w:t>
      </w:r>
      <w:r w:rsidR="0022000A">
        <w:t xml:space="preserve">making it </w:t>
      </w:r>
      <w:r w:rsidR="00DF2AF4">
        <w:t>to</w:t>
      </w:r>
      <w:r w:rsidR="000F0136">
        <w:t>o</w:t>
      </w:r>
      <w:r w:rsidR="00DF2AF4">
        <w:t xml:space="preserve"> </w:t>
      </w:r>
      <w:r w:rsidR="0022000A">
        <w:t>ha</w:t>
      </w:r>
      <w:r w:rsidR="000F0136">
        <w:t>rd for listed companies to run their day-to-day business</w:t>
      </w:r>
      <w:r w:rsidR="00F23292">
        <w:t>.</w:t>
      </w:r>
    </w:p>
    <w:p w14:paraId="2895584A" w14:textId="77777777" w:rsidR="007E5C80" w:rsidRDefault="007E5C80" w:rsidP="00F87897"/>
    <w:p w14:paraId="332D569D" w14:textId="77777777" w:rsidR="00BD61E4" w:rsidRDefault="007E5C80" w:rsidP="00F87897">
      <w:r>
        <w:t xml:space="preserve">In Sweden, we have over </w:t>
      </w:r>
      <w:r w:rsidR="00F12BC6">
        <w:t xml:space="preserve">800 companies of different sizes listed. The vast majority are SME- or micro-cap companies listen on MTFs. </w:t>
      </w:r>
      <w:r w:rsidR="00A95243">
        <w:t xml:space="preserve">We have over the past 20 years seen a significant growth in </w:t>
      </w:r>
      <w:r w:rsidR="00B34641">
        <w:t>this market</w:t>
      </w:r>
      <w:r w:rsidR="00BD61E4">
        <w:t xml:space="preserve"> and the number of issuers. </w:t>
      </w:r>
    </w:p>
    <w:p w14:paraId="2A54FBBF" w14:textId="77777777" w:rsidR="00BD61E4" w:rsidRDefault="00BD61E4" w:rsidP="00F87897"/>
    <w:p w14:paraId="50D2070C" w14:textId="0EA1FC76" w:rsidR="007B764F" w:rsidRPr="00755EFD" w:rsidRDefault="004A3215" w:rsidP="007B764F">
      <w:pPr>
        <w:pStyle w:val="intro"/>
        <w:shd w:val="clear" w:color="auto" w:fill="FFFFFF"/>
        <w:spacing w:before="0" w:beforeAutospacing="0"/>
        <w:rPr>
          <w:rFonts w:ascii="Arial" w:hAnsi="Arial"/>
          <w:sz w:val="20"/>
          <w:lang w:val="en-GB" w:eastAsia="de-DE"/>
        </w:rPr>
      </w:pPr>
      <w:r w:rsidRPr="00755EFD">
        <w:rPr>
          <w:rFonts w:ascii="Arial" w:hAnsi="Arial"/>
          <w:sz w:val="20"/>
          <w:lang w:val="en-GB" w:eastAsia="de-DE"/>
        </w:rPr>
        <w:t>Spotlight is</w:t>
      </w:r>
      <w:r w:rsidR="00BD61E4" w:rsidRPr="00755EFD">
        <w:rPr>
          <w:rFonts w:ascii="Arial" w:hAnsi="Arial"/>
          <w:sz w:val="20"/>
          <w:lang w:val="en-GB" w:eastAsia="de-DE"/>
        </w:rPr>
        <w:t xml:space="preserve"> one of the MTF</w:t>
      </w:r>
      <w:r w:rsidRPr="00755EFD">
        <w:rPr>
          <w:rFonts w:ascii="Arial" w:hAnsi="Arial"/>
          <w:sz w:val="20"/>
          <w:lang w:val="en-GB" w:eastAsia="de-DE"/>
        </w:rPr>
        <w:t>s in Sweden</w:t>
      </w:r>
      <w:r w:rsidR="00E7015F" w:rsidRPr="00755EFD">
        <w:rPr>
          <w:rFonts w:ascii="Arial" w:hAnsi="Arial"/>
          <w:sz w:val="20"/>
          <w:lang w:val="en-GB" w:eastAsia="de-DE"/>
        </w:rPr>
        <w:t>,</w:t>
      </w:r>
      <w:r w:rsidR="00653B72" w:rsidRPr="00755EFD">
        <w:rPr>
          <w:rFonts w:ascii="Arial" w:hAnsi="Arial"/>
          <w:sz w:val="20"/>
          <w:lang w:val="en-GB" w:eastAsia="de-DE"/>
        </w:rPr>
        <w:t xml:space="preserve"> with 177 companies listed</w:t>
      </w:r>
      <w:r w:rsidR="00E7015F" w:rsidRPr="00755EFD">
        <w:rPr>
          <w:rFonts w:ascii="Arial" w:hAnsi="Arial"/>
          <w:sz w:val="20"/>
          <w:lang w:val="en-GB" w:eastAsia="de-DE"/>
        </w:rPr>
        <w:t>.</w:t>
      </w:r>
      <w:r w:rsidR="00653B72" w:rsidRPr="00755EFD">
        <w:rPr>
          <w:rFonts w:ascii="Arial" w:hAnsi="Arial"/>
          <w:sz w:val="20"/>
          <w:lang w:val="en-GB" w:eastAsia="de-DE"/>
        </w:rPr>
        <w:t xml:space="preserve"> </w:t>
      </w:r>
      <w:r w:rsidR="007B764F" w:rsidRPr="00755EFD">
        <w:rPr>
          <w:rFonts w:ascii="Arial" w:hAnsi="Arial"/>
          <w:sz w:val="20"/>
          <w:lang w:val="en-GB" w:eastAsia="de-DE"/>
        </w:rPr>
        <w:t xml:space="preserve">Spotlight was </w:t>
      </w:r>
      <w:r w:rsidR="003B2B57" w:rsidRPr="003B2B57">
        <w:rPr>
          <w:rFonts w:ascii="Arial" w:hAnsi="Arial"/>
          <w:sz w:val="20"/>
          <w:lang w:val="en-GB" w:eastAsia="de-DE"/>
        </w:rPr>
        <w:t>founded over 20 year</w:t>
      </w:r>
      <w:r w:rsidR="003B2B57">
        <w:rPr>
          <w:rFonts w:ascii="Arial" w:hAnsi="Arial"/>
          <w:sz w:val="20"/>
          <w:lang w:val="en-GB" w:eastAsia="de-DE"/>
        </w:rPr>
        <w:t>s</w:t>
      </w:r>
      <w:r w:rsidR="003B2B57" w:rsidRPr="003B2B57">
        <w:rPr>
          <w:rFonts w:ascii="Arial" w:hAnsi="Arial"/>
          <w:sz w:val="20"/>
          <w:lang w:val="en-GB" w:eastAsia="de-DE"/>
        </w:rPr>
        <w:t xml:space="preserve"> ago with the same mission as today</w:t>
      </w:r>
      <w:r w:rsidR="007B764F" w:rsidRPr="00755EFD">
        <w:rPr>
          <w:rFonts w:ascii="Arial" w:hAnsi="Arial"/>
          <w:sz w:val="20"/>
          <w:lang w:val="en-GB" w:eastAsia="de-DE"/>
        </w:rPr>
        <w:t>: to make it simpler, safer and more visible for growth companies to be listed.</w:t>
      </w:r>
      <w:r w:rsidR="0082546B">
        <w:rPr>
          <w:rFonts w:ascii="Arial" w:hAnsi="Arial"/>
          <w:sz w:val="20"/>
          <w:lang w:val="en-GB" w:eastAsia="de-DE"/>
        </w:rPr>
        <w:t xml:space="preserve"> We know that in order to attract investors </w:t>
      </w:r>
      <w:r w:rsidR="004119E9">
        <w:rPr>
          <w:rFonts w:ascii="Arial" w:hAnsi="Arial"/>
          <w:sz w:val="20"/>
          <w:lang w:val="en-GB" w:eastAsia="de-DE"/>
        </w:rPr>
        <w:t xml:space="preserve">a high level of transparency </w:t>
      </w:r>
      <w:r w:rsidR="00205154">
        <w:rPr>
          <w:rFonts w:ascii="Arial" w:hAnsi="Arial"/>
          <w:sz w:val="20"/>
          <w:lang w:val="en-GB" w:eastAsia="de-DE"/>
        </w:rPr>
        <w:t xml:space="preserve">and predictability </w:t>
      </w:r>
      <w:r w:rsidR="00A47581">
        <w:rPr>
          <w:rFonts w:ascii="Arial" w:hAnsi="Arial"/>
          <w:sz w:val="20"/>
          <w:lang w:val="en-GB" w:eastAsia="de-DE"/>
        </w:rPr>
        <w:t>is essential</w:t>
      </w:r>
      <w:r w:rsidR="00C135BB">
        <w:rPr>
          <w:rFonts w:ascii="Arial" w:hAnsi="Arial"/>
          <w:sz w:val="20"/>
          <w:lang w:val="en-GB" w:eastAsia="de-DE"/>
        </w:rPr>
        <w:t>.</w:t>
      </w:r>
    </w:p>
    <w:p w14:paraId="64FE9C1D" w14:textId="77777777" w:rsidR="0026356A" w:rsidRDefault="00C135BB" w:rsidP="00F87897">
      <w:r>
        <w:t xml:space="preserve">With MAR, one common legislation for all listed companies was introduced. In this context it is important </w:t>
      </w:r>
      <w:r w:rsidR="00005F42">
        <w:t xml:space="preserve">remember </w:t>
      </w:r>
      <w:r w:rsidR="00005F42" w:rsidRPr="000C0655">
        <w:t>that</w:t>
      </w:r>
      <w:r w:rsidR="002F4A79" w:rsidRPr="000C0655">
        <w:t xml:space="preserve"> </w:t>
      </w:r>
      <w:r w:rsidR="004507DF" w:rsidRPr="000C0655">
        <w:t>the administrative</w:t>
      </w:r>
      <w:r w:rsidR="004507DF">
        <w:t xml:space="preserve"> burdens put upon the issuers</w:t>
      </w:r>
      <w:r w:rsidR="00005F42">
        <w:t xml:space="preserve"> will be </w:t>
      </w:r>
      <w:r w:rsidR="004507DF">
        <w:t xml:space="preserve">especially </w:t>
      </w:r>
      <w:r w:rsidR="00251A06">
        <w:t xml:space="preserve">burdensome </w:t>
      </w:r>
      <w:r w:rsidR="004507DF">
        <w:t>on SME and microcap companies</w:t>
      </w:r>
      <w:r w:rsidR="00251A06">
        <w:t xml:space="preserve"> and a one-</w:t>
      </w:r>
      <w:r w:rsidR="0026356A">
        <w:t xml:space="preserve">size-fits-all approach is not always desirable. </w:t>
      </w:r>
    </w:p>
    <w:p w14:paraId="2B39083E" w14:textId="77777777" w:rsidR="0026356A" w:rsidRDefault="0026356A" w:rsidP="00F87897">
      <w:bookmarkStart w:id="3" w:name="_GoBack"/>
      <w:bookmarkEnd w:id="3"/>
    </w:p>
    <w:p w14:paraId="3C3E0A27" w14:textId="52542111" w:rsidR="00F87897" w:rsidRDefault="00AC75F1" w:rsidP="00F87897">
      <w:r>
        <w:t xml:space="preserve">We would in this introduction also like to take the opportunity to comment on a topic not covered by the questions below. </w:t>
      </w:r>
      <w:r w:rsidR="00EA46A8">
        <w:t>In MAR, article 2</w:t>
      </w:r>
      <w:r w:rsidR="00752761">
        <w:t xml:space="preserve"> (</w:t>
      </w:r>
      <w:r w:rsidR="005C7986">
        <w:t>1a,1b)</w:t>
      </w:r>
      <w:r w:rsidR="00AB0ED7">
        <w:t xml:space="preserve"> where the scope is set, it is stated that </w:t>
      </w:r>
      <w:r w:rsidR="00026417">
        <w:t>MAR applies to</w:t>
      </w:r>
      <w:r w:rsidR="00D022E4">
        <w:t xml:space="preserve"> </w:t>
      </w:r>
      <w:r w:rsidR="00D022E4" w:rsidRPr="00D022E4">
        <w:rPr>
          <w:i/>
        </w:rPr>
        <w:t xml:space="preserve">financial instruments admitted to trading on a regulated market </w:t>
      </w:r>
      <w:r w:rsidR="003053DC">
        <w:rPr>
          <w:i/>
        </w:rPr>
        <w:t xml:space="preserve">(or MTF) </w:t>
      </w:r>
      <w:r w:rsidR="00D022E4" w:rsidRPr="00D022E4">
        <w:rPr>
          <w:i/>
        </w:rPr>
        <w:t>or for which a request for admission to trading on a regulated market has been made</w:t>
      </w:r>
      <w:r w:rsidR="00D022E4">
        <w:rPr>
          <w:i/>
        </w:rPr>
        <w:t>.</w:t>
      </w:r>
      <w:r w:rsidR="000D187A">
        <w:rPr>
          <w:i/>
        </w:rPr>
        <w:t xml:space="preserve"> </w:t>
      </w:r>
      <w:r w:rsidR="00C222CB" w:rsidRPr="00741559">
        <w:t xml:space="preserve">Our opinion is that MAR should </w:t>
      </w:r>
      <w:r w:rsidR="0017663A" w:rsidRPr="00741559">
        <w:t xml:space="preserve">be applicable when a financial instrument </w:t>
      </w:r>
      <w:r w:rsidR="00B92840" w:rsidRPr="00741559">
        <w:t xml:space="preserve">is admitted to trading on </w:t>
      </w:r>
      <w:r w:rsidR="00BC1A09" w:rsidRPr="00741559">
        <w:t xml:space="preserve">a trading venue rather than upon </w:t>
      </w:r>
      <w:r w:rsidR="00741559" w:rsidRPr="00741559">
        <w:t>request</w:t>
      </w:r>
      <w:r w:rsidR="00BC1A09" w:rsidRPr="00741559">
        <w:t xml:space="preserve"> for admission or</w:t>
      </w:r>
      <w:r w:rsidR="00741559" w:rsidRPr="00741559">
        <w:t xml:space="preserve"> when listing Is </w:t>
      </w:r>
      <w:r w:rsidR="00623E33">
        <w:t xml:space="preserve">approved. </w:t>
      </w:r>
      <w:r w:rsidR="00B55F19">
        <w:t>The reason being that</w:t>
      </w:r>
      <w:r w:rsidR="000A60C6">
        <w:t xml:space="preserve"> for example</w:t>
      </w:r>
      <w:r w:rsidR="00B55F19">
        <w:t xml:space="preserve"> </w:t>
      </w:r>
      <w:r w:rsidR="000A60C6">
        <w:t>PDMRs affected by the regulation might not be aware of when the issuer formally has a</w:t>
      </w:r>
      <w:r w:rsidR="00B77132">
        <w:t xml:space="preserve">pplied for listing </w:t>
      </w:r>
      <w:r w:rsidR="00343F55">
        <w:t>and/or</w:t>
      </w:r>
      <w:r w:rsidR="00B77132">
        <w:t xml:space="preserve"> when the trading venue decides </w:t>
      </w:r>
      <w:r w:rsidR="00343F55">
        <w:t>to approve the issuers application</w:t>
      </w:r>
      <w:r w:rsidR="00B77132">
        <w:t>.</w:t>
      </w:r>
      <w:r w:rsidR="00343F55">
        <w:t xml:space="preserve"> </w:t>
      </w:r>
      <w:r w:rsidR="00BC1A09">
        <w:rPr>
          <w:i/>
        </w:rPr>
        <w:t xml:space="preserve"> </w:t>
      </w:r>
      <w:r w:rsidR="00EF2142">
        <w:t xml:space="preserve"> </w:t>
      </w:r>
      <w:r w:rsidR="004A3215">
        <w:t xml:space="preserve">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4E3E2FB0" w:rsidR="00A8728B" w:rsidRDefault="00C360EF" w:rsidP="00A8728B">
      <w:permStart w:id="751114692" w:edGrp="everyone"/>
      <w:r w:rsidRPr="00A4188B">
        <w:rPr>
          <w:sz w:val="21"/>
          <w:szCs w:val="21"/>
        </w:rPr>
        <w:t xml:space="preserve">Spotlight Stock Market </w:t>
      </w:r>
      <w:r w:rsidR="00C5033B" w:rsidRPr="00A4188B">
        <w:rPr>
          <w:sz w:val="21"/>
          <w:szCs w:val="21"/>
        </w:rPr>
        <w:t>do not</w:t>
      </w:r>
      <w:r w:rsidR="00264A0A" w:rsidRPr="00A4188B">
        <w:rPr>
          <w:sz w:val="21"/>
          <w:szCs w:val="21"/>
        </w:rPr>
        <w:t xml:space="preserve"> wish to enter an opinion on </w:t>
      </w:r>
      <w:proofErr w:type="gramStart"/>
      <w:r w:rsidR="00846A24" w:rsidRPr="00A4188B">
        <w:rPr>
          <w:sz w:val="21"/>
          <w:szCs w:val="21"/>
        </w:rPr>
        <w:t>whether</w:t>
      </w:r>
      <w:r w:rsidR="00264A0A" w:rsidRPr="00A4188B">
        <w:rPr>
          <w:sz w:val="21"/>
          <w:szCs w:val="21"/>
        </w:rPr>
        <w:t xml:space="preserve"> </w:t>
      </w:r>
      <w:r w:rsidR="00846A24" w:rsidRPr="00A4188B">
        <w:rPr>
          <w:sz w:val="21"/>
          <w:szCs w:val="21"/>
        </w:rPr>
        <w:t>or not</w:t>
      </w:r>
      <w:proofErr w:type="gramEnd"/>
      <w:r w:rsidR="00846A24" w:rsidRPr="00A4188B">
        <w:rPr>
          <w:sz w:val="21"/>
          <w:szCs w:val="21"/>
        </w:rPr>
        <w:t xml:space="preserve"> </w:t>
      </w:r>
      <w:r w:rsidR="00264A0A" w:rsidRPr="00A4188B">
        <w:rPr>
          <w:sz w:val="21"/>
          <w:szCs w:val="21"/>
        </w:rPr>
        <w:t>the scope of MAR s</w:t>
      </w:r>
      <w:r w:rsidR="00903A69" w:rsidRPr="00A4188B">
        <w:rPr>
          <w:sz w:val="21"/>
          <w:szCs w:val="21"/>
        </w:rPr>
        <w:t xml:space="preserve">hould be extended to </w:t>
      </w:r>
      <w:r w:rsidR="00264A0A" w:rsidRPr="00A4188B">
        <w:rPr>
          <w:sz w:val="21"/>
          <w:szCs w:val="21"/>
        </w:rPr>
        <w:t>spot FX contracts</w:t>
      </w:r>
      <w:r w:rsidR="00903A69" w:rsidRPr="00A4188B">
        <w:rPr>
          <w:sz w:val="21"/>
          <w:szCs w:val="21"/>
        </w:rPr>
        <w:t>. However</w:t>
      </w:r>
      <w:r w:rsidR="00A235C0" w:rsidRPr="00A4188B">
        <w:rPr>
          <w:sz w:val="21"/>
          <w:szCs w:val="21"/>
        </w:rPr>
        <w:t>,</w:t>
      </w:r>
      <w:r w:rsidR="00903A69" w:rsidRPr="00A4188B">
        <w:rPr>
          <w:sz w:val="21"/>
          <w:szCs w:val="21"/>
        </w:rPr>
        <w:t xml:space="preserve"> we are of the opinion that</w:t>
      </w:r>
      <w:r w:rsidR="00264A0A" w:rsidRPr="00A4188B">
        <w:rPr>
          <w:sz w:val="21"/>
          <w:szCs w:val="21"/>
        </w:rPr>
        <w:t xml:space="preserve"> should </w:t>
      </w:r>
      <w:r w:rsidR="00903A69" w:rsidRPr="00A4188B">
        <w:rPr>
          <w:sz w:val="21"/>
          <w:szCs w:val="21"/>
        </w:rPr>
        <w:t xml:space="preserve">such an extension </w:t>
      </w:r>
      <w:r w:rsidR="00264A0A" w:rsidRPr="00A4188B">
        <w:rPr>
          <w:sz w:val="21"/>
          <w:szCs w:val="21"/>
        </w:rPr>
        <w:t xml:space="preserve">be </w:t>
      </w:r>
      <w:r w:rsidR="00903A69" w:rsidRPr="00A4188B">
        <w:rPr>
          <w:sz w:val="21"/>
          <w:szCs w:val="21"/>
        </w:rPr>
        <w:t xml:space="preserve">realised, it is of the utmost importance that the lawmakers and </w:t>
      </w:r>
      <w:r w:rsidR="00C5033B" w:rsidRPr="00A4188B">
        <w:rPr>
          <w:sz w:val="21"/>
          <w:szCs w:val="21"/>
        </w:rPr>
        <w:t xml:space="preserve">ESMA </w:t>
      </w:r>
      <w:r w:rsidR="0006066A" w:rsidRPr="00A4188B">
        <w:rPr>
          <w:sz w:val="21"/>
          <w:szCs w:val="21"/>
        </w:rPr>
        <w:t xml:space="preserve">take into </w:t>
      </w:r>
      <w:r w:rsidR="00C5033B" w:rsidRPr="00A4188B">
        <w:rPr>
          <w:sz w:val="21"/>
          <w:szCs w:val="21"/>
        </w:rPr>
        <w:t>consider</w:t>
      </w:r>
      <w:r w:rsidR="0006066A" w:rsidRPr="00A4188B">
        <w:rPr>
          <w:sz w:val="21"/>
          <w:szCs w:val="21"/>
        </w:rPr>
        <w:t xml:space="preserve">ation the </w:t>
      </w:r>
      <w:r w:rsidR="00A63E03" w:rsidRPr="00A4188B">
        <w:rPr>
          <w:sz w:val="21"/>
          <w:szCs w:val="21"/>
        </w:rPr>
        <w:t xml:space="preserve">very different characteristics of the FX-market compared with </w:t>
      </w:r>
      <w:r w:rsidR="00080692" w:rsidRPr="00A4188B">
        <w:rPr>
          <w:sz w:val="21"/>
          <w:szCs w:val="21"/>
        </w:rPr>
        <w:t>for example the s</w:t>
      </w:r>
      <w:r w:rsidR="00686924" w:rsidRPr="00A4188B">
        <w:rPr>
          <w:sz w:val="21"/>
          <w:szCs w:val="21"/>
        </w:rPr>
        <w:t xml:space="preserve">tock </w:t>
      </w:r>
      <w:r w:rsidR="0033179A" w:rsidRPr="00A4188B">
        <w:rPr>
          <w:sz w:val="21"/>
          <w:szCs w:val="21"/>
        </w:rPr>
        <w:t xml:space="preserve">and bond </w:t>
      </w:r>
      <w:r w:rsidR="00686924" w:rsidRPr="00A4188B">
        <w:rPr>
          <w:sz w:val="21"/>
          <w:szCs w:val="21"/>
        </w:rPr>
        <w:t>market</w:t>
      </w:r>
      <w:r w:rsidR="0033179A" w:rsidRPr="00A4188B">
        <w:rPr>
          <w:sz w:val="21"/>
          <w:szCs w:val="21"/>
        </w:rPr>
        <w:t>s</w:t>
      </w:r>
      <w:r w:rsidR="00686924" w:rsidRPr="00A4188B">
        <w:rPr>
          <w:sz w:val="21"/>
          <w:szCs w:val="21"/>
        </w:rPr>
        <w:t xml:space="preserve">. </w:t>
      </w:r>
      <w:r w:rsidR="00200E0B" w:rsidRPr="00A4188B">
        <w:rPr>
          <w:sz w:val="21"/>
          <w:szCs w:val="21"/>
        </w:rPr>
        <w:t>We believe there is a need for clarification in several instances of the existing MAR with regards to at least the stock market</w:t>
      </w:r>
      <w:r w:rsidR="00596346" w:rsidRPr="00A4188B">
        <w:rPr>
          <w:sz w:val="21"/>
          <w:szCs w:val="21"/>
        </w:rPr>
        <w:t xml:space="preserve">. If </w:t>
      </w:r>
      <w:r w:rsidR="00C5033B" w:rsidRPr="00A4188B">
        <w:rPr>
          <w:sz w:val="21"/>
          <w:szCs w:val="21"/>
        </w:rPr>
        <w:t xml:space="preserve">concepts of MAR would need to be revised and adapted to make them workable </w:t>
      </w:r>
      <w:r w:rsidR="00E520E9" w:rsidRPr="00A4188B">
        <w:rPr>
          <w:sz w:val="21"/>
          <w:szCs w:val="21"/>
        </w:rPr>
        <w:t xml:space="preserve">for </w:t>
      </w:r>
      <w:r w:rsidR="00E50D5C" w:rsidRPr="00A4188B">
        <w:rPr>
          <w:sz w:val="21"/>
          <w:szCs w:val="21"/>
        </w:rPr>
        <w:t>FX</w:t>
      </w:r>
      <w:r w:rsidR="00E520E9" w:rsidRPr="00A4188B">
        <w:rPr>
          <w:sz w:val="21"/>
          <w:szCs w:val="21"/>
        </w:rPr>
        <w:t xml:space="preserve"> contracts</w:t>
      </w:r>
      <w:r w:rsidR="00596346" w:rsidRPr="00A4188B">
        <w:rPr>
          <w:sz w:val="21"/>
          <w:szCs w:val="21"/>
        </w:rPr>
        <w:t xml:space="preserve"> as well</w:t>
      </w:r>
      <w:r w:rsidR="00F92D2B" w:rsidRPr="00A4188B">
        <w:rPr>
          <w:sz w:val="21"/>
          <w:szCs w:val="21"/>
        </w:rPr>
        <w:t xml:space="preserve">, it is important not to </w:t>
      </w:r>
      <w:r w:rsidR="00B14222" w:rsidRPr="00A4188B">
        <w:rPr>
          <w:sz w:val="21"/>
          <w:szCs w:val="21"/>
        </w:rPr>
        <w:t xml:space="preserve">make it on the </w:t>
      </w:r>
      <w:r w:rsidR="00396EB1" w:rsidRPr="00A4188B">
        <w:rPr>
          <w:sz w:val="21"/>
          <w:szCs w:val="21"/>
        </w:rPr>
        <w:t>expense</w:t>
      </w:r>
      <w:r w:rsidR="00B14222" w:rsidRPr="00A4188B">
        <w:rPr>
          <w:sz w:val="21"/>
          <w:szCs w:val="21"/>
        </w:rPr>
        <w:t xml:space="preserve"> of the clarity or </w:t>
      </w:r>
      <w:r w:rsidR="00987A62" w:rsidRPr="00A4188B">
        <w:rPr>
          <w:sz w:val="21"/>
          <w:szCs w:val="21"/>
        </w:rPr>
        <w:t xml:space="preserve">applicability </w:t>
      </w:r>
      <w:r w:rsidR="00140EAD" w:rsidRPr="00A4188B">
        <w:rPr>
          <w:sz w:val="21"/>
          <w:szCs w:val="21"/>
        </w:rPr>
        <w:t xml:space="preserve">in relation to </w:t>
      </w:r>
      <w:r w:rsidR="00B14222" w:rsidRPr="00A4188B">
        <w:rPr>
          <w:sz w:val="21"/>
          <w:szCs w:val="21"/>
        </w:rPr>
        <w:t xml:space="preserve">the </w:t>
      </w:r>
      <w:r w:rsidR="00140EAD" w:rsidRPr="00A4188B">
        <w:rPr>
          <w:sz w:val="21"/>
          <w:szCs w:val="21"/>
        </w:rPr>
        <w:t>stock market.</w:t>
      </w:r>
      <w:r w:rsidR="00596346" w:rsidRPr="00A4188B">
        <w:rPr>
          <w:sz w:val="21"/>
          <w:szCs w:val="21"/>
        </w:rPr>
        <w:t xml:space="preserve"> </w:t>
      </w:r>
      <w:r w:rsidR="007F70E2">
        <w:rPr>
          <w:sz w:val="21"/>
          <w:szCs w:val="21"/>
        </w:rPr>
        <w:t>T</w:t>
      </w:r>
      <w:r w:rsidR="00427018" w:rsidRPr="00A4188B">
        <w:rPr>
          <w:sz w:val="21"/>
          <w:szCs w:val="21"/>
        </w:rPr>
        <w:t xml:space="preserve">he impact of </w:t>
      </w:r>
      <w:r w:rsidR="0023290A" w:rsidRPr="00A4188B">
        <w:rPr>
          <w:sz w:val="21"/>
          <w:szCs w:val="21"/>
        </w:rPr>
        <w:t xml:space="preserve">any adjustment of </w:t>
      </w:r>
      <w:r w:rsidR="00427018" w:rsidRPr="00A4188B">
        <w:rPr>
          <w:sz w:val="21"/>
          <w:szCs w:val="21"/>
        </w:rPr>
        <w:t xml:space="preserve">MAR to encompass FX contracts must be thoroughly assessed beforehand, as </w:t>
      </w:r>
      <w:r w:rsidR="005173F3" w:rsidRPr="00A4188B">
        <w:rPr>
          <w:sz w:val="21"/>
          <w:szCs w:val="21"/>
        </w:rPr>
        <w:t xml:space="preserve">to ensure no </w:t>
      </w:r>
      <w:r w:rsidR="00A4188B" w:rsidRPr="00A4188B">
        <w:rPr>
          <w:sz w:val="21"/>
          <w:szCs w:val="21"/>
        </w:rPr>
        <w:t>unintended negative effects on the financial instruments already included in the scope of MAR</w:t>
      </w:r>
      <w:r w:rsidR="00F20F11">
        <w:t>.</w:t>
      </w:r>
      <w:r w:rsidR="00ED4EF0">
        <w:t xml:space="preserve"> </w:t>
      </w:r>
      <w:r>
        <w:t xml:space="preserve"> </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lastRenderedPageBreak/>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0AD04B9F" w14:textId="3A24E341" w:rsidR="001D374E" w:rsidRDefault="001D374E" w:rsidP="001D374E">
      <w:pPr>
        <w:pStyle w:val="paragraph"/>
        <w:spacing w:before="0" w:beforeAutospacing="0" w:after="0" w:afterAutospacing="0"/>
        <w:textAlignment w:val="baseline"/>
        <w:rPr>
          <w:rStyle w:val="eop"/>
          <w:rFonts w:ascii="Arial" w:hAnsi="Arial" w:cs="Arial"/>
          <w:sz w:val="21"/>
          <w:szCs w:val="21"/>
          <w:lang w:val="en-US"/>
        </w:rPr>
      </w:pPr>
      <w:permStart w:id="707658946" w:edGrp="everyone"/>
      <w:r>
        <w:rPr>
          <w:rStyle w:val="normaltextrun"/>
          <w:rFonts w:ascii="Arial" w:hAnsi="Arial" w:cs="Arial"/>
          <w:sz w:val="21"/>
          <w:szCs w:val="21"/>
          <w:lang w:val="en-US"/>
        </w:rPr>
        <w:t>Yes, we agree with ESMA’s view that the current reporting obligation under Article 5(3) of MAR is too burdensome. As the current wording of Article 5(3) imposes a disproportionate burden on the issuers, it should be modified.</w:t>
      </w:r>
      <w:r w:rsidRPr="001D374E">
        <w:rPr>
          <w:rStyle w:val="eop"/>
          <w:rFonts w:ascii="Arial" w:hAnsi="Arial" w:cs="Arial"/>
          <w:sz w:val="21"/>
          <w:szCs w:val="21"/>
          <w:lang w:val="en-US"/>
        </w:rPr>
        <w:t> </w:t>
      </w:r>
    </w:p>
    <w:p w14:paraId="342F18DE" w14:textId="77777777" w:rsidR="00101A3F" w:rsidRDefault="00101A3F" w:rsidP="001D374E">
      <w:pPr>
        <w:pStyle w:val="paragraph"/>
        <w:spacing w:before="0" w:beforeAutospacing="0" w:after="0" w:afterAutospacing="0"/>
        <w:textAlignment w:val="baseline"/>
        <w:rPr>
          <w:rStyle w:val="eop"/>
          <w:rFonts w:ascii="Arial" w:hAnsi="Arial" w:cs="Arial"/>
          <w:sz w:val="21"/>
          <w:szCs w:val="21"/>
          <w:lang w:val="en-US"/>
        </w:rPr>
      </w:pPr>
    </w:p>
    <w:p w14:paraId="73F1CD47" w14:textId="7D903578" w:rsidR="001D374E" w:rsidRDefault="001D374E" w:rsidP="001D374E">
      <w:pPr>
        <w:pStyle w:val="paragraph"/>
        <w:spacing w:before="0" w:beforeAutospacing="0" w:after="0" w:afterAutospacing="0"/>
        <w:textAlignment w:val="baseline"/>
        <w:rPr>
          <w:rStyle w:val="eop"/>
          <w:rFonts w:ascii="Arial" w:hAnsi="Arial" w:cs="Arial"/>
          <w:sz w:val="21"/>
          <w:szCs w:val="21"/>
          <w:lang w:val="en-US"/>
        </w:rPr>
      </w:pPr>
      <w:r>
        <w:rPr>
          <w:rStyle w:val="normaltextrun"/>
          <w:rFonts w:ascii="Arial" w:hAnsi="Arial" w:cs="Arial"/>
          <w:sz w:val="21"/>
          <w:szCs w:val="21"/>
          <w:lang w:val="en-US"/>
        </w:rPr>
        <w:t>In addition to the reasons for a modification given in Section 56 – 66, pages 24 – 26 of the MAR Review Report, we would like to add the following.</w:t>
      </w:r>
      <w:r w:rsidRPr="001D374E">
        <w:rPr>
          <w:rStyle w:val="eop"/>
          <w:rFonts w:ascii="Arial" w:hAnsi="Arial" w:cs="Arial"/>
          <w:sz w:val="21"/>
          <w:szCs w:val="21"/>
          <w:lang w:val="en-US"/>
        </w:rPr>
        <w:t> </w:t>
      </w:r>
    </w:p>
    <w:p w14:paraId="473A58A5" w14:textId="77777777" w:rsidR="00101A3F" w:rsidRDefault="00101A3F" w:rsidP="00A263DF">
      <w:pPr>
        <w:rPr>
          <w:rStyle w:val="normaltextrun"/>
          <w:rFonts w:cs="Arial"/>
          <w:sz w:val="21"/>
          <w:szCs w:val="21"/>
          <w:lang w:val="en-US"/>
        </w:rPr>
      </w:pPr>
    </w:p>
    <w:p w14:paraId="3C3E0A4A" w14:textId="63F0DE98" w:rsidR="00A263DF" w:rsidRDefault="001D374E" w:rsidP="00A263DF">
      <w:r>
        <w:rPr>
          <w:rStyle w:val="normaltextrun"/>
          <w:rFonts w:cs="Arial"/>
          <w:sz w:val="21"/>
          <w:szCs w:val="21"/>
          <w:lang w:val="en-US"/>
        </w:rPr>
        <w:t>The shares of </w:t>
      </w:r>
      <w:proofErr w:type="gramStart"/>
      <w:r>
        <w:rPr>
          <w:rStyle w:val="advancedproofingissue"/>
          <w:rFonts w:cs="Arial"/>
          <w:sz w:val="21"/>
          <w:szCs w:val="21"/>
          <w:lang w:val="en-US"/>
        </w:rPr>
        <w:t>a large number of</w:t>
      </w:r>
      <w:proofErr w:type="gramEnd"/>
      <w:r>
        <w:rPr>
          <w:rStyle w:val="normaltextrun"/>
          <w:rFonts w:cs="Arial"/>
          <w:sz w:val="21"/>
          <w:szCs w:val="21"/>
          <w:lang w:val="en-US"/>
        </w:rPr>
        <w:t xml:space="preserve"> publicly listed European issuers are traded on venues without the </w:t>
      </w:r>
      <w:r w:rsidRPr="00F90F6F">
        <w:rPr>
          <w:rStyle w:val="normaltextrun"/>
          <w:rFonts w:cs="Arial"/>
          <w:sz w:val="21"/>
          <w:szCs w:val="21"/>
          <w:lang w:val="en-US"/>
        </w:rPr>
        <w:t xml:space="preserve">issuer's request or approval. To our understanding, there exists no common, easily accessible, understandable and reliable system for </w:t>
      </w:r>
      <w:r w:rsidR="00D63AD0" w:rsidRPr="00F90F6F">
        <w:rPr>
          <w:rStyle w:val="normaltextrun"/>
          <w:rFonts w:cs="Arial"/>
          <w:sz w:val="21"/>
          <w:szCs w:val="21"/>
          <w:lang w:val="en-US"/>
        </w:rPr>
        <w:t xml:space="preserve">the </w:t>
      </w:r>
      <w:r w:rsidR="0099493B" w:rsidRPr="00F90F6F">
        <w:rPr>
          <w:rStyle w:val="normaltextrun"/>
          <w:rFonts w:cs="Arial"/>
          <w:sz w:val="21"/>
          <w:szCs w:val="21"/>
          <w:lang w:val="en-US"/>
        </w:rPr>
        <w:t xml:space="preserve">issuers to </w:t>
      </w:r>
      <w:r w:rsidRPr="00F90F6F">
        <w:rPr>
          <w:rStyle w:val="normaltextrun"/>
          <w:rFonts w:cs="Arial"/>
          <w:sz w:val="21"/>
          <w:szCs w:val="21"/>
          <w:lang w:val="en-US"/>
        </w:rPr>
        <w:t>identify the competent authorit</w:t>
      </w:r>
      <w:r w:rsidR="000839B6" w:rsidRPr="00F90F6F">
        <w:rPr>
          <w:rStyle w:val="normaltextrun"/>
          <w:rFonts w:cs="Arial"/>
          <w:sz w:val="21"/>
          <w:szCs w:val="21"/>
          <w:lang w:val="en-US"/>
        </w:rPr>
        <w:t>ies</w:t>
      </w:r>
      <w:r w:rsidRPr="00F90F6F">
        <w:rPr>
          <w:rStyle w:val="normaltextrun"/>
          <w:rFonts w:cs="Arial"/>
          <w:sz w:val="21"/>
          <w:szCs w:val="21"/>
          <w:lang w:val="en-US"/>
        </w:rPr>
        <w:t xml:space="preserve"> of these trading venues. It is not reasonable to expect for the issuers to fully comply with the current reporting </w:t>
      </w:r>
      <w:r>
        <w:rPr>
          <w:rStyle w:val="normaltextrun"/>
          <w:rFonts w:cs="Arial"/>
          <w:sz w:val="21"/>
          <w:szCs w:val="21"/>
          <w:lang w:val="en-US"/>
        </w:rPr>
        <w:t>obligation under these conditions</w:t>
      </w:r>
      <w:r w:rsidR="001C4031">
        <w:t xml:space="preserve"> </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5728596B" w:rsidR="00A263DF" w:rsidRDefault="001B7994" w:rsidP="00A263DF">
      <w:permStart w:id="797404044" w:edGrp="everyone"/>
      <w:r>
        <w:rPr>
          <w:rStyle w:val="normaltextrun"/>
          <w:rFonts w:cs="Arial"/>
          <w:color w:val="000000"/>
          <w:sz w:val="21"/>
          <w:szCs w:val="21"/>
          <w:shd w:val="clear" w:color="auto" w:fill="FFFFFF"/>
          <w:lang w:val="en"/>
        </w:rPr>
        <w:t>No, we</w:t>
      </w:r>
      <w:r>
        <w:rPr>
          <w:rStyle w:val="normaltextrun"/>
          <w:color w:val="000000"/>
          <w:sz w:val="21"/>
          <w:szCs w:val="21"/>
          <w:shd w:val="clear" w:color="auto" w:fill="FFFFFF"/>
          <w:lang w:val="en"/>
        </w:rPr>
        <w:t> </w:t>
      </w:r>
      <w:r>
        <w:rPr>
          <w:rStyle w:val="normaltextrun"/>
          <w:rFonts w:cs="Arial"/>
          <w:color w:val="000000"/>
          <w:sz w:val="21"/>
          <w:szCs w:val="21"/>
          <w:shd w:val="clear" w:color="auto" w:fill="FFFFFF"/>
          <w:lang w:val="en"/>
        </w:rPr>
        <w:t>believe option 2 is appropriate. For both option 2 and 3 there is the benefit of a single reporting point, unless in option 2, the issuer has</w:t>
      </w:r>
      <w:r>
        <w:rPr>
          <w:rStyle w:val="normaltextrun"/>
          <w:color w:val="000000"/>
          <w:sz w:val="21"/>
          <w:szCs w:val="21"/>
          <w:shd w:val="clear" w:color="auto" w:fill="FFFFFF"/>
          <w:lang w:val="en"/>
        </w:rPr>
        <w:t> </w:t>
      </w:r>
      <w:r w:rsidRPr="00AC72B2">
        <w:rPr>
          <w:rStyle w:val="normaltextrun"/>
          <w:rFonts w:cs="Arial"/>
          <w:sz w:val="21"/>
          <w:szCs w:val="21"/>
          <w:shd w:val="clear" w:color="auto" w:fill="FFFFFF"/>
          <w:lang w:val="en"/>
        </w:rPr>
        <w:t>applied </w:t>
      </w:r>
      <w:r w:rsidR="00026FE6" w:rsidRPr="00AC72B2">
        <w:rPr>
          <w:rStyle w:val="normaltextrun"/>
          <w:rFonts w:cs="Arial"/>
          <w:sz w:val="21"/>
          <w:szCs w:val="21"/>
          <w:shd w:val="clear" w:color="auto" w:fill="FFFFFF"/>
          <w:lang w:val="en"/>
        </w:rPr>
        <w:t xml:space="preserve">or </w:t>
      </w:r>
      <w:r w:rsidR="00E46319" w:rsidRPr="00AC72B2">
        <w:rPr>
          <w:rStyle w:val="normaltextrun"/>
          <w:rFonts w:cs="Arial"/>
          <w:sz w:val="21"/>
          <w:szCs w:val="21"/>
          <w:shd w:val="clear" w:color="auto" w:fill="FFFFFF"/>
          <w:lang w:val="en"/>
        </w:rPr>
        <w:t xml:space="preserve">approved </w:t>
      </w:r>
      <w:r w:rsidRPr="00AC72B2">
        <w:rPr>
          <w:rStyle w:val="normaltextrun"/>
          <w:rFonts w:cs="Arial"/>
          <w:sz w:val="21"/>
          <w:szCs w:val="21"/>
          <w:shd w:val="clear" w:color="auto" w:fill="FFFFFF"/>
          <w:lang w:val="en"/>
        </w:rPr>
        <w:t>to have</w:t>
      </w:r>
      <w:r w:rsidRPr="00AC72B2">
        <w:rPr>
          <w:rStyle w:val="normaltextrun"/>
          <w:sz w:val="21"/>
          <w:szCs w:val="21"/>
          <w:shd w:val="clear" w:color="auto" w:fill="FFFFFF"/>
          <w:lang w:val="en"/>
        </w:rPr>
        <w:t> </w:t>
      </w:r>
      <w:r w:rsidRPr="00AC72B2">
        <w:rPr>
          <w:rStyle w:val="normaltextrun"/>
          <w:rFonts w:cs="Arial"/>
          <w:sz w:val="21"/>
          <w:szCs w:val="21"/>
          <w:shd w:val="clear" w:color="auto" w:fill="FFFFFF"/>
          <w:lang w:val="en"/>
        </w:rPr>
        <w:t>their financial instruments listed on more than one trading venue, which makes it easier for the companies to report. However, in option 3 the issuer must keep track of which market is most relevant in terms of liquidity, which is unnecessary administrative burden for the company</w:t>
      </w:r>
      <w:r w:rsidRPr="00AC72B2">
        <w:rPr>
          <w:rStyle w:val="normaltextrun"/>
          <w:sz w:val="21"/>
          <w:szCs w:val="21"/>
          <w:shd w:val="clear" w:color="auto" w:fill="FFFFFF"/>
          <w:lang w:val="en"/>
        </w:rPr>
        <w:t>.</w:t>
      </w:r>
      <w:r w:rsidRPr="00AC72B2">
        <w:rPr>
          <w:rStyle w:val="normaltextrun"/>
          <w:rFonts w:cs="Arial"/>
          <w:sz w:val="21"/>
          <w:szCs w:val="21"/>
          <w:shd w:val="clear" w:color="auto" w:fill="FFFFFF"/>
          <w:lang w:val="en"/>
        </w:rPr>
        <w:t xml:space="preserve"> Since liquidity can change it is possible that the most relevant market can change and thus the company must change its reporting to another market. Such a change would also make it harder for an investor to track this information. It is better for both the </w:t>
      </w:r>
      <w:r w:rsidR="008931CB" w:rsidRPr="00AC72B2">
        <w:rPr>
          <w:rStyle w:val="normaltextrun"/>
          <w:rFonts w:cs="Arial"/>
          <w:sz w:val="21"/>
          <w:szCs w:val="21"/>
          <w:shd w:val="clear" w:color="auto" w:fill="FFFFFF"/>
          <w:lang w:val="en"/>
        </w:rPr>
        <w:t xml:space="preserve">listed </w:t>
      </w:r>
      <w:r w:rsidRPr="00AC72B2">
        <w:rPr>
          <w:rStyle w:val="normaltextrun"/>
          <w:rFonts w:cs="Arial"/>
          <w:sz w:val="21"/>
          <w:szCs w:val="21"/>
          <w:shd w:val="clear" w:color="auto" w:fill="FFFFFF"/>
          <w:lang w:val="en"/>
        </w:rPr>
        <w:t xml:space="preserve">companies and the investors to keep the reporting in one place, </w:t>
      </w:r>
      <w:r>
        <w:rPr>
          <w:rStyle w:val="normaltextrun"/>
          <w:rFonts w:cs="Arial"/>
          <w:color w:val="000000"/>
          <w:sz w:val="21"/>
          <w:szCs w:val="21"/>
          <w:shd w:val="clear" w:color="auto" w:fill="FFFFFF"/>
          <w:lang w:val="en"/>
        </w:rPr>
        <w:t>which should be the case using option 2.</w:t>
      </w:r>
      <w:r w:rsidR="00902F98">
        <w:t xml:space="preserve"> </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lastRenderedPageBreak/>
        <w:t>&lt;ESMA_QUESTION_</w:t>
      </w:r>
      <w:r w:rsidR="00227C1A">
        <w:t>CP_MAR_</w:t>
      </w:r>
      <w:r>
        <w:t>9&gt;</w:t>
      </w:r>
    </w:p>
    <w:p w14:paraId="3C3E0A54" w14:textId="3ECA9452" w:rsidR="002E1760" w:rsidRDefault="00274039" w:rsidP="002E1760">
      <w:permStart w:id="1572474776" w:edGrp="everyone"/>
      <w:r>
        <w:t xml:space="preserve">Yes </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661513FF" w:rsidR="008418E3" w:rsidRDefault="00D505C7" w:rsidP="008418E3">
      <w:permStart w:id="1766684248" w:edGrp="everyone"/>
      <w:r w:rsidRPr="001F3235">
        <w:rPr>
          <w:lang w:val="en" w:eastAsia="sv-SE"/>
        </w:rPr>
        <w:t xml:space="preserve">We agree in part with the list of fields suggested by ESMA. We do not consider field 3 (trading venue transaction identification code) to be </w:t>
      </w:r>
      <w:r w:rsidR="003A39B9" w:rsidRPr="001F3235">
        <w:rPr>
          <w:lang w:val="en" w:eastAsia="sv-SE"/>
        </w:rPr>
        <w:t>necessary</w:t>
      </w:r>
      <w:r w:rsidRPr="001F3235">
        <w:rPr>
          <w:lang w:val="en" w:eastAsia="sv-SE"/>
        </w:rPr>
        <w:t xml:space="preserve"> </w:t>
      </w:r>
      <w:r w:rsidR="00AB366F" w:rsidRPr="001F3235">
        <w:rPr>
          <w:lang w:val="en" w:eastAsia="sv-SE"/>
        </w:rPr>
        <w:t>information and</w:t>
      </w:r>
      <w:r w:rsidRPr="001F3235">
        <w:rPr>
          <w:lang w:val="en" w:eastAsia="sv-SE"/>
        </w:rPr>
        <w:t xml:space="preserve"> could therefore be excluded from the list. Likewise, we find that field 12 (buyer decision maker code) could be left out of the reporting, as field 7 (information on the buyer) should be </w:t>
      </w:r>
      <w:proofErr w:type="gramStart"/>
      <w:r w:rsidRPr="001F3235">
        <w:rPr>
          <w:lang w:val="en" w:eastAsia="sv-SE"/>
        </w:rPr>
        <w:t>sufficient</w:t>
      </w:r>
      <w:proofErr w:type="gramEnd"/>
      <w:r w:rsidRPr="001F3235">
        <w:rPr>
          <w:lang w:val="en" w:eastAsia="sv-SE"/>
        </w:rPr>
        <w:t>.</w:t>
      </w:r>
      <w:r>
        <w:t xml:space="preserve"> </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26461877" w:rsidR="00F469F8" w:rsidRDefault="001B6F97" w:rsidP="00F469F8">
      <w:permStart w:id="332164447" w:edGrp="everyone"/>
      <w:r>
        <w:rPr>
          <w:rStyle w:val="normaltextrun"/>
          <w:rFonts w:cs="Arial"/>
          <w:color w:val="000000"/>
          <w:sz w:val="21"/>
          <w:szCs w:val="21"/>
          <w:shd w:val="clear" w:color="auto" w:fill="FFFFFF"/>
          <w:lang w:val="en"/>
        </w:rPr>
        <w:t>Yes, aggregated volume traded, weighted average price paid, date of the buy backs, total number of shares that the company has repurchased and total number of shares in the company should be </w:t>
      </w:r>
      <w:r w:rsidR="003D7B5A">
        <w:rPr>
          <w:rStyle w:val="normaltextrun"/>
          <w:rFonts w:cs="Arial"/>
          <w:color w:val="000000"/>
          <w:sz w:val="21"/>
          <w:szCs w:val="21"/>
          <w:shd w:val="clear" w:color="auto" w:fill="FFFFFF"/>
          <w:lang w:val="en"/>
        </w:rPr>
        <w:t>enough</w:t>
      </w:r>
      <w:r>
        <w:rPr>
          <w:rStyle w:val="normaltextrun"/>
          <w:rFonts w:cs="Arial"/>
          <w:color w:val="000000"/>
          <w:sz w:val="21"/>
          <w:szCs w:val="21"/>
          <w:shd w:val="clear" w:color="auto" w:fill="FFFFFF"/>
          <w:lang w:val="en"/>
        </w:rPr>
        <w:t> information to the investors. </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5CA9AB11" w14:textId="34DBA951" w:rsidR="00460489" w:rsidRDefault="00460489" w:rsidP="00460489">
      <w:pPr>
        <w:pStyle w:val="paragraph"/>
        <w:spacing w:before="0" w:beforeAutospacing="0" w:after="0" w:afterAutospacing="0"/>
        <w:textAlignment w:val="baseline"/>
        <w:rPr>
          <w:rStyle w:val="normaltextrun"/>
          <w:rFonts w:ascii="Arial" w:hAnsi="Arial" w:cs="Arial"/>
          <w:sz w:val="21"/>
          <w:szCs w:val="21"/>
          <w:lang w:val="en-GB"/>
        </w:rPr>
      </w:pPr>
      <w:permStart w:id="770132907" w:edGrp="everyone"/>
      <w:r>
        <w:rPr>
          <w:rStyle w:val="normaltextrun"/>
          <w:rFonts w:ascii="Arial" w:hAnsi="Arial" w:cs="Arial"/>
          <w:sz w:val="21"/>
          <w:szCs w:val="21"/>
          <w:lang w:val="en-GB"/>
        </w:rPr>
        <w:t xml:space="preserve">The definition of inside information set out in Article 7 MAR has in recent decades mainly been developed throughout codification of the case law of the Court of Justice of the European Union (EJC), and predominantly the court's clarifications in C-19/11 Markus </w:t>
      </w:r>
      <w:proofErr w:type="spellStart"/>
      <w:r>
        <w:rPr>
          <w:rStyle w:val="normaltextrun"/>
          <w:rFonts w:ascii="Arial" w:hAnsi="Arial" w:cs="Arial"/>
          <w:sz w:val="21"/>
          <w:szCs w:val="21"/>
          <w:lang w:val="en-GB"/>
        </w:rPr>
        <w:t>Geltl</w:t>
      </w:r>
      <w:proofErr w:type="spellEnd"/>
      <w:r>
        <w:rPr>
          <w:rStyle w:val="normaltextrun"/>
          <w:rFonts w:ascii="Arial" w:hAnsi="Arial" w:cs="Arial"/>
          <w:sz w:val="21"/>
          <w:szCs w:val="21"/>
          <w:lang w:val="en-GB"/>
        </w:rPr>
        <w:t xml:space="preserve"> v. Daimler AG. In cases where the definition of inside information has been interpreted, the EJC has mainly considered how the outcome of various alternative interpretations would affect the </w:t>
      </w:r>
      <w:proofErr w:type="gramStart"/>
      <w:r>
        <w:rPr>
          <w:rStyle w:val="advancedproofingissue"/>
          <w:rFonts w:ascii="Arial" w:hAnsi="Arial" w:cs="Arial"/>
          <w:sz w:val="21"/>
          <w:szCs w:val="21"/>
          <w:lang w:val="en-GB"/>
        </w:rPr>
        <w:t>underlying purpose</w:t>
      </w:r>
      <w:proofErr w:type="gramEnd"/>
      <w:r>
        <w:rPr>
          <w:rStyle w:val="normaltextrun"/>
          <w:rFonts w:ascii="Arial" w:hAnsi="Arial" w:cs="Arial"/>
          <w:sz w:val="21"/>
          <w:szCs w:val="21"/>
          <w:lang w:val="en-GB"/>
        </w:rPr>
        <w:t> of the provisions – i.e. to preserve public confidence in the capital market. The ECJ has not in any case explicitly </w:t>
      </w:r>
      <w:proofErr w:type="gramStart"/>
      <w:r>
        <w:rPr>
          <w:rStyle w:val="advancedproofingissue"/>
          <w:rFonts w:ascii="Arial" w:hAnsi="Arial" w:cs="Arial"/>
          <w:sz w:val="21"/>
          <w:szCs w:val="21"/>
          <w:lang w:val="en-GB"/>
        </w:rPr>
        <w:t>taken into account</w:t>
      </w:r>
      <w:proofErr w:type="gramEnd"/>
      <w:r>
        <w:rPr>
          <w:rStyle w:val="normaltextrun"/>
          <w:rFonts w:ascii="Arial" w:hAnsi="Arial" w:cs="Arial"/>
          <w:sz w:val="21"/>
          <w:szCs w:val="21"/>
          <w:lang w:val="en-GB"/>
        </w:rPr>
        <w:t> whether – or to what extent – the definition of inside information enables individuals to determine precisely which information shall be deemed to be inside information and when.</w:t>
      </w:r>
    </w:p>
    <w:p w14:paraId="69FB646F" w14:textId="77777777" w:rsidR="00101A3F" w:rsidRDefault="00101A3F" w:rsidP="00460489">
      <w:pPr>
        <w:pStyle w:val="paragraph"/>
        <w:spacing w:before="0" w:beforeAutospacing="0" w:after="0" w:afterAutospacing="0"/>
        <w:textAlignment w:val="baseline"/>
        <w:rPr>
          <w:rStyle w:val="normaltextrun"/>
          <w:rFonts w:ascii="Arial" w:hAnsi="Arial" w:cs="Arial"/>
          <w:sz w:val="21"/>
          <w:szCs w:val="21"/>
          <w:lang w:val="en-GB"/>
        </w:rPr>
      </w:pPr>
    </w:p>
    <w:p w14:paraId="74148563" w14:textId="55D709A8" w:rsidR="00460489" w:rsidRDefault="00460489" w:rsidP="00460489">
      <w:pPr>
        <w:pStyle w:val="paragraph"/>
        <w:spacing w:before="0" w:beforeAutospacing="0" w:after="0" w:afterAutospacing="0"/>
        <w:textAlignment w:val="baseline"/>
        <w:rPr>
          <w:rStyle w:val="normaltextrun"/>
          <w:rFonts w:ascii="Arial" w:hAnsi="Arial" w:cs="Arial"/>
          <w:sz w:val="21"/>
          <w:szCs w:val="21"/>
          <w:lang w:val="en-GB"/>
        </w:rPr>
      </w:pPr>
      <w:r>
        <w:rPr>
          <w:rStyle w:val="normaltextrun"/>
          <w:rFonts w:ascii="Arial" w:hAnsi="Arial" w:cs="Arial"/>
          <w:sz w:val="21"/>
          <w:szCs w:val="21"/>
          <w:lang w:val="en-GB"/>
        </w:rPr>
        <w:t>Against the background of the absence of subjective elements in MAR, the Swedish legislature has, in preparatory works to national supplementary provisions to MAR, interpreted MAR as imposing a strict liability on persons in relation to administrative sanctions for breaches of MAR. This means that sanctions shall be issued against persons who have acted in conflict with MAR, regardless of whether a person has made a reasonable interpretation of whether certain information is inside information, if another interpretation is deemed to be correct.</w:t>
      </w:r>
    </w:p>
    <w:p w14:paraId="359A4607" w14:textId="77777777" w:rsidR="00101A3F" w:rsidRDefault="00101A3F" w:rsidP="00460489">
      <w:pPr>
        <w:pStyle w:val="paragraph"/>
        <w:spacing w:before="0" w:beforeAutospacing="0" w:after="0" w:afterAutospacing="0"/>
        <w:textAlignment w:val="baseline"/>
        <w:rPr>
          <w:rStyle w:val="eop"/>
          <w:rFonts w:ascii="Arial" w:hAnsi="Arial" w:cs="Arial"/>
          <w:sz w:val="21"/>
          <w:szCs w:val="21"/>
          <w:lang w:val="en-US"/>
        </w:rPr>
      </w:pPr>
    </w:p>
    <w:p w14:paraId="524E1B7A" w14:textId="10A4D3E7" w:rsidR="00460489" w:rsidRDefault="00460489" w:rsidP="00460489">
      <w:pPr>
        <w:pStyle w:val="paragraph"/>
        <w:spacing w:before="0" w:beforeAutospacing="0" w:after="0" w:afterAutospacing="0"/>
        <w:textAlignment w:val="baseline"/>
        <w:rPr>
          <w:rStyle w:val="eop"/>
          <w:rFonts w:ascii="Arial" w:hAnsi="Arial" w:cs="Arial"/>
          <w:sz w:val="21"/>
          <w:szCs w:val="21"/>
          <w:lang w:val="en-US"/>
        </w:rPr>
      </w:pPr>
      <w:r>
        <w:rPr>
          <w:rStyle w:val="normaltextrun"/>
          <w:rFonts w:ascii="Arial" w:hAnsi="Arial" w:cs="Arial"/>
          <w:sz w:val="21"/>
          <w:szCs w:val="21"/>
          <w:lang w:val="en-GB"/>
        </w:rPr>
        <w:t>Preamble 15 MAR provides that </w:t>
      </w:r>
      <w:r>
        <w:rPr>
          <w:rStyle w:val="normaltextrun"/>
          <w:rFonts w:ascii="Arial" w:hAnsi="Arial" w:cs="Arial"/>
          <w:i/>
          <w:iCs/>
          <w:sz w:val="21"/>
          <w:szCs w:val="21"/>
          <w:lang w:val="en-GB"/>
        </w:rPr>
        <w:t xml:space="preserve">[e]x post information can be used to check the presumption that the </w:t>
      </w:r>
      <w:proofErr w:type="spellStart"/>
      <w:r>
        <w:rPr>
          <w:rStyle w:val="normaltextrun"/>
          <w:rFonts w:ascii="Arial" w:hAnsi="Arial" w:cs="Arial"/>
          <w:i/>
          <w:iCs/>
          <w:sz w:val="21"/>
          <w:szCs w:val="21"/>
          <w:lang w:val="en-GB"/>
        </w:rPr>
        <w:t>ex ante</w:t>
      </w:r>
      <w:proofErr w:type="spellEnd"/>
      <w:r>
        <w:rPr>
          <w:rStyle w:val="normaltextrun"/>
          <w:rFonts w:ascii="Arial" w:hAnsi="Arial" w:cs="Arial"/>
          <w:i/>
          <w:iCs/>
          <w:sz w:val="21"/>
          <w:szCs w:val="21"/>
          <w:lang w:val="en-GB"/>
        </w:rPr>
        <w:t xml:space="preserve"> information was price sensitive but should not be used to </w:t>
      </w:r>
      <w:proofErr w:type="gramStart"/>
      <w:r>
        <w:rPr>
          <w:rStyle w:val="advancedproofingissue"/>
          <w:rFonts w:ascii="Arial" w:hAnsi="Arial" w:cs="Arial"/>
          <w:i/>
          <w:iCs/>
          <w:sz w:val="21"/>
          <w:szCs w:val="21"/>
          <w:lang w:val="en-GB"/>
        </w:rPr>
        <w:t>take action</w:t>
      </w:r>
      <w:proofErr w:type="gramEnd"/>
      <w:r>
        <w:rPr>
          <w:rStyle w:val="normaltextrun"/>
          <w:rFonts w:ascii="Arial" w:hAnsi="Arial" w:cs="Arial"/>
          <w:i/>
          <w:iCs/>
          <w:sz w:val="21"/>
          <w:szCs w:val="21"/>
          <w:lang w:val="en-GB"/>
        </w:rPr>
        <w:t> against persons who drew reasonable conclusions from ex ante information available to them.</w:t>
      </w:r>
      <w:r w:rsidRPr="00460489">
        <w:rPr>
          <w:rStyle w:val="eop"/>
          <w:rFonts w:ascii="Arial" w:hAnsi="Arial" w:cs="Arial"/>
          <w:sz w:val="21"/>
          <w:szCs w:val="21"/>
          <w:lang w:val="en-US"/>
        </w:rPr>
        <w:t> </w:t>
      </w:r>
    </w:p>
    <w:p w14:paraId="1E621000" w14:textId="77777777" w:rsidR="004B1EF7" w:rsidRPr="00460489" w:rsidRDefault="004B1EF7" w:rsidP="00460489">
      <w:pPr>
        <w:pStyle w:val="paragraph"/>
        <w:spacing w:before="0" w:beforeAutospacing="0" w:after="0" w:afterAutospacing="0"/>
        <w:textAlignment w:val="baseline"/>
        <w:rPr>
          <w:rFonts w:ascii="Segoe UI" w:hAnsi="Segoe UI" w:cs="Segoe UI"/>
          <w:sz w:val="18"/>
          <w:szCs w:val="18"/>
          <w:lang w:val="en-US"/>
        </w:rPr>
      </w:pPr>
    </w:p>
    <w:p w14:paraId="1981028C" w14:textId="4F9099FD" w:rsidR="00460489" w:rsidRDefault="00460489" w:rsidP="00460489">
      <w:pPr>
        <w:pStyle w:val="paragraph"/>
        <w:spacing w:before="0" w:beforeAutospacing="0" w:after="0" w:afterAutospacing="0"/>
        <w:textAlignment w:val="baseline"/>
        <w:rPr>
          <w:rStyle w:val="eop"/>
          <w:rFonts w:ascii="Arial" w:hAnsi="Arial" w:cs="Arial"/>
          <w:sz w:val="21"/>
          <w:szCs w:val="21"/>
          <w:lang w:val="en-US"/>
        </w:rPr>
      </w:pPr>
      <w:r>
        <w:rPr>
          <w:rStyle w:val="normaltextrun"/>
          <w:rFonts w:ascii="Arial" w:hAnsi="Arial" w:cs="Arial"/>
          <w:sz w:val="21"/>
          <w:szCs w:val="21"/>
          <w:lang w:val="en-GB"/>
        </w:rPr>
        <w:t>Thus, it is clear that MAR at least provides one exemption from any strict liability imposed on persons subject to the regulation: If a court or other public authority uses </w:t>
      </w:r>
      <w:r>
        <w:rPr>
          <w:rStyle w:val="normaltextrun"/>
          <w:rFonts w:ascii="Arial" w:hAnsi="Arial" w:cs="Arial"/>
          <w:i/>
          <w:iCs/>
          <w:sz w:val="21"/>
          <w:szCs w:val="21"/>
          <w:lang w:val="en-GB"/>
        </w:rPr>
        <w:t>ex post </w:t>
      </w:r>
      <w:r>
        <w:rPr>
          <w:rStyle w:val="normaltextrun"/>
          <w:rFonts w:ascii="Arial" w:hAnsi="Arial" w:cs="Arial"/>
          <w:sz w:val="21"/>
          <w:szCs w:val="21"/>
          <w:lang w:val="en-GB"/>
        </w:rPr>
        <w:t>information to verify an assumption that certain information was price sensitive, a sanction should not be issued against a person who has drawn a reasonable conclusions from the </w:t>
      </w:r>
      <w:r>
        <w:rPr>
          <w:rStyle w:val="normaltextrun"/>
          <w:rFonts w:ascii="Arial" w:hAnsi="Arial" w:cs="Arial"/>
          <w:i/>
          <w:iCs/>
          <w:sz w:val="21"/>
          <w:szCs w:val="21"/>
          <w:lang w:val="en-GB"/>
        </w:rPr>
        <w:t>ex ante</w:t>
      </w:r>
      <w:r>
        <w:rPr>
          <w:rStyle w:val="normaltextrun"/>
          <w:rFonts w:ascii="Arial" w:hAnsi="Arial" w:cs="Arial"/>
          <w:sz w:val="21"/>
          <w:szCs w:val="21"/>
          <w:lang w:val="en-GB"/>
        </w:rPr>
        <w:t> information that was available to that person.</w:t>
      </w:r>
      <w:r w:rsidRPr="00460489">
        <w:rPr>
          <w:rStyle w:val="eop"/>
          <w:rFonts w:ascii="Arial" w:hAnsi="Arial" w:cs="Arial"/>
          <w:sz w:val="21"/>
          <w:szCs w:val="21"/>
          <w:lang w:val="en-US"/>
        </w:rPr>
        <w:t> </w:t>
      </w:r>
    </w:p>
    <w:p w14:paraId="79705F6A" w14:textId="77777777" w:rsidR="00C416A2" w:rsidRPr="00460489" w:rsidRDefault="00C416A2" w:rsidP="00460489">
      <w:pPr>
        <w:pStyle w:val="paragraph"/>
        <w:spacing w:before="0" w:beforeAutospacing="0" w:after="0" w:afterAutospacing="0"/>
        <w:textAlignment w:val="baseline"/>
        <w:rPr>
          <w:rFonts w:ascii="Segoe UI" w:hAnsi="Segoe UI" w:cs="Segoe UI"/>
          <w:sz w:val="18"/>
          <w:szCs w:val="18"/>
          <w:lang w:val="en-US"/>
        </w:rPr>
      </w:pPr>
    </w:p>
    <w:p w14:paraId="054B6591" w14:textId="0F6E0FAB" w:rsidR="00460489" w:rsidRPr="00460489" w:rsidRDefault="00460489" w:rsidP="00460489">
      <w:pPr>
        <w:pStyle w:val="paragraph"/>
        <w:spacing w:before="0" w:beforeAutospacing="0" w:after="0" w:afterAutospacing="0"/>
        <w:textAlignment w:val="baseline"/>
        <w:rPr>
          <w:rFonts w:ascii="Segoe UI" w:hAnsi="Segoe UI" w:cs="Segoe UI"/>
          <w:sz w:val="18"/>
          <w:szCs w:val="18"/>
          <w:lang w:val="en-US"/>
        </w:rPr>
      </w:pPr>
      <w:proofErr w:type="gramStart"/>
      <w:r>
        <w:rPr>
          <w:rStyle w:val="normaltextrun"/>
          <w:rFonts w:ascii="Arial" w:hAnsi="Arial" w:cs="Arial"/>
          <w:sz w:val="21"/>
          <w:szCs w:val="21"/>
          <w:lang w:val="en-GB"/>
        </w:rPr>
        <w:t>In light of the fact that</w:t>
      </w:r>
      <w:proofErr w:type="gramEnd"/>
      <w:r>
        <w:rPr>
          <w:rStyle w:val="normaltextrun"/>
          <w:rFonts w:ascii="Arial" w:hAnsi="Arial" w:cs="Arial"/>
          <w:sz w:val="21"/>
          <w:szCs w:val="21"/>
          <w:lang w:val="en-GB"/>
        </w:rPr>
        <w:t xml:space="preserve"> the definition of inside information seemingly has not been written to enable a precise determination of which information shall be deemed to be inside information, and when, it is requested that it is assessed in relation to which liabilities under MAR a strict responsibility shall be imposed on the persons subject to the regulation</w:t>
      </w:r>
      <w:r w:rsidR="000A3C92">
        <w:rPr>
          <w:rStyle w:val="normaltextrun"/>
          <w:rFonts w:ascii="Arial" w:hAnsi="Arial" w:cs="Arial"/>
          <w:sz w:val="21"/>
          <w:szCs w:val="21"/>
          <w:lang w:val="en-GB"/>
        </w:rPr>
        <w:t>. F</w:t>
      </w:r>
      <w:r>
        <w:rPr>
          <w:rStyle w:val="normaltextrun"/>
          <w:rFonts w:ascii="Arial" w:hAnsi="Arial" w:cs="Arial"/>
          <w:sz w:val="21"/>
          <w:szCs w:val="21"/>
          <w:lang w:val="en-GB"/>
        </w:rPr>
        <w:t>urther clarification is necessary.</w:t>
      </w:r>
      <w:r w:rsidRPr="00460489">
        <w:rPr>
          <w:rStyle w:val="eop"/>
          <w:rFonts w:ascii="Arial" w:hAnsi="Arial" w:cs="Arial"/>
          <w:sz w:val="21"/>
          <w:szCs w:val="21"/>
          <w:lang w:val="en-US"/>
        </w:rPr>
        <w:t> </w:t>
      </w:r>
    </w:p>
    <w:p w14:paraId="5C55DE63" w14:textId="77777777" w:rsidR="00553E02" w:rsidRDefault="00553E02" w:rsidP="00460489">
      <w:pPr>
        <w:pStyle w:val="paragraph"/>
        <w:spacing w:before="0" w:beforeAutospacing="0" w:after="0" w:afterAutospacing="0"/>
        <w:textAlignment w:val="baseline"/>
        <w:rPr>
          <w:rStyle w:val="normaltextrun"/>
          <w:rFonts w:ascii="Arial" w:hAnsi="Arial" w:cs="Arial"/>
          <w:sz w:val="21"/>
          <w:szCs w:val="21"/>
          <w:lang w:val="en-US"/>
        </w:rPr>
      </w:pPr>
    </w:p>
    <w:p w14:paraId="388421B3" w14:textId="6230F3E1" w:rsidR="00460489" w:rsidRDefault="000F521E" w:rsidP="00460489">
      <w:pPr>
        <w:pStyle w:val="paragraph"/>
        <w:spacing w:before="0" w:beforeAutospacing="0" w:after="0" w:afterAutospacing="0"/>
        <w:textAlignment w:val="baseline"/>
        <w:rPr>
          <w:rStyle w:val="eop"/>
          <w:rFonts w:ascii="Arial" w:hAnsi="Arial" w:cs="Arial"/>
          <w:sz w:val="21"/>
          <w:szCs w:val="21"/>
          <w:lang w:val="en-US"/>
        </w:rPr>
      </w:pPr>
      <w:r>
        <w:rPr>
          <w:rStyle w:val="normaltextrun"/>
          <w:rFonts w:ascii="Arial" w:hAnsi="Arial" w:cs="Arial"/>
          <w:sz w:val="21"/>
          <w:szCs w:val="21"/>
          <w:lang w:val="en-US"/>
        </w:rPr>
        <w:t xml:space="preserve">Besides the above, </w:t>
      </w:r>
      <w:r w:rsidR="00134BF3">
        <w:rPr>
          <w:rStyle w:val="normaltextrun"/>
          <w:rFonts w:ascii="Arial" w:hAnsi="Arial" w:cs="Arial"/>
          <w:sz w:val="21"/>
          <w:szCs w:val="21"/>
          <w:lang w:val="en-US"/>
        </w:rPr>
        <w:t>i</w:t>
      </w:r>
      <w:r w:rsidR="00460489">
        <w:rPr>
          <w:rStyle w:val="normaltextrun"/>
          <w:rFonts w:ascii="Arial" w:hAnsi="Arial" w:cs="Arial"/>
          <w:sz w:val="21"/>
          <w:szCs w:val="21"/>
          <w:lang w:val="en-US"/>
        </w:rPr>
        <w:t>t is often a complex assessment to determine when information qualify as inside information within the meaning of MAR, not least in a sequence of events. </w:t>
      </w:r>
      <w:r w:rsidR="00460489" w:rsidRPr="00460489">
        <w:rPr>
          <w:rStyle w:val="eop"/>
          <w:rFonts w:ascii="Arial" w:hAnsi="Arial" w:cs="Arial"/>
          <w:sz w:val="21"/>
          <w:szCs w:val="21"/>
          <w:lang w:val="en-US"/>
        </w:rPr>
        <w:t> </w:t>
      </w:r>
    </w:p>
    <w:p w14:paraId="43FF1746" w14:textId="77777777" w:rsidR="00101A3F" w:rsidRPr="00460489" w:rsidRDefault="00101A3F" w:rsidP="00460489">
      <w:pPr>
        <w:pStyle w:val="paragraph"/>
        <w:spacing w:before="0" w:beforeAutospacing="0" w:after="0" w:afterAutospacing="0"/>
        <w:textAlignment w:val="baseline"/>
        <w:rPr>
          <w:rFonts w:ascii="Segoe UI" w:hAnsi="Segoe UI" w:cs="Segoe UI"/>
          <w:sz w:val="18"/>
          <w:szCs w:val="18"/>
          <w:lang w:val="en-US"/>
        </w:rPr>
      </w:pPr>
    </w:p>
    <w:p w14:paraId="6434587A" w14:textId="2483995C" w:rsidR="00101A3F" w:rsidRDefault="00460489" w:rsidP="00460489">
      <w:pPr>
        <w:pStyle w:val="paragraph"/>
        <w:spacing w:before="0" w:beforeAutospacing="0" w:after="0" w:afterAutospacing="0"/>
        <w:textAlignment w:val="baseline"/>
        <w:rPr>
          <w:rStyle w:val="normaltextrun"/>
          <w:sz w:val="21"/>
          <w:szCs w:val="21"/>
          <w:lang w:val="en"/>
        </w:rPr>
      </w:pPr>
      <w:r>
        <w:rPr>
          <w:rStyle w:val="normaltextrun"/>
          <w:rFonts w:ascii="Arial" w:hAnsi="Arial" w:cs="Arial"/>
          <w:sz w:val="21"/>
          <w:szCs w:val="21"/>
          <w:lang w:val="en"/>
        </w:rPr>
        <w:t xml:space="preserve">One example is insider information in connection with the drafting of a financial report. The drafting of a financial report is a developing process considering that more and more information is added to the report draft in an ongoing process. It is very hard for a company to assess </w:t>
      </w:r>
      <w:proofErr w:type="gramStart"/>
      <w:r w:rsidR="00BE5B42">
        <w:rPr>
          <w:rStyle w:val="normaltextrun"/>
          <w:rFonts w:ascii="Arial" w:hAnsi="Arial" w:cs="Arial"/>
          <w:sz w:val="21"/>
          <w:szCs w:val="21"/>
          <w:lang w:val="en"/>
        </w:rPr>
        <w:t xml:space="preserve">if and </w:t>
      </w:r>
      <w:r>
        <w:rPr>
          <w:rStyle w:val="normaltextrun"/>
          <w:rFonts w:ascii="Arial" w:hAnsi="Arial" w:cs="Arial"/>
          <w:sz w:val="21"/>
          <w:szCs w:val="21"/>
          <w:lang w:val="en"/>
        </w:rPr>
        <w:t>when</w:t>
      </w:r>
      <w:proofErr w:type="gramEnd"/>
      <w:r>
        <w:rPr>
          <w:rStyle w:val="normaltextrun"/>
          <w:rFonts w:ascii="Arial" w:hAnsi="Arial" w:cs="Arial"/>
          <w:sz w:val="21"/>
          <w:szCs w:val="21"/>
          <w:lang w:val="en"/>
        </w:rPr>
        <w:t xml:space="preserve"> the draft of the report becomes inside information in accordance with MAR</w:t>
      </w:r>
      <w:r>
        <w:rPr>
          <w:rStyle w:val="normaltextrun"/>
          <w:sz w:val="21"/>
          <w:szCs w:val="21"/>
          <w:lang w:val="en"/>
        </w:rPr>
        <w:t>. </w:t>
      </w:r>
    </w:p>
    <w:p w14:paraId="400DA871" w14:textId="1DF1E6EA" w:rsidR="00460489" w:rsidRPr="00460489" w:rsidRDefault="00460489" w:rsidP="00460489">
      <w:pPr>
        <w:pStyle w:val="paragraph"/>
        <w:spacing w:before="0" w:beforeAutospacing="0" w:after="0" w:afterAutospacing="0"/>
        <w:textAlignment w:val="baseline"/>
        <w:rPr>
          <w:rFonts w:ascii="Segoe UI" w:hAnsi="Segoe UI" w:cs="Segoe UI"/>
          <w:sz w:val="18"/>
          <w:szCs w:val="18"/>
          <w:lang w:val="en-US"/>
        </w:rPr>
      </w:pPr>
      <w:r w:rsidRPr="00460489">
        <w:rPr>
          <w:rStyle w:val="eop"/>
          <w:sz w:val="21"/>
          <w:szCs w:val="21"/>
          <w:lang w:val="en-US"/>
        </w:rPr>
        <w:t> </w:t>
      </w:r>
    </w:p>
    <w:p w14:paraId="6703DDC7" w14:textId="77777777" w:rsidR="00460489" w:rsidRPr="00460489" w:rsidRDefault="00460489" w:rsidP="00460489">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1"/>
          <w:szCs w:val="21"/>
          <w:lang w:val="en"/>
        </w:rPr>
        <w:t>In some cases, for instance regarding investment companies with mostly listed assets, it is doubtful that even the finished report could be regarded as insider information since information regarding the company’s assets are publicly available every day. </w:t>
      </w:r>
      <w:r w:rsidRPr="00460489">
        <w:rPr>
          <w:rStyle w:val="eop"/>
          <w:rFonts w:ascii="Arial" w:hAnsi="Arial" w:cs="Arial"/>
          <w:sz w:val="21"/>
          <w:szCs w:val="21"/>
          <w:lang w:val="en-US"/>
        </w:rPr>
        <w:t> </w:t>
      </w:r>
    </w:p>
    <w:p w14:paraId="1053F37D" w14:textId="77777777" w:rsidR="00101A3F" w:rsidRDefault="00101A3F" w:rsidP="00460489">
      <w:pPr>
        <w:pStyle w:val="paragraph"/>
        <w:spacing w:before="0" w:beforeAutospacing="0" w:after="0" w:afterAutospacing="0"/>
        <w:textAlignment w:val="baseline"/>
        <w:rPr>
          <w:rStyle w:val="normaltextrun"/>
          <w:rFonts w:ascii="Arial" w:hAnsi="Arial" w:cs="Arial"/>
          <w:sz w:val="21"/>
          <w:szCs w:val="21"/>
          <w:lang w:val="en"/>
        </w:rPr>
      </w:pPr>
    </w:p>
    <w:p w14:paraId="1A5FF642" w14:textId="50145C5E" w:rsidR="00460489" w:rsidRPr="00460489" w:rsidRDefault="00460489" w:rsidP="00460489">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1"/>
          <w:szCs w:val="21"/>
          <w:lang w:val="en"/>
        </w:rPr>
        <w:t xml:space="preserve">Another example is if the name of your counterparty in a negotiation or business contract is </w:t>
      </w:r>
      <w:r w:rsidR="00D67FE3">
        <w:rPr>
          <w:rStyle w:val="normaltextrun"/>
          <w:rFonts w:ascii="Arial" w:hAnsi="Arial" w:cs="Arial"/>
          <w:sz w:val="21"/>
          <w:szCs w:val="21"/>
          <w:lang w:val="en"/>
        </w:rPr>
        <w:t>always considered to be</w:t>
      </w:r>
      <w:r w:rsidR="00CA645E">
        <w:rPr>
          <w:rStyle w:val="normaltextrun"/>
          <w:rFonts w:ascii="Arial" w:hAnsi="Arial" w:cs="Arial"/>
          <w:sz w:val="21"/>
          <w:szCs w:val="21"/>
          <w:lang w:val="en"/>
        </w:rPr>
        <w:t xml:space="preserve"> </w:t>
      </w:r>
      <w:r>
        <w:rPr>
          <w:rStyle w:val="normaltextrun"/>
          <w:rFonts w:ascii="Arial" w:hAnsi="Arial" w:cs="Arial"/>
          <w:sz w:val="21"/>
          <w:szCs w:val="21"/>
          <w:lang w:val="en"/>
        </w:rPr>
        <w:t>insider information. According to the Swedish FSA this is to be the presumption, unless the company can prove that it is not. Such a strict interpretation would make it very hard especially for SME companies to close deals with larger companies, which often require non-disclosure of their identity. It is our opinion that in many cases the order value, a description of the product or service delivered, a description of the counterparty and the market were the product or service is delivered would be of more value when making an informed investment decision than the name of the counterparty. In this specific issue there is need for</w:t>
      </w:r>
      <w:r w:rsidR="00CA645E">
        <w:rPr>
          <w:rStyle w:val="normaltextrun"/>
          <w:rFonts w:ascii="Arial" w:hAnsi="Arial" w:cs="Arial"/>
          <w:sz w:val="21"/>
          <w:szCs w:val="21"/>
          <w:lang w:val="en"/>
        </w:rPr>
        <w:t xml:space="preserve"> guidance and a</w:t>
      </w:r>
      <w:r>
        <w:rPr>
          <w:rStyle w:val="normaltextrun"/>
          <w:rFonts w:ascii="Arial" w:hAnsi="Arial" w:cs="Arial"/>
          <w:sz w:val="21"/>
          <w:szCs w:val="21"/>
          <w:lang w:val="en"/>
        </w:rPr>
        <w:t> </w:t>
      </w:r>
      <w:proofErr w:type="spellStart"/>
      <w:r>
        <w:rPr>
          <w:rStyle w:val="spellingerror"/>
          <w:rFonts w:ascii="Arial" w:hAnsi="Arial" w:cs="Arial"/>
          <w:sz w:val="21"/>
          <w:szCs w:val="21"/>
          <w:lang w:val="en"/>
        </w:rPr>
        <w:t>harmonisation</w:t>
      </w:r>
      <w:proofErr w:type="spellEnd"/>
      <w:r>
        <w:rPr>
          <w:rStyle w:val="normaltextrun"/>
          <w:rFonts w:ascii="Arial" w:hAnsi="Arial" w:cs="Arial"/>
          <w:sz w:val="21"/>
          <w:szCs w:val="21"/>
          <w:lang w:val="en"/>
        </w:rPr>
        <w:t> within the EU. </w:t>
      </w:r>
      <w:r w:rsidRPr="00460489">
        <w:rPr>
          <w:rStyle w:val="eop"/>
          <w:rFonts w:ascii="Arial" w:hAnsi="Arial" w:cs="Arial"/>
          <w:sz w:val="21"/>
          <w:szCs w:val="21"/>
          <w:lang w:val="en-US"/>
        </w:rPr>
        <w:t> </w:t>
      </w:r>
    </w:p>
    <w:p w14:paraId="3BFED774" w14:textId="77777777" w:rsidR="00101A3F" w:rsidRDefault="00101A3F" w:rsidP="00460489">
      <w:pPr>
        <w:pStyle w:val="paragraph"/>
        <w:spacing w:before="0" w:beforeAutospacing="0" w:after="0" w:afterAutospacing="0"/>
        <w:textAlignment w:val="baseline"/>
        <w:rPr>
          <w:rStyle w:val="normaltextrun"/>
          <w:rFonts w:ascii="Arial" w:hAnsi="Arial" w:cs="Arial"/>
          <w:sz w:val="21"/>
          <w:szCs w:val="21"/>
          <w:lang w:val="en-US"/>
        </w:rPr>
      </w:pPr>
    </w:p>
    <w:p w14:paraId="6E770915" w14:textId="350418D4" w:rsidR="00460489" w:rsidRPr="00460489" w:rsidRDefault="00E4518D" w:rsidP="00460489">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1"/>
          <w:szCs w:val="21"/>
          <w:lang w:val="en-US"/>
        </w:rPr>
        <w:t xml:space="preserve">Another important issue is the </w:t>
      </w:r>
      <w:r w:rsidR="006E3DC2">
        <w:rPr>
          <w:rStyle w:val="normaltextrun"/>
          <w:rFonts w:ascii="Arial" w:hAnsi="Arial" w:cs="Arial"/>
          <w:sz w:val="21"/>
          <w:szCs w:val="21"/>
          <w:lang w:val="en-US"/>
        </w:rPr>
        <w:t xml:space="preserve">interpretation of </w:t>
      </w:r>
      <w:r w:rsidR="006E3DC2" w:rsidRPr="00800AE4">
        <w:rPr>
          <w:rStyle w:val="normaltextrun"/>
          <w:rFonts w:ascii="Arial" w:hAnsi="Arial" w:cs="Arial"/>
          <w:i/>
          <w:sz w:val="21"/>
          <w:szCs w:val="21"/>
          <w:lang w:val="en-US"/>
        </w:rPr>
        <w:t xml:space="preserve">as soon as </w:t>
      </w:r>
      <w:r w:rsidR="006E3DC2" w:rsidRPr="00FD7041">
        <w:rPr>
          <w:rStyle w:val="normaltextrun"/>
          <w:rFonts w:ascii="Arial" w:hAnsi="Arial" w:cs="Arial"/>
          <w:i/>
          <w:sz w:val="21"/>
          <w:szCs w:val="21"/>
          <w:lang w:val="en-US"/>
        </w:rPr>
        <w:t>possible</w:t>
      </w:r>
      <w:r w:rsidR="006E3DC2" w:rsidRPr="00FD7041">
        <w:rPr>
          <w:rStyle w:val="normaltextrun"/>
          <w:rFonts w:ascii="Arial" w:hAnsi="Arial" w:cs="Arial"/>
          <w:sz w:val="21"/>
          <w:szCs w:val="21"/>
          <w:lang w:val="en-US"/>
        </w:rPr>
        <w:t xml:space="preserve">. </w:t>
      </w:r>
      <w:r w:rsidR="00460489" w:rsidRPr="00FD7041">
        <w:rPr>
          <w:rStyle w:val="normaltextrun"/>
          <w:rFonts w:ascii="Arial" w:hAnsi="Arial" w:cs="Arial"/>
          <w:sz w:val="21"/>
          <w:szCs w:val="21"/>
          <w:lang w:val="en-US"/>
        </w:rPr>
        <w:t>We find it very problematic that there is currently no </w:t>
      </w:r>
      <w:r w:rsidR="00851AC0" w:rsidRPr="00FD7041">
        <w:rPr>
          <w:rStyle w:val="normaltextrun"/>
          <w:rFonts w:ascii="Arial" w:hAnsi="Arial" w:cs="Arial"/>
          <w:sz w:val="21"/>
          <w:szCs w:val="21"/>
          <w:lang w:val="en-US"/>
        </w:rPr>
        <w:t xml:space="preserve">unison </w:t>
      </w:r>
      <w:r w:rsidR="00460489" w:rsidRPr="00FD7041">
        <w:rPr>
          <w:rStyle w:val="normaltextrun"/>
          <w:rFonts w:ascii="Arial" w:hAnsi="Arial" w:cs="Arial"/>
          <w:sz w:val="21"/>
          <w:szCs w:val="21"/>
          <w:lang w:val="en-US"/>
        </w:rPr>
        <w:t xml:space="preserve">EU interpretation </w:t>
      </w:r>
      <w:r w:rsidR="00EE5EA9" w:rsidRPr="00FD7041">
        <w:rPr>
          <w:rStyle w:val="normaltextrun"/>
          <w:rFonts w:ascii="Arial" w:hAnsi="Arial" w:cs="Arial"/>
          <w:sz w:val="21"/>
          <w:szCs w:val="21"/>
          <w:lang w:val="en-US"/>
        </w:rPr>
        <w:t xml:space="preserve">on </w:t>
      </w:r>
      <w:r w:rsidR="00460489" w:rsidRPr="00FD7041">
        <w:rPr>
          <w:rStyle w:val="normaltextrun"/>
          <w:rFonts w:ascii="Arial" w:hAnsi="Arial" w:cs="Arial"/>
          <w:sz w:val="21"/>
          <w:szCs w:val="21"/>
          <w:lang w:val="en-US"/>
        </w:rPr>
        <w:t xml:space="preserve">what it means to disclose </w:t>
      </w:r>
      <w:r w:rsidR="00800AE4" w:rsidRPr="00FD7041">
        <w:rPr>
          <w:rStyle w:val="normaltextrun"/>
          <w:rFonts w:ascii="Arial" w:hAnsi="Arial" w:cs="Arial"/>
          <w:sz w:val="21"/>
          <w:szCs w:val="21"/>
          <w:lang w:val="en-US"/>
        </w:rPr>
        <w:t xml:space="preserve">insider </w:t>
      </w:r>
      <w:r w:rsidR="00460489" w:rsidRPr="00FD7041">
        <w:rPr>
          <w:rStyle w:val="normaltextrun"/>
          <w:rFonts w:ascii="Arial" w:hAnsi="Arial" w:cs="Arial"/>
          <w:sz w:val="21"/>
          <w:szCs w:val="21"/>
          <w:lang w:val="en-US"/>
        </w:rPr>
        <w:t xml:space="preserve">information </w:t>
      </w:r>
      <w:r w:rsidR="00460489" w:rsidRPr="00FD7041">
        <w:rPr>
          <w:rStyle w:val="normaltextrun"/>
          <w:rFonts w:ascii="Arial" w:hAnsi="Arial" w:cs="Arial"/>
          <w:i/>
          <w:sz w:val="21"/>
          <w:szCs w:val="21"/>
          <w:lang w:val="en-US"/>
        </w:rPr>
        <w:t>as soon as possible</w:t>
      </w:r>
      <w:r w:rsidR="00460489">
        <w:rPr>
          <w:rStyle w:val="normaltextrun"/>
          <w:rFonts w:ascii="Arial" w:hAnsi="Arial" w:cs="Arial"/>
          <w:sz w:val="21"/>
          <w:szCs w:val="21"/>
          <w:lang w:val="en-US"/>
        </w:rPr>
        <w:t xml:space="preserve">. Dually listed companies face real problems when the FSAs in different countries have very different views on what </w:t>
      </w:r>
      <w:r w:rsidR="00460489" w:rsidRPr="00800AE4">
        <w:rPr>
          <w:rStyle w:val="normaltextrun"/>
          <w:rFonts w:ascii="Arial" w:hAnsi="Arial" w:cs="Arial"/>
          <w:i/>
          <w:sz w:val="21"/>
          <w:szCs w:val="21"/>
          <w:lang w:val="en-US"/>
        </w:rPr>
        <w:t>as soon as possible</w:t>
      </w:r>
      <w:r w:rsidR="00460489">
        <w:rPr>
          <w:rStyle w:val="normaltextrun"/>
          <w:rFonts w:ascii="Arial" w:hAnsi="Arial" w:cs="Arial"/>
          <w:sz w:val="21"/>
          <w:szCs w:val="21"/>
          <w:lang w:val="en-US"/>
        </w:rPr>
        <w:t xml:space="preserve"> means in practice (for example, UK FCA compared to the Swedish FSA). We also think that it is a problem that the interpretation of insider information differs greatly </w:t>
      </w:r>
      <w:r w:rsidR="00460489" w:rsidRPr="00FD7041">
        <w:rPr>
          <w:rStyle w:val="normaltextrun"/>
          <w:rFonts w:ascii="Arial" w:hAnsi="Arial" w:cs="Arial"/>
          <w:sz w:val="21"/>
          <w:szCs w:val="21"/>
          <w:lang w:val="en-US"/>
        </w:rPr>
        <w:t xml:space="preserve">whether it </w:t>
      </w:r>
      <w:r w:rsidR="00B11526" w:rsidRPr="00FD7041">
        <w:rPr>
          <w:rStyle w:val="normaltextrun"/>
          <w:rFonts w:ascii="Arial" w:hAnsi="Arial" w:cs="Arial"/>
          <w:sz w:val="21"/>
          <w:szCs w:val="21"/>
          <w:lang w:val="en-US"/>
        </w:rPr>
        <w:t>is</w:t>
      </w:r>
      <w:r w:rsidR="00B11F12" w:rsidRPr="00FD7041">
        <w:rPr>
          <w:rStyle w:val="normaltextrun"/>
          <w:rFonts w:ascii="Arial" w:hAnsi="Arial" w:cs="Arial"/>
          <w:sz w:val="21"/>
          <w:szCs w:val="21"/>
          <w:lang w:val="en-US"/>
        </w:rPr>
        <w:t xml:space="preserve"> regarding</w:t>
      </w:r>
      <w:r w:rsidR="00460489" w:rsidRPr="00FD7041">
        <w:rPr>
          <w:rStyle w:val="normaltextrun"/>
          <w:rFonts w:ascii="Arial" w:hAnsi="Arial" w:cs="Arial"/>
          <w:sz w:val="21"/>
          <w:szCs w:val="21"/>
          <w:lang w:val="en-US"/>
        </w:rPr>
        <w:t xml:space="preserve"> the company’s duty to disclose information or </w:t>
      </w:r>
      <w:r w:rsidR="00BD0562" w:rsidRPr="00FD7041">
        <w:rPr>
          <w:rStyle w:val="normaltextrun"/>
          <w:rFonts w:ascii="Arial" w:hAnsi="Arial" w:cs="Arial"/>
          <w:sz w:val="21"/>
          <w:szCs w:val="21"/>
          <w:lang w:val="en-US"/>
        </w:rPr>
        <w:t xml:space="preserve">if </w:t>
      </w:r>
      <w:r w:rsidR="00460489" w:rsidRPr="00FD7041">
        <w:rPr>
          <w:rStyle w:val="normaltextrun"/>
          <w:rFonts w:ascii="Arial" w:hAnsi="Arial" w:cs="Arial"/>
          <w:sz w:val="21"/>
          <w:szCs w:val="21"/>
          <w:lang w:val="en-US"/>
        </w:rPr>
        <w:t xml:space="preserve">it </w:t>
      </w:r>
      <w:r w:rsidR="004413D1" w:rsidRPr="00FD7041">
        <w:rPr>
          <w:rStyle w:val="normaltextrun"/>
          <w:rFonts w:ascii="Arial" w:hAnsi="Arial" w:cs="Arial"/>
          <w:sz w:val="21"/>
          <w:szCs w:val="21"/>
          <w:lang w:val="en-US"/>
        </w:rPr>
        <w:t xml:space="preserve">is </w:t>
      </w:r>
      <w:r w:rsidR="00460489" w:rsidRPr="00FD7041">
        <w:rPr>
          <w:rStyle w:val="normaltextrun"/>
          <w:rFonts w:ascii="Arial" w:hAnsi="Arial" w:cs="Arial"/>
          <w:sz w:val="21"/>
          <w:szCs w:val="21"/>
          <w:lang w:val="en-US"/>
        </w:rPr>
        <w:t>regard</w:t>
      </w:r>
      <w:r w:rsidR="004413D1" w:rsidRPr="00FD7041">
        <w:rPr>
          <w:rStyle w:val="normaltextrun"/>
          <w:rFonts w:ascii="Arial" w:hAnsi="Arial" w:cs="Arial"/>
          <w:sz w:val="21"/>
          <w:szCs w:val="21"/>
          <w:lang w:val="en-US"/>
        </w:rPr>
        <w:t>ing</w:t>
      </w:r>
      <w:r w:rsidR="00460489" w:rsidRPr="00FD7041">
        <w:rPr>
          <w:rStyle w:val="normaltextrun"/>
          <w:rFonts w:ascii="Arial" w:hAnsi="Arial" w:cs="Arial"/>
          <w:sz w:val="21"/>
          <w:szCs w:val="21"/>
          <w:lang w:val="en-US"/>
        </w:rPr>
        <w:t xml:space="preserve"> insider-cases which are handled by </w:t>
      </w:r>
      <w:r w:rsidR="00460489">
        <w:rPr>
          <w:rStyle w:val="normaltextrun"/>
          <w:rFonts w:ascii="Arial" w:hAnsi="Arial" w:cs="Arial"/>
          <w:sz w:val="21"/>
          <w:szCs w:val="21"/>
          <w:lang w:val="en-US"/>
        </w:rPr>
        <w:t>the criminal justice system.</w:t>
      </w:r>
      <w:r w:rsidR="00AE38B5">
        <w:rPr>
          <w:rStyle w:val="normaltextrun"/>
          <w:rFonts w:ascii="Arial" w:hAnsi="Arial" w:cs="Arial"/>
          <w:sz w:val="21"/>
          <w:szCs w:val="21"/>
          <w:lang w:val="en-US"/>
        </w:rPr>
        <w:t xml:space="preserve"> When it comes to the duty to disclose information the barrier to </w:t>
      </w:r>
      <w:r w:rsidR="001D2212">
        <w:rPr>
          <w:rStyle w:val="normaltextrun"/>
          <w:rFonts w:ascii="Arial" w:hAnsi="Arial" w:cs="Arial"/>
          <w:sz w:val="21"/>
          <w:szCs w:val="21"/>
          <w:lang w:val="en-US"/>
        </w:rPr>
        <w:t xml:space="preserve">decide if it is insider information or not is considerably lower than in the </w:t>
      </w:r>
      <w:r w:rsidR="007D0E87">
        <w:rPr>
          <w:rStyle w:val="normaltextrun"/>
          <w:rFonts w:ascii="Arial" w:hAnsi="Arial" w:cs="Arial"/>
          <w:sz w:val="21"/>
          <w:szCs w:val="21"/>
          <w:lang w:val="en-US"/>
        </w:rPr>
        <w:t xml:space="preserve">criminal justice system. It is also worrying if </w:t>
      </w:r>
      <w:r w:rsidR="0018664E">
        <w:rPr>
          <w:rStyle w:val="normaltextrun"/>
          <w:rFonts w:ascii="Arial" w:hAnsi="Arial" w:cs="Arial"/>
          <w:sz w:val="21"/>
          <w:szCs w:val="21"/>
          <w:lang w:val="en-US"/>
        </w:rPr>
        <w:t xml:space="preserve">a strict liability (as mentioned </w:t>
      </w:r>
      <w:r w:rsidR="00484C72">
        <w:rPr>
          <w:rStyle w:val="normaltextrun"/>
          <w:rFonts w:ascii="Arial" w:hAnsi="Arial" w:cs="Arial"/>
          <w:sz w:val="21"/>
          <w:szCs w:val="21"/>
          <w:lang w:val="en-US"/>
        </w:rPr>
        <w:t xml:space="preserve">earlier in the response) is imposed on issuers </w:t>
      </w:r>
      <w:r w:rsidR="00163599" w:rsidRPr="00FD7041">
        <w:rPr>
          <w:rStyle w:val="normaltextrun"/>
          <w:rFonts w:ascii="Arial" w:hAnsi="Arial" w:cs="Arial"/>
          <w:sz w:val="21"/>
          <w:szCs w:val="21"/>
          <w:lang w:val="en-US"/>
        </w:rPr>
        <w:t>which ha</w:t>
      </w:r>
      <w:r w:rsidR="00BF1844" w:rsidRPr="00FD7041">
        <w:rPr>
          <w:rStyle w:val="normaltextrun"/>
          <w:rFonts w:ascii="Arial" w:hAnsi="Arial" w:cs="Arial"/>
          <w:sz w:val="21"/>
          <w:szCs w:val="21"/>
          <w:lang w:val="en-US"/>
        </w:rPr>
        <w:t>ve</w:t>
      </w:r>
      <w:r w:rsidR="00163599" w:rsidRPr="00FD7041">
        <w:rPr>
          <w:rStyle w:val="normaltextrun"/>
          <w:rFonts w:ascii="Arial" w:hAnsi="Arial" w:cs="Arial"/>
          <w:sz w:val="21"/>
          <w:szCs w:val="21"/>
          <w:lang w:val="en-US"/>
        </w:rPr>
        <w:t xml:space="preserve"> never </w:t>
      </w:r>
      <w:r w:rsidR="00163599">
        <w:rPr>
          <w:rStyle w:val="normaltextrun"/>
          <w:rFonts w:ascii="Arial" w:hAnsi="Arial" w:cs="Arial"/>
          <w:sz w:val="21"/>
          <w:szCs w:val="21"/>
          <w:lang w:val="en-US"/>
        </w:rPr>
        <w:t>been the case</w:t>
      </w:r>
      <w:r w:rsidR="00065E30">
        <w:rPr>
          <w:rStyle w:val="normaltextrun"/>
          <w:rFonts w:ascii="Arial" w:hAnsi="Arial" w:cs="Arial"/>
          <w:sz w:val="21"/>
          <w:szCs w:val="21"/>
          <w:lang w:val="en-US"/>
        </w:rPr>
        <w:t xml:space="preserve"> (and should not be) in the criminal justice system.</w:t>
      </w:r>
      <w:r w:rsidR="00460489">
        <w:rPr>
          <w:rStyle w:val="normaltextrun"/>
          <w:rFonts w:ascii="Arial" w:hAnsi="Arial" w:cs="Arial"/>
          <w:sz w:val="21"/>
          <w:szCs w:val="21"/>
          <w:lang w:val="en-US"/>
        </w:rPr>
        <w:t> </w:t>
      </w:r>
      <w:r w:rsidR="00460489" w:rsidRPr="00460489">
        <w:rPr>
          <w:rStyle w:val="eop"/>
          <w:rFonts w:ascii="Arial" w:hAnsi="Arial" w:cs="Arial"/>
          <w:sz w:val="21"/>
          <w:szCs w:val="21"/>
          <w:lang w:val="en-US"/>
        </w:rPr>
        <w:t> </w:t>
      </w:r>
    </w:p>
    <w:p w14:paraId="18DEC296" w14:textId="77777777" w:rsidR="00101A3F" w:rsidRDefault="00101A3F" w:rsidP="00646C30">
      <w:pPr>
        <w:rPr>
          <w:rStyle w:val="normaltextrun"/>
          <w:rFonts w:cs="Arial"/>
          <w:sz w:val="21"/>
          <w:szCs w:val="21"/>
          <w:lang w:val="en-US"/>
        </w:rPr>
      </w:pPr>
    </w:p>
    <w:p w14:paraId="3C3E0A68" w14:textId="15E984C0" w:rsidR="00646C30" w:rsidRDefault="00460489" w:rsidP="00646C30">
      <w:r>
        <w:rPr>
          <w:rStyle w:val="normaltextrun"/>
          <w:rFonts w:cs="Arial"/>
          <w:sz w:val="21"/>
          <w:szCs w:val="21"/>
          <w:lang w:val="en-US"/>
        </w:rPr>
        <w:t xml:space="preserve">For issuers with only corporate bonds listed, </w:t>
      </w:r>
      <w:r w:rsidR="00994B85" w:rsidRPr="00D462F2">
        <w:rPr>
          <w:rStyle w:val="normaltextrun"/>
          <w:rFonts w:cs="Arial"/>
          <w:sz w:val="21"/>
          <w:szCs w:val="21"/>
          <w:lang w:val="en-US"/>
        </w:rPr>
        <w:t xml:space="preserve">it is our understanding </w:t>
      </w:r>
      <w:r w:rsidRPr="00D462F2">
        <w:rPr>
          <w:rStyle w:val="normaltextrun"/>
          <w:rFonts w:cs="Arial"/>
          <w:sz w:val="21"/>
          <w:szCs w:val="21"/>
          <w:lang w:val="en-US"/>
        </w:rPr>
        <w:t xml:space="preserve">that less </w:t>
      </w:r>
      <w:r>
        <w:rPr>
          <w:rStyle w:val="normaltextrun"/>
          <w:rFonts w:cs="Arial"/>
          <w:sz w:val="21"/>
          <w:szCs w:val="21"/>
          <w:lang w:val="en-US"/>
        </w:rPr>
        <w:t>information is of price sensitive nature for corporate bonds in relation to what would be price sensitive for listed shares. We would appreciate if ESMA could provide further guidance and examples of what type of information should typically be deemed to be inside information in relation to listed bonds since most guidance available today relates to listed shares</w:t>
      </w:r>
      <w:r w:rsidRPr="0053452A">
        <w:rPr>
          <w:rStyle w:val="normaltextrun"/>
          <w:rFonts w:cs="Arial"/>
          <w:sz w:val="21"/>
          <w:szCs w:val="21"/>
          <w:lang w:val="en-US"/>
        </w:rPr>
        <w:t>.</w:t>
      </w:r>
      <w:permEnd w:id="770132907"/>
    </w:p>
    <w:p w14:paraId="3C3E0A69" w14:textId="77777777" w:rsidR="00646C30" w:rsidRDefault="00646C30" w:rsidP="00646C30">
      <w:r>
        <w:lastRenderedPageBreak/>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13A01933" w:rsidR="00646C30" w:rsidRDefault="00646C30" w:rsidP="00646C30">
      <w:permStart w:id="416102086" w:edGrp="everyone"/>
      <w:r w:rsidRPr="007F70E2">
        <w:rPr>
          <w:lang w:val="en-US"/>
        </w:rP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3D026C92" w:rsidR="00646C30" w:rsidRDefault="00734737" w:rsidP="00646C30">
      <w:permStart w:id="831264800" w:edGrp="everyone"/>
      <w:r>
        <w:t>No</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 xml:space="preserve">Please provide your views on whether the general definition of inside information of Article 7(1)(a) of MAR could be used for commodity derivatives. In such case, would safeguards enabling commodity producers to undertake hedging transactions </w:t>
      </w:r>
      <w:r w:rsidRPr="000A0396">
        <w:lastRenderedPageBreak/>
        <w:t>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022270BD" w14:textId="32B8A62E" w:rsidR="004B1EF7" w:rsidRDefault="00BE203F" w:rsidP="00BE203F">
      <w:pPr>
        <w:pStyle w:val="paragraph"/>
        <w:spacing w:before="0" w:beforeAutospacing="0" w:after="0" w:afterAutospacing="0"/>
        <w:textAlignment w:val="baseline"/>
        <w:rPr>
          <w:rStyle w:val="normaltextrun"/>
          <w:rFonts w:ascii="Arial" w:hAnsi="Arial" w:cs="Arial"/>
          <w:sz w:val="21"/>
          <w:szCs w:val="21"/>
          <w:lang w:val="en-US"/>
        </w:rPr>
      </w:pPr>
      <w:permStart w:id="611875542" w:edGrp="everyone"/>
      <w:r>
        <w:rPr>
          <w:rStyle w:val="normaltextrun"/>
          <w:rFonts w:ascii="Arial" w:hAnsi="Arial" w:cs="Arial"/>
          <w:sz w:val="21"/>
          <w:szCs w:val="21"/>
          <w:lang w:val="en-US"/>
        </w:rPr>
        <w:lastRenderedPageBreak/>
        <w:t>There might be situations, as ESMA points out in the consultation, where inside information is mature enough to trigger a prohibition of market abuse but insufficiently mature to be disclosed to the public. Examples of such situations are provided in response to Q26. </w:t>
      </w:r>
      <w:r w:rsidR="00E23673" w:rsidRPr="007E523E">
        <w:rPr>
          <w:rStyle w:val="normaltextrun"/>
          <w:rFonts w:ascii="Arial" w:hAnsi="Arial" w:cs="Arial"/>
          <w:color w:val="FF0000"/>
          <w:sz w:val="21"/>
          <w:szCs w:val="21"/>
          <w:lang w:val="en-US"/>
        </w:rPr>
        <w:t xml:space="preserve"> </w:t>
      </w:r>
    </w:p>
    <w:p w14:paraId="4B681FCD" w14:textId="330C83A0" w:rsidR="00BE203F" w:rsidRPr="00BE203F" w:rsidRDefault="00BE203F" w:rsidP="00BE203F">
      <w:pPr>
        <w:pStyle w:val="paragraph"/>
        <w:spacing w:before="0" w:beforeAutospacing="0" w:after="0" w:afterAutospacing="0"/>
        <w:textAlignment w:val="baseline"/>
        <w:rPr>
          <w:rFonts w:ascii="Segoe UI" w:hAnsi="Segoe UI" w:cs="Segoe UI"/>
          <w:sz w:val="18"/>
          <w:szCs w:val="18"/>
          <w:lang w:val="en-US"/>
        </w:rPr>
      </w:pPr>
      <w:r w:rsidRPr="00BE203F">
        <w:rPr>
          <w:rStyle w:val="eop"/>
          <w:rFonts w:ascii="Arial" w:hAnsi="Arial" w:cs="Arial"/>
          <w:sz w:val="21"/>
          <w:szCs w:val="21"/>
          <w:lang w:val="en-US"/>
        </w:rPr>
        <w:t> </w:t>
      </w:r>
    </w:p>
    <w:p w14:paraId="49651F09" w14:textId="77777777" w:rsidR="00AF01B6" w:rsidRDefault="00BE203F" w:rsidP="00AF01B6">
      <w:pPr>
        <w:pStyle w:val="paragraph"/>
        <w:spacing w:before="0" w:beforeAutospacing="0" w:after="0" w:afterAutospacing="0"/>
        <w:textAlignment w:val="baseline"/>
        <w:rPr>
          <w:rStyle w:val="normaltextrun"/>
          <w:rFonts w:ascii="Arial" w:hAnsi="Arial" w:cs="Arial"/>
          <w:sz w:val="21"/>
          <w:szCs w:val="21"/>
          <w:lang w:val="en-US"/>
        </w:rPr>
      </w:pPr>
      <w:r>
        <w:rPr>
          <w:rStyle w:val="normaltextrun"/>
          <w:rFonts w:ascii="Arial" w:hAnsi="Arial" w:cs="Arial"/>
          <w:sz w:val="21"/>
          <w:szCs w:val="21"/>
          <w:lang w:val="en-US"/>
        </w:rPr>
        <w:t xml:space="preserve">In summary, the examples provided describe situations where delays of a disclosure otherwise would allow for a more comprehensive and understandable communication, better adapted to how the market functions. </w:t>
      </w:r>
    </w:p>
    <w:p w14:paraId="6974F957" w14:textId="77777777" w:rsidR="00EB22BA" w:rsidRDefault="00EB22BA" w:rsidP="00AF01B6">
      <w:pPr>
        <w:pStyle w:val="paragraph"/>
        <w:spacing w:before="0" w:beforeAutospacing="0" w:after="0" w:afterAutospacing="0"/>
        <w:textAlignment w:val="baseline"/>
        <w:rPr>
          <w:rStyle w:val="normaltextrun"/>
          <w:rFonts w:ascii="Arial" w:hAnsi="Arial" w:cs="Arial"/>
          <w:sz w:val="21"/>
          <w:szCs w:val="21"/>
          <w:lang w:val="en-US"/>
        </w:rPr>
      </w:pPr>
    </w:p>
    <w:p w14:paraId="70CBFD43" w14:textId="386CA976" w:rsidR="00AF01B6" w:rsidRDefault="00AF01B6" w:rsidP="00AF01B6">
      <w:pPr>
        <w:pStyle w:val="paragraph"/>
        <w:spacing w:before="0" w:beforeAutospacing="0" w:after="0" w:afterAutospacing="0"/>
        <w:textAlignment w:val="baseline"/>
        <w:rPr>
          <w:rStyle w:val="normaltextrun"/>
          <w:rFonts w:ascii="Arial" w:hAnsi="Arial" w:cs="Arial"/>
          <w:sz w:val="21"/>
          <w:szCs w:val="21"/>
          <w:lang w:val="en-US"/>
        </w:rPr>
      </w:pPr>
      <w:r w:rsidRPr="00AA1EA9">
        <w:rPr>
          <w:rStyle w:val="normaltextrun"/>
          <w:rFonts w:ascii="Arial" w:hAnsi="Arial" w:cs="Arial"/>
          <w:sz w:val="21"/>
          <w:szCs w:val="21"/>
          <w:lang w:val="en-US"/>
        </w:rPr>
        <w:t xml:space="preserve">In general, we fear that </w:t>
      </w:r>
      <w:r w:rsidR="00EB22BA" w:rsidRPr="00AA1EA9">
        <w:rPr>
          <w:rStyle w:val="normaltextrun"/>
          <w:rFonts w:ascii="Arial" w:hAnsi="Arial" w:cs="Arial"/>
          <w:sz w:val="21"/>
          <w:szCs w:val="21"/>
          <w:lang w:val="en-US"/>
        </w:rPr>
        <w:t>too</w:t>
      </w:r>
      <w:r w:rsidRPr="00AA1EA9">
        <w:rPr>
          <w:rStyle w:val="normaltextrun"/>
          <w:rFonts w:ascii="Arial" w:hAnsi="Arial" w:cs="Arial"/>
          <w:sz w:val="21"/>
          <w:szCs w:val="21"/>
          <w:lang w:val="en-US"/>
        </w:rPr>
        <w:t xml:space="preserve"> much focus is on the notion of </w:t>
      </w:r>
      <w:r w:rsidRPr="00AA1EA9">
        <w:rPr>
          <w:rStyle w:val="normaltextrun"/>
          <w:rFonts w:ascii="Arial" w:hAnsi="Arial" w:cs="Arial"/>
          <w:i/>
          <w:sz w:val="21"/>
          <w:szCs w:val="21"/>
          <w:lang w:val="en-US"/>
        </w:rPr>
        <w:t>as soon as possible</w:t>
      </w:r>
      <w:r w:rsidRPr="00AA1EA9">
        <w:rPr>
          <w:rStyle w:val="normaltextrun"/>
          <w:rFonts w:ascii="Arial" w:hAnsi="Arial" w:cs="Arial"/>
          <w:sz w:val="21"/>
          <w:szCs w:val="21"/>
          <w:lang w:val="en-US"/>
        </w:rPr>
        <w:t xml:space="preserve"> rather than that the information needs to be correct, relevant, clear and sufficiently detailed to allow an assessment of the significance of the information for the </w:t>
      </w:r>
      <w:r w:rsidR="00837047" w:rsidRPr="00AA1EA9">
        <w:rPr>
          <w:rStyle w:val="normaltextrun"/>
          <w:rFonts w:ascii="Arial" w:hAnsi="Arial" w:cs="Arial"/>
          <w:sz w:val="21"/>
          <w:szCs w:val="21"/>
          <w:lang w:val="en-US"/>
        </w:rPr>
        <w:t>issuer</w:t>
      </w:r>
      <w:r w:rsidRPr="00AA1EA9">
        <w:rPr>
          <w:rStyle w:val="normaltextrun"/>
          <w:rFonts w:ascii="Arial" w:hAnsi="Arial" w:cs="Arial"/>
          <w:sz w:val="21"/>
          <w:szCs w:val="21"/>
          <w:lang w:val="en-US"/>
        </w:rPr>
        <w:t xml:space="preserve">. There is a substantial risk that disclosing information that is insufficiently mature will mislead investors.  </w:t>
      </w:r>
    </w:p>
    <w:p w14:paraId="40645FB7" w14:textId="77777777" w:rsidR="00EB22BA" w:rsidRDefault="00EB22BA" w:rsidP="00BE203F">
      <w:pPr>
        <w:pStyle w:val="paragraph"/>
        <w:spacing w:before="0" w:beforeAutospacing="0" w:after="0" w:afterAutospacing="0"/>
        <w:textAlignment w:val="baseline"/>
        <w:rPr>
          <w:rStyle w:val="normaltextrun"/>
          <w:rFonts w:ascii="Arial" w:hAnsi="Arial" w:cs="Arial"/>
          <w:sz w:val="21"/>
          <w:szCs w:val="21"/>
          <w:lang w:val="en-US"/>
        </w:rPr>
      </w:pPr>
    </w:p>
    <w:p w14:paraId="7498C8A5" w14:textId="478E7D29" w:rsidR="00BE203F" w:rsidRDefault="00BE203F" w:rsidP="00BE203F">
      <w:pPr>
        <w:pStyle w:val="paragraph"/>
        <w:spacing w:before="0" w:beforeAutospacing="0" w:after="0" w:afterAutospacing="0"/>
        <w:textAlignment w:val="baseline"/>
        <w:rPr>
          <w:rStyle w:val="eop"/>
          <w:rFonts w:ascii="Arial" w:hAnsi="Arial" w:cs="Arial"/>
          <w:sz w:val="21"/>
          <w:szCs w:val="21"/>
          <w:lang w:val="en-US"/>
        </w:rPr>
      </w:pPr>
      <w:r>
        <w:rPr>
          <w:rStyle w:val="normaltextrun"/>
          <w:rFonts w:ascii="Arial" w:hAnsi="Arial" w:cs="Arial"/>
          <w:sz w:val="21"/>
          <w:szCs w:val="21"/>
          <w:lang w:val="en-US"/>
        </w:rPr>
        <w:t>The current conditions for delaying disclosures offer only limited room for such considerations, and it would be welcome if they were reviewed in this context</w:t>
      </w:r>
      <w:r w:rsidR="000E1F7C">
        <w:rPr>
          <w:rStyle w:val="normaltextrun"/>
          <w:rFonts w:ascii="Arial" w:hAnsi="Arial" w:cs="Arial"/>
          <w:sz w:val="21"/>
          <w:szCs w:val="21"/>
          <w:lang w:val="en-US"/>
        </w:rPr>
        <w:t>.</w:t>
      </w:r>
      <w:r>
        <w:rPr>
          <w:rStyle w:val="normaltextrun"/>
          <w:rFonts w:ascii="Arial" w:hAnsi="Arial" w:cs="Arial"/>
          <w:sz w:val="21"/>
          <w:szCs w:val="21"/>
          <w:lang w:val="en-US"/>
        </w:rPr>
        <w:t>  </w:t>
      </w:r>
      <w:r w:rsidRPr="00BE203F">
        <w:rPr>
          <w:rStyle w:val="eop"/>
          <w:rFonts w:ascii="Arial" w:hAnsi="Arial" w:cs="Arial"/>
          <w:sz w:val="21"/>
          <w:szCs w:val="21"/>
          <w:lang w:val="en-US"/>
        </w:rPr>
        <w:t> </w:t>
      </w:r>
    </w:p>
    <w:p w14:paraId="3849BD64" w14:textId="77777777" w:rsidR="004B1EF7" w:rsidRPr="00BE203F" w:rsidRDefault="004B1EF7" w:rsidP="00BE203F">
      <w:pPr>
        <w:pStyle w:val="paragraph"/>
        <w:spacing w:before="0" w:beforeAutospacing="0" w:after="0" w:afterAutospacing="0"/>
        <w:textAlignment w:val="baseline"/>
        <w:rPr>
          <w:rFonts w:ascii="Segoe UI" w:hAnsi="Segoe UI" w:cs="Segoe UI"/>
          <w:sz w:val="18"/>
          <w:szCs w:val="18"/>
          <w:lang w:val="en-US"/>
        </w:rPr>
      </w:pPr>
    </w:p>
    <w:p w14:paraId="3C3E0AA4" w14:textId="1AE2EF11" w:rsidR="00646C30" w:rsidRDefault="00BE203F" w:rsidP="00646C30">
      <w:r>
        <w:rPr>
          <w:rStyle w:val="normaltextrun"/>
          <w:rFonts w:cs="Arial"/>
          <w:sz w:val="21"/>
          <w:szCs w:val="21"/>
          <w:lang w:val="en-US"/>
        </w:rPr>
        <w:t>One difference from when MAR was implemented compared to the rules applicable in Sweden </w:t>
      </w:r>
      <w:r>
        <w:rPr>
          <w:rStyle w:val="contextualspellingandgrammarerror"/>
          <w:rFonts w:cs="Arial"/>
          <w:sz w:val="21"/>
          <w:szCs w:val="21"/>
          <w:lang w:val="en-US"/>
        </w:rPr>
        <w:t>pre</w:t>
      </w:r>
      <w:r w:rsidR="00974338">
        <w:rPr>
          <w:rStyle w:val="contextualspellingandgrammarerror"/>
          <w:rFonts w:cs="Arial"/>
          <w:sz w:val="21"/>
          <w:szCs w:val="21"/>
          <w:lang w:val="en-US"/>
        </w:rPr>
        <w:t>-</w:t>
      </w:r>
      <w:r>
        <w:rPr>
          <w:rStyle w:val="contextualspellingandgrammarerror"/>
          <w:rFonts w:cs="Arial"/>
          <w:sz w:val="21"/>
          <w:szCs w:val="21"/>
          <w:lang w:val="en-US"/>
        </w:rPr>
        <w:t xml:space="preserve"> MAR</w:t>
      </w:r>
      <w:r>
        <w:rPr>
          <w:rStyle w:val="normaltextrun"/>
          <w:rFonts w:cs="Arial"/>
          <w:sz w:val="21"/>
          <w:szCs w:val="21"/>
          <w:lang w:val="en-US"/>
        </w:rPr>
        <w:t> implementation is that an issuer today cannot wait to disclose inside information until the next day, before the market opens</w:t>
      </w:r>
      <w:r w:rsidR="005A460A">
        <w:rPr>
          <w:rStyle w:val="normaltextrun"/>
          <w:rFonts w:cs="Arial"/>
          <w:sz w:val="21"/>
          <w:szCs w:val="21"/>
          <w:lang w:val="en-US"/>
        </w:rPr>
        <w:t>,</w:t>
      </w:r>
      <w:r>
        <w:rPr>
          <w:rStyle w:val="normaltextrun"/>
          <w:rFonts w:cs="Arial"/>
          <w:sz w:val="21"/>
          <w:szCs w:val="21"/>
          <w:lang w:val="en-US"/>
        </w:rPr>
        <w:t xml:space="preserve"> if the inside information occurred after the market closed. In certain circumstances we believe that it would be more appropriate for the issuer to be able to further evaluate the information, during an evening/night or during a weekend, before disclosing the information to the market, provided that the information becomes inside information after the market closes on the day of occurrence and that the information is disclosed prior to the market opens again on the next day of trading. Today the issuers can postpone disclosure in this way through the rules on delayed </w:t>
      </w:r>
      <w:r w:rsidR="00EC5596">
        <w:rPr>
          <w:rStyle w:val="normaltextrun"/>
          <w:rFonts w:cs="Arial"/>
          <w:sz w:val="21"/>
          <w:szCs w:val="21"/>
          <w:lang w:val="en-US"/>
        </w:rPr>
        <w:t>disclosure,</w:t>
      </w:r>
      <w:r>
        <w:rPr>
          <w:rStyle w:val="normaltextrun"/>
          <w:rFonts w:cs="Arial"/>
          <w:sz w:val="21"/>
          <w:szCs w:val="21"/>
          <w:lang w:val="en-US"/>
        </w:rPr>
        <w:t xml:space="preserve"> but these rules might not always be applicable in these situations. If the company can keep the information confidential, in general the information cannot be used for market abuse or otherwise used by investors when the market is closed. We</w:t>
      </w:r>
      <w:r>
        <w:rPr>
          <w:rStyle w:val="normaltextrun"/>
          <w:rFonts w:cs="Arial"/>
          <w:color w:val="FF66CC"/>
          <w:sz w:val="21"/>
          <w:szCs w:val="21"/>
          <w:lang w:val="en-US"/>
        </w:rPr>
        <w:t> </w:t>
      </w:r>
      <w:r>
        <w:rPr>
          <w:rStyle w:val="normaltextrun"/>
          <w:rFonts w:cs="Arial"/>
          <w:sz w:val="21"/>
          <w:szCs w:val="21"/>
          <w:lang w:val="en-US"/>
        </w:rPr>
        <w:t xml:space="preserve">believe the risk with allowing issuers to wait to disclose the information until the next trading day to be low. It also constitutes a heavy administrative burden with high costs on companies to disclose information at </w:t>
      </w:r>
      <w:r w:rsidRPr="00E178C5">
        <w:rPr>
          <w:rStyle w:val="normaltextrun"/>
          <w:rFonts w:cs="Arial"/>
          <w:sz w:val="21"/>
          <w:szCs w:val="21"/>
          <w:lang w:val="en-US"/>
        </w:rPr>
        <w:t xml:space="preserve">all hours, without </w:t>
      </w:r>
      <w:r w:rsidR="00E92092" w:rsidRPr="00E178C5">
        <w:rPr>
          <w:rStyle w:val="normaltextrun"/>
          <w:rFonts w:cs="Arial"/>
          <w:sz w:val="21"/>
          <w:szCs w:val="21"/>
          <w:lang w:val="en-US"/>
        </w:rPr>
        <w:t xml:space="preserve">it </w:t>
      </w:r>
      <w:r w:rsidRPr="00E178C5">
        <w:rPr>
          <w:rStyle w:val="normaltextrun"/>
          <w:rFonts w:cs="Arial"/>
          <w:sz w:val="21"/>
          <w:szCs w:val="21"/>
          <w:lang w:val="en-US"/>
        </w:rPr>
        <w:t xml:space="preserve">having a </w:t>
      </w:r>
      <w:r>
        <w:rPr>
          <w:rStyle w:val="normaltextrun"/>
          <w:rFonts w:cs="Arial"/>
          <w:sz w:val="21"/>
          <w:szCs w:val="21"/>
          <w:lang w:val="en-US"/>
        </w:rPr>
        <w:t xml:space="preserve">positive effect on the transparency on the market or any benefits for the investors. Many SME’s have a very slim permanent organization and are in many aspects depending on external consultants. To be obliged to be able to reach them 24/7 would be extremely costly and with no apparent purpose. A too strict interpretation of this rule might in fact make it too expensive for SME companies to </w:t>
      </w:r>
      <w:r w:rsidRPr="00A164A4">
        <w:rPr>
          <w:rStyle w:val="normaltextrun"/>
          <w:rFonts w:cs="Arial"/>
          <w:sz w:val="21"/>
          <w:szCs w:val="21"/>
          <w:lang w:val="en-US"/>
        </w:rPr>
        <w:t>be listed.</w:t>
      </w:r>
      <w:r w:rsidR="00AF0089" w:rsidRPr="00A164A4">
        <w:rPr>
          <w:rStyle w:val="normaltextrun"/>
          <w:rFonts w:cs="Arial"/>
          <w:sz w:val="21"/>
          <w:szCs w:val="21"/>
          <w:lang w:val="en-US"/>
        </w:rPr>
        <w:t xml:space="preserve"> </w:t>
      </w:r>
      <w:r w:rsidR="00776AD5" w:rsidRPr="00A164A4">
        <w:rPr>
          <w:rStyle w:val="normaltextrun"/>
          <w:rFonts w:cs="Arial"/>
          <w:sz w:val="21"/>
          <w:szCs w:val="21"/>
          <w:lang w:val="en-US"/>
        </w:rPr>
        <w:t xml:space="preserve">It is important to understand that to strict requirements </w:t>
      </w:r>
      <w:r w:rsidR="00C45D11" w:rsidRPr="00A164A4">
        <w:rPr>
          <w:rStyle w:val="normaltextrun"/>
          <w:rFonts w:cs="Arial"/>
          <w:sz w:val="21"/>
          <w:szCs w:val="21"/>
          <w:lang w:val="en-US"/>
        </w:rPr>
        <w:t xml:space="preserve">on </w:t>
      </w:r>
      <w:r w:rsidR="00C2073D" w:rsidRPr="00A164A4">
        <w:rPr>
          <w:rStyle w:val="normaltextrun"/>
          <w:rFonts w:cs="Arial"/>
          <w:sz w:val="21"/>
          <w:szCs w:val="21"/>
          <w:lang w:val="en-US"/>
        </w:rPr>
        <w:t xml:space="preserve">disclosure </w:t>
      </w:r>
      <w:r w:rsidR="00C45D11" w:rsidRPr="00A164A4">
        <w:rPr>
          <w:rStyle w:val="normaltextrun"/>
          <w:rFonts w:cs="Arial"/>
          <w:sz w:val="21"/>
          <w:szCs w:val="21"/>
          <w:lang w:val="en-US"/>
        </w:rPr>
        <w:t>and speed in communication m</w:t>
      </w:r>
      <w:r w:rsidR="00C2073D" w:rsidRPr="00A164A4">
        <w:rPr>
          <w:rStyle w:val="normaltextrun"/>
          <w:rFonts w:cs="Arial"/>
          <w:sz w:val="21"/>
          <w:szCs w:val="21"/>
          <w:lang w:val="en-US"/>
        </w:rPr>
        <w:t>ight lead to less transparency if companies in general chose</w:t>
      </w:r>
      <w:r w:rsidR="00D267C2" w:rsidRPr="00A164A4">
        <w:rPr>
          <w:rStyle w:val="normaltextrun"/>
          <w:rFonts w:cs="Arial"/>
          <w:sz w:val="21"/>
          <w:szCs w:val="21"/>
          <w:lang w:val="en-US"/>
        </w:rPr>
        <w:t xml:space="preserve"> financing through private equity rather than through a listing, due to requirements that </w:t>
      </w:r>
      <w:r w:rsidR="0087527D" w:rsidRPr="00A164A4">
        <w:rPr>
          <w:rStyle w:val="normaltextrun"/>
          <w:rFonts w:cs="Arial"/>
          <w:sz w:val="21"/>
          <w:szCs w:val="21"/>
          <w:lang w:val="en-US"/>
        </w:rPr>
        <w:t>makes it very difficult to run their day-to-day operations.</w:t>
      </w:r>
      <w:r w:rsidR="00905E8E" w:rsidRPr="00A164A4">
        <w:rPr>
          <w:rStyle w:val="normaltextrun"/>
          <w:rFonts w:cs="Arial"/>
          <w:sz w:val="21"/>
          <w:szCs w:val="21"/>
          <w:lang w:val="en-US"/>
        </w:rPr>
        <w:t xml:space="preserve"> </w:t>
      </w:r>
      <w:r w:rsidR="00607C95" w:rsidRPr="00A164A4">
        <w:rPr>
          <w:rStyle w:val="normaltextrun"/>
          <w:rFonts w:cs="Arial"/>
          <w:sz w:val="21"/>
          <w:szCs w:val="21"/>
          <w:lang w:val="en-US"/>
        </w:rPr>
        <w:t>As mentioned under Q13 it is</w:t>
      </w:r>
      <w:r w:rsidR="00A8038C" w:rsidRPr="00A164A4">
        <w:rPr>
          <w:rStyle w:val="normaltextrun"/>
          <w:rFonts w:cs="Arial"/>
          <w:sz w:val="21"/>
          <w:szCs w:val="21"/>
          <w:lang w:val="en-US"/>
        </w:rPr>
        <w:t xml:space="preserve"> also clear that the interpretation of </w:t>
      </w:r>
      <w:r w:rsidR="00607C95" w:rsidRPr="00A164A4">
        <w:rPr>
          <w:rStyle w:val="normaltextrun"/>
          <w:rFonts w:cs="Arial"/>
          <w:i/>
          <w:sz w:val="21"/>
          <w:szCs w:val="21"/>
          <w:lang w:val="en-US"/>
        </w:rPr>
        <w:t>as</w:t>
      </w:r>
      <w:r w:rsidR="00695566" w:rsidRPr="00A164A4">
        <w:rPr>
          <w:rStyle w:val="normaltextrun"/>
          <w:rFonts w:cs="Arial"/>
          <w:i/>
          <w:sz w:val="21"/>
          <w:szCs w:val="21"/>
          <w:lang w:val="en-US"/>
        </w:rPr>
        <w:t xml:space="preserve"> soon as possible </w:t>
      </w:r>
      <w:r w:rsidR="00695566" w:rsidRPr="00A164A4">
        <w:rPr>
          <w:rStyle w:val="normaltextrun"/>
          <w:rFonts w:cs="Arial"/>
          <w:sz w:val="21"/>
          <w:szCs w:val="21"/>
          <w:lang w:val="en-US"/>
        </w:rPr>
        <w:t xml:space="preserve">differs </w:t>
      </w:r>
      <w:r w:rsidR="008123FB" w:rsidRPr="00A164A4">
        <w:rPr>
          <w:rStyle w:val="normaltextrun"/>
          <w:rFonts w:cs="Arial"/>
          <w:sz w:val="21"/>
          <w:szCs w:val="21"/>
          <w:lang w:val="en-US"/>
        </w:rPr>
        <w:t xml:space="preserve">among the competent authorities </w:t>
      </w:r>
      <w:r w:rsidR="00695566" w:rsidRPr="00A164A4">
        <w:rPr>
          <w:rStyle w:val="normaltextrun"/>
          <w:rFonts w:cs="Arial"/>
          <w:sz w:val="21"/>
          <w:szCs w:val="21"/>
          <w:lang w:val="en-US"/>
        </w:rPr>
        <w:t>within the EU</w:t>
      </w:r>
      <w:r w:rsidR="006C0DB1" w:rsidRPr="00A164A4">
        <w:rPr>
          <w:rStyle w:val="normaltextrun"/>
          <w:rFonts w:cs="Arial"/>
          <w:sz w:val="21"/>
          <w:szCs w:val="21"/>
          <w:lang w:val="en-US"/>
        </w:rPr>
        <w:t>.</w:t>
      </w:r>
      <w:r w:rsidR="00607C95" w:rsidRPr="00A164A4">
        <w:rPr>
          <w:rStyle w:val="normaltextrun"/>
          <w:rFonts w:cs="Arial"/>
          <w:sz w:val="21"/>
          <w:szCs w:val="21"/>
          <w:lang w:val="en-US"/>
        </w:rPr>
        <w:t xml:space="preserve"> </w:t>
      </w:r>
      <w:r w:rsidRPr="00A164A4">
        <w:rPr>
          <w:rStyle w:val="normaltextrun"/>
          <w:rFonts w:cs="Arial"/>
          <w:sz w:val="21"/>
          <w:szCs w:val="21"/>
          <w:lang w:val="en-US"/>
        </w:rPr>
        <w:t>Due to the above it would be desirable that ESMA made a clarification by publishing guidelines for the interpretation of “as soon as possible</w:t>
      </w:r>
      <w:r>
        <w:rPr>
          <w:rStyle w:val="normaltextrun"/>
          <w:rFonts w:cs="Arial"/>
          <w:sz w:val="21"/>
          <w:szCs w:val="21"/>
          <w:lang w:val="en-US"/>
        </w:rPr>
        <w:t>”.</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1CA10750" w14:textId="65415E1E" w:rsidR="006068F3" w:rsidRDefault="006068F3" w:rsidP="006068F3">
      <w:pPr>
        <w:pStyle w:val="paragraph"/>
        <w:spacing w:before="0" w:beforeAutospacing="0" w:after="0" w:afterAutospacing="0"/>
        <w:textAlignment w:val="baseline"/>
        <w:rPr>
          <w:rStyle w:val="eop"/>
          <w:rFonts w:ascii="Arial" w:hAnsi="Arial" w:cs="Arial"/>
          <w:sz w:val="21"/>
          <w:szCs w:val="21"/>
          <w:lang w:val="en-US"/>
        </w:rPr>
      </w:pPr>
      <w:permStart w:id="1829000557" w:edGrp="everyone"/>
      <w:r>
        <w:rPr>
          <w:rStyle w:val="normaltextrun"/>
          <w:rFonts w:ascii="Arial" w:hAnsi="Arial" w:cs="Arial"/>
          <w:sz w:val="21"/>
          <w:szCs w:val="21"/>
          <w:lang w:val="en-US"/>
        </w:rPr>
        <w:t>Several examples (of a parallel nature) can be made: </w:t>
      </w:r>
      <w:r w:rsidRPr="006068F3">
        <w:rPr>
          <w:rStyle w:val="eop"/>
          <w:rFonts w:ascii="Arial" w:hAnsi="Arial" w:cs="Arial"/>
          <w:sz w:val="21"/>
          <w:szCs w:val="21"/>
          <w:lang w:val="en-US"/>
        </w:rPr>
        <w:t> </w:t>
      </w:r>
    </w:p>
    <w:p w14:paraId="17C4A328" w14:textId="77777777" w:rsidR="00553E02" w:rsidRPr="006068F3" w:rsidRDefault="00553E02" w:rsidP="006068F3">
      <w:pPr>
        <w:pStyle w:val="paragraph"/>
        <w:spacing w:before="0" w:beforeAutospacing="0" w:after="0" w:afterAutospacing="0"/>
        <w:textAlignment w:val="baseline"/>
        <w:rPr>
          <w:rFonts w:ascii="Segoe UI" w:hAnsi="Segoe UI" w:cs="Segoe UI"/>
          <w:sz w:val="18"/>
          <w:szCs w:val="18"/>
          <w:lang w:val="en-US"/>
        </w:rPr>
      </w:pPr>
    </w:p>
    <w:p w14:paraId="68A24547" w14:textId="7FF3811D" w:rsidR="006068F3" w:rsidRDefault="006068F3" w:rsidP="006068F3">
      <w:pPr>
        <w:pStyle w:val="paragraph"/>
        <w:spacing w:before="0" w:beforeAutospacing="0" w:after="0" w:afterAutospacing="0"/>
        <w:textAlignment w:val="baseline"/>
        <w:rPr>
          <w:rStyle w:val="eop"/>
          <w:rFonts w:ascii="Arial" w:hAnsi="Arial" w:cs="Arial"/>
          <w:sz w:val="21"/>
          <w:szCs w:val="21"/>
          <w:lang w:val="en-US"/>
        </w:rPr>
      </w:pPr>
      <w:r>
        <w:rPr>
          <w:rStyle w:val="normaltextrun"/>
          <w:rFonts w:ascii="Arial" w:hAnsi="Arial" w:cs="Arial"/>
          <w:sz w:val="21"/>
          <w:szCs w:val="21"/>
          <w:lang w:val="en-US"/>
        </w:rPr>
        <w:t xml:space="preserve">An issuer encounters a production problem that – after proper investigation – is considered inside information. The problem and its immediate effects can be disclosed, but there might be supplementary information, e.g.  on accrued reserves, planned remediation, recalls, authority interaction, insurance protection or other factors, that the market requires to contextualize the problem and which (by </w:t>
      </w:r>
      <w:r>
        <w:rPr>
          <w:rStyle w:val="normaltextrun"/>
          <w:rFonts w:ascii="Arial" w:hAnsi="Arial" w:cs="Arial"/>
          <w:sz w:val="21"/>
          <w:szCs w:val="21"/>
          <w:lang w:val="en-US"/>
        </w:rPr>
        <w:lastRenderedPageBreak/>
        <w:t>the very nature of corporate crisis management) may not be ready for disclosure at the precise same time. </w:t>
      </w:r>
      <w:r w:rsidRPr="006068F3">
        <w:rPr>
          <w:rStyle w:val="eop"/>
          <w:rFonts w:ascii="Arial" w:hAnsi="Arial" w:cs="Arial"/>
          <w:sz w:val="21"/>
          <w:szCs w:val="21"/>
          <w:lang w:val="en-US"/>
        </w:rPr>
        <w:t> </w:t>
      </w:r>
    </w:p>
    <w:p w14:paraId="3BAD22EE" w14:textId="77777777" w:rsidR="004B1EF7" w:rsidRPr="006068F3" w:rsidRDefault="004B1EF7" w:rsidP="006068F3">
      <w:pPr>
        <w:pStyle w:val="paragraph"/>
        <w:spacing w:before="0" w:beforeAutospacing="0" w:after="0" w:afterAutospacing="0"/>
        <w:textAlignment w:val="baseline"/>
        <w:rPr>
          <w:rFonts w:ascii="Segoe UI" w:hAnsi="Segoe UI" w:cs="Segoe UI"/>
          <w:sz w:val="18"/>
          <w:szCs w:val="18"/>
          <w:lang w:val="en-US"/>
        </w:rPr>
      </w:pPr>
    </w:p>
    <w:p w14:paraId="34489DFE" w14:textId="77777777" w:rsidR="006068F3" w:rsidRPr="006068F3" w:rsidRDefault="006068F3" w:rsidP="006068F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1"/>
          <w:szCs w:val="21"/>
          <w:lang w:val="en-US"/>
        </w:rPr>
        <w:t>Interim report preparations reveal a deviation from market expectations in a business area of an issuer that is significant enough to qualify as inside information. Other business areas of the issuer are not as advanced in preparations, but the deviation may be partly offset by the other areas on an aggregated level. An immediate disclosure of the inside information (which will then need to focus on the deviation, as remaining information do not yet have disclosure quality) and the interim report following shortly thereafter may well confuse the market, rather than keeping it up to date </w:t>
      </w:r>
      <w:proofErr w:type="gramStart"/>
      <w:r>
        <w:rPr>
          <w:rStyle w:val="normaltextrun"/>
          <w:rFonts w:ascii="Arial" w:hAnsi="Arial" w:cs="Arial"/>
          <w:sz w:val="21"/>
          <w:szCs w:val="21"/>
          <w:lang w:val="en-US"/>
        </w:rPr>
        <w:t>at all times</w:t>
      </w:r>
      <w:proofErr w:type="gramEnd"/>
      <w:r>
        <w:rPr>
          <w:rStyle w:val="normaltextrun"/>
          <w:rFonts w:ascii="Arial" w:hAnsi="Arial" w:cs="Arial"/>
          <w:sz w:val="21"/>
          <w:szCs w:val="21"/>
          <w:lang w:val="en-US"/>
        </w:rPr>
        <w:t>. </w:t>
      </w:r>
      <w:r w:rsidRPr="006068F3">
        <w:rPr>
          <w:rStyle w:val="eop"/>
          <w:rFonts w:ascii="Arial" w:hAnsi="Arial" w:cs="Arial"/>
          <w:sz w:val="21"/>
          <w:szCs w:val="21"/>
          <w:lang w:val="en-US"/>
        </w:rPr>
        <w:t> </w:t>
      </w:r>
    </w:p>
    <w:p w14:paraId="2D378466" w14:textId="77777777" w:rsidR="00553E02" w:rsidRDefault="00553E02" w:rsidP="006068F3">
      <w:pPr>
        <w:pStyle w:val="paragraph"/>
        <w:spacing w:before="0" w:beforeAutospacing="0" w:after="0" w:afterAutospacing="0"/>
        <w:textAlignment w:val="baseline"/>
        <w:rPr>
          <w:rStyle w:val="normaltextrun"/>
          <w:rFonts w:ascii="Arial" w:hAnsi="Arial" w:cs="Arial"/>
          <w:sz w:val="21"/>
          <w:szCs w:val="21"/>
          <w:lang w:val="en-US"/>
        </w:rPr>
      </w:pPr>
    </w:p>
    <w:p w14:paraId="60E1F403" w14:textId="6AADA27D" w:rsidR="006068F3" w:rsidRDefault="006068F3" w:rsidP="006068F3">
      <w:pPr>
        <w:pStyle w:val="paragraph"/>
        <w:spacing w:before="0" w:beforeAutospacing="0" w:after="0" w:afterAutospacing="0"/>
        <w:textAlignment w:val="baseline"/>
        <w:rPr>
          <w:rStyle w:val="eop"/>
          <w:rFonts w:ascii="Arial" w:hAnsi="Arial" w:cs="Arial"/>
          <w:sz w:val="21"/>
          <w:szCs w:val="21"/>
          <w:lang w:val="en-US"/>
        </w:rPr>
      </w:pPr>
      <w:r>
        <w:rPr>
          <w:rStyle w:val="normaltextrun"/>
          <w:rFonts w:ascii="Arial" w:hAnsi="Arial" w:cs="Arial"/>
          <w:sz w:val="21"/>
          <w:szCs w:val="21"/>
          <w:lang w:val="en-US"/>
        </w:rPr>
        <w:t>In the above examples the correct choice from a market functioning standpoint is probably to delay disclosure for a very short period, and then approach the market with a more comprehensive release. However, the reasons for doing so may not fit neatly under current Art 17.4 conditions, as they can link more to market expectations (where e.g. disclosure of interim reports on pre-announced days are clearly favored among investors) or the market’s capacity to deal with unexpected and complex information (where e.g. sequential disclosures on the same subject in a short timespan may create an unclear picture and perceptions of biased or unfair trading). </w:t>
      </w:r>
      <w:r w:rsidRPr="006068F3">
        <w:rPr>
          <w:rStyle w:val="eop"/>
          <w:rFonts w:ascii="Arial" w:hAnsi="Arial" w:cs="Arial"/>
          <w:sz w:val="21"/>
          <w:szCs w:val="21"/>
          <w:lang w:val="en-US"/>
        </w:rPr>
        <w:t> </w:t>
      </w:r>
    </w:p>
    <w:p w14:paraId="3B7974B6" w14:textId="77777777" w:rsidR="004B1EF7" w:rsidRPr="006068F3" w:rsidRDefault="004B1EF7" w:rsidP="006068F3">
      <w:pPr>
        <w:pStyle w:val="paragraph"/>
        <w:spacing w:before="0" w:beforeAutospacing="0" w:after="0" w:afterAutospacing="0"/>
        <w:textAlignment w:val="baseline"/>
        <w:rPr>
          <w:rFonts w:ascii="Segoe UI" w:hAnsi="Segoe UI" w:cs="Segoe UI"/>
          <w:sz w:val="18"/>
          <w:szCs w:val="18"/>
          <w:lang w:val="en-US"/>
        </w:rPr>
      </w:pPr>
    </w:p>
    <w:p w14:paraId="3C3E0AA9" w14:textId="5CD09332" w:rsidR="00646C30" w:rsidRDefault="006068F3" w:rsidP="00646C30">
      <w:r>
        <w:rPr>
          <w:rStyle w:val="normaltextrun"/>
          <w:rFonts w:cs="Arial"/>
          <w:sz w:val="21"/>
          <w:szCs w:val="21"/>
          <w:lang w:val="en-US"/>
        </w:rPr>
        <w:t xml:space="preserve">Other examples are negotiations with </w:t>
      </w:r>
      <w:r w:rsidRPr="00235774">
        <w:rPr>
          <w:rStyle w:val="normaltextrun"/>
          <w:rFonts w:cs="Arial"/>
          <w:sz w:val="21"/>
          <w:szCs w:val="21"/>
          <w:lang w:val="en-US"/>
        </w:rPr>
        <w:t>potential customers or suppliers</w:t>
      </w:r>
      <w:r w:rsidR="00D07B42" w:rsidRPr="00235774">
        <w:rPr>
          <w:rStyle w:val="normaltextrun"/>
          <w:rFonts w:cs="Arial"/>
          <w:sz w:val="21"/>
          <w:szCs w:val="21"/>
          <w:lang w:val="en-US"/>
        </w:rPr>
        <w:t xml:space="preserve"> where it can be difficult to determine when the information becomes insider information.</w:t>
      </w:r>
      <w:r w:rsidRPr="00235774">
        <w:rPr>
          <w:rStyle w:val="normaltextrun"/>
          <w:rFonts w:cs="Arial"/>
          <w:sz w:val="21"/>
          <w:szCs w:val="21"/>
          <w:lang w:val="en-US"/>
        </w:rPr>
        <w:t> A premature disclosure could harm negotiations, but it </w:t>
      </w:r>
      <w:r w:rsidR="007B7889" w:rsidRPr="00235774">
        <w:rPr>
          <w:rStyle w:val="normaltextrun"/>
          <w:rFonts w:cs="Arial"/>
          <w:sz w:val="21"/>
          <w:szCs w:val="21"/>
          <w:lang w:val="en-US"/>
        </w:rPr>
        <w:t xml:space="preserve">is often </w:t>
      </w:r>
      <w:r w:rsidR="00886D92" w:rsidRPr="00235774">
        <w:rPr>
          <w:rStyle w:val="normaltextrun"/>
          <w:rFonts w:cs="Arial"/>
          <w:sz w:val="21"/>
          <w:szCs w:val="21"/>
          <w:lang w:val="en-US"/>
        </w:rPr>
        <w:t>questionable if</w:t>
      </w:r>
      <w:r w:rsidRPr="00235774">
        <w:rPr>
          <w:rStyle w:val="normaltextrun"/>
          <w:rFonts w:cs="Arial"/>
          <w:sz w:val="21"/>
          <w:szCs w:val="21"/>
          <w:lang w:val="en-US"/>
        </w:rPr>
        <w:t xml:space="preserve"> the conditions to delay disclosure are fulfilled. </w:t>
      </w:r>
      <w:r w:rsidR="00A072CB" w:rsidRPr="00235774">
        <w:rPr>
          <w:rStyle w:val="normaltextrun"/>
          <w:rFonts w:cs="Arial"/>
          <w:sz w:val="21"/>
          <w:szCs w:val="21"/>
          <w:lang w:val="en-US"/>
        </w:rPr>
        <w:t xml:space="preserve">Discussions regarding the replacement of </w:t>
      </w:r>
      <w:r w:rsidRPr="00235774">
        <w:rPr>
          <w:rStyle w:val="normaltextrun"/>
          <w:rFonts w:cs="Arial"/>
          <w:sz w:val="21"/>
          <w:szCs w:val="21"/>
          <w:lang w:val="en-US"/>
        </w:rPr>
        <w:t>a CEO or board member is also complicated</w:t>
      </w:r>
      <w:r w:rsidR="00964235" w:rsidRPr="00235774">
        <w:rPr>
          <w:rStyle w:val="normaltextrun"/>
          <w:rFonts w:cs="Arial"/>
          <w:sz w:val="21"/>
          <w:szCs w:val="21"/>
          <w:lang w:val="en-US"/>
        </w:rPr>
        <w:t xml:space="preserve"> under current MAR regulations</w:t>
      </w:r>
      <w:r w:rsidRPr="00235774">
        <w:rPr>
          <w:rStyle w:val="normaltextrun"/>
          <w:rFonts w:cs="Arial"/>
          <w:sz w:val="21"/>
          <w:szCs w:val="21"/>
          <w:lang w:val="en-US"/>
        </w:rPr>
        <w:t xml:space="preserve">.  </w:t>
      </w:r>
      <w:r w:rsidR="002C0BBD" w:rsidRPr="00235774">
        <w:rPr>
          <w:rStyle w:val="normaltextrun"/>
          <w:rFonts w:cs="Arial"/>
          <w:sz w:val="21"/>
          <w:szCs w:val="21"/>
          <w:lang w:val="en-US"/>
        </w:rPr>
        <w:t xml:space="preserve">To what extent can </w:t>
      </w:r>
      <w:r w:rsidR="00513762" w:rsidRPr="00235774">
        <w:rPr>
          <w:rStyle w:val="normaltextrun"/>
          <w:rFonts w:cs="Arial"/>
          <w:sz w:val="21"/>
          <w:szCs w:val="21"/>
          <w:lang w:val="en-US"/>
        </w:rPr>
        <w:t xml:space="preserve">the board </w:t>
      </w:r>
      <w:r w:rsidRPr="00235774">
        <w:rPr>
          <w:rStyle w:val="normaltextrun"/>
          <w:rFonts w:cs="Arial"/>
          <w:sz w:val="21"/>
          <w:szCs w:val="21"/>
          <w:lang w:val="en-US"/>
        </w:rPr>
        <w:t>discuss the matter and/or contact potential candidates before disclosing information about the fact that the CEO/board member will be replaced? In our opinion</w:t>
      </w:r>
      <w:r w:rsidR="00513762" w:rsidRPr="00235774">
        <w:rPr>
          <w:rStyle w:val="normaltextrun"/>
          <w:rFonts w:cs="Arial"/>
          <w:sz w:val="21"/>
          <w:szCs w:val="21"/>
          <w:lang w:val="en-US"/>
        </w:rPr>
        <w:t xml:space="preserve"> there is a need to </w:t>
      </w:r>
      <w:r w:rsidR="00260A26" w:rsidRPr="00235774">
        <w:rPr>
          <w:rStyle w:val="normaltextrun"/>
          <w:rFonts w:cs="Arial"/>
          <w:sz w:val="21"/>
          <w:szCs w:val="21"/>
          <w:lang w:val="en-US"/>
        </w:rPr>
        <w:t xml:space="preserve">review or </w:t>
      </w:r>
      <w:r w:rsidR="001544DF" w:rsidRPr="00235774">
        <w:rPr>
          <w:rStyle w:val="normaltextrun"/>
          <w:rFonts w:cs="Arial"/>
          <w:sz w:val="21"/>
          <w:szCs w:val="21"/>
          <w:lang w:val="en-US"/>
        </w:rPr>
        <w:t xml:space="preserve">clarify what constitutes </w:t>
      </w:r>
      <w:proofErr w:type="spellStart"/>
      <w:r w:rsidR="001544DF" w:rsidRPr="00235774">
        <w:rPr>
          <w:rStyle w:val="normaltextrun"/>
          <w:rFonts w:cs="Arial"/>
          <w:i/>
          <w:sz w:val="21"/>
          <w:szCs w:val="21"/>
          <w:lang w:val="en-US"/>
        </w:rPr>
        <w:t>legimate</w:t>
      </w:r>
      <w:proofErr w:type="spellEnd"/>
      <w:r w:rsidR="001544DF" w:rsidRPr="00235774">
        <w:rPr>
          <w:rStyle w:val="normaltextrun"/>
          <w:rFonts w:cs="Arial"/>
          <w:i/>
          <w:sz w:val="21"/>
          <w:szCs w:val="21"/>
          <w:lang w:val="en-US"/>
        </w:rPr>
        <w:t xml:space="preserve"> interests of the issuer</w:t>
      </w:r>
      <w:r w:rsidR="000A79BB" w:rsidRPr="00235774">
        <w:rPr>
          <w:rStyle w:val="normaltextrun"/>
          <w:rFonts w:cs="Arial"/>
          <w:i/>
          <w:sz w:val="21"/>
          <w:szCs w:val="21"/>
          <w:lang w:val="en-US"/>
        </w:rPr>
        <w:t>,</w:t>
      </w:r>
      <w:r w:rsidR="00F564AC" w:rsidRPr="00235774">
        <w:rPr>
          <w:rStyle w:val="normaltextrun"/>
          <w:rFonts w:cs="Arial"/>
          <w:i/>
          <w:sz w:val="21"/>
          <w:szCs w:val="21"/>
          <w:lang w:val="en-US"/>
        </w:rPr>
        <w:t xml:space="preserve"> </w:t>
      </w:r>
      <w:r w:rsidR="00F564AC" w:rsidRPr="00235774">
        <w:rPr>
          <w:rStyle w:val="normaltextrun"/>
          <w:rFonts w:cs="Arial"/>
          <w:sz w:val="21"/>
          <w:szCs w:val="21"/>
          <w:lang w:val="en-US"/>
        </w:rPr>
        <w:t>and if th</w:t>
      </w:r>
      <w:r w:rsidR="000A79BB" w:rsidRPr="00235774">
        <w:rPr>
          <w:rStyle w:val="normaltextrun"/>
          <w:rFonts w:cs="Arial"/>
          <w:sz w:val="21"/>
          <w:szCs w:val="21"/>
          <w:lang w:val="en-US"/>
        </w:rPr>
        <w:t xml:space="preserve">is notion could be wider </w:t>
      </w:r>
      <w:proofErr w:type="gramStart"/>
      <w:r w:rsidR="000A79BB" w:rsidRPr="00235774">
        <w:rPr>
          <w:rStyle w:val="normaltextrun"/>
          <w:rFonts w:cs="Arial"/>
          <w:sz w:val="21"/>
          <w:szCs w:val="21"/>
          <w:lang w:val="en-US"/>
        </w:rPr>
        <w:t xml:space="preserve">as </w:t>
      </w:r>
      <w:r w:rsidRPr="00235774">
        <w:rPr>
          <w:rStyle w:val="advancedproofingissue"/>
          <w:rFonts w:cs="Arial"/>
          <w:sz w:val="21"/>
          <w:szCs w:val="21"/>
          <w:lang w:val="en-US"/>
        </w:rPr>
        <w:t>long as</w:t>
      </w:r>
      <w:proofErr w:type="gramEnd"/>
      <w:r w:rsidRPr="00235774">
        <w:rPr>
          <w:rStyle w:val="normaltextrun"/>
          <w:rFonts w:cs="Arial"/>
          <w:sz w:val="21"/>
          <w:szCs w:val="21"/>
          <w:lang w:val="en-US"/>
        </w:rPr>
        <w:t xml:space="preserve"> the </w:t>
      </w:r>
      <w:r w:rsidR="000A79BB" w:rsidRPr="00235774">
        <w:rPr>
          <w:rStyle w:val="normaltextrun"/>
          <w:rFonts w:cs="Arial"/>
          <w:sz w:val="21"/>
          <w:szCs w:val="21"/>
          <w:lang w:val="en-US"/>
        </w:rPr>
        <w:t xml:space="preserve">company can make sure that </w:t>
      </w:r>
      <w:r w:rsidRPr="00235774">
        <w:rPr>
          <w:rStyle w:val="normaltextrun"/>
          <w:rFonts w:cs="Arial"/>
          <w:sz w:val="21"/>
          <w:szCs w:val="21"/>
          <w:lang w:val="en-US"/>
        </w:rPr>
        <w:t xml:space="preserve">information can be kept confidential. </w:t>
      </w:r>
      <w:r w:rsidR="0073439C" w:rsidRPr="00235774">
        <w:rPr>
          <w:rStyle w:val="normaltextrun"/>
          <w:rFonts w:cs="Arial"/>
          <w:sz w:val="21"/>
          <w:szCs w:val="21"/>
          <w:lang w:val="en-US"/>
        </w:rPr>
        <w:t xml:space="preserve">With regards to </w:t>
      </w:r>
      <w:r w:rsidR="003C163A" w:rsidRPr="00235774">
        <w:rPr>
          <w:rStyle w:val="normaltextrun"/>
          <w:rFonts w:cs="Arial"/>
          <w:sz w:val="21"/>
          <w:szCs w:val="21"/>
          <w:lang w:val="en-US"/>
        </w:rPr>
        <w:t>the requirement that disclosure can</w:t>
      </w:r>
      <w:r w:rsidR="00F10B64" w:rsidRPr="00235774">
        <w:rPr>
          <w:rStyle w:val="normaltextrun"/>
          <w:rFonts w:cs="Arial"/>
          <w:sz w:val="21"/>
          <w:szCs w:val="21"/>
          <w:lang w:val="en-US"/>
        </w:rPr>
        <w:t xml:space="preserve"> only be </w:t>
      </w:r>
      <w:r w:rsidR="003C163A" w:rsidRPr="00235774">
        <w:rPr>
          <w:rStyle w:val="normaltextrun"/>
          <w:rFonts w:cs="Arial"/>
          <w:sz w:val="21"/>
          <w:szCs w:val="21"/>
          <w:lang w:val="en-US"/>
        </w:rPr>
        <w:t>delayed</w:t>
      </w:r>
      <w:r w:rsidR="00F10B64" w:rsidRPr="00235774">
        <w:rPr>
          <w:rStyle w:val="normaltextrun"/>
          <w:rFonts w:cs="Arial"/>
          <w:sz w:val="21"/>
          <w:szCs w:val="21"/>
          <w:lang w:val="en-US"/>
        </w:rPr>
        <w:t xml:space="preserve"> if it is not likely to mislead the public</w:t>
      </w:r>
      <w:r w:rsidR="0036176D" w:rsidRPr="00235774">
        <w:rPr>
          <w:rStyle w:val="normaltextrun"/>
          <w:rFonts w:cs="Arial"/>
          <w:sz w:val="21"/>
          <w:szCs w:val="21"/>
          <w:lang w:val="en-US"/>
        </w:rPr>
        <w:t xml:space="preserve">, we want to </w:t>
      </w:r>
      <w:proofErr w:type="spellStart"/>
      <w:r w:rsidR="0036176D" w:rsidRPr="00235774">
        <w:rPr>
          <w:rStyle w:val="normaltextrun"/>
          <w:rFonts w:cs="Arial"/>
          <w:sz w:val="21"/>
          <w:szCs w:val="21"/>
          <w:lang w:val="en-US"/>
        </w:rPr>
        <w:t>empasise</w:t>
      </w:r>
      <w:proofErr w:type="spellEnd"/>
      <w:r w:rsidR="0036176D" w:rsidRPr="00235774">
        <w:rPr>
          <w:rStyle w:val="normaltextrun"/>
          <w:rFonts w:cs="Arial"/>
          <w:sz w:val="21"/>
          <w:szCs w:val="21"/>
          <w:lang w:val="en-US"/>
        </w:rPr>
        <w:t xml:space="preserve"> again that disclosing </w:t>
      </w:r>
      <w:r w:rsidRPr="00235774">
        <w:rPr>
          <w:rStyle w:val="normaltextrun"/>
          <w:rFonts w:cs="Arial"/>
          <w:sz w:val="21"/>
          <w:szCs w:val="21"/>
          <w:lang w:val="en-US"/>
        </w:rPr>
        <w:t>insider information at a very early stage can </w:t>
      </w:r>
      <w:r w:rsidR="00F24E99" w:rsidRPr="00235774">
        <w:rPr>
          <w:rStyle w:val="normaltextrun"/>
          <w:rFonts w:cs="Arial"/>
          <w:sz w:val="21"/>
          <w:szCs w:val="21"/>
          <w:lang w:val="en-US"/>
        </w:rPr>
        <w:t xml:space="preserve">also be </w:t>
      </w:r>
      <w:r w:rsidRPr="00235774">
        <w:rPr>
          <w:rStyle w:val="normaltextrun"/>
          <w:rFonts w:cs="Arial"/>
          <w:sz w:val="21"/>
          <w:szCs w:val="21"/>
          <w:lang w:val="en-US"/>
        </w:rPr>
        <w:t>mislead</w:t>
      </w:r>
      <w:r w:rsidR="00F24E99" w:rsidRPr="00235774">
        <w:rPr>
          <w:rStyle w:val="normaltextrun"/>
          <w:rFonts w:cs="Arial"/>
          <w:sz w:val="21"/>
          <w:szCs w:val="21"/>
          <w:lang w:val="en-US"/>
        </w:rPr>
        <w:t>ing to the public</w:t>
      </w:r>
      <w:r w:rsidRPr="00F24E99">
        <w:rPr>
          <w:rStyle w:val="normaltextrun"/>
          <w:rFonts w:cs="Arial"/>
          <w:color w:val="FF0000"/>
          <w:sz w:val="21"/>
          <w:szCs w:val="21"/>
          <w:lang w:val="en-US"/>
        </w:rPr>
        <w:t>.</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0C6FF4B9" w:rsidR="00646C30" w:rsidRDefault="00DC73B2" w:rsidP="00646C30">
      <w:permStart w:id="1678079242" w:edGrp="everyone"/>
      <w:r>
        <w:rPr>
          <w:rStyle w:val="normaltextrun"/>
          <w:rFonts w:cs="Arial"/>
          <w:color w:val="000000"/>
          <w:sz w:val="21"/>
          <w:szCs w:val="21"/>
          <w:shd w:val="clear" w:color="auto" w:fill="FFFFFF"/>
          <w:lang w:val="en-US"/>
        </w:rPr>
        <w:t>In practice, Art. 17 and </w:t>
      </w:r>
      <w:proofErr w:type="gramStart"/>
      <w:r>
        <w:rPr>
          <w:rStyle w:val="advancedproofingissue"/>
          <w:rFonts w:cs="Arial"/>
          <w:color w:val="000000"/>
          <w:sz w:val="21"/>
          <w:szCs w:val="21"/>
          <w:shd w:val="clear" w:color="auto" w:fill="FFFFFF"/>
          <w:lang w:val="en-US"/>
        </w:rPr>
        <w:t>in particular 17.4</w:t>
      </w:r>
      <w:proofErr w:type="gramEnd"/>
      <w:r>
        <w:rPr>
          <w:rStyle w:val="normaltextrun"/>
          <w:rFonts w:cs="Arial"/>
          <w:color w:val="000000"/>
          <w:sz w:val="21"/>
          <w:szCs w:val="21"/>
          <w:shd w:val="clear" w:color="auto" w:fill="FFFFFF"/>
          <w:lang w:val="en-US"/>
        </w:rPr>
        <w:t> (c) already provides a requirement for having systems and controls for e.g. handling of inside information. In addition, systems for identifying and disclosing inside information are also part of most</w:t>
      </w:r>
      <w:r w:rsidR="007A045B">
        <w:rPr>
          <w:rStyle w:val="normaltextrun"/>
          <w:rFonts w:cs="Arial"/>
          <w:color w:val="000000"/>
          <w:sz w:val="21"/>
          <w:szCs w:val="21"/>
          <w:shd w:val="clear" w:color="auto" w:fill="FFFFFF"/>
          <w:lang w:val="en-US"/>
        </w:rPr>
        <w:t>,</w:t>
      </w:r>
      <w:r>
        <w:rPr>
          <w:rStyle w:val="normaltextrun"/>
          <w:rFonts w:cs="Arial"/>
          <w:color w:val="000000"/>
          <w:sz w:val="21"/>
          <w:szCs w:val="21"/>
          <w:shd w:val="clear" w:color="auto" w:fill="FFFFFF"/>
          <w:lang w:val="en-US"/>
        </w:rPr>
        <w:t xml:space="preserve"> if not all</w:t>
      </w:r>
      <w:r w:rsidR="007A045B">
        <w:rPr>
          <w:rStyle w:val="normaltextrun"/>
          <w:rFonts w:cs="Arial"/>
          <w:color w:val="000000"/>
          <w:sz w:val="21"/>
          <w:szCs w:val="21"/>
          <w:shd w:val="clear" w:color="auto" w:fill="FFFFFF"/>
          <w:lang w:val="en-US"/>
        </w:rPr>
        <w:t>,</w:t>
      </w:r>
      <w:r>
        <w:rPr>
          <w:rStyle w:val="normaltextrun"/>
          <w:rFonts w:cs="Arial"/>
          <w:color w:val="000000"/>
          <w:sz w:val="21"/>
          <w:szCs w:val="21"/>
          <w:shd w:val="clear" w:color="auto" w:fill="FFFFFF"/>
          <w:lang w:val="en-US"/>
        </w:rPr>
        <w:t xml:space="preserve"> listed issuers’ governance infrastructure and/or </w:t>
      </w:r>
      <w:r>
        <w:rPr>
          <w:rStyle w:val="normaltextrun"/>
          <w:rFonts w:cs="Arial"/>
          <w:color w:val="000000"/>
          <w:sz w:val="21"/>
          <w:szCs w:val="21"/>
          <w:shd w:val="clear" w:color="auto" w:fill="FFFFFF"/>
          <w:lang w:val="en"/>
        </w:rPr>
        <w:t>a requirement </w:t>
      </w:r>
      <w:r w:rsidR="00645865">
        <w:rPr>
          <w:rStyle w:val="normaltextrun"/>
          <w:rFonts w:cs="Arial"/>
          <w:color w:val="000000"/>
          <w:sz w:val="21"/>
          <w:szCs w:val="21"/>
          <w:shd w:val="clear" w:color="auto" w:fill="FFFFFF"/>
          <w:lang w:val="en"/>
        </w:rPr>
        <w:t>by the listing venue</w:t>
      </w:r>
      <w:r>
        <w:rPr>
          <w:rStyle w:val="normaltextrun"/>
          <w:rFonts w:cs="Arial"/>
          <w:color w:val="000000"/>
          <w:sz w:val="21"/>
          <w:szCs w:val="21"/>
          <w:shd w:val="clear" w:color="auto" w:fill="FFFFFF"/>
          <w:lang w:val="en"/>
        </w:rPr>
        <w:t>s. </w:t>
      </w:r>
      <w:r>
        <w:rPr>
          <w:rStyle w:val="normaltextrun"/>
          <w:rFonts w:cs="Arial"/>
          <w:color w:val="000000"/>
          <w:sz w:val="21"/>
          <w:szCs w:val="21"/>
          <w:shd w:val="clear" w:color="auto" w:fill="FFFFFF"/>
          <w:lang w:val="en-US"/>
        </w:rPr>
        <w:t>Hence, a systems and controls requirement may not bring much change to already established practices </w:t>
      </w:r>
      <w:r>
        <w:rPr>
          <w:rStyle w:val="normaltextrun"/>
          <w:rFonts w:cs="Arial"/>
          <w:color w:val="000000"/>
          <w:sz w:val="21"/>
          <w:szCs w:val="21"/>
          <w:shd w:val="clear" w:color="auto" w:fill="FFFFFF"/>
          <w:lang w:val="en"/>
        </w:rPr>
        <w:t>and will not make it easier for the companies to handle insider information.</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16D2D2B0" w:rsidR="00646C30" w:rsidRPr="001B1187" w:rsidRDefault="00FC6711" w:rsidP="00646C30">
      <w:pPr>
        <w:rPr>
          <w:color w:val="FF0000"/>
        </w:rPr>
      </w:pPr>
      <w:permStart w:id="266360711" w:edGrp="everyone"/>
      <w:r w:rsidRPr="00FC6711">
        <w:lastRenderedPageBreak/>
        <w:t xml:space="preserve">Preparation of financial reports is one </w:t>
      </w:r>
      <w:r w:rsidRPr="00F160F4">
        <w:t>example. When does the information you compile become sufficiently concrete to consider the work material as inside information?</w:t>
      </w:r>
      <w:r w:rsidR="001B1187" w:rsidRPr="00F160F4">
        <w:t xml:space="preserve"> Another example is business negotiations</w:t>
      </w:r>
      <w:r w:rsidR="00F817D0" w:rsidRPr="00F160F4">
        <w:t xml:space="preserve">, </w:t>
      </w:r>
      <w:r w:rsidR="00196B17" w:rsidRPr="00F160F4">
        <w:t>at what stage</w:t>
      </w:r>
      <w:r w:rsidR="005C7375" w:rsidRPr="00F160F4">
        <w:t xml:space="preserve"> </w:t>
      </w:r>
      <w:r w:rsidR="004844B5" w:rsidRPr="00F160F4">
        <w:t xml:space="preserve">can </w:t>
      </w:r>
      <w:r w:rsidR="008979D2" w:rsidRPr="00F160F4">
        <w:t>the negotiations</w:t>
      </w:r>
      <w:r w:rsidR="004844B5" w:rsidRPr="00F160F4">
        <w:t xml:space="preserve"> reasonably be expected to </w:t>
      </w:r>
      <w:r w:rsidR="00DF3810" w:rsidRPr="00F160F4">
        <w:t>lead to an agreement</w:t>
      </w:r>
      <w:r w:rsidR="00196B17" w:rsidRPr="00F160F4">
        <w:t xml:space="preserve"> and what circumstances should be considered as intermediate steps and thus be disclosed?</w:t>
      </w:r>
    </w:p>
    <w:permEnd w:id="266360711"/>
    <w:p w14:paraId="4335EE39" w14:textId="77777777" w:rsidR="00646C30" w:rsidRDefault="00646C30" w:rsidP="00646C30"/>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28800609" w:rsidR="00646C30" w:rsidRDefault="00E705E2" w:rsidP="00646C30">
      <w:permStart w:id="1420902335" w:edGrp="everyone"/>
      <w:r w:rsidRPr="00E705E2">
        <w:t xml:space="preserve">We understand that ESMA want to receive more information regarding delayed disclosure of inside </w:t>
      </w:r>
      <w:r w:rsidRPr="00F160F4">
        <w:t xml:space="preserve">information which was never published because of the information ceased to be deemed insider information. </w:t>
      </w:r>
      <w:r w:rsidR="000F65EE" w:rsidRPr="00F160F4">
        <w:t>However, t</w:t>
      </w:r>
      <w:r w:rsidRPr="00F160F4">
        <w:t xml:space="preserve">he additional administrative burden </w:t>
      </w:r>
      <w:r w:rsidR="000F65EE" w:rsidRPr="00F160F4">
        <w:t xml:space="preserve">this would </w:t>
      </w:r>
      <w:r w:rsidRPr="00F160F4">
        <w:t xml:space="preserve">put on the issuer does seem to outweigh the use of it for either supervisory purposes or investigative purposes. In the latter case it should be </w:t>
      </w:r>
      <w:proofErr w:type="gramStart"/>
      <w:r w:rsidRPr="00F160F4">
        <w:t>sufficient</w:t>
      </w:r>
      <w:proofErr w:type="gramEnd"/>
      <w:r w:rsidRPr="00F160F4">
        <w:t xml:space="preserve"> with the</w:t>
      </w:r>
      <w:r w:rsidR="00634007" w:rsidRPr="00F160F4">
        <w:t xml:space="preserve"> company</w:t>
      </w:r>
      <w:r w:rsidR="00C7145D" w:rsidRPr="00F160F4">
        <w:t>’s</w:t>
      </w:r>
      <w:r w:rsidRPr="00F160F4">
        <w:t xml:space="preserve"> insider list</w:t>
      </w:r>
      <w:r w:rsidRPr="00E705E2">
        <w:t xml:space="preserve">. </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6D758429" w14:textId="70401B49" w:rsidR="00867428" w:rsidRDefault="00867428" w:rsidP="00893B1A">
      <w:pPr>
        <w:jc w:val="both"/>
      </w:pPr>
      <w:permStart w:id="1371158119" w:edGrp="everyone"/>
      <w:r>
        <w:lastRenderedPageBreak/>
        <w:t xml:space="preserve">In our view, MAR read in conjunction with Recital 35 supports no other interpretation than the one which, understandably, is widespread across the EU, i.e. that Article 11 of MAR is a safe harbour from Article 10 of MAR, not a stand-alone obligation. See, for example, </w:t>
      </w:r>
      <w:r>
        <w:rPr>
          <w:i/>
          <w:iCs/>
        </w:rPr>
        <w:t>Market Abuse Regulation (EU MAR) Q&amp;A (Updated 22 May 2018), Prepared by the City of London Law Society and Law Society Company Law Committees’ Joint Working Parties on Market Abuse, Share Plans and Takeovers Code</w:t>
      </w:r>
      <w:r>
        <w:t xml:space="preserve">, Part B Question 5, </w:t>
      </w:r>
      <w:proofErr w:type="spellStart"/>
      <w:r>
        <w:t>Ventoruzzo</w:t>
      </w:r>
      <w:proofErr w:type="spellEnd"/>
      <w:r>
        <w:t xml:space="preserve"> &amp; Mock (eds.), </w:t>
      </w:r>
      <w:r>
        <w:rPr>
          <w:i/>
          <w:iCs/>
        </w:rPr>
        <w:t>Market Abuse Regulation — Commentary and Annotated Guide</w:t>
      </w:r>
      <w:r>
        <w:t xml:space="preserve">, 2017, p. 306, and </w:t>
      </w:r>
      <w:proofErr w:type="spellStart"/>
      <w:r>
        <w:t>Klöhn</w:t>
      </w:r>
      <w:proofErr w:type="spellEnd"/>
      <w:r>
        <w:t xml:space="preserve">, </w:t>
      </w:r>
      <w:proofErr w:type="spellStart"/>
      <w:r>
        <w:rPr>
          <w:i/>
          <w:iCs/>
        </w:rPr>
        <w:t>Marktmissbrauchsverordnung</w:t>
      </w:r>
      <w:proofErr w:type="spellEnd"/>
      <w:r>
        <w:t>, 2018, pp. 367, 392, 395 and 398.</w:t>
      </w:r>
    </w:p>
    <w:p w14:paraId="29B6AE75" w14:textId="77777777" w:rsidR="007E150C" w:rsidRDefault="007E150C" w:rsidP="00893B1A">
      <w:pPr>
        <w:jc w:val="both"/>
      </w:pPr>
    </w:p>
    <w:p w14:paraId="505C10C7" w14:textId="3D7F4D8C" w:rsidR="00867428" w:rsidRDefault="00867428" w:rsidP="00893B1A">
      <w:pPr>
        <w:jc w:val="both"/>
      </w:pPr>
      <w:r>
        <w:t>In addition, the “main goal” of introducing the market sounding provisions in MAR was not to ensure “the possibility for NCAs to obtain a full audit trail”. The purpose, as set out in Recital 35, was to provide a safe harbour and thereby to encourage market participants to adopt stringent processes for market sounding, largely in line with was already market practice in Europe before MAR.</w:t>
      </w:r>
    </w:p>
    <w:p w14:paraId="57CECF1F" w14:textId="77777777" w:rsidR="004B1EF7" w:rsidRDefault="004B1EF7" w:rsidP="00893B1A">
      <w:pPr>
        <w:jc w:val="both"/>
      </w:pPr>
    </w:p>
    <w:p w14:paraId="76FC941B" w14:textId="77777777" w:rsidR="00867428" w:rsidRDefault="00867428" w:rsidP="00893B1A">
      <w:pPr>
        <w:jc w:val="both"/>
      </w:pPr>
      <w:r>
        <w:t xml:space="preserve">To our understanding, and in our experience, Article 11 is very frequently complied with by professional advisers (banks, etc.) when carrying out market soundings in behalf of clients. Sometimes minor deviations are made, as and when prompted by the circumstances, including practical and technical realities. As mentioned, complying with market sounding (wall-crossing) procedures largely in line with Article 11 was market practice already before MAR. </w:t>
      </w:r>
    </w:p>
    <w:p w14:paraId="52CACCA3" w14:textId="77777777" w:rsidR="00867428" w:rsidRDefault="00867428" w:rsidP="00893B1A">
      <w:pPr>
        <w:jc w:val="both"/>
      </w:pPr>
    </w:p>
    <w:p w14:paraId="49197ABB" w14:textId="33ECBB3E" w:rsidR="00867428" w:rsidRDefault="00867428" w:rsidP="00893B1A">
      <w:pPr>
        <w:jc w:val="both"/>
      </w:pPr>
      <w:r>
        <w:t>However, there are no doubt situations where the highly formalised procedures set out in Article 11 are not capable of being fully complied with. This is largely they case when issuers and potential takeover bidders act on their own behalf and not through advisers. For example, if the issuer wishes to sound its largest shareholder (say, a long-term family office or private, industrial holding company) ahead of a potential capital raise (for example, a rights offering), this would typically be done by way of the issuer’s chairman or CEO meeting or telephonically speaking with the chairman or CEO of the owner to discuss the matter at hand. Clearly, such a discussion cannot be commenced by the issuer chairman reading a formalised sounding script to the other individual. Several other scenarios can easily be laid out, illustrating why Article 11 cannot be made obligatory. Not least, if Article 11 were amended accordingly, many completely legitimate discrete approaches ahead of potential takeover bids could not take place, thereby risking that value-creating transactions will never happen.</w:t>
      </w:r>
    </w:p>
    <w:p w14:paraId="1BD81158" w14:textId="77777777" w:rsidR="004B1EF7" w:rsidRDefault="004B1EF7" w:rsidP="00893B1A">
      <w:pPr>
        <w:jc w:val="both"/>
      </w:pPr>
    </w:p>
    <w:p w14:paraId="3C3E0ACC" w14:textId="1E6588F0" w:rsidR="00646C30" w:rsidRDefault="00867428" w:rsidP="00646C30">
      <w:r>
        <w:t xml:space="preserve">Therefore, our view is that no “clarifications” along the lines of what </w:t>
      </w:r>
      <w:proofErr w:type="spellStart"/>
      <w:r>
        <w:t>Esma</w:t>
      </w:r>
      <w:proofErr w:type="spellEnd"/>
      <w:r>
        <w:t xml:space="preserve"> suggests should be made. First, they are not clarifications and, secondly, compelling reasons speak in favour of not amending MAR is these regards. Consequently, no new sanctions should be introduced either.</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4128AAE0" w:rsidR="00646C30" w:rsidRDefault="00931DFC" w:rsidP="00646C30">
      <w:permStart w:id="146477293" w:edGrp="everyone"/>
      <w:r>
        <w:t xml:space="preserve">As stated in A33 we strongly oppose to amending MAR </w:t>
      </w:r>
      <w:proofErr w:type="gramStart"/>
      <w:r>
        <w:t>so as to</w:t>
      </w:r>
      <w:proofErr w:type="gramEnd"/>
      <w:r>
        <w:t xml:space="preserve"> make Article 11 a stand-alone obligation rather than a safe harbour. However, of course, if Article 11 were to be turned into a stand-alone obligation, the scope would have to be significantly narrowed in order not to render certain legitimate sounding measures in practice illegal. One way of achieving this could be to exclude, altogether, soundings carried out by the issuer or potential takeover bidder itself as opposed to soundings carried out by its professional advisers.</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lastRenderedPageBreak/>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0A5858B5" w:rsidR="00646C30" w:rsidRDefault="00A562DE" w:rsidP="00646C30">
      <w:permStart w:id="427762830" w:edGrp="everyone"/>
      <w:r w:rsidRPr="00A562DE">
        <w:t>Because Article 11 of MAR is a safe harbour, not a stand-alone obligation (see A33), the highly formalised procedures prescribed in Article 11 are not necessarily problematic. However, understandably, some financial advisers frequently conducting market soundings on behalf of clients may wish to adopt a policy to the effect that Article 11 should always be strictly complied with so that the adviser always stays in the safe harbour. This causes an inflexible practice where the focus is on satisfying detailed formal requirements rather than applying sound judgement and due care. We believe MAR would benefit from the inclusion of a clarification to the effect that market soundings carried out wholly or partly outside Article 11 are entirely permissible, but that a cautious and careful approach should of course always be taken when disclosing inside information so that the action taken does not amount to a breach of Article 10.</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176737D5" w:rsidR="00646C30" w:rsidRDefault="004161D0" w:rsidP="00646C30">
      <w:permStart w:id="2098217667" w:edGrp="everyone"/>
      <w:r w:rsidRPr="004161D0">
        <w:t xml:space="preserve">See </w:t>
      </w:r>
      <w:r>
        <w:t xml:space="preserve">answer on question </w:t>
      </w:r>
      <w:r w:rsidRPr="004161D0">
        <w:t>37</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4568FA37" w14:textId="5B306F5F" w:rsidR="001F33FE" w:rsidRDefault="001F33FE" w:rsidP="001F33FE">
      <w:permStart w:id="1933056180" w:edGrp="everyone"/>
      <w:r>
        <w:t>We agree with ESMA’s preliminary view regarding the usefulness of an insider list allowing NCAs to identify who has access to inside information and the relevant timeline, which is of great value in insider investigations.</w:t>
      </w:r>
    </w:p>
    <w:p w14:paraId="6C2D80A7" w14:textId="77777777" w:rsidR="001F33FE" w:rsidRDefault="001F33FE" w:rsidP="001F33FE"/>
    <w:p w14:paraId="6753F069" w14:textId="7AB694D2" w:rsidR="001F33FE" w:rsidRDefault="001F33FE" w:rsidP="001F33FE">
      <w:r>
        <w:t xml:space="preserve">The insider list is also helpful for issuers and others to manage the flows and confidentiality of inside information. </w:t>
      </w:r>
    </w:p>
    <w:p w14:paraId="49782D81" w14:textId="77777777" w:rsidR="001F33FE" w:rsidRDefault="001F33FE" w:rsidP="001F33FE"/>
    <w:p w14:paraId="1A3AE395" w14:textId="463074B7" w:rsidR="001F33FE" w:rsidRDefault="001F33FE" w:rsidP="001F33FE">
      <w:r>
        <w:t xml:space="preserve">We have doubts regarding the usefulness of the permanent insider list. In addition to </w:t>
      </w:r>
      <w:r w:rsidR="0079667B">
        <w:t>be</w:t>
      </w:r>
      <w:r>
        <w:t xml:space="preserve"> a tool for inside investigations and a way for companies to manage insider information, </w:t>
      </w:r>
      <w:r w:rsidR="0079667B">
        <w:t xml:space="preserve">an </w:t>
      </w:r>
      <w:r>
        <w:t xml:space="preserve">event driven insider list will have a preventive effect on the people included in the list. A permanent list will not have the same effect. </w:t>
      </w:r>
    </w:p>
    <w:p w14:paraId="46429B0F" w14:textId="77777777" w:rsidR="00F669F8" w:rsidRDefault="00F669F8" w:rsidP="00646C30"/>
    <w:p w14:paraId="3C3E0AEA" w14:textId="532B75B5" w:rsidR="00646C30" w:rsidRDefault="001F33FE" w:rsidP="00646C30">
      <w:r>
        <w:t>However, too much information is included in insider list</w:t>
      </w:r>
      <w:r w:rsidR="000D6535">
        <w:t>s</w:t>
      </w:r>
      <w:r>
        <w:t xml:space="preserve"> and results </w:t>
      </w:r>
      <w:r w:rsidRPr="00CC5186">
        <w:t xml:space="preserve">in a </w:t>
      </w:r>
      <w:r w:rsidR="003353EC" w:rsidRPr="00CC5186">
        <w:t xml:space="preserve">unproportionally </w:t>
      </w:r>
      <w:r w:rsidRPr="00CC5186">
        <w:t xml:space="preserve">heavy </w:t>
      </w:r>
      <w:r>
        <w:t xml:space="preserve">administrative burden and costs for issuers and others. Only relevant </w:t>
      </w:r>
      <w:r w:rsidRPr="00CC5186">
        <w:t xml:space="preserve">data </w:t>
      </w:r>
      <w:r w:rsidR="00165A13" w:rsidRPr="00CC5186">
        <w:t xml:space="preserve">to identify the persons </w:t>
      </w:r>
      <w:r w:rsidRPr="00CC5186">
        <w:t xml:space="preserve">should </w:t>
      </w:r>
      <w:r>
        <w:t xml:space="preserve">be included, and information should not be excessive in relations to the purpose of the Insider </w:t>
      </w:r>
      <w:proofErr w:type="gramStart"/>
      <w:r>
        <w:t>list.</w:t>
      </w:r>
      <w:r w:rsidR="00812CEB">
        <w:rPr>
          <w:color w:val="FF0000"/>
        </w:rPr>
        <w:t>.</w:t>
      </w:r>
      <w:proofErr w:type="gramEnd"/>
      <w:r w:rsidR="00FA5182">
        <w:rPr>
          <w:color w:val="FF0000"/>
        </w:rPr>
        <w:t xml:space="preserve"> </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02D49EFD" w14:textId="5BA95C08" w:rsidR="000B295D" w:rsidRDefault="000B295D" w:rsidP="000B295D">
      <w:permStart w:id="1252881600" w:edGrp="everyone"/>
      <w:r>
        <w:t xml:space="preserve">As stated above we are of the opinion that the list could be simplified. </w:t>
      </w:r>
    </w:p>
    <w:p w14:paraId="29CB07A2" w14:textId="77777777" w:rsidR="00F669F8" w:rsidRDefault="00F669F8" w:rsidP="000B295D"/>
    <w:p w14:paraId="31E408A2" w14:textId="454F8070" w:rsidR="000B295D" w:rsidRDefault="000B295D" w:rsidP="000B295D">
      <w:r>
        <w:t>Furthermore, as a more technical note, the insider list regime today requires that quite comprehensive information is collected from all persons included on the list. This is an administratively burdensome exercise, which only seem to serve the purpose of allowing identification of relevant individuals. This is possible to secure with easier means</w:t>
      </w:r>
      <w:r w:rsidR="00B43F10">
        <w:t xml:space="preserve"> </w:t>
      </w:r>
      <w:r>
        <w:t xml:space="preserve">and it might be considered to ease the administrative burdens of issuers and go back to the pre-MAR rules or, alternatively, allow issuers more freedom over which information is collected from insiders, </w:t>
      </w:r>
      <w:proofErr w:type="gramStart"/>
      <w:r>
        <w:t>as long as</w:t>
      </w:r>
      <w:proofErr w:type="gramEnd"/>
      <w:r>
        <w:t xml:space="preserve"> the identification of each of them can be secured. </w:t>
      </w:r>
    </w:p>
    <w:p w14:paraId="15FF20CE" w14:textId="779A49B0" w:rsidR="00BF3D90" w:rsidRDefault="00BF3D90" w:rsidP="000B295D"/>
    <w:p w14:paraId="142BF597" w14:textId="20291D1F" w:rsidR="000B295D" w:rsidRPr="002932C5" w:rsidRDefault="000B295D" w:rsidP="000B295D">
      <w:r w:rsidRPr="002932C5">
        <w:t>Our opinion</w:t>
      </w:r>
      <w:r w:rsidR="00397D19" w:rsidRPr="002932C5">
        <w:t xml:space="preserve"> </w:t>
      </w:r>
      <w:r w:rsidRPr="002932C5">
        <w:t xml:space="preserve">is that the usefulness of permanent insider lists is questionable. It </w:t>
      </w:r>
      <w:proofErr w:type="gramStart"/>
      <w:r w:rsidRPr="002932C5">
        <w:t>is a risk that persons included do not have all insider information at all times</w:t>
      </w:r>
      <w:proofErr w:type="gramEnd"/>
      <w:r w:rsidRPr="002932C5">
        <w:t>. If permanent insiders buy or sell shares in the company</w:t>
      </w:r>
      <w:r w:rsidR="00F0783F" w:rsidRPr="002932C5">
        <w:t xml:space="preserve"> when</w:t>
      </w:r>
      <w:r w:rsidRPr="002932C5">
        <w:t xml:space="preserve"> they do not have insider information, but others on the list have insider information, it will harm both the permanent insider and the company. Permanent insider lists are also of little value in insider investigations as they do not state when the insider got access to the relevant inside information. </w:t>
      </w:r>
      <w:r w:rsidR="00F701C0" w:rsidRPr="002932C5">
        <w:t>This</w:t>
      </w:r>
      <w:r w:rsidRPr="002932C5">
        <w:t xml:space="preserve"> might cause investigators of market abuse (competent authority or law enforcement) to have to resort to further actions to access further information of who really had access to the inside information and when. </w:t>
      </w:r>
    </w:p>
    <w:p w14:paraId="290F356A" w14:textId="77777777" w:rsidR="000B295D" w:rsidRPr="002932C5" w:rsidRDefault="000B295D" w:rsidP="000B295D"/>
    <w:p w14:paraId="3C3E0AEF" w14:textId="4CE9E302" w:rsidR="00646C30" w:rsidRDefault="000B295D" w:rsidP="00646C30">
      <w:r>
        <w:t xml:space="preserve">We are very positive to the initiative in the upcoming SME-regulation where ESMA will be tasked to develop a simplified insider list. We believe it could also be considered by the lawmakers whether it could be used for all companies. </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FEA0595" w14:textId="2072B688" w:rsidR="00BF28FE" w:rsidRPr="002932C5" w:rsidRDefault="00BF28FE" w:rsidP="00BF28FE">
      <w:permStart w:id="93392546" w:edGrp="everyone"/>
      <w:r w:rsidRPr="002932C5">
        <w:t xml:space="preserve">As mentioned above we support ESMA’s view </w:t>
      </w:r>
      <w:r w:rsidR="00C61856" w:rsidRPr="002932C5">
        <w:t xml:space="preserve">that </w:t>
      </w:r>
      <w:r w:rsidRPr="002932C5">
        <w:t xml:space="preserve">the insider lists should only include persons who </w:t>
      </w:r>
      <w:r w:rsidR="00C61856" w:rsidRPr="002932C5">
        <w:t xml:space="preserve">have </w:t>
      </w:r>
      <w:r w:rsidR="000C5892" w:rsidRPr="002932C5">
        <w:t xml:space="preserve">the possibility </w:t>
      </w:r>
      <w:r w:rsidR="00C61856" w:rsidRPr="002932C5">
        <w:t xml:space="preserve">access to </w:t>
      </w:r>
      <w:r w:rsidRPr="002932C5">
        <w:t>inside information, and not those who have</w:t>
      </w:r>
      <w:r w:rsidR="000C5892" w:rsidRPr="002932C5">
        <w:t xml:space="preserve"> not</w:t>
      </w:r>
      <w:r w:rsidRPr="002932C5">
        <w:t>. This means that permanent insider lists should not be used.</w:t>
      </w:r>
    </w:p>
    <w:p w14:paraId="404B023F" w14:textId="77777777" w:rsidR="00BF28FE" w:rsidRDefault="00BF28FE" w:rsidP="00BF28FE"/>
    <w:p w14:paraId="0FE4FB60" w14:textId="2BB22771" w:rsidR="00BF28FE" w:rsidRDefault="00BF28FE" w:rsidP="00BF28FE">
      <w:r>
        <w:t xml:space="preserve">However, to require that an insider list should contain only persons who </w:t>
      </w:r>
      <w:proofErr w:type="gramStart"/>
      <w:r>
        <w:t>actually did</w:t>
      </w:r>
      <w:proofErr w:type="gramEnd"/>
      <w:r>
        <w:t xml:space="preserve"> access inside information during a specific time period</w:t>
      </w:r>
      <w:r w:rsidR="000E2456">
        <w:t>,</w:t>
      </w:r>
      <w:r>
        <w:t xml:space="preserve"> and not only people who had the possibility to access to the information (but might not in reality have accessed it)</w:t>
      </w:r>
      <w:r w:rsidR="000E2456">
        <w:t>,</w:t>
      </w:r>
      <w:r>
        <w:t xml:space="preserve"> would lead to technical challenges and increased costs for all companies.</w:t>
      </w:r>
    </w:p>
    <w:p w14:paraId="72C6CC32" w14:textId="77777777" w:rsidR="00BF28FE" w:rsidRDefault="00BF28FE" w:rsidP="00BF28FE"/>
    <w:p w14:paraId="5E8C47F9" w14:textId="77777777" w:rsidR="00BF28FE" w:rsidRPr="00892A72" w:rsidRDefault="00BF28FE" w:rsidP="00BF28FE">
      <w:pPr>
        <w:rPr>
          <w:vanish/>
          <w:specVanish/>
        </w:rPr>
      </w:pPr>
      <w:r>
        <w:t xml:space="preserve">It might be practically impossible to track the exact time when everyone on an insider list </w:t>
      </w:r>
      <w:proofErr w:type="gramStart"/>
      <w:r>
        <w:t>actually gained</w:t>
      </w:r>
      <w:proofErr w:type="gramEnd"/>
      <w:r>
        <w:t xml:space="preserve"> access to the information. To exemplify, inside information related to e.g. an issuer’s earnings may be kept in a restricted part of the accounting system, where access is carefully monitored. It is quite easy to track </w:t>
      </w:r>
      <w:r>
        <w:lastRenderedPageBreak/>
        <w:t xml:space="preserve">when an authorized user can access such information (when the relevant figures are uploaded or compiled and unblocked), and perhaps possible to track when relevant individuals log into such system the first time after upload, but it is undoable to track when someone </w:t>
      </w:r>
      <w:proofErr w:type="gramStart"/>
      <w:r>
        <w:t>actually reads</w:t>
      </w:r>
      <w:proofErr w:type="gramEnd"/>
      <w:r>
        <w:t xml:space="preserve"> the relevant figures. To make insider lists workable, there is a need to work with potential access to a limited extent. </w:t>
      </w:r>
    </w:p>
    <w:p w14:paraId="6587B309" w14:textId="2526A875" w:rsidR="00F669F8" w:rsidRDefault="00892A72" w:rsidP="00BF28FE">
      <w:r>
        <w:t xml:space="preserve"> </w:t>
      </w:r>
    </w:p>
    <w:p w14:paraId="46B1FAD7" w14:textId="537AF7FB" w:rsidR="00BF28FE" w:rsidRPr="002932C5" w:rsidRDefault="00BF28FE" w:rsidP="00BF28FE">
      <w:r>
        <w:t xml:space="preserve">We think that the costs associated with requiring issuers to have technical solutions with some sort of “tracking” built in to be able to </w:t>
      </w:r>
      <w:r w:rsidRPr="002932C5">
        <w:t xml:space="preserve">determine who has </w:t>
      </w:r>
      <w:proofErr w:type="gramStart"/>
      <w:r w:rsidR="00CD1355" w:rsidRPr="002932C5">
        <w:t>actually read</w:t>
      </w:r>
      <w:proofErr w:type="gramEnd"/>
      <w:r w:rsidRPr="002932C5">
        <w:t xml:space="preserve"> information that they have access to would widely exceed the benefits. Especially since this would require investments in </w:t>
      </w:r>
      <w:r w:rsidR="00782544" w:rsidRPr="002932C5">
        <w:t>a multitude of</w:t>
      </w:r>
      <w:r w:rsidRPr="002932C5">
        <w:t xml:space="preserve"> systems used by the companies. Many of the Swedish listed companies are micro-cap companies, i.e. on the lower end of the scale of the SME-definition</w:t>
      </w:r>
      <w:r w:rsidR="00782544" w:rsidRPr="002932C5">
        <w:t xml:space="preserve"> and for them </w:t>
      </w:r>
      <w:r w:rsidR="004306EE" w:rsidRPr="002932C5">
        <w:t xml:space="preserve">this would </w:t>
      </w:r>
      <w:r w:rsidR="000E47A4" w:rsidRPr="002932C5">
        <w:t>mean unreasonable cos</w:t>
      </w:r>
      <w:r w:rsidR="00080EEC" w:rsidRPr="002932C5">
        <w:t>t</w:t>
      </w:r>
      <w:r w:rsidR="005F4560" w:rsidRPr="002932C5">
        <w:t>s and additional administrative burdens</w:t>
      </w:r>
      <w:r w:rsidR="00080EEC" w:rsidRPr="002932C5">
        <w:t>.</w:t>
      </w:r>
    </w:p>
    <w:p w14:paraId="10ED712D" w14:textId="77777777" w:rsidR="00BF28FE" w:rsidRPr="002932C5" w:rsidRDefault="00BF28FE" w:rsidP="00BF28FE"/>
    <w:p w14:paraId="0038C1EF" w14:textId="58FB5318" w:rsidR="00F669F8" w:rsidRPr="00012153" w:rsidRDefault="00BF28FE" w:rsidP="00646C30">
      <w:pPr>
        <w:rPr>
          <w:color w:val="FF0000"/>
        </w:rPr>
      </w:pPr>
      <w:r w:rsidRPr="002932C5">
        <w:t>Regarding systems and controls it is important to bear in mind the companies differ in size</w:t>
      </w:r>
      <w:r w:rsidR="002A17B3" w:rsidRPr="002932C5">
        <w:t xml:space="preserve"> and</w:t>
      </w:r>
      <w:r w:rsidRPr="002932C5">
        <w:t xml:space="preserve"> state of development. In this case we are convinced that one size does not fit all. It is more important to focus on outcome than on pan European detailed regulation.</w:t>
      </w:r>
      <w:r w:rsidR="002A17B3" w:rsidRPr="002932C5">
        <w:t xml:space="preserve"> </w:t>
      </w:r>
      <w:r w:rsidR="005F58A6" w:rsidRPr="002932C5">
        <w:t>Therefore,</w:t>
      </w:r>
      <w:r w:rsidR="002A17B3" w:rsidRPr="002932C5">
        <w:t xml:space="preserve"> </w:t>
      </w:r>
      <w:r w:rsidR="008D46E3" w:rsidRPr="002932C5">
        <w:t xml:space="preserve">issuers should be given the possibility to have the systems and controls </w:t>
      </w:r>
      <w:r w:rsidR="005F58A6" w:rsidRPr="002932C5">
        <w:t>appropriate for their organisation</w:t>
      </w:r>
      <w:r w:rsidR="005F58A6" w:rsidRPr="005F58A6">
        <w:rPr>
          <w:color w:val="FF0000"/>
        </w:rPr>
        <w:t>.</w:t>
      </w:r>
      <w:r w:rsidRPr="005F58A6">
        <w:rPr>
          <w:color w:val="FF0000"/>
        </w:rPr>
        <w:t xml:space="preserve"> </w:t>
      </w:r>
    </w:p>
    <w:permEnd w:id="93392546"/>
    <w:p w14:paraId="3C3E0AF4" w14:textId="26AAF4FC" w:rsidR="00646C30" w:rsidRDefault="00646C30" w:rsidP="00646C30"/>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671FC06C" w14:textId="35B51E57" w:rsidR="0082315D" w:rsidRDefault="0082315D" w:rsidP="0082315D">
      <w:permStart w:id="1148858332" w:edGrp="everyone"/>
      <w:r>
        <w:t xml:space="preserve">We are opposed to the notion of expanding the scope of Article 18 (1) of MAR, as the regulation already obligates the Issuers or any person acting on their behalf of or on their account to maintain insider lists. From a market viewpoint, independent auditors and notaries as mentioned in point 176 of the MAR Review will be included in either the list of the issuer, the financial institution (acting on their behalf of or on their account) or another advisor (acting on the issuers behalf or on their account) in accordance with Article 18 (1) of MAR and the spirit of Recital (57) of MAR, if they gain access to inside information. </w:t>
      </w:r>
    </w:p>
    <w:p w14:paraId="3E2C7D60" w14:textId="77777777" w:rsidR="00F669F8" w:rsidRDefault="00F669F8" w:rsidP="0082315D"/>
    <w:p w14:paraId="4825E300" w14:textId="1C748C06" w:rsidR="0082315D" w:rsidRDefault="0082315D" w:rsidP="0082315D">
      <w:r>
        <w:t>Having these independent third parties to draw up insider lists themselves does not seem to add further value to the setup and governance surrounding the insider list regime. Consequently, adding additional requirements to further scope out indirect insiders would be imposing a regulatory obligation already covered by Article 18 (1) of MAR.</w:t>
      </w:r>
    </w:p>
    <w:p w14:paraId="363C442F" w14:textId="77777777" w:rsidR="004B1EF7" w:rsidRDefault="004B1EF7" w:rsidP="0082315D"/>
    <w:p w14:paraId="708242D3" w14:textId="01959524" w:rsidR="0082315D" w:rsidRPr="007C0663" w:rsidRDefault="0082315D" w:rsidP="0082315D">
      <w:r>
        <w:t xml:space="preserve">For the avoidance of any doubt, we </w:t>
      </w:r>
      <w:r w:rsidRPr="007C0663">
        <w:t xml:space="preserve">strongly oppose </w:t>
      </w:r>
      <w:r w:rsidRPr="007C0663">
        <w:rPr>
          <w:highlight w:val="red"/>
        </w:rPr>
        <w:t>th</w:t>
      </w:r>
      <w:r w:rsidR="00FD690E" w:rsidRPr="007C0663">
        <w:rPr>
          <w:highlight w:val="red"/>
        </w:rPr>
        <w:t>e</w:t>
      </w:r>
      <w:r w:rsidRPr="007C0663">
        <w:t xml:space="preserve"> changes </w:t>
      </w:r>
      <w:r w:rsidR="007C0663" w:rsidRPr="007C0663">
        <w:t xml:space="preserve">of </w:t>
      </w:r>
      <w:r w:rsidRPr="007C0663">
        <w:t xml:space="preserve">the overall scope of Article 18 (1) of MAR to encompass any person with insider information and not “only” issuers and persons acting on their behalf of or on their account. </w:t>
      </w:r>
    </w:p>
    <w:p w14:paraId="4990B4A6" w14:textId="77777777" w:rsidR="004B1EF7" w:rsidRDefault="004B1EF7" w:rsidP="0082315D"/>
    <w:p w14:paraId="3C3E0AF9" w14:textId="64CBA597" w:rsidR="00646C30" w:rsidRDefault="0082315D" w:rsidP="00646C30">
      <w:r>
        <w:t xml:space="preserve">In a worst-case scenario, we see a risk of local authorities interpreting this very broadly. This would potentially </w:t>
      </w:r>
      <w:r w:rsidRPr="003C3D63">
        <w:t xml:space="preserve">require </w:t>
      </w:r>
      <w:r w:rsidR="003C3D63" w:rsidRPr="003C3D63">
        <w:t>market participants</w:t>
      </w:r>
      <w:r w:rsidR="00FA6238" w:rsidRPr="003C3D63">
        <w:t xml:space="preserve"> </w:t>
      </w:r>
      <w:r w:rsidRPr="003C3D63">
        <w:t xml:space="preserve">to place staff working in market functions on insider lists, if they handle e.g. orders from clients of a certain size or block trades that would </w:t>
      </w:r>
      <w:proofErr w:type="gramStart"/>
      <w:r w:rsidRPr="003C3D63">
        <w:t>be seen as</w:t>
      </w:r>
      <w:proofErr w:type="gramEnd"/>
      <w:r w:rsidRPr="003C3D63">
        <w:t xml:space="preserve"> inside information. To handle such insider lists (based on our activities), </w:t>
      </w:r>
      <w:r w:rsidR="00EF0E05" w:rsidRPr="003C3D63">
        <w:t xml:space="preserve">they </w:t>
      </w:r>
      <w:r w:rsidRPr="003C3D63">
        <w:t xml:space="preserve">would either need to invest heavily in systems to be able to handle the dynamics of the restriction activities or have a full- time restriction for every Sales and Dealer in Equities/FI&amp;C.  It would increase </w:t>
      </w:r>
      <w:r w:rsidR="00EF0E05" w:rsidRPr="003C3D63">
        <w:t xml:space="preserve">the </w:t>
      </w:r>
      <w:r w:rsidRPr="003C3D63">
        <w:t xml:space="preserve">costs in an environment, where </w:t>
      </w:r>
      <w:r w:rsidR="00680820" w:rsidRPr="003C3D63">
        <w:t xml:space="preserve">the </w:t>
      </w:r>
      <w:r w:rsidRPr="003C3D63">
        <w:t xml:space="preserve">model is already significantly under pressure. On top of this, </w:t>
      </w:r>
      <w:r w:rsidR="00B1463A" w:rsidRPr="003C3D63">
        <w:t xml:space="preserve">they </w:t>
      </w:r>
      <w:r w:rsidRPr="003C3D63">
        <w:t xml:space="preserve">would </w:t>
      </w:r>
      <w:r w:rsidR="00B1463A" w:rsidRPr="003C3D63">
        <w:t xml:space="preserve">probably </w:t>
      </w:r>
      <w:r w:rsidRPr="003C3D63">
        <w:t>be concerned about any spill-over effects towards the clients. This would also place a very heavy administrative burden on the</w:t>
      </w:r>
      <w:r>
        <w:t xml:space="preserve"> companies required to maintain insider lists, without it adding any value when it comes to e.g. monitoring and trad</w:t>
      </w:r>
      <w:r w:rsidR="00781168">
        <w:t>ing</w:t>
      </w:r>
      <w:r>
        <w:t xml:space="preserve"> surveillance.”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lastRenderedPageBreak/>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0C1F8FC1" w:rsidR="00646C30" w:rsidRDefault="002057DA" w:rsidP="00646C30">
      <w:permStart w:id="513950227" w:edGrp="everyone"/>
      <w:r w:rsidRPr="002057DA">
        <w:t xml:space="preserve">As mentioned above we are not in general in favour of the permanent insider list. However, it is too early to </w:t>
      </w:r>
      <w:r w:rsidRPr="00836F62">
        <w:rPr>
          <w:b/>
        </w:rPr>
        <w:t>abolish</w:t>
      </w:r>
      <w:r w:rsidRPr="002057DA">
        <w:t xml:space="preserve"> it. The permanent insider list may be useful for some issuers if the list is used for only a very limited group of employees</w:t>
      </w:r>
      <w:r w:rsidRPr="003C3D63">
        <w:t>.</w:t>
      </w:r>
      <w:r w:rsidR="00E80710" w:rsidRPr="003C3D63">
        <w:t xml:space="preserve"> Before</w:t>
      </w:r>
      <w:r w:rsidR="000D6D45" w:rsidRPr="003C3D63">
        <w:t xml:space="preserve"> the permanent insider list is </w:t>
      </w:r>
      <w:r w:rsidR="002A5AAA" w:rsidRPr="003C3D63">
        <w:t xml:space="preserve">suspended, the content of the insider list should be reviewed and </w:t>
      </w:r>
      <w:r w:rsidR="00F63C8F" w:rsidRPr="003C3D63">
        <w:t xml:space="preserve">a simplified list should be presented, with only </w:t>
      </w:r>
      <w:r w:rsidR="0074706C" w:rsidRPr="003C3D63">
        <w:t>relevant</w:t>
      </w:r>
      <w:r w:rsidR="00F63C8F" w:rsidRPr="003C3D63">
        <w:t xml:space="preserve"> data</w:t>
      </w:r>
      <w:r w:rsidR="0056774A" w:rsidRPr="003C3D63">
        <w:t xml:space="preserve"> included.</w:t>
      </w:r>
      <w:r w:rsidR="00965320" w:rsidRPr="003C3D63">
        <w:t xml:space="preserve"> </w:t>
      </w:r>
      <w:r w:rsidR="00E80710" w:rsidRPr="003C3D63">
        <w:t xml:space="preserve"> </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4EC2DAAB" w:rsidR="00646C30" w:rsidRDefault="00332F59" w:rsidP="00646C30">
      <w:permStart w:id="1908500529" w:edGrp="everyone"/>
      <w:r w:rsidRPr="00332F59">
        <w:t>We agree with ESMA’s preliminary view. Article 18 of MAR should be revised to specify that the issuer should only include one contact natural person for each legal person acting on behalf or for the account of the issuer having access to inside information and each one of those legal persons should include in their own insiders list the natural or legal persons accessing that piece of inside information working for them under a contract of employment or under any other type of arrangement in the same terms (i.e. one contact person per external provider).</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4CAE25EC" w14:textId="08BF0F42" w:rsidR="00A76ACE" w:rsidRDefault="00A76ACE" w:rsidP="00A76ACE">
      <w:permStart w:id="673864140" w:edGrp="everyone"/>
      <w:r>
        <w:t xml:space="preserve">In our opinion there is an urgent need to reduce the administrative burden for issuers regarding insider lists. One step to reduce the burden should be as mentioned in </w:t>
      </w:r>
      <w:r w:rsidR="00AF450B">
        <w:t>A</w:t>
      </w:r>
      <w:r w:rsidR="007248F0">
        <w:t>44</w:t>
      </w:r>
      <w:r>
        <w:t xml:space="preserve"> to specify that the issuer should only include one contact natural person for each legal person acting on behalf or for the account of the issuer having access to inside information and each one of those legal persons should include in their own insiders list the natural or legal persons accessing that piece of inside information working for them under a contract of employment or under any other type of arrangement in the same terms (i.e. one contact person per external provider).</w:t>
      </w:r>
    </w:p>
    <w:p w14:paraId="5ABD3ED8" w14:textId="77777777" w:rsidR="004B1EF7" w:rsidRDefault="004B1EF7" w:rsidP="00A76ACE"/>
    <w:p w14:paraId="797C3A42" w14:textId="77777777" w:rsidR="004B1EF7" w:rsidRDefault="00A76ACE" w:rsidP="00A76ACE">
      <w:r>
        <w:t xml:space="preserve">But further measures should be taken to reduce the burdens for issuers in line with the principle of proportionality. We are of the opinion that far more information is included in the Insider list than necessary. The insider list should include information which identify the person who has access to insider information and by stating the specific date and time on which a piece of information became inside information </w:t>
      </w:r>
      <w:proofErr w:type="gramStart"/>
      <w:r>
        <w:t>and also</w:t>
      </w:r>
      <w:proofErr w:type="gramEnd"/>
      <w:r>
        <w:t xml:space="preserve"> the date and time when the relevant persons gained access to it. However, the insider list requires the issuers to include a lot more information and we are of the opinion that the list could be simplified and thereby reduce the administrative burden for issuers and others without endanger the list as a tool for investigating possible market abuse.  </w:t>
      </w:r>
    </w:p>
    <w:p w14:paraId="4FF1A008" w14:textId="23C93829" w:rsidR="00A76ACE" w:rsidRDefault="00A76ACE" w:rsidP="00A76ACE">
      <w:r>
        <w:t xml:space="preserve">  </w:t>
      </w:r>
    </w:p>
    <w:p w14:paraId="5C7538C1" w14:textId="77777777" w:rsidR="00A95695" w:rsidRDefault="00A76ACE" w:rsidP="00646C30">
      <w:r>
        <w:t>The requirements to include date of birth, personal address and birth surname are excessive and without reason. Therefore, they should be abolished</w:t>
      </w:r>
      <w:r w:rsidR="00A95695">
        <w:t>.</w:t>
      </w:r>
    </w:p>
    <w:p w14:paraId="1A24A6F9" w14:textId="77777777" w:rsidR="00A95695" w:rsidRDefault="00A95695" w:rsidP="00646C30"/>
    <w:p w14:paraId="0B2670BB" w14:textId="6A78F440" w:rsidR="00A95695" w:rsidRPr="00BE3203" w:rsidRDefault="00A95695" w:rsidP="00A95695">
      <w:r w:rsidRPr="00BE3203">
        <w:t xml:space="preserve">We see the convenience for competent authorities to include items such as telephone numbers and work-email addresses, which are nice to have for investigatory purposes.  However, it is important to take proportionality and the administrative burden of the issuers into account. Most of the insider lists are never requested by the competent authorities of MAR or MAD, and of those requested, we are doubtful having </w:t>
      </w:r>
      <w:r w:rsidRPr="00BE3203">
        <w:lastRenderedPageBreak/>
        <w:t xml:space="preserve">telephone number or email addresses in the insider list, as opposed to gathering them from alternative sources, hampered the cases. </w:t>
      </w:r>
    </w:p>
    <w:p w14:paraId="5CBF7A57" w14:textId="77777777" w:rsidR="00A95695" w:rsidRDefault="00A95695" w:rsidP="00A95695"/>
    <w:p w14:paraId="3C3E0B08" w14:textId="180F3303" w:rsidR="00646C30" w:rsidRDefault="00A76ACE" w:rsidP="00646C30">
      <w:r>
        <w:t>.</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24182357" w14:textId="6BD4DBDC" w:rsidR="00B41D45" w:rsidRDefault="00B41D45" w:rsidP="00B41D45">
      <w:permStart w:id="274992488" w:edGrp="everyone"/>
      <w:r>
        <w:t xml:space="preserve">The reporting threshold should be increased to Euro 20,000 and this threshold should be made mandatory with no possibility for member states to opt for a lower threshold. The current threshold of Euro 5,000 has done nothing but increase disclosure of insignificant transactions that do not give any meaningful signals to the market. Because of the insignificant Euro 5,000 threshold, it has become the practice of managers to report </w:t>
      </w:r>
      <w:proofErr w:type="gramStart"/>
      <w:r>
        <w:t>all of</w:t>
      </w:r>
      <w:proofErr w:type="gramEnd"/>
      <w:r>
        <w:t xml:space="preserve"> their transactions regardless of the threshold so as to avoid or reduce the risk of failure to report notifiable transactions. The current threshold is clearly disproportionate and has done little or nothing to alleviate the administrative burden on managers. </w:t>
      </w:r>
    </w:p>
    <w:p w14:paraId="760C55CA" w14:textId="77777777" w:rsidR="004B1EF7" w:rsidRDefault="004B1EF7" w:rsidP="00B41D45"/>
    <w:p w14:paraId="4D108DC8" w14:textId="6B27D156" w:rsidR="00B41D45" w:rsidRDefault="00B41D45" w:rsidP="00B41D45">
      <w:r>
        <w:t>Furthermore, and unrelated to the reporting threshold, the scope of transactions subject to notification has been defined in an excessively broad manner. The list of transactions triggering the disclosure requirement should be amended in order to limit it to transactions that would give meaningful signals to the market. Transactions with no nexus to an active investment decision by a PDMR should be excluded from the scope. These include transactions where the PDMR’s involvement is purely passive, such as gifts and donations received, and inheritance received and automatic conversion of a financial instrument into another financial instrument.</w:t>
      </w:r>
    </w:p>
    <w:p w14:paraId="7196BC83" w14:textId="77777777" w:rsidR="004B1EF7" w:rsidRDefault="004B1EF7" w:rsidP="00B41D45"/>
    <w:p w14:paraId="4492C162" w14:textId="3BC4B2F2" w:rsidR="00FD5DEE" w:rsidRDefault="006238C3" w:rsidP="00893B1A">
      <w:r w:rsidRPr="00D63C57">
        <w:t xml:space="preserve">There are also situations where it is unclear when reporting should take place. </w:t>
      </w:r>
      <w:r w:rsidR="00B41D45" w:rsidRPr="00D63C57">
        <w:t xml:space="preserve">According to article 10.2 g) in the Commission Delegated Regulation (EU) 2016/522, subscription to a capital increase </w:t>
      </w:r>
      <w:r w:rsidR="00B41D45">
        <w:t>is a transaction that causes a notification obligation. It is, however, unclear what action in a share issue that is deemed to be the transaction. Is it the subscription of shares on a subscription list that triggers the notification obligation, or is it the payment of the subscribed shares, the board's allocation decision, the registration of the share issue with the Swedish Companies Registration Office or is it when the shares are delivered to the owner-registered account/custody account?</w:t>
      </w:r>
      <w:r w:rsidR="00B337CE">
        <w:t xml:space="preserve"> </w:t>
      </w:r>
    </w:p>
    <w:p w14:paraId="3A22439A" w14:textId="77777777" w:rsidR="00FD5DEE" w:rsidRDefault="00FD5DEE" w:rsidP="00893B1A"/>
    <w:p w14:paraId="191A90BD" w14:textId="0E29A775" w:rsidR="00B337CE" w:rsidRDefault="00B337CE" w:rsidP="00893B1A">
      <w:pPr>
        <w:rPr>
          <w:szCs w:val="20"/>
        </w:rPr>
      </w:pPr>
      <w:r>
        <w:rPr>
          <w:szCs w:val="20"/>
        </w:rPr>
        <w:t>The Swedish FSA</w:t>
      </w:r>
      <w:r w:rsidRPr="003C3E2E">
        <w:rPr>
          <w:szCs w:val="20"/>
        </w:rPr>
        <w:t xml:space="preserve"> has </w:t>
      </w:r>
      <w:r>
        <w:rPr>
          <w:szCs w:val="20"/>
        </w:rPr>
        <w:t>provided advice on which</w:t>
      </w:r>
      <w:r w:rsidRPr="003C3E2E">
        <w:rPr>
          <w:szCs w:val="20"/>
        </w:rPr>
        <w:t xml:space="preserve"> </w:t>
      </w:r>
      <w:r>
        <w:rPr>
          <w:szCs w:val="20"/>
        </w:rPr>
        <w:t>action</w:t>
      </w:r>
      <w:r w:rsidRPr="003C3E2E">
        <w:rPr>
          <w:szCs w:val="20"/>
        </w:rPr>
        <w:t xml:space="preserve"> in the </w:t>
      </w:r>
      <w:r w:rsidRPr="00983C42">
        <w:rPr>
          <w:szCs w:val="20"/>
        </w:rPr>
        <w:t>process of</w:t>
      </w:r>
      <w:r>
        <w:rPr>
          <w:szCs w:val="20"/>
        </w:rPr>
        <w:t xml:space="preserve"> a</w:t>
      </w:r>
      <w:r w:rsidRPr="00983C42">
        <w:rPr>
          <w:szCs w:val="20"/>
        </w:rPr>
        <w:t xml:space="preserve"> share</w:t>
      </w:r>
      <w:r>
        <w:rPr>
          <w:szCs w:val="20"/>
        </w:rPr>
        <w:t xml:space="preserve"> issue</w:t>
      </w:r>
      <w:r w:rsidRPr="003C3E2E">
        <w:rPr>
          <w:szCs w:val="20"/>
        </w:rPr>
        <w:t xml:space="preserve"> that will trigger the notification obligation. According to </w:t>
      </w:r>
      <w:r>
        <w:rPr>
          <w:szCs w:val="20"/>
        </w:rPr>
        <w:t>the FSA</w:t>
      </w:r>
      <w:r w:rsidRPr="003C3E2E">
        <w:rPr>
          <w:szCs w:val="20"/>
        </w:rPr>
        <w:t xml:space="preserve">’s </w:t>
      </w:r>
      <w:r>
        <w:rPr>
          <w:szCs w:val="20"/>
        </w:rPr>
        <w:t>Q&amp;A,</w:t>
      </w:r>
      <w:r w:rsidRPr="003C3E2E">
        <w:rPr>
          <w:szCs w:val="20"/>
        </w:rPr>
        <w:t xml:space="preserve"> the following apply.</w:t>
      </w:r>
    </w:p>
    <w:p w14:paraId="5B9B7491" w14:textId="77777777" w:rsidR="004B1EF7" w:rsidRPr="003C3E2E" w:rsidRDefault="004B1EF7" w:rsidP="00893B1A">
      <w:pPr>
        <w:rPr>
          <w:szCs w:val="20"/>
        </w:rPr>
      </w:pPr>
    </w:p>
    <w:p w14:paraId="2B2F692B" w14:textId="77777777" w:rsidR="00B337CE" w:rsidRPr="003C3E2E" w:rsidRDefault="00B337CE" w:rsidP="00893B1A">
      <w:pPr>
        <w:rPr>
          <w:szCs w:val="20"/>
        </w:rPr>
      </w:pPr>
      <w:r w:rsidRPr="003C3E2E">
        <w:rPr>
          <w:szCs w:val="20"/>
        </w:rPr>
        <w:t>If paid shares subscribed (PSS)</w:t>
      </w:r>
      <w:r>
        <w:rPr>
          <w:szCs w:val="20"/>
        </w:rPr>
        <w:t xml:space="preserve"> (</w:t>
      </w:r>
      <w:proofErr w:type="spellStart"/>
      <w:r>
        <w:rPr>
          <w:i/>
          <w:szCs w:val="20"/>
        </w:rPr>
        <w:t>Sw</w:t>
      </w:r>
      <w:proofErr w:type="spellEnd"/>
      <w:r>
        <w:rPr>
          <w:i/>
          <w:szCs w:val="20"/>
        </w:rPr>
        <w:t>: BTA</w:t>
      </w:r>
      <w:r>
        <w:rPr>
          <w:szCs w:val="20"/>
        </w:rPr>
        <w:t>)</w:t>
      </w:r>
      <w:r w:rsidRPr="003C3E2E">
        <w:rPr>
          <w:szCs w:val="20"/>
        </w:rPr>
        <w:t xml:space="preserve"> are </w:t>
      </w:r>
      <w:r>
        <w:rPr>
          <w:szCs w:val="20"/>
        </w:rPr>
        <w:t>delivered</w:t>
      </w:r>
      <w:r w:rsidRPr="003C3E2E">
        <w:rPr>
          <w:szCs w:val="20"/>
        </w:rPr>
        <w:t xml:space="preserve"> to the subscriber</w:t>
      </w:r>
      <w:r>
        <w:rPr>
          <w:szCs w:val="20"/>
        </w:rPr>
        <w:t>’s</w:t>
      </w:r>
      <w:r w:rsidRPr="003C3E2E">
        <w:rPr>
          <w:szCs w:val="20"/>
        </w:rPr>
        <w:t xml:space="preserve"> owner-registered account/custody account, the notification obligation arises on the date that PSS is </w:t>
      </w:r>
      <w:r>
        <w:rPr>
          <w:szCs w:val="20"/>
        </w:rPr>
        <w:t>delivered</w:t>
      </w:r>
      <w:r w:rsidRPr="003C3E2E">
        <w:rPr>
          <w:szCs w:val="20"/>
        </w:rPr>
        <w:t xml:space="preserve"> to the owner-registered account/custody account. </w:t>
      </w:r>
      <w:r>
        <w:rPr>
          <w:szCs w:val="20"/>
        </w:rPr>
        <w:t>The conversion of</w:t>
      </w:r>
      <w:r w:rsidRPr="003C3E2E">
        <w:rPr>
          <w:szCs w:val="20"/>
        </w:rPr>
        <w:t xml:space="preserve"> PSS to shares</w:t>
      </w:r>
      <w:r>
        <w:rPr>
          <w:szCs w:val="20"/>
        </w:rPr>
        <w:t xml:space="preserve"> does not trigger any notification.</w:t>
      </w:r>
    </w:p>
    <w:p w14:paraId="3853B53F" w14:textId="77777777" w:rsidR="00FD5DEE" w:rsidRDefault="00FD5DEE" w:rsidP="00893B1A">
      <w:pPr>
        <w:rPr>
          <w:szCs w:val="20"/>
        </w:rPr>
      </w:pPr>
    </w:p>
    <w:p w14:paraId="54E26D89" w14:textId="4F883B31" w:rsidR="00B337CE" w:rsidRDefault="00B337CE" w:rsidP="00893B1A">
      <w:pPr>
        <w:rPr>
          <w:szCs w:val="20"/>
        </w:rPr>
      </w:pPr>
      <w:r w:rsidRPr="003C3E2E">
        <w:rPr>
          <w:szCs w:val="20"/>
        </w:rPr>
        <w:t xml:space="preserve">If a subscriber receives the shares to which the </w:t>
      </w:r>
      <w:r w:rsidRPr="003C3E2E">
        <w:rPr>
          <w:i/>
          <w:szCs w:val="20"/>
        </w:rPr>
        <w:t>subscription right</w:t>
      </w:r>
      <w:r w:rsidRPr="003C3E2E">
        <w:rPr>
          <w:szCs w:val="20"/>
        </w:rPr>
        <w:t xml:space="preserve"> </w:t>
      </w:r>
      <w:r w:rsidRPr="00836DE2">
        <w:rPr>
          <w:i/>
          <w:szCs w:val="20"/>
        </w:rPr>
        <w:t>(</w:t>
      </w:r>
      <w:proofErr w:type="spellStart"/>
      <w:r w:rsidRPr="00836DE2">
        <w:rPr>
          <w:i/>
          <w:szCs w:val="20"/>
        </w:rPr>
        <w:t>Sw</w:t>
      </w:r>
      <w:proofErr w:type="spellEnd"/>
      <w:r w:rsidRPr="00836DE2">
        <w:rPr>
          <w:i/>
          <w:szCs w:val="20"/>
        </w:rPr>
        <w:t xml:space="preserve">: </w:t>
      </w:r>
      <w:proofErr w:type="spellStart"/>
      <w:r w:rsidRPr="00836DE2">
        <w:rPr>
          <w:i/>
          <w:szCs w:val="20"/>
        </w:rPr>
        <w:t>teckningsrätten</w:t>
      </w:r>
      <w:proofErr w:type="spellEnd"/>
      <w:r w:rsidRPr="00836DE2">
        <w:rPr>
          <w:i/>
          <w:szCs w:val="20"/>
        </w:rPr>
        <w:t>)</w:t>
      </w:r>
      <w:r>
        <w:rPr>
          <w:szCs w:val="20"/>
        </w:rPr>
        <w:t xml:space="preserve"> </w:t>
      </w:r>
      <w:r w:rsidRPr="003C3E2E">
        <w:rPr>
          <w:szCs w:val="20"/>
        </w:rPr>
        <w:t xml:space="preserve">refers directly, i.e. without first obtaining PSS, the notification obligation arises on the day the shares are </w:t>
      </w:r>
      <w:r>
        <w:rPr>
          <w:szCs w:val="20"/>
        </w:rPr>
        <w:t>delivered</w:t>
      </w:r>
      <w:r w:rsidRPr="003C3E2E">
        <w:rPr>
          <w:szCs w:val="20"/>
        </w:rPr>
        <w:t xml:space="preserve"> to the owner-registered account/custody account.</w:t>
      </w:r>
    </w:p>
    <w:p w14:paraId="5903B2F9" w14:textId="77777777" w:rsidR="004B1EF7" w:rsidRPr="003C3E2E" w:rsidRDefault="004B1EF7" w:rsidP="00893B1A">
      <w:pPr>
        <w:rPr>
          <w:szCs w:val="20"/>
        </w:rPr>
      </w:pPr>
    </w:p>
    <w:p w14:paraId="0D911596" w14:textId="0CC10653" w:rsidR="00B337CE" w:rsidRDefault="00B337CE" w:rsidP="00893B1A">
      <w:pPr>
        <w:rPr>
          <w:szCs w:val="20"/>
        </w:rPr>
      </w:pPr>
      <w:r w:rsidRPr="003C3E2E">
        <w:rPr>
          <w:szCs w:val="20"/>
        </w:rPr>
        <w:t xml:space="preserve">The obligation to notify the allocation of shares without </w:t>
      </w:r>
      <w:r w:rsidRPr="003C3E2E">
        <w:rPr>
          <w:i/>
          <w:szCs w:val="20"/>
        </w:rPr>
        <w:t>subscription rights</w:t>
      </w:r>
      <w:r w:rsidRPr="003C3E2E">
        <w:rPr>
          <w:szCs w:val="20"/>
        </w:rPr>
        <w:t xml:space="preserve"> a</w:t>
      </w:r>
      <w:r>
        <w:rPr>
          <w:szCs w:val="20"/>
        </w:rPr>
        <w:t>s well as</w:t>
      </w:r>
      <w:r w:rsidRPr="003C3E2E">
        <w:rPr>
          <w:szCs w:val="20"/>
        </w:rPr>
        <w:t xml:space="preserve"> PSS in connection with </w:t>
      </w:r>
      <w:r>
        <w:rPr>
          <w:szCs w:val="20"/>
        </w:rPr>
        <w:t>the share</w:t>
      </w:r>
      <w:r w:rsidRPr="003C3E2E">
        <w:rPr>
          <w:szCs w:val="20"/>
        </w:rPr>
        <w:t xml:space="preserve"> issue arises when the shares are </w:t>
      </w:r>
      <w:r>
        <w:rPr>
          <w:szCs w:val="20"/>
        </w:rPr>
        <w:t xml:space="preserve">delivered to </w:t>
      </w:r>
      <w:r w:rsidRPr="003C3E2E">
        <w:rPr>
          <w:szCs w:val="20"/>
        </w:rPr>
        <w:t>the owner-registered account/custody account.</w:t>
      </w:r>
    </w:p>
    <w:p w14:paraId="641C5C6A" w14:textId="77777777" w:rsidR="004B1EF7" w:rsidRPr="003C3E2E" w:rsidRDefault="004B1EF7" w:rsidP="00893B1A">
      <w:pPr>
        <w:rPr>
          <w:szCs w:val="20"/>
        </w:rPr>
      </w:pPr>
    </w:p>
    <w:p w14:paraId="11F5D5CA" w14:textId="2F124C8A" w:rsidR="00B337CE" w:rsidRDefault="00B337CE" w:rsidP="00893B1A">
      <w:pPr>
        <w:rPr>
          <w:szCs w:val="20"/>
        </w:rPr>
      </w:pPr>
      <w:r w:rsidRPr="003C3E2E">
        <w:rPr>
          <w:szCs w:val="20"/>
        </w:rPr>
        <w:t xml:space="preserve">The question is whether </w:t>
      </w:r>
      <w:r>
        <w:rPr>
          <w:szCs w:val="20"/>
        </w:rPr>
        <w:t>the FSA</w:t>
      </w:r>
      <w:r w:rsidRPr="003C3E2E">
        <w:rPr>
          <w:szCs w:val="20"/>
        </w:rPr>
        <w:t>'s position above</w:t>
      </w:r>
      <w:r>
        <w:rPr>
          <w:szCs w:val="20"/>
        </w:rPr>
        <w:t xml:space="preserve"> in (ii)</w:t>
      </w:r>
      <w:r w:rsidRPr="003C3E2E">
        <w:rPr>
          <w:szCs w:val="20"/>
        </w:rPr>
        <w:t xml:space="preserve"> refers to shares </w:t>
      </w:r>
      <w:r>
        <w:rPr>
          <w:szCs w:val="20"/>
        </w:rPr>
        <w:t>in</w:t>
      </w:r>
      <w:r w:rsidRPr="003C3E2E">
        <w:rPr>
          <w:szCs w:val="20"/>
        </w:rPr>
        <w:t xml:space="preserve"> a rights issue</w:t>
      </w:r>
      <w:r>
        <w:rPr>
          <w:szCs w:val="20"/>
        </w:rPr>
        <w:t xml:space="preserve"> (</w:t>
      </w:r>
      <w:proofErr w:type="spellStart"/>
      <w:r>
        <w:rPr>
          <w:i/>
          <w:szCs w:val="20"/>
        </w:rPr>
        <w:t>Sw</w:t>
      </w:r>
      <w:proofErr w:type="spellEnd"/>
      <w:r>
        <w:rPr>
          <w:i/>
          <w:szCs w:val="20"/>
        </w:rPr>
        <w:t xml:space="preserve">: </w:t>
      </w:r>
      <w:proofErr w:type="spellStart"/>
      <w:r>
        <w:rPr>
          <w:i/>
          <w:szCs w:val="20"/>
        </w:rPr>
        <w:t>företrädesemission</w:t>
      </w:r>
      <w:proofErr w:type="spellEnd"/>
      <w:r>
        <w:rPr>
          <w:i/>
          <w:szCs w:val="20"/>
        </w:rPr>
        <w:t>)</w:t>
      </w:r>
      <w:r w:rsidRPr="003C3E2E">
        <w:rPr>
          <w:szCs w:val="20"/>
        </w:rPr>
        <w:t xml:space="preserve"> </w:t>
      </w:r>
      <w:r>
        <w:rPr>
          <w:szCs w:val="20"/>
        </w:rPr>
        <w:t xml:space="preserve">as well as to shares in a </w:t>
      </w:r>
      <w:r w:rsidRPr="003C3E2E">
        <w:rPr>
          <w:szCs w:val="20"/>
        </w:rPr>
        <w:t>private placement</w:t>
      </w:r>
      <w:r>
        <w:rPr>
          <w:szCs w:val="20"/>
        </w:rPr>
        <w:t xml:space="preserve"> (</w:t>
      </w:r>
      <w:proofErr w:type="spellStart"/>
      <w:r>
        <w:rPr>
          <w:i/>
          <w:szCs w:val="20"/>
        </w:rPr>
        <w:t>Sw</w:t>
      </w:r>
      <w:proofErr w:type="spellEnd"/>
      <w:r>
        <w:rPr>
          <w:i/>
          <w:szCs w:val="20"/>
        </w:rPr>
        <w:t xml:space="preserve">: </w:t>
      </w:r>
      <w:proofErr w:type="spellStart"/>
      <w:r>
        <w:rPr>
          <w:i/>
          <w:szCs w:val="20"/>
        </w:rPr>
        <w:t>riktad</w:t>
      </w:r>
      <w:proofErr w:type="spellEnd"/>
      <w:r>
        <w:rPr>
          <w:i/>
          <w:szCs w:val="20"/>
        </w:rPr>
        <w:t xml:space="preserve"> </w:t>
      </w:r>
      <w:proofErr w:type="spellStart"/>
      <w:r>
        <w:rPr>
          <w:i/>
          <w:szCs w:val="20"/>
        </w:rPr>
        <w:t>nyemission</w:t>
      </w:r>
      <w:proofErr w:type="spellEnd"/>
      <w:r>
        <w:rPr>
          <w:i/>
          <w:szCs w:val="20"/>
        </w:rPr>
        <w:t>)</w:t>
      </w:r>
      <w:r w:rsidRPr="003C3E2E">
        <w:rPr>
          <w:szCs w:val="20"/>
        </w:rPr>
        <w:t xml:space="preserve">? In this context, </w:t>
      </w:r>
      <w:r>
        <w:rPr>
          <w:szCs w:val="20"/>
        </w:rPr>
        <w:t xml:space="preserve">we must understand </w:t>
      </w:r>
      <w:r w:rsidRPr="003C3E2E">
        <w:rPr>
          <w:szCs w:val="20"/>
        </w:rPr>
        <w:t xml:space="preserve">what </w:t>
      </w:r>
      <w:r>
        <w:rPr>
          <w:szCs w:val="20"/>
        </w:rPr>
        <w:t>the FSA</w:t>
      </w:r>
      <w:r w:rsidRPr="003C3E2E">
        <w:rPr>
          <w:szCs w:val="20"/>
        </w:rPr>
        <w:t xml:space="preserve"> means </w:t>
      </w:r>
      <w:r>
        <w:rPr>
          <w:szCs w:val="20"/>
        </w:rPr>
        <w:t>when stating</w:t>
      </w:r>
      <w:r w:rsidRPr="003C3E2E">
        <w:rPr>
          <w:szCs w:val="20"/>
        </w:rPr>
        <w:t xml:space="preserve"> </w:t>
      </w:r>
      <w:r>
        <w:rPr>
          <w:szCs w:val="20"/>
        </w:rPr>
        <w:t xml:space="preserve">the </w:t>
      </w:r>
      <w:r w:rsidRPr="003C3E2E">
        <w:rPr>
          <w:i/>
          <w:szCs w:val="20"/>
        </w:rPr>
        <w:t>subscription right</w:t>
      </w:r>
      <w:r w:rsidRPr="003C3E2E">
        <w:rPr>
          <w:szCs w:val="20"/>
        </w:rPr>
        <w:t xml:space="preserve"> </w:t>
      </w:r>
      <w:r w:rsidRPr="00297824">
        <w:rPr>
          <w:i/>
          <w:szCs w:val="20"/>
        </w:rPr>
        <w:t>(</w:t>
      </w:r>
      <w:proofErr w:type="spellStart"/>
      <w:r w:rsidRPr="00297824">
        <w:rPr>
          <w:i/>
          <w:szCs w:val="20"/>
        </w:rPr>
        <w:t>Sw</w:t>
      </w:r>
      <w:proofErr w:type="spellEnd"/>
      <w:r>
        <w:rPr>
          <w:i/>
          <w:szCs w:val="20"/>
        </w:rPr>
        <w:t>:</w:t>
      </w:r>
      <w:r w:rsidRPr="00297824">
        <w:rPr>
          <w:i/>
          <w:szCs w:val="20"/>
        </w:rPr>
        <w:t xml:space="preserve"> </w:t>
      </w:r>
      <w:proofErr w:type="spellStart"/>
      <w:r w:rsidRPr="00297824">
        <w:rPr>
          <w:i/>
          <w:szCs w:val="20"/>
        </w:rPr>
        <w:t>teckningsrätten</w:t>
      </w:r>
      <w:proofErr w:type="spellEnd"/>
      <w:r w:rsidRPr="00297824">
        <w:rPr>
          <w:i/>
          <w:szCs w:val="20"/>
        </w:rPr>
        <w:t>)</w:t>
      </w:r>
      <w:r>
        <w:rPr>
          <w:szCs w:val="20"/>
        </w:rPr>
        <w:t xml:space="preserve"> in (ii) </w:t>
      </w:r>
      <w:r w:rsidRPr="003C3E2E">
        <w:rPr>
          <w:szCs w:val="20"/>
        </w:rPr>
        <w:t xml:space="preserve">– </w:t>
      </w:r>
      <w:r w:rsidRPr="003C3E2E">
        <w:rPr>
          <w:szCs w:val="20"/>
        </w:rPr>
        <w:lastRenderedPageBreak/>
        <w:t xml:space="preserve">is it the right to subscribe for shares </w:t>
      </w:r>
      <w:r>
        <w:rPr>
          <w:szCs w:val="20"/>
        </w:rPr>
        <w:t>in general,</w:t>
      </w:r>
      <w:r w:rsidRPr="003C3E2E">
        <w:rPr>
          <w:szCs w:val="20"/>
        </w:rPr>
        <w:t xml:space="preserve"> (i.e. </w:t>
      </w:r>
      <w:r>
        <w:rPr>
          <w:szCs w:val="20"/>
        </w:rPr>
        <w:t xml:space="preserve">the right to subscribe for shares in </w:t>
      </w:r>
      <w:r w:rsidRPr="003C3E2E">
        <w:rPr>
          <w:szCs w:val="20"/>
        </w:rPr>
        <w:t>rights issue</w:t>
      </w:r>
      <w:r>
        <w:rPr>
          <w:szCs w:val="20"/>
        </w:rPr>
        <w:t>s as well as</w:t>
      </w:r>
      <w:r w:rsidRPr="003C3E2E">
        <w:rPr>
          <w:szCs w:val="20"/>
        </w:rPr>
        <w:t xml:space="preserve"> </w:t>
      </w:r>
      <w:r>
        <w:rPr>
          <w:szCs w:val="20"/>
        </w:rPr>
        <w:t xml:space="preserve">in </w:t>
      </w:r>
      <w:r w:rsidRPr="003C3E2E">
        <w:rPr>
          <w:szCs w:val="20"/>
        </w:rPr>
        <w:t>private placement</w:t>
      </w:r>
      <w:r>
        <w:rPr>
          <w:szCs w:val="20"/>
        </w:rPr>
        <w:t>s</w:t>
      </w:r>
      <w:r w:rsidRPr="003C3E2E">
        <w:rPr>
          <w:szCs w:val="20"/>
        </w:rPr>
        <w:t>) or is it specifically the pre-emptive right</w:t>
      </w:r>
      <w:r>
        <w:rPr>
          <w:szCs w:val="20"/>
        </w:rPr>
        <w:t xml:space="preserve"> when using subscription rights</w:t>
      </w:r>
      <w:r w:rsidRPr="003C3E2E">
        <w:rPr>
          <w:szCs w:val="20"/>
        </w:rPr>
        <w:t xml:space="preserve"> that shareholders have in a rights issue?</w:t>
      </w:r>
    </w:p>
    <w:p w14:paraId="6C0F118A" w14:textId="77777777" w:rsidR="004B1EF7" w:rsidRPr="003C3E2E" w:rsidRDefault="004B1EF7" w:rsidP="00893B1A">
      <w:pPr>
        <w:rPr>
          <w:szCs w:val="20"/>
        </w:rPr>
      </w:pPr>
    </w:p>
    <w:p w14:paraId="1F176600" w14:textId="1920B8F2" w:rsidR="00B337CE" w:rsidRDefault="00B337CE" w:rsidP="00893B1A">
      <w:pPr>
        <w:rPr>
          <w:szCs w:val="20"/>
        </w:rPr>
      </w:pPr>
      <w:r w:rsidRPr="003C3E2E">
        <w:rPr>
          <w:szCs w:val="20"/>
        </w:rPr>
        <w:t xml:space="preserve">In our opinion, </w:t>
      </w:r>
      <w:r w:rsidRPr="003C3E2E">
        <w:rPr>
          <w:i/>
          <w:szCs w:val="20"/>
        </w:rPr>
        <w:t>subscription right</w:t>
      </w:r>
      <w:r w:rsidRPr="003C3E2E">
        <w:rPr>
          <w:szCs w:val="20"/>
        </w:rPr>
        <w:t xml:space="preserve"> </w:t>
      </w:r>
      <w:r>
        <w:rPr>
          <w:szCs w:val="20"/>
        </w:rPr>
        <w:t>(</w:t>
      </w:r>
      <w:proofErr w:type="spellStart"/>
      <w:r w:rsidRPr="00741816">
        <w:rPr>
          <w:i/>
          <w:szCs w:val="20"/>
        </w:rPr>
        <w:t>Sw</w:t>
      </w:r>
      <w:proofErr w:type="spellEnd"/>
      <w:r w:rsidRPr="00741816">
        <w:rPr>
          <w:i/>
          <w:szCs w:val="20"/>
        </w:rPr>
        <w:t xml:space="preserve">: </w:t>
      </w:r>
      <w:proofErr w:type="spellStart"/>
      <w:r w:rsidRPr="00741816">
        <w:rPr>
          <w:i/>
          <w:szCs w:val="20"/>
        </w:rPr>
        <w:t>teckningsrätten</w:t>
      </w:r>
      <w:proofErr w:type="spellEnd"/>
      <w:r w:rsidRPr="00741816">
        <w:rPr>
          <w:i/>
          <w:szCs w:val="20"/>
        </w:rPr>
        <w:t>)</w:t>
      </w:r>
      <w:r>
        <w:rPr>
          <w:szCs w:val="20"/>
        </w:rPr>
        <w:t xml:space="preserve"> in this context means </w:t>
      </w:r>
      <w:r w:rsidRPr="003C3E2E">
        <w:rPr>
          <w:szCs w:val="20"/>
        </w:rPr>
        <w:t xml:space="preserve">those who are entitled to </w:t>
      </w:r>
      <w:r>
        <w:rPr>
          <w:szCs w:val="20"/>
        </w:rPr>
        <w:t>subscribe for shares (</w:t>
      </w:r>
      <w:proofErr w:type="spellStart"/>
      <w:r>
        <w:rPr>
          <w:i/>
          <w:szCs w:val="20"/>
        </w:rPr>
        <w:t>Sw</w:t>
      </w:r>
      <w:proofErr w:type="spellEnd"/>
      <w:r>
        <w:rPr>
          <w:i/>
          <w:szCs w:val="20"/>
        </w:rPr>
        <w:t xml:space="preserve">: </w:t>
      </w:r>
      <w:proofErr w:type="spellStart"/>
      <w:r>
        <w:rPr>
          <w:i/>
          <w:szCs w:val="20"/>
        </w:rPr>
        <w:t>rätten</w:t>
      </w:r>
      <w:proofErr w:type="spellEnd"/>
      <w:r>
        <w:rPr>
          <w:i/>
          <w:szCs w:val="20"/>
        </w:rPr>
        <w:t xml:space="preserve"> </w:t>
      </w:r>
      <w:proofErr w:type="spellStart"/>
      <w:r>
        <w:rPr>
          <w:i/>
          <w:szCs w:val="20"/>
        </w:rPr>
        <w:t>att</w:t>
      </w:r>
      <w:proofErr w:type="spellEnd"/>
      <w:r>
        <w:rPr>
          <w:i/>
          <w:szCs w:val="20"/>
        </w:rPr>
        <w:t xml:space="preserve"> </w:t>
      </w:r>
      <w:proofErr w:type="spellStart"/>
      <w:r>
        <w:rPr>
          <w:i/>
          <w:szCs w:val="20"/>
        </w:rPr>
        <w:t>teckna</w:t>
      </w:r>
      <w:proofErr w:type="spellEnd"/>
      <w:r>
        <w:rPr>
          <w:i/>
          <w:szCs w:val="20"/>
        </w:rPr>
        <w:t xml:space="preserve"> </w:t>
      </w:r>
      <w:proofErr w:type="spellStart"/>
      <w:r>
        <w:rPr>
          <w:i/>
          <w:szCs w:val="20"/>
        </w:rPr>
        <w:t>aktier</w:t>
      </w:r>
      <w:proofErr w:type="spellEnd"/>
      <w:r>
        <w:rPr>
          <w:szCs w:val="20"/>
        </w:rPr>
        <w:t>)</w:t>
      </w:r>
      <w:r w:rsidRPr="003C3E2E">
        <w:rPr>
          <w:szCs w:val="20"/>
        </w:rPr>
        <w:t>, i</w:t>
      </w:r>
      <w:r>
        <w:rPr>
          <w:szCs w:val="20"/>
        </w:rPr>
        <w:t>.</w:t>
      </w:r>
      <w:r w:rsidRPr="003C3E2E">
        <w:rPr>
          <w:szCs w:val="20"/>
        </w:rPr>
        <w:t xml:space="preserve">e. </w:t>
      </w:r>
      <w:r>
        <w:rPr>
          <w:szCs w:val="20"/>
        </w:rPr>
        <w:t>FSA</w:t>
      </w:r>
      <w:r w:rsidRPr="003C3E2E">
        <w:rPr>
          <w:szCs w:val="20"/>
        </w:rPr>
        <w:t xml:space="preserve">'s position covers all types of </w:t>
      </w:r>
      <w:r>
        <w:rPr>
          <w:szCs w:val="20"/>
        </w:rPr>
        <w:t xml:space="preserve">share </w:t>
      </w:r>
      <w:r w:rsidRPr="003C3E2E">
        <w:rPr>
          <w:szCs w:val="20"/>
        </w:rPr>
        <w:t xml:space="preserve">issues. </w:t>
      </w:r>
      <w:r>
        <w:rPr>
          <w:szCs w:val="20"/>
        </w:rPr>
        <w:t>From our point of view t</w:t>
      </w:r>
      <w:r w:rsidRPr="003C3E2E">
        <w:rPr>
          <w:szCs w:val="20"/>
        </w:rPr>
        <w:t>here are no significant differences between private placements and rights issues of Euroclear-affiliated instruments regarding the matter of when subscription</w:t>
      </w:r>
      <w:r>
        <w:rPr>
          <w:szCs w:val="20"/>
        </w:rPr>
        <w:t xml:space="preserve"> of shares</w:t>
      </w:r>
      <w:r w:rsidRPr="003C3E2E">
        <w:rPr>
          <w:szCs w:val="20"/>
        </w:rPr>
        <w:t xml:space="preserve"> will give rise to a notification obligation. Thus, the noti</w:t>
      </w:r>
      <w:r>
        <w:rPr>
          <w:szCs w:val="20"/>
        </w:rPr>
        <w:t>fi</w:t>
      </w:r>
      <w:r w:rsidRPr="003C3E2E">
        <w:rPr>
          <w:szCs w:val="20"/>
        </w:rPr>
        <w:t xml:space="preserve">cation obligation of Euroclear-affiliated instruments in both private placements and rights issues should arise when the instrument is </w:t>
      </w:r>
      <w:r>
        <w:rPr>
          <w:szCs w:val="20"/>
        </w:rPr>
        <w:t>delivered to</w:t>
      </w:r>
      <w:r w:rsidRPr="003C3E2E">
        <w:rPr>
          <w:szCs w:val="20"/>
        </w:rPr>
        <w:t xml:space="preserve"> an owner-registered account or a custody account.</w:t>
      </w:r>
    </w:p>
    <w:p w14:paraId="1763DF47" w14:textId="77777777" w:rsidR="004B1EF7" w:rsidRPr="003C3E2E" w:rsidRDefault="004B1EF7" w:rsidP="00893B1A">
      <w:pPr>
        <w:rPr>
          <w:szCs w:val="20"/>
        </w:rPr>
      </w:pPr>
    </w:p>
    <w:p w14:paraId="5FB0C9A4" w14:textId="5E428E97" w:rsidR="00B337CE" w:rsidRDefault="00B337CE" w:rsidP="00893B1A">
      <w:pPr>
        <w:rPr>
          <w:rFonts w:cs="Arial"/>
          <w:szCs w:val="20"/>
        </w:rPr>
      </w:pPr>
      <w:r>
        <w:rPr>
          <w:szCs w:val="20"/>
        </w:rPr>
        <w:t>I</w:t>
      </w:r>
      <w:r w:rsidRPr="003C3E2E">
        <w:rPr>
          <w:szCs w:val="20"/>
        </w:rPr>
        <w:t>n the light of the list</w:t>
      </w:r>
      <w:r w:rsidRPr="004B6075">
        <w:rPr>
          <w:szCs w:val="20"/>
        </w:rPr>
        <w:t xml:space="preserve"> </w:t>
      </w:r>
      <w:r>
        <w:rPr>
          <w:szCs w:val="20"/>
        </w:rPr>
        <w:t>i</w:t>
      </w:r>
      <w:r w:rsidRPr="003C3E2E">
        <w:rPr>
          <w:szCs w:val="20"/>
        </w:rPr>
        <w:t>n Article 10</w:t>
      </w:r>
      <w:r>
        <w:rPr>
          <w:szCs w:val="20"/>
        </w:rPr>
        <w:t>.</w:t>
      </w:r>
      <w:r w:rsidRPr="003C3E2E">
        <w:rPr>
          <w:szCs w:val="20"/>
        </w:rPr>
        <w:t>2</w:t>
      </w:r>
      <w:r>
        <w:rPr>
          <w:szCs w:val="20"/>
        </w:rPr>
        <w:t xml:space="preserve"> </w:t>
      </w:r>
      <w:r w:rsidRPr="003C3E2E">
        <w:rPr>
          <w:szCs w:val="20"/>
        </w:rPr>
        <w:t xml:space="preserve">g) of the commission delegated regulation (EU) 2016/522 </w:t>
      </w:r>
      <w:r>
        <w:rPr>
          <w:szCs w:val="20"/>
        </w:rPr>
        <w:t>(“</w:t>
      </w:r>
      <w:r w:rsidRPr="003C3E2E">
        <w:rPr>
          <w:szCs w:val="20"/>
        </w:rPr>
        <w:t>subscription to a capital increase</w:t>
      </w:r>
      <w:r>
        <w:rPr>
          <w:szCs w:val="20"/>
        </w:rPr>
        <w:t xml:space="preserve">”), the FSA has in in its </w:t>
      </w:r>
      <w:r w:rsidRPr="003C3E2E">
        <w:rPr>
          <w:szCs w:val="20"/>
        </w:rPr>
        <w:t xml:space="preserve">decision FI </w:t>
      </w:r>
      <w:proofErr w:type="spellStart"/>
      <w:r w:rsidRPr="003C3E2E">
        <w:rPr>
          <w:szCs w:val="20"/>
        </w:rPr>
        <w:t>Dnr</w:t>
      </w:r>
      <w:proofErr w:type="spellEnd"/>
      <w:r w:rsidRPr="003C3E2E">
        <w:rPr>
          <w:szCs w:val="20"/>
        </w:rPr>
        <w:t xml:space="preserve"> 17-2045 </w:t>
      </w:r>
      <w:r>
        <w:rPr>
          <w:szCs w:val="20"/>
        </w:rPr>
        <w:t>argued</w:t>
      </w:r>
      <w:r w:rsidRPr="003C3E2E">
        <w:rPr>
          <w:szCs w:val="20"/>
        </w:rPr>
        <w:t xml:space="preserve"> </w:t>
      </w:r>
      <w:r>
        <w:rPr>
          <w:szCs w:val="20"/>
        </w:rPr>
        <w:t xml:space="preserve">that </w:t>
      </w:r>
      <w:r w:rsidRPr="003C3E2E">
        <w:rPr>
          <w:szCs w:val="20"/>
        </w:rPr>
        <w:t>the reporting period after</w:t>
      </w:r>
      <w:r>
        <w:rPr>
          <w:szCs w:val="20"/>
        </w:rPr>
        <w:t xml:space="preserve"> the</w:t>
      </w:r>
      <w:r w:rsidRPr="003C3E2E">
        <w:rPr>
          <w:szCs w:val="20"/>
        </w:rPr>
        <w:t xml:space="preserve"> subscription of Euroclear-affiliated shares in a private placement started in connection with the </w:t>
      </w:r>
      <w:r>
        <w:rPr>
          <w:szCs w:val="20"/>
        </w:rPr>
        <w:t xml:space="preserve">actual </w:t>
      </w:r>
      <w:r w:rsidRPr="003C3E2E">
        <w:rPr>
          <w:szCs w:val="20"/>
        </w:rPr>
        <w:t>signing of the subscription list by the subscriber. The decision has, following the appeal on April 16, 2018, been confirmed by the Stockholm Administrative Court, case no. 16243-17.</w:t>
      </w:r>
      <w:r w:rsidRPr="003C3E2E">
        <w:rPr>
          <w:rStyle w:val="Fotnotsreferens"/>
          <w:rFonts w:cs="Arial"/>
          <w:szCs w:val="20"/>
        </w:rPr>
        <w:t xml:space="preserve"> </w:t>
      </w:r>
    </w:p>
    <w:p w14:paraId="653AE735" w14:textId="77777777" w:rsidR="004B1EF7" w:rsidRPr="003C3E2E" w:rsidRDefault="004B1EF7" w:rsidP="00893B1A">
      <w:pPr>
        <w:rPr>
          <w:szCs w:val="20"/>
        </w:rPr>
      </w:pPr>
    </w:p>
    <w:p w14:paraId="3CCC3001" w14:textId="07ED92A3" w:rsidR="00F5552B" w:rsidRDefault="00B337CE" w:rsidP="00F5552B">
      <w:pPr>
        <w:rPr>
          <w:szCs w:val="20"/>
        </w:rPr>
      </w:pPr>
      <w:r>
        <w:rPr>
          <w:szCs w:val="20"/>
        </w:rPr>
        <w:t>The FSA</w:t>
      </w:r>
      <w:r w:rsidRPr="003C3E2E">
        <w:rPr>
          <w:szCs w:val="20"/>
        </w:rPr>
        <w:t xml:space="preserve">'s stance - which is thus also shared by the court - is problematic since the signing and submission of a subscription list in </w:t>
      </w:r>
      <w:r>
        <w:rPr>
          <w:szCs w:val="20"/>
        </w:rPr>
        <w:t>a share issue</w:t>
      </w:r>
      <w:r w:rsidRPr="003C3E2E">
        <w:rPr>
          <w:szCs w:val="20"/>
        </w:rPr>
        <w:t xml:space="preserve"> does not constitute a </w:t>
      </w:r>
      <w:r w:rsidRPr="003C3E2E">
        <w:rPr>
          <w:i/>
          <w:szCs w:val="20"/>
        </w:rPr>
        <w:t>transaction</w:t>
      </w:r>
      <w:r w:rsidRPr="003C3E2E">
        <w:rPr>
          <w:szCs w:val="20"/>
        </w:rPr>
        <w:t xml:space="preserve">. Instead, such a measure can be compared with the submission of an offer to the company to subscribe for the </w:t>
      </w:r>
      <w:r>
        <w:rPr>
          <w:szCs w:val="20"/>
        </w:rPr>
        <w:t>shares</w:t>
      </w:r>
      <w:r w:rsidRPr="003C3E2E">
        <w:rPr>
          <w:szCs w:val="20"/>
        </w:rPr>
        <w:t xml:space="preserve"> in question, which then can be accepted or rejected by the company (by withdrawing a </w:t>
      </w:r>
      <w:r>
        <w:rPr>
          <w:szCs w:val="20"/>
        </w:rPr>
        <w:t>resolved</w:t>
      </w:r>
      <w:r w:rsidRPr="003C3E2E">
        <w:rPr>
          <w:szCs w:val="20"/>
        </w:rPr>
        <w:t xml:space="preserve"> but not completed </w:t>
      </w:r>
      <w:r>
        <w:rPr>
          <w:szCs w:val="20"/>
        </w:rPr>
        <w:t xml:space="preserve">share </w:t>
      </w:r>
      <w:r w:rsidRPr="003C3E2E">
        <w:rPr>
          <w:szCs w:val="20"/>
        </w:rPr>
        <w:t xml:space="preserve">issue). A situation where a subscriber is assigned a smaller number of </w:t>
      </w:r>
      <w:r>
        <w:rPr>
          <w:szCs w:val="20"/>
        </w:rPr>
        <w:t>shares</w:t>
      </w:r>
      <w:r w:rsidR="00F5552B">
        <w:rPr>
          <w:szCs w:val="20"/>
        </w:rPr>
        <w:t xml:space="preserve"> </w:t>
      </w:r>
      <w:r w:rsidR="00F5552B" w:rsidRPr="003C3E2E">
        <w:rPr>
          <w:szCs w:val="20"/>
        </w:rPr>
        <w:t>than what is applied for in the subscription list may also occur. Thus, the signing of the subscription list does not mean that a subscription of shares has been made.</w:t>
      </w:r>
    </w:p>
    <w:p w14:paraId="401F22C0" w14:textId="77777777" w:rsidR="00407A34" w:rsidRPr="003C3E2E" w:rsidRDefault="00407A34" w:rsidP="00F5552B">
      <w:pPr>
        <w:rPr>
          <w:szCs w:val="20"/>
        </w:rPr>
      </w:pPr>
    </w:p>
    <w:p w14:paraId="005A7C7F" w14:textId="0584E7AF" w:rsidR="00F5552B" w:rsidRDefault="00F5552B" w:rsidP="00F5552B">
      <w:pPr>
        <w:rPr>
          <w:szCs w:val="20"/>
        </w:rPr>
      </w:pPr>
      <w:r w:rsidRPr="003C3E2E">
        <w:rPr>
          <w:szCs w:val="20"/>
        </w:rPr>
        <w:t xml:space="preserve">In our opinion there is a lot indicating that the intention with </w:t>
      </w:r>
      <w:r>
        <w:rPr>
          <w:szCs w:val="20"/>
        </w:rPr>
        <w:t xml:space="preserve">including subscription to a capital increase in </w:t>
      </w:r>
      <w:r w:rsidRPr="003C3E2E">
        <w:rPr>
          <w:szCs w:val="20"/>
        </w:rPr>
        <w:t>the list in Article 10</w:t>
      </w:r>
      <w:r>
        <w:rPr>
          <w:szCs w:val="20"/>
        </w:rPr>
        <w:t>.</w:t>
      </w:r>
      <w:r w:rsidRPr="003C3E2E">
        <w:rPr>
          <w:szCs w:val="20"/>
        </w:rPr>
        <w:t xml:space="preserve">2 g) of the commission delegated regulation (EU) 2016/522 is to shed some light on the fact that an acquisition of shares through subscription is </w:t>
      </w:r>
      <w:r>
        <w:rPr>
          <w:szCs w:val="20"/>
        </w:rPr>
        <w:t>a kind</w:t>
      </w:r>
      <w:r w:rsidRPr="003C3E2E">
        <w:rPr>
          <w:szCs w:val="20"/>
        </w:rPr>
        <w:t xml:space="preserve"> of acquisition that must be reported – when the subscription is materialised. The stance of </w:t>
      </w:r>
      <w:r>
        <w:rPr>
          <w:szCs w:val="20"/>
        </w:rPr>
        <w:t>the FSA</w:t>
      </w:r>
      <w:r w:rsidRPr="003C3E2E">
        <w:rPr>
          <w:szCs w:val="20"/>
        </w:rPr>
        <w:t xml:space="preserve"> in this specific matter can in our opinion be questioned </w:t>
      </w:r>
      <w:r>
        <w:rPr>
          <w:szCs w:val="20"/>
        </w:rPr>
        <w:t xml:space="preserve">partly </w:t>
      </w:r>
      <w:r w:rsidRPr="003C3E2E">
        <w:rPr>
          <w:szCs w:val="20"/>
        </w:rPr>
        <w:t xml:space="preserve">as it means that a </w:t>
      </w:r>
      <w:r>
        <w:rPr>
          <w:szCs w:val="20"/>
        </w:rPr>
        <w:t>PDMR</w:t>
      </w:r>
      <w:r w:rsidRPr="003C3E2E">
        <w:rPr>
          <w:szCs w:val="20"/>
        </w:rPr>
        <w:t xml:space="preserve"> is required to report a measure that is not laid down in MAR (no transaction has taken place at the time of the signing and submission of the subscription list), partly since the reporting time period for</w:t>
      </w:r>
      <w:r>
        <w:rPr>
          <w:szCs w:val="20"/>
        </w:rPr>
        <w:t xml:space="preserve"> share</w:t>
      </w:r>
      <w:r w:rsidRPr="003C3E2E">
        <w:rPr>
          <w:szCs w:val="20"/>
        </w:rPr>
        <w:t xml:space="preserve"> issues would </w:t>
      </w:r>
      <w:r>
        <w:rPr>
          <w:szCs w:val="20"/>
        </w:rPr>
        <w:t>start</w:t>
      </w:r>
      <w:r w:rsidRPr="003C3E2E">
        <w:rPr>
          <w:szCs w:val="20"/>
        </w:rPr>
        <w:t xml:space="preserve"> earlier in the process than for the other transactions exemplified in Article 10</w:t>
      </w:r>
      <w:r>
        <w:rPr>
          <w:szCs w:val="20"/>
        </w:rPr>
        <w:t>.</w:t>
      </w:r>
      <w:r w:rsidRPr="003C3E2E">
        <w:rPr>
          <w:szCs w:val="20"/>
        </w:rPr>
        <w:t>2 of commission delegated regulation (EU) 2016/522, all of which are by nature definitive transactions.</w:t>
      </w:r>
    </w:p>
    <w:p w14:paraId="56B8E66F" w14:textId="77777777" w:rsidR="00407A34" w:rsidRPr="003C3E2E" w:rsidRDefault="00407A34" w:rsidP="00F5552B">
      <w:pPr>
        <w:rPr>
          <w:szCs w:val="20"/>
        </w:rPr>
      </w:pPr>
    </w:p>
    <w:p w14:paraId="3C3E0B0D" w14:textId="3D5D7D96" w:rsidR="00646C30" w:rsidRDefault="00F5552B" w:rsidP="00646C30">
      <w:r w:rsidRPr="003C3E2E">
        <w:rPr>
          <w:szCs w:val="20"/>
        </w:rPr>
        <w:t xml:space="preserve">In summary, we ask for clarification on at which point in the </w:t>
      </w:r>
      <w:r w:rsidRPr="00983C42">
        <w:rPr>
          <w:szCs w:val="20"/>
        </w:rPr>
        <w:t xml:space="preserve">process of </w:t>
      </w:r>
      <w:r>
        <w:rPr>
          <w:szCs w:val="20"/>
        </w:rPr>
        <w:t xml:space="preserve">share issues </w:t>
      </w:r>
      <w:r w:rsidRPr="003C3E2E">
        <w:rPr>
          <w:szCs w:val="20"/>
        </w:rPr>
        <w:t>that the reporting obligation</w:t>
      </w:r>
      <w:r>
        <w:rPr>
          <w:szCs w:val="20"/>
        </w:rPr>
        <w:t xml:space="preserve"> for a PDMR</w:t>
      </w:r>
      <w:r w:rsidRPr="003C3E2E">
        <w:rPr>
          <w:szCs w:val="20"/>
        </w:rPr>
        <w:t xml:space="preserve"> arises in connection with the </w:t>
      </w:r>
      <w:r>
        <w:rPr>
          <w:szCs w:val="20"/>
        </w:rPr>
        <w:t>subscription of shares</w:t>
      </w:r>
      <w:r w:rsidRPr="003C3E2E">
        <w:rPr>
          <w:szCs w:val="20"/>
        </w:rPr>
        <w:t>, both in respect of rights issues and private placements.</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2361147C" w:rsidR="00646C30" w:rsidRDefault="00A96505" w:rsidP="00646C30">
      <w:permStart w:id="1265633318" w:edGrp="everyone"/>
      <w:r w:rsidRPr="000B4EB7">
        <w:rPr>
          <w:lang w:val="en"/>
        </w:rPr>
        <w:t>It is more appropriate for ESMA to raise to EUR 20,000 than for different NCAs to have their own limits.</w:t>
      </w:r>
      <w:r>
        <w:rPr>
          <w:lang w:val="en"/>
        </w:rPr>
        <w:t xml:space="preserve"> It is better to have harmonized rules on all markets. An important issue to address is also that the fines for breaching the rules should be harmonized as well, which does not seem to be the case today. In Sweden we have seen examples of extremely high fines for breaching these rules that does not seem to be reasonable in comparison to fines against other similar breaches</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lastRenderedPageBreak/>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4655149D" w:rsidR="00646C30" w:rsidRDefault="000B0C38" w:rsidP="00646C30">
      <w:permStart w:id="1580208711" w:edGrp="everyone"/>
      <w:r w:rsidRPr="000B0C38">
        <w:t>Yes, but it is unhelpful and confusing that no similar threshold has been introduced in respect of Article 19(11). We assume that this is just a mistake. If the 20% threshold is not breached, an investment in a CIU will be excluded from the notification obligation in Article 19(1), and clearly it must be intended that such investment would not be subject to the prohibition under Article 19(11).</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6755C455" w14:textId="125A0E5A" w:rsidR="00756976" w:rsidRDefault="00756976" w:rsidP="00756976">
      <w:permStart w:id="439554279" w:edGrp="everyone"/>
      <w:r>
        <w:lastRenderedPageBreak/>
        <w:t xml:space="preserve">Article 19(11) should be amended </w:t>
      </w:r>
      <w:proofErr w:type="gramStart"/>
      <w:r>
        <w:t>so as to</w:t>
      </w:r>
      <w:proofErr w:type="gramEnd"/>
      <w:r>
        <w:t xml:space="preserve"> enable persons discharging managerial responsibilities (PDMRs) to undertake certain dealings without having to rely on the issuer permitting such dealings (assuming that the issuer in each case is entitled to permit the dealings under Article 19(12)) where a rights issue or public takeover offer is made during a closed period to all shareholders. Such dealings include:</w:t>
      </w:r>
    </w:p>
    <w:p w14:paraId="6059D0B6" w14:textId="77777777" w:rsidR="00756976" w:rsidRDefault="00756976" w:rsidP="00756976"/>
    <w:p w14:paraId="70A8BC2B" w14:textId="77777777" w:rsidR="00756976" w:rsidRDefault="00756976" w:rsidP="00756976">
      <w:r>
        <w:t>1.</w:t>
      </w:r>
      <w:r>
        <w:tab/>
        <w:t>undertaking to subscribe, or subscribing, for their pro rata share of the rights issue; and</w:t>
      </w:r>
    </w:p>
    <w:p w14:paraId="1447A699" w14:textId="77777777" w:rsidR="00756976" w:rsidRDefault="00756976" w:rsidP="00756976">
      <w:r>
        <w:t>2.</w:t>
      </w:r>
      <w:r>
        <w:tab/>
        <w:t>undertaking to accept, or accepting, a public takeover offer.</w:t>
      </w:r>
    </w:p>
    <w:p w14:paraId="1BCF017E" w14:textId="77777777" w:rsidR="00756976" w:rsidRDefault="00756976" w:rsidP="00756976"/>
    <w:p w14:paraId="6F79044E" w14:textId="77777777" w:rsidR="00756976" w:rsidRDefault="00756976" w:rsidP="00756976">
      <w:r>
        <w:t xml:space="preserve">In rights issues and public takeover offers PDMRs are treated in </w:t>
      </w:r>
      <w:proofErr w:type="gramStart"/>
      <w:r>
        <w:t>exactly the same</w:t>
      </w:r>
      <w:proofErr w:type="gramEnd"/>
      <w:r>
        <w:t xml:space="preserve"> way as other shareholders and there is no reason whatsoever to impose restrictions on the dealings set out above. Such restrictions may even be harmful to market efficiency. Subjecting PDMRs to these restrictions may prevent the rights issue or public takeover offer from being implemented, if one or more PDMRs (or closely associated persons on whose behalf the act) hold significant stakes in the issuer.  </w:t>
      </w:r>
    </w:p>
    <w:p w14:paraId="10A713C2" w14:textId="77777777" w:rsidR="00756976" w:rsidRDefault="00756976" w:rsidP="00756976"/>
    <w:p w14:paraId="3C3E0B30" w14:textId="56F884B5" w:rsidR="00646C30" w:rsidRDefault="00756976" w:rsidP="00646C30">
      <w:r>
        <w:t>Furthermore, it should be clarified that transactions executed under a discretionary asset management mandate are excluded from the prohibition. The purpose of the prohibition in Article 19(11) is to prevent insider dealing by PDMRs. Since, the PDMR has no possibility to influence the asset manager and to make any investment decision, there cannot be any reason why such transaction would be captured by Article 19(11).</w:t>
      </w:r>
    </w:p>
    <w:p w14:paraId="170800A1" w14:textId="290CD10B" w:rsidR="00646C30" w:rsidRDefault="00646C30" w:rsidP="00646C30"/>
    <w:p w14:paraId="34F33313" w14:textId="77777777" w:rsidR="002B4334" w:rsidRPr="003C3E2E" w:rsidRDefault="002B4334" w:rsidP="002B4334">
      <w:pPr>
        <w:rPr>
          <w:i/>
          <w:szCs w:val="20"/>
        </w:rPr>
      </w:pPr>
      <w:r>
        <w:rPr>
          <w:i/>
          <w:szCs w:val="20"/>
        </w:rPr>
        <w:t>Exemption</w:t>
      </w:r>
      <w:r w:rsidRPr="003C3E2E">
        <w:rPr>
          <w:i/>
          <w:szCs w:val="20"/>
        </w:rPr>
        <w:t xml:space="preserve"> to trading within the closed period</w:t>
      </w:r>
    </w:p>
    <w:p w14:paraId="70FB1FAA" w14:textId="57ADB313" w:rsidR="002B4334" w:rsidRDefault="002B4334" w:rsidP="002B4334">
      <w:r w:rsidRPr="003C3E2E">
        <w:t xml:space="preserve">According to Article 19.12 b) MAR, an issuer may allow a PDMR to trade during a closed period </w:t>
      </w:r>
      <w:r w:rsidRPr="00D311F8">
        <w:t>due to the characteristics of the trading involved for transactions made under, or related to, an employee share or</w:t>
      </w:r>
      <w:r>
        <w:t xml:space="preserve"> </w:t>
      </w:r>
      <w:r w:rsidRPr="00D311F8">
        <w:t>saving scheme, qualification or entitlement of shares, or transactions where the beneficial interest in the relevant</w:t>
      </w:r>
      <w:r>
        <w:t xml:space="preserve"> </w:t>
      </w:r>
      <w:r w:rsidRPr="00D311F8">
        <w:t>security does not change.</w:t>
      </w:r>
    </w:p>
    <w:p w14:paraId="3DBBCF2C" w14:textId="77777777" w:rsidR="00407A34" w:rsidRDefault="00407A34" w:rsidP="002B4334"/>
    <w:p w14:paraId="6CFAACB3" w14:textId="77777777" w:rsidR="002B4334" w:rsidRPr="003C3E2E" w:rsidRDefault="002B4334" w:rsidP="002B4334">
      <w:r w:rsidRPr="003C3E2E">
        <w:t xml:space="preserve">The Commission has stated in Article 9 in the commission delegated regulation (EU) 2016/522 what is meant by the </w:t>
      </w:r>
      <w:r w:rsidRPr="008444FF">
        <w:t>characteristics of the trading during a closed period</w:t>
      </w:r>
      <w:r w:rsidRPr="003C3E2E">
        <w:rPr>
          <w:i/>
        </w:rPr>
        <w:t xml:space="preserve"> </w:t>
      </w:r>
      <w:r w:rsidRPr="003C3E2E">
        <w:t xml:space="preserve">by confirming some, non-exhaustive, circumstances which may cause exemptions to be granted. Article 9 f) states that an exemption may be granted if a PDMR </w:t>
      </w:r>
      <w:r w:rsidRPr="008444FF">
        <w:t>acquires the right to shares</w:t>
      </w:r>
      <w:r w:rsidRPr="003C3E2E">
        <w:t xml:space="preserve"> and the final date for such an acquisition according to the issuer's articles of association falls during the closed period, provided that the PDMR submits evidence to the issuer of the reasons for the acquisition not taking place at another time, and the issuer is satisfied with the provided explanation.</w:t>
      </w:r>
    </w:p>
    <w:p w14:paraId="67C03740" w14:textId="5018C767" w:rsidR="002B4334" w:rsidRPr="003C3E2E" w:rsidRDefault="002B4334" w:rsidP="002B4334">
      <w:r>
        <w:t>The FSA</w:t>
      </w:r>
      <w:r w:rsidRPr="003C3E2E">
        <w:t xml:space="preserve"> has clarified a few things concerning exemptions to trading during the closed period in connection with share</w:t>
      </w:r>
      <w:r>
        <w:t xml:space="preserve"> issues</w:t>
      </w:r>
      <w:r w:rsidRPr="003C3E2E">
        <w:t xml:space="preserve">. Regarding rights issues, </w:t>
      </w:r>
      <w:r>
        <w:t>the FSA</w:t>
      </w:r>
      <w:r w:rsidRPr="003C3E2E">
        <w:t xml:space="preserve"> states that a PDMR with the issuer's consent can subscribe for shares in a rights issue based on the subscription rights obtained from existing holdings.</w:t>
      </w:r>
    </w:p>
    <w:p w14:paraId="54148590" w14:textId="7775B470" w:rsidR="002B4334" w:rsidRDefault="002B4334" w:rsidP="002B4334">
      <w:r w:rsidRPr="003C3E2E">
        <w:t xml:space="preserve">It is further stated that, depending on the circumstances, it may be possible to grant exemptions for subscription of shares in a share issue for a closed period, provided that the PDMR submit evidence to the issuer, if the reasons why the acquisition did not take place at another time and that the explanation that is given is satisfactory. </w:t>
      </w:r>
    </w:p>
    <w:p w14:paraId="0BFA3317" w14:textId="77777777" w:rsidR="00407A34" w:rsidRPr="003C3E2E" w:rsidRDefault="00407A34" w:rsidP="002B4334"/>
    <w:p w14:paraId="3254D40F" w14:textId="1886C2CA" w:rsidR="002B4334" w:rsidRDefault="002B4334" w:rsidP="002B4334">
      <w:r w:rsidRPr="003C3E2E">
        <w:t xml:space="preserve">It is unclear whether </w:t>
      </w:r>
      <w:r>
        <w:t>the FSA</w:t>
      </w:r>
      <w:r w:rsidRPr="003C3E2E">
        <w:t xml:space="preserve"> with a </w:t>
      </w:r>
      <w:r>
        <w:rPr>
          <w:i/>
        </w:rPr>
        <w:t>share issue</w:t>
      </w:r>
      <w:r w:rsidRPr="003C3E2E">
        <w:t xml:space="preserve"> </w:t>
      </w:r>
      <w:r w:rsidRPr="002D4E78">
        <w:rPr>
          <w:i/>
        </w:rPr>
        <w:t>(</w:t>
      </w:r>
      <w:proofErr w:type="spellStart"/>
      <w:r w:rsidRPr="002D4E78">
        <w:rPr>
          <w:i/>
        </w:rPr>
        <w:t>Sw</w:t>
      </w:r>
      <w:proofErr w:type="spellEnd"/>
      <w:r w:rsidRPr="002D4E78">
        <w:rPr>
          <w:i/>
        </w:rPr>
        <w:t xml:space="preserve">: </w:t>
      </w:r>
      <w:proofErr w:type="spellStart"/>
      <w:r w:rsidRPr="002D4E78">
        <w:rPr>
          <w:i/>
        </w:rPr>
        <w:t>nyemission</w:t>
      </w:r>
      <w:proofErr w:type="spellEnd"/>
      <w:r w:rsidRPr="002D4E78">
        <w:rPr>
          <w:i/>
        </w:rPr>
        <w:t>)</w:t>
      </w:r>
      <w:r>
        <w:t xml:space="preserve"> </w:t>
      </w:r>
      <w:r w:rsidRPr="003C3E2E">
        <w:t xml:space="preserve">in this statement means </w:t>
      </w:r>
      <w:r w:rsidRPr="002D4E78">
        <w:t xml:space="preserve">private placement </w:t>
      </w:r>
      <w:r w:rsidRPr="003C3E2E">
        <w:t xml:space="preserve">or all new issues of shares, i.e. also rights issues. If </w:t>
      </w:r>
      <w:r>
        <w:t>the FSA</w:t>
      </w:r>
      <w:r w:rsidRPr="003C3E2E">
        <w:t xml:space="preserve"> aims to include all types of </w:t>
      </w:r>
      <w:r>
        <w:t>share issues</w:t>
      </w:r>
      <w:r w:rsidRPr="003C3E2E">
        <w:t>, the question arises as to whether it is possible to grant exemptions for subscription of shares without the support of subscription rights in a rights issue (see above clarification on subscription with the support of subscription rights, which seems to indicate the opposite)</w:t>
      </w:r>
    </w:p>
    <w:p w14:paraId="04EB732A" w14:textId="77777777" w:rsidR="00407A34" w:rsidRPr="003C3E2E" w:rsidRDefault="00407A34" w:rsidP="002B4334"/>
    <w:p w14:paraId="6BBC6172" w14:textId="14FB1FB3" w:rsidR="00646C30" w:rsidRDefault="002B4334" w:rsidP="00646C30">
      <w:r w:rsidRPr="003C3E2E">
        <w:t xml:space="preserve">We ask for clarification of when an exemption to subscribe for shares can be made, i.e. can exemptions also be granted when subscribing for shares without the support of subscription rights in a rights issue and when subscribing </w:t>
      </w:r>
      <w:r>
        <w:t xml:space="preserve">for shares </w:t>
      </w:r>
      <w:r w:rsidRPr="003C3E2E">
        <w:t>in a private placement.</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lastRenderedPageBreak/>
        <w:t>&lt;ESMA_QUESTION_CP_MAR_</w:t>
      </w:r>
      <w:r w:rsidR="00DD7418">
        <w:t>54</w:t>
      </w:r>
      <w:r>
        <w:t>&gt;</w:t>
      </w:r>
    </w:p>
    <w:p w14:paraId="3C3E0B35" w14:textId="60093B8D" w:rsidR="00646C30" w:rsidRDefault="008D3FC8" w:rsidP="00646C30">
      <w:permStart w:id="306464996" w:edGrp="everyone"/>
      <w:r>
        <w:t>TYPE YOUR TEXT HERE</w:t>
      </w:r>
      <w:r w:rsidR="004648E7" w:rsidRPr="00E220B6">
        <w:rPr>
          <w:rFonts w:cstheme="minorHAnsi"/>
          <w:bCs/>
          <w:lang w:val="en-US"/>
        </w:rPr>
        <w:t>.</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5F417EFF" w14:textId="69079AB5" w:rsidR="00DB5094" w:rsidRDefault="00DB5094" w:rsidP="00DB5094">
      <w:permStart w:id="680881453" w:edGrp="everyone"/>
      <w:r>
        <w:t xml:space="preserve">Article 19(11) as currently drafted already goes a long way to prevent insider dealing, as it captures not only transactions conducted by PDMRs on their own account, but also transactions conducted for the account of a third party, directly or indirectly. ESMA’s concern that it does not capture cases where a closely associated person trades </w:t>
      </w:r>
      <w:proofErr w:type="gramStart"/>
      <w:r>
        <w:t>on the basis of</w:t>
      </w:r>
      <w:proofErr w:type="gramEnd"/>
      <w:r>
        <w:t xml:space="preserve"> inside information provided by the PDMR and where a PDMR in possession of inside information recommends a closely associated person to trade is fully addressed by Article 8 that prohibits such trading. An extension of the closed period to closely associated persons would place additional burdens on both PDMRs, closely associated person and issuers and create new obligations for individuals which they can be personally liable for breaching, where there is no harm to market integrity. Against this backdrop, Article 19(11) as currently drafted strikes an appropriate balance between fulfilling the purpose of the prohibition in Article 19(11) (which is to is to prevent insider dealing by PDMRs) on the one hand, and not unnecessarily placing burdens on PDMRs, their closely associated persons and issuers (and subjecting them to hefty fines in circumstances where it would be unreasonable to do so) on the other. </w:t>
      </w:r>
    </w:p>
    <w:p w14:paraId="63C6F5C8" w14:textId="77777777" w:rsidR="00407A34" w:rsidRDefault="00407A34" w:rsidP="00DB5094"/>
    <w:p w14:paraId="3C3E0B3A" w14:textId="0D860169" w:rsidR="00646C30" w:rsidRDefault="00DB5094" w:rsidP="00646C30">
      <w:r>
        <w:t>We agree with the downsides identified by ESMA of extending the closed period to issuers. We believe that these downsides would materially harm market efficiency by preventing debt and equity offerings as well as investments and acquisitions by issuers.</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26872BFD" w:rsidR="00646C30" w:rsidRDefault="00C5644B" w:rsidP="00646C30">
      <w:permStart w:id="1771316849" w:edGrp="everyone"/>
      <w:r w:rsidRPr="00C5644B">
        <w:t>Article 19(12)(a) should be amended to enable the issuer to permit a PDMR, on a case-by-case basis, to sell also other financial instruments than shares, where there are exceptional circumstances which require the immediate sale. As ESMA has pointed out, the sale of financial instruments other than shares may also be functional to the solution of the same severe financial difficulties conditions which are considered by Article 19(12)(a) of MAR. There is no reason whatsoever to differentiate between shares and other financial instruments in this context.</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70A57D31" w14:textId="3F0A4C43" w:rsidR="00811DB3" w:rsidRDefault="00811DB3" w:rsidP="00811DB3">
      <w:permStart w:id="1172058443" w:edGrp="everyone"/>
      <w:r>
        <w:t xml:space="preserve">ESMA believes that there is merit in exploring whether market participants consider that there are cases, currently not explicitly covered by the criteria under Article 19(12)(b), which should be added to the exemptions. We note that ESMA in this context </w:t>
      </w:r>
      <w:proofErr w:type="gramStart"/>
      <w:r>
        <w:t>makes reference</w:t>
      </w:r>
      <w:proofErr w:type="gramEnd"/>
      <w:r>
        <w:t xml:space="preserve"> to cases in which, at the time in which a </w:t>
      </w:r>
      <w:r>
        <w:lastRenderedPageBreak/>
        <w:t>contract was entered into, it was not possible to foresee that such contract would require the acquisition or the subscription of financial instruments (the “transaction” pursuant to Article 19) within a closed period. ESMA goes on to state that in this respect, it is relevant to point out that exemptions to the closed period are not appropriate where the PDMR would be able to make an investment decision in such time-span.</w:t>
      </w:r>
    </w:p>
    <w:p w14:paraId="091C7E02" w14:textId="77777777" w:rsidR="00E44F5C" w:rsidRDefault="00E44F5C" w:rsidP="00811DB3"/>
    <w:p w14:paraId="17C0B46B" w14:textId="77777777" w:rsidR="00811DB3" w:rsidRDefault="00811DB3" w:rsidP="00811DB3">
      <w:r>
        <w:t xml:space="preserve">If it is ESMA’s view that contracts entered into outside a closed period that require completion of the relevant transactions during a closed period are captured by the closed period requirement, then this would be an inaccurate interpretation of Article 19(11). The purpose of the prohibition in Article 19(11) is to prevent insider dealing by PDMRs. Where the decision to trade is made outside the closed period, the PDMR is not trading during the closed period. Nor is there any conduct by the PDMR during the closed period, since the contract requires the acquisition or sale of financial instruments during the closed period. This situation should therefore not be added to the scope of the exemptions under Article 19(12), as it could mistakenly be taken to mean that such transactions would otherwise be captured by Article 19, which obviously cannot be the case. Reference is also made to Article 9(3) which makes it clear that performing a contractual obligation </w:t>
      </w:r>
      <w:proofErr w:type="gramStart"/>
      <w:r>
        <w:t>entered into</w:t>
      </w:r>
      <w:proofErr w:type="gramEnd"/>
      <w:r>
        <w:t xml:space="preserve"> prior to possessing inside information is not insider dealing.</w:t>
      </w:r>
    </w:p>
    <w:p w14:paraId="4992640D" w14:textId="77777777" w:rsidR="00C22E1A" w:rsidRDefault="00C22E1A" w:rsidP="00811DB3"/>
    <w:p w14:paraId="56D62AD6" w14:textId="575095DF" w:rsidR="00811DB3" w:rsidRDefault="00811DB3" w:rsidP="00811DB3">
      <w:r>
        <w:t>Clarification of financial instruments in scope of Article 19</w:t>
      </w:r>
    </w:p>
    <w:p w14:paraId="713635E5" w14:textId="2E766E26" w:rsidR="00811DB3" w:rsidRDefault="00811DB3" w:rsidP="00811DB3">
      <w:r>
        <w:t xml:space="preserve">We have also identified another point where clarification of Article 19 is needed, namely which financial instruments fall within the scope of Article 19. It seems that different competent authorities have taken different views when determining whether a PDMR of an issuer that have only debt financial instruments admitted to trading on an EU trading venue, must notify the issuer and the competent authority of transactions in the (unlisted) ordinary shares of the issuer.  </w:t>
      </w:r>
    </w:p>
    <w:p w14:paraId="106C7116" w14:textId="77777777" w:rsidR="00407A34" w:rsidRDefault="00407A34" w:rsidP="00811DB3"/>
    <w:p w14:paraId="4672290E" w14:textId="0CBC45D2" w:rsidR="00E618A2" w:rsidRDefault="00811DB3" w:rsidP="00E618A2">
      <w:pPr>
        <w:rPr>
          <w:szCs w:val="22"/>
        </w:rPr>
      </w:pPr>
      <w:r>
        <w:t>In Germany, the competent authority has clarified that the notification requirement under Article 19 of MAR applies to transactions (</w:t>
      </w:r>
      <w:proofErr w:type="spellStart"/>
      <w:r>
        <w:t>i</w:t>
      </w:r>
      <w:proofErr w:type="spellEnd"/>
      <w:r>
        <w:t xml:space="preserve">) in shares or debt instruments of the issuer that are traded on a regulated market or on an MTF/OTF at the request or with the approval of the issuer (with reference to Article 2(1)(a) to (c) and Article 19(4)); or in derivatives or other financial instruments relating thereto </w:t>
      </w:r>
      <w:r w:rsidR="004A6E40" w:rsidRPr="004A6E40">
        <w:t>(</w:t>
      </w:r>
      <w:r w:rsidR="00E618A2" w:rsidRPr="00B8211D">
        <w:rPr>
          <w:szCs w:val="22"/>
        </w:rPr>
        <w:t xml:space="preserve">with reference to Article 2(1)(d)). </w:t>
      </w:r>
    </w:p>
    <w:p w14:paraId="2D69B8AA" w14:textId="77777777" w:rsidR="0092778D" w:rsidRPr="00B8211D" w:rsidRDefault="0092778D" w:rsidP="00E618A2">
      <w:pPr>
        <w:rPr>
          <w:szCs w:val="22"/>
        </w:rPr>
      </w:pPr>
    </w:p>
    <w:p w14:paraId="53885E2C" w14:textId="4778742C" w:rsidR="00461DB5" w:rsidRDefault="00E618A2" w:rsidP="00461DB5">
      <w:pPr>
        <w:rPr>
          <w:lang w:val="en-US"/>
        </w:rPr>
      </w:pPr>
      <w:r w:rsidRPr="00B8211D">
        <w:rPr>
          <w:szCs w:val="22"/>
        </w:rPr>
        <w:t xml:space="preserve">Similarly, </w:t>
      </w:r>
      <w:proofErr w:type="spellStart"/>
      <w:r w:rsidRPr="00B8211D">
        <w:rPr>
          <w:szCs w:val="22"/>
        </w:rPr>
        <w:t>i</w:t>
      </w:r>
      <w:proofErr w:type="spellEnd"/>
      <w:r>
        <w:rPr>
          <w:lang w:val="en-US"/>
        </w:rPr>
        <w:t>n the</w:t>
      </w:r>
      <w:r>
        <w:t xml:space="preserve"> </w:t>
      </w:r>
      <w:r w:rsidR="00811DB3">
        <w:t>UK, the competent authority has clarified that the notification requirement under Article 19 of MAR only applies to transactions in financial instruments of the issuer which are either (</w:t>
      </w:r>
      <w:proofErr w:type="spellStart"/>
      <w:r w:rsidR="00811DB3">
        <w:t>i</w:t>
      </w:r>
      <w:proofErr w:type="spellEnd"/>
      <w:r w:rsidR="00811DB3">
        <w:t xml:space="preserve">) subject to a request for or approval of admission to trading on an EU trading venue, or (ii) linked to financial instruments which are themselves subject to a request for or approval of admission to trading on an EU trading venue. Dealing in instruments that do not fall into either of these categories is not subject to Article </w:t>
      </w:r>
      <w:r w:rsidR="00461DB5" w:rsidRPr="003F491E">
        <w:rPr>
          <w:lang w:val="en-US"/>
        </w:rPr>
        <w:t>19.</w:t>
      </w:r>
    </w:p>
    <w:p w14:paraId="74B841CC" w14:textId="7FA334BB" w:rsidR="00811DB3" w:rsidRDefault="00811DB3" w:rsidP="00E618A2">
      <w:r>
        <w:t xml:space="preserve"> </w:t>
      </w:r>
    </w:p>
    <w:p w14:paraId="5BC12DE3" w14:textId="6CC55151" w:rsidR="00811DB3" w:rsidRDefault="00811DB3" w:rsidP="00811DB3">
      <w:r>
        <w:t xml:space="preserve">Unlike the competent authorities in Germany and the UK, the Swedish competent authority and Swedish Administrative Courts have held that Article 19 applies to transactions in all financial instruments issued by an issuer, where the issuer has requested or approved admission of any of its financial instruments to trading on a regulated market or an </w:t>
      </w:r>
      <w:r w:rsidR="00EB59CD" w:rsidRPr="00B8211D">
        <w:rPr>
          <w:szCs w:val="22"/>
        </w:rPr>
        <w:t>MTF/OTF.</w:t>
      </w:r>
      <w:r>
        <w:t xml:space="preserve">  </w:t>
      </w:r>
    </w:p>
    <w:p w14:paraId="272A6CED" w14:textId="77777777" w:rsidR="00407A34" w:rsidRDefault="00407A34" w:rsidP="00811DB3"/>
    <w:p w14:paraId="1D0A4432" w14:textId="77777777" w:rsidR="00811DB3" w:rsidRDefault="00811DB3" w:rsidP="00811DB3">
      <w:r>
        <w:t xml:space="preserve">The obligation to disclose in Article 19(1) applies to transactions in “the shares or debt instruments of that issuer” or “derivatives or other financial instruments linked thereto”. The reference to “shares or debt instruments” in Article 19 (1) should obviously be interpreted </w:t>
      </w:r>
      <w:proofErr w:type="gramStart"/>
      <w:r>
        <w:t>in light of</w:t>
      </w:r>
      <w:proofErr w:type="gramEnd"/>
      <w:r>
        <w:t xml:space="preserve"> the scope of MAR as set out in Article 2(1). As a result, the obligation to disclose in Article 19(1) only applies to shares or debt instruments which either (</w:t>
      </w:r>
      <w:proofErr w:type="spellStart"/>
      <w:r>
        <w:t>i</w:t>
      </w:r>
      <w:proofErr w:type="spellEnd"/>
      <w:r>
        <w:t>) are traded on an EU trading venue, or for which a request for admission to such trading has been made (and therefore fall within paragraphs (a), (b) or (c) of Article 2(1)); or (ii) are financial instruments the price or value of which depends on or has an effect on the price or value of a financial instrument traded on an EU trading venue (and therefore fall within paragraph (d) of Article 2(1)).</w:t>
      </w:r>
    </w:p>
    <w:p w14:paraId="004E4B5E" w14:textId="77777777" w:rsidR="002B263B" w:rsidRDefault="002B263B" w:rsidP="00811DB3"/>
    <w:p w14:paraId="2DE6E6C4" w14:textId="21CDDDC5" w:rsidR="00811DB3" w:rsidRDefault="00811DB3" w:rsidP="00811DB3">
      <w:r>
        <w:t xml:space="preserve">The price or value of an ordinary share does not depend on or </w:t>
      </w:r>
      <w:proofErr w:type="gramStart"/>
      <w:r>
        <w:t>have an effect on</w:t>
      </w:r>
      <w:proofErr w:type="gramEnd"/>
      <w:r>
        <w:t xml:space="preserve"> the price or value of a debt instrument issued by the same issuer (at least where the debt instrument has no equity element). </w:t>
      </w:r>
      <w:r w:rsidR="00AF6C1D">
        <w:t>Therefore,</w:t>
      </w:r>
      <w:r>
        <w:t xml:space="preserve"> dealings by PDMRs and their PCAs in ordinary shares of a debt issuer do not fall within the scope of Article 19, unless those shares are themselves traded on an EU venue (Article 2(1) a)-c)). </w:t>
      </w:r>
    </w:p>
    <w:p w14:paraId="51924114" w14:textId="77777777" w:rsidR="00094090" w:rsidRDefault="00094090" w:rsidP="00811DB3"/>
    <w:p w14:paraId="0E2FB450" w14:textId="07F80987" w:rsidR="00811DB3" w:rsidRDefault="00811DB3" w:rsidP="00811DB3">
      <w:r>
        <w:lastRenderedPageBreak/>
        <w:t>Against this backdrop, we are of the view that the correct interpretation of Article 19(1) (a) is that dealings by PDMRs and their PCAs in ordinary shares of a debt issuer do not fall within the scope of Article 19, unless those shares are themselves traded on an EU venue (Article 2(1) a)-c)). However, as there currently are differing views among competent authorities on this point, clarification is needed.</w:t>
      </w:r>
    </w:p>
    <w:p w14:paraId="52AC0F82" w14:textId="77777777" w:rsidR="00094090" w:rsidRDefault="00094090" w:rsidP="00811DB3"/>
    <w:p w14:paraId="57252300" w14:textId="72D78F94" w:rsidR="00811DB3" w:rsidRDefault="00811DB3" w:rsidP="00811DB3">
      <w:r>
        <w:t>The prohibition against insider dealing</w:t>
      </w:r>
    </w:p>
    <w:p w14:paraId="46BC8AD8" w14:textId="77777777" w:rsidR="00811DB3" w:rsidRDefault="00811DB3" w:rsidP="00811DB3">
      <w:r>
        <w:t xml:space="preserve">The definition of insider dealing in Article 8 in MAR includes, inter alia, when a person possesses inside information and uses that information by acquiring or disposing of, for its own account or for the account of a third party, directly or indirectly, financial instruments (e.g. shares) to which that information relates. Article 14 in MAR states, inter alia, a prohibition against insider dealing. </w:t>
      </w:r>
    </w:p>
    <w:p w14:paraId="3A230FD3" w14:textId="77777777" w:rsidR="00094090" w:rsidRDefault="00094090" w:rsidP="00811DB3"/>
    <w:p w14:paraId="4A276420" w14:textId="527052BD" w:rsidR="00811DB3" w:rsidRDefault="00811DB3" w:rsidP="00811DB3">
      <w:r>
        <w:t>Subscription of shares</w:t>
      </w:r>
    </w:p>
    <w:p w14:paraId="6438E96D" w14:textId="77777777" w:rsidR="00811DB3" w:rsidRDefault="00811DB3" w:rsidP="00811DB3">
      <w:r>
        <w:t>When it comes to the prohibition against insider dealing, the question also arises which measures in the process of subscription of shares that are forbidden to take if the subscriber has inside information? Is it the subscription of shares on a subscription list that is prohibited, or is it also required that the board has resolved on the allocation of the subscribed shares for the subscription to be deemed to have taken place definitively? Or maybe some additional steps also are required for the subscription to be considered concluded in this context and to be prohibited, if the subscriber has inside information?</w:t>
      </w:r>
    </w:p>
    <w:p w14:paraId="1EEE5445" w14:textId="77777777" w:rsidR="005C300A" w:rsidRDefault="005C300A" w:rsidP="00811DB3"/>
    <w:p w14:paraId="765FF793" w14:textId="1CEBD8F1" w:rsidR="00811DB3" w:rsidRDefault="00811DB3" w:rsidP="00811DB3">
      <w:r>
        <w:t>Are there any other steps that are prohibited to take when you have inside information, e.g. to receive the subscribed and allocated shares in the owner-registered account/custody account?</w:t>
      </w:r>
    </w:p>
    <w:p w14:paraId="475119F8" w14:textId="77777777" w:rsidR="005C300A" w:rsidRDefault="005C300A" w:rsidP="00811DB3"/>
    <w:p w14:paraId="5AA9C1B4" w14:textId="38238FD1" w:rsidR="00811DB3" w:rsidRDefault="00811DB3" w:rsidP="00811DB3">
      <w:r>
        <w:t>In our opinion, it must only be actions taken by the subscriber that may be prohibited to take when in possession of inside information, i.e. the actual subscription of shares (by payment or by subscription on a subscription list). After all, the subscriber cannot control the timing of certain actions that are beyond his or her control, e.g. the board's decision on the allocation of the shares, registration of the new share issue with the Swedish Companies Registration Office and delivery of the shares to the subscriber's owner-registered account/custody account.</w:t>
      </w:r>
    </w:p>
    <w:p w14:paraId="170EBE97" w14:textId="77777777" w:rsidR="00407A34" w:rsidRDefault="00407A34" w:rsidP="00811DB3"/>
    <w:p w14:paraId="3C3E0B44" w14:textId="4298D741" w:rsidR="00646C30" w:rsidRDefault="00811DB3" w:rsidP="00646C30">
      <w:r>
        <w:t>We ask for clarification on what action or actions in the process of subscription of shares that, according to MAR, is/are prohibited to take when the subscriber is in the possession of inside information.</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lastRenderedPageBreak/>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lastRenderedPageBreak/>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2999CD2F" w:rsidR="00646C30" w:rsidRDefault="0024540F" w:rsidP="00646C30">
      <w:permStart w:id="81003916" w:edGrp="everyone"/>
      <w:r w:rsidRPr="009C5AD2">
        <w:rPr>
          <w:lang w:val="en"/>
        </w:rPr>
        <w:t xml:space="preserve">Regarding the cross-market order book, whether it is to be used by competent authorities for real time surveillance or to be reported at end of the day to be used the way transactions from </w:t>
      </w:r>
      <w:r w:rsidR="006560F2">
        <w:rPr>
          <w:lang w:val="en"/>
        </w:rPr>
        <w:t>TRS</w:t>
      </w:r>
      <w:r w:rsidRPr="009C5AD2">
        <w:rPr>
          <w:lang w:val="en"/>
        </w:rPr>
        <w:t xml:space="preserve"> are used, we believe the size of the data will be so large that it is doubtful if it can be handled in any efficient manner. We do not think this proposal will come out favorable in a cost benefit analysis, and therefor</w:t>
      </w:r>
      <w:r>
        <w:rPr>
          <w:lang w:val="en"/>
        </w:rPr>
        <w:t>e</w:t>
      </w:r>
      <w:r w:rsidRPr="009C5AD2">
        <w:rPr>
          <w:lang w:val="en"/>
        </w:rPr>
        <w:t xml:space="preserve"> suggest that no change be made in this area.</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12EDB56E" w14:textId="2BB26F03" w:rsidR="00A6762C" w:rsidRDefault="00A6762C" w:rsidP="00893B1A">
      <w:permStart w:id="889603544" w:edGrp="everyone"/>
      <w:r>
        <w:t>Since MAR entered into force, the Swedish FSA (</w:t>
      </w:r>
      <w:r>
        <w:rPr>
          <w:i/>
        </w:rPr>
        <w:t xml:space="preserve">Sw. </w:t>
      </w:r>
      <w:r>
        <w:t>Finansinspektionen) has imposed sanctions on private individuals and companies to a large extent, for example regarding late reporting of PDMR transactions. In many cases, very high amounts have been determined even though the transactions already hav</w:t>
      </w:r>
      <w:r>
        <w:lastRenderedPageBreak/>
        <w:t>ing been made public, for example through the application of flagging rules or press releases from relevant companies. Thus, in many cases, the sizes of the sanction fees that have been determined have not been in proportion to the severity of the infringement. In this context, it should also be more explicitly considered that the regulations are complicated to apply, not least for private individuals without significant experience of the regulation.</w:t>
      </w:r>
    </w:p>
    <w:p w14:paraId="77599CDB" w14:textId="77777777" w:rsidR="00407A34" w:rsidRDefault="00407A34" w:rsidP="00893B1A"/>
    <w:p w14:paraId="4455F070" w14:textId="431C8DC4" w:rsidR="00A6762C" w:rsidRDefault="00A6762C" w:rsidP="00893B1A">
      <w:r>
        <w:t>When comparing sanctions imposed by other competent authorities in the EU, it is obvious that the Swedish authority has made a very strict interpretation of MAR. Furthermore, the amount of cases when sanctions have been imposed are by far the highest in Europe. In some cases, severe sanctions have been imposed where other countries’ supervisory authorities have deemed written criticism to be enough. Against this background, the need for guidance at EU level is very high.</w:t>
      </w:r>
    </w:p>
    <w:p w14:paraId="39776561" w14:textId="77777777" w:rsidR="00407A34" w:rsidRDefault="00407A34" w:rsidP="00893B1A"/>
    <w:p w14:paraId="3C3E0B84" w14:textId="11E57ADD" w:rsidR="00646C30" w:rsidRDefault="00A6762C" w:rsidP="00646C30">
      <w:r>
        <w:t>Thus, in order to achieve a more unified application of MAR, it is of utmost importance that it is clearly stated that all circumstances in the individual case must be considered when deciding on the imposition of sanctions, as well as the size of the sanction fee. It should also be made clear that the basis for the assessment should always be the concrete and potential effects of the breach on the financial system. Furthermore, clear guidelines should be laid down to clarify how the sanction fees should be calculated.</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4F035" w14:textId="77777777" w:rsidR="00FF0DE3" w:rsidRDefault="00FF0DE3">
      <w:r>
        <w:separator/>
      </w:r>
    </w:p>
    <w:p w14:paraId="47700642" w14:textId="77777777" w:rsidR="00FF0DE3" w:rsidRDefault="00FF0DE3"/>
  </w:endnote>
  <w:endnote w:type="continuationSeparator" w:id="0">
    <w:p w14:paraId="17050C6E" w14:textId="77777777" w:rsidR="00FF0DE3" w:rsidRDefault="00FF0DE3">
      <w:r>
        <w:continuationSeparator/>
      </w:r>
    </w:p>
    <w:p w14:paraId="37BA9148" w14:textId="77777777" w:rsidR="00FF0DE3" w:rsidRDefault="00FF0DE3"/>
  </w:endnote>
  <w:endnote w:type="continuationNotice" w:id="1">
    <w:p w14:paraId="2241FB49" w14:textId="77777777" w:rsidR="00FF0DE3" w:rsidRDefault="00FF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77777777"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FA5524" w:rsidRDefault="00FA552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FA5524" w:rsidRDefault="00FA55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7B389" w14:textId="77777777" w:rsidR="00FF0DE3" w:rsidRDefault="00FF0DE3">
      <w:r>
        <w:separator/>
      </w:r>
    </w:p>
    <w:p w14:paraId="236F7666" w14:textId="77777777" w:rsidR="00FF0DE3" w:rsidRDefault="00FF0DE3"/>
  </w:footnote>
  <w:footnote w:type="continuationSeparator" w:id="0">
    <w:p w14:paraId="438BD71C" w14:textId="77777777" w:rsidR="00FF0DE3" w:rsidRDefault="00FF0DE3">
      <w:r>
        <w:continuationSeparator/>
      </w:r>
    </w:p>
    <w:p w14:paraId="66C835D8" w14:textId="77777777" w:rsidR="00FF0DE3" w:rsidRDefault="00FF0DE3"/>
  </w:footnote>
  <w:footnote w:type="continuationNotice" w:id="1">
    <w:p w14:paraId="427B4B95" w14:textId="77777777" w:rsidR="00FF0DE3" w:rsidRDefault="00FF0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FA5524" w:rsidRDefault="00FA5524">
    <w:pPr>
      <w:pStyle w:val="Sidhuvud"/>
    </w:pPr>
    <w:r>
      <w:rPr>
        <w:noProof/>
        <w:lang w:eastAsia="en-GB"/>
      </w:rPr>
      <w:drawing>
        <wp:anchor distT="0" distB="0" distL="114300" distR="114300" simplePos="0" relativeHeight="251658243"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869DF"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FA5524" w:rsidRDefault="00FA5524" w:rsidP="00013CCE">
    <w:pPr>
      <w:pStyle w:val="Sidhuvud"/>
      <w:jc w:val="right"/>
    </w:pPr>
    <w:r>
      <w:rPr>
        <w:noProof/>
        <w:lang w:eastAsia="en-GB"/>
      </w:rPr>
      <w:drawing>
        <wp:anchor distT="0" distB="0" distL="114300" distR="114300" simplePos="0" relativeHeight="251658242"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Sidhuvud"/>
      <w:rPr>
        <w:lang w:val="fr-FR"/>
      </w:rPr>
    </w:pPr>
  </w:p>
  <w:p w14:paraId="3C3E0BA5" w14:textId="77777777" w:rsidR="00FA5524" w:rsidRPr="002F4496" w:rsidRDefault="00FA5524" w:rsidP="000C06C9">
    <w:pPr>
      <w:pStyle w:val="Sidhuvud"/>
      <w:tabs>
        <w:tab w:val="clear" w:pos="4536"/>
        <w:tab w:val="clear" w:pos="9072"/>
        <w:tab w:val="left" w:pos="8227"/>
      </w:tabs>
      <w:rPr>
        <w:lang w:val="fr-FR"/>
      </w:rPr>
    </w:pPr>
  </w:p>
  <w:p w14:paraId="3C3E0BA6" w14:textId="77777777" w:rsidR="00FA5524" w:rsidRPr="002F4496" w:rsidRDefault="00FA5524" w:rsidP="00583885">
    <w:pPr>
      <w:pStyle w:val="Sidhuvud"/>
      <w:jc w:val="right"/>
      <w:rPr>
        <w:lang w:val="fr-FR"/>
      </w:rPr>
    </w:pPr>
  </w:p>
  <w:p w14:paraId="3C3E0BA7" w14:textId="77777777" w:rsidR="00FA5524" w:rsidRPr="002F4496" w:rsidRDefault="00FA5524">
    <w:pPr>
      <w:pStyle w:val="Sidhuvud"/>
      <w:rPr>
        <w:lang w:val="fr-FR"/>
      </w:rPr>
    </w:pPr>
  </w:p>
  <w:p w14:paraId="3C3E0BA8" w14:textId="77777777" w:rsidR="00FA5524" w:rsidRPr="002F4496" w:rsidRDefault="00FA5524">
    <w:pPr>
      <w:pStyle w:val="Sidhuvud"/>
      <w:rPr>
        <w:lang w:val="fr-FR"/>
      </w:rPr>
    </w:pPr>
  </w:p>
  <w:p w14:paraId="3C3E0BA9" w14:textId="77777777" w:rsidR="00FA5524" w:rsidRPr="002F4496" w:rsidRDefault="00FA5524">
    <w:pPr>
      <w:pStyle w:val="Sidhuvud"/>
      <w:rPr>
        <w:lang w:val="fr-FR"/>
      </w:rPr>
    </w:pPr>
  </w:p>
  <w:p w14:paraId="3C3E0BAA" w14:textId="77777777" w:rsidR="00FA5524" w:rsidRPr="002F4496" w:rsidRDefault="00FA5524">
    <w:pPr>
      <w:pStyle w:val="Sidhuvud"/>
      <w:rPr>
        <w:highlight w:val="yellow"/>
        <w:lang w:val="fr-FR"/>
      </w:rPr>
    </w:pPr>
  </w:p>
  <w:p w14:paraId="3C3E0BAB" w14:textId="77777777" w:rsidR="00FA5524" w:rsidRDefault="00FA5524">
    <w:pPr>
      <w:pStyle w:val="Sidhuvud"/>
    </w:pPr>
    <w:r>
      <w:rPr>
        <w:noProof/>
        <w:lang w:eastAsia="en-GB"/>
      </w:rPr>
      <mc:AlternateContent>
        <mc:Choice Requires="wps">
          <w:drawing>
            <wp:anchor distT="0" distB="0" distL="114299" distR="114299" simplePos="0" relativeHeight="251658245"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9CD3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5F42"/>
    <w:rsid w:val="00006C2B"/>
    <w:rsid w:val="00007014"/>
    <w:rsid w:val="00007968"/>
    <w:rsid w:val="0001067A"/>
    <w:rsid w:val="00012153"/>
    <w:rsid w:val="00013CCE"/>
    <w:rsid w:val="000140D5"/>
    <w:rsid w:val="0001410B"/>
    <w:rsid w:val="000141D6"/>
    <w:rsid w:val="00014A95"/>
    <w:rsid w:val="00015B5E"/>
    <w:rsid w:val="00015F1D"/>
    <w:rsid w:val="0001774B"/>
    <w:rsid w:val="00017FF2"/>
    <w:rsid w:val="00020D0F"/>
    <w:rsid w:val="000215EB"/>
    <w:rsid w:val="00021E83"/>
    <w:rsid w:val="00023713"/>
    <w:rsid w:val="00023C4D"/>
    <w:rsid w:val="00025E71"/>
    <w:rsid w:val="00026226"/>
    <w:rsid w:val="00026269"/>
    <w:rsid w:val="00026417"/>
    <w:rsid w:val="00026666"/>
    <w:rsid w:val="00026FE6"/>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388"/>
    <w:rsid w:val="000537BB"/>
    <w:rsid w:val="0005399B"/>
    <w:rsid w:val="00054DE6"/>
    <w:rsid w:val="000569D7"/>
    <w:rsid w:val="000576D7"/>
    <w:rsid w:val="0006066A"/>
    <w:rsid w:val="00060F72"/>
    <w:rsid w:val="00062592"/>
    <w:rsid w:val="000636A1"/>
    <w:rsid w:val="000649D9"/>
    <w:rsid w:val="000652BE"/>
    <w:rsid w:val="00065E30"/>
    <w:rsid w:val="00066479"/>
    <w:rsid w:val="0006723C"/>
    <w:rsid w:val="00070376"/>
    <w:rsid w:val="00070630"/>
    <w:rsid w:val="00070974"/>
    <w:rsid w:val="00071EAD"/>
    <w:rsid w:val="00071F4E"/>
    <w:rsid w:val="00072271"/>
    <w:rsid w:val="00072B54"/>
    <w:rsid w:val="0007463D"/>
    <w:rsid w:val="00074979"/>
    <w:rsid w:val="000749F0"/>
    <w:rsid w:val="00075CB4"/>
    <w:rsid w:val="0007609D"/>
    <w:rsid w:val="00077C67"/>
    <w:rsid w:val="00080692"/>
    <w:rsid w:val="00080976"/>
    <w:rsid w:val="00080EEC"/>
    <w:rsid w:val="00081CEB"/>
    <w:rsid w:val="00081E60"/>
    <w:rsid w:val="00082CD0"/>
    <w:rsid w:val="00082D8E"/>
    <w:rsid w:val="00082E31"/>
    <w:rsid w:val="000839B6"/>
    <w:rsid w:val="00083AA3"/>
    <w:rsid w:val="00085947"/>
    <w:rsid w:val="000868FE"/>
    <w:rsid w:val="000878D1"/>
    <w:rsid w:val="000921AE"/>
    <w:rsid w:val="000921D7"/>
    <w:rsid w:val="000925FF"/>
    <w:rsid w:val="000932E0"/>
    <w:rsid w:val="00094090"/>
    <w:rsid w:val="00094853"/>
    <w:rsid w:val="00094C4C"/>
    <w:rsid w:val="00096762"/>
    <w:rsid w:val="000969C8"/>
    <w:rsid w:val="0009752D"/>
    <w:rsid w:val="00097AEE"/>
    <w:rsid w:val="000A014A"/>
    <w:rsid w:val="000A0396"/>
    <w:rsid w:val="000A04B6"/>
    <w:rsid w:val="000A0E36"/>
    <w:rsid w:val="000A1BD2"/>
    <w:rsid w:val="000A2127"/>
    <w:rsid w:val="000A358F"/>
    <w:rsid w:val="000A3A12"/>
    <w:rsid w:val="000A3C92"/>
    <w:rsid w:val="000A43CC"/>
    <w:rsid w:val="000A60C6"/>
    <w:rsid w:val="000A7314"/>
    <w:rsid w:val="000A79BB"/>
    <w:rsid w:val="000A7B53"/>
    <w:rsid w:val="000A7B64"/>
    <w:rsid w:val="000B0730"/>
    <w:rsid w:val="000B0C38"/>
    <w:rsid w:val="000B275C"/>
    <w:rsid w:val="000B295D"/>
    <w:rsid w:val="000B2C3D"/>
    <w:rsid w:val="000B55C0"/>
    <w:rsid w:val="000B5DF2"/>
    <w:rsid w:val="000B6523"/>
    <w:rsid w:val="000C0655"/>
    <w:rsid w:val="000C06C9"/>
    <w:rsid w:val="000C1DCC"/>
    <w:rsid w:val="000C1FBC"/>
    <w:rsid w:val="000C2B6A"/>
    <w:rsid w:val="000C2F88"/>
    <w:rsid w:val="000C55C8"/>
    <w:rsid w:val="000C57C4"/>
    <w:rsid w:val="000C5892"/>
    <w:rsid w:val="000C5FD3"/>
    <w:rsid w:val="000C701D"/>
    <w:rsid w:val="000C7C4A"/>
    <w:rsid w:val="000D17AA"/>
    <w:rsid w:val="000D187A"/>
    <w:rsid w:val="000D1D4E"/>
    <w:rsid w:val="000D2D0B"/>
    <w:rsid w:val="000D4660"/>
    <w:rsid w:val="000D5CA2"/>
    <w:rsid w:val="000D6535"/>
    <w:rsid w:val="000D6D45"/>
    <w:rsid w:val="000D705D"/>
    <w:rsid w:val="000D71F1"/>
    <w:rsid w:val="000D7EB9"/>
    <w:rsid w:val="000E0223"/>
    <w:rsid w:val="000E0CF3"/>
    <w:rsid w:val="000E18A8"/>
    <w:rsid w:val="000E1AEC"/>
    <w:rsid w:val="000E1F7C"/>
    <w:rsid w:val="000E2456"/>
    <w:rsid w:val="000E3937"/>
    <w:rsid w:val="000E47A4"/>
    <w:rsid w:val="000E4926"/>
    <w:rsid w:val="000E49B7"/>
    <w:rsid w:val="000E5F7F"/>
    <w:rsid w:val="000E7086"/>
    <w:rsid w:val="000E7C65"/>
    <w:rsid w:val="000F0136"/>
    <w:rsid w:val="000F04D2"/>
    <w:rsid w:val="000F521E"/>
    <w:rsid w:val="000F55B7"/>
    <w:rsid w:val="000F604F"/>
    <w:rsid w:val="000F65EE"/>
    <w:rsid w:val="000F7399"/>
    <w:rsid w:val="00100168"/>
    <w:rsid w:val="00101A3F"/>
    <w:rsid w:val="00101BF1"/>
    <w:rsid w:val="001027F1"/>
    <w:rsid w:val="00103756"/>
    <w:rsid w:val="00103DCE"/>
    <w:rsid w:val="00104F2E"/>
    <w:rsid w:val="00105562"/>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4675"/>
    <w:rsid w:val="0013497A"/>
    <w:rsid w:val="00134BF3"/>
    <w:rsid w:val="00135F2B"/>
    <w:rsid w:val="001372DD"/>
    <w:rsid w:val="001405BA"/>
    <w:rsid w:val="00140EAD"/>
    <w:rsid w:val="00141497"/>
    <w:rsid w:val="0014253A"/>
    <w:rsid w:val="001425C8"/>
    <w:rsid w:val="001431AE"/>
    <w:rsid w:val="00143B87"/>
    <w:rsid w:val="001456F4"/>
    <w:rsid w:val="001459E3"/>
    <w:rsid w:val="00146A0B"/>
    <w:rsid w:val="0014761E"/>
    <w:rsid w:val="00151907"/>
    <w:rsid w:val="00151DA0"/>
    <w:rsid w:val="001544C8"/>
    <w:rsid w:val="001544DF"/>
    <w:rsid w:val="00155FAB"/>
    <w:rsid w:val="001567A1"/>
    <w:rsid w:val="00156857"/>
    <w:rsid w:val="00157399"/>
    <w:rsid w:val="00157E79"/>
    <w:rsid w:val="00157EED"/>
    <w:rsid w:val="0016087A"/>
    <w:rsid w:val="00160A5C"/>
    <w:rsid w:val="001613EC"/>
    <w:rsid w:val="0016358A"/>
    <w:rsid w:val="00163599"/>
    <w:rsid w:val="001638D4"/>
    <w:rsid w:val="00164664"/>
    <w:rsid w:val="00164F15"/>
    <w:rsid w:val="001651A4"/>
    <w:rsid w:val="0016552B"/>
    <w:rsid w:val="00165A13"/>
    <w:rsid w:val="00166B04"/>
    <w:rsid w:val="001670A6"/>
    <w:rsid w:val="001701FA"/>
    <w:rsid w:val="00171183"/>
    <w:rsid w:val="001725A5"/>
    <w:rsid w:val="00172681"/>
    <w:rsid w:val="00173AC7"/>
    <w:rsid w:val="001745D7"/>
    <w:rsid w:val="00175754"/>
    <w:rsid w:val="0017663A"/>
    <w:rsid w:val="00176982"/>
    <w:rsid w:val="0017701C"/>
    <w:rsid w:val="00177976"/>
    <w:rsid w:val="00181264"/>
    <w:rsid w:val="00181BD1"/>
    <w:rsid w:val="0018204A"/>
    <w:rsid w:val="00182F7C"/>
    <w:rsid w:val="001843B5"/>
    <w:rsid w:val="0018664E"/>
    <w:rsid w:val="00186829"/>
    <w:rsid w:val="001868CA"/>
    <w:rsid w:val="00187304"/>
    <w:rsid w:val="001875BE"/>
    <w:rsid w:val="0019017A"/>
    <w:rsid w:val="00190B8C"/>
    <w:rsid w:val="00190FF8"/>
    <w:rsid w:val="0019311A"/>
    <w:rsid w:val="0019508A"/>
    <w:rsid w:val="001960D8"/>
    <w:rsid w:val="00196B17"/>
    <w:rsid w:val="001A135A"/>
    <w:rsid w:val="001A1642"/>
    <w:rsid w:val="001A371B"/>
    <w:rsid w:val="001A4766"/>
    <w:rsid w:val="001A4CDF"/>
    <w:rsid w:val="001A6A0D"/>
    <w:rsid w:val="001A6C51"/>
    <w:rsid w:val="001A6FAA"/>
    <w:rsid w:val="001A7D73"/>
    <w:rsid w:val="001B0363"/>
    <w:rsid w:val="001B1187"/>
    <w:rsid w:val="001B1355"/>
    <w:rsid w:val="001B2FC9"/>
    <w:rsid w:val="001B3138"/>
    <w:rsid w:val="001B4E4B"/>
    <w:rsid w:val="001B50AC"/>
    <w:rsid w:val="001B5E05"/>
    <w:rsid w:val="001B6D68"/>
    <w:rsid w:val="001B6F2E"/>
    <w:rsid w:val="001B6F97"/>
    <w:rsid w:val="001B7994"/>
    <w:rsid w:val="001C0344"/>
    <w:rsid w:val="001C0F2A"/>
    <w:rsid w:val="001C1A59"/>
    <w:rsid w:val="001C270F"/>
    <w:rsid w:val="001C4031"/>
    <w:rsid w:val="001C4679"/>
    <w:rsid w:val="001C4D92"/>
    <w:rsid w:val="001C5770"/>
    <w:rsid w:val="001C613E"/>
    <w:rsid w:val="001C6195"/>
    <w:rsid w:val="001D000A"/>
    <w:rsid w:val="001D0883"/>
    <w:rsid w:val="001D2205"/>
    <w:rsid w:val="001D2212"/>
    <w:rsid w:val="001D374E"/>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3FE"/>
    <w:rsid w:val="001F3871"/>
    <w:rsid w:val="001F3996"/>
    <w:rsid w:val="001F44A4"/>
    <w:rsid w:val="001F579D"/>
    <w:rsid w:val="001F65EF"/>
    <w:rsid w:val="001F697B"/>
    <w:rsid w:val="002005A6"/>
    <w:rsid w:val="00200E0B"/>
    <w:rsid w:val="00204CBC"/>
    <w:rsid w:val="00205154"/>
    <w:rsid w:val="002051F1"/>
    <w:rsid w:val="002057DA"/>
    <w:rsid w:val="002067BA"/>
    <w:rsid w:val="00207490"/>
    <w:rsid w:val="0021058D"/>
    <w:rsid w:val="002108BA"/>
    <w:rsid w:val="002110AC"/>
    <w:rsid w:val="00211E2F"/>
    <w:rsid w:val="00211E9E"/>
    <w:rsid w:val="00214FB4"/>
    <w:rsid w:val="00215940"/>
    <w:rsid w:val="00217C23"/>
    <w:rsid w:val="0022000A"/>
    <w:rsid w:val="00220561"/>
    <w:rsid w:val="00220CE4"/>
    <w:rsid w:val="00222D9B"/>
    <w:rsid w:val="002231C2"/>
    <w:rsid w:val="00223788"/>
    <w:rsid w:val="00223D11"/>
    <w:rsid w:val="002242D3"/>
    <w:rsid w:val="0022462B"/>
    <w:rsid w:val="00227C1A"/>
    <w:rsid w:val="002301E6"/>
    <w:rsid w:val="0023290A"/>
    <w:rsid w:val="00232F90"/>
    <w:rsid w:val="00233B08"/>
    <w:rsid w:val="00233C3B"/>
    <w:rsid w:val="0023499C"/>
    <w:rsid w:val="00235774"/>
    <w:rsid w:val="00235CE3"/>
    <w:rsid w:val="0023636A"/>
    <w:rsid w:val="00236F34"/>
    <w:rsid w:val="002372F7"/>
    <w:rsid w:val="00240651"/>
    <w:rsid w:val="00240803"/>
    <w:rsid w:val="0024426D"/>
    <w:rsid w:val="00244F1D"/>
    <w:rsid w:val="00245004"/>
    <w:rsid w:val="0024540F"/>
    <w:rsid w:val="00245FB4"/>
    <w:rsid w:val="00250827"/>
    <w:rsid w:val="00250898"/>
    <w:rsid w:val="00251A06"/>
    <w:rsid w:val="00251EA9"/>
    <w:rsid w:val="00252843"/>
    <w:rsid w:val="002543F8"/>
    <w:rsid w:val="002551A4"/>
    <w:rsid w:val="002559F3"/>
    <w:rsid w:val="00256DFE"/>
    <w:rsid w:val="00260A26"/>
    <w:rsid w:val="00261D56"/>
    <w:rsid w:val="00261FD3"/>
    <w:rsid w:val="00262EFF"/>
    <w:rsid w:val="00263505"/>
    <w:rsid w:val="0026356A"/>
    <w:rsid w:val="00264077"/>
    <w:rsid w:val="00264A0A"/>
    <w:rsid w:val="00266B9A"/>
    <w:rsid w:val="00267F7D"/>
    <w:rsid w:val="00270E54"/>
    <w:rsid w:val="00273633"/>
    <w:rsid w:val="00273681"/>
    <w:rsid w:val="00274039"/>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2C5"/>
    <w:rsid w:val="00293BE7"/>
    <w:rsid w:val="00293D78"/>
    <w:rsid w:val="002946DC"/>
    <w:rsid w:val="002A0C82"/>
    <w:rsid w:val="002A0CD8"/>
    <w:rsid w:val="002A13EB"/>
    <w:rsid w:val="002A17B3"/>
    <w:rsid w:val="002A35EF"/>
    <w:rsid w:val="002A3DE0"/>
    <w:rsid w:val="002A40EA"/>
    <w:rsid w:val="002A46E8"/>
    <w:rsid w:val="002A491C"/>
    <w:rsid w:val="002A4C8E"/>
    <w:rsid w:val="002A5AAA"/>
    <w:rsid w:val="002B1FEF"/>
    <w:rsid w:val="002B263B"/>
    <w:rsid w:val="002B2DF8"/>
    <w:rsid w:val="002B354F"/>
    <w:rsid w:val="002B3614"/>
    <w:rsid w:val="002B4334"/>
    <w:rsid w:val="002B45D1"/>
    <w:rsid w:val="002B4ED8"/>
    <w:rsid w:val="002B4FAA"/>
    <w:rsid w:val="002B52C2"/>
    <w:rsid w:val="002B7656"/>
    <w:rsid w:val="002C0642"/>
    <w:rsid w:val="002C0BBD"/>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444"/>
    <w:rsid w:val="002E1517"/>
    <w:rsid w:val="002E1760"/>
    <w:rsid w:val="002E1B22"/>
    <w:rsid w:val="002E387F"/>
    <w:rsid w:val="002E76FC"/>
    <w:rsid w:val="002E7F4B"/>
    <w:rsid w:val="002F0C91"/>
    <w:rsid w:val="002F0E3E"/>
    <w:rsid w:val="002F1683"/>
    <w:rsid w:val="002F1B19"/>
    <w:rsid w:val="002F1FBF"/>
    <w:rsid w:val="002F4139"/>
    <w:rsid w:val="002F4A79"/>
    <w:rsid w:val="002F7FC5"/>
    <w:rsid w:val="00300624"/>
    <w:rsid w:val="00300F56"/>
    <w:rsid w:val="00301006"/>
    <w:rsid w:val="00301C2B"/>
    <w:rsid w:val="00304A71"/>
    <w:rsid w:val="003053DC"/>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26773"/>
    <w:rsid w:val="0033179A"/>
    <w:rsid w:val="0033194F"/>
    <w:rsid w:val="00332304"/>
    <w:rsid w:val="00332406"/>
    <w:rsid w:val="00332D8D"/>
    <w:rsid w:val="00332F59"/>
    <w:rsid w:val="003353EC"/>
    <w:rsid w:val="00336B56"/>
    <w:rsid w:val="00341B25"/>
    <w:rsid w:val="00341EC0"/>
    <w:rsid w:val="0034240C"/>
    <w:rsid w:val="00343F55"/>
    <w:rsid w:val="00344496"/>
    <w:rsid w:val="00345968"/>
    <w:rsid w:val="00346FBD"/>
    <w:rsid w:val="00347667"/>
    <w:rsid w:val="003507E2"/>
    <w:rsid w:val="003516D4"/>
    <w:rsid w:val="003522B2"/>
    <w:rsid w:val="0035455E"/>
    <w:rsid w:val="00354A6F"/>
    <w:rsid w:val="00354B48"/>
    <w:rsid w:val="00355789"/>
    <w:rsid w:val="00356F7F"/>
    <w:rsid w:val="003609B6"/>
    <w:rsid w:val="00361119"/>
    <w:rsid w:val="0036176D"/>
    <w:rsid w:val="00364933"/>
    <w:rsid w:val="0036538D"/>
    <w:rsid w:val="00365D12"/>
    <w:rsid w:val="00366E20"/>
    <w:rsid w:val="0037018D"/>
    <w:rsid w:val="00372299"/>
    <w:rsid w:val="00372F02"/>
    <w:rsid w:val="00373729"/>
    <w:rsid w:val="00373C91"/>
    <w:rsid w:val="003748F0"/>
    <w:rsid w:val="003755C6"/>
    <w:rsid w:val="00375AEF"/>
    <w:rsid w:val="00376367"/>
    <w:rsid w:val="00376B02"/>
    <w:rsid w:val="00376BED"/>
    <w:rsid w:val="0037733A"/>
    <w:rsid w:val="003776DC"/>
    <w:rsid w:val="003779C1"/>
    <w:rsid w:val="00380FEC"/>
    <w:rsid w:val="00381226"/>
    <w:rsid w:val="00381B1B"/>
    <w:rsid w:val="00381FF6"/>
    <w:rsid w:val="00383D7D"/>
    <w:rsid w:val="00384CCE"/>
    <w:rsid w:val="003865E5"/>
    <w:rsid w:val="00387121"/>
    <w:rsid w:val="003926C1"/>
    <w:rsid w:val="00392900"/>
    <w:rsid w:val="00392F49"/>
    <w:rsid w:val="00393357"/>
    <w:rsid w:val="00395E7B"/>
    <w:rsid w:val="00395F4C"/>
    <w:rsid w:val="00396EB1"/>
    <w:rsid w:val="00397D19"/>
    <w:rsid w:val="003A15FF"/>
    <w:rsid w:val="003A39B9"/>
    <w:rsid w:val="003A51C5"/>
    <w:rsid w:val="003A5DAC"/>
    <w:rsid w:val="003A6591"/>
    <w:rsid w:val="003A6E9A"/>
    <w:rsid w:val="003B08C8"/>
    <w:rsid w:val="003B2567"/>
    <w:rsid w:val="003B2B57"/>
    <w:rsid w:val="003B381A"/>
    <w:rsid w:val="003B4976"/>
    <w:rsid w:val="003B4B3F"/>
    <w:rsid w:val="003B6258"/>
    <w:rsid w:val="003B63D1"/>
    <w:rsid w:val="003B7A99"/>
    <w:rsid w:val="003C0343"/>
    <w:rsid w:val="003C077D"/>
    <w:rsid w:val="003C0A4E"/>
    <w:rsid w:val="003C163A"/>
    <w:rsid w:val="003C1C32"/>
    <w:rsid w:val="003C3D63"/>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B5A"/>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A34"/>
    <w:rsid w:val="00410240"/>
    <w:rsid w:val="004119E9"/>
    <w:rsid w:val="00412253"/>
    <w:rsid w:val="004142ED"/>
    <w:rsid w:val="004161D0"/>
    <w:rsid w:val="0041634D"/>
    <w:rsid w:val="00416ABC"/>
    <w:rsid w:val="00417CB1"/>
    <w:rsid w:val="00417EF7"/>
    <w:rsid w:val="00422A7D"/>
    <w:rsid w:val="00422BFC"/>
    <w:rsid w:val="00423C21"/>
    <w:rsid w:val="00424642"/>
    <w:rsid w:val="00425ABB"/>
    <w:rsid w:val="00425BB6"/>
    <w:rsid w:val="004261A0"/>
    <w:rsid w:val="004265AA"/>
    <w:rsid w:val="00426BC3"/>
    <w:rsid w:val="00426CE1"/>
    <w:rsid w:val="00427018"/>
    <w:rsid w:val="0042739E"/>
    <w:rsid w:val="00427D52"/>
    <w:rsid w:val="00430412"/>
    <w:rsid w:val="00430497"/>
    <w:rsid w:val="004306EE"/>
    <w:rsid w:val="004307B8"/>
    <w:rsid w:val="0043173B"/>
    <w:rsid w:val="00431B0A"/>
    <w:rsid w:val="00431DA4"/>
    <w:rsid w:val="00432A91"/>
    <w:rsid w:val="004332A4"/>
    <w:rsid w:val="0043453F"/>
    <w:rsid w:val="00434A74"/>
    <w:rsid w:val="00437929"/>
    <w:rsid w:val="00437A4A"/>
    <w:rsid w:val="00440541"/>
    <w:rsid w:val="004413D1"/>
    <w:rsid w:val="0044162D"/>
    <w:rsid w:val="0044277A"/>
    <w:rsid w:val="004434EF"/>
    <w:rsid w:val="004456DC"/>
    <w:rsid w:val="00447FBE"/>
    <w:rsid w:val="0045035E"/>
    <w:rsid w:val="004507DF"/>
    <w:rsid w:val="0045175A"/>
    <w:rsid w:val="00451ED9"/>
    <w:rsid w:val="00452180"/>
    <w:rsid w:val="00453072"/>
    <w:rsid w:val="004539F8"/>
    <w:rsid w:val="00453F26"/>
    <w:rsid w:val="0045503F"/>
    <w:rsid w:val="00455273"/>
    <w:rsid w:val="00460489"/>
    <w:rsid w:val="00460905"/>
    <w:rsid w:val="00461DB5"/>
    <w:rsid w:val="00461E35"/>
    <w:rsid w:val="004621DB"/>
    <w:rsid w:val="004634A7"/>
    <w:rsid w:val="00463787"/>
    <w:rsid w:val="004644BA"/>
    <w:rsid w:val="004648E7"/>
    <w:rsid w:val="00466926"/>
    <w:rsid w:val="00466FDA"/>
    <w:rsid w:val="004671D0"/>
    <w:rsid w:val="004674D1"/>
    <w:rsid w:val="00470773"/>
    <w:rsid w:val="00471989"/>
    <w:rsid w:val="00471FF9"/>
    <w:rsid w:val="00473E74"/>
    <w:rsid w:val="00473FEF"/>
    <w:rsid w:val="00475B8E"/>
    <w:rsid w:val="0048104E"/>
    <w:rsid w:val="004814BB"/>
    <w:rsid w:val="004815DA"/>
    <w:rsid w:val="00482458"/>
    <w:rsid w:val="004837ED"/>
    <w:rsid w:val="00483942"/>
    <w:rsid w:val="004843CE"/>
    <w:rsid w:val="004844B5"/>
    <w:rsid w:val="00484C72"/>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505"/>
    <w:rsid w:val="00494737"/>
    <w:rsid w:val="00494D5C"/>
    <w:rsid w:val="00495A6A"/>
    <w:rsid w:val="004964F6"/>
    <w:rsid w:val="00496821"/>
    <w:rsid w:val="00497750"/>
    <w:rsid w:val="00497B44"/>
    <w:rsid w:val="004A00E5"/>
    <w:rsid w:val="004A01A7"/>
    <w:rsid w:val="004A0D09"/>
    <w:rsid w:val="004A116E"/>
    <w:rsid w:val="004A3215"/>
    <w:rsid w:val="004A357F"/>
    <w:rsid w:val="004A3DAD"/>
    <w:rsid w:val="004A6E40"/>
    <w:rsid w:val="004B0335"/>
    <w:rsid w:val="004B0F1C"/>
    <w:rsid w:val="004B1E61"/>
    <w:rsid w:val="004B1EF7"/>
    <w:rsid w:val="004B21AB"/>
    <w:rsid w:val="004B5636"/>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3762"/>
    <w:rsid w:val="00514D10"/>
    <w:rsid w:val="00516783"/>
    <w:rsid w:val="005171FB"/>
    <w:rsid w:val="005173F3"/>
    <w:rsid w:val="00517EF8"/>
    <w:rsid w:val="00520083"/>
    <w:rsid w:val="0052029E"/>
    <w:rsid w:val="0052076A"/>
    <w:rsid w:val="00520A2C"/>
    <w:rsid w:val="00520E25"/>
    <w:rsid w:val="0052183D"/>
    <w:rsid w:val="00522B01"/>
    <w:rsid w:val="00522F44"/>
    <w:rsid w:val="0052360A"/>
    <w:rsid w:val="005242BA"/>
    <w:rsid w:val="005243B8"/>
    <w:rsid w:val="0052490D"/>
    <w:rsid w:val="005252DD"/>
    <w:rsid w:val="00530A8D"/>
    <w:rsid w:val="00531C6D"/>
    <w:rsid w:val="00532EF4"/>
    <w:rsid w:val="0053452A"/>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EDB"/>
    <w:rsid w:val="00550F4E"/>
    <w:rsid w:val="00551E98"/>
    <w:rsid w:val="005532B5"/>
    <w:rsid w:val="00553E02"/>
    <w:rsid w:val="00554A05"/>
    <w:rsid w:val="00555849"/>
    <w:rsid w:val="005559A8"/>
    <w:rsid w:val="00557048"/>
    <w:rsid w:val="00557FB5"/>
    <w:rsid w:val="00561AE2"/>
    <w:rsid w:val="00561AED"/>
    <w:rsid w:val="005648A8"/>
    <w:rsid w:val="00564DE3"/>
    <w:rsid w:val="00564E44"/>
    <w:rsid w:val="00566C6A"/>
    <w:rsid w:val="00566CE5"/>
    <w:rsid w:val="00566D36"/>
    <w:rsid w:val="0056774A"/>
    <w:rsid w:val="00572016"/>
    <w:rsid w:val="005725D1"/>
    <w:rsid w:val="00572F41"/>
    <w:rsid w:val="00573569"/>
    <w:rsid w:val="00573871"/>
    <w:rsid w:val="0057389E"/>
    <w:rsid w:val="005753AD"/>
    <w:rsid w:val="005765C0"/>
    <w:rsid w:val="005778DE"/>
    <w:rsid w:val="00577ED4"/>
    <w:rsid w:val="00580B3F"/>
    <w:rsid w:val="005825F2"/>
    <w:rsid w:val="00583885"/>
    <w:rsid w:val="005860AF"/>
    <w:rsid w:val="00587F1D"/>
    <w:rsid w:val="00590348"/>
    <w:rsid w:val="00591161"/>
    <w:rsid w:val="00592318"/>
    <w:rsid w:val="00593133"/>
    <w:rsid w:val="0059575D"/>
    <w:rsid w:val="00596346"/>
    <w:rsid w:val="00596825"/>
    <w:rsid w:val="005A06A0"/>
    <w:rsid w:val="005A150A"/>
    <w:rsid w:val="005A2B3E"/>
    <w:rsid w:val="005A3644"/>
    <w:rsid w:val="005A4087"/>
    <w:rsid w:val="005A460A"/>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CA2"/>
    <w:rsid w:val="005C0FB2"/>
    <w:rsid w:val="005C1169"/>
    <w:rsid w:val="005C16E2"/>
    <w:rsid w:val="005C24EF"/>
    <w:rsid w:val="005C2796"/>
    <w:rsid w:val="005C300A"/>
    <w:rsid w:val="005C3C6C"/>
    <w:rsid w:val="005C3F4C"/>
    <w:rsid w:val="005C43AA"/>
    <w:rsid w:val="005C48C8"/>
    <w:rsid w:val="005C663C"/>
    <w:rsid w:val="005C7375"/>
    <w:rsid w:val="005C7986"/>
    <w:rsid w:val="005C7C84"/>
    <w:rsid w:val="005D068B"/>
    <w:rsid w:val="005D0750"/>
    <w:rsid w:val="005D1023"/>
    <w:rsid w:val="005D148F"/>
    <w:rsid w:val="005D2AD2"/>
    <w:rsid w:val="005D4A86"/>
    <w:rsid w:val="005D5EB1"/>
    <w:rsid w:val="005D6A29"/>
    <w:rsid w:val="005E0481"/>
    <w:rsid w:val="005E10BF"/>
    <w:rsid w:val="005E1834"/>
    <w:rsid w:val="005E49E5"/>
    <w:rsid w:val="005E5481"/>
    <w:rsid w:val="005E55E4"/>
    <w:rsid w:val="005E665F"/>
    <w:rsid w:val="005E6C5F"/>
    <w:rsid w:val="005E7636"/>
    <w:rsid w:val="005F028E"/>
    <w:rsid w:val="005F04B4"/>
    <w:rsid w:val="005F11A4"/>
    <w:rsid w:val="005F19F8"/>
    <w:rsid w:val="005F3FB1"/>
    <w:rsid w:val="005F4560"/>
    <w:rsid w:val="005F4C33"/>
    <w:rsid w:val="005F5303"/>
    <w:rsid w:val="005F58A6"/>
    <w:rsid w:val="005F5ACF"/>
    <w:rsid w:val="005F60DC"/>
    <w:rsid w:val="006000DD"/>
    <w:rsid w:val="00600F63"/>
    <w:rsid w:val="006012E1"/>
    <w:rsid w:val="00602253"/>
    <w:rsid w:val="006023E1"/>
    <w:rsid w:val="00605531"/>
    <w:rsid w:val="00606240"/>
    <w:rsid w:val="0060674A"/>
    <w:rsid w:val="006068F3"/>
    <w:rsid w:val="00606F77"/>
    <w:rsid w:val="0060744D"/>
    <w:rsid w:val="00607832"/>
    <w:rsid w:val="0060784B"/>
    <w:rsid w:val="00607C95"/>
    <w:rsid w:val="00610254"/>
    <w:rsid w:val="006105FB"/>
    <w:rsid w:val="00610F94"/>
    <w:rsid w:val="00611293"/>
    <w:rsid w:val="0061131C"/>
    <w:rsid w:val="0061135E"/>
    <w:rsid w:val="0061263A"/>
    <w:rsid w:val="00612C41"/>
    <w:rsid w:val="006145DE"/>
    <w:rsid w:val="0061478E"/>
    <w:rsid w:val="00614F25"/>
    <w:rsid w:val="00616A11"/>
    <w:rsid w:val="00616B9B"/>
    <w:rsid w:val="00617520"/>
    <w:rsid w:val="0062022D"/>
    <w:rsid w:val="00620D7C"/>
    <w:rsid w:val="00621089"/>
    <w:rsid w:val="00621E1F"/>
    <w:rsid w:val="006225D8"/>
    <w:rsid w:val="006228B2"/>
    <w:rsid w:val="006228E1"/>
    <w:rsid w:val="00622E32"/>
    <w:rsid w:val="00623688"/>
    <w:rsid w:val="006238C3"/>
    <w:rsid w:val="00623E33"/>
    <w:rsid w:val="006247E0"/>
    <w:rsid w:val="00625F82"/>
    <w:rsid w:val="00627999"/>
    <w:rsid w:val="00630FF7"/>
    <w:rsid w:val="00633433"/>
    <w:rsid w:val="00634007"/>
    <w:rsid w:val="006341B5"/>
    <w:rsid w:val="006346C9"/>
    <w:rsid w:val="00634727"/>
    <w:rsid w:val="00634B64"/>
    <w:rsid w:val="0063578C"/>
    <w:rsid w:val="0063642C"/>
    <w:rsid w:val="0063681E"/>
    <w:rsid w:val="00636FF9"/>
    <w:rsid w:val="00640DCD"/>
    <w:rsid w:val="00641DC3"/>
    <w:rsid w:val="00642972"/>
    <w:rsid w:val="00644F4D"/>
    <w:rsid w:val="00645865"/>
    <w:rsid w:val="006469B1"/>
    <w:rsid w:val="00646C0D"/>
    <w:rsid w:val="00646C30"/>
    <w:rsid w:val="006476F7"/>
    <w:rsid w:val="0064779E"/>
    <w:rsid w:val="006501FA"/>
    <w:rsid w:val="006509B0"/>
    <w:rsid w:val="006521F3"/>
    <w:rsid w:val="006524D5"/>
    <w:rsid w:val="00652BBD"/>
    <w:rsid w:val="00653633"/>
    <w:rsid w:val="00653B72"/>
    <w:rsid w:val="00653F69"/>
    <w:rsid w:val="00654936"/>
    <w:rsid w:val="00655485"/>
    <w:rsid w:val="006558B3"/>
    <w:rsid w:val="006560F2"/>
    <w:rsid w:val="00660BF0"/>
    <w:rsid w:val="00661221"/>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0820"/>
    <w:rsid w:val="00681115"/>
    <w:rsid w:val="00683920"/>
    <w:rsid w:val="00684D20"/>
    <w:rsid w:val="00685147"/>
    <w:rsid w:val="00685653"/>
    <w:rsid w:val="0068590D"/>
    <w:rsid w:val="00685A89"/>
    <w:rsid w:val="006861B3"/>
    <w:rsid w:val="00686924"/>
    <w:rsid w:val="00686FA2"/>
    <w:rsid w:val="006870C5"/>
    <w:rsid w:val="00690F0E"/>
    <w:rsid w:val="006911C0"/>
    <w:rsid w:val="00691B7C"/>
    <w:rsid w:val="00694B73"/>
    <w:rsid w:val="00694DF2"/>
    <w:rsid w:val="00695566"/>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0DB1"/>
    <w:rsid w:val="006C2253"/>
    <w:rsid w:val="006C2CCB"/>
    <w:rsid w:val="006C3313"/>
    <w:rsid w:val="006C4334"/>
    <w:rsid w:val="006C4B0F"/>
    <w:rsid w:val="006C5E96"/>
    <w:rsid w:val="006C5FDA"/>
    <w:rsid w:val="006D399F"/>
    <w:rsid w:val="006D4F0C"/>
    <w:rsid w:val="006D5645"/>
    <w:rsid w:val="006E0C8A"/>
    <w:rsid w:val="006E0E1C"/>
    <w:rsid w:val="006E2A23"/>
    <w:rsid w:val="006E35E5"/>
    <w:rsid w:val="006E3C72"/>
    <w:rsid w:val="006E3DC2"/>
    <w:rsid w:val="006E4F20"/>
    <w:rsid w:val="006E559F"/>
    <w:rsid w:val="006E649A"/>
    <w:rsid w:val="006E760C"/>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44B"/>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8F0"/>
    <w:rsid w:val="00724C18"/>
    <w:rsid w:val="00725FB1"/>
    <w:rsid w:val="00726630"/>
    <w:rsid w:val="00727F73"/>
    <w:rsid w:val="00730705"/>
    <w:rsid w:val="00730944"/>
    <w:rsid w:val="0073248E"/>
    <w:rsid w:val="00733EE9"/>
    <w:rsid w:val="0073439C"/>
    <w:rsid w:val="00734737"/>
    <w:rsid w:val="00735B8E"/>
    <w:rsid w:val="00736651"/>
    <w:rsid w:val="0073673C"/>
    <w:rsid w:val="00736935"/>
    <w:rsid w:val="00741559"/>
    <w:rsid w:val="00743DE7"/>
    <w:rsid w:val="0074509E"/>
    <w:rsid w:val="00745B9F"/>
    <w:rsid w:val="0074706C"/>
    <w:rsid w:val="0074726F"/>
    <w:rsid w:val="00752761"/>
    <w:rsid w:val="00752D4F"/>
    <w:rsid w:val="0075409F"/>
    <w:rsid w:val="0075525A"/>
    <w:rsid w:val="00755609"/>
    <w:rsid w:val="00755986"/>
    <w:rsid w:val="00755C86"/>
    <w:rsid w:val="00755D62"/>
    <w:rsid w:val="00755E19"/>
    <w:rsid w:val="00755EFD"/>
    <w:rsid w:val="00756976"/>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6AD5"/>
    <w:rsid w:val="00777046"/>
    <w:rsid w:val="007770DA"/>
    <w:rsid w:val="0077739F"/>
    <w:rsid w:val="007805B9"/>
    <w:rsid w:val="00780C3A"/>
    <w:rsid w:val="00781068"/>
    <w:rsid w:val="00781168"/>
    <w:rsid w:val="00782544"/>
    <w:rsid w:val="007834A1"/>
    <w:rsid w:val="00791EB4"/>
    <w:rsid w:val="007928F1"/>
    <w:rsid w:val="0079357D"/>
    <w:rsid w:val="007937CC"/>
    <w:rsid w:val="00793A31"/>
    <w:rsid w:val="0079485D"/>
    <w:rsid w:val="00794979"/>
    <w:rsid w:val="007956B7"/>
    <w:rsid w:val="00795F1A"/>
    <w:rsid w:val="0079667B"/>
    <w:rsid w:val="00796EDE"/>
    <w:rsid w:val="00797297"/>
    <w:rsid w:val="007974B3"/>
    <w:rsid w:val="00797875"/>
    <w:rsid w:val="007A045B"/>
    <w:rsid w:val="007A076C"/>
    <w:rsid w:val="007A2140"/>
    <w:rsid w:val="007A23E2"/>
    <w:rsid w:val="007A2B0E"/>
    <w:rsid w:val="007A31A5"/>
    <w:rsid w:val="007A411B"/>
    <w:rsid w:val="007A45E6"/>
    <w:rsid w:val="007A4B28"/>
    <w:rsid w:val="007A5C2C"/>
    <w:rsid w:val="007A7678"/>
    <w:rsid w:val="007B0CD8"/>
    <w:rsid w:val="007B0DE0"/>
    <w:rsid w:val="007B21DE"/>
    <w:rsid w:val="007B2BB9"/>
    <w:rsid w:val="007B43E8"/>
    <w:rsid w:val="007B4740"/>
    <w:rsid w:val="007B502C"/>
    <w:rsid w:val="007B59D2"/>
    <w:rsid w:val="007B5F3B"/>
    <w:rsid w:val="007B764F"/>
    <w:rsid w:val="007B7889"/>
    <w:rsid w:val="007C02B0"/>
    <w:rsid w:val="007C063E"/>
    <w:rsid w:val="007C0663"/>
    <w:rsid w:val="007C1901"/>
    <w:rsid w:val="007C49C0"/>
    <w:rsid w:val="007C55C1"/>
    <w:rsid w:val="007C5738"/>
    <w:rsid w:val="007C5772"/>
    <w:rsid w:val="007C5AC3"/>
    <w:rsid w:val="007C7233"/>
    <w:rsid w:val="007D0E87"/>
    <w:rsid w:val="007D10EE"/>
    <w:rsid w:val="007D1193"/>
    <w:rsid w:val="007D21D5"/>
    <w:rsid w:val="007D3E8D"/>
    <w:rsid w:val="007D5915"/>
    <w:rsid w:val="007D5B4F"/>
    <w:rsid w:val="007D5C30"/>
    <w:rsid w:val="007E0660"/>
    <w:rsid w:val="007E1411"/>
    <w:rsid w:val="007E150C"/>
    <w:rsid w:val="007E1882"/>
    <w:rsid w:val="007E1BB4"/>
    <w:rsid w:val="007E2077"/>
    <w:rsid w:val="007E2F1A"/>
    <w:rsid w:val="007E3514"/>
    <w:rsid w:val="007E4AAA"/>
    <w:rsid w:val="007E4BD2"/>
    <w:rsid w:val="007E4C29"/>
    <w:rsid w:val="007E523E"/>
    <w:rsid w:val="007E5C80"/>
    <w:rsid w:val="007E5E44"/>
    <w:rsid w:val="007F0DDA"/>
    <w:rsid w:val="007F1939"/>
    <w:rsid w:val="007F34D0"/>
    <w:rsid w:val="007F365C"/>
    <w:rsid w:val="007F5066"/>
    <w:rsid w:val="007F621C"/>
    <w:rsid w:val="007F70E2"/>
    <w:rsid w:val="007F7155"/>
    <w:rsid w:val="00800AE4"/>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DB3"/>
    <w:rsid w:val="00811EDA"/>
    <w:rsid w:val="008123FB"/>
    <w:rsid w:val="00812403"/>
    <w:rsid w:val="00812CEB"/>
    <w:rsid w:val="00812FD7"/>
    <w:rsid w:val="00817D30"/>
    <w:rsid w:val="00820623"/>
    <w:rsid w:val="00821747"/>
    <w:rsid w:val="008229A3"/>
    <w:rsid w:val="00822DFB"/>
    <w:rsid w:val="00822F64"/>
    <w:rsid w:val="0082315D"/>
    <w:rsid w:val="008253A6"/>
    <w:rsid w:val="0082546B"/>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36F62"/>
    <w:rsid w:val="00837047"/>
    <w:rsid w:val="00840477"/>
    <w:rsid w:val="0084121D"/>
    <w:rsid w:val="008418E3"/>
    <w:rsid w:val="008419C1"/>
    <w:rsid w:val="00844515"/>
    <w:rsid w:val="0084465A"/>
    <w:rsid w:val="00844DFF"/>
    <w:rsid w:val="00845CDC"/>
    <w:rsid w:val="00845D87"/>
    <w:rsid w:val="00846A24"/>
    <w:rsid w:val="00846C3A"/>
    <w:rsid w:val="008477BF"/>
    <w:rsid w:val="008503DA"/>
    <w:rsid w:val="00850B68"/>
    <w:rsid w:val="00850E82"/>
    <w:rsid w:val="0085122D"/>
    <w:rsid w:val="008519E8"/>
    <w:rsid w:val="00851AC0"/>
    <w:rsid w:val="008525FF"/>
    <w:rsid w:val="00852C03"/>
    <w:rsid w:val="0085590C"/>
    <w:rsid w:val="00855EA6"/>
    <w:rsid w:val="008575EB"/>
    <w:rsid w:val="00860B1F"/>
    <w:rsid w:val="00862DDD"/>
    <w:rsid w:val="0086326D"/>
    <w:rsid w:val="00863CC1"/>
    <w:rsid w:val="00865B01"/>
    <w:rsid w:val="00866D7A"/>
    <w:rsid w:val="00866EE3"/>
    <w:rsid w:val="00867428"/>
    <w:rsid w:val="00871F04"/>
    <w:rsid w:val="008746C1"/>
    <w:rsid w:val="0087527D"/>
    <w:rsid w:val="00875D8B"/>
    <w:rsid w:val="00880224"/>
    <w:rsid w:val="0088244C"/>
    <w:rsid w:val="00883367"/>
    <w:rsid w:val="00884C47"/>
    <w:rsid w:val="00885E6F"/>
    <w:rsid w:val="008861AC"/>
    <w:rsid w:val="008868E4"/>
    <w:rsid w:val="00886A60"/>
    <w:rsid w:val="00886D92"/>
    <w:rsid w:val="0088759B"/>
    <w:rsid w:val="008909B4"/>
    <w:rsid w:val="008922E8"/>
    <w:rsid w:val="00892A72"/>
    <w:rsid w:val="008931CB"/>
    <w:rsid w:val="00893916"/>
    <w:rsid w:val="0089442C"/>
    <w:rsid w:val="00895818"/>
    <w:rsid w:val="008979D2"/>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1B3"/>
    <w:rsid w:val="008C6BD1"/>
    <w:rsid w:val="008D2DB5"/>
    <w:rsid w:val="008D3F10"/>
    <w:rsid w:val="008D3FC8"/>
    <w:rsid w:val="008D46E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2F98"/>
    <w:rsid w:val="00903A69"/>
    <w:rsid w:val="00903E11"/>
    <w:rsid w:val="00903EBE"/>
    <w:rsid w:val="009041DE"/>
    <w:rsid w:val="00905D59"/>
    <w:rsid w:val="00905E8E"/>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6E87"/>
    <w:rsid w:val="0092730B"/>
    <w:rsid w:val="0092751A"/>
    <w:rsid w:val="009276C8"/>
    <w:rsid w:val="0092778D"/>
    <w:rsid w:val="009305C4"/>
    <w:rsid w:val="00931DFC"/>
    <w:rsid w:val="00931FAF"/>
    <w:rsid w:val="00932478"/>
    <w:rsid w:val="009360F6"/>
    <w:rsid w:val="009371DC"/>
    <w:rsid w:val="0093759D"/>
    <w:rsid w:val="00940239"/>
    <w:rsid w:val="00942BD6"/>
    <w:rsid w:val="00942DED"/>
    <w:rsid w:val="00943BBB"/>
    <w:rsid w:val="00944404"/>
    <w:rsid w:val="009452D7"/>
    <w:rsid w:val="00945FD1"/>
    <w:rsid w:val="00946CCC"/>
    <w:rsid w:val="009503E5"/>
    <w:rsid w:val="00950F71"/>
    <w:rsid w:val="00952F2C"/>
    <w:rsid w:val="009532E3"/>
    <w:rsid w:val="00953615"/>
    <w:rsid w:val="00954AC4"/>
    <w:rsid w:val="00954BAF"/>
    <w:rsid w:val="00955F48"/>
    <w:rsid w:val="009560B3"/>
    <w:rsid w:val="0095745E"/>
    <w:rsid w:val="00957CE0"/>
    <w:rsid w:val="0096002E"/>
    <w:rsid w:val="0096039E"/>
    <w:rsid w:val="00962CEF"/>
    <w:rsid w:val="00963766"/>
    <w:rsid w:val="00963FDF"/>
    <w:rsid w:val="00964235"/>
    <w:rsid w:val="00964C32"/>
    <w:rsid w:val="0096528F"/>
    <w:rsid w:val="00965320"/>
    <w:rsid w:val="009653F2"/>
    <w:rsid w:val="009661DF"/>
    <w:rsid w:val="009667BD"/>
    <w:rsid w:val="00967CE2"/>
    <w:rsid w:val="00971DA3"/>
    <w:rsid w:val="00972161"/>
    <w:rsid w:val="0097261B"/>
    <w:rsid w:val="00974338"/>
    <w:rsid w:val="00974881"/>
    <w:rsid w:val="0097606C"/>
    <w:rsid w:val="009771D1"/>
    <w:rsid w:val="0098012D"/>
    <w:rsid w:val="00980845"/>
    <w:rsid w:val="00981BD9"/>
    <w:rsid w:val="0098225F"/>
    <w:rsid w:val="00983A3C"/>
    <w:rsid w:val="00983EFA"/>
    <w:rsid w:val="00984C15"/>
    <w:rsid w:val="00987829"/>
    <w:rsid w:val="00987A62"/>
    <w:rsid w:val="00987F7A"/>
    <w:rsid w:val="00991276"/>
    <w:rsid w:val="009923E7"/>
    <w:rsid w:val="00992697"/>
    <w:rsid w:val="00992D4E"/>
    <w:rsid w:val="009934BB"/>
    <w:rsid w:val="00994621"/>
    <w:rsid w:val="009947FF"/>
    <w:rsid w:val="0099493B"/>
    <w:rsid w:val="00994B85"/>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75E1"/>
    <w:rsid w:val="009E00A5"/>
    <w:rsid w:val="009E0711"/>
    <w:rsid w:val="009E1917"/>
    <w:rsid w:val="009E3594"/>
    <w:rsid w:val="009E5807"/>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2CB"/>
    <w:rsid w:val="00A10148"/>
    <w:rsid w:val="00A113FD"/>
    <w:rsid w:val="00A11DDE"/>
    <w:rsid w:val="00A127A7"/>
    <w:rsid w:val="00A12871"/>
    <w:rsid w:val="00A129F4"/>
    <w:rsid w:val="00A136F4"/>
    <w:rsid w:val="00A160D3"/>
    <w:rsid w:val="00A164A4"/>
    <w:rsid w:val="00A16DC9"/>
    <w:rsid w:val="00A20225"/>
    <w:rsid w:val="00A235C0"/>
    <w:rsid w:val="00A24269"/>
    <w:rsid w:val="00A243E4"/>
    <w:rsid w:val="00A25392"/>
    <w:rsid w:val="00A25ED4"/>
    <w:rsid w:val="00A263DF"/>
    <w:rsid w:val="00A26C5C"/>
    <w:rsid w:val="00A3026E"/>
    <w:rsid w:val="00A30407"/>
    <w:rsid w:val="00A30BDE"/>
    <w:rsid w:val="00A3131C"/>
    <w:rsid w:val="00A31F14"/>
    <w:rsid w:val="00A324DC"/>
    <w:rsid w:val="00A32B5A"/>
    <w:rsid w:val="00A33CCC"/>
    <w:rsid w:val="00A33ECB"/>
    <w:rsid w:val="00A34DE0"/>
    <w:rsid w:val="00A35728"/>
    <w:rsid w:val="00A36EE3"/>
    <w:rsid w:val="00A37435"/>
    <w:rsid w:val="00A4173D"/>
    <w:rsid w:val="00A4188B"/>
    <w:rsid w:val="00A41A95"/>
    <w:rsid w:val="00A4248B"/>
    <w:rsid w:val="00A4376E"/>
    <w:rsid w:val="00A4572B"/>
    <w:rsid w:val="00A46246"/>
    <w:rsid w:val="00A46349"/>
    <w:rsid w:val="00A46D5E"/>
    <w:rsid w:val="00A47581"/>
    <w:rsid w:val="00A50847"/>
    <w:rsid w:val="00A512C7"/>
    <w:rsid w:val="00A52EBB"/>
    <w:rsid w:val="00A53049"/>
    <w:rsid w:val="00A54BFF"/>
    <w:rsid w:val="00A54C63"/>
    <w:rsid w:val="00A54FBB"/>
    <w:rsid w:val="00A55BB1"/>
    <w:rsid w:val="00A55D71"/>
    <w:rsid w:val="00A55FD6"/>
    <w:rsid w:val="00A5619C"/>
    <w:rsid w:val="00A562DE"/>
    <w:rsid w:val="00A564CD"/>
    <w:rsid w:val="00A564CE"/>
    <w:rsid w:val="00A5675F"/>
    <w:rsid w:val="00A60D6F"/>
    <w:rsid w:val="00A61009"/>
    <w:rsid w:val="00A61762"/>
    <w:rsid w:val="00A61938"/>
    <w:rsid w:val="00A61CFD"/>
    <w:rsid w:val="00A62B86"/>
    <w:rsid w:val="00A63527"/>
    <w:rsid w:val="00A63C96"/>
    <w:rsid w:val="00A63E03"/>
    <w:rsid w:val="00A65805"/>
    <w:rsid w:val="00A66BEE"/>
    <w:rsid w:val="00A671C9"/>
    <w:rsid w:val="00A6762C"/>
    <w:rsid w:val="00A67DFD"/>
    <w:rsid w:val="00A74F9F"/>
    <w:rsid w:val="00A750B3"/>
    <w:rsid w:val="00A75559"/>
    <w:rsid w:val="00A75E01"/>
    <w:rsid w:val="00A7623D"/>
    <w:rsid w:val="00A76ACE"/>
    <w:rsid w:val="00A8038C"/>
    <w:rsid w:val="00A8217C"/>
    <w:rsid w:val="00A824A7"/>
    <w:rsid w:val="00A83644"/>
    <w:rsid w:val="00A83C07"/>
    <w:rsid w:val="00A83F40"/>
    <w:rsid w:val="00A84945"/>
    <w:rsid w:val="00A85543"/>
    <w:rsid w:val="00A8728B"/>
    <w:rsid w:val="00A91682"/>
    <w:rsid w:val="00A92125"/>
    <w:rsid w:val="00A92E4A"/>
    <w:rsid w:val="00A95243"/>
    <w:rsid w:val="00A95695"/>
    <w:rsid w:val="00A958CA"/>
    <w:rsid w:val="00A96505"/>
    <w:rsid w:val="00A966B6"/>
    <w:rsid w:val="00A96B46"/>
    <w:rsid w:val="00AA003B"/>
    <w:rsid w:val="00AA016B"/>
    <w:rsid w:val="00AA15DD"/>
    <w:rsid w:val="00AA1C09"/>
    <w:rsid w:val="00AA1EA9"/>
    <w:rsid w:val="00AA2F67"/>
    <w:rsid w:val="00AA3569"/>
    <w:rsid w:val="00AA4228"/>
    <w:rsid w:val="00AA5F4C"/>
    <w:rsid w:val="00AA615C"/>
    <w:rsid w:val="00AA6711"/>
    <w:rsid w:val="00AB0ED7"/>
    <w:rsid w:val="00AB2AEC"/>
    <w:rsid w:val="00AB2DC1"/>
    <w:rsid w:val="00AB3102"/>
    <w:rsid w:val="00AB366F"/>
    <w:rsid w:val="00AB3D9A"/>
    <w:rsid w:val="00AB409C"/>
    <w:rsid w:val="00AB4777"/>
    <w:rsid w:val="00AB4824"/>
    <w:rsid w:val="00AB4B1D"/>
    <w:rsid w:val="00AB6B5E"/>
    <w:rsid w:val="00AC047F"/>
    <w:rsid w:val="00AC3934"/>
    <w:rsid w:val="00AC50C8"/>
    <w:rsid w:val="00AC5581"/>
    <w:rsid w:val="00AC56AD"/>
    <w:rsid w:val="00AC61BE"/>
    <w:rsid w:val="00AC72B2"/>
    <w:rsid w:val="00AC75F1"/>
    <w:rsid w:val="00AD0C8A"/>
    <w:rsid w:val="00AD0CB4"/>
    <w:rsid w:val="00AD1FF2"/>
    <w:rsid w:val="00AD2A21"/>
    <w:rsid w:val="00AD3B43"/>
    <w:rsid w:val="00AD4FF2"/>
    <w:rsid w:val="00AD506C"/>
    <w:rsid w:val="00AD6BE5"/>
    <w:rsid w:val="00AD783E"/>
    <w:rsid w:val="00AE1393"/>
    <w:rsid w:val="00AE38B5"/>
    <w:rsid w:val="00AE3BC6"/>
    <w:rsid w:val="00AE4D4F"/>
    <w:rsid w:val="00AE627C"/>
    <w:rsid w:val="00AE62B0"/>
    <w:rsid w:val="00AE68A2"/>
    <w:rsid w:val="00AF0029"/>
    <w:rsid w:val="00AF0089"/>
    <w:rsid w:val="00AF01B6"/>
    <w:rsid w:val="00AF0354"/>
    <w:rsid w:val="00AF1236"/>
    <w:rsid w:val="00AF21E7"/>
    <w:rsid w:val="00AF3C29"/>
    <w:rsid w:val="00AF4401"/>
    <w:rsid w:val="00AF4463"/>
    <w:rsid w:val="00AF450B"/>
    <w:rsid w:val="00AF53CB"/>
    <w:rsid w:val="00AF65C5"/>
    <w:rsid w:val="00AF6C1D"/>
    <w:rsid w:val="00B03CE2"/>
    <w:rsid w:val="00B044AF"/>
    <w:rsid w:val="00B06544"/>
    <w:rsid w:val="00B105F2"/>
    <w:rsid w:val="00B10991"/>
    <w:rsid w:val="00B11526"/>
    <w:rsid w:val="00B11F12"/>
    <w:rsid w:val="00B12128"/>
    <w:rsid w:val="00B12945"/>
    <w:rsid w:val="00B12C1E"/>
    <w:rsid w:val="00B14222"/>
    <w:rsid w:val="00B14620"/>
    <w:rsid w:val="00B1463A"/>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7CE"/>
    <w:rsid w:val="00B34641"/>
    <w:rsid w:val="00B34885"/>
    <w:rsid w:val="00B34D68"/>
    <w:rsid w:val="00B36117"/>
    <w:rsid w:val="00B362E3"/>
    <w:rsid w:val="00B37C73"/>
    <w:rsid w:val="00B4009B"/>
    <w:rsid w:val="00B400A1"/>
    <w:rsid w:val="00B40A2B"/>
    <w:rsid w:val="00B41D45"/>
    <w:rsid w:val="00B420CB"/>
    <w:rsid w:val="00B43F10"/>
    <w:rsid w:val="00B4401C"/>
    <w:rsid w:val="00B44802"/>
    <w:rsid w:val="00B44A96"/>
    <w:rsid w:val="00B455D1"/>
    <w:rsid w:val="00B46135"/>
    <w:rsid w:val="00B47261"/>
    <w:rsid w:val="00B472AB"/>
    <w:rsid w:val="00B47CE4"/>
    <w:rsid w:val="00B503A8"/>
    <w:rsid w:val="00B5121D"/>
    <w:rsid w:val="00B525C0"/>
    <w:rsid w:val="00B52FAB"/>
    <w:rsid w:val="00B5319A"/>
    <w:rsid w:val="00B539F9"/>
    <w:rsid w:val="00B53E56"/>
    <w:rsid w:val="00B546C3"/>
    <w:rsid w:val="00B54B19"/>
    <w:rsid w:val="00B54BD9"/>
    <w:rsid w:val="00B5503C"/>
    <w:rsid w:val="00B55640"/>
    <w:rsid w:val="00B55C57"/>
    <w:rsid w:val="00B55F19"/>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264"/>
    <w:rsid w:val="00B76548"/>
    <w:rsid w:val="00B76BED"/>
    <w:rsid w:val="00B77132"/>
    <w:rsid w:val="00B806E6"/>
    <w:rsid w:val="00B82DC1"/>
    <w:rsid w:val="00B835D5"/>
    <w:rsid w:val="00B84028"/>
    <w:rsid w:val="00B84307"/>
    <w:rsid w:val="00B8430D"/>
    <w:rsid w:val="00B85661"/>
    <w:rsid w:val="00B85C8A"/>
    <w:rsid w:val="00B86FBD"/>
    <w:rsid w:val="00B91B86"/>
    <w:rsid w:val="00B927CA"/>
    <w:rsid w:val="00B92840"/>
    <w:rsid w:val="00B928AE"/>
    <w:rsid w:val="00B93CDA"/>
    <w:rsid w:val="00B942E9"/>
    <w:rsid w:val="00B9433A"/>
    <w:rsid w:val="00B948EE"/>
    <w:rsid w:val="00B94BF3"/>
    <w:rsid w:val="00B94F90"/>
    <w:rsid w:val="00B95DC5"/>
    <w:rsid w:val="00B96E28"/>
    <w:rsid w:val="00B96E75"/>
    <w:rsid w:val="00B97E34"/>
    <w:rsid w:val="00B97FEF"/>
    <w:rsid w:val="00BA1354"/>
    <w:rsid w:val="00BA24F8"/>
    <w:rsid w:val="00BA31AA"/>
    <w:rsid w:val="00BA42B7"/>
    <w:rsid w:val="00BA45D8"/>
    <w:rsid w:val="00BA4855"/>
    <w:rsid w:val="00BA5828"/>
    <w:rsid w:val="00BA64B3"/>
    <w:rsid w:val="00BA754A"/>
    <w:rsid w:val="00BA7820"/>
    <w:rsid w:val="00BA794C"/>
    <w:rsid w:val="00BB09FB"/>
    <w:rsid w:val="00BB238D"/>
    <w:rsid w:val="00BB37CC"/>
    <w:rsid w:val="00BB48C4"/>
    <w:rsid w:val="00BB6907"/>
    <w:rsid w:val="00BB7A20"/>
    <w:rsid w:val="00BC15B1"/>
    <w:rsid w:val="00BC1A09"/>
    <w:rsid w:val="00BC3533"/>
    <w:rsid w:val="00BC3C06"/>
    <w:rsid w:val="00BC3F62"/>
    <w:rsid w:val="00BC4E8B"/>
    <w:rsid w:val="00BC5622"/>
    <w:rsid w:val="00BC6060"/>
    <w:rsid w:val="00BC6A9F"/>
    <w:rsid w:val="00BC7897"/>
    <w:rsid w:val="00BD0562"/>
    <w:rsid w:val="00BD06D7"/>
    <w:rsid w:val="00BD0F35"/>
    <w:rsid w:val="00BD2CAB"/>
    <w:rsid w:val="00BD3BE1"/>
    <w:rsid w:val="00BD45A4"/>
    <w:rsid w:val="00BD4A5F"/>
    <w:rsid w:val="00BD59AA"/>
    <w:rsid w:val="00BD61E4"/>
    <w:rsid w:val="00BD65E6"/>
    <w:rsid w:val="00BD6AF7"/>
    <w:rsid w:val="00BE19EF"/>
    <w:rsid w:val="00BE203F"/>
    <w:rsid w:val="00BE3203"/>
    <w:rsid w:val="00BE425B"/>
    <w:rsid w:val="00BE51BB"/>
    <w:rsid w:val="00BE5B42"/>
    <w:rsid w:val="00BE6334"/>
    <w:rsid w:val="00BE7595"/>
    <w:rsid w:val="00BE77D3"/>
    <w:rsid w:val="00BF0138"/>
    <w:rsid w:val="00BF114B"/>
    <w:rsid w:val="00BF1620"/>
    <w:rsid w:val="00BF1844"/>
    <w:rsid w:val="00BF1AC3"/>
    <w:rsid w:val="00BF28FE"/>
    <w:rsid w:val="00BF373A"/>
    <w:rsid w:val="00BF3D90"/>
    <w:rsid w:val="00BF409D"/>
    <w:rsid w:val="00BF57BF"/>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5BB"/>
    <w:rsid w:val="00C13ED7"/>
    <w:rsid w:val="00C14615"/>
    <w:rsid w:val="00C14F48"/>
    <w:rsid w:val="00C15296"/>
    <w:rsid w:val="00C17750"/>
    <w:rsid w:val="00C205A5"/>
    <w:rsid w:val="00C2073D"/>
    <w:rsid w:val="00C2094B"/>
    <w:rsid w:val="00C20DC5"/>
    <w:rsid w:val="00C222CB"/>
    <w:rsid w:val="00C228C1"/>
    <w:rsid w:val="00C2294E"/>
    <w:rsid w:val="00C22A5B"/>
    <w:rsid w:val="00C22E1A"/>
    <w:rsid w:val="00C23412"/>
    <w:rsid w:val="00C245D7"/>
    <w:rsid w:val="00C264C7"/>
    <w:rsid w:val="00C2682A"/>
    <w:rsid w:val="00C271C4"/>
    <w:rsid w:val="00C274F3"/>
    <w:rsid w:val="00C30A54"/>
    <w:rsid w:val="00C316F7"/>
    <w:rsid w:val="00C31DF0"/>
    <w:rsid w:val="00C33916"/>
    <w:rsid w:val="00C33BCF"/>
    <w:rsid w:val="00C353A0"/>
    <w:rsid w:val="00C360EF"/>
    <w:rsid w:val="00C368D7"/>
    <w:rsid w:val="00C36FD1"/>
    <w:rsid w:val="00C371A5"/>
    <w:rsid w:val="00C400B0"/>
    <w:rsid w:val="00C413FC"/>
    <w:rsid w:val="00C416A2"/>
    <w:rsid w:val="00C42424"/>
    <w:rsid w:val="00C43D33"/>
    <w:rsid w:val="00C43FE9"/>
    <w:rsid w:val="00C44407"/>
    <w:rsid w:val="00C44AF9"/>
    <w:rsid w:val="00C456E8"/>
    <w:rsid w:val="00C45D11"/>
    <w:rsid w:val="00C46630"/>
    <w:rsid w:val="00C47A2F"/>
    <w:rsid w:val="00C5033B"/>
    <w:rsid w:val="00C50D18"/>
    <w:rsid w:val="00C51179"/>
    <w:rsid w:val="00C518EC"/>
    <w:rsid w:val="00C5282C"/>
    <w:rsid w:val="00C52FBE"/>
    <w:rsid w:val="00C5355E"/>
    <w:rsid w:val="00C535E2"/>
    <w:rsid w:val="00C53FC1"/>
    <w:rsid w:val="00C551D2"/>
    <w:rsid w:val="00C56438"/>
    <w:rsid w:val="00C5644B"/>
    <w:rsid w:val="00C570B3"/>
    <w:rsid w:val="00C6009F"/>
    <w:rsid w:val="00C60417"/>
    <w:rsid w:val="00C6046F"/>
    <w:rsid w:val="00C61856"/>
    <w:rsid w:val="00C638C2"/>
    <w:rsid w:val="00C651D4"/>
    <w:rsid w:val="00C6669E"/>
    <w:rsid w:val="00C672B0"/>
    <w:rsid w:val="00C7145D"/>
    <w:rsid w:val="00C729C7"/>
    <w:rsid w:val="00C777AD"/>
    <w:rsid w:val="00C80C53"/>
    <w:rsid w:val="00C81195"/>
    <w:rsid w:val="00C81798"/>
    <w:rsid w:val="00C82716"/>
    <w:rsid w:val="00C85387"/>
    <w:rsid w:val="00C85E52"/>
    <w:rsid w:val="00C86471"/>
    <w:rsid w:val="00C8677B"/>
    <w:rsid w:val="00C86F96"/>
    <w:rsid w:val="00C909C6"/>
    <w:rsid w:val="00C923B7"/>
    <w:rsid w:val="00C94D4C"/>
    <w:rsid w:val="00C957AC"/>
    <w:rsid w:val="00C96C1E"/>
    <w:rsid w:val="00C96CA4"/>
    <w:rsid w:val="00CA012C"/>
    <w:rsid w:val="00CA0AA6"/>
    <w:rsid w:val="00CA2897"/>
    <w:rsid w:val="00CA3F58"/>
    <w:rsid w:val="00CA44F3"/>
    <w:rsid w:val="00CA582C"/>
    <w:rsid w:val="00CA6077"/>
    <w:rsid w:val="00CA645E"/>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186"/>
    <w:rsid w:val="00CC570C"/>
    <w:rsid w:val="00CC62B6"/>
    <w:rsid w:val="00CC76AA"/>
    <w:rsid w:val="00CC7CD2"/>
    <w:rsid w:val="00CD05CF"/>
    <w:rsid w:val="00CD1355"/>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2E4"/>
    <w:rsid w:val="00D0272C"/>
    <w:rsid w:val="00D042D8"/>
    <w:rsid w:val="00D045CE"/>
    <w:rsid w:val="00D05082"/>
    <w:rsid w:val="00D06163"/>
    <w:rsid w:val="00D06937"/>
    <w:rsid w:val="00D07AFD"/>
    <w:rsid w:val="00D07B42"/>
    <w:rsid w:val="00D11749"/>
    <w:rsid w:val="00D12A7D"/>
    <w:rsid w:val="00D13AB0"/>
    <w:rsid w:val="00D1519E"/>
    <w:rsid w:val="00D152B7"/>
    <w:rsid w:val="00D16EDC"/>
    <w:rsid w:val="00D17FDE"/>
    <w:rsid w:val="00D201CB"/>
    <w:rsid w:val="00D22786"/>
    <w:rsid w:val="00D228B4"/>
    <w:rsid w:val="00D25AC4"/>
    <w:rsid w:val="00D267C2"/>
    <w:rsid w:val="00D268B1"/>
    <w:rsid w:val="00D26AA6"/>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2F2"/>
    <w:rsid w:val="00D505C7"/>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AD0"/>
    <w:rsid w:val="00D63C57"/>
    <w:rsid w:val="00D63EBD"/>
    <w:rsid w:val="00D67101"/>
    <w:rsid w:val="00D67FE3"/>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3BFC"/>
    <w:rsid w:val="00DA5B13"/>
    <w:rsid w:val="00DA6917"/>
    <w:rsid w:val="00DA6926"/>
    <w:rsid w:val="00DB0965"/>
    <w:rsid w:val="00DB0E47"/>
    <w:rsid w:val="00DB2BDD"/>
    <w:rsid w:val="00DB4121"/>
    <w:rsid w:val="00DB46C3"/>
    <w:rsid w:val="00DB5094"/>
    <w:rsid w:val="00DB5742"/>
    <w:rsid w:val="00DB5EDF"/>
    <w:rsid w:val="00DB6C46"/>
    <w:rsid w:val="00DB72B8"/>
    <w:rsid w:val="00DC16AF"/>
    <w:rsid w:val="00DC2A9A"/>
    <w:rsid w:val="00DC2E2E"/>
    <w:rsid w:val="00DC4D68"/>
    <w:rsid w:val="00DC6463"/>
    <w:rsid w:val="00DC73B2"/>
    <w:rsid w:val="00DC7822"/>
    <w:rsid w:val="00DC7AF1"/>
    <w:rsid w:val="00DD2CDA"/>
    <w:rsid w:val="00DD2D92"/>
    <w:rsid w:val="00DD3026"/>
    <w:rsid w:val="00DD33DC"/>
    <w:rsid w:val="00DD3BB0"/>
    <w:rsid w:val="00DD61F5"/>
    <w:rsid w:val="00DD7418"/>
    <w:rsid w:val="00DE64A6"/>
    <w:rsid w:val="00DE66EB"/>
    <w:rsid w:val="00DE7035"/>
    <w:rsid w:val="00DF12E3"/>
    <w:rsid w:val="00DF254A"/>
    <w:rsid w:val="00DF2A20"/>
    <w:rsid w:val="00DF2AF4"/>
    <w:rsid w:val="00DF3810"/>
    <w:rsid w:val="00DF3F1D"/>
    <w:rsid w:val="00DF5376"/>
    <w:rsid w:val="00DF595C"/>
    <w:rsid w:val="00DF7EA7"/>
    <w:rsid w:val="00E04548"/>
    <w:rsid w:val="00E0484E"/>
    <w:rsid w:val="00E063F8"/>
    <w:rsid w:val="00E114D6"/>
    <w:rsid w:val="00E1166E"/>
    <w:rsid w:val="00E11DBD"/>
    <w:rsid w:val="00E13211"/>
    <w:rsid w:val="00E16FB5"/>
    <w:rsid w:val="00E178C5"/>
    <w:rsid w:val="00E179D6"/>
    <w:rsid w:val="00E21407"/>
    <w:rsid w:val="00E22668"/>
    <w:rsid w:val="00E227D3"/>
    <w:rsid w:val="00E22BFF"/>
    <w:rsid w:val="00E22CB0"/>
    <w:rsid w:val="00E23673"/>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9E8"/>
    <w:rsid w:val="00E44B80"/>
    <w:rsid w:val="00E44F5C"/>
    <w:rsid w:val="00E4518D"/>
    <w:rsid w:val="00E45938"/>
    <w:rsid w:val="00E46319"/>
    <w:rsid w:val="00E47430"/>
    <w:rsid w:val="00E50D5C"/>
    <w:rsid w:val="00E50FB7"/>
    <w:rsid w:val="00E5199F"/>
    <w:rsid w:val="00E520E9"/>
    <w:rsid w:val="00E526DF"/>
    <w:rsid w:val="00E52F47"/>
    <w:rsid w:val="00E53C15"/>
    <w:rsid w:val="00E54EE6"/>
    <w:rsid w:val="00E56715"/>
    <w:rsid w:val="00E56C2C"/>
    <w:rsid w:val="00E57F8E"/>
    <w:rsid w:val="00E611C8"/>
    <w:rsid w:val="00E618A2"/>
    <w:rsid w:val="00E6344A"/>
    <w:rsid w:val="00E64E69"/>
    <w:rsid w:val="00E64FB7"/>
    <w:rsid w:val="00E6543C"/>
    <w:rsid w:val="00E669A1"/>
    <w:rsid w:val="00E679BA"/>
    <w:rsid w:val="00E7015F"/>
    <w:rsid w:val="00E70243"/>
    <w:rsid w:val="00E705E2"/>
    <w:rsid w:val="00E72CC6"/>
    <w:rsid w:val="00E73D44"/>
    <w:rsid w:val="00E7494A"/>
    <w:rsid w:val="00E74BE2"/>
    <w:rsid w:val="00E74C66"/>
    <w:rsid w:val="00E75933"/>
    <w:rsid w:val="00E77A1B"/>
    <w:rsid w:val="00E80710"/>
    <w:rsid w:val="00E808BE"/>
    <w:rsid w:val="00E81E36"/>
    <w:rsid w:val="00E81E40"/>
    <w:rsid w:val="00E82ECE"/>
    <w:rsid w:val="00E8713B"/>
    <w:rsid w:val="00E90774"/>
    <w:rsid w:val="00E90C61"/>
    <w:rsid w:val="00E92092"/>
    <w:rsid w:val="00E92A82"/>
    <w:rsid w:val="00E92AA8"/>
    <w:rsid w:val="00E9344E"/>
    <w:rsid w:val="00E93E39"/>
    <w:rsid w:val="00E94391"/>
    <w:rsid w:val="00E97E2B"/>
    <w:rsid w:val="00EA08CA"/>
    <w:rsid w:val="00EA0C0C"/>
    <w:rsid w:val="00EA13D6"/>
    <w:rsid w:val="00EA2AEA"/>
    <w:rsid w:val="00EA332B"/>
    <w:rsid w:val="00EA3D36"/>
    <w:rsid w:val="00EA40AA"/>
    <w:rsid w:val="00EA46A8"/>
    <w:rsid w:val="00EA57E2"/>
    <w:rsid w:val="00EA7186"/>
    <w:rsid w:val="00EB018B"/>
    <w:rsid w:val="00EB0DB1"/>
    <w:rsid w:val="00EB1003"/>
    <w:rsid w:val="00EB167E"/>
    <w:rsid w:val="00EB22BA"/>
    <w:rsid w:val="00EB24ED"/>
    <w:rsid w:val="00EB2A00"/>
    <w:rsid w:val="00EB309B"/>
    <w:rsid w:val="00EB3AA2"/>
    <w:rsid w:val="00EB4763"/>
    <w:rsid w:val="00EB59CD"/>
    <w:rsid w:val="00EB6CB7"/>
    <w:rsid w:val="00EC078B"/>
    <w:rsid w:val="00EC07A0"/>
    <w:rsid w:val="00EC08E4"/>
    <w:rsid w:val="00EC3CB4"/>
    <w:rsid w:val="00EC443E"/>
    <w:rsid w:val="00EC4D83"/>
    <w:rsid w:val="00EC4EEE"/>
    <w:rsid w:val="00EC5596"/>
    <w:rsid w:val="00EC634F"/>
    <w:rsid w:val="00EC6848"/>
    <w:rsid w:val="00EC6C6E"/>
    <w:rsid w:val="00EC7B97"/>
    <w:rsid w:val="00ED049C"/>
    <w:rsid w:val="00ED07B7"/>
    <w:rsid w:val="00ED19D7"/>
    <w:rsid w:val="00ED2167"/>
    <w:rsid w:val="00ED351E"/>
    <w:rsid w:val="00ED4B27"/>
    <w:rsid w:val="00ED4EF0"/>
    <w:rsid w:val="00ED543C"/>
    <w:rsid w:val="00ED6BA4"/>
    <w:rsid w:val="00ED7DA7"/>
    <w:rsid w:val="00EE0598"/>
    <w:rsid w:val="00EE311C"/>
    <w:rsid w:val="00EE56FF"/>
    <w:rsid w:val="00EE5886"/>
    <w:rsid w:val="00EE5EA9"/>
    <w:rsid w:val="00EE5FBF"/>
    <w:rsid w:val="00EE6472"/>
    <w:rsid w:val="00EE76F2"/>
    <w:rsid w:val="00EF0769"/>
    <w:rsid w:val="00EF0D7C"/>
    <w:rsid w:val="00EF0E05"/>
    <w:rsid w:val="00EF2142"/>
    <w:rsid w:val="00EF314C"/>
    <w:rsid w:val="00EF383B"/>
    <w:rsid w:val="00EF40E2"/>
    <w:rsid w:val="00EF61C1"/>
    <w:rsid w:val="00EF6E68"/>
    <w:rsid w:val="00EF76DB"/>
    <w:rsid w:val="00F005FD"/>
    <w:rsid w:val="00F016BE"/>
    <w:rsid w:val="00F02C04"/>
    <w:rsid w:val="00F03AF1"/>
    <w:rsid w:val="00F04BCD"/>
    <w:rsid w:val="00F05A8C"/>
    <w:rsid w:val="00F06211"/>
    <w:rsid w:val="00F0783F"/>
    <w:rsid w:val="00F10A54"/>
    <w:rsid w:val="00F10B64"/>
    <w:rsid w:val="00F123D0"/>
    <w:rsid w:val="00F12BC6"/>
    <w:rsid w:val="00F13200"/>
    <w:rsid w:val="00F13411"/>
    <w:rsid w:val="00F143BA"/>
    <w:rsid w:val="00F14D98"/>
    <w:rsid w:val="00F160F4"/>
    <w:rsid w:val="00F2081B"/>
    <w:rsid w:val="00F20A43"/>
    <w:rsid w:val="00F20C51"/>
    <w:rsid w:val="00F20F11"/>
    <w:rsid w:val="00F21049"/>
    <w:rsid w:val="00F218AE"/>
    <w:rsid w:val="00F22232"/>
    <w:rsid w:val="00F2228E"/>
    <w:rsid w:val="00F22D3C"/>
    <w:rsid w:val="00F23292"/>
    <w:rsid w:val="00F23D66"/>
    <w:rsid w:val="00F24E6F"/>
    <w:rsid w:val="00F24E99"/>
    <w:rsid w:val="00F26069"/>
    <w:rsid w:val="00F26B7E"/>
    <w:rsid w:val="00F27D7D"/>
    <w:rsid w:val="00F3002B"/>
    <w:rsid w:val="00F30BC9"/>
    <w:rsid w:val="00F32462"/>
    <w:rsid w:val="00F32FF7"/>
    <w:rsid w:val="00F33EDE"/>
    <w:rsid w:val="00F3508A"/>
    <w:rsid w:val="00F3568B"/>
    <w:rsid w:val="00F35A0C"/>
    <w:rsid w:val="00F377CD"/>
    <w:rsid w:val="00F40C3B"/>
    <w:rsid w:val="00F40CE0"/>
    <w:rsid w:val="00F42DBC"/>
    <w:rsid w:val="00F4308D"/>
    <w:rsid w:val="00F44012"/>
    <w:rsid w:val="00F44947"/>
    <w:rsid w:val="00F458EF"/>
    <w:rsid w:val="00F469F8"/>
    <w:rsid w:val="00F47121"/>
    <w:rsid w:val="00F4775D"/>
    <w:rsid w:val="00F504DD"/>
    <w:rsid w:val="00F50874"/>
    <w:rsid w:val="00F5144C"/>
    <w:rsid w:val="00F516C6"/>
    <w:rsid w:val="00F52221"/>
    <w:rsid w:val="00F52B28"/>
    <w:rsid w:val="00F536BB"/>
    <w:rsid w:val="00F53755"/>
    <w:rsid w:val="00F53E59"/>
    <w:rsid w:val="00F5475B"/>
    <w:rsid w:val="00F5552B"/>
    <w:rsid w:val="00F564AC"/>
    <w:rsid w:val="00F56DE5"/>
    <w:rsid w:val="00F574D0"/>
    <w:rsid w:val="00F6031F"/>
    <w:rsid w:val="00F61664"/>
    <w:rsid w:val="00F61B99"/>
    <w:rsid w:val="00F63C8F"/>
    <w:rsid w:val="00F64C45"/>
    <w:rsid w:val="00F6502B"/>
    <w:rsid w:val="00F6612A"/>
    <w:rsid w:val="00F66724"/>
    <w:rsid w:val="00F669F8"/>
    <w:rsid w:val="00F67F04"/>
    <w:rsid w:val="00F701C0"/>
    <w:rsid w:val="00F70207"/>
    <w:rsid w:val="00F702CB"/>
    <w:rsid w:val="00F71AC2"/>
    <w:rsid w:val="00F72F07"/>
    <w:rsid w:val="00F739D4"/>
    <w:rsid w:val="00F77D43"/>
    <w:rsid w:val="00F80953"/>
    <w:rsid w:val="00F80B5C"/>
    <w:rsid w:val="00F81312"/>
    <w:rsid w:val="00F817D0"/>
    <w:rsid w:val="00F81B90"/>
    <w:rsid w:val="00F81E6F"/>
    <w:rsid w:val="00F82FF3"/>
    <w:rsid w:val="00F8453C"/>
    <w:rsid w:val="00F84D4C"/>
    <w:rsid w:val="00F8657D"/>
    <w:rsid w:val="00F8730F"/>
    <w:rsid w:val="00F87897"/>
    <w:rsid w:val="00F87DA3"/>
    <w:rsid w:val="00F90004"/>
    <w:rsid w:val="00F90EF4"/>
    <w:rsid w:val="00F90F6F"/>
    <w:rsid w:val="00F917BF"/>
    <w:rsid w:val="00F920B4"/>
    <w:rsid w:val="00F9260D"/>
    <w:rsid w:val="00F92727"/>
    <w:rsid w:val="00F92D2B"/>
    <w:rsid w:val="00F93CCF"/>
    <w:rsid w:val="00F94307"/>
    <w:rsid w:val="00F9580B"/>
    <w:rsid w:val="00F95F15"/>
    <w:rsid w:val="00F975CA"/>
    <w:rsid w:val="00FA0B60"/>
    <w:rsid w:val="00FA2528"/>
    <w:rsid w:val="00FA5182"/>
    <w:rsid w:val="00FA5524"/>
    <w:rsid w:val="00FA5535"/>
    <w:rsid w:val="00FA6238"/>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7BB"/>
    <w:rsid w:val="00FC5A37"/>
    <w:rsid w:val="00FC6711"/>
    <w:rsid w:val="00FC7836"/>
    <w:rsid w:val="00FD13EA"/>
    <w:rsid w:val="00FD2425"/>
    <w:rsid w:val="00FD5DEE"/>
    <w:rsid w:val="00FD5EC4"/>
    <w:rsid w:val="00FD690E"/>
    <w:rsid w:val="00FD6FFF"/>
    <w:rsid w:val="00FD7041"/>
    <w:rsid w:val="00FD7858"/>
    <w:rsid w:val="00FD7A8D"/>
    <w:rsid w:val="00FE0A68"/>
    <w:rsid w:val="00FE1330"/>
    <w:rsid w:val="00FE1CE5"/>
    <w:rsid w:val="00FE2832"/>
    <w:rsid w:val="00FE2D38"/>
    <w:rsid w:val="00FE3929"/>
    <w:rsid w:val="00FE3E32"/>
    <w:rsid w:val="00FF097B"/>
    <w:rsid w:val="00FF0B6E"/>
    <w:rsid w:val="00FF0DE3"/>
    <w:rsid w:val="00FF1C1B"/>
    <w:rsid w:val="00FF2067"/>
    <w:rsid w:val="00FF3BC4"/>
    <w:rsid w:val="00FF4B66"/>
    <w:rsid w:val="00FF5939"/>
    <w:rsid w:val="00FF688E"/>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paragraph">
    <w:name w:val="paragraph"/>
    <w:basedOn w:val="Normal"/>
    <w:rsid w:val="001D374E"/>
    <w:pPr>
      <w:spacing w:before="100" w:beforeAutospacing="1" w:after="100" w:afterAutospacing="1"/>
    </w:pPr>
    <w:rPr>
      <w:rFonts w:ascii="Times New Roman" w:hAnsi="Times New Roman"/>
      <w:sz w:val="24"/>
      <w:lang w:val="sv-SE" w:eastAsia="sv-SE"/>
    </w:rPr>
  </w:style>
  <w:style w:type="character" w:customStyle="1" w:styleId="normaltextrun">
    <w:name w:val="normaltextrun"/>
    <w:basedOn w:val="Standardstycketeckensnitt"/>
    <w:rsid w:val="001D374E"/>
  </w:style>
  <w:style w:type="character" w:customStyle="1" w:styleId="eop">
    <w:name w:val="eop"/>
    <w:basedOn w:val="Standardstycketeckensnitt"/>
    <w:rsid w:val="001D374E"/>
  </w:style>
  <w:style w:type="character" w:customStyle="1" w:styleId="advancedproofingissue">
    <w:name w:val="advancedproofingissue"/>
    <w:basedOn w:val="Standardstycketeckensnitt"/>
    <w:rsid w:val="001D374E"/>
  </w:style>
  <w:style w:type="character" w:customStyle="1" w:styleId="spellingerror">
    <w:name w:val="spellingerror"/>
    <w:basedOn w:val="Standardstycketeckensnitt"/>
    <w:rsid w:val="00460489"/>
  </w:style>
  <w:style w:type="character" w:customStyle="1" w:styleId="contextualspellingandgrammarerror">
    <w:name w:val="contextualspellingandgrammarerror"/>
    <w:basedOn w:val="Standardstycketeckensnitt"/>
    <w:rsid w:val="00BE203F"/>
  </w:style>
  <w:style w:type="paragraph" w:customStyle="1" w:styleId="intro">
    <w:name w:val="intro"/>
    <w:basedOn w:val="Normal"/>
    <w:rsid w:val="007B764F"/>
    <w:pPr>
      <w:spacing w:before="100" w:beforeAutospacing="1" w:after="100" w:afterAutospacing="1"/>
    </w:pPr>
    <w:rPr>
      <w:rFonts w:ascii="Times New Roman" w:hAnsi="Times New Roman"/>
      <w:sz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554">
      <w:bodyDiv w:val="1"/>
      <w:marLeft w:val="0"/>
      <w:marRight w:val="0"/>
      <w:marTop w:val="0"/>
      <w:marBottom w:val="0"/>
      <w:divBdr>
        <w:top w:val="none" w:sz="0" w:space="0" w:color="auto"/>
        <w:left w:val="none" w:sz="0" w:space="0" w:color="auto"/>
        <w:bottom w:val="none" w:sz="0" w:space="0" w:color="auto"/>
        <w:right w:val="none" w:sz="0" w:space="0" w:color="auto"/>
      </w:divBdr>
      <w:divsChild>
        <w:div w:id="823738635">
          <w:marLeft w:val="0"/>
          <w:marRight w:val="0"/>
          <w:marTop w:val="0"/>
          <w:marBottom w:val="0"/>
          <w:divBdr>
            <w:top w:val="none" w:sz="0" w:space="0" w:color="auto"/>
            <w:left w:val="none" w:sz="0" w:space="0" w:color="auto"/>
            <w:bottom w:val="none" w:sz="0" w:space="0" w:color="auto"/>
            <w:right w:val="none" w:sz="0" w:space="0" w:color="auto"/>
          </w:divBdr>
        </w:div>
        <w:div w:id="1598246899">
          <w:marLeft w:val="0"/>
          <w:marRight w:val="0"/>
          <w:marTop w:val="0"/>
          <w:marBottom w:val="0"/>
          <w:divBdr>
            <w:top w:val="none" w:sz="0" w:space="0" w:color="auto"/>
            <w:left w:val="none" w:sz="0" w:space="0" w:color="auto"/>
            <w:bottom w:val="none" w:sz="0" w:space="0" w:color="auto"/>
            <w:right w:val="none" w:sz="0" w:space="0" w:color="auto"/>
          </w:divBdr>
        </w:div>
        <w:div w:id="734934653">
          <w:marLeft w:val="0"/>
          <w:marRight w:val="0"/>
          <w:marTop w:val="0"/>
          <w:marBottom w:val="0"/>
          <w:divBdr>
            <w:top w:val="none" w:sz="0" w:space="0" w:color="auto"/>
            <w:left w:val="none" w:sz="0" w:space="0" w:color="auto"/>
            <w:bottom w:val="none" w:sz="0" w:space="0" w:color="auto"/>
            <w:right w:val="none" w:sz="0" w:space="0" w:color="auto"/>
          </w:divBdr>
        </w:div>
        <w:div w:id="2080665032">
          <w:marLeft w:val="0"/>
          <w:marRight w:val="0"/>
          <w:marTop w:val="0"/>
          <w:marBottom w:val="0"/>
          <w:divBdr>
            <w:top w:val="none" w:sz="0" w:space="0" w:color="auto"/>
            <w:left w:val="none" w:sz="0" w:space="0" w:color="auto"/>
            <w:bottom w:val="none" w:sz="0" w:space="0" w:color="auto"/>
            <w:right w:val="none" w:sz="0" w:space="0" w:color="auto"/>
          </w:divBdr>
        </w:div>
        <w:div w:id="1152791235">
          <w:marLeft w:val="0"/>
          <w:marRight w:val="0"/>
          <w:marTop w:val="0"/>
          <w:marBottom w:val="0"/>
          <w:divBdr>
            <w:top w:val="none" w:sz="0" w:space="0" w:color="auto"/>
            <w:left w:val="none" w:sz="0" w:space="0" w:color="auto"/>
            <w:bottom w:val="none" w:sz="0" w:space="0" w:color="auto"/>
            <w:right w:val="none" w:sz="0" w:space="0" w:color="auto"/>
          </w:divBdr>
        </w:div>
        <w:div w:id="1977250003">
          <w:marLeft w:val="0"/>
          <w:marRight w:val="0"/>
          <w:marTop w:val="0"/>
          <w:marBottom w:val="0"/>
          <w:divBdr>
            <w:top w:val="none" w:sz="0" w:space="0" w:color="auto"/>
            <w:left w:val="none" w:sz="0" w:space="0" w:color="auto"/>
            <w:bottom w:val="none" w:sz="0" w:space="0" w:color="auto"/>
            <w:right w:val="none" w:sz="0" w:space="0" w:color="auto"/>
          </w:divBdr>
        </w:div>
        <w:div w:id="86392774">
          <w:marLeft w:val="0"/>
          <w:marRight w:val="0"/>
          <w:marTop w:val="0"/>
          <w:marBottom w:val="0"/>
          <w:divBdr>
            <w:top w:val="none" w:sz="0" w:space="0" w:color="auto"/>
            <w:left w:val="none" w:sz="0" w:space="0" w:color="auto"/>
            <w:bottom w:val="none" w:sz="0" w:space="0" w:color="auto"/>
            <w:right w:val="none" w:sz="0" w:space="0" w:color="auto"/>
          </w:divBdr>
        </w:div>
        <w:div w:id="539561833">
          <w:marLeft w:val="0"/>
          <w:marRight w:val="0"/>
          <w:marTop w:val="0"/>
          <w:marBottom w:val="0"/>
          <w:divBdr>
            <w:top w:val="none" w:sz="0" w:space="0" w:color="auto"/>
            <w:left w:val="none" w:sz="0" w:space="0" w:color="auto"/>
            <w:bottom w:val="none" w:sz="0" w:space="0" w:color="auto"/>
            <w:right w:val="none" w:sz="0" w:space="0" w:color="auto"/>
          </w:divBdr>
        </w:div>
        <w:div w:id="765079919">
          <w:marLeft w:val="0"/>
          <w:marRight w:val="0"/>
          <w:marTop w:val="0"/>
          <w:marBottom w:val="0"/>
          <w:divBdr>
            <w:top w:val="none" w:sz="0" w:space="0" w:color="auto"/>
            <w:left w:val="none" w:sz="0" w:space="0" w:color="auto"/>
            <w:bottom w:val="none" w:sz="0" w:space="0" w:color="auto"/>
            <w:right w:val="none" w:sz="0" w:space="0" w:color="auto"/>
          </w:divBdr>
        </w:div>
        <w:div w:id="1941335097">
          <w:marLeft w:val="0"/>
          <w:marRight w:val="0"/>
          <w:marTop w:val="0"/>
          <w:marBottom w:val="0"/>
          <w:divBdr>
            <w:top w:val="none" w:sz="0" w:space="0" w:color="auto"/>
            <w:left w:val="none" w:sz="0" w:space="0" w:color="auto"/>
            <w:bottom w:val="none" w:sz="0" w:space="0" w:color="auto"/>
            <w:right w:val="none" w:sz="0" w:space="0" w:color="auto"/>
          </w:divBdr>
        </w:div>
        <w:div w:id="1576276283">
          <w:marLeft w:val="0"/>
          <w:marRight w:val="0"/>
          <w:marTop w:val="0"/>
          <w:marBottom w:val="0"/>
          <w:divBdr>
            <w:top w:val="none" w:sz="0" w:space="0" w:color="auto"/>
            <w:left w:val="none" w:sz="0" w:space="0" w:color="auto"/>
            <w:bottom w:val="none" w:sz="0" w:space="0" w:color="auto"/>
            <w:right w:val="none" w:sz="0" w:space="0" w:color="auto"/>
          </w:divBdr>
        </w:div>
      </w:divsChild>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68053114">
      <w:bodyDiv w:val="1"/>
      <w:marLeft w:val="0"/>
      <w:marRight w:val="0"/>
      <w:marTop w:val="0"/>
      <w:marBottom w:val="0"/>
      <w:divBdr>
        <w:top w:val="none" w:sz="0" w:space="0" w:color="auto"/>
        <w:left w:val="none" w:sz="0" w:space="0" w:color="auto"/>
        <w:bottom w:val="none" w:sz="0" w:space="0" w:color="auto"/>
        <w:right w:val="none" w:sz="0" w:space="0" w:color="auto"/>
      </w:divBdr>
      <w:divsChild>
        <w:div w:id="285358592">
          <w:marLeft w:val="0"/>
          <w:marRight w:val="0"/>
          <w:marTop w:val="0"/>
          <w:marBottom w:val="0"/>
          <w:divBdr>
            <w:top w:val="none" w:sz="0" w:space="0" w:color="auto"/>
            <w:left w:val="none" w:sz="0" w:space="0" w:color="auto"/>
            <w:bottom w:val="none" w:sz="0" w:space="0" w:color="auto"/>
            <w:right w:val="none" w:sz="0" w:space="0" w:color="auto"/>
          </w:divBdr>
        </w:div>
        <w:div w:id="726731468">
          <w:marLeft w:val="0"/>
          <w:marRight w:val="0"/>
          <w:marTop w:val="0"/>
          <w:marBottom w:val="0"/>
          <w:divBdr>
            <w:top w:val="none" w:sz="0" w:space="0" w:color="auto"/>
            <w:left w:val="none" w:sz="0" w:space="0" w:color="auto"/>
            <w:bottom w:val="none" w:sz="0" w:space="0" w:color="auto"/>
            <w:right w:val="none" w:sz="0" w:space="0" w:color="auto"/>
          </w:divBdr>
        </w:div>
        <w:div w:id="1354302144">
          <w:marLeft w:val="0"/>
          <w:marRight w:val="0"/>
          <w:marTop w:val="0"/>
          <w:marBottom w:val="0"/>
          <w:divBdr>
            <w:top w:val="none" w:sz="0" w:space="0" w:color="auto"/>
            <w:left w:val="none" w:sz="0" w:space="0" w:color="auto"/>
            <w:bottom w:val="none" w:sz="0" w:space="0" w:color="auto"/>
            <w:right w:val="none" w:sz="0" w:space="0" w:color="auto"/>
          </w:divBdr>
        </w:div>
      </w:divsChild>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30228837">
      <w:bodyDiv w:val="1"/>
      <w:marLeft w:val="0"/>
      <w:marRight w:val="0"/>
      <w:marTop w:val="0"/>
      <w:marBottom w:val="0"/>
      <w:divBdr>
        <w:top w:val="none" w:sz="0" w:space="0" w:color="auto"/>
        <w:left w:val="none" w:sz="0" w:space="0" w:color="auto"/>
        <w:bottom w:val="none" w:sz="0" w:space="0" w:color="auto"/>
        <w:right w:val="none" w:sz="0" w:space="0" w:color="auto"/>
      </w:divBdr>
    </w:div>
    <w:div w:id="1096681197">
      <w:bodyDiv w:val="1"/>
      <w:marLeft w:val="0"/>
      <w:marRight w:val="0"/>
      <w:marTop w:val="0"/>
      <w:marBottom w:val="0"/>
      <w:divBdr>
        <w:top w:val="none" w:sz="0" w:space="0" w:color="auto"/>
        <w:left w:val="none" w:sz="0" w:space="0" w:color="auto"/>
        <w:bottom w:val="none" w:sz="0" w:space="0" w:color="auto"/>
        <w:right w:val="none" w:sz="0" w:space="0" w:color="auto"/>
      </w:divBdr>
      <w:divsChild>
        <w:div w:id="391541689">
          <w:marLeft w:val="0"/>
          <w:marRight w:val="0"/>
          <w:marTop w:val="0"/>
          <w:marBottom w:val="0"/>
          <w:divBdr>
            <w:top w:val="none" w:sz="0" w:space="0" w:color="auto"/>
            <w:left w:val="none" w:sz="0" w:space="0" w:color="auto"/>
            <w:bottom w:val="none" w:sz="0" w:space="0" w:color="auto"/>
            <w:right w:val="none" w:sz="0" w:space="0" w:color="auto"/>
          </w:divBdr>
        </w:div>
        <w:div w:id="455176329">
          <w:marLeft w:val="0"/>
          <w:marRight w:val="0"/>
          <w:marTop w:val="0"/>
          <w:marBottom w:val="0"/>
          <w:divBdr>
            <w:top w:val="none" w:sz="0" w:space="0" w:color="auto"/>
            <w:left w:val="none" w:sz="0" w:space="0" w:color="auto"/>
            <w:bottom w:val="none" w:sz="0" w:space="0" w:color="auto"/>
            <w:right w:val="none" w:sz="0" w:space="0" w:color="auto"/>
          </w:divBdr>
        </w:div>
        <w:div w:id="1565873261">
          <w:marLeft w:val="0"/>
          <w:marRight w:val="0"/>
          <w:marTop w:val="0"/>
          <w:marBottom w:val="0"/>
          <w:divBdr>
            <w:top w:val="none" w:sz="0" w:space="0" w:color="auto"/>
            <w:left w:val="none" w:sz="0" w:space="0" w:color="auto"/>
            <w:bottom w:val="none" w:sz="0" w:space="0" w:color="auto"/>
            <w:right w:val="none" w:sz="0" w:space="0" w:color="auto"/>
          </w:divBdr>
        </w:div>
        <w:div w:id="1807815895">
          <w:marLeft w:val="0"/>
          <w:marRight w:val="0"/>
          <w:marTop w:val="0"/>
          <w:marBottom w:val="0"/>
          <w:divBdr>
            <w:top w:val="none" w:sz="0" w:space="0" w:color="auto"/>
            <w:left w:val="none" w:sz="0" w:space="0" w:color="auto"/>
            <w:bottom w:val="none" w:sz="0" w:space="0" w:color="auto"/>
            <w:right w:val="none" w:sz="0" w:space="0" w:color="auto"/>
          </w:divBdr>
        </w:div>
        <w:div w:id="2039893669">
          <w:marLeft w:val="0"/>
          <w:marRight w:val="0"/>
          <w:marTop w:val="0"/>
          <w:marBottom w:val="0"/>
          <w:divBdr>
            <w:top w:val="none" w:sz="0" w:space="0" w:color="auto"/>
            <w:left w:val="none" w:sz="0" w:space="0" w:color="auto"/>
            <w:bottom w:val="none" w:sz="0" w:space="0" w:color="auto"/>
            <w:right w:val="none" w:sz="0" w:space="0" w:color="auto"/>
          </w:divBdr>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32486499">
      <w:bodyDiv w:val="1"/>
      <w:marLeft w:val="0"/>
      <w:marRight w:val="0"/>
      <w:marTop w:val="0"/>
      <w:marBottom w:val="0"/>
      <w:divBdr>
        <w:top w:val="none" w:sz="0" w:space="0" w:color="auto"/>
        <w:left w:val="none" w:sz="0" w:space="0" w:color="auto"/>
        <w:bottom w:val="none" w:sz="0" w:space="0" w:color="auto"/>
        <w:right w:val="none" w:sz="0" w:space="0" w:color="auto"/>
      </w:divBdr>
      <w:divsChild>
        <w:div w:id="1666936283">
          <w:marLeft w:val="0"/>
          <w:marRight w:val="0"/>
          <w:marTop w:val="0"/>
          <w:marBottom w:val="0"/>
          <w:divBdr>
            <w:top w:val="none" w:sz="0" w:space="0" w:color="auto"/>
            <w:left w:val="none" w:sz="0" w:space="0" w:color="auto"/>
            <w:bottom w:val="none" w:sz="0" w:space="0" w:color="auto"/>
            <w:right w:val="none" w:sz="0" w:space="0" w:color="auto"/>
          </w:divBdr>
        </w:div>
        <w:div w:id="327945790">
          <w:marLeft w:val="0"/>
          <w:marRight w:val="0"/>
          <w:marTop w:val="0"/>
          <w:marBottom w:val="0"/>
          <w:divBdr>
            <w:top w:val="none" w:sz="0" w:space="0" w:color="auto"/>
            <w:left w:val="none" w:sz="0" w:space="0" w:color="auto"/>
            <w:bottom w:val="none" w:sz="0" w:space="0" w:color="auto"/>
            <w:right w:val="none" w:sz="0" w:space="0" w:color="auto"/>
          </w:divBdr>
        </w:div>
        <w:div w:id="2142265006">
          <w:marLeft w:val="0"/>
          <w:marRight w:val="0"/>
          <w:marTop w:val="0"/>
          <w:marBottom w:val="0"/>
          <w:divBdr>
            <w:top w:val="none" w:sz="0" w:space="0" w:color="auto"/>
            <w:left w:val="none" w:sz="0" w:space="0" w:color="auto"/>
            <w:bottom w:val="none" w:sz="0" w:space="0" w:color="auto"/>
            <w:right w:val="none" w:sz="0" w:space="0" w:color="auto"/>
          </w:divBdr>
        </w:div>
        <w:div w:id="1641612521">
          <w:marLeft w:val="0"/>
          <w:marRight w:val="0"/>
          <w:marTop w:val="0"/>
          <w:marBottom w:val="0"/>
          <w:divBdr>
            <w:top w:val="none" w:sz="0" w:space="0" w:color="auto"/>
            <w:left w:val="none" w:sz="0" w:space="0" w:color="auto"/>
            <w:bottom w:val="none" w:sz="0" w:space="0" w:color="auto"/>
            <w:right w:val="none" w:sz="0" w:space="0" w:color="auto"/>
          </w:divBdr>
        </w:div>
        <w:div w:id="1752238915">
          <w:marLeft w:val="0"/>
          <w:marRight w:val="0"/>
          <w:marTop w:val="0"/>
          <w:marBottom w:val="0"/>
          <w:divBdr>
            <w:top w:val="none" w:sz="0" w:space="0" w:color="auto"/>
            <w:left w:val="none" w:sz="0" w:space="0" w:color="auto"/>
            <w:bottom w:val="none" w:sz="0" w:space="0" w:color="auto"/>
            <w:right w:val="none" w:sz="0" w:space="0" w:color="auto"/>
          </w:divBdr>
        </w:div>
        <w:div w:id="135953532">
          <w:marLeft w:val="0"/>
          <w:marRight w:val="0"/>
          <w:marTop w:val="0"/>
          <w:marBottom w:val="0"/>
          <w:divBdr>
            <w:top w:val="none" w:sz="0" w:space="0" w:color="auto"/>
            <w:left w:val="none" w:sz="0" w:space="0" w:color="auto"/>
            <w:bottom w:val="none" w:sz="0" w:space="0" w:color="auto"/>
            <w:right w:val="none" w:sz="0" w:space="0" w:color="auto"/>
          </w:divBdr>
        </w:div>
        <w:div w:id="1408266923">
          <w:marLeft w:val="0"/>
          <w:marRight w:val="0"/>
          <w:marTop w:val="0"/>
          <w:marBottom w:val="0"/>
          <w:divBdr>
            <w:top w:val="none" w:sz="0" w:space="0" w:color="auto"/>
            <w:left w:val="none" w:sz="0" w:space="0" w:color="auto"/>
            <w:bottom w:val="none" w:sz="0" w:space="0" w:color="auto"/>
            <w:right w:val="none" w:sz="0" w:space="0" w:color="auto"/>
          </w:divBdr>
        </w:div>
        <w:div w:id="803740284">
          <w:marLeft w:val="0"/>
          <w:marRight w:val="0"/>
          <w:marTop w:val="0"/>
          <w:marBottom w:val="0"/>
          <w:divBdr>
            <w:top w:val="none" w:sz="0" w:space="0" w:color="auto"/>
            <w:left w:val="none" w:sz="0" w:space="0" w:color="auto"/>
            <w:bottom w:val="none" w:sz="0" w:space="0" w:color="auto"/>
            <w:right w:val="none" w:sz="0" w:space="0" w:color="auto"/>
          </w:divBdr>
        </w:div>
        <w:div w:id="505704720">
          <w:marLeft w:val="0"/>
          <w:marRight w:val="0"/>
          <w:marTop w:val="0"/>
          <w:marBottom w:val="0"/>
          <w:divBdr>
            <w:top w:val="none" w:sz="0" w:space="0" w:color="auto"/>
            <w:left w:val="none" w:sz="0" w:space="0" w:color="auto"/>
            <w:bottom w:val="none" w:sz="0" w:space="0" w:color="auto"/>
            <w:right w:val="none" w:sz="0" w:space="0" w:color="auto"/>
          </w:divBdr>
        </w:div>
        <w:div w:id="347877742">
          <w:marLeft w:val="0"/>
          <w:marRight w:val="0"/>
          <w:marTop w:val="0"/>
          <w:marBottom w:val="0"/>
          <w:divBdr>
            <w:top w:val="none" w:sz="0" w:space="0" w:color="auto"/>
            <w:left w:val="none" w:sz="0" w:space="0" w:color="auto"/>
            <w:bottom w:val="none" w:sz="0" w:space="0" w:color="auto"/>
            <w:right w:val="none" w:sz="0" w:space="0" w:color="auto"/>
          </w:divBdr>
        </w:div>
        <w:div w:id="1837988331">
          <w:marLeft w:val="0"/>
          <w:marRight w:val="0"/>
          <w:marTop w:val="0"/>
          <w:marBottom w:val="0"/>
          <w:divBdr>
            <w:top w:val="none" w:sz="0" w:space="0" w:color="auto"/>
            <w:left w:val="none" w:sz="0" w:space="0" w:color="auto"/>
            <w:bottom w:val="none" w:sz="0" w:space="0" w:color="auto"/>
            <w:right w:val="none" w:sz="0" w:space="0" w:color="auto"/>
          </w:divBdr>
        </w:div>
      </w:divsChild>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00522749">
      <w:bodyDiv w:val="1"/>
      <w:marLeft w:val="0"/>
      <w:marRight w:val="0"/>
      <w:marTop w:val="0"/>
      <w:marBottom w:val="0"/>
      <w:divBdr>
        <w:top w:val="none" w:sz="0" w:space="0" w:color="auto"/>
        <w:left w:val="none" w:sz="0" w:space="0" w:color="auto"/>
        <w:bottom w:val="none" w:sz="0" w:space="0" w:color="auto"/>
        <w:right w:val="none" w:sz="0" w:space="0" w:color="auto"/>
      </w:divBdr>
      <w:divsChild>
        <w:div w:id="2051608883">
          <w:marLeft w:val="0"/>
          <w:marRight w:val="0"/>
          <w:marTop w:val="0"/>
          <w:marBottom w:val="0"/>
          <w:divBdr>
            <w:top w:val="none" w:sz="0" w:space="0" w:color="auto"/>
            <w:left w:val="none" w:sz="0" w:space="0" w:color="auto"/>
            <w:bottom w:val="none" w:sz="0" w:space="0" w:color="auto"/>
            <w:right w:val="none" w:sz="0" w:space="0" w:color="auto"/>
          </w:divBdr>
        </w:div>
        <w:div w:id="1379624312">
          <w:marLeft w:val="0"/>
          <w:marRight w:val="0"/>
          <w:marTop w:val="0"/>
          <w:marBottom w:val="0"/>
          <w:divBdr>
            <w:top w:val="none" w:sz="0" w:space="0" w:color="auto"/>
            <w:left w:val="none" w:sz="0" w:space="0" w:color="auto"/>
            <w:bottom w:val="none" w:sz="0" w:space="0" w:color="auto"/>
            <w:right w:val="none" w:sz="0" w:space="0" w:color="auto"/>
          </w:divBdr>
        </w:div>
        <w:div w:id="1110197175">
          <w:marLeft w:val="0"/>
          <w:marRight w:val="0"/>
          <w:marTop w:val="0"/>
          <w:marBottom w:val="0"/>
          <w:divBdr>
            <w:top w:val="none" w:sz="0" w:space="0" w:color="auto"/>
            <w:left w:val="none" w:sz="0" w:space="0" w:color="auto"/>
            <w:bottom w:val="none" w:sz="0" w:space="0" w:color="auto"/>
            <w:right w:val="none" w:sz="0" w:space="0" w:color="auto"/>
          </w:divBdr>
        </w:div>
      </w:divsChild>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21842250">
      <w:bodyDiv w:val="1"/>
      <w:marLeft w:val="0"/>
      <w:marRight w:val="0"/>
      <w:marTop w:val="0"/>
      <w:marBottom w:val="0"/>
      <w:divBdr>
        <w:top w:val="none" w:sz="0" w:space="0" w:color="auto"/>
        <w:left w:val="none" w:sz="0" w:space="0" w:color="auto"/>
        <w:bottom w:val="none" w:sz="0" w:space="0" w:color="auto"/>
        <w:right w:val="none" w:sz="0" w:space="0" w:color="auto"/>
      </w:divBdr>
      <w:divsChild>
        <w:div w:id="70661176">
          <w:marLeft w:val="0"/>
          <w:marRight w:val="0"/>
          <w:marTop w:val="0"/>
          <w:marBottom w:val="0"/>
          <w:divBdr>
            <w:top w:val="none" w:sz="0" w:space="0" w:color="auto"/>
            <w:left w:val="none" w:sz="0" w:space="0" w:color="auto"/>
            <w:bottom w:val="none" w:sz="0" w:space="0" w:color="auto"/>
            <w:right w:val="none" w:sz="0" w:space="0" w:color="auto"/>
          </w:divBdr>
        </w:div>
        <w:div w:id="1764111623">
          <w:marLeft w:val="0"/>
          <w:marRight w:val="0"/>
          <w:marTop w:val="0"/>
          <w:marBottom w:val="0"/>
          <w:divBdr>
            <w:top w:val="none" w:sz="0" w:space="0" w:color="auto"/>
            <w:left w:val="none" w:sz="0" w:space="0" w:color="auto"/>
            <w:bottom w:val="none" w:sz="0" w:space="0" w:color="auto"/>
            <w:right w:val="none" w:sz="0" w:space="0" w:color="auto"/>
          </w:divBdr>
        </w:div>
        <w:div w:id="1883208782">
          <w:marLeft w:val="0"/>
          <w:marRight w:val="0"/>
          <w:marTop w:val="0"/>
          <w:marBottom w:val="0"/>
          <w:divBdr>
            <w:top w:val="none" w:sz="0" w:space="0" w:color="auto"/>
            <w:left w:val="none" w:sz="0" w:space="0" w:color="auto"/>
            <w:bottom w:val="none" w:sz="0" w:space="0" w:color="auto"/>
            <w:right w:val="none" w:sz="0" w:space="0" w:color="auto"/>
          </w:divBdr>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28785609">
      <w:bodyDiv w:val="1"/>
      <w:marLeft w:val="0"/>
      <w:marRight w:val="0"/>
      <w:marTop w:val="0"/>
      <w:marBottom w:val="0"/>
      <w:divBdr>
        <w:top w:val="none" w:sz="0" w:space="0" w:color="auto"/>
        <w:left w:val="none" w:sz="0" w:space="0" w:color="auto"/>
        <w:bottom w:val="none" w:sz="0" w:space="0" w:color="auto"/>
        <w:right w:val="none" w:sz="0" w:space="0" w:color="auto"/>
      </w:divBdr>
      <w:divsChild>
        <w:div w:id="384526915">
          <w:marLeft w:val="0"/>
          <w:marRight w:val="0"/>
          <w:marTop w:val="0"/>
          <w:marBottom w:val="0"/>
          <w:divBdr>
            <w:top w:val="none" w:sz="0" w:space="0" w:color="auto"/>
            <w:left w:val="none" w:sz="0" w:space="0" w:color="auto"/>
            <w:bottom w:val="none" w:sz="0" w:space="0" w:color="auto"/>
            <w:right w:val="none" w:sz="0" w:space="0" w:color="auto"/>
          </w:divBdr>
        </w:div>
        <w:div w:id="898983298">
          <w:marLeft w:val="0"/>
          <w:marRight w:val="0"/>
          <w:marTop w:val="0"/>
          <w:marBottom w:val="0"/>
          <w:divBdr>
            <w:top w:val="none" w:sz="0" w:space="0" w:color="auto"/>
            <w:left w:val="none" w:sz="0" w:space="0" w:color="auto"/>
            <w:bottom w:val="none" w:sz="0" w:space="0" w:color="auto"/>
            <w:right w:val="none" w:sz="0" w:space="0" w:color="auto"/>
          </w:divBdr>
        </w:div>
        <w:div w:id="1628655417">
          <w:marLeft w:val="0"/>
          <w:marRight w:val="0"/>
          <w:marTop w:val="0"/>
          <w:marBottom w:val="0"/>
          <w:divBdr>
            <w:top w:val="none" w:sz="0" w:space="0" w:color="auto"/>
            <w:left w:val="none" w:sz="0" w:space="0" w:color="auto"/>
            <w:bottom w:val="none" w:sz="0" w:space="0" w:color="auto"/>
            <w:right w:val="none" w:sz="0" w:space="0" w:color="auto"/>
          </w:divBdr>
        </w:div>
      </w:divsChild>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1713477">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846810FA861740AFA27B351AFB38CB" ma:contentTypeVersion="9" ma:contentTypeDescription="Skapa ett nytt dokument." ma:contentTypeScope="" ma:versionID="47ceb20af19c12a9db0435a642e3d939">
  <xsd:schema xmlns:xsd="http://www.w3.org/2001/XMLSchema" xmlns:xs="http://www.w3.org/2001/XMLSchema" xmlns:p="http://schemas.microsoft.com/office/2006/metadata/properties" xmlns:ns2="8b59f74a-ac6f-4301-a3b6-bb97422e97f2" xmlns:ns3="112a7736-ff8c-408b-a631-673de350d497" targetNamespace="http://schemas.microsoft.com/office/2006/metadata/properties" ma:root="true" ma:fieldsID="ec1f05b752114e16abaaa32b46e9fa8f" ns2:_="" ns3:_="">
    <xsd:import namespace="8b59f74a-ac6f-4301-a3b6-bb97422e97f2"/>
    <xsd:import namespace="112a7736-ff8c-408b-a631-673de350d4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9f74a-ac6f-4301-a3b6-bb97422e9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a7736-ff8c-408b-a631-673de350d497"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12a7736-ff8c-408b-a631-673de350d497">
      <UserInfo>
        <DisplayName>Carl-Henrik Nordberg</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656F069-62C4-4D19-9CA1-AFE82CDC2957}"/>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112a7736-ff8c-408b-a631-673de350d497"/>
  </ds:schemaRefs>
</ds:datastoreItem>
</file>

<file path=customXml/itemProps4.xml><?xml version="1.0" encoding="utf-8"?>
<ds:datastoreItem xmlns:ds="http://schemas.openxmlformats.org/officeDocument/2006/customXml" ds:itemID="{AF91F5CA-45C0-401C-BD1A-1146A84737C7}">
  <ds:schemaRefs>
    <ds:schemaRef ds:uri="http://schemas.openxmlformats.org/officeDocument/2006/bibliography"/>
  </ds:schemaRefs>
</ds:datastoreItem>
</file>

<file path=customXml/itemProps5.xml><?xml version="1.0" encoding="utf-8"?>
<ds:datastoreItem xmlns:ds="http://schemas.openxmlformats.org/officeDocument/2006/customXml" ds:itemID="{4AFF2277-3794-46CC-8678-52475F3F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28</Pages>
  <Words>12280</Words>
  <Characters>65089</Characters>
  <Application>Microsoft Office Word</Application>
  <DocSecurity>8</DocSecurity>
  <Lines>542</Lines>
  <Paragraphs>154</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77215</CharactersWithSpaces>
  <SharedDoc>false</SharedDoc>
  <HLinks>
    <vt:vector size="30"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2555957</vt:i4>
      </vt:variant>
      <vt:variant>
        <vt:i4>6</vt:i4>
      </vt:variant>
      <vt:variant>
        <vt:i4>0</vt:i4>
      </vt:variant>
      <vt:variant>
        <vt:i4>5</vt:i4>
      </vt:variant>
      <vt:variant>
        <vt:lpwstr>https://www.fi.se/contentassets/f9e62a11e369456580d030b30b7deeb1/abjornsson-frontoffice-kr-17-9099.pdf</vt:lpwstr>
      </vt:variant>
      <vt:variant>
        <vt:lpwstr/>
      </vt:variant>
      <vt:variant>
        <vt:i4>2359337</vt:i4>
      </vt:variant>
      <vt:variant>
        <vt:i4>3</vt:i4>
      </vt:variant>
      <vt:variant>
        <vt:i4>0</vt:i4>
      </vt:variant>
      <vt:variant>
        <vt:i4>5</vt:i4>
      </vt:variant>
      <vt:variant>
        <vt:lpwstr>https://www.fca.org.uk/markets/market-abuse/regulation</vt:lpwstr>
      </vt:variant>
      <vt:variant>
        <vt:lpwstr/>
      </vt:variant>
      <vt:variant>
        <vt:i4>524347</vt:i4>
      </vt:variant>
      <vt:variant>
        <vt:i4>0</vt:i4>
      </vt:variant>
      <vt:variant>
        <vt:i4>0</vt:i4>
      </vt:variant>
      <vt:variant>
        <vt:i4>5</vt:i4>
      </vt:variant>
      <vt:variant>
        <vt:lpwstr>https://www.bafin.de/SharedDocs/Downloads/EN/FAQ/dl_faq_mar_art_19_DD_en.html;jsessionid=4DA3A17A2595E72CC657740BF4F79FF5.1_cid372?nn=7856822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Christina Ploom</cp:lastModifiedBy>
  <cp:revision>309</cp:revision>
  <cp:lastPrinted>2019-11-26T14:21:00Z</cp:lastPrinted>
  <dcterms:created xsi:type="dcterms:W3CDTF">2019-11-28T17:16:00Z</dcterms:created>
  <dcterms:modified xsi:type="dcterms:W3CDTF">2019-11-29T15:12:00Z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0x010100B4846810FA861740AFA27B351AFB38CB</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