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bookmarkStart w:id="0" w:name="_GoBack"/>
            <w:bookmarkEnd w:id="0"/>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1D876869" w:rsidR="00C2682A" w:rsidRPr="00AB6D88" w:rsidRDefault="0010288A" w:rsidP="00FA5524">
                <w:pPr>
                  <w:rPr>
                    <w:rStyle w:val="PlaceholderText"/>
                    <w:rFonts w:cs="Arial"/>
                  </w:rPr>
                </w:pPr>
                <w:proofErr w:type="spellStart"/>
                <w:r>
                  <w:rPr>
                    <w:rStyle w:val="PlaceholderText"/>
                    <w:rFonts w:cs="Arial"/>
                  </w:rPr>
                  <w:t>Nctm</w:t>
                </w:r>
                <w:proofErr w:type="spellEnd"/>
                <w:r>
                  <w:rPr>
                    <w:rStyle w:val="PlaceholderText"/>
                    <w:rFonts w:cs="Arial"/>
                  </w:rPr>
                  <w:t xml:space="preserve"> Studio </w:t>
                </w:r>
                <w:proofErr w:type="spellStart"/>
                <w:r>
                  <w:rPr>
                    <w:rStyle w:val="PlaceholderText"/>
                    <w:rFonts w:cs="Arial"/>
                  </w:rPr>
                  <w:t>Legale</w:t>
                </w:r>
                <w:proofErr w:type="spellEnd"/>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5DB3757A" w:rsidR="00C2682A" w:rsidRPr="00AB6D88" w:rsidRDefault="0096161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0288A">
                  <w:rPr>
                    <w:rFonts w:cs="Arial"/>
                  </w:rPr>
                  <w:t>Audit/Legal/Individual</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C3E0A1C" w14:textId="2C947119" w:rsidR="00C2682A" w:rsidRPr="00AB6D88" w:rsidRDefault="0010288A"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148CC829" w:rsidR="00C2682A" w:rsidRPr="00AB6D88" w:rsidRDefault="0010288A" w:rsidP="00FA5524">
                <w:pPr>
                  <w:rPr>
                    <w:rFonts w:cs="Arial"/>
                  </w:rPr>
                </w:pPr>
                <w:r>
                  <w:rPr>
                    <w:rFonts w:cs="Arial"/>
                  </w:rPr>
                  <w:t>Italy</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77777777" w:rsidR="00F87897" w:rsidRDefault="00F87897" w:rsidP="00F87897">
      <w:permStart w:id="1594194160" w:edGrp="everyone"/>
      <w:r>
        <w:t>TYPE YOUR TEXT HERE</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A852EB0" w:rsidR="00A263DF" w:rsidRDefault="00E25800" w:rsidP="00A263DF">
      <w:permStart w:id="707658946" w:edGrp="everyone"/>
      <w:r>
        <w:t>Agreed</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48D6DE58" w14:textId="77777777" w:rsidR="00E25800" w:rsidRDefault="00E25800" w:rsidP="00E25800">
      <w:permStart w:id="797404044" w:edGrp="everyone"/>
      <w:r>
        <w:t>Agreed</w:t>
      </w:r>
    </w:p>
    <w:permEnd w:id="797404044"/>
    <w:p w14:paraId="3C3E0A4F" w14:textId="32DC4F31" w:rsidR="00A263DF" w:rsidRDefault="00A263DF" w:rsidP="00A263DF"/>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1F9BA4B1" w:rsidR="002E1760" w:rsidRDefault="00E25800" w:rsidP="002E1760">
      <w:permStart w:id="1572474776" w:edGrp="everyone"/>
      <w:r>
        <w:t>Agreed</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CEE5A69" w:rsidR="008418E3" w:rsidRDefault="00E25800" w:rsidP="008418E3">
      <w:permStart w:id="1766684248" w:edGrp="everyone"/>
      <w:r>
        <w:t>Agreed</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1A18D47C" w:rsidR="00F469F8" w:rsidRDefault="00E25800" w:rsidP="00F469F8">
      <w:permStart w:id="1943283503" w:edGrp="everyone"/>
      <w:r>
        <w:t>Agreed aggregated data</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16BDE184" w14:textId="3C473089" w:rsidR="00165C57" w:rsidRPr="006D57BD" w:rsidRDefault="00165C57" w:rsidP="00172E46">
      <w:pPr>
        <w:rPr>
          <w:rFonts w:cs="Arial"/>
          <w:szCs w:val="20"/>
          <w:lang w:val="en-US" w:eastAsia="en-GB"/>
        </w:rPr>
      </w:pPr>
      <w:permStart w:id="770132907" w:edGrp="everyone"/>
      <w:r w:rsidRPr="00172E46">
        <w:rPr>
          <w:rFonts w:cs="Arial"/>
          <w:szCs w:val="20"/>
        </w:rPr>
        <w:t xml:space="preserve">We have experienced crucial difficulties with identifying whether information included in </w:t>
      </w:r>
      <w:r w:rsidR="00172E46" w:rsidRPr="00172E46">
        <w:rPr>
          <w:rFonts w:cs="Arial"/>
          <w:szCs w:val="20"/>
        </w:rPr>
        <w:t xml:space="preserve">forecast, estimates or </w:t>
      </w:r>
      <w:r w:rsidRPr="00172E46">
        <w:rPr>
          <w:rFonts w:cs="Arial"/>
          <w:szCs w:val="20"/>
        </w:rPr>
        <w:t>business plans</w:t>
      </w:r>
      <w:r w:rsidR="00172E46" w:rsidRPr="00172E46">
        <w:rPr>
          <w:rFonts w:cs="Arial"/>
          <w:szCs w:val="20"/>
        </w:rPr>
        <w:t xml:space="preserve"> (“</w:t>
      </w:r>
      <w:r w:rsidR="00172E46" w:rsidRPr="006D57BD">
        <w:rPr>
          <w:rFonts w:cs="Arial"/>
          <w:b/>
          <w:bCs/>
          <w:color w:val="222222"/>
          <w:szCs w:val="20"/>
          <w:shd w:val="clear" w:color="auto" w:fill="FFFFB9"/>
          <w:lang w:val="en-US" w:eastAsia="en-GB"/>
        </w:rPr>
        <w:t>Forward-looking statements</w:t>
      </w:r>
      <w:r w:rsidR="00172E46" w:rsidRPr="00172E46">
        <w:rPr>
          <w:rFonts w:cs="Arial"/>
          <w:szCs w:val="20"/>
        </w:rPr>
        <w:t>”)</w:t>
      </w:r>
      <w:r w:rsidRPr="00172E46">
        <w:rPr>
          <w:rFonts w:cs="Arial"/>
          <w:szCs w:val="20"/>
        </w:rPr>
        <w:t xml:space="preserve"> can be considered insider information and, in this case, whether they are inside information for </w:t>
      </w:r>
      <w:r w:rsidR="00172E46" w:rsidRPr="00172E46">
        <w:rPr>
          <w:rFonts w:cs="Arial"/>
          <w:szCs w:val="20"/>
        </w:rPr>
        <w:t xml:space="preserve">the first year only or for all </w:t>
      </w:r>
      <w:r w:rsidRPr="00172E46">
        <w:rPr>
          <w:rFonts w:cs="Arial"/>
          <w:szCs w:val="20"/>
        </w:rPr>
        <w:t xml:space="preserve">the financial years covered by the </w:t>
      </w:r>
      <w:r w:rsidR="002E5F8F" w:rsidRPr="006D57BD">
        <w:rPr>
          <w:rFonts w:cs="Arial"/>
          <w:color w:val="222222"/>
          <w:szCs w:val="20"/>
          <w:shd w:val="clear" w:color="auto" w:fill="FFFFB9"/>
          <w:lang w:val="en-US" w:eastAsia="en-GB"/>
        </w:rPr>
        <w:t>Forward-looking statements</w:t>
      </w:r>
      <w:r w:rsidRPr="00172E46">
        <w:rPr>
          <w:rFonts w:cs="Arial"/>
          <w:szCs w:val="20"/>
        </w:rPr>
        <w:t>.</w:t>
      </w:r>
    </w:p>
    <w:p w14:paraId="42761A70" w14:textId="77777777" w:rsidR="002E5F8F" w:rsidRDefault="00172E46" w:rsidP="00F5430B">
      <w:pPr>
        <w:jc w:val="both"/>
        <w:rPr>
          <w:rFonts w:cs="Arial"/>
          <w:szCs w:val="20"/>
        </w:rPr>
      </w:pPr>
      <w:r w:rsidRPr="00172E46">
        <w:rPr>
          <w:rFonts w:cs="Arial"/>
          <w:szCs w:val="20"/>
        </w:rPr>
        <w:t>If</w:t>
      </w:r>
      <w:r w:rsidR="00165C57" w:rsidRPr="00172E46">
        <w:rPr>
          <w:rFonts w:cs="Arial"/>
          <w:szCs w:val="20"/>
        </w:rPr>
        <w:t xml:space="preserve"> </w:t>
      </w:r>
      <w:r w:rsidRPr="006D57BD">
        <w:rPr>
          <w:rFonts w:cs="Arial"/>
          <w:color w:val="222222"/>
          <w:szCs w:val="20"/>
          <w:shd w:val="clear" w:color="auto" w:fill="FFFFB9"/>
          <w:lang w:val="en-US" w:eastAsia="en-GB"/>
        </w:rPr>
        <w:t>Forward-looking statements</w:t>
      </w:r>
      <w:r w:rsidRPr="006D57BD">
        <w:rPr>
          <w:rFonts w:cs="Arial"/>
          <w:szCs w:val="20"/>
          <w:lang w:val="en-US" w:eastAsia="en-GB"/>
        </w:rPr>
        <w:t xml:space="preserve"> </w:t>
      </w:r>
      <w:r w:rsidRPr="00172E46">
        <w:rPr>
          <w:rFonts w:cs="Arial"/>
          <w:szCs w:val="20"/>
        </w:rPr>
        <w:t>are inside information the issuer</w:t>
      </w:r>
      <w:r>
        <w:rPr>
          <w:rFonts w:cs="Arial"/>
          <w:szCs w:val="20"/>
        </w:rPr>
        <w:t>,</w:t>
      </w:r>
      <w:r w:rsidRPr="00172E46">
        <w:rPr>
          <w:rFonts w:cs="Arial"/>
          <w:szCs w:val="20"/>
        </w:rPr>
        <w:t xml:space="preserve"> when the Board </w:t>
      </w:r>
      <w:r w:rsidR="00165C57" w:rsidRPr="00172E46">
        <w:rPr>
          <w:rFonts w:cs="Arial"/>
          <w:szCs w:val="20"/>
        </w:rPr>
        <w:t>approve</w:t>
      </w:r>
      <w:r w:rsidRPr="00172E46">
        <w:rPr>
          <w:rFonts w:cs="Arial"/>
          <w:szCs w:val="20"/>
        </w:rPr>
        <w:t>s</w:t>
      </w:r>
      <w:r w:rsidR="00165C57" w:rsidRPr="00172E46">
        <w:rPr>
          <w:rFonts w:cs="Arial"/>
          <w:szCs w:val="20"/>
        </w:rPr>
        <w:t xml:space="preserve"> </w:t>
      </w:r>
      <w:r w:rsidRPr="00172E46">
        <w:rPr>
          <w:rFonts w:cs="Arial"/>
          <w:szCs w:val="20"/>
        </w:rPr>
        <w:t xml:space="preserve">them and such </w:t>
      </w:r>
      <w:r w:rsidRPr="006D57BD">
        <w:rPr>
          <w:rFonts w:cs="Arial"/>
          <w:color w:val="222222"/>
          <w:szCs w:val="20"/>
          <w:shd w:val="clear" w:color="auto" w:fill="FFFFB9"/>
          <w:lang w:val="en-US" w:eastAsia="en-GB"/>
        </w:rPr>
        <w:t>Forward-looking statements</w:t>
      </w:r>
      <w:r w:rsidRPr="006D57BD">
        <w:rPr>
          <w:rFonts w:cs="Arial"/>
          <w:szCs w:val="20"/>
          <w:lang w:val="en-US" w:eastAsia="en-GB"/>
        </w:rPr>
        <w:t xml:space="preserve"> </w:t>
      </w:r>
      <w:r w:rsidR="00165C57" w:rsidRPr="00172E46">
        <w:rPr>
          <w:rFonts w:cs="Arial"/>
          <w:szCs w:val="20"/>
        </w:rPr>
        <w:t xml:space="preserve">are </w:t>
      </w:r>
      <w:r w:rsidR="00796E5A" w:rsidRPr="00172E46">
        <w:rPr>
          <w:rFonts w:cs="Arial"/>
          <w:szCs w:val="20"/>
        </w:rPr>
        <w:t>not</w:t>
      </w:r>
      <w:r w:rsidR="00165C57" w:rsidRPr="00172E46">
        <w:rPr>
          <w:rFonts w:cs="Arial"/>
          <w:szCs w:val="20"/>
        </w:rPr>
        <w:t xml:space="preserve"> disclosed </w:t>
      </w:r>
      <w:r>
        <w:rPr>
          <w:rFonts w:cs="Arial"/>
          <w:szCs w:val="20"/>
        </w:rPr>
        <w:t xml:space="preserve">to the public, </w:t>
      </w:r>
      <w:r w:rsidR="002E5F8F">
        <w:rPr>
          <w:rFonts w:cs="Arial"/>
          <w:szCs w:val="20"/>
        </w:rPr>
        <w:t xml:space="preserve">will be obliged to </w:t>
      </w:r>
      <w:r>
        <w:rPr>
          <w:rFonts w:cs="Arial"/>
          <w:szCs w:val="20"/>
        </w:rPr>
        <w:t xml:space="preserve">delay </w:t>
      </w:r>
      <w:r w:rsidR="001D5316">
        <w:rPr>
          <w:rFonts w:cs="Arial"/>
          <w:szCs w:val="20"/>
        </w:rPr>
        <w:t>disclosure and a</w:t>
      </w:r>
      <w:r w:rsidR="002E5F8F">
        <w:rPr>
          <w:rFonts w:cs="Arial"/>
          <w:szCs w:val="20"/>
        </w:rPr>
        <w:t>dd a</w:t>
      </w:r>
      <w:r w:rsidR="001D5316">
        <w:rPr>
          <w:rFonts w:cs="Arial"/>
          <w:szCs w:val="20"/>
        </w:rPr>
        <w:t xml:space="preserve"> </w:t>
      </w:r>
      <w:r w:rsidR="00165C57" w:rsidRPr="00172E46">
        <w:rPr>
          <w:rFonts w:cs="Arial"/>
          <w:szCs w:val="20"/>
        </w:rPr>
        <w:t xml:space="preserve">section </w:t>
      </w:r>
      <w:r w:rsidR="001D5316">
        <w:rPr>
          <w:rFonts w:cs="Arial"/>
          <w:szCs w:val="20"/>
        </w:rPr>
        <w:t>to</w:t>
      </w:r>
      <w:r w:rsidR="00165C57" w:rsidRPr="00172E46">
        <w:rPr>
          <w:rFonts w:cs="Arial"/>
          <w:szCs w:val="20"/>
        </w:rPr>
        <w:t xml:space="preserve"> the Insider List. </w:t>
      </w:r>
    </w:p>
    <w:p w14:paraId="29D15D3A" w14:textId="289F23B3" w:rsidR="00F5430B" w:rsidRDefault="00F5430B" w:rsidP="00F5430B">
      <w:pPr>
        <w:jc w:val="both"/>
      </w:pPr>
      <w:r>
        <w:t>C</w:t>
      </w:r>
      <w:r w:rsidR="00EB00D8">
        <w:t xml:space="preserve">ONSOB </w:t>
      </w:r>
      <w:r>
        <w:t xml:space="preserve"> stated in a consultation paper</w:t>
      </w:r>
      <w:r w:rsidR="00773672">
        <w:t xml:space="preserve"> (see </w:t>
      </w:r>
      <w:proofErr w:type="spellStart"/>
      <w:r w:rsidR="00773672" w:rsidRPr="00EB00D8">
        <w:rPr>
          <w:i/>
          <w:iCs/>
        </w:rPr>
        <w:t>Esiti</w:t>
      </w:r>
      <w:proofErr w:type="spellEnd"/>
      <w:r w:rsidR="00773672" w:rsidRPr="00EB00D8">
        <w:rPr>
          <w:i/>
          <w:iCs/>
        </w:rPr>
        <w:t xml:space="preserve"> </w:t>
      </w:r>
      <w:proofErr w:type="spellStart"/>
      <w:r w:rsidR="00773672" w:rsidRPr="00EB00D8">
        <w:rPr>
          <w:i/>
          <w:iCs/>
        </w:rPr>
        <w:t>della</w:t>
      </w:r>
      <w:proofErr w:type="spellEnd"/>
      <w:r w:rsidR="00773672">
        <w:t xml:space="preserve"> </w:t>
      </w:r>
      <w:proofErr w:type="spellStart"/>
      <w:r w:rsidR="00773672">
        <w:t>consultazione</w:t>
      </w:r>
      <w:proofErr w:type="spellEnd"/>
      <w:r w:rsidR="00773672">
        <w:t xml:space="preserve"> MAR 6 April 2017, section 2.1.4)</w:t>
      </w:r>
      <w:r>
        <w:t xml:space="preserve"> that business plans </w:t>
      </w:r>
      <w:r w:rsidR="001D7B4D">
        <w:t xml:space="preserve">may be </w:t>
      </w:r>
      <w:r>
        <w:t>inside information as</w:t>
      </w:r>
      <w:r w:rsidRPr="00F5430B">
        <w:t xml:space="preserve"> </w:t>
      </w:r>
      <w:r>
        <w:t xml:space="preserve">their disclosure is </w:t>
      </w:r>
      <w:r w:rsidRPr="00F5430B">
        <w:t xml:space="preserve">likely to have a significant effect on the prices of </w:t>
      </w:r>
      <w:r w:rsidR="00773672">
        <w:t>issuer’s</w:t>
      </w:r>
      <w:r w:rsidRPr="00F5430B">
        <w:t xml:space="preserve"> financial instruments</w:t>
      </w:r>
      <w:r>
        <w:t xml:space="preserve">. Furthermore, as estimates from commentators or institutions according to </w:t>
      </w:r>
      <w:r w:rsidR="00773672">
        <w:t>recital</w:t>
      </w:r>
      <w:r>
        <w:t xml:space="preserve"> 28 of MAR can be considered inside information, this also applies to the issuer’s </w:t>
      </w:r>
      <w:r w:rsidR="00144718" w:rsidRPr="00144718">
        <w:t>Forward-looking statement</w:t>
      </w:r>
      <w:r w:rsidR="00EB00D8">
        <w:t xml:space="preserve"> (</w:t>
      </w:r>
      <w:r w:rsidR="00EB00D8">
        <w:rPr>
          <w:rStyle w:val="FootnoteReference"/>
        </w:rPr>
        <w:footnoteReference w:id="2"/>
      </w:r>
      <w:r w:rsidR="00EB00D8">
        <w:t>)</w:t>
      </w:r>
      <w:r>
        <w:t>.</w:t>
      </w:r>
    </w:p>
    <w:p w14:paraId="22F3442D" w14:textId="2B6F7646" w:rsidR="00CB5C8D" w:rsidRDefault="00CB5C8D" w:rsidP="00CB5C8D">
      <w:r>
        <w:t xml:space="preserve">AMF under MAD regime has noted that </w:t>
      </w:r>
      <w:r w:rsidRPr="00903BE2">
        <w:t xml:space="preserve">Forward-looking statements </w:t>
      </w:r>
      <w:r>
        <w:t>differ based on their assumptions, estimates, forecasts over the first, second or third year period, and th</w:t>
      </w:r>
      <w:r w:rsidR="0067724A">
        <w:t xml:space="preserve">at the financial information contained in such </w:t>
      </w:r>
      <w:r w:rsidR="0067724A" w:rsidRPr="00903BE2">
        <w:t>Forward-looking statements</w:t>
      </w:r>
      <w:r w:rsidR="0067724A">
        <w:t xml:space="preserve"> </w:t>
      </w:r>
      <w:r>
        <w:t xml:space="preserve">could certainly not offer the same degree of reliability. In addition, </w:t>
      </w:r>
      <w:r w:rsidR="00614490">
        <w:t xml:space="preserve">AMF noted also that </w:t>
      </w:r>
      <w:r w:rsidRPr="00903BE2">
        <w:t xml:space="preserve">Forward-looking statements </w:t>
      </w:r>
      <w:r>
        <w:t>cover rolling years and, therefore, are redrafted on a continuous basis</w:t>
      </w:r>
      <w:r w:rsidR="00614490">
        <w:t xml:space="preserve"> and that t</w:t>
      </w:r>
      <w:r>
        <w:t>he financial information of each year, other than the first year</w:t>
      </w:r>
      <w:r w:rsidR="00614490">
        <w:t>,</w:t>
      </w:r>
      <w:r>
        <w:t xml:space="preserve"> are periodically reviewed, updated and modified based on decisions taken by the management and on the evolution of the assumptions on which the </w:t>
      </w:r>
      <w:r w:rsidRPr="00903BE2">
        <w:t xml:space="preserve">Forward-looking statements </w:t>
      </w:r>
      <w:r>
        <w:t xml:space="preserve">rely. As such, the information contained in </w:t>
      </w:r>
      <w:r w:rsidRPr="00903BE2">
        <w:t>Forward-looking statements</w:t>
      </w:r>
      <w:r>
        <w:t xml:space="preserve">, other than the financial information on the first year covered, seems not be precise enough to be considered inside information (see </w:t>
      </w:r>
      <w:r w:rsidRPr="00CB5C8D">
        <w:t>AMF Enforcement Committee, 27 November 2009, SAN-2009-33</w:t>
      </w:r>
      <w:r>
        <w:t>).</w:t>
      </w:r>
    </w:p>
    <w:p w14:paraId="0BCC9530" w14:textId="77777777" w:rsidR="00EE7F1A" w:rsidRDefault="00F5430B" w:rsidP="00646C30">
      <w:r>
        <w:t xml:space="preserve">This lack of clarity is particularly puzzling as </w:t>
      </w:r>
      <w:r w:rsidR="00165C57">
        <w:t xml:space="preserve">frequently </w:t>
      </w:r>
      <w:r w:rsidR="00EE7F1A" w:rsidRPr="00903BE2">
        <w:t xml:space="preserve">Forward-looking statements </w:t>
      </w:r>
      <w:r w:rsidR="00165C57">
        <w:t>are requested by banks in order to conclude financing contracts or in M&amp;A transactions</w:t>
      </w:r>
      <w:r w:rsidR="00144718">
        <w:t xml:space="preserve"> or in SME’s bonds </w:t>
      </w:r>
      <w:r w:rsidR="00EE5606">
        <w:t>private placements</w:t>
      </w:r>
      <w:r>
        <w:t xml:space="preserve">. </w:t>
      </w:r>
    </w:p>
    <w:p w14:paraId="3C3E0A68" w14:textId="4DE9276D" w:rsidR="00646C30" w:rsidRDefault="00F5430B" w:rsidP="00646C30">
      <w:r>
        <w:t>I</w:t>
      </w:r>
      <w:r w:rsidR="00165C57">
        <w:t xml:space="preserve">t is not clear whether, in this case, </w:t>
      </w:r>
      <w:r>
        <w:t>the third person receiving the information must be added to a specific section of the Insider lists</w:t>
      </w:r>
      <w:r w:rsidR="00F33604">
        <w:t xml:space="preserve"> and </w:t>
      </w:r>
      <w:r w:rsidR="00903BE2">
        <w:t xml:space="preserve">if is the answer is positive </w:t>
      </w:r>
      <w:r w:rsidR="00F33604">
        <w:t>for how long (</w:t>
      </w:r>
      <w:r w:rsidR="00F33604" w:rsidRPr="00F33604">
        <w:rPr>
          <w:i/>
          <w:iCs/>
        </w:rPr>
        <w:t>e.g</w:t>
      </w:r>
      <w:r w:rsidR="00F33604">
        <w:t xml:space="preserve">. until the first </w:t>
      </w:r>
      <w:r w:rsidR="00EE7F1A">
        <w:t xml:space="preserve">year </w:t>
      </w:r>
      <w:r w:rsidR="00F33604">
        <w:t>of business plan has expired</w:t>
      </w:r>
      <w:r w:rsidR="006D57BD">
        <w:t>). Moreover, it is not clear whether</w:t>
      </w:r>
      <w:r w:rsidR="00133E1C">
        <w:t xml:space="preserve">, </w:t>
      </w:r>
      <w:r w:rsidR="006D57BD">
        <w:t>in case</w:t>
      </w:r>
      <w:r w:rsidR="00133E1C">
        <w:t xml:space="preserve"> </w:t>
      </w:r>
      <w:r w:rsidR="00133E1C" w:rsidRPr="00903BE2">
        <w:t>Forward-looking statements</w:t>
      </w:r>
      <w:r w:rsidR="00133E1C">
        <w:t xml:space="preserve"> are </w:t>
      </w:r>
      <w:r w:rsidR="006D57BD">
        <w:t xml:space="preserve">considered </w:t>
      </w:r>
      <w:r w:rsidR="00133E1C">
        <w:t>inside information</w:t>
      </w:r>
      <w:r w:rsidR="00B76DFA">
        <w:t xml:space="preserve">, article 9, 4, MAR, </w:t>
      </w:r>
      <w:r w:rsidR="00EE5606">
        <w:t>would apply</w:t>
      </w:r>
      <w:r w:rsidR="006D57BD">
        <w:t>, thus</w:t>
      </w:r>
      <w:r w:rsidR="00B76DFA">
        <w:t xml:space="preserve"> </w:t>
      </w:r>
      <w:r w:rsidR="00B76DFA" w:rsidRPr="00903BE2">
        <w:t>Forward-looking statements</w:t>
      </w:r>
      <w:r w:rsidR="00B76DFA">
        <w:t xml:space="preserve"> shall be disclosed if a merger or a takeover is announced.</w:t>
      </w:r>
      <w:r w:rsidR="006B181C">
        <w:t xml:space="preserve"> Finally, if in a bonds placement </w:t>
      </w:r>
      <w:r w:rsidR="006B181C" w:rsidRPr="00903BE2">
        <w:t>Forward-looking statements</w:t>
      </w:r>
      <w:r w:rsidR="006B181C">
        <w:t xml:space="preserve"> are disclosed</w:t>
      </w:r>
      <w:r w:rsidR="00EE7F1A">
        <w:t xml:space="preserve"> to the subscribers of the notes</w:t>
      </w:r>
      <w:r w:rsidR="006D57BD">
        <w:t>, would</w:t>
      </w:r>
      <w:r w:rsidR="00EE7F1A">
        <w:t xml:space="preserve"> </w:t>
      </w:r>
      <w:r w:rsidR="00ED3E6A">
        <w:t>the</w:t>
      </w:r>
      <w:r w:rsidR="006B181C">
        <w:t xml:space="preserve"> bondholders </w:t>
      </w:r>
      <w:r w:rsidR="006D57BD">
        <w:t>be able to</w:t>
      </w:r>
      <w:r w:rsidR="006B181C">
        <w:t xml:space="preserve"> freely trade the financial instruments? </w:t>
      </w:r>
    </w:p>
    <w:p w14:paraId="446C9307" w14:textId="224007C9" w:rsidR="00796E5A" w:rsidRDefault="00773672" w:rsidP="00646C30">
      <w:r>
        <w:t>In the light of the above w</w:t>
      </w:r>
      <w:r w:rsidR="00F5430B">
        <w:t>e would suggest a clarification on this issue.</w:t>
      </w:r>
    </w:p>
    <w:permEnd w:id="770132907"/>
    <w:p w14:paraId="4AB067C9" w14:textId="261EACB6" w:rsidR="00646C30" w:rsidRDefault="00646C30" w:rsidP="00646C30"/>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lastRenderedPageBreak/>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lastRenderedPageBreak/>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779FF51A" w14:textId="41AA2EF4" w:rsidR="00E85628" w:rsidRDefault="00E85628" w:rsidP="00804884">
      <w:pPr>
        <w:jc w:val="both"/>
      </w:pPr>
      <w:permStart w:id="611875542" w:edGrp="everyone"/>
      <w:r>
        <w:t>In our experience, we often face considerable difficulties with one criteria provided for to delay disclosure of inside information pursuant to Article 17, section 4 of the MAR.</w:t>
      </w:r>
    </w:p>
    <w:p w14:paraId="4E8AD7A9" w14:textId="77777777" w:rsidR="00E85628" w:rsidRDefault="00E85628" w:rsidP="00804884">
      <w:pPr>
        <w:jc w:val="both"/>
      </w:pPr>
      <w:r>
        <w:t>As is well known, said  article provides for the right to delay the disclosure of inside information on the condition that: (a) immediate disclosure is likely to prejudice the legitimate interests of the issuer or emission allowance market participant; (b) delay of disclosure is not likely to mislead the public; (c) the issuer or emission allowance market participant is able to ensure the confidentiality of that information.</w:t>
      </w:r>
    </w:p>
    <w:p w14:paraId="3F8059EB" w14:textId="40378488" w:rsidR="00E85628" w:rsidRDefault="00E85628" w:rsidP="00804884">
      <w:pPr>
        <w:jc w:val="both"/>
      </w:pPr>
      <w:r w:rsidRPr="00562984">
        <w:lastRenderedPageBreak/>
        <w:t xml:space="preserve">Market practice has revealed significant uncertainties with respect to the condition under </w:t>
      </w:r>
      <w:r>
        <w:t xml:space="preserve">letter </w:t>
      </w:r>
      <w:r w:rsidRPr="00562984">
        <w:t xml:space="preserve">(b) </w:t>
      </w:r>
      <w:r>
        <w:t xml:space="preserve">of article 17, section 4, MAR, according to which issuers may delay the disclosure of an inside information if this is not </w:t>
      </w:r>
      <w:r w:rsidRPr="00562984">
        <w:t>likely to mislead the public.</w:t>
      </w:r>
    </w:p>
    <w:p w14:paraId="3A0658F3" w14:textId="77777777" w:rsidR="00E85628" w:rsidRDefault="00E85628" w:rsidP="00804884">
      <w:pPr>
        <w:jc w:val="both"/>
      </w:pPr>
      <w:r w:rsidRPr="00562984">
        <w:t xml:space="preserve">However, it is evident that the delay in the </w:t>
      </w:r>
      <w:r>
        <w:t>disclosure</w:t>
      </w:r>
      <w:r w:rsidRPr="00562984">
        <w:t xml:space="preserve"> of an inside information is, in itself, likely to be deceptive.</w:t>
      </w:r>
    </w:p>
    <w:p w14:paraId="208F2E2F" w14:textId="77777777" w:rsidR="00E85628" w:rsidRDefault="00E85628" w:rsidP="00804884">
      <w:pPr>
        <w:jc w:val="both"/>
      </w:pPr>
      <w:r w:rsidRPr="00562984">
        <w:t>As the doctrine has pointed out, delaying the disclosure of an inside information always leads investors to take different decisions from those they would have taken if they had been aware of the information.</w:t>
      </w:r>
    </w:p>
    <w:p w14:paraId="2FEB74A0" w14:textId="77777777" w:rsidR="00E85628" w:rsidRDefault="00E85628" w:rsidP="00804884">
      <w:r>
        <w:t>This is where all the difficulties arise.</w:t>
      </w:r>
    </w:p>
    <w:p w14:paraId="76E5F6C3" w14:textId="5B67A727" w:rsidR="00E85628" w:rsidRDefault="00E85628" w:rsidP="00804884">
      <w:pPr>
        <w:jc w:val="both"/>
      </w:pPr>
      <w:r w:rsidRPr="00562984">
        <w:t>It is clear, in fact, that if one automatically recognizes the delay of disclosure as being deceptive, the conditions set forth in Article 1</w:t>
      </w:r>
      <w:r>
        <w:t>7</w:t>
      </w:r>
      <w:r w:rsidRPr="00562984">
        <w:t xml:space="preserve">, </w:t>
      </w:r>
      <w:r>
        <w:t>section</w:t>
      </w:r>
      <w:r w:rsidRPr="00562984">
        <w:t xml:space="preserve"> 4, would never be met, and, therefore, the delay mechanism could never be used by issuers. However, such an outcome is not acceptable.</w:t>
      </w:r>
    </w:p>
    <w:p w14:paraId="3C3E0AA4" w14:textId="3C76D360" w:rsidR="00646C30" w:rsidRDefault="00E85628" w:rsidP="00646C30">
      <w:r w:rsidRPr="00C64350">
        <w:t>We therefore highlight the need to clarify the meaning of the condition referred to in letter b of Art. 1</w:t>
      </w:r>
      <w:r>
        <w:t>7,</w:t>
      </w:r>
      <w:r w:rsidRPr="00C64350">
        <w:t xml:space="preserve"> </w:t>
      </w:r>
      <w:r>
        <w:t>section</w:t>
      </w:r>
      <w:r w:rsidRPr="00562984">
        <w:t xml:space="preserve"> 4</w:t>
      </w:r>
      <w:r>
        <w:t xml:space="preserve">, </w:t>
      </w:r>
      <w:r w:rsidRPr="00C64350">
        <w:t xml:space="preserve">MAR, or, alternatively, to amend the aforementioned provision in order to allow </w:t>
      </w:r>
      <w:r>
        <w:t xml:space="preserve">a </w:t>
      </w:r>
      <w:r w:rsidRPr="00C64350">
        <w:t>more efficient and understandable use of the mechanism of delay</w:t>
      </w:r>
      <w:r>
        <w:t xml:space="preserve">ed </w:t>
      </w:r>
      <w:r w:rsidRPr="00C64350">
        <w:t>disclosure.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5D94854B" w:rsidR="00646C30" w:rsidRDefault="00E25800" w:rsidP="00646C30">
      <w:permStart w:id="1829000557" w:edGrp="everyone"/>
      <w:r>
        <w:t xml:space="preserve">In M&amp;A transactions we have encountered difficulties to </w:t>
      </w:r>
      <w:r w:rsidR="00AE68C5">
        <w:t>assess</w:t>
      </w:r>
      <w:r>
        <w:t xml:space="preserve"> the condition provided by </w:t>
      </w:r>
      <w:r w:rsidRPr="00C64350">
        <w:t>letter b of Art. 1</w:t>
      </w:r>
      <w:r>
        <w:t>7,</w:t>
      </w:r>
      <w:r w:rsidRPr="00C64350">
        <w:t xml:space="preserve"> </w:t>
      </w:r>
      <w:r>
        <w:t>section</w:t>
      </w:r>
      <w:r w:rsidRPr="00562984">
        <w:t xml:space="preserve"> 4</w:t>
      </w:r>
      <w:r>
        <w:t xml:space="preserve">, </w:t>
      </w:r>
      <w:r w:rsidRPr="00C64350">
        <w:t>MAR</w:t>
      </w:r>
      <w:r>
        <w:t xml:space="preserve"> </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486E925E" w:rsidR="00646C30" w:rsidRDefault="00E25800" w:rsidP="00646C30">
      <w:permStart w:id="1678079242" w:edGrp="everyone"/>
      <w:r>
        <w:t xml:space="preserve">If </w:t>
      </w:r>
      <w:r w:rsidRPr="0079485D">
        <w:t>systems and controls for identifying, handling, and disclosing inside information</w:t>
      </w:r>
      <w:r>
        <w:t xml:space="preserve"> will be introduced, SME’s listed on MTFs shall be exempted in order to avoid </w:t>
      </w:r>
      <w:r w:rsidR="00371E1B">
        <w:t>burdensome</w:t>
      </w:r>
      <w:r>
        <w:t xml:space="preserve"> </w:t>
      </w:r>
      <w:r w:rsidR="00371E1B">
        <w:t xml:space="preserve">regulatory </w:t>
      </w:r>
      <w:r>
        <w:t xml:space="preserve">costs which could </w:t>
      </w:r>
      <w:r w:rsidR="00371E1B">
        <w:t>discourage IPOs</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lastRenderedPageBreak/>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lastRenderedPageBreak/>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167DFC8D" w:rsidR="00646C30" w:rsidRDefault="004D4DA4" w:rsidP="00646C30">
      <w:permStart w:id="427762830" w:edGrp="everyone"/>
      <w:r>
        <w:t>Market soundings regime has be proven of difficult application for SMEs listed on MTFs which may also tap equity or debt directly from private individual investors</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lastRenderedPageBreak/>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lastRenderedPageBreak/>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lastRenderedPageBreak/>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5D5A943" w:rsidR="00646C30" w:rsidRDefault="0031271D" w:rsidP="00646C30">
      <w:permStart w:id="1172058443" w:edGrp="everyone"/>
      <w:r>
        <w:t xml:space="preserve">We have experienced that some M&amp;A transactions could be delayed or endangered due to closed period obligation. </w:t>
      </w:r>
      <w:r w:rsidR="004F3BD8">
        <w:t>Particularly for SMEs listed on MTFs executive b</w:t>
      </w:r>
      <w:r>
        <w:t xml:space="preserve">oard members often are also </w:t>
      </w:r>
      <w:r w:rsidR="004F3BD8">
        <w:t xml:space="preserve">the controlling </w:t>
      </w:r>
      <w:r>
        <w:t xml:space="preserve">shareholders of the company, and </w:t>
      </w:r>
      <w:r w:rsidR="006D57BD">
        <w:t xml:space="preserve">it </w:t>
      </w:r>
      <w:r w:rsidR="000D35F5">
        <w:t xml:space="preserve">may happen that negotiation </w:t>
      </w:r>
      <w:r w:rsidR="0070030B">
        <w:t>shall be</w:t>
      </w:r>
      <w:r w:rsidR="000D35F5">
        <w:t xml:space="preserve"> accelerated or postponed </w:t>
      </w:r>
      <w:r w:rsidR="0070030B">
        <w:t xml:space="preserve">to avoid trading of financial instruments within the closed period </w:t>
      </w:r>
      <w:r w:rsidR="00BF21EF">
        <w:t xml:space="preserve">with prejudice for the </w:t>
      </w:r>
      <w:r>
        <w:t xml:space="preserve">selling </w:t>
      </w:r>
      <w:r w:rsidR="00005EE8">
        <w:t xml:space="preserve">shareholder which </w:t>
      </w:r>
      <w:r w:rsidR="003E2AC4">
        <w:t xml:space="preserve">may be compelled to sell her shares at a lower price </w:t>
      </w:r>
      <w:r w:rsidR="0070030B">
        <w:t xml:space="preserve">(with effect of the offer price if a takeover is launched) </w:t>
      </w:r>
      <w:r w:rsidR="003E2AC4">
        <w:t xml:space="preserve">or </w:t>
      </w:r>
      <w:r w:rsidR="0070030B">
        <w:t>lose the opportunity to sell her shareholding</w:t>
      </w:r>
      <w:r>
        <w:t>.</w:t>
      </w:r>
    </w:p>
    <w:p w14:paraId="1BD2963E" w14:textId="453E8C93" w:rsidR="00646C30" w:rsidRDefault="0031271D" w:rsidP="007356FC">
      <w:pPr>
        <w:jc w:val="both"/>
      </w:pPr>
      <w:r>
        <w:lastRenderedPageBreak/>
        <w:t xml:space="preserve">We would therefore recommend to include a new exemption </w:t>
      </w:r>
      <w:r w:rsidR="00646EFC">
        <w:t>for</w:t>
      </w:r>
      <w:r>
        <w:t xml:space="preserve"> </w:t>
      </w:r>
      <w:r w:rsidR="00646EFC">
        <w:t xml:space="preserve">transactions relating to shares when these transactions will entail </w:t>
      </w:r>
      <w:r w:rsidR="00646EFC" w:rsidRPr="00646EFC">
        <w:t>a public takeover bid</w:t>
      </w:r>
      <w:r w:rsidR="00646EFC">
        <w:t xml:space="preserve"> or a merger in line with whereas 30 of MAR, thus the transaction will benefit all the shareholders.</w:t>
      </w:r>
      <w:r>
        <w:t xml:space="preserve"> </w:t>
      </w:r>
    </w:p>
    <w:p w14:paraId="0BA3AF15" w14:textId="412A6155" w:rsidR="00646C30" w:rsidRDefault="007356FC" w:rsidP="00646C30">
      <w:r>
        <w:t xml:space="preserve">In this sense, it would also be useful to clarify whether the expression “financial instruments linked to them” </w:t>
      </w:r>
      <w:r w:rsidR="00D02F5F">
        <w:t>included in</w:t>
      </w:r>
      <w:r>
        <w:t xml:space="preserve"> art. 19 (11)</w:t>
      </w:r>
      <w:r w:rsidR="00D02F5F">
        <w:t xml:space="preserve"> MAR</w:t>
      </w:r>
      <w:r>
        <w:t xml:space="preserve"> </w:t>
      </w:r>
      <w:r w:rsidR="00D02F5F">
        <w:t xml:space="preserve">– as well as in article 19 (1) - </w:t>
      </w:r>
      <w:r>
        <w:t>applies also to shares of a holding company owning shares of the issuer.</w:t>
      </w:r>
      <w:r w:rsidR="00D02F5F">
        <w:t xml:space="preserve"> This would entail that during the closed period also transactions on shares of the holding company would be forbidden</w:t>
      </w:r>
      <w:r w:rsidR="004E0D8F">
        <w:t>, making more difficult the carrying out of M&amp;A transactions concerning the issuer</w:t>
      </w:r>
      <w:r w:rsidR="00D02F5F">
        <w:t>.</w:t>
      </w:r>
      <w:r>
        <w:t xml:space="preserve"> </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 xml:space="preserve">ESMA would like to gather views from stakeholders on whether other entities than the asset management company (e.g. depository) and other entities on which the </w:t>
      </w:r>
      <w:r w:rsidRPr="0042739E">
        <w:lastRenderedPageBreak/>
        <w:t>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 xml:space="preserve">In particular, please: a) elaborate on the cost differences between a daily reporting system and a daily record keeping and ad-hoc transmission mechanism; b) explain </w:t>
      </w:r>
      <w:r w:rsidRPr="0042739E">
        <w:lastRenderedPageBreak/>
        <w:t>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016F" w14:textId="77777777" w:rsidR="0096161D" w:rsidRDefault="0096161D">
      <w:r>
        <w:separator/>
      </w:r>
    </w:p>
    <w:p w14:paraId="260BFD6E" w14:textId="77777777" w:rsidR="0096161D" w:rsidRDefault="0096161D"/>
  </w:endnote>
  <w:endnote w:type="continuationSeparator" w:id="0">
    <w:p w14:paraId="49EF23CD" w14:textId="77777777" w:rsidR="0096161D" w:rsidRDefault="0096161D">
      <w:r>
        <w:continuationSeparator/>
      </w:r>
    </w:p>
    <w:p w14:paraId="763D5572" w14:textId="77777777" w:rsidR="0096161D" w:rsidRDefault="0096161D"/>
  </w:endnote>
  <w:endnote w:type="continuationNotice" w:id="1">
    <w:p w14:paraId="76522EF9" w14:textId="77777777" w:rsidR="0096161D" w:rsidRDefault="0096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B00D8" w:rsidRPr="00616B9B" w14:paraId="3C3E0B9C" w14:textId="77777777" w:rsidTr="00315E96">
      <w:trPr>
        <w:trHeight w:val="284"/>
      </w:trPr>
      <w:tc>
        <w:tcPr>
          <w:tcW w:w="8460" w:type="dxa"/>
        </w:tcPr>
        <w:p w14:paraId="3C3E0B9A" w14:textId="77777777" w:rsidR="00EB00D8" w:rsidRPr="00315E96" w:rsidRDefault="00EB00D8" w:rsidP="00315E96">
          <w:pPr>
            <w:pStyle w:val="00Footer"/>
            <w:rPr>
              <w:lang w:val="fr-FR"/>
            </w:rPr>
          </w:pPr>
        </w:p>
      </w:tc>
      <w:tc>
        <w:tcPr>
          <w:tcW w:w="952" w:type="dxa"/>
        </w:tcPr>
        <w:p w14:paraId="3C3E0B9B" w14:textId="77777777" w:rsidR="00EB00D8" w:rsidRPr="00616B9B" w:rsidRDefault="00EB00D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EB00D8" w:rsidRDefault="00EB0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EB00D8" w:rsidRDefault="00EB0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3B05" w14:textId="77777777" w:rsidR="0096161D" w:rsidRDefault="0096161D">
      <w:r>
        <w:separator/>
      </w:r>
    </w:p>
    <w:p w14:paraId="21A4EE52" w14:textId="77777777" w:rsidR="0096161D" w:rsidRDefault="0096161D"/>
  </w:footnote>
  <w:footnote w:type="continuationSeparator" w:id="0">
    <w:p w14:paraId="6B75FC36" w14:textId="77777777" w:rsidR="0096161D" w:rsidRDefault="0096161D">
      <w:r>
        <w:continuationSeparator/>
      </w:r>
    </w:p>
    <w:p w14:paraId="28598793" w14:textId="77777777" w:rsidR="0096161D" w:rsidRDefault="0096161D"/>
  </w:footnote>
  <w:footnote w:type="continuationNotice" w:id="1">
    <w:p w14:paraId="202A05B8" w14:textId="77777777" w:rsidR="0096161D" w:rsidRDefault="0096161D"/>
  </w:footnote>
  <w:footnote w:id="2">
    <w:p w14:paraId="07B3ABFF" w14:textId="56728EAC" w:rsidR="00EB00D8" w:rsidRPr="00EB00D8" w:rsidRDefault="00EB00D8" w:rsidP="00EB00D8">
      <w:pPr>
        <w:pStyle w:val="FootnoteText"/>
        <w:rPr>
          <w:i/>
          <w:iCs/>
          <w:lang w:val="it-IT"/>
        </w:rPr>
      </w:pPr>
      <w:r w:rsidRPr="006D57BD">
        <w:rPr>
          <w:lang w:val="it-IT"/>
        </w:rPr>
        <w:t>(</w:t>
      </w:r>
      <w:r>
        <w:rPr>
          <w:rStyle w:val="FootnoteReference"/>
        </w:rPr>
        <w:footnoteRef/>
      </w:r>
      <w:r>
        <w:rPr>
          <w:lang w:val="it-IT"/>
        </w:rPr>
        <w:t>) CONSOB in the above mentioned paper stated «</w:t>
      </w:r>
      <w:r w:rsidRPr="00EB00D8">
        <w:rPr>
          <w:i/>
          <w:iCs/>
          <w:lang w:val="it-IT"/>
        </w:rPr>
        <w:t>Nella prassi applicativa si osserva che, quando un emittente rende pubblici dati previsionali o</w:t>
      </w:r>
      <w:r>
        <w:rPr>
          <w:i/>
          <w:iCs/>
          <w:lang w:val="it-IT"/>
        </w:rPr>
        <w:t xml:space="preserve"> </w:t>
      </w:r>
      <w:r w:rsidRPr="00EB00D8">
        <w:rPr>
          <w:i/>
          <w:iCs/>
          <w:lang w:val="it-IT"/>
        </w:rPr>
        <w:t>obiettivi quantitativi, i prezzi di mercato frequentemente reagiscono con sensibili variazioni. Ciò</w:t>
      </w:r>
      <w:r>
        <w:rPr>
          <w:i/>
          <w:iCs/>
          <w:lang w:val="it-IT"/>
        </w:rPr>
        <w:t xml:space="preserve"> </w:t>
      </w:r>
      <w:r w:rsidRPr="00EB00D8">
        <w:rPr>
          <w:i/>
          <w:iCs/>
          <w:lang w:val="it-IT"/>
        </w:rPr>
        <w:t>posto, le stime e le previsioni sull’andamento della gestione possono ben rappresentare quegli</w:t>
      </w:r>
      <w:r>
        <w:rPr>
          <w:i/>
          <w:iCs/>
          <w:lang w:val="it-IT"/>
        </w:rPr>
        <w:t xml:space="preserve"> </w:t>
      </w:r>
      <w:r w:rsidRPr="00EB00D8">
        <w:rPr>
          <w:i/>
          <w:iCs/>
          <w:lang w:val="it-IT"/>
        </w:rPr>
        <w:t>eventi e quelle circostanze di cui all’articolo 7, paragrafo 2, MAR. Se ciò vale, infatti, con</w:t>
      </w:r>
      <w:r>
        <w:rPr>
          <w:i/>
          <w:iCs/>
          <w:lang w:val="it-IT"/>
        </w:rPr>
        <w:t xml:space="preserve"> </w:t>
      </w:r>
      <w:r w:rsidRPr="00EB00D8">
        <w:rPr>
          <w:i/>
          <w:iCs/>
          <w:lang w:val="it-IT"/>
        </w:rPr>
        <w:t>riferimento alle stime e alle previsioni prodotte dagli analisti finanziari (cfr. considerando 28</w:t>
      </w:r>
      <w:r>
        <w:rPr>
          <w:i/>
          <w:iCs/>
          <w:lang w:val="it-IT"/>
        </w:rPr>
        <w:t xml:space="preserve"> </w:t>
      </w:r>
      <w:r w:rsidRPr="00EB00D8">
        <w:rPr>
          <w:i/>
          <w:iCs/>
          <w:lang w:val="it-IT"/>
        </w:rPr>
        <w:t>MAR), altrettanto deve dirsi con riferimento a quelle prodotte dall’emittente stesso, che elabora tali</w:t>
      </w:r>
      <w:r>
        <w:rPr>
          <w:i/>
          <w:iCs/>
          <w:lang w:val="it-IT"/>
        </w:rPr>
        <w:t xml:space="preserve"> </w:t>
      </w:r>
      <w:r w:rsidRPr="00EB00D8">
        <w:rPr>
          <w:i/>
          <w:iCs/>
          <w:lang w:val="it-IT"/>
        </w:rPr>
        <w:t>stime in modo coerente ai progetti concreti di cui conosce redditività e rischi</w:t>
      </w:r>
      <w:r>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EB00D8" w:rsidRDefault="00EB00D8">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EB00D8" w:rsidRDefault="00EB00D8"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EB00D8" w:rsidRDefault="00EB00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B00D8" w:rsidRPr="002F4496" w14:paraId="3C3E0BA2" w14:textId="77777777" w:rsidTr="000C06C9">
      <w:trPr>
        <w:trHeight w:val="284"/>
      </w:trPr>
      <w:tc>
        <w:tcPr>
          <w:tcW w:w="8460" w:type="dxa"/>
        </w:tcPr>
        <w:p w14:paraId="3C3E0BA0" w14:textId="77777777" w:rsidR="00EB00D8" w:rsidRPr="000C3B6D" w:rsidRDefault="00EB00D8" w:rsidP="000C06C9">
          <w:pPr>
            <w:pStyle w:val="00Footer"/>
            <w:rPr>
              <w:lang w:val="fr-FR"/>
            </w:rPr>
          </w:pPr>
        </w:p>
      </w:tc>
      <w:tc>
        <w:tcPr>
          <w:tcW w:w="952" w:type="dxa"/>
        </w:tcPr>
        <w:p w14:paraId="3C3E0BA1" w14:textId="77777777" w:rsidR="00EB00D8" w:rsidRPr="00146B34" w:rsidRDefault="00EB00D8" w:rsidP="000C06C9">
          <w:pPr>
            <w:pStyle w:val="00aPagenumber"/>
            <w:rPr>
              <w:lang w:val="fr-FR"/>
            </w:rPr>
          </w:pPr>
        </w:p>
      </w:tc>
    </w:tr>
  </w:tbl>
  <w:p w14:paraId="3C3E0BA3" w14:textId="77777777" w:rsidR="00EB00D8" w:rsidRPr="00DB46C3" w:rsidRDefault="00EB00D8">
    <w:pPr>
      <w:rPr>
        <w:lang w:val="fr-FR"/>
      </w:rPr>
    </w:pPr>
  </w:p>
  <w:p w14:paraId="3C3E0BA4" w14:textId="77777777" w:rsidR="00EB00D8" w:rsidRPr="002F4496" w:rsidRDefault="00EB00D8">
    <w:pPr>
      <w:pStyle w:val="Header"/>
      <w:rPr>
        <w:lang w:val="fr-FR"/>
      </w:rPr>
    </w:pPr>
  </w:p>
  <w:p w14:paraId="3C3E0BA5" w14:textId="77777777" w:rsidR="00EB00D8" w:rsidRPr="002F4496" w:rsidRDefault="00EB00D8" w:rsidP="000C06C9">
    <w:pPr>
      <w:pStyle w:val="Header"/>
      <w:tabs>
        <w:tab w:val="clear" w:pos="4536"/>
        <w:tab w:val="clear" w:pos="9072"/>
        <w:tab w:val="left" w:pos="8227"/>
      </w:tabs>
      <w:rPr>
        <w:lang w:val="fr-FR"/>
      </w:rPr>
    </w:pPr>
  </w:p>
  <w:p w14:paraId="3C3E0BA6" w14:textId="77777777" w:rsidR="00EB00D8" w:rsidRPr="002F4496" w:rsidRDefault="00EB00D8" w:rsidP="00583885">
    <w:pPr>
      <w:pStyle w:val="Header"/>
      <w:jc w:val="right"/>
      <w:rPr>
        <w:lang w:val="fr-FR"/>
      </w:rPr>
    </w:pPr>
  </w:p>
  <w:p w14:paraId="3C3E0BA7" w14:textId="77777777" w:rsidR="00EB00D8" w:rsidRPr="002F4496" w:rsidRDefault="00EB00D8">
    <w:pPr>
      <w:pStyle w:val="Header"/>
      <w:rPr>
        <w:lang w:val="fr-FR"/>
      </w:rPr>
    </w:pPr>
  </w:p>
  <w:p w14:paraId="3C3E0BA8" w14:textId="77777777" w:rsidR="00EB00D8" w:rsidRPr="002F4496" w:rsidRDefault="00EB00D8">
    <w:pPr>
      <w:pStyle w:val="Header"/>
      <w:rPr>
        <w:lang w:val="fr-FR"/>
      </w:rPr>
    </w:pPr>
  </w:p>
  <w:p w14:paraId="3C3E0BA9" w14:textId="77777777" w:rsidR="00EB00D8" w:rsidRPr="002F4496" w:rsidRDefault="00EB00D8">
    <w:pPr>
      <w:pStyle w:val="Header"/>
      <w:rPr>
        <w:lang w:val="fr-FR"/>
      </w:rPr>
    </w:pPr>
  </w:p>
  <w:p w14:paraId="3C3E0BAA" w14:textId="77777777" w:rsidR="00EB00D8" w:rsidRPr="002F4496" w:rsidRDefault="00EB00D8">
    <w:pPr>
      <w:pStyle w:val="Header"/>
      <w:rPr>
        <w:highlight w:val="yellow"/>
        <w:lang w:val="fr-FR"/>
      </w:rPr>
    </w:pPr>
  </w:p>
  <w:p w14:paraId="3C3E0BAB" w14:textId="77777777" w:rsidR="00EB00D8" w:rsidRDefault="00EB00D8">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5EE8"/>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DA"/>
    <w:rsid w:val="000502FE"/>
    <w:rsid w:val="0005126D"/>
    <w:rsid w:val="00051992"/>
    <w:rsid w:val="00051E9A"/>
    <w:rsid w:val="000521A7"/>
    <w:rsid w:val="00052F47"/>
    <w:rsid w:val="000537BB"/>
    <w:rsid w:val="0005399B"/>
    <w:rsid w:val="00053C58"/>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5F5"/>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288A"/>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3E1C"/>
    <w:rsid w:val="00135F2B"/>
    <w:rsid w:val="001372DD"/>
    <w:rsid w:val="001405BA"/>
    <w:rsid w:val="00141497"/>
    <w:rsid w:val="0014253A"/>
    <w:rsid w:val="001425C8"/>
    <w:rsid w:val="001431AE"/>
    <w:rsid w:val="00143B87"/>
    <w:rsid w:val="00144718"/>
    <w:rsid w:val="001459E3"/>
    <w:rsid w:val="00146A0B"/>
    <w:rsid w:val="0014761E"/>
    <w:rsid w:val="00151907"/>
    <w:rsid w:val="001544C8"/>
    <w:rsid w:val="00154984"/>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C57"/>
    <w:rsid w:val="00166B04"/>
    <w:rsid w:val="001670A6"/>
    <w:rsid w:val="001701FA"/>
    <w:rsid w:val="00171183"/>
    <w:rsid w:val="001725A5"/>
    <w:rsid w:val="00172681"/>
    <w:rsid w:val="00172E46"/>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316"/>
    <w:rsid w:val="001D5498"/>
    <w:rsid w:val="001D5BAF"/>
    <w:rsid w:val="001D6401"/>
    <w:rsid w:val="001D66C9"/>
    <w:rsid w:val="001D722A"/>
    <w:rsid w:val="001D7B4D"/>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97EC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5280"/>
    <w:rsid w:val="002D63F5"/>
    <w:rsid w:val="002D6E1A"/>
    <w:rsid w:val="002E036D"/>
    <w:rsid w:val="002E1517"/>
    <w:rsid w:val="002E1760"/>
    <w:rsid w:val="002E1B22"/>
    <w:rsid w:val="002E387F"/>
    <w:rsid w:val="002E5F8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271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2DF"/>
    <w:rsid w:val="0035455E"/>
    <w:rsid w:val="00354A6F"/>
    <w:rsid w:val="00354B48"/>
    <w:rsid w:val="00355789"/>
    <w:rsid w:val="003609B6"/>
    <w:rsid w:val="00361119"/>
    <w:rsid w:val="0036538D"/>
    <w:rsid w:val="00365D12"/>
    <w:rsid w:val="00366E20"/>
    <w:rsid w:val="0037018D"/>
    <w:rsid w:val="00371E1B"/>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442F"/>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AC4"/>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9D3"/>
    <w:rsid w:val="004D4DA4"/>
    <w:rsid w:val="004D4F57"/>
    <w:rsid w:val="004D50F6"/>
    <w:rsid w:val="004D5A0D"/>
    <w:rsid w:val="004D7910"/>
    <w:rsid w:val="004D7DEA"/>
    <w:rsid w:val="004E0A28"/>
    <w:rsid w:val="004E0D8F"/>
    <w:rsid w:val="004E1A0F"/>
    <w:rsid w:val="004E2E89"/>
    <w:rsid w:val="004E33C2"/>
    <w:rsid w:val="004E3B9A"/>
    <w:rsid w:val="004E49B0"/>
    <w:rsid w:val="004E62DE"/>
    <w:rsid w:val="004E6B05"/>
    <w:rsid w:val="004E76A1"/>
    <w:rsid w:val="004F05DE"/>
    <w:rsid w:val="004F3BD8"/>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49E"/>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95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3AE"/>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490"/>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6EFC"/>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24A"/>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181C"/>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7BD"/>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030B"/>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6FC"/>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672"/>
    <w:rsid w:val="00773B94"/>
    <w:rsid w:val="00773C65"/>
    <w:rsid w:val="00775937"/>
    <w:rsid w:val="00777046"/>
    <w:rsid w:val="007770DA"/>
    <w:rsid w:val="007805B9"/>
    <w:rsid w:val="00780C3A"/>
    <w:rsid w:val="00783469"/>
    <w:rsid w:val="007834A1"/>
    <w:rsid w:val="00791EB4"/>
    <w:rsid w:val="007928F1"/>
    <w:rsid w:val="0079357D"/>
    <w:rsid w:val="007937CC"/>
    <w:rsid w:val="00793A31"/>
    <w:rsid w:val="0079485D"/>
    <w:rsid w:val="00794979"/>
    <w:rsid w:val="007956B7"/>
    <w:rsid w:val="00795F1A"/>
    <w:rsid w:val="00796E5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16"/>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339F"/>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2E00"/>
    <w:rsid w:val="008B31F5"/>
    <w:rsid w:val="008B4C79"/>
    <w:rsid w:val="008B5D2D"/>
    <w:rsid w:val="008B6361"/>
    <w:rsid w:val="008C0320"/>
    <w:rsid w:val="008C2A81"/>
    <w:rsid w:val="008C3863"/>
    <w:rsid w:val="008C3B6B"/>
    <w:rsid w:val="008C4BDC"/>
    <w:rsid w:val="008C50FF"/>
    <w:rsid w:val="008C5435"/>
    <w:rsid w:val="008C6BD1"/>
    <w:rsid w:val="008D1876"/>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BE2"/>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0F08"/>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6B1"/>
    <w:rsid w:val="00954BAF"/>
    <w:rsid w:val="00955F48"/>
    <w:rsid w:val="009560B3"/>
    <w:rsid w:val="0095745E"/>
    <w:rsid w:val="00957CE0"/>
    <w:rsid w:val="0096002E"/>
    <w:rsid w:val="0096039E"/>
    <w:rsid w:val="0096161D"/>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729"/>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97F13"/>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8C5"/>
    <w:rsid w:val="00AE6FC0"/>
    <w:rsid w:val="00AF0029"/>
    <w:rsid w:val="00AF0354"/>
    <w:rsid w:val="00AF1236"/>
    <w:rsid w:val="00AF31E7"/>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6CD"/>
    <w:rsid w:val="00B65E71"/>
    <w:rsid w:val="00B66C26"/>
    <w:rsid w:val="00B67829"/>
    <w:rsid w:val="00B71FB3"/>
    <w:rsid w:val="00B73492"/>
    <w:rsid w:val="00B7512A"/>
    <w:rsid w:val="00B76548"/>
    <w:rsid w:val="00B76BED"/>
    <w:rsid w:val="00B76DFA"/>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54B"/>
    <w:rsid w:val="00BD59AA"/>
    <w:rsid w:val="00BD65E6"/>
    <w:rsid w:val="00BD6AF7"/>
    <w:rsid w:val="00BE19EF"/>
    <w:rsid w:val="00BE425B"/>
    <w:rsid w:val="00BE51BB"/>
    <w:rsid w:val="00BE7595"/>
    <w:rsid w:val="00BE77D3"/>
    <w:rsid w:val="00BF0138"/>
    <w:rsid w:val="00BF114B"/>
    <w:rsid w:val="00BF1620"/>
    <w:rsid w:val="00BF1AC3"/>
    <w:rsid w:val="00BF21EF"/>
    <w:rsid w:val="00BF373A"/>
    <w:rsid w:val="00BF409D"/>
    <w:rsid w:val="00BF4BDF"/>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CE4"/>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115"/>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5C8D"/>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A11"/>
    <w:rsid w:val="00CF2056"/>
    <w:rsid w:val="00CF4471"/>
    <w:rsid w:val="00CF51C0"/>
    <w:rsid w:val="00CF5B2A"/>
    <w:rsid w:val="00CF5F57"/>
    <w:rsid w:val="00CF64A7"/>
    <w:rsid w:val="00CF6730"/>
    <w:rsid w:val="00CF70E5"/>
    <w:rsid w:val="00CF7CEC"/>
    <w:rsid w:val="00D00B0F"/>
    <w:rsid w:val="00D01BF4"/>
    <w:rsid w:val="00D0272C"/>
    <w:rsid w:val="00D02F5F"/>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8F6"/>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53A5"/>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00"/>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5628"/>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0D8"/>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3E6A"/>
    <w:rsid w:val="00ED4B27"/>
    <w:rsid w:val="00ED543C"/>
    <w:rsid w:val="00ED6BA4"/>
    <w:rsid w:val="00ED7DA7"/>
    <w:rsid w:val="00EE0598"/>
    <w:rsid w:val="00EE311C"/>
    <w:rsid w:val="00EE5606"/>
    <w:rsid w:val="00EE56FF"/>
    <w:rsid w:val="00EE5886"/>
    <w:rsid w:val="00EE5FBF"/>
    <w:rsid w:val="00EE6472"/>
    <w:rsid w:val="00EE76F2"/>
    <w:rsid w:val="00EE7F1A"/>
    <w:rsid w:val="00EF0769"/>
    <w:rsid w:val="00EF0D7C"/>
    <w:rsid w:val="00EF314C"/>
    <w:rsid w:val="00EF383B"/>
    <w:rsid w:val="00EF40E2"/>
    <w:rsid w:val="00EF61C1"/>
    <w:rsid w:val="00EF6E68"/>
    <w:rsid w:val="00EF76DB"/>
    <w:rsid w:val="00F005FD"/>
    <w:rsid w:val="00F016BE"/>
    <w:rsid w:val="00F02C04"/>
    <w:rsid w:val="00F03AF1"/>
    <w:rsid w:val="00F04BCD"/>
    <w:rsid w:val="00F04C0A"/>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604"/>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30B"/>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772500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43046216">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02649881">
      <w:bodyDiv w:val="1"/>
      <w:marLeft w:val="0"/>
      <w:marRight w:val="0"/>
      <w:marTop w:val="0"/>
      <w:marBottom w:val="0"/>
      <w:divBdr>
        <w:top w:val="none" w:sz="0" w:space="0" w:color="auto"/>
        <w:left w:val="none" w:sz="0" w:space="0" w:color="auto"/>
        <w:bottom w:val="none" w:sz="0" w:space="0" w:color="auto"/>
        <w:right w:val="none" w:sz="0" w:space="0" w:color="auto"/>
      </w:divBdr>
      <w:divsChild>
        <w:div w:id="627246048">
          <w:marLeft w:val="0"/>
          <w:marRight w:val="0"/>
          <w:marTop w:val="0"/>
          <w:marBottom w:val="0"/>
          <w:divBdr>
            <w:top w:val="none" w:sz="0" w:space="0" w:color="auto"/>
            <w:left w:val="none" w:sz="0" w:space="0" w:color="auto"/>
            <w:bottom w:val="none" w:sz="0" w:space="0" w:color="auto"/>
            <w:right w:val="none" w:sz="0" w:space="0" w:color="auto"/>
          </w:divBdr>
          <w:divsChild>
            <w:div w:id="1448548244">
              <w:marLeft w:val="0"/>
              <w:marRight w:val="0"/>
              <w:marTop w:val="0"/>
              <w:marBottom w:val="0"/>
              <w:divBdr>
                <w:top w:val="none" w:sz="0" w:space="0" w:color="auto"/>
                <w:left w:val="none" w:sz="0" w:space="0" w:color="auto"/>
                <w:bottom w:val="none" w:sz="0" w:space="0" w:color="auto"/>
                <w:right w:val="none" w:sz="0" w:space="0" w:color="auto"/>
              </w:divBdr>
              <w:divsChild>
                <w:div w:id="10939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81740560">
      <w:bodyDiv w:val="1"/>
      <w:marLeft w:val="0"/>
      <w:marRight w:val="0"/>
      <w:marTop w:val="0"/>
      <w:marBottom w:val="0"/>
      <w:divBdr>
        <w:top w:val="none" w:sz="0" w:space="0" w:color="auto"/>
        <w:left w:val="none" w:sz="0" w:space="0" w:color="auto"/>
        <w:bottom w:val="none" w:sz="0" w:space="0" w:color="auto"/>
        <w:right w:val="none" w:sz="0" w:space="0" w:color="auto"/>
      </w:divBdr>
      <w:divsChild>
        <w:div w:id="909272785">
          <w:marLeft w:val="0"/>
          <w:marRight w:val="0"/>
          <w:marTop w:val="0"/>
          <w:marBottom w:val="0"/>
          <w:divBdr>
            <w:top w:val="none" w:sz="0" w:space="0" w:color="auto"/>
            <w:left w:val="none" w:sz="0" w:space="0" w:color="auto"/>
            <w:bottom w:val="none" w:sz="0" w:space="0" w:color="auto"/>
            <w:right w:val="none" w:sz="0" w:space="0" w:color="auto"/>
          </w:divBdr>
          <w:divsChild>
            <w:div w:id="1117141672">
              <w:marLeft w:val="0"/>
              <w:marRight w:val="0"/>
              <w:marTop w:val="0"/>
              <w:marBottom w:val="0"/>
              <w:divBdr>
                <w:top w:val="none" w:sz="0" w:space="0" w:color="auto"/>
                <w:left w:val="none" w:sz="0" w:space="0" w:color="auto"/>
                <w:bottom w:val="none" w:sz="0" w:space="0" w:color="auto"/>
                <w:right w:val="none" w:sz="0" w:space="0" w:color="auto"/>
              </w:divBdr>
              <w:divsChild>
                <w:div w:id="1353875086">
                  <w:marLeft w:val="0"/>
                  <w:marRight w:val="0"/>
                  <w:marTop w:val="0"/>
                  <w:marBottom w:val="0"/>
                  <w:divBdr>
                    <w:top w:val="none" w:sz="0" w:space="0" w:color="auto"/>
                    <w:left w:val="none" w:sz="0" w:space="0" w:color="auto"/>
                    <w:bottom w:val="none" w:sz="0" w:space="0" w:color="auto"/>
                    <w:right w:val="none" w:sz="0" w:space="0" w:color="auto"/>
                  </w:divBdr>
                  <w:divsChild>
                    <w:div w:id="371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9273">
              <w:marLeft w:val="0"/>
              <w:marRight w:val="0"/>
              <w:marTop w:val="0"/>
              <w:marBottom w:val="0"/>
              <w:divBdr>
                <w:top w:val="none" w:sz="0" w:space="0" w:color="auto"/>
                <w:left w:val="none" w:sz="0" w:space="0" w:color="auto"/>
                <w:bottom w:val="none" w:sz="0" w:space="0" w:color="auto"/>
                <w:right w:val="none" w:sz="0" w:space="0" w:color="auto"/>
              </w:divBdr>
              <w:divsChild>
                <w:div w:id="13576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5886">
          <w:marLeft w:val="0"/>
          <w:marRight w:val="0"/>
          <w:marTop w:val="0"/>
          <w:marBottom w:val="0"/>
          <w:divBdr>
            <w:top w:val="none" w:sz="0" w:space="0" w:color="auto"/>
            <w:left w:val="none" w:sz="0" w:space="0" w:color="auto"/>
            <w:bottom w:val="none" w:sz="0" w:space="0" w:color="auto"/>
            <w:right w:val="none" w:sz="0" w:space="0" w:color="auto"/>
          </w:divBdr>
          <w:divsChild>
            <w:div w:id="543953324">
              <w:marLeft w:val="0"/>
              <w:marRight w:val="0"/>
              <w:marTop w:val="0"/>
              <w:marBottom w:val="0"/>
              <w:divBdr>
                <w:top w:val="none" w:sz="0" w:space="0" w:color="auto"/>
                <w:left w:val="none" w:sz="0" w:space="0" w:color="auto"/>
                <w:bottom w:val="none" w:sz="0" w:space="0" w:color="auto"/>
                <w:right w:val="none" w:sz="0" w:space="0" w:color="auto"/>
              </w:divBdr>
              <w:divsChild>
                <w:div w:id="217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0789">
      <w:bodyDiv w:val="1"/>
      <w:marLeft w:val="0"/>
      <w:marRight w:val="0"/>
      <w:marTop w:val="0"/>
      <w:marBottom w:val="0"/>
      <w:divBdr>
        <w:top w:val="none" w:sz="0" w:space="0" w:color="auto"/>
        <w:left w:val="none" w:sz="0" w:space="0" w:color="auto"/>
        <w:bottom w:val="none" w:sz="0" w:space="0" w:color="auto"/>
        <w:right w:val="none" w:sz="0" w:space="0" w:color="auto"/>
      </w:divBdr>
      <w:divsChild>
        <w:div w:id="579413149">
          <w:marLeft w:val="0"/>
          <w:marRight w:val="0"/>
          <w:marTop w:val="0"/>
          <w:marBottom w:val="0"/>
          <w:divBdr>
            <w:top w:val="none" w:sz="0" w:space="0" w:color="auto"/>
            <w:left w:val="none" w:sz="0" w:space="0" w:color="auto"/>
            <w:bottom w:val="none" w:sz="0" w:space="0" w:color="auto"/>
            <w:right w:val="none" w:sz="0" w:space="0" w:color="auto"/>
          </w:divBdr>
          <w:divsChild>
            <w:div w:id="995568794">
              <w:marLeft w:val="0"/>
              <w:marRight w:val="0"/>
              <w:marTop w:val="0"/>
              <w:marBottom w:val="0"/>
              <w:divBdr>
                <w:top w:val="none" w:sz="0" w:space="0" w:color="auto"/>
                <w:left w:val="none" w:sz="0" w:space="0" w:color="auto"/>
                <w:bottom w:val="none" w:sz="0" w:space="0" w:color="auto"/>
                <w:right w:val="none" w:sz="0" w:space="0" w:color="auto"/>
              </w:divBdr>
              <w:divsChild>
                <w:div w:id="2601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4568753">
      <w:bodyDiv w:val="1"/>
      <w:marLeft w:val="0"/>
      <w:marRight w:val="0"/>
      <w:marTop w:val="0"/>
      <w:marBottom w:val="0"/>
      <w:divBdr>
        <w:top w:val="none" w:sz="0" w:space="0" w:color="auto"/>
        <w:left w:val="none" w:sz="0" w:space="0" w:color="auto"/>
        <w:bottom w:val="none" w:sz="0" w:space="0" w:color="auto"/>
        <w:right w:val="none" w:sz="0" w:space="0" w:color="auto"/>
      </w:divBdr>
      <w:divsChild>
        <w:div w:id="915170214">
          <w:marLeft w:val="0"/>
          <w:marRight w:val="0"/>
          <w:marTop w:val="0"/>
          <w:marBottom w:val="0"/>
          <w:divBdr>
            <w:top w:val="none" w:sz="0" w:space="0" w:color="auto"/>
            <w:left w:val="none" w:sz="0" w:space="0" w:color="auto"/>
            <w:bottom w:val="none" w:sz="0" w:space="0" w:color="auto"/>
            <w:right w:val="none" w:sz="0" w:space="0" w:color="auto"/>
          </w:divBdr>
          <w:divsChild>
            <w:div w:id="1223101706">
              <w:marLeft w:val="0"/>
              <w:marRight w:val="0"/>
              <w:marTop w:val="0"/>
              <w:marBottom w:val="0"/>
              <w:divBdr>
                <w:top w:val="none" w:sz="0" w:space="0" w:color="auto"/>
                <w:left w:val="none" w:sz="0" w:space="0" w:color="auto"/>
                <w:bottom w:val="none" w:sz="0" w:space="0" w:color="auto"/>
                <w:right w:val="none" w:sz="0" w:space="0" w:color="auto"/>
              </w:divBdr>
              <w:divsChild>
                <w:div w:id="20321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BA6F-E474-314F-B16E-AEFD5A9186BA}">
  <ds:schemaRefs>
    <ds:schemaRef ds:uri="http://schemas.openxmlformats.org/officeDocument/2006/bibliography"/>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A40B2D09-A795-B74C-B218-D441193D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4209</Words>
  <Characters>23993</Characters>
  <Application>Microsoft Office Word</Application>
  <DocSecurity>8</DocSecurity>
  <Lines>199</Lines>
  <Paragraphs>56</Paragraphs>
  <ScaleCrop>false</ScaleCrop>
  <HeadingPairs>
    <vt:vector size="10" baseType="variant">
      <vt:variant>
        <vt:lpstr>Title</vt:lpstr>
      </vt:variant>
      <vt:variant>
        <vt:i4>1</vt:i4>
      </vt:variant>
      <vt:variant>
        <vt:lpstr>Titolo</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28146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Lukas plattner</cp:lastModifiedBy>
  <cp:revision>2</cp:revision>
  <cp:lastPrinted>2015-02-18T11:01:00Z</cp:lastPrinted>
  <dcterms:created xsi:type="dcterms:W3CDTF">2019-11-29T11:31:00Z</dcterms:created>
  <dcterms:modified xsi:type="dcterms:W3CDTF">2019-11-29T11:31:00Z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