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3C3E09EB" w14:textId="77777777" w:rsidTr="00315E96">
        <w:trPr>
          <w:trHeight w:val="284"/>
        </w:trPr>
        <w:tc>
          <w:tcPr>
            <w:tcW w:w="9412" w:type="dxa"/>
          </w:tcPr>
          <w:p w14:paraId="3C3E09EA" w14:textId="2FD7B092" w:rsidR="00C2094B" w:rsidRPr="00583885" w:rsidRDefault="00A52EBB" w:rsidP="0071740A">
            <w:pPr>
              <w:pStyle w:val="Footer"/>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250827">
              <w:rPr>
                <w:rFonts w:cs="Arial"/>
                <w:color w:val="FFFFFF" w:themeColor="background1"/>
                <w:sz w:val="22"/>
                <w:szCs w:val="22"/>
              </w:rPr>
              <w:t>3</w:t>
            </w:r>
            <w:r w:rsidRPr="00583885">
              <w:rPr>
                <w:rFonts w:cs="Arial"/>
                <w:color w:val="FFFFFF" w:themeColor="background1"/>
                <w:sz w:val="22"/>
                <w:szCs w:val="22"/>
              </w:rPr>
              <w:t xml:space="preserve"> </w:t>
            </w:r>
            <w:r w:rsidR="00250827">
              <w:rPr>
                <w:rFonts w:cs="Arial"/>
                <w:color w:val="FFFFFF" w:themeColor="background1"/>
                <w:sz w:val="22"/>
                <w:szCs w:val="22"/>
              </w:rPr>
              <w:t>October</w:t>
            </w:r>
            <w:r w:rsidR="000E49B7">
              <w:rPr>
                <w:rFonts w:cs="Arial"/>
                <w:color w:val="FFFFFF" w:themeColor="background1"/>
                <w:sz w:val="22"/>
                <w:szCs w:val="22"/>
              </w:rPr>
              <w:t xml:space="preserve"> 2019</w:t>
            </w:r>
          </w:p>
        </w:tc>
      </w:tr>
    </w:tbl>
    <w:p w14:paraId="3C3E09EC"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C3E09EE" w14:textId="77777777" w:rsidTr="00B835D5">
        <w:trPr>
          <w:trHeight w:hRule="exact" w:val="1209"/>
        </w:trPr>
        <w:tc>
          <w:tcPr>
            <w:tcW w:w="9397" w:type="dxa"/>
            <w:vAlign w:val="bottom"/>
          </w:tcPr>
          <w:p w14:paraId="3C3E09ED" w14:textId="77777777" w:rsidR="00791EB4" w:rsidRPr="00616B9B"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227C1A">
              <w:rPr>
                <w:rFonts w:cs="Arial"/>
              </w:rPr>
              <w:t>MAR review report</w:t>
            </w:r>
          </w:p>
        </w:tc>
      </w:tr>
      <w:tr w:rsidR="00060F72" w:rsidRPr="00616B9B" w14:paraId="3C3E09F0" w14:textId="77777777" w:rsidTr="00B835D5">
        <w:trPr>
          <w:trHeight w:hRule="exact" w:val="605"/>
        </w:trPr>
        <w:tc>
          <w:tcPr>
            <w:tcW w:w="9397" w:type="dxa"/>
            <w:tcMar>
              <w:top w:w="142" w:type="dxa"/>
            </w:tcMar>
          </w:tcPr>
          <w:p w14:paraId="3C3E09EF"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3C3E09F1" w14:textId="77777777" w:rsidR="00620D7C" w:rsidRPr="00616B9B" w:rsidRDefault="00620D7C" w:rsidP="00C00012">
      <w:pPr>
        <w:pStyle w:val="05HeadlinenoIndex"/>
        <w:rPr>
          <w:rFonts w:cs="Arial"/>
        </w:rPr>
        <w:sectPr w:rsidR="00620D7C" w:rsidRPr="00616B9B" w:rsidSect="006E3C72">
          <w:headerReference w:type="default" r:id="rId14"/>
          <w:footerReference w:type="default" r:id="rId15"/>
          <w:head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3C3E09F3" w14:textId="77777777" w:rsidTr="00315E96">
        <w:trPr>
          <w:trHeight w:hRule="exact" w:val="964"/>
        </w:trPr>
        <w:tc>
          <w:tcPr>
            <w:tcW w:w="2325" w:type="dxa"/>
          </w:tcPr>
          <w:p w14:paraId="3C3E09F2" w14:textId="2D77F543" w:rsidR="00620D7C" w:rsidRPr="00A52EBB" w:rsidRDefault="00620D7C" w:rsidP="00B1467D">
            <w:pPr>
              <w:pStyle w:val="02Date"/>
              <w:rPr>
                <w:rFonts w:cs="Arial"/>
              </w:rPr>
            </w:pPr>
            <w:r w:rsidRPr="00A52EBB">
              <w:rPr>
                <w:rFonts w:cs="Arial"/>
              </w:rPr>
              <w:lastRenderedPageBreak/>
              <w:t xml:space="preserve">Date: </w:t>
            </w:r>
            <w:r w:rsidR="00250827">
              <w:rPr>
                <w:rFonts w:cs="Arial"/>
              </w:rPr>
              <w:t>3</w:t>
            </w:r>
            <w:r w:rsidR="000E49B7">
              <w:rPr>
                <w:rFonts w:cs="Arial"/>
              </w:rPr>
              <w:t xml:space="preserve"> </w:t>
            </w:r>
            <w:r w:rsidR="00250827">
              <w:rPr>
                <w:rFonts w:cs="Arial"/>
              </w:rPr>
              <w:t>October</w:t>
            </w:r>
            <w:r w:rsidR="004E49B0" w:rsidRPr="00583885">
              <w:rPr>
                <w:rFonts w:cs="Arial"/>
              </w:rPr>
              <w:t xml:space="preserve"> 201</w:t>
            </w:r>
            <w:r w:rsidR="000E49B7">
              <w:rPr>
                <w:rFonts w:cs="Arial"/>
              </w:rPr>
              <w:t>9</w:t>
            </w:r>
          </w:p>
        </w:tc>
      </w:tr>
    </w:tbl>
    <w:p w14:paraId="3C3E09F4"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C3E09F5"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227C1A">
        <w:rPr>
          <w:rFonts w:cs="Arial"/>
        </w:rPr>
        <w:t>MAR review report</w:t>
      </w:r>
      <w:r w:rsidR="000E49B7" w:rsidRPr="000E49B7">
        <w:rPr>
          <w:rFonts w:cs="Arial"/>
        </w:rPr>
        <w:t xml:space="preserve"> </w:t>
      </w:r>
      <w:r w:rsidR="00015B5E" w:rsidRPr="00EF0769">
        <w:rPr>
          <w:rFonts w:cs="Arial"/>
        </w:rPr>
        <w:t>published on the ESMA website</w:t>
      </w:r>
      <w:r w:rsidR="004E49B0" w:rsidRPr="00EF0769">
        <w:rPr>
          <w:rFonts w:cs="Arial"/>
        </w:rPr>
        <w:t>.</w:t>
      </w:r>
    </w:p>
    <w:p w14:paraId="3C3E09F6" w14:textId="77777777" w:rsidR="001D000A" w:rsidRDefault="001D000A" w:rsidP="00F574D0">
      <w:pPr>
        <w:autoSpaceDE w:val="0"/>
        <w:autoSpaceDN w:val="0"/>
        <w:adjustRightInd w:val="0"/>
        <w:spacing w:before="120" w:after="120" w:line="276" w:lineRule="auto"/>
        <w:jc w:val="both"/>
        <w:rPr>
          <w:rStyle w:val="Strong4"/>
          <w:rFonts w:cs="Arial"/>
          <w:i/>
        </w:rPr>
      </w:pPr>
    </w:p>
    <w:p w14:paraId="3C3E09F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3C3E09F8" w14:textId="77777777"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3C3E09F9"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w:t>
      </w:r>
      <w:r w:rsidR="00955F48" w:rsidRPr="00293D78">
        <w:rPr>
          <w:rFonts w:cs="Arial"/>
        </w:rPr>
        <w:t>x</w:t>
      </w:r>
      <w:r w:rsidR="00955F48" w:rsidRPr="00293D78">
        <w:rPr>
          <w:rFonts w:cs="Arial"/>
        </w:rPr>
        <w:t>cept for annexes);</w:t>
      </w:r>
    </w:p>
    <w:p w14:paraId="3C3E09FA" w14:textId="77777777"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CP_MAR_</w:t>
      </w:r>
      <w:r w:rsidR="000E49B7">
        <w:rPr>
          <w:rFonts w:cs="Arial"/>
        </w:rPr>
        <w:t>1</w:t>
      </w:r>
      <w:r w:rsidR="00F574D0" w:rsidRPr="00293D78">
        <w:rPr>
          <w:rFonts w:cs="Arial"/>
        </w:rPr>
        <w:t>&gt; - i.e. the response to one question has to be framed by the 2 tags corresponding to the question; and</w:t>
      </w:r>
    </w:p>
    <w:p w14:paraId="3C3E09FB"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C3E09FC"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3C3E09FD"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3C3E09FE"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C3E09FF"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3C3E0A00"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3C3E0A01" w14:textId="77777777" w:rsidR="001D000A" w:rsidRDefault="001D000A" w:rsidP="000D17AA">
      <w:pPr>
        <w:pStyle w:val="04BodyText"/>
        <w:spacing w:before="120" w:after="120"/>
        <w:jc w:val="left"/>
        <w:rPr>
          <w:rFonts w:cs="Arial"/>
          <w:b/>
        </w:rPr>
      </w:pPr>
    </w:p>
    <w:p w14:paraId="3C3E0A02" w14:textId="77777777" w:rsidR="000D17AA" w:rsidRPr="00EF0769" w:rsidRDefault="00606240" w:rsidP="000D17AA">
      <w:pPr>
        <w:pStyle w:val="04BodyText"/>
        <w:spacing w:before="120" w:after="120"/>
        <w:jc w:val="left"/>
        <w:rPr>
          <w:rFonts w:cs="Arial"/>
          <w:b/>
        </w:rPr>
      </w:pPr>
      <w:r>
        <w:rPr>
          <w:rFonts w:cs="Arial"/>
          <w:b/>
        </w:rPr>
        <w:t>Naming protocol</w:t>
      </w:r>
    </w:p>
    <w:p w14:paraId="3C3E0A03"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t>
      </w:r>
      <w:r w:rsidRPr="00EF0769">
        <w:rPr>
          <w:rFonts w:cs="Arial"/>
        </w:rPr>
        <w:t>w</w:t>
      </w:r>
      <w:r w:rsidRPr="00EF0769">
        <w:rPr>
          <w:rFonts w:cs="Arial"/>
        </w:rPr>
        <w:t>ing format:</w:t>
      </w:r>
    </w:p>
    <w:p w14:paraId="3C3E0A04"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NAMEOFCOMPANY_NAMEOFDOCUMENT</w:t>
      </w:r>
      <w:r w:rsidR="000D17AA" w:rsidRPr="00EF0769">
        <w:rPr>
          <w:rFonts w:cs="Arial"/>
        </w:rPr>
        <w:t>.</w:t>
      </w:r>
    </w:p>
    <w:p w14:paraId="3C3E0A05"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3C3E0A06" w14:textId="7777777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 xml:space="preserve">ESMA_REPLYFORM or </w:t>
      </w:r>
    </w:p>
    <w:p w14:paraId="3C3E0A07"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ANNEX1</w:t>
      </w:r>
    </w:p>
    <w:p w14:paraId="3C3E0A08"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3C3E0A09"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3C3E0A0A"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227C1A">
        <w:rPr>
          <w:rFonts w:cs="Arial"/>
          <w:b/>
        </w:rPr>
        <w:t>29 November</w:t>
      </w:r>
      <w:r w:rsidR="00416ABC" w:rsidRPr="00583885">
        <w:rPr>
          <w:rFonts w:cs="Arial"/>
          <w:b/>
        </w:rPr>
        <w:t xml:space="preserve"> 201</w:t>
      </w:r>
      <w:r w:rsidR="002E1760">
        <w:rPr>
          <w:rFonts w:cs="Arial"/>
          <w:b/>
        </w:rPr>
        <w:t>9</w:t>
      </w:r>
      <w:r w:rsidR="00021E83" w:rsidRPr="00EF0769">
        <w:rPr>
          <w:rFonts w:cs="Arial"/>
          <w:b/>
        </w:rPr>
        <w:t>.</w:t>
      </w:r>
    </w:p>
    <w:p w14:paraId="3C3E0A0B"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w:t>
      </w:r>
    </w:p>
    <w:p w14:paraId="3C3E0A0C"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3C3E0A0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3C3E0A0E"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14:paraId="3C3E0A0F"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3C3E0A10"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3C3E0A11"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3C3E0A12"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C3E0A13" w14:textId="77777777" w:rsidR="00332304" w:rsidRDefault="00332304">
      <w:pPr>
        <w:rPr>
          <w:rFonts w:cs="Arial"/>
          <w:b/>
          <w:bCs/>
          <w:kern w:val="32"/>
          <w:sz w:val="24"/>
          <w:szCs w:val="32"/>
        </w:rPr>
      </w:pPr>
      <w:r>
        <w:br w:type="page"/>
      </w:r>
    </w:p>
    <w:p w14:paraId="3C3E0A14" w14:textId="77777777" w:rsidR="00F87897" w:rsidRPr="00AB6D88" w:rsidRDefault="00F87897" w:rsidP="00F87897">
      <w:pPr>
        <w:pStyle w:val="Heading1"/>
        <w:numPr>
          <w:ilvl w:val="0"/>
          <w:numId w:val="0"/>
        </w:numPr>
      </w:pPr>
      <w:r w:rsidRPr="00AB6D88">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3C3E0A17" w14:textId="77777777" w:rsidTr="00FA5524">
        <w:tc>
          <w:tcPr>
            <w:tcW w:w="3929" w:type="dxa"/>
            <w:shd w:val="clear" w:color="auto" w:fill="auto"/>
          </w:tcPr>
          <w:p w14:paraId="3C3E0A15" w14:textId="77777777" w:rsidR="00C2682A" w:rsidRPr="00E40A5C" w:rsidRDefault="00C2682A" w:rsidP="00FA5524">
            <w:pPr>
              <w:rPr>
                <w:rFonts w:cs="Arial"/>
                <w:sz w:val="22"/>
              </w:rPr>
            </w:pPr>
            <w:permStart w:id="751859053"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3C3E0A16" w14:textId="07B9232D" w:rsidR="00C2682A" w:rsidRPr="00AB6D88" w:rsidRDefault="00BF7DB4" w:rsidP="00BF7DB4">
                <w:pPr>
                  <w:rPr>
                    <w:rStyle w:val="PlaceholderText"/>
                    <w:rFonts w:cs="Arial"/>
                  </w:rPr>
                </w:pPr>
                <w:r>
                  <w:rPr>
                    <w:rStyle w:val="PlaceholderText"/>
                    <w:rFonts w:cs="Arial"/>
                  </w:rPr>
                  <w:t>Nasdaq</w:t>
                </w:r>
              </w:p>
            </w:tc>
          </w:sdtContent>
        </w:sdt>
      </w:tr>
      <w:tr w:rsidR="00C2682A" w:rsidRPr="00AB6D88" w14:paraId="3C3E0A1A" w14:textId="77777777" w:rsidTr="00FA5524">
        <w:tc>
          <w:tcPr>
            <w:tcW w:w="3929" w:type="dxa"/>
            <w:shd w:val="clear" w:color="auto" w:fill="auto"/>
          </w:tcPr>
          <w:p w14:paraId="3C3E0A18" w14:textId="77777777" w:rsidR="00C2682A" w:rsidRPr="00E40A5C" w:rsidRDefault="00C2682A" w:rsidP="00FA5524">
            <w:pPr>
              <w:rPr>
                <w:rFonts w:cs="Arial"/>
                <w:sz w:val="22"/>
              </w:rPr>
            </w:pPr>
            <w:permStart w:id="1858231047" w:edGrp="everyone" w:colFirst="1" w:colLast="1"/>
            <w:permEnd w:id="751859053"/>
            <w:r w:rsidRPr="00E40A5C">
              <w:rPr>
                <w:rFonts w:cs="Arial"/>
                <w:sz w:val="22"/>
              </w:rPr>
              <w:t>Activity</w:t>
            </w:r>
          </w:p>
        </w:tc>
        <w:tc>
          <w:tcPr>
            <w:tcW w:w="5595" w:type="dxa"/>
            <w:shd w:val="clear" w:color="auto" w:fill="auto"/>
          </w:tcPr>
          <w:p w14:paraId="3C3E0A19" w14:textId="655013ED" w:rsidR="00C2682A" w:rsidRPr="00AB6D88" w:rsidRDefault="00443BF2"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63EF4">
                  <w:rPr>
                    <w:rFonts w:cs="Arial"/>
                  </w:rPr>
                  <w:t>Regulated markets/Exchanges/Trading Systems</w:t>
                </w:r>
              </w:sdtContent>
            </w:sdt>
          </w:p>
        </w:tc>
      </w:tr>
      <w:tr w:rsidR="00C2682A" w:rsidRPr="00AB6D88" w14:paraId="3C3E0A1D" w14:textId="77777777" w:rsidTr="00FA5524">
        <w:tc>
          <w:tcPr>
            <w:tcW w:w="3929" w:type="dxa"/>
            <w:shd w:val="clear" w:color="auto" w:fill="auto"/>
          </w:tcPr>
          <w:p w14:paraId="3C3E0A1B" w14:textId="77777777" w:rsidR="00C2682A" w:rsidRPr="00E40A5C" w:rsidRDefault="00C2682A" w:rsidP="00FA5524">
            <w:pPr>
              <w:rPr>
                <w:rFonts w:cs="Arial"/>
                <w:sz w:val="22"/>
              </w:rPr>
            </w:pPr>
            <w:permStart w:id="1888051579" w:edGrp="everyone" w:colFirst="1" w:colLast="1"/>
            <w:permEnd w:id="1858231047"/>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C3E0A1C" w14:textId="3776106F" w:rsidR="00C2682A" w:rsidRPr="00AB6D88" w:rsidRDefault="00BF7DB4" w:rsidP="00FA5524">
                <w:pPr>
                  <w:rPr>
                    <w:rFonts w:cs="Arial"/>
                  </w:rPr>
                </w:pPr>
                <w:r>
                  <w:rPr>
                    <w:rFonts w:ascii="MS Gothic" w:eastAsia="MS Gothic" w:hAnsi="MS Gothic" w:cs="Arial" w:hint="eastAsia"/>
                  </w:rPr>
                  <w:t>☐</w:t>
                </w:r>
              </w:p>
            </w:tc>
          </w:sdtContent>
        </w:sdt>
      </w:tr>
      <w:tr w:rsidR="00C2682A" w:rsidRPr="00AB6D88" w14:paraId="3C3E0A20" w14:textId="77777777" w:rsidTr="00FA5524">
        <w:tc>
          <w:tcPr>
            <w:tcW w:w="3929" w:type="dxa"/>
            <w:shd w:val="clear" w:color="auto" w:fill="auto"/>
          </w:tcPr>
          <w:p w14:paraId="3C3E0A1E" w14:textId="77777777" w:rsidR="00C2682A" w:rsidRPr="00E40A5C" w:rsidRDefault="00C2682A" w:rsidP="00FA5524">
            <w:pPr>
              <w:rPr>
                <w:rFonts w:cs="Arial"/>
                <w:sz w:val="22"/>
              </w:rPr>
            </w:pPr>
            <w:permStart w:id="2006712505" w:edGrp="everyone" w:colFirst="1" w:colLast="1"/>
            <w:permEnd w:id="1888051579"/>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3C3E0A1F" w14:textId="0D89B71B" w:rsidR="00C2682A" w:rsidRPr="00AB6D88" w:rsidRDefault="00BF7DB4" w:rsidP="00FA5524">
                <w:pPr>
                  <w:rPr>
                    <w:rFonts w:cs="Arial"/>
                  </w:rPr>
                </w:pPr>
                <w:r>
                  <w:rPr>
                    <w:rFonts w:cs="Arial"/>
                  </w:rPr>
                  <w:t>Europe</w:t>
                </w:r>
              </w:p>
            </w:tc>
          </w:sdtContent>
        </w:sdt>
      </w:tr>
      <w:permEnd w:id="2006712505"/>
    </w:tbl>
    <w:p w14:paraId="3C3E0A21" w14:textId="77777777" w:rsidR="00C2682A" w:rsidRDefault="00C2682A" w:rsidP="00F87897">
      <w:pPr>
        <w:spacing w:after="120" w:line="264" w:lineRule="auto"/>
      </w:pPr>
    </w:p>
    <w:p w14:paraId="3C3E0A22" w14:textId="77777777" w:rsidR="00F87897" w:rsidRDefault="00F87897" w:rsidP="00F87897">
      <w:pPr>
        <w:spacing w:after="120" w:line="264" w:lineRule="auto"/>
      </w:pPr>
    </w:p>
    <w:p w14:paraId="3C3E0A23" w14:textId="77777777" w:rsidR="00F87897" w:rsidRDefault="00F87897" w:rsidP="00F87897">
      <w:pPr>
        <w:pStyle w:val="Heading1"/>
        <w:numPr>
          <w:ilvl w:val="0"/>
          <w:numId w:val="0"/>
        </w:numPr>
        <w:ind w:left="431" w:hanging="431"/>
      </w:pPr>
      <w:r>
        <w:t>Introduction</w:t>
      </w:r>
    </w:p>
    <w:p w14:paraId="3C3E0A24" w14:textId="77777777" w:rsidR="00F87897" w:rsidRPr="001D47A5" w:rsidRDefault="00F87897" w:rsidP="00F87897">
      <w:pPr>
        <w:rPr>
          <w:rStyle w:val="IntenseEmphasis"/>
        </w:rPr>
      </w:pPr>
      <w:r w:rsidRPr="001D47A5">
        <w:rPr>
          <w:rStyle w:val="IntenseEmphasis"/>
        </w:rPr>
        <w:t>Please make your introductory comments below, if any:</w:t>
      </w:r>
    </w:p>
    <w:p w14:paraId="3C3E0A25" w14:textId="77777777" w:rsidR="00F87897" w:rsidRPr="00BF28DA" w:rsidRDefault="00F87897" w:rsidP="00F87897"/>
    <w:p w14:paraId="3C3E0A26" w14:textId="77777777" w:rsidR="00F87897" w:rsidRPr="006F4535" w:rsidRDefault="00F87897" w:rsidP="00F87897">
      <w:r w:rsidRPr="006F4535">
        <w:t>&lt;ESMA_COMMENT_</w:t>
      </w:r>
      <w:r w:rsidR="00227C1A">
        <w:t>CP_MAR_</w:t>
      </w:r>
      <w:r w:rsidRPr="006F4535">
        <w:t>1&gt;</w:t>
      </w:r>
    </w:p>
    <w:p w14:paraId="64AC5CFB" w14:textId="55A2C6E6" w:rsidR="00C67C97" w:rsidRDefault="00C67C97" w:rsidP="00C67C97">
      <w:permStart w:id="1594194160" w:edGrp="everyone"/>
      <w:r>
        <w:t>Nasdaq appreciates the opportunity to pro</w:t>
      </w:r>
      <w:r w:rsidR="00812F30">
        <w:t xml:space="preserve">vide comments relating to MAR. </w:t>
      </w:r>
    </w:p>
    <w:p w14:paraId="4378087D" w14:textId="77777777" w:rsidR="00C67C97" w:rsidRDefault="00C67C97" w:rsidP="00C67C97"/>
    <w:p w14:paraId="3C3E0A27" w14:textId="5A36751E" w:rsidR="00F87897" w:rsidRDefault="00C67C97" w:rsidP="00F87897">
      <w:r>
        <w:t>As a general comment, Nasdaq wishes to encourage finding a more balanced regime for SME</w:t>
      </w:r>
      <w:r w:rsidR="00606A63">
        <w:t>’</w:t>
      </w:r>
      <w:r>
        <w:t xml:space="preserve">s and Nasdaq appreciates ESMA’s efforts in reducing the regulatory burden where this can be deemed </w:t>
      </w:r>
      <w:r w:rsidR="00606A63">
        <w:t>appr</w:t>
      </w:r>
      <w:r w:rsidR="00606A63">
        <w:t>o</w:t>
      </w:r>
      <w:r w:rsidR="00606A63">
        <w:t>priate</w:t>
      </w:r>
      <w:r>
        <w:t xml:space="preserve">. We believe there are ways to simplify the MAR regime, which should make compliance especially for SMEs easier, while at the same time maintaining investor </w:t>
      </w:r>
      <w:r w:rsidR="00606A63">
        <w:t>protection</w:t>
      </w:r>
      <w:r>
        <w:t xml:space="preserve"> for all investors. It is especially important to keep in mind retail investors, as smaller investors are crucial in the financial ecosystem around SME</w:t>
      </w:r>
      <w:r w:rsidR="00606A63">
        <w:t>’</w:t>
      </w:r>
      <w:r>
        <w:t>s.</w:t>
      </w:r>
      <w:permEnd w:id="1594194160"/>
    </w:p>
    <w:p w14:paraId="3C3E0A28" w14:textId="77777777" w:rsidR="00F87897" w:rsidRPr="00BF28DA" w:rsidRDefault="00F87897" w:rsidP="00F87897">
      <w:r w:rsidRPr="00BF28DA">
        <w:t>&lt;ESMA_COMMENT_</w:t>
      </w:r>
      <w:r w:rsidR="00227C1A">
        <w:t>CP_MAR_</w:t>
      </w:r>
      <w:r w:rsidRPr="00BF28DA">
        <w:t>1&gt;</w:t>
      </w:r>
    </w:p>
    <w:p w14:paraId="3C3E0A29" w14:textId="77777777" w:rsidR="00F87897" w:rsidRDefault="00F87897">
      <w:pPr>
        <w:rPr>
          <w:rFonts w:eastAsiaTheme="minorEastAsia" w:cstheme="minorBidi"/>
          <w:b/>
          <w:sz w:val="22"/>
          <w:szCs w:val="20"/>
          <w:lang w:eastAsia="en-US"/>
        </w:rPr>
      </w:pPr>
      <w:r>
        <w:br w:type="page"/>
      </w:r>
    </w:p>
    <w:p w14:paraId="3C3E0A2A" w14:textId="77777777" w:rsidR="00A8728B" w:rsidRPr="00070630" w:rsidRDefault="00227C1A" w:rsidP="00431B0A">
      <w:pPr>
        <w:pStyle w:val="CPQuestions"/>
      </w:pPr>
      <w:r w:rsidRPr="00227C1A">
        <w:t>Do you consider necessary to extend the scope of MAR to spot FX contracts? Please explain the reasons why the scope should or should not be extended, and whether the same goals could be achieved by changing any other piece of the EU regulatory framework</w:t>
      </w:r>
      <w:r w:rsidR="00276A5A">
        <w:t>.</w:t>
      </w:r>
    </w:p>
    <w:p w14:paraId="3C3E0A2B" w14:textId="77777777" w:rsidR="00A8728B" w:rsidRDefault="00A8728B" w:rsidP="00A8728B">
      <w:r>
        <w:t>&lt;ESMA_QUESTION</w:t>
      </w:r>
      <w:r w:rsidR="00D920D1">
        <w:t>_</w:t>
      </w:r>
      <w:r w:rsidR="00227C1A">
        <w:t>CP_MAR_</w:t>
      </w:r>
      <w:r>
        <w:t>1&gt;</w:t>
      </w:r>
    </w:p>
    <w:p w14:paraId="7898D6FA" w14:textId="113D46B3" w:rsidR="00343BFF" w:rsidRDefault="00343BFF" w:rsidP="00343BFF">
      <w:permStart w:id="751114692" w:edGrp="everyone"/>
      <w:r>
        <w:t xml:space="preserve">We do not consider it necessary to extend the scope of MAR to spot FX contracts. </w:t>
      </w:r>
    </w:p>
    <w:p w14:paraId="1A7C3972" w14:textId="77777777" w:rsidR="00343BFF" w:rsidRDefault="00343BFF" w:rsidP="00343BFF"/>
    <w:p w14:paraId="2AB4915F" w14:textId="50610377" w:rsidR="00343BFF" w:rsidRDefault="00343BFF" w:rsidP="00343BFF">
      <w:r>
        <w:t>Even though there may be reasonable grounds for increasing monitoring of possible market abuse and misconduct in the spot FX markets, the characteristics of those markets makes it inappropriate to include them in the MAR regime. The main reason is, as outlined by ESMA, that there is an excessive need for structural changes in relation to infrastructure, transparency and supervision of the involved entities, in order for a monitoring under the MAR regime to create value. To some extent the political and monetary systems, including the special role played by central banks, makes it t</w:t>
      </w:r>
      <w:r w:rsidR="00BF7DB4">
        <w:t>o</w:t>
      </w:r>
      <w:r>
        <w:t xml:space="preserve">o complex simply to include spot FX contracts in the scope of MAR. </w:t>
      </w:r>
    </w:p>
    <w:p w14:paraId="6C39C3DF" w14:textId="77777777" w:rsidR="00343BFF" w:rsidRDefault="00343BFF" w:rsidP="00343BFF"/>
    <w:p w14:paraId="7F1C4475" w14:textId="77777777" w:rsidR="00343BFF" w:rsidRDefault="00343BFF" w:rsidP="00343BFF">
      <w:r>
        <w:t xml:space="preserve">We also suggest that the effects of the market participant Global Code of Conduct should be assessed, mainly in terms of efficiency and adequateness, before the principles are elevated into legislation.  </w:t>
      </w:r>
    </w:p>
    <w:p w14:paraId="7A7B45D8" w14:textId="77777777" w:rsidR="00343BFF" w:rsidRDefault="00343BFF" w:rsidP="00343BFF"/>
    <w:p w14:paraId="734B8CAE" w14:textId="01535DBD" w:rsidR="00A8728B" w:rsidRDefault="00343BFF" w:rsidP="00A8728B">
      <w:r>
        <w:t xml:space="preserve">If there is a strong desire to regulate spot FX contracts, the infrastructural challenges must be addressed first, meaning that such a work should begin with thorough analysis of the implications under MiFID II/MiFIR </w:t>
      </w:r>
      <w:permEnd w:id="751114692"/>
    </w:p>
    <w:p w14:paraId="3C3E0A2D" w14:textId="77777777" w:rsidR="00A8728B" w:rsidRDefault="00A8728B" w:rsidP="00A8728B">
      <w:r>
        <w:t>&lt;ESMA_QUESTION</w:t>
      </w:r>
      <w:r w:rsidR="00D920D1">
        <w:t>_</w:t>
      </w:r>
      <w:r w:rsidR="00227C1A">
        <w:t>CP_MAR_</w:t>
      </w:r>
      <w:r>
        <w:t>1&gt;</w:t>
      </w:r>
    </w:p>
    <w:p w14:paraId="3C3E0A2E" w14:textId="77777777" w:rsidR="00C228C1" w:rsidRDefault="00C228C1" w:rsidP="00A8728B"/>
    <w:p w14:paraId="3C3E0A2F" w14:textId="77777777" w:rsidR="00431DA4" w:rsidRPr="00431DA4" w:rsidRDefault="00227C1A" w:rsidP="00EF383B">
      <w:pPr>
        <w:pStyle w:val="CPQuestions"/>
      </w:pPr>
      <w:r w:rsidRPr="00227C1A">
        <w:t>Do you agree with ESMA’s preliminary view about the structural changes that would be necessary to apply MAR to spot FX contracts? Please elaborate and i</w:t>
      </w:r>
      <w:r w:rsidRPr="00227C1A">
        <w:t>n</w:t>
      </w:r>
      <w:r w:rsidRPr="00227C1A">
        <w:t>dicate if you would consider necessary introducing additional regulatory changes</w:t>
      </w:r>
      <w:r w:rsidR="00276A5A">
        <w:t>.</w:t>
      </w:r>
    </w:p>
    <w:p w14:paraId="3C3E0A30" w14:textId="77777777" w:rsidR="00A8728B" w:rsidRDefault="00A8728B" w:rsidP="00A8728B">
      <w:r>
        <w:t>&lt;ESMA_QUESTION</w:t>
      </w:r>
      <w:r w:rsidR="00D920D1">
        <w:t>_</w:t>
      </w:r>
      <w:r w:rsidR="00227C1A">
        <w:t>CP_MAR_</w:t>
      </w:r>
      <w:r>
        <w:t>2&gt;</w:t>
      </w:r>
    </w:p>
    <w:p w14:paraId="51F5FEDB" w14:textId="7B1BD230" w:rsidR="00A8728B" w:rsidRDefault="00E80692" w:rsidP="00A8728B">
      <w:permStart w:id="1040662039" w:edGrp="everyone"/>
      <w:r>
        <w:t>Please see response to Q1</w:t>
      </w:r>
      <w:r w:rsidR="00606A63">
        <w:t>.</w:t>
      </w:r>
      <w:permEnd w:id="1040662039"/>
    </w:p>
    <w:p w14:paraId="3C3E0A32" w14:textId="77777777" w:rsidR="00A8728B" w:rsidRDefault="00A8728B" w:rsidP="00A8728B">
      <w:r>
        <w:t>&lt;ESMA_QUESTION</w:t>
      </w:r>
      <w:r w:rsidR="00D920D1">
        <w:t>_</w:t>
      </w:r>
      <w:r w:rsidR="00227C1A">
        <w:t>CP_MAR_</w:t>
      </w:r>
      <w:r>
        <w:t>2&gt;</w:t>
      </w:r>
    </w:p>
    <w:p w14:paraId="3C3E0A33" w14:textId="77777777" w:rsidR="002E1760" w:rsidRDefault="002E1760" w:rsidP="00A8728B"/>
    <w:p w14:paraId="3C3E0A34" w14:textId="77777777" w:rsidR="002E1760" w:rsidRPr="00431DA4" w:rsidRDefault="00227C1A" w:rsidP="00293D78">
      <w:pPr>
        <w:pStyle w:val="CPQuestions"/>
      </w:pPr>
      <w:r w:rsidRPr="00227C1A">
        <w:t>Do you agree with this analysis? Do you think that the difference between the MAR and BMR definitions raises any market abuse risks and if so what changes might be necessary</w:t>
      </w:r>
      <w:r>
        <w:t>?</w:t>
      </w:r>
    </w:p>
    <w:p w14:paraId="3C3E0A35" w14:textId="77777777" w:rsidR="002E1760" w:rsidRDefault="002E1760" w:rsidP="002E1760">
      <w:r>
        <w:t>&lt;ESMA_QUESTION_</w:t>
      </w:r>
      <w:r w:rsidR="00227C1A">
        <w:t>CP_MAR_</w:t>
      </w:r>
      <w:r>
        <w:t>3&gt;</w:t>
      </w:r>
    </w:p>
    <w:p w14:paraId="3C3E0A36" w14:textId="3D6B7A27" w:rsidR="002E1760" w:rsidRDefault="00443BF2" w:rsidP="002E1760">
      <w:permStart w:id="1114596086" w:edGrp="everyone"/>
      <w:r>
        <w:t>TYPE YOUR TEXT HERE</w:t>
      </w:r>
      <w:bookmarkStart w:id="3" w:name="_GoBack"/>
      <w:bookmarkEnd w:id="3"/>
      <w:r w:rsidR="00343BFF">
        <w:t xml:space="preserve"> </w:t>
      </w:r>
      <w:permEnd w:id="1114596086"/>
    </w:p>
    <w:p w14:paraId="3C3E0A37" w14:textId="77777777" w:rsidR="002E1760" w:rsidRDefault="002E1760" w:rsidP="002E1760">
      <w:r>
        <w:t>&lt;ESMA_QUESTION_</w:t>
      </w:r>
      <w:r w:rsidR="00227C1A">
        <w:t>CP_MAR_</w:t>
      </w:r>
      <w:r>
        <w:t>3&gt;</w:t>
      </w:r>
    </w:p>
    <w:p w14:paraId="3C3E0A38" w14:textId="77777777" w:rsidR="002E1760" w:rsidRDefault="002E1760" w:rsidP="00A8728B"/>
    <w:p w14:paraId="3C3E0A39" w14:textId="77777777" w:rsidR="002E1760" w:rsidRPr="00431DA4" w:rsidRDefault="00227C1A" w:rsidP="00293D78">
      <w:pPr>
        <w:pStyle w:val="CPQuestions"/>
      </w:pPr>
      <w:r w:rsidRPr="00227C1A">
        <w:t>Do you agree that the Article 30 of MAR “Administrative sanctions and other a</w:t>
      </w:r>
      <w:r w:rsidRPr="00227C1A">
        <w:t>d</w:t>
      </w:r>
      <w:r w:rsidRPr="00227C1A">
        <w:t>ministrative measures” should also make reference to administrators of benc</w:t>
      </w:r>
      <w:r w:rsidRPr="00227C1A">
        <w:t>h</w:t>
      </w:r>
      <w:r w:rsidRPr="00227C1A">
        <w:t>marks and supervised contributors</w:t>
      </w:r>
      <w:r>
        <w:t>?</w:t>
      </w:r>
    </w:p>
    <w:p w14:paraId="3C3E0A3A" w14:textId="77777777" w:rsidR="002E1760" w:rsidRDefault="002E1760" w:rsidP="002E1760">
      <w:r>
        <w:t>&lt;ESMA_QUESTION_</w:t>
      </w:r>
      <w:r w:rsidR="00227C1A">
        <w:t>CP_MAR_</w:t>
      </w:r>
      <w:r>
        <w:t>4&gt;</w:t>
      </w:r>
    </w:p>
    <w:p w14:paraId="3C3E0A3B" w14:textId="77777777" w:rsidR="002E1760" w:rsidRDefault="002E1760" w:rsidP="002E1760">
      <w:permStart w:id="1507552575" w:edGrp="everyone"/>
      <w:r>
        <w:t>TYPE YOUR TEXT HERE</w:t>
      </w:r>
      <w:permEnd w:id="1507552575"/>
    </w:p>
    <w:p w14:paraId="3C3E0A3C" w14:textId="77777777" w:rsidR="002E1760" w:rsidRDefault="002E1760" w:rsidP="002E1760">
      <w:r>
        <w:t>&lt;ESMA_QUESTION_</w:t>
      </w:r>
      <w:r w:rsidR="00227C1A">
        <w:t>CP_MAR_</w:t>
      </w:r>
      <w:r>
        <w:t>4&gt;</w:t>
      </w:r>
    </w:p>
    <w:p w14:paraId="3C3E0A3D" w14:textId="77777777" w:rsidR="002E1760" w:rsidRDefault="002E1760" w:rsidP="002E1760"/>
    <w:p w14:paraId="3C3E0A3E" w14:textId="77777777" w:rsidR="002E1760" w:rsidRPr="00431DA4" w:rsidRDefault="00227C1A" w:rsidP="00293D78">
      <w:pPr>
        <w:pStyle w:val="CPQuestions"/>
      </w:pPr>
      <w:r w:rsidRPr="00227C1A">
        <w:t>Do you agree that the Article 23 of MAR “Powers of competent authorities” point (g) should also make reference to administrators of benchmarks and supervised contributors? Do you think that is there any other provision in Article 23 that should be amended to tackle (attempted) manipulation of benchmarks</w:t>
      </w:r>
      <w:r>
        <w:t>?</w:t>
      </w:r>
    </w:p>
    <w:p w14:paraId="3C3E0A3F" w14:textId="77777777" w:rsidR="00227C1A" w:rsidRDefault="00227C1A" w:rsidP="00227C1A">
      <w:r>
        <w:t>&lt;ESMA_QUESTION_CP_MAR_</w:t>
      </w:r>
      <w:r w:rsidR="0062022D">
        <w:t>5</w:t>
      </w:r>
      <w:r>
        <w:t>&gt;</w:t>
      </w:r>
    </w:p>
    <w:p w14:paraId="3C3E0A40" w14:textId="77777777" w:rsidR="00227C1A" w:rsidRDefault="00227C1A" w:rsidP="00227C1A">
      <w:permStart w:id="325415610" w:edGrp="everyone"/>
      <w:r>
        <w:t>TYPE YOUR TEXT HERE</w:t>
      </w:r>
      <w:permEnd w:id="325415610"/>
    </w:p>
    <w:p w14:paraId="3C3E0A41" w14:textId="77777777" w:rsidR="00227C1A" w:rsidRDefault="00227C1A" w:rsidP="00227C1A">
      <w:r>
        <w:t>&lt;ESMA_QUESTION_CP_MAR_</w:t>
      </w:r>
      <w:r w:rsidR="0062022D">
        <w:t>5</w:t>
      </w:r>
      <w:r>
        <w:t>&gt;</w:t>
      </w:r>
    </w:p>
    <w:p w14:paraId="3C3E0A42" w14:textId="77777777" w:rsidR="002E1760" w:rsidRDefault="002E1760" w:rsidP="002E1760"/>
    <w:p w14:paraId="3C3E0A43" w14:textId="77777777" w:rsidR="002E1760" w:rsidRPr="00431DA4" w:rsidRDefault="0062022D" w:rsidP="00293D78">
      <w:pPr>
        <w:pStyle w:val="CPQuestions"/>
      </w:pPr>
      <w:r w:rsidRPr="0062022D">
        <w:t>Do you agree that Article 30 of MAR points (e), (f) and (g) should also make refe</w:t>
      </w:r>
      <w:r w:rsidRPr="0062022D">
        <w:t>r</w:t>
      </w:r>
      <w:r w:rsidRPr="0062022D">
        <w:t>ence to submitters within supervised contributors and assessors within admini</w:t>
      </w:r>
      <w:r w:rsidRPr="0062022D">
        <w:t>s</w:t>
      </w:r>
      <w:r w:rsidRPr="0062022D">
        <w:t>trators of commodity benchmarks</w:t>
      </w:r>
      <w:r>
        <w:t>?</w:t>
      </w:r>
    </w:p>
    <w:p w14:paraId="3C3E0A44" w14:textId="77777777" w:rsidR="0062022D" w:rsidRDefault="0062022D" w:rsidP="0062022D">
      <w:r>
        <w:t>&lt;ESMA_QUESTION_CP_MAR_</w:t>
      </w:r>
      <w:r w:rsidR="00A263DF">
        <w:t>6</w:t>
      </w:r>
      <w:r>
        <w:t>&gt;</w:t>
      </w:r>
    </w:p>
    <w:p w14:paraId="3C3E0A45" w14:textId="77777777" w:rsidR="0062022D" w:rsidRDefault="0062022D" w:rsidP="0062022D">
      <w:permStart w:id="970343703" w:edGrp="everyone"/>
      <w:r>
        <w:t>TYPE YOUR TEXT HERE</w:t>
      </w:r>
      <w:permEnd w:id="970343703"/>
    </w:p>
    <w:p w14:paraId="3C3E0A46" w14:textId="77777777" w:rsidR="0062022D" w:rsidRDefault="0062022D" w:rsidP="0062022D">
      <w:r>
        <w:t>&lt;ESMA_QUESTION_CP_MAR_</w:t>
      </w:r>
      <w:r w:rsidR="00A263DF">
        <w:t>6</w:t>
      </w:r>
      <w:r>
        <w:t>&gt;</w:t>
      </w:r>
    </w:p>
    <w:p w14:paraId="3C3E0A47" w14:textId="77777777" w:rsidR="0062022D" w:rsidRDefault="0062022D" w:rsidP="009003B8">
      <w:pPr>
        <w:jc w:val="both"/>
        <w:rPr>
          <w:i/>
        </w:rPr>
      </w:pPr>
    </w:p>
    <w:p w14:paraId="3C3E0A48" w14:textId="77777777" w:rsidR="002E1760" w:rsidRPr="00431DA4" w:rsidRDefault="00A263DF" w:rsidP="00293D78">
      <w:pPr>
        <w:pStyle w:val="CPQuestions"/>
      </w:pPr>
      <w:r w:rsidRPr="00A263DF">
        <w:t>Do you agree that there is a need to modify the reporting mechanism under Article 5(3) of MAR? Please justify your position</w:t>
      </w:r>
      <w:r>
        <w:t>.</w:t>
      </w:r>
    </w:p>
    <w:p w14:paraId="3C3E0A49" w14:textId="77777777" w:rsidR="00A263DF" w:rsidRDefault="00A263DF" w:rsidP="00A263DF">
      <w:r>
        <w:t>&lt;ESMA_QUESTION_CP_MAR_7&gt;</w:t>
      </w:r>
    </w:p>
    <w:p w14:paraId="025E2A76" w14:textId="205E43BD" w:rsidR="00343BFF" w:rsidRDefault="00343BFF" w:rsidP="00343BFF">
      <w:permStart w:id="707658946" w:edGrp="everyone"/>
      <w:r>
        <w:t xml:space="preserve">We agree that there is a need to </w:t>
      </w:r>
      <w:r w:rsidR="0073153C">
        <w:t>change</w:t>
      </w:r>
      <w:r w:rsidR="00606A63">
        <w:t xml:space="preserve"> the reporting mechanism under A</w:t>
      </w:r>
      <w:r>
        <w:t xml:space="preserve">rticle 5(3). </w:t>
      </w:r>
    </w:p>
    <w:p w14:paraId="718FAF0E" w14:textId="77777777" w:rsidR="00343BFF" w:rsidRDefault="00343BFF" w:rsidP="00343BFF"/>
    <w:p w14:paraId="71AEBE1D" w14:textId="1755B332" w:rsidR="00A263DF" w:rsidRDefault="00606A63" w:rsidP="00A263DF">
      <w:r>
        <w:t>It causes excessive burden</w:t>
      </w:r>
      <w:r w:rsidR="00343BFF">
        <w:t xml:space="preserve"> on issuers to identify all relevant authorities </w:t>
      </w:r>
      <w:r w:rsidR="0073153C">
        <w:t>and creates uncertainty in rela</w:t>
      </w:r>
      <w:r w:rsidR="00343BFF">
        <w:t>tion to how to ensure compliance with the rule.</w:t>
      </w:r>
      <w:r w:rsidR="0073153C">
        <w:t xml:space="preserve"> I</w:t>
      </w:r>
      <w:r w:rsidR="0090106A" w:rsidRPr="0090106A">
        <w:rPr>
          <w:lang w:val="en-US"/>
        </w:rPr>
        <w:t xml:space="preserve">t is burdensome for the issuers to </w:t>
      </w:r>
      <w:r w:rsidR="00580C3C">
        <w:rPr>
          <w:lang w:val="en-US"/>
        </w:rPr>
        <w:t>stay</w:t>
      </w:r>
      <w:r w:rsidR="0090106A" w:rsidRPr="0090106A">
        <w:rPr>
          <w:lang w:val="en-US"/>
        </w:rPr>
        <w:t xml:space="preserve"> </w:t>
      </w:r>
      <w:r w:rsidR="0090106A">
        <w:rPr>
          <w:lang w:val="en-US"/>
        </w:rPr>
        <w:t xml:space="preserve">informed of where their shares are not only admitted to trading, but also where they are </w:t>
      </w:r>
      <w:r w:rsidR="00BF7DB4">
        <w:rPr>
          <w:lang w:val="en-US"/>
        </w:rPr>
        <w:t xml:space="preserve">otherwise </w:t>
      </w:r>
      <w:r w:rsidR="0090106A">
        <w:rPr>
          <w:lang w:val="en-US"/>
        </w:rPr>
        <w:t>traded</w:t>
      </w:r>
      <w:r w:rsidR="00BF7DB4">
        <w:rPr>
          <w:lang w:val="en-US"/>
        </w:rPr>
        <w:t>.</w:t>
      </w:r>
      <w:permEnd w:id="707658946"/>
    </w:p>
    <w:p w14:paraId="3C3E0A4B" w14:textId="77777777" w:rsidR="00A263DF" w:rsidRDefault="00A263DF" w:rsidP="00A263DF">
      <w:r>
        <w:t>&lt;ESMA_QUESTION_CP_MAR_7&gt;</w:t>
      </w:r>
    </w:p>
    <w:p w14:paraId="3C3E0A4C" w14:textId="77777777" w:rsidR="00C228C1" w:rsidRDefault="00C228C1" w:rsidP="00A263DF"/>
    <w:p w14:paraId="3C3E0A4D" w14:textId="77777777" w:rsidR="002E1760" w:rsidRPr="00431DA4" w:rsidRDefault="008418E3" w:rsidP="00293D78">
      <w:pPr>
        <w:pStyle w:val="CPQuestions"/>
      </w:pPr>
      <w:r w:rsidRPr="008418E3">
        <w:t>If you agree that the reporting mechanism should be modified, do you agree that Option 3 as described is the best way forward? Please justify your position and if you disagree please suggest alternative</w:t>
      </w:r>
      <w:r>
        <w:t>.</w:t>
      </w:r>
    </w:p>
    <w:p w14:paraId="3C3E0A4E" w14:textId="77777777" w:rsidR="00A263DF" w:rsidRDefault="00A263DF" w:rsidP="00A263DF">
      <w:r>
        <w:t>&lt;ESMA_QUESTION_CP_MAR_</w:t>
      </w:r>
      <w:r w:rsidR="00C228C1">
        <w:t>8</w:t>
      </w:r>
      <w:r>
        <w:t>&gt;</w:t>
      </w:r>
    </w:p>
    <w:p w14:paraId="432589F7" w14:textId="787B1041" w:rsidR="00343BFF" w:rsidRDefault="00606A63" w:rsidP="00343BFF">
      <w:permStart w:id="797404044" w:edGrp="everyone"/>
      <w:r>
        <w:t>We support O</w:t>
      </w:r>
      <w:r w:rsidR="00343BFF">
        <w:t xml:space="preserve">ption 2. </w:t>
      </w:r>
    </w:p>
    <w:p w14:paraId="122AB0BC" w14:textId="77777777" w:rsidR="00343BFF" w:rsidRDefault="00343BFF" w:rsidP="00343BFF"/>
    <w:p w14:paraId="0ACAD446" w14:textId="6CBE088E" w:rsidR="00343BFF" w:rsidRDefault="00343BFF" w:rsidP="00343BFF">
      <w:r>
        <w:t>The rationale behind this is that that reporting obligation would match the extension of t</w:t>
      </w:r>
      <w:r w:rsidR="00606A63">
        <w:t>he disclosure obligation under A</w:t>
      </w:r>
      <w:r>
        <w:t>rticle 17</w:t>
      </w:r>
      <w:r w:rsidR="00606A63">
        <w:t xml:space="preserve"> of MAR</w:t>
      </w:r>
      <w:r>
        <w:t xml:space="preserve">, meaning that issuers are well aware of the distinction in obligations in relation to trading venues where they have requested for admittance to trading and other trading venues where their instruments are traded (with or without their knowledge). </w:t>
      </w:r>
    </w:p>
    <w:p w14:paraId="223E28D8" w14:textId="77777777" w:rsidR="00343BFF" w:rsidRDefault="00343BFF" w:rsidP="00343BFF"/>
    <w:p w14:paraId="45B1AEC6" w14:textId="696E56B4" w:rsidR="00343BFF" w:rsidRDefault="00343BFF" w:rsidP="00343BFF">
      <w:r>
        <w:t>The reference to “the most relevant marke</w:t>
      </w:r>
      <w:r w:rsidR="00606A63">
        <w:t>t in terms of liquidity” under A</w:t>
      </w:r>
      <w:r>
        <w:t xml:space="preserve">rticle 26(1) of MiFIR, has the benefit of instinctively creating the highest level of transparency in the market (for the NCA) with the highest liquidity. </w:t>
      </w:r>
    </w:p>
    <w:p w14:paraId="4C8AC6A2" w14:textId="77777777" w:rsidR="00343BFF" w:rsidRDefault="00343BFF" w:rsidP="00343BFF"/>
    <w:p w14:paraId="55E3E6E7" w14:textId="399970DA" w:rsidR="00A263DF" w:rsidRDefault="00343BFF" w:rsidP="00A263DF">
      <w:r>
        <w:t>Unfortunately</w:t>
      </w:r>
      <w:r w:rsidR="00BF7DB4">
        <w:t>,</w:t>
      </w:r>
      <w:r>
        <w:t xml:space="preserve"> that NCA could be different from the home state as de</w:t>
      </w:r>
      <w:r w:rsidR="00C04B5F">
        <w:t>fined under the transparency d</w:t>
      </w:r>
      <w:r w:rsidR="00C04B5F">
        <w:t>i</w:t>
      </w:r>
      <w:r>
        <w:t>rective, the country of incorporatio</w:t>
      </w:r>
      <w:r w:rsidR="00606A63">
        <w:t>n of the issuer (which affects A</w:t>
      </w:r>
      <w:r>
        <w:t>rticle 19 of MAR) a</w:t>
      </w:r>
      <w:r w:rsidR="00606A63">
        <w:t>nd the relevant NCA under i.e. A</w:t>
      </w:r>
      <w:r>
        <w:t>rticle 17(3)</w:t>
      </w:r>
      <w:r w:rsidR="00606A63">
        <w:t xml:space="preserve"> of MAR</w:t>
      </w:r>
      <w:r>
        <w:t>. Additionally the NCA of the most relevant market in terms of liquidity can be a market place where the issuer has not requested admission to trading. Finally the ”most rel</w:t>
      </w:r>
      <w:r w:rsidR="00C45329">
        <w:t>e</w:t>
      </w:r>
      <w:r>
        <w:t>vant market in terms of liquidity”-concept is less established among issuers than other ways to deter-mine the competent authority and the possibility of it changing once a year makes it less pr</w:t>
      </w:r>
      <w:r w:rsidR="00606A63">
        <w:t>edictable and less transparent.</w:t>
      </w:r>
      <w:permEnd w:id="797404044"/>
    </w:p>
    <w:p w14:paraId="3C3E0A50" w14:textId="77777777" w:rsidR="00A263DF" w:rsidRDefault="00A263DF" w:rsidP="00A263DF">
      <w:r>
        <w:t>&lt;ESMA_QUESTION_CP_MAR_</w:t>
      </w:r>
      <w:r w:rsidR="00C228C1">
        <w:t>8</w:t>
      </w:r>
      <w:r>
        <w:t>&gt;</w:t>
      </w:r>
    </w:p>
    <w:p w14:paraId="3C3E0A51" w14:textId="77777777" w:rsidR="00C228C1" w:rsidRDefault="00C228C1" w:rsidP="00A263DF"/>
    <w:p w14:paraId="3C3E0A52" w14:textId="77777777" w:rsidR="002E1760" w:rsidRPr="00431DA4" w:rsidRDefault="008418E3" w:rsidP="00293D78">
      <w:pPr>
        <w:pStyle w:val="CPQuestions"/>
      </w:pPr>
      <w:r w:rsidRPr="008418E3">
        <w:t>Do you agree to remove the obligation for issuers to report under Article 5(3) of MAR information specified in Article 25(1) and (2) of MiFIR? If not, please explain</w:t>
      </w:r>
      <w:r>
        <w:t>.</w:t>
      </w:r>
    </w:p>
    <w:p w14:paraId="3C3E0A53" w14:textId="77777777" w:rsidR="002E1760" w:rsidRDefault="002E1760" w:rsidP="002E1760">
      <w:r>
        <w:t>&lt;ESMA_QUESTION_</w:t>
      </w:r>
      <w:r w:rsidR="00227C1A">
        <w:t>CP_MAR_</w:t>
      </w:r>
      <w:r>
        <w:t>9&gt;</w:t>
      </w:r>
    </w:p>
    <w:p w14:paraId="3C3E0A54" w14:textId="2D29C28D" w:rsidR="002E1760" w:rsidRDefault="00C45329" w:rsidP="002E1760">
      <w:permStart w:id="1572474776" w:edGrp="everyone"/>
      <w:r>
        <w:t xml:space="preserve">Agree. </w:t>
      </w:r>
      <w:r w:rsidR="00343BFF" w:rsidRPr="00343BFF">
        <w:t>If the competent authorities can access the same information, or at least the information necessary for them to conduct their supervision, we do not see any reason to report the same information twice</w:t>
      </w:r>
      <w:r w:rsidR="001A4DB7">
        <w:t>.</w:t>
      </w:r>
      <w:r w:rsidR="00343BFF">
        <w:t xml:space="preserve"> </w:t>
      </w:r>
      <w:permEnd w:id="1572474776"/>
    </w:p>
    <w:p w14:paraId="3C3E0A55" w14:textId="77777777" w:rsidR="002E1760" w:rsidRDefault="002E1760" w:rsidP="002E1760">
      <w:r>
        <w:t>&lt;ESMA_QUESTION_</w:t>
      </w:r>
      <w:r w:rsidR="00227C1A">
        <w:t>CP_MAR_</w:t>
      </w:r>
      <w:r>
        <w:t>9&gt;</w:t>
      </w:r>
    </w:p>
    <w:p w14:paraId="3C3E0A56" w14:textId="77777777" w:rsidR="00C228C1" w:rsidRDefault="00C228C1" w:rsidP="002E1760"/>
    <w:p w14:paraId="3C3E0A57" w14:textId="77777777" w:rsidR="002E1760" w:rsidRPr="00431DA4" w:rsidRDefault="008418E3" w:rsidP="00293D78">
      <w:pPr>
        <w:pStyle w:val="CPQuestions"/>
      </w:pPr>
      <w:r w:rsidRPr="008418E3">
        <w:t>Do you agree with the list of fields to be reported by the issuers to the NCA? If not, please elaborate</w:t>
      </w:r>
      <w:r w:rsidR="00FC7836">
        <w:t>.</w:t>
      </w:r>
    </w:p>
    <w:p w14:paraId="3C3E0A58" w14:textId="77777777" w:rsidR="008418E3" w:rsidRDefault="008418E3" w:rsidP="008418E3">
      <w:r>
        <w:t>&lt;ESMA_QUESTION_CP_MAR_10&gt;</w:t>
      </w:r>
    </w:p>
    <w:p w14:paraId="3C3E0A59" w14:textId="77777777" w:rsidR="008418E3" w:rsidRDefault="008418E3" w:rsidP="008418E3">
      <w:permStart w:id="1766684248" w:edGrp="everyone"/>
      <w:r>
        <w:t>TYPE YOUR TEXT HERE</w:t>
      </w:r>
      <w:permEnd w:id="1766684248"/>
    </w:p>
    <w:p w14:paraId="3C3E0A5A" w14:textId="77777777" w:rsidR="008418E3" w:rsidRDefault="008418E3" w:rsidP="008418E3">
      <w:r>
        <w:t>&lt;ESMA_QUESTION_CP_MAR_10&gt;</w:t>
      </w:r>
    </w:p>
    <w:p w14:paraId="3C3E0A5B" w14:textId="77777777" w:rsidR="00C228C1" w:rsidRDefault="00C228C1" w:rsidP="008418E3"/>
    <w:p w14:paraId="3C3E0A5C" w14:textId="77777777" w:rsidR="009003B8" w:rsidRDefault="00F469F8" w:rsidP="00293D78">
      <w:pPr>
        <w:pStyle w:val="CPQuestions"/>
      </w:pPr>
      <w:r w:rsidRPr="00F469F8">
        <w:t>Do you agree with ESMA’s preliminary view</w:t>
      </w:r>
      <w:r w:rsidR="009003B8">
        <w:t>?</w:t>
      </w:r>
    </w:p>
    <w:p w14:paraId="3C3E0A5D" w14:textId="77777777" w:rsidR="00F469F8" w:rsidRDefault="00F469F8" w:rsidP="00F469F8">
      <w:r>
        <w:t>&lt;ESMA_QUESTION_CP_MAR_11&gt;</w:t>
      </w:r>
    </w:p>
    <w:p w14:paraId="58E7E545" w14:textId="77777777" w:rsidR="000F249E" w:rsidRPr="004923AD" w:rsidRDefault="000F249E" w:rsidP="000F249E">
      <w:pPr>
        <w:rPr>
          <w:color w:val="000000" w:themeColor="text1"/>
        </w:rPr>
      </w:pPr>
      <w:permStart w:id="332164447" w:edGrp="everyone"/>
      <w:r w:rsidRPr="004923AD">
        <w:rPr>
          <w:color w:val="000000" w:themeColor="text1"/>
        </w:rPr>
        <w:t>Yes, we agr</w:t>
      </w:r>
      <w:r>
        <w:rPr>
          <w:color w:val="000000" w:themeColor="text1"/>
        </w:rPr>
        <w:t>ee with ESMA’s preliminary view</w:t>
      </w:r>
      <w:r w:rsidRPr="000F249E">
        <w:rPr>
          <w:color w:val="000000" w:themeColor="text1"/>
        </w:rPr>
        <w:t>, so issuers will have supply the NCA with disaggregated and aggregated data and disclose the aggregated data to the market.</w:t>
      </w:r>
    </w:p>
    <w:p w14:paraId="079BBFC2" w14:textId="77777777" w:rsidR="000F249E" w:rsidRPr="000F249E" w:rsidRDefault="000F249E" w:rsidP="000F249E">
      <w:pPr>
        <w:rPr>
          <w:color w:val="000000" w:themeColor="text1"/>
        </w:rPr>
      </w:pPr>
    </w:p>
    <w:p w14:paraId="3C3E0A5E" w14:textId="2D6DBD9D" w:rsidR="00F469F8" w:rsidRDefault="000F249E" w:rsidP="00F469F8">
      <w:r w:rsidRPr="000F249E">
        <w:rPr>
          <w:color w:val="000000" w:themeColor="text1"/>
        </w:rPr>
        <w:t>We think it should be assessed if it is a possibility to ease the reporting burden on SME’s so they only will have to supply/disclose aggregated data to both the NCA and the market</w:t>
      </w:r>
      <w:r w:rsidR="00C45329">
        <w:t>.</w:t>
      </w:r>
      <w:permEnd w:id="332164447"/>
    </w:p>
    <w:p w14:paraId="3C3E0A5F" w14:textId="77777777" w:rsidR="00F469F8" w:rsidRDefault="00F469F8" w:rsidP="00F469F8">
      <w:r>
        <w:t>&lt;ESMA_QUESTION_CP_MAR_11&gt;</w:t>
      </w:r>
    </w:p>
    <w:p w14:paraId="3C3E0A60" w14:textId="77777777" w:rsidR="00C228C1" w:rsidRDefault="00C228C1" w:rsidP="00F469F8"/>
    <w:p w14:paraId="3C3E0A61" w14:textId="77777777" w:rsidR="00F469F8" w:rsidRDefault="00F469F8" w:rsidP="00F469F8">
      <w:pPr>
        <w:pStyle w:val="CPQuestions"/>
      </w:pPr>
      <w:r w:rsidRPr="00F469F8">
        <w:t>Would you find more useful other aggregated data related to the BBP and if so what aggregated data? Please elaborate</w:t>
      </w:r>
      <w:r>
        <w:t>.</w:t>
      </w:r>
    </w:p>
    <w:p w14:paraId="3C3E0A62" w14:textId="77777777" w:rsidR="00F469F8" w:rsidRDefault="00F469F8" w:rsidP="00F469F8">
      <w:r>
        <w:t>&lt;ESMA_QUESTION_CP_MAR_1</w:t>
      </w:r>
      <w:r w:rsidR="002868FC">
        <w:t>2</w:t>
      </w:r>
      <w:r>
        <w:t>&gt;</w:t>
      </w:r>
    </w:p>
    <w:p w14:paraId="3C3E0A63" w14:textId="5DBB2DF6" w:rsidR="00F469F8" w:rsidRDefault="00443BF2" w:rsidP="00F469F8">
      <w:permStart w:id="1943283503" w:edGrp="everyone"/>
      <w:r>
        <w:t>TYPE YOUR TEXT HERE</w:t>
      </w:r>
      <w:permEnd w:id="1943283503"/>
    </w:p>
    <w:p w14:paraId="3C3E0A64" w14:textId="77777777" w:rsidR="00F469F8" w:rsidRDefault="00F469F8" w:rsidP="00F469F8">
      <w:r>
        <w:t>&lt;ESMA_QUESTION_CP_MAR_1</w:t>
      </w:r>
      <w:r w:rsidR="002868FC">
        <w:t>2</w:t>
      </w:r>
      <w:r>
        <w:t>&gt;</w:t>
      </w:r>
    </w:p>
    <w:p w14:paraId="3C3E0A65" w14:textId="77777777" w:rsidR="009003B8" w:rsidRDefault="009003B8" w:rsidP="002E1760"/>
    <w:p w14:paraId="3C3E0A66" w14:textId="77777777" w:rsidR="00646C30" w:rsidRDefault="00C228C1" w:rsidP="00646C30">
      <w:pPr>
        <w:pStyle w:val="CPQuestions"/>
      </w:pPr>
      <w:r w:rsidRPr="00C228C1">
        <w:t>Have market participants experienced any difficulties with identifying what info</w:t>
      </w:r>
      <w:r w:rsidRPr="00C228C1">
        <w:t>r</w:t>
      </w:r>
      <w:r w:rsidRPr="00C228C1">
        <w:t>mation is inside information and the moment in which information becomes inside information under the current MAR definition</w:t>
      </w:r>
      <w:r>
        <w:t>?</w:t>
      </w:r>
    </w:p>
    <w:p w14:paraId="3C3E0A67" w14:textId="77777777" w:rsidR="00646C30" w:rsidRDefault="00646C30" w:rsidP="00646C30">
      <w:r>
        <w:t>&lt;ESMA_QUESTION_CP_MAR_1</w:t>
      </w:r>
      <w:r w:rsidR="00101BF1">
        <w:t>3</w:t>
      </w:r>
      <w:r>
        <w:t>&gt;</w:t>
      </w:r>
    </w:p>
    <w:p w14:paraId="4D162D44" w14:textId="5E5FFE62" w:rsidR="0090106A" w:rsidRDefault="00343BFF" w:rsidP="00646C30">
      <w:permStart w:id="770132907" w:edGrp="everyone"/>
      <w:r w:rsidRPr="00343BFF">
        <w:t xml:space="preserve">Yes. It is challenging </w:t>
      </w:r>
      <w:r w:rsidR="00236DD7">
        <w:t>for</w:t>
      </w:r>
      <w:r w:rsidRPr="00343BFF">
        <w:t xml:space="preserve"> issuers to make </w:t>
      </w:r>
      <w:r w:rsidR="00236DD7">
        <w:t xml:space="preserve">the assessment </w:t>
      </w:r>
      <w:r w:rsidRPr="00343BFF">
        <w:t xml:space="preserve">on how likely an event should be in order for the information to be </w:t>
      </w:r>
      <w:r w:rsidR="00236DD7">
        <w:t xml:space="preserve">of </w:t>
      </w:r>
      <w:r w:rsidRPr="00343BFF">
        <w:t>“precise</w:t>
      </w:r>
      <w:r w:rsidR="00236DD7">
        <w:t xml:space="preserve"> nature</w:t>
      </w:r>
      <w:r w:rsidRPr="00343BFF">
        <w:t xml:space="preserve">”. </w:t>
      </w:r>
      <w:r w:rsidR="00236DD7">
        <w:t xml:space="preserve">More guidance </w:t>
      </w:r>
      <w:r w:rsidR="00280C13">
        <w:t xml:space="preserve">or clarity </w:t>
      </w:r>
      <w:r w:rsidR="00236DD7">
        <w:t>on this notion would also be helpful in harmonizing the view of when information becomes inside information across Member States.</w:t>
      </w:r>
      <w:r w:rsidR="0090106A">
        <w:t xml:space="preserve"> </w:t>
      </w:r>
      <w:r w:rsidR="00280C13">
        <w:t xml:space="preserve">In this context, the relationship between Article 7.2 and 7.3 </w:t>
      </w:r>
      <w:r w:rsidR="00845565">
        <w:t xml:space="preserve">of MAR is </w:t>
      </w:r>
      <w:r w:rsidR="0021768B">
        <w:t>difficult</w:t>
      </w:r>
      <w:r w:rsidR="00845565">
        <w:t xml:space="preserve"> to comprehend and seems like a </w:t>
      </w:r>
      <w:r w:rsidR="00845565" w:rsidRPr="00845565">
        <w:t>tautology</w:t>
      </w:r>
      <w:r w:rsidR="00845565">
        <w:t>.</w:t>
      </w:r>
    </w:p>
    <w:p w14:paraId="5E65D8D9" w14:textId="77777777" w:rsidR="0090106A" w:rsidRDefault="0090106A" w:rsidP="00646C30"/>
    <w:p w14:paraId="639DEDBC" w14:textId="193741BB" w:rsidR="009B6FEE" w:rsidRDefault="00236DD7" w:rsidP="00646C30">
      <w:r>
        <w:t>Also, clarity would be appreciated on how the</w:t>
      </w:r>
      <w:r w:rsidR="002B1AAC">
        <w:t xml:space="preserve"> requirement that the information must be non-public </w:t>
      </w:r>
      <w:r>
        <w:t xml:space="preserve">to constitute inside information, </w:t>
      </w:r>
      <w:r w:rsidR="002B1AAC">
        <w:t>relates to information that has been made public by someone else than the issuer, e.g. an authority or another issuer. Does the issuer, under such circumstances, still have an oblig</w:t>
      </w:r>
      <w:r w:rsidR="002B1AAC">
        <w:t>a</w:t>
      </w:r>
      <w:r w:rsidR="002B1AAC">
        <w:t>tion under Article 17</w:t>
      </w:r>
      <w:r w:rsidR="00606A63">
        <w:t xml:space="preserve"> of MAR</w:t>
      </w:r>
      <w:r w:rsidR="002B1AAC">
        <w:t xml:space="preserve"> to disclose such information?</w:t>
      </w:r>
      <w:r w:rsidR="009B6FEE">
        <w:t xml:space="preserve"> In this context, it has also been argued from some quarters that financial information would be seen as already public if it is line with previously co</w:t>
      </w:r>
      <w:r w:rsidR="009B6FEE">
        <w:t>m</w:t>
      </w:r>
      <w:r w:rsidR="009B6FEE">
        <w:t xml:space="preserve">municated forecasts or guidance, and for this reason only not constitute inside information. </w:t>
      </w:r>
    </w:p>
    <w:p w14:paraId="4137FCE9" w14:textId="77777777" w:rsidR="002B1AAC" w:rsidRDefault="002B1AAC" w:rsidP="00646C30"/>
    <w:p w14:paraId="724B0376" w14:textId="42D0C086" w:rsidR="00280C13" w:rsidRPr="00280C13" w:rsidRDefault="002B1AAC" w:rsidP="0090106A">
      <w:pPr>
        <w:rPr>
          <w:lang w:val="en-US"/>
        </w:rPr>
      </w:pPr>
      <w:r>
        <w:t xml:space="preserve">Moreover, </w:t>
      </w:r>
      <w:r w:rsidR="00517FB5">
        <w:t xml:space="preserve">guidance on the meaning of </w:t>
      </w:r>
      <w:r>
        <w:t>“</w:t>
      </w:r>
      <w:r w:rsidRPr="002B1AAC">
        <w:rPr>
          <w:lang w:val="en-US"/>
        </w:rPr>
        <w:t>significant effect”</w:t>
      </w:r>
      <w:r>
        <w:rPr>
          <w:lang w:val="en-US"/>
        </w:rPr>
        <w:t xml:space="preserve"> and the “reasonable investor”</w:t>
      </w:r>
      <w:r w:rsidR="00517FB5">
        <w:rPr>
          <w:lang w:val="en-US"/>
        </w:rPr>
        <w:t xml:space="preserve"> would be apprec</w:t>
      </w:r>
      <w:r w:rsidR="00517FB5">
        <w:rPr>
          <w:lang w:val="en-US"/>
        </w:rPr>
        <w:t>i</w:t>
      </w:r>
      <w:r w:rsidR="00517FB5">
        <w:rPr>
          <w:lang w:val="en-US"/>
        </w:rPr>
        <w:t>ated.</w:t>
      </w:r>
      <w:r>
        <w:rPr>
          <w:lang w:val="en-US"/>
        </w:rPr>
        <w:t xml:space="preserve"> The notion of “s</w:t>
      </w:r>
      <w:r w:rsidRPr="002B1AAC">
        <w:rPr>
          <w:lang w:val="en-US"/>
        </w:rPr>
        <w:t>ignificant effect</w:t>
      </w:r>
      <w:r>
        <w:rPr>
          <w:lang w:val="en-US"/>
        </w:rPr>
        <w:t>” indicates a higher level of impact than the reasonable investor test.</w:t>
      </w:r>
    </w:p>
    <w:p w14:paraId="7F47B2B7" w14:textId="77777777" w:rsidR="002B1AAC" w:rsidRDefault="002B1AAC" w:rsidP="0090106A">
      <w:pPr>
        <w:rPr>
          <w:lang w:val="en-US"/>
        </w:rPr>
      </w:pPr>
    </w:p>
    <w:p w14:paraId="6AECE237" w14:textId="77777777" w:rsidR="009D04A5" w:rsidRDefault="002B1AAC" w:rsidP="00646C30">
      <w:pPr>
        <w:rPr>
          <w:lang w:val="en-US"/>
        </w:rPr>
      </w:pPr>
      <w:r>
        <w:rPr>
          <w:lang w:val="en-US"/>
        </w:rPr>
        <w:t>Lastly, how does the definition of inside information being direct</w:t>
      </w:r>
      <w:r w:rsidR="006C2330">
        <w:rPr>
          <w:lang w:val="en-US"/>
        </w:rPr>
        <w:t>ly</w:t>
      </w:r>
      <w:r>
        <w:rPr>
          <w:lang w:val="en-US"/>
        </w:rPr>
        <w:t xml:space="preserve"> or </w:t>
      </w:r>
      <w:r w:rsidRPr="002B1AAC">
        <w:rPr>
          <w:i/>
          <w:lang w:val="en-US"/>
        </w:rPr>
        <w:t>indirect</w:t>
      </w:r>
      <w:r w:rsidR="006C2330">
        <w:rPr>
          <w:i/>
          <w:lang w:val="en-US"/>
        </w:rPr>
        <w:t>ly</w:t>
      </w:r>
      <w:r>
        <w:rPr>
          <w:lang w:val="en-US"/>
        </w:rPr>
        <w:t xml:space="preserve"> related to an issuer, relate to the obligation under Article 17 </w:t>
      </w:r>
      <w:r w:rsidR="00606A63">
        <w:rPr>
          <w:lang w:val="en-US"/>
        </w:rPr>
        <w:t xml:space="preserve">of MAR </w:t>
      </w:r>
      <w:r>
        <w:rPr>
          <w:lang w:val="en-US"/>
        </w:rPr>
        <w:t xml:space="preserve">to disclose inside information that </w:t>
      </w:r>
      <w:r w:rsidR="00404973" w:rsidRPr="00404973">
        <w:rPr>
          <w:i/>
          <w:lang w:val="en-US"/>
        </w:rPr>
        <w:t>directly</w:t>
      </w:r>
      <w:r w:rsidR="00404973">
        <w:rPr>
          <w:lang w:val="en-US"/>
        </w:rPr>
        <w:t xml:space="preserve"> concerns the issuer?</w:t>
      </w:r>
    </w:p>
    <w:p w14:paraId="63F56820" w14:textId="77777777" w:rsidR="009D04A5" w:rsidRDefault="009D04A5" w:rsidP="00646C30">
      <w:pPr>
        <w:rPr>
          <w:lang w:val="en-US"/>
        </w:rPr>
      </w:pPr>
    </w:p>
    <w:p w14:paraId="3C3E0A68" w14:textId="7BAE5C23" w:rsidR="00646C30" w:rsidRDefault="009D04A5" w:rsidP="00646C30">
      <w:r>
        <w:rPr>
          <w:lang w:val="en-US"/>
        </w:rPr>
        <w:t>On a general note, it’s hard to determine what is inside information to issuers of fixed-income instruments such as bonds, and we believe guidance on this would be appreciated by market participants.</w:t>
      </w:r>
      <w:r w:rsidR="00343BFF" w:rsidRPr="00404973">
        <w:rPr>
          <w:lang w:val="en-US"/>
        </w:rPr>
        <w:t xml:space="preserve"> </w:t>
      </w:r>
      <w:permEnd w:id="770132907"/>
    </w:p>
    <w:p w14:paraId="3C3E0A69" w14:textId="77777777" w:rsidR="00646C30" w:rsidRDefault="00646C30" w:rsidP="00646C30">
      <w:r>
        <w:t>&lt;ESMA_QUESTION_CP_MAR_1</w:t>
      </w:r>
      <w:r w:rsidR="002F1683">
        <w:t>3</w:t>
      </w:r>
      <w:r>
        <w:t>&gt;</w:t>
      </w:r>
    </w:p>
    <w:p w14:paraId="3C3E0A6A" w14:textId="77777777" w:rsidR="002868FC" w:rsidRDefault="002868FC" w:rsidP="002E1760"/>
    <w:p w14:paraId="3C3E0A6B" w14:textId="77777777" w:rsidR="00646C30" w:rsidRDefault="00C228C1" w:rsidP="00646C30">
      <w:pPr>
        <w:pStyle w:val="CPQuestions"/>
      </w:pPr>
      <w:r w:rsidRPr="00C228C1">
        <w:t>Do market participants consider that the definition of inside information is suff</w:t>
      </w:r>
      <w:r w:rsidRPr="00C228C1">
        <w:t>i</w:t>
      </w:r>
      <w:r w:rsidRPr="00C228C1">
        <w:t>cient for combatting market abuse</w:t>
      </w:r>
      <w:r>
        <w:t>?</w:t>
      </w:r>
    </w:p>
    <w:p w14:paraId="3C3E0A6C" w14:textId="77777777" w:rsidR="00646C30" w:rsidRDefault="00646C30" w:rsidP="00646C30">
      <w:r>
        <w:t>&lt;ESMA_QUESTION_CP_MAR_1</w:t>
      </w:r>
      <w:r w:rsidR="00101BF1">
        <w:t>4</w:t>
      </w:r>
      <w:r>
        <w:t>&gt;</w:t>
      </w:r>
    </w:p>
    <w:p w14:paraId="2C8B1951" w14:textId="21550DE7" w:rsidR="006E1873" w:rsidRDefault="006E1873" w:rsidP="00452AAC">
      <w:pPr>
        <w:rPr>
          <w:lang w:val="en-US"/>
        </w:rPr>
      </w:pPr>
      <w:permStart w:id="416102086" w:edGrp="everyone"/>
      <w:r w:rsidRPr="006E1873">
        <w:rPr>
          <w:lang w:val="en-US"/>
        </w:rPr>
        <w:t>We consider the definition in itself, taking into account rulings from the European Court of Justice, to be sufficient to combat market abuse. However, we do believe that the use of “precise nature” to determine when in time inside information comes into existence somewhat sends the wrong signals in t</w:t>
      </w:r>
      <w:r>
        <w:rPr>
          <w:lang w:val="en-US"/>
        </w:rPr>
        <w:t xml:space="preserve">hat regard, almost indicating </w:t>
      </w:r>
      <w:r w:rsidRPr="006E1873">
        <w:rPr>
          <w:lang w:val="en-US"/>
        </w:rPr>
        <w:t>a</w:t>
      </w:r>
      <w:r>
        <w:rPr>
          <w:lang w:val="en-US"/>
        </w:rPr>
        <w:t xml:space="preserve"> very high degree </w:t>
      </w:r>
      <w:r w:rsidR="008F53F5">
        <w:rPr>
          <w:lang w:val="en-US"/>
        </w:rPr>
        <w:t xml:space="preserve">of </w:t>
      </w:r>
      <w:r>
        <w:rPr>
          <w:lang w:val="en-US"/>
        </w:rPr>
        <w:t>possibility</w:t>
      </w:r>
      <w:r w:rsidRPr="006E1873">
        <w:rPr>
          <w:lang w:val="en-US"/>
        </w:rPr>
        <w:t>. Regardin</w:t>
      </w:r>
      <w:r>
        <w:rPr>
          <w:lang w:val="en-US"/>
        </w:rPr>
        <w:t xml:space="preserve">g the criteria </w:t>
      </w:r>
      <w:r w:rsidRPr="006E1873">
        <w:rPr>
          <w:lang w:val="en-US"/>
        </w:rPr>
        <w:t>precise nature, we therefore suggest a clarification in the definition.</w:t>
      </w:r>
    </w:p>
    <w:p w14:paraId="74FF6FB9" w14:textId="77777777" w:rsidR="00452AAC" w:rsidRDefault="00452AAC" w:rsidP="00452AAC">
      <w:pPr>
        <w:rPr>
          <w:lang w:val="en-US"/>
        </w:rPr>
      </w:pPr>
    </w:p>
    <w:p w14:paraId="066E134E" w14:textId="58D1DFAC" w:rsidR="00452AAC" w:rsidRDefault="00452AAC" w:rsidP="00452AAC">
      <w:pPr>
        <w:rPr>
          <w:lang w:val="en-US"/>
        </w:rPr>
      </w:pPr>
      <w:r>
        <w:rPr>
          <w:lang w:val="en-US"/>
        </w:rPr>
        <w:t>Having said that, we do believe that the difficulties that issuers experience regarding the direct link b</w:t>
      </w:r>
      <w:r>
        <w:rPr>
          <w:lang w:val="en-US"/>
        </w:rPr>
        <w:t>e</w:t>
      </w:r>
      <w:r>
        <w:rPr>
          <w:lang w:val="en-US"/>
        </w:rPr>
        <w:t>tween Article 7 and 17 of MAR, i.e. that the assessment that inside information comes into existence triggers an obligation to disclose it as soon as possible, negatively could affect the actual effectiveness of the definition when combating market abuse. By experience we are aware that the triggering of disclosure obligation in an early stage in an ongoing process, regardless of the possibility to delay the disclosure</w:t>
      </w:r>
      <w:r w:rsidR="008F53F5">
        <w:rPr>
          <w:lang w:val="en-US"/>
        </w:rPr>
        <w:t xml:space="preserve">, </w:t>
      </w:r>
      <w:r>
        <w:rPr>
          <w:lang w:val="en-US"/>
        </w:rPr>
        <w:t xml:space="preserve">can give issuers incentive not to assess information as inside information early enough, </w:t>
      </w:r>
      <w:r w:rsidR="008F53F5">
        <w:rPr>
          <w:lang w:val="en-US"/>
        </w:rPr>
        <w:t xml:space="preserve">even though the </w:t>
      </w:r>
      <w:r>
        <w:rPr>
          <w:lang w:val="en-US"/>
        </w:rPr>
        <w:t xml:space="preserve">information is </w:t>
      </w:r>
      <w:r w:rsidR="008F53F5">
        <w:rPr>
          <w:lang w:val="en-US"/>
        </w:rPr>
        <w:t xml:space="preserve">in fact of a </w:t>
      </w:r>
      <w:r w:rsidR="006E1873">
        <w:rPr>
          <w:lang w:val="en-US"/>
        </w:rPr>
        <w:t>precise</w:t>
      </w:r>
      <w:r>
        <w:rPr>
          <w:lang w:val="en-US"/>
        </w:rPr>
        <w:t xml:space="preserve"> nature in the meaning of Article 7 of MAR. If issuers do not take proper control over inside infor</w:t>
      </w:r>
      <w:r w:rsidR="008F53F5">
        <w:rPr>
          <w:lang w:val="en-US"/>
        </w:rPr>
        <w:t>mation and ensure the confidentiality of it</w:t>
      </w:r>
      <w:r>
        <w:rPr>
          <w:lang w:val="en-US"/>
        </w:rPr>
        <w:t xml:space="preserve"> early enough</w:t>
      </w:r>
      <w:r w:rsidR="008F53F5">
        <w:rPr>
          <w:lang w:val="en-US"/>
        </w:rPr>
        <w:t>,</w:t>
      </w:r>
      <w:r>
        <w:rPr>
          <w:lang w:val="en-US"/>
        </w:rPr>
        <w:t xml:space="preserve"> the risk for illegal use of </w:t>
      </w:r>
      <w:r w:rsidR="00350BDA">
        <w:rPr>
          <w:lang w:val="en-US"/>
        </w:rPr>
        <w:t>that inside information increases.</w:t>
      </w:r>
    </w:p>
    <w:p w14:paraId="47E75DFE" w14:textId="77777777" w:rsidR="00452AAC" w:rsidRDefault="00452AAC" w:rsidP="00452AAC">
      <w:pPr>
        <w:rPr>
          <w:lang w:val="en-US"/>
        </w:rPr>
      </w:pPr>
    </w:p>
    <w:p w14:paraId="27694240" w14:textId="30AAF7B6" w:rsidR="00D57B1F" w:rsidRDefault="00452AAC" w:rsidP="00203E85">
      <w:pPr>
        <w:rPr>
          <w:lang w:val="en-US"/>
        </w:rPr>
      </w:pPr>
      <w:r>
        <w:rPr>
          <w:lang w:val="en-US"/>
        </w:rPr>
        <w:t>Considering, among other things, the difficulty described above coming from the link between Article 7 and 17</w:t>
      </w:r>
      <w:r w:rsidR="00BE4B39">
        <w:rPr>
          <w:lang w:val="en-US"/>
        </w:rPr>
        <w:t xml:space="preserve"> of MAR</w:t>
      </w:r>
      <w:r>
        <w:rPr>
          <w:lang w:val="en-US"/>
        </w:rPr>
        <w:t>, it deserves to be discussed whether it is motivated to impose a disclosure obligation on iss</w:t>
      </w:r>
      <w:r>
        <w:rPr>
          <w:lang w:val="en-US"/>
        </w:rPr>
        <w:t>u</w:t>
      </w:r>
      <w:r>
        <w:rPr>
          <w:lang w:val="en-US"/>
        </w:rPr>
        <w:t>ers at the same point in time as when misuse of inside information should be prohibited. It is not proposed or supported by Nasdaq the introduction of two different definitions of inside information – one to dete</w:t>
      </w:r>
      <w:r>
        <w:rPr>
          <w:lang w:val="en-US"/>
        </w:rPr>
        <w:t>r</w:t>
      </w:r>
      <w:r>
        <w:rPr>
          <w:lang w:val="en-US"/>
        </w:rPr>
        <w:t>mine insider trading and one to determine obligation to disclose inside information. Instead, it is Nasdaq’s opinion that Articl</w:t>
      </w:r>
      <w:r w:rsidR="00760A50">
        <w:rPr>
          <w:lang w:val="en-US"/>
        </w:rPr>
        <w:t xml:space="preserve">e 17 could be amended </w:t>
      </w:r>
      <w:r w:rsidR="00FA4DB2">
        <w:rPr>
          <w:lang w:val="en-US"/>
        </w:rPr>
        <w:t xml:space="preserve">in such a way that the </w:t>
      </w:r>
      <w:r w:rsidR="00FA4DB2" w:rsidRPr="00760A50">
        <w:rPr>
          <w:highlight w:val="yellow"/>
          <w:lang w:val="en-US"/>
        </w:rPr>
        <w:t>disclosure obligation</w:t>
      </w:r>
      <w:r w:rsidR="00FA4DB2">
        <w:rPr>
          <w:lang w:val="en-US"/>
        </w:rPr>
        <w:t xml:space="preserve"> does not necessarily arise in an intermediate step </w:t>
      </w:r>
      <w:r w:rsidRPr="00FA4DB2">
        <w:rPr>
          <w:i/>
          <w:highlight w:val="yellow"/>
          <w:lang w:val="en-US"/>
        </w:rPr>
        <w:t>or</w:t>
      </w:r>
      <w:r w:rsidRPr="00760A50">
        <w:rPr>
          <w:highlight w:val="yellow"/>
          <w:lang w:val="en-US"/>
        </w:rPr>
        <w:t xml:space="preserve"> </w:t>
      </w:r>
      <w:r w:rsidR="00FA4DB2">
        <w:rPr>
          <w:highlight w:val="yellow"/>
          <w:lang w:val="en-US"/>
        </w:rPr>
        <w:t xml:space="preserve">the </w:t>
      </w:r>
      <w:r w:rsidR="00FA4DB2" w:rsidRPr="00760A50">
        <w:rPr>
          <w:highlight w:val="yellow"/>
          <w:lang w:val="en-US"/>
        </w:rPr>
        <w:t>criteria for a decision on a delayed disclosure</w:t>
      </w:r>
      <w:r w:rsidR="00FA4DB2">
        <w:rPr>
          <w:lang w:val="en-US"/>
        </w:rPr>
        <w:t xml:space="preserve"> could be amended. </w:t>
      </w:r>
      <w:r>
        <w:rPr>
          <w:lang w:val="en-US"/>
        </w:rPr>
        <w:t>We are not able at this point to present a firm proposal to a change of Article 17. However, it should be co</w:t>
      </w:r>
      <w:r>
        <w:rPr>
          <w:lang w:val="en-US"/>
        </w:rPr>
        <w:t>n</w:t>
      </w:r>
      <w:r>
        <w:rPr>
          <w:lang w:val="en-US"/>
        </w:rPr>
        <w:t>sidered to apply a principle of reality regarding the event or circumstances, br</w:t>
      </w:r>
      <w:r w:rsidR="00760A50">
        <w:rPr>
          <w:lang w:val="en-US"/>
        </w:rPr>
        <w:t>oadly applied within the EU pre-</w:t>
      </w:r>
      <w:r>
        <w:rPr>
          <w:lang w:val="en-US"/>
        </w:rPr>
        <w:t xml:space="preserve">MAR, </w:t>
      </w:r>
      <w:r w:rsidR="00760A50">
        <w:rPr>
          <w:lang w:val="en-US"/>
        </w:rPr>
        <w:t xml:space="preserve">as a trigger to the </w:t>
      </w:r>
      <w:r>
        <w:rPr>
          <w:lang w:val="en-US"/>
        </w:rPr>
        <w:t>obligation t</w:t>
      </w:r>
      <w:r w:rsidR="00760A50">
        <w:rPr>
          <w:lang w:val="en-US"/>
        </w:rPr>
        <w:t>o disclose inside information</w:t>
      </w:r>
      <w:r>
        <w:rPr>
          <w:lang w:val="en-US"/>
        </w:rPr>
        <w:t xml:space="preserve">. </w:t>
      </w:r>
      <w:r w:rsidR="00D57B1F" w:rsidRPr="00D57B1F">
        <w:rPr>
          <w:lang w:val="en-US"/>
        </w:rPr>
        <w:t>Another option could be to review the criteria for a delayed disclosure, e.g. by modifying the first criterion on legitimate interest of the issuer</w:t>
      </w:r>
      <w:r w:rsidR="00D57B1F">
        <w:rPr>
          <w:lang w:val="en-US"/>
        </w:rPr>
        <w:t>.</w:t>
      </w:r>
    </w:p>
    <w:p w14:paraId="3443BE32" w14:textId="77777777" w:rsidR="00452AAC" w:rsidRDefault="00452AAC" w:rsidP="00452AAC">
      <w:pPr>
        <w:rPr>
          <w:lang w:val="en-US"/>
        </w:rPr>
      </w:pPr>
    </w:p>
    <w:p w14:paraId="3C3E0A6D" w14:textId="5CD61D7B" w:rsidR="00646C30" w:rsidRDefault="00452AAC" w:rsidP="00646C30">
      <w:r>
        <w:rPr>
          <w:lang w:val="en-US"/>
        </w:rPr>
        <w:t>Clearer guidance on the definition in general would be beneficial to facilitate compliance by issuers, and to prevent fragmented interpretation both across Europe and even within Member States.</w:t>
      </w:r>
      <w:r w:rsidR="00343BFF" w:rsidRPr="00E235F6">
        <w:rPr>
          <w:lang w:val="en-US"/>
        </w:rPr>
        <w:t xml:space="preserve"> </w:t>
      </w:r>
      <w:permEnd w:id="416102086"/>
    </w:p>
    <w:p w14:paraId="3C3E0A6E" w14:textId="77777777" w:rsidR="00646C30" w:rsidRDefault="00646C30" w:rsidP="00646C30">
      <w:r>
        <w:t>&lt;ESMA_QUESTION_CP_MAR_1</w:t>
      </w:r>
      <w:r w:rsidR="00101BF1">
        <w:t>4</w:t>
      </w:r>
      <w:r>
        <w:t>&gt;</w:t>
      </w:r>
    </w:p>
    <w:p w14:paraId="3C3E0A6F" w14:textId="77777777" w:rsidR="002868FC" w:rsidRDefault="002868FC" w:rsidP="002E1760"/>
    <w:p w14:paraId="3C3E0A70" w14:textId="77777777" w:rsidR="00646C30" w:rsidRDefault="00C228C1" w:rsidP="00646C30">
      <w:pPr>
        <w:pStyle w:val="CPQuestions"/>
      </w:pPr>
      <w:r w:rsidRPr="00C228C1">
        <w:t>In particular, have market participants identified information that they would co</w:t>
      </w:r>
      <w:r w:rsidRPr="00C228C1">
        <w:t>n</w:t>
      </w:r>
      <w:r w:rsidRPr="00C228C1">
        <w:t>sider as inside information, but which is not covered by the current definition of inside information</w:t>
      </w:r>
      <w:r>
        <w:t>?</w:t>
      </w:r>
    </w:p>
    <w:p w14:paraId="3C3E0A71" w14:textId="77777777" w:rsidR="00646C30" w:rsidRDefault="00646C30" w:rsidP="00646C30">
      <w:r>
        <w:t>&lt;ESMA_QUESTION_CP_MAR_1</w:t>
      </w:r>
      <w:r w:rsidR="00101BF1">
        <w:t>5</w:t>
      </w:r>
      <w:r>
        <w:t>&gt;</w:t>
      </w:r>
    </w:p>
    <w:p w14:paraId="32D639A9" w14:textId="77777777" w:rsidR="00452AAC" w:rsidRDefault="00452AAC" w:rsidP="00452AAC">
      <w:permStart w:id="831264800" w:edGrp="everyone"/>
      <w:r>
        <w:t xml:space="preserve">As a general remark, issuers often point to the fact, that there are different interpretations as to what constitutes inside information </w:t>
      </w:r>
      <w:r w:rsidRPr="00452AAC">
        <w:rPr>
          <w:color w:val="000000" w:themeColor="text1"/>
        </w:rPr>
        <w:t xml:space="preserve">according to different NCA’s. This is relevant in relation to all the criteria in the definition of inside information. </w:t>
      </w:r>
    </w:p>
    <w:p w14:paraId="5F6ED74B" w14:textId="77777777" w:rsidR="00452AAC" w:rsidRDefault="00452AAC" w:rsidP="00452AAC"/>
    <w:p w14:paraId="3A463C5A" w14:textId="1304386B" w:rsidR="00452AAC" w:rsidRPr="00B62108" w:rsidRDefault="00452AAC" w:rsidP="00452AAC">
      <w:pPr>
        <w:rPr>
          <w:color w:val="000000" w:themeColor="text1"/>
        </w:rPr>
      </w:pPr>
      <w:r>
        <w:t xml:space="preserve">An example could be information about change of a CEO. In some countries that piece of information automatically constitutes inside information </w:t>
      </w:r>
      <w:r w:rsidRPr="00452AAC">
        <w:rPr>
          <w:color w:val="000000" w:themeColor="text1"/>
        </w:rPr>
        <w:t xml:space="preserve">because it is considered to be price sensitive, </w:t>
      </w:r>
      <w:r>
        <w:t>and in others the case-by-case assessment is more important.</w:t>
      </w:r>
    </w:p>
    <w:p w14:paraId="338615F3" w14:textId="77777777" w:rsidR="00452AAC" w:rsidRDefault="00452AAC" w:rsidP="00452AAC"/>
    <w:p w14:paraId="16712466" w14:textId="5AF09828" w:rsidR="00646C30" w:rsidRDefault="00452AAC" w:rsidP="00646C30">
      <w:r w:rsidRPr="00452AAC">
        <w:rPr>
          <w:color w:val="000000" w:themeColor="text1"/>
        </w:rPr>
        <w:t>C</w:t>
      </w:r>
      <w:r w:rsidRPr="00452AAC">
        <w:rPr>
          <w:color w:val="000000" w:themeColor="text1"/>
          <w:lang w:val="en-US"/>
        </w:rPr>
        <w:t>lear</w:t>
      </w:r>
      <w:r w:rsidRPr="00C67C97">
        <w:rPr>
          <w:lang w:val="en-US"/>
        </w:rPr>
        <w:t>er</w:t>
      </w:r>
      <w:r>
        <w:rPr>
          <w:lang w:val="en-US"/>
        </w:rPr>
        <w:t xml:space="preserve"> guidance on the definition </w:t>
      </w:r>
      <w:r w:rsidRPr="00C67C97">
        <w:rPr>
          <w:lang w:val="en-US"/>
        </w:rPr>
        <w:t>would have the benefit of facilitating compliance for issuers, and also preventing fragmented interpretation both</w:t>
      </w:r>
      <w:r>
        <w:rPr>
          <w:lang w:val="en-US"/>
        </w:rPr>
        <w:t xml:space="preserve"> across Europe and even within M</w:t>
      </w:r>
      <w:r w:rsidRPr="00C67C97">
        <w:rPr>
          <w:lang w:val="en-US"/>
        </w:rPr>
        <w:t>emb</w:t>
      </w:r>
      <w:r>
        <w:rPr>
          <w:lang w:val="en-US"/>
        </w:rPr>
        <w:t>er S</w:t>
      </w:r>
      <w:r w:rsidRPr="00C67C97">
        <w:rPr>
          <w:lang w:val="en-US"/>
        </w:rPr>
        <w:t>tates</w:t>
      </w:r>
      <w:r w:rsidR="00DE4FFD">
        <w:rPr>
          <w:lang w:val="en-US"/>
        </w:rPr>
        <w:t>.</w:t>
      </w:r>
      <w:r w:rsidR="00C67C97">
        <w:t xml:space="preserve"> </w:t>
      </w:r>
      <w:permEnd w:id="831264800"/>
    </w:p>
    <w:p w14:paraId="3C3E0A73" w14:textId="77777777" w:rsidR="00646C30" w:rsidRDefault="00646C30" w:rsidP="00646C30">
      <w:r>
        <w:t>&lt;ESMA_QUESTION_CP_MAR_1</w:t>
      </w:r>
      <w:r w:rsidR="00101BF1">
        <w:t>5</w:t>
      </w:r>
      <w:r>
        <w:t>&gt;</w:t>
      </w:r>
    </w:p>
    <w:p w14:paraId="3C3E0A74" w14:textId="77777777" w:rsidR="002868FC" w:rsidRDefault="002868FC" w:rsidP="002E1760"/>
    <w:p w14:paraId="3C3E0A75" w14:textId="77777777" w:rsidR="00646C30" w:rsidRDefault="00C228C1" w:rsidP="00646C30">
      <w:pPr>
        <w:pStyle w:val="CPQuestions"/>
      </w:pPr>
      <w:r w:rsidRPr="00C228C1">
        <w:t>Have market participants identified inside information on commodity derivatives which is not included in the current definition of Article 7(1)(b) of MAR</w:t>
      </w:r>
      <w:r>
        <w:t>?</w:t>
      </w:r>
    </w:p>
    <w:p w14:paraId="3C3E0A76" w14:textId="77777777" w:rsidR="00646C30" w:rsidRDefault="00646C30" w:rsidP="00646C30">
      <w:r>
        <w:t>&lt;ESMA_QUESTION_CP_MAR_1</w:t>
      </w:r>
      <w:r w:rsidR="00101BF1">
        <w:t>6</w:t>
      </w:r>
      <w:r>
        <w:t>&gt;</w:t>
      </w:r>
    </w:p>
    <w:p w14:paraId="7874206F" w14:textId="29EDDE7B" w:rsidR="005B0E42" w:rsidRPr="00A420B4" w:rsidRDefault="005B0E42" w:rsidP="005B0E42">
      <w:pPr>
        <w:rPr>
          <w:lang w:eastAsia="nb-NO"/>
        </w:rPr>
      </w:pPr>
      <w:permStart w:id="2062680747" w:edGrp="everyone"/>
      <w:r w:rsidRPr="00A420B4">
        <w:rPr>
          <w:lang w:eastAsia="nb-NO"/>
        </w:rPr>
        <w:t>For energy markets, and possibly also other commodities markets, the price formation may be impacted by for example political decisions. Hereunder, information related to changes in the emission allowances regime may clearly impact the electricity and gas prices. Information on “firm” upcoming changes to the allowance regime will clearly constitute inside information under MAR 7(1)</w:t>
      </w:r>
      <w:r w:rsidR="00D57B1F">
        <w:rPr>
          <w:lang w:eastAsia="nb-NO"/>
        </w:rPr>
        <w:t xml:space="preserve"> </w:t>
      </w:r>
      <w:r w:rsidRPr="00A420B4">
        <w:rPr>
          <w:lang w:eastAsia="nb-NO"/>
        </w:rPr>
        <w:t>(c). However, since such info</w:t>
      </w:r>
      <w:r w:rsidRPr="00A420B4">
        <w:rPr>
          <w:lang w:eastAsia="nb-NO"/>
        </w:rPr>
        <w:t>r</w:t>
      </w:r>
      <w:r w:rsidRPr="00A420B4">
        <w:rPr>
          <w:lang w:eastAsia="nb-NO"/>
        </w:rPr>
        <w:t>mation only entails a trading (and disclosure) prohibition and not an active information obligation, it will not necessarily be comprised by MAR 7(1</w:t>
      </w:r>
      <w:r>
        <w:rPr>
          <w:lang w:eastAsia="nb-NO"/>
        </w:rPr>
        <w:t>)</w:t>
      </w:r>
      <w:r w:rsidRPr="00A420B4">
        <w:rPr>
          <w:lang w:eastAsia="nb-NO"/>
        </w:rPr>
        <w:t>(b): The point is that such information is not necessarily e</w:t>
      </w:r>
      <w:r w:rsidRPr="00A420B4">
        <w:rPr>
          <w:lang w:eastAsia="nb-NO"/>
        </w:rPr>
        <w:t>x</w:t>
      </w:r>
      <w:r w:rsidRPr="00A420B4">
        <w:rPr>
          <w:lang w:eastAsia="nb-NO"/>
        </w:rPr>
        <w:t>pected/required to be disclosed.</w:t>
      </w:r>
    </w:p>
    <w:p w14:paraId="1A0D3A70" w14:textId="77777777" w:rsidR="005B0E42" w:rsidRPr="00A420B4" w:rsidRDefault="005B0E42" w:rsidP="005B0E42">
      <w:pPr>
        <w:rPr>
          <w:lang w:eastAsia="nb-NO"/>
        </w:rPr>
      </w:pPr>
    </w:p>
    <w:p w14:paraId="3C3E0A77" w14:textId="257CD499" w:rsidR="00646C30" w:rsidRDefault="005B0E42" w:rsidP="00646C30">
      <w:r w:rsidRPr="00A420B4">
        <w:rPr>
          <w:lang w:eastAsia="nb-NO"/>
        </w:rPr>
        <w:t>One possible remedy here would be to separate the reference in MAR 7(1)</w:t>
      </w:r>
      <w:r w:rsidR="00D57B1F">
        <w:rPr>
          <w:lang w:eastAsia="nb-NO"/>
        </w:rPr>
        <w:t xml:space="preserve"> </w:t>
      </w:r>
      <w:r w:rsidRPr="00A420B4">
        <w:rPr>
          <w:lang w:eastAsia="nb-NO"/>
        </w:rPr>
        <w:t>(b) to information expected or required to be disclosed from the rest of the definition and replace the word “and “ with “in particular”. This should entail that the last part of the current definition is not made cumulative. This would bring the MAR definition more in line with the definitions in REMIT: In REMIT the relevant part of the defined term “info</w:t>
      </w:r>
      <w:r w:rsidRPr="00A420B4">
        <w:rPr>
          <w:lang w:eastAsia="nb-NO"/>
        </w:rPr>
        <w:t>r</w:t>
      </w:r>
      <w:r w:rsidRPr="00A420B4">
        <w:rPr>
          <w:lang w:eastAsia="nb-NO"/>
        </w:rPr>
        <w:t>mation” is not cumulative.</w:t>
      </w:r>
      <w:permEnd w:id="2062680747"/>
    </w:p>
    <w:p w14:paraId="3C3E0A78" w14:textId="77777777" w:rsidR="00646C30" w:rsidRDefault="00646C30" w:rsidP="00646C30">
      <w:r>
        <w:t>&lt;ESMA_QUESTION_CP_MAR_1</w:t>
      </w:r>
      <w:r w:rsidR="00101BF1">
        <w:t>6</w:t>
      </w:r>
      <w:r>
        <w:t>&gt;</w:t>
      </w:r>
    </w:p>
    <w:p w14:paraId="3C3E0A79" w14:textId="77777777" w:rsidR="002868FC" w:rsidRDefault="002868FC" w:rsidP="002E1760"/>
    <w:p w14:paraId="3C3E0A7A" w14:textId="77777777" w:rsidR="00646C30" w:rsidRDefault="00C228C1" w:rsidP="00646C30">
      <w:pPr>
        <w:pStyle w:val="CPQuestions"/>
      </w:pPr>
      <w:r w:rsidRPr="00C228C1">
        <w:t>What is an appropriate balance between the scope of inside information relating to commodity derivatives and allowing commodity producers to undertake hedging transactions on the basis of that information, to enable them to carry out their commercial activities and to support the effective functioning of the market?</w:t>
      </w:r>
    </w:p>
    <w:p w14:paraId="3C3E0A7B" w14:textId="77777777" w:rsidR="00646C30" w:rsidRDefault="00646C30" w:rsidP="00646C30">
      <w:r>
        <w:t>&lt;ESMA_QUESTION_CP_MAR_1</w:t>
      </w:r>
      <w:r w:rsidR="00101BF1">
        <w:t>7</w:t>
      </w:r>
      <w:r>
        <w:t>&gt;</w:t>
      </w:r>
    </w:p>
    <w:p w14:paraId="6E1F2018" w14:textId="09A76CB0" w:rsidR="00646C30" w:rsidRDefault="005B0E42" w:rsidP="00646C30">
      <w:permStart w:id="436762959" w:edGrp="everyone"/>
      <w:r>
        <w:t>We believe that the balance is well taken care of the markets in scope of REMIT. REMIT recital 12 pr</w:t>
      </w:r>
      <w:r>
        <w:t>o</w:t>
      </w:r>
      <w:r>
        <w:t>vides clear guidance for the interpretation of MAR 7(1)(b) when applied to these markets.</w:t>
      </w:r>
      <w:permEnd w:id="436762959"/>
    </w:p>
    <w:p w14:paraId="3C3E0A7D" w14:textId="77777777" w:rsidR="00646C30" w:rsidRDefault="00646C30" w:rsidP="00646C30">
      <w:r>
        <w:t>&lt;ESMA_QUESTION_CP_MAR_1</w:t>
      </w:r>
      <w:r w:rsidR="00101BF1">
        <w:t>7</w:t>
      </w:r>
      <w:r>
        <w:t>&gt;</w:t>
      </w:r>
    </w:p>
    <w:p w14:paraId="3C3E0A7E" w14:textId="77777777" w:rsidR="002868FC" w:rsidRDefault="002868FC" w:rsidP="002E1760"/>
    <w:p w14:paraId="3C3E0A7F" w14:textId="77777777" w:rsidR="00646C30" w:rsidRDefault="00C228C1" w:rsidP="00646C30">
      <w:pPr>
        <w:pStyle w:val="CPQuestions"/>
      </w:pPr>
      <w:r w:rsidRPr="00C228C1">
        <w:t>As of today, does the current definition of Article 7(1)(b) of MAR allow commodity producers to hedge their commercial activities? In this respect, please provide i</w:t>
      </w:r>
      <w:r w:rsidRPr="00C228C1">
        <w:t>n</w:t>
      </w:r>
      <w:r w:rsidRPr="00C228C1">
        <w:t>formation on hedging difficulties encountered</w:t>
      </w:r>
      <w:r>
        <w:t>.</w:t>
      </w:r>
    </w:p>
    <w:p w14:paraId="3C3E0A80" w14:textId="77777777" w:rsidR="00646C30" w:rsidRDefault="00646C30" w:rsidP="00646C30">
      <w:r>
        <w:t>&lt;ESMA_QUESTION_CP_MAR_1</w:t>
      </w:r>
      <w:r w:rsidR="00101BF1">
        <w:t>8</w:t>
      </w:r>
      <w:r>
        <w:t>&gt;</w:t>
      </w:r>
    </w:p>
    <w:p w14:paraId="3C3E0A81" w14:textId="5706388D" w:rsidR="00646C30" w:rsidRDefault="005B0E42" w:rsidP="00646C30">
      <w:permStart w:id="1619285630" w:edGrp="everyone"/>
      <w:r>
        <w:t>See question 17.</w:t>
      </w:r>
      <w:permEnd w:id="1619285630"/>
    </w:p>
    <w:p w14:paraId="3C3E0A82" w14:textId="77777777" w:rsidR="00646C30" w:rsidRDefault="00646C30" w:rsidP="00646C30">
      <w:r>
        <w:t>&lt;ESMA_QUESTION_CP_MAR_1</w:t>
      </w:r>
      <w:r w:rsidR="00101BF1">
        <w:t>8</w:t>
      </w:r>
      <w:r>
        <w:t>&gt;</w:t>
      </w:r>
    </w:p>
    <w:p w14:paraId="3C3E0A83" w14:textId="77777777" w:rsidR="002868FC" w:rsidRDefault="002868FC" w:rsidP="002E1760"/>
    <w:p w14:paraId="3C3E0A84" w14:textId="77777777" w:rsidR="00646C30" w:rsidRDefault="000A0396" w:rsidP="00646C30">
      <w:pPr>
        <w:pStyle w:val="CPQuestions"/>
      </w:pPr>
      <w:r w:rsidRPr="000A0396">
        <w:t>Please provide your views on whether the general definition of inside information of Article 7(1)(a) of MAR could be used for commodity derivatives. In such case, would safeguards enabling commodity producers to undertake hedging transa</w:t>
      </w:r>
      <w:r w:rsidRPr="000A0396">
        <w:t>c</w:t>
      </w:r>
      <w:r w:rsidRPr="000A0396">
        <w:t>tions based on proprietary inside information related to their commercial activities be needed? Which types of safeguards would you envisage</w:t>
      </w:r>
      <w:r w:rsidR="00C228C1">
        <w:t>?</w:t>
      </w:r>
    </w:p>
    <w:p w14:paraId="3C3E0A85" w14:textId="77777777" w:rsidR="00646C30" w:rsidRDefault="00646C30" w:rsidP="00646C30">
      <w:r>
        <w:t>&lt;ESMA_QUESTION_CP_MAR_1</w:t>
      </w:r>
      <w:r w:rsidR="00101BF1">
        <w:t>9</w:t>
      </w:r>
      <w:r>
        <w:t>&gt;</w:t>
      </w:r>
    </w:p>
    <w:p w14:paraId="2BD0674D" w14:textId="5FFB4EDA" w:rsidR="00646C30" w:rsidRDefault="004B105D" w:rsidP="00646C30">
      <w:permStart w:id="1674213556" w:edGrp="everyone"/>
      <w:r>
        <w:t>The current regime is fine and necessary for the commodity derivatives market</w:t>
      </w:r>
      <w:r w:rsidR="00241849" w:rsidRPr="00241849">
        <w:t>.</w:t>
      </w:r>
      <w:permEnd w:id="1674213556"/>
    </w:p>
    <w:p w14:paraId="3C3E0A87" w14:textId="77777777" w:rsidR="00646C30" w:rsidRDefault="00646C30" w:rsidP="00646C30">
      <w:r>
        <w:t>&lt;ESMA_QUESTION_CP_MAR_1</w:t>
      </w:r>
      <w:r w:rsidR="00101BF1">
        <w:t>9</w:t>
      </w:r>
      <w:r>
        <w:t>&gt;</w:t>
      </w:r>
    </w:p>
    <w:p w14:paraId="3C3E0A88" w14:textId="77777777" w:rsidR="002868FC" w:rsidRDefault="002868FC" w:rsidP="002E1760"/>
    <w:p w14:paraId="3C3E0A89" w14:textId="77777777" w:rsidR="00646C30" w:rsidRDefault="00C96CA4" w:rsidP="00646C30">
      <w:pPr>
        <w:pStyle w:val="CPQuestions"/>
      </w:pPr>
      <w:r w:rsidRPr="00C96CA4">
        <w:t>What changes could be made to include other cases of front running</w:t>
      </w:r>
      <w:r>
        <w:t>?</w:t>
      </w:r>
    </w:p>
    <w:p w14:paraId="3C3E0A8A" w14:textId="77777777" w:rsidR="00646C30" w:rsidRDefault="00646C30" w:rsidP="00646C30">
      <w:r>
        <w:t>&lt;ESMA_QUESTION_CP_MAR_</w:t>
      </w:r>
      <w:r w:rsidR="00101BF1">
        <w:t>20</w:t>
      </w:r>
      <w:r>
        <w:t>&gt;</w:t>
      </w:r>
    </w:p>
    <w:p w14:paraId="3C3E0A8B" w14:textId="77777777" w:rsidR="00646C30" w:rsidRDefault="00646C30" w:rsidP="00646C30">
      <w:permStart w:id="583142347" w:edGrp="everyone"/>
      <w:r>
        <w:t>TYPE YOUR TEXT HERE</w:t>
      </w:r>
      <w:permEnd w:id="583142347"/>
    </w:p>
    <w:p w14:paraId="3C3E0A8C" w14:textId="77777777" w:rsidR="00646C30" w:rsidRDefault="00646C30" w:rsidP="00646C30">
      <w:r>
        <w:t>&lt;ESMA_QUESTION_CP_MAR_</w:t>
      </w:r>
      <w:r w:rsidR="00101BF1">
        <w:t>20</w:t>
      </w:r>
      <w:r>
        <w:t>&gt;</w:t>
      </w:r>
    </w:p>
    <w:p w14:paraId="3C3E0A8D" w14:textId="77777777" w:rsidR="00646C30" w:rsidRDefault="00646C30" w:rsidP="002E1760"/>
    <w:p w14:paraId="3C3E0A8E" w14:textId="77777777" w:rsidR="00646C30" w:rsidRDefault="00C96CA4" w:rsidP="00646C30">
      <w:pPr>
        <w:pStyle w:val="CPQuestions"/>
      </w:pPr>
      <w:r w:rsidRPr="00C96CA4">
        <w:t>Do you consider that specific conditions should be added in MAR to cover front-running on financial instruments which have an illiquid market</w:t>
      </w:r>
      <w:r>
        <w:t>?</w:t>
      </w:r>
    </w:p>
    <w:p w14:paraId="3C3E0A8F" w14:textId="77777777" w:rsidR="00646C30" w:rsidRDefault="00646C30" w:rsidP="00646C30">
      <w:r>
        <w:t>&lt;ESMA_QUESTION_CP_MAR_</w:t>
      </w:r>
      <w:r w:rsidR="00101BF1">
        <w:t>21</w:t>
      </w:r>
      <w:r>
        <w:t>&gt;</w:t>
      </w:r>
    </w:p>
    <w:p w14:paraId="3C3E0A90" w14:textId="77777777" w:rsidR="00646C30" w:rsidRDefault="00646C30" w:rsidP="00646C30">
      <w:permStart w:id="1948856452" w:edGrp="everyone"/>
      <w:r>
        <w:t>TYPE YOUR TEXT HERE</w:t>
      </w:r>
      <w:permEnd w:id="1948856452"/>
    </w:p>
    <w:p w14:paraId="3C3E0A91" w14:textId="77777777" w:rsidR="00646C30" w:rsidRDefault="00646C30" w:rsidP="00646C30">
      <w:r>
        <w:t>&lt;ESMA_QUESTION_CP_MAR_</w:t>
      </w:r>
      <w:r w:rsidR="00101BF1">
        <w:t>21</w:t>
      </w:r>
      <w:r>
        <w:t>&gt;</w:t>
      </w:r>
    </w:p>
    <w:p w14:paraId="3C3E0A92" w14:textId="77777777" w:rsidR="00646C30" w:rsidRDefault="00646C30" w:rsidP="002E1760"/>
    <w:p w14:paraId="3C3E0A93" w14:textId="77777777" w:rsidR="00646C30" w:rsidRDefault="00674628" w:rsidP="00646C30">
      <w:pPr>
        <w:pStyle w:val="CPQuestions"/>
      </w:pPr>
      <w:r w:rsidRPr="00674628">
        <w:t>What market abuse and/or conduct risks could arise from pre-hedging behaviours and what systems and controls do firms have in place to address those risks? What measures could be used in MAR or other legislation to address those risks</w:t>
      </w:r>
      <w:r>
        <w:t>?</w:t>
      </w:r>
    </w:p>
    <w:p w14:paraId="3C3E0A94" w14:textId="77777777" w:rsidR="00646C30" w:rsidRDefault="00646C30" w:rsidP="00646C30">
      <w:r>
        <w:t>&lt;ESMA_QUESTION_CP_MAR_</w:t>
      </w:r>
      <w:r w:rsidR="00101BF1">
        <w:t>22</w:t>
      </w:r>
      <w:r>
        <w:t>&gt;</w:t>
      </w:r>
    </w:p>
    <w:p w14:paraId="3C3E0A95" w14:textId="77777777" w:rsidR="00646C30" w:rsidRDefault="00646C30" w:rsidP="00646C30">
      <w:permStart w:id="969017955" w:edGrp="everyone"/>
      <w:r>
        <w:t>TYPE YOUR TEXT HERE</w:t>
      </w:r>
      <w:permEnd w:id="969017955"/>
    </w:p>
    <w:p w14:paraId="3C3E0A96" w14:textId="77777777" w:rsidR="00646C30" w:rsidRDefault="00646C30" w:rsidP="00646C30">
      <w:r>
        <w:t>&lt;ESMA_QUESTION_CP_MAR_</w:t>
      </w:r>
      <w:r w:rsidR="00101BF1">
        <w:t>22</w:t>
      </w:r>
      <w:r>
        <w:t>&gt;</w:t>
      </w:r>
    </w:p>
    <w:p w14:paraId="3C3E0A97" w14:textId="77777777" w:rsidR="00646C30" w:rsidRDefault="00646C30" w:rsidP="002E1760"/>
    <w:p w14:paraId="3C3E0A98" w14:textId="77777777" w:rsidR="00646C30" w:rsidRDefault="00674628" w:rsidP="00646C30">
      <w:pPr>
        <w:pStyle w:val="CPQuestions"/>
      </w:pPr>
      <w:r w:rsidRPr="00674628">
        <w:t>What benefits do pre-hedging behaviours provide to firms, clients and to the fun</w:t>
      </w:r>
      <w:r w:rsidRPr="00674628">
        <w:t>c</w:t>
      </w:r>
      <w:r w:rsidRPr="00674628">
        <w:t>tioning of the market</w:t>
      </w:r>
      <w:r>
        <w:t>?</w:t>
      </w:r>
    </w:p>
    <w:p w14:paraId="3C3E0A99" w14:textId="77777777" w:rsidR="00646C30" w:rsidRDefault="00646C30" w:rsidP="00646C30">
      <w:r>
        <w:t>&lt;ESMA_QUESTION_CP_MAR_</w:t>
      </w:r>
      <w:r w:rsidR="00101BF1">
        <w:t>23</w:t>
      </w:r>
      <w:r>
        <w:t>&gt;</w:t>
      </w:r>
    </w:p>
    <w:p w14:paraId="3C3E0A9A" w14:textId="77777777" w:rsidR="00646C30" w:rsidRDefault="00646C30" w:rsidP="00646C30">
      <w:permStart w:id="210436899" w:edGrp="everyone"/>
      <w:r>
        <w:t>TYPE YOUR TEXT HERE</w:t>
      </w:r>
      <w:permEnd w:id="210436899"/>
    </w:p>
    <w:p w14:paraId="3C3E0A9B" w14:textId="77777777" w:rsidR="00646C30" w:rsidRDefault="00646C30" w:rsidP="00646C30">
      <w:r>
        <w:t>&lt;ESMA_QUESTION_CP_MAR_</w:t>
      </w:r>
      <w:r w:rsidR="00101BF1">
        <w:t>23</w:t>
      </w:r>
      <w:r>
        <w:t>&gt;</w:t>
      </w:r>
    </w:p>
    <w:p w14:paraId="3C3E0A9C" w14:textId="77777777" w:rsidR="00646C30" w:rsidRDefault="00646C30" w:rsidP="002E1760"/>
    <w:p w14:paraId="3C3E0A9D" w14:textId="77777777" w:rsidR="00646C30" w:rsidRDefault="00674628" w:rsidP="00646C30">
      <w:pPr>
        <w:pStyle w:val="CPQuestions"/>
      </w:pPr>
      <w:r w:rsidRPr="00674628">
        <w:t>What financial instruments are subject to pre-hedging behaviours and why</w:t>
      </w:r>
      <w:r>
        <w:t>?</w:t>
      </w:r>
    </w:p>
    <w:p w14:paraId="3C3E0A9E" w14:textId="77777777" w:rsidR="00646C30" w:rsidRDefault="00646C30" w:rsidP="00646C30">
      <w:r>
        <w:t>&lt;ESMA_QUESTION_CP_MAR_</w:t>
      </w:r>
      <w:r w:rsidR="00101BF1">
        <w:t>24</w:t>
      </w:r>
      <w:r>
        <w:t>&gt;</w:t>
      </w:r>
    </w:p>
    <w:p w14:paraId="3C3E0A9F" w14:textId="77777777" w:rsidR="00646C30" w:rsidRDefault="00646C30" w:rsidP="00646C30">
      <w:permStart w:id="1807571479" w:edGrp="everyone"/>
      <w:r>
        <w:t>TYPE YOUR TEXT HERE</w:t>
      </w:r>
      <w:permEnd w:id="1807571479"/>
    </w:p>
    <w:p w14:paraId="3C3E0AA0" w14:textId="77777777" w:rsidR="00646C30" w:rsidRDefault="00646C30" w:rsidP="00646C30">
      <w:r>
        <w:t>&lt;ESMA_QUESTION_CP_MAR_</w:t>
      </w:r>
      <w:r w:rsidR="00101BF1">
        <w:t>24</w:t>
      </w:r>
      <w:r>
        <w:t>&gt;</w:t>
      </w:r>
    </w:p>
    <w:p w14:paraId="3C3E0AA1" w14:textId="77777777" w:rsidR="00646C30" w:rsidRDefault="00646C30" w:rsidP="002E1760"/>
    <w:p w14:paraId="3C3E0AA2" w14:textId="77777777" w:rsidR="00646C30" w:rsidRDefault="00907865" w:rsidP="00646C30">
      <w:pPr>
        <w:pStyle w:val="CPQuestions"/>
      </w:pPr>
      <w:r w:rsidRPr="00907865">
        <w:t>Please provide your views on the functioning of the conditions to delay disclosure of inside information and on whether they enable issuers to delay disclosure of i</w:t>
      </w:r>
      <w:r w:rsidRPr="00907865">
        <w:t>n</w:t>
      </w:r>
      <w:r w:rsidRPr="00907865">
        <w:t>side information where necessary</w:t>
      </w:r>
      <w:r w:rsidR="00646C30">
        <w:t>.</w:t>
      </w:r>
    </w:p>
    <w:p w14:paraId="3C3E0AA3" w14:textId="77777777" w:rsidR="00646C30" w:rsidRDefault="00646C30" w:rsidP="00646C30">
      <w:r>
        <w:t>&lt;ESMA_QUESTION_CP_MAR_</w:t>
      </w:r>
      <w:r w:rsidR="00101BF1">
        <w:t>25</w:t>
      </w:r>
      <w:r>
        <w:t>&gt;</w:t>
      </w:r>
    </w:p>
    <w:p w14:paraId="72032A0F" w14:textId="6B388FFA" w:rsidR="00646C30" w:rsidRDefault="00BF348E" w:rsidP="00646C30">
      <w:permStart w:id="611875542" w:edGrp="everyone"/>
      <w:r>
        <w:t>Please see answer to Q14.</w:t>
      </w:r>
      <w:permEnd w:id="611875542"/>
    </w:p>
    <w:p w14:paraId="3C3E0AA5" w14:textId="77777777" w:rsidR="00646C30" w:rsidRDefault="00646C30" w:rsidP="00646C30">
      <w:r>
        <w:t>&lt;ESMA_QUESTION_CP_MAR_</w:t>
      </w:r>
      <w:r w:rsidR="00101BF1">
        <w:t>25</w:t>
      </w:r>
      <w:r>
        <w:t>&gt;</w:t>
      </w:r>
    </w:p>
    <w:p w14:paraId="3C3E0AA6" w14:textId="77777777" w:rsidR="00646C30" w:rsidRDefault="00646C30" w:rsidP="002E1760"/>
    <w:p w14:paraId="3C3E0AA7" w14:textId="77777777" w:rsidR="00646C30" w:rsidRDefault="00907865" w:rsidP="00646C30">
      <w:pPr>
        <w:pStyle w:val="CPQuestions"/>
      </w:pPr>
      <w:r w:rsidRPr="00907865">
        <w:t>Please provide relevant examples of difficulties encountered in the assessment of the conditions for the delay or in the application of the procedure under Article 17(4) of MAR.</w:t>
      </w:r>
    </w:p>
    <w:p w14:paraId="3C3E0AA8" w14:textId="77777777" w:rsidR="00646C30" w:rsidRDefault="00646C30" w:rsidP="00646C30">
      <w:r>
        <w:t>&lt;ESMA_QUESTION_CP_MAR_</w:t>
      </w:r>
      <w:r w:rsidR="00101BF1">
        <w:t>26</w:t>
      </w:r>
      <w:r>
        <w:t>&gt;</w:t>
      </w:r>
    </w:p>
    <w:p w14:paraId="56A177C8" w14:textId="6DC19AE1" w:rsidR="001356B9" w:rsidRDefault="00DB5BB4" w:rsidP="00646C30">
      <w:permStart w:id="1829000557" w:edGrp="everyone"/>
      <w:r>
        <w:t xml:space="preserve">Difficulties in assessing whether an issuer could still have legitimate interests to delay a disclosure even after the event is final, e.g. </w:t>
      </w:r>
      <w:r w:rsidR="00C35401">
        <w:t xml:space="preserve">a contract being entered into and signed, a CEO’s formal resignation or </w:t>
      </w:r>
      <w:r>
        <w:t>an interim financial report being ado</w:t>
      </w:r>
      <w:r w:rsidR="00C35401">
        <w:t>pted by the board of directors. In the latter case</w:t>
      </w:r>
      <w:r w:rsidR="00FB4CE4">
        <w:t xml:space="preserve">, </w:t>
      </w:r>
      <w:r>
        <w:t>could</w:t>
      </w:r>
      <w:r w:rsidR="006E350F">
        <w:t xml:space="preserve"> it</w:t>
      </w:r>
      <w:r>
        <w:t xml:space="preserve"> be a legitimate interest to keep on delaying that information to the market with reference to a pre-published date </w:t>
      </w:r>
      <w:r w:rsidR="006E350F">
        <w:t xml:space="preserve">(financial calendar) </w:t>
      </w:r>
      <w:r>
        <w:t>for the disclosure of the report?</w:t>
      </w:r>
    </w:p>
    <w:p w14:paraId="375FAEA9" w14:textId="77777777" w:rsidR="00C35401" w:rsidRDefault="00C35401" w:rsidP="00646C30"/>
    <w:p w14:paraId="3C3E0AA9" w14:textId="133382D2" w:rsidR="00646C30" w:rsidRDefault="001356B9" w:rsidP="00646C30">
      <w:r>
        <w:t xml:space="preserve">Also, difficulties in determining exactly what information must be disclosed by an issuer in the event of a leak of inside information. If one can conclude that some, but not all, details relating to inside information have leaked, is the issuer still obliged to disclose </w:t>
      </w:r>
      <w:r w:rsidR="001F5289">
        <w:t xml:space="preserve">all </w:t>
      </w:r>
      <w:r w:rsidR="0088099B">
        <w:t>inside information?</w:t>
      </w:r>
      <w:r w:rsidR="00A50CFB" w:rsidRPr="00DB5BB4">
        <w:rPr>
          <w:lang w:val="en-US"/>
        </w:rPr>
        <w:t xml:space="preserve"> </w:t>
      </w:r>
      <w:permEnd w:id="1829000557"/>
    </w:p>
    <w:p w14:paraId="3C3E0AAA" w14:textId="77777777" w:rsidR="00646C30" w:rsidRDefault="00646C30" w:rsidP="00646C30">
      <w:r>
        <w:t>&lt;ESMA_QUESTION_CP_MAR_</w:t>
      </w:r>
      <w:r w:rsidR="00101BF1">
        <w:t>26</w:t>
      </w:r>
      <w:r>
        <w:t>&gt;</w:t>
      </w:r>
    </w:p>
    <w:p w14:paraId="3C3E0AAB" w14:textId="77777777" w:rsidR="00646C30" w:rsidRDefault="00646C30" w:rsidP="002E1760"/>
    <w:p w14:paraId="3C3E0AAC" w14:textId="77777777" w:rsidR="00646C30" w:rsidRDefault="0079485D" w:rsidP="00646C30">
      <w:pPr>
        <w:pStyle w:val="CPQuestions"/>
      </w:pPr>
      <w:r w:rsidRPr="0079485D">
        <w:t>Please provide your view on the inclusion of a requirement in MAR for issuers to have systems and controls for identifying, handling, and disclosing inside info</w:t>
      </w:r>
      <w:r w:rsidRPr="0079485D">
        <w:t>r</w:t>
      </w:r>
      <w:r w:rsidRPr="0079485D">
        <w:t>mation. What would the impact be of introducing a systems and controls requir</w:t>
      </w:r>
      <w:r w:rsidRPr="0079485D">
        <w:t>e</w:t>
      </w:r>
      <w:r w:rsidRPr="0079485D">
        <w:t>ment for issuers?</w:t>
      </w:r>
    </w:p>
    <w:p w14:paraId="3C3E0AAD" w14:textId="77777777" w:rsidR="00646C30" w:rsidRDefault="00646C30" w:rsidP="00646C30">
      <w:r>
        <w:t>&lt;ESMA_QUESTION_CP_MAR_</w:t>
      </w:r>
      <w:r w:rsidR="00101BF1">
        <w:t>27</w:t>
      </w:r>
      <w:r>
        <w:t>&gt;</w:t>
      </w:r>
    </w:p>
    <w:p w14:paraId="06F53D02" w14:textId="2047FFF1" w:rsidR="00646C30" w:rsidRDefault="00241849" w:rsidP="00646C30">
      <w:permStart w:id="1678079242" w:edGrp="everyone"/>
      <w:r w:rsidRPr="00241849">
        <w:t>In order to comply with legislation,</w:t>
      </w:r>
      <w:r w:rsidR="00D93E34">
        <w:t xml:space="preserve"> </w:t>
      </w:r>
      <w:r w:rsidR="004D2D19">
        <w:t>it is natural that issuers need to have such established</w:t>
      </w:r>
      <w:r w:rsidRPr="00241849">
        <w:t xml:space="preserve"> procedures, </w:t>
      </w:r>
      <w:r w:rsidR="004D2D19">
        <w:t>systems and controls. It also follows from Nasdaq’s listing requirements for issuers</w:t>
      </w:r>
      <w:r w:rsidR="00A50CFB">
        <w:t>.</w:t>
      </w:r>
    </w:p>
    <w:p w14:paraId="0CE86ED6" w14:textId="77777777" w:rsidR="00646C30" w:rsidRDefault="00646C30" w:rsidP="00646C30"/>
    <w:p w14:paraId="3D730DA2" w14:textId="01DED8CC" w:rsidR="00646C30" w:rsidRDefault="007B5EA9" w:rsidP="00646C30">
      <w:r>
        <w:rPr>
          <w:lang w:val="en-US"/>
        </w:rPr>
        <w:t>If new requirements are introduced they should be clear and not cause unnecessary administrative burden for issuers.</w:t>
      </w:r>
      <w:permEnd w:id="1678079242"/>
    </w:p>
    <w:p w14:paraId="3C3E0AAF" w14:textId="77777777" w:rsidR="00646C30" w:rsidRDefault="00646C30" w:rsidP="00646C30">
      <w:r>
        <w:t>&lt;ESMA_QUESTION_CP_MAR_</w:t>
      </w:r>
      <w:r w:rsidR="00101BF1">
        <w:t>27</w:t>
      </w:r>
      <w:r>
        <w:t>&gt;</w:t>
      </w:r>
    </w:p>
    <w:p w14:paraId="3C3E0AB0" w14:textId="77777777" w:rsidR="00646C30" w:rsidRDefault="00646C30" w:rsidP="002E1760"/>
    <w:p w14:paraId="3C3E0AB1" w14:textId="77777777" w:rsidR="00646C30" w:rsidRDefault="0079485D" w:rsidP="00646C30">
      <w:pPr>
        <w:pStyle w:val="CPQuestions"/>
      </w:pPr>
      <w:r w:rsidRPr="0079485D">
        <w:t>Please provide examples of cases in which the identification of when an info</w:t>
      </w:r>
      <w:r w:rsidRPr="0079485D">
        <w:t>r</w:t>
      </w:r>
      <w:r w:rsidRPr="0079485D">
        <w:t>mation became “inside information” was problematic</w:t>
      </w:r>
      <w:r w:rsidR="00646C30">
        <w:t>.</w:t>
      </w:r>
    </w:p>
    <w:p w14:paraId="3C3E0AB2" w14:textId="77777777" w:rsidR="00646C30" w:rsidRDefault="00646C30" w:rsidP="00646C30">
      <w:r>
        <w:t>&lt;ESMA_QUESTION_CP_MAR_2</w:t>
      </w:r>
      <w:r w:rsidR="00101BF1">
        <w:t>8</w:t>
      </w:r>
      <w:r>
        <w:t>&gt;</w:t>
      </w:r>
    </w:p>
    <w:p w14:paraId="5D00389C" w14:textId="064E4DD7" w:rsidR="00E92B62" w:rsidRDefault="005D4187" w:rsidP="00646C30">
      <w:permStart w:id="266360711" w:edGrp="everyone"/>
      <w:r>
        <w:t>For example w</w:t>
      </w:r>
      <w:r w:rsidR="00310555">
        <w:t xml:space="preserve">hen </w:t>
      </w:r>
      <w:r w:rsidR="00241849" w:rsidRPr="00241849">
        <w:t xml:space="preserve">an issuer has </w:t>
      </w:r>
      <w:r w:rsidR="00E90D78">
        <w:t xml:space="preserve">been approached concerning a </w:t>
      </w:r>
      <w:r w:rsidR="00310555">
        <w:t>possible take-</w:t>
      </w:r>
      <w:r w:rsidR="00241849" w:rsidRPr="00241849">
        <w:t>o</w:t>
      </w:r>
      <w:r w:rsidR="00E90D78">
        <w:t>ver offer</w:t>
      </w:r>
      <w:r w:rsidR="00DD04FB">
        <w:t>,</w:t>
      </w:r>
      <w:r w:rsidR="00241849" w:rsidRPr="00241849">
        <w:t xml:space="preserve"> </w:t>
      </w:r>
      <w:r w:rsidR="00DD04FB">
        <w:t>but th</w:t>
      </w:r>
      <w:r w:rsidR="00241849" w:rsidRPr="00241849">
        <w:t>e indic</w:t>
      </w:r>
      <w:r w:rsidR="00241849" w:rsidRPr="00241849">
        <w:t>a</w:t>
      </w:r>
      <w:r w:rsidR="00241849" w:rsidRPr="00241849">
        <w:t xml:space="preserve">tive price </w:t>
      </w:r>
      <w:r w:rsidR="00DD04FB">
        <w:t>is</w:t>
      </w:r>
      <w:r w:rsidR="00241849" w:rsidRPr="00241849">
        <w:t xml:space="preserve"> unattractive or the terms of a due diligence unacceptable etc. In that situation the issuer does not necessarily know if and when the situation will evolve and then it’s very difficult for an issuer to decide when in that process to categorise the infor</w:t>
      </w:r>
      <w:r w:rsidR="00E90D78">
        <w:t xml:space="preserve">mation </w:t>
      </w:r>
      <w:r w:rsidR="00241849" w:rsidRPr="00241849">
        <w:t>as inside information</w:t>
      </w:r>
      <w:r w:rsidR="00E92B62">
        <w:t>.</w:t>
      </w:r>
    </w:p>
    <w:p w14:paraId="796DD9ED" w14:textId="77777777" w:rsidR="00E92B62" w:rsidRDefault="00E92B62" w:rsidP="00646C30"/>
    <w:p w14:paraId="5200C189" w14:textId="5C251788" w:rsidR="00646C30" w:rsidRDefault="00E92B62" w:rsidP="00646C30">
      <w:r>
        <w:rPr>
          <w:lang w:val="en-US"/>
        </w:rPr>
        <w:t>Also, in a public procurement process issuers may find it difficult to evaluate when the information b</w:t>
      </w:r>
      <w:r>
        <w:rPr>
          <w:lang w:val="en-US"/>
        </w:rPr>
        <w:t>e</w:t>
      </w:r>
      <w:r>
        <w:rPr>
          <w:lang w:val="en-US"/>
        </w:rPr>
        <w:t>comes inside information, especially when there are only 2-3 bidders left in the competition</w:t>
      </w:r>
      <w:r w:rsidR="00241849" w:rsidRPr="00241849">
        <w:t>.</w:t>
      </w:r>
      <w:permEnd w:id="266360711"/>
    </w:p>
    <w:p w14:paraId="3C3E0AB4" w14:textId="77777777" w:rsidR="00646C30" w:rsidRDefault="00646C30" w:rsidP="00646C30">
      <w:r>
        <w:t>&lt;ESMA_QUESTION_CP_MAR_</w:t>
      </w:r>
      <w:r w:rsidR="00101BF1">
        <w:t>28</w:t>
      </w:r>
      <w:r>
        <w:t>&gt;</w:t>
      </w:r>
    </w:p>
    <w:p w14:paraId="3C3E0AB5" w14:textId="77777777" w:rsidR="00646C30" w:rsidRDefault="00646C30" w:rsidP="002E1760"/>
    <w:p w14:paraId="3C3E0AB6" w14:textId="77777777" w:rsidR="00646C30" w:rsidRDefault="00C551D2" w:rsidP="00646C30">
      <w:pPr>
        <w:pStyle w:val="CPQuestions"/>
      </w:pPr>
      <w:r w:rsidRPr="00C551D2">
        <w:t>Please provide your views on the notification to NCAs of the delay of disclosure of inside information, in those cases in which the relevant information loses its inside nature following the decision to delay the disclosure</w:t>
      </w:r>
      <w:r w:rsidR="00646C30">
        <w:t>.</w:t>
      </w:r>
    </w:p>
    <w:p w14:paraId="3C3E0AB7" w14:textId="77777777" w:rsidR="00646C30" w:rsidRDefault="00646C30" w:rsidP="00646C30">
      <w:r>
        <w:t>&lt;ESMA_QUESTION_CP_MAR_</w:t>
      </w:r>
      <w:r w:rsidR="00101BF1">
        <w:t>29</w:t>
      </w:r>
      <w:r>
        <w:t>&gt;</w:t>
      </w:r>
    </w:p>
    <w:p w14:paraId="40C65760" w14:textId="64D2E963" w:rsidR="00646C30" w:rsidRDefault="00241849" w:rsidP="00646C30">
      <w:permStart w:id="1420902335" w:edGrp="everyone"/>
      <w:r>
        <w:t xml:space="preserve">It </w:t>
      </w:r>
      <w:r w:rsidR="00160395">
        <w:t xml:space="preserve">might be </w:t>
      </w:r>
      <w:r>
        <w:t xml:space="preserve">equally important for the NCA’s to receive that information when the information is not </w:t>
      </w:r>
      <w:r w:rsidR="00BF7DB4" w:rsidRPr="00BF7DB4">
        <w:t>ultimat</w:t>
      </w:r>
      <w:r w:rsidR="00BF7DB4" w:rsidRPr="00BF7DB4">
        <w:t>e</w:t>
      </w:r>
      <w:r w:rsidR="0031584A">
        <w:t>ly</w:t>
      </w:r>
      <w:r w:rsidR="00BF7DB4" w:rsidRPr="00BF7DB4">
        <w:t xml:space="preserve"> </w:t>
      </w:r>
      <w:r>
        <w:t xml:space="preserve">disclosed as inside information in order to investigate possible market abuse, </w:t>
      </w:r>
      <w:r w:rsidR="00BF7DB4">
        <w:t xml:space="preserve">which is </w:t>
      </w:r>
      <w:r w:rsidR="00160395">
        <w:t>why such an obligation could be relevant.</w:t>
      </w:r>
      <w:permEnd w:id="1420902335"/>
    </w:p>
    <w:p w14:paraId="3C3E0AB9" w14:textId="77777777" w:rsidR="00646C30" w:rsidRDefault="00646C30" w:rsidP="00646C30">
      <w:r>
        <w:t>&lt;ESMA_QUESTION_CP_MAR_</w:t>
      </w:r>
      <w:r w:rsidR="00101BF1">
        <w:t>29</w:t>
      </w:r>
      <w:r>
        <w:t>&gt;</w:t>
      </w:r>
    </w:p>
    <w:p w14:paraId="3C3E0ABA" w14:textId="77777777" w:rsidR="00646C30" w:rsidRDefault="00646C30" w:rsidP="002E1760"/>
    <w:p w14:paraId="3C3E0ABB" w14:textId="77777777" w:rsidR="00646C30" w:rsidRDefault="006F71FA" w:rsidP="00646C30">
      <w:pPr>
        <w:pStyle w:val="CPQuestions"/>
      </w:pPr>
      <w:r w:rsidRPr="006F71FA">
        <w:t>Please provide your views on whether Article 17(5) of MAR has to be made more explicit to include the case of a listed issuer, which is not a credit or financial inst</w:t>
      </w:r>
      <w:r w:rsidRPr="006F71FA">
        <w:t>i</w:t>
      </w:r>
      <w:r w:rsidRPr="006F71FA">
        <w:t>tution, but which is controlling, directly or indirectly, a listed or non-listed credit or financial institution</w:t>
      </w:r>
      <w:r w:rsidR="00646C30">
        <w:t>.</w:t>
      </w:r>
    </w:p>
    <w:p w14:paraId="3C3E0ABC" w14:textId="77777777" w:rsidR="00646C30" w:rsidRDefault="00646C30" w:rsidP="00646C30">
      <w:r>
        <w:t>&lt;ESMA_QUESTION_CP_MAR_</w:t>
      </w:r>
      <w:r w:rsidR="00101BF1">
        <w:t>30</w:t>
      </w:r>
      <w:r>
        <w:t>&gt;</w:t>
      </w:r>
    </w:p>
    <w:p w14:paraId="3C3E0ABD" w14:textId="77777777" w:rsidR="00646C30" w:rsidRDefault="00646C30" w:rsidP="00646C30">
      <w:permStart w:id="385179280" w:edGrp="everyone"/>
      <w:r>
        <w:t>TYPE YOUR TEXT HERE</w:t>
      </w:r>
      <w:permEnd w:id="385179280"/>
    </w:p>
    <w:p w14:paraId="3C3E0ABE" w14:textId="77777777" w:rsidR="00646C30" w:rsidRDefault="00646C30" w:rsidP="00646C30">
      <w:r>
        <w:t>&lt;ESMA_QUESTION_CP_MAR_</w:t>
      </w:r>
      <w:r w:rsidR="00101BF1">
        <w:t>30</w:t>
      </w:r>
      <w:r>
        <w:t>&gt;</w:t>
      </w:r>
    </w:p>
    <w:p w14:paraId="3C3E0ABF" w14:textId="77777777" w:rsidR="00646C30" w:rsidRDefault="00646C30" w:rsidP="002E1760"/>
    <w:p w14:paraId="3C3E0AC0" w14:textId="77777777" w:rsidR="00646C30" w:rsidRDefault="006F71FA" w:rsidP="00646C30">
      <w:pPr>
        <w:pStyle w:val="CPQuestions"/>
      </w:pPr>
      <w:r w:rsidRPr="006F71FA">
        <w:t>Please provide relevant examples of difficulties encountered in the assessment of the conditions for the delay or in the application of Article 17(5) of MAR</w:t>
      </w:r>
      <w:r w:rsidR="00646C30">
        <w:t>.</w:t>
      </w:r>
    </w:p>
    <w:p w14:paraId="3C3E0AC1" w14:textId="77777777" w:rsidR="00646C30" w:rsidRDefault="00646C30" w:rsidP="00646C30">
      <w:r>
        <w:t>&lt;ESMA_QUESTION_CP_MAR_</w:t>
      </w:r>
      <w:r w:rsidR="00101BF1">
        <w:t>31</w:t>
      </w:r>
      <w:r>
        <w:t>&gt;</w:t>
      </w:r>
    </w:p>
    <w:p w14:paraId="3C3E0AC2" w14:textId="77777777" w:rsidR="00646C30" w:rsidRDefault="00646C30" w:rsidP="00646C30">
      <w:permStart w:id="1676897336" w:edGrp="everyone"/>
      <w:r>
        <w:t>TYPE YOUR TEXT HERE</w:t>
      </w:r>
      <w:permEnd w:id="1676897336"/>
    </w:p>
    <w:p w14:paraId="3C3E0AC3" w14:textId="77777777" w:rsidR="00646C30" w:rsidRDefault="00646C30" w:rsidP="00646C30">
      <w:r>
        <w:t>&lt;ESMA_QUESTION_CP_MAR_</w:t>
      </w:r>
      <w:r w:rsidR="00101BF1">
        <w:t>31</w:t>
      </w:r>
      <w:r>
        <w:t>&gt;</w:t>
      </w:r>
    </w:p>
    <w:p w14:paraId="3C3E0AC4" w14:textId="77777777" w:rsidR="00646C30" w:rsidRDefault="00646C30" w:rsidP="002E1760"/>
    <w:p w14:paraId="3C3E0AC5" w14:textId="77777777" w:rsidR="00646C30" w:rsidRDefault="00D60960" w:rsidP="00646C30">
      <w:pPr>
        <w:pStyle w:val="CPQuestions"/>
      </w:pPr>
      <w:r w:rsidRPr="00D60960">
        <w:t>Please indicate whether you have found difficulties in the assessment of the obl</w:t>
      </w:r>
      <w:r w:rsidRPr="00D60960">
        <w:t>i</w:t>
      </w:r>
      <w:r w:rsidRPr="00D60960">
        <w:t>gation to disclose a piece of inside information under Article 17 MAR when an</w:t>
      </w:r>
      <w:r w:rsidRPr="00D60960">
        <w:t>a</w:t>
      </w:r>
      <w:r w:rsidRPr="00D60960">
        <w:t>lysed together with other obligations arising from CRD, CRR or BRRD. Please pr</w:t>
      </w:r>
      <w:r w:rsidRPr="00D60960">
        <w:t>o</w:t>
      </w:r>
      <w:r w:rsidRPr="00D60960">
        <w:t>vide specific examples.</w:t>
      </w:r>
    </w:p>
    <w:p w14:paraId="3C3E0AC6" w14:textId="77777777" w:rsidR="00646C30" w:rsidRDefault="00646C30" w:rsidP="00646C30">
      <w:r>
        <w:t>&lt;ESMA_QUESTION_CP_MAR_</w:t>
      </w:r>
      <w:r w:rsidR="00101BF1">
        <w:t>3</w:t>
      </w:r>
      <w:r>
        <w:t>2&gt;</w:t>
      </w:r>
    </w:p>
    <w:p w14:paraId="3C3E0AC7" w14:textId="77777777" w:rsidR="00646C30" w:rsidRDefault="00646C30" w:rsidP="00646C30">
      <w:permStart w:id="610084603" w:edGrp="everyone"/>
      <w:r>
        <w:t>TYPE YOUR TEXT HERE</w:t>
      </w:r>
      <w:permEnd w:id="610084603"/>
    </w:p>
    <w:p w14:paraId="3C3E0AC8" w14:textId="77777777" w:rsidR="00646C30" w:rsidRDefault="00646C30" w:rsidP="00646C30">
      <w:r>
        <w:t>&lt;ESMA_QUESTION_CP_MAR_</w:t>
      </w:r>
      <w:r w:rsidR="00101BF1">
        <w:t>3</w:t>
      </w:r>
      <w:r>
        <w:t>2&gt;</w:t>
      </w:r>
    </w:p>
    <w:p w14:paraId="3C3E0AC9" w14:textId="77777777" w:rsidR="00646C30" w:rsidRDefault="00646C30" w:rsidP="002E1760"/>
    <w:p w14:paraId="3C3E0ACA" w14:textId="77777777" w:rsidR="00646C30" w:rsidRDefault="00D60960" w:rsidP="00646C30">
      <w:pPr>
        <w:pStyle w:val="CPQuestions"/>
      </w:pPr>
      <w:r w:rsidRPr="00D60960">
        <w:t>Do you agree with the proposed amendments to Article 11 of MAR</w:t>
      </w:r>
      <w:r>
        <w:t>?</w:t>
      </w:r>
    </w:p>
    <w:p w14:paraId="3C3E0ACB" w14:textId="77777777" w:rsidR="00646C30" w:rsidRDefault="00646C30" w:rsidP="00646C30">
      <w:r>
        <w:t>&lt;ESMA_QUESTION_CP_MAR_</w:t>
      </w:r>
      <w:r w:rsidR="00101BF1">
        <w:t>33</w:t>
      </w:r>
      <w:r>
        <w:t>&gt;</w:t>
      </w:r>
    </w:p>
    <w:p w14:paraId="4ED572B9" w14:textId="77777777" w:rsidR="00232B54" w:rsidRPr="00232B54" w:rsidRDefault="00232B54" w:rsidP="00232B54">
      <w:pPr>
        <w:rPr>
          <w:color w:val="000000" w:themeColor="text1"/>
        </w:rPr>
      </w:pPr>
      <w:permStart w:id="1371158119" w:edGrp="everyone"/>
      <w:r w:rsidRPr="00232B54">
        <w:rPr>
          <w:color w:val="000000" w:themeColor="text1"/>
        </w:rPr>
        <w:t xml:space="preserve">We disagree with ESMA’s preliminary view. </w:t>
      </w:r>
    </w:p>
    <w:p w14:paraId="6D9F0716" w14:textId="77777777" w:rsidR="00232B54" w:rsidRPr="00232B54" w:rsidRDefault="00232B54" w:rsidP="00232B54">
      <w:pPr>
        <w:rPr>
          <w:color w:val="000000" w:themeColor="text1"/>
        </w:rPr>
      </w:pPr>
    </w:p>
    <w:p w14:paraId="08DFB5B5" w14:textId="0B100E95" w:rsidR="00232B54" w:rsidRPr="00232B54" w:rsidRDefault="00232B54" w:rsidP="00232B54">
      <w:pPr>
        <w:rPr>
          <w:color w:val="000000" w:themeColor="text1"/>
        </w:rPr>
      </w:pPr>
      <w:r w:rsidRPr="00232B54">
        <w:rPr>
          <w:color w:val="000000" w:themeColor="text1"/>
        </w:rPr>
        <w:t xml:space="preserve">In relation to item 148 (a) and (b) we think, that it should be clarified that the market sounding regime represents a safe harbour. </w:t>
      </w:r>
    </w:p>
    <w:p w14:paraId="094A84A6" w14:textId="77777777" w:rsidR="00232B54" w:rsidRPr="00232B54" w:rsidRDefault="00232B54" w:rsidP="00232B54">
      <w:pPr>
        <w:rPr>
          <w:color w:val="000000" w:themeColor="text1"/>
        </w:rPr>
      </w:pPr>
    </w:p>
    <w:p w14:paraId="3C3E0ACC" w14:textId="5A192124" w:rsidR="00646C30" w:rsidRDefault="00232B54" w:rsidP="00646C30">
      <w:r w:rsidRPr="00232B54">
        <w:rPr>
          <w:color w:val="000000" w:themeColor="text1"/>
        </w:rPr>
        <w:t>In relation to item 148 (c) we think it should remain within the competences of the member states and NCA’s to decide on the type of sanction</w:t>
      </w:r>
      <w:r>
        <w:rPr>
          <w:color w:val="000000" w:themeColor="text1"/>
        </w:rPr>
        <w:t>s.</w:t>
      </w:r>
      <w:permEnd w:id="1371158119"/>
    </w:p>
    <w:p w14:paraId="3C3E0ACD" w14:textId="77777777" w:rsidR="00646C30" w:rsidRDefault="00646C30" w:rsidP="00646C30">
      <w:r>
        <w:t>&lt;ESMA_QUESTION_CP_MAR_</w:t>
      </w:r>
      <w:r w:rsidR="00101BF1">
        <w:t>33</w:t>
      </w:r>
      <w:r>
        <w:t>&gt;</w:t>
      </w:r>
    </w:p>
    <w:p w14:paraId="3C3E0ACE" w14:textId="77777777" w:rsidR="00646C30" w:rsidRDefault="00646C30" w:rsidP="002E1760"/>
    <w:p w14:paraId="3C3E0ACF" w14:textId="77777777" w:rsidR="00646C30" w:rsidRDefault="00BF409D" w:rsidP="00646C30">
      <w:pPr>
        <w:pStyle w:val="CPQuestions"/>
      </w:pPr>
      <w:r w:rsidRPr="00BF409D">
        <w:t>Do you think that some limitation to the definition of market sounding should be introduced (e.g. excluding certain categories of transactions) or that additional clarification on the scope of the definition of market sounding should be provided</w:t>
      </w:r>
      <w:r>
        <w:t>?</w:t>
      </w:r>
    </w:p>
    <w:p w14:paraId="3C3E0AD0" w14:textId="77777777" w:rsidR="00646C30" w:rsidRDefault="00646C30" w:rsidP="00646C30">
      <w:r>
        <w:t>&lt;ESMA_QUESTION_CP_MAR_</w:t>
      </w:r>
      <w:r w:rsidR="00101BF1">
        <w:t>34</w:t>
      </w:r>
      <w:r>
        <w:t>&gt;</w:t>
      </w:r>
    </w:p>
    <w:p w14:paraId="3C3E0AD1" w14:textId="77777777" w:rsidR="00646C30" w:rsidRDefault="00646C30" w:rsidP="00646C30">
      <w:permStart w:id="146477293" w:edGrp="everyone"/>
      <w:r>
        <w:t>TYPE YOUR TEXT HERE</w:t>
      </w:r>
      <w:permEnd w:id="146477293"/>
    </w:p>
    <w:p w14:paraId="3C3E0AD2" w14:textId="77777777" w:rsidR="00646C30" w:rsidRDefault="00646C30" w:rsidP="00646C30">
      <w:r>
        <w:t>&lt;ESMA_QUESTION_CP_MAR_</w:t>
      </w:r>
      <w:r w:rsidR="00101BF1">
        <w:t>34</w:t>
      </w:r>
      <w:r>
        <w:t>&gt;</w:t>
      </w:r>
    </w:p>
    <w:p w14:paraId="3C3E0AD3" w14:textId="77777777" w:rsidR="00646C30" w:rsidRDefault="00646C30" w:rsidP="002E1760"/>
    <w:p w14:paraId="3C3E0AD4" w14:textId="77777777" w:rsidR="00646C30" w:rsidRDefault="00BF409D" w:rsidP="00646C30">
      <w:pPr>
        <w:pStyle w:val="CPQuestions"/>
      </w:pPr>
      <w:r w:rsidRPr="00BF409D">
        <w:t>What are in your view the stages of the interaction between DMPs and potential i</w:t>
      </w:r>
      <w:r w:rsidRPr="00BF409D">
        <w:t>n</w:t>
      </w:r>
      <w:r w:rsidRPr="00BF409D">
        <w:t>vestors, from the initial contact to the execution of the transaction, that should be covered by the definition of market soundings</w:t>
      </w:r>
      <w:r>
        <w:t>?</w:t>
      </w:r>
    </w:p>
    <w:p w14:paraId="3C3E0AD5" w14:textId="77777777" w:rsidR="00646C30" w:rsidRDefault="00646C30" w:rsidP="00646C30">
      <w:r>
        <w:t>&lt;ESMA_QUESTION_CP_MAR_</w:t>
      </w:r>
      <w:r w:rsidR="00101BF1">
        <w:t>35</w:t>
      </w:r>
      <w:r>
        <w:t>&gt;</w:t>
      </w:r>
    </w:p>
    <w:p w14:paraId="3C3E0AD6" w14:textId="77777777" w:rsidR="00646C30" w:rsidRDefault="00646C30" w:rsidP="00646C30">
      <w:permStart w:id="73213744" w:edGrp="everyone"/>
      <w:r>
        <w:t>TYPE YOUR TEXT HERE</w:t>
      </w:r>
      <w:permEnd w:id="73213744"/>
    </w:p>
    <w:p w14:paraId="3C3E0AD7" w14:textId="77777777" w:rsidR="00646C30" w:rsidRDefault="00646C30" w:rsidP="00646C30">
      <w:r>
        <w:t>&lt;ESMA_QUESTION_CP_MAR_</w:t>
      </w:r>
      <w:r w:rsidR="00101BF1">
        <w:t>35</w:t>
      </w:r>
      <w:r>
        <w:t>&gt;</w:t>
      </w:r>
    </w:p>
    <w:p w14:paraId="3C3E0AD8" w14:textId="77777777" w:rsidR="00646C30" w:rsidRDefault="00646C30" w:rsidP="002E1760"/>
    <w:p w14:paraId="3C3E0AD9" w14:textId="77777777" w:rsidR="00646C30" w:rsidRDefault="00BF409D" w:rsidP="00646C30">
      <w:pPr>
        <w:pStyle w:val="CPQuestions"/>
      </w:pPr>
      <w:r w:rsidRPr="00BF409D">
        <w:t>Do you think that the reference to “prior to the announcement of a transaction” in the definition of market sounding is appropriate or whether it should be amended to cover also those communications of information not followed by any specific announcement?</w:t>
      </w:r>
    </w:p>
    <w:p w14:paraId="3C3E0ADA" w14:textId="77777777" w:rsidR="00646C30" w:rsidRDefault="00646C30" w:rsidP="00646C30">
      <w:r>
        <w:t>&lt;ESMA_QUESTION_CP_MAR_</w:t>
      </w:r>
      <w:r w:rsidR="00B6351C">
        <w:t>36</w:t>
      </w:r>
      <w:r>
        <w:t>&gt;</w:t>
      </w:r>
    </w:p>
    <w:p w14:paraId="3C3E0ADB" w14:textId="77777777" w:rsidR="00646C30" w:rsidRDefault="00646C30" w:rsidP="00646C30">
      <w:permStart w:id="720899510" w:edGrp="everyone"/>
      <w:r>
        <w:t>TYPE YOUR TEXT HERE</w:t>
      </w:r>
      <w:permEnd w:id="720899510"/>
    </w:p>
    <w:p w14:paraId="3C3E0ADC" w14:textId="77777777" w:rsidR="00646C30" w:rsidRDefault="00646C30" w:rsidP="00646C30">
      <w:r>
        <w:t>&lt;ESMA_QUESTION_CP_MAR_</w:t>
      </w:r>
      <w:r w:rsidR="00B6351C">
        <w:t>36</w:t>
      </w:r>
      <w:r>
        <w:t>&gt;</w:t>
      </w:r>
    </w:p>
    <w:p w14:paraId="3C3E0ADD" w14:textId="77777777" w:rsidR="00646C30" w:rsidRDefault="00646C30" w:rsidP="002E1760"/>
    <w:p w14:paraId="3C3E0ADE" w14:textId="77777777" w:rsidR="00646C30" w:rsidRDefault="001B2FC9" w:rsidP="00646C30">
      <w:pPr>
        <w:pStyle w:val="CPQuestions"/>
      </w:pPr>
      <w:r w:rsidRPr="001B2FC9">
        <w:t>Can you provide information on situations where the market soundings regime has proven to be of difficult application by DMPs or persons receiving the market sounding? Could you please elaborate</w:t>
      </w:r>
      <w:r>
        <w:t>?</w:t>
      </w:r>
    </w:p>
    <w:p w14:paraId="3C3E0ADF" w14:textId="77777777" w:rsidR="00646C30" w:rsidRDefault="00646C30" w:rsidP="00646C30">
      <w:r>
        <w:t>&lt;ESMA_QUESTION_CP_MAR_</w:t>
      </w:r>
      <w:r w:rsidR="00B6351C">
        <w:t>37</w:t>
      </w:r>
      <w:r>
        <w:t>&gt;</w:t>
      </w:r>
    </w:p>
    <w:p w14:paraId="3C3E0AE0" w14:textId="77777777" w:rsidR="00646C30" w:rsidRDefault="00646C30" w:rsidP="00646C30">
      <w:permStart w:id="427762830" w:edGrp="everyone"/>
      <w:r>
        <w:t>TYPE YOUR TEXT HERE</w:t>
      </w:r>
      <w:permEnd w:id="427762830"/>
    </w:p>
    <w:p w14:paraId="3C3E0AE1" w14:textId="77777777" w:rsidR="00646C30" w:rsidRDefault="00646C30" w:rsidP="00646C30">
      <w:r>
        <w:t>&lt;ESMA_QUESTION_CP_MAR_</w:t>
      </w:r>
      <w:r w:rsidR="00B6351C">
        <w:t>37</w:t>
      </w:r>
      <w:r>
        <w:t>&gt;</w:t>
      </w:r>
    </w:p>
    <w:p w14:paraId="3C3E0AE2" w14:textId="77777777" w:rsidR="00646C30" w:rsidRDefault="00646C30" w:rsidP="002E1760"/>
    <w:p w14:paraId="3C3E0AE3" w14:textId="77777777" w:rsidR="00646C30" w:rsidRDefault="001B2FC9" w:rsidP="00646C30">
      <w:pPr>
        <w:pStyle w:val="CPQuestions"/>
      </w:pPr>
      <w:r w:rsidRPr="001B2FC9">
        <w:t>Can you provide your views on how to simplify or improve the market sounding procedure and requirements while ensuring an adequate level of audit trail of the conveyed information (in relation to both the DMPs and the persons receiving the market sounding)?</w:t>
      </w:r>
    </w:p>
    <w:p w14:paraId="3C3E0AE4" w14:textId="77777777" w:rsidR="00646C30" w:rsidRDefault="00646C30" w:rsidP="00646C30">
      <w:r>
        <w:t>&lt;ESMA_QUESTION_CP_MAR_</w:t>
      </w:r>
      <w:r w:rsidR="00B6351C">
        <w:t>38</w:t>
      </w:r>
      <w:r>
        <w:t>&gt;</w:t>
      </w:r>
    </w:p>
    <w:p w14:paraId="3C3E0AE5" w14:textId="77777777" w:rsidR="00646C30" w:rsidRDefault="00646C30" w:rsidP="00646C30">
      <w:permStart w:id="2098217667" w:edGrp="everyone"/>
      <w:r>
        <w:t>TYPE YOUR TEXT HERE</w:t>
      </w:r>
      <w:permEnd w:id="2098217667"/>
    </w:p>
    <w:p w14:paraId="3C3E0AE6" w14:textId="77777777" w:rsidR="00646C30" w:rsidRDefault="00646C30" w:rsidP="00646C30">
      <w:r>
        <w:t>&lt;ESMA_QUESTION_CP_MAR_</w:t>
      </w:r>
      <w:r w:rsidR="00B6351C">
        <w:t>38</w:t>
      </w:r>
      <w:r>
        <w:t>&gt;</w:t>
      </w:r>
    </w:p>
    <w:p w14:paraId="3C3E0AE7" w14:textId="77777777" w:rsidR="00646C30" w:rsidRDefault="00646C30" w:rsidP="002E1760"/>
    <w:p w14:paraId="3C3E0AE8" w14:textId="77777777" w:rsidR="00646C30" w:rsidRDefault="001B2FC9" w:rsidP="00646C30">
      <w:pPr>
        <w:pStyle w:val="CPQuestions"/>
      </w:pPr>
      <w:r w:rsidRPr="001B2FC9">
        <w:t>Do you agree with ESMA’s preliminary view on the usefulness of insider list? If not, please elaborate</w:t>
      </w:r>
      <w:r w:rsidR="00646C30">
        <w:t>.</w:t>
      </w:r>
    </w:p>
    <w:p w14:paraId="3C3E0AE9" w14:textId="77777777" w:rsidR="00646C30" w:rsidRDefault="00646C30" w:rsidP="00646C30">
      <w:r>
        <w:t>&lt;ESMA_QUESTION_CP_MAR_</w:t>
      </w:r>
      <w:r w:rsidR="00B6351C">
        <w:t>39</w:t>
      </w:r>
      <w:r>
        <w:t>&gt;</w:t>
      </w:r>
    </w:p>
    <w:p w14:paraId="68DCC1CB" w14:textId="77777777" w:rsidR="00BF45C7" w:rsidRDefault="00BF45C7" w:rsidP="00BF45C7">
      <w:permStart w:id="1933056180" w:edGrp="everyone"/>
      <w:r>
        <w:t xml:space="preserve">We agree that insider lists are critical and useful. </w:t>
      </w:r>
    </w:p>
    <w:p w14:paraId="78036AF9" w14:textId="77777777" w:rsidR="00BF45C7" w:rsidRDefault="00BF45C7" w:rsidP="00BF45C7"/>
    <w:p w14:paraId="362BD7AE" w14:textId="77777777" w:rsidR="00BF45C7" w:rsidRDefault="00BF45C7" w:rsidP="00BF45C7">
      <w:r>
        <w:t>However, it seems that some issuers have problems with the requirements, i.e. in relation to continuous updates of the insider lists and the use of the standard forms. That especially applies to the permanent section, which is troublesome in more ways than one.</w:t>
      </w:r>
    </w:p>
    <w:p w14:paraId="4AFE0667" w14:textId="77777777" w:rsidR="00BF45C7" w:rsidRDefault="00BF45C7" w:rsidP="00BF45C7"/>
    <w:p w14:paraId="0E486F3E" w14:textId="5058EFB6" w:rsidR="00BF45C7" w:rsidRDefault="00BF45C7" w:rsidP="00BF45C7">
      <w:r>
        <w:t>Since it</w:t>
      </w:r>
      <w:r w:rsidR="002947B0">
        <w:t xml:space="preserve"> (according to one </w:t>
      </w:r>
      <w:r w:rsidR="00182F4F">
        <w:t xml:space="preserve">common </w:t>
      </w:r>
      <w:r w:rsidR="002947B0">
        <w:t xml:space="preserve">interpretation) </w:t>
      </w:r>
      <w:r>
        <w:t xml:space="preserve">is not required that permanent insiders are notified that they are included in an event </w:t>
      </w:r>
      <w:r w:rsidR="00A41863">
        <w:t>driven</w:t>
      </w:r>
      <w:r>
        <w:t xml:space="preserve"> insider list, they risk being unaware that the information they have access to is inside information. </w:t>
      </w:r>
    </w:p>
    <w:p w14:paraId="0BE05E7D" w14:textId="77777777" w:rsidR="00BF45C7" w:rsidRDefault="00BF45C7" w:rsidP="00BF45C7"/>
    <w:p w14:paraId="3995A765" w14:textId="2B089D96" w:rsidR="00BF45C7" w:rsidRDefault="00BF45C7" w:rsidP="00BF45C7">
      <w:r>
        <w:t xml:space="preserve">Also, there is a risk that the permanent insider list (and consequentially the event </w:t>
      </w:r>
      <w:r w:rsidR="00A41863">
        <w:t>driven</w:t>
      </w:r>
      <w:r>
        <w:t xml:space="preserve"> insider lists) includes persons that in reality does not have access to such inside information. Many issuers (i.e. su</w:t>
      </w:r>
      <w:r>
        <w:t>p</w:t>
      </w:r>
      <w:r>
        <w:t>ported by the thematic reviews by the Danish FSA) seem to include persons with access to inside info</w:t>
      </w:r>
      <w:r>
        <w:t>r</w:t>
      </w:r>
      <w:r>
        <w:t>mation at all times, but not necessarily all inside information. This means that the permanent section often includes persons that do not have access to specific pieces of inside information. That reduces the usefu</w:t>
      </w:r>
      <w:r>
        <w:t>l</w:t>
      </w:r>
      <w:r>
        <w:t xml:space="preserve">ness of the insider lists and makes it very difficult to use the insider lists in investigations. </w:t>
      </w:r>
    </w:p>
    <w:p w14:paraId="3D439A32" w14:textId="77777777" w:rsidR="00BF45C7" w:rsidRDefault="00BF45C7" w:rsidP="00BF45C7"/>
    <w:p w14:paraId="3C3E0AEA" w14:textId="002C3D2E" w:rsidR="00646C30" w:rsidRDefault="00BF45C7" w:rsidP="00646C30">
      <w:r>
        <w:t xml:space="preserve">The event </w:t>
      </w:r>
      <w:r w:rsidR="00A41863">
        <w:t>driven</w:t>
      </w:r>
      <w:r>
        <w:t xml:space="preserve"> insider lists sometimes does not contain accurate information, which partly is caused by confusion on which information to include in the different columns in the standard forms.</w:t>
      </w:r>
      <w:permEnd w:id="1933056180"/>
    </w:p>
    <w:p w14:paraId="3C3E0AEB" w14:textId="77777777" w:rsidR="00646C30" w:rsidRDefault="00646C30" w:rsidP="00646C30">
      <w:r>
        <w:t>&lt;ESMA_QUESTION_CP_MAR_</w:t>
      </w:r>
      <w:r w:rsidR="00B6351C">
        <w:t>39</w:t>
      </w:r>
      <w:r>
        <w:t>&gt;</w:t>
      </w:r>
    </w:p>
    <w:p w14:paraId="3C3E0AEC" w14:textId="77777777" w:rsidR="00646C30" w:rsidRDefault="00646C30" w:rsidP="002E1760"/>
    <w:p w14:paraId="3C3E0AED" w14:textId="77777777" w:rsidR="00646C30" w:rsidRDefault="00263505" w:rsidP="00646C30">
      <w:pPr>
        <w:pStyle w:val="CPQuestions"/>
      </w:pPr>
      <w:r w:rsidRPr="00263505">
        <w:t>Do you consider that the insider list regime should be amended to make it more e</w:t>
      </w:r>
      <w:r w:rsidRPr="00263505">
        <w:t>f</w:t>
      </w:r>
      <w:r w:rsidRPr="00263505">
        <w:t>fective?  Please elaborate</w:t>
      </w:r>
      <w:r w:rsidR="00646C30">
        <w:t>.</w:t>
      </w:r>
    </w:p>
    <w:p w14:paraId="3C3E0AEE" w14:textId="77777777" w:rsidR="00646C30" w:rsidRDefault="00646C30" w:rsidP="00646C30">
      <w:r>
        <w:t>&lt;ESMA_QUESTION_CP_MAR_</w:t>
      </w:r>
      <w:r w:rsidR="00B6351C">
        <w:t>40</w:t>
      </w:r>
      <w:r>
        <w:t>&gt;</w:t>
      </w:r>
    </w:p>
    <w:p w14:paraId="3C3E0AEF" w14:textId="2BE35715" w:rsidR="00646C30" w:rsidRDefault="00320052" w:rsidP="00646C30">
      <w:permStart w:id="1252881600" w:edGrp="everyone"/>
      <w:r w:rsidRPr="00320052">
        <w:rPr>
          <w:lang w:val="en-US"/>
        </w:rPr>
        <w:t xml:space="preserve">Yes, we think the regime should be amended. The burden on issuers can be reduced by reducing the amount of information in the standard forms. The problem with the permanent section can partly be solved by </w:t>
      </w:r>
      <w:r w:rsidR="00182F4F">
        <w:rPr>
          <w:lang w:val="en-US"/>
        </w:rPr>
        <w:t xml:space="preserve">expressly </w:t>
      </w:r>
      <w:r w:rsidRPr="00320052">
        <w:rPr>
          <w:lang w:val="en-US"/>
        </w:rPr>
        <w:t xml:space="preserve">extending the scope of </w:t>
      </w:r>
      <w:r w:rsidR="00182F4F">
        <w:rPr>
          <w:lang w:val="en-US"/>
        </w:rPr>
        <w:t xml:space="preserve">Article 18.2 to include </w:t>
      </w:r>
      <w:r w:rsidR="001D70A8">
        <w:rPr>
          <w:lang w:val="en-US"/>
        </w:rPr>
        <w:t xml:space="preserve">also </w:t>
      </w:r>
      <w:r w:rsidR="00182F4F">
        <w:rPr>
          <w:lang w:val="en-US"/>
        </w:rPr>
        <w:t>notifications to permanent insiders when an event-based insider list is opened.</w:t>
      </w:r>
      <w:permEnd w:id="1252881600"/>
    </w:p>
    <w:p w14:paraId="3C3E0AF0" w14:textId="77777777" w:rsidR="00646C30" w:rsidRDefault="00646C30" w:rsidP="00646C30">
      <w:r>
        <w:t>&lt;ESMA_QUESTION_CP_MAR_</w:t>
      </w:r>
      <w:r w:rsidR="00B6351C">
        <w:t>40</w:t>
      </w:r>
      <w:r>
        <w:t>&gt;</w:t>
      </w:r>
    </w:p>
    <w:p w14:paraId="3C3E0AF1" w14:textId="77777777" w:rsidR="00646C30" w:rsidRDefault="00646C30" w:rsidP="002E1760"/>
    <w:p w14:paraId="3C3E0AF2" w14:textId="77777777" w:rsidR="00646C30" w:rsidRDefault="00263505" w:rsidP="00646C30">
      <w:pPr>
        <w:pStyle w:val="CPQuestions"/>
      </w:pPr>
      <w:r w:rsidRPr="00263505">
        <w:t>What changes and what systems and controls would issuers need to put in place in order to be able to provide NCAs, at their request, the insider list with the ind</w:t>
      </w:r>
      <w:r w:rsidRPr="00263505">
        <w:t>i</w:t>
      </w:r>
      <w:r w:rsidRPr="00263505">
        <w:t>viduals who had actually accessed the inside information within a short time per</w:t>
      </w:r>
      <w:r w:rsidRPr="00263505">
        <w:t>i</w:t>
      </w:r>
      <w:r w:rsidRPr="00263505">
        <w:t>od</w:t>
      </w:r>
      <w:r>
        <w:t>?</w:t>
      </w:r>
    </w:p>
    <w:p w14:paraId="3C3E0AF3" w14:textId="77777777" w:rsidR="00646C30" w:rsidRDefault="00646C30" w:rsidP="00646C30">
      <w:r>
        <w:t>&lt;ESMA_QUESTION_CP_MAR_</w:t>
      </w:r>
      <w:r w:rsidR="00B6351C">
        <w:t>41</w:t>
      </w:r>
      <w:r>
        <w:t>&gt;</w:t>
      </w:r>
    </w:p>
    <w:p w14:paraId="3C3E0AF4" w14:textId="77777777" w:rsidR="00646C30" w:rsidRDefault="00646C30" w:rsidP="00646C30">
      <w:permStart w:id="93392546" w:edGrp="everyone"/>
      <w:r>
        <w:t>TYPE YOUR TEXT HERE</w:t>
      </w:r>
      <w:permEnd w:id="93392546"/>
    </w:p>
    <w:p w14:paraId="3C3E0AF5" w14:textId="77777777" w:rsidR="00646C30" w:rsidRDefault="00646C30" w:rsidP="00646C30">
      <w:r>
        <w:t>&lt;ESMA_QUESTION_CP_MAR_</w:t>
      </w:r>
      <w:r w:rsidR="00B6351C">
        <w:t>41</w:t>
      </w:r>
      <w:r>
        <w:t>&gt;</w:t>
      </w:r>
    </w:p>
    <w:p w14:paraId="3C3E0AF6" w14:textId="77777777" w:rsidR="00646C30" w:rsidRDefault="00646C30" w:rsidP="002E1760"/>
    <w:p w14:paraId="3C3E0AF7" w14:textId="77777777" w:rsidR="00646C30" w:rsidRDefault="00A55D71" w:rsidP="00646C30">
      <w:pPr>
        <w:pStyle w:val="CPQuestions"/>
      </w:pPr>
      <w:r w:rsidRPr="00A55D71">
        <w:t>What are your views about expanding the scope of Article 18(1) of MAR (i.e. dra</w:t>
      </w:r>
      <w:r w:rsidRPr="00A55D71">
        <w:t>w</w:t>
      </w:r>
      <w:r w:rsidRPr="00A55D71">
        <w:t>ing up and maintain the insider list) to include any person performing tasks through which they have access to inside information, irrespective of the fact that they act on behalf or on account of the issuer? Please identify any other cases that you consider appropriate</w:t>
      </w:r>
      <w:r w:rsidR="00646C30">
        <w:t>.</w:t>
      </w:r>
    </w:p>
    <w:p w14:paraId="3C3E0AF8" w14:textId="77777777" w:rsidR="00646C30" w:rsidRDefault="00646C30" w:rsidP="00646C30">
      <w:r>
        <w:t>&lt;ESMA_QUESTION_CP_MAR_</w:t>
      </w:r>
      <w:r w:rsidR="00B6351C">
        <w:t>4</w:t>
      </w:r>
      <w:r>
        <w:t>2&gt;</w:t>
      </w:r>
    </w:p>
    <w:p w14:paraId="4C919073" w14:textId="7B555813" w:rsidR="00646C30" w:rsidRDefault="00241849" w:rsidP="00646C30">
      <w:permStart w:id="1148858332" w:edGrp="everyone"/>
      <w:r w:rsidRPr="00241849">
        <w:t>We agree on expanding the scope and note that the dra</w:t>
      </w:r>
      <w:r w:rsidR="00074BA4">
        <w:t>fting expansion should include e.g. companies that submit</w:t>
      </w:r>
      <w:r w:rsidR="00A50419">
        <w:t xml:space="preserve"> a take-</w:t>
      </w:r>
      <w:r w:rsidRPr="00241849">
        <w:t xml:space="preserve">over bid, so that </w:t>
      </w:r>
      <w:r w:rsidR="00F7026C">
        <w:t xml:space="preserve">such companies </w:t>
      </w:r>
      <w:r w:rsidRPr="00241849">
        <w:t>shall dra</w:t>
      </w:r>
      <w:r w:rsidR="00A50419">
        <w:t>w up and maintain insider lists. However, it is delicate task to regulate those that are not in any other way sub</w:t>
      </w:r>
      <w:r w:rsidR="00431625">
        <w:t>ject to MAR.</w:t>
      </w:r>
      <w:r w:rsidR="00A50419">
        <w:t xml:space="preserve"> </w:t>
      </w:r>
      <w:permEnd w:id="1148858332"/>
    </w:p>
    <w:p w14:paraId="3C3E0AFA" w14:textId="77777777" w:rsidR="00646C30" w:rsidRDefault="00646C30" w:rsidP="00646C30">
      <w:r>
        <w:t>&lt;ESMA_QUESTION_CP_MAR_</w:t>
      </w:r>
      <w:r w:rsidR="00B6351C">
        <w:t>4</w:t>
      </w:r>
      <w:r>
        <w:t>2&gt;</w:t>
      </w:r>
    </w:p>
    <w:p w14:paraId="3C3E0AFB" w14:textId="77777777" w:rsidR="00646C30" w:rsidRDefault="00646C30" w:rsidP="002E1760"/>
    <w:p w14:paraId="3C3E0AFC" w14:textId="77777777" w:rsidR="00646C30" w:rsidRDefault="004F728D" w:rsidP="00646C30">
      <w:pPr>
        <w:pStyle w:val="CPQuestions"/>
      </w:pPr>
      <w:r w:rsidRPr="004F728D">
        <w:t>Do you consider useful maintaining the permanent insider section? If yes, please elaborate on your reasons for using the permanent insider section and who should be included in that section in your opinion</w:t>
      </w:r>
      <w:r w:rsidR="00646C30">
        <w:t>.</w:t>
      </w:r>
    </w:p>
    <w:p w14:paraId="3C3E0AFD" w14:textId="77777777" w:rsidR="00646C30" w:rsidRDefault="00646C30" w:rsidP="00646C30">
      <w:r>
        <w:t>&lt;ESMA_QUESTION_CP_MAR_</w:t>
      </w:r>
      <w:r w:rsidR="00B6351C">
        <w:t>43</w:t>
      </w:r>
      <w:r>
        <w:t>&gt;</w:t>
      </w:r>
    </w:p>
    <w:p w14:paraId="3C3E0AFE" w14:textId="6560604F" w:rsidR="00646C30" w:rsidRDefault="00770AE7" w:rsidP="00646C30">
      <w:permStart w:id="513950227" w:edGrp="everyone"/>
      <w:r>
        <w:t>Please see answer to Q40.</w:t>
      </w:r>
      <w:r w:rsidR="00A50CFB">
        <w:t xml:space="preserve"> </w:t>
      </w:r>
      <w:permEnd w:id="513950227"/>
    </w:p>
    <w:p w14:paraId="3C3E0AFF" w14:textId="77777777" w:rsidR="00646C30" w:rsidRDefault="00646C30" w:rsidP="00646C30">
      <w:r>
        <w:t>&lt;ESMA_QUESTION_CP_MAR_</w:t>
      </w:r>
      <w:r w:rsidR="00B6351C">
        <w:t>43</w:t>
      </w:r>
      <w:r>
        <w:t>&gt;</w:t>
      </w:r>
    </w:p>
    <w:p w14:paraId="3C3E0B00" w14:textId="77777777" w:rsidR="00646C30" w:rsidRDefault="00646C30" w:rsidP="002E1760"/>
    <w:p w14:paraId="3C3E0B01" w14:textId="77777777" w:rsidR="00646C30" w:rsidRDefault="00074979" w:rsidP="00646C30">
      <w:pPr>
        <w:pStyle w:val="CPQuestions"/>
      </w:pPr>
      <w:r w:rsidRPr="00074979">
        <w:t>Do you agree with ESMA’s preliminary view</w:t>
      </w:r>
      <w:r>
        <w:t>?</w:t>
      </w:r>
    </w:p>
    <w:p w14:paraId="3C3E0B02" w14:textId="77777777" w:rsidR="00646C30" w:rsidRDefault="00646C30" w:rsidP="00646C30">
      <w:r>
        <w:t>&lt;ESMA_QUESTION_CP_MAR_</w:t>
      </w:r>
      <w:r w:rsidR="00B6351C">
        <w:t>44</w:t>
      </w:r>
      <w:r>
        <w:t>&gt;</w:t>
      </w:r>
    </w:p>
    <w:p w14:paraId="3C3E0B03" w14:textId="1F3EAD1F" w:rsidR="00646C30" w:rsidRDefault="00074BA4" w:rsidP="00646C30">
      <w:permStart w:id="1908500529" w:edGrp="everyone"/>
      <w:r>
        <w:t>We agree</w:t>
      </w:r>
      <w:r w:rsidR="004335C8">
        <w:t>.</w:t>
      </w:r>
      <w:permEnd w:id="1908500529"/>
    </w:p>
    <w:p w14:paraId="3C3E0B04" w14:textId="77777777" w:rsidR="00646C30" w:rsidRDefault="00646C30" w:rsidP="00646C30">
      <w:r>
        <w:t>&lt;ESMA_QUESTION_CP_MAR_</w:t>
      </w:r>
      <w:r w:rsidR="00B6351C">
        <w:t>44</w:t>
      </w:r>
      <w:r>
        <w:t>&gt;</w:t>
      </w:r>
    </w:p>
    <w:p w14:paraId="3C3E0B05" w14:textId="77777777" w:rsidR="00646C30" w:rsidRDefault="00646C30" w:rsidP="002E1760"/>
    <w:p w14:paraId="3C3E0B06" w14:textId="77777777" w:rsidR="00646C30" w:rsidRDefault="00074979" w:rsidP="00646C30">
      <w:pPr>
        <w:pStyle w:val="CPQuestions"/>
      </w:pPr>
      <w:r w:rsidRPr="00074979">
        <w:t>Do you have any other suggestion on the insider lists that would support more e</w:t>
      </w:r>
      <w:r w:rsidRPr="00074979">
        <w:t>f</w:t>
      </w:r>
      <w:r w:rsidRPr="00074979">
        <w:t>ficiently their objectives while reducing the administrative work they entail? If yes, please elaborate how those changes could contribute to that purpose</w:t>
      </w:r>
      <w:r w:rsidR="00646C30">
        <w:t>.</w:t>
      </w:r>
    </w:p>
    <w:p w14:paraId="3C3E0B07" w14:textId="77777777" w:rsidR="00646C30" w:rsidRDefault="00646C30" w:rsidP="00646C30">
      <w:r>
        <w:t>&lt;ESMA_QUESTION_CP_MAR_</w:t>
      </w:r>
      <w:r w:rsidR="00B6351C">
        <w:t>45</w:t>
      </w:r>
      <w:r>
        <w:t>&gt;</w:t>
      </w:r>
    </w:p>
    <w:p w14:paraId="3C3E0B08" w14:textId="05CB9BCB" w:rsidR="00646C30" w:rsidRDefault="004335C8" w:rsidP="00646C30">
      <w:permStart w:id="673864140" w:edGrp="everyone"/>
      <w:r w:rsidRPr="004335C8">
        <w:rPr>
          <w:lang w:val="en-US"/>
        </w:rPr>
        <w:t>In our opinion, the administrative</w:t>
      </w:r>
      <w:r>
        <w:rPr>
          <w:lang w:val="en-US"/>
        </w:rPr>
        <w:t xml:space="preserve"> burden could be </w:t>
      </w:r>
      <w:r w:rsidR="005C7488">
        <w:rPr>
          <w:lang w:val="en-US"/>
        </w:rPr>
        <w:t>reduced</w:t>
      </w:r>
      <w:r>
        <w:rPr>
          <w:lang w:val="en-US"/>
        </w:rPr>
        <w:t xml:space="preserve"> by </w:t>
      </w:r>
      <w:r w:rsidR="005C7488">
        <w:rPr>
          <w:lang w:val="en-US"/>
        </w:rPr>
        <w:t>requiring less</w:t>
      </w:r>
      <w:r>
        <w:rPr>
          <w:lang w:val="en-US"/>
        </w:rPr>
        <w:t xml:space="preserve"> personal details to be inclu</w:t>
      </w:r>
      <w:r>
        <w:rPr>
          <w:lang w:val="en-US"/>
        </w:rPr>
        <w:t>d</w:t>
      </w:r>
      <w:r>
        <w:rPr>
          <w:lang w:val="en-US"/>
        </w:rPr>
        <w:t>ed in an insider list.</w:t>
      </w:r>
      <w:permEnd w:id="673864140"/>
    </w:p>
    <w:p w14:paraId="3C3E0B09" w14:textId="77777777" w:rsidR="00646C30" w:rsidRDefault="00646C30" w:rsidP="00646C30">
      <w:r>
        <w:t>&lt;ESMA_QUESTION_CP_MAR_</w:t>
      </w:r>
      <w:r w:rsidR="00B6351C">
        <w:t>45</w:t>
      </w:r>
      <w:r>
        <w:t>&gt;</w:t>
      </w:r>
    </w:p>
    <w:p w14:paraId="3C3E0B0A" w14:textId="77777777" w:rsidR="00646C30" w:rsidRDefault="00646C30" w:rsidP="002E1760"/>
    <w:p w14:paraId="3C3E0B0B" w14:textId="77777777" w:rsidR="00646C30" w:rsidRDefault="00074979" w:rsidP="00646C30">
      <w:pPr>
        <w:pStyle w:val="CPQuestions"/>
      </w:pPr>
      <w:r w:rsidRPr="00074979">
        <w:t>Does the minimum reporting threshold have to be increased from Euro 5,000? If so, what threshold would ensure an appropriate balance between transparency to the market, preventing market abuse and the reporting burden on issuers, PDMRs, and closely associated persons</w:t>
      </w:r>
      <w:r>
        <w:t>?</w:t>
      </w:r>
    </w:p>
    <w:p w14:paraId="3C3E0B0C" w14:textId="77777777" w:rsidR="00646C30" w:rsidRDefault="00646C30" w:rsidP="00646C30">
      <w:r>
        <w:t>&lt;ESMA_QUESTION_CP_MAR_</w:t>
      </w:r>
      <w:r w:rsidR="00B6351C">
        <w:t>46</w:t>
      </w:r>
      <w:r>
        <w:t>&gt;</w:t>
      </w:r>
    </w:p>
    <w:p w14:paraId="3C3E0B0D" w14:textId="17442E10" w:rsidR="00646C30" w:rsidRDefault="00D57B1F" w:rsidP="00646C30">
      <w:permStart w:id="274992488" w:edGrp="everyone"/>
      <w:r>
        <w:t>We believe the threshold could be raised to Euro 20,000.</w:t>
      </w:r>
      <w:permEnd w:id="274992488"/>
    </w:p>
    <w:p w14:paraId="3C3E0B0E" w14:textId="77777777" w:rsidR="00646C30" w:rsidRDefault="00646C30" w:rsidP="00646C30">
      <w:r>
        <w:t>&lt;ESMA_QUESTION_CP_MAR_</w:t>
      </w:r>
      <w:r w:rsidR="00B6351C">
        <w:t>46</w:t>
      </w:r>
      <w:r>
        <w:t>&gt;</w:t>
      </w:r>
    </w:p>
    <w:p w14:paraId="3C3E0B0F" w14:textId="77777777" w:rsidR="00646C30" w:rsidRDefault="00646C30" w:rsidP="002E1760"/>
    <w:p w14:paraId="3C3E0B10" w14:textId="77777777" w:rsidR="00646C30" w:rsidRDefault="00074979" w:rsidP="00646C30">
      <w:pPr>
        <w:pStyle w:val="CPQuestions"/>
      </w:pPr>
      <w:r w:rsidRPr="00074979">
        <w:t>Should NCAs still have the option to keep a higher threshold? In that case, should the optional threshold be higher than Euro 20,000? If so, please describe the crit</w:t>
      </w:r>
      <w:r w:rsidRPr="00074979">
        <w:t>e</w:t>
      </w:r>
      <w:r w:rsidRPr="00074979">
        <w:t>ria to be used to set the higher optional threshold (by way of example, the liquidity of the financial instrument, or the average compensation received by the mana</w:t>
      </w:r>
      <w:r w:rsidRPr="00074979">
        <w:t>g</w:t>
      </w:r>
      <w:r w:rsidRPr="00074979">
        <w:t>ers).</w:t>
      </w:r>
    </w:p>
    <w:p w14:paraId="3C3E0B11" w14:textId="77777777" w:rsidR="00646C30" w:rsidRDefault="00646C30" w:rsidP="00646C30">
      <w:r>
        <w:t>&lt;ESMA_QUESTION_CP_MAR_</w:t>
      </w:r>
      <w:r w:rsidR="00DD7418">
        <w:t>47</w:t>
      </w:r>
      <w:r>
        <w:t>&gt;</w:t>
      </w:r>
    </w:p>
    <w:p w14:paraId="3C3E0B12" w14:textId="5EE48903" w:rsidR="00646C30" w:rsidRDefault="000E44AC" w:rsidP="00646C30">
      <w:permStart w:id="1265633318" w:edGrp="everyone"/>
      <w:r w:rsidRPr="000E44AC">
        <w:t>Especially in order to facilitate for more cross-border transactions in Europe, a more harmonised frame-work is useful. Market participants should face</w:t>
      </w:r>
      <w:r w:rsidR="00FC75E4">
        <w:t xml:space="preserve"> as few differences as possible</w:t>
      </w:r>
      <w:r w:rsidRPr="000E44AC">
        <w:t xml:space="preserve"> as such differences function as barriers to cross-border financing activities.</w:t>
      </w:r>
      <w:r w:rsidR="00FC75E4">
        <w:t xml:space="preserve"> Therefore, we believe that the threshold should be the same in all Member States. </w:t>
      </w:r>
      <w:permEnd w:id="1265633318"/>
    </w:p>
    <w:p w14:paraId="3C3E0B13" w14:textId="77777777" w:rsidR="00646C30" w:rsidRDefault="00646C30" w:rsidP="00646C30">
      <w:r>
        <w:t>&lt;ESMA_QUESTION_CP_MAR_</w:t>
      </w:r>
      <w:r w:rsidR="00DD7418">
        <w:t>47</w:t>
      </w:r>
      <w:r>
        <w:t>&gt;</w:t>
      </w:r>
    </w:p>
    <w:p w14:paraId="3C3E0B14" w14:textId="77777777" w:rsidR="00646C30" w:rsidRDefault="00646C30" w:rsidP="002E1760"/>
    <w:p w14:paraId="3C3E0B15" w14:textId="77777777" w:rsidR="00646C30" w:rsidRDefault="00074979" w:rsidP="00646C30">
      <w:pPr>
        <w:pStyle w:val="CPQuestions"/>
      </w:pPr>
      <w:r w:rsidRPr="00074979">
        <w:t>Did you identify alternative criteria on which the reporting threshold could be based? Please explain why</w:t>
      </w:r>
      <w:r w:rsidR="00646C30">
        <w:t>.</w:t>
      </w:r>
    </w:p>
    <w:p w14:paraId="3C3E0B16" w14:textId="77777777" w:rsidR="00646C30" w:rsidRDefault="00646C30" w:rsidP="00646C30">
      <w:r>
        <w:t>&lt;ESMA_QUESTION_CP_MAR_</w:t>
      </w:r>
      <w:r w:rsidR="00DD7418">
        <w:t>48</w:t>
      </w:r>
      <w:r>
        <w:t>&gt;</w:t>
      </w:r>
    </w:p>
    <w:p w14:paraId="3C3E0B17" w14:textId="77777777" w:rsidR="00646C30" w:rsidRDefault="00646C30" w:rsidP="00646C30">
      <w:permStart w:id="234174884" w:edGrp="everyone"/>
      <w:r>
        <w:t>TYPE YOUR TEXT HERE</w:t>
      </w:r>
      <w:permEnd w:id="234174884"/>
    </w:p>
    <w:p w14:paraId="3C3E0B18" w14:textId="77777777" w:rsidR="00646C30" w:rsidRDefault="00646C30" w:rsidP="00646C30">
      <w:r>
        <w:t>&lt;ESMA_QUESTION_CP_MAR_</w:t>
      </w:r>
      <w:r w:rsidR="00DD7418">
        <w:t>48</w:t>
      </w:r>
      <w:r>
        <w:t>&gt;</w:t>
      </w:r>
    </w:p>
    <w:p w14:paraId="3C3E0B19" w14:textId="77777777" w:rsidR="00646C30" w:rsidRDefault="00646C30" w:rsidP="002E1760"/>
    <w:p w14:paraId="3C3E0B1A" w14:textId="77777777" w:rsidR="00646C30" w:rsidRDefault="00074979" w:rsidP="00646C30">
      <w:pPr>
        <w:pStyle w:val="CPQuestions"/>
      </w:pPr>
      <w:r w:rsidRPr="00074979">
        <w:t>On the application of this provision for EAMPs: have issues or difficulties been experienced</w:t>
      </w:r>
      <w:r>
        <w:t>?</w:t>
      </w:r>
    </w:p>
    <w:p w14:paraId="3C3E0B1B" w14:textId="77777777" w:rsidR="00646C30" w:rsidRDefault="00646C30" w:rsidP="00646C30">
      <w:r>
        <w:t>&lt;ESMA_QUESTION_CP_MAR_</w:t>
      </w:r>
      <w:r w:rsidR="00DD7418">
        <w:t>49</w:t>
      </w:r>
      <w:r>
        <w:t>&gt;</w:t>
      </w:r>
    </w:p>
    <w:p w14:paraId="3C3E0B1C" w14:textId="77777777" w:rsidR="00646C30" w:rsidRDefault="00646C30" w:rsidP="00646C30">
      <w:permStart w:id="1966610289" w:edGrp="everyone"/>
      <w:r>
        <w:t>TYPE YOUR TEXT HERE</w:t>
      </w:r>
      <w:permEnd w:id="1966610289"/>
    </w:p>
    <w:p w14:paraId="3C3E0B1D" w14:textId="77777777" w:rsidR="00646C30" w:rsidRDefault="00646C30" w:rsidP="00646C30">
      <w:r>
        <w:t>&lt;ESMA_QUESTION_CP_MAR_</w:t>
      </w:r>
      <w:r w:rsidR="00DD7418">
        <w:t>49</w:t>
      </w:r>
      <w:r>
        <w:t>&gt;</w:t>
      </w:r>
    </w:p>
    <w:p w14:paraId="3C3E0B1E" w14:textId="77777777" w:rsidR="00646C30" w:rsidRDefault="00646C30" w:rsidP="002E1760"/>
    <w:p w14:paraId="3C3E0B1F" w14:textId="77777777" w:rsidR="00646C30" w:rsidRDefault="00074979" w:rsidP="00646C30">
      <w:pPr>
        <w:pStyle w:val="CPQuestions"/>
      </w:pPr>
      <w:r w:rsidRPr="00074979">
        <w:t>Did you identify alternative criteria on which the subsequent notifications could be based? Please explain why</w:t>
      </w:r>
      <w:r w:rsidR="00646C30">
        <w:t>.</w:t>
      </w:r>
    </w:p>
    <w:p w14:paraId="3C3E0B20" w14:textId="77777777" w:rsidR="00646C30" w:rsidRDefault="00646C30" w:rsidP="00646C30">
      <w:r>
        <w:t>&lt;ESMA_QUESTION_CP_MAR_</w:t>
      </w:r>
      <w:r w:rsidR="00DD7418">
        <w:t>50</w:t>
      </w:r>
      <w:r>
        <w:t>&gt;</w:t>
      </w:r>
    </w:p>
    <w:p w14:paraId="3C3E0B21" w14:textId="77777777" w:rsidR="00646C30" w:rsidRDefault="00646C30" w:rsidP="00646C30">
      <w:permStart w:id="619659001" w:edGrp="everyone"/>
      <w:r>
        <w:t>TYPE YOUR TEXT HERE</w:t>
      </w:r>
      <w:permEnd w:id="619659001"/>
    </w:p>
    <w:p w14:paraId="3C3E0B22" w14:textId="77777777" w:rsidR="00646C30" w:rsidRDefault="00646C30" w:rsidP="00646C30">
      <w:r>
        <w:t>&lt;ESMA_QUESTION_CP_MAR_</w:t>
      </w:r>
      <w:r w:rsidR="00DD7418">
        <w:t>50</w:t>
      </w:r>
      <w:r>
        <w:t>&gt;</w:t>
      </w:r>
    </w:p>
    <w:p w14:paraId="3C3E0B23" w14:textId="77777777" w:rsidR="00646C30" w:rsidRDefault="00646C30" w:rsidP="002E1760"/>
    <w:p w14:paraId="3C3E0B24" w14:textId="77777777" w:rsidR="00646C30" w:rsidRDefault="0042739E" w:rsidP="00646C30">
      <w:pPr>
        <w:pStyle w:val="CPQuestions"/>
      </w:pPr>
      <w:r w:rsidRPr="0042739E">
        <w:t>Do you consider that the 20% threshold included in Article 19(1a)(a) and (b) is a</w:t>
      </w:r>
      <w:r w:rsidRPr="0042739E">
        <w:t>p</w:t>
      </w:r>
      <w:r w:rsidRPr="0042739E">
        <w:t>propriate? If not, please explain the reason why and provide examples in which the 20% threshold is not effective</w:t>
      </w:r>
      <w:r w:rsidR="00646C30">
        <w:t>.</w:t>
      </w:r>
    </w:p>
    <w:p w14:paraId="3C3E0B25" w14:textId="77777777" w:rsidR="00646C30" w:rsidRDefault="00646C30" w:rsidP="00646C30">
      <w:r>
        <w:t>&lt;ESMA_QUESTION_CP_MAR_</w:t>
      </w:r>
      <w:r w:rsidR="00DD7418">
        <w:t>51</w:t>
      </w:r>
      <w:r>
        <w:t>&gt;</w:t>
      </w:r>
    </w:p>
    <w:p w14:paraId="3C3E0B26" w14:textId="77777777" w:rsidR="00646C30" w:rsidRDefault="00646C30" w:rsidP="00646C30">
      <w:permStart w:id="1580208711" w:edGrp="everyone"/>
      <w:r>
        <w:t>TYPE YOUR TEXT HERE</w:t>
      </w:r>
      <w:permEnd w:id="1580208711"/>
    </w:p>
    <w:p w14:paraId="3C3E0B27" w14:textId="77777777" w:rsidR="00646C30" w:rsidRDefault="00646C30" w:rsidP="00646C30">
      <w:r>
        <w:t>&lt;ESMA_QUESTION_CP_MAR_</w:t>
      </w:r>
      <w:r w:rsidR="00DD7418">
        <w:t>51</w:t>
      </w:r>
      <w:r>
        <w:t>&gt;</w:t>
      </w:r>
    </w:p>
    <w:p w14:paraId="3C3E0B28" w14:textId="77777777" w:rsidR="00646C30" w:rsidRDefault="00646C30" w:rsidP="002E1760"/>
    <w:p w14:paraId="3C3E0B29" w14:textId="77777777" w:rsidR="00646C30" w:rsidRDefault="0042739E" w:rsidP="00646C30">
      <w:pPr>
        <w:pStyle w:val="CPQuestions"/>
      </w:pPr>
      <w:r w:rsidRPr="0042739E">
        <w:t>Have you identified any possible alternative system to set the threshold in relation to managers' transactions where the issuer's shares or debt instruments form part of a collective investment undertaking or provide exposure to a portfolio of a</w:t>
      </w:r>
      <w:r w:rsidRPr="0042739E">
        <w:t>s</w:t>
      </w:r>
      <w:r w:rsidRPr="0042739E">
        <w:t>sets</w:t>
      </w:r>
      <w:r>
        <w:t>?</w:t>
      </w:r>
    </w:p>
    <w:p w14:paraId="3C3E0B2A" w14:textId="77777777" w:rsidR="00646C30" w:rsidRDefault="00646C30" w:rsidP="00646C30">
      <w:r>
        <w:t>&lt;ESMA_QUESTION_CP_MAR_</w:t>
      </w:r>
      <w:r w:rsidR="00DD7418">
        <w:t>5</w:t>
      </w:r>
      <w:r>
        <w:t>2&gt;</w:t>
      </w:r>
    </w:p>
    <w:p w14:paraId="3C3E0B2B" w14:textId="77777777" w:rsidR="00646C30" w:rsidRDefault="00646C30" w:rsidP="00646C30">
      <w:permStart w:id="1138307169" w:edGrp="everyone"/>
      <w:r>
        <w:t>TYPE YOUR TEXT HERE</w:t>
      </w:r>
      <w:permEnd w:id="1138307169"/>
    </w:p>
    <w:p w14:paraId="3C3E0B2C" w14:textId="77777777" w:rsidR="00646C30" w:rsidRDefault="00646C30" w:rsidP="00646C30">
      <w:r>
        <w:t>&lt;ESMA_QUESTION_CP_MAR_</w:t>
      </w:r>
      <w:r w:rsidR="00DD7418">
        <w:t>5</w:t>
      </w:r>
      <w:r>
        <w:t>2&gt;</w:t>
      </w:r>
    </w:p>
    <w:p w14:paraId="3C3E0B2D" w14:textId="77777777" w:rsidR="00646C30" w:rsidRDefault="00646C30" w:rsidP="002E1760"/>
    <w:p w14:paraId="3C3E0B2E" w14:textId="77777777" w:rsidR="00646C30" w:rsidRDefault="0042739E" w:rsidP="00646C30">
      <w:pPr>
        <w:pStyle w:val="CPQuestions"/>
      </w:pPr>
      <w:r w:rsidRPr="0042739E">
        <w:t>Did you identify elements of Article 19(11) of MAR which in your view could be amended? If yes, why? Have you identified alternatives to the closed period</w:t>
      </w:r>
      <w:r>
        <w:t>?</w:t>
      </w:r>
    </w:p>
    <w:p w14:paraId="3C3E0B2F" w14:textId="77777777" w:rsidR="00646C30" w:rsidRDefault="00646C30" w:rsidP="00646C30">
      <w:r>
        <w:t>&lt;ESMA_QUESTION_CP_MAR_</w:t>
      </w:r>
      <w:r w:rsidR="00DD7418">
        <w:t>53</w:t>
      </w:r>
      <w:r>
        <w:t>&gt;</w:t>
      </w:r>
    </w:p>
    <w:p w14:paraId="3C3E0B30" w14:textId="77777777" w:rsidR="00646C30" w:rsidRDefault="00646C30" w:rsidP="00646C30">
      <w:permStart w:id="439554279" w:edGrp="everyone"/>
      <w:r>
        <w:t>TYPE YOUR TEXT HERE</w:t>
      </w:r>
      <w:permEnd w:id="439554279"/>
    </w:p>
    <w:p w14:paraId="3C3E0B31" w14:textId="77777777" w:rsidR="00646C30" w:rsidRDefault="00646C30" w:rsidP="00646C30">
      <w:r>
        <w:t>&lt;ESMA_QUESTION_CP_MAR_</w:t>
      </w:r>
      <w:r w:rsidR="00DD7418">
        <w:t>53</w:t>
      </w:r>
      <w:r>
        <w:t>&gt;</w:t>
      </w:r>
    </w:p>
    <w:p w14:paraId="3C3E0B32" w14:textId="77777777" w:rsidR="00646C30" w:rsidRDefault="00646C30"/>
    <w:p w14:paraId="3C3E0B33" w14:textId="77777777" w:rsidR="00646C30" w:rsidRDefault="0042739E" w:rsidP="00646C30">
      <w:pPr>
        <w:pStyle w:val="CPQuestions"/>
      </w:pPr>
      <w:r w:rsidRPr="0042739E">
        <w:t>Market participants are requested to indicate if the current framework to identify the closed period is working well or if clarifications are sought</w:t>
      </w:r>
      <w:r w:rsidR="00646C30">
        <w:t>.</w:t>
      </w:r>
    </w:p>
    <w:p w14:paraId="3C3E0B34" w14:textId="77777777" w:rsidR="00646C30" w:rsidRDefault="00646C30" w:rsidP="00646C30">
      <w:r>
        <w:t>&lt;ESMA_QUESTION_CP_MAR_</w:t>
      </w:r>
      <w:r w:rsidR="00DD7418">
        <w:t>54</w:t>
      </w:r>
      <w:r>
        <w:t>&gt;</w:t>
      </w:r>
    </w:p>
    <w:p w14:paraId="3C3E0B35" w14:textId="77777777" w:rsidR="00646C30" w:rsidRDefault="00646C30" w:rsidP="00646C30">
      <w:permStart w:id="306464996" w:edGrp="everyone"/>
      <w:r>
        <w:t>TYPE YOUR TEXT HERE</w:t>
      </w:r>
      <w:permEnd w:id="306464996"/>
    </w:p>
    <w:p w14:paraId="3C3E0B36" w14:textId="77777777" w:rsidR="00646C30" w:rsidRDefault="00646C30" w:rsidP="00646C30">
      <w:r>
        <w:t>&lt;ESMA_QUESTION_CP_MAR_</w:t>
      </w:r>
      <w:r w:rsidR="00DD7418">
        <w:t>54</w:t>
      </w:r>
      <w:r>
        <w:t>&gt;</w:t>
      </w:r>
    </w:p>
    <w:p w14:paraId="3C3E0B37" w14:textId="77777777" w:rsidR="00646C30" w:rsidRDefault="00646C30"/>
    <w:p w14:paraId="3C3E0B38" w14:textId="77777777" w:rsidR="00646C30" w:rsidRDefault="0042739E" w:rsidP="00646C30">
      <w:pPr>
        <w:pStyle w:val="CPQuestions"/>
      </w:pPr>
      <w:r w:rsidRPr="0042739E">
        <w:t>Please provide your views on extending the requirement of Article 19(11) to (i) i</w:t>
      </w:r>
      <w:r w:rsidRPr="0042739E">
        <w:t>s</w:t>
      </w:r>
      <w:r w:rsidRPr="0042739E">
        <w:t>suers, and to (ii) persons closely associated with PDMRs. Please indicate which would be the impact on issuers and persona closely associated with PDMRs, i</w:t>
      </w:r>
      <w:r w:rsidRPr="0042739E">
        <w:t>n</w:t>
      </w:r>
      <w:r w:rsidRPr="0042739E">
        <w:t>cluding any benefits and downsides</w:t>
      </w:r>
      <w:r w:rsidR="00646C30">
        <w:t>.</w:t>
      </w:r>
    </w:p>
    <w:p w14:paraId="3C3E0B39" w14:textId="77777777" w:rsidR="00646C30" w:rsidRDefault="00646C30" w:rsidP="00646C30">
      <w:r>
        <w:t>&lt;ESMA_QUESTION_CP_MAR_</w:t>
      </w:r>
      <w:r w:rsidR="00DD7418">
        <w:t>55</w:t>
      </w:r>
      <w:r>
        <w:t>&gt;</w:t>
      </w:r>
    </w:p>
    <w:p w14:paraId="72B9E807" w14:textId="0B8D611A" w:rsidR="00D34508" w:rsidRDefault="00BC5347" w:rsidP="00646C30">
      <w:permStart w:id="680881453" w:edGrp="everyone"/>
      <w:r w:rsidRPr="00BC5347">
        <w:t>It should be carefully considered to extent the scope to issuers in order not to prevent issuers from pe</w:t>
      </w:r>
      <w:r w:rsidRPr="00BC5347">
        <w:t>r</w:t>
      </w:r>
      <w:r w:rsidRPr="00BC5347">
        <w:t>forming “ordinary” activities, i.e. buy-back p</w:t>
      </w:r>
      <w:r w:rsidR="00EA1692">
        <w:t>rograms during a closed period.</w:t>
      </w:r>
    </w:p>
    <w:p w14:paraId="49D2C729" w14:textId="77777777" w:rsidR="00EA1692" w:rsidRDefault="00EA1692" w:rsidP="00646C30"/>
    <w:p w14:paraId="3C3E0B3A" w14:textId="656F49CC" w:rsidR="00646C30" w:rsidRDefault="00A1048F" w:rsidP="00646C30">
      <w:r>
        <w:t>We do not believe closely related associates should be included since these</w:t>
      </w:r>
      <w:r w:rsidR="00597D45">
        <w:t xml:space="preserve"> persons </w:t>
      </w:r>
      <w:r w:rsidR="008765BE">
        <w:t>cannot in the way as PDMR’s be assumed to have access to inside information</w:t>
      </w:r>
      <w:r>
        <w:t>.</w:t>
      </w:r>
      <w:permEnd w:id="680881453"/>
    </w:p>
    <w:p w14:paraId="3C3E0B3B" w14:textId="77777777" w:rsidR="00646C30" w:rsidRDefault="00646C30" w:rsidP="00646C30">
      <w:r>
        <w:t>&lt;ESMA_QUESTION_CP_MAR_</w:t>
      </w:r>
      <w:r w:rsidR="00DD7418">
        <w:t>55</w:t>
      </w:r>
      <w:r>
        <w:t>&gt;</w:t>
      </w:r>
    </w:p>
    <w:p w14:paraId="3C3E0B3C" w14:textId="77777777" w:rsidR="00646C30" w:rsidRDefault="00646C30"/>
    <w:p w14:paraId="3C3E0B3D" w14:textId="77777777" w:rsidR="00646C30" w:rsidRDefault="0042739E" w:rsidP="00646C30">
      <w:pPr>
        <w:pStyle w:val="CPQuestions"/>
      </w:pPr>
      <w:r w:rsidRPr="0042739E">
        <w:t>Please provide your views on the extension of the immediate sale provided by A</w:t>
      </w:r>
      <w:r w:rsidRPr="0042739E">
        <w:t>r</w:t>
      </w:r>
      <w:r w:rsidRPr="0042739E">
        <w:t>ticle 19(12)(a) to financial instruments other than shares. Please explain which f</w:t>
      </w:r>
      <w:r w:rsidRPr="0042739E">
        <w:t>i</w:t>
      </w:r>
      <w:r w:rsidRPr="0042739E">
        <w:t>nancial instruments should be included and why</w:t>
      </w:r>
      <w:r w:rsidR="00646C30">
        <w:t>.</w:t>
      </w:r>
    </w:p>
    <w:p w14:paraId="3C3E0B3E" w14:textId="77777777" w:rsidR="00646C30" w:rsidRDefault="00646C30" w:rsidP="00646C30">
      <w:r>
        <w:t>&lt;ESMA_QUESTION_CP_MAR_</w:t>
      </w:r>
      <w:r w:rsidR="00DD7418">
        <w:t>56</w:t>
      </w:r>
      <w:r>
        <w:t>&gt;</w:t>
      </w:r>
    </w:p>
    <w:p w14:paraId="3C3E0B3F" w14:textId="25A98ABB" w:rsidR="00646C30" w:rsidRDefault="00A1048F" w:rsidP="00646C30">
      <w:permStart w:id="1771316849" w:edGrp="everyone"/>
      <w:r>
        <w:rPr>
          <w:lang w:val="en-US"/>
        </w:rPr>
        <w:t>Since these exe</w:t>
      </w:r>
      <w:r w:rsidRPr="00A1048F">
        <w:rPr>
          <w:lang w:val="en-US"/>
        </w:rPr>
        <w:t xml:space="preserve">mptions </w:t>
      </w:r>
      <w:r w:rsidR="00597D45">
        <w:rPr>
          <w:lang w:val="en-US"/>
        </w:rPr>
        <w:t xml:space="preserve">are </w:t>
      </w:r>
      <w:r>
        <w:rPr>
          <w:lang w:val="en-US"/>
        </w:rPr>
        <w:t xml:space="preserve">made </w:t>
      </w:r>
      <w:r w:rsidR="00C04FDE">
        <w:rPr>
          <w:lang w:val="en-US"/>
        </w:rPr>
        <w:t>upon</w:t>
      </w:r>
      <w:r>
        <w:rPr>
          <w:lang w:val="en-US"/>
        </w:rPr>
        <w:t xml:space="preserve"> </w:t>
      </w:r>
      <w:r w:rsidRPr="00A1048F">
        <w:rPr>
          <w:lang w:val="en-US"/>
        </w:rPr>
        <w:t>a case-by-case assessment</w:t>
      </w:r>
      <w:r>
        <w:rPr>
          <w:lang w:val="en-US"/>
        </w:rPr>
        <w:t xml:space="preserve"> under exceptional circumstances and insider trading is always forbidden, we see no reason as to why other instruments could not be i</w:t>
      </w:r>
      <w:r>
        <w:rPr>
          <w:lang w:val="en-US"/>
        </w:rPr>
        <w:t>n</w:t>
      </w:r>
      <w:r>
        <w:rPr>
          <w:lang w:val="en-US"/>
        </w:rPr>
        <w:t>cluded.</w:t>
      </w:r>
      <w:permEnd w:id="1771316849"/>
    </w:p>
    <w:p w14:paraId="3C3E0B40" w14:textId="77777777" w:rsidR="00646C30" w:rsidRDefault="00646C30" w:rsidP="00646C30">
      <w:r>
        <w:t>&lt;ESMA_QUESTION_CP_MAR_</w:t>
      </w:r>
      <w:r w:rsidR="00DD7418">
        <w:t>56</w:t>
      </w:r>
      <w:r>
        <w:t>&gt;</w:t>
      </w:r>
    </w:p>
    <w:p w14:paraId="3C3E0B41" w14:textId="77777777" w:rsidR="00646C30" w:rsidRDefault="00646C30" w:rsidP="002E1760"/>
    <w:p w14:paraId="3C3E0B42" w14:textId="77777777" w:rsidR="00646C30" w:rsidRDefault="0042739E" w:rsidP="00646C30">
      <w:pPr>
        <w:pStyle w:val="CPQuestions"/>
      </w:pPr>
      <w:r w:rsidRPr="0042739E">
        <w:t>Please provide your views on whether, in addition to the criteria in Article 19(12) (a) and (b), other criteria resulting in further cases of exemption from the closed period obligation could be considered</w:t>
      </w:r>
      <w:r w:rsidR="00646C30">
        <w:t>.</w:t>
      </w:r>
    </w:p>
    <w:p w14:paraId="3C3E0B43" w14:textId="77777777" w:rsidR="00646C30" w:rsidRDefault="00646C30" w:rsidP="00646C30">
      <w:r>
        <w:t>&lt;ESMA_QUESTION_CP_MAR_</w:t>
      </w:r>
      <w:r w:rsidR="00DD7418">
        <w:t>57</w:t>
      </w:r>
      <w:r>
        <w:t>&gt;</w:t>
      </w:r>
    </w:p>
    <w:p w14:paraId="3C3E0B44" w14:textId="77777777" w:rsidR="00646C30" w:rsidRDefault="00646C30" w:rsidP="00646C30">
      <w:permStart w:id="1172058443" w:edGrp="everyone"/>
      <w:r>
        <w:t>TYPE YOUR TEXT HERE</w:t>
      </w:r>
      <w:permEnd w:id="1172058443"/>
    </w:p>
    <w:p w14:paraId="3C3E0B45" w14:textId="77777777" w:rsidR="00646C30" w:rsidRDefault="00646C30" w:rsidP="00646C30">
      <w:r>
        <w:t>&lt;ESMA_QUESTION_CP_MAR_</w:t>
      </w:r>
      <w:r w:rsidR="00DD7418">
        <w:t>57</w:t>
      </w:r>
      <w:r>
        <w:t>&gt;</w:t>
      </w:r>
    </w:p>
    <w:p w14:paraId="3C3E0B46" w14:textId="77777777" w:rsidR="00646C30" w:rsidRDefault="00646C30"/>
    <w:p w14:paraId="3C3E0B47" w14:textId="77777777" w:rsidR="00646C30" w:rsidRDefault="0042739E" w:rsidP="00646C30">
      <w:pPr>
        <w:pStyle w:val="CPQuestions"/>
      </w:pPr>
      <w:r w:rsidRPr="0042739E">
        <w:t>Do you consider that CIUs admitted to trading or trading on a trading venue should be differentiated with respect to other issuers? Please elaborate your response specifically with respect to PDMR obligations, disclosure of inside information and insider lists. In this regard, please consider whether you could identify any artic</w:t>
      </w:r>
      <w:r w:rsidRPr="0042739E">
        <w:t>u</w:t>
      </w:r>
      <w:r w:rsidRPr="0042739E">
        <w:t>lation or consistency issues between MAR and the EU or national regulations for the different types of CIUs, with regards for example to transparency requirements under MAR vis-à-vis market timing or front running issues</w:t>
      </w:r>
      <w:r w:rsidR="00646C30">
        <w:t>.</w:t>
      </w:r>
    </w:p>
    <w:p w14:paraId="3C3E0B48" w14:textId="77777777" w:rsidR="00646C30" w:rsidRDefault="00646C30" w:rsidP="00646C30">
      <w:r>
        <w:t>&lt;ESMA_QUESTION_CP_MAR_</w:t>
      </w:r>
      <w:r w:rsidR="00DD7418">
        <w:t>58</w:t>
      </w:r>
      <w:r>
        <w:t>&gt;</w:t>
      </w:r>
    </w:p>
    <w:p w14:paraId="3C3E0B49" w14:textId="77777777" w:rsidR="00646C30" w:rsidRDefault="00646C30" w:rsidP="00646C30">
      <w:permStart w:id="1585398486" w:edGrp="everyone"/>
      <w:r>
        <w:t>TYPE YOUR TEXT HERE</w:t>
      </w:r>
      <w:permEnd w:id="1585398486"/>
    </w:p>
    <w:p w14:paraId="3C3E0B4A" w14:textId="77777777" w:rsidR="00646C30" w:rsidRDefault="00646C30" w:rsidP="00646C30">
      <w:r>
        <w:t>&lt;ESMA_QUESTION_CP_MAR_</w:t>
      </w:r>
      <w:r w:rsidR="00DD7418">
        <w:t>58</w:t>
      </w:r>
      <w:r>
        <w:t>&gt;</w:t>
      </w:r>
    </w:p>
    <w:p w14:paraId="3C3E0B4B" w14:textId="77777777" w:rsidR="00646C30" w:rsidRDefault="00646C30"/>
    <w:p w14:paraId="3C3E0B4C" w14:textId="77777777" w:rsidR="00646C30" w:rsidRDefault="0042739E" w:rsidP="00646C30">
      <w:pPr>
        <w:pStyle w:val="CPQuestions"/>
      </w:pPr>
      <w:r w:rsidRPr="0042739E">
        <w:t>Do you agree with ESMA’s preliminary view? Please indicate which transactions should be captured by PDMR obligations in the case of management companies of CIUs</w:t>
      </w:r>
      <w:r w:rsidR="00646C30">
        <w:t>.</w:t>
      </w:r>
    </w:p>
    <w:p w14:paraId="3C3E0B4D" w14:textId="77777777" w:rsidR="00646C30" w:rsidRDefault="00646C30" w:rsidP="00646C30">
      <w:r>
        <w:t>&lt;ESMA_QUESTION_CP_MAR_</w:t>
      </w:r>
      <w:r w:rsidR="00FA5524">
        <w:t>59</w:t>
      </w:r>
      <w:r>
        <w:t>&gt;</w:t>
      </w:r>
    </w:p>
    <w:p w14:paraId="3C3E0B4E" w14:textId="77777777" w:rsidR="00646C30" w:rsidRDefault="00646C30" w:rsidP="00646C30">
      <w:permStart w:id="1390705103" w:edGrp="everyone"/>
      <w:r>
        <w:t>TYPE YOUR TEXT HERE</w:t>
      </w:r>
      <w:permEnd w:id="1390705103"/>
    </w:p>
    <w:p w14:paraId="3C3E0B4F" w14:textId="77777777" w:rsidR="00646C30" w:rsidRDefault="00646C30" w:rsidP="00646C30">
      <w:r>
        <w:t>&lt;ESMA_QUESTION_CP_MAR_</w:t>
      </w:r>
      <w:r w:rsidR="00FA5524">
        <w:t>59</w:t>
      </w:r>
      <w:r>
        <w:t>&gt;</w:t>
      </w:r>
    </w:p>
    <w:p w14:paraId="3C3E0B50" w14:textId="77777777" w:rsidR="00646C30" w:rsidRDefault="00646C30" w:rsidP="002E1760"/>
    <w:p w14:paraId="3C3E0B51" w14:textId="77777777" w:rsidR="00646C30" w:rsidRDefault="0042739E" w:rsidP="00646C30">
      <w:pPr>
        <w:pStyle w:val="CPQuestions"/>
      </w:pPr>
      <w:r w:rsidRPr="0042739E">
        <w:t>Do you agree with ESMA’s preliminary view? If not, please elaborate</w:t>
      </w:r>
      <w:r w:rsidR="00646C30">
        <w:t>.</w:t>
      </w:r>
    </w:p>
    <w:p w14:paraId="3C3E0B52" w14:textId="77777777" w:rsidR="00646C30" w:rsidRDefault="00646C30" w:rsidP="00646C30">
      <w:r>
        <w:t>&lt;ESMA_QUESTION_CP_MAR_</w:t>
      </w:r>
      <w:r w:rsidR="00FA5524">
        <w:t>60</w:t>
      </w:r>
      <w:r>
        <w:t>&gt;</w:t>
      </w:r>
    </w:p>
    <w:p w14:paraId="3C3E0B53" w14:textId="77777777" w:rsidR="00646C30" w:rsidRDefault="00646C30" w:rsidP="00646C30">
      <w:permStart w:id="1861502119" w:edGrp="everyone"/>
      <w:r>
        <w:t>TYPE YOUR TEXT HERE</w:t>
      </w:r>
      <w:permEnd w:id="1861502119"/>
    </w:p>
    <w:p w14:paraId="3C3E0B54" w14:textId="77777777" w:rsidR="00646C30" w:rsidRDefault="00646C30" w:rsidP="00646C30">
      <w:r>
        <w:t>&lt;ESMA_QUESTION_CP_MAR_</w:t>
      </w:r>
      <w:r w:rsidR="00D53941">
        <w:t>60</w:t>
      </w:r>
      <w:r>
        <w:t>&gt;</w:t>
      </w:r>
    </w:p>
    <w:p w14:paraId="3C3E0B55" w14:textId="77777777" w:rsidR="00646C30" w:rsidRDefault="00646C30"/>
    <w:p w14:paraId="3C3E0B56" w14:textId="77777777" w:rsidR="00646C30" w:rsidRDefault="0042739E" w:rsidP="00646C30">
      <w:pPr>
        <w:pStyle w:val="CPQuestions"/>
      </w:pPr>
      <w:r w:rsidRPr="0042739E">
        <w:t>What persons should PDMR obligations apply to depending on the different stru</w:t>
      </w:r>
      <w:r w:rsidRPr="0042739E">
        <w:t>c</w:t>
      </w:r>
      <w:r w:rsidRPr="0042739E">
        <w:t>tures of CIUs and why? In particular, please indicate whether the definition of “re</w:t>
      </w:r>
      <w:r w:rsidRPr="0042739E">
        <w:t>l</w:t>
      </w:r>
      <w:r w:rsidRPr="0042739E">
        <w:t>evant persons” would be adequate for CIUs other than UCITs and AIFs</w:t>
      </w:r>
      <w:r w:rsidR="00646C30">
        <w:t>.</w:t>
      </w:r>
    </w:p>
    <w:p w14:paraId="3C3E0B57" w14:textId="77777777" w:rsidR="00646C30" w:rsidRDefault="00646C30" w:rsidP="00646C30">
      <w:r>
        <w:t>&lt;ESMA_QUESTION_CP_MAR_</w:t>
      </w:r>
      <w:r w:rsidR="00D53941">
        <w:t>61</w:t>
      </w:r>
      <w:r>
        <w:t>&gt;</w:t>
      </w:r>
    </w:p>
    <w:p w14:paraId="3C3E0B58" w14:textId="77777777" w:rsidR="00646C30" w:rsidRDefault="00646C30" w:rsidP="00646C30">
      <w:permStart w:id="518088190" w:edGrp="everyone"/>
      <w:r>
        <w:t>TYPE YOUR TEXT HERE</w:t>
      </w:r>
      <w:permEnd w:id="518088190"/>
    </w:p>
    <w:p w14:paraId="3C3E0B59" w14:textId="77777777" w:rsidR="00646C30" w:rsidRDefault="00646C30" w:rsidP="00646C30">
      <w:r>
        <w:t>&lt;ESMA_QUESTION_CP_MAR_</w:t>
      </w:r>
      <w:r w:rsidR="00D53941">
        <w:t>61</w:t>
      </w:r>
      <w:r>
        <w:t>&gt;</w:t>
      </w:r>
    </w:p>
    <w:p w14:paraId="3C3E0B5A" w14:textId="77777777" w:rsidR="00646C30" w:rsidRDefault="00646C30"/>
    <w:p w14:paraId="3C3E0B5B" w14:textId="77777777" w:rsidR="00646C30" w:rsidRDefault="0042739E" w:rsidP="00646C30">
      <w:pPr>
        <w:pStyle w:val="CPQuestions"/>
      </w:pPr>
      <w:r w:rsidRPr="0042739E">
        <w:t>ESMA would like to gather views from stakeholders on whether other entities than the asset management company (e.g. depository) and other entities on which the CIUs has delegated the execution of certain tasks should be captured by the PDMR regime</w:t>
      </w:r>
      <w:r w:rsidR="00646C30">
        <w:t>.</w:t>
      </w:r>
    </w:p>
    <w:p w14:paraId="3C3E0B5C" w14:textId="77777777" w:rsidR="00646C30" w:rsidRDefault="00646C30" w:rsidP="00646C30">
      <w:r>
        <w:t>&lt;ESMA_QUESTION_CP_MAR_</w:t>
      </w:r>
      <w:r w:rsidR="00D53941">
        <w:t>62</w:t>
      </w:r>
      <w:r>
        <w:t>&gt;</w:t>
      </w:r>
    </w:p>
    <w:p w14:paraId="3C3E0B5D" w14:textId="77777777" w:rsidR="00646C30" w:rsidRDefault="00646C30" w:rsidP="00646C30">
      <w:permStart w:id="1489983752" w:edGrp="everyone"/>
      <w:r>
        <w:t>TYPE YOUR TEXT HERE</w:t>
      </w:r>
      <w:permEnd w:id="1489983752"/>
    </w:p>
    <w:p w14:paraId="3C3E0B5E" w14:textId="77777777" w:rsidR="00646C30" w:rsidRDefault="00646C30" w:rsidP="00646C30">
      <w:r>
        <w:t>&lt;ESMA_QUESTION_CP_MAR_</w:t>
      </w:r>
      <w:r w:rsidR="00D53941">
        <w:t>62</w:t>
      </w:r>
      <w:r>
        <w:t>&gt;</w:t>
      </w:r>
    </w:p>
    <w:p w14:paraId="3C3E0B5F" w14:textId="77777777" w:rsidR="00646C30" w:rsidRDefault="00646C30"/>
    <w:p w14:paraId="3C3E0B60" w14:textId="77777777" w:rsidR="00646C30" w:rsidRDefault="0042739E" w:rsidP="00646C30">
      <w:pPr>
        <w:pStyle w:val="CPQuestions"/>
      </w:pPr>
      <w:r w:rsidRPr="0042739E">
        <w:t>Do you agree with ESMA’s conclusion? If not, please elaborate</w:t>
      </w:r>
      <w:r w:rsidR="00646C30">
        <w:t>.</w:t>
      </w:r>
    </w:p>
    <w:p w14:paraId="3C3E0B61" w14:textId="77777777" w:rsidR="00646C30" w:rsidRDefault="00646C30" w:rsidP="00646C30">
      <w:r>
        <w:t>&lt;ESMA_QUESTION_CP_MAR_</w:t>
      </w:r>
      <w:r w:rsidR="00D53941">
        <w:t>63</w:t>
      </w:r>
      <w:r>
        <w:t>&gt;</w:t>
      </w:r>
    </w:p>
    <w:p w14:paraId="3C3E0B62" w14:textId="77777777" w:rsidR="00646C30" w:rsidRDefault="00646C30" w:rsidP="00646C30">
      <w:permStart w:id="1272137283" w:edGrp="everyone"/>
      <w:r>
        <w:t>TYPE YOUR TEXT HERE</w:t>
      </w:r>
      <w:permEnd w:id="1272137283"/>
    </w:p>
    <w:p w14:paraId="3C3E0B63" w14:textId="77777777" w:rsidR="00646C30" w:rsidRDefault="00646C30" w:rsidP="00646C30">
      <w:r>
        <w:t>&lt;ESMA_QUESTION_CP_MAR_</w:t>
      </w:r>
      <w:r w:rsidR="00D53941">
        <w:t>63</w:t>
      </w:r>
      <w:r>
        <w:t>&gt;</w:t>
      </w:r>
    </w:p>
    <w:p w14:paraId="3C3E0B64" w14:textId="77777777" w:rsidR="00646C30" w:rsidRDefault="0042739E" w:rsidP="00646C30">
      <w:pPr>
        <w:pStyle w:val="CPQuestions"/>
      </w:pPr>
      <w:r w:rsidRPr="0042739E">
        <w:t>Do you agree with ESMA preliminary view? Please elaborate</w:t>
      </w:r>
      <w:r w:rsidR="00646C30">
        <w:t>.</w:t>
      </w:r>
    </w:p>
    <w:p w14:paraId="3C3E0B65" w14:textId="77777777" w:rsidR="00646C30" w:rsidRDefault="00646C30" w:rsidP="00646C30">
      <w:r>
        <w:t>&lt;ESMA_QUESTION_CP_MAR_</w:t>
      </w:r>
      <w:r w:rsidR="00D53941">
        <w:t>64</w:t>
      </w:r>
      <w:r>
        <w:t>&gt;</w:t>
      </w:r>
    </w:p>
    <w:p w14:paraId="3C3E0B66" w14:textId="77777777" w:rsidR="00646C30" w:rsidRDefault="00646C30" w:rsidP="00646C30">
      <w:permStart w:id="1364398990" w:edGrp="everyone"/>
      <w:r>
        <w:t>TYPE YOUR TEXT HERE</w:t>
      </w:r>
      <w:permEnd w:id="1364398990"/>
    </w:p>
    <w:p w14:paraId="3C3E0B67" w14:textId="77777777" w:rsidR="00646C30" w:rsidRDefault="00646C30" w:rsidP="00646C30">
      <w:r>
        <w:t>&lt;ESMA_QUESTION_CP_MAR_</w:t>
      </w:r>
      <w:r w:rsidR="00D53941">
        <w:t>64</w:t>
      </w:r>
      <w:r>
        <w:t>&gt;</w:t>
      </w:r>
    </w:p>
    <w:p w14:paraId="3C3E0B68" w14:textId="77777777" w:rsidR="00646C30" w:rsidRDefault="00646C30" w:rsidP="002E1760"/>
    <w:p w14:paraId="3C3E0B69" w14:textId="77777777" w:rsidR="00646C30" w:rsidRDefault="0042739E" w:rsidP="00646C30">
      <w:pPr>
        <w:pStyle w:val="CPQuestions"/>
      </w:pPr>
      <w:r w:rsidRPr="0042739E">
        <w:t>Do you agree with ESMA’s preliminary views? Do you consider that specific obl</w:t>
      </w:r>
      <w:r w:rsidRPr="0042739E">
        <w:t>i</w:t>
      </w:r>
      <w:r w:rsidRPr="0042739E">
        <w:t>gations are needed for elaborating insider lists related to CIUs admitted to traded or traded on a trading venue</w:t>
      </w:r>
      <w:r>
        <w:t>?</w:t>
      </w:r>
    </w:p>
    <w:p w14:paraId="3C3E0B6A" w14:textId="77777777" w:rsidR="00646C30" w:rsidRDefault="00646C30" w:rsidP="00646C30">
      <w:r>
        <w:t>&lt;ESMA_QUESTION_CP_MAR_</w:t>
      </w:r>
      <w:r w:rsidR="00D53941">
        <w:t>65</w:t>
      </w:r>
      <w:r>
        <w:t>&gt;</w:t>
      </w:r>
    </w:p>
    <w:p w14:paraId="3C3E0B6B" w14:textId="77777777" w:rsidR="00646C30" w:rsidRDefault="00646C30" w:rsidP="00646C30">
      <w:permStart w:id="1228214564" w:edGrp="everyone"/>
      <w:r>
        <w:t>TYPE YOUR TEXT HERE</w:t>
      </w:r>
      <w:permEnd w:id="1228214564"/>
    </w:p>
    <w:p w14:paraId="3C3E0B6C" w14:textId="77777777" w:rsidR="00646C30" w:rsidRDefault="00646C30" w:rsidP="00646C30">
      <w:r>
        <w:t>&lt;ESMA_QUESTION_CP_MAR_</w:t>
      </w:r>
      <w:r w:rsidR="00D53941">
        <w:t>65</w:t>
      </w:r>
      <w:r>
        <w:t>&gt;</w:t>
      </w:r>
    </w:p>
    <w:p w14:paraId="3C3E0B6D" w14:textId="77777777" w:rsidR="00646C30" w:rsidRDefault="00646C30" w:rsidP="002E1760"/>
    <w:p w14:paraId="3C3E0B6E" w14:textId="77777777" w:rsidR="00646C30" w:rsidRDefault="0042739E" w:rsidP="00646C30">
      <w:pPr>
        <w:pStyle w:val="CPQuestions"/>
      </w:pPr>
      <w:r w:rsidRPr="0042739E">
        <w:t>Please provide your views on the abovementioned harmonisation of reporting formats of order book data. In addition, please provide your views on the impact and cost linked to the implementation of new common standards to transmit order book data to NCAs upon request. Please provide your views on the consequences of using XML templates or other types of templates</w:t>
      </w:r>
      <w:r w:rsidR="00646C30">
        <w:t>.</w:t>
      </w:r>
    </w:p>
    <w:p w14:paraId="3C3E0B6F" w14:textId="77777777" w:rsidR="00646C30" w:rsidRDefault="00646C30" w:rsidP="00646C30">
      <w:r>
        <w:t>&lt;ESMA_QUESTION_CP_MAR_</w:t>
      </w:r>
      <w:r w:rsidR="00D53941">
        <w:t>66</w:t>
      </w:r>
      <w:r>
        <w:t>&gt;</w:t>
      </w:r>
    </w:p>
    <w:p w14:paraId="3C3E0B70" w14:textId="6CD53557" w:rsidR="00646C30" w:rsidRDefault="00217258" w:rsidP="00646C30">
      <w:permStart w:id="2025406494" w:edGrp="everyone"/>
      <w:r w:rsidRPr="00217258">
        <w:t xml:space="preserve">Nasdaq </w:t>
      </w:r>
      <w:r w:rsidR="00665604">
        <w:t xml:space="preserve">believes </w:t>
      </w:r>
      <w:r w:rsidRPr="00217258">
        <w:t>a cross-market view of order</w:t>
      </w:r>
      <w:r w:rsidR="00665604">
        <w:t xml:space="preserve"> </w:t>
      </w:r>
      <w:r w:rsidRPr="00217258">
        <w:t>books would be valuable for NCA</w:t>
      </w:r>
      <w:r w:rsidR="00665604">
        <w:t>’</w:t>
      </w:r>
      <w:r w:rsidRPr="00217258">
        <w:t>s in detecting and inve</w:t>
      </w:r>
      <w:r w:rsidRPr="00217258">
        <w:t>s</w:t>
      </w:r>
      <w:r w:rsidRPr="00217258">
        <w:t xml:space="preserve">tigating cases of market manipulation and market abuse. </w:t>
      </w:r>
    </w:p>
    <w:p w14:paraId="4CBB100B" w14:textId="77777777" w:rsidR="00646C30" w:rsidRDefault="00646C30" w:rsidP="00646C30"/>
    <w:p w14:paraId="1065F303" w14:textId="77777777" w:rsidR="00E957A5" w:rsidRPr="00E957A5" w:rsidRDefault="00E957A5" w:rsidP="00E957A5">
      <w:pPr>
        <w:rPr>
          <w:lang w:val="en-US"/>
        </w:rPr>
      </w:pPr>
      <w:r w:rsidRPr="00E957A5">
        <w:rPr>
          <w:lang w:val="en-US"/>
        </w:rPr>
        <w:t>In principle, Nasdaq agrees with applying a standardized xml template for order records under RTS24. In practice we think that it would be perfectly feasible to apply template formatting requirements to individual order records. Where we see a challenge is around applying templates, logic and validation around s</w:t>
      </w:r>
      <w:r w:rsidRPr="00E957A5">
        <w:rPr>
          <w:lang w:val="en-US"/>
        </w:rPr>
        <w:t>e</w:t>
      </w:r>
      <w:r w:rsidRPr="00E957A5">
        <w:rPr>
          <w:lang w:val="en-US"/>
        </w:rPr>
        <w:t>quences of order events. Trade records under RTS 22 and order records under RTS 24 differ in their characteristics in the sense that trade records can be viewed and analyzed in isolation, or at the most complex as part of a combination trade where they share a complex trade id, whereas order records usually are viewed and monitored in sequences of events. ESMA has published guidelines regarding order records which outlines a prescribed method of representing different order scenarios and order types, however these envisioned scenarios do not mimic the logic and architecture of Nasdaq’s trading systems so our adherence to these guidelines is quite limited which we have alerted to our NCA’s. Since most trading venues in Europe have different trading systems, we believe that it will be difficult to mandate or expect a uniform transaction logic across venues, which may in turn pose some challenges to a cross market order book surveillance. The consultation paper mentions that the NCA’s would apply validation of supplied order records. We are supportive of such validations as long as they are similar to the validations for transaction reporting, but would caution ESMA to validate transaction logic of sequences of order events based on its guidelines as per aforementioned concerns.</w:t>
      </w:r>
    </w:p>
    <w:p w14:paraId="32286D1E" w14:textId="77777777" w:rsidR="00E957A5" w:rsidRPr="00E957A5" w:rsidRDefault="00E957A5" w:rsidP="00E957A5">
      <w:pPr>
        <w:rPr>
          <w:lang w:val="en-US"/>
        </w:rPr>
      </w:pPr>
    </w:p>
    <w:p w14:paraId="12919EE2" w14:textId="14684EE2" w:rsidR="00646C30" w:rsidRDefault="00E957A5" w:rsidP="00646C30">
      <w:r w:rsidRPr="00E957A5">
        <w:rPr>
          <w:lang w:val="en-US"/>
        </w:rPr>
        <w:t>There is no explicit mention of the timing of the mandatory provision of order book data to NCA’s other than the generic reference to “end of day” data. Since ESMA has stated that the collection of client identity can be obtained from members T+1 and almost all trading venues in the EU have implemented setups where client and personal data is provided to trading venues separately from the order entry point, the earliest that mandated provision of order records could be required would likely be T+2. Nasdaq would also urge ESMA to review the implementation of REG CAT in the US with a view to potentially harmonize order record requirements under MiFIR where possible. One natural area would be around the identific</w:t>
      </w:r>
      <w:r w:rsidRPr="00E957A5">
        <w:rPr>
          <w:lang w:val="en-US"/>
        </w:rPr>
        <w:t>a</w:t>
      </w:r>
      <w:r w:rsidRPr="00E957A5">
        <w:rPr>
          <w:lang w:val="en-US"/>
        </w:rPr>
        <w:t>tion of clients and persons that are investment or execution decision makers. Under MiFIR, each trading venue is required to obtain sensitive and personal data from its members on orders whereas under REG CAT, SEC appoints a central facility that manages all personal and client data and issues unique numeric codes to investment firms to use on orders to the US venues. Applying a similar concept in Europe with an ESMA appointed (or under ESMA’s helm) facility would arguably be a significant cost save for the indu</w:t>
      </w:r>
      <w:r w:rsidRPr="00E957A5">
        <w:rPr>
          <w:lang w:val="en-US"/>
        </w:rPr>
        <w:t>s</w:t>
      </w:r>
      <w:r w:rsidRPr="00E957A5">
        <w:rPr>
          <w:lang w:val="en-US"/>
        </w:rPr>
        <w:t>try. An investment firm that connects to multiple trading venues in Europe would only need to report client and personal data to one facility instead of multiple trading venues that all apply different formats. Add</w:t>
      </w:r>
      <w:r w:rsidRPr="00E957A5">
        <w:rPr>
          <w:lang w:val="en-US"/>
        </w:rPr>
        <w:t>i</w:t>
      </w:r>
      <w:r w:rsidRPr="00E957A5">
        <w:rPr>
          <w:lang w:val="en-US"/>
        </w:rPr>
        <w:t>tionally, trading venues would be relieved of carrying and storing GDPR sensitive data purely for the purpose of being a transportation layer between the investment firms and the NCA’s.</w:t>
      </w:r>
      <w:permEnd w:id="2025406494"/>
    </w:p>
    <w:p w14:paraId="3C3E0B71" w14:textId="77777777" w:rsidR="00646C30" w:rsidRDefault="00646C30" w:rsidP="00646C30">
      <w:r>
        <w:t>&lt;ESMA_QUESTION_CP_MAR_</w:t>
      </w:r>
      <w:r w:rsidR="00D53941">
        <w:t>66</w:t>
      </w:r>
      <w:r>
        <w:t>&gt;</w:t>
      </w:r>
    </w:p>
    <w:p w14:paraId="3C3E0B72" w14:textId="77777777" w:rsidR="00646C30" w:rsidRDefault="00646C30" w:rsidP="002E1760"/>
    <w:p w14:paraId="3C3E0B73" w14:textId="77777777" w:rsidR="00646C30" w:rsidRDefault="0042739E" w:rsidP="00646C30">
      <w:pPr>
        <w:pStyle w:val="CPQuestions"/>
      </w:pPr>
      <w:r w:rsidRPr="0042739E">
        <w:t>Please provide your views on the impact and cost linked to the establishment of a regular reporting mechanism of order book data</w:t>
      </w:r>
      <w:r w:rsidR="00646C30">
        <w:t>.</w:t>
      </w:r>
    </w:p>
    <w:p w14:paraId="3C3E0B74" w14:textId="77777777" w:rsidR="00646C30" w:rsidRDefault="00646C30" w:rsidP="00646C30">
      <w:r>
        <w:t>&lt;ESMA_QUESTION_CP_MAR_</w:t>
      </w:r>
      <w:r w:rsidR="00D53941">
        <w:t>67</w:t>
      </w:r>
      <w:r>
        <w:t>&gt;</w:t>
      </w:r>
    </w:p>
    <w:p w14:paraId="3C3E0B75" w14:textId="28A28EA8" w:rsidR="00646C30" w:rsidRDefault="00E957A5" w:rsidP="00646C30">
      <w:permStart w:id="482090286" w:edGrp="everyone"/>
      <w:r w:rsidRPr="00E957A5">
        <w:t>Since Nasdaq operate multiple trading venues</w:t>
      </w:r>
      <w:r w:rsidR="00BF7DB4">
        <w:t>, it answers to a combined total of eight</w:t>
      </w:r>
      <w:r w:rsidRPr="00E957A5">
        <w:t xml:space="preserve"> competent author</w:t>
      </w:r>
      <w:r w:rsidRPr="00E957A5">
        <w:t>i</w:t>
      </w:r>
      <w:r w:rsidRPr="00E957A5">
        <w:t>ties in the EU. Two of these NCA’s already request daily order records so we believe that the proposal could be implemented with moderate impact and cost. Ideally, if it is implemented alongside a centralized management of personal and client data, we see a good cost benefit.</w:t>
      </w:r>
      <w:permEnd w:id="482090286"/>
    </w:p>
    <w:p w14:paraId="3C3E0B76" w14:textId="77777777" w:rsidR="00646C30" w:rsidRDefault="00646C30" w:rsidP="00646C30">
      <w:r>
        <w:t>&lt;ESMA_QUESTION_CP_MAR_</w:t>
      </w:r>
      <w:r w:rsidR="00D53941">
        <w:t>67</w:t>
      </w:r>
      <w:r>
        <w:t>&gt;</w:t>
      </w:r>
    </w:p>
    <w:p w14:paraId="3C3E0B77" w14:textId="77777777" w:rsidR="00646C30" w:rsidRDefault="00646C30" w:rsidP="002E1760"/>
    <w:p w14:paraId="3C3E0B78" w14:textId="77777777" w:rsidR="00646C30" w:rsidRDefault="0042739E" w:rsidP="00646C30">
      <w:pPr>
        <w:pStyle w:val="CPQuestions"/>
      </w:pPr>
      <w:r w:rsidRPr="0042739E">
        <w:t>In particular, please: a) elaborate on the cost differences between a daily reporting system and a daily record keeping and ad-hoc transmission mechanism; b) e</w:t>
      </w:r>
      <w:r w:rsidRPr="0042739E">
        <w:t>x</w:t>
      </w:r>
      <w:r w:rsidRPr="0042739E">
        <w:t>plain if and how the impact would change by limiting the scope of a regular repor</w:t>
      </w:r>
      <w:r w:rsidRPr="0042739E">
        <w:t>t</w:t>
      </w:r>
      <w:r w:rsidRPr="0042739E">
        <w:t>ing mechanism of order book data to a subset of financial instruments. In that co</w:t>
      </w:r>
      <w:r w:rsidRPr="0042739E">
        <w:t>n</w:t>
      </w:r>
      <w:r w:rsidRPr="0042739E">
        <w:t>text, please provide detailed description of the criteria that you would use to define the appropriate scope of financial instruments for the order book reporting</w:t>
      </w:r>
      <w:r w:rsidR="00646C30">
        <w:t>.</w:t>
      </w:r>
    </w:p>
    <w:p w14:paraId="3C3E0B79" w14:textId="77777777" w:rsidR="00646C30" w:rsidRDefault="00646C30" w:rsidP="00646C30">
      <w:r>
        <w:t>&lt;ESMA_QUESTION_CP_MAR_</w:t>
      </w:r>
      <w:r w:rsidR="00D53941">
        <w:t>68</w:t>
      </w:r>
      <w:r>
        <w:t>&gt;</w:t>
      </w:r>
    </w:p>
    <w:p w14:paraId="48640D3A" w14:textId="77777777" w:rsidR="00BF45D7" w:rsidRDefault="00E957A5" w:rsidP="00BF45D7">
      <w:pPr>
        <w:pStyle w:val="ListParagraph"/>
        <w:numPr>
          <w:ilvl w:val="0"/>
          <w:numId w:val="42"/>
        </w:numPr>
        <w:rPr>
          <w:lang w:val="en-US"/>
        </w:rPr>
      </w:pPr>
      <w:permStart w:id="81003916" w:edGrp="everyone"/>
      <w:r w:rsidRPr="00BF45D7">
        <w:rPr>
          <w:lang w:val="en-US"/>
        </w:rPr>
        <w:t>There is obviously a difference in terms of data processing utilization and data storage of produ</w:t>
      </w:r>
      <w:r w:rsidRPr="00BF45D7">
        <w:rPr>
          <w:lang w:val="en-US"/>
        </w:rPr>
        <w:t>c</w:t>
      </w:r>
      <w:r w:rsidRPr="00BF45D7">
        <w:rPr>
          <w:lang w:val="en-US"/>
        </w:rPr>
        <w:t>ing and transmitting order records daily compared to ad hoc extractions and requests. Then again, we already have a daily transmission requirement for two markets so the delta for Nasdaq would be moderate.</w:t>
      </w:r>
    </w:p>
    <w:p w14:paraId="76A836E0" w14:textId="07D9EE34" w:rsidR="00BF45D7" w:rsidRPr="00BF45D7" w:rsidRDefault="00BF45D7" w:rsidP="00BF45D7">
      <w:pPr>
        <w:pStyle w:val="ListParagraph"/>
        <w:numPr>
          <w:ilvl w:val="0"/>
          <w:numId w:val="42"/>
        </w:numPr>
        <w:rPr>
          <w:lang w:val="en-US"/>
        </w:rPr>
      </w:pPr>
      <w:r w:rsidRPr="00BF45D7">
        <w:rPr>
          <w:lang w:val="en-US"/>
        </w:rPr>
        <w:t>Quote driven securities such as securitized derivatives products have disproportionally high nu</w:t>
      </w:r>
      <w:r w:rsidRPr="00BF45D7">
        <w:rPr>
          <w:lang w:val="en-US"/>
        </w:rPr>
        <w:t>m</w:t>
      </w:r>
      <w:r w:rsidRPr="00BF45D7">
        <w:rPr>
          <w:lang w:val="en-US"/>
        </w:rPr>
        <w:t>ber of order events compared to the actual turnover of these products so if these products would be considered less relevant from a market abuse monitoring perspective, it would actually make a significant difference to exclude them from the requirement. For Nasdaq’s cash equity markets it would roughly eliminate 50-60% of all order events but only a fraction of the security universe and turnover</w:t>
      </w:r>
      <w:r>
        <w:rPr>
          <w:lang w:val="en-US"/>
        </w:rPr>
        <w:t>.</w:t>
      </w:r>
    </w:p>
    <w:permEnd w:id="81003916"/>
    <w:p w14:paraId="3C3E0B7A" w14:textId="67065E98" w:rsidR="00646C30" w:rsidRDefault="00646C30" w:rsidP="00646C30"/>
    <w:p w14:paraId="3C3E0B7B" w14:textId="77777777" w:rsidR="00646C30" w:rsidRDefault="00646C30" w:rsidP="00646C30">
      <w:r>
        <w:t>&lt;ESMA_QUESTION_CP_MAR_</w:t>
      </w:r>
      <w:r w:rsidR="00D53941">
        <w:t>68</w:t>
      </w:r>
      <w:r>
        <w:t>&gt;</w:t>
      </w:r>
    </w:p>
    <w:p w14:paraId="3C3E0B7C" w14:textId="77777777" w:rsidR="00646C30" w:rsidRDefault="00646C30" w:rsidP="002E1760"/>
    <w:p w14:paraId="3C3E0B7D" w14:textId="77777777" w:rsidR="00646C30" w:rsidRDefault="0042739E" w:rsidP="00646C30">
      <w:pPr>
        <w:pStyle w:val="CPQuestions"/>
      </w:pPr>
      <w:r>
        <w:t>W</w:t>
      </w:r>
      <w:r w:rsidRPr="0042739E">
        <w:t>hat are your views regarding those proposed amendments to MAR</w:t>
      </w:r>
      <w:r>
        <w:t>?</w:t>
      </w:r>
    </w:p>
    <w:p w14:paraId="3C3E0B7E" w14:textId="77777777" w:rsidR="00646C30" w:rsidRDefault="00646C30" w:rsidP="00646C30">
      <w:r>
        <w:t>&lt;ESMA_QUESTION_CP_MAR_</w:t>
      </w:r>
      <w:r w:rsidR="00D53941">
        <w:t>69</w:t>
      </w:r>
      <w:r>
        <w:t>&gt;</w:t>
      </w:r>
    </w:p>
    <w:p w14:paraId="3C3E0B7F" w14:textId="77777777" w:rsidR="00646C30" w:rsidRDefault="00646C30" w:rsidP="00646C30">
      <w:permStart w:id="59336310" w:edGrp="everyone"/>
      <w:r>
        <w:t>TYPE YOUR TEXT HERE</w:t>
      </w:r>
      <w:permEnd w:id="59336310"/>
    </w:p>
    <w:p w14:paraId="3C3E0B80" w14:textId="77777777" w:rsidR="00646C30" w:rsidRDefault="00646C30" w:rsidP="00646C30">
      <w:r>
        <w:t>&lt;ESMA_QUESTION_CP_MAR_</w:t>
      </w:r>
      <w:r w:rsidR="00D53941">
        <w:t>69</w:t>
      </w:r>
      <w:r>
        <w:t>&gt;</w:t>
      </w:r>
    </w:p>
    <w:p w14:paraId="3C3E0B81" w14:textId="77777777" w:rsidR="00646C30" w:rsidRDefault="00646C30" w:rsidP="002E1760"/>
    <w:p w14:paraId="3C3E0B82" w14:textId="77777777" w:rsidR="00646C30" w:rsidRDefault="0042739E" w:rsidP="00646C30">
      <w:pPr>
        <w:pStyle w:val="CPQuestions"/>
      </w:pPr>
      <w:r w:rsidRPr="0042739E">
        <w:t>Are you in favour of amending Article 30(1) second paragraph of MAR so that all NCAs in the EU have the capacity of imposing administrative sanctions? If yes, please elaborate</w:t>
      </w:r>
      <w:r w:rsidR="00646C30">
        <w:t>.</w:t>
      </w:r>
    </w:p>
    <w:p w14:paraId="3C3E0B83" w14:textId="77777777" w:rsidR="00646C30" w:rsidRDefault="00646C30" w:rsidP="00646C30">
      <w:r>
        <w:t>&lt;ESMA_QUESTION_CP_MAR_</w:t>
      </w:r>
      <w:r w:rsidR="00D53941">
        <w:t>70</w:t>
      </w:r>
      <w:r>
        <w:t>&gt;</w:t>
      </w:r>
    </w:p>
    <w:p w14:paraId="24A47363" w14:textId="13BCA5E9" w:rsidR="00217258" w:rsidRDefault="00217258" w:rsidP="00217258">
      <w:permStart w:id="889603544" w:edGrp="everyone"/>
      <w:r>
        <w:t>Nasdaq wishes to make a general comment as regards enforcement of MAR across Europe. As ES</w:t>
      </w:r>
      <w:r w:rsidR="00665604">
        <w:t>MA’s report</w:t>
      </w:r>
      <w:r>
        <w:t xml:space="preserve"> on MAR</w:t>
      </w:r>
      <w:r w:rsidR="00665604">
        <w:t xml:space="preserve"> sanctions</w:t>
      </w:r>
      <w:r>
        <w:t xml:space="preserve"> has shown, the situation looks very different</w:t>
      </w:r>
      <w:r w:rsidR="00BF7DB4" w:rsidRPr="00BF7DB4">
        <w:t xml:space="preserve"> between Member States</w:t>
      </w:r>
      <w:r>
        <w:t>, especially with Sweden standing out in certain respects. Nasdaq would encourage any measures which would streamline enforcement and sanctioning, whether in the MAR framework itself or in practical efforts to achieve better convergence. The split picture contributes to maintaining b</w:t>
      </w:r>
      <w:r w:rsidR="00665604">
        <w:t>arriers for cross-border financ</w:t>
      </w:r>
      <w:r>
        <w:t>ing opportunities for issuers, as investors hesitate on cross-border investments. Better convergence would support financing of companies, contributing to growth and job creation.</w:t>
      </w:r>
    </w:p>
    <w:p w14:paraId="53EB5A08" w14:textId="77777777" w:rsidR="00217258" w:rsidRDefault="00217258" w:rsidP="00217258"/>
    <w:p w14:paraId="3C3E0B84" w14:textId="09932B37" w:rsidR="00646C30" w:rsidRDefault="00217258" w:rsidP="00646C30">
      <w:r>
        <w:t>Also, the sanctions regime in MAR seem</w:t>
      </w:r>
      <w:r w:rsidR="00665604">
        <w:t xml:space="preserve">s tailored to larger companies. </w:t>
      </w:r>
      <w:r>
        <w:t xml:space="preserve">The market capitalisation of a company listed on SME Growth Markets may be around only one million EUR, while MAR provides, for offences of insider dealing and market manipulation, a maximum fine of 5 million EUR for natural per-sons. Member States can also impose even higher maximum administrative fines. Such </w:t>
      </w:r>
      <w:r w:rsidR="00665604">
        <w:t>disproportionality</w:t>
      </w:r>
      <w:r>
        <w:t xml:space="preserve"> could be reviewed bearing in mind that many listed companies are indeed SME</w:t>
      </w:r>
      <w:r w:rsidR="00665604">
        <w:t>’</w:t>
      </w:r>
      <w:r>
        <w:t>s.</w:t>
      </w:r>
      <w:permEnd w:id="889603544"/>
    </w:p>
    <w:p w14:paraId="3C3E0B85" w14:textId="77777777" w:rsidR="00646C30" w:rsidRDefault="00646C30" w:rsidP="00646C30">
      <w:r>
        <w:t>&lt;ESMA_QUESTION_CP_MAR_</w:t>
      </w:r>
      <w:r w:rsidR="00D53941">
        <w:t>70</w:t>
      </w:r>
      <w:r>
        <w:t>&gt;</w:t>
      </w:r>
    </w:p>
    <w:p w14:paraId="3C3E0B86" w14:textId="77777777" w:rsidR="00646C30" w:rsidRDefault="00646C30" w:rsidP="002E1760"/>
    <w:p w14:paraId="3C3E0B87" w14:textId="77777777" w:rsidR="00646C30" w:rsidRDefault="0042739E" w:rsidP="00646C30">
      <w:pPr>
        <w:pStyle w:val="CPQuestions"/>
      </w:pPr>
      <w:r w:rsidRPr="0042739E">
        <w:t>Please share your views on the elements described above</w:t>
      </w:r>
      <w:r w:rsidR="00646C30">
        <w:t>.</w:t>
      </w:r>
    </w:p>
    <w:p w14:paraId="3C3E0B88" w14:textId="77777777" w:rsidR="00646C30" w:rsidRDefault="00646C30" w:rsidP="00646C30">
      <w:r>
        <w:t>&lt;ESMA_QUESTION_CP_MAR_</w:t>
      </w:r>
      <w:r w:rsidR="00D53941">
        <w:t>71</w:t>
      </w:r>
      <w:r>
        <w:t>&gt;</w:t>
      </w:r>
    </w:p>
    <w:p w14:paraId="3C3E0B89" w14:textId="77777777" w:rsidR="00646C30" w:rsidRDefault="00646C30" w:rsidP="00646C30">
      <w:permStart w:id="1714450615" w:edGrp="everyone"/>
      <w:r>
        <w:t>TYPE YOUR TEXT HERE</w:t>
      </w:r>
      <w:permEnd w:id="1714450615"/>
    </w:p>
    <w:p w14:paraId="3C3E0B8A" w14:textId="77777777" w:rsidR="00646C30" w:rsidRDefault="00646C30" w:rsidP="00646C30">
      <w:r>
        <w:t>&lt;ESMA_QUESTION_CP_MAR_</w:t>
      </w:r>
      <w:r w:rsidR="00D53941">
        <w:t>71</w:t>
      </w:r>
      <w:r>
        <w:t>&gt;</w:t>
      </w:r>
    </w:p>
    <w:p w14:paraId="3C3E0B8B" w14:textId="77777777" w:rsidR="00646C30" w:rsidRDefault="00646C30" w:rsidP="002E1760"/>
    <w:p w14:paraId="3C3E0B8C" w14:textId="77777777" w:rsidR="00646C30" w:rsidRDefault="00646C30" w:rsidP="002E1760"/>
    <w:p w14:paraId="3C3E0B8D" w14:textId="77777777" w:rsidR="00646C30" w:rsidRDefault="00646C30" w:rsidP="002E1760"/>
    <w:p w14:paraId="3C3E0B8E" w14:textId="77777777" w:rsidR="009003B8" w:rsidRDefault="009003B8" w:rsidP="002E1760"/>
    <w:sectPr w:rsidR="009003B8"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E0B94" w14:textId="77777777" w:rsidR="0065409A" w:rsidRDefault="0065409A">
      <w:r>
        <w:separator/>
      </w:r>
    </w:p>
    <w:p w14:paraId="3C3E0B95" w14:textId="77777777" w:rsidR="0065409A" w:rsidRDefault="0065409A"/>
  </w:endnote>
  <w:endnote w:type="continuationSeparator" w:id="0">
    <w:p w14:paraId="3C3E0B96" w14:textId="77777777" w:rsidR="0065409A" w:rsidRDefault="0065409A">
      <w:r>
        <w:continuationSeparator/>
      </w:r>
    </w:p>
    <w:p w14:paraId="3C3E0B97" w14:textId="77777777" w:rsidR="0065409A" w:rsidRDefault="0065409A"/>
  </w:endnote>
  <w:endnote w:type="continuationNotice" w:id="1">
    <w:p w14:paraId="3C3E0B98" w14:textId="77777777" w:rsidR="0065409A" w:rsidRDefault="006540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65409A" w:rsidRPr="00616B9B" w14:paraId="3C3E0B9C" w14:textId="77777777" w:rsidTr="00315E96">
      <w:trPr>
        <w:trHeight w:val="284"/>
      </w:trPr>
      <w:tc>
        <w:tcPr>
          <w:tcW w:w="8460" w:type="dxa"/>
        </w:tcPr>
        <w:p w14:paraId="3C3E0B9A" w14:textId="77777777" w:rsidR="0065409A" w:rsidRPr="00315E96" w:rsidRDefault="0065409A" w:rsidP="00315E96">
          <w:pPr>
            <w:pStyle w:val="00Footer"/>
            <w:rPr>
              <w:lang w:val="fr-FR"/>
            </w:rPr>
          </w:pPr>
        </w:p>
      </w:tc>
      <w:tc>
        <w:tcPr>
          <w:tcW w:w="952" w:type="dxa"/>
        </w:tcPr>
        <w:p w14:paraId="3C3E0B9B" w14:textId="3525900B" w:rsidR="0065409A" w:rsidRPr="00616B9B" w:rsidRDefault="0065409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443BF2">
            <w:rPr>
              <w:rFonts w:cs="Arial"/>
              <w:noProof/>
              <w:sz w:val="22"/>
              <w:szCs w:val="22"/>
            </w:rPr>
            <w:t>21</w:t>
          </w:r>
          <w:r w:rsidRPr="00616B9B">
            <w:rPr>
              <w:rFonts w:cs="Arial"/>
              <w:noProof/>
              <w:sz w:val="22"/>
              <w:szCs w:val="22"/>
            </w:rPr>
            <w:fldChar w:fldCharType="end"/>
          </w:r>
        </w:p>
      </w:tc>
    </w:tr>
  </w:tbl>
  <w:p w14:paraId="3C3E0B9D" w14:textId="77777777" w:rsidR="0065409A" w:rsidRDefault="006540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E0BAC" w14:textId="77777777" w:rsidR="0065409A" w:rsidRDefault="006540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E0B8F" w14:textId="77777777" w:rsidR="0065409A" w:rsidRDefault="0065409A">
      <w:r>
        <w:separator/>
      </w:r>
    </w:p>
    <w:p w14:paraId="3C3E0B90" w14:textId="77777777" w:rsidR="0065409A" w:rsidRDefault="0065409A"/>
  </w:footnote>
  <w:footnote w:type="continuationSeparator" w:id="0">
    <w:p w14:paraId="3C3E0B91" w14:textId="77777777" w:rsidR="0065409A" w:rsidRDefault="0065409A">
      <w:r>
        <w:continuationSeparator/>
      </w:r>
    </w:p>
    <w:p w14:paraId="3C3E0B92" w14:textId="77777777" w:rsidR="0065409A" w:rsidRDefault="0065409A"/>
  </w:footnote>
  <w:footnote w:type="continuationNotice" w:id="1">
    <w:p w14:paraId="3C3E0B93" w14:textId="77777777" w:rsidR="0065409A" w:rsidRDefault="006540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E0B99" w14:textId="77777777" w:rsidR="0065409A" w:rsidRDefault="0065409A">
    <w:pPr>
      <w:pStyle w:val="Header"/>
    </w:pPr>
    <w:r>
      <w:rPr>
        <w:noProof/>
        <w:lang w:val="sv-SE" w:eastAsia="zh-CN"/>
      </w:rPr>
      <w:drawing>
        <wp:anchor distT="0" distB="0" distL="114300" distR="114300" simplePos="0" relativeHeight="251658240" behindDoc="0" locked="0" layoutInCell="1" allowOverlap="1" wp14:anchorId="3C3E0BAD" wp14:editId="3C3E0BAE">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v-SE" w:eastAsia="zh-CN"/>
      </w:rPr>
      <mc:AlternateContent>
        <mc:Choice Requires="wps">
          <w:drawing>
            <wp:anchor distT="0" distB="0" distL="114295" distR="114295" simplePos="0" relativeHeight="251656192" behindDoc="0" locked="0" layoutInCell="1" allowOverlap="1" wp14:anchorId="3C3E0BAF" wp14:editId="3C3E0BB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DABB1E3"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E0B9E" w14:textId="77777777" w:rsidR="0065409A" w:rsidRDefault="0065409A" w:rsidP="00013CCE">
    <w:pPr>
      <w:pStyle w:val="Header"/>
      <w:jc w:val="right"/>
    </w:pPr>
    <w:r>
      <w:rPr>
        <w:noProof/>
        <w:lang w:val="sv-SE" w:eastAsia="zh-CN"/>
      </w:rPr>
      <w:drawing>
        <wp:anchor distT="0" distB="0" distL="114300" distR="114300" simplePos="0" relativeHeight="251657216" behindDoc="0" locked="0" layoutInCell="1" allowOverlap="1" wp14:anchorId="3C3E0BB1" wp14:editId="3C3E0BB2">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v-SE" w:eastAsia="zh-CN"/>
      </w:rPr>
      <w:drawing>
        <wp:anchor distT="0" distB="0" distL="114300" distR="114300" simplePos="0" relativeHeight="251655168" behindDoc="1" locked="0" layoutInCell="1" allowOverlap="1" wp14:anchorId="3C3E0BB3" wp14:editId="3C3E0BB4">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E0B9F" w14:textId="77777777" w:rsidR="0065409A" w:rsidRDefault="0065409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65409A" w:rsidRPr="002F4496" w14:paraId="3C3E0BA2" w14:textId="77777777" w:rsidTr="000C06C9">
      <w:trPr>
        <w:trHeight w:val="284"/>
      </w:trPr>
      <w:tc>
        <w:tcPr>
          <w:tcW w:w="8460" w:type="dxa"/>
        </w:tcPr>
        <w:p w14:paraId="3C3E0BA0" w14:textId="77777777" w:rsidR="0065409A" w:rsidRPr="000C3B6D" w:rsidRDefault="0065409A" w:rsidP="000C06C9">
          <w:pPr>
            <w:pStyle w:val="00Footer"/>
            <w:rPr>
              <w:lang w:val="fr-FR"/>
            </w:rPr>
          </w:pPr>
        </w:p>
      </w:tc>
      <w:tc>
        <w:tcPr>
          <w:tcW w:w="952" w:type="dxa"/>
        </w:tcPr>
        <w:p w14:paraId="3C3E0BA1" w14:textId="77777777" w:rsidR="0065409A" w:rsidRPr="00146B34" w:rsidRDefault="0065409A" w:rsidP="000C06C9">
          <w:pPr>
            <w:pStyle w:val="00aPagenumber"/>
            <w:rPr>
              <w:lang w:val="fr-FR"/>
            </w:rPr>
          </w:pPr>
        </w:p>
      </w:tc>
    </w:tr>
  </w:tbl>
  <w:p w14:paraId="3C3E0BA3" w14:textId="77777777" w:rsidR="0065409A" w:rsidRPr="00DB46C3" w:rsidRDefault="0065409A">
    <w:pPr>
      <w:rPr>
        <w:lang w:val="fr-FR"/>
      </w:rPr>
    </w:pPr>
  </w:p>
  <w:p w14:paraId="3C3E0BA4" w14:textId="77777777" w:rsidR="0065409A" w:rsidRPr="002F4496" w:rsidRDefault="0065409A">
    <w:pPr>
      <w:pStyle w:val="Header"/>
      <w:rPr>
        <w:lang w:val="fr-FR"/>
      </w:rPr>
    </w:pPr>
  </w:p>
  <w:p w14:paraId="3C3E0BA5" w14:textId="77777777" w:rsidR="0065409A" w:rsidRPr="002F4496" w:rsidRDefault="0065409A" w:rsidP="000C06C9">
    <w:pPr>
      <w:pStyle w:val="Header"/>
      <w:tabs>
        <w:tab w:val="clear" w:pos="4536"/>
        <w:tab w:val="clear" w:pos="9072"/>
        <w:tab w:val="left" w:pos="8227"/>
      </w:tabs>
      <w:rPr>
        <w:lang w:val="fr-FR"/>
      </w:rPr>
    </w:pPr>
  </w:p>
  <w:p w14:paraId="3C3E0BA6" w14:textId="77777777" w:rsidR="0065409A" w:rsidRPr="002F4496" w:rsidRDefault="0065409A" w:rsidP="00583885">
    <w:pPr>
      <w:pStyle w:val="Header"/>
      <w:jc w:val="right"/>
      <w:rPr>
        <w:lang w:val="fr-FR"/>
      </w:rPr>
    </w:pPr>
  </w:p>
  <w:p w14:paraId="3C3E0BA7" w14:textId="77777777" w:rsidR="0065409A" w:rsidRPr="002F4496" w:rsidRDefault="0065409A">
    <w:pPr>
      <w:pStyle w:val="Header"/>
      <w:rPr>
        <w:lang w:val="fr-FR"/>
      </w:rPr>
    </w:pPr>
  </w:p>
  <w:p w14:paraId="3C3E0BA8" w14:textId="77777777" w:rsidR="0065409A" w:rsidRPr="002F4496" w:rsidRDefault="0065409A">
    <w:pPr>
      <w:pStyle w:val="Header"/>
      <w:rPr>
        <w:lang w:val="fr-FR"/>
      </w:rPr>
    </w:pPr>
  </w:p>
  <w:p w14:paraId="3C3E0BA9" w14:textId="77777777" w:rsidR="0065409A" w:rsidRPr="002F4496" w:rsidRDefault="0065409A">
    <w:pPr>
      <w:pStyle w:val="Header"/>
      <w:rPr>
        <w:lang w:val="fr-FR"/>
      </w:rPr>
    </w:pPr>
  </w:p>
  <w:p w14:paraId="3C3E0BAA" w14:textId="77777777" w:rsidR="0065409A" w:rsidRPr="002F4496" w:rsidRDefault="0065409A">
    <w:pPr>
      <w:pStyle w:val="Header"/>
      <w:rPr>
        <w:highlight w:val="yellow"/>
        <w:lang w:val="fr-FR"/>
      </w:rPr>
    </w:pPr>
  </w:p>
  <w:p w14:paraId="3C3E0BAB" w14:textId="77777777" w:rsidR="0065409A" w:rsidRDefault="0065409A">
    <w:pPr>
      <w:pStyle w:val="Header"/>
    </w:pPr>
    <w:r>
      <w:rPr>
        <w:noProof/>
        <w:lang w:val="sv-SE" w:eastAsia="zh-CN"/>
      </w:rPr>
      <mc:AlternateContent>
        <mc:Choice Requires="wps">
          <w:drawing>
            <wp:anchor distT="0" distB="0" distL="114299" distR="114299" simplePos="0" relativeHeight="251660288" behindDoc="0" locked="0" layoutInCell="1" allowOverlap="1" wp14:anchorId="3C3E0BB5" wp14:editId="3C3E0BB6">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1CCB3AF"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sv-SE" w:eastAsia="zh-CN"/>
      </w:rPr>
      <w:drawing>
        <wp:anchor distT="0" distB="0" distL="114300" distR="114300" simplePos="0" relativeHeight="251659264" behindDoc="0" locked="0" layoutInCell="1" allowOverlap="1" wp14:anchorId="3C3E0BB7" wp14:editId="3C3E0BB8">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279837FE"/>
    <w:multiLevelType w:val="hybridMultilevel"/>
    <w:tmpl w:val="528EAC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nsid w:val="669D737F"/>
    <w:multiLevelType w:val="hybridMultilevel"/>
    <w:tmpl w:val="6C1CF7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6A9F1824"/>
    <w:multiLevelType w:val="hybridMultilevel"/>
    <w:tmpl w:val="7F041F6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7D869ED"/>
    <w:multiLevelType w:val="hybridMultilevel"/>
    <w:tmpl w:val="DA5CA17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1">
    <w:nsid w:val="7DDE7147"/>
    <w:multiLevelType w:val="hybridMultilevel"/>
    <w:tmpl w:val="071E8A3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nsid w:val="7FD44658"/>
    <w:multiLevelType w:val="hybridMultilevel"/>
    <w:tmpl w:val="CE5C44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7"/>
  </w:num>
  <w:num w:numId="22">
    <w:abstractNumId w:val="23"/>
  </w:num>
  <w:num w:numId="23">
    <w:abstractNumId w:val="9"/>
  </w:num>
  <w:num w:numId="24">
    <w:abstractNumId w:val="28"/>
  </w:num>
  <w:num w:numId="25">
    <w:abstractNumId w:val="27"/>
  </w:num>
  <w:num w:numId="26">
    <w:abstractNumId w:val="18"/>
  </w:num>
  <w:num w:numId="27">
    <w:abstractNumId w:val="32"/>
  </w:num>
  <w:num w:numId="28">
    <w:abstractNumId w:val="40"/>
  </w:num>
  <w:num w:numId="29">
    <w:abstractNumId w:val="6"/>
  </w:num>
  <w:num w:numId="30">
    <w:abstractNumId w:val="2"/>
  </w:num>
  <w:num w:numId="31">
    <w:abstractNumId w:val="20"/>
  </w:num>
  <w:num w:numId="32">
    <w:abstractNumId w:val="19"/>
  </w:num>
  <w:num w:numId="33">
    <w:abstractNumId w:val="35"/>
  </w:num>
  <w:num w:numId="34">
    <w:abstractNumId w:val="34"/>
  </w:num>
  <w:num w:numId="35">
    <w:abstractNumId w:val="4"/>
  </w:num>
  <w:num w:numId="36">
    <w:abstractNumId w:val="36"/>
  </w:num>
  <w:num w:numId="37">
    <w:abstractNumId w:val="8"/>
  </w:num>
  <w:num w:numId="38">
    <w:abstractNumId w:val="42"/>
  </w:num>
  <w:num w:numId="39">
    <w:abstractNumId w:val="31"/>
  </w:num>
  <w:num w:numId="40">
    <w:abstractNumId w:val="38"/>
  </w:num>
  <w:num w:numId="41">
    <w:abstractNumId w:val="41"/>
  </w:num>
  <w:num w:numId="42">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iPoMOv/lL7Pe40Xszl/cHn0Sklkz3r/NXYsIj1cxGT/YpwS0Usl4nqklbwIaEd7/+NpbW2xVg3oIr1eH7uk1ZQ==" w:salt="Y31LDsLQoet5IQr8D6tVtA=="/>
  <w:defaultTabStop w:val="709"/>
  <w:autoHyphenation/>
  <w:hyphenationZone w:val="567"/>
  <w:characterSpacingControl w:val="doNotCompress"/>
  <w:hdrShapeDefaults>
    <o:shapedefaults v:ext="edit" spidmax="4505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8E0"/>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1F58"/>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4BA4"/>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34E3"/>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4AC"/>
    <w:rsid w:val="000E4926"/>
    <w:rsid w:val="000E49B7"/>
    <w:rsid w:val="000E5F7F"/>
    <w:rsid w:val="000E7086"/>
    <w:rsid w:val="000E7C65"/>
    <w:rsid w:val="000F04D2"/>
    <w:rsid w:val="000F249E"/>
    <w:rsid w:val="000F55B7"/>
    <w:rsid w:val="000F604F"/>
    <w:rsid w:val="000F7399"/>
    <w:rsid w:val="00101BF1"/>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6B9"/>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395"/>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4EB"/>
    <w:rsid w:val="00181BD1"/>
    <w:rsid w:val="0018204A"/>
    <w:rsid w:val="00182F4F"/>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4DB7"/>
    <w:rsid w:val="001A5426"/>
    <w:rsid w:val="001A6A0D"/>
    <w:rsid w:val="001A6C51"/>
    <w:rsid w:val="001A6FAA"/>
    <w:rsid w:val="001A7D73"/>
    <w:rsid w:val="001B0363"/>
    <w:rsid w:val="001B1355"/>
    <w:rsid w:val="001B2FC9"/>
    <w:rsid w:val="001B3138"/>
    <w:rsid w:val="001B34F6"/>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2CBA"/>
    <w:rsid w:val="001D3A1F"/>
    <w:rsid w:val="001D3FB6"/>
    <w:rsid w:val="001D4550"/>
    <w:rsid w:val="001D5498"/>
    <w:rsid w:val="001D5BAF"/>
    <w:rsid w:val="001D6401"/>
    <w:rsid w:val="001D66C9"/>
    <w:rsid w:val="001D70A8"/>
    <w:rsid w:val="001D722A"/>
    <w:rsid w:val="001E04FC"/>
    <w:rsid w:val="001E407D"/>
    <w:rsid w:val="001E40FB"/>
    <w:rsid w:val="001E66EC"/>
    <w:rsid w:val="001E68C5"/>
    <w:rsid w:val="001F0F63"/>
    <w:rsid w:val="001F3996"/>
    <w:rsid w:val="001F44A4"/>
    <w:rsid w:val="001F5289"/>
    <w:rsid w:val="001F579D"/>
    <w:rsid w:val="001F65EF"/>
    <w:rsid w:val="001F697B"/>
    <w:rsid w:val="002005A6"/>
    <w:rsid w:val="00203E85"/>
    <w:rsid w:val="00204CBC"/>
    <w:rsid w:val="002051F1"/>
    <w:rsid w:val="002067BA"/>
    <w:rsid w:val="0021058D"/>
    <w:rsid w:val="00211E2F"/>
    <w:rsid w:val="00211E9E"/>
    <w:rsid w:val="00214FB4"/>
    <w:rsid w:val="00215940"/>
    <w:rsid w:val="00217258"/>
    <w:rsid w:val="0021768B"/>
    <w:rsid w:val="00217C23"/>
    <w:rsid w:val="00220561"/>
    <w:rsid w:val="00220CE4"/>
    <w:rsid w:val="00222D9B"/>
    <w:rsid w:val="00223788"/>
    <w:rsid w:val="00223D11"/>
    <w:rsid w:val="002242D3"/>
    <w:rsid w:val="0022792B"/>
    <w:rsid w:val="00227C1A"/>
    <w:rsid w:val="002301E6"/>
    <w:rsid w:val="00232B54"/>
    <w:rsid w:val="00232F90"/>
    <w:rsid w:val="00233B08"/>
    <w:rsid w:val="00233C3B"/>
    <w:rsid w:val="0023499C"/>
    <w:rsid w:val="00235CE3"/>
    <w:rsid w:val="0023636A"/>
    <w:rsid w:val="00236DD7"/>
    <w:rsid w:val="00236F34"/>
    <w:rsid w:val="002372F7"/>
    <w:rsid w:val="00240651"/>
    <w:rsid w:val="00240803"/>
    <w:rsid w:val="00241849"/>
    <w:rsid w:val="00241A63"/>
    <w:rsid w:val="00242784"/>
    <w:rsid w:val="0024426D"/>
    <w:rsid w:val="00244F1D"/>
    <w:rsid w:val="00245004"/>
    <w:rsid w:val="00245FB4"/>
    <w:rsid w:val="00250827"/>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0C13"/>
    <w:rsid w:val="002819C4"/>
    <w:rsid w:val="0028274D"/>
    <w:rsid w:val="00282B96"/>
    <w:rsid w:val="002833D6"/>
    <w:rsid w:val="00283F51"/>
    <w:rsid w:val="00286064"/>
    <w:rsid w:val="002867B1"/>
    <w:rsid w:val="002868FC"/>
    <w:rsid w:val="0028772B"/>
    <w:rsid w:val="00287BBB"/>
    <w:rsid w:val="00287E3B"/>
    <w:rsid w:val="00290638"/>
    <w:rsid w:val="00291763"/>
    <w:rsid w:val="00291D80"/>
    <w:rsid w:val="00293156"/>
    <w:rsid w:val="00293BE7"/>
    <w:rsid w:val="00293D78"/>
    <w:rsid w:val="002946DC"/>
    <w:rsid w:val="002947B0"/>
    <w:rsid w:val="002A0C82"/>
    <w:rsid w:val="002A0CD8"/>
    <w:rsid w:val="002A13EB"/>
    <w:rsid w:val="002A35EF"/>
    <w:rsid w:val="002A3DE0"/>
    <w:rsid w:val="002A40EA"/>
    <w:rsid w:val="002A46E8"/>
    <w:rsid w:val="002A491C"/>
    <w:rsid w:val="002A4C8E"/>
    <w:rsid w:val="002B1AAC"/>
    <w:rsid w:val="002B1FEF"/>
    <w:rsid w:val="002B2DF8"/>
    <w:rsid w:val="002B354F"/>
    <w:rsid w:val="002B3614"/>
    <w:rsid w:val="002B45D1"/>
    <w:rsid w:val="002B4ED8"/>
    <w:rsid w:val="002B4FAA"/>
    <w:rsid w:val="002B52C2"/>
    <w:rsid w:val="002B7656"/>
    <w:rsid w:val="002C0642"/>
    <w:rsid w:val="002C0D31"/>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09CC"/>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0555"/>
    <w:rsid w:val="00311184"/>
    <w:rsid w:val="00311E05"/>
    <w:rsid w:val="00312675"/>
    <w:rsid w:val="00314013"/>
    <w:rsid w:val="00314945"/>
    <w:rsid w:val="00315389"/>
    <w:rsid w:val="0031555E"/>
    <w:rsid w:val="0031566A"/>
    <w:rsid w:val="00315746"/>
    <w:rsid w:val="0031584A"/>
    <w:rsid w:val="00315E96"/>
    <w:rsid w:val="00317FC8"/>
    <w:rsid w:val="00320052"/>
    <w:rsid w:val="003223D7"/>
    <w:rsid w:val="00323D9F"/>
    <w:rsid w:val="00324FDB"/>
    <w:rsid w:val="00325F48"/>
    <w:rsid w:val="0033194F"/>
    <w:rsid w:val="00332304"/>
    <w:rsid w:val="00332406"/>
    <w:rsid w:val="00332D8D"/>
    <w:rsid w:val="00336B56"/>
    <w:rsid w:val="00341B25"/>
    <w:rsid w:val="00341EC0"/>
    <w:rsid w:val="0034240C"/>
    <w:rsid w:val="00343BFF"/>
    <w:rsid w:val="00344496"/>
    <w:rsid w:val="00345968"/>
    <w:rsid w:val="00347667"/>
    <w:rsid w:val="003507E2"/>
    <w:rsid w:val="00350BDA"/>
    <w:rsid w:val="003516D4"/>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558"/>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94"/>
    <w:rsid w:val="0040254B"/>
    <w:rsid w:val="00403086"/>
    <w:rsid w:val="00403460"/>
    <w:rsid w:val="004040FF"/>
    <w:rsid w:val="00404284"/>
    <w:rsid w:val="004042C4"/>
    <w:rsid w:val="00404973"/>
    <w:rsid w:val="00406E90"/>
    <w:rsid w:val="00410240"/>
    <w:rsid w:val="00412253"/>
    <w:rsid w:val="004142ED"/>
    <w:rsid w:val="00414DC8"/>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625"/>
    <w:rsid w:val="0043173B"/>
    <w:rsid w:val="00431B0A"/>
    <w:rsid w:val="00431DA4"/>
    <w:rsid w:val="00432A91"/>
    <w:rsid w:val="004332A4"/>
    <w:rsid w:val="004335C8"/>
    <w:rsid w:val="0043453F"/>
    <w:rsid w:val="00434A74"/>
    <w:rsid w:val="00437929"/>
    <w:rsid w:val="00437A4A"/>
    <w:rsid w:val="00440541"/>
    <w:rsid w:val="0044162D"/>
    <w:rsid w:val="0044277A"/>
    <w:rsid w:val="004434EF"/>
    <w:rsid w:val="00443BF2"/>
    <w:rsid w:val="004456DC"/>
    <w:rsid w:val="00447FBE"/>
    <w:rsid w:val="0045035E"/>
    <w:rsid w:val="0045175A"/>
    <w:rsid w:val="00451ED9"/>
    <w:rsid w:val="00452180"/>
    <w:rsid w:val="00452AAC"/>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3AD"/>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05D"/>
    <w:rsid w:val="004B1E61"/>
    <w:rsid w:val="004B21AB"/>
    <w:rsid w:val="004B351F"/>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19"/>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120B"/>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17FB5"/>
    <w:rsid w:val="00520083"/>
    <w:rsid w:val="0052029E"/>
    <w:rsid w:val="0052076A"/>
    <w:rsid w:val="00520A2C"/>
    <w:rsid w:val="00520E25"/>
    <w:rsid w:val="0052183D"/>
    <w:rsid w:val="00522B01"/>
    <w:rsid w:val="00522F44"/>
    <w:rsid w:val="0052360A"/>
    <w:rsid w:val="005242BA"/>
    <w:rsid w:val="005243B8"/>
    <w:rsid w:val="005252DD"/>
    <w:rsid w:val="00530A8D"/>
    <w:rsid w:val="00530AC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3043"/>
    <w:rsid w:val="005648A8"/>
    <w:rsid w:val="00564DE3"/>
    <w:rsid w:val="00564E44"/>
    <w:rsid w:val="00566C6A"/>
    <w:rsid w:val="00566CE5"/>
    <w:rsid w:val="00566D36"/>
    <w:rsid w:val="00573569"/>
    <w:rsid w:val="00573871"/>
    <w:rsid w:val="0057389E"/>
    <w:rsid w:val="005765C0"/>
    <w:rsid w:val="005778DE"/>
    <w:rsid w:val="00580B3F"/>
    <w:rsid w:val="00580C3C"/>
    <w:rsid w:val="005825F2"/>
    <w:rsid w:val="00583885"/>
    <w:rsid w:val="005860AF"/>
    <w:rsid w:val="00587F1D"/>
    <w:rsid w:val="00590348"/>
    <w:rsid w:val="00591161"/>
    <w:rsid w:val="00592318"/>
    <w:rsid w:val="00593133"/>
    <w:rsid w:val="0059575D"/>
    <w:rsid w:val="00596825"/>
    <w:rsid w:val="00597D45"/>
    <w:rsid w:val="005A06A0"/>
    <w:rsid w:val="005A0F1E"/>
    <w:rsid w:val="005A150A"/>
    <w:rsid w:val="005A2B3E"/>
    <w:rsid w:val="005A3644"/>
    <w:rsid w:val="005A4087"/>
    <w:rsid w:val="005A4403"/>
    <w:rsid w:val="005A4B18"/>
    <w:rsid w:val="005A4DAE"/>
    <w:rsid w:val="005A537E"/>
    <w:rsid w:val="005A6F43"/>
    <w:rsid w:val="005A767D"/>
    <w:rsid w:val="005B00F1"/>
    <w:rsid w:val="005B0CE7"/>
    <w:rsid w:val="005B0E42"/>
    <w:rsid w:val="005B10E2"/>
    <w:rsid w:val="005B1803"/>
    <w:rsid w:val="005B4079"/>
    <w:rsid w:val="005B428E"/>
    <w:rsid w:val="005B5B3C"/>
    <w:rsid w:val="005B64CB"/>
    <w:rsid w:val="005B65C0"/>
    <w:rsid w:val="005B6AAA"/>
    <w:rsid w:val="005B7554"/>
    <w:rsid w:val="005B7C78"/>
    <w:rsid w:val="005B7FED"/>
    <w:rsid w:val="005C0C66"/>
    <w:rsid w:val="005C0FB2"/>
    <w:rsid w:val="005C1169"/>
    <w:rsid w:val="005C16E2"/>
    <w:rsid w:val="005C24EF"/>
    <w:rsid w:val="005C2796"/>
    <w:rsid w:val="005C3C6C"/>
    <w:rsid w:val="005C3F4C"/>
    <w:rsid w:val="005C43AA"/>
    <w:rsid w:val="005C48C8"/>
    <w:rsid w:val="005C663C"/>
    <w:rsid w:val="005C7488"/>
    <w:rsid w:val="005D0750"/>
    <w:rsid w:val="005D1023"/>
    <w:rsid w:val="005D148F"/>
    <w:rsid w:val="005D2AD2"/>
    <w:rsid w:val="005D4187"/>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1D3"/>
    <w:rsid w:val="005F5ACF"/>
    <w:rsid w:val="005F60DC"/>
    <w:rsid w:val="006000DD"/>
    <w:rsid w:val="00600F63"/>
    <w:rsid w:val="006012E1"/>
    <w:rsid w:val="00602253"/>
    <w:rsid w:val="006023E1"/>
    <w:rsid w:val="00605531"/>
    <w:rsid w:val="00606240"/>
    <w:rsid w:val="0060674A"/>
    <w:rsid w:val="00606A63"/>
    <w:rsid w:val="00606C52"/>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4FBC"/>
    <w:rsid w:val="006469B1"/>
    <w:rsid w:val="00646C0D"/>
    <w:rsid w:val="00646C30"/>
    <w:rsid w:val="006476F7"/>
    <w:rsid w:val="0064779E"/>
    <w:rsid w:val="006501FA"/>
    <w:rsid w:val="006509B0"/>
    <w:rsid w:val="006521F3"/>
    <w:rsid w:val="006524D5"/>
    <w:rsid w:val="00652BBD"/>
    <w:rsid w:val="00653633"/>
    <w:rsid w:val="00653F69"/>
    <w:rsid w:val="0065409A"/>
    <w:rsid w:val="0065436A"/>
    <w:rsid w:val="00654936"/>
    <w:rsid w:val="00655485"/>
    <w:rsid w:val="006558B3"/>
    <w:rsid w:val="00660BF0"/>
    <w:rsid w:val="0066189C"/>
    <w:rsid w:val="006630CF"/>
    <w:rsid w:val="006632EC"/>
    <w:rsid w:val="00663EFF"/>
    <w:rsid w:val="00664FFB"/>
    <w:rsid w:val="00665604"/>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330"/>
    <w:rsid w:val="006C2CCB"/>
    <w:rsid w:val="006C4334"/>
    <w:rsid w:val="006C4B0F"/>
    <w:rsid w:val="006C5E96"/>
    <w:rsid w:val="006D399F"/>
    <w:rsid w:val="006D4F0C"/>
    <w:rsid w:val="006D5645"/>
    <w:rsid w:val="006E0C8A"/>
    <w:rsid w:val="006E1873"/>
    <w:rsid w:val="006E2A23"/>
    <w:rsid w:val="006E350F"/>
    <w:rsid w:val="006E35E5"/>
    <w:rsid w:val="006E3C72"/>
    <w:rsid w:val="006E4F20"/>
    <w:rsid w:val="006E649A"/>
    <w:rsid w:val="006F08DC"/>
    <w:rsid w:val="006F1C52"/>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2862"/>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53C"/>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A50"/>
    <w:rsid w:val="00760B08"/>
    <w:rsid w:val="00760EDA"/>
    <w:rsid w:val="00761F4E"/>
    <w:rsid w:val="00762150"/>
    <w:rsid w:val="00762621"/>
    <w:rsid w:val="00763F36"/>
    <w:rsid w:val="007648A0"/>
    <w:rsid w:val="00766F4D"/>
    <w:rsid w:val="00770268"/>
    <w:rsid w:val="007706B9"/>
    <w:rsid w:val="007707ED"/>
    <w:rsid w:val="00770AE7"/>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5EB8"/>
    <w:rsid w:val="007A7678"/>
    <w:rsid w:val="007B0CD8"/>
    <w:rsid w:val="007B0DE0"/>
    <w:rsid w:val="007B21DE"/>
    <w:rsid w:val="007B2BB9"/>
    <w:rsid w:val="007B3AA0"/>
    <w:rsid w:val="007B43E8"/>
    <w:rsid w:val="007B4740"/>
    <w:rsid w:val="007B502C"/>
    <w:rsid w:val="007B5EA9"/>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13F"/>
    <w:rsid w:val="008043F4"/>
    <w:rsid w:val="00804BB4"/>
    <w:rsid w:val="00805D9F"/>
    <w:rsid w:val="00807A4D"/>
    <w:rsid w:val="00807F30"/>
    <w:rsid w:val="008103DC"/>
    <w:rsid w:val="0081119F"/>
    <w:rsid w:val="0081134D"/>
    <w:rsid w:val="00811EDA"/>
    <w:rsid w:val="00812403"/>
    <w:rsid w:val="00812F30"/>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565"/>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672C8"/>
    <w:rsid w:val="00871F04"/>
    <w:rsid w:val="008746C1"/>
    <w:rsid w:val="008765BE"/>
    <w:rsid w:val="00880224"/>
    <w:rsid w:val="0088099B"/>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2D20"/>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B3"/>
    <w:rsid w:val="008D2DB5"/>
    <w:rsid w:val="008D3F10"/>
    <w:rsid w:val="008D611D"/>
    <w:rsid w:val="008D7495"/>
    <w:rsid w:val="008E1B6A"/>
    <w:rsid w:val="008E3054"/>
    <w:rsid w:val="008E32FF"/>
    <w:rsid w:val="008E5625"/>
    <w:rsid w:val="008E5C5B"/>
    <w:rsid w:val="008E6A37"/>
    <w:rsid w:val="008E75E6"/>
    <w:rsid w:val="008F0354"/>
    <w:rsid w:val="008F085A"/>
    <w:rsid w:val="008F1462"/>
    <w:rsid w:val="008F2413"/>
    <w:rsid w:val="008F248D"/>
    <w:rsid w:val="008F4B2C"/>
    <w:rsid w:val="008F4C08"/>
    <w:rsid w:val="008F53F5"/>
    <w:rsid w:val="008F6851"/>
    <w:rsid w:val="008F7BC4"/>
    <w:rsid w:val="009003B8"/>
    <w:rsid w:val="00900E7A"/>
    <w:rsid w:val="0090106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47B04"/>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4B2"/>
    <w:rsid w:val="009B0AA2"/>
    <w:rsid w:val="009B1D02"/>
    <w:rsid w:val="009B6FEE"/>
    <w:rsid w:val="009B7133"/>
    <w:rsid w:val="009B7658"/>
    <w:rsid w:val="009B7CD1"/>
    <w:rsid w:val="009B7E22"/>
    <w:rsid w:val="009B7E78"/>
    <w:rsid w:val="009C10FE"/>
    <w:rsid w:val="009C13BC"/>
    <w:rsid w:val="009C1CA4"/>
    <w:rsid w:val="009C2532"/>
    <w:rsid w:val="009C2BA4"/>
    <w:rsid w:val="009C6091"/>
    <w:rsid w:val="009C634F"/>
    <w:rsid w:val="009D0219"/>
    <w:rsid w:val="009D04A5"/>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278B"/>
    <w:rsid w:val="00A02FD1"/>
    <w:rsid w:val="00A04685"/>
    <w:rsid w:val="00A04C57"/>
    <w:rsid w:val="00A06340"/>
    <w:rsid w:val="00A0684F"/>
    <w:rsid w:val="00A06867"/>
    <w:rsid w:val="00A10148"/>
    <w:rsid w:val="00A1048F"/>
    <w:rsid w:val="00A113FD"/>
    <w:rsid w:val="00A11DDE"/>
    <w:rsid w:val="00A127A7"/>
    <w:rsid w:val="00A129F4"/>
    <w:rsid w:val="00A136F4"/>
    <w:rsid w:val="00A160D3"/>
    <w:rsid w:val="00A16DC9"/>
    <w:rsid w:val="00A20225"/>
    <w:rsid w:val="00A22374"/>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863"/>
    <w:rsid w:val="00A41A95"/>
    <w:rsid w:val="00A4248B"/>
    <w:rsid w:val="00A4376E"/>
    <w:rsid w:val="00A4572B"/>
    <w:rsid w:val="00A46246"/>
    <w:rsid w:val="00A46349"/>
    <w:rsid w:val="00A46D5E"/>
    <w:rsid w:val="00A50419"/>
    <w:rsid w:val="00A50847"/>
    <w:rsid w:val="00A50CFB"/>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98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2EFB"/>
    <w:rsid w:val="00A93B85"/>
    <w:rsid w:val="00A958CA"/>
    <w:rsid w:val="00A966B6"/>
    <w:rsid w:val="00A96B46"/>
    <w:rsid w:val="00AA003B"/>
    <w:rsid w:val="00AA016B"/>
    <w:rsid w:val="00AA15DD"/>
    <w:rsid w:val="00AA1C09"/>
    <w:rsid w:val="00AA2F67"/>
    <w:rsid w:val="00AA3569"/>
    <w:rsid w:val="00AA5F4C"/>
    <w:rsid w:val="00AA615C"/>
    <w:rsid w:val="00AA6711"/>
    <w:rsid w:val="00AB1E2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351C"/>
    <w:rsid w:val="00B6439A"/>
    <w:rsid w:val="00B6443B"/>
    <w:rsid w:val="00B645BB"/>
    <w:rsid w:val="00B6517B"/>
    <w:rsid w:val="00B65E71"/>
    <w:rsid w:val="00B66C26"/>
    <w:rsid w:val="00B67829"/>
    <w:rsid w:val="00B70D91"/>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347"/>
    <w:rsid w:val="00BC536F"/>
    <w:rsid w:val="00BC54AC"/>
    <w:rsid w:val="00BC5622"/>
    <w:rsid w:val="00BC6060"/>
    <w:rsid w:val="00BC6A9F"/>
    <w:rsid w:val="00BC7897"/>
    <w:rsid w:val="00BD06D7"/>
    <w:rsid w:val="00BD0F35"/>
    <w:rsid w:val="00BD45A4"/>
    <w:rsid w:val="00BD4A5F"/>
    <w:rsid w:val="00BD59AA"/>
    <w:rsid w:val="00BD65E6"/>
    <w:rsid w:val="00BD6AF7"/>
    <w:rsid w:val="00BE19EF"/>
    <w:rsid w:val="00BE425B"/>
    <w:rsid w:val="00BE4B39"/>
    <w:rsid w:val="00BE51BB"/>
    <w:rsid w:val="00BE7595"/>
    <w:rsid w:val="00BE77D3"/>
    <w:rsid w:val="00BF0138"/>
    <w:rsid w:val="00BF114B"/>
    <w:rsid w:val="00BF1620"/>
    <w:rsid w:val="00BF1AC3"/>
    <w:rsid w:val="00BF348E"/>
    <w:rsid w:val="00BF373A"/>
    <w:rsid w:val="00BF409D"/>
    <w:rsid w:val="00BF40C3"/>
    <w:rsid w:val="00BF4307"/>
    <w:rsid w:val="00BF45C7"/>
    <w:rsid w:val="00BF45D7"/>
    <w:rsid w:val="00BF5AC2"/>
    <w:rsid w:val="00BF62D2"/>
    <w:rsid w:val="00BF6D9E"/>
    <w:rsid w:val="00BF71BB"/>
    <w:rsid w:val="00BF76D2"/>
    <w:rsid w:val="00BF76F7"/>
    <w:rsid w:val="00BF7C9F"/>
    <w:rsid w:val="00BF7DB4"/>
    <w:rsid w:val="00C00012"/>
    <w:rsid w:val="00C000A5"/>
    <w:rsid w:val="00C006B4"/>
    <w:rsid w:val="00C00938"/>
    <w:rsid w:val="00C00E2A"/>
    <w:rsid w:val="00C025B9"/>
    <w:rsid w:val="00C044B4"/>
    <w:rsid w:val="00C04B5F"/>
    <w:rsid w:val="00C04FDE"/>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5401"/>
    <w:rsid w:val="00C368D7"/>
    <w:rsid w:val="00C36FD1"/>
    <w:rsid w:val="00C371A5"/>
    <w:rsid w:val="00C400B0"/>
    <w:rsid w:val="00C413FC"/>
    <w:rsid w:val="00C42424"/>
    <w:rsid w:val="00C43D33"/>
    <w:rsid w:val="00C44407"/>
    <w:rsid w:val="00C45329"/>
    <w:rsid w:val="00C456E8"/>
    <w:rsid w:val="00C46630"/>
    <w:rsid w:val="00C47A2F"/>
    <w:rsid w:val="00C50309"/>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3EF4"/>
    <w:rsid w:val="00C651D4"/>
    <w:rsid w:val="00C6669E"/>
    <w:rsid w:val="00C672B0"/>
    <w:rsid w:val="00C67C97"/>
    <w:rsid w:val="00C729C7"/>
    <w:rsid w:val="00C777AD"/>
    <w:rsid w:val="00C80C53"/>
    <w:rsid w:val="00C81195"/>
    <w:rsid w:val="00C81798"/>
    <w:rsid w:val="00C85367"/>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4C38"/>
    <w:rsid w:val="00CA582C"/>
    <w:rsid w:val="00CA6077"/>
    <w:rsid w:val="00CA715B"/>
    <w:rsid w:val="00CA7988"/>
    <w:rsid w:val="00CA7BA2"/>
    <w:rsid w:val="00CB0B78"/>
    <w:rsid w:val="00CB12A5"/>
    <w:rsid w:val="00CB17FA"/>
    <w:rsid w:val="00CB23D8"/>
    <w:rsid w:val="00CB2ED9"/>
    <w:rsid w:val="00CB36A5"/>
    <w:rsid w:val="00CB56B4"/>
    <w:rsid w:val="00CB6EA3"/>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0641"/>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26412"/>
    <w:rsid w:val="00D305F6"/>
    <w:rsid w:val="00D30B25"/>
    <w:rsid w:val="00D3175A"/>
    <w:rsid w:val="00D31A00"/>
    <w:rsid w:val="00D323E4"/>
    <w:rsid w:val="00D32871"/>
    <w:rsid w:val="00D329F6"/>
    <w:rsid w:val="00D33881"/>
    <w:rsid w:val="00D34282"/>
    <w:rsid w:val="00D34508"/>
    <w:rsid w:val="00D366B1"/>
    <w:rsid w:val="00D37AE0"/>
    <w:rsid w:val="00D41117"/>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57B1F"/>
    <w:rsid w:val="00D6081B"/>
    <w:rsid w:val="00D60960"/>
    <w:rsid w:val="00D60C2B"/>
    <w:rsid w:val="00D61801"/>
    <w:rsid w:val="00D6240A"/>
    <w:rsid w:val="00D63093"/>
    <w:rsid w:val="00D63599"/>
    <w:rsid w:val="00D63EBD"/>
    <w:rsid w:val="00D64BE1"/>
    <w:rsid w:val="00D67101"/>
    <w:rsid w:val="00D71B45"/>
    <w:rsid w:val="00D71F8A"/>
    <w:rsid w:val="00D75603"/>
    <w:rsid w:val="00D75FEE"/>
    <w:rsid w:val="00D76933"/>
    <w:rsid w:val="00D76D88"/>
    <w:rsid w:val="00D77CC9"/>
    <w:rsid w:val="00D83D4B"/>
    <w:rsid w:val="00D871C6"/>
    <w:rsid w:val="00D91010"/>
    <w:rsid w:val="00D9143D"/>
    <w:rsid w:val="00D920D1"/>
    <w:rsid w:val="00D93E34"/>
    <w:rsid w:val="00DA0FA7"/>
    <w:rsid w:val="00DA12B0"/>
    <w:rsid w:val="00DA2BA0"/>
    <w:rsid w:val="00DA39AD"/>
    <w:rsid w:val="00DA5B13"/>
    <w:rsid w:val="00DA6917"/>
    <w:rsid w:val="00DA6926"/>
    <w:rsid w:val="00DB0965"/>
    <w:rsid w:val="00DB0E47"/>
    <w:rsid w:val="00DB2BDD"/>
    <w:rsid w:val="00DB4121"/>
    <w:rsid w:val="00DB46C3"/>
    <w:rsid w:val="00DB5742"/>
    <w:rsid w:val="00DB5BB4"/>
    <w:rsid w:val="00DB5EDF"/>
    <w:rsid w:val="00DB6C46"/>
    <w:rsid w:val="00DB72B8"/>
    <w:rsid w:val="00DC16AF"/>
    <w:rsid w:val="00DC2A9A"/>
    <w:rsid w:val="00DC2E2E"/>
    <w:rsid w:val="00DC4D68"/>
    <w:rsid w:val="00DC6463"/>
    <w:rsid w:val="00DC7822"/>
    <w:rsid w:val="00DC7AF1"/>
    <w:rsid w:val="00DD04FB"/>
    <w:rsid w:val="00DD2CDA"/>
    <w:rsid w:val="00DD2D92"/>
    <w:rsid w:val="00DD3026"/>
    <w:rsid w:val="00DD33DC"/>
    <w:rsid w:val="00DD3BB0"/>
    <w:rsid w:val="00DD61F5"/>
    <w:rsid w:val="00DD6F00"/>
    <w:rsid w:val="00DD7418"/>
    <w:rsid w:val="00DE1ECF"/>
    <w:rsid w:val="00DE4FFD"/>
    <w:rsid w:val="00DE64A6"/>
    <w:rsid w:val="00DE66EB"/>
    <w:rsid w:val="00DE7035"/>
    <w:rsid w:val="00DF12E3"/>
    <w:rsid w:val="00DF2A20"/>
    <w:rsid w:val="00DF3F1D"/>
    <w:rsid w:val="00DF4F3E"/>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5F6"/>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2CED"/>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21D"/>
    <w:rsid w:val="00E80692"/>
    <w:rsid w:val="00E808BE"/>
    <w:rsid w:val="00E81E36"/>
    <w:rsid w:val="00E81E40"/>
    <w:rsid w:val="00E82ECE"/>
    <w:rsid w:val="00E8713B"/>
    <w:rsid w:val="00E90774"/>
    <w:rsid w:val="00E90C61"/>
    <w:rsid w:val="00E90D78"/>
    <w:rsid w:val="00E92A82"/>
    <w:rsid w:val="00E92AA8"/>
    <w:rsid w:val="00E92B62"/>
    <w:rsid w:val="00E9344E"/>
    <w:rsid w:val="00E93E39"/>
    <w:rsid w:val="00E94391"/>
    <w:rsid w:val="00E94B2F"/>
    <w:rsid w:val="00E952E4"/>
    <w:rsid w:val="00E957A5"/>
    <w:rsid w:val="00E97E2B"/>
    <w:rsid w:val="00EA08CA"/>
    <w:rsid w:val="00EA0C0C"/>
    <w:rsid w:val="00EA1692"/>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A8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39AF"/>
    <w:rsid w:val="00EF3FEB"/>
    <w:rsid w:val="00EF40E2"/>
    <w:rsid w:val="00EF61C1"/>
    <w:rsid w:val="00EF6E68"/>
    <w:rsid w:val="00EF76DB"/>
    <w:rsid w:val="00F005FD"/>
    <w:rsid w:val="00F016BE"/>
    <w:rsid w:val="00F027B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5AC0"/>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6EF"/>
    <w:rsid w:val="00F52B28"/>
    <w:rsid w:val="00F536BB"/>
    <w:rsid w:val="00F53755"/>
    <w:rsid w:val="00F53E59"/>
    <w:rsid w:val="00F5475B"/>
    <w:rsid w:val="00F55B5D"/>
    <w:rsid w:val="00F574D0"/>
    <w:rsid w:val="00F6031F"/>
    <w:rsid w:val="00F61664"/>
    <w:rsid w:val="00F61B99"/>
    <w:rsid w:val="00F61E8C"/>
    <w:rsid w:val="00F64C45"/>
    <w:rsid w:val="00F6502B"/>
    <w:rsid w:val="00F6612A"/>
    <w:rsid w:val="00F66724"/>
    <w:rsid w:val="00F67F04"/>
    <w:rsid w:val="00F70207"/>
    <w:rsid w:val="00F7026C"/>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4DB2"/>
    <w:rsid w:val="00FA5524"/>
    <w:rsid w:val="00FA5535"/>
    <w:rsid w:val="00FA7206"/>
    <w:rsid w:val="00FA7EFB"/>
    <w:rsid w:val="00FB0816"/>
    <w:rsid w:val="00FB08C2"/>
    <w:rsid w:val="00FB3DD1"/>
    <w:rsid w:val="00FB4CE4"/>
    <w:rsid w:val="00FB51FD"/>
    <w:rsid w:val="00FB5667"/>
    <w:rsid w:val="00FB7A97"/>
    <w:rsid w:val="00FC1601"/>
    <w:rsid w:val="00FC1B9B"/>
    <w:rsid w:val="00FC318D"/>
    <w:rsid w:val="00FC36CF"/>
    <w:rsid w:val="00FC40BC"/>
    <w:rsid w:val="00FC41FC"/>
    <w:rsid w:val="00FC4F6E"/>
    <w:rsid w:val="00FC506C"/>
    <w:rsid w:val="00FC578C"/>
    <w:rsid w:val="00FC5A37"/>
    <w:rsid w:val="00FC75E4"/>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256E"/>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ru v:ext="edit" colors="#2d4491,#283583"/>
    </o:shapedefaults>
    <o:shapelayout v:ext="edit">
      <o:idmap v:ext="edit" data="1"/>
    </o:shapelayout>
  </w:shapeDefaults>
  <w:decimalSymbol w:val=","/>
  <w:listSeparator w:val=";"/>
  <w14:docId w14:val="3C3E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locked="0" w:semiHidden="0" w:uiPriority="9" w:unhideWhenUsed="0" w:qFormat="1"/>
    <w:lsdException w:name="heading 6" w:locked="0" w:semiHidden="0" w:unhideWhenUsed="0" w:qFormat="1"/>
    <w:lsdException w:name="heading 7" w:locked="0" w:qFormat="1"/>
    <w:lsdException w:name="heading 8" w:locked="0" w:qFormat="1"/>
    <w:lsdException w:name="heading 9" w:locked="0" w:qFormat="1"/>
    <w:lsdException w:name="toc 1" w:locked="0" w:uiPriority="39" w:qFormat="1"/>
    <w:lsdException w:name="toc 2" w:locked="0" w:uiPriority="39" w:qFormat="1"/>
    <w:lsdException w:name="toc 3" w:locked="0" w:uiPriority="39" w:qFormat="1"/>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qFormat="1"/>
    <w:lsdException w:name="annotation text" w:locked="0"/>
    <w:lsdException w:name="header" w:locked="0"/>
    <w:lsdException w:name="footer" w:locked="0" w:uiPriority="99"/>
    <w:lsdException w:name="caption" w:locked="0" w:qFormat="1"/>
    <w:lsdException w:name="table of figures" w:locked="0"/>
    <w:lsdException w:name="footnote reference" w:locked="0" w:uiPriority="99" w:qFormat="1"/>
    <w:lsdException w:name="annotation reference" w:locked="0"/>
    <w:lsdException w:name="line number" w:locked="0" w:uiPriority="99"/>
    <w:lsdException w:name="page number" w:locked="0"/>
    <w:lsdException w:name="endnote reference" w:locked="0"/>
    <w:lsdException w:name="endnote text" w:locked="0"/>
    <w:lsdException w:name="List Bullet" w:locked="0"/>
    <w:lsdException w:name="List Number" w:locked="0" w:semiHidden="0" w:unhideWhenUsed="0"/>
    <w:lsdException w:name="List 4" w:semiHidden="0" w:unhideWhenUsed="0"/>
    <w:lsdException w:name="List 5" w:semiHidden="0" w:unhideWhenUsed="0"/>
    <w:lsdException w:name="List Bullet 2" w:locked="0"/>
    <w:lsdException w:name="List Bullet 3" w:locked="0"/>
    <w:lsdException w:name="List Bullet 4" w:locked="0"/>
    <w:lsdException w:name="List Number 2" w:locked="0"/>
    <w:lsdException w:name="List Number 3" w:locked="0"/>
    <w:lsdException w:name="List Number 4" w:locked="0"/>
    <w:lsdException w:name="Title" w:locked="0" w:semiHidden="0" w:uiPriority="10" w:unhideWhenUsed="0" w:qFormat="1"/>
    <w:lsdException w:name="Default Paragraph Font" w:locked="0" w:uiPriority="1"/>
    <w:lsdException w:name="Body Text" w:lock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locked="0" w:uiPriority="99"/>
    <w:lsdException w:name="FollowedHyperlink" w:locked="0"/>
    <w:lsdException w:name="Strong" w:locked="0" w:semiHidden="0" w:unhideWhenUsed="0" w:qFormat="1"/>
    <w:lsdException w:name="Emphasis" w:locked="0" w:semiHidden="0" w:uiPriority="20" w:unhideWhenUsed="0" w:qFormat="1"/>
    <w:lsdException w:name="Document Map" w:locked="0"/>
    <w:lsdException w:name="Plain Text" w:locked="0"/>
    <w:lsdException w:name="HTML Top of Form" w:locked="0"/>
    <w:lsdException w:name="HTML Bottom of Form" w:locked="0"/>
    <w:lsdException w:name="Normal (Web)" w:locked="0"/>
    <w:lsdException w:name="Normal Table" w:locked="0"/>
    <w:lsdException w:name="annotation subject" w:locked="0"/>
    <w:lsdException w:name="No List" w:locked="0" w:uiPriority="99"/>
    <w:lsdException w:name="Balloon Text" w:locked="0"/>
    <w:lsdException w:name="Table Grid" w:locked="0" w:semiHidden="0" w:uiPriority="39" w:unhideWhenUsed="0"/>
    <w:lsdException w:name="Placeholder Text" w:locked="0"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locked="0"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uiPriority="39" w:qFormat="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locked="0" w:semiHidden="0" w:uiPriority="9" w:unhideWhenUsed="0" w:qFormat="1"/>
    <w:lsdException w:name="heading 6" w:locked="0" w:semiHidden="0" w:unhideWhenUsed="0" w:qFormat="1"/>
    <w:lsdException w:name="heading 7" w:locked="0" w:qFormat="1"/>
    <w:lsdException w:name="heading 8" w:locked="0" w:qFormat="1"/>
    <w:lsdException w:name="heading 9" w:locked="0" w:qFormat="1"/>
    <w:lsdException w:name="toc 1" w:locked="0" w:uiPriority="39" w:qFormat="1"/>
    <w:lsdException w:name="toc 2" w:locked="0" w:uiPriority="39" w:qFormat="1"/>
    <w:lsdException w:name="toc 3" w:locked="0" w:uiPriority="39" w:qFormat="1"/>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qFormat="1"/>
    <w:lsdException w:name="annotation text" w:locked="0"/>
    <w:lsdException w:name="header" w:locked="0"/>
    <w:lsdException w:name="footer" w:locked="0" w:uiPriority="99"/>
    <w:lsdException w:name="caption" w:locked="0" w:qFormat="1"/>
    <w:lsdException w:name="table of figures" w:locked="0"/>
    <w:lsdException w:name="footnote reference" w:locked="0" w:uiPriority="99" w:qFormat="1"/>
    <w:lsdException w:name="annotation reference" w:locked="0"/>
    <w:lsdException w:name="line number" w:locked="0" w:uiPriority="99"/>
    <w:lsdException w:name="page number" w:locked="0"/>
    <w:lsdException w:name="endnote reference" w:locked="0"/>
    <w:lsdException w:name="endnote text" w:locked="0"/>
    <w:lsdException w:name="List Bullet" w:locked="0"/>
    <w:lsdException w:name="List Number" w:locked="0" w:semiHidden="0" w:unhideWhenUsed="0"/>
    <w:lsdException w:name="List 4" w:semiHidden="0" w:unhideWhenUsed="0"/>
    <w:lsdException w:name="List 5" w:semiHidden="0" w:unhideWhenUsed="0"/>
    <w:lsdException w:name="List Bullet 2" w:locked="0"/>
    <w:lsdException w:name="List Bullet 3" w:locked="0"/>
    <w:lsdException w:name="List Bullet 4" w:locked="0"/>
    <w:lsdException w:name="List Number 2" w:locked="0"/>
    <w:lsdException w:name="List Number 3" w:locked="0"/>
    <w:lsdException w:name="List Number 4" w:locked="0"/>
    <w:lsdException w:name="Title" w:locked="0" w:semiHidden="0" w:uiPriority="10" w:unhideWhenUsed="0" w:qFormat="1"/>
    <w:lsdException w:name="Default Paragraph Font" w:locked="0" w:uiPriority="1"/>
    <w:lsdException w:name="Body Text" w:lock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locked="0" w:uiPriority="99"/>
    <w:lsdException w:name="FollowedHyperlink" w:locked="0"/>
    <w:lsdException w:name="Strong" w:locked="0" w:semiHidden="0" w:unhideWhenUsed="0" w:qFormat="1"/>
    <w:lsdException w:name="Emphasis" w:locked="0" w:semiHidden="0" w:uiPriority="20" w:unhideWhenUsed="0" w:qFormat="1"/>
    <w:lsdException w:name="Document Map" w:locked="0"/>
    <w:lsdException w:name="Plain Text" w:locked="0"/>
    <w:lsdException w:name="HTML Top of Form" w:locked="0"/>
    <w:lsdException w:name="HTML Bottom of Form" w:locked="0"/>
    <w:lsdException w:name="Normal (Web)" w:locked="0"/>
    <w:lsdException w:name="Normal Table" w:locked="0"/>
    <w:lsdException w:name="annotation subject" w:locked="0"/>
    <w:lsdException w:name="No List" w:locked="0" w:uiPriority="99"/>
    <w:lsdException w:name="Balloon Text" w:locked="0"/>
    <w:lsdException w:name="Table Grid" w:locked="0" w:semiHidden="0" w:uiPriority="39" w:unhideWhenUsed="0"/>
    <w:lsdException w:name="Placeholder Text" w:locked="0"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locked="0"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uiPriority="39" w:qFormat="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666250338">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34411050">
      <w:bodyDiv w:val="1"/>
      <w:marLeft w:val="0"/>
      <w:marRight w:val="0"/>
      <w:marTop w:val="0"/>
      <w:marBottom w:val="0"/>
      <w:divBdr>
        <w:top w:val="none" w:sz="0" w:space="0" w:color="auto"/>
        <w:left w:val="none" w:sz="0" w:space="0" w:color="auto"/>
        <w:bottom w:val="none" w:sz="0" w:space="0" w:color="auto"/>
        <w:right w:val="none" w:sz="0" w:space="0" w:color="auto"/>
      </w:divBdr>
    </w:div>
    <w:div w:id="1346010564">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32193970">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2016</Year>
    <TaxCatchAll xmlns="20fbe147-bbda-4e53-b6b1-7e8bbff3fe19">
      <Value>503</Value>
      <Value>1</Value>
      <Value>2</Value>
      <Value>484</Value>
      <Value>504</Value>
    </TaxCatchAll>
    <_dlc_DocId xmlns="20fbe147-bbda-4e53-b6b1-7e8bbff3fe19">ESMA70-156-1394</_dlc_DocId>
    <_dlc_DocIdUrl xmlns="20fbe147-bbda-4e53-b6b1-7e8bbff3fe19">
      <Url>https://sherpa.esma.europa.eu/sites/MKT/SMK/_layouts/15/DocIdRedir.aspx?ID=ESMA70-156-1394</Url>
      <Description>ESMA70-156-1394</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Market Abuse</TermName>
          <TermId xmlns="http://schemas.microsoft.com/office/infopath/2007/PartnerControls">c480dd12-5209-4ca4-80a5-d0e37753c09e</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Market Abuse - MAR Review</TermName>
          <TermId xmlns="http://schemas.microsoft.com/office/infopath/2007/PartnerControls">786475ed-b1e5-40bb-bf2b-734cb3546e7a</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2.xml><?xml version="1.0" encoding="utf-8"?>
<ds:datastoreItem xmlns:ds="http://schemas.openxmlformats.org/officeDocument/2006/customXml" ds:itemID="{77BADFFE-41E0-49BC-8A9B-46A2984C2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www.w3.org/XML/1998/namespace"/>
    <ds:schemaRef ds:uri="http://purl.org/dc/terms/"/>
    <ds:schemaRef ds:uri="http://schemas.microsoft.com/sharepoint/v4"/>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20fbe147-bbda-4e53-b6b1-7e8bbff3fe19"/>
    <ds:schemaRef ds:uri="http://schemas.microsoft.com/sharepoint/v3"/>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31C8421E-DFD8-4B73-8E1E-69F7A4B9C7E3}">
  <ds:schemaRefs>
    <ds:schemaRef ds:uri="http://schemas.openxmlformats.org/officeDocument/2006/bibliography"/>
  </ds:schemaRefs>
</ds:datastoreItem>
</file>

<file path=customXml/itemProps6.xml><?xml version="1.0" encoding="utf-8"?>
<ds:datastoreItem xmlns:ds="http://schemas.openxmlformats.org/officeDocument/2006/customXml" ds:itemID="{FB413D46-8E5C-444B-83FC-A7C49FE4C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6407</Words>
  <Characters>36493</Characters>
  <Application>Microsoft Office Word</Application>
  <DocSecurity>8</DocSecurity>
  <Lines>304</Lines>
  <Paragraphs>85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42815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citadmin</cp:lastModifiedBy>
  <cp:revision>8</cp:revision>
  <cp:lastPrinted>2019-11-29T13:26:00Z</cp:lastPrinted>
  <dcterms:created xsi:type="dcterms:W3CDTF">2019-11-29T08:08:00Z</dcterms:created>
  <dcterms:modified xsi:type="dcterms:W3CDTF">2019-11-29T13:29:00Z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2d5b60f3-5771-4094-9bd7-de24e244202d</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503;#Market Abuse|c480dd12-5209-4ca4-80a5-d0e37753c09e</vt:lpwstr>
  </property>
  <property fmtid="{D5CDD505-2E9C-101B-9397-08002B2CF9AE}" pid="7" name="ConfidentialityLevel">
    <vt:lpwstr>2;#Restricted|187aa7e6-627f-4951-b138-6ff841dc883d</vt:lpwstr>
  </property>
  <property fmtid="{D5CDD505-2E9C-101B-9397-08002B2CF9AE}" pid="8" name="DocumentType">
    <vt:lpwstr>1;#Note|b9e1c92e-303a-4555-86f0-5c711c65937e</vt:lpwstr>
  </property>
  <property fmtid="{D5CDD505-2E9C-101B-9397-08002B2CF9AE}" pid="9" name="SubTopic">
    <vt:lpwstr>504;#Market Abuse - MAR Review|786475ed-b1e5-40bb-bf2b-734cb3546e7a</vt:lpwstr>
  </property>
</Properties>
</file>