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bookmarkStart w:id="1" w:name="_GoBack"/>
      <w:r w:rsidRPr="00EF0769">
        <w:rPr>
          <w:rFonts w:cs="Arial"/>
        </w:rPr>
        <w:t>ESMA_</w:t>
      </w:r>
      <w:r w:rsidR="00227C1A">
        <w:rPr>
          <w:rFonts w:cs="Arial"/>
        </w:rPr>
        <w:t>CP_MAR_</w:t>
      </w:r>
      <w:r w:rsidRPr="00EF0769">
        <w:rPr>
          <w:rFonts w:cs="Arial"/>
        </w:rPr>
        <w:t>NAMEOFCOMPANY_NAMEOFDOCUMENT</w:t>
      </w:r>
      <w:bookmarkEnd w:id="1"/>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3C3E0A16" w14:textId="7DAD54A4" w:rsidR="00C2682A" w:rsidRPr="00AB6D88" w:rsidRDefault="00AF6D73" w:rsidP="00FA5524">
                <w:pPr>
                  <w:rPr>
                    <w:rStyle w:val="PlaceholderText"/>
                    <w:rFonts w:cs="Arial"/>
                  </w:rPr>
                </w:pPr>
                <w:r>
                  <w:rPr>
                    <w:rStyle w:val="PlaceholderText"/>
                    <w:rFonts w:cs="Arial"/>
                  </w:rPr>
                  <w:t>K</w:t>
                </w:r>
                <w:r>
                  <w:rPr>
                    <w:rStyle w:val="PlaceholderText"/>
                  </w:rPr>
                  <w:t xml:space="preserve">BC </w:t>
                </w:r>
                <w:proofErr w:type="spellStart"/>
                <w:r>
                  <w:rPr>
                    <w:rStyle w:val="PlaceholderText"/>
                  </w:rPr>
                  <w:t>Groep</w:t>
                </w:r>
                <w:proofErr w:type="spellEnd"/>
                <w:r>
                  <w:rPr>
                    <w:rStyle w:val="PlaceholderText"/>
                  </w:rPr>
                  <w:t xml:space="preserve"> NV</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42F2147C" w:rsidR="00C2682A" w:rsidRPr="00AB6D88" w:rsidRDefault="00A50E53"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F6D73">
                  <w:rPr>
                    <w:rFonts w:cs="Arial"/>
                  </w:rPr>
                  <w:t>Banking sector</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C3E0A1C"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6B7CA8B4" w:rsidR="00C2682A" w:rsidRPr="00AB6D88" w:rsidRDefault="00AF6D73" w:rsidP="00FA5524">
                <w:pPr>
                  <w:rPr>
                    <w:rFonts w:cs="Arial"/>
                  </w:rPr>
                </w:pPr>
                <w:r>
                  <w:rPr>
                    <w:rFonts w:cs="Arial"/>
                  </w:rPr>
                  <w:t>Belgium</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7777777" w:rsidR="00F87897" w:rsidRDefault="00F87897"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6AD2BF37" w:rsidR="00A8728B" w:rsidRDefault="00171FC3" w:rsidP="00A8728B">
      <w:permStart w:id="751114692" w:edGrp="everyone"/>
      <w:r w:rsidRPr="006E3798">
        <w:rPr>
          <w:rFonts w:cs="Arial"/>
          <w:szCs w:val="20"/>
          <w:lang w:val="en-US"/>
        </w:rPr>
        <w:t>In our opinion the scope of MAR should not be extended to FX spot transactions for the reason that the market has already initiated soft law (i.e. the FX Global Code of Conduct) in order to avoid manipulation and misconduct when trading this type of product. ESMA itself has stated that the FX Global Code of Conduct has brought about progress in terms of conduct issues in the FX spot market. Before widening the scope of MAR to FX spot transactions, the positive and negative effects that this code has brought about need to be thoroughly analysed. The practical implications of such a change in the Regulation cannot be underestimated for supervisory authorities and market participants alike.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31FE82B0" w:rsidR="00A8728B" w:rsidRDefault="00171FC3" w:rsidP="00A8728B">
      <w:permStart w:id="1040662039" w:edGrp="everyone"/>
      <w:r w:rsidRPr="006E3798">
        <w:rPr>
          <w:rFonts w:cs="Arial"/>
          <w:szCs w:val="20"/>
          <w:lang w:val="en-US"/>
        </w:rPr>
        <w:t>We agree with ESMA's preliminary view. As for any additional regulatory changes, the question arises whether FX spot transactions would be qualified as financial instruments as defined under MIFID. This would in any case need to be avoided. We would consider it unnecessarily burdensome to subject the FX spot market to other regulations such as MIFID/MIFIR and EMIR as a consequence of that.</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42022B9" w:rsidR="002E1760" w:rsidRDefault="00D32877" w:rsidP="002E1760">
      <w:permStart w:id="1114596086" w:edGrp="everyone"/>
      <w:r w:rsidRPr="00D32877">
        <w:t>Yes, we agree with ESMA's analysis. Since MAR and BMR deal with different problematics, we consider that differences between both definitions are justified and do not require changes for purposes of alignment.</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C1E2168" w:rsidR="002E1760" w:rsidRDefault="00D32877" w:rsidP="002E1760">
      <w:permStart w:id="1507552575" w:edGrp="everyone"/>
      <w:r w:rsidRPr="00D32877">
        <w:t>Yes, we agree with ESMA's view that references should be made to administrators of benchmarks and supervised contributors.</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lastRenderedPageBreak/>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03C4E41C" w14:textId="77777777" w:rsidR="00D32877" w:rsidRDefault="00D32877" w:rsidP="00D32877">
      <w:pPr>
        <w:rPr>
          <w:rFonts w:cs="Arial"/>
          <w:lang w:val="en-US"/>
        </w:rPr>
      </w:pPr>
      <w:permStart w:id="325415610" w:edGrp="everyone"/>
      <w:r w:rsidRPr="00001114">
        <w:rPr>
          <w:rFonts w:cs="Arial"/>
          <w:b/>
          <w:bCs/>
          <w:lang w:val="en-US"/>
        </w:rPr>
        <w:t>Yes</w:t>
      </w:r>
      <w:r>
        <w:rPr>
          <w:rFonts w:cs="Arial"/>
          <w:lang w:val="en-US"/>
        </w:rPr>
        <w:t>, w</w:t>
      </w:r>
      <w:r w:rsidRPr="00AF3577">
        <w:rPr>
          <w:rFonts w:cs="Arial"/>
          <w:lang w:val="en-US"/>
        </w:rPr>
        <w:t xml:space="preserve">e agree with ESMA's </w:t>
      </w:r>
      <w:r>
        <w:rPr>
          <w:rFonts w:cs="Arial"/>
          <w:lang w:val="en-US"/>
        </w:rPr>
        <w:t>analysis that reference should be made to administrator of benchmarks and supervised contributors in point (g) of Article 23. Considering the wide wording of Article 23 (“</w:t>
      </w:r>
      <w:r w:rsidRPr="00680E16">
        <w:rPr>
          <w:rFonts w:cs="Arial"/>
          <w:i/>
          <w:iCs/>
          <w:lang w:val="en-US"/>
        </w:rPr>
        <w:t>access to any document and data</w:t>
      </w:r>
      <w:r>
        <w:rPr>
          <w:rFonts w:cs="Arial"/>
          <w:lang w:val="en-US"/>
        </w:rPr>
        <w:t xml:space="preserve">” for instances), we do not share the view that other provisions should be amended in Article 23 to tackle manipulation of benchmarks. </w:t>
      </w:r>
    </w:p>
    <w:permEnd w:id="325415610"/>
    <w:p w14:paraId="3C3E0A40" w14:textId="4C4B6740" w:rsidR="00227C1A" w:rsidRDefault="00227C1A" w:rsidP="00227C1A"/>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0AC88939" w14:textId="77777777" w:rsidR="00D32877" w:rsidRDefault="00D32877" w:rsidP="00D32877">
      <w:pPr>
        <w:rPr>
          <w:rFonts w:cs="Arial"/>
          <w:b/>
          <w:bCs/>
          <w:lang w:val="en-US"/>
        </w:rPr>
      </w:pPr>
      <w:permStart w:id="970343703" w:edGrp="everyone"/>
      <w:r>
        <w:rPr>
          <w:rFonts w:cs="Arial"/>
          <w:b/>
          <w:bCs/>
          <w:lang w:val="en-US"/>
        </w:rPr>
        <w:t xml:space="preserve">No, </w:t>
      </w:r>
      <w:r>
        <w:rPr>
          <w:rFonts w:cs="Arial"/>
          <w:lang w:val="en-US"/>
        </w:rPr>
        <w:t>w</w:t>
      </w:r>
      <w:r w:rsidRPr="00AF3577">
        <w:rPr>
          <w:rFonts w:cs="Arial"/>
          <w:lang w:val="en-US"/>
        </w:rPr>
        <w:t xml:space="preserve">e </w:t>
      </w:r>
      <w:r>
        <w:rPr>
          <w:rFonts w:cs="Arial"/>
          <w:lang w:val="en-US"/>
        </w:rPr>
        <w:t xml:space="preserve">don’t </w:t>
      </w:r>
      <w:r w:rsidRPr="00AF3577">
        <w:rPr>
          <w:rFonts w:cs="Arial"/>
          <w:lang w:val="en-US"/>
        </w:rPr>
        <w:t xml:space="preserve">agree with ESMA's </w:t>
      </w:r>
      <w:r>
        <w:rPr>
          <w:rFonts w:cs="Arial"/>
          <w:lang w:val="en-US"/>
        </w:rPr>
        <w:t>view since Article 30 refers also to “any other natural persons who is held responsible for the infringement”.</w:t>
      </w:r>
    </w:p>
    <w:permEnd w:id="970343703"/>
    <w:p w14:paraId="3C3E0A45" w14:textId="0346D7B0" w:rsidR="0062022D" w:rsidRDefault="0062022D" w:rsidP="0062022D"/>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2AE3F7AE" w14:textId="77777777" w:rsidR="00D32877" w:rsidRDefault="00D32877" w:rsidP="00D32877">
      <w:pPr>
        <w:pStyle w:val="PlainText"/>
        <w:rPr>
          <w:rFonts w:ascii="Arial" w:hAnsi="Arial" w:cs="Arial"/>
          <w:lang w:val="en-US"/>
        </w:rPr>
      </w:pPr>
      <w:permStart w:id="707658946" w:edGrp="everyone"/>
      <w:r w:rsidRPr="006329DC">
        <w:rPr>
          <w:rFonts w:ascii="Arial" w:hAnsi="Arial" w:cs="Arial"/>
          <w:b/>
          <w:bCs/>
          <w:lang w:val="en-US"/>
        </w:rPr>
        <w:t>Yes</w:t>
      </w:r>
      <w:r w:rsidRPr="006329DC">
        <w:rPr>
          <w:rFonts w:ascii="Arial" w:hAnsi="Arial" w:cs="Arial"/>
          <w:lang w:val="en-US"/>
        </w:rPr>
        <w:t>, simplification is appropriate</w:t>
      </w:r>
      <w:r>
        <w:rPr>
          <w:rFonts w:ascii="Arial" w:hAnsi="Arial" w:cs="Arial"/>
          <w:lang w:val="en-US"/>
        </w:rPr>
        <w:t>.</w:t>
      </w:r>
    </w:p>
    <w:permEnd w:id="707658946"/>
    <w:p w14:paraId="3C3E0A4A" w14:textId="0D525718" w:rsidR="00A263DF" w:rsidRDefault="00A263DF" w:rsidP="00A263DF"/>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50C16DA9" w14:textId="77777777" w:rsidR="00D32877" w:rsidRDefault="00D32877" w:rsidP="00D32877">
      <w:pPr>
        <w:pStyle w:val="PlainText"/>
        <w:rPr>
          <w:rFonts w:ascii="Arial" w:hAnsi="Arial" w:cs="Arial"/>
          <w:lang w:val="en-US"/>
        </w:rPr>
      </w:pPr>
      <w:permStart w:id="797404044" w:edGrp="everyone"/>
      <w:r w:rsidRPr="006329DC">
        <w:rPr>
          <w:rFonts w:ascii="Arial" w:hAnsi="Arial" w:cs="Arial"/>
          <w:b/>
          <w:bCs/>
          <w:lang w:val="en-US"/>
        </w:rPr>
        <w:t>Yes</w:t>
      </w:r>
      <w:r>
        <w:rPr>
          <w:rFonts w:ascii="Arial" w:hAnsi="Arial" w:cs="Arial"/>
          <w:lang w:val="en-US"/>
        </w:rPr>
        <w:t>,</w:t>
      </w:r>
      <w:r w:rsidRPr="006329DC">
        <w:rPr>
          <w:rFonts w:ascii="Arial" w:hAnsi="Arial" w:cs="Arial"/>
          <w:lang w:val="en-US"/>
        </w:rPr>
        <w:t xml:space="preserve"> option 3 seems the most advisable change. The reasons are the ones stated in the document.</w:t>
      </w:r>
    </w:p>
    <w:p w14:paraId="2798D020" w14:textId="77777777" w:rsidR="00D32877" w:rsidRDefault="00D32877" w:rsidP="00D32877">
      <w:pPr>
        <w:pStyle w:val="PlainText"/>
        <w:rPr>
          <w:rFonts w:ascii="Arial" w:hAnsi="Arial" w:cs="Arial"/>
          <w:lang w:val="en-US"/>
        </w:rPr>
      </w:pPr>
    </w:p>
    <w:permEnd w:id="797404044"/>
    <w:p w14:paraId="3C3E0A4F" w14:textId="657B92F3" w:rsidR="00A263DF" w:rsidRDefault="00A263DF" w:rsidP="00A263DF"/>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E485C01" w14:textId="77777777" w:rsidR="00D32877" w:rsidRPr="006329DC" w:rsidRDefault="00D32877" w:rsidP="00D32877">
      <w:pPr>
        <w:pStyle w:val="PlainText"/>
        <w:rPr>
          <w:rFonts w:ascii="Arial" w:hAnsi="Arial" w:cs="Arial"/>
          <w:lang w:val="en-US"/>
        </w:rPr>
      </w:pPr>
      <w:permStart w:id="1572474776" w:edGrp="everyone"/>
      <w:r w:rsidRPr="006329DC">
        <w:rPr>
          <w:rFonts w:ascii="Arial" w:hAnsi="Arial" w:cs="Arial"/>
          <w:b/>
          <w:bCs/>
          <w:lang w:val="en-US"/>
        </w:rPr>
        <w:t>Yes</w:t>
      </w:r>
      <w:r w:rsidRPr="006329DC">
        <w:rPr>
          <w:rFonts w:ascii="Arial" w:hAnsi="Arial" w:cs="Arial"/>
          <w:lang w:val="en-US"/>
        </w:rPr>
        <w:t>, complexity and redundancy does not seem to bring much added value (as long as the detailed transaction information is available)</w:t>
      </w:r>
    </w:p>
    <w:permEnd w:id="1572474776"/>
    <w:p w14:paraId="3C3E0A54" w14:textId="6DDC7A2F" w:rsidR="002E1760" w:rsidRDefault="002E1760" w:rsidP="002E1760"/>
    <w:p w14:paraId="3C3E0A55" w14:textId="77777777" w:rsidR="002E1760" w:rsidRDefault="002E1760" w:rsidP="002E1760">
      <w:r>
        <w:lastRenderedPageBreak/>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20749B60" w14:textId="77777777" w:rsidR="00D32877" w:rsidRPr="006329DC" w:rsidRDefault="00D32877" w:rsidP="00D32877">
      <w:pPr>
        <w:pStyle w:val="PlainText"/>
        <w:rPr>
          <w:rFonts w:ascii="Arial" w:hAnsi="Arial" w:cs="Arial"/>
          <w:lang w:val="en-US"/>
        </w:rPr>
      </w:pPr>
      <w:permStart w:id="1766684248" w:edGrp="everyone"/>
      <w:r>
        <w:rPr>
          <w:rFonts w:ascii="Arial" w:hAnsi="Arial" w:cs="Arial"/>
          <w:lang w:val="en-US"/>
        </w:rPr>
        <w:t>N</w:t>
      </w:r>
      <w:r w:rsidRPr="006329DC">
        <w:rPr>
          <w:rFonts w:ascii="Arial" w:hAnsi="Arial" w:cs="Arial"/>
          <w:lang w:val="en-US"/>
        </w:rPr>
        <w:t>o specific stance</w:t>
      </w:r>
      <w:r>
        <w:rPr>
          <w:rFonts w:ascii="Arial" w:hAnsi="Arial" w:cs="Arial"/>
          <w:lang w:val="en-US"/>
        </w:rPr>
        <w:t>.</w:t>
      </w:r>
    </w:p>
    <w:permEnd w:id="1766684248"/>
    <w:p w14:paraId="3C3E0A59" w14:textId="403D9684" w:rsidR="008418E3" w:rsidRDefault="008418E3" w:rsidP="008418E3"/>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546263A9" w14:textId="77777777" w:rsidR="00D32877" w:rsidRPr="006329DC" w:rsidRDefault="00D32877" w:rsidP="00D32877">
      <w:pPr>
        <w:pStyle w:val="PlainText"/>
        <w:rPr>
          <w:rFonts w:ascii="Arial" w:hAnsi="Arial" w:cs="Arial"/>
          <w:lang w:val="en-US"/>
        </w:rPr>
      </w:pPr>
      <w:permStart w:id="332164447" w:edGrp="everyone"/>
      <w:r w:rsidRPr="006329DC">
        <w:rPr>
          <w:rFonts w:ascii="Arial" w:hAnsi="Arial" w:cs="Arial"/>
          <w:b/>
          <w:bCs/>
          <w:lang w:val="en-US"/>
        </w:rPr>
        <w:t>Yes</w:t>
      </w:r>
      <w:r w:rsidRPr="006329DC">
        <w:rPr>
          <w:rFonts w:ascii="Arial" w:hAnsi="Arial" w:cs="Arial"/>
          <w:lang w:val="en-US"/>
        </w:rPr>
        <w:t xml:space="preserve">, </w:t>
      </w:r>
      <w:r>
        <w:rPr>
          <w:rFonts w:ascii="Arial" w:hAnsi="Arial" w:cs="Arial"/>
          <w:lang w:val="en-US"/>
        </w:rPr>
        <w:t>t</w:t>
      </w:r>
      <w:r w:rsidRPr="006329DC">
        <w:rPr>
          <w:rFonts w:ascii="Arial" w:hAnsi="Arial" w:cs="Arial"/>
          <w:lang w:val="en-US"/>
        </w:rPr>
        <w:t>he info</w:t>
      </w:r>
      <w:r>
        <w:rPr>
          <w:rFonts w:ascii="Arial" w:hAnsi="Arial" w:cs="Arial"/>
          <w:lang w:val="en-US"/>
        </w:rPr>
        <w:t>rmation</w:t>
      </w:r>
      <w:r w:rsidRPr="006329DC">
        <w:rPr>
          <w:rFonts w:ascii="Arial" w:hAnsi="Arial" w:cs="Arial"/>
          <w:lang w:val="en-US"/>
        </w:rPr>
        <w:t xml:space="preserve"> on transaction level is probably only useful for monitoring/sanctioning purposes and thus for authorities, but does not seem to bring much added value for investors, for whom the aggregate info</w:t>
      </w:r>
      <w:r>
        <w:rPr>
          <w:rFonts w:ascii="Arial" w:hAnsi="Arial" w:cs="Arial"/>
          <w:lang w:val="en-US"/>
        </w:rPr>
        <w:t>rmation</w:t>
      </w:r>
      <w:r w:rsidRPr="006329DC">
        <w:rPr>
          <w:rFonts w:ascii="Arial" w:hAnsi="Arial" w:cs="Arial"/>
          <w:lang w:val="en-US"/>
        </w:rPr>
        <w:t xml:space="preserve"> is sufficient</w:t>
      </w:r>
    </w:p>
    <w:permEnd w:id="332164447"/>
    <w:p w14:paraId="3C3E0A5E" w14:textId="43EC1EB2" w:rsidR="00F469F8" w:rsidRDefault="00F469F8" w:rsidP="00F469F8"/>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77777777" w:rsidR="00646C30" w:rsidRDefault="00646C30" w:rsidP="00646C30">
      <w:permStart w:id="416102086" w:edGrp="everyone"/>
      <w:r>
        <w:t>TYPE YOUR TEXT HERE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lastRenderedPageBreak/>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lastRenderedPageBreak/>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lastRenderedPageBreak/>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48534EEE" w14:textId="77777777" w:rsidR="00171FC3" w:rsidRDefault="00171FC3" w:rsidP="00171FC3">
      <w:permStart w:id="1676897336" w:edGrp="everyone"/>
      <w:r>
        <w:t xml:space="preserve">During the pre-resolution phase, some actions of the resolution authority aimed at preparing for resolution (e.g. the appointment of an independent valuer for the purpose of conducting a valuation) may be considered ‘inside information’. A delay of disclosure of this information based on Article 17(5) MAR will be appropriate. </w:t>
      </w:r>
    </w:p>
    <w:p w14:paraId="3F07C9D1" w14:textId="77777777" w:rsidR="00171FC3" w:rsidRDefault="00171FC3" w:rsidP="00171FC3"/>
    <w:p w14:paraId="28D62A19" w14:textId="77777777" w:rsidR="00171FC3" w:rsidRDefault="00171FC3" w:rsidP="00171FC3">
      <w:r>
        <w:t>According to Belgian law, any decision by the resolution authority that implies the transfer of shares, assets, rights or obligations or the write-down or conversion of liabilities, is subject to an ex-ante judicial ratification (Article 296 et seq. of the Belgian Banking Act). The Belgian legislator has made use of the national discretion accorded under Article 85(1) BRRD. The resolution authority must submit an application to the commercial court of Brussels. The court hearing will take place within three business days from the introduction of this application. The judgment will be pronounced within three working days after the closure of debates. Hence, there may be six days between the decision of the resolution authority and the judgment.</w:t>
      </w:r>
    </w:p>
    <w:p w14:paraId="3B19CC63" w14:textId="77777777" w:rsidR="00171FC3" w:rsidRDefault="00171FC3" w:rsidP="00171FC3"/>
    <w:p w14:paraId="67C2BA7E" w14:textId="77777777" w:rsidR="00171FC3" w:rsidRDefault="00171FC3" w:rsidP="00171FC3">
      <w:r>
        <w:lastRenderedPageBreak/>
        <w:t>According to Article 295 Banking Act, any resolution measure must be published forthwith, where applicable after obtaining the judgment referred to above, on the website of the resolution authority, on the website of the credit institution/holding company and on the FSMA website. This has the following consequences:</w:t>
      </w:r>
    </w:p>
    <w:p w14:paraId="34796D62" w14:textId="77777777" w:rsidR="00171FC3" w:rsidRDefault="00171FC3" w:rsidP="00171FC3">
      <w:r>
        <w:t>(</w:t>
      </w:r>
      <w:proofErr w:type="spellStart"/>
      <w:r>
        <w:t>i</w:t>
      </w:r>
      <w:proofErr w:type="spellEnd"/>
      <w:r>
        <w:t>)</w:t>
      </w:r>
      <w:r>
        <w:tab/>
        <w:t xml:space="preserve">A delay of disclosure of the actions/decisions of the resolution authority based on Article 17, 5° MAR – and a linked suspension of trading of the listed shares – may take longer than a week. This is a very long period during which </w:t>
      </w:r>
      <w:proofErr w:type="spellStart"/>
      <w:r>
        <w:t>rumors</w:t>
      </w:r>
      <w:proofErr w:type="spellEnd"/>
      <w:r>
        <w:t xml:space="preserve"> will start spreading and it will be difficult to maintain confidentiality.</w:t>
      </w:r>
    </w:p>
    <w:p w14:paraId="31661AE0" w14:textId="77777777" w:rsidR="00171FC3" w:rsidRDefault="00171FC3" w:rsidP="00171FC3">
      <w:r>
        <w:t>(ii)</w:t>
      </w:r>
      <w:r>
        <w:tab/>
        <w:t xml:space="preserve">Such a long delay of disclosure will not be possible in practice, because the decision of the judge determining the court hearing (to be taken within 24 hours from the submission of the application to court) must be published by the credit institution/holding company on its website within 24 hours of the notification (cf. Article 299, §2 Banking Act). Once the date of the court hearing will be published, the resolution will be public and a further delay of disclosure will probably no longer be justified, although there is no judgment yet.  </w:t>
      </w:r>
    </w:p>
    <w:permEnd w:id="1676897336"/>
    <w:p w14:paraId="3C3E0AC2" w14:textId="4E0265D3" w:rsidR="00646C30" w:rsidRDefault="00646C30" w:rsidP="00646C30"/>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201A2BB6" w:rsidR="00646C30" w:rsidRDefault="005E6349" w:rsidP="00646C30">
      <w:permStart w:id="610084603" w:edGrp="everyone"/>
      <w:r>
        <w:rPr>
          <w:rFonts w:cs="Arial"/>
          <w:lang w:val="en-US"/>
        </w:rPr>
        <w:t>See our answer to Q.31</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4B3489A9" w14:textId="77777777" w:rsidR="00EE0241" w:rsidRPr="00C62911" w:rsidRDefault="00EE0241" w:rsidP="00EE0241">
      <w:pPr>
        <w:rPr>
          <w:rFonts w:cs="Arial"/>
          <w:lang w:val="en-US"/>
        </w:rPr>
      </w:pPr>
      <w:bookmarkStart w:id="4" w:name="_Hlk24552799"/>
      <w:permStart w:id="1371158119" w:edGrp="everyone"/>
      <w:r>
        <w:rPr>
          <w:rFonts w:cs="Arial"/>
          <w:b/>
          <w:bCs/>
          <w:lang w:val="en-US"/>
        </w:rPr>
        <w:t>Yes</w:t>
      </w:r>
      <w:bookmarkEnd w:id="4"/>
      <w:r>
        <w:rPr>
          <w:rFonts w:cs="Arial"/>
          <w:b/>
          <w:bCs/>
          <w:lang w:val="en-US"/>
        </w:rPr>
        <w:t xml:space="preserve">, </w:t>
      </w:r>
      <w:r>
        <w:rPr>
          <w:rFonts w:cs="Arial"/>
          <w:lang w:val="en-US"/>
        </w:rPr>
        <w:t>we do agree with the proposed amendments as stipulated under nr. 148.</w:t>
      </w:r>
    </w:p>
    <w:p w14:paraId="5D344630" w14:textId="55F8F750" w:rsidR="00C0232E" w:rsidRDefault="00C0232E" w:rsidP="00C0232E">
      <w:pPr>
        <w:rPr>
          <w:rFonts w:cs="Arial"/>
          <w:lang w:val="en-US"/>
        </w:rPr>
      </w:pPr>
    </w:p>
    <w:permEnd w:id="1371158119"/>
    <w:p w14:paraId="3C3E0ACC" w14:textId="4DF2D2A8" w:rsidR="00646C30" w:rsidRDefault="00646C30" w:rsidP="00646C30"/>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0E54F546" w14:textId="77777777" w:rsidR="00EE0241" w:rsidRDefault="00EE0241" w:rsidP="006677AC">
      <w:pPr>
        <w:rPr>
          <w:lang w:val="en-US"/>
        </w:rPr>
      </w:pPr>
      <w:permStart w:id="146477293" w:edGrp="everyone"/>
      <w:r w:rsidRPr="00C62911">
        <w:rPr>
          <w:lang w:val="en-US"/>
        </w:rPr>
        <w:t>Yes, the scope of th</w:t>
      </w:r>
      <w:r>
        <w:rPr>
          <w:lang w:val="en-US"/>
        </w:rPr>
        <w:t xml:space="preserve">e market sounding regime should be  more limited. </w:t>
      </w:r>
    </w:p>
    <w:p w14:paraId="6C5230EE" w14:textId="77777777" w:rsidR="00EE0241" w:rsidRDefault="00EE0241" w:rsidP="006677AC">
      <w:pPr>
        <w:rPr>
          <w:lang w:val="en-US"/>
        </w:rPr>
      </w:pPr>
      <w:r>
        <w:rPr>
          <w:lang w:val="en-US"/>
        </w:rPr>
        <w:t xml:space="preserve">E.g. it should be made clear that contacts in the framework of trading </w:t>
      </w:r>
      <w:proofErr w:type="spellStart"/>
      <w:r>
        <w:rPr>
          <w:lang w:val="en-US"/>
        </w:rPr>
        <w:t>blocks</w:t>
      </w:r>
      <w:proofErr w:type="spellEnd"/>
      <w:r>
        <w:rPr>
          <w:lang w:val="en-US"/>
        </w:rPr>
        <w:t xml:space="preserve"> should not fall into this regime. </w:t>
      </w:r>
    </w:p>
    <w:p w14:paraId="282C04A3" w14:textId="77777777" w:rsidR="00EE0241" w:rsidRDefault="00EE0241" w:rsidP="006677AC">
      <w:pPr>
        <w:rPr>
          <w:rFonts w:cs="Arial"/>
          <w:lang w:val="en-US"/>
        </w:rPr>
      </w:pPr>
      <w:r>
        <w:rPr>
          <w:lang w:val="en-US"/>
        </w:rPr>
        <w:t xml:space="preserve">Also bilateral negotiations either via a DMP or directly, should not fall within the market sounding regime, but covered by </w:t>
      </w:r>
      <w:r>
        <w:rPr>
          <w:rFonts w:cs="Arial"/>
          <w:lang w:val="en-US"/>
        </w:rPr>
        <w:t xml:space="preserve">alternative wall-crossing procedures that ensure information is shared in accordance with Article 14, MAR. For example, by ensuring (e.g. through a non-disclosure agreement) that receivers </w:t>
      </w:r>
      <w:r w:rsidRPr="00693101">
        <w:rPr>
          <w:rFonts w:cs="Arial"/>
          <w:lang w:val="en-US"/>
        </w:rPr>
        <w:t>are aware of, and acknowledge in writing, the legal and regulatory duties entailed and are aware of the sanctions applicable to insider dealing and unlawful disclosure of inside information</w:t>
      </w:r>
      <w:r>
        <w:rPr>
          <w:rFonts w:cs="Arial"/>
          <w:lang w:val="en-US"/>
        </w:rPr>
        <w:t>.</w:t>
      </w:r>
    </w:p>
    <w:p w14:paraId="3C3E0AD1" w14:textId="3BBAA387" w:rsidR="00646C30" w:rsidRDefault="00EE0241" w:rsidP="00646C30">
      <w:r>
        <w:rPr>
          <w:rFonts w:cs="Arial"/>
          <w:lang w:val="en-US"/>
        </w:rPr>
        <w:t>In general a materiality threshold (based on relative volume of a transaction, e.g. volume over a number of trading days, in order to make the following of the extensive and burdensome market sounding regime seems advisable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lastRenderedPageBreak/>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2BE8C699" w:rsidR="00646C30" w:rsidRDefault="00EE0241" w:rsidP="00646C30">
      <w:permStart w:id="73213744" w:edGrp="everyone"/>
      <w:r>
        <w:t>Usually starting with a first call to an investor in accordance with a script that complies with the market sounding regime . If the response from the relevant investor to continue the conversation was affirmative, this may be followed up by further feed-back calls, until the transaction as such (as potential inside info) is announced/made public. From that time a book may be build and if successful the investors at the end thereof receive an allocation confirmation. Thereafter the normal settlement cycle starts</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403FD2A9" w:rsidR="00646C30" w:rsidRDefault="00EE0241" w:rsidP="00646C30">
      <w:permStart w:id="720899510" w:edGrp="everyone"/>
      <w:r w:rsidRPr="00EC3E17">
        <w:rPr>
          <w:b/>
          <w:bCs/>
          <w:lang w:val="en-US"/>
        </w:rPr>
        <w:t>Yes</w:t>
      </w:r>
      <w:r w:rsidRPr="001119E6">
        <w:rPr>
          <w:lang w:val="en-US"/>
        </w:rPr>
        <w:t xml:space="preserve"> in our view if</w:t>
      </w:r>
      <w:r>
        <w:rPr>
          <w:lang w:val="en-US"/>
        </w:rPr>
        <w:t xml:space="preserve"> a transaction is assessed as not needing any announcement (if going through) then the preparatory phase should not be subject to the market sounding regime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0E3ED451" w14:textId="77777777" w:rsidR="006D678A" w:rsidRDefault="006D678A" w:rsidP="006677AC">
      <w:bookmarkStart w:id="5" w:name="_Hlk25738393"/>
      <w:permStart w:id="427762830" w:edGrp="everyone"/>
      <w:r>
        <w:t>It would be good to specify that the booking of roadshows or investor-meetings in the framework of an upcoming public transaction if based on generic information without any specific reference to the identity of the issuer, is as such out of the scope of market sounding.</w:t>
      </w:r>
    </w:p>
    <w:p w14:paraId="3C3E0AE0" w14:textId="1B63E1E0" w:rsidR="00646C30" w:rsidRDefault="006D678A" w:rsidP="00646C30">
      <w:r>
        <w:t>Equally the organisation of early look / general gauging interest in preparation of a first listing (IPO) of an issuer can in our view be out of scope of the market sounding regime</w:t>
      </w:r>
      <w:bookmarkEnd w:id="5"/>
      <w:r>
        <w:t xml:space="preserve"> </w:t>
      </w:r>
      <w:r w:rsidR="00646C30">
        <w:t>T</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25A98868" w14:textId="77777777" w:rsidR="006D678A" w:rsidRDefault="006D678A" w:rsidP="006D678A">
      <w:pPr>
        <w:rPr>
          <w:rFonts w:cs="Arial"/>
          <w:lang w:val="en-US"/>
        </w:rPr>
      </w:pPr>
      <w:permStart w:id="2098217667" w:edGrp="everyone"/>
      <w:r>
        <w:t>One simplification that we see that in the framework of an announcement in relation to a transaction, the DMP/issuer does not need to inform the persons/investors that have participated in the framework of the market sounding  of such announcement</w:t>
      </w:r>
      <w:r>
        <w:rPr>
          <w:rFonts w:cs="Arial"/>
          <w:lang w:val="en-US"/>
        </w:rPr>
        <w:t>.</w:t>
      </w:r>
    </w:p>
    <w:p w14:paraId="5567FC76" w14:textId="7351D6C7" w:rsidR="00D32877" w:rsidRDefault="00D32877" w:rsidP="00D32877">
      <w:pPr>
        <w:rPr>
          <w:rFonts w:cs="Arial"/>
          <w:lang w:val="en-US"/>
        </w:rPr>
      </w:pPr>
    </w:p>
    <w:permEnd w:id="2098217667"/>
    <w:p w14:paraId="3C3E0AE5" w14:textId="144926F3" w:rsidR="00646C30" w:rsidRDefault="00646C30" w:rsidP="00646C30"/>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lastRenderedPageBreak/>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62F10777" w14:textId="77777777" w:rsidR="00D32877" w:rsidRDefault="00D32877" w:rsidP="00D32877">
      <w:pPr>
        <w:rPr>
          <w:rFonts w:cs="Arial"/>
          <w:lang w:val="en-US"/>
        </w:rPr>
      </w:pPr>
      <w:permStart w:id="1933056180" w:edGrp="everyone"/>
      <w:r w:rsidRPr="008444A4">
        <w:rPr>
          <w:rFonts w:cs="Arial"/>
          <w:b/>
          <w:bCs/>
          <w:lang w:val="en-US"/>
        </w:rPr>
        <w:t>Yes</w:t>
      </w:r>
      <w:r>
        <w:rPr>
          <w:rFonts w:cs="Arial"/>
          <w:lang w:val="en-US"/>
        </w:rPr>
        <w:t>, KBC considers i</w:t>
      </w:r>
      <w:r w:rsidRPr="0038599F">
        <w:rPr>
          <w:rFonts w:cs="Arial"/>
          <w:lang w:val="en-US"/>
        </w:rPr>
        <w:t xml:space="preserve">nsider lists </w:t>
      </w:r>
      <w:r>
        <w:rPr>
          <w:rFonts w:cs="Arial"/>
          <w:lang w:val="en-US"/>
        </w:rPr>
        <w:t xml:space="preserve">(regarding inside information relating to KBC or to an issuer KBC is acting on behalf or account of, e.g. as an adviser) to be </w:t>
      </w:r>
      <w:r w:rsidRPr="0038599F">
        <w:rPr>
          <w:rFonts w:cs="Arial"/>
          <w:lang w:val="en-US"/>
        </w:rPr>
        <w:t>a usef</w:t>
      </w:r>
      <w:r>
        <w:rPr>
          <w:rFonts w:cs="Arial"/>
          <w:lang w:val="en-US"/>
        </w:rPr>
        <w:t>u</w:t>
      </w:r>
      <w:r w:rsidRPr="0038599F">
        <w:rPr>
          <w:rFonts w:cs="Arial"/>
          <w:lang w:val="en-US"/>
        </w:rPr>
        <w:t>l tool</w:t>
      </w:r>
      <w:r>
        <w:rPr>
          <w:rFonts w:cs="Arial"/>
          <w:lang w:val="en-US"/>
        </w:rPr>
        <w:t xml:space="preserve"> for making insiders </w:t>
      </w:r>
      <w:r w:rsidRPr="00F255E2">
        <w:rPr>
          <w:rFonts w:cs="Arial"/>
          <w:lang w:val="en-US"/>
        </w:rPr>
        <w:t>aware of their obligations as regards inside information disclosure</w:t>
      </w:r>
      <w:r>
        <w:rPr>
          <w:rFonts w:cs="Arial"/>
          <w:lang w:val="en-US"/>
        </w:rPr>
        <w:t xml:space="preserve"> as well as for serving as a basis for the monitoring of personal transactions of employees. Also, with regard to inside information that directly relates to KBC, it is an important measure to guarantee the confidentiality in case of a delay in accordance with article 17 (4). </w:t>
      </w:r>
    </w:p>
    <w:p w14:paraId="53B85378" w14:textId="77777777" w:rsidR="00D32877" w:rsidRDefault="00D32877" w:rsidP="00D32877">
      <w:pPr>
        <w:rPr>
          <w:rFonts w:cs="Arial"/>
          <w:lang w:val="en-US"/>
        </w:rPr>
      </w:pPr>
      <w:r w:rsidRPr="009B1C53">
        <w:rPr>
          <w:rFonts w:cs="Arial"/>
          <w:lang w:val="en-US"/>
        </w:rPr>
        <w:t>However</w:t>
      </w:r>
      <w:r>
        <w:rPr>
          <w:rFonts w:cs="Arial"/>
          <w:lang w:val="en-US"/>
        </w:rPr>
        <w:t xml:space="preserve">, the level of personal information that is required to be kept on insider lists in accordance with CDR 2016/347 is unworkable (for the persons responsible to compile and update the lists) and also difficult to reconcile with the General Data Protection Regulation. KBC proposes that certain information (e.g. home address, private telephone numbers) only needs to be provided upon the explicit request of the NCA. </w:t>
      </w:r>
    </w:p>
    <w:permEnd w:id="1933056180"/>
    <w:p w14:paraId="3C3E0AEA" w14:textId="4BC86C56" w:rsidR="00646C30" w:rsidRDefault="00646C30" w:rsidP="00646C30"/>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00747D5C" w14:textId="77777777" w:rsidR="00D32877" w:rsidRPr="009B1C53" w:rsidRDefault="00D32877" w:rsidP="00D32877">
      <w:pPr>
        <w:rPr>
          <w:rFonts w:cs="Arial"/>
          <w:lang w:val="en-US"/>
        </w:rPr>
      </w:pPr>
      <w:permStart w:id="1252881600" w:edGrp="everyone"/>
      <w:r>
        <w:rPr>
          <w:rFonts w:cs="Arial"/>
          <w:lang w:val="en-US"/>
        </w:rPr>
        <w:t xml:space="preserve">KBC understands that, in order for insider lists to be an effective tool for NCAs conducting investigations, the number of persons on insider lists would ideally be limited to those persons that have actually accessed the inside information. </w:t>
      </w:r>
    </w:p>
    <w:p w14:paraId="0FF9EBF8" w14:textId="77777777" w:rsidR="00D32877" w:rsidRDefault="00D32877" w:rsidP="00D32877">
      <w:pPr>
        <w:rPr>
          <w:rFonts w:cs="Arial"/>
          <w:lang w:val="en-US"/>
        </w:rPr>
      </w:pPr>
      <w:r>
        <w:rPr>
          <w:rFonts w:cs="Arial"/>
          <w:lang w:val="en-US"/>
        </w:rPr>
        <w:t>However, as an issuer and adviser to other issuers, KBC wishes to mitigate any risks of inside information being disclosed unlawfully by its employees or being used for personal transactions. To ensure that, KBC prefers not only to include persons of whom there is evidence that they have accessed the inside information, but also persons whose access to the inside information cannot be ruled out with 100% assurance. We believe this to be a diligent approach as it avoids ´false negatives´.</w:t>
      </w:r>
    </w:p>
    <w:permEnd w:id="1252881600"/>
    <w:p w14:paraId="3C3E0AEF" w14:textId="323D6BFD" w:rsidR="00646C30" w:rsidRDefault="00646C30" w:rsidP="00646C30"/>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B813207" w14:textId="77777777" w:rsidR="00D32877" w:rsidRDefault="00D32877" w:rsidP="00D32877">
      <w:pPr>
        <w:rPr>
          <w:rFonts w:cs="Arial"/>
          <w:lang w:val="en-US"/>
        </w:rPr>
      </w:pPr>
      <w:permStart w:id="93392546" w:edGrp="everyone"/>
      <w:r>
        <w:rPr>
          <w:rFonts w:cs="Arial"/>
          <w:lang w:val="en-US"/>
        </w:rPr>
        <w:t>Creating a situation in which there are no ´false positives´ but, at the same time, no ´false negatives´, will only be possible by installing strict electronic and physical barriers (e.g. separating employees working on a particular transaction from all other employees, even those within the same department). This is unworkable. Employees often work on multiple transactions (in the framework of which inside information might arise) at the same time. Also, not all information relating to a particular transaction might constitute inside information. Knowing which of the employees that are working on a particular transaction know which piece of information in respect of that transaction, in order to identify whether they actually possess inside information, is practically impossible.</w:t>
      </w:r>
    </w:p>
    <w:p w14:paraId="666917F3" w14:textId="77777777" w:rsidR="00D32877" w:rsidRDefault="00D32877" w:rsidP="00D32877">
      <w:pPr>
        <w:rPr>
          <w:rFonts w:cs="Arial"/>
          <w:lang w:val="en-US"/>
        </w:rPr>
      </w:pPr>
    </w:p>
    <w:p w14:paraId="68C8A436" w14:textId="77777777" w:rsidR="00D32877" w:rsidRDefault="00D32877" w:rsidP="00D32877">
      <w:pPr>
        <w:rPr>
          <w:rFonts w:cs="Arial"/>
          <w:b/>
          <w:bCs/>
          <w:lang w:val="en-US"/>
        </w:rPr>
      </w:pPr>
      <w:r w:rsidRPr="0038599F">
        <w:rPr>
          <w:rFonts w:cs="Arial"/>
          <w:b/>
          <w:bCs/>
          <w:lang w:val="en-US"/>
        </w:rPr>
        <w:t>Other issues</w:t>
      </w:r>
      <w:r>
        <w:rPr>
          <w:rFonts w:cs="Arial"/>
          <w:b/>
          <w:bCs/>
          <w:lang w:val="en-US"/>
        </w:rPr>
        <w:t xml:space="preserve"> that KBC wished to bring to your attention: </w:t>
      </w:r>
    </w:p>
    <w:p w14:paraId="74508AC6" w14:textId="77777777" w:rsidR="00D32877" w:rsidRDefault="00D32877" w:rsidP="00D32877">
      <w:pPr>
        <w:pStyle w:val="ListParagraph"/>
        <w:numPr>
          <w:ilvl w:val="0"/>
          <w:numId w:val="37"/>
        </w:numPr>
        <w:spacing w:after="160" w:line="259" w:lineRule="auto"/>
        <w:rPr>
          <w:rFonts w:cs="Arial"/>
          <w:lang w:val="en-US"/>
        </w:rPr>
      </w:pPr>
      <w:r w:rsidRPr="006E4795">
        <w:rPr>
          <w:rFonts w:cs="Arial"/>
          <w:lang w:val="en-US"/>
        </w:rPr>
        <w:t>KBC believes the disclosures required by</w:t>
      </w:r>
      <w:r>
        <w:rPr>
          <w:rFonts w:cs="Arial"/>
          <w:lang w:val="en-US"/>
        </w:rPr>
        <w:t xml:space="preserve"> </w:t>
      </w:r>
      <w:r w:rsidRPr="006E4795">
        <w:rPr>
          <w:rFonts w:cs="Arial"/>
          <w:lang w:val="en-US"/>
        </w:rPr>
        <w:t xml:space="preserve">CRD 2016/958 are not proportionate for some type of </w:t>
      </w:r>
      <w:r w:rsidRPr="006E4795">
        <w:rPr>
          <w:rFonts w:cs="Arial"/>
          <w:b/>
          <w:bCs/>
          <w:lang w:val="en-US"/>
        </w:rPr>
        <w:t>investment recommendation</w:t>
      </w:r>
      <w:r>
        <w:rPr>
          <w:rFonts w:cs="Arial"/>
          <w:b/>
          <w:bCs/>
          <w:lang w:val="en-US"/>
        </w:rPr>
        <w:t xml:space="preserve">s. </w:t>
      </w:r>
      <w:r>
        <w:rPr>
          <w:rFonts w:cs="Arial"/>
          <w:lang w:val="en-US"/>
        </w:rPr>
        <w:t xml:space="preserve">The definition of investment recommendation is very </w:t>
      </w:r>
      <w:r w:rsidRPr="006E4795">
        <w:rPr>
          <w:rFonts w:cs="Arial"/>
          <w:lang w:val="en-US"/>
        </w:rPr>
        <w:t>broad</w:t>
      </w:r>
      <w:r>
        <w:rPr>
          <w:rFonts w:cs="Arial"/>
          <w:lang w:val="en-US"/>
        </w:rPr>
        <w:t xml:space="preserve"> and </w:t>
      </w:r>
      <w:r w:rsidRPr="006E4795">
        <w:rPr>
          <w:rFonts w:cs="Arial"/>
          <w:lang w:val="en-US"/>
        </w:rPr>
        <w:t xml:space="preserve">includes any information recommending or suggesting an investment strategy that is intended </w:t>
      </w:r>
      <w:r>
        <w:rPr>
          <w:rFonts w:cs="Arial"/>
          <w:lang w:val="en-US"/>
        </w:rPr>
        <w:t xml:space="preserve">for distribution channels or for the public. Additional disclosures are moreover required if the person providing the recommendation works for a credit institution, like KBC. </w:t>
      </w:r>
    </w:p>
    <w:p w14:paraId="50E8C1FE" w14:textId="77777777" w:rsidR="00D32877" w:rsidRDefault="00D32877" w:rsidP="00D32877">
      <w:pPr>
        <w:pStyle w:val="ListParagraph"/>
        <w:rPr>
          <w:rFonts w:cs="Arial"/>
          <w:lang w:val="en-US"/>
        </w:rPr>
      </w:pPr>
    </w:p>
    <w:p w14:paraId="0C67150D" w14:textId="77777777" w:rsidR="00D32877" w:rsidRPr="0073068A" w:rsidRDefault="00D32877" w:rsidP="00D32877">
      <w:pPr>
        <w:pStyle w:val="ListParagraph"/>
        <w:rPr>
          <w:rFonts w:cs="Arial"/>
          <w:lang w:val="en-US"/>
        </w:rPr>
      </w:pPr>
      <w:r>
        <w:rPr>
          <w:rFonts w:cs="Arial"/>
          <w:lang w:val="en-US"/>
        </w:rPr>
        <w:t xml:space="preserve">The above means, for example, that a recommendation made by an employee of a credit institution to more than one of his </w:t>
      </w:r>
      <w:r w:rsidRPr="0073068A">
        <w:rPr>
          <w:rFonts w:cs="Arial"/>
          <w:lang w:val="en-US"/>
        </w:rPr>
        <w:t>private banking clients</w:t>
      </w:r>
      <w:r>
        <w:rPr>
          <w:rFonts w:cs="Arial"/>
          <w:lang w:val="en-US"/>
        </w:rPr>
        <w:t xml:space="preserve"> (i.e. non-personal recommendation)</w:t>
      </w:r>
      <w:r w:rsidRPr="0073068A">
        <w:rPr>
          <w:rFonts w:cs="Arial"/>
          <w:lang w:val="en-US"/>
        </w:rPr>
        <w:t xml:space="preserve"> </w:t>
      </w:r>
      <w:r>
        <w:rPr>
          <w:rFonts w:cs="Arial"/>
          <w:lang w:val="en-US"/>
        </w:rPr>
        <w:t xml:space="preserve">in the course of their ongoing relationship </w:t>
      </w:r>
      <w:r w:rsidRPr="0073068A">
        <w:rPr>
          <w:rFonts w:cs="Arial"/>
          <w:lang w:val="en-US"/>
        </w:rPr>
        <w:t>is subject to the same disclosure requirements as the publication of more traditional, standardized, equity market ‘buy/hold/sell’ research</w:t>
      </w:r>
      <w:r>
        <w:rPr>
          <w:rFonts w:cs="Arial"/>
          <w:lang w:val="en-US"/>
        </w:rPr>
        <w:t xml:space="preserve"> to a wider public</w:t>
      </w:r>
      <w:r w:rsidRPr="0073068A">
        <w:rPr>
          <w:rFonts w:cs="Arial"/>
          <w:lang w:val="en-US"/>
        </w:rPr>
        <w:t>. Especially if the employee works at a credit institution that is part of a broader Group structure, collecting and disclosing all the required information is an onerous task.</w:t>
      </w:r>
    </w:p>
    <w:p w14:paraId="699F5D26" w14:textId="77777777" w:rsidR="00D32877" w:rsidRDefault="00D32877" w:rsidP="00D32877">
      <w:pPr>
        <w:pStyle w:val="ListParagraph"/>
        <w:rPr>
          <w:rFonts w:cs="Arial"/>
          <w:lang w:val="en-US"/>
        </w:rPr>
      </w:pPr>
    </w:p>
    <w:p w14:paraId="21C57B4F" w14:textId="77777777" w:rsidR="00D32877" w:rsidRPr="00675E71" w:rsidRDefault="00D32877" w:rsidP="00D32877">
      <w:pPr>
        <w:pStyle w:val="ListParagraph"/>
        <w:numPr>
          <w:ilvl w:val="0"/>
          <w:numId w:val="37"/>
        </w:numPr>
        <w:spacing w:after="160" w:line="259" w:lineRule="auto"/>
        <w:rPr>
          <w:rFonts w:cs="Arial"/>
          <w:i/>
          <w:iCs/>
          <w:lang w:val="en-US"/>
        </w:rPr>
      </w:pPr>
      <w:r w:rsidRPr="00675E71">
        <w:rPr>
          <w:rFonts w:cs="Arial"/>
          <w:lang w:val="en-US"/>
        </w:rPr>
        <w:t xml:space="preserve">KBC would welcome more guidance on what constitutes a ´suspicious transaction´ in the framework of firms´ </w:t>
      </w:r>
      <w:r w:rsidRPr="00675E71">
        <w:rPr>
          <w:rFonts w:cs="Arial"/>
          <w:b/>
          <w:bCs/>
          <w:lang w:val="en-US"/>
        </w:rPr>
        <w:t>reporting obligation on the basis of Article 16</w:t>
      </w:r>
      <w:r w:rsidRPr="00675E71">
        <w:rPr>
          <w:rFonts w:cs="Arial"/>
          <w:lang w:val="en-US"/>
        </w:rPr>
        <w:t>, considering the partial view that firms have of the market and their limited investigative means. In absence of such guidance, firms might have the tendency to either report too little, running the risk of not reporting transactions of interest to NCA, or too many, saddling up the NCA wit</w:t>
      </w:r>
      <w:r>
        <w:rPr>
          <w:rFonts w:cs="Arial"/>
          <w:lang w:val="en-US"/>
        </w:rPr>
        <w:t>h</w:t>
      </w:r>
      <w:r w:rsidRPr="00675E71">
        <w:rPr>
          <w:rFonts w:cs="Arial"/>
          <w:lang w:val="en-US"/>
        </w:rPr>
        <w:t xml:space="preserve"> high volumes of low quality reports. </w:t>
      </w:r>
    </w:p>
    <w:permEnd w:id="93392546"/>
    <w:p w14:paraId="3C3E0AF4" w14:textId="6A1179F9" w:rsidR="00646C30" w:rsidRDefault="00646C30" w:rsidP="00646C30"/>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lastRenderedPageBreak/>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lastRenderedPageBreak/>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lastRenderedPageBreak/>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2D08B8" w:rsidRDefault="002D08B8">
      <w:r>
        <w:separator/>
      </w:r>
    </w:p>
    <w:p w14:paraId="3C3E0B95" w14:textId="77777777" w:rsidR="002D08B8" w:rsidRDefault="002D08B8"/>
  </w:endnote>
  <w:endnote w:type="continuationSeparator" w:id="0">
    <w:p w14:paraId="3C3E0B96" w14:textId="77777777" w:rsidR="002D08B8" w:rsidRDefault="002D08B8">
      <w:r>
        <w:continuationSeparator/>
      </w:r>
    </w:p>
    <w:p w14:paraId="3C3E0B97" w14:textId="77777777" w:rsidR="002D08B8" w:rsidRDefault="002D08B8"/>
  </w:endnote>
  <w:endnote w:type="continuationNotice" w:id="1">
    <w:p w14:paraId="3C3E0B98" w14:textId="77777777" w:rsidR="002D08B8" w:rsidRDefault="002D0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D947" w14:textId="77777777" w:rsidR="007C34E0" w:rsidRDefault="007C3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FA5524" w:rsidRDefault="00FA5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1B6E" w14:textId="77777777" w:rsidR="007C34E0" w:rsidRDefault="007C34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A5524" w:rsidRDefault="00FA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2D08B8" w:rsidRDefault="002D08B8">
      <w:r>
        <w:separator/>
      </w:r>
    </w:p>
    <w:p w14:paraId="3C3E0B90" w14:textId="77777777" w:rsidR="002D08B8" w:rsidRDefault="002D08B8"/>
  </w:footnote>
  <w:footnote w:type="continuationSeparator" w:id="0">
    <w:p w14:paraId="3C3E0B91" w14:textId="77777777" w:rsidR="002D08B8" w:rsidRDefault="002D08B8">
      <w:r>
        <w:continuationSeparator/>
      </w:r>
    </w:p>
    <w:p w14:paraId="3C3E0B92" w14:textId="77777777" w:rsidR="002D08B8" w:rsidRDefault="002D08B8"/>
  </w:footnote>
  <w:footnote w:type="continuationNotice" w:id="1">
    <w:p w14:paraId="3C3E0B93" w14:textId="77777777" w:rsidR="002D08B8" w:rsidRDefault="002D0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940D" w14:textId="77777777" w:rsidR="007C34E0" w:rsidRDefault="007C3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A5524" w:rsidRDefault="00FA5524">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A5524" w:rsidRDefault="00FA5524"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A5524" w:rsidRDefault="00FA552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Header"/>
      <w:rPr>
        <w:lang w:val="fr-FR"/>
      </w:rPr>
    </w:pPr>
  </w:p>
  <w:p w14:paraId="3C3E0BA5" w14:textId="77777777" w:rsidR="00FA5524" w:rsidRPr="002F4496" w:rsidRDefault="00FA5524" w:rsidP="000C06C9">
    <w:pPr>
      <w:pStyle w:val="Header"/>
      <w:tabs>
        <w:tab w:val="clear" w:pos="4536"/>
        <w:tab w:val="clear" w:pos="9072"/>
        <w:tab w:val="left" w:pos="8227"/>
      </w:tabs>
      <w:rPr>
        <w:lang w:val="fr-FR"/>
      </w:rPr>
    </w:pPr>
  </w:p>
  <w:p w14:paraId="3C3E0BA6" w14:textId="77777777" w:rsidR="00FA5524" w:rsidRPr="002F4496" w:rsidRDefault="00FA5524" w:rsidP="00583885">
    <w:pPr>
      <w:pStyle w:val="Header"/>
      <w:jc w:val="right"/>
      <w:rPr>
        <w:lang w:val="fr-FR"/>
      </w:rPr>
    </w:pPr>
  </w:p>
  <w:p w14:paraId="3C3E0BA7" w14:textId="77777777" w:rsidR="00FA5524" w:rsidRPr="002F4496" w:rsidRDefault="00FA5524">
    <w:pPr>
      <w:pStyle w:val="Header"/>
      <w:rPr>
        <w:lang w:val="fr-FR"/>
      </w:rPr>
    </w:pPr>
  </w:p>
  <w:p w14:paraId="3C3E0BA8" w14:textId="77777777" w:rsidR="00FA5524" w:rsidRPr="002F4496" w:rsidRDefault="00FA5524">
    <w:pPr>
      <w:pStyle w:val="Header"/>
      <w:rPr>
        <w:lang w:val="fr-FR"/>
      </w:rPr>
    </w:pPr>
  </w:p>
  <w:p w14:paraId="3C3E0BA9" w14:textId="77777777" w:rsidR="00FA5524" w:rsidRPr="002F4496" w:rsidRDefault="00FA5524">
    <w:pPr>
      <w:pStyle w:val="Header"/>
      <w:rPr>
        <w:lang w:val="fr-FR"/>
      </w:rPr>
    </w:pPr>
  </w:p>
  <w:p w14:paraId="3C3E0BAA" w14:textId="77777777" w:rsidR="00FA5524" w:rsidRPr="002F4496" w:rsidRDefault="00FA5524">
    <w:pPr>
      <w:pStyle w:val="Header"/>
      <w:rPr>
        <w:highlight w:val="yellow"/>
        <w:lang w:val="fr-FR"/>
      </w:rPr>
    </w:pPr>
  </w:p>
  <w:p w14:paraId="3C3E0BAB" w14:textId="77777777" w:rsidR="00FA5524" w:rsidRDefault="00FA5524">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73E260B"/>
    <w:multiLevelType w:val="hybridMultilevel"/>
    <w:tmpl w:val="D4B00096"/>
    <w:lvl w:ilvl="0" w:tplc="5FE8B23A">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5"/>
  </w:num>
  <w:num w:numId="22">
    <w:abstractNumId w:val="22"/>
  </w:num>
  <w:num w:numId="23">
    <w:abstractNumId w:val="8"/>
  </w:num>
  <w:num w:numId="24">
    <w:abstractNumId w:val="28"/>
  </w:num>
  <w:num w:numId="25">
    <w:abstractNumId w:val="27"/>
  </w:num>
  <w:num w:numId="26">
    <w:abstractNumId w:val="17"/>
  </w:num>
  <w:num w:numId="27">
    <w:abstractNumId w:val="31"/>
  </w:num>
  <w:num w:numId="28">
    <w:abstractNumId w:val="37"/>
  </w:num>
  <w:num w:numId="29">
    <w:abstractNumId w:val="6"/>
  </w:num>
  <w:num w:numId="30">
    <w:abstractNumId w:val="2"/>
  </w:num>
  <w:num w:numId="31">
    <w:abstractNumId w:val="19"/>
  </w:num>
  <w:num w:numId="32">
    <w:abstractNumId w:val="18"/>
  </w:num>
  <w:num w:numId="33">
    <w:abstractNumId w:val="33"/>
  </w:num>
  <w:num w:numId="34">
    <w:abstractNumId w:val="32"/>
  </w:num>
  <w:num w:numId="35">
    <w:abstractNumId w:val="4"/>
  </w:num>
  <w:num w:numId="36">
    <w:abstractNumId w:val="34"/>
  </w:num>
  <w:num w:numId="37">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867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1FC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349"/>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678A"/>
    <w:rsid w:val="006E0C8A"/>
    <w:rsid w:val="006E2A23"/>
    <w:rsid w:val="006E35E5"/>
    <w:rsid w:val="006E3798"/>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4E0"/>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0E53"/>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6D73"/>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32E"/>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877"/>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4AB"/>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241"/>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iPriority w:val="99"/>
    <w:unhideWhenUsed/>
    <w:lock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1388828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4852780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20fbe147-bbda-4e53-b6b1-7e8bbff3fe19"/>
    <ds:schemaRef ds:uri="http://schemas.microsoft.com/office/2006/metadata/properties"/>
    <ds:schemaRef ds:uri="http://purl.org/dc/terms/"/>
    <ds:schemaRef ds:uri="http://schemas.microsoft.com/sharepoint/v3"/>
    <ds:schemaRef ds:uri="http://schemas.microsoft.com/office/2006/documentManagement/types"/>
    <ds:schemaRef ds:uri="http://purl.org/dc/elements/1.1/"/>
    <ds:schemaRef ds:uri="http://schemas.microsoft.com/sharepoint/v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C72D0397-48B8-48D6-BF91-1F440C6242A9}">
  <ds:schemaRefs>
    <ds:schemaRef ds:uri="http://schemas.openxmlformats.org/officeDocument/2006/bibliography"/>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48FD47-8930-46C8-8190-14FB3C48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4780</Words>
  <Characters>27818</Characters>
  <Application>Microsoft Office Word</Application>
  <DocSecurity>8</DocSecurity>
  <Lines>231</Lines>
  <Paragraphs>65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32533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Sibe De Bok</cp:lastModifiedBy>
  <cp:revision>2</cp:revision>
  <cp:lastPrinted>2015-02-18T11:01:00Z</cp:lastPrinted>
  <dcterms:created xsi:type="dcterms:W3CDTF">2019-11-29T13:56:00Z</dcterms:created>
  <dcterms:modified xsi:type="dcterms:W3CDTF">2019-11-29T13:56:00Z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y fmtid="{D5CDD505-2E9C-101B-9397-08002B2CF9AE}" pid="10" name="MSIP_Label_fa11d4fc-10ca-495b-a9ef-03e0e34333ce_Enabled">
    <vt:lpwstr>True</vt:lpwstr>
  </property>
  <property fmtid="{D5CDD505-2E9C-101B-9397-08002B2CF9AE}" pid="11" name="MSIP_Label_fa11d4fc-10ca-495b-a9ef-03e0e34333ce_SiteId">
    <vt:lpwstr>64af2aee-7d6c-49ac-a409-192d3fee73b8</vt:lpwstr>
  </property>
  <property fmtid="{D5CDD505-2E9C-101B-9397-08002B2CF9AE}" pid="12" name="MSIP_Label_fa11d4fc-10ca-495b-a9ef-03e0e34333ce_Owner">
    <vt:lpwstr>JE16213@KBC-GROUP.COM</vt:lpwstr>
  </property>
  <property fmtid="{D5CDD505-2E9C-101B-9397-08002B2CF9AE}" pid="13" name="MSIP_Label_fa11d4fc-10ca-495b-a9ef-03e0e34333ce_SetDate">
    <vt:lpwstr>2019-10-23T09:04:15.2108814Z</vt:lpwstr>
  </property>
  <property fmtid="{D5CDD505-2E9C-101B-9397-08002B2CF9AE}" pid="14" name="MSIP_Label_fa11d4fc-10ca-495b-a9ef-03e0e34333ce_Name">
    <vt:lpwstr>Internal</vt:lpwstr>
  </property>
  <property fmtid="{D5CDD505-2E9C-101B-9397-08002B2CF9AE}" pid="15" name="MSIP_Label_fa11d4fc-10ca-495b-a9ef-03e0e34333ce_Application">
    <vt:lpwstr>Microsoft Azure Information Protection</vt:lpwstr>
  </property>
  <property fmtid="{D5CDD505-2E9C-101B-9397-08002B2CF9AE}" pid="16" name="MSIP_Label_fa11d4fc-10ca-495b-a9ef-03e0e34333ce_ActionId">
    <vt:lpwstr>2fb2cadf-33e0-4613-a098-ca1dc2578cb1</vt:lpwstr>
  </property>
  <property fmtid="{D5CDD505-2E9C-101B-9397-08002B2CF9AE}" pid="17" name="MSIP_Label_fa11d4fc-10ca-495b-a9ef-03e0e34333ce_Extended_MSFT_Method">
    <vt:lpwstr>Automatic</vt:lpwstr>
  </property>
  <property fmtid="{D5CDD505-2E9C-101B-9397-08002B2CF9AE}" pid="18" name="MSIP_Label_d44a7eb9-e308-4cb8-ad88-b50d70445f3a_Enabled">
    <vt:lpwstr>True</vt:lpwstr>
  </property>
  <property fmtid="{D5CDD505-2E9C-101B-9397-08002B2CF9AE}" pid="19" name="MSIP_Label_d44a7eb9-e308-4cb8-ad88-b50d70445f3a_SiteId">
    <vt:lpwstr>64af2aee-7d6c-49ac-a409-192d3fee73b8</vt:lpwstr>
  </property>
  <property fmtid="{D5CDD505-2E9C-101B-9397-08002B2CF9AE}" pid="20" name="MSIP_Label_d44a7eb9-e308-4cb8-ad88-b50d70445f3a_Owner">
    <vt:lpwstr>JE16213@KBC-GROUP.COM</vt:lpwstr>
  </property>
  <property fmtid="{D5CDD505-2E9C-101B-9397-08002B2CF9AE}" pid="21" name="MSIP_Label_d44a7eb9-e308-4cb8-ad88-b50d70445f3a_SetDate">
    <vt:lpwstr>2019-10-23T09:04:15.2108814Z</vt:lpwstr>
  </property>
  <property fmtid="{D5CDD505-2E9C-101B-9397-08002B2CF9AE}" pid="22" name="MSIP_Label_d44a7eb9-e308-4cb8-ad88-b50d70445f3a_Name">
    <vt:lpwstr>Internal - Visual Marking</vt:lpwstr>
  </property>
  <property fmtid="{D5CDD505-2E9C-101B-9397-08002B2CF9AE}" pid="23" name="MSIP_Label_d44a7eb9-e308-4cb8-ad88-b50d70445f3a_Application">
    <vt:lpwstr>Microsoft Azure Information Protection</vt:lpwstr>
  </property>
  <property fmtid="{D5CDD505-2E9C-101B-9397-08002B2CF9AE}" pid="24" name="MSIP_Label_d44a7eb9-e308-4cb8-ad88-b50d70445f3a_ActionId">
    <vt:lpwstr>2fb2cadf-33e0-4613-a098-ca1dc2578cb1</vt:lpwstr>
  </property>
  <property fmtid="{D5CDD505-2E9C-101B-9397-08002B2CF9AE}" pid="25" name="MSIP_Label_d44a7eb9-e308-4cb8-ad88-b50d70445f3a_Parent">
    <vt:lpwstr>fa11d4fc-10ca-495b-a9ef-03e0e34333ce</vt:lpwstr>
  </property>
  <property fmtid="{D5CDD505-2E9C-101B-9397-08002B2CF9AE}" pid="26" name="MSIP_Label_d44a7eb9-e308-4cb8-ad88-b50d70445f3a_Extended_MSFT_Method">
    <vt:lpwstr>Automatic</vt:lpwstr>
  </property>
  <property fmtid="{D5CDD505-2E9C-101B-9397-08002B2CF9AE}" pid="27" name="Sensitivity">
    <vt:lpwstr>Internal Internal - Visual Marking</vt:lpwstr>
  </property>
</Properties>
</file>