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3C3E0A16" w14:textId="417FC25E" w:rsidR="00C2682A" w:rsidRPr="00AB6D88" w:rsidRDefault="00D2576C" w:rsidP="00FA5524">
                <w:pPr>
                  <w:rPr>
                    <w:rStyle w:val="PlaceholderText"/>
                    <w:rFonts w:cs="Arial"/>
                  </w:rPr>
                </w:pPr>
                <w:r>
                  <w:rPr>
                    <w:rStyle w:val="PlaceholderText"/>
                    <w:rFonts w:cs="Arial"/>
                  </w:rPr>
                  <w:t>ICIS</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4D9A9EA3" w:rsidR="00C2682A" w:rsidRPr="00AB6D88" w:rsidRDefault="0061713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2576C">
                  <w:rPr>
                    <w:rFonts w:cs="Arial"/>
                  </w:rPr>
                  <w:t>Commodity Benchmark PRA</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3C3E0A1C"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3C3E0A1F" w14:textId="07D6C41B" w:rsidR="00C2682A" w:rsidRPr="00AB6D88" w:rsidRDefault="00D2576C" w:rsidP="00FA5524">
                <w:pPr>
                  <w:rPr>
                    <w:rFonts w:cs="Arial"/>
                  </w:rPr>
                </w:pPr>
                <w:r>
                  <w:rPr>
                    <w:rFonts w:cs="Arial"/>
                  </w:rPr>
                  <w:t>Netherlands</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10D034E2" w14:textId="77777777" w:rsidR="005F3F1D" w:rsidRDefault="00D2576C" w:rsidP="00D2576C">
      <w:pPr>
        <w:rPr>
          <w:rFonts w:asciiTheme="minorHAnsi" w:hAnsiTheme="minorHAnsi" w:cs="Calibri"/>
          <w:sz w:val="22"/>
          <w:szCs w:val="22"/>
          <w:lang w:eastAsia="en-GB"/>
        </w:rPr>
      </w:pPr>
      <w:permStart w:id="1594194160" w:edGrp="everyone"/>
      <w:r w:rsidRPr="00ED1822">
        <w:rPr>
          <w:rFonts w:asciiTheme="minorHAnsi" w:hAnsiTheme="minorHAnsi" w:cs="Calibri"/>
          <w:sz w:val="22"/>
          <w:szCs w:val="22"/>
          <w:lang w:eastAsia="en-GB"/>
        </w:rPr>
        <w:t xml:space="preserve">ICIS is </w:t>
      </w:r>
      <w:r>
        <w:rPr>
          <w:rFonts w:asciiTheme="minorHAnsi" w:hAnsiTheme="minorHAnsi" w:cs="Calibri"/>
          <w:sz w:val="22"/>
          <w:szCs w:val="22"/>
          <w:lang w:eastAsia="en-GB"/>
        </w:rPr>
        <w:t xml:space="preserve">the commodity markets reporting </w:t>
      </w:r>
      <w:r w:rsidRPr="00ED1822">
        <w:rPr>
          <w:rFonts w:asciiTheme="minorHAnsi" w:hAnsiTheme="minorHAnsi" w:cs="Calibri"/>
          <w:sz w:val="22"/>
          <w:szCs w:val="22"/>
          <w:lang w:eastAsia="en-GB"/>
        </w:rPr>
        <w:t xml:space="preserve">division of </w:t>
      </w:r>
      <w:r>
        <w:rPr>
          <w:rFonts w:asciiTheme="minorHAnsi" w:hAnsiTheme="minorHAnsi" w:cs="Calibri"/>
          <w:sz w:val="22"/>
          <w:szCs w:val="22"/>
          <w:lang w:eastAsia="en-GB"/>
        </w:rPr>
        <w:t xml:space="preserve">RELX, </w:t>
      </w:r>
      <w:r w:rsidRPr="00ED1822">
        <w:rPr>
          <w:rFonts w:asciiTheme="minorHAnsi" w:hAnsiTheme="minorHAnsi" w:cs="Calibri"/>
          <w:sz w:val="22"/>
          <w:szCs w:val="22"/>
          <w:lang w:eastAsia="en-GB"/>
        </w:rPr>
        <w:t>formerly Reed Elsevier</w:t>
      </w:r>
      <w:r>
        <w:rPr>
          <w:rFonts w:asciiTheme="minorHAnsi" w:hAnsiTheme="minorHAnsi" w:cs="Calibri"/>
          <w:sz w:val="22"/>
          <w:szCs w:val="22"/>
          <w:lang w:eastAsia="en-GB"/>
        </w:rPr>
        <w:t xml:space="preserve">.  </w:t>
      </w:r>
      <w:proofErr w:type="gramStart"/>
      <w:r>
        <w:rPr>
          <w:rFonts w:asciiTheme="minorHAnsi" w:hAnsiTheme="minorHAnsi" w:cs="Calibri"/>
          <w:sz w:val="22"/>
          <w:szCs w:val="22"/>
          <w:lang w:eastAsia="en-GB"/>
        </w:rPr>
        <w:t>It’s</w:t>
      </w:r>
      <w:proofErr w:type="gramEnd"/>
      <w:r>
        <w:rPr>
          <w:rFonts w:asciiTheme="minorHAnsi" w:hAnsiTheme="minorHAnsi" w:cs="Calibri"/>
          <w:sz w:val="22"/>
          <w:szCs w:val="22"/>
          <w:lang w:eastAsia="en-GB"/>
        </w:rPr>
        <w:t xml:space="preserve"> main business is to provide information on commodity markets to market participants and any other interested parties (including regulators, academics, tax authorities etc).  It is </w:t>
      </w:r>
      <w:r w:rsidRPr="00ED1822">
        <w:rPr>
          <w:rFonts w:asciiTheme="minorHAnsi" w:hAnsiTheme="minorHAnsi" w:cs="Calibri"/>
          <w:sz w:val="22"/>
          <w:szCs w:val="22"/>
          <w:lang w:eastAsia="en-GB"/>
        </w:rPr>
        <w:t xml:space="preserve">staffed by journalists who </w:t>
      </w:r>
      <w:r>
        <w:rPr>
          <w:rFonts w:asciiTheme="minorHAnsi" w:hAnsiTheme="minorHAnsi" w:cs="Calibri"/>
          <w:sz w:val="22"/>
          <w:szCs w:val="22"/>
          <w:lang w:eastAsia="en-GB"/>
        </w:rPr>
        <w:t xml:space="preserve">actively research stories, interview participants and write articles very day.  Regular information provided will include markets </w:t>
      </w:r>
      <w:r w:rsidRPr="00ED1822">
        <w:rPr>
          <w:rFonts w:asciiTheme="minorHAnsi" w:hAnsiTheme="minorHAnsi" w:cs="Calibri"/>
          <w:sz w:val="22"/>
          <w:szCs w:val="22"/>
          <w:lang w:eastAsia="en-GB"/>
        </w:rPr>
        <w:t xml:space="preserve">news, analysis and price assessments </w:t>
      </w:r>
      <w:r>
        <w:rPr>
          <w:rFonts w:asciiTheme="minorHAnsi" w:hAnsiTheme="minorHAnsi" w:cs="Calibri"/>
          <w:sz w:val="22"/>
          <w:szCs w:val="22"/>
          <w:lang w:eastAsia="en-GB"/>
        </w:rPr>
        <w:t xml:space="preserve">for each </w:t>
      </w:r>
      <w:r w:rsidRPr="00ED1822">
        <w:rPr>
          <w:rFonts w:asciiTheme="minorHAnsi" w:hAnsiTheme="minorHAnsi" w:cs="Calibri"/>
          <w:sz w:val="22"/>
          <w:szCs w:val="22"/>
          <w:lang w:eastAsia="en-GB"/>
        </w:rPr>
        <w:t>commodity market</w:t>
      </w:r>
      <w:r>
        <w:rPr>
          <w:rFonts w:asciiTheme="minorHAnsi" w:hAnsiTheme="minorHAnsi" w:cs="Calibri"/>
          <w:sz w:val="22"/>
          <w:szCs w:val="22"/>
          <w:lang w:eastAsia="en-GB"/>
        </w:rPr>
        <w:t xml:space="preserve"> we cover</w:t>
      </w:r>
      <w:r w:rsidRPr="00ED1822">
        <w:rPr>
          <w:rFonts w:asciiTheme="minorHAnsi" w:hAnsiTheme="minorHAnsi" w:cs="Calibri"/>
          <w:sz w:val="22"/>
          <w:szCs w:val="22"/>
          <w:lang w:eastAsia="en-GB"/>
        </w:rPr>
        <w:t xml:space="preserve">. </w:t>
      </w:r>
    </w:p>
    <w:p w14:paraId="1BC970EC" w14:textId="77777777" w:rsidR="005F3F1D" w:rsidRDefault="005F3F1D" w:rsidP="00D2576C">
      <w:pPr>
        <w:rPr>
          <w:rFonts w:asciiTheme="minorHAnsi" w:hAnsiTheme="minorHAnsi" w:cs="Calibri"/>
          <w:sz w:val="22"/>
          <w:szCs w:val="22"/>
          <w:lang w:eastAsia="en-GB"/>
        </w:rPr>
      </w:pPr>
    </w:p>
    <w:p w14:paraId="54C0CCCE" w14:textId="09BB316C" w:rsidR="005F3F1D" w:rsidRDefault="00D2576C" w:rsidP="00D2576C">
      <w:pPr>
        <w:rPr>
          <w:rFonts w:asciiTheme="minorHAnsi" w:hAnsiTheme="minorHAnsi" w:cs="Calibri"/>
          <w:sz w:val="22"/>
          <w:szCs w:val="22"/>
          <w:lang w:eastAsia="en-GB"/>
        </w:rPr>
      </w:pPr>
      <w:r w:rsidRPr="00ED1822">
        <w:rPr>
          <w:rFonts w:asciiTheme="minorHAnsi" w:hAnsiTheme="minorHAnsi" w:cs="Calibri"/>
          <w:sz w:val="22"/>
          <w:szCs w:val="22"/>
          <w:lang w:eastAsia="en-GB"/>
        </w:rPr>
        <w:t xml:space="preserve">A very small number </w:t>
      </w:r>
      <w:r w:rsidR="005F3F1D">
        <w:rPr>
          <w:rFonts w:asciiTheme="minorHAnsi" w:hAnsiTheme="minorHAnsi" w:cs="Calibri"/>
          <w:sz w:val="22"/>
          <w:szCs w:val="22"/>
          <w:lang w:eastAsia="en-GB"/>
        </w:rPr>
        <w:t xml:space="preserve">(less than 1%) </w:t>
      </w:r>
      <w:r w:rsidRPr="00ED1822">
        <w:rPr>
          <w:rFonts w:asciiTheme="minorHAnsi" w:hAnsiTheme="minorHAnsi" w:cs="Calibri"/>
          <w:sz w:val="22"/>
          <w:szCs w:val="22"/>
          <w:lang w:eastAsia="en-GB"/>
        </w:rPr>
        <w:t xml:space="preserve">of the price assessments </w:t>
      </w:r>
      <w:r>
        <w:rPr>
          <w:rFonts w:asciiTheme="minorHAnsi" w:hAnsiTheme="minorHAnsi" w:cs="Calibri"/>
          <w:sz w:val="22"/>
          <w:szCs w:val="22"/>
          <w:lang w:eastAsia="en-GB"/>
        </w:rPr>
        <w:t xml:space="preserve">produced </w:t>
      </w:r>
      <w:r w:rsidRPr="00ED1822">
        <w:rPr>
          <w:rFonts w:asciiTheme="minorHAnsi" w:hAnsiTheme="minorHAnsi" w:cs="Calibri"/>
          <w:sz w:val="22"/>
          <w:szCs w:val="22"/>
          <w:lang w:eastAsia="en-GB"/>
        </w:rPr>
        <w:t xml:space="preserve">are also used as benchmarks, leading to ICIS becoming a benchmark administrator for the purposes of the BMR.  ICIS is </w:t>
      </w:r>
      <w:r w:rsidR="005F3F1D">
        <w:rPr>
          <w:rFonts w:asciiTheme="minorHAnsi" w:hAnsiTheme="minorHAnsi" w:cs="Calibri"/>
          <w:sz w:val="22"/>
          <w:szCs w:val="22"/>
          <w:lang w:eastAsia="en-GB"/>
        </w:rPr>
        <w:t xml:space="preserve">therefore </w:t>
      </w:r>
      <w:r w:rsidRPr="00ED1822">
        <w:rPr>
          <w:rFonts w:asciiTheme="minorHAnsi" w:hAnsiTheme="minorHAnsi" w:cs="Calibri"/>
          <w:sz w:val="22"/>
          <w:szCs w:val="22"/>
          <w:lang w:eastAsia="en-GB"/>
        </w:rPr>
        <w:t xml:space="preserve">sometimes referred to as a price reporting agency (PRA). </w:t>
      </w:r>
    </w:p>
    <w:p w14:paraId="0E65D63D" w14:textId="77777777" w:rsidR="005F3F1D" w:rsidRDefault="005F3F1D" w:rsidP="00D2576C">
      <w:pPr>
        <w:rPr>
          <w:rFonts w:asciiTheme="minorHAnsi" w:hAnsiTheme="minorHAnsi" w:cs="Calibri"/>
          <w:sz w:val="22"/>
          <w:szCs w:val="22"/>
          <w:lang w:eastAsia="en-GB"/>
        </w:rPr>
      </w:pPr>
    </w:p>
    <w:p w14:paraId="37F7B789" w14:textId="035631E5" w:rsidR="00D2576C" w:rsidRPr="005F3F1D" w:rsidRDefault="00D2576C" w:rsidP="00D2576C">
      <w:pPr>
        <w:rPr>
          <w:rFonts w:asciiTheme="minorHAnsi" w:hAnsiTheme="minorHAnsi" w:cs="Calibri"/>
          <w:sz w:val="22"/>
          <w:szCs w:val="22"/>
          <w:lang w:eastAsia="en-GB"/>
        </w:rPr>
      </w:pPr>
      <w:r w:rsidRPr="00ED1822">
        <w:rPr>
          <w:rFonts w:asciiTheme="minorHAnsi" w:hAnsiTheme="minorHAnsi" w:cs="Calibri"/>
          <w:sz w:val="22"/>
          <w:szCs w:val="22"/>
          <w:lang w:eastAsia="en-GB"/>
        </w:rPr>
        <w:t xml:space="preserve">For seven consecutive years, ICIS’ benchmarks have been externally audited </w:t>
      </w:r>
      <w:r w:rsidRPr="00ED1822">
        <w:rPr>
          <w:rFonts w:asciiTheme="minorHAnsi" w:hAnsiTheme="minorHAnsi" w:cs="Segoe UI"/>
          <w:sz w:val="22"/>
          <w:szCs w:val="22"/>
          <w:lang w:val="en-US" w:eastAsia="en-GB"/>
        </w:rPr>
        <w:t xml:space="preserve">by PricewaterhouseCoopers (PwC) </w:t>
      </w:r>
      <w:r w:rsidRPr="00ED1822">
        <w:rPr>
          <w:rFonts w:asciiTheme="minorHAnsi" w:hAnsiTheme="minorHAnsi" w:cs="Calibri"/>
          <w:sz w:val="22"/>
          <w:szCs w:val="22"/>
          <w:lang w:eastAsia="en-GB"/>
        </w:rPr>
        <w:t xml:space="preserve">for compliance with IOSCO’s </w:t>
      </w:r>
      <w:r w:rsidRPr="00ED1822">
        <w:rPr>
          <w:rFonts w:asciiTheme="minorHAnsi" w:hAnsiTheme="minorHAnsi" w:cs="Calibri"/>
          <w:i/>
          <w:iCs/>
          <w:sz w:val="22"/>
          <w:szCs w:val="22"/>
          <w:lang w:eastAsia="en-GB"/>
        </w:rPr>
        <w:t>Principles for Price Reporting Agencies</w:t>
      </w:r>
      <w:r w:rsidRPr="00ED1822">
        <w:rPr>
          <w:rFonts w:asciiTheme="minorHAnsi" w:hAnsiTheme="minorHAnsi" w:cs="Calibri"/>
          <w:sz w:val="22"/>
          <w:szCs w:val="22"/>
          <w:lang w:eastAsia="en-GB"/>
        </w:rPr>
        <w:t xml:space="preserve">. </w:t>
      </w:r>
      <w:r w:rsidRPr="00ED1822">
        <w:rPr>
          <w:rFonts w:asciiTheme="minorHAnsi" w:hAnsiTheme="minorHAnsi" w:cs="Segoe UI"/>
          <w:sz w:val="22"/>
          <w:szCs w:val="22"/>
          <w:lang w:val="en-US" w:eastAsia="en-GB"/>
        </w:rPr>
        <w:t xml:space="preserve">The areas assured by PwC include governance structures, controls, maintenance of editorial integrity, and </w:t>
      </w:r>
      <w:r w:rsidR="005F3F1D">
        <w:rPr>
          <w:rFonts w:asciiTheme="minorHAnsi" w:hAnsiTheme="minorHAnsi" w:cs="Segoe UI"/>
          <w:sz w:val="22"/>
          <w:szCs w:val="22"/>
          <w:lang w:val="en-US" w:eastAsia="en-GB"/>
        </w:rPr>
        <w:t xml:space="preserve">complaint handling, methodology review </w:t>
      </w:r>
      <w:r w:rsidRPr="00ED1822">
        <w:rPr>
          <w:rFonts w:asciiTheme="minorHAnsi" w:hAnsiTheme="minorHAnsi" w:cs="Segoe UI"/>
          <w:sz w:val="22"/>
          <w:szCs w:val="22"/>
          <w:lang w:val="en-US" w:eastAsia="en-GB"/>
        </w:rPr>
        <w:t xml:space="preserve">processes in relation to the creation of commodity benchmark price assessments. </w:t>
      </w:r>
    </w:p>
    <w:p w14:paraId="3548CC0D" w14:textId="77777777" w:rsidR="00D2576C" w:rsidRPr="00ED1822" w:rsidRDefault="00D2576C" w:rsidP="00D2576C">
      <w:pPr>
        <w:rPr>
          <w:rFonts w:asciiTheme="minorHAnsi" w:hAnsiTheme="minorHAnsi" w:cs="Segoe UI"/>
          <w:sz w:val="22"/>
          <w:szCs w:val="22"/>
          <w:lang w:val="en-US" w:eastAsia="en-GB"/>
        </w:rPr>
      </w:pPr>
    </w:p>
    <w:p w14:paraId="471C4E3D" w14:textId="77777777" w:rsidR="005F3F1D" w:rsidRDefault="00D2576C" w:rsidP="00D2576C">
      <w:pPr>
        <w:rPr>
          <w:rFonts w:asciiTheme="minorHAnsi" w:hAnsiTheme="minorHAnsi" w:cs="Segoe UI"/>
          <w:sz w:val="22"/>
          <w:szCs w:val="22"/>
          <w:lang w:val="en-US" w:eastAsia="en-GB"/>
        </w:rPr>
      </w:pPr>
      <w:r w:rsidRPr="00ED1822">
        <w:rPr>
          <w:rFonts w:asciiTheme="minorHAnsi" w:hAnsiTheme="minorHAnsi" w:cs="Segoe UI"/>
          <w:sz w:val="22"/>
          <w:szCs w:val="22"/>
          <w:lang w:val="en-US" w:eastAsia="en-GB"/>
        </w:rPr>
        <w:t>In this Introduction, we wish to draw attention to an unfortunate oversight that runs through the entirety of ESMA’s Section 3.2 analysis. ESMA has overlooked the existence of the separate Annex II regime for commodity benchmarks that governs the activities of PRAs and their contributors</w:t>
      </w:r>
      <w:r>
        <w:rPr>
          <w:rFonts w:asciiTheme="minorHAnsi" w:hAnsiTheme="minorHAnsi" w:cs="Segoe UI"/>
          <w:sz w:val="22"/>
          <w:szCs w:val="22"/>
          <w:lang w:val="en-US" w:eastAsia="en-GB"/>
        </w:rPr>
        <w:t>.</w:t>
      </w:r>
      <w:r w:rsidRPr="00ED1822">
        <w:rPr>
          <w:rFonts w:asciiTheme="minorHAnsi" w:hAnsiTheme="minorHAnsi" w:cs="Segoe UI"/>
          <w:sz w:val="22"/>
          <w:szCs w:val="22"/>
          <w:lang w:val="en-US" w:eastAsia="en-GB"/>
        </w:rPr>
        <w:t xml:space="preserve"> </w:t>
      </w:r>
    </w:p>
    <w:p w14:paraId="23EC05E5" w14:textId="77777777" w:rsidR="005F3F1D" w:rsidRDefault="005F3F1D" w:rsidP="00D2576C">
      <w:pPr>
        <w:rPr>
          <w:rFonts w:asciiTheme="minorHAnsi" w:hAnsiTheme="minorHAnsi" w:cs="Segoe UI"/>
          <w:sz w:val="22"/>
          <w:szCs w:val="22"/>
          <w:lang w:val="en-US" w:eastAsia="en-GB"/>
        </w:rPr>
      </w:pPr>
    </w:p>
    <w:p w14:paraId="44C8DAED" w14:textId="1BF6C09E" w:rsidR="00D2576C" w:rsidRPr="00ED1822" w:rsidRDefault="005F3F1D" w:rsidP="00D2576C">
      <w:pPr>
        <w:rPr>
          <w:rFonts w:asciiTheme="minorHAnsi" w:hAnsiTheme="minorHAnsi" w:cs="Segoe UI"/>
          <w:sz w:val="22"/>
          <w:szCs w:val="22"/>
          <w:lang w:val="en-US" w:eastAsia="en-GB"/>
        </w:rPr>
      </w:pPr>
      <w:r>
        <w:rPr>
          <w:rFonts w:asciiTheme="minorHAnsi" w:hAnsiTheme="minorHAnsi" w:cs="Segoe UI"/>
          <w:sz w:val="22"/>
          <w:szCs w:val="22"/>
          <w:lang w:val="en-US" w:eastAsia="en-GB"/>
        </w:rPr>
        <w:t xml:space="preserve">The current ESMA </w:t>
      </w:r>
      <w:r w:rsidR="00D2576C" w:rsidRPr="00ED1822">
        <w:rPr>
          <w:rFonts w:asciiTheme="minorHAnsi" w:hAnsiTheme="minorHAnsi" w:cs="Segoe UI"/>
          <w:sz w:val="22"/>
          <w:szCs w:val="22"/>
          <w:lang w:val="en-US" w:eastAsia="en-GB"/>
        </w:rPr>
        <w:t xml:space="preserve">analysis and proposals are based (only) on the Title II regime for financial benchmarks. The result is that ESMA’s proposals would extend sanctions </w:t>
      </w:r>
      <w:r w:rsidR="00D2576C">
        <w:rPr>
          <w:rFonts w:asciiTheme="minorHAnsi" w:hAnsiTheme="minorHAnsi" w:cs="Segoe UI"/>
          <w:sz w:val="22"/>
          <w:szCs w:val="22"/>
          <w:lang w:val="en-US" w:eastAsia="en-GB"/>
        </w:rPr>
        <w:t xml:space="preserve">and </w:t>
      </w:r>
      <w:r w:rsidR="00D2576C" w:rsidRPr="00ED1822">
        <w:rPr>
          <w:rFonts w:asciiTheme="minorHAnsi" w:hAnsiTheme="minorHAnsi" w:cs="Segoe UI"/>
          <w:sz w:val="22"/>
          <w:szCs w:val="22"/>
          <w:lang w:val="en-US" w:eastAsia="en-GB"/>
        </w:rPr>
        <w:t>oversight to Annex II benchmark administrators, individual journalists and supervised contributors in ways that are clearly inconsistent with the BMR</w:t>
      </w:r>
      <w:r w:rsidR="00D2576C">
        <w:rPr>
          <w:rFonts w:asciiTheme="minorHAnsi" w:hAnsiTheme="minorHAnsi" w:cs="Segoe UI"/>
          <w:sz w:val="22"/>
          <w:szCs w:val="22"/>
          <w:lang w:val="en-US" w:eastAsia="en-GB"/>
        </w:rPr>
        <w:t>, also with IOSCO Principles for Price Reporting Agencies on which Annex II is based.</w:t>
      </w:r>
    </w:p>
    <w:p w14:paraId="68838585" w14:textId="77777777" w:rsidR="00D2576C" w:rsidRPr="00ED1822" w:rsidRDefault="00D2576C" w:rsidP="00D2576C">
      <w:pPr>
        <w:rPr>
          <w:rFonts w:asciiTheme="minorHAnsi" w:hAnsiTheme="minorHAnsi" w:cs="Segoe UI"/>
          <w:sz w:val="22"/>
          <w:szCs w:val="22"/>
          <w:lang w:val="en-US" w:eastAsia="en-GB"/>
        </w:rPr>
      </w:pPr>
    </w:p>
    <w:p w14:paraId="230F3097" w14:textId="77777777" w:rsidR="0061713B" w:rsidRDefault="00D2576C" w:rsidP="00D2576C">
      <w:pPr>
        <w:rPr>
          <w:rFonts w:asciiTheme="minorHAnsi" w:hAnsiTheme="minorHAnsi" w:cs="Segoe UI"/>
          <w:sz w:val="22"/>
          <w:szCs w:val="22"/>
          <w:lang w:val="en-US" w:eastAsia="en-GB"/>
        </w:rPr>
      </w:pPr>
      <w:r w:rsidRPr="00ED1822">
        <w:rPr>
          <w:rFonts w:asciiTheme="minorHAnsi" w:hAnsiTheme="minorHAnsi" w:cs="Segoe UI"/>
          <w:sz w:val="22"/>
          <w:szCs w:val="22"/>
          <w:lang w:val="en-US" w:eastAsia="en-GB"/>
        </w:rPr>
        <w:t>Likewise, ESMA has taken no account of the fact that price reporting agencies are editorial entities that are protected by the general safeguards for journalism established under national and European laws</w:t>
      </w:r>
      <w:r>
        <w:rPr>
          <w:rFonts w:asciiTheme="minorHAnsi" w:hAnsiTheme="minorHAnsi" w:cs="Segoe UI"/>
          <w:sz w:val="22"/>
          <w:szCs w:val="22"/>
          <w:lang w:val="en-US" w:eastAsia="en-GB"/>
        </w:rPr>
        <w:t xml:space="preserve"> (see e.g. </w:t>
      </w:r>
      <w:proofErr w:type="spellStart"/>
      <w:r w:rsidRPr="00ED1822">
        <w:rPr>
          <w:rStyle w:val="Emphasis"/>
          <w:rFonts w:asciiTheme="minorHAnsi" w:hAnsiTheme="minorHAnsi"/>
          <w:color w:val="0A0A0A"/>
          <w:sz w:val="22"/>
          <w:szCs w:val="22"/>
          <w:shd w:val="clear" w:color="auto" w:fill="FFFFFF"/>
        </w:rPr>
        <w:t>Interbrew</w:t>
      </w:r>
      <w:proofErr w:type="spellEnd"/>
      <w:r w:rsidRPr="00ED1822">
        <w:rPr>
          <w:rStyle w:val="Emphasis"/>
          <w:rFonts w:asciiTheme="minorHAnsi" w:hAnsiTheme="minorHAnsi"/>
          <w:color w:val="0A0A0A"/>
          <w:sz w:val="22"/>
          <w:szCs w:val="22"/>
          <w:shd w:val="clear" w:color="auto" w:fill="FFFFFF"/>
        </w:rPr>
        <w:t xml:space="preserve"> SA v. Financial Times Ltd</w:t>
      </w:r>
      <w:r w:rsidRPr="00ED1822">
        <w:rPr>
          <w:rFonts w:asciiTheme="minorHAnsi" w:hAnsiTheme="minorHAnsi"/>
          <w:color w:val="0A0A0A"/>
          <w:sz w:val="22"/>
          <w:szCs w:val="22"/>
          <w:shd w:val="clear" w:color="auto" w:fill="FFFFFF"/>
        </w:rPr>
        <w:t xml:space="preserve"> [2002] EWCA </w:t>
      </w:r>
      <w:proofErr w:type="spellStart"/>
      <w:r w:rsidRPr="00ED1822">
        <w:rPr>
          <w:rFonts w:asciiTheme="minorHAnsi" w:hAnsiTheme="minorHAnsi"/>
          <w:color w:val="0A0A0A"/>
          <w:sz w:val="22"/>
          <w:szCs w:val="22"/>
          <w:shd w:val="clear" w:color="auto" w:fill="FFFFFF"/>
        </w:rPr>
        <w:t>Civ</w:t>
      </w:r>
      <w:proofErr w:type="spellEnd"/>
      <w:r w:rsidRPr="00ED1822">
        <w:rPr>
          <w:rFonts w:asciiTheme="minorHAnsi" w:hAnsiTheme="minorHAnsi"/>
          <w:color w:val="0A0A0A"/>
          <w:sz w:val="22"/>
          <w:szCs w:val="22"/>
          <w:shd w:val="clear" w:color="auto" w:fill="FFFFFF"/>
        </w:rPr>
        <w:t xml:space="preserve"> 274</w:t>
      </w:r>
      <w:r>
        <w:rPr>
          <w:rFonts w:asciiTheme="minorHAnsi" w:hAnsiTheme="minorHAnsi"/>
          <w:color w:val="0A0A0A"/>
          <w:sz w:val="22"/>
          <w:szCs w:val="22"/>
          <w:shd w:val="clear" w:color="auto" w:fill="FFFFFF"/>
        </w:rPr>
        <w:t xml:space="preserve">) </w:t>
      </w:r>
      <w:r w:rsidRPr="00ED1822">
        <w:rPr>
          <w:rFonts w:asciiTheme="minorHAnsi" w:hAnsiTheme="minorHAnsi" w:cs="Segoe UI"/>
          <w:sz w:val="22"/>
          <w:szCs w:val="22"/>
          <w:lang w:val="en-US" w:eastAsia="en-GB"/>
        </w:rPr>
        <w:t>, as well as</w:t>
      </w:r>
      <w:r>
        <w:rPr>
          <w:rFonts w:asciiTheme="minorHAnsi" w:hAnsiTheme="minorHAnsi" w:cs="Segoe UI"/>
          <w:sz w:val="22"/>
          <w:szCs w:val="22"/>
          <w:lang w:val="en-US" w:eastAsia="en-GB"/>
        </w:rPr>
        <w:t xml:space="preserve"> by</w:t>
      </w:r>
      <w:r w:rsidRPr="00ED1822">
        <w:rPr>
          <w:rFonts w:asciiTheme="minorHAnsi" w:hAnsiTheme="minorHAnsi" w:cs="Segoe UI"/>
          <w:sz w:val="22"/>
          <w:szCs w:val="22"/>
          <w:lang w:val="en-US" w:eastAsia="en-GB"/>
        </w:rPr>
        <w:t xml:space="preserve"> the specific journalistic safeguards provided for in REMIT, MAR, and BMR</w:t>
      </w:r>
      <w:r>
        <w:rPr>
          <w:rStyle w:val="FootnoteReference"/>
          <w:rFonts w:asciiTheme="minorHAnsi" w:hAnsiTheme="minorHAnsi" w:cs="Segoe UI"/>
          <w:sz w:val="22"/>
          <w:szCs w:val="22"/>
          <w:lang w:val="en-US" w:eastAsia="en-GB"/>
        </w:rPr>
        <w:footnoteReference w:id="2"/>
      </w:r>
      <w:r w:rsidRPr="00ED1822">
        <w:rPr>
          <w:rFonts w:asciiTheme="minorHAnsi" w:hAnsiTheme="minorHAnsi" w:cs="Segoe UI"/>
          <w:sz w:val="22"/>
          <w:szCs w:val="22"/>
          <w:lang w:val="en-US" w:eastAsia="en-GB"/>
        </w:rPr>
        <w:t xml:space="preserve">.  </w:t>
      </w:r>
    </w:p>
    <w:p w14:paraId="42CC622A" w14:textId="77777777" w:rsidR="0061713B" w:rsidRDefault="0061713B" w:rsidP="00D2576C">
      <w:pPr>
        <w:rPr>
          <w:rFonts w:asciiTheme="minorHAnsi" w:hAnsiTheme="minorHAnsi" w:cs="Segoe UI"/>
          <w:sz w:val="22"/>
          <w:szCs w:val="22"/>
          <w:lang w:val="en-US" w:eastAsia="en-GB"/>
        </w:rPr>
      </w:pPr>
    </w:p>
    <w:p w14:paraId="18A62DD7" w14:textId="18C7C48F" w:rsidR="00D2576C" w:rsidRDefault="00D2576C" w:rsidP="00D2576C">
      <w:pPr>
        <w:rPr>
          <w:rFonts w:asciiTheme="minorHAnsi" w:hAnsiTheme="minorHAnsi" w:cs="Segoe UI"/>
          <w:sz w:val="22"/>
          <w:szCs w:val="22"/>
          <w:lang w:val="en-US" w:eastAsia="en-GB"/>
        </w:rPr>
      </w:pPr>
      <w:r w:rsidRPr="00ED1822">
        <w:rPr>
          <w:rFonts w:asciiTheme="minorHAnsi" w:hAnsiTheme="minorHAnsi" w:cs="Segoe UI"/>
          <w:sz w:val="22"/>
          <w:szCs w:val="22"/>
          <w:lang w:val="en-US" w:eastAsia="en-GB"/>
        </w:rPr>
        <w:t xml:space="preserve">ESMA’s proposals would extend administrative sanctions </w:t>
      </w:r>
      <w:r>
        <w:rPr>
          <w:rFonts w:asciiTheme="minorHAnsi" w:hAnsiTheme="minorHAnsi" w:cs="Segoe UI"/>
          <w:sz w:val="22"/>
          <w:szCs w:val="22"/>
          <w:lang w:val="en-US" w:eastAsia="en-GB"/>
        </w:rPr>
        <w:t xml:space="preserve">that have been </w:t>
      </w:r>
      <w:r w:rsidRPr="00ED1822">
        <w:rPr>
          <w:rFonts w:asciiTheme="minorHAnsi" w:hAnsiTheme="minorHAnsi" w:cs="Segoe UI"/>
          <w:sz w:val="22"/>
          <w:szCs w:val="22"/>
          <w:lang w:val="en-US" w:eastAsia="en-GB"/>
        </w:rPr>
        <w:t xml:space="preserve">designed for investment firms to editorial </w:t>
      </w:r>
      <w:r>
        <w:rPr>
          <w:rFonts w:asciiTheme="minorHAnsi" w:hAnsiTheme="minorHAnsi" w:cs="Segoe UI"/>
          <w:sz w:val="22"/>
          <w:szCs w:val="22"/>
          <w:lang w:val="en-US" w:eastAsia="en-GB"/>
        </w:rPr>
        <w:t xml:space="preserve">entities </w:t>
      </w:r>
      <w:r w:rsidRPr="00ED1822">
        <w:rPr>
          <w:rFonts w:asciiTheme="minorHAnsi" w:hAnsiTheme="minorHAnsi" w:cs="Segoe UI"/>
          <w:sz w:val="22"/>
          <w:szCs w:val="22"/>
          <w:lang w:val="en-US" w:eastAsia="en-GB"/>
        </w:rPr>
        <w:t xml:space="preserve">and </w:t>
      </w:r>
      <w:r>
        <w:rPr>
          <w:rFonts w:asciiTheme="minorHAnsi" w:hAnsiTheme="minorHAnsi" w:cs="Segoe UI"/>
          <w:sz w:val="22"/>
          <w:szCs w:val="22"/>
          <w:lang w:val="en-US" w:eastAsia="en-GB"/>
        </w:rPr>
        <w:t xml:space="preserve">to the </w:t>
      </w:r>
      <w:r w:rsidRPr="00ED1822">
        <w:rPr>
          <w:rFonts w:asciiTheme="minorHAnsi" w:hAnsiTheme="minorHAnsi" w:cs="Segoe UI"/>
          <w:sz w:val="22"/>
          <w:szCs w:val="22"/>
          <w:lang w:val="en-US" w:eastAsia="en-GB"/>
        </w:rPr>
        <w:t xml:space="preserve">individual journalists </w:t>
      </w:r>
      <w:r>
        <w:rPr>
          <w:rFonts w:asciiTheme="minorHAnsi" w:hAnsiTheme="minorHAnsi" w:cs="Segoe UI"/>
          <w:sz w:val="22"/>
          <w:szCs w:val="22"/>
          <w:lang w:val="en-US" w:eastAsia="en-GB"/>
        </w:rPr>
        <w:t xml:space="preserve">that produce </w:t>
      </w:r>
      <w:r w:rsidRPr="00ED1822">
        <w:rPr>
          <w:rFonts w:asciiTheme="minorHAnsi" w:hAnsiTheme="minorHAnsi" w:cs="Segoe UI"/>
          <w:sz w:val="22"/>
          <w:szCs w:val="22"/>
          <w:lang w:val="en-US" w:eastAsia="en-GB"/>
        </w:rPr>
        <w:t xml:space="preserve">price assessments. They would also impose obligations on journalists to disclose information from-- and about-- their contributing sources. </w:t>
      </w:r>
    </w:p>
    <w:p w14:paraId="3A394183" w14:textId="77777777" w:rsidR="00D2576C" w:rsidRDefault="00D2576C" w:rsidP="00D2576C">
      <w:pPr>
        <w:rPr>
          <w:rFonts w:asciiTheme="minorHAnsi" w:hAnsiTheme="minorHAnsi" w:cs="Segoe UI"/>
          <w:sz w:val="22"/>
          <w:szCs w:val="22"/>
          <w:lang w:val="en-US" w:eastAsia="en-GB"/>
        </w:rPr>
      </w:pPr>
    </w:p>
    <w:p w14:paraId="4192FF1A" w14:textId="4BFDBF51" w:rsidR="00D2576C" w:rsidRPr="00ED1822" w:rsidRDefault="00D2576C" w:rsidP="00D2576C">
      <w:pPr>
        <w:rPr>
          <w:rFonts w:asciiTheme="minorHAnsi" w:hAnsiTheme="minorHAnsi" w:cs="Segoe UI"/>
          <w:sz w:val="22"/>
          <w:szCs w:val="22"/>
          <w:lang w:val="en-US" w:eastAsia="en-GB"/>
        </w:rPr>
      </w:pPr>
      <w:r>
        <w:rPr>
          <w:rFonts w:asciiTheme="minorHAnsi" w:hAnsiTheme="minorHAnsi" w:cs="Segoe UI"/>
          <w:sz w:val="22"/>
          <w:szCs w:val="22"/>
          <w:lang w:val="en-US" w:eastAsia="en-GB"/>
        </w:rPr>
        <w:lastRenderedPageBreak/>
        <w:t xml:space="preserve">In short, ESMA’s </w:t>
      </w:r>
      <w:r w:rsidRPr="00ED1822">
        <w:rPr>
          <w:rFonts w:asciiTheme="minorHAnsi" w:hAnsiTheme="minorHAnsi" w:cs="Segoe UI"/>
          <w:sz w:val="22"/>
          <w:szCs w:val="22"/>
          <w:lang w:val="en-US" w:eastAsia="en-GB"/>
        </w:rPr>
        <w:t>proposals</w:t>
      </w:r>
      <w:r>
        <w:rPr>
          <w:rFonts w:asciiTheme="minorHAnsi" w:hAnsiTheme="minorHAnsi" w:cs="Segoe UI"/>
          <w:sz w:val="22"/>
          <w:szCs w:val="22"/>
          <w:lang w:val="en-US" w:eastAsia="en-GB"/>
        </w:rPr>
        <w:t>, as they would relate to PRA benchmarks,</w:t>
      </w:r>
      <w:r w:rsidRPr="00ED1822">
        <w:rPr>
          <w:rFonts w:asciiTheme="minorHAnsi" w:hAnsiTheme="minorHAnsi" w:cs="Segoe UI"/>
          <w:sz w:val="22"/>
          <w:szCs w:val="22"/>
          <w:lang w:val="en-US" w:eastAsia="en-GB"/>
        </w:rPr>
        <w:t xml:space="preserve"> </w:t>
      </w:r>
      <w:r>
        <w:rPr>
          <w:rFonts w:asciiTheme="minorHAnsi" w:hAnsiTheme="minorHAnsi" w:cs="Segoe UI"/>
          <w:sz w:val="22"/>
          <w:szCs w:val="22"/>
          <w:lang w:val="en-US" w:eastAsia="en-GB"/>
        </w:rPr>
        <w:t xml:space="preserve">are inconsistent </w:t>
      </w:r>
      <w:r w:rsidRPr="00ED1822">
        <w:rPr>
          <w:rFonts w:asciiTheme="minorHAnsi" w:hAnsiTheme="minorHAnsi" w:cs="Segoe UI"/>
          <w:sz w:val="22"/>
          <w:szCs w:val="22"/>
          <w:lang w:val="en-US" w:eastAsia="en-GB"/>
        </w:rPr>
        <w:t xml:space="preserve">with </w:t>
      </w:r>
      <w:r>
        <w:rPr>
          <w:rFonts w:asciiTheme="minorHAnsi" w:hAnsiTheme="minorHAnsi" w:cs="Segoe UI"/>
          <w:sz w:val="22"/>
          <w:szCs w:val="22"/>
          <w:lang w:val="en-US" w:eastAsia="en-GB"/>
        </w:rPr>
        <w:t xml:space="preserve">both </w:t>
      </w:r>
      <w:r w:rsidRPr="00ED1822">
        <w:rPr>
          <w:rFonts w:asciiTheme="minorHAnsi" w:hAnsiTheme="minorHAnsi" w:cs="Segoe UI"/>
          <w:sz w:val="22"/>
          <w:szCs w:val="22"/>
          <w:lang w:val="en-US" w:eastAsia="en-GB"/>
        </w:rPr>
        <w:t xml:space="preserve">the BMR’s Annex II regime </w:t>
      </w:r>
      <w:r>
        <w:rPr>
          <w:rFonts w:asciiTheme="minorHAnsi" w:hAnsiTheme="minorHAnsi" w:cs="Segoe UI"/>
          <w:sz w:val="22"/>
          <w:szCs w:val="22"/>
          <w:lang w:val="en-US" w:eastAsia="en-GB"/>
        </w:rPr>
        <w:t xml:space="preserve">and with </w:t>
      </w:r>
      <w:r w:rsidRPr="00ED1822">
        <w:rPr>
          <w:rFonts w:asciiTheme="minorHAnsi" w:hAnsiTheme="minorHAnsi" w:cs="Segoe UI"/>
          <w:sz w:val="22"/>
          <w:szCs w:val="22"/>
          <w:lang w:val="en-US" w:eastAsia="en-GB"/>
        </w:rPr>
        <w:t>established general protections for journalism</w:t>
      </w:r>
      <w:r>
        <w:rPr>
          <w:rFonts w:asciiTheme="minorHAnsi" w:hAnsiTheme="minorHAnsi" w:cs="Segoe UI"/>
          <w:sz w:val="22"/>
          <w:szCs w:val="22"/>
          <w:lang w:val="en-US" w:eastAsia="en-GB"/>
        </w:rPr>
        <w:t>. I</w:t>
      </w:r>
      <w:r w:rsidRPr="00ED1822">
        <w:rPr>
          <w:rFonts w:asciiTheme="minorHAnsi" w:hAnsiTheme="minorHAnsi" w:cs="Segoe UI"/>
          <w:sz w:val="22"/>
          <w:szCs w:val="22"/>
          <w:lang w:val="en-US" w:eastAsia="en-GB"/>
        </w:rPr>
        <w:t xml:space="preserve">f they were applied to Annex II commodity benchmarks, </w:t>
      </w:r>
      <w:r>
        <w:rPr>
          <w:rFonts w:asciiTheme="minorHAnsi" w:hAnsiTheme="minorHAnsi" w:cs="Segoe UI"/>
          <w:sz w:val="22"/>
          <w:szCs w:val="22"/>
          <w:lang w:val="en-US" w:eastAsia="en-GB"/>
        </w:rPr>
        <w:t xml:space="preserve">they </w:t>
      </w:r>
      <w:r w:rsidRPr="00ED1822">
        <w:rPr>
          <w:rFonts w:asciiTheme="minorHAnsi" w:hAnsiTheme="minorHAnsi" w:cs="Segoe UI"/>
          <w:sz w:val="22"/>
          <w:szCs w:val="22"/>
          <w:lang w:val="en-US" w:eastAsia="en-GB"/>
        </w:rPr>
        <w:t xml:space="preserve">could cause extensive damage to </w:t>
      </w:r>
      <w:r w:rsidR="0061713B">
        <w:rPr>
          <w:rFonts w:asciiTheme="minorHAnsi" w:hAnsiTheme="minorHAnsi" w:cs="Segoe UI"/>
          <w:sz w:val="22"/>
          <w:szCs w:val="22"/>
          <w:lang w:val="en-US" w:eastAsia="en-GB"/>
        </w:rPr>
        <w:t xml:space="preserve">European </w:t>
      </w:r>
      <w:r w:rsidRPr="00ED1822">
        <w:rPr>
          <w:rFonts w:asciiTheme="minorHAnsi" w:hAnsiTheme="minorHAnsi" w:cs="Segoe UI"/>
          <w:sz w:val="22"/>
          <w:szCs w:val="22"/>
          <w:lang w:val="en-US" w:eastAsia="en-GB"/>
        </w:rPr>
        <w:t>commodity markets</w:t>
      </w:r>
      <w:r w:rsidR="0061713B">
        <w:rPr>
          <w:rFonts w:asciiTheme="minorHAnsi" w:hAnsiTheme="minorHAnsi" w:cs="Segoe UI"/>
          <w:sz w:val="22"/>
          <w:szCs w:val="22"/>
          <w:lang w:val="en-US" w:eastAsia="en-GB"/>
        </w:rPr>
        <w:t xml:space="preserve"> and the ability of European commodity market participants to compete in the global markets</w:t>
      </w:r>
      <w:r w:rsidRPr="00ED1822">
        <w:rPr>
          <w:rFonts w:asciiTheme="minorHAnsi" w:hAnsiTheme="minorHAnsi" w:cs="Segoe UI"/>
          <w:sz w:val="22"/>
          <w:szCs w:val="22"/>
          <w:lang w:val="en-US" w:eastAsia="en-GB"/>
        </w:rPr>
        <w:t>.</w:t>
      </w:r>
    </w:p>
    <w:p w14:paraId="3F517158" w14:textId="77777777" w:rsidR="00D2576C" w:rsidRPr="00ED1822" w:rsidRDefault="00D2576C" w:rsidP="00D2576C">
      <w:pPr>
        <w:rPr>
          <w:rFonts w:asciiTheme="minorHAnsi" w:hAnsiTheme="minorHAnsi" w:cs="Segoe UI"/>
          <w:sz w:val="22"/>
          <w:szCs w:val="22"/>
          <w:lang w:val="en-US" w:eastAsia="en-GB"/>
        </w:rPr>
      </w:pPr>
    </w:p>
    <w:p w14:paraId="32762233" w14:textId="77777777" w:rsidR="00D2576C" w:rsidRDefault="00D2576C" w:rsidP="00D2576C">
      <w:pPr>
        <w:rPr>
          <w:rFonts w:asciiTheme="minorHAnsi" w:hAnsiTheme="minorHAnsi" w:cs="Segoe UI"/>
          <w:sz w:val="22"/>
          <w:szCs w:val="22"/>
          <w:lang w:val="en-US" w:eastAsia="en-GB"/>
        </w:rPr>
      </w:pPr>
      <w:r w:rsidRPr="00ED1822">
        <w:rPr>
          <w:rFonts w:asciiTheme="minorHAnsi" w:hAnsiTheme="minorHAnsi" w:cs="Segoe UI"/>
          <w:sz w:val="22"/>
          <w:szCs w:val="22"/>
          <w:lang w:val="en-US" w:eastAsia="en-GB"/>
        </w:rPr>
        <w:t xml:space="preserve">We ask ESMA to reconsider its proposals as they relate to Annex II commodity benchmarks </w:t>
      </w:r>
      <w:r>
        <w:rPr>
          <w:rFonts w:asciiTheme="minorHAnsi" w:hAnsiTheme="minorHAnsi" w:cs="Segoe UI"/>
          <w:sz w:val="22"/>
          <w:szCs w:val="22"/>
          <w:lang w:val="en-US" w:eastAsia="en-GB"/>
        </w:rPr>
        <w:t xml:space="preserve">so that they become consistent </w:t>
      </w:r>
      <w:r w:rsidRPr="00ED1822">
        <w:rPr>
          <w:rFonts w:asciiTheme="minorHAnsi" w:hAnsiTheme="minorHAnsi" w:cs="Segoe UI"/>
          <w:sz w:val="22"/>
          <w:szCs w:val="22"/>
          <w:lang w:val="en-US" w:eastAsia="en-GB"/>
        </w:rPr>
        <w:t>with the BMR and with the applicable safeguards for journalism.  When carrying out this revision, and in accordance with BMR Recital 64, we believe it could be helpful for ESMA to “</w:t>
      </w:r>
      <w:r w:rsidRPr="00ED1822">
        <w:rPr>
          <w:rFonts w:asciiTheme="minorHAnsi" w:hAnsiTheme="minorHAnsi" w:cs="Segoe UI"/>
          <w:i/>
          <w:iCs/>
          <w:sz w:val="22"/>
          <w:szCs w:val="22"/>
          <w:lang w:val="en-US" w:eastAsia="en-GB"/>
        </w:rPr>
        <w:t>draw upon ACER’s expertise in energy markets</w:t>
      </w:r>
      <w:r w:rsidRPr="00ED1822">
        <w:rPr>
          <w:rFonts w:asciiTheme="minorHAnsi" w:hAnsiTheme="minorHAnsi" w:cs="Segoe UI"/>
          <w:sz w:val="22"/>
          <w:szCs w:val="22"/>
          <w:lang w:val="en-US" w:eastAsia="en-GB"/>
        </w:rPr>
        <w:t>”, since its proposals “</w:t>
      </w:r>
      <w:r w:rsidRPr="00ED1822">
        <w:rPr>
          <w:rFonts w:asciiTheme="minorHAnsi" w:hAnsiTheme="minorHAnsi" w:cs="Segoe UI"/>
          <w:i/>
          <w:iCs/>
          <w:sz w:val="22"/>
          <w:szCs w:val="22"/>
          <w:lang w:val="en-US" w:eastAsia="en-GB"/>
        </w:rPr>
        <w:t xml:space="preserve">capture…supervised entities covered by Regulation (EU) No. 1227/2011” </w:t>
      </w:r>
      <w:r w:rsidRPr="00ED1822">
        <w:rPr>
          <w:rFonts w:asciiTheme="minorHAnsi" w:hAnsiTheme="minorHAnsi" w:cs="Segoe UI"/>
          <w:sz w:val="22"/>
          <w:szCs w:val="22"/>
          <w:lang w:val="en-US" w:eastAsia="en-GB"/>
        </w:rPr>
        <w:t>(REMIT).</w:t>
      </w:r>
    </w:p>
    <w:p w14:paraId="790AC136" w14:textId="77777777" w:rsidR="00D2576C" w:rsidRDefault="00D2576C" w:rsidP="00D2576C">
      <w:pPr>
        <w:rPr>
          <w:rFonts w:asciiTheme="minorHAnsi" w:hAnsiTheme="minorHAnsi" w:cs="Segoe UI"/>
          <w:sz w:val="22"/>
          <w:szCs w:val="22"/>
          <w:lang w:val="en-US" w:eastAsia="en-GB"/>
        </w:rPr>
      </w:pPr>
    </w:p>
    <w:p w14:paraId="2CA327C9" w14:textId="7A854450" w:rsidR="00D2576C" w:rsidRPr="00ED1822" w:rsidRDefault="00D2576C" w:rsidP="00D2576C">
      <w:pPr>
        <w:rPr>
          <w:rFonts w:asciiTheme="minorHAnsi" w:hAnsiTheme="minorHAnsi" w:cs="Calibri"/>
          <w:color w:val="000000"/>
          <w:sz w:val="22"/>
          <w:szCs w:val="22"/>
          <w:lang w:eastAsia="en-GB"/>
        </w:rPr>
      </w:pPr>
      <w:r>
        <w:rPr>
          <w:rFonts w:asciiTheme="minorHAnsi" w:hAnsiTheme="minorHAnsi" w:cs="Segoe UI"/>
          <w:sz w:val="22"/>
          <w:szCs w:val="22"/>
          <w:lang w:val="en-US" w:eastAsia="en-GB"/>
        </w:rPr>
        <w:t>Finally, we request that ESMA add an “Other” categorization available to responders at the beginning of the response form. None of the existing categories are apt for ICIS.</w:t>
      </w:r>
    </w:p>
    <w:permEnd w:id="1594194160"/>
    <w:p w14:paraId="3C3E0A27" w14:textId="0D06497C" w:rsidR="00F87897" w:rsidRDefault="00F87897" w:rsidP="00F87897"/>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27159588" w:rsidR="00A8728B" w:rsidRDefault="0061713B" w:rsidP="00A8728B">
      <w:permStart w:id="751114692" w:edGrp="everyone"/>
      <w:r>
        <w:t>Not applicable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5DA073E1" w:rsidR="00A8728B" w:rsidRDefault="0061713B" w:rsidP="00A8728B">
      <w:permStart w:id="1040662039" w:edGrp="everyone"/>
      <w:r>
        <w:t>Not applicable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1FB0E57A" w14:textId="77777777" w:rsidR="0061713B" w:rsidRPr="00ED1822" w:rsidRDefault="0061713B" w:rsidP="0061713B">
      <w:pPr>
        <w:rPr>
          <w:rFonts w:asciiTheme="minorHAnsi" w:hAnsiTheme="minorHAnsi"/>
          <w:sz w:val="22"/>
          <w:szCs w:val="22"/>
          <w:lang w:eastAsia="en-US"/>
        </w:rPr>
      </w:pPr>
      <w:permStart w:id="1114596086" w:edGrp="everyone"/>
      <w:r w:rsidRPr="00ED1822">
        <w:rPr>
          <w:rFonts w:asciiTheme="minorHAnsi" w:hAnsiTheme="minorHAnsi"/>
          <w:sz w:val="22"/>
          <w:szCs w:val="22"/>
        </w:rPr>
        <w:t>ICIS does not agree with ESMA’s analysis as it concerns administrators of, and contributors to, commodity benchmarks covered by the provisions of Annex II of the Benchmark Regulation.</w:t>
      </w:r>
    </w:p>
    <w:p w14:paraId="60602DD8" w14:textId="77777777" w:rsidR="0061713B" w:rsidRPr="00ED1822" w:rsidRDefault="0061713B" w:rsidP="0061713B">
      <w:pPr>
        <w:rPr>
          <w:rFonts w:asciiTheme="minorHAnsi" w:hAnsiTheme="minorHAnsi"/>
          <w:sz w:val="22"/>
          <w:szCs w:val="22"/>
        </w:rPr>
      </w:pPr>
    </w:p>
    <w:p w14:paraId="64CB9DF8"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This is because</w:t>
      </w:r>
      <w:r>
        <w:rPr>
          <w:rFonts w:asciiTheme="minorHAnsi" w:hAnsiTheme="minorHAnsi"/>
          <w:sz w:val="22"/>
          <w:szCs w:val="22"/>
        </w:rPr>
        <w:t>,</w:t>
      </w:r>
      <w:r w:rsidRPr="00ED1822">
        <w:rPr>
          <w:rFonts w:asciiTheme="minorHAnsi" w:hAnsiTheme="minorHAnsi"/>
          <w:sz w:val="22"/>
          <w:szCs w:val="22"/>
        </w:rPr>
        <w:t xml:space="preserve"> throughout its Section 3.2 on benchmarks ESMA</w:t>
      </w:r>
      <w:r>
        <w:rPr>
          <w:rFonts w:asciiTheme="minorHAnsi" w:hAnsiTheme="minorHAnsi"/>
          <w:sz w:val="22"/>
          <w:szCs w:val="22"/>
        </w:rPr>
        <w:t>,</w:t>
      </w:r>
      <w:r w:rsidRPr="00ED1822">
        <w:rPr>
          <w:rFonts w:asciiTheme="minorHAnsi" w:hAnsiTheme="minorHAnsi"/>
          <w:sz w:val="22"/>
          <w:szCs w:val="22"/>
        </w:rPr>
        <w:t xml:space="preserve"> never refers to either:</w:t>
      </w:r>
    </w:p>
    <w:p w14:paraId="72781F83" w14:textId="77777777" w:rsidR="0061713B" w:rsidRPr="00ED1822" w:rsidRDefault="0061713B" w:rsidP="0061713B">
      <w:pPr>
        <w:rPr>
          <w:rFonts w:asciiTheme="minorHAnsi" w:hAnsiTheme="minorHAnsi"/>
          <w:sz w:val="22"/>
          <w:szCs w:val="22"/>
        </w:rPr>
      </w:pPr>
    </w:p>
    <w:p w14:paraId="055DDE6D" w14:textId="77777777" w:rsidR="0061713B" w:rsidRPr="00ED1822" w:rsidRDefault="0061713B" w:rsidP="0061713B">
      <w:pPr>
        <w:pStyle w:val="ListParagraph"/>
        <w:numPr>
          <w:ilvl w:val="0"/>
          <w:numId w:val="37"/>
        </w:numPr>
        <w:spacing w:after="160" w:line="256" w:lineRule="auto"/>
        <w:rPr>
          <w:rFonts w:asciiTheme="minorHAnsi" w:hAnsiTheme="minorHAnsi"/>
          <w:sz w:val="22"/>
          <w:szCs w:val="22"/>
        </w:rPr>
      </w:pPr>
      <w:r w:rsidRPr="00ED1822">
        <w:rPr>
          <w:rFonts w:asciiTheme="minorHAnsi" w:hAnsiTheme="minorHAnsi"/>
          <w:sz w:val="22"/>
          <w:szCs w:val="22"/>
        </w:rPr>
        <w:t>the BMR’s Annex II regime for commodity benchmarks; or</w:t>
      </w:r>
    </w:p>
    <w:p w14:paraId="7D2ABC8F" w14:textId="77777777" w:rsidR="0061713B" w:rsidRPr="00ED1822" w:rsidRDefault="0061713B" w:rsidP="0061713B">
      <w:pPr>
        <w:pStyle w:val="ListParagraph"/>
        <w:numPr>
          <w:ilvl w:val="0"/>
          <w:numId w:val="37"/>
        </w:numPr>
        <w:spacing w:after="160" w:line="256" w:lineRule="auto"/>
        <w:rPr>
          <w:rFonts w:asciiTheme="minorHAnsi" w:hAnsiTheme="minorHAnsi"/>
          <w:sz w:val="22"/>
          <w:szCs w:val="22"/>
        </w:rPr>
      </w:pPr>
      <w:r w:rsidRPr="00ED1822">
        <w:rPr>
          <w:rFonts w:asciiTheme="minorHAnsi" w:hAnsiTheme="minorHAnsi"/>
          <w:sz w:val="22"/>
          <w:szCs w:val="22"/>
        </w:rPr>
        <w:t>the applicable safeguards for journalism.</w:t>
      </w:r>
    </w:p>
    <w:p w14:paraId="6B90A64B"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Furthermore, ESMA’s proposals as they relate to commodity markets will cover supervised entities and markets covered by Regulation No 1227/2011 on wholesale energy market integrity and transparency (REMIT).  Accordingly, we suggest that ESMA consult with the Agency for the Cooperation of Energy Regulators (ACER) in accordance with BMR Recital 64.</w:t>
      </w:r>
      <w:r w:rsidRPr="00ED1822">
        <w:rPr>
          <w:rStyle w:val="FootnoteReference"/>
          <w:rFonts w:asciiTheme="minorHAnsi" w:hAnsiTheme="minorHAnsi"/>
          <w:sz w:val="22"/>
          <w:szCs w:val="22"/>
        </w:rPr>
        <w:footnoteReference w:id="3"/>
      </w:r>
    </w:p>
    <w:p w14:paraId="27487E43" w14:textId="77777777" w:rsidR="0061713B" w:rsidRPr="00ED1822" w:rsidRDefault="0061713B" w:rsidP="0061713B">
      <w:pPr>
        <w:rPr>
          <w:rFonts w:asciiTheme="minorHAnsi" w:hAnsiTheme="minorHAnsi"/>
          <w:sz w:val="22"/>
          <w:szCs w:val="22"/>
        </w:rPr>
      </w:pPr>
    </w:p>
    <w:p w14:paraId="2320A34A"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The BMR has two separate governance regimes: Title II: for financial benchmark administrators and their contributors and Annex II: for commodity benchmark administrators and their contributors.</w:t>
      </w:r>
    </w:p>
    <w:p w14:paraId="36250448" w14:textId="77777777" w:rsidR="0061713B" w:rsidRPr="00ED1822" w:rsidRDefault="0061713B" w:rsidP="0061713B">
      <w:pPr>
        <w:rPr>
          <w:rFonts w:asciiTheme="minorHAnsi" w:hAnsiTheme="minorHAnsi"/>
          <w:sz w:val="22"/>
          <w:szCs w:val="22"/>
        </w:rPr>
      </w:pPr>
    </w:p>
    <w:p w14:paraId="4522130D"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ESMA’s analysis does not refer to the Annex II regime</w:t>
      </w:r>
      <w:r>
        <w:rPr>
          <w:rFonts w:asciiTheme="minorHAnsi" w:hAnsiTheme="minorHAnsi"/>
          <w:sz w:val="22"/>
          <w:szCs w:val="22"/>
        </w:rPr>
        <w:t>. Instead, it assumes</w:t>
      </w:r>
      <w:r w:rsidRPr="00ED1822">
        <w:rPr>
          <w:rFonts w:asciiTheme="minorHAnsi" w:hAnsiTheme="minorHAnsi"/>
          <w:sz w:val="22"/>
          <w:szCs w:val="22"/>
        </w:rPr>
        <w:t xml:space="preserve"> that the Title II regime for financial benchmarks applies to </w:t>
      </w:r>
      <w:r w:rsidRPr="00ED1822">
        <w:rPr>
          <w:rFonts w:asciiTheme="minorHAnsi" w:hAnsiTheme="minorHAnsi"/>
          <w:b/>
          <w:bCs/>
          <w:sz w:val="22"/>
          <w:szCs w:val="22"/>
        </w:rPr>
        <w:t xml:space="preserve">all </w:t>
      </w:r>
      <w:r w:rsidRPr="00ED1822">
        <w:rPr>
          <w:rFonts w:asciiTheme="minorHAnsi" w:hAnsiTheme="minorHAnsi"/>
          <w:sz w:val="22"/>
          <w:szCs w:val="22"/>
        </w:rPr>
        <w:t xml:space="preserve">benchmarks, including commodity benchmarks. </w:t>
      </w:r>
    </w:p>
    <w:p w14:paraId="4741ABD8" w14:textId="77777777" w:rsidR="0061713B" w:rsidRPr="00ED1822" w:rsidRDefault="0061713B" w:rsidP="0061713B">
      <w:pPr>
        <w:rPr>
          <w:rFonts w:asciiTheme="minorHAnsi" w:hAnsiTheme="minorHAnsi"/>
          <w:sz w:val="22"/>
          <w:szCs w:val="22"/>
        </w:rPr>
      </w:pPr>
    </w:p>
    <w:p w14:paraId="3D6A5A4E" w14:textId="77777777" w:rsidR="0061713B" w:rsidRPr="00ED1822" w:rsidRDefault="0061713B" w:rsidP="0061713B">
      <w:pPr>
        <w:rPr>
          <w:rFonts w:asciiTheme="minorHAnsi" w:hAnsiTheme="minorHAnsi" w:cs="Segoe UI"/>
          <w:i/>
          <w:iCs/>
          <w:sz w:val="22"/>
          <w:szCs w:val="22"/>
          <w:lang w:val="en-US" w:eastAsia="en-GB"/>
        </w:rPr>
      </w:pPr>
      <w:r w:rsidRPr="00ED1822">
        <w:rPr>
          <w:rFonts w:asciiTheme="minorHAnsi" w:hAnsiTheme="minorHAnsi" w:cs="Segoe UI"/>
          <w:sz w:val="22"/>
          <w:szCs w:val="22"/>
          <w:lang w:val="en-US" w:eastAsia="en-GB"/>
        </w:rPr>
        <w:t>This unfortunate oversight is evident right from the start of ESMA’s Section 3.2 analysis. Paragraph 25 purports to provide a summary of the BMR regime that applies to administrators and supervised</w:t>
      </w:r>
      <w:r>
        <w:rPr>
          <w:rFonts w:asciiTheme="minorHAnsi" w:hAnsiTheme="minorHAnsi" w:cs="Segoe UI"/>
          <w:sz w:val="22"/>
          <w:szCs w:val="22"/>
          <w:lang w:val="en-US" w:eastAsia="en-GB"/>
        </w:rPr>
        <w:t xml:space="preserve"> contrib</w:t>
      </w:r>
      <w:r>
        <w:rPr>
          <w:rFonts w:asciiTheme="minorHAnsi" w:hAnsiTheme="minorHAnsi" w:cs="Segoe UI"/>
          <w:sz w:val="22"/>
          <w:szCs w:val="22"/>
          <w:lang w:val="en-US" w:eastAsia="en-GB"/>
        </w:rPr>
        <w:lastRenderedPageBreak/>
        <w:t>utors</w:t>
      </w:r>
      <w:r w:rsidRPr="00ED1822">
        <w:rPr>
          <w:rFonts w:asciiTheme="minorHAnsi" w:hAnsiTheme="minorHAnsi" w:cs="Segoe UI"/>
          <w:sz w:val="22"/>
          <w:szCs w:val="22"/>
          <w:lang w:val="en-US" w:eastAsia="en-GB"/>
        </w:rPr>
        <w:t xml:space="preserve">. However, this is a summary of the Title II regime, much of which does not apply to the Annex II regime e.g. </w:t>
      </w:r>
      <w:r w:rsidRPr="00ED1822">
        <w:rPr>
          <w:rFonts w:asciiTheme="minorHAnsi" w:hAnsiTheme="minorHAnsi" w:cs="Segoe UI"/>
          <w:i/>
          <w:iCs/>
          <w:sz w:val="22"/>
          <w:szCs w:val="22"/>
          <w:lang w:val="en-US" w:eastAsia="en-GB"/>
        </w:rPr>
        <w:t>oversight function requirements</w:t>
      </w:r>
      <w:r w:rsidRPr="00ED1822">
        <w:rPr>
          <w:rFonts w:asciiTheme="minorHAnsi" w:hAnsiTheme="minorHAnsi" w:cs="Segoe UI"/>
          <w:sz w:val="22"/>
          <w:szCs w:val="22"/>
          <w:lang w:val="en-US" w:eastAsia="en-GB"/>
        </w:rPr>
        <w:t xml:space="preserve">, </w:t>
      </w:r>
      <w:r w:rsidRPr="00ED1822">
        <w:rPr>
          <w:rFonts w:asciiTheme="minorHAnsi" w:hAnsiTheme="minorHAnsi" w:cs="Segoe UI"/>
          <w:i/>
          <w:iCs/>
          <w:sz w:val="22"/>
          <w:szCs w:val="22"/>
          <w:lang w:val="en-US" w:eastAsia="en-GB"/>
        </w:rPr>
        <w:t>record keeping requirements</w:t>
      </w:r>
      <w:r w:rsidRPr="00ED1822">
        <w:rPr>
          <w:rFonts w:asciiTheme="minorHAnsi" w:hAnsiTheme="minorHAnsi" w:cs="Segoe UI"/>
          <w:sz w:val="22"/>
          <w:szCs w:val="22"/>
          <w:lang w:val="en-US" w:eastAsia="en-GB"/>
        </w:rPr>
        <w:t xml:space="preserve">, </w:t>
      </w:r>
      <w:r w:rsidRPr="00ED1822">
        <w:rPr>
          <w:rFonts w:asciiTheme="minorHAnsi" w:hAnsiTheme="minorHAnsi" w:cs="Segoe UI"/>
          <w:i/>
          <w:iCs/>
          <w:sz w:val="22"/>
          <w:szCs w:val="22"/>
          <w:lang w:val="en-US" w:eastAsia="en-GB"/>
        </w:rPr>
        <w:t xml:space="preserve">contributor codes of conduct </w:t>
      </w:r>
      <w:r w:rsidRPr="00ED1822">
        <w:rPr>
          <w:rFonts w:asciiTheme="minorHAnsi" w:hAnsiTheme="minorHAnsi" w:cs="Segoe UI"/>
          <w:sz w:val="22"/>
          <w:szCs w:val="22"/>
          <w:lang w:val="en-US" w:eastAsia="en-GB"/>
        </w:rPr>
        <w:t xml:space="preserve">and </w:t>
      </w:r>
      <w:r w:rsidRPr="00ED1822">
        <w:rPr>
          <w:rFonts w:asciiTheme="minorHAnsi" w:hAnsiTheme="minorHAnsi" w:cs="Segoe UI"/>
          <w:i/>
          <w:iCs/>
          <w:sz w:val="22"/>
          <w:szCs w:val="22"/>
          <w:lang w:val="en-US" w:eastAsia="en-GB"/>
        </w:rPr>
        <w:t>requirements for supervised contributors.</w:t>
      </w:r>
    </w:p>
    <w:p w14:paraId="34173E33" w14:textId="77777777" w:rsidR="0061713B" w:rsidRPr="00ED1822" w:rsidRDefault="0061713B" w:rsidP="0061713B">
      <w:pPr>
        <w:rPr>
          <w:rFonts w:asciiTheme="minorHAnsi" w:hAnsiTheme="minorHAnsi" w:cs="Segoe UI"/>
          <w:sz w:val="22"/>
          <w:szCs w:val="22"/>
          <w:lang w:val="en-US" w:eastAsia="en-GB"/>
        </w:rPr>
      </w:pPr>
    </w:p>
    <w:p w14:paraId="7AB9F886" w14:textId="77777777" w:rsidR="0061713B" w:rsidRPr="00ED1822" w:rsidRDefault="0061713B" w:rsidP="0061713B">
      <w:pPr>
        <w:rPr>
          <w:rFonts w:asciiTheme="minorHAnsi" w:hAnsiTheme="minorHAnsi"/>
          <w:sz w:val="22"/>
          <w:szCs w:val="22"/>
          <w:highlight w:val="yellow"/>
        </w:rPr>
      </w:pPr>
      <w:r w:rsidRPr="00ED1822">
        <w:rPr>
          <w:rFonts w:asciiTheme="minorHAnsi" w:hAnsiTheme="minorHAnsi" w:cs="Segoe UI"/>
          <w:sz w:val="22"/>
          <w:szCs w:val="22"/>
          <w:lang w:val="en-US" w:eastAsia="en-GB"/>
        </w:rPr>
        <w:t>At Section 3.2.1, ESMA link</w:t>
      </w:r>
      <w:r>
        <w:rPr>
          <w:rFonts w:asciiTheme="minorHAnsi" w:hAnsiTheme="minorHAnsi" w:cs="Segoe UI"/>
          <w:sz w:val="22"/>
          <w:szCs w:val="22"/>
          <w:lang w:val="en-US" w:eastAsia="en-GB"/>
        </w:rPr>
        <w:t>s</w:t>
      </w:r>
      <w:r w:rsidRPr="00ED1822">
        <w:rPr>
          <w:rFonts w:asciiTheme="minorHAnsi" w:hAnsiTheme="minorHAnsi" w:cs="Segoe UI"/>
          <w:sz w:val="22"/>
          <w:szCs w:val="22"/>
          <w:lang w:val="en-US" w:eastAsia="en-GB"/>
        </w:rPr>
        <w:t xml:space="preserve"> its proposed approach to BMR’s Article 14 “</w:t>
      </w:r>
      <w:r w:rsidRPr="00ED1822">
        <w:rPr>
          <w:rFonts w:asciiTheme="minorHAnsi" w:hAnsiTheme="minorHAnsi" w:cs="Segoe UI"/>
          <w:i/>
          <w:iCs/>
          <w:sz w:val="22"/>
          <w:szCs w:val="22"/>
          <w:lang w:val="en-US" w:eastAsia="en-GB"/>
        </w:rPr>
        <w:t xml:space="preserve">Reporting of Infringements”. </w:t>
      </w:r>
      <w:r w:rsidRPr="00ED1822">
        <w:rPr>
          <w:rFonts w:asciiTheme="minorHAnsi" w:hAnsiTheme="minorHAnsi" w:cs="Segoe UI"/>
          <w:sz w:val="22"/>
          <w:szCs w:val="22"/>
          <w:lang w:val="en-US" w:eastAsia="en-GB"/>
        </w:rPr>
        <w:t xml:space="preserve"> However, article 14 is a Title II article which does not apply to Annex II administrators--and which would</w:t>
      </w:r>
      <w:r>
        <w:rPr>
          <w:rFonts w:asciiTheme="minorHAnsi" w:hAnsiTheme="minorHAnsi" w:cs="Segoe UI"/>
          <w:sz w:val="22"/>
          <w:szCs w:val="22"/>
          <w:lang w:val="en-US" w:eastAsia="en-GB"/>
        </w:rPr>
        <w:t xml:space="preserve"> not</w:t>
      </w:r>
      <w:r w:rsidRPr="00ED1822">
        <w:rPr>
          <w:rFonts w:asciiTheme="minorHAnsi" w:hAnsiTheme="minorHAnsi" w:cs="Segoe UI"/>
          <w:sz w:val="22"/>
          <w:szCs w:val="22"/>
          <w:lang w:val="en-US" w:eastAsia="en-GB"/>
        </w:rPr>
        <w:t>, in any case, be appropriate to apply in the editorial context of PRA journalists and their contributing sources.</w:t>
      </w:r>
    </w:p>
    <w:permEnd w:id="1114596086"/>
    <w:p w14:paraId="3C3E0A36" w14:textId="2C0A19B2" w:rsidR="002E1760" w:rsidRDefault="002E1760" w:rsidP="002E1760"/>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6E0EFF7C" w14:textId="77777777" w:rsidR="0061713B" w:rsidRPr="00ED1822" w:rsidRDefault="0061713B" w:rsidP="0061713B">
      <w:pPr>
        <w:pStyle w:val="CPQuestions"/>
        <w:numPr>
          <w:ilvl w:val="0"/>
          <w:numId w:val="0"/>
        </w:numPr>
        <w:rPr>
          <w:rFonts w:asciiTheme="minorHAnsi" w:hAnsiTheme="minorHAnsi"/>
          <w:b w:val="0"/>
          <w:bCs/>
          <w:szCs w:val="22"/>
        </w:rPr>
      </w:pPr>
      <w:permStart w:id="1507552575" w:edGrp="everyone"/>
      <w:r w:rsidRPr="00ED1822">
        <w:rPr>
          <w:rFonts w:asciiTheme="minorHAnsi" w:hAnsiTheme="minorHAnsi"/>
          <w:b w:val="0"/>
          <w:bCs/>
          <w:szCs w:val="22"/>
        </w:rPr>
        <w:t xml:space="preserve">ICIS does not agree with ESMA’s proposal which, if applied to Annex II administrators and their supervised contributors would be inconsistent with </w:t>
      </w:r>
      <w:r>
        <w:rPr>
          <w:rFonts w:asciiTheme="minorHAnsi" w:hAnsiTheme="minorHAnsi"/>
          <w:b w:val="0"/>
          <w:bCs/>
          <w:szCs w:val="22"/>
        </w:rPr>
        <w:t xml:space="preserve">the </w:t>
      </w:r>
      <w:r w:rsidRPr="00ED1822">
        <w:rPr>
          <w:rFonts w:asciiTheme="minorHAnsi" w:hAnsiTheme="minorHAnsi"/>
          <w:b w:val="0"/>
          <w:bCs/>
          <w:szCs w:val="22"/>
        </w:rPr>
        <w:t xml:space="preserve">BMR </w:t>
      </w:r>
      <w:proofErr w:type="gramStart"/>
      <w:r w:rsidRPr="00ED1822">
        <w:rPr>
          <w:rFonts w:asciiTheme="minorHAnsi" w:hAnsiTheme="minorHAnsi"/>
          <w:b w:val="0"/>
          <w:bCs/>
          <w:szCs w:val="22"/>
        </w:rPr>
        <w:t>and also</w:t>
      </w:r>
      <w:proofErr w:type="gramEnd"/>
      <w:r w:rsidRPr="00ED1822">
        <w:rPr>
          <w:rFonts w:asciiTheme="minorHAnsi" w:hAnsiTheme="minorHAnsi"/>
          <w:b w:val="0"/>
          <w:bCs/>
          <w:szCs w:val="22"/>
        </w:rPr>
        <w:t xml:space="preserve"> with applicable editorial safeguards, including the express safeguards for journalism </w:t>
      </w:r>
      <w:r>
        <w:rPr>
          <w:rFonts w:asciiTheme="minorHAnsi" w:hAnsiTheme="minorHAnsi"/>
          <w:b w:val="0"/>
          <w:bCs/>
          <w:szCs w:val="22"/>
        </w:rPr>
        <w:t xml:space="preserve">provided for </w:t>
      </w:r>
      <w:r w:rsidRPr="00ED1822">
        <w:rPr>
          <w:rFonts w:asciiTheme="minorHAnsi" w:hAnsiTheme="minorHAnsi"/>
          <w:b w:val="0"/>
          <w:bCs/>
          <w:szCs w:val="22"/>
        </w:rPr>
        <w:t>in REMIT</w:t>
      </w:r>
      <w:r>
        <w:rPr>
          <w:rFonts w:asciiTheme="minorHAnsi" w:hAnsiTheme="minorHAnsi"/>
          <w:b w:val="0"/>
          <w:bCs/>
          <w:szCs w:val="22"/>
        </w:rPr>
        <w:t xml:space="preserve">, </w:t>
      </w:r>
      <w:r w:rsidRPr="00ED1822">
        <w:rPr>
          <w:rFonts w:asciiTheme="minorHAnsi" w:hAnsiTheme="minorHAnsi"/>
          <w:b w:val="0"/>
          <w:bCs/>
          <w:szCs w:val="22"/>
        </w:rPr>
        <w:t>MAR</w:t>
      </w:r>
      <w:r>
        <w:rPr>
          <w:rFonts w:asciiTheme="minorHAnsi" w:hAnsiTheme="minorHAnsi"/>
          <w:b w:val="0"/>
          <w:bCs/>
          <w:szCs w:val="22"/>
        </w:rPr>
        <w:t xml:space="preserve"> and BMR</w:t>
      </w:r>
      <w:r w:rsidRPr="00ED1822">
        <w:rPr>
          <w:rFonts w:asciiTheme="minorHAnsi" w:hAnsiTheme="minorHAnsi"/>
          <w:b w:val="0"/>
          <w:bCs/>
          <w:szCs w:val="22"/>
        </w:rPr>
        <w:t>.</w:t>
      </w:r>
    </w:p>
    <w:p w14:paraId="506C1EEC" w14:textId="77777777" w:rsidR="0061713B" w:rsidRPr="00ED1822" w:rsidRDefault="0061713B" w:rsidP="0061713B">
      <w:pPr>
        <w:pStyle w:val="CPQuestions"/>
        <w:numPr>
          <w:ilvl w:val="0"/>
          <w:numId w:val="0"/>
        </w:numPr>
        <w:rPr>
          <w:rFonts w:asciiTheme="minorHAnsi" w:hAnsiTheme="minorHAnsi"/>
          <w:b w:val="0"/>
          <w:bCs/>
          <w:szCs w:val="22"/>
        </w:rPr>
      </w:pPr>
      <w:proofErr w:type="gramStart"/>
      <w:r w:rsidRPr="00ED1822">
        <w:rPr>
          <w:rFonts w:asciiTheme="minorHAnsi" w:hAnsiTheme="minorHAnsi"/>
          <w:b w:val="0"/>
          <w:bCs/>
          <w:szCs w:val="22"/>
        </w:rPr>
        <w:t>With regard to</w:t>
      </w:r>
      <w:proofErr w:type="gramEnd"/>
      <w:r w:rsidRPr="00ED1822">
        <w:rPr>
          <w:rFonts w:asciiTheme="minorHAnsi" w:hAnsiTheme="minorHAnsi"/>
          <w:b w:val="0"/>
          <w:bCs/>
          <w:szCs w:val="22"/>
        </w:rPr>
        <w:t xml:space="preserve"> </w:t>
      </w:r>
      <w:r>
        <w:rPr>
          <w:rFonts w:asciiTheme="minorHAnsi" w:hAnsiTheme="minorHAnsi"/>
          <w:b w:val="0"/>
          <w:bCs/>
          <w:szCs w:val="22"/>
        </w:rPr>
        <w:t xml:space="preserve">extending the Article 30 sanctions to </w:t>
      </w:r>
      <w:r w:rsidRPr="00ED1822">
        <w:rPr>
          <w:rFonts w:asciiTheme="minorHAnsi" w:hAnsiTheme="minorHAnsi"/>
          <w:b w:val="0"/>
          <w:bCs/>
          <w:szCs w:val="22"/>
        </w:rPr>
        <w:t xml:space="preserve">benchmark administrators, PRAs are media </w:t>
      </w:r>
      <w:r>
        <w:rPr>
          <w:rFonts w:asciiTheme="minorHAnsi" w:hAnsiTheme="minorHAnsi"/>
          <w:b w:val="0"/>
          <w:bCs/>
          <w:szCs w:val="22"/>
        </w:rPr>
        <w:t xml:space="preserve">entities </w:t>
      </w:r>
      <w:r w:rsidRPr="00ED1822">
        <w:rPr>
          <w:rFonts w:asciiTheme="minorHAnsi" w:hAnsiTheme="minorHAnsi"/>
          <w:b w:val="0"/>
          <w:bCs/>
          <w:szCs w:val="22"/>
        </w:rPr>
        <w:t xml:space="preserve">staffed by journalists whose editorial operations are protected by well-established safeguards for journalism. It would not be appropriate to override these safeguards, as ESMA proposes, by applying administrative sanctions to </w:t>
      </w:r>
      <w:r>
        <w:rPr>
          <w:rFonts w:asciiTheme="minorHAnsi" w:hAnsiTheme="minorHAnsi"/>
          <w:b w:val="0"/>
          <w:bCs/>
          <w:szCs w:val="22"/>
        </w:rPr>
        <w:t xml:space="preserve">editorial operations </w:t>
      </w:r>
      <w:r w:rsidRPr="00ED1822">
        <w:rPr>
          <w:rFonts w:asciiTheme="minorHAnsi" w:hAnsiTheme="minorHAnsi"/>
          <w:b w:val="0"/>
          <w:bCs/>
          <w:szCs w:val="22"/>
        </w:rPr>
        <w:t>as if they were investment firms.</w:t>
      </w:r>
    </w:p>
    <w:p w14:paraId="35FA691E" w14:textId="77777777" w:rsidR="0061713B" w:rsidRDefault="0061713B" w:rsidP="0061713B">
      <w:pPr>
        <w:pStyle w:val="CPQuestions"/>
        <w:numPr>
          <w:ilvl w:val="0"/>
          <w:numId w:val="0"/>
        </w:numPr>
        <w:rPr>
          <w:rFonts w:asciiTheme="minorHAnsi" w:hAnsiTheme="minorHAnsi"/>
          <w:b w:val="0"/>
          <w:bCs/>
          <w:szCs w:val="22"/>
        </w:rPr>
      </w:pPr>
      <w:proofErr w:type="gramStart"/>
      <w:r w:rsidRPr="00ED1822">
        <w:rPr>
          <w:rFonts w:asciiTheme="minorHAnsi" w:hAnsiTheme="minorHAnsi"/>
          <w:b w:val="0"/>
          <w:bCs/>
          <w:szCs w:val="22"/>
        </w:rPr>
        <w:t>With regard to</w:t>
      </w:r>
      <w:proofErr w:type="gramEnd"/>
      <w:r w:rsidRPr="00ED1822">
        <w:rPr>
          <w:rFonts w:asciiTheme="minorHAnsi" w:hAnsiTheme="minorHAnsi"/>
          <w:b w:val="0"/>
          <w:bCs/>
          <w:szCs w:val="22"/>
        </w:rPr>
        <w:t xml:space="preserve"> supervised contributors, and in contrast to Title II, Annex II imposes no obligations over supervised contributors. It would therefore be inconsistent with the BMR if NCAs were to be given powers to apply administrative sanctions to Annex II contributors, such as powers to suspend contributors, as proposed by ESMA. </w:t>
      </w:r>
    </w:p>
    <w:p w14:paraId="5EEB2CB5" w14:textId="3E3FF081" w:rsidR="0061713B" w:rsidRPr="00ED1822" w:rsidRDefault="0061713B" w:rsidP="0061713B">
      <w:pPr>
        <w:pStyle w:val="CPQuestions"/>
        <w:numPr>
          <w:ilvl w:val="0"/>
          <w:numId w:val="0"/>
        </w:numPr>
        <w:rPr>
          <w:rFonts w:asciiTheme="minorHAnsi" w:hAnsiTheme="minorHAnsi"/>
          <w:b w:val="0"/>
          <w:bCs/>
          <w:szCs w:val="22"/>
        </w:rPr>
      </w:pPr>
      <w:r w:rsidRPr="00ED1822">
        <w:rPr>
          <w:rFonts w:asciiTheme="minorHAnsi" w:hAnsiTheme="minorHAnsi"/>
          <w:b w:val="0"/>
          <w:bCs/>
          <w:szCs w:val="22"/>
        </w:rPr>
        <w:t>The existence of such powers could, as IOSCO and others have expressly warned, deter the (voluntary) contribut</w:t>
      </w:r>
      <w:r>
        <w:rPr>
          <w:rFonts w:asciiTheme="minorHAnsi" w:hAnsiTheme="minorHAnsi"/>
          <w:b w:val="0"/>
          <w:bCs/>
          <w:szCs w:val="22"/>
        </w:rPr>
        <w:t>ions t</w:t>
      </w:r>
      <w:r w:rsidRPr="00ED1822">
        <w:rPr>
          <w:rFonts w:asciiTheme="minorHAnsi" w:hAnsiTheme="minorHAnsi"/>
          <w:b w:val="0"/>
          <w:bCs/>
          <w:szCs w:val="22"/>
        </w:rPr>
        <w:t xml:space="preserve">o PRA benchmarks, leading to less reliable benchmarks. </w:t>
      </w:r>
      <w:r>
        <w:rPr>
          <w:rFonts w:asciiTheme="minorHAnsi" w:hAnsiTheme="minorHAnsi"/>
          <w:b w:val="0"/>
          <w:bCs/>
          <w:szCs w:val="22"/>
        </w:rPr>
        <w:t>One unintended consequence could be that commodity benchmarks become more reliant on contributions made by contributors located outside the EU.</w:t>
      </w:r>
    </w:p>
    <w:permEnd w:id="1507552575"/>
    <w:p w14:paraId="3C3E0A3B" w14:textId="3BDED144" w:rsidR="002E1760" w:rsidRDefault="002E1760" w:rsidP="002E1760"/>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7A36627B" w14:textId="77777777" w:rsidR="0061713B" w:rsidRPr="00ED1822" w:rsidRDefault="0061713B" w:rsidP="0061713B">
      <w:pPr>
        <w:pStyle w:val="CPQuestions"/>
        <w:numPr>
          <w:ilvl w:val="0"/>
          <w:numId w:val="0"/>
        </w:numPr>
        <w:rPr>
          <w:rFonts w:asciiTheme="minorHAnsi" w:hAnsiTheme="minorHAnsi"/>
          <w:b w:val="0"/>
          <w:bCs/>
          <w:szCs w:val="22"/>
        </w:rPr>
      </w:pPr>
      <w:permStart w:id="325415610" w:edGrp="everyone"/>
      <w:r w:rsidRPr="00ED1822">
        <w:rPr>
          <w:rFonts w:asciiTheme="minorHAnsi" w:hAnsiTheme="minorHAnsi"/>
          <w:b w:val="0"/>
          <w:bCs/>
          <w:szCs w:val="22"/>
        </w:rPr>
        <w:lastRenderedPageBreak/>
        <w:t>We assume that this question refers to the powers granted to NCAs in MAR article 23(1)(g)</w:t>
      </w:r>
      <w:r>
        <w:rPr>
          <w:rFonts w:asciiTheme="minorHAnsi" w:hAnsiTheme="minorHAnsi"/>
          <w:b w:val="0"/>
          <w:bCs/>
          <w:szCs w:val="22"/>
        </w:rPr>
        <w:t>:</w:t>
      </w:r>
      <w:r w:rsidRPr="00ED1822">
        <w:rPr>
          <w:rFonts w:asciiTheme="minorHAnsi" w:hAnsiTheme="minorHAnsi"/>
          <w:b w:val="0"/>
          <w:bCs/>
          <w:szCs w:val="22"/>
        </w:rPr>
        <w:t xml:space="preserve"> </w:t>
      </w:r>
    </w:p>
    <w:p w14:paraId="136CF987" w14:textId="77777777" w:rsidR="0061713B" w:rsidRPr="00ED1822" w:rsidRDefault="0061713B" w:rsidP="0061713B">
      <w:pPr>
        <w:pStyle w:val="CPQuestions"/>
        <w:numPr>
          <w:ilvl w:val="0"/>
          <w:numId w:val="0"/>
        </w:numPr>
        <w:ind w:left="720"/>
        <w:rPr>
          <w:rFonts w:asciiTheme="minorHAnsi" w:hAnsiTheme="minorHAnsi"/>
          <w:b w:val="0"/>
          <w:bCs/>
          <w:szCs w:val="22"/>
        </w:rPr>
      </w:pPr>
      <w:r w:rsidRPr="00ED1822">
        <w:rPr>
          <w:rFonts w:asciiTheme="minorHAnsi" w:hAnsiTheme="minorHAnsi"/>
          <w:b w:val="0"/>
          <w:bCs/>
          <w:szCs w:val="22"/>
        </w:rPr>
        <w:t>“</w:t>
      </w:r>
      <w:r w:rsidRPr="00ED1822">
        <w:rPr>
          <w:rFonts w:asciiTheme="minorHAnsi" w:hAnsiTheme="minorHAnsi"/>
          <w:b w:val="0"/>
          <w:bCs/>
          <w:i/>
          <w:iCs/>
          <w:szCs w:val="22"/>
        </w:rPr>
        <w:t>to require existing recordings of telephone conversations, electronic communications or data traffic record held by investment firms, credit institutions or financial institutions</w:t>
      </w:r>
      <w:r w:rsidRPr="00ED1822">
        <w:rPr>
          <w:rFonts w:asciiTheme="minorHAnsi" w:hAnsiTheme="minorHAnsi"/>
          <w:b w:val="0"/>
          <w:bCs/>
          <w:szCs w:val="22"/>
        </w:rPr>
        <w:t>.”</w:t>
      </w:r>
    </w:p>
    <w:p w14:paraId="56AD78CC" w14:textId="77777777" w:rsidR="0061713B" w:rsidRPr="00ED1822" w:rsidRDefault="0061713B" w:rsidP="0061713B">
      <w:pPr>
        <w:pStyle w:val="CPQuestions"/>
        <w:numPr>
          <w:ilvl w:val="0"/>
          <w:numId w:val="0"/>
        </w:numPr>
        <w:rPr>
          <w:rFonts w:asciiTheme="minorHAnsi" w:hAnsiTheme="minorHAnsi"/>
          <w:b w:val="0"/>
          <w:bCs/>
          <w:szCs w:val="22"/>
        </w:rPr>
      </w:pPr>
      <w:r w:rsidRPr="00ED1822">
        <w:rPr>
          <w:rFonts w:asciiTheme="minorHAnsi" w:hAnsiTheme="minorHAnsi"/>
          <w:b w:val="0"/>
          <w:bCs/>
          <w:szCs w:val="22"/>
        </w:rPr>
        <w:t xml:space="preserve">ICIS does not agree with ESMA’s proposal which, if applied to Annex II administrators and their supervised contributors would be inconsistent with BMR and also with applicable editorial safeguards, including the existing safeguards for journalism in </w:t>
      </w:r>
      <w:proofErr w:type="gramStart"/>
      <w:r w:rsidRPr="00ED1822">
        <w:rPr>
          <w:rFonts w:asciiTheme="minorHAnsi" w:hAnsiTheme="minorHAnsi"/>
          <w:b w:val="0"/>
          <w:bCs/>
          <w:szCs w:val="22"/>
        </w:rPr>
        <w:t>REMIT</w:t>
      </w:r>
      <w:r>
        <w:rPr>
          <w:rFonts w:asciiTheme="minorHAnsi" w:hAnsiTheme="minorHAnsi"/>
          <w:b w:val="0"/>
          <w:bCs/>
          <w:szCs w:val="22"/>
        </w:rPr>
        <w:t xml:space="preserve">, </w:t>
      </w:r>
      <w:r w:rsidRPr="00ED1822">
        <w:rPr>
          <w:rFonts w:asciiTheme="minorHAnsi" w:hAnsiTheme="minorHAnsi"/>
          <w:b w:val="0"/>
          <w:bCs/>
          <w:szCs w:val="22"/>
        </w:rPr>
        <w:t xml:space="preserve"> MAR</w:t>
      </w:r>
      <w:proofErr w:type="gramEnd"/>
      <w:r>
        <w:rPr>
          <w:rFonts w:asciiTheme="minorHAnsi" w:hAnsiTheme="minorHAnsi"/>
          <w:b w:val="0"/>
          <w:bCs/>
          <w:szCs w:val="22"/>
        </w:rPr>
        <w:t xml:space="preserve"> and the BMR</w:t>
      </w:r>
      <w:r w:rsidRPr="00ED1822">
        <w:rPr>
          <w:rFonts w:asciiTheme="minorHAnsi" w:hAnsiTheme="minorHAnsi"/>
          <w:b w:val="0"/>
          <w:bCs/>
          <w:szCs w:val="22"/>
        </w:rPr>
        <w:t>.</w:t>
      </w:r>
    </w:p>
    <w:p w14:paraId="58001242" w14:textId="77777777" w:rsidR="0061713B" w:rsidRPr="00ED1822" w:rsidRDefault="0061713B" w:rsidP="0061713B">
      <w:pPr>
        <w:pStyle w:val="CPQuestions"/>
        <w:numPr>
          <w:ilvl w:val="0"/>
          <w:numId w:val="0"/>
        </w:numPr>
        <w:rPr>
          <w:rFonts w:asciiTheme="minorHAnsi" w:hAnsiTheme="minorHAnsi"/>
          <w:b w:val="0"/>
          <w:bCs/>
          <w:szCs w:val="22"/>
        </w:rPr>
      </w:pPr>
      <w:proofErr w:type="gramStart"/>
      <w:r w:rsidRPr="00ED1822">
        <w:rPr>
          <w:rFonts w:asciiTheme="minorHAnsi" w:hAnsiTheme="minorHAnsi"/>
          <w:b w:val="0"/>
          <w:bCs/>
          <w:szCs w:val="22"/>
        </w:rPr>
        <w:t>With regard to</w:t>
      </w:r>
      <w:proofErr w:type="gramEnd"/>
      <w:r w:rsidRPr="00ED1822">
        <w:rPr>
          <w:rFonts w:asciiTheme="minorHAnsi" w:hAnsiTheme="minorHAnsi"/>
          <w:b w:val="0"/>
          <w:bCs/>
          <w:szCs w:val="22"/>
        </w:rPr>
        <w:t xml:space="preserve"> </w:t>
      </w:r>
      <w:r>
        <w:rPr>
          <w:rFonts w:asciiTheme="minorHAnsi" w:hAnsiTheme="minorHAnsi"/>
          <w:b w:val="0"/>
          <w:bCs/>
          <w:szCs w:val="22"/>
        </w:rPr>
        <w:t xml:space="preserve">the proposal to apply these powers to </w:t>
      </w:r>
      <w:r w:rsidRPr="00ED1822">
        <w:rPr>
          <w:rFonts w:asciiTheme="minorHAnsi" w:hAnsiTheme="minorHAnsi"/>
          <w:b w:val="0"/>
          <w:bCs/>
          <w:szCs w:val="22"/>
        </w:rPr>
        <w:t>benchmark administrators, BMR’s record keeping obligations concerning “</w:t>
      </w:r>
      <w:r w:rsidRPr="00ED1822">
        <w:rPr>
          <w:rFonts w:asciiTheme="minorHAnsi" w:hAnsiTheme="minorHAnsi"/>
          <w:b w:val="0"/>
          <w:bCs/>
          <w:i/>
          <w:iCs/>
          <w:szCs w:val="22"/>
        </w:rPr>
        <w:t>telephone conversations, electronic communications”</w:t>
      </w:r>
      <w:r w:rsidRPr="00ED1822">
        <w:rPr>
          <w:rFonts w:asciiTheme="minorHAnsi" w:hAnsiTheme="minorHAnsi"/>
          <w:b w:val="0"/>
          <w:bCs/>
          <w:szCs w:val="22"/>
        </w:rPr>
        <w:t xml:space="preserve"> are contained in Title II Article 7, which does not apply to Annex II administrators. Extending the powers of NCA’s to require Annex II administrators to disclose such communications to </w:t>
      </w:r>
      <w:r>
        <w:rPr>
          <w:rFonts w:asciiTheme="minorHAnsi" w:hAnsiTheme="minorHAnsi"/>
          <w:b w:val="0"/>
          <w:bCs/>
          <w:szCs w:val="22"/>
        </w:rPr>
        <w:t xml:space="preserve">NCAs </w:t>
      </w:r>
      <w:r w:rsidRPr="00ED1822">
        <w:rPr>
          <w:rFonts w:asciiTheme="minorHAnsi" w:hAnsiTheme="minorHAnsi"/>
          <w:b w:val="0"/>
          <w:bCs/>
          <w:szCs w:val="22"/>
        </w:rPr>
        <w:t xml:space="preserve">would </w:t>
      </w:r>
      <w:r>
        <w:rPr>
          <w:rFonts w:asciiTheme="minorHAnsi" w:hAnsiTheme="minorHAnsi"/>
          <w:b w:val="0"/>
          <w:bCs/>
          <w:szCs w:val="22"/>
        </w:rPr>
        <w:t xml:space="preserve">therefore </w:t>
      </w:r>
      <w:r w:rsidRPr="00ED1822">
        <w:rPr>
          <w:rFonts w:asciiTheme="minorHAnsi" w:hAnsiTheme="minorHAnsi"/>
          <w:b w:val="0"/>
          <w:bCs/>
          <w:szCs w:val="22"/>
        </w:rPr>
        <w:t xml:space="preserve">be inconsistent with the BMR.  It would also amount to a (particularly clear) breach of the long-established safeguards that protect the disclosure of information </w:t>
      </w:r>
      <w:r>
        <w:rPr>
          <w:rFonts w:asciiTheme="minorHAnsi" w:hAnsiTheme="minorHAnsi"/>
          <w:b w:val="0"/>
          <w:bCs/>
          <w:szCs w:val="22"/>
        </w:rPr>
        <w:t xml:space="preserve">that </w:t>
      </w:r>
      <w:r w:rsidRPr="00ED1822">
        <w:rPr>
          <w:rFonts w:asciiTheme="minorHAnsi" w:hAnsiTheme="minorHAnsi"/>
          <w:b w:val="0"/>
          <w:bCs/>
          <w:szCs w:val="22"/>
        </w:rPr>
        <w:t>journalists receive from their sources. (see e.g.</w:t>
      </w:r>
      <w:r w:rsidRPr="00ED1822">
        <w:rPr>
          <w:rStyle w:val="Emphasis"/>
          <w:rFonts w:asciiTheme="minorHAnsi" w:hAnsiTheme="minorHAnsi"/>
          <w:color w:val="0A0A0A"/>
          <w:szCs w:val="22"/>
          <w:shd w:val="clear" w:color="auto" w:fill="FFFFFF"/>
        </w:rPr>
        <w:t xml:space="preserve"> </w:t>
      </w:r>
      <w:proofErr w:type="spellStart"/>
      <w:r w:rsidRPr="00ED1822">
        <w:rPr>
          <w:rStyle w:val="Emphasis"/>
          <w:rFonts w:asciiTheme="minorHAnsi" w:hAnsiTheme="minorHAnsi"/>
          <w:b w:val="0"/>
          <w:bCs/>
          <w:color w:val="0A0A0A"/>
          <w:szCs w:val="22"/>
          <w:shd w:val="clear" w:color="auto" w:fill="FFFFFF"/>
        </w:rPr>
        <w:t>Interbrew</w:t>
      </w:r>
      <w:proofErr w:type="spellEnd"/>
      <w:r w:rsidRPr="00ED1822">
        <w:rPr>
          <w:rStyle w:val="Emphasis"/>
          <w:rFonts w:asciiTheme="minorHAnsi" w:hAnsiTheme="minorHAnsi"/>
          <w:b w:val="0"/>
          <w:bCs/>
          <w:color w:val="0A0A0A"/>
          <w:szCs w:val="22"/>
          <w:shd w:val="clear" w:color="auto" w:fill="FFFFFF"/>
        </w:rPr>
        <w:t xml:space="preserve"> SA v. Financial Times Ltd</w:t>
      </w:r>
      <w:r w:rsidRPr="00ED1822">
        <w:rPr>
          <w:rFonts w:asciiTheme="minorHAnsi" w:hAnsiTheme="minorHAnsi"/>
          <w:b w:val="0"/>
          <w:bCs/>
          <w:color w:val="0A0A0A"/>
          <w:szCs w:val="22"/>
          <w:shd w:val="clear" w:color="auto" w:fill="FFFFFF"/>
        </w:rPr>
        <w:t xml:space="preserve"> [2002] EWCA </w:t>
      </w:r>
      <w:proofErr w:type="spellStart"/>
      <w:r w:rsidRPr="00ED1822">
        <w:rPr>
          <w:rFonts w:asciiTheme="minorHAnsi" w:hAnsiTheme="minorHAnsi"/>
          <w:b w:val="0"/>
          <w:bCs/>
          <w:color w:val="0A0A0A"/>
          <w:szCs w:val="22"/>
          <w:shd w:val="clear" w:color="auto" w:fill="FFFFFF"/>
        </w:rPr>
        <w:t>Civ</w:t>
      </w:r>
      <w:proofErr w:type="spellEnd"/>
      <w:r w:rsidRPr="00ED1822">
        <w:rPr>
          <w:rFonts w:asciiTheme="minorHAnsi" w:hAnsiTheme="minorHAnsi"/>
          <w:b w:val="0"/>
          <w:bCs/>
          <w:color w:val="0A0A0A"/>
          <w:szCs w:val="22"/>
          <w:shd w:val="clear" w:color="auto" w:fill="FFFFFF"/>
        </w:rPr>
        <w:t xml:space="preserve"> 274)</w:t>
      </w:r>
    </w:p>
    <w:p w14:paraId="15C95A40" w14:textId="77777777" w:rsidR="0061713B" w:rsidRPr="00ED1822" w:rsidRDefault="0061713B" w:rsidP="0061713B">
      <w:pPr>
        <w:pStyle w:val="CPQuestions"/>
        <w:numPr>
          <w:ilvl w:val="0"/>
          <w:numId w:val="0"/>
        </w:numPr>
        <w:rPr>
          <w:rFonts w:asciiTheme="minorHAnsi" w:hAnsiTheme="minorHAnsi"/>
          <w:b w:val="0"/>
          <w:bCs/>
          <w:szCs w:val="22"/>
        </w:rPr>
      </w:pPr>
      <w:r w:rsidRPr="00ED1822">
        <w:rPr>
          <w:rFonts w:asciiTheme="minorHAnsi" w:hAnsiTheme="minorHAnsi"/>
          <w:b w:val="0"/>
          <w:bCs/>
          <w:szCs w:val="22"/>
        </w:rPr>
        <w:t xml:space="preserve">In footnote 21, ESMA refers to the similar provisions in BMR Article 41(1)(f) relating to the disclosure of communications </w:t>
      </w:r>
      <w:r>
        <w:rPr>
          <w:rFonts w:asciiTheme="minorHAnsi" w:hAnsiTheme="minorHAnsi"/>
          <w:b w:val="0"/>
          <w:bCs/>
          <w:szCs w:val="22"/>
        </w:rPr>
        <w:t xml:space="preserve">to NCAs </w:t>
      </w:r>
      <w:r w:rsidRPr="00ED1822">
        <w:rPr>
          <w:rFonts w:asciiTheme="minorHAnsi" w:hAnsiTheme="minorHAnsi"/>
          <w:b w:val="0"/>
          <w:bCs/>
          <w:szCs w:val="22"/>
        </w:rPr>
        <w:t>as providing additional support for its proposals. However, Article 41 begins by clarifying that NCA’s powers should be limited to those needed “</w:t>
      </w:r>
      <w:r w:rsidRPr="00ED1822">
        <w:rPr>
          <w:rFonts w:asciiTheme="minorHAnsi" w:hAnsiTheme="minorHAnsi"/>
          <w:b w:val="0"/>
          <w:bCs/>
          <w:i/>
          <w:iCs/>
          <w:szCs w:val="22"/>
        </w:rPr>
        <w:t>to fulfil their duties under this Regulation”.</w:t>
      </w:r>
      <w:r w:rsidRPr="00ED1822">
        <w:rPr>
          <w:rFonts w:asciiTheme="minorHAnsi" w:hAnsiTheme="minorHAnsi"/>
          <w:b w:val="0"/>
          <w:bCs/>
          <w:szCs w:val="22"/>
        </w:rPr>
        <w:t xml:space="preserve">  In the case of Annex II benchmarks, NCAs do not have duties of this kind to fulfil since such duties relate to Title II benchmarks only.</w:t>
      </w:r>
    </w:p>
    <w:p w14:paraId="66E0FDCE" w14:textId="77777777" w:rsidR="0061713B" w:rsidRDefault="0061713B" w:rsidP="0061713B">
      <w:pPr>
        <w:pStyle w:val="CPQuestions"/>
        <w:numPr>
          <w:ilvl w:val="0"/>
          <w:numId w:val="0"/>
        </w:numPr>
        <w:rPr>
          <w:rFonts w:asciiTheme="minorHAnsi" w:hAnsiTheme="minorHAnsi"/>
          <w:b w:val="0"/>
          <w:bCs/>
          <w:szCs w:val="22"/>
        </w:rPr>
      </w:pPr>
      <w:proofErr w:type="gramStart"/>
      <w:r w:rsidRPr="00ED1822">
        <w:rPr>
          <w:rFonts w:asciiTheme="minorHAnsi" w:hAnsiTheme="minorHAnsi"/>
          <w:b w:val="0"/>
          <w:bCs/>
          <w:szCs w:val="22"/>
        </w:rPr>
        <w:t>With regard to</w:t>
      </w:r>
      <w:proofErr w:type="gramEnd"/>
      <w:r w:rsidRPr="00ED1822">
        <w:rPr>
          <w:rFonts w:asciiTheme="minorHAnsi" w:hAnsiTheme="minorHAnsi"/>
          <w:b w:val="0"/>
          <w:bCs/>
          <w:szCs w:val="22"/>
        </w:rPr>
        <w:t xml:space="preserve"> supervised contributors, Title II Chapter III “</w:t>
      </w:r>
      <w:r w:rsidRPr="00ED1822">
        <w:rPr>
          <w:rFonts w:asciiTheme="minorHAnsi" w:hAnsiTheme="minorHAnsi"/>
          <w:b w:val="0"/>
          <w:bCs/>
          <w:i/>
          <w:iCs/>
          <w:szCs w:val="22"/>
        </w:rPr>
        <w:t>Code of Conduct and requirements for contributors”</w:t>
      </w:r>
      <w:r w:rsidRPr="00ED1822">
        <w:rPr>
          <w:rFonts w:asciiTheme="minorHAnsi" w:hAnsiTheme="minorHAnsi"/>
          <w:b w:val="0"/>
          <w:bCs/>
          <w:szCs w:val="22"/>
        </w:rPr>
        <w:t xml:space="preserve"> does not apply to Annex II benchmarks and their supervised contributors, so ESMA’s proposals to extend powers under MAR over supervised contributors to Annex II benchmarks would again be inconsistent with the BMR. </w:t>
      </w:r>
    </w:p>
    <w:p w14:paraId="68980EC8" w14:textId="0A2274A1" w:rsidR="0061713B" w:rsidRPr="00ED1822" w:rsidRDefault="0061713B" w:rsidP="0061713B">
      <w:pPr>
        <w:pStyle w:val="CPQuestions"/>
        <w:numPr>
          <w:ilvl w:val="0"/>
          <w:numId w:val="0"/>
        </w:numPr>
        <w:rPr>
          <w:rFonts w:asciiTheme="minorHAnsi" w:hAnsiTheme="minorHAnsi"/>
          <w:b w:val="0"/>
          <w:bCs/>
          <w:szCs w:val="22"/>
        </w:rPr>
      </w:pPr>
      <w:r w:rsidRPr="00ED1822">
        <w:rPr>
          <w:rFonts w:asciiTheme="minorHAnsi" w:hAnsiTheme="minorHAnsi"/>
          <w:b w:val="0"/>
          <w:bCs/>
          <w:szCs w:val="22"/>
        </w:rPr>
        <w:t xml:space="preserve">The creation of such powers could, as IOSCO and others have expressly warned, deter the </w:t>
      </w:r>
      <w:r>
        <w:rPr>
          <w:rFonts w:asciiTheme="minorHAnsi" w:hAnsiTheme="minorHAnsi"/>
          <w:b w:val="0"/>
          <w:bCs/>
          <w:szCs w:val="22"/>
        </w:rPr>
        <w:t>(</w:t>
      </w:r>
      <w:r w:rsidRPr="00ED1822">
        <w:rPr>
          <w:rFonts w:asciiTheme="minorHAnsi" w:hAnsiTheme="minorHAnsi"/>
          <w:b w:val="0"/>
          <w:bCs/>
          <w:szCs w:val="22"/>
        </w:rPr>
        <w:t>voluntary</w:t>
      </w:r>
      <w:r>
        <w:rPr>
          <w:rFonts w:asciiTheme="minorHAnsi" w:hAnsiTheme="minorHAnsi"/>
          <w:b w:val="0"/>
          <w:bCs/>
          <w:szCs w:val="22"/>
        </w:rPr>
        <w:t>)</w:t>
      </w:r>
      <w:r w:rsidRPr="00ED1822">
        <w:rPr>
          <w:rFonts w:asciiTheme="minorHAnsi" w:hAnsiTheme="minorHAnsi"/>
          <w:b w:val="0"/>
          <w:bCs/>
          <w:szCs w:val="22"/>
        </w:rPr>
        <w:t xml:space="preserve"> contributions to PRA benchmarks</w:t>
      </w:r>
      <w:r>
        <w:rPr>
          <w:rFonts w:asciiTheme="minorHAnsi" w:hAnsiTheme="minorHAnsi"/>
          <w:b w:val="0"/>
          <w:bCs/>
          <w:szCs w:val="22"/>
        </w:rPr>
        <w:t>,</w:t>
      </w:r>
      <w:r w:rsidRPr="00ED1822">
        <w:rPr>
          <w:rFonts w:asciiTheme="minorHAnsi" w:hAnsiTheme="minorHAnsi"/>
          <w:b w:val="0"/>
          <w:bCs/>
          <w:szCs w:val="22"/>
        </w:rPr>
        <w:t xml:space="preserve"> leading to less reliable benchmarks. </w:t>
      </w:r>
      <w:r>
        <w:rPr>
          <w:rFonts w:asciiTheme="minorHAnsi" w:hAnsiTheme="minorHAnsi"/>
          <w:b w:val="0"/>
          <w:bCs/>
          <w:szCs w:val="22"/>
        </w:rPr>
        <w:t>One unintended consequence could be that commodity benchmarks become more reliant on contributions made by contributors located outside the EU.</w:t>
      </w:r>
    </w:p>
    <w:permEnd w:id="325415610"/>
    <w:p w14:paraId="3C3E0A40" w14:textId="5B98A5EE" w:rsidR="00227C1A" w:rsidRDefault="00227C1A" w:rsidP="00227C1A"/>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06B3AA20" w14:textId="77777777" w:rsidR="0061713B" w:rsidRPr="00ED1822" w:rsidRDefault="0061713B" w:rsidP="0061713B">
      <w:pPr>
        <w:pStyle w:val="CPQuestions"/>
        <w:numPr>
          <w:ilvl w:val="0"/>
          <w:numId w:val="0"/>
        </w:numPr>
        <w:rPr>
          <w:rFonts w:asciiTheme="minorHAnsi" w:hAnsiTheme="minorHAnsi"/>
          <w:b w:val="0"/>
          <w:bCs/>
          <w:szCs w:val="22"/>
        </w:rPr>
      </w:pPr>
      <w:permStart w:id="970343703" w:edGrp="everyone"/>
      <w:r w:rsidRPr="00ED1822">
        <w:rPr>
          <w:rFonts w:asciiTheme="minorHAnsi" w:hAnsiTheme="minorHAnsi"/>
          <w:b w:val="0"/>
          <w:bCs/>
          <w:szCs w:val="22"/>
        </w:rPr>
        <w:t xml:space="preserve">We assume that this question is intended to refer to MAR Article 30(2)(e)-(g) </w:t>
      </w:r>
      <w:r>
        <w:rPr>
          <w:rFonts w:asciiTheme="minorHAnsi" w:hAnsiTheme="minorHAnsi"/>
          <w:b w:val="0"/>
          <w:bCs/>
          <w:szCs w:val="22"/>
        </w:rPr>
        <w:t xml:space="preserve">and to propose </w:t>
      </w:r>
      <w:r w:rsidRPr="00ED1822">
        <w:rPr>
          <w:rFonts w:asciiTheme="minorHAnsi" w:hAnsiTheme="minorHAnsi"/>
          <w:b w:val="0"/>
          <w:bCs/>
          <w:szCs w:val="22"/>
        </w:rPr>
        <w:t>extending these provisions to apply to benchmark submitters (contributors) and assessors. The</w:t>
      </w:r>
      <w:r>
        <w:rPr>
          <w:rFonts w:asciiTheme="minorHAnsi" w:hAnsiTheme="minorHAnsi"/>
          <w:b w:val="0"/>
          <w:bCs/>
          <w:szCs w:val="22"/>
        </w:rPr>
        <w:t>se</w:t>
      </w:r>
      <w:r w:rsidRPr="00ED1822">
        <w:rPr>
          <w:rFonts w:asciiTheme="minorHAnsi" w:hAnsiTheme="minorHAnsi"/>
          <w:b w:val="0"/>
          <w:bCs/>
          <w:szCs w:val="22"/>
        </w:rPr>
        <w:t xml:space="preserve"> </w:t>
      </w:r>
      <w:r>
        <w:rPr>
          <w:rFonts w:asciiTheme="minorHAnsi" w:hAnsiTheme="minorHAnsi"/>
          <w:b w:val="0"/>
          <w:bCs/>
          <w:szCs w:val="22"/>
        </w:rPr>
        <w:t xml:space="preserve">MAR </w:t>
      </w:r>
      <w:r w:rsidRPr="00ED1822">
        <w:rPr>
          <w:rFonts w:asciiTheme="minorHAnsi" w:hAnsiTheme="minorHAnsi"/>
          <w:b w:val="0"/>
          <w:bCs/>
          <w:szCs w:val="22"/>
        </w:rPr>
        <w:t xml:space="preserve">provisions </w:t>
      </w:r>
      <w:r w:rsidRPr="00ED1822">
        <w:rPr>
          <w:rFonts w:asciiTheme="minorHAnsi" w:hAnsiTheme="minorHAnsi"/>
          <w:b w:val="0"/>
          <w:bCs/>
          <w:szCs w:val="22"/>
        </w:rPr>
        <w:lastRenderedPageBreak/>
        <w:t xml:space="preserve">require Member States to have the </w:t>
      </w:r>
      <w:r>
        <w:rPr>
          <w:rFonts w:asciiTheme="minorHAnsi" w:hAnsiTheme="minorHAnsi"/>
          <w:b w:val="0"/>
          <w:bCs/>
          <w:szCs w:val="22"/>
        </w:rPr>
        <w:t xml:space="preserve">necessary </w:t>
      </w:r>
      <w:r w:rsidRPr="00ED1822">
        <w:rPr>
          <w:rFonts w:asciiTheme="minorHAnsi" w:hAnsiTheme="minorHAnsi"/>
          <w:b w:val="0"/>
          <w:bCs/>
          <w:szCs w:val="22"/>
        </w:rPr>
        <w:t xml:space="preserve">powers to place temporary or permanent bans on persons discharging managerial responsibilities in an investment firm. </w:t>
      </w:r>
    </w:p>
    <w:p w14:paraId="35924406" w14:textId="77777777" w:rsidR="0061713B" w:rsidRPr="00ED1822" w:rsidRDefault="0061713B" w:rsidP="0061713B">
      <w:pPr>
        <w:rPr>
          <w:rFonts w:asciiTheme="minorHAnsi" w:hAnsiTheme="minorHAnsi" w:cs="Calibri"/>
          <w:color w:val="000000"/>
          <w:sz w:val="22"/>
          <w:szCs w:val="22"/>
          <w:lang w:eastAsia="en-GB"/>
        </w:rPr>
      </w:pPr>
      <w:r w:rsidRPr="00ED1822">
        <w:rPr>
          <w:rFonts w:asciiTheme="minorHAnsi" w:hAnsiTheme="minorHAnsi"/>
          <w:sz w:val="22"/>
          <w:szCs w:val="22"/>
        </w:rPr>
        <w:t xml:space="preserve">ICIS does not agree with ESMA’s proposal which, if applied to Annex II administrators and their supervised contributors would be inconsistent with BMR </w:t>
      </w:r>
      <w:proofErr w:type="gramStart"/>
      <w:r w:rsidRPr="00ED1822">
        <w:rPr>
          <w:rFonts w:asciiTheme="minorHAnsi" w:hAnsiTheme="minorHAnsi"/>
          <w:sz w:val="22"/>
          <w:szCs w:val="22"/>
        </w:rPr>
        <w:t>and also</w:t>
      </w:r>
      <w:proofErr w:type="gramEnd"/>
      <w:r w:rsidRPr="00ED1822">
        <w:rPr>
          <w:rFonts w:asciiTheme="minorHAnsi" w:hAnsiTheme="minorHAnsi"/>
          <w:sz w:val="22"/>
          <w:szCs w:val="22"/>
        </w:rPr>
        <w:t xml:space="preserve"> with applicable editorial safeguards, including the existing safeguards for journalism contained in REMIT and MAR.</w:t>
      </w:r>
    </w:p>
    <w:p w14:paraId="47486F13" w14:textId="77777777" w:rsidR="0061713B" w:rsidRPr="00ED1822" w:rsidRDefault="0061713B" w:rsidP="0061713B">
      <w:pPr>
        <w:rPr>
          <w:rFonts w:asciiTheme="minorHAnsi" w:hAnsiTheme="minorHAnsi" w:cs="Calibri"/>
          <w:color w:val="000000"/>
          <w:sz w:val="22"/>
          <w:szCs w:val="22"/>
          <w:lang w:eastAsia="en-GB"/>
        </w:rPr>
      </w:pPr>
    </w:p>
    <w:p w14:paraId="40D9FE06"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 xml:space="preserve">Unlike Title II, Annex II imposes no obligations over supervised contributors, so it would be inconsistent with the BMR to extend these administrative measures and sanctions to apply to supervised contributors to Annex II benchmarks. It would also, as IOSCO and others have warned, deter the </w:t>
      </w:r>
      <w:r>
        <w:rPr>
          <w:rFonts w:asciiTheme="minorHAnsi" w:hAnsiTheme="minorHAnsi"/>
          <w:sz w:val="22"/>
          <w:szCs w:val="22"/>
        </w:rPr>
        <w:t>(</w:t>
      </w:r>
      <w:r w:rsidRPr="00ED1822">
        <w:rPr>
          <w:rFonts w:asciiTheme="minorHAnsi" w:hAnsiTheme="minorHAnsi"/>
          <w:sz w:val="22"/>
          <w:szCs w:val="22"/>
        </w:rPr>
        <w:t>voluntary</w:t>
      </w:r>
      <w:r>
        <w:rPr>
          <w:rFonts w:asciiTheme="minorHAnsi" w:hAnsiTheme="minorHAnsi"/>
          <w:sz w:val="22"/>
          <w:szCs w:val="22"/>
        </w:rPr>
        <w:t>)</w:t>
      </w:r>
      <w:r w:rsidRPr="00ED1822">
        <w:rPr>
          <w:rFonts w:asciiTheme="minorHAnsi" w:hAnsiTheme="minorHAnsi"/>
          <w:sz w:val="22"/>
          <w:szCs w:val="22"/>
        </w:rPr>
        <w:t xml:space="preserve"> contribution of price information to commodity benchmarks, leading to less reliable benchmarks.</w:t>
      </w:r>
    </w:p>
    <w:p w14:paraId="05F30905" w14:textId="77777777" w:rsidR="0061713B" w:rsidRPr="00ED1822" w:rsidRDefault="0061713B" w:rsidP="0061713B">
      <w:pPr>
        <w:rPr>
          <w:rFonts w:asciiTheme="minorHAnsi" w:hAnsiTheme="minorHAnsi"/>
          <w:sz w:val="22"/>
          <w:szCs w:val="22"/>
        </w:rPr>
      </w:pPr>
    </w:p>
    <w:p w14:paraId="57ADBA50" w14:textId="77777777" w:rsidR="0061713B" w:rsidRPr="00ED1822" w:rsidRDefault="0061713B" w:rsidP="0061713B">
      <w:pPr>
        <w:rPr>
          <w:rFonts w:asciiTheme="minorHAnsi" w:hAnsiTheme="minorHAnsi"/>
          <w:sz w:val="22"/>
          <w:szCs w:val="22"/>
        </w:rPr>
      </w:pPr>
      <w:r w:rsidRPr="00ED1822">
        <w:rPr>
          <w:rFonts w:asciiTheme="minorHAnsi" w:hAnsiTheme="minorHAnsi"/>
          <w:i/>
          <w:iCs/>
          <w:sz w:val="22"/>
          <w:szCs w:val="22"/>
        </w:rPr>
        <w:t xml:space="preserve">Assessors </w:t>
      </w:r>
      <w:r w:rsidRPr="00ED1822">
        <w:rPr>
          <w:rFonts w:asciiTheme="minorHAnsi" w:hAnsiTheme="minorHAnsi"/>
          <w:sz w:val="22"/>
          <w:szCs w:val="22"/>
        </w:rPr>
        <w:t xml:space="preserve">are the PRA journalists who produce commodity price assessments, as well as news and analysis on commodity markets. </w:t>
      </w:r>
      <w:r w:rsidRPr="00ED1822">
        <w:rPr>
          <w:rFonts w:asciiTheme="minorHAnsi" w:hAnsiTheme="minorHAnsi"/>
          <w:i/>
          <w:iCs/>
          <w:sz w:val="22"/>
          <w:szCs w:val="22"/>
        </w:rPr>
        <w:t xml:space="preserve"> </w:t>
      </w:r>
      <w:r w:rsidRPr="00ED1822">
        <w:rPr>
          <w:rFonts w:asciiTheme="minorHAnsi" w:hAnsiTheme="minorHAnsi"/>
          <w:sz w:val="22"/>
          <w:szCs w:val="22"/>
        </w:rPr>
        <w:t>The BMR acknowledges that</w:t>
      </w:r>
      <w:r w:rsidRPr="00ED1822">
        <w:rPr>
          <w:rFonts w:asciiTheme="minorHAnsi" w:hAnsiTheme="minorHAnsi"/>
          <w:i/>
          <w:iCs/>
          <w:sz w:val="22"/>
          <w:szCs w:val="22"/>
        </w:rPr>
        <w:t xml:space="preserve"> </w:t>
      </w:r>
      <w:r w:rsidRPr="00ED1822">
        <w:rPr>
          <w:rFonts w:asciiTheme="minorHAnsi" w:hAnsiTheme="minorHAnsi"/>
          <w:sz w:val="22"/>
          <w:szCs w:val="22"/>
        </w:rPr>
        <w:t>their price assessment decisions are “</w:t>
      </w:r>
      <w:r w:rsidRPr="00ED1822">
        <w:rPr>
          <w:rFonts w:asciiTheme="minorHAnsi" w:hAnsiTheme="minorHAnsi"/>
          <w:i/>
          <w:iCs/>
          <w:sz w:val="22"/>
          <w:szCs w:val="22"/>
        </w:rPr>
        <w:t>editorial decisions</w:t>
      </w:r>
      <w:r w:rsidRPr="00ED1822">
        <w:rPr>
          <w:rFonts w:asciiTheme="minorHAnsi" w:hAnsiTheme="minorHAnsi"/>
          <w:sz w:val="22"/>
          <w:szCs w:val="22"/>
        </w:rPr>
        <w:t>”</w:t>
      </w:r>
      <w:r w:rsidRPr="00ED1822">
        <w:rPr>
          <w:rStyle w:val="FootnoteReference"/>
          <w:rFonts w:asciiTheme="minorHAnsi" w:hAnsiTheme="minorHAnsi"/>
          <w:sz w:val="22"/>
          <w:szCs w:val="22"/>
        </w:rPr>
        <w:footnoteReference w:id="4"/>
      </w:r>
      <w:r w:rsidRPr="00ED1822">
        <w:rPr>
          <w:rFonts w:asciiTheme="minorHAnsi" w:hAnsiTheme="minorHAnsi"/>
          <w:sz w:val="22"/>
          <w:szCs w:val="22"/>
        </w:rPr>
        <w:t xml:space="preserve">. It would clearly not be appropriate to apply to </w:t>
      </w:r>
      <w:proofErr w:type="gramStart"/>
      <w:r w:rsidRPr="00ED1822">
        <w:rPr>
          <w:rFonts w:asciiTheme="minorHAnsi" w:hAnsiTheme="minorHAnsi"/>
          <w:sz w:val="22"/>
          <w:szCs w:val="22"/>
        </w:rPr>
        <w:t>journalists</w:t>
      </w:r>
      <w:proofErr w:type="gramEnd"/>
      <w:r w:rsidRPr="00ED1822">
        <w:rPr>
          <w:rFonts w:asciiTheme="minorHAnsi" w:hAnsiTheme="minorHAnsi"/>
          <w:sz w:val="22"/>
          <w:szCs w:val="22"/>
        </w:rPr>
        <w:t xml:space="preserve"> sanctions that have been designed for investment firms</w:t>
      </w:r>
      <w:r>
        <w:rPr>
          <w:rFonts w:asciiTheme="minorHAnsi" w:hAnsiTheme="minorHAnsi"/>
          <w:sz w:val="22"/>
          <w:szCs w:val="22"/>
        </w:rPr>
        <w:t>. It</w:t>
      </w:r>
      <w:r w:rsidRPr="00ED1822">
        <w:rPr>
          <w:rFonts w:asciiTheme="minorHAnsi" w:hAnsiTheme="minorHAnsi"/>
          <w:sz w:val="22"/>
          <w:szCs w:val="22"/>
        </w:rPr>
        <w:t xml:space="preserve"> would </w:t>
      </w:r>
      <w:r>
        <w:rPr>
          <w:rFonts w:asciiTheme="minorHAnsi" w:hAnsiTheme="minorHAnsi"/>
          <w:sz w:val="22"/>
          <w:szCs w:val="22"/>
        </w:rPr>
        <w:t xml:space="preserve">also </w:t>
      </w:r>
      <w:r w:rsidRPr="00ED1822">
        <w:rPr>
          <w:rFonts w:asciiTheme="minorHAnsi" w:hAnsiTheme="minorHAnsi"/>
          <w:sz w:val="22"/>
          <w:szCs w:val="22"/>
        </w:rPr>
        <w:t>contravene established safeguards for journalism, including the specific exemption in BMR Article 2(2)(e) for journalists that have “</w:t>
      </w:r>
      <w:r w:rsidRPr="00ED1822">
        <w:rPr>
          <w:rFonts w:asciiTheme="minorHAnsi" w:hAnsiTheme="minorHAnsi"/>
          <w:i/>
          <w:iCs/>
          <w:sz w:val="22"/>
          <w:szCs w:val="22"/>
        </w:rPr>
        <w:t>no control of the provision of a benchmark</w:t>
      </w:r>
      <w:r w:rsidRPr="00ED1822">
        <w:rPr>
          <w:rFonts w:asciiTheme="minorHAnsi" w:hAnsiTheme="minorHAnsi"/>
          <w:sz w:val="22"/>
          <w:szCs w:val="22"/>
        </w:rPr>
        <w:t>.”</w:t>
      </w:r>
    </w:p>
    <w:p w14:paraId="3ED1836D" w14:textId="77777777" w:rsidR="0061713B" w:rsidRPr="00ED1822" w:rsidRDefault="0061713B" w:rsidP="0061713B">
      <w:pPr>
        <w:rPr>
          <w:rFonts w:asciiTheme="minorHAnsi" w:hAnsiTheme="minorHAnsi"/>
          <w:sz w:val="22"/>
          <w:szCs w:val="22"/>
        </w:rPr>
      </w:pPr>
    </w:p>
    <w:p w14:paraId="06ABC9D0" w14:textId="77777777" w:rsidR="0061713B" w:rsidRPr="00ED1822" w:rsidRDefault="0061713B" w:rsidP="0061713B">
      <w:pPr>
        <w:rPr>
          <w:rFonts w:asciiTheme="minorHAnsi" w:hAnsiTheme="minorHAnsi"/>
          <w:sz w:val="22"/>
          <w:szCs w:val="22"/>
        </w:rPr>
      </w:pPr>
      <w:r w:rsidRPr="00ED1822">
        <w:rPr>
          <w:rFonts w:asciiTheme="minorHAnsi" w:hAnsiTheme="minorHAnsi"/>
          <w:sz w:val="22"/>
          <w:szCs w:val="22"/>
        </w:rPr>
        <w:t>Individual journalists do not have “</w:t>
      </w:r>
      <w:r w:rsidRPr="00ED1822">
        <w:rPr>
          <w:rFonts w:asciiTheme="minorHAnsi" w:hAnsiTheme="minorHAnsi"/>
          <w:i/>
          <w:iCs/>
          <w:sz w:val="22"/>
          <w:szCs w:val="22"/>
        </w:rPr>
        <w:t>control over the provision of a benchmark”</w:t>
      </w:r>
      <w:r w:rsidRPr="00ED1822">
        <w:rPr>
          <w:rFonts w:asciiTheme="minorHAnsi" w:hAnsiTheme="minorHAnsi"/>
          <w:sz w:val="22"/>
          <w:szCs w:val="22"/>
        </w:rPr>
        <w:t>. BMR Recital 16 clarifies that “</w:t>
      </w:r>
      <w:r w:rsidRPr="00ED1822">
        <w:rPr>
          <w:rFonts w:asciiTheme="minorHAnsi" w:hAnsiTheme="minorHAnsi"/>
          <w:i/>
          <w:iCs/>
          <w:sz w:val="22"/>
          <w:szCs w:val="22"/>
        </w:rPr>
        <w:t>control over the provision of a benchmark”</w:t>
      </w:r>
      <w:r w:rsidRPr="00ED1822">
        <w:rPr>
          <w:rFonts w:asciiTheme="minorHAnsi" w:hAnsiTheme="minorHAnsi"/>
          <w:sz w:val="22"/>
          <w:szCs w:val="22"/>
        </w:rPr>
        <w:t xml:space="preserve"> is the role of the </w:t>
      </w:r>
      <w:r>
        <w:rPr>
          <w:rFonts w:asciiTheme="minorHAnsi" w:hAnsiTheme="minorHAnsi"/>
          <w:sz w:val="22"/>
          <w:szCs w:val="22"/>
        </w:rPr>
        <w:t>benchmark a</w:t>
      </w:r>
      <w:r w:rsidRPr="00ED1822">
        <w:rPr>
          <w:rFonts w:asciiTheme="minorHAnsi" w:hAnsiTheme="minorHAnsi"/>
          <w:sz w:val="22"/>
          <w:szCs w:val="22"/>
        </w:rPr>
        <w:t>dministrator.</w:t>
      </w:r>
    </w:p>
    <w:p w14:paraId="0769E28B" w14:textId="77777777" w:rsidR="0061713B" w:rsidRPr="00ED1822" w:rsidRDefault="0061713B" w:rsidP="0061713B">
      <w:pPr>
        <w:rPr>
          <w:rFonts w:asciiTheme="minorHAnsi" w:hAnsiTheme="minorHAnsi"/>
          <w:sz w:val="22"/>
          <w:szCs w:val="22"/>
        </w:rPr>
      </w:pPr>
    </w:p>
    <w:p w14:paraId="0424A7E5" w14:textId="77777777" w:rsidR="0061713B" w:rsidRPr="005316CC" w:rsidRDefault="0061713B" w:rsidP="0061713B">
      <w:r w:rsidRPr="00ED1822">
        <w:rPr>
          <w:rFonts w:asciiTheme="minorHAnsi" w:hAnsiTheme="minorHAnsi"/>
          <w:sz w:val="22"/>
          <w:szCs w:val="22"/>
        </w:rPr>
        <w:t xml:space="preserve">It would be extraordinary, indeed unprecedented, for financial regulators to have powers to </w:t>
      </w:r>
      <w:r>
        <w:rPr>
          <w:rFonts w:asciiTheme="minorHAnsi" w:hAnsiTheme="minorHAnsi"/>
          <w:sz w:val="22"/>
          <w:szCs w:val="22"/>
        </w:rPr>
        <w:t xml:space="preserve">impose </w:t>
      </w:r>
      <w:r w:rsidRPr="00ED1822">
        <w:rPr>
          <w:rFonts w:asciiTheme="minorHAnsi" w:hAnsiTheme="minorHAnsi"/>
          <w:sz w:val="22"/>
          <w:szCs w:val="22"/>
        </w:rPr>
        <w:t>bans on</w:t>
      </w:r>
      <w:r>
        <w:t xml:space="preserve"> journalists. </w:t>
      </w:r>
    </w:p>
    <w:permEnd w:id="970343703"/>
    <w:p w14:paraId="3C3E0A45" w14:textId="43FAC711" w:rsidR="0062022D" w:rsidRDefault="0062022D" w:rsidP="0062022D"/>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bookmarkStart w:id="3" w:name="_GoBack"/>
      <w:permStart w:id="707658946" w:edGrp="everyone"/>
      <w:r>
        <w:t>TYPE YOUR TEXT HERE</w:t>
      </w:r>
      <w:bookmarkEnd w:id="3"/>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lastRenderedPageBreak/>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lastRenderedPageBreak/>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lastRenderedPageBreak/>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lastRenderedPageBreak/>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lastRenderedPageBreak/>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lastRenderedPageBreak/>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lastRenderedPageBreak/>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lastRenderedPageBreak/>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lastRenderedPageBreak/>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33809" w14:textId="77777777" w:rsidR="00883505" w:rsidRDefault="00883505">
      <w:r>
        <w:separator/>
      </w:r>
    </w:p>
    <w:p w14:paraId="4169B0CC" w14:textId="77777777" w:rsidR="00883505" w:rsidRDefault="00883505"/>
  </w:endnote>
  <w:endnote w:type="continuationSeparator" w:id="0">
    <w:p w14:paraId="1FA480DD" w14:textId="77777777" w:rsidR="00883505" w:rsidRDefault="00883505">
      <w:r>
        <w:continuationSeparator/>
      </w:r>
    </w:p>
    <w:p w14:paraId="04F06924" w14:textId="77777777" w:rsidR="00883505" w:rsidRDefault="00883505"/>
  </w:endnote>
  <w:endnote w:type="continuationNotice" w:id="1">
    <w:p w14:paraId="582FC3DD" w14:textId="77777777" w:rsidR="00883505" w:rsidRDefault="00883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1713B" w:rsidRPr="00616B9B" w14:paraId="3C3E0B9C" w14:textId="77777777" w:rsidTr="00315E96">
      <w:trPr>
        <w:trHeight w:val="284"/>
      </w:trPr>
      <w:tc>
        <w:tcPr>
          <w:tcW w:w="8460" w:type="dxa"/>
        </w:tcPr>
        <w:p w14:paraId="3C3E0B9A" w14:textId="77777777" w:rsidR="0061713B" w:rsidRPr="00315E96" w:rsidRDefault="0061713B" w:rsidP="00315E96">
          <w:pPr>
            <w:pStyle w:val="00Footer"/>
            <w:rPr>
              <w:lang w:val="fr-FR"/>
            </w:rPr>
          </w:pPr>
        </w:p>
      </w:tc>
      <w:tc>
        <w:tcPr>
          <w:tcW w:w="952" w:type="dxa"/>
        </w:tcPr>
        <w:p w14:paraId="3C3E0B9B" w14:textId="77777777" w:rsidR="0061713B" w:rsidRPr="00616B9B" w:rsidRDefault="0061713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61713B" w:rsidRDefault="00617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61713B" w:rsidRDefault="00617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C322" w14:textId="77777777" w:rsidR="00883505" w:rsidRDefault="00883505">
      <w:r>
        <w:separator/>
      </w:r>
    </w:p>
    <w:p w14:paraId="0E38CF90" w14:textId="77777777" w:rsidR="00883505" w:rsidRDefault="00883505"/>
  </w:footnote>
  <w:footnote w:type="continuationSeparator" w:id="0">
    <w:p w14:paraId="1AE3DA0E" w14:textId="77777777" w:rsidR="00883505" w:rsidRDefault="00883505">
      <w:r>
        <w:continuationSeparator/>
      </w:r>
    </w:p>
    <w:p w14:paraId="323112CB" w14:textId="77777777" w:rsidR="00883505" w:rsidRDefault="00883505"/>
  </w:footnote>
  <w:footnote w:type="continuationNotice" w:id="1">
    <w:p w14:paraId="75F06A6A" w14:textId="77777777" w:rsidR="00883505" w:rsidRDefault="00883505"/>
  </w:footnote>
  <w:footnote w:id="2">
    <w:p w14:paraId="0A3A048B" w14:textId="77777777" w:rsidR="0061713B" w:rsidRDefault="0061713B" w:rsidP="00D2576C">
      <w:pPr>
        <w:pStyle w:val="FootnoteText"/>
      </w:pPr>
      <w:r>
        <w:rPr>
          <w:rStyle w:val="FootnoteReference"/>
        </w:rPr>
        <w:footnoteRef/>
      </w:r>
      <w:r>
        <w:t xml:space="preserve"> REMIT Recital 24, Article 2(2)(b); MAR Recital 77, Article 21; BMR Recitals 16 and 53 and Article 2(2)(e)</w:t>
      </w:r>
    </w:p>
  </w:footnote>
  <w:footnote w:id="3">
    <w:p w14:paraId="4B803041" w14:textId="77777777" w:rsidR="0061713B" w:rsidRDefault="0061713B" w:rsidP="0061713B">
      <w:pPr>
        <w:pStyle w:val="FootnoteText"/>
      </w:pPr>
      <w:r>
        <w:rPr>
          <w:rStyle w:val="FootnoteReference"/>
        </w:rPr>
        <w:footnoteRef/>
      </w:r>
      <w:r>
        <w:t xml:space="preserve"> Recital </w:t>
      </w:r>
      <w:r>
        <w:rPr>
          <w:i/>
          <w:iCs/>
        </w:rPr>
        <w:t>(64): In cases where this Regulation captures or potentially captures supervised entities and markets covered by Regulation (EU) No 1227/2011, the Agency for the Cooperation of Energy Regulators (ACER) would need to be consulted by ESMA in order to draw upon ACER’s expertise in energy markets and to mitigate any dual regulation</w:t>
      </w:r>
      <w:r>
        <w:t>.”</w:t>
      </w:r>
    </w:p>
  </w:footnote>
  <w:footnote w:id="4">
    <w:p w14:paraId="0D49B4EA" w14:textId="77777777" w:rsidR="0061713B" w:rsidRDefault="0061713B" w:rsidP="0061713B">
      <w:pPr>
        <w:pStyle w:val="FootnoteText"/>
      </w:pPr>
      <w:r>
        <w:rPr>
          <w:rStyle w:val="FootnoteReference"/>
        </w:rPr>
        <w:footnoteRef/>
      </w:r>
      <w:r>
        <w:t xml:space="preserve"> BMR Annex II paragraph 16(a)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61713B" w:rsidRDefault="0061713B">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61713B" w:rsidRDefault="0061713B"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61713B" w:rsidRDefault="006171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1713B" w:rsidRPr="002F4496" w14:paraId="3C3E0BA2" w14:textId="77777777" w:rsidTr="000C06C9">
      <w:trPr>
        <w:trHeight w:val="284"/>
      </w:trPr>
      <w:tc>
        <w:tcPr>
          <w:tcW w:w="8460" w:type="dxa"/>
        </w:tcPr>
        <w:p w14:paraId="3C3E0BA0" w14:textId="77777777" w:rsidR="0061713B" w:rsidRPr="000C3B6D" w:rsidRDefault="0061713B" w:rsidP="000C06C9">
          <w:pPr>
            <w:pStyle w:val="00Footer"/>
            <w:rPr>
              <w:lang w:val="fr-FR"/>
            </w:rPr>
          </w:pPr>
        </w:p>
      </w:tc>
      <w:tc>
        <w:tcPr>
          <w:tcW w:w="952" w:type="dxa"/>
        </w:tcPr>
        <w:p w14:paraId="3C3E0BA1" w14:textId="77777777" w:rsidR="0061713B" w:rsidRPr="00146B34" w:rsidRDefault="0061713B" w:rsidP="000C06C9">
          <w:pPr>
            <w:pStyle w:val="00aPagenumber"/>
            <w:rPr>
              <w:lang w:val="fr-FR"/>
            </w:rPr>
          </w:pPr>
        </w:p>
      </w:tc>
    </w:tr>
  </w:tbl>
  <w:p w14:paraId="3C3E0BA3" w14:textId="77777777" w:rsidR="0061713B" w:rsidRPr="00DB46C3" w:rsidRDefault="0061713B">
    <w:pPr>
      <w:rPr>
        <w:lang w:val="fr-FR"/>
      </w:rPr>
    </w:pPr>
  </w:p>
  <w:p w14:paraId="3C3E0BA4" w14:textId="77777777" w:rsidR="0061713B" w:rsidRPr="002F4496" w:rsidRDefault="0061713B">
    <w:pPr>
      <w:pStyle w:val="Header"/>
      <w:rPr>
        <w:lang w:val="fr-FR"/>
      </w:rPr>
    </w:pPr>
  </w:p>
  <w:p w14:paraId="3C3E0BA5" w14:textId="77777777" w:rsidR="0061713B" w:rsidRPr="002F4496" w:rsidRDefault="0061713B" w:rsidP="000C06C9">
    <w:pPr>
      <w:pStyle w:val="Header"/>
      <w:tabs>
        <w:tab w:val="clear" w:pos="4536"/>
        <w:tab w:val="clear" w:pos="9072"/>
        <w:tab w:val="left" w:pos="8227"/>
      </w:tabs>
      <w:rPr>
        <w:lang w:val="fr-FR"/>
      </w:rPr>
    </w:pPr>
  </w:p>
  <w:p w14:paraId="3C3E0BA6" w14:textId="77777777" w:rsidR="0061713B" w:rsidRPr="002F4496" w:rsidRDefault="0061713B" w:rsidP="00583885">
    <w:pPr>
      <w:pStyle w:val="Header"/>
      <w:jc w:val="right"/>
      <w:rPr>
        <w:lang w:val="fr-FR"/>
      </w:rPr>
    </w:pPr>
  </w:p>
  <w:p w14:paraId="3C3E0BA7" w14:textId="77777777" w:rsidR="0061713B" w:rsidRPr="002F4496" w:rsidRDefault="0061713B">
    <w:pPr>
      <w:pStyle w:val="Header"/>
      <w:rPr>
        <w:lang w:val="fr-FR"/>
      </w:rPr>
    </w:pPr>
  </w:p>
  <w:p w14:paraId="3C3E0BA8" w14:textId="77777777" w:rsidR="0061713B" w:rsidRPr="002F4496" w:rsidRDefault="0061713B">
    <w:pPr>
      <w:pStyle w:val="Header"/>
      <w:rPr>
        <w:lang w:val="fr-FR"/>
      </w:rPr>
    </w:pPr>
  </w:p>
  <w:p w14:paraId="3C3E0BA9" w14:textId="77777777" w:rsidR="0061713B" w:rsidRPr="002F4496" w:rsidRDefault="0061713B">
    <w:pPr>
      <w:pStyle w:val="Header"/>
      <w:rPr>
        <w:lang w:val="fr-FR"/>
      </w:rPr>
    </w:pPr>
  </w:p>
  <w:p w14:paraId="3C3E0BAA" w14:textId="77777777" w:rsidR="0061713B" w:rsidRPr="002F4496" w:rsidRDefault="0061713B">
    <w:pPr>
      <w:pStyle w:val="Header"/>
      <w:rPr>
        <w:highlight w:val="yellow"/>
        <w:lang w:val="fr-FR"/>
      </w:rPr>
    </w:pPr>
  </w:p>
  <w:p w14:paraId="3C3E0BAB" w14:textId="77777777" w:rsidR="0061713B" w:rsidRDefault="0061713B">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C8640F"/>
    <w:multiLevelType w:val="hybridMultilevel"/>
    <w:tmpl w:val="E452DE88"/>
    <w:lvl w:ilvl="0" w:tplc="8CF8988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7"/>
  </w:num>
  <w:num w:numId="27">
    <w:abstractNumId w:val="31"/>
  </w:num>
  <w:num w:numId="28">
    <w:abstractNumId w:val="37"/>
  </w:num>
  <w:num w:numId="29">
    <w:abstractNumId w:val="6"/>
  </w:num>
  <w:num w:numId="30">
    <w:abstractNumId w:val="2"/>
  </w:num>
  <w:num w:numId="31">
    <w:abstractNumId w:val="19"/>
  </w:num>
  <w:num w:numId="32">
    <w:abstractNumId w:val="18"/>
  </w:num>
  <w:num w:numId="33">
    <w:abstractNumId w:val="33"/>
  </w:num>
  <w:num w:numId="34">
    <w:abstractNumId w:val="32"/>
  </w:num>
  <w:num w:numId="35">
    <w:abstractNumId w:val="4"/>
  </w:num>
  <w:num w:numId="36">
    <w:abstractNumId w:val="3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1D"/>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13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3505"/>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643"/>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76C"/>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004A"/>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0ACC5E4E-8FB9-4C36-8BDE-2F26FA5F0776}">
  <ds:schemaRefs>
    <ds:schemaRef ds:uri="http://schemas.openxmlformats.org/officeDocument/2006/bibliography"/>
  </ds:schemaRefs>
</ds:datastoreItem>
</file>

<file path=customXml/itemProps6.xml><?xml version="1.0" encoding="utf-8"?>
<ds:datastoreItem xmlns:ds="http://schemas.openxmlformats.org/officeDocument/2006/customXml" ds:itemID="{6F3F60B7-E8D4-4655-850C-887CA416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4880</Words>
  <Characters>27818</Characters>
  <Application>Microsoft Office Word</Application>
  <DocSecurity>8</DocSecurity>
  <Lines>231</Lines>
  <Paragraphs>65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32633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Street, Richard (RBI)</cp:lastModifiedBy>
  <cp:revision>3</cp:revision>
  <cp:lastPrinted>2015-02-18T11:01:00Z</cp:lastPrinted>
  <dcterms:created xsi:type="dcterms:W3CDTF">2019-11-29T13:57:00Z</dcterms:created>
  <dcterms:modified xsi:type="dcterms:W3CDTF">2019-11-29T14:35:00Z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