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58074698" w:rsidR="00C2682A" w:rsidRPr="00AB6D88" w:rsidRDefault="008E2644" w:rsidP="008E2644">
                <w:pPr>
                  <w:rPr>
                    <w:rStyle w:val="PlaceholderText"/>
                    <w:rFonts w:cs="Arial"/>
                  </w:rPr>
                </w:pPr>
                <w:r>
                  <w:rPr>
                    <w:rStyle w:val="PlaceholderText"/>
                    <w:rFonts w:cs="Arial"/>
                  </w:rPr>
                  <w:t>Intercontinental Exchange</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41BE21D" w:rsidR="00C2682A" w:rsidRPr="00AB6D88" w:rsidRDefault="00123D3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7B7F">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192A59FE" w:rsidR="00C2682A" w:rsidRPr="00AB6D88" w:rsidRDefault="006E7B7F"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0EAF9079" w:rsidR="00C2682A" w:rsidRPr="00AB6D88" w:rsidRDefault="006E7B7F"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14D9AD46" w14:textId="0BB2CBB7" w:rsidR="004C2CEB" w:rsidRPr="008D073F" w:rsidRDefault="004C2CEB" w:rsidP="004C2CEB">
      <w:pPr>
        <w:pStyle w:val="NoSpacing"/>
        <w:spacing w:line="304" w:lineRule="atLeast"/>
        <w:jc w:val="both"/>
        <w:rPr>
          <w:rFonts w:ascii="Calibri" w:hAnsi="Calibri" w:cs="Calibri"/>
          <w:sz w:val="22"/>
          <w:szCs w:val="22"/>
        </w:rPr>
      </w:pPr>
      <w:permStart w:id="1594194160" w:edGrp="everyone"/>
      <w:r w:rsidRPr="008D073F">
        <w:rPr>
          <w:rFonts w:ascii="Calibri" w:hAnsi="Calibri" w:cs="Calibri"/>
          <w:sz w:val="22"/>
          <w:szCs w:val="22"/>
        </w:rPr>
        <w:t xml:space="preserve">ICE Futures Europe and ICE </w:t>
      </w:r>
      <w:proofErr w:type="spellStart"/>
      <w:r w:rsidRPr="008D073F">
        <w:rPr>
          <w:rFonts w:ascii="Calibri" w:hAnsi="Calibri" w:cs="Calibri"/>
          <w:sz w:val="22"/>
          <w:szCs w:val="22"/>
        </w:rPr>
        <w:t>Endex</w:t>
      </w:r>
      <w:proofErr w:type="spellEnd"/>
      <w:r w:rsidRPr="008D073F">
        <w:rPr>
          <w:rFonts w:ascii="Calibri" w:hAnsi="Calibri" w:cs="Calibri"/>
          <w:sz w:val="22"/>
          <w:szCs w:val="22"/>
        </w:rPr>
        <w:t xml:space="preserve"> (jointly referred to as “ICE” or “the Exchanges”) welcome the opportunity to provide their comments on the </w:t>
      </w:r>
      <w:r>
        <w:rPr>
          <w:rFonts w:ascii="Calibri" w:hAnsi="Calibri" w:cs="Calibri"/>
          <w:sz w:val="22"/>
          <w:szCs w:val="22"/>
        </w:rPr>
        <w:t>MAR review</w:t>
      </w:r>
      <w:r w:rsidRPr="008D073F">
        <w:rPr>
          <w:rFonts w:ascii="Calibri" w:hAnsi="Calibri" w:cs="Calibri"/>
          <w:sz w:val="22"/>
          <w:szCs w:val="22"/>
        </w:rPr>
        <w:t xml:space="preserve">. </w:t>
      </w:r>
      <w:r>
        <w:rPr>
          <w:rFonts w:ascii="Calibri" w:hAnsi="Calibri" w:cs="Calibri"/>
          <w:sz w:val="22"/>
          <w:szCs w:val="22"/>
        </w:rPr>
        <w:t>The Exchanges are wholly-owned subsidiaries of Intercontinental Exchange, Inc.</w:t>
      </w:r>
    </w:p>
    <w:p w14:paraId="7DD91105" w14:textId="77777777" w:rsidR="004C2CEB" w:rsidRDefault="004C2CEB" w:rsidP="004C2CEB">
      <w:pPr>
        <w:pStyle w:val="NoSpacing"/>
        <w:spacing w:line="304" w:lineRule="atLeast"/>
        <w:jc w:val="both"/>
        <w:rPr>
          <w:sz w:val="24"/>
          <w:szCs w:val="24"/>
        </w:rPr>
      </w:pPr>
    </w:p>
    <w:p w14:paraId="0B6EEEAC" w14:textId="77777777" w:rsidR="004C2CEB" w:rsidRDefault="004C2CEB" w:rsidP="004C2CEB">
      <w:pPr>
        <w:pStyle w:val="NoSpacing"/>
        <w:spacing w:line="304" w:lineRule="atLeast"/>
        <w:jc w:val="both"/>
        <w:rPr>
          <w:rFonts w:ascii="Calibri" w:hAnsi="Calibri" w:cs="Calibri"/>
          <w:sz w:val="22"/>
          <w:szCs w:val="22"/>
        </w:rPr>
      </w:pPr>
      <w:r>
        <w:rPr>
          <w:rFonts w:ascii="Calibri" w:hAnsi="Calibri" w:cs="Calibri"/>
          <w:sz w:val="22"/>
          <w:szCs w:val="22"/>
        </w:rPr>
        <w:t>ICE Futures Europe was established in 1980 and provides a highly regulated fully electronic marketplace. It has over 300 Members ranging from global investment banks and trading companies to proprietary individual and former floor traders. ICE Futures Europe is a Recognised Investment Exchange, a Recognised Auction Platform, and a Benchmark Administrator under the Financial Services and Markets Act 2000, supervised by the Financial Conduct Authority. ICE Clear Europe Limited provides clearing and settlement services for all of ICE Futures Europe’s contracts.</w:t>
      </w:r>
    </w:p>
    <w:p w14:paraId="39C6E7B8" w14:textId="77777777" w:rsidR="004C2CEB" w:rsidRDefault="004C2CEB" w:rsidP="004C2CEB">
      <w:pPr>
        <w:jc w:val="both"/>
        <w:rPr>
          <w:rFonts w:ascii="Calibri" w:hAnsi="Calibri" w:cs="Calibri"/>
          <w:sz w:val="22"/>
          <w:szCs w:val="22"/>
        </w:rPr>
      </w:pPr>
      <w:r>
        <w:rPr>
          <w:rFonts w:ascii="Calibri" w:hAnsi="Calibri" w:cs="Calibri"/>
          <w:sz w:val="22"/>
          <w:szCs w:val="22"/>
        </w:rPr>
        <w:t> </w:t>
      </w:r>
    </w:p>
    <w:p w14:paraId="1EB45044" w14:textId="77777777" w:rsidR="004C2CEB" w:rsidRDefault="004C2CEB" w:rsidP="004C2CEB">
      <w:pPr>
        <w:jc w:val="both"/>
        <w:rPr>
          <w:rFonts w:ascii="Calibri" w:hAnsi="Calibri" w:cs="Calibri"/>
          <w:sz w:val="22"/>
          <w:szCs w:val="22"/>
        </w:rPr>
      </w:pPr>
      <w:r>
        <w:rPr>
          <w:rFonts w:ascii="Calibri" w:hAnsi="Calibri" w:cs="Calibri"/>
          <w:sz w:val="22"/>
          <w:szCs w:val="22"/>
        </w:rPr>
        <w:t xml:space="preserve">ICE </w:t>
      </w:r>
      <w:proofErr w:type="spellStart"/>
      <w:r>
        <w:rPr>
          <w:rFonts w:ascii="Calibri" w:hAnsi="Calibri" w:cs="Calibri"/>
          <w:sz w:val="22"/>
          <w:szCs w:val="22"/>
        </w:rPr>
        <w:t>Endex</w:t>
      </w:r>
      <w:proofErr w:type="spellEnd"/>
      <w:r>
        <w:rPr>
          <w:rFonts w:ascii="Calibri" w:hAnsi="Calibri" w:cs="Calibri"/>
          <w:sz w:val="22"/>
          <w:szCs w:val="22"/>
        </w:rPr>
        <w:t xml:space="preserve"> is the leading energy exchange in continental Europe.  It provides liquid European gas and power markets, including the TTF natural gas benchmark, enabling energy firms and financial participants to manage risk. ICE </w:t>
      </w:r>
      <w:proofErr w:type="spellStart"/>
      <w:r>
        <w:rPr>
          <w:rFonts w:ascii="Calibri" w:hAnsi="Calibri" w:cs="Calibri"/>
          <w:sz w:val="22"/>
          <w:szCs w:val="22"/>
        </w:rPr>
        <w:t>Endex</w:t>
      </w:r>
      <w:proofErr w:type="spellEnd"/>
      <w:r>
        <w:rPr>
          <w:rFonts w:ascii="Calibri" w:hAnsi="Calibri" w:cs="Calibri"/>
          <w:sz w:val="22"/>
          <w:szCs w:val="22"/>
        </w:rPr>
        <w:t xml:space="preserve"> offers a regulated futures and options platform, as well as gas balancing markets and gas storage services. ICE </w:t>
      </w:r>
      <w:proofErr w:type="spellStart"/>
      <w:r>
        <w:rPr>
          <w:rFonts w:ascii="Calibri" w:hAnsi="Calibri" w:cs="Calibri"/>
          <w:sz w:val="22"/>
          <w:szCs w:val="22"/>
        </w:rPr>
        <w:t>Endex</w:t>
      </w:r>
      <w:proofErr w:type="spellEnd"/>
      <w:r>
        <w:rPr>
          <w:rFonts w:ascii="Calibri" w:hAnsi="Calibri" w:cs="Calibri"/>
          <w:sz w:val="22"/>
          <w:szCs w:val="22"/>
        </w:rPr>
        <w:t xml:space="preserve"> is a regulated market supervised by the Dutch Authority for the Financial Markets (“AFM”).</w:t>
      </w:r>
    </w:p>
    <w:permEnd w:id="1594194160"/>
    <w:p w14:paraId="3C3E0A27" w14:textId="55BB46B1"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24176605" w14:textId="77777777" w:rsidR="004C2CEB" w:rsidRPr="00786FFB" w:rsidRDefault="004C2CEB" w:rsidP="004C2CEB">
      <w:pPr>
        <w:jc w:val="both"/>
        <w:rPr>
          <w:rFonts w:cs="Arial"/>
          <w:sz w:val="24"/>
        </w:rPr>
      </w:pPr>
      <w:permStart w:id="1114596086" w:edGrp="everyone"/>
      <w:r w:rsidRPr="00786FFB">
        <w:rPr>
          <w:rFonts w:cs="Arial"/>
          <w:sz w:val="24"/>
        </w:rPr>
        <w:t>To provide for consistency in the EU regulatory framework on market abuse and the regulation of indices, it is important that policy makers coordinate their activities in the ongoing review of MAR and the BMR. ICE agrees with ESMA’s analysis on the differences in scope between the definition of a benchmark in MAR and the Benchmarks Regulation (‘BMR’). ESMA is right to raise these differences as a potential risk.  ICE suggests making use of one single definition for both regulations, whereby MAR references the established BMR definition of a benchmark. The use of a single definition as laid down in the BMR provides for enduring consistency between both regulations and ensures that the broadest scope of the definition applies.</w:t>
      </w:r>
    </w:p>
    <w:permEnd w:id="1114596086"/>
    <w:p w14:paraId="3C3E0A36" w14:textId="52E98EDA" w:rsidR="002E1760" w:rsidRDefault="002E1760" w:rsidP="002E1760"/>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A18B988" w14:textId="05AB1E65" w:rsidR="004C2CEB" w:rsidRPr="004C2CEB" w:rsidRDefault="004C2CEB" w:rsidP="004C2CEB">
      <w:pPr>
        <w:jc w:val="both"/>
        <w:rPr>
          <w:rFonts w:cs="Arial"/>
          <w:sz w:val="24"/>
        </w:rPr>
      </w:pPr>
      <w:permStart w:id="1507552575" w:edGrp="everyone"/>
      <w:r w:rsidRPr="00786FFB">
        <w:rPr>
          <w:rFonts w:cs="Arial"/>
          <w:sz w:val="24"/>
        </w:rPr>
        <w:t xml:space="preserve">There is a fundamental difference between the activities covered under the BMR and MAR. MAR establishes a common regulatory framework on market abuse as well as measures to prevent it, whilst the BMR establishes governance and control requirements for those involved in the benchmark determination process. As the BMR does not contain rules on market abuse, ICE believes that it is important that all relevant actors involved in the benchmark determination process are subject to the market abuse framework following from MAR, including administrators of benchmarks and supervised contributors. We </w:t>
      </w:r>
      <w:r w:rsidRPr="00786FFB">
        <w:rPr>
          <w:rFonts w:cs="Arial"/>
          <w:sz w:val="24"/>
        </w:rPr>
        <w:lastRenderedPageBreak/>
        <w:t xml:space="preserve">also agree that attention should be paid to the corresponding administrative sanctions and measures within the BMR when considering modifications to Article 30 of MAR to ensure the actions that may be taken are clear to participants. </w:t>
      </w:r>
    </w:p>
    <w:permEnd w:id="1507552575"/>
    <w:p w14:paraId="3C3E0A3B" w14:textId="655B1E5D" w:rsidR="002E1760" w:rsidRDefault="002E1760" w:rsidP="002E1760"/>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6261EB6A" w14:textId="77777777" w:rsidR="004C2CEB" w:rsidRPr="00786FFB" w:rsidRDefault="004C2CEB" w:rsidP="004C2CEB">
      <w:pPr>
        <w:jc w:val="both"/>
        <w:rPr>
          <w:rFonts w:cs="Arial"/>
          <w:sz w:val="24"/>
        </w:rPr>
      </w:pPr>
      <w:permStart w:id="325415610" w:edGrp="everyone"/>
      <w:r w:rsidRPr="00786FFB">
        <w:rPr>
          <w:rFonts w:cs="Arial"/>
          <w:sz w:val="24"/>
        </w:rPr>
        <w:t>With reference to our response to Q4 of this consultation, ICE agrees with ESMA’s suggestion to extend point (2</w:t>
      </w:r>
      <w:proofErr w:type="gramStart"/>
      <w:r w:rsidRPr="00786FFB">
        <w:rPr>
          <w:rFonts w:cs="Arial"/>
          <w:sz w:val="24"/>
        </w:rPr>
        <w:t>)(</w:t>
      </w:r>
      <w:proofErr w:type="gramEnd"/>
      <w:r w:rsidRPr="00786FFB">
        <w:rPr>
          <w:rFonts w:cs="Arial"/>
          <w:sz w:val="24"/>
        </w:rPr>
        <w:t xml:space="preserve">G) of Article 23 to include administrators of benchmarks and supervised contributors. </w:t>
      </w:r>
    </w:p>
    <w:p w14:paraId="61913DF6" w14:textId="77777777" w:rsidR="004C2CEB" w:rsidRPr="00786FFB" w:rsidRDefault="004C2CEB" w:rsidP="004C2CEB">
      <w:pPr>
        <w:rPr>
          <w:rFonts w:cs="Arial"/>
          <w:sz w:val="24"/>
        </w:rPr>
      </w:pPr>
    </w:p>
    <w:permEnd w:id="325415610"/>
    <w:p w14:paraId="3C3E0A40" w14:textId="1F1E9B11" w:rsidR="00227C1A" w:rsidRDefault="00227C1A" w:rsidP="00227C1A"/>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4DAD2D9C" w:rsidR="0062022D" w:rsidRDefault="004C2CEB" w:rsidP="0062022D">
      <w:permStart w:id="970343703" w:edGrp="everyone"/>
      <w:r w:rsidRPr="00786FFB">
        <w:rPr>
          <w:rFonts w:cs="Arial"/>
          <w:sz w:val="24"/>
        </w:rPr>
        <w:t>With reference to our response to Q4 of this consultation, ICE agrees with ESMA’s suggestion to make reference in Article 30 of MAR to submitters within supervised contributors and assessors within administrators of commodity benchmarks. ICE considers that all persons involved in the benchmarks determination process need to be covered by this article, including all relevant persons within a supervised contributor and for administrators of commodity benchmarks all persons involved in the assessment process</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lastRenderedPageBreak/>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lastRenderedPageBreak/>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lastRenderedPageBreak/>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lastRenderedPageBreak/>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 xml:space="preserve">Can you provide your views on how to simplify or improve the market sounding procedure and requirements while ensuring an adequate level of audit trail of the </w:t>
      </w:r>
      <w:r w:rsidRPr="001B2FC9">
        <w:lastRenderedPageBreak/>
        <w:t>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lastRenderedPageBreak/>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lastRenderedPageBreak/>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lastRenderedPageBreak/>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0C03EE96" w14:textId="77777777" w:rsidR="004C2CEB" w:rsidRPr="00786FFB" w:rsidRDefault="004C2CEB" w:rsidP="004C2CEB">
      <w:pPr>
        <w:pStyle w:val="Default"/>
        <w:rPr>
          <w:bCs/>
          <w:sz w:val="22"/>
          <w:szCs w:val="22"/>
        </w:rPr>
      </w:pPr>
      <w:permStart w:id="2025406494" w:edGrp="everyone"/>
      <w:proofErr w:type="spellStart"/>
      <w:r w:rsidRPr="00786FFB">
        <w:rPr>
          <w:bCs/>
          <w:sz w:val="22"/>
          <w:szCs w:val="22"/>
        </w:rPr>
        <w:t>We</w:t>
      </w:r>
      <w:proofErr w:type="spellEnd"/>
      <w:r w:rsidRPr="00786FFB">
        <w:rPr>
          <w:bCs/>
          <w:sz w:val="22"/>
          <w:szCs w:val="22"/>
        </w:rPr>
        <w:t xml:space="preserve"> </w:t>
      </w:r>
      <w:proofErr w:type="spellStart"/>
      <w:r w:rsidRPr="00786FFB">
        <w:rPr>
          <w:bCs/>
          <w:sz w:val="22"/>
          <w:szCs w:val="22"/>
        </w:rPr>
        <w:t>would</w:t>
      </w:r>
      <w:proofErr w:type="spellEnd"/>
      <w:r w:rsidRPr="00786FFB">
        <w:rPr>
          <w:bCs/>
          <w:sz w:val="22"/>
          <w:szCs w:val="22"/>
        </w:rPr>
        <w:t xml:space="preserve"> support the harmonisation of the </w:t>
      </w:r>
      <w:proofErr w:type="spellStart"/>
      <w:r w:rsidRPr="00786FFB">
        <w:rPr>
          <w:bCs/>
          <w:sz w:val="22"/>
          <w:szCs w:val="22"/>
        </w:rPr>
        <w:t>reporting</w:t>
      </w:r>
      <w:proofErr w:type="spellEnd"/>
      <w:r w:rsidRPr="00786FFB">
        <w:rPr>
          <w:bCs/>
          <w:sz w:val="22"/>
          <w:szCs w:val="22"/>
        </w:rPr>
        <w:t xml:space="preserve"> formats for </w:t>
      </w:r>
      <w:proofErr w:type="spellStart"/>
      <w:r w:rsidRPr="00786FFB">
        <w:rPr>
          <w:bCs/>
          <w:sz w:val="22"/>
          <w:szCs w:val="22"/>
        </w:rPr>
        <w:t>order</w:t>
      </w:r>
      <w:proofErr w:type="spellEnd"/>
      <w:r w:rsidRPr="00786FFB">
        <w:rPr>
          <w:bCs/>
          <w:sz w:val="22"/>
          <w:szCs w:val="22"/>
        </w:rPr>
        <w:t xml:space="preserve"> book information and do not regard the application of XML </w:t>
      </w:r>
      <w:proofErr w:type="spellStart"/>
      <w:r w:rsidRPr="00786FFB">
        <w:rPr>
          <w:bCs/>
          <w:sz w:val="22"/>
          <w:szCs w:val="22"/>
        </w:rPr>
        <w:t>schemas</w:t>
      </w:r>
      <w:proofErr w:type="spellEnd"/>
      <w:r w:rsidRPr="00786FFB">
        <w:rPr>
          <w:bCs/>
          <w:sz w:val="22"/>
          <w:szCs w:val="22"/>
        </w:rPr>
        <w:t xml:space="preserve"> and the ISO 20022 </w:t>
      </w:r>
      <w:proofErr w:type="spellStart"/>
      <w:r w:rsidRPr="00786FFB">
        <w:rPr>
          <w:bCs/>
          <w:sz w:val="22"/>
          <w:szCs w:val="22"/>
        </w:rPr>
        <w:t>methodology</w:t>
      </w:r>
      <w:proofErr w:type="spellEnd"/>
      <w:r w:rsidRPr="00786FFB">
        <w:rPr>
          <w:bCs/>
          <w:sz w:val="22"/>
          <w:szCs w:val="22"/>
        </w:rPr>
        <w:t xml:space="preserve"> a </w:t>
      </w:r>
      <w:proofErr w:type="spellStart"/>
      <w:r w:rsidRPr="00786FFB">
        <w:rPr>
          <w:bCs/>
          <w:sz w:val="22"/>
          <w:szCs w:val="22"/>
        </w:rPr>
        <w:t>particular</w:t>
      </w:r>
      <w:proofErr w:type="spellEnd"/>
      <w:r w:rsidRPr="00786FFB">
        <w:rPr>
          <w:bCs/>
          <w:sz w:val="22"/>
          <w:szCs w:val="22"/>
        </w:rPr>
        <w:t xml:space="preserve"> </w:t>
      </w:r>
      <w:proofErr w:type="spellStart"/>
      <w:r w:rsidRPr="00786FFB">
        <w:rPr>
          <w:bCs/>
          <w:sz w:val="22"/>
          <w:szCs w:val="22"/>
        </w:rPr>
        <w:t>burden</w:t>
      </w:r>
      <w:proofErr w:type="spellEnd"/>
      <w:r w:rsidRPr="00786FFB">
        <w:rPr>
          <w:bCs/>
          <w:sz w:val="22"/>
          <w:szCs w:val="22"/>
        </w:rPr>
        <w:t xml:space="preserve"> </w:t>
      </w:r>
      <w:proofErr w:type="spellStart"/>
      <w:r w:rsidRPr="00786FFB">
        <w:rPr>
          <w:bCs/>
          <w:sz w:val="22"/>
          <w:szCs w:val="22"/>
        </w:rPr>
        <w:lastRenderedPageBreak/>
        <w:t>given</w:t>
      </w:r>
      <w:proofErr w:type="spellEnd"/>
      <w:r w:rsidRPr="00786FFB">
        <w:rPr>
          <w:bCs/>
          <w:sz w:val="22"/>
          <w:szCs w:val="22"/>
        </w:rPr>
        <w:t xml:space="preserve"> </w:t>
      </w:r>
      <w:proofErr w:type="spellStart"/>
      <w:r w:rsidRPr="00786FFB">
        <w:rPr>
          <w:bCs/>
          <w:sz w:val="22"/>
          <w:szCs w:val="22"/>
        </w:rPr>
        <w:t>its</w:t>
      </w:r>
      <w:proofErr w:type="spellEnd"/>
      <w:r w:rsidRPr="00786FFB">
        <w:rPr>
          <w:bCs/>
          <w:sz w:val="22"/>
          <w:szCs w:val="22"/>
        </w:rPr>
        <w:t xml:space="preserve"> application in the </w:t>
      </w:r>
      <w:proofErr w:type="spellStart"/>
      <w:r w:rsidRPr="00786FFB">
        <w:rPr>
          <w:bCs/>
          <w:sz w:val="22"/>
          <w:szCs w:val="22"/>
        </w:rPr>
        <w:t>other</w:t>
      </w:r>
      <w:proofErr w:type="spellEnd"/>
      <w:r w:rsidRPr="00786FFB">
        <w:rPr>
          <w:bCs/>
          <w:sz w:val="22"/>
          <w:szCs w:val="22"/>
        </w:rPr>
        <w:t xml:space="preserve"> </w:t>
      </w:r>
      <w:proofErr w:type="spellStart"/>
      <w:r w:rsidRPr="00786FFB">
        <w:rPr>
          <w:bCs/>
          <w:sz w:val="22"/>
          <w:szCs w:val="22"/>
        </w:rPr>
        <w:t>MiFID</w:t>
      </w:r>
      <w:proofErr w:type="spellEnd"/>
      <w:r w:rsidRPr="00786FFB">
        <w:rPr>
          <w:bCs/>
          <w:sz w:val="22"/>
          <w:szCs w:val="22"/>
        </w:rPr>
        <w:t xml:space="preserve"> II and MiFIR </w:t>
      </w:r>
      <w:proofErr w:type="spellStart"/>
      <w:r w:rsidRPr="00786FFB">
        <w:rPr>
          <w:bCs/>
          <w:sz w:val="22"/>
          <w:szCs w:val="22"/>
        </w:rPr>
        <w:t>reporting</w:t>
      </w:r>
      <w:proofErr w:type="spellEnd"/>
      <w:r w:rsidRPr="00786FFB">
        <w:rPr>
          <w:bCs/>
          <w:sz w:val="22"/>
          <w:szCs w:val="22"/>
        </w:rPr>
        <w:t xml:space="preserve"> (</w:t>
      </w:r>
      <w:proofErr w:type="spellStart"/>
      <w:r w:rsidRPr="00786FFB">
        <w:rPr>
          <w:bCs/>
          <w:sz w:val="22"/>
          <w:szCs w:val="22"/>
        </w:rPr>
        <w:t>commodity</w:t>
      </w:r>
      <w:proofErr w:type="spellEnd"/>
      <w:r w:rsidRPr="00786FFB">
        <w:rPr>
          <w:bCs/>
          <w:sz w:val="22"/>
          <w:szCs w:val="22"/>
        </w:rPr>
        <w:t xml:space="preserve"> </w:t>
      </w:r>
      <w:proofErr w:type="spellStart"/>
      <w:r w:rsidRPr="00786FFB">
        <w:rPr>
          <w:bCs/>
          <w:sz w:val="22"/>
          <w:szCs w:val="22"/>
        </w:rPr>
        <w:t>derivative</w:t>
      </w:r>
      <w:proofErr w:type="spellEnd"/>
      <w:r w:rsidRPr="00786FFB">
        <w:rPr>
          <w:bCs/>
          <w:sz w:val="22"/>
          <w:szCs w:val="22"/>
        </w:rPr>
        <w:t xml:space="preserve"> positions, transaction </w:t>
      </w:r>
      <w:proofErr w:type="spellStart"/>
      <w:r w:rsidRPr="00786FFB">
        <w:rPr>
          <w:bCs/>
          <w:sz w:val="22"/>
          <w:szCs w:val="22"/>
        </w:rPr>
        <w:t>reporting</w:t>
      </w:r>
      <w:proofErr w:type="spellEnd"/>
      <w:r w:rsidRPr="00786FFB">
        <w:rPr>
          <w:bCs/>
          <w:sz w:val="22"/>
          <w:szCs w:val="22"/>
        </w:rPr>
        <w:t>).</w:t>
      </w:r>
    </w:p>
    <w:permEnd w:id="2025406494"/>
    <w:p w14:paraId="3C3E0B70" w14:textId="2439DE2F" w:rsidR="00646C30" w:rsidRDefault="00646C30" w:rsidP="00646C30"/>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1ADB8BF3" w14:textId="55A3A9F8" w:rsidR="004C2CEB" w:rsidRPr="00786FFB" w:rsidRDefault="004C2CEB" w:rsidP="004C2CEB">
      <w:pPr>
        <w:rPr>
          <w:rFonts w:cs="Arial"/>
          <w:bCs/>
        </w:rPr>
      </w:pPr>
      <w:permStart w:id="482090286" w:edGrp="everyone"/>
      <w:r>
        <w:rPr>
          <w:rFonts w:cs="Arial"/>
          <w:bCs/>
        </w:rPr>
        <w:t>ICE does not agree with the proposal for</w:t>
      </w:r>
      <w:r w:rsidRPr="00786FFB">
        <w:rPr>
          <w:rFonts w:cs="Arial"/>
          <w:bCs/>
        </w:rPr>
        <w:t xml:space="preserve"> the compulsory reporting of order </w:t>
      </w:r>
      <w:r w:rsidR="00123D36">
        <w:rPr>
          <w:rFonts w:cs="Arial"/>
          <w:bCs/>
        </w:rPr>
        <w:t xml:space="preserve">book </w:t>
      </w:r>
      <w:r w:rsidRPr="00786FFB">
        <w:rPr>
          <w:rFonts w:cs="Arial"/>
          <w:bCs/>
        </w:rPr>
        <w:t xml:space="preserve">information.  The costs of implementing such a regime would be onerous not only to market participants who must pass these costs onto consumers but also to supervisors.  The current regime requires the reporting of transactions, commodity derivative positions, financial instrument data and turnover information by investment firms and trading venues.  For ICE this represents the submission of between two and five million records every business day with individual file size limits of one and two million records.  ICE currently receives around three hundred million orders each day with peaks that are triple this figure.  The current reporting infrastructures of both the venue and that of its regulators would probably need a complete redesign and rebuild if order reporting were required.  </w:t>
      </w:r>
      <w:r>
        <w:rPr>
          <w:rFonts w:cs="Arial"/>
          <w:bCs/>
        </w:rPr>
        <w:t>In the view of ICE,</w:t>
      </w:r>
      <w:r w:rsidRPr="00786FFB">
        <w:rPr>
          <w:rFonts w:cs="Arial"/>
          <w:bCs/>
        </w:rPr>
        <w:t xml:space="preserve"> mandatory order reporting is the most cost-effective method of addressing this supervisory issue.</w:t>
      </w:r>
    </w:p>
    <w:p w14:paraId="7394A524" w14:textId="77777777" w:rsidR="004C2CEB" w:rsidRPr="00786FFB" w:rsidRDefault="004C2CEB" w:rsidP="004C2CEB">
      <w:pPr>
        <w:rPr>
          <w:rFonts w:cs="Arial"/>
          <w:bCs/>
        </w:rPr>
      </w:pPr>
    </w:p>
    <w:p w14:paraId="28905B4D" w14:textId="77777777" w:rsidR="004C2CEB" w:rsidRPr="00786FFB" w:rsidRDefault="004C2CEB" w:rsidP="004C2CEB">
      <w:pPr>
        <w:rPr>
          <w:rFonts w:cs="Arial"/>
          <w:bCs/>
        </w:rPr>
      </w:pPr>
      <w:r w:rsidRPr="00786FFB">
        <w:rPr>
          <w:rFonts w:cs="Arial"/>
          <w:bCs/>
        </w:rPr>
        <w:t>We would also observe that with the current evolution of algorithmic trading programmes replacing human trading, the ratio of orders to trades is likely to increase and that the figures mentioned above are likely to continue to rise and be representative of many trad</w:t>
      </w:r>
      <w:r>
        <w:rPr>
          <w:rFonts w:cs="Arial"/>
          <w:bCs/>
        </w:rPr>
        <w:t>ing venues in a few years’ time.</w:t>
      </w:r>
      <w:r w:rsidRPr="00786FFB">
        <w:rPr>
          <w:rFonts w:cs="Arial"/>
          <w:bCs/>
        </w:rPr>
        <w:t xml:space="preserve"> Order reporting would result in a massive increase in the amount of personal information being transmitted across the EU.  This information is not currently encrypted and as such this is clearly behind current generally accepted data security practices.</w:t>
      </w:r>
    </w:p>
    <w:p w14:paraId="450B7150" w14:textId="77777777" w:rsidR="004C2CEB" w:rsidRPr="00786FFB" w:rsidRDefault="004C2CEB" w:rsidP="004C2CEB">
      <w:pPr>
        <w:rPr>
          <w:rFonts w:cs="Arial"/>
          <w:b/>
          <w:bCs/>
        </w:rPr>
      </w:pPr>
    </w:p>
    <w:p w14:paraId="6306E9D2" w14:textId="77777777" w:rsidR="004C2CEB" w:rsidRPr="00786FFB" w:rsidRDefault="004C2CEB" w:rsidP="004C2CEB">
      <w:pPr>
        <w:rPr>
          <w:rFonts w:cs="Arial"/>
          <w:b/>
          <w:bCs/>
        </w:rPr>
      </w:pPr>
    </w:p>
    <w:permEnd w:id="482090286"/>
    <w:p w14:paraId="3C3E0B75" w14:textId="63A92FC1" w:rsidR="00646C30" w:rsidRDefault="00646C30" w:rsidP="00646C30"/>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91C322E" w14:textId="6E87B416" w:rsidR="004C2CEB" w:rsidRPr="004C2CEB" w:rsidRDefault="004C2CEB" w:rsidP="004C2CEB">
      <w:pPr>
        <w:rPr>
          <w:rFonts w:cs="Arial"/>
        </w:rPr>
      </w:pPr>
      <w:permStart w:id="81003916" w:edGrp="everyone"/>
      <w:r w:rsidRPr="004C2CEB">
        <w:rPr>
          <w:rFonts w:cs="Arial"/>
        </w:rPr>
        <w:t>ICE believes that maintaining the current, order retention and selective requests from the authorities is easily the most cost-effective solution</w:t>
      </w:r>
      <w:r w:rsidR="00123D36">
        <w:rPr>
          <w:rFonts w:cs="Arial"/>
        </w:rPr>
        <w:t xml:space="preserve"> </w:t>
      </w:r>
      <w:r w:rsidR="00123D36" w:rsidRPr="0080350E">
        <w:rPr>
          <w:rFonts w:cs="Arial"/>
        </w:rPr>
        <w:t>and the case has not been made for the increased costs associated with a daily reporting system or for the increased risks to personal information that would be inherent in any reporting system that included such information</w:t>
      </w:r>
      <w:r w:rsidRPr="004C2CEB">
        <w:rPr>
          <w:rFonts w:cs="Arial"/>
        </w:rPr>
        <w:t>.  Blanket daily reporting of all orders would result in the regulatory databases being overwhelmed with huge amounts of data from markets that have been performing in full compliance with t</w:t>
      </w:r>
      <w:r w:rsidR="00123D36">
        <w:rPr>
          <w:rFonts w:cs="Arial"/>
        </w:rPr>
        <w:t>he market conduct regulations.</w:t>
      </w:r>
      <w:bookmarkStart w:id="3" w:name="_GoBack"/>
      <w:bookmarkEnd w:id="3"/>
    </w:p>
    <w:permEnd w:id="81003916"/>
    <w:p w14:paraId="3C3E0B7A" w14:textId="551D8D39" w:rsidR="00646C30" w:rsidRDefault="00646C30" w:rsidP="00646C30"/>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lastRenderedPageBreak/>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6D541013"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23D36">
            <w:rPr>
              <w:rFonts w:cs="Arial"/>
              <w:noProof/>
              <w:sz w:val="22"/>
              <w:szCs w:val="22"/>
            </w:rPr>
            <w:t>18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BD20A82"/>
    <w:multiLevelType w:val="hybridMultilevel"/>
    <w:tmpl w:val="42AE73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7"/>
  </w:num>
  <w:num w:numId="27">
    <w:abstractNumId w:val="31"/>
  </w:num>
  <w:num w:numId="28">
    <w:abstractNumId w:val="37"/>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6"/>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CEB"/>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B7F"/>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2644"/>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862"/>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NoSpacing">
    <w:name w:val="No Spacing"/>
    <w:link w:val="NoSpacingChar"/>
    <w:uiPriority w:val="1"/>
    <w:qFormat/>
    <w:locked/>
    <w:rsid w:val="004C2CEB"/>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4C2CEB"/>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sharepoint/v4"/>
    <ds:schemaRef ds:uri="20fbe147-bbda-4e53-b6b1-7e8bbff3fe19"/>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380C602-60C2-4651-9BA6-8545EDB28B6D}">
  <ds:schemaRefs>
    <ds:schemaRef ds:uri="http://schemas.openxmlformats.org/officeDocument/2006/bibliography"/>
  </ds:schemaRefs>
</ds:datastoreItem>
</file>

<file path=customXml/itemProps6.xml><?xml version="1.0" encoding="utf-8"?>
<ds:datastoreItem xmlns:ds="http://schemas.openxmlformats.org/officeDocument/2006/customXml" ds:itemID="{1BED43B5-5129-46B6-9339-507F45CA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4135</Words>
  <Characters>23570</Characters>
  <Application>Microsoft Office Word</Application>
  <DocSecurity>8</DocSecurity>
  <Lines>196</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27650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Katarzyna Szwarc</cp:lastModifiedBy>
  <cp:revision>3</cp:revision>
  <cp:lastPrinted>2015-02-18T11:01:00Z</cp:lastPrinted>
  <dcterms:created xsi:type="dcterms:W3CDTF">2019-11-27T09:09:00Z</dcterms:created>
  <dcterms:modified xsi:type="dcterms:W3CDTF">2019-11-27T11:56:00Z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