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4BF2DA51" w:rsidR="00C2682A" w:rsidRPr="00AB6D88" w:rsidRDefault="00D05B4E" w:rsidP="00FA5524">
                <w:pPr>
                  <w:rPr>
                    <w:rStyle w:val="PlaceholderText"/>
                    <w:rFonts w:cs="Arial"/>
                  </w:rPr>
                </w:pPr>
                <w:r>
                  <w:rPr>
                    <w:rStyle w:val="PlaceholderText"/>
                    <w:rFonts w:cs="Arial"/>
                  </w:rPr>
                  <w:t>Foreign Exchange Professionals Association</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18A8AB24" w:rsidR="00C2682A" w:rsidRPr="00AB6D88" w:rsidRDefault="00B50D2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C32CB">
                  <w:rPr>
                    <w:rFonts w:cs="Arial"/>
                  </w:rPr>
                  <w:t>Other Financial service providers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2D2CE248" w:rsidR="00C2682A" w:rsidRPr="00AB6D88" w:rsidRDefault="007C32CB"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362AF342" w:rsidR="00C2682A" w:rsidRPr="00AB6D88" w:rsidRDefault="007C32CB" w:rsidP="00FA5524">
                <w:pPr>
                  <w:rPr>
                    <w:rFonts w:cs="Arial"/>
                  </w:rPr>
                </w:pPr>
                <w:r>
                  <w:rPr>
                    <w:rFonts w:cs="Arial"/>
                  </w:rPr>
                  <w:t>International</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426245C8" w14:textId="2177D971" w:rsidR="007567A7" w:rsidRDefault="007567A7" w:rsidP="007567A7">
      <w:pPr>
        <w:rPr>
          <w:rFonts w:ascii="Times New Roman" w:hAnsi="Times New Roman"/>
          <w:sz w:val="24"/>
        </w:rPr>
      </w:pPr>
      <w:permStart w:id="1594194160" w:edGrp="everyone"/>
      <w:r w:rsidRPr="00661748">
        <w:rPr>
          <w:rFonts w:ascii="Times New Roman" w:hAnsi="Times New Roman"/>
          <w:sz w:val="24"/>
          <w:highlight w:val="yellow"/>
        </w:rPr>
        <w:t xml:space="preserve">We, the Foreign Exchange Professionals Association, write to express our comments </w:t>
      </w:r>
      <w:r>
        <w:rPr>
          <w:rFonts w:ascii="Times New Roman" w:hAnsi="Times New Roman"/>
          <w:sz w:val="24"/>
          <w:highlight w:val="yellow"/>
        </w:rPr>
        <w:t>in response to questions Q1and Q2</w:t>
      </w:r>
      <w:r>
        <w:rPr>
          <w:rStyle w:val="FootnoteReference"/>
          <w:rFonts w:ascii="Times New Roman" w:hAnsi="Times New Roman"/>
          <w:sz w:val="24"/>
          <w:highlight w:val="yellow"/>
        </w:rPr>
        <w:footnoteReference w:id="2"/>
      </w:r>
      <w:r>
        <w:rPr>
          <w:rFonts w:ascii="Times New Roman" w:hAnsi="Times New Roman"/>
          <w:sz w:val="24"/>
          <w:highlight w:val="yellow"/>
        </w:rPr>
        <w:t xml:space="preserve">  of the Consultation Paper on the MAR Review Report.</w:t>
      </w:r>
      <w:r w:rsidR="001A0CAB">
        <w:rPr>
          <w:rFonts w:ascii="Times New Roman" w:hAnsi="Times New Roman"/>
          <w:sz w:val="24"/>
          <w:highlight w:val="yellow"/>
        </w:rPr>
        <w:t xml:space="preserve"> </w:t>
      </w:r>
      <w:r w:rsidR="00B674CD">
        <w:rPr>
          <w:rFonts w:ascii="Times New Roman" w:hAnsi="Times New Roman"/>
          <w:sz w:val="24"/>
          <w:highlight w:val="yellow"/>
        </w:rPr>
        <w:t>We</w:t>
      </w:r>
      <w:r w:rsidR="001A0CAB">
        <w:rPr>
          <w:rFonts w:ascii="Times New Roman" w:hAnsi="Times New Roman"/>
          <w:sz w:val="24"/>
          <w:highlight w:val="yellow"/>
        </w:rPr>
        <w:t xml:space="preserve"> write to express its own opinions on these questions and to concur with the views of t</w:t>
      </w:r>
      <w:r w:rsidR="00B36DC6">
        <w:rPr>
          <w:rFonts w:ascii="Times New Roman" w:hAnsi="Times New Roman"/>
          <w:sz w:val="24"/>
          <w:highlight w:val="yellow"/>
        </w:rPr>
        <w:t xml:space="preserve">he Global FX Division of the </w:t>
      </w:r>
      <w:r w:rsidR="00B674CD">
        <w:rPr>
          <w:rFonts w:ascii="Times New Roman" w:hAnsi="Times New Roman"/>
          <w:sz w:val="24"/>
          <w:highlight w:val="yellow"/>
        </w:rPr>
        <w:t>Global Financial Markets Association, or GFMA</w:t>
      </w:r>
      <w:r w:rsidR="00B674CD">
        <w:rPr>
          <w:rFonts w:ascii="Times New Roman" w:hAnsi="Times New Roman"/>
          <w:sz w:val="24"/>
        </w:rPr>
        <w:t>.</w:t>
      </w:r>
    </w:p>
    <w:p w14:paraId="5F4A9FFD" w14:textId="77777777" w:rsidR="007567A7" w:rsidRPr="002E0CCC" w:rsidRDefault="007567A7" w:rsidP="007567A7">
      <w:pPr>
        <w:rPr>
          <w:rFonts w:ascii="Times New Roman" w:hAnsi="Times New Roman"/>
          <w:sz w:val="24"/>
        </w:rPr>
      </w:pPr>
    </w:p>
    <w:p w14:paraId="4F1BDE53" w14:textId="77777777" w:rsidR="007567A7" w:rsidRPr="002E0CCC" w:rsidRDefault="007567A7" w:rsidP="007567A7">
      <w:pPr>
        <w:rPr>
          <w:rFonts w:ascii="Times New Roman" w:hAnsi="Times New Roman"/>
          <w:sz w:val="24"/>
        </w:rPr>
      </w:pPr>
      <w:r w:rsidRPr="002E0CCC">
        <w:rPr>
          <w:rFonts w:ascii="Times New Roman" w:hAnsi="Times New Roman"/>
          <w:sz w:val="24"/>
        </w:rPr>
        <w:t>Founded in 2014, the Foreign Exchange Professionals Association, or FXPA, represents a wide swath of entities involved in the foreign exchange markets.</w:t>
      </w:r>
      <w:r w:rsidRPr="002E0CCC">
        <w:rPr>
          <w:rStyle w:val="FootnoteReference"/>
          <w:rFonts w:ascii="Times New Roman" w:hAnsi="Times New Roman"/>
          <w:sz w:val="24"/>
        </w:rPr>
        <w:footnoteReference w:id="3"/>
      </w:r>
      <w:r w:rsidRPr="002E0CCC">
        <w:rPr>
          <w:rFonts w:ascii="Times New Roman" w:hAnsi="Times New Roman"/>
          <w:sz w:val="24"/>
        </w:rPr>
        <w:t xml:space="preserve"> Our members include major global exchanges and operators of clearinghouses, technology providers, proprietary trading firms, companies that use the FX market for hedging, and several notable public pension funds. Our diverse membership allows us to provide a broad representation of the views of foreign exchange professionals with regards to the operations of the market and potential regulation.</w:t>
      </w:r>
    </w:p>
    <w:permEnd w:id="1594194160"/>
    <w:p w14:paraId="3C3E0A27" w14:textId="4673CB60"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bookmarkStart w:id="3" w:name="_GoBack"/>
      <w:bookmarkEnd w:id="3"/>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4B32C99F" w:rsidR="00A8728B" w:rsidRDefault="00A77F35" w:rsidP="00A8728B">
      <w:permStart w:id="751114692" w:edGrp="everyone"/>
      <w:r>
        <w:rPr>
          <w:rFonts w:ascii="Times New Roman" w:hAnsi="Times New Roman"/>
          <w:sz w:val="24"/>
          <w:highlight w:val="yellow"/>
        </w:rPr>
        <w:t xml:space="preserve">We </w:t>
      </w:r>
      <w:r>
        <w:rPr>
          <w:rFonts w:ascii="Times New Roman" w:hAnsi="Times New Roman"/>
          <w:sz w:val="24"/>
          <w:highlight w:val="yellow"/>
        </w:rPr>
        <w:t>concur with the views of the Global FX Division of the Global Financial Markets Association</w:t>
      </w:r>
      <w:r>
        <w:rPr>
          <w:rFonts w:ascii="Times New Roman" w:hAnsi="Times New Roman"/>
          <w:sz w:val="24"/>
        </w:rPr>
        <w:t xml:space="preserve"> </w:t>
      </w:r>
      <w:r w:rsidR="00D72532">
        <w:rPr>
          <w:rFonts w:ascii="Times New Roman" w:hAnsi="Times New Roman"/>
          <w:sz w:val="24"/>
        </w:rPr>
        <w:t>(</w:t>
      </w:r>
      <w:r>
        <w:rPr>
          <w:rFonts w:ascii="Times New Roman" w:hAnsi="Times New Roman"/>
          <w:sz w:val="24"/>
        </w:rPr>
        <w:t>“GFMA”</w:t>
      </w:r>
      <w:r w:rsidR="00D72532">
        <w:rPr>
          <w:rFonts w:ascii="Times New Roman" w:hAnsi="Times New Roman"/>
          <w:sz w:val="24"/>
        </w:rPr>
        <w:t>)</w:t>
      </w:r>
      <w:r>
        <w:rPr>
          <w:rFonts w:ascii="Times New Roman" w:hAnsi="Times New Roman"/>
          <w:sz w:val="24"/>
        </w:rPr>
        <w:t xml:space="preserve"> on this question. </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2CCE5878" w:rsidR="00A8728B" w:rsidRDefault="00A77F35" w:rsidP="00A8728B">
      <w:permStart w:id="1040662039" w:edGrp="everyone"/>
      <w:r>
        <w:rPr>
          <w:rFonts w:ascii="Times New Roman" w:hAnsi="Times New Roman"/>
          <w:sz w:val="24"/>
          <w:highlight w:val="yellow"/>
        </w:rPr>
        <w:t xml:space="preserve">We concur with the views of the Global FX Division of </w:t>
      </w:r>
      <w:r>
        <w:rPr>
          <w:rFonts w:ascii="Times New Roman" w:hAnsi="Times New Roman"/>
          <w:sz w:val="24"/>
        </w:rPr>
        <w:t>GFMA</w:t>
      </w:r>
      <w:r>
        <w:rPr>
          <w:rFonts w:ascii="Times New Roman" w:hAnsi="Times New Roman"/>
          <w:sz w:val="24"/>
        </w:rPr>
        <w:t xml:space="preserve"> </w:t>
      </w:r>
      <w:r>
        <w:rPr>
          <w:rFonts w:ascii="Times New Roman" w:hAnsi="Times New Roman"/>
          <w:sz w:val="24"/>
        </w:rPr>
        <w:t>on this question.</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lastRenderedPageBreak/>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lastRenderedPageBreak/>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lastRenderedPageBreak/>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lastRenderedPageBreak/>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lastRenderedPageBreak/>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lastRenderedPageBreak/>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lastRenderedPageBreak/>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lastRenderedPageBreak/>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 xml:space="preserve">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w:t>
      </w:r>
      <w:r w:rsidRPr="0042739E">
        <w:lastRenderedPageBreak/>
        <w:t>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lastRenderedPageBreak/>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lastRenderedPageBreak/>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1B63" w14:textId="77777777" w:rsidR="007B2E8E" w:rsidRDefault="007B2E8E">
      <w:r>
        <w:separator/>
      </w:r>
    </w:p>
    <w:p w14:paraId="7EE17C54" w14:textId="77777777" w:rsidR="007B2E8E" w:rsidRDefault="007B2E8E"/>
  </w:endnote>
  <w:endnote w:type="continuationSeparator" w:id="0">
    <w:p w14:paraId="5A1D8C4C" w14:textId="77777777" w:rsidR="007B2E8E" w:rsidRDefault="007B2E8E">
      <w:r>
        <w:continuationSeparator/>
      </w:r>
    </w:p>
    <w:p w14:paraId="3A9C2ECE" w14:textId="77777777" w:rsidR="007B2E8E" w:rsidRDefault="007B2E8E"/>
  </w:endnote>
  <w:endnote w:type="continuationNotice" w:id="1">
    <w:p w14:paraId="195F5202" w14:textId="77777777" w:rsidR="007B2E8E" w:rsidRDefault="007B2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777777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9397" w14:textId="77777777" w:rsidR="007B2E8E" w:rsidRDefault="007B2E8E">
      <w:r>
        <w:separator/>
      </w:r>
    </w:p>
    <w:p w14:paraId="17D6D7A8" w14:textId="77777777" w:rsidR="007B2E8E" w:rsidRDefault="007B2E8E"/>
  </w:footnote>
  <w:footnote w:type="continuationSeparator" w:id="0">
    <w:p w14:paraId="571EBE48" w14:textId="77777777" w:rsidR="007B2E8E" w:rsidRDefault="007B2E8E">
      <w:r>
        <w:continuationSeparator/>
      </w:r>
    </w:p>
    <w:p w14:paraId="5176B8E8" w14:textId="77777777" w:rsidR="007B2E8E" w:rsidRDefault="007B2E8E"/>
  </w:footnote>
  <w:footnote w:type="continuationNotice" w:id="1">
    <w:p w14:paraId="707E9954" w14:textId="77777777" w:rsidR="007B2E8E" w:rsidRDefault="007B2E8E"/>
  </w:footnote>
  <w:footnote w:id="2">
    <w:p w14:paraId="7B2CF9BB" w14:textId="77777777" w:rsidR="007567A7" w:rsidRDefault="007567A7" w:rsidP="007567A7">
      <w:pPr>
        <w:pStyle w:val="FootnoteText"/>
      </w:pPr>
      <w:r>
        <w:rPr>
          <w:rStyle w:val="FootnoteReference"/>
        </w:rPr>
        <w:footnoteRef/>
      </w:r>
      <w:r>
        <w:t xml:space="preserve"> </w:t>
      </w:r>
      <w:r w:rsidRPr="00C24675">
        <w:rPr>
          <w:rFonts w:ascii="Times New Roman" w:hAnsi="Times New Roman"/>
        </w:rPr>
        <w:t xml:space="preserve">“Q1: Do you consider necessary to extend the scope of MAR to spot </w:t>
      </w:r>
      <w:r w:rsidRPr="00C24675">
        <w:rPr>
          <w:rStyle w:val="highlight"/>
          <w:rFonts w:ascii="Times New Roman" w:hAnsi="Times New Roman"/>
        </w:rPr>
        <w:t>FX</w:t>
      </w:r>
      <w:r w:rsidRPr="00C24675">
        <w:rPr>
          <w:rFonts w:ascii="Times New Roman" w:hAnsi="Times New Roman"/>
        </w:rPr>
        <w:t xml:space="preserve"> contracts? Please explain the reasons why the scope should or should not be extended, and whether the same goals could be achieved by changing any other piece of the EU regulatory framework.</w:t>
      </w:r>
      <w:r>
        <w:rPr>
          <w:rFonts w:ascii="Times New Roman" w:hAnsi="Times New Roman"/>
        </w:rPr>
        <w:t xml:space="preserve"> </w:t>
      </w:r>
      <w:r w:rsidRPr="00C24675">
        <w:rPr>
          <w:rFonts w:ascii="Times New Roman" w:hAnsi="Times New Roman"/>
        </w:rPr>
        <w:t>Q2: Do you agree with ESMA’s preliminary view about the structural changes that would be necessary to apply MAR to spot FX contracts? Please elaborate and indicate if you would consider necessary introducing additional regulatory changes.</w:t>
      </w:r>
      <w:r>
        <w:rPr>
          <w:rFonts w:ascii="Times New Roman" w:hAnsi="Times New Roman"/>
        </w:rPr>
        <w:t xml:space="preserve">” Consultation Paper on MAR Review Report at 90, Available at </w:t>
      </w:r>
      <w:r w:rsidRPr="00C24675">
        <w:rPr>
          <w:rFonts w:ascii="Times New Roman" w:hAnsi="Times New Roman"/>
        </w:rPr>
        <w:t>https://www.esma.europa.eu/sites/default/files/library/mar_review_-_cp.pdf</w:t>
      </w:r>
    </w:p>
  </w:footnote>
  <w:footnote w:id="3">
    <w:p w14:paraId="07756423" w14:textId="77777777" w:rsidR="007567A7" w:rsidRPr="0035114C" w:rsidRDefault="007567A7" w:rsidP="007567A7">
      <w:pPr>
        <w:pStyle w:val="FootnoteText"/>
        <w:rPr>
          <w:rFonts w:ascii="Times New Roman" w:hAnsi="Times New Roman"/>
        </w:rPr>
      </w:pPr>
      <w:r w:rsidRPr="0035114C">
        <w:rPr>
          <w:rStyle w:val="FootnoteReference"/>
          <w:rFonts w:ascii="Times New Roman" w:hAnsi="Times New Roman"/>
        </w:rPr>
        <w:footnoteRef/>
      </w:r>
      <w:r w:rsidRPr="0035114C">
        <w:rPr>
          <w:rFonts w:ascii="Times New Roman" w:hAnsi="Times New Roman"/>
        </w:rPr>
        <w:t xml:space="preserve"> Please see </w:t>
      </w:r>
      <w:hyperlink r:id="rId1" w:history="1">
        <w:r w:rsidRPr="0035114C">
          <w:rPr>
            <w:rStyle w:val="Hyperlink"/>
            <w:rFonts w:ascii="Times New Roman" w:hAnsi="Times New Roman"/>
          </w:rPr>
          <w:t>https://fxpa.org/</w:t>
        </w:r>
      </w:hyperlink>
      <w:r w:rsidRPr="0035114C">
        <w:rPr>
          <w:rFonts w:ascii="Times New Roman" w:hAnsi="Times New Roman"/>
        </w:rPr>
        <w:t xml:space="preserve"> for additional info</w:t>
      </w:r>
      <w:r>
        <w:rPr>
          <w:rFonts w:ascii="Times New Roman" w:hAnsi="Times New Roman"/>
        </w:rPr>
        <w:t>r</w:t>
      </w:r>
      <w:r w:rsidRPr="0035114C">
        <w:rPr>
          <w:rFonts w:ascii="Times New Roman" w:hAnsi="Times New Roman"/>
        </w:rPr>
        <w:t>mation</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FA5524" w:rsidRDefault="00FA55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63AF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FA5524" w:rsidRDefault="00FA55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71D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CAB"/>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5E0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7A7"/>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2E8E"/>
    <w:rsid w:val="007B43E8"/>
    <w:rsid w:val="007B4740"/>
    <w:rsid w:val="007B502C"/>
    <w:rsid w:val="007B5F3B"/>
    <w:rsid w:val="007C02B0"/>
    <w:rsid w:val="007C063E"/>
    <w:rsid w:val="007C1901"/>
    <w:rsid w:val="007C32CB"/>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F35"/>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6DC6"/>
    <w:rsid w:val="00B37C73"/>
    <w:rsid w:val="00B4009B"/>
    <w:rsid w:val="00B400A1"/>
    <w:rsid w:val="00B40A2B"/>
    <w:rsid w:val="00B420CB"/>
    <w:rsid w:val="00B4401C"/>
    <w:rsid w:val="00B44802"/>
    <w:rsid w:val="00B44A96"/>
    <w:rsid w:val="00B455D1"/>
    <w:rsid w:val="00B46135"/>
    <w:rsid w:val="00B472AB"/>
    <w:rsid w:val="00B47CE4"/>
    <w:rsid w:val="00B503A8"/>
    <w:rsid w:val="00B50D23"/>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4CD"/>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1CFC"/>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5B4E"/>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2532"/>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highlight">
    <w:name w:val="highlight"/>
    <w:basedOn w:val="DefaultParagraphFont"/>
    <w:rsid w:val="0075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x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2C4DAF0-1168-4767-820E-4306B98D9291}">
  <ds:schemaRefs>
    <ds:schemaRef ds:uri="http://schemas.openxmlformats.org/officeDocument/2006/bibliography"/>
  </ds:schemaRefs>
</ds:datastoreItem>
</file>

<file path=customXml/itemProps6.xml><?xml version="1.0" encoding="utf-8"?>
<ds:datastoreItem xmlns:ds="http://schemas.openxmlformats.org/officeDocument/2006/customXml" ds:itemID="{17768C29-5193-4A4A-9F83-B7E09822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3422</Words>
  <Characters>19509</Characters>
  <Application>Microsoft Office Word</Application>
  <DocSecurity>8</DocSecurity>
  <Lines>162</Lines>
  <Paragraphs>45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22886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Justin Slaughter</cp:lastModifiedBy>
  <cp:revision>2</cp:revision>
  <cp:lastPrinted>2015-02-18T11:01:00Z</cp:lastPrinted>
  <dcterms:created xsi:type="dcterms:W3CDTF">2019-11-29T13:08:00Z</dcterms:created>
  <dcterms:modified xsi:type="dcterms:W3CDTF">2019-11-29T13:08:00Z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