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Alatunnist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5" w:history="1">
        <w:r w:rsidRPr="005B6B12">
          <w:rPr>
            <w:rStyle w:val="Hyperlinkki"/>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ki"/>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Otsikk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aikkamerkkiteksti"/>
              <w:rFonts w:cs="Arial"/>
            </w:rPr>
            <w:id w:val="651570699"/>
            <w:text/>
          </w:sdtPr>
          <w:sdtEndPr>
            <w:rPr>
              <w:rStyle w:val="Paikkamerkkiteksti"/>
            </w:rPr>
          </w:sdtEndPr>
          <w:sdtContent>
            <w:tc>
              <w:tcPr>
                <w:tcW w:w="5595" w:type="dxa"/>
                <w:shd w:val="clear" w:color="auto" w:fill="auto"/>
              </w:tcPr>
              <w:p w14:paraId="3C3E0A16" w14:textId="1793AA53" w:rsidR="00C2682A" w:rsidRPr="00AB6D88" w:rsidRDefault="00020575" w:rsidP="00FA5524">
                <w:pPr>
                  <w:rPr>
                    <w:rStyle w:val="Paikkamerkkiteksti"/>
                    <w:rFonts w:cs="Arial"/>
                  </w:rPr>
                </w:pPr>
                <w:r>
                  <w:rPr>
                    <w:rStyle w:val="Paikkamerkkiteksti"/>
                    <w:rFonts w:cs="Arial"/>
                  </w:rPr>
                  <w:t>Finland Chamber of Commerce</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266AEF62" w:rsidR="00C2682A" w:rsidRPr="00AB6D88" w:rsidRDefault="007E0D35"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0575">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177AB322" w:rsidR="00C2682A" w:rsidRPr="00AB6D88" w:rsidRDefault="00020575"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4CF293BB" w:rsidR="00C2682A" w:rsidRPr="00AB6D88" w:rsidRDefault="00020575" w:rsidP="00FA5524">
                <w:pPr>
                  <w:rPr>
                    <w:rFonts w:cs="Arial"/>
                  </w:rPr>
                </w:pPr>
                <w:r>
                  <w:rPr>
                    <w:rFonts w:cs="Arial"/>
                  </w:rPr>
                  <w:t>Finland</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Otsikko1"/>
        <w:numPr>
          <w:ilvl w:val="0"/>
          <w:numId w:val="0"/>
        </w:numPr>
        <w:ind w:left="431" w:hanging="431"/>
      </w:pPr>
      <w:r>
        <w:t>Introduction</w:t>
      </w:r>
    </w:p>
    <w:p w14:paraId="3C3E0A24" w14:textId="77777777" w:rsidR="00F87897" w:rsidRPr="001D47A5" w:rsidRDefault="00F87897" w:rsidP="00F87897">
      <w:pPr>
        <w:rPr>
          <w:rStyle w:val="Voimakaskorostus"/>
        </w:rPr>
      </w:pPr>
      <w:r w:rsidRPr="001D47A5">
        <w:rPr>
          <w:rStyle w:val="Voimakaskorostu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6C706359" w:rsidR="00F87897" w:rsidRDefault="001A352D" w:rsidP="00F87897">
      <w:permStart w:id="1594194160" w:edGrp="everyone"/>
      <w:r>
        <w:t xml:space="preserve">Finland Chamber of Commerce appreciates the </w:t>
      </w:r>
      <w:r w:rsidR="00D31640">
        <w:t>possibility to respond to the ESMA consultation on MAR review.</w:t>
      </w:r>
    </w:p>
    <w:p w14:paraId="62A38A53" w14:textId="0E4BD073" w:rsidR="00677EEE" w:rsidRDefault="00677EEE" w:rsidP="00F87897"/>
    <w:p w14:paraId="0D8890CA" w14:textId="0CC6CD52" w:rsidR="00677EEE" w:rsidRDefault="00677EEE" w:rsidP="00F87897">
      <w:r>
        <w:t xml:space="preserve">Finland Chamber of Commerce is </w:t>
      </w:r>
      <w:r w:rsidR="007B265D" w:rsidRPr="007B265D">
        <w:t>an organisation promoting entrepreneurship and a favourable business environment and coordinating the operations of the nineteen independent regional Chambers of Commerce in Finland. The 19 Finnish Chambers of Commerce have more than 20,000 member companies, including SMEs.</w:t>
      </w:r>
    </w:p>
    <w:p w14:paraId="00EF0CCE" w14:textId="67E4F33B" w:rsidR="00F87897" w:rsidRDefault="00F87897" w:rsidP="00F87897"/>
    <w:p w14:paraId="1809A585" w14:textId="4111BEB1" w:rsidR="00136EFB" w:rsidRDefault="003468A0" w:rsidP="00136EFB">
      <w:r>
        <w:t>In our response we focus on issues that relevant for issuers of securities.</w:t>
      </w:r>
      <w:r w:rsidR="00136EFB">
        <w:t xml:space="preserve"> One of the </w:t>
      </w:r>
      <w:proofErr w:type="gramStart"/>
      <w:r w:rsidR="00136EFB">
        <w:t>key</w:t>
      </w:r>
      <w:proofErr w:type="gramEnd"/>
      <w:r w:rsidR="00136EFB">
        <w:t xml:space="preserve"> the objectives of the Capital Markets Union is to make it easier for companies to enter and raise capital on public markets. It is important that the functioning of MAR regime is thoroughly assessed, and any deficiencies, inefficiencies or overly burdensome requirements are addressed.</w:t>
      </w:r>
    </w:p>
    <w:p w14:paraId="6B939646" w14:textId="77777777" w:rsidR="00136EFB" w:rsidRDefault="00136EFB" w:rsidP="00136EFB"/>
    <w:p w14:paraId="53363DD1" w14:textId="651729A1" w:rsidR="00136EFB" w:rsidRDefault="003468A0" w:rsidP="00136EFB">
      <w:r>
        <w:t xml:space="preserve">In our view, the MAR regime works for most parts as intended. </w:t>
      </w:r>
      <w:r w:rsidR="006C6136">
        <w:t xml:space="preserve">However, MAR has </w:t>
      </w:r>
      <w:r w:rsidR="005059D4">
        <w:t xml:space="preserve">significantly </w:t>
      </w:r>
      <w:r w:rsidR="00136EFB">
        <w:t xml:space="preserve">increased </w:t>
      </w:r>
      <w:r w:rsidR="006C6136">
        <w:t>administrative burden and compliance costs.</w:t>
      </w:r>
      <w:r w:rsidR="00136EFB">
        <w:t xml:space="preserve"> The transition from the Market Abuse Directive to directly applicable Regulation was</w:t>
      </w:r>
      <w:r w:rsidR="005059D4">
        <w:t xml:space="preserve"> </w:t>
      </w:r>
      <w:r w:rsidR="00136EFB">
        <w:t>not easy due to the fact that practical issues relating to the application of the Regulation could not be solved in national transposition in the same manner as would have been the case with a Directive.</w:t>
      </w:r>
    </w:p>
    <w:p w14:paraId="6DCC02A3" w14:textId="77777777" w:rsidR="00136EFB" w:rsidRDefault="00136EFB" w:rsidP="00136EFB"/>
    <w:p w14:paraId="7751F826" w14:textId="3D9D38B1" w:rsidR="00136EFB" w:rsidRDefault="00136EFB" w:rsidP="00136EFB">
      <w:r>
        <w:t xml:space="preserve">In line with the objectives of the CMU, ESMA should aim at improving the MAR regime by reducing administrative burden for issuers and market participants and by clarifying certain requirements. In connection with the MAR review ESMA and the European Commission should also aim to simplify the structure of Level 1 and Level 2 legislation. Currently, the Commission has adopted 14(!) pieces of Level 2 Regulations and one Level 2 Directive under MAR. The high number of legislative texts adds to </w:t>
      </w:r>
      <w:r w:rsidR="005059D4">
        <w:t xml:space="preserve">complexities and </w:t>
      </w:r>
      <w:r>
        <w:t>compliance burden.</w:t>
      </w:r>
    </w:p>
    <w:p w14:paraId="6CEA991A" w14:textId="57D8BED5" w:rsidR="00600005" w:rsidRDefault="00600005" w:rsidP="00F87897"/>
    <w:p w14:paraId="2B62888B" w14:textId="0B2F9157" w:rsidR="00600005" w:rsidRDefault="00600005" w:rsidP="00F87897">
      <w:r>
        <w:rPr>
          <w:u w:val="single"/>
        </w:rPr>
        <w:t xml:space="preserve">Issue not addressed in the </w:t>
      </w:r>
      <w:r w:rsidR="00A63C25">
        <w:rPr>
          <w:u w:val="single"/>
        </w:rPr>
        <w:t>CP</w:t>
      </w:r>
    </w:p>
    <w:p w14:paraId="5E3E0247" w14:textId="77777777" w:rsidR="00D31341" w:rsidRDefault="00D31341" w:rsidP="00F87897"/>
    <w:p w14:paraId="113374A8" w14:textId="77777777" w:rsidR="00D51EBA" w:rsidRDefault="00D31341" w:rsidP="00F87897">
      <w:r>
        <w:t>We wish to highlight that</w:t>
      </w:r>
      <w:r w:rsidR="0089729B">
        <w:t xml:space="preserve"> </w:t>
      </w:r>
      <w:r w:rsidR="00D51EBA">
        <w:t xml:space="preserve">in addition to the questions raised in the CP </w:t>
      </w:r>
      <w:r w:rsidR="0089729B">
        <w:t xml:space="preserve">there </w:t>
      </w:r>
      <w:r w:rsidR="00D51EBA">
        <w:t xml:space="preserve">is </w:t>
      </w:r>
      <w:r w:rsidR="0089729B">
        <w:t xml:space="preserve">also </w:t>
      </w:r>
      <w:r w:rsidR="00D51EBA">
        <w:t xml:space="preserve">one </w:t>
      </w:r>
      <w:r w:rsidR="0089729B">
        <w:t xml:space="preserve">other </w:t>
      </w:r>
      <w:r w:rsidR="00D51EBA">
        <w:t xml:space="preserve">aspect relating to share </w:t>
      </w:r>
      <w:proofErr w:type="gramStart"/>
      <w:r w:rsidR="00D51EBA">
        <w:t>buy-backs</w:t>
      </w:r>
      <w:proofErr w:type="gramEnd"/>
      <w:r w:rsidR="00D51EBA">
        <w:t xml:space="preserve"> </w:t>
      </w:r>
      <w:r w:rsidR="0089729B">
        <w:t>which would merit reassessment</w:t>
      </w:r>
      <w:r w:rsidR="00D51EBA">
        <w:t xml:space="preserve">, namely the </w:t>
      </w:r>
      <w:r w:rsidR="00D51EBA" w:rsidRPr="00D51EBA">
        <w:t>s</w:t>
      </w:r>
      <w:r w:rsidR="002B7F7A" w:rsidRPr="00D51EBA">
        <w:t xml:space="preserve">cope of </w:t>
      </w:r>
      <w:r w:rsidR="005667F4" w:rsidRPr="00D51EBA">
        <w:t>safe harbour under Article 5 of MAR</w:t>
      </w:r>
      <w:r w:rsidR="005667F4">
        <w:t>.</w:t>
      </w:r>
    </w:p>
    <w:p w14:paraId="206949B2" w14:textId="77777777" w:rsidR="00D51EBA" w:rsidRDefault="00D51EBA" w:rsidP="00F87897"/>
    <w:p w14:paraId="57F3AA1E" w14:textId="7E0EFF69" w:rsidR="004E2257" w:rsidRDefault="005667F4" w:rsidP="00F87897">
      <w:r>
        <w:t>Currently, the scope of sa</w:t>
      </w:r>
      <w:r w:rsidR="00CA42EE">
        <w:t>fe harbour in share buy-backs is limited</w:t>
      </w:r>
      <w:r w:rsidR="0076313F">
        <w:t xml:space="preserve"> in MAR Article 5(2) to </w:t>
      </w:r>
      <w:r w:rsidR="001B7FF6">
        <w:t xml:space="preserve">buy-backs whose sole purpose is </w:t>
      </w:r>
      <w:r w:rsidR="007C2140">
        <w:t>(a) to reduce the capital of an issuer, (b) to meet obligations arising from debt financial instruments that are exchangeable into equity instruments</w:t>
      </w:r>
      <w:r w:rsidR="00AE68B1">
        <w:t xml:space="preserve"> </w:t>
      </w:r>
      <w:r w:rsidR="007C2140">
        <w:t>or</w:t>
      </w:r>
      <w:r w:rsidR="00AE68B1">
        <w:t xml:space="preserve"> </w:t>
      </w:r>
      <w:r w:rsidR="007C2140">
        <w:t>(c)</w:t>
      </w:r>
      <w:r w:rsidR="00AE68B1">
        <w:t xml:space="preserve"> </w:t>
      </w:r>
      <w:r w:rsidR="007C2140">
        <w:t xml:space="preserve">to meet obligations arising from </w:t>
      </w:r>
      <w:r w:rsidR="00AE68B1">
        <w:t xml:space="preserve">employee </w:t>
      </w:r>
      <w:r w:rsidR="007C2140">
        <w:t xml:space="preserve">share </w:t>
      </w:r>
      <w:r w:rsidR="00AE68B1">
        <w:t>schemes</w:t>
      </w:r>
      <w:r w:rsidR="007C2140">
        <w:t>.</w:t>
      </w:r>
      <w:r w:rsidR="00AC46F6">
        <w:t xml:space="preserve"> Recital 12 of MAR rightly clarifies that t</w:t>
      </w:r>
      <w:r w:rsidR="00AC46F6" w:rsidRPr="00AC46F6">
        <w:t xml:space="preserve">rading in own shares in buy-back programmes which would not benefit from the exemptions under </w:t>
      </w:r>
      <w:r w:rsidR="00AC46F6">
        <w:t xml:space="preserve">MAR </w:t>
      </w:r>
      <w:r w:rsidR="00AC46F6" w:rsidRPr="00AC46F6">
        <w:t>should not of itself be deemed to constitute market abuse</w:t>
      </w:r>
      <w:r w:rsidR="00AC46F6">
        <w:t>.</w:t>
      </w:r>
    </w:p>
    <w:p w14:paraId="4E020331" w14:textId="77777777" w:rsidR="004E2257" w:rsidRDefault="004E2257" w:rsidP="00F87897"/>
    <w:p w14:paraId="768E3687" w14:textId="3972A90A" w:rsidR="004623E8" w:rsidRDefault="0033094E" w:rsidP="00F87897">
      <w:r>
        <w:t>We fail to see the policy objective</w:t>
      </w:r>
      <w:r w:rsidR="00A63C25">
        <w:t xml:space="preserve"> of</w:t>
      </w:r>
      <w:r>
        <w:t xml:space="preserve"> limiting the application of safe harbour to buy-backs with the sole objective of those stipulated in MAR Article 5(2). </w:t>
      </w:r>
      <w:r w:rsidR="006575D3">
        <w:t>S</w:t>
      </w:r>
      <w:r w:rsidR="00D562AA">
        <w:t>hare buy-backs are one method of distributing company’s capital</w:t>
      </w:r>
      <w:r w:rsidR="006164E6">
        <w:t xml:space="preserve"> and </w:t>
      </w:r>
      <w:r w:rsidR="002A40D8">
        <w:t>covered by</w:t>
      </w:r>
      <w:r w:rsidR="006164E6">
        <w:t xml:space="preserve"> </w:t>
      </w:r>
      <w:r w:rsidR="003B4BC0">
        <w:t>the EU Company Law Directive ((EU) 2017/1132)</w:t>
      </w:r>
      <w:r w:rsidR="006575D3">
        <w:t xml:space="preserve">. </w:t>
      </w:r>
      <w:r w:rsidR="00F47D3B">
        <w:t xml:space="preserve">In our view, </w:t>
      </w:r>
      <w:r w:rsidR="00566066">
        <w:t xml:space="preserve">abolishment of </w:t>
      </w:r>
      <w:r w:rsidR="00566066">
        <w:lastRenderedPageBreak/>
        <w:t xml:space="preserve">MAR Article 5(2) would </w:t>
      </w:r>
      <w:r w:rsidR="003D05C1">
        <w:t xml:space="preserve">make </w:t>
      </w:r>
      <w:r w:rsidR="00D24C20">
        <w:t xml:space="preserve">the safe harbour more attractive, </w:t>
      </w:r>
      <w:r w:rsidR="007823E2">
        <w:t xml:space="preserve">reduce compliance burden for issuers and would </w:t>
      </w:r>
      <w:r w:rsidR="00566066">
        <w:t xml:space="preserve">not hamper </w:t>
      </w:r>
      <w:r w:rsidR="003D7CE4">
        <w:t xml:space="preserve">the MAR </w:t>
      </w:r>
      <w:r w:rsidR="00566066">
        <w:t xml:space="preserve">objectives of </w:t>
      </w:r>
      <w:r w:rsidR="003D7CE4">
        <w:t>investor protection or market integrity.</w:t>
      </w:r>
    </w:p>
    <w:p w14:paraId="757F7246" w14:textId="354FE277" w:rsidR="00831E8C" w:rsidRDefault="00831E8C" w:rsidP="00F87897"/>
    <w:p w14:paraId="62EDF488" w14:textId="45A33DB2" w:rsidR="00F87897" w:rsidRDefault="00831E8C" w:rsidP="00F87897">
      <w:r>
        <w:t xml:space="preserve">We </w:t>
      </w:r>
      <w:r w:rsidR="00DE024E">
        <w:t xml:space="preserve">encourage </w:t>
      </w:r>
      <w:r>
        <w:t xml:space="preserve">ESMA </w:t>
      </w:r>
      <w:r w:rsidR="0053197D">
        <w:t xml:space="preserve">also </w:t>
      </w:r>
      <w:r>
        <w:t xml:space="preserve">to </w:t>
      </w:r>
      <w:r w:rsidR="00DE024E">
        <w:t xml:space="preserve">assess whether </w:t>
      </w:r>
      <w:r w:rsidR="008027F2">
        <w:t xml:space="preserve">the use of </w:t>
      </w:r>
      <w:r w:rsidR="00DE024E">
        <w:t xml:space="preserve">derivatives </w:t>
      </w:r>
      <w:r w:rsidR="008027F2">
        <w:t>in buy-back</w:t>
      </w:r>
      <w:r w:rsidR="005F71C0">
        <w:t xml:space="preserve"> programme</w:t>
      </w:r>
      <w:r w:rsidR="008027F2">
        <w:t xml:space="preserve">s should be </w:t>
      </w:r>
      <w:r w:rsidR="00DA1DDE">
        <w:t xml:space="preserve">covered by the safe </w:t>
      </w:r>
      <w:r w:rsidR="002C7979">
        <w:t>harbour.</w:t>
      </w:r>
      <w:r w:rsidR="00CA42EE">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04751E31" w:rsidR="00A263DF" w:rsidRDefault="00DF1389" w:rsidP="00A263DF">
      <w:permStart w:id="707658946" w:edGrp="everyone"/>
      <w:r>
        <w:t xml:space="preserve">Yes, we agree with the need to modify the reporting mechanism under </w:t>
      </w:r>
      <w:r w:rsidR="00D51EBA">
        <w:t xml:space="preserve">MAR </w:t>
      </w:r>
      <w:r>
        <w:t xml:space="preserve">Article 5(3). </w:t>
      </w:r>
      <w:r w:rsidR="00996622">
        <w:t>The issuer</w:t>
      </w:r>
      <w:r w:rsidR="00BB6E13">
        <w:t>s should be provided with a “one-stop-shop”</w:t>
      </w:r>
      <w:r w:rsidR="000447A6">
        <w:t xml:space="preserve"> for reporting to competent authorities under MAR</w:t>
      </w:r>
      <w:r w:rsidR="00BB6E13">
        <w:t>.</w:t>
      </w:r>
      <w:r w:rsidR="000447A6">
        <w:t xml:space="preserve"> </w:t>
      </w:r>
      <w:r w:rsidR="001316F3">
        <w:t xml:space="preserve">This would not hinder the supervision of MAR, as </w:t>
      </w:r>
      <w:r w:rsidR="000447A6">
        <w:t xml:space="preserve">MAR and MiFID II / </w:t>
      </w:r>
      <w:proofErr w:type="spellStart"/>
      <w:r w:rsidR="000447A6">
        <w:t>MiFIR</w:t>
      </w:r>
      <w:proofErr w:type="spellEnd"/>
      <w:r w:rsidR="000447A6">
        <w:t xml:space="preserve"> already provide </w:t>
      </w:r>
      <w:r w:rsidR="001316F3">
        <w:t xml:space="preserve">with </w:t>
      </w:r>
      <w:r w:rsidR="000447A6">
        <w:t>an extensive mechanism for Competent Authorities to exchange information</w:t>
      </w:r>
      <w:r w:rsidR="005560C6">
        <w:t xml:space="preserve"> when needed</w:t>
      </w:r>
      <w:r w:rsidR="000447A6">
        <w:t>.</w:t>
      </w:r>
      <w:r w:rsidR="00BB6E13">
        <w:t xml:space="preserve"> </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1272AEC1" w14:textId="54D6C57C" w:rsidR="00D51EBA" w:rsidRDefault="005560C6" w:rsidP="00A263DF">
      <w:permStart w:id="797404044" w:edGrp="everyone"/>
      <w:r>
        <w:t>As stated above</w:t>
      </w:r>
      <w:r w:rsidR="004267CC">
        <w:t xml:space="preserve"> in </w:t>
      </w:r>
      <w:r w:rsidR="00297462">
        <w:t xml:space="preserve">our response to </w:t>
      </w:r>
      <w:r w:rsidR="004267CC">
        <w:t>Q7</w:t>
      </w:r>
      <w:r>
        <w:t xml:space="preserve">, we prefer a </w:t>
      </w:r>
      <w:r w:rsidR="00FA0C60">
        <w:t>“</w:t>
      </w:r>
      <w:r>
        <w:t>one-stop-shop</w:t>
      </w:r>
      <w:r w:rsidR="00FA0C60">
        <w:t>”</w:t>
      </w:r>
      <w:r>
        <w:t xml:space="preserve"> for </w:t>
      </w:r>
      <w:r w:rsidR="003E3212">
        <w:t xml:space="preserve">reporting to Competent Authorities. </w:t>
      </w:r>
      <w:r w:rsidR="009A1BE7">
        <w:t>However, option 3 would not create that</w:t>
      </w:r>
      <w:r w:rsidR="00F640E3">
        <w:t xml:space="preserve">. </w:t>
      </w:r>
      <w:r w:rsidR="00D51EBA">
        <w:t xml:space="preserve">MAR </w:t>
      </w:r>
      <w:r w:rsidR="00874F39">
        <w:t>Article 1</w:t>
      </w:r>
      <w:r w:rsidR="00046354">
        <w:t>7</w:t>
      </w:r>
      <w:r w:rsidR="00874F39">
        <w:t>(</w:t>
      </w:r>
      <w:r w:rsidR="00046354">
        <w:t>3</w:t>
      </w:r>
      <w:r w:rsidR="00874F39">
        <w:t xml:space="preserve">) </w:t>
      </w:r>
      <w:r w:rsidR="00046354">
        <w:t xml:space="preserve">and Article 6 of Commission Delegated Regulation </w:t>
      </w:r>
      <w:r w:rsidR="00046354" w:rsidRPr="00046354">
        <w:t xml:space="preserve">(EU) 2016/522 </w:t>
      </w:r>
      <w:r w:rsidR="00046354">
        <w:t xml:space="preserve">already define </w:t>
      </w:r>
      <w:r w:rsidR="00613365">
        <w:t xml:space="preserve">the </w:t>
      </w:r>
      <w:r w:rsidR="00904FEF">
        <w:t xml:space="preserve">Competent Authority for reporting of </w:t>
      </w:r>
      <w:r w:rsidR="00123EBC">
        <w:t>delayed disclosure of inside information</w:t>
      </w:r>
      <w:r w:rsidR="00B42F15">
        <w:t xml:space="preserve"> and all the </w:t>
      </w:r>
      <w:r w:rsidR="00F44430">
        <w:t>proposed options</w:t>
      </w:r>
      <w:r w:rsidR="00D51EBA">
        <w:t xml:space="preserve"> in the CP</w:t>
      </w:r>
      <w:r w:rsidR="00F44430">
        <w:t xml:space="preserve"> deviate from that</w:t>
      </w:r>
      <w:r w:rsidR="007819BD">
        <w:t xml:space="preserve"> definition</w:t>
      </w:r>
      <w:r w:rsidR="00123EBC">
        <w:t>.</w:t>
      </w:r>
    </w:p>
    <w:p w14:paraId="201A8AFE" w14:textId="77777777" w:rsidR="00D51EBA" w:rsidRDefault="00D51EBA" w:rsidP="00A263DF"/>
    <w:p w14:paraId="3C3E0A4F" w14:textId="21DF28C2" w:rsidR="00A263DF" w:rsidRDefault="00196FCB" w:rsidP="00A263DF">
      <w:r>
        <w:t>For issuers i</w:t>
      </w:r>
      <w:r w:rsidR="00123EBC">
        <w:t xml:space="preserve">t would be easiest </w:t>
      </w:r>
      <w:r w:rsidR="00502DA7">
        <w:t xml:space="preserve">if the </w:t>
      </w:r>
      <w:r w:rsidR="00123EBC">
        <w:t xml:space="preserve">reporting </w:t>
      </w:r>
      <w:r w:rsidR="00047504">
        <w:t xml:space="preserve">channels </w:t>
      </w:r>
      <w:r w:rsidR="00123EBC">
        <w:t xml:space="preserve">under </w:t>
      </w:r>
      <w:r w:rsidR="00D51EBA">
        <w:t xml:space="preserve">MAR </w:t>
      </w:r>
      <w:r w:rsidR="00047504">
        <w:t>Article</w:t>
      </w:r>
      <w:r w:rsidR="005B0012">
        <w:t>s</w:t>
      </w:r>
      <w:r w:rsidR="00047504">
        <w:t xml:space="preserve"> </w:t>
      </w:r>
      <w:r w:rsidR="00123EBC">
        <w:t>5</w:t>
      </w:r>
      <w:r w:rsidR="00047504">
        <w:t xml:space="preserve"> </w:t>
      </w:r>
      <w:r w:rsidR="005B0012">
        <w:t>and 17</w:t>
      </w:r>
      <w:r w:rsidR="00D51EBA">
        <w:t xml:space="preserve"> </w:t>
      </w:r>
      <w:r w:rsidR="00502DA7">
        <w:t>were aligned</w:t>
      </w:r>
      <w:r w:rsidR="005B0012">
        <w:t>.</w:t>
      </w:r>
      <w:r w:rsidR="00502DA7">
        <w:t xml:space="preserve"> </w:t>
      </w:r>
      <w:r w:rsidR="008E6E82">
        <w:t>S</w:t>
      </w:r>
      <w:r w:rsidR="008932FC">
        <w:t xml:space="preserve">uch an alignment </w:t>
      </w:r>
      <w:r w:rsidR="00BB71B3">
        <w:t xml:space="preserve">would – to our understanding – </w:t>
      </w:r>
      <w:r w:rsidR="008932FC">
        <w:t xml:space="preserve">in </w:t>
      </w:r>
      <w:r w:rsidR="00F71C82">
        <w:t xml:space="preserve">vast majority of </w:t>
      </w:r>
      <w:r w:rsidR="008932FC">
        <w:t xml:space="preserve">cases lead to </w:t>
      </w:r>
      <w:r w:rsidR="00F71C82">
        <w:t>the same result as option 3 proposed by ESMA</w:t>
      </w:r>
      <w:r w:rsidR="0039353F">
        <w:t xml:space="preserve">, but with </w:t>
      </w:r>
      <w:r w:rsidR="00E304EB">
        <w:t xml:space="preserve">significantly </w:t>
      </w:r>
      <w:r w:rsidR="002655F9">
        <w:t>less compliance risks for issuers</w:t>
      </w:r>
      <w:r w:rsidR="008E6E82">
        <w:t>.</w:t>
      </w:r>
    </w:p>
    <w:p w14:paraId="195DEEC2" w14:textId="63B72FE2" w:rsidR="00A263DF" w:rsidRDefault="00A263DF" w:rsidP="00A263DF"/>
    <w:p w14:paraId="05B4D968" w14:textId="2D5EA36D" w:rsidR="00A263DF" w:rsidRDefault="009377C7" w:rsidP="00A263DF">
      <w:r>
        <w:t xml:space="preserve">If the </w:t>
      </w:r>
      <w:r w:rsidR="00605111">
        <w:t xml:space="preserve">proposed </w:t>
      </w:r>
      <w:r>
        <w:t xml:space="preserve">alignment of reporting </w:t>
      </w:r>
      <w:r w:rsidR="00315118">
        <w:t xml:space="preserve">channels under </w:t>
      </w:r>
      <w:r w:rsidR="00D51EBA">
        <w:t xml:space="preserve">MAR </w:t>
      </w:r>
      <w:r w:rsidR="00315118">
        <w:t>Articles 5 and 17</w:t>
      </w:r>
      <w:r w:rsidR="00D51EBA">
        <w:t xml:space="preserve"> </w:t>
      </w:r>
      <w:r w:rsidR="00315118">
        <w:t>cannot be</w:t>
      </w:r>
      <w:r w:rsidR="00502DA7">
        <w:t xml:space="preserve"> </w:t>
      </w:r>
      <w:r w:rsidR="00605111">
        <w:t>accepted, our second preference would be option 3.</w:t>
      </w:r>
      <w:r w:rsidR="00315118">
        <w:t xml:space="preserve"> </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5BCA0EEB" w:rsidR="002E1760" w:rsidRDefault="00E304EB" w:rsidP="002E1760">
      <w:permStart w:id="1572474776" w:edGrp="everyone"/>
      <w:r>
        <w:t>Yes, we agree.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4EFB49DD" w:rsidR="008418E3" w:rsidRDefault="00481C6F" w:rsidP="008418E3">
      <w:permStart w:id="1766684248" w:edGrp="everyone"/>
      <w:r>
        <w:t>Yes, we agree.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lastRenderedPageBreak/>
        <w:t>&lt;ESMA_QUESTION_CP_MAR_11&gt;</w:t>
      </w:r>
    </w:p>
    <w:p w14:paraId="3C3E0A5E" w14:textId="4F302742" w:rsidR="00F469F8" w:rsidRDefault="00CF5783" w:rsidP="00F469F8">
      <w:permStart w:id="332164447" w:edGrp="everyone"/>
      <w:r>
        <w:t>Yes, we agree.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61942BB3" w:rsidR="00F469F8" w:rsidRDefault="00CF5783" w:rsidP="00F469F8">
      <w:permStart w:id="1943283503" w:edGrp="everyone"/>
      <w:r>
        <w:t>No.</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603D58B0" w14:textId="4E06BD68" w:rsidR="00A63C25" w:rsidRDefault="00B26369" w:rsidP="00646C30">
      <w:permStart w:id="770132907" w:edGrp="everyone"/>
      <w:r>
        <w:t xml:space="preserve">In general, </w:t>
      </w:r>
      <w:r w:rsidR="00EF66A2">
        <w:t xml:space="preserve">the definition of inside information is </w:t>
      </w:r>
      <w:r w:rsidR="00297BB9">
        <w:t xml:space="preserve">extremely important </w:t>
      </w:r>
      <w:r w:rsidR="00080E3D">
        <w:t xml:space="preserve">for </w:t>
      </w:r>
      <w:r w:rsidR="00475EE2">
        <w:t xml:space="preserve">the application of </w:t>
      </w:r>
      <w:proofErr w:type="gramStart"/>
      <w:r w:rsidR="00475EE2">
        <w:t>MAR</w:t>
      </w:r>
      <w:r w:rsidR="00080E3D">
        <w:t xml:space="preserve"> as a whole</w:t>
      </w:r>
      <w:proofErr w:type="gramEnd"/>
      <w:r w:rsidR="00475EE2">
        <w:t>. The definition affects not only the prohibition</w:t>
      </w:r>
      <w:r w:rsidR="00A63C25">
        <w:t>s</w:t>
      </w:r>
      <w:r w:rsidR="00475EE2">
        <w:t xml:space="preserve"> of insider dealing </w:t>
      </w:r>
      <w:r w:rsidR="00A63C25">
        <w:t xml:space="preserve">and unlawful disclosure of inside information </w:t>
      </w:r>
      <w:r w:rsidR="00475EE2">
        <w:t xml:space="preserve">but also the requirement to disclose inside information and </w:t>
      </w:r>
      <w:r w:rsidR="00EC6596">
        <w:t xml:space="preserve">the requirement </w:t>
      </w:r>
      <w:r w:rsidR="00475EE2">
        <w:t xml:space="preserve">to establish </w:t>
      </w:r>
      <w:r w:rsidR="00037940">
        <w:t xml:space="preserve">and maintain </w:t>
      </w:r>
      <w:r w:rsidR="00475EE2">
        <w:t>insider lists.</w:t>
      </w:r>
      <w:r w:rsidR="007F0F33">
        <w:t xml:space="preserve"> A general definition </w:t>
      </w:r>
      <w:r w:rsidR="00D51EBA">
        <w:t xml:space="preserve">like the definition of inside information </w:t>
      </w:r>
      <w:r w:rsidR="007F0F33">
        <w:t>always</w:t>
      </w:r>
      <w:r w:rsidR="00D51EBA">
        <w:t xml:space="preserve"> creates</w:t>
      </w:r>
      <w:r w:rsidR="007F0F33">
        <w:t xml:space="preserve"> some interpretational issues. On the other hand, the </w:t>
      </w:r>
      <w:r w:rsidR="00D51EBA">
        <w:t xml:space="preserve">core of the </w:t>
      </w:r>
      <w:r w:rsidR="007F0F33">
        <w:t xml:space="preserve">definition has remained the same since MAD was adopted and the ECJ case-law relating to MAD (which has been </w:t>
      </w:r>
      <w:proofErr w:type="gramStart"/>
      <w:r w:rsidR="007F0F33">
        <w:t>taken into account</w:t>
      </w:r>
      <w:proofErr w:type="gramEnd"/>
      <w:r w:rsidR="007F0F33">
        <w:t xml:space="preserve"> in the drafting of MAR) has provided further clarity. Any change to the definition would likely create </w:t>
      </w:r>
      <w:r w:rsidR="00BE1E78">
        <w:t xml:space="preserve">new </w:t>
      </w:r>
      <w:r w:rsidR="007F0F33">
        <w:t>legal uncertainties and thus add costs.</w:t>
      </w:r>
    </w:p>
    <w:p w14:paraId="4EF69A76" w14:textId="77777777" w:rsidR="00A63C25" w:rsidRDefault="00A63C25" w:rsidP="00646C30"/>
    <w:p w14:paraId="1E4DE48C" w14:textId="208EA1F7" w:rsidR="000A2681" w:rsidRDefault="00A63C25" w:rsidP="00646C30">
      <w:r>
        <w:t xml:space="preserve">However, </w:t>
      </w:r>
      <w:r w:rsidR="000A2681">
        <w:t xml:space="preserve">it can be argued that if different MAR provisions were applied independently, a piece of information </w:t>
      </w:r>
      <w:r w:rsidR="0096742B">
        <w:t xml:space="preserve">(e.g. information on a potential M&amp;A transaction) </w:t>
      </w:r>
      <w:r w:rsidR="000A2681">
        <w:t xml:space="preserve">would generally be considered as inside information at an earlier stage </w:t>
      </w:r>
      <w:r w:rsidR="007F0F33">
        <w:t xml:space="preserve">in applying the prohibition of insider dealing </w:t>
      </w:r>
      <w:r w:rsidR="000A2681">
        <w:t xml:space="preserve">than </w:t>
      </w:r>
      <w:r w:rsidR="00037940">
        <w:t xml:space="preserve">in applying </w:t>
      </w:r>
      <w:r w:rsidR="00250F46">
        <w:t xml:space="preserve">the </w:t>
      </w:r>
      <w:r w:rsidR="0096742B">
        <w:t xml:space="preserve">disclosure requirement. This is </w:t>
      </w:r>
      <w:proofErr w:type="gramStart"/>
      <w:r w:rsidR="0096742B">
        <w:t>due to the fact that</w:t>
      </w:r>
      <w:proofErr w:type="gramEnd"/>
      <w:r w:rsidR="0096742B">
        <w:t xml:space="preserve"> </w:t>
      </w:r>
      <w:r w:rsidR="00037940">
        <w:t xml:space="preserve">even if </w:t>
      </w:r>
      <w:r w:rsidR="0096742B">
        <w:t xml:space="preserve">inside information </w:t>
      </w:r>
      <w:r w:rsidR="00037940">
        <w:t xml:space="preserve">is precise enough to trigger the prohibition to dealing, </w:t>
      </w:r>
      <w:r w:rsidR="0096742B">
        <w:t xml:space="preserve">is not necessarily </w:t>
      </w:r>
      <w:r w:rsidR="00037940">
        <w:t xml:space="preserve">precise </w:t>
      </w:r>
      <w:r w:rsidR="0096742B">
        <w:t xml:space="preserve">enough to be disclosed, </w:t>
      </w:r>
      <w:r w:rsidR="00037940">
        <w:t>as</w:t>
      </w:r>
      <w:r w:rsidR="0096742B">
        <w:t xml:space="preserve"> too early</w:t>
      </w:r>
      <w:r w:rsidR="00C01EBD">
        <w:t>, incomplete</w:t>
      </w:r>
      <w:r w:rsidR="0096742B">
        <w:t xml:space="preserve"> </w:t>
      </w:r>
      <w:r w:rsidR="00D87864">
        <w:t xml:space="preserve">and speculative </w:t>
      </w:r>
      <w:r w:rsidR="0096742B">
        <w:t xml:space="preserve">disclosure might mislead the public and create false markets. The possibility to delay disclosure </w:t>
      </w:r>
      <w:r w:rsidR="00250F46">
        <w:t xml:space="preserve">is intended to address </w:t>
      </w:r>
      <w:r w:rsidR="00037940">
        <w:t>this gap</w:t>
      </w:r>
      <w:r w:rsidR="00250F46">
        <w:t xml:space="preserve">, but as described later in our response (see </w:t>
      </w:r>
      <w:r w:rsidR="00D51EBA">
        <w:t xml:space="preserve">our </w:t>
      </w:r>
      <w:r w:rsidR="00250F46">
        <w:t xml:space="preserve">responses to Q25, Q26 and Q28), there are cases where it is difficult to apply the </w:t>
      </w:r>
      <w:r w:rsidR="00D51EBA">
        <w:t xml:space="preserve">conditions </w:t>
      </w:r>
      <w:r w:rsidR="00250F46">
        <w:t>relating to delayed disclosure.</w:t>
      </w:r>
    </w:p>
    <w:p w14:paraId="176AFE8B" w14:textId="49DC4F32" w:rsidR="0096742B" w:rsidRDefault="0096742B" w:rsidP="00646C30"/>
    <w:p w14:paraId="18CACE77" w14:textId="1F1A7D02" w:rsidR="00BE1E78" w:rsidRDefault="00F73194" w:rsidP="00646C30">
      <w:r>
        <w:t>The administrative burden relating to handling of inside information (i.e. establishment of insider lists, documentation relating to delayed disclosure) creates a</w:t>
      </w:r>
      <w:r w:rsidR="00BE1E78">
        <w:t xml:space="preserve"> natural</w:t>
      </w:r>
      <w:r>
        <w:t xml:space="preserve"> incentive for issuers to apply the definition of inside information in a narrower reading than what might be preferable for a potential insider dealing case. T</w:t>
      </w:r>
      <w:r w:rsidR="007F0F33">
        <w:t>he MAR regime already acknowledges that not all privileged information is considered as inside information (cf. rules regarding market sounding when no inside information is disclosed and prohibition for PDMRs to conduct transactions during closed window).</w:t>
      </w:r>
      <w:r>
        <w:t xml:space="preserve"> From issuers’ point of view, privileged information which at a later stage potentially constitutes inside information is usually subject to strict confidentiality rules and non-disclosure agreements.</w:t>
      </w:r>
    </w:p>
    <w:p w14:paraId="6527E4BA" w14:textId="77777777" w:rsidR="00BE1E78" w:rsidRDefault="00BE1E78" w:rsidP="00646C30"/>
    <w:p w14:paraId="3BF1B8A2" w14:textId="77777777" w:rsidR="00D27C9A" w:rsidRDefault="00D27C9A" w:rsidP="00646C30">
      <w:r>
        <w:t xml:space="preserve">The reasonable investor test in </w:t>
      </w:r>
      <w:r w:rsidR="00BE1E78">
        <w:t xml:space="preserve">MAR recital (14) provides some support to the interpretation of the criterion “of precise nature”. However, in contrast to the price sensitivity test covered by MAR recital (15) the issuer’s </w:t>
      </w:r>
      <w:r w:rsidR="00BE1E78">
        <w:rPr>
          <w:i/>
          <w:iCs/>
        </w:rPr>
        <w:t xml:space="preserve">ex ante </w:t>
      </w:r>
      <w:r w:rsidR="00BE1E78">
        <w:t xml:space="preserve">judgement whether information is of precise nature does not receive explicit protection towards </w:t>
      </w:r>
      <w:r w:rsidR="00BE1E78" w:rsidRPr="0003575D">
        <w:rPr>
          <w:i/>
          <w:iCs/>
        </w:rPr>
        <w:t>e</w:t>
      </w:r>
      <w:r w:rsidR="00BE1E78">
        <w:rPr>
          <w:i/>
          <w:iCs/>
        </w:rPr>
        <w:t xml:space="preserve">x post </w:t>
      </w:r>
      <w:r w:rsidR="00BE1E78">
        <w:t xml:space="preserve">examinations. </w:t>
      </w:r>
      <w:r>
        <w:t xml:space="preserve">It is possible that an issuer’s reasoned </w:t>
      </w:r>
      <w:r w:rsidRPr="007D0651">
        <w:rPr>
          <w:i/>
          <w:iCs/>
        </w:rPr>
        <w:t>bona fide</w:t>
      </w:r>
      <w:r>
        <w:t xml:space="preserve"> judgement that information is not yet sufficiently precise to constitute inside information is later challenged in an insider dealing case. If an NCA or a court in an insider dealing case concludes that the information had indeed been inside information, this would automatically mean that the issuer had been in breach of MAR Articles 17 and 18 (i.e. inside information was published as soon as possible or decision of delay was not made and insider lists were not established timely) even if it had complied with those provisions as soon as it had concluded that the information is inside information.</w:t>
      </w:r>
    </w:p>
    <w:p w14:paraId="47F430C0" w14:textId="77777777" w:rsidR="00D27C9A" w:rsidRDefault="00D27C9A" w:rsidP="00646C30"/>
    <w:p w14:paraId="3C3E0A68" w14:textId="0C7FE8B1" w:rsidR="00646C30" w:rsidRDefault="00BE1E78" w:rsidP="00646C30">
      <w:r>
        <w:t xml:space="preserve">We therefore propose to add an explicit protection </w:t>
      </w:r>
      <w:r w:rsidR="00C01EBD">
        <w:t xml:space="preserve">(similar to recital (15)) </w:t>
      </w:r>
      <w:r>
        <w:t xml:space="preserve">for issuers’ </w:t>
      </w:r>
      <w:r w:rsidRPr="00037940">
        <w:rPr>
          <w:i/>
          <w:iCs/>
        </w:rPr>
        <w:t>bona fide</w:t>
      </w:r>
      <w:r>
        <w:t xml:space="preserve"> business judgements regarding the precise nature of information when applying MAR Articles 17 and 18.  I</w:t>
      </w:r>
      <w:r w:rsidR="00F73194">
        <w:t xml:space="preserve">ntroduction of </w:t>
      </w:r>
      <w:r>
        <w:t xml:space="preserve">such </w:t>
      </w:r>
      <w:r w:rsidR="00F73194">
        <w:t xml:space="preserve">protection would </w:t>
      </w:r>
      <w:r>
        <w:t xml:space="preserve">in our view </w:t>
      </w:r>
      <w:r w:rsidR="00F73194">
        <w:t xml:space="preserve">not affect </w:t>
      </w:r>
      <w:r>
        <w:t xml:space="preserve">negatively to the objective of </w:t>
      </w:r>
      <w:r w:rsidR="00F73194">
        <w:t>market integrity</w:t>
      </w:r>
      <w:r>
        <w:t xml:space="preserve"> but would reduce legal risks and compliance costs</w:t>
      </w:r>
      <w:r w:rsidR="00F73194">
        <w:t>.</w:t>
      </w:r>
      <w:r w:rsidR="00391D7C">
        <w:t xml:space="preserve"> </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91D0BE8" w:rsidR="00646C30" w:rsidRDefault="007F0F33" w:rsidP="00646C30">
      <w:permStart w:id="416102086" w:edGrp="everyone"/>
      <w:r>
        <w:t xml:space="preserve">We refer to </w:t>
      </w:r>
      <w:r w:rsidR="008F7114">
        <w:t>our response to Q13</w:t>
      </w:r>
      <w:r>
        <w:t xml:space="preserve">. The definition as such is </w:t>
      </w:r>
      <w:proofErr w:type="gramStart"/>
      <w:r>
        <w:t>sufficient</w:t>
      </w:r>
      <w:proofErr w:type="gramEnd"/>
      <w:r w:rsidR="00BE1E78">
        <w:t xml:space="preserve"> and any change to the established definition would likely create new legal uncertainties and thus add costs.</w:t>
      </w:r>
      <w:r>
        <w:t xml:space="preserve"> </w:t>
      </w:r>
      <w:r w:rsidR="00BE1E78">
        <w:t xml:space="preserve">However, </w:t>
      </w:r>
      <w:r>
        <w:t xml:space="preserve">additional protection </w:t>
      </w:r>
      <w:r w:rsidR="001F1B91">
        <w:t>(</w:t>
      </w:r>
      <w:proofErr w:type="gramStart"/>
      <w:r w:rsidR="001F1B91">
        <w:t>similar to</w:t>
      </w:r>
      <w:proofErr w:type="gramEnd"/>
      <w:r w:rsidR="001F1B91">
        <w:t xml:space="preserve"> recital (15)) </w:t>
      </w:r>
      <w:r>
        <w:t xml:space="preserve">for issuers’ </w:t>
      </w:r>
      <w:r>
        <w:rPr>
          <w:i/>
          <w:iCs/>
        </w:rPr>
        <w:t xml:space="preserve">bona fide </w:t>
      </w:r>
      <w:r>
        <w:t>business judgements should be introduced for the application of MAR Articles 17 and 18</w:t>
      </w:r>
      <w:r w:rsidR="00F965EE">
        <w:t>.</w:t>
      </w:r>
      <w:r w:rsidR="008F7114">
        <w:t xml:space="preserve"> </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0239D8CB" w:rsidR="00646C30" w:rsidRDefault="00A138E9" w:rsidP="00646C30">
      <w:permStart w:id="831264800" w:edGrp="everyone"/>
      <w:r>
        <w:t xml:space="preserve">No. </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lastRenderedPageBreak/>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lastRenderedPageBreak/>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5CE3E56E" w14:textId="0595A20A" w:rsidR="0073655C" w:rsidRDefault="00F43F80" w:rsidP="00646C30">
      <w:permStart w:id="611875542" w:edGrp="everyone"/>
      <w:r>
        <w:t>T</w:t>
      </w:r>
      <w:r w:rsidR="0073655C">
        <w:t xml:space="preserve">he fact that </w:t>
      </w:r>
      <w:r w:rsidR="00275F3C">
        <w:t xml:space="preserve">the disclosure requirement is linked to </w:t>
      </w:r>
      <w:r w:rsidR="00BA0625">
        <w:t>coming into existence</w:t>
      </w:r>
      <w:r w:rsidR="00E602A8">
        <w:t xml:space="preserve"> </w:t>
      </w:r>
      <w:r w:rsidR="00275F3C">
        <w:t>of inside information</w:t>
      </w:r>
      <w:r>
        <w:t xml:space="preserve"> is to certain extent </w:t>
      </w:r>
      <w:r w:rsidR="00216D6F">
        <w:t>problematic</w:t>
      </w:r>
      <w:r w:rsidR="00FB133C">
        <w:t xml:space="preserve">. </w:t>
      </w:r>
      <w:r w:rsidR="005D3AC5">
        <w:t xml:space="preserve">Piece of information which is considered inside information from the viewpoint of </w:t>
      </w:r>
      <w:r w:rsidR="00873C77">
        <w:t xml:space="preserve">prohibition of insider dealing is not always </w:t>
      </w:r>
      <w:r w:rsidR="00BA0625">
        <w:t xml:space="preserve">precise </w:t>
      </w:r>
      <w:r w:rsidR="00136EC5">
        <w:t xml:space="preserve">enough for disclosure (i.e. </w:t>
      </w:r>
      <w:r w:rsidR="007205A2">
        <w:t xml:space="preserve">disclosure of </w:t>
      </w:r>
      <w:r w:rsidR="00BA0625">
        <w:t xml:space="preserve">incomplete </w:t>
      </w:r>
      <w:r w:rsidR="006D36D3">
        <w:t xml:space="preserve">information at an early stage </w:t>
      </w:r>
      <w:r w:rsidR="001207B6">
        <w:t xml:space="preserve">might </w:t>
      </w:r>
      <w:r w:rsidR="00474254">
        <w:t xml:space="preserve">mislead the </w:t>
      </w:r>
      <w:r w:rsidR="001207B6">
        <w:t>public</w:t>
      </w:r>
      <w:r w:rsidR="006D36D3">
        <w:t>, c</w:t>
      </w:r>
      <w:r w:rsidR="00405EF6">
        <w:t>reate false markets</w:t>
      </w:r>
      <w:r w:rsidR="006D36D3">
        <w:t xml:space="preserve"> or </w:t>
      </w:r>
      <w:r w:rsidR="00933F3D">
        <w:t>prejudice the legitimate interests of the issuer</w:t>
      </w:r>
      <w:r w:rsidR="008A0352">
        <w:t>)</w:t>
      </w:r>
      <w:r w:rsidR="00405EF6">
        <w:t>.</w:t>
      </w:r>
      <w:r w:rsidR="00083482">
        <w:t xml:space="preserve"> Therefore, the possibility to delay disclosure of information is </w:t>
      </w:r>
      <w:r w:rsidR="003A403C">
        <w:t>crucial.</w:t>
      </w:r>
      <w:r w:rsidR="00F50160">
        <w:t xml:space="preserve"> </w:t>
      </w:r>
    </w:p>
    <w:p w14:paraId="5BE3DBF3" w14:textId="77777777" w:rsidR="0073655C" w:rsidRDefault="0073655C" w:rsidP="00646C30"/>
    <w:p w14:paraId="69DD4449" w14:textId="21E2D803" w:rsidR="00A45E21" w:rsidRDefault="005A25CF" w:rsidP="00646C30">
      <w:r>
        <w:t xml:space="preserve">In general, </w:t>
      </w:r>
      <w:r w:rsidR="00901B04">
        <w:t xml:space="preserve">the </w:t>
      </w:r>
      <w:r>
        <w:t xml:space="preserve">MAR </w:t>
      </w:r>
      <w:r w:rsidR="00901B04">
        <w:t xml:space="preserve">conditions to delay disclosure of inside information </w:t>
      </w:r>
      <w:r w:rsidR="00CF37C2">
        <w:t xml:space="preserve">usually </w:t>
      </w:r>
      <w:r w:rsidR="00C808D0">
        <w:t xml:space="preserve">enable issuers to delay disclosure of inside information where necessary. </w:t>
      </w:r>
      <w:r w:rsidR="000A2681">
        <w:t xml:space="preserve">As </w:t>
      </w:r>
      <w:r w:rsidR="00C42E95">
        <w:t>t</w:t>
      </w:r>
      <w:r w:rsidR="00AD27C4">
        <w:t xml:space="preserve">he </w:t>
      </w:r>
      <w:r w:rsidR="001D53A1">
        <w:t>term</w:t>
      </w:r>
      <w:r w:rsidR="00AD27C4">
        <w:t xml:space="preserve"> </w:t>
      </w:r>
      <w:r w:rsidR="001D53A1">
        <w:t>“</w:t>
      </w:r>
      <w:r w:rsidR="001D53A1" w:rsidRPr="001D53A1">
        <w:t>legitimate interests of the issuer</w:t>
      </w:r>
      <w:r w:rsidR="001D53A1">
        <w:t xml:space="preserve">” is </w:t>
      </w:r>
      <w:r w:rsidR="00C42E95">
        <w:t xml:space="preserve">wide and </w:t>
      </w:r>
      <w:r w:rsidR="00281EDC">
        <w:t xml:space="preserve">is </w:t>
      </w:r>
      <w:r w:rsidR="004434F5">
        <w:t>appl</w:t>
      </w:r>
      <w:r w:rsidR="00281EDC">
        <w:t xml:space="preserve">icable </w:t>
      </w:r>
      <w:r w:rsidR="004434F5">
        <w:t xml:space="preserve">to </w:t>
      </w:r>
      <w:r w:rsidR="003462CD">
        <w:t xml:space="preserve">a </w:t>
      </w:r>
      <w:r w:rsidR="004434F5">
        <w:t>vari</w:t>
      </w:r>
      <w:r w:rsidR="003462CD">
        <w:t xml:space="preserve">ety of </w:t>
      </w:r>
      <w:r w:rsidR="004434F5">
        <w:t>situation</w:t>
      </w:r>
      <w:r w:rsidR="00281EDC">
        <w:t xml:space="preserve">s, further examples to those mentioned in MAR recital </w:t>
      </w:r>
      <w:r w:rsidR="00F965EE">
        <w:t>(</w:t>
      </w:r>
      <w:r w:rsidR="00581B9E">
        <w:t>50</w:t>
      </w:r>
      <w:r w:rsidR="00F965EE">
        <w:t>)</w:t>
      </w:r>
      <w:r w:rsidR="00581B9E">
        <w:t xml:space="preserve"> or ESMA Guidelines</w:t>
      </w:r>
      <w:r w:rsidR="00950A19">
        <w:t xml:space="preserve"> would be helpful</w:t>
      </w:r>
      <w:r w:rsidR="00C42E95">
        <w:t>.</w:t>
      </w:r>
      <w:r w:rsidR="00A45E21">
        <w:t xml:space="preserve"> </w:t>
      </w:r>
    </w:p>
    <w:p w14:paraId="31CE93E7" w14:textId="77777777" w:rsidR="00A45E21" w:rsidRDefault="00A45E21" w:rsidP="00646C30"/>
    <w:p w14:paraId="2CCA4B89" w14:textId="7ECCCCCC" w:rsidR="00A45E21" w:rsidRDefault="00CF37C2" w:rsidP="00646C30">
      <w:r>
        <w:t>However, i</w:t>
      </w:r>
      <w:r w:rsidR="000A2681">
        <w:t xml:space="preserve">nterpretation of </w:t>
      </w:r>
      <w:r>
        <w:t xml:space="preserve">the condition </w:t>
      </w:r>
      <w:r w:rsidR="000A2681">
        <w:t xml:space="preserve">“delay of disclosure is not likely to mislead the public” </w:t>
      </w:r>
      <w:r>
        <w:t xml:space="preserve">can </w:t>
      </w:r>
      <w:r w:rsidR="000A2681">
        <w:t>sometimes be</w:t>
      </w:r>
      <w:r>
        <w:t xml:space="preserve"> problematic.</w:t>
      </w:r>
      <w:r w:rsidR="00A45E21">
        <w:t xml:space="preserve"> </w:t>
      </w:r>
      <w:r>
        <w:t>F</w:t>
      </w:r>
      <w:r w:rsidR="00A45E21">
        <w:t>or example:</w:t>
      </w:r>
    </w:p>
    <w:p w14:paraId="01F75224" w14:textId="77777777" w:rsidR="00A45E21" w:rsidRDefault="00A45E21" w:rsidP="00646C30">
      <w:pPr>
        <w:pStyle w:val="Luettelokappale"/>
        <w:numPr>
          <w:ilvl w:val="0"/>
          <w:numId w:val="38"/>
        </w:numPr>
      </w:pPr>
      <w:r>
        <w:t>I</w:t>
      </w:r>
      <w:r w:rsidR="000A2681">
        <w:t>n case of a planned M&amp;A transaction where legitimate interests to delay the disclosure clearly exist</w:t>
      </w:r>
      <w:r>
        <w:t xml:space="preserve"> it is sometimes difficult to assess the condition relating to misleading the public</w:t>
      </w:r>
    </w:p>
    <w:p w14:paraId="30BD0A55" w14:textId="0C6F69F7" w:rsidR="00BB5D7A" w:rsidRDefault="00A45E21" w:rsidP="00646C30">
      <w:pPr>
        <w:pStyle w:val="Luettelokappale"/>
        <w:numPr>
          <w:ilvl w:val="0"/>
          <w:numId w:val="38"/>
        </w:numPr>
      </w:pPr>
      <w:r>
        <w:t>I</w:t>
      </w:r>
      <w:r w:rsidR="00D417BD">
        <w:t xml:space="preserve">n case of </w:t>
      </w:r>
      <w:r w:rsidR="00BC2C13">
        <w:t>decisions by authorities (e.g. tax, environment, competition)</w:t>
      </w:r>
      <w:r>
        <w:t xml:space="preserve"> i</w:t>
      </w:r>
      <w:r w:rsidR="00D417BD">
        <w:t xml:space="preserve">ssuer </w:t>
      </w:r>
      <w:r w:rsidR="00BC2C13">
        <w:t xml:space="preserve">may </w:t>
      </w:r>
      <w:r w:rsidR="00D417BD">
        <w:t xml:space="preserve">receive </w:t>
      </w:r>
      <w:r>
        <w:t xml:space="preserve">reasonably precise </w:t>
      </w:r>
      <w:r w:rsidR="00D417BD">
        <w:t xml:space="preserve">indication of </w:t>
      </w:r>
      <w:r>
        <w:t xml:space="preserve">the likelihood of </w:t>
      </w:r>
      <w:r w:rsidR="00BC2C13">
        <w:t xml:space="preserve">a positive or </w:t>
      </w:r>
      <w:r>
        <w:t>negative</w:t>
      </w:r>
      <w:r w:rsidR="00BC2C13">
        <w:t xml:space="preserve"> decision</w:t>
      </w:r>
      <w:r>
        <w:t>.</w:t>
      </w:r>
      <w:r w:rsidR="00BC2C13">
        <w:t xml:space="preserve"> </w:t>
      </w:r>
      <w:r w:rsidR="00503FAF" w:rsidRPr="008C4112">
        <w:t xml:space="preserve">Such information can </w:t>
      </w:r>
      <w:r w:rsidR="00503FAF">
        <w:t xml:space="preserve">constitute </w:t>
      </w:r>
      <w:r w:rsidR="00503FAF" w:rsidRPr="008C4112">
        <w:t xml:space="preserve">inside information, but any disclosure </w:t>
      </w:r>
      <w:r w:rsidR="001F1B91">
        <w:t>is</w:t>
      </w:r>
      <w:r w:rsidR="00503FAF" w:rsidRPr="008C4112">
        <w:t xml:space="preserve"> premature before the authority has issued its decision. However, </w:t>
      </w:r>
      <w:r w:rsidR="00503FAF">
        <w:t xml:space="preserve">the argument for meeting the </w:t>
      </w:r>
      <w:r w:rsidR="00503FAF" w:rsidRPr="008C4112">
        <w:t xml:space="preserve">condition “delay of disclosure is not likely to mislead the public” </w:t>
      </w:r>
      <w:r w:rsidR="00503FAF">
        <w:t xml:space="preserve">would need to be built on argument </w:t>
      </w:r>
      <w:r w:rsidR="00503FAF" w:rsidRPr="008C4112">
        <w:t xml:space="preserve">that speculative disclosure before the authority has issued its decision </w:t>
      </w:r>
      <w:r w:rsidR="00503FAF">
        <w:t xml:space="preserve">can </w:t>
      </w:r>
      <w:r w:rsidR="00503FAF" w:rsidRPr="008C4112">
        <w:t>mislead the public or create false markets.</w:t>
      </w:r>
    </w:p>
    <w:p w14:paraId="645AA354" w14:textId="0D67B8A5" w:rsidR="00CF37C2" w:rsidRDefault="00A45E21" w:rsidP="00646C30">
      <w:pPr>
        <w:pStyle w:val="Luettelokappale"/>
        <w:numPr>
          <w:ilvl w:val="0"/>
          <w:numId w:val="38"/>
        </w:numPr>
      </w:pPr>
      <w:r>
        <w:t xml:space="preserve">The same problem as with </w:t>
      </w:r>
      <w:r w:rsidR="00BC2C13">
        <w:t xml:space="preserve">authorities’ decisions </w:t>
      </w:r>
      <w:r>
        <w:t xml:space="preserve">can also </w:t>
      </w:r>
      <w:r w:rsidR="00CF37C2">
        <w:t xml:space="preserve">occur </w:t>
      </w:r>
      <w:proofErr w:type="gramStart"/>
      <w:r w:rsidR="00CF37C2">
        <w:t>with regard to</w:t>
      </w:r>
      <w:proofErr w:type="gramEnd"/>
      <w:r w:rsidR="00CF37C2">
        <w:t xml:space="preserve"> </w:t>
      </w:r>
      <w:r w:rsidR="00BC2C13">
        <w:t>e.g. negative auditor’s opinion (where such negative opinion constitutes inside information)</w:t>
      </w:r>
      <w:r>
        <w:t>.</w:t>
      </w:r>
    </w:p>
    <w:p w14:paraId="0F789D34" w14:textId="77777777" w:rsidR="00CF37C2" w:rsidRDefault="00CF37C2" w:rsidP="00646C30"/>
    <w:p w14:paraId="11A030B7" w14:textId="25D9B891" w:rsidR="00CF37C2" w:rsidRDefault="00241076" w:rsidP="00646C30">
      <w:r>
        <w:t>Moreover</w:t>
      </w:r>
      <w:r w:rsidR="00C808D0">
        <w:t xml:space="preserve">, the distinction between delaying disclosure of information </w:t>
      </w:r>
      <w:r w:rsidR="00697B22">
        <w:t xml:space="preserve">in accordance with </w:t>
      </w:r>
      <w:r w:rsidR="001B2C57">
        <w:t>MAR Article 17(</w:t>
      </w:r>
      <w:r w:rsidR="00F57AC8">
        <w:t>4</w:t>
      </w:r>
      <w:r w:rsidR="001B2C57">
        <w:t xml:space="preserve">) </w:t>
      </w:r>
      <w:r w:rsidR="00C808D0">
        <w:t xml:space="preserve">and </w:t>
      </w:r>
      <w:r w:rsidR="00A45D16">
        <w:t xml:space="preserve">publishing inside information </w:t>
      </w:r>
      <w:r w:rsidR="00687C7E">
        <w:t xml:space="preserve">as soon as possible is not always clear. For example, </w:t>
      </w:r>
      <w:r w:rsidR="00986EB0">
        <w:t xml:space="preserve">it is sometimes necessary to confirm </w:t>
      </w:r>
      <w:r w:rsidR="00AD450B">
        <w:t>fact</w:t>
      </w:r>
      <w:r w:rsidR="00986EB0">
        <w:t xml:space="preserve">s relating to a </w:t>
      </w:r>
      <w:r w:rsidR="00E740B2">
        <w:t xml:space="preserve">piece of information </w:t>
      </w:r>
      <w:r w:rsidR="002E5DDD">
        <w:t>which comes into the attention of an issuer</w:t>
      </w:r>
      <w:r w:rsidR="00986EB0">
        <w:t xml:space="preserve">. Such </w:t>
      </w:r>
      <w:r w:rsidR="00174CC6">
        <w:t xml:space="preserve">piece of information may be of such nature that </w:t>
      </w:r>
      <w:r w:rsidR="00AA3F72">
        <w:t xml:space="preserve">the conditions for </w:t>
      </w:r>
      <w:r w:rsidR="00E13CAD">
        <w:t>delaying disclosure are not applicable</w:t>
      </w:r>
      <w:r w:rsidR="0024681A">
        <w:t xml:space="preserve"> (e.g. </w:t>
      </w:r>
      <w:r w:rsidR="001A78D3">
        <w:t xml:space="preserve">if </w:t>
      </w:r>
      <w:r w:rsidR="0067426D">
        <w:t xml:space="preserve">the information is correct, </w:t>
      </w:r>
      <w:r w:rsidR="003C0869">
        <w:t xml:space="preserve">delaying of such information would </w:t>
      </w:r>
      <w:r w:rsidR="00B217C6">
        <w:t xml:space="preserve">likely </w:t>
      </w:r>
      <w:r w:rsidR="003C0869">
        <w:t xml:space="preserve">mislead </w:t>
      </w:r>
      <w:r w:rsidR="00B217C6">
        <w:t>the public</w:t>
      </w:r>
      <w:r w:rsidR="003C0869">
        <w:t>)</w:t>
      </w:r>
      <w:r w:rsidR="00E13CAD">
        <w:t>.</w:t>
      </w:r>
      <w:r w:rsidR="00635623">
        <w:t xml:space="preserve"> </w:t>
      </w:r>
      <w:r w:rsidR="00CB2C18">
        <w:t>On the other hand, i</w:t>
      </w:r>
      <w:r w:rsidR="006C131C">
        <w:t xml:space="preserve">f the facts were not checked before disclosing the information, disclosure </w:t>
      </w:r>
      <w:r w:rsidR="00CB2C18">
        <w:t xml:space="preserve">of incorrect information </w:t>
      </w:r>
      <w:r w:rsidR="00271467">
        <w:t xml:space="preserve">as inside information </w:t>
      </w:r>
      <w:r w:rsidR="00635623">
        <w:t xml:space="preserve">would also </w:t>
      </w:r>
      <w:r w:rsidR="006C131C">
        <w:t>mislead the public.</w:t>
      </w:r>
      <w:r w:rsidR="00B217C6">
        <w:t xml:space="preserve"> </w:t>
      </w:r>
      <w:r w:rsidR="0043639F">
        <w:t xml:space="preserve">To our understanding fact-checking </w:t>
      </w:r>
      <w:r w:rsidR="00760C0D">
        <w:t xml:space="preserve">therefore </w:t>
      </w:r>
      <w:r w:rsidR="007D496E">
        <w:t xml:space="preserve">currently </w:t>
      </w:r>
      <w:r w:rsidR="00AB6A0B">
        <w:t>need</w:t>
      </w:r>
      <w:r w:rsidR="007D496E">
        <w:t>s</w:t>
      </w:r>
      <w:r w:rsidR="00AB6A0B">
        <w:t xml:space="preserve"> to be </w:t>
      </w:r>
      <w:r w:rsidR="003178EC">
        <w:t xml:space="preserve">assessed against </w:t>
      </w:r>
      <w:r w:rsidR="0043639F">
        <w:t xml:space="preserve">the </w:t>
      </w:r>
      <w:r w:rsidR="007D496E">
        <w:t xml:space="preserve">requirement to disclose information </w:t>
      </w:r>
      <w:r w:rsidR="0043639F">
        <w:t>“as soon as possible”</w:t>
      </w:r>
      <w:r w:rsidR="0021721C">
        <w:t xml:space="preserve"> or against the definition of inside information (“information of a precise nature”)</w:t>
      </w:r>
      <w:r w:rsidR="007D496E">
        <w:t>.</w:t>
      </w:r>
    </w:p>
    <w:p w14:paraId="55E26F34" w14:textId="77777777" w:rsidR="00CF37C2" w:rsidRDefault="00CF37C2" w:rsidP="00646C30"/>
    <w:p w14:paraId="5813FC55" w14:textId="5D6C5484" w:rsidR="00646C30" w:rsidRDefault="00133D0E" w:rsidP="00646C30">
      <w:r>
        <w:t>Issuers would benefit from a</w:t>
      </w:r>
      <w:r w:rsidR="007D496E">
        <w:t xml:space="preserve">dditional </w:t>
      </w:r>
      <w:r w:rsidR="000D2987">
        <w:t xml:space="preserve">legal certainty </w:t>
      </w:r>
      <w:r w:rsidR="007D496E">
        <w:t>in this regard</w:t>
      </w:r>
      <w:r w:rsidR="006B581E">
        <w:t xml:space="preserve"> </w:t>
      </w:r>
      <w:r>
        <w:t>(</w:t>
      </w:r>
      <w:r w:rsidR="006B581E">
        <w:t xml:space="preserve">e.g. an </w:t>
      </w:r>
      <w:r w:rsidR="00FD6AB7">
        <w:t xml:space="preserve">explicit </w:t>
      </w:r>
      <w:r w:rsidR="00396BA8">
        <w:t xml:space="preserve">possibility </w:t>
      </w:r>
      <w:r w:rsidR="007C7D43">
        <w:t xml:space="preserve">to </w:t>
      </w:r>
      <w:r w:rsidR="00FD6AB7">
        <w:t xml:space="preserve">delay </w:t>
      </w:r>
      <w:r w:rsidR="00245204">
        <w:t xml:space="preserve">disclosure </w:t>
      </w:r>
      <w:r>
        <w:t>until fact-check</w:t>
      </w:r>
      <w:r w:rsidR="00396BA8">
        <w:t>ing is completed</w:t>
      </w:r>
      <w:r w:rsidR="00CF37C2">
        <w:t xml:space="preserve"> or a more general possibility to delay disclosure if due to the uncertainties</w:t>
      </w:r>
      <w:r w:rsidR="001F1B91">
        <w:t xml:space="preserve"> </w:t>
      </w:r>
      <w:r w:rsidR="00CF37C2">
        <w:t xml:space="preserve">relating to the piece of inside information a disclosure </w:t>
      </w:r>
      <w:r w:rsidR="00214C4F">
        <w:t xml:space="preserve">is likely to </w:t>
      </w:r>
      <w:r w:rsidR="00CF37C2">
        <w:t>mislead the public or create false markets</w:t>
      </w:r>
      <w:r>
        <w:t>)</w:t>
      </w:r>
      <w:r w:rsidR="007D496E">
        <w:t>.</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401DADB1" w14:textId="2157018A" w:rsidR="00214C4F" w:rsidRDefault="00CB0F68" w:rsidP="00214C4F">
      <w:permStart w:id="1829000557" w:edGrp="everyone"/>
      <w:r>
        <w:t xml:space="preserve">As stated above in our response to Q25, </w:t>
      </w:r>
      <w:r w:rsidR="00214C4F">
        <w:t>in general, the MAR conditions to delay disclosure of inside information usually enable issuers to delay disclosure of inside information where necessary. As the term “</w:t>
      </w:r>
      <w:r w:rsidR="00214C4F" w:rsidRPr="001D53A1">
        <w:t>legitimate interests of the issuer</w:t>
      </w:r>
      <w:r w:rsidR="00214C4F">
        <w:t xml:space="preserve">” is wide and is applicable to a variety of situations, further examples to those mentioned in MAR recital (50) or ESMA Guidelines would be helpful. </w:t>
      </w:r>
    </w:p>
    <w:p w14:paraId="4D9D2762" w14:textId="77777777" w:rsidR="00214C4F" w:rsidRDefault="00214C4F" w:rsidP="00214C4F"/>
    <w:p w14:paraId="20FCAA67" w14:textId="09629996" w:rsidR="00214C4F" w:rsidRDefault="00214C4F" w:rsidP="00214C4F">
      <w:r>
        <w:t>Interpretation of the condition “delay of disclosure is not likely to mislead the public” can sometimes be problematic. For example:</w:t>
      </w:r>
    </w:p>
    <w:p w14:paraId="32B98D31" w14:textId="77777777" w:rsidR="00BC2C13" w:rsidRDefault="00BC2C13" w:rsidP="00BC2C13">
      <w:pPr>
        <w:pStyle w:val="Luettelokappale"/>
        <w:numPr>
          <w:ilvl w:val="0"/>
          <w:numId w:val="38"/>
        </w:numPr>
      </w:pPr>
      <w:r>
        <w:t>In case of a planned M&amp;A transaction where legitimate interests to delay the disclosure clearly exist it is sometimes difficult to assess the condition relating to misleading the public</w:t>
      </w:r>
    </w:p>
    <w:p w14:paraId="136A4E9F" w14:textId="1D2C4558" w:rsidR="00BC2C13" w:rsidRDefault="00BC2C13" w:rsidP="00BC2C13">
      <w:pPr>
        <w:pStyle w:val="Luettelokappale"/>
        <w:numPr>
          <w:ilvl w:val="0"/>
          <w:numId w:val="38"/>
        </w:numPr>
      </w:pPr>
      <w:r>
        <w:t xml:space="preserve">In case of decisions by authorities (e.g. tax, environment, competition) issuer may receive reasonably precise indication of the likelihood of a positive or negative decision. </w:t>
      </w:r>
      <w:r w:rsidR="00503FAF" w:rsidRPr="008C4112">
        <w:t xml:space="preserve">Such information can </w:t>
      </w:r>
      <w:r w:rsidR="00503FAF">
        <w:t xml:space="preserve">constitute </w:t>
      </w:r>
      <w:r w:rsidR="00503FAF" w:rsidRPr="008C4112">
        <w:t xml:space="preserve">inside information, but any disclosure </w:t>
      </w:r>
      <w:r w:rsidR="001F1B91">
        <w:t>is</w:t>
      </w:r>
      <w:r w:rsidR="00503FAF" w:rsidRPr="008C4112">
        <w:t xml:space="preserve"> premature before the authority has issued its decision. However, </w:t>
      </w:r>
      <w:r w:rsidR="00503FAF">
        <w:t xml:space="preserve">the argument for meeting the </w:t>
      </w:r>
      <w:r w:rsidR="00503FAF" w:rsidRPr="008C4112">
        <w:t xml:space="preserve">condition “delay of disclosure is not likely to mislead the public” </w:t>
      </w:r>
      <w:r w:rsidR="00503FAF">
        <w:t xml:space="preserve">would need to be built on argument </w:t>
      </w:r>
      <w:r w:rsidR="00503FAF" w:rsidRPr="008C4112">
        <w:t xml:space="preserve">that speculative disclosure before the authority has issued its decision </w:t>
      </w:r>
      <w:r w:rsidR="00503FAF">
        <w:t xml:space="preserve">can </w:t>
      </w:r>
      <w:r w:rsidR="00503FAF" w:rsidRPr="008C4112">
        <w:t>mislead the public or create false markets.</w:t>
      </w:r>
    </w:p>
    <w:p w14:paraId="7056D79D" w14:textId="77777777" w:rsidR="00BC2C13" w:rsidRDefault="00BC2C13" w:rsidP="00BC2C13">
      <w:pPr>
        <w:pStyle w:val="Luettelokappale"/>
        <w:numPr>
          <w:ilvl w:val="0"/>
          <w:numId w:val="38"/>
        </w:numPr>
      </w:pPr>
      <w:r>
        <w:t xml:space="preserve">The same problem as with authorities’ decisions can also occur </w:t>
      </w:r>
      <w:proofErr w:type="gramStart"/>
      <w:r>
        <w:t>with regard to</w:t>
      </w:r>
      <w:proofErr w:type="gramEnd"/>
      <w:r>
        <w:t xml:space="preserve"> e.g. negative auditor’s opinion (where such negative opinion constitutes inside information).</w:t>
      </w:r>
    </w:p>
    <w:p w14:paraId="4E9AA888" w14:textId="77777777" w:rsidR="00BC2C13" w:rsidRDefault="00BC2C13" w:rsidP="00BC2C13"/>
    <w:p w14:paraId="00513268" w14:textId="77777777" w:rsidR="00214C4F" w:rsidRDefault="00214C4F" w:rsidP="00646C30">
      <w:r>
        <w:t xml:space="preserve">Moreover, </w:t>
      </w:r>
      <w:r w:rsidR="00CB0F68">
        <w:t xml:space="preserve">the distinction between delaying disclosure of information in accordance with MAR Article 17(4) and publishing inside information as soon as possible is not always clear. For example, it is sometimes necessary to confirm facts relating to a piece of information which comes into the attention of an issuer. Such piece of information may be of such nature that the conditions for delaying disclosure are not applicable (e.g. if the information is correct, delaying of such information would likely mislead the public). On the other hand, if the facts were not checked before disclosing the information, disclosure of incorrect information as inside information would also mislead the public. </w:t>
      </w:r>
      <w:r w:rsidR="00784882">
        <w:t xml:space="preserve">To our understanding fact-checking therefore currently needs to be assessed against the requirement to disclose information “as soon as possible” or against the definition of inside information (“information of a precise nature”). </w:t>
      </w:r>
    </w:p>
    <w:p w14:paraId="27FCEFB8" w14:textId="77777777" w:rsidR="00214C4F" w:rsidRDefault="00214C4F" w:rsidP="00646C30"/>
    <w:p w14:paraId="3C3E0AA9" w14:textId="50AC817D" w:rsidR="00646C30" w:rsidRDefault="00214C4F" w:rsidP="00646C30">
      <w:r>
        <w:t>Issuers would benefit from additional legal certainty in this regard (e.g. an explicit possibility to delay disclosure until fact-checking is completed or a more general possibility to delay disclosure if due to the uncertainties relating to the piece of inside information a disclosure is likely to mislead the public or create false markets)</w:t>
      </w:r>
      <w:r w:rsidR="00784882">
        <w:t>.</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7E2A680D" w14:textId="3F68D319" w:rsidR="004938BE" w:rsidRDefault="00756C97" w:rsidP="00646C30">
      <w:permStart w:id="1678079242" w:edGrp="everyone"/>
      <w:r>
        <w:t xml:space="preserve">In our view, the </w:t>
      </w:r>
      <w:r w:rsidR="00D31B67">
        <w:t xml:space="preserve">requirement </w:t>
      </w:r>
      <w:r w:rsidR="00783449">
        <w:t>for issuers to have systems and controls for identifying, handling and disclosing inside information is a</w:t>
      </w:r>
      <w:r w:rsidR="00034AC9">
        <w:t>n implicit</w:t>
      </w:r>
      <w:r w:rsidR="00783449">
        <w:t xml:space="preserve"> prerequisite</w:t>
      </w:r>
      <w:r w:rsidR="00180E71">
        <w:t xml:space="preserve"> for being able to comply with the requirements of </w:t>
      </w:r>
      <w:r w:rsidR="00A87B27">
        <w:t xml:space="preserve">e.g. </w:t>
      </w:r>
      <w:r w:rsidR="00180E71">
        <w:t>MAR Article</w:t>
      </w:r>
      <w:r w:rsidR="00A87B27">
        <w:t>s</w:t>
      </w:r>
      <w:r w:rsidR="00C430B9">
        <w:t xml:space="preserve"> </w:t>
      </w:r>
      <w:r w:rsidR="00A87B27">
        <w:t xml:space="preserve">10, 11, </w:t>
      </w:r>
      <w:r w:rsidR="00C430B9">
        <w:t>17</w:t>
      </w:r>
      <w:r w:rsidR="00A87B27">
        <w:t xml:space="preserve"> and</w:t>
      </w:r>
      <w:r w:rsidR="00C430B9">
        <w:t xml:space="preserve"> 18.</w:t>
      </w:r>
    </w:p>
    <w:p w14:paraId="1DC0664C" w14:textId="77777777" w:rsidR="004938BE" w:rsidRDefault="004938BE" w:rsidP="00646C30"/>
    <w:p w14:paraId="3C3E0AAE" w14:textId="0E6471EA" w:rsidR="00646C30" w:rsidRDefault="00A87B27" w:rsidP="00646C30">
      <w:r>
        <w:t xml:space="preserve">However, </w:t>
      </w:r>
      <w:r w:rsidRPr="00034AC9">
        <w:t xml:space="preserve">we </w:t>
      </w:r>
      <w:r w:rsidR="00DF331F" w:rsidRPr="00034AC9">
        <w:t>strongly disagree</w:t>
      </w:r>
      <w:r w:rsidR="00DF331F">
        <w:t xml:space="preserve"> </w:t>
      </w:r>
      <w:r w:rsidR="00E76176">
        <w:t xml:space="preserve">with the inclusion of such an explicit requirement in MAR. </w:t>
      </w:r>
      <w:r w:rsidR="007D6474">
        <w:t>First, i</w:t>
      </w:r>
      <w:r w:rsidR="00AB4A13">
        <w:t xml:space="preserve">n contrast to </w:t>
      </w:r>
      <w:r w:rsidR="008333A4">
        <w:t>EU legislation relating to provi</w:t>
      </w:r>
      <w:r w:rsidR="000B7749">
        <w:t>ders</w:t>
      </w:r>
      <w:r w:rsidR="008333A4">
        <w:t xml:space="preserve"> of financial services, </w:t>
      </w:r>
      <w:r w:rsidR="003D5624">
        <w:t xml:space="preserve">EU legislation </w:t>
      </w:r>
      <w:r w:rsidR="00AB4A13">
        <w:t>relating to issuers</w:t>
      </w:r>
      <w:r w:rsidR="008333A4">
        <w:t xml:space="preserve"> typically does not </w:t>
      </w:r>
      <w:r w:rsidR="00735D39">
        <w:t xml:space="preserve">extend to </w:t>
      </w:r>
      <w:r w:rsidR="006A73C2">
        <w:t>the organisation of the issuer’s business.</w:t>
      </w:r>
      <w:r w:rsidR="001C5C13">
        <w:t xml:space="preserve"> </w:t>
      </w:r>
      <w:r w:rsidR="008101CE">
        <w:t xml:space="preserve">The proposed </w:t>
      </w:r>
      <w:r w:rsidR="007D6474">
        <w:t xml:space="preserve">requirement would deviate from this approach. </w:t>
      </w:r>
      <w:r w:rsidR="00034AC9">
        <w:t xml:space="preserve">From the viewpoint of enforcing MAR, </w:t>
      </w:r>
      <w:r w:rsidR="005274B9">
        <w:t xml:space="preserve">it should be the outcome (i.e. reliable insider lists, timely disclosure of inside information, compliance with the principle of fair disclosure) that matters – not the procedures. We </w:t>
      </w:r>
      <w:r w:rsidR="00214C4F">
        <w:t xml:space="preserve">therefore </w:t>
      </w:r>
      <w:r w:rsidR="005274B9">
        <w:t xml:space="preserve">fail to see the added value in introducing such a requirement. </w:t>
      </w:r>
      <w:r w:rsidR="00870AFA">
        <w:t>Second, a</w:t>
      </w:r>
      <w:r w:rsidR="00943425">
        <w:t xml:space="preserve">ny kind of explicit requirement </w:t>
      </w:r>
      <w:r w:rsidR="005274B9">
        <w:t xml:space="preserve">for systems and controls </w:t>
      </w:r>
      <w:r w:rsidR="00943425">
        <w:t xml:space="preserve">adds </w:t>
      </w:r>
      <w:r w:rsidR="005274B9">
        <w:t xml:space="preserve">significant </w:t>
      </w:r>
      <w:r w:rsidR="00943425">
        <w:t xml:space="preserve">compliance costs and </w:t>
      </w:r>
      <w:r w:rsidR="00525108">
        <w:t xml:space="preserve">creates </w:t>
      </w:r>
      <w:r w:rsidR="005274B9">
        <w:t xml:space="preserve">legal uncertainties. These in turn would lead to </w:t>
      </w:r>
      <w:r w:rsidR="00525108">
        <w:t xml:space="preserve">additional disincentives </w:t>
      </w:r>
      <w:r w:rsidR="00E95BD2">
        <w:t xml:space="preserve">to </w:t>
      </w:r>
      <w:r w:rsidR="00525108">
        <w:t>listing</w:t>
      </w:r>
      <w:r w:rsidR="00133433">
        <w:t xml:space="preserve"> which would be against the objectives of the CMU</w:t>
      </w:r>
      <w:r w:rsidR="00525108">
        <w:t xml:space="preserve">. </w:t>
      </w:r>
      <w:r w:rsidR="00870AFA">
        <w:t>Third</w:t>
      </w:r>
      <w:r w:rsidR="007D6474">
        <w:t xml:space="preserve">, </w:t>
      </w:r>
      <w:r w:rsidR="002008AA">
        <w:t xml:space="preserve">even if ESMA and the Commission </w:t>
      </w:r>
      <w:r w:rsidR="0042092E">
        <w:t xml:space="preserve">were to propose a high-level </w:t>
      </w:r>
      <w:r w:rsidR="0042035B">
        <w:t xml:space="preserve">requirement which might </w:t>
      </w:r>
      <w:r w:rsidR="003C1474">
        <w:t>be adapt</w:t>
      </w:r>
      <w:r w:rsidR="00011E40">
        <w:t>able</w:t>
      </w:r>
      <w:r w:rsidR="003C1474">
        <w:t xml:space="preserve"> to the </w:t>
      </w:r>
      <w:r w:rsidR="008C3C11">
        <w:t xml:space="preserve">scale, size and nature of </w:t>
      </w:r>
      <w:r w:rsidR="00D700CE">
        <w:t xml:space="preserve">the business of various issuers, there are </w:t>
      </w:r>
      <w:r w:rsidR="004B7C35">
        <w:t xml:space="preserve">numerous examples where a </w:t>
      </w:r>
      <w:r w:rsidR="00BF4FD3">
        <w:t xml:space="preserve">proposed </w:t>
      </w:r>
      <w:r w:rsidR="004B7C35">
        <w:t>high</w:t>
      </w:r>
      <w:r w:rsidR="00AF7E05">
        <w:t>-</w:t>
      </w:r>
      <w:r w:rsidR="004B7C35">
        <w:t xml:space="preserve">level provision has </w:t>
      </w:r>
      <w:r w:rsidR="00255909">
        <w:t xml:space="preserve">become </w:t>
      </w:r>
      <w:r w:rsidR="00F033EC">
        <w:t xml:space="preserve">overly </w:t>
      </w:r>
      <w:r w:rsidR="006B5B9E">
        <w:t xml:space="preserve">detailed </w:t>
      </w:r>
      <w:r w:rsidR="004900D6">
        <w:t xml:space="preserve">in </w:t>
      </w:r>
      <w:r w:rsidR="006A073E">
        <w:t xml:space="preserve">the </w:t>
      </w:r>
      <w:r w:rsidR="004900D6">
        <w:t xml:space="preserve">outcome of Level 1 </w:t>
      </w:r>
      <w:r w:rsidR="006A073E">
        <w:t>negotiations</w:t>
      </w:r>
      <w:r w:rsidR="004900D6">
        <w:t xml:space="preserve"> (sometimes even with an additional empowerment for Level 2 legislation).</w:t>
      </w:r>
      <w:r w:rsidR="006A073E">
        <w:t xml:space="preserve"> </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lastRenderedPageBreak/>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666F6922" w14:textId="0FE82FE5" w:rsidR="00B40277" w:rsidRDefault="00B40277" w:rsidP="00B40277">
      <w:permStart w:id="266360711" w:edGrp="everyone"/>
      <w:r>
        <w:t xml:space="preserve">As mentioned in our response to Q13, </w:t>
      </w:r>
      <w:r w:rsidR="00A376DE">
        <w:t>Q25 and Q26</w:t>
      </w:r>
      <w:r>
        <w:t xml:space="preserve">, it can be argued that if different MAR provisions were applied independently, a piece of information (e.g. information on a potential M&amp;A transaction) would generally be considered as inside information at an earlier stage in applying the prohibition of insider dealing than in applying the disclosure requirement. This is </w:t>
      </w:r>
      <w:proofErr w:type="gramStart"/>
      <w:r>
        <w:t>due to the fact that</w:t>
      </w:r>
      <w:proofErr w:type="gramEnd"/>
      <w:r>
        <w:t xml:space="preserve"> even if inside information is precise enough to trigger the prohibition to dealing, is not necessarily precise enough to be disclosed, as too early</w:t>
      </w:r>
      <w:r w:rsidR="00C01EBD">
        <w:t>, incomplete</w:t>
      </w:r>
      <w:r>
        <w:t xml:space="preserve"> </w:t>
      </w:r>
      <w:r w:rsidR="00D87864">
        <w:t xml:space="preserve">and speculative </w:t>
      </w:r>
      <w:r>
        <w:t>disclosure might mislead the public and create false markets. The possibility to delay disclosure is intended to address this gap, but there are cases where it is difficult to apply the provisions relating to delayed disclosure.</w:t>
      </w:r>
    </w:p>
    <w:p w14:paraId="5B213516" w14:textId="77777777" w:rsidR="00B40277" w:rsidRDefault="00B40277" w:rsidP="00B40277"/>
    <w:p w14:paraId="7B01C9D2" w14:textId="77777777" w:rsidR="00D87864" w:rsidRDefault="00D87864" w:rsidP="00D87864">
      <w:r>
        <w:t>The administrative burden relating to handling of inside information (i.e. establishment of insider lists, documentation relating to delayed disclosure) creates a natural incentive for issuers to apply the definition of inside information in a narrower reading than what might be preferable for a potential insider dealing case. The MAR regime already acknowledges that not all privileged information is considered as inside information (cf. rules regarding market sounding when no inside information is disclosed and prohibition for PDMRs to conduct transactions during closed window). From issuers’ point of view, privileged information which at a later stage potentially constitutes inside information is usually subject to strict confidentiality rules and non-disclosure agreements.</w:t>
      </w:r>
    </w:p>
    <w:p w14:paraId="0EA87A1F" w14:textId="77777777" w:rsidR="00D87864" w:rsidRDefault="00D87864" w:rsidP="00D87864"/>
    <w:p w14:paraId="7061C26A" w14:textId="77777777" w:rsidR="00D87864" w:rsidRDefault="00D87864" w:rsidP="00D87864">
      <w:r>
        <w:t xml:space="preserve">The reasonable investor test in MAR recital (14) provides some support to the interpretation of the criterion “of precise nature”. However, in contrast to the price sensitivity test covered by MAR recital (15) the issuer’s </w:t>
      </w:r>
      <w:r>
        <w:rPr>
          <w:i/>
          <w:iCs/>
        </w:rPr>
        <w:t xml:space="preserve">ex ante </w:t>
      </w:r>
      <w:r>
        <w:t xml:space="preserve">judgement whether information is of precise nature does not receive explicit protection towards </w:t>
      </w:r>
      <w:r w:rsidRPr="0003575D">
        <w:rPr>
          <w:i/>
          <w:iCs/>
        </w:rPr>
        <w:t>e</w:t>
      </w:r>
      <w:r>
        <w:rPr>
          <w:i/>
          <w:iCs/>
        </w:rPr>
        <w:t xml:space="preserve">x post </w:t>
      </w:r>
      <w:r>
        <w:t xml:space="preserve">examinations. It is possible that an issuer’s reasoned </w:t>
      </w:r>
      <w:r w:rsidRPr="007D0651">
        <w:rPr>
          <w:i/>
          <w:iCs/>
        </w:rPr>
        <w:t>bona fide</w:t>
      </w:r>
      <w:r>
        <w:t xml:space="preserve"> judgement that information is not yet sufficiently precise to constitute inside information is later challenged in an insider dealing case. If an NCA or a court in an insider dealing case concludes that the information had indeed been inside information, this would automatically mean that the issuer had been in breach of MAR Articles 17 and 18 (i.e. inside information was published as soon as possible or decision of delay was not made and insider lists were not established timely) even if it had complied with those provisions as soon as it had concluded that the information is inside information.</w:t>
      </w:r>
    </w:p>
    <w:p w14:paraId="716C3D76" w14:textId="77777777" w:rsidR="00D87864" w:rsidRDefault="00D87864" w:rsidP="00D87864"/>
    <w:p w14:paraId="440C4C1C" w14:textId="5CE5BA8E" w:rsidR="00D87864" w:rsidRDefault="00D87864" w:rsidP="00D87864">
      <w:r>
        <w:t xml:space="preserve">We therefore propose to add an explicit protection </w:t>
      </w:r>
      <w:r w:rsidR="00C01EBD">
        <w:t xml:space="preserve">(similar to recital (15)) </w:t>
      </w:r>
      <w:r>
        <w:t xml:space="preserve">for issuers’ </w:t>
      </w:r>
      <w:r w:rsidRPr="00037940">
        <w:rPr>
          <w:i/>
          <w:iCs/>
        </w:rPr>
        <w:t>bona fide</w:t>
      </w:r>
      <w:r>
        <w:t xml:space="preserve"> business judgements regarding the precise nature of information when applying MAR Articles 17 and 18.  Introduction of such protection would in our view not affect negatively to the objective of market integrity but would reduce legal risks and compliance costs.</w:t>
      </w:r>
    </w:p>
    <w:p w14:paraId="2B96E61C" w14:textId="77777777" w:rsidR="00D87864" w:rsidRDefault="00D87864" w:rsidP="00B40277"/>
    <w:p w14:paraId="2C1C5086" w14:textId="77777777" w:rsidR="00B40277" w:rsidRDefault="00B40277" w:rsidP="00B40277">
      <w:r>
        <w:t xml:space="preserve">Moreover, the distinction between delaying disclosure of information in accordance with MAR Article 17(4) and publishing inside information as soon as possible is not always clear. For example, it is sometimes necessary to confirm facts relating to a piece of information which comes into the attention of an issuer. Such piece of information may be of such nature that the conditions for delaying disclosure are not applicable (e.g. if the information is correct, delaying of such information would likely mislead the public). On the other hand, if the facts were not checked before disclosing the information, disclosure of incorrect information as inside information would also mislead the public. To our understanding fact-checking therefore currently needs to be assessed against the requirement to disclose information “as soon as possible” or against the definition of inside information (“information of a precise nature”). </w:t>
      </w:r>
    </w:p>
    <w:p w14:paraId="5549E9B0" w14:textId="77777777" w:rsidR="00B40277" w:rsidRDefault="00B40277" w:rsidP="00B40277"/>
    <w:p w14:paraId="3C3E0AB3" w14:textId="0F96E9F2" w:rsidR="00646C30" w:rsidRDefault="00B40277" w:rsidP="00646C30">
      <w:r>
        <w:t>Issuers would benefit from additional legal certainty in this regard (e.g. an explicit possibility to delay disclosure until fact-checking is completed or a more general possibility to delay disclosure if due to the uncertainties relating to the piece of inside information a disclosure is likely to mislead the public or create false markets).</w:t>
      </w:r>
      <w:r w:rsidR="00A376DE">
        <w:t>.</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lastRenderedPageBreak/>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202521FA" w14:textId="77777777" w:rsidR="001E5912" w:rsidRDefault="00692EFA" w:rsidP="00646C30">
      <w:permStart w:id="1420902335" w:edGrp="everyone"/>
      <w:r>
        <w:t xml:space="preserve">We disagree with the </w:t>
      </w:r>
      <w:r w:rsidR="00486C2C">
        <w:t xml:space="preserve">proposal to require </w:t>
      </w:r>
      <w:r w:rsidR="00A20D31">
        <w:t xml:space="preserve">issuers to </w:t>
      </w:r>
      <w:r w:rsidR="00023FC1">
        <w:t>notif</w:t>
      </w:r>
      <w:r w:rsidR="00A20D31">
        <w:t>y</w:t>
      </w:r>
      <w:r w:rsidR="00023FC1">
        <w:t xml:space="preserve"> </w:t>
      </w:r>
      <w:r w:rsidR="00FE5152">
        <w:t xml:space="preserve">to NCAs the delay of disclosure of inside information in cases where the </w:t>
      </w:r>
      <w:r w:rsidR="00A823ED">
        <w:t xml:space="preserve">relevant information has lost </w:t>
      </w:r>
      <w:r w:rsidR="004A47BA">
        <w:t>its inside nature.</w:t>
      </w:r>
      <w:r w:rsidR="001C29FC">
        <w:t xml:space="preserve"> </w:t>
      </w:r>
      <w:r w:rsidR="00CF2BE6">
        <w:t xml:space="preserve">The compliance costs </w:t>
      </w:r>
      <w:r w:rsidR="00FC53A9">
        <w:t xml:space="preserve">relating to such a requirement </w:t>
      </w:r>
      <w:r w:rsidR="00CF2BE6">
        <w:t xml:space="preserve">clearly outweigh the </w:t>
      </w:r>
      <w:r w:rsidR="00FC53A9">
        <w:t xml:space="preserve">potential </w:t>
      </w:r>
      <w:r w:rsidR="00687602">
        <w:t>benefits</w:t>
      </w:r>
      <w:r w:rsidR="009A3E58">
        <w:t>.</w:t>
      </w:r>
      <w:r w:rsidR="000F3777">
        <w:t xml:space="preserve"> Each additional disclosure requirement adds to issuers’ compliance burden and creates an additional disincentive </w:t>
      </w:r>
      <w:r w:rsidR="007E4C74">
        <w:t xml:space="preserve">to </w:t>
      </w:r>
      <w:r w:rsidR="000F3777">
        <w:t>listing.</w:t>
      </w:r>
    </w:p>
    <w:p w14:paraId="346D5C25" w14:textId="77777777" w:rsidR="001E5912" w:rsidRDefault="001E5912" w:rsidP="00646C30"/>
    <w:p w14:paraId="3C3E0AB8" w14:textId="41B03B0B" w:rsidR="00646C30" w:rsidRDefault="002C041E" w:rsidP="00646C30">
      <w:r>
        <w:t xml:space="preserve">It </w:t>
      </w:r>
      <w:proofErr w:type="gramStart"/>
      <w:r>
        <w:t>has to</w:t>
      </w:r>
      <w:proofErr w:type="gramEnd"/>
      <w:r>
        <w:t xml:space="preserve"> be noted that </w:t>
      </w:r>
      <w:r w:rsidRPr="002C041E">
        <w:t>the issuer</w:t>
      </w:r>
      <w:r w:rsidR="00C01EBD">
        <w:t>s</w:t>
      </w:r>
      <w:r w:rsidRPr="002C041E">
        <w:t xml:space="preserve"> </w:t>
      </w:r>
      <w:r w:rsidR="00C01EBD">
        <w:t xml:space="preserve">are </w:t>
      </w:r>
      <w:r w:rsidR="000C429E">
        <w:t xml:space="preserve">already </w:t>
      </w:r>
      <w:r w:rsidR="00A512A0">
        <w:t xml:space="preserve">subject </w:t>
      </w:r>
      <w:r w:rsidR="00BF7180">
        <w:t xml:space="preserve">to </w:t>
      </w:r>
      <w:r w:rsidRPr="002C041E">
        <w:t>obligations relating to the drawing up and updating of insider lists and the maintenance of the information relating to the delay of disclosure stemming from MAR and its delegated and implementing Regulations.</w:t>
      </w:r>
      <w:r w:rsidR="00376ACD">
        <w:t xml:space="preserve"> The </w:t>
      </w:r>
      <w:r w:rsidR="009A3E58">
        <w:t xml:space="preserve">NCAs already have </w:t>
      </w:r>
      <w:r w:rsidR="00141966">
        <w:t>a possibility to request information from issuer</w:t>
      </w:r>
      <w:r w:rsidR="000F3777" w:rsidRPr="000F3777">
        <w:t xml:space="preserve"> </w:t>
      </w:r>
      <w:r w:rsidR="00376ACD">
        <w:t xml:space="preserve">whenever they </w:t>
      </w:r>
      <w:r w:rsidR="00CE5459">
        <w:t>suspect market abuse (e.g. in case of unexplained movements in share price or trading volumes).</w:t>
      </w:r>
    </w:p>
    <w:p w14:paraId="5B40F32A" w14:textId="65BD7FA7" w:rsidR="00646C30" w:rsidRDefault="00646C30" w:rsidP="00646C30"/>
    <w:p w14:paraId="31D70B00" w14:textId="4013BE7A" w:rsidR="00646C30" w:rsidRDefault="008B09D2" w:rsidP="00646C30">
      <w:r>
        <w:t xml:space="preserve">In contrast, we suggest ESMA to </w:t>
      </w:r>
      <w:r w:rsidR="00D07323">
        <w:t>consider whether the notification requirement</w:t>
      </w:r>
      <w:r w:rsidR="0016099C">
        <w:t xml:space="preserve"> </w:t>
      </w:r>
      <w:r w:rsidR="00250F46">
        <w:t xml:space="preserve">in the third subparagraph of </w:t>
      </w:r>
      <w:r w:rsidR="0016099C">
        <w:t>MAR Article 17(4) could be abolished</w:t>
      </w:r>
      <w:r w:rsidR="00250F46">
        <w:t xml:space="preserve"> completely</w:t>
      </w:r>
      <w:r w:rsidR="0016099C">
        <w:t xml:space="preserve">. In </w:t>
      </w:r>
      <w:r w:rsidR="007803B5">
        <w:t xml:space="preserve">almost all </w:t>
      </w:r>
      <w:r w:rsidR="0016099C">
        <w:t xml:space="preserve">cases, the fact that disclosure of inside information has been delayed, can be </w:t>
      </w:r>
      <w:r w:rsidR="008D711F">
        <w:t xml:space="preserve">concluded from the </w:t>
      </w:r>
      <w:r w:rsidR="007E3154">
        <w:t>press release disclosing the inside information.</w:t>
      </w:r>
      <w:r w:rsidR="007803B5">
        <w:t xml:space="preserve"> </w:t>
      </w:r>
      <w:r w:rsidR="00D56B84">
        <w:t xml:space="preserve">In our view, the abolishment of the notification requirement would </w:t>
      </w:r>
      <w:r w:rsidR="00AB01CE">
        <w:t xml:space="preserve">therefore </w:t>
      </w:r>
      <w:r w:rsidR="00D56B84">
        <w:t>not hinder the supervision of MAR by NCAs. T</w:t>
      </w:r>
      <w:r w:rsidR="007803B5">
        <w:t>he NCAs already have a possibility to request information from issuer</w:t>
      </w:r>
      <w:r w:rsidR="007803B5" w:rsidRPr="000F3777">
        <w:t xml:space="preserve"> </w:t>
      </w:r>
      <w:r w:rsidR="007803B5">
        <w:t>whenever they suspect market abuse (e.g. in case of unexplained movements in share price or trading volumes).</w:t>
      </w:r>
      <w:r w:rsidR="00D07323">
        <w:t xml:space="preserve"> </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4DA3D8A1" w:rsidR="00646C30" w:rsidRDefault="00097AEB" w:rsidP="00646C30">
      <w:permStart w:id="385179280" w:edGrp="everyone"/>
      <w:r>
        <w:t xml:space="preserve">We agree that MAR Article 17(5) could </w:t>
      </w:r>
      <w:r w:rsidR="00D66C4C">
        <w:t xml:space="preserve">be made </w:t>
      </w:r>
      <w:r>
        <w:t xml:space="preserve">more explicit in this regard. </w:t>
      </w:r>
      <w:r w:rsidR="00547FC7">
        <w:t xml:space="preserve">However, we note that </w:t>
      </w:r>
      <w:r w:rsidR="00D87864">
        <w:t xml:space="preserve">there is no definition of control in MAR. Depending on the definition of control, </w:t>
      </w:r>
      <w:r w:rsidR="00AC3E99">
        <w:t>t</w:t>
      </w:r>
      <w:r w:rsidR="00F22516">
        <w:t xml:space="preserve">he </w:t>
      </w:r>
      <w:r w:rsidR="00E40760">
        <w:t xml:space="preserve">issue </w:t>
      </w:r>
      <w:r w:rsidR="00F47611">
        <w:t xml:space="preserve">at stake </w:t>
      </w:r>
      <w:r w:rsidR="00D87864">
        <w:t xml:space="preserve">might not be </w:t>
      </w:r>
      <w:r w:rsidR="00060456">
        <w:t xml:space="preserve">limited </w:t>
      </w:r>
      <w:r w:rsidR="00F47611">
        <w:t xml:space="preserve">only </w:t>
      </w:r>
      <w:r w:rsidR="00060456">
        <w:t>to</w:t>
      </w:r>
      <w:r w:rsidR="004438F8">
        <w:t xml:space="preserve"> listed issuers</w:t>
      </w:r>
      <w:r w:rsidR="00060456">
        <w:t xml:space="preserve"> controll</w:t>
      </w:r>
      <w:r w:rsidR="004438F8">
        <w:t>ing a</w:t>
      </w:r>
      <w:r w:rsidR="00060456">
        <w:t xml:space="preserve"> </w:t>
      </w:r>
      <w:r w:rsidR="00F47611">
        <w:t xml:space="preserve">credit or financial institution. There </w:t>
      </w:r>
      <w:r w:rsidR="004438F8">
        <w:t xml:space="preserve">can also </w:t>
      </w:r>
      <w:r w:rsidR="00422214">
        <w:t xml:space="preserve">be </w:t>
      </w:r>
      <w:r w:rsidR="00F47611">
        <w:t xml:space="preserve">cases where </w:t>
      </w:r>
      <w:r w:rsidR="00657F49">
        <w:t xml:space="preserve">a listed issuer </w:t>
      </w:r>
      <w:r w:rsidR="00422214">
        <w:t xml:space="preserve">has a non-controlling stake </w:t>
      </w:r>
      <w:r w:rsidR="0029030A">
        <w:t xml:space="preserve">in a credit or financial institution, but that stake is </w:t>
      </w:r>
      <w:r w:rsidR="0044502B">
        <w:t xml:space="preserve">significant </w:t>
      </w:r>
      <w:r w:rsidR="00B50A83">
        <w:t xml:space="preserve">enough </w:t>
      </w:r>
      <w:r w:rsidR="00D0481A">
        <w:t xml:space="preserve">from the viewpoint of </w:t>
      </w:r>
      <w:r w:rsidR="003D7ACC">
        <w:t>issuer</w:t>
      </w:r>
      <w:r w:rsidR="00B50A83">
        <w:t xml:space="preserve"> to trigger the disclosure requirement</w:t>
      </w:r>
      <w:r w:rsidR="003D7ACC">
        <w:t>.</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lastRenderedPageBreak/>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562B2D82" w:rsidR="00646C30" w:rsidRDefault="00664B9A" w:rsidP="00646C30">
      <w:permStart w:id="1371158119" w:edGrp="everyone"/>
      <w:r>
        <w:t xml:space="preserve">We agree that additional clarity </w:t>
      </w:r>
      <w:proofErr w:type="gramStart"/>
      <w:r>
        <w:t>with regard to</w:t>
      </w:r>
      <w:proofErr w:type="gramEnd"/>
      <w:r>
        <w:t xml:space="preserve"> </w:t>
      </w:r>
      <w:r w:rsidR="00CB5D36">
        <w:t xml:space="preserve">the application of </w:t>
      </w:r>
      <w:r w:rsidR="0060486C">
        <w:t xml:space="preserve">MAR Article 11 is needed. However, we would </w:t>
      </w:r>
      <w:r w:rsidR="00580430">
        <w:t xml:space="preserve">not favour extending the obligatory market sounding regime to </w:t>
      </w:r>
      <w:r w:rsidR="00A52E9B">
        <w:t xml:space="preserve">market soundings where no </w:t>
      </w:r>
      <w:r w:rsidR="00F5477E">
        <w:t>inside information is disclosed.</w:t>
      </w:r>
      <w:r w:rsidR="00813D9B">
        <w:t xml:space="preserve"> It is not fully clear to us </w:t>
      </w:r>
      <w:r w:rsidR="00E949FC">
        <w:t xml:space="preserve">what is the policy objective </w:t>
      </w:r>
      <w:r w:rsidR="004438F8">
        <w:t xml:space="preserve">for </w:t>
      </w:r>
      <w:r w:rsidR="00E949FC">
        <w:t xml:space="preserve">including </w:t>
      </w:r>
      <w:r w:rsidR="004969FD">
        <w:t xml:space="preserve">such </w:t>
      </w:r>
      <w:r w:rsidR="002765BE">
        <w:t xml:space="preserve">soundings </w:t>
      </w:r>
      <w:r w:rsidR="004969FD">
        <w:t>in the MAR regime at all.</w:t>
      </w:r>
      <w:r w:rsidR="00580430">
        <w:t xml:space="preserve"> </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28EDFC99" w:rsidR="00646C30" w:rsidRDefault="00F4525B" w:rsidP="00646C30">
      <w:permStart w:id="146477293" w:edGrp="everyone"/>
      <w:r>
        <w:t xml:space="preserve">We agree that </w:t>
      </w:r>
      <w:r w:rsidR="00A85286">
        <w:t xml:space="preserve">some limitation to the definition of market sounding is needed. E.g. negotiations with a </w:t>
      </w:r>
      <w:r w:rsidR="000271F1">
        <w:t xml:space="preserve">limited </w:t>
      </w:r>
      <w:r w:rsidR="00665D16">
        <w:t xml:space="preserve">number of </w:t>
      </w:r>
      <w:r w:rsidR="00DE1802">
        <w:t xml:space="preserve">counterparts </w:t>
      </w:r>
      <w:r w:rsidR="00A103DF">
        <w:t>should be excluded from the definition</w:t>
      </w:r>
      <w:r w:rsidR="004438F8">
        <w:t xml:space="preserve">. </w:t>
      </w:r>
      <w:proofErr w:type="gramStart"/>
      <w:r w:rsidR="004438F8">
        <w:t>Also</w:t>
      </w:r>
      <w:proofErr w:type="gramEnd"/>
      <w:r w:rsidR="004438F8">
        <w:t xml:space="preserve"> soundings where no inside information is disclosed should be excluded from the scope (non-disclosure agreements should be sufficient for these soundings)</w:t>
      </w:r>
      <w:r w:rsidR="00A103DF">
        <w:t>.</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24F0B1EE" w14:textId="45BCDCC6" w:rsidR="004438F8" w:rsidRDefault="004969FD" w:rsidP="00646C30">
      <w:permStart w:id="427762830" w:edGrp="everyone"/>
      <w:r>
        <w:lastRenderedPageBreak/>
        <w:t>To our understanding</w:t>
      </w:r>
      <w:r w:rsidR="005153D5">
        <w:t xml:space="preserve">, </w:t>
      </w:r>
      <w:r w:rsidR="000244C9">
        <w:t xml:space="preserve">the lack of clarity in the </w:t>
      </w:r>
      <w:r w:rsidR="005E1F34">
        <w:t xml:space="preserve">definition </w:t>
      </w:r>
      <w:r w:rsidR="00F3308E">
        <w:t xml:space="preserve">of market sounding has </w:t>
      </w:r>
      <w:r w:rsidR="00F63DC6">
        <w:t xml:space="preserve">created </w:t>
      </w:r>
      <w:r w:rsidR="008D38AC">
        <w:t xml:space="preserve">interpretational issues for both DMPs and persons receiving market sounding. </w:t>
      </w:r>
      <w:r w:rsidR="0038123F">
        <w:t xml:space="preserve">Persons </w:t>
      </w:r>
      <w:r w:rsidR="004D0C88">
        <w:t xml:space="preserve">that have been contacted </w:t>
      </w:r>
      <w:r w:rsidR="0038123F">
        <w:t xml:space="preserve">may have considered the </w:t>
      </w:r>
      <w:r w:rsidR="004C4223">
        <w:t xml:space="preserve">contact to be market </w:t>
      </w:r>
      <w:r w:rsidR="004D0C88">
        <w:t xml:space="preserve">sounding </w:t>
      </w:r>
      <w:r w:rsidR="004C4223">
        <w:t>even though the contacting person has had an opposite view or vice versa.</w:t>
      </w:r>
      <w:r w:rsidR="004438F8">
        <w:t xml:space="preserve"> In addition, the administrative burden relating to market soundings has led to a situation where </w:t>
      </w:r>
      <w:proofErr w:type="gramStart"/>
      <w:r w:rsidR="004438F8">
        <w:t>a number of</w:t>
      </w:r>
      <w:proofErr w:type="gramEnd"/>
      <w:r w:rsidR="004438F8">
        <w:t xml:space="preserve"> potential targets for market soundings have categorically declined from receiving any market sounding</w:t>
      </w:r>
      <w:r w:rsidR="00A70D26">
        <w:t xml:space="preserve"> at all, which is counterproductive to the MAR objective of efficient markets.</w:t>
      </w:r>
    </w:p>
    <w:p w14:paraId="5F1DD2C5" w14:textId="77777777" w:rsidR="004C4223" w:rsidRDefault="004C4223" w:rsidP="00646C30"/>
    <w:p w14:paraId="69878F1B" w14:textId="4FB9C244" w:rsidR="005704A5" w:rsidRDefault="005704A5" w:rsidP="00646C30">
      <w:r>
        <w:t>I</w:t>
      </w:r>
      <w:r w:rsidR="004C4223">
        <w:t xml:space="preserve">t </w:t>
      </w:r>
      <w:r>
        <w:t xml:space="preserve">also </w:t>
      </w:r>
      <w:r w:rsidR="004C4223">
        <w:t>seems to us that t</w:t>
      </w:r>
      <w:r w:rsidR="00687C28">
        <w:t xml:space="preserve">he </w:t>
      </w:r>
      <w:r w:rsidR="00AC3E99">
        <w:t xml:space="preserve">market sounding </w:t>
      </w:r>
      <w:r w:rsidR="00687C28">
        <w:t xml:space="preserve">regime </w:t>
      </w:r>
      <w:r w:rsidR="004C4223">
        <w:t xml:space="preserve">is </w:t>
      </w:r>
      <w:r w:rsidR="00A53A35">
        <w:t xml:space="preserve">designed </w:t>
      </w:r>
      <w:r w:rsidR="00485DCB">
        <w:t xml:space="preserve">mainly </w:t>
      </w:r>
      <w:r w:rsidR="00A53A35">
        <w:t xml:space="preserve">for </w:t>
      </w:r>
      <w:r w:rsidR="00687C28">
        <w:t>accelerated book building</w:t>
      </w:r>
      <w:r w:rsidR="00C01EBD">
        <w:t xml:space="preserve"> processe</w:t>
      </w:r>
      <w:r w:rsidR="00687C28">
        <w:t xml:space="preserve">s, </w:t>
      </w:r>
      <w:r w:rsidR="00C01EBD">
        <w:t xml:space="preserve">although </w:t>
      </w:r>
      <w:r w:rsidR="00E63FC5">
        <w:t xml:space="preserve">it is applicable to much wider range of </w:t>
      </w:r>
      <w:r w:rsidR="00534664">
        <w:t>transactions</w:t>
      </w:r>
      <w:r w:rsidR="00E63FC5">
        <w:t>.</w:t>
      </w:r>
    </w:p>
    <w:p w14:paraId="17B2D727" w14:textId="77777777" w:rsidR="005704A5" w:rsidRDefault="005704A5" w:rsidP="00646C30"/>
    <w:p w14:paraId="3C3E0AE0" w14:textId="16B67CA8" w:rsidR="00646C30" w:rsidRDefault="005704A5" w:rsidP="00646C30">
      <w:r>
        <w:t xml:space="preserve">Moreover, </w:t>
      </w:r>
      <w:r w:rsidR="00A70D26">
        <w:t xml:space="preserve">from the viewpoint of persons receiving market soundings there are problems </w:t>
      </w:r>
      <w:proofErr w:type="gramStart"/>
      <w:r w:rsidR="00A70D26">
        <w:t>with regard to</w:t>
      </w:r>
      <w:proofErr w:type="gramEnd"/>
      <w:r w:rsidR="00A70D26">
        <w:t xml:space="preserve"> </w:t>
      </w:r>
      <w:r w:rsidR="00C45E10">
        <w:t xml:space="preserve">transactions </w:t>
      </w:r>
      <w:r w:rsidR="00D01BC5">
        <w:t xml:space="preserve">for which market sounding has taken place </w:t>
      </w:r>
      <w:r w:rsidR="00A70D26">
        <w:t xml:space="preserve">(and inside information has been disclosed), </w:t>
      </w:r>
      <w:r w:rsidR="00D01BC5">
        <w:t xml:space="preserve">but </w:t>
      </w:r>
      <w:r w:rsidR="00A70D26">
        <w:t>which have subsequently been put on hold for an undetermined period. I</w:t>
      </w:r>
      <w:r w:rsidR="00AC3E99">
        <w:t>n such cases i</w:t>
      </w:r>
      <w:r w:rsidR="00A70D26">
        <w:t>t is unclear when information relating to such sounding ceases to be inside information. Moreover, DMPs not always inform the persons receiving market sounding that the inside information has ceased to be inside information.</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7342EBDA" w14:textId="52C21671" w:rsidR="006A5F9A" w:rsidRDefault="006A5F9A" w:rsidP="00646C30">
      <w:permStart w:id="2098217667" w:edGrp="everyone"/>
      <w:r>
        <w:t xml:space="preserve">We strongly disagree with the proposal to </w:t>
      </w:r>
      <w:r w:rsidR="00D4779E">
        <w:t xml:space="preserve">make </w:t>
      </w:r>
      <w:r w:rsidR="007F5919">
        <w:t xml:space="preserve">recording facilities compulsory for all soundings. It </w:t>
      </w:r>
      <w:proofErr w:type="gramStart"/>
      <w:r w:rsidR="007F5919">
        <w:t>has to</w:t>
      </w:r>
      <w:proofErr w:type="gramEnd"/>
      <w:r w:rsidR="007F5919">
        <w:t xml:space="preserve"> be noted that </w:t>
      </w:r>
      <w:r w:rsidR="005C2C2A">
        <w:t xml:space="preserve">MAR Article 11 is </w:t>
      </w:r>
      <w:r w:rsidR="001A495E">
        <w:t xml:space="preserve">not only </w:t>
      </w:r>
      <w:r w:rsidR="005C2C2A">
        <w:t xml:space="preserve">applicable </w:t>
      </w:r>
      <w:r w:rsidR="001A495E">
        <w:t xml:space="preserve">to </w:t>
      </w:r>
      <w:r w:rsidR="00B57EB1">
        <w:t>investment service providers but also to issuers</w:t>
      </w:r>
      <w:r w:rsidR="008F7759">
        <w:t xml:space="preserve"> and other legal or natural persons (i.e. </w:t>
      </w:r>
      <w:r w:rsidR="00B57EB1">
        <w:t>secondary offerors</w:t>
      </w:r>
      <w:r w:rsidR="008F7759">
        <w:t xml:space="preserve"> and </w:t>
      </w:r>
      <w:r w:rsidR="00447A97">
        <w:t>persons intending to make a takeover bid)</w:t>
      </w:r>
      <w:r w:rsidR="00584475">
        <w:t xml:space="preserve">. </w:t>
      </w:r>
      <w:r w:rsidR="006B366A">
        <w:t xml:space="preserve">A requirement to have </w:t>
      </w:r>
      <w:r w:rsidR="00E9265F">
        <w:t xml:space="preserve">recording facilities in place </w:t>
      </w:r>
      <w:r w:rsidR="00584475">
        <w:t xml:space="preserve">would be </w:t>
      </w:r>
      <w:r w:rsidR="00CA342E">
        <w:t xml:space="preserve">impractical and overly </w:t>
      </w:r>
      <w:r w:rsidR="006B366A">
        <w:t>burdensome</w:t>
      </w:r>
      <w:r w:rsidR="00E9265F">
        <w:t xml:space="preserve"> for these persons</w:t>
      </w:r>
      <w:r w:rsidR="006B366A">
        <w:t>.</w:t>
      </w:r>
      <w:r w:rsidR="004854D3">
        <w:t xml:space="preserve"> However, we agree that whenever recording facilities are available, it should be possible to utilise these without </w:t>
      </w:r>
      <w:r w:rsidR="00891D12">
        <w:t>an explicit consent from the person receiving market sounding.</w:t>
      </w:r>
    </w:p>
    <w:p w14:paraId="0E0854DF" w14:textId="7AE3CC35" w:rsidR="00E9265F" w:rsidRDefault="00E9265F" w:rsidP="00646C30"/>
    <w:p w14:paraId="3C3E0AE5" w14:textId="05DCB2FB" w:rsidR="00646C30" w:rsidRDefault="00891D12" w:rsidP="00646C30">
      <w:r>
        <w:t xml:space="preserve">Moreover, we urge ESMA to </w:t>
      </w:r>
      <w:r w:rsidR="00464BF7">
        <w:t xml:space="preserve">align the </w:t>
      </w:r>
      <w:r w:rsidR="00151FCF">
        <w:t xml:space="preserve">market sounding requirements with </w:t>
      </w:r>
      <w:r w:rsidR="00FF137D">
        <w:t xml:space="preserve">the </w:t>
      </w:r>
      <w:r w:rsidR="00D52D40">
        <w:t xml:space="preserve">requirements relating to insider </w:t>
      </w:r>
      <w:r w:rsidR="0063669E">
        <w:t xml:space="preserve">lists. </w:t>
      </w:r>
      <w:r w:rsidR="00E14E16">
        <w:t xml:space="preserve">From the viewpoint of </w:t>
      </w:r>
      <w:proofErr w:type="gramStart"/>
      <w:r w:rsidR="00E14E16">
        <w:t>issuers</w:t>
      </w:r>
      <w:proofErr w:type="gramEnd"/>
      <w:r w:rsidR="00E14E16">
        <w:t xml:space="preserve"> it is inconceivable</w:t>
      </w:r>
      <w:r w:rsidR="00953B1F">
        <w:t xml:space="preserve"> that </w:t>
      </w:r>
      <w:r w:rsidR="00F30477">
        <w:t xml:space="preserve">the issuer is at the same time required to maintain </w:t>
      </w:r>
      <w:r w:rsidR="00A634CC">
        <w:t xml:space="preserve">both </w:t>
      </w:r>
      <w:r w:rsidR="007830E3">
        <w:t xml:space="preserve">an insider list and a </w:t>
      </w:r>
      <w:r w:rsidR="00F30477">
        <w:t>list of persons that have received market sounding</w:t>
      </w:r>
      <w:r w:rsidR="00953B1F">
        <w:t>.</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0E353A6F" w:rsidR="00646C30" w:rsidRDefault="00D44F40" w:rsidP="00646C30">
      <w:permStart w:id="1933056180" w:edGrp="everyone"/>
      <w:r>
        <w:t xml:space="preserve">We agree that insider lists are a practical mean for controlling inside information. The requirement also leaves </w:t>
      </w:r>
      <w:proofErr w:type="gramStart"/>
      <w:r>
        <w:t>sufficient</w:t>
      </w:r>
      <w:proofErr w:type="gramEnd"/>
      <w:r>
        <w:t xml:space="preserve"> discretion to issuers on how to arrange the handling of inside information within the issuer. No additional requirements relating to systems and controls </w:t>
      </w:r>
      <w:r w:rsidR="004938BE">
        <w:t>is therefore require</w:t>
      </w:r>
      <w:r w:rsidR="005A533C">
        <w:t>d.</w:t>
      </w:r>
      <w:r>
        <w:t xml:space="preserve"> </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5AD6065D" w:rsidR="00646C30" w:rsidRDefault="004938BE" w:rsidP="00646C30">
      <w:permStart w:id="1252881600" w:edGrp="everyone"/>
      <w:r>
        <w:t>From the viewpoint of legal protection of persons included in the insider list it is important that insider list covers only persons that have received inside information</w:t>
      </w:r>
      <w:r w:rsidR="00FB5F3C">
        <w:t xml:space="preserve"> (</w:t>
      </w:r>
      <w:r>
        <w:t>i.e. the number of “false positives” should be kept as small as possible</w:t>
      </w:r>
      <w:r w:rsidR="00FB5F3C">
        <w:t>)</w:t>
      </w:r>
      <w:r>
        <w:t xml:space="preserve">. </w:t>
      </w:r>
      <w:permEnd w:id="1252881600"/>
    </w:p>
    <w:p w14:paraId="3C3E0AF0" w14:textId="77777777" w:rsidR="00646C30" w:rsidRDefault="00646C30" w:rsidP="00646C30">
      <w:r>
        <w:lastRenderedPageBreak/>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62D1475A" w:rsidR="00646C30" w:rsidRDefault="00FB5F3C" w:rsidP="00646C30">
      <w:permStart w:id="93392546" w:edGrp="everyone"/>
      <w:r>
        <w:t xml:space="preserve">Given the variety of situations where inside information may potentially emerge, it is practically impossible to create a system which would register whenever a person </w:t>
      </w:r>
      <w:proofErr w:type="gramStart"/>
      <w:r w:rsidR="00F66A38">
        <w:t xml:space="preserve">actually </w:t>
      </w:r>
      <w:r w:rsidRPr="00FB5F3C">
        <w:t>accesses</w:t>
      </w:r>
      <w:proofErr w:type="gramEnd"/>
      <w:r>
        <w:rPr>
          <w:i/>
          <w:iCs/>
        </w:rPr>
        <w:t xml:space="preserve"> </w:t>
      </w:r>
      <w:r>
        <w:t xml:space="preserve">inside information. It is more practical </w:t>
      </w:r>
      <w:r w:rsidR="005A533C">
        <w:t xml:space="preserve">for issuers </w:t>
      </w:r>
      <w:r>
        <w:t>to maintain a list of persons who are aware of inside information</w:t>
      </w:r>
      <w:r w:rsidR="005A533C">
        <w:t xml:space="preserve"> (or for whom inside information has been made available).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0B902B6D" w14:textId="2F00E8A4" w:rsidR="006238FB" w:rsidRDefault="00A7101E" w:rsidP="00646C30">
      <w:permStart w:id="1148858332" w:edGrp="everyone"/>
      <w:r>
        <w:t xml:space="preserve">From the viewpoint of </w:t>
      </w:r>
      <w:r w:rsidR="00D417BD">
        <w:t xml:space="preserve">proper </w:t>
      </w:r>
      <w:r w:rsidR="006238FB">
        <w:t>management of inside information</w:t>
      </w:r>
      <w:r w:rsidR="00D00808">
        <w:t>,</w:t>
      </w:r>
      <w:r w:rsidR="006238FB">
        <w:t xml:space="preserve"> i</w:t>
      </w:r>
      <w:r>
        <w:t xml:space="preserve">t </w:t>
      </w:r>
      <w:r w:rsidR="00D417BD">
        <w:t xml:space="preserve">might be </w:t>
      </w:r>
      <w:r>
        <w:t>logical to expand the scope of Article 18(1) to cover any person performing tasks through which they have access to inside information.</w:t>
      </w:r>
      <w:r w:rsidR="006238FB">
        <w:t xml:space="preserve"> </w:t>
      </w:r>
      <w:r w:rsidR="00D417BD">
        <w:t>S</w:t>
      </w:r>
      <w:r w:rsidR="006238FB">
        <w:t xml:space="preserve">uch </w:t>
      </w:r>
      <w:r w:rsidR="00D417BD">
        <w:t xml:space="preserve">an </w:t>
      </w:r>
      <w:r w:rsidR="006238FB">
        <w:t xml:space="preserve">amendment </w:t>
      </w:r>
      <w:r>
        <w:t xml:space="preserve">would </w:t>
      </w:r>
      <w:r w:rsidR="006238FB">
        <w:t>likely require amendment</w:t>
      </w:r>
      <w:r w:rsidR="00D00808">
        <w:t>s</w:t>
      </w:r>
      <w:r w:rsidR="006238FB">
        <w:t xml:space="preserve"> to </w:t>
      </w:r>
      <w:r w:rsidR="00D00808">
        <w:t xml:space="preserve">other paragraphs of </w:t>
      </w:r>
      <w:r w:rsidR="006238FB">
        <w:t>Article 18</w:t>
      </w:r>
      <w:r w:rsidR="00D00808">
        <w:t xml:space="preserve"> </w:t>
      </w:r>
      <w:r w:rsidR="006238FB">
        <w:t>as well.</w:t>
      </w:r>
    </w:p>
    <w:p w14:paraId="5C9AD5CE" w14:textId="2908AC64" w:rsidR="006238FB" w:rsidRDefault="006238FB" w:rsidP="00646C30"/>
    <w:p w14:paraId="4CCA3339" w14:textId="5E492DB8" w:rsidR="00D417BD" w:rsidRDefault="00D417BD" w:rsidP="00646C30">
      <w:r>
        <w:t xml:space="preserve">However, </w:t>
      </w:r>
      <w:r w:rsidR="00B839D2">
        <w:t xml:space="preserve">if such an extension were to be introduced, the scope should be considered carefully in order to avoid unintended consequences. Expression “performing tasks through which they have access to inside information” can be interpreted to cover </w:t>
      </w:r>
      <w:r w:rsidR="00D00808">
        <w:t xml:space="preserve">not only parties that are in a contractual relationship with an issuer (e.g. auditors and debtors) but </w:t>
      </w:r>
      <w:r w:rsidR="00B839D2">
        <w:t xml:space="preserve">also parties that </w:t>
      </w:r>
      <w:r w:rsidR="00D00808">
        <w:t xml:space="preserve">do </w:t>
      </w:r>
      <w:r w:rsidR="00B839D2">
        <w:t xml:space="preserve">not </w:t>
      </w:r>
      <w:r w:rsidR="00D00808">
        <w:t xml:space="preserve">have </w:t>
      </w:r>
      <w:r w:rsidR="00B839D2">
        <w:t xml:space="preserve">any contractual relationship with an issuer, such as authorities (tax, competition, environment, securities, banking, </w:t>
      </w:r>
      <w:r w:rsidR="00D00808">
        <w:t xml:space="preserve">criminal </w:t>
      </w:r>
      <w:r w:rsidR="00B839D2">
        <w:t>etc.) or courts.</w:t>
      </w:r>
    </w:p>
    <w:p w14:paraId="3CD4FACB" w14:textId="77777777" w:rsidR="00D417BD" w:rsidRDefault="00D417BD" w:rsidP="00646C30"/>
    <w:p w14:paraId="3C3E0AF9" w14:textId="7CF8B640" w:rsidR="00646C30" w:rsidRDefault="00B839D2" w:rsidP="00646C30">
      <w:r>
        <w:t>Moreover</w:t>
      </w:r>
      <w:r w:rsidR="00D417BD">
        <w:t>, w</w:t>
      </w:r>
      <w:r w:rsidR="005A533C">
        <w:t xml:space="preserve">e note </w:t>
      </w:r>
      <w:r w:rsidR="006238FB">
        <w:t xml:space="preserve">that currently </w:t>
      </w:r>
      <w:r w:rsidR="005A533C">
        <w:t xml:space="preserve">the obligation to </w:t>
      </w:r>
      <w:r w:rsidR="006238FB">
        <w:t xml:space="preserve">establish and </w:t>
      </w:r>
      <w:r w:rsidR="005A533C">
        <w:t xml:space="preserve">maintain insider lists does not apply to e.g. </w:t>
      </w:r>
      <w:r w:rsidR="006238FB">
        <w:t xml:space="preserve">natural </w:t>
      </w:r>
      <w:r w:rsidR="005A533C">
        <w:t xml:space="preserve">persons </w:t>
      </w:r>
      <w:r w:rsidR="006238FB">
        <w:t xml:space="preserve">or unlisted companies </w:t>
      </w:r>
      <w:r w:rsidR="005A533C">
        <w:t xml:space="preserve">intending to make a takeover bid or unlisted companies </w:t>
      </w:r>
      <w:r w:rsidR="006238FB">
        <w:t xml:space="preserve">negotiating with </w:t>
      </w:r>
      <w:r w:rsidR="005A533C">
        <w:t>a listed issuer.</w:t>
      </w:r>
      <w:r w:rsidR="006238FB">
        <w:t xml:space="preserve"> In the light of the examples given in the CP, it seems a bit unclear whether </w:t>
      </w:r>
      <w:r w:rsidR="00AC3E99">
        <w:t xml:space="preserve">ESMA’s intention was to include </w:t>
      </w:r>
      <w:r w:rsidR="006238FB">
        <w:t xml:space="preserve">these persons </w:t>
      </w:r>
      <w:r w:rsidR="00AC3E99">
        <w:t>as well</w:t>
      </w:r>
      <w:r w:rsidR="006F1405">
        <w:t xml:space="preserve"> in the circle of persons </w:t>
      </w:r>
      <w:r w:rsidR="006238FB">
        <w:t>“performing tasks through which they have access to inside information”.</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6689D361" w:rsidR="00646C30" w:rsidRDefault="00FB5F3C" w:rsidP="00646C30">
      <w:permStart w:id="513950227" w:edGrp="everyone"/>
      <w:r>
        <w:t>As mentioned in our response to Q40, from the viewpoint of legal protection of persons included in the insider list it is important that insider list covers only persons that have received inside information (i.e. the number of “false positives” should be kept as small as possible). In that regard, the possibility to maintain list of permanent insiders is impractical as not all persons that would possibly be classified as permanent insiders (e.g. CEO</w:t>
      </w:r>
      <w:r w:rsidR="006238FB">
        <w:t>, executive and non-executive directors</w:t>
      </w:r>
      <w:r>
        <w:t>) receive inside information simultaneously.</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lastRenderedPageBreak/>
        <w:t>Do you agree with ESMA’s preliminary view</w:t>
      </w:r>
      <w:r>
        <w:t>?</w:t>
      </w:r>
    </w:p>
    <w:p w14:paraId="3C3E0B02" w14:textId="77777777" w:rsidR="00646C30" w:rsidRDefault="00646C30" w:rsidP="00646C30">
      <w:r>
        <w:t>&lt;ESMA_QUESTION_CP_MAR_</w:t>
      </w:r>
      <w:r w:rsidR="00B6351C">
        <w:t>44</w:t>
      </w:r>
      <w:r>
        <w:t>&gt;</w:t>
      </w:r>
    </w:p>
    <w:p w14:paraId="3C3E0B03" w14:textId="566B3781" w:rsidR="00646C30" w:rsidRDefault="006238FB" w:rsidP="00646C30">
      <w:permStart w:id="1908500529" w:edGrp="everyone"/>
      <w:r>
        <w:t>Yes, we agree.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45CEE268" w14:textId="71CA711D" w:rsidR="00B55F83" w:rsidRDefault="000A49E8" w:rsidP="00646C30">
      <w:permStart w:id="673864140" w:edGrp="everyone"/>
      <w:r>
        <w:t xml:space="preserve">Updating of insider lists would be </w:t>
      </w:r>
      <w:r w:rsidR="00B55F83">
        <w:t xml:space="preserve">significantly </w:t>
      </w:r>
      <w:r>
        <w:t xml:space="preserve">less burdensome if the amount of personal details </w:t>
      </w:r>
      <w:r w:rsidR="006F1405">
        <w:t xml:space="preserve">were </w:t>
      </w:r>
      <w:r>
        <w:t xml:space="preserve">reduced. </w:t>
      </w:r>
      <w:r w:rsidR="00034AC9">
        <w:t>In addition to the information required in MAR Article 18(3)</w:t>
      </w:r>
      <w:r w:rsidR="00D00808">
        <w:t xml:space="preserve"> it should be </w:t>
      </w:r>
      <w:proofErr w:type="gramStart"/>
      <w:r w:rsidR="00D00808">
        <w:t>sufficient</w:t>
      </w:r>
      <w:proofErr w:type="gramEnd"/>
      <w:r w:rsidR="00D00808">
        <w:t xml:space="preserve"> to gather the following information:</w:t>
      </w:r>
      <w:r w:rsidR="00034AC9">
        <w:t xml:space="preserve"> </w:t>
      </w:r>
      <w:r w:rsidR="00D00808">
        <w:t>f</w:t>
      </w:r>
      <w:r>
        <w:t>irst</w:t>
      </w:r>
      <w:r w:rsidR="00034AC9">
        <w:t xml:space="preserve"> name,</w:t>
      </w:r>
      <w:r>
        <w:t xml:space="preserve"> last name, company name and function as well as date of birth and/or national identification number</w:t>
      </w:r>
      <w:r w:rsidR="00B55F83">
        <w:t xml:space="preserve">. </w:t>
      </w:r>
      <w:proofErr w:type="gramStart"/>
      <w:r w:rsidR="00034AC9">
        <w:t>Taking into account</w:t>
      </w:r>
      <w:proofErr w:type="gramEnd"/>
      <w:r w:rsidR="00034AC9">
        <w:t xml:space="preserve"> the extensive </w:t>
      </w:r>
      <w:r w:rsidR="00B55F83">
        <w:t>investigative powers of NCAs</w:t>
      </w:r>
      <w:r w:rsidR="00034AC9">
        <w:t>,</w:t>
      </w:r>
      <w:r w:rsidR="00B55F83">
        <w:t xml:space="preserve"> </w:t>
      </w:r>
      <w:r w:rsidR="00034AC9">
        <w:t xml:space="preserve">a reduction in </w:t>
      </w:r>
      <w:r w:rsidR="00B55F83">
        <w:t xml:space="preserve">the amount of personal details </w:t>
      </w:r>
      <w:r w:rsidR="00034AC9">
        <w:t xml:space="preserve">included in insider lists would </w:t>
      </w:r>
      <w:r w:rsidR="00D00808">
        <w:t xml:space="preserve">in our view </w:t>
      </w:r>
      <w:r w:rsidR="00034AC9">
        <w:t>not hinder the enforcement of MAR.</w:t>
      </w:r>
    </w:p>
    <w:p w14:paraId="57256B78" w14:textId="77777777" w:rsidR="00B55F83" w:rsidRDefault="00B55F83" w:rsidP="00646C30"/>
    <w:p w14:paraId="3C3E0B08" w14:textId="28EC03F6" w:rsidR="00646C30" w:rsidRDefault="00B55F83" w:rsidP="00646C30">
      <w:r>
        <w:t xml:space="preserve">Moreover, due to e.g. data protection issues, issuers have faced problems with receiving all the required details </w:t>
      </w:r>
      <w:r w:rsidR="00D00808">
        <w:t xml:space="preserve">especially </w:t>
      </w:r>
      <w:r>
        <w:t>from persons in third countries. Reducing the amount of personal details would likely alleviate these problems as well</w:t>
      </w:r>
      <w:r w:rsidR="000A49E8">
        <w:t>.</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563DC57B" w14:textId="224FE21A" w:rsidR="005306A5" w:rsidRDefault="00AA27E5" w:rsidP="00646C30">
      <w:permStart w:id="274992488" w:edGrp="everyone"/>
      <w:r>
        <w:t>Pursuant to MAR recital</w:t>
      </w:r>
      <w:r w:rsidR="005306A5">
        <w:t xml:space="preserve"> (58) t</w:t>
      </w:r>
      <w:r>
        <w:t>he policy objective</w:t>
      </w:r>
      <w:r w:rsidR="005306A5">
        <w:t xml:space="preserve">s of the notification requirement are </w:t>
      </w:r>
      <w:r w:rsidR="00446E64">
        <w:t xml:space="preserve">mainly </w:t>
      </w:r>
      <w:r w:rsidR="005306A5">
        <w:t>prevention of market abuse (particularly insider dealing)</w:t>
      </w:r>
      <w:r w:rsidR="00446E64">
        <w:t xml:space="preserve"> and</w:t>
      </w:r>
      <w:r w:rsidR="005306A5">
        <w:t xml:space="preserve"> source of information to investors (signalling effect). Against these objectives </w:t>
      </w:r>
      <w:r w:rsidR="00AD208A">
        <w:t xml:space="preserve">and </w:t>
      </w:r>
      <w:proofErr w:type="gramStart"/>
      <w:r w:rsidR="00AD208A">
        <w:t>taking into account</w:t>
      </w:r>
      <w:proofErr w:type="gramEnd"/>
      <w:r w:rsidR="00AD208A">
        <w:t xml:space="preserve"> the fact that also free shares / options are valued to their market value when calculating the threshold, </w:t>
      </w:r>
      <w:r>
        <w:t xml:space="preserve">the threshold </w:t>
      </w:r>
      <w:r w:rsidR="005306A5">
        <w:t>seem</w:t>
      </w:r>
      <w:r w:rsidR="00446E64">
        <w:t>s</w:t>
      </w:r>
      <w:r w:rsidR="005306A5">
        <w:t xml:space="preserve"> rather low</w:t>
      </w:r>
      <w:r w:rsidR="00AD208A">
        <w:t>.</w:t>
      </w:r>
    </w:p>
    <w:p w14:paraId="65E25E11" w14:textId="77777777" w:rsidR="005306A5" w:rsidRDefault="005306A5" w:rsidP="00646C30"/>
    <w:p w14:paraId="3C3E0B0D" w14:textId="03707157" w:rsidR="00646C30" w:rsidRDefault="005306A5" w:rsidP="00646C30">
      <w:r>
        <w:t xml:space="preserve">Due to complex calculation methods for the thresholds (cumulative </w:t>
      </w:r>
      <w:r w:rsidR="00AD208A">
        <w:t>within</w:t>
      </w:r>
      <w:r>
        <w:t xml:space="preserve"> the calendar year; even free shares</w:t>
      </w:r>
      <w:r w:rsidR="00AD208A">
        <w:t xml:space="preserve"> / options</w:t>
      </w:r>
      <w:r>
        <w:t xml:space="preserve"> have to be valued to their </w:t>
      </w:r>
      <w:r w:rsidR="00AD208A">
        <w:t xml:space="preserve">market </w:t>
      </w:r>
      <w:r>
        <w:t xml:space="preserve">value when </w:t>
      </w:r>
      <w:r w:rsidR="00AD208A">
        <w:t xml:space="preserve">calculating the threshold) </w:t>
      </w:r>
      <w:r w:rsidR="00DD469A">
        <w:t xml:space="preserve">and </w:t>
      </w:r>
      <w:r w:rsidR="00AD208A">
        <w:t>the risk of high sanctions for potential breaches of the notification requirement, many PDMRs and closely associated persons have the practice to notify all transactions irrespective of whether the threshold has been reached. This should remain as a possibility in in the future as well.</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186E8251" w:rsidR="00646C30" w:rsidRDefault="00934A2F" w:rsidP="00646C30">
      <w:permStart w:id="1265633318" w:edGrp="everyone"/>
      <w:r>
        <w:t xml:space="preserve">Due the fact that the markets across the Member States vary significantly, it would be preferable to maintain the national option to set a higher threshold. </w:t>
      </w:r>
      <w:r w:rsidR="00446E64">
        <w:t>As stated in our response to Q46, pursuant to MAR re</w:t>
      </w:r>
      <w:r w:rsidR="00446E64">
        <w:lastRenderedPageBreak/>
        <w:t xml:space="preserve">cital (58) the policy objectives of the notification requirement are mainly prevention of market abuse (particularly insider dealing) and source of information to investors (signalling effect). Against these objectives and </w:t>
      </w:r>
      <w:proofErr w:type="gramStart"/>
      <w:r w:rsidR="00446E64">
        <w:t>taking into account</w:t>
      </w:r>
      <w:proofErr w:type="gramEnd"/>
      <w:r w:rsidR="00446E64">
        <w:t xml:space="preserve"> the fact that also free shares / options are valued to their market value when calculating the threshold, the optional threshold seems rather low.</w:t>
      </w:r>
    </w:p>
    <w:p w14:paraId="0D42B9D5" w14:textId="7116C991" w:rsidR="00646C30" w:rsidRDefault="00646C30" w:rsidP="00646C30"/>
    <w:p w14:paraId="123FB3E5" w14:textId="2E99F132" w:rsidR="00646C30" w:rsidRDefault="00446E64" w:rsidP="00646C30">
      <w:r>
        <w:t xml:space="preserve">Due to complex calculation methods for the thresholds (cumulative within the calendar year; even free shares / options have to be valued to their market value when calculating the threshold) </w:t>
      </w:r>
      <w:r w:rsidR="00DD469A">
        <w:t xml:space="preserve">and </w:t>
      </w:r>
      <w:r>
        <w:t>the risk of high sanctions for potential breaches of the notification requirement, many PDMRs and closely associated persons have the practice to notify all transactions irrespective of whether the threshold has been reached. This should remain as a possibility in in the future as well.</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7484AE32" w14:textId="578B039E" w:rsidR="00934A2F" w:rsidRPr="00934A2F" w:rsidRDefault="00934A2F" w:rsidP="00934A2F">
      <w:permStart w:id="234174884" w:edGrp="everyone"/>
      <w:r w:rsidRPr="00934A2F">
        <w:t>In general, the method for calculating the threshold should be kept as simple as possible and the threshold should be carefully calibrated in order to avoid overflow notifications. Moreover, the content of the notification should be amended to allow presentation of aggregated information only.</w:t>
      </w:r>
    </w:p>
    <w:p w14:paraId="211B9892" w14:textId="77777777" w:rsidR="00934A2F" w:rsidRPr="00934A2F" w:rsidRDefault="00934A2F" w:rsidP="00934A2F"/>
    <w:p w14:paraId="3C3E0B17" w14:textId="48BDE232" w:rsidR="00646C30" w:rsidRDefault="00934A2F" w:rsidP="00646C30">
      <w:proofErr w:type="gramStart"/>
      <w:r w:rsidRPr="008C4112">
        <w:t>Taking into account</w:t>
      </w:r>
      <w:proofErr w:type="gramEnd"/>
      <w:r w:rsidRPr="008C4112">
        <w:t xml:space="preserve"> the policy objectives of the notification requirement, one possibility to simplify the criteria would be to exclude free shares / options received as part of remuneration from the notification requirement. It </w:t>
      </w:r>
      <w:proofErr w:type="gramStart"/>
      <w:r w:rsidRPr="008C4112">
        <w:t>has to</w:t>
      </w:r>
      <w:proofErr w:type="gramEnd"/>
      <w:r w:rsidRPr="008C4112">
        <w:t xml:space="preserve"> be noted that transparency of remuneration of most PDMRs is also covered by the remuneration policy and remuneration reporting rules of the amended Shareholders’ Rights Directive</w:t>
      </w:r>
      <w:r w:rsidR="00F965EE">
        <w:t>.</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lastRenderedPageBreak/>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4230086A" w14:textId="597886FE" w:rsidR="007A4A99" w:rsidRDefault="003D55F8" w:rsidP="00646C30">
      <w:permStart w:id="439554279" w:edGrp="everyone"/>
      <w:r>
        <w:t>There are inconsistencies in the terminology of MAR Article 19(11)-(12) and Level 2 Regulation. MAR Article 19(11) refers to transactions. ESMA’s MAR Q&amp;A 7.9 states that transactions should be interpreted in the light of MAR Article 19(1)</w:t>
      </w:r>
      <w:r w:rsidR="007A4A99">
        <w:t>, i.e. in a wide sense covering all types of transactions</w:t>
      </w:r>
      <w:r>
        <w:t>. However, MAR recital (61) refers only to trading. Similarly, the exemptions of MAR Article 19(12) and Level 2 Regulation cover only trading.</w:t>
      </w:r>
    </w:p>
    <w:p w14:paraId="1D056809" w14:textId="77777777" w:rsidR="007A4A99" w:rsidRDefault="007A4A99" w:rsidP="00646C30"/>
    <w:p w14:paraId="10118CDE" w14:textId="2BB54DE5" w:rsidR="00AA27E5" w:rsidRDefault="00CC4DAB" w:rsidP="00646C30">
      <w:r>
        <w:t>If read strictly, t</w:t>
      </w:r>
      <w:r w:rsidR="003D55F8">
        <w:t xml:space="preserve">his </w:t>
      </w:r>
      <w:r>
        <w:t xml:space="preserve">would </w:t>
      </w:r>
      <w:r w:rsidR="003D55F8">
        <w:t>lead to a</w:t>
      </w:r>
      <w:r>
        <w:t>n</w:t>
      </w:r>
      <w:r w:rsidR="003D55F8">
        <w:t xml:space="preserve"> </w:t>
      </w:r>
      <w:r>
        <w:t xml:space="preserve">interpretation </w:t>
      </w:r>
      <w:r w:rsidR="003D55F8">
        <w:t xml:space="preserve">where </w:t>
      </w:r>
      <w:r>
        <w:t xml:space="preserve">even passive transactions such as return of pledged shares or receipt of donation or inheritance would be prohibited during the closed period. Similarly, </w:t>
      </w:r>
      <w:r w:rsidR="00EF4961">
        <w:t xml:space="preserve">certain active transactions such as </w:t>
      </w:r>
      <w:r>
        <w:t>pledging of shares</w:t>
      </w:r>
      <w:r w:rsidR="0016257E">
        <w:t xml:space="preserve"> and acceptance of a takeover bid</w:t>
      </w:r>
      <w:r>
        <w:t xml:space="preserve"> </w:t>
      </w:r>
      <w:r w:rsidR="007A4A99">
        <w:t>seem to be prohibited.</w:t>
      </w:r>
    </w:p>
    <w:p w14:paraId="558F0C16" w14:textId="77777777" w:rsidR="00AA27E5" w:rsidRDefault="00AA27E5" w:rsidP="00646C30"/>
    <w:p w14:paraId="3C3E0B30" w14:textId="67A66FD0" w:rsidR="00646C30" w:rsidRDefault="00CC4DAB" w:rsidP="00646C30">
      <w:r>
        <w:t xml:space="preserve">We fail to see the policy rationale for </w:t>
      </w:r>
      <w:r w:rsidR="007A4A99">
        <w:t xml:space="preserve">such strict </w:t>
      </w:r>
      <w:r w:rsidR="00EF4961">
        <w:t>restrictions</w:t>
      </w:r>
      <w:r>
        <w:t xml:space="preserve">. To our understanding the policy rationale presented in MAR recital (61) is valid. MAR Article 19(11) should therefore be amended to restrict only trading </w:t>
      </w:r>
      <w:r w:rsidR="0016257E">
        <w:t xml:space="preserve">on a trading venue </w:t>
      </w:r>
      <w:r>
        <w:t>during the closed period</w:t>
      </w:r>
      <w:r w:rsidR="00AA27E5">
        <w:t xml:space="preserve"> or MAR Article 19(12) should be extended to cover other types of transactions than trading</w:t>
      </w:r>
      <w:r>
        <w:t>.</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9F87E68" w:rsidR="00646C30" w:rsidRDefault="007A4A99" w:rsidP="00646C30">
      <w:permStart w:id="306464996" w:edGrp="everyone"/>
      <w:r>
        <w:t>In our view, the interpretation presented in ESMA’s MAR Q&amp;A 7.2 could be included in the Level 1 text.</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44337074" w14:textId="4D32966A" w:rsidR="007A4A99" w:rsidRDefault="007A4A99" w:rsidP="00646C30">
      <w:permStart w:id="680881453" w:edGrp="everyone"/>
      <w:r>
        <w:t xml:space="preserve">We strongly disagree with the proposal to extend the requirement </w:t>
      </w:r>
      <w:r w:rsidR="00A720A2">
        <w:t xml:space="preserve">of MAR Article 19(11) </w:t>
      </w:r>
      <w:r>
        <w:t xml:space="preserve">to persons closely </w:t>
      </w:r>
      <w:r w:rsidR="00A720A2">
        <w:t xml:space="preserve">associated with PDMRs. </w:t>
      </w:r>
      <w:r w:rsidR="0016257E">
        <w:t>First, t</w:t>
      </w:r>
      <w:r w:rsidR="00A720A2">
        <w:t xml:space="preserve">here are already </w:t>
      </w:r>
      <w:proofErr w:type="gramStart"/>
      <w:r w:rsidR="00A720A2">
        <w:t>sufficient</w:t>
      </w:r>
      <w:proofErr w:type="gramEnd"/>
      <w:r w:rsidR="00A720A2">
        <w:t xml:space="preserve"> safeguards in place to prevent abuse of inside information and to </w:t>
      </w:r>
      <w:r w:rsidR="0016257E">
        <w:t xml:space="preserve">protect </w:t>
      </w:r>
      <w:r w:rsidR="00A720A2">
        <w:t>market integrity</w:t>
      </w:r>
      <w:r w:rsidR="0016257E">
        <w:t xml:space="preserve">, i.e. </w:t>
      </w:r>
      <w:r w:rsidR="00A720A2">
        <w:t>prohibition of insider dealing</w:t>
      </w:r>
      <w:r w:rsidR="0016257E">
        <w:t xml:space="preserve"> and</w:t>
      </w:r>
      <w:r w:rsidR="00A720A2">
        <w:t xml:space="preserve"> </w:t>
      </w:r>
      <w:r w:rsidR="0016257E">
        <w:t xml:space="preserve">prohibition of </w:t>
      </w:r>
      <w:r w:rsidR="00A720A2">
        <w:t xml:space="preserve">unlawful </w:t>
      </w:r>
      <w:r w:rsidR="0016257E">
        <w:t xml:space="preserve">disclosure of inside information. Second, the definition of a closely associated person is too ambiguous </w:t>
      </w:r>
      <w:r w:rsidR="00AF6F98">
        <w:t xml:space="preserve">(especially point (d) of the definition) </w:t>
      </w:r>
      <w:r w:rsidR="0016257E">
        <w:t xml:space="preserve">and potentially too wide for such a strict restriction. </w:t>
      </w:r>
      <w:r w:rsidR="00B87ED1">
        <w:t>L</w:t>
      </w:r>
      <w:r w:rsidR="00AF6F98">
        <w:t>egal uncertainties relating to the ambiguous definition of closely associated person would raise the risk of inadvertent breaches of closed window.</w:t>
      </w:r>
      <w:r w:rsidR="00B87ED1">
        <w:t xml:space="preserve"> </w:t>
      </w:r>
      <w:r w:rsidR="00AF6F98">
        <w:t xml:space="preserve">To our understanding, the policy objective of MAR Article 19(11) is to protect market integrity in cases where PDMRs may have a better view on the results of the issuer but where the </w:t>
      </w:r>
      <w:r w:rsidR="00AF6F98">
        <w:lastRenderedPageBreak/>
        <w:t xml:space="preserve">information does not amount to inside information. It </w:t>
      </w:r>
      <w:r w:rsidR="0016257E">
        <w:t xml:space="preserve">would </w:t>
      </w:r>
      <w:r w:rsidR="00AF6F98">
        <w:t xml:space="preserve">therefore </w:t>
      </w:r>
      <w:r w:rsidR="0016257E">
        <w:t>be disproportionate to exten</w:t>
      </w:r>
      <w:r w:rsidR="00AF6F98">
        <w:t>d the requirement to closely associated persons.</w:t>
      </w:r>
    </w:p>
    <w:p w14:paraId="05D526F3" w14:textId="77777777" w:rsidR="007A4A99" w:rsidRDefault="007A4A99" w:rsidP="00646C30"/>
    <w:p w14:paraId="3C3E0B3A" w14:textId="7B5D50CB" w:rsidR="00646C30" w:rsidRDefault="007A4A99" w:rsidP="00646C30">
      <w:r>
        <w:t xml:space="preserve">We </w:t>
      </w:r>
      <w:r w:rsidR="00A720A2">
        <w:t xml:space="preserve">also have reservations </w:t>
      </w:r>
      <w:proofErr w:type="gramStart"/>
      <w:r w:rsidR="00A720A2">
        <w:t>with regard to</w:t>
      </w:r>
      <w:proofErr w:type="gramEnd"/>
      <w:r w:rsidR="00A720A2">
        <w:t xml:space="preserve"> extending the requirement of MAR Article 19(11) to issuers. As the prohibition of MAR Article 19(11) covers all types of transactions, imposing a closed period on issuers would unnecessarily restrict e.g. the possibility </w:t>
      </w:r>
      <w:r w:rsidR="00601D49" w:rsidRPr="008C4112">
        <w:t xml:space="preserve">to </w:t>
      </w:r>
      <w:r w:rsidR="00601D49">
        <w:t xml:space="preserve">issue new securities or </w:t>
      </w:r>
      <w:r w:rsidR="00A720A2">
        <w:t>to conclude M&amp;A transactions or takeover bids where issuer’s shares are used as consideration.</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0B724E66" w:rsidR="00646C30" w:rsidRDefault="00B87ED1" w:rsidP="00646C30">
      <w:permStart w:id="1771316849" w:edGrp="everyone"/>
      <w:r>
        <w:t xml:space="preserve">To our understanding, the policy objective of MAR Article 19(11) is to protect market integrity in cases where PDMRs may have a better view on the results of the issuer but where the information does not amount to inside information. Against this background and </w:t>
      </w:r>
      <w:proofErr w:type="gramStart"/>
      <w:r>
        <w:t>with regard to</w:t>
      </w:r>
      <w:proofErr w:type="gramEnd"/>
      <w:r>
        <w:t xml:space="preserve"> exemptions to closed window all financial instruments should in our view be treated equally.</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45CED06F" w14:textId="55251DA5" w:rsidR="00DE0F3E" w:rsidRDefault="00DE0F3E" w:rsidP="00DE0F3E">
      <w:permStart w:id="1172058443" w:edGrp="everyone"/>
      <w:r>
        <w:t>As stated in our response to Q53, there are inconsistencies in the terminology of MAR Article 19(11)-(12) and Level 2 Regulation. MAR Article 19(11) refers to transactions. ESMA’s MAR Q&amp;A 7.9 states that transactions should be interpreted in the light of MAR Article 19(1), i.e. in a wide sense covering all types of transactions. However, MAR recital (61) refers only to trading. Similarly, the exemptions of MAR Article 19(12) and Level 2 Regulation cover only trading.</w:t>
      </w:r>
    </w:p>
    <w:p w14:paraId="2A1F03D9" w14:textId="77777777" w:rsidR="00DE0F3E" w:rsidRDefault="00DE0F3E" w:rsidP="00DE0F3E"/>
    <w:p w14:paraId="02E3674A" w14:textId="77777777" w:rsidR="00DE0F3E" w:rsidRDefault="00DE0F3E" w:rsidP="00DE0F3E">
      <w:r>
        <w:t>If read strictly, this would lead to an interpretation where even passive transactions such as return of pledged shares or receipt of donation or inheritance would be prohibited during the closed period. Similarly, certain active transactions such as pledging of shares and acceptance of a takeover bid seem to be prohibited.</w:t>
      </w:r>
    </w:p>
    <w:p w14:paraId="68FE31FC" w14:textId="77777777" w:rsidR="00DE0F3E" w:rsidRDefault="00DE0F3E" w:rsidP="00DE0F3E"/>
    <w:p w14:paraId="3C3E0B44" w14:textId="70BDCA44" w:rsidR="00646C30" w:rsidRDefault="00DE0F3E" w:rsidP="00646C30">
      <w:r>
        <w:t>We fail to see the policy rationale for such strict restrictions. To our understanding the policy rationale presented in MAR recital (61) is valid. MAR Article 19(11) should therefore be amended to restrict only trading on a trading venue during the closed period or MAR Article 19(12) should be extended to cover other types of transactions than trading</w:t>
      </w:r>
      <w:r w:rsidR="00AA27E5">
        <w:t>.</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lastRenderedPageBreak/>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lastRenderedPageBreak/>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lastRenderedPageBreak/>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bookmarkStart w:id="3" w:name="_GoBack"/>
      <w:bookmarkEnd w:id="3"/>
    </w:p>
    <w:sectPr w:rsidR="009003B8"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3B20" w14:textId="77777777" w:rsidR="007E0D35" w:rsidRDefault="007E0D35">
      <w:r>
        <w:separator/>
      </w:r>
    </w:p>
    <w:p w14:paraId="09ECF2FA" w14:textId="77777777" w:rsidR="007E0D35" w:rsidRDefault="007E0D35"/>
  </w:endnote>
  <w:endnote w:type="continuationSeparator" w:id="0">
    <w:p w14:paraId="33EB942F" w14:textId="77777777" w:rsidR="007E0D35" w:rsidRDefault="007E0D35">
      <w:r>
        <w:continuationSeparator/>
      </w:r>
    </w:p>
    <w:p w14:paraId="6FA08F49" w14:textId="77777777" w:rsidR="007E0D35" w:rsidRDefault="007E0D35"/>
  </w:endnote>
  <w:endnote w:type="continuationNotice" w:id="1">
    <w:p w14:paraId="5E3277FE" w14:textId="77777777" w:rsidR="007E0D35" w:rsidRDefault="007E0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0277" w:rsidRPr="00616B9B" w14:paraId="3C3E0B9C" w14:textId="77777777" w:rsidTr="00315E96">
      <w:trPr>
        <w:trHeight w:val="284"/>
      </w:trPr>
      <w:tc>
        <w:tcPr>
          <w:tcW w:w="8460" w:type="dxa"/>
        </w:tcPr>
        <w:p w14:paraId="3C3E0B9A" w14:textId="77777777" w:rsidR="00B40277" w:rsidRPr="00315E96" w:rsidRDefault="00B40277" w:rsidP="00315E96">
          <w:pPr>
            <w:pStyle w:val="00Footer"/>
            <w:rPr>
              <w:lang w:val="fr-FR"/>
            </w:rPr>
          </w:pPr>
        </w:p>
      </w:tc>
      <w:tc>
        <w:tcPr>
          <w:tcW w:w="952" w:type="dxa"/>
        </w:tcPr>
        <w:p w14:paraId="3C3E0B9B" w14:textId="77777777" w:rsidR="00B40277" w:rsidRPr="00616B9B" w:rsidRDefault="00B4027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B40277" w:rsidRDefault="00B402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B40277" w:rsidRDefault="00B402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B600" w14:textId="77777777" w:rsidR="007E0D35" w:rsidRDefault="007E0D35">
      <w:r>
        <w:separator/>
      </w:r>
    </w:p>
    <w:p w14:paraId="03EC0388" w14:textId="77777777" w:rsidR="007E0D35" w:rsidRDefault="007E0D35"/>
  </w:footnote>
  <w:footnote w:type="continuationSeparator" w:id="0">
    <w:p w14:paraId="6F6566A0" w14:textId="77777777" w:rsidR="007E0D35" w:rsidRDefault="007E0D35">
      <w:r>
        <w:continuationSeparator/>
      </w:r>
    </w:p>
    <w:p w14:paraId="201EEA6F" w14:textId="77777777" w:rsidR="007E0D35" w:rsidRDefault="007E0D35"/>
  </w:footnote>
  <w:footnote w:type="continuationNotice" w:id="1">
    <w:p w14:paraId="72451073" w14:textId="77777777" w:rsidR="007E0D35" w:rsidRDefault="007E0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B40277" w:rsidRDefault="00B40277">
    <w:pPr>
      <w:pStyle w:val="Yltunniste"/>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B40277" w:rsidRDefault="00B40277" w:rsidP="00013CCE">
    <w:pPr>
      <w:pStyle w:val="Yltunniste"/>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B40277" w:rsidRDefault="00B402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40277" w:rsidRPr="002F4496" w14:paraId="3C3E0BA2" w14:textId="77777777" w:rsidTr="000C06C9">
      <w:trPr>
        <w:trHeight w:val="284"/>
      </w:trPr>
      <w:tc>
        <w:tcPr>
          <w:tcW w:w="8460" w:type="dxa"/>
        </w:tcPr>
        <w:p w14:paraId="3C3E0BA0" w14:textId="77777777" w:rsidR="00B40277" w:rsidRPr="000C3B6D" w:rsidRDefault="00B40277" w:rsidP="000C06C9">
          <w:pPr>
            <w:pStyle w:val="00Footer"/>
            <w:rPr>
              <w:lang w:val="fr-FR"/>
            </w:rPr>
          </w:pPr>
        </w:p>
      </w:tc>
      <w:tc>
        <w:tcPr>
          <w:tcW w:w="952" w:type="dxa"/>
        </w:tcPr>
        <w:p w14:paraId="3C3E0BA1" w14:textId="77777777" w:rsidR="00B40277" w:rsidRPr="00146B34" w:rsidRDefault="00B40277" w:rsidP="000C06C9">
          <w:pPr>
            <w:pStyle w:val="00aPagenumber"/>
            <w:rPr>
              <w:lang w:val="fr-FR"/>
            </w:rPr>
          </w:pPr>
        </w:p>
      </w:tc>
    </w:tr>
  </w:tbl>
  <w:p w14:paraId="3C3E0BA3" w14:textId="77777777" w:rsidR="00B40277" w:rsidRPr="00DB46C3" w:rsidRDefault="00B40277">
    <w:pPr>
      <w:rPr>
        <w:lang w:val="fr-FR"/>
      </w:rPr>
    </w:pPr>
  </w:p>
  <w:p w14:paraId="3C3E0BA4" w14:textId="77777777" w:rsidR="00B40277" w:rsidRPr="002F4496" w:rsidRDefault="00B40277">
    <w:pPr>
      <w:pStyle w:val="Yltunniste"/>
      <w:rPr>
        <w:lang w:val="fr-FR"/>
      </w:rPr>
    </w:pPr>
  </w:p>
  <w:p w14:paraId="3C3E0BA5" w14:textId="77777777" w:rsidR="00B40277" w:rsidRPr="002F4496" w:rsidRDefault="00B40277" w:rsidP="000C06C9">
    <w:pPr>
      <w:pStyle w:val="Yltunniste"/>
      <w:tabs>
        <w:tab w:val="clear" w:pos="4536"/>
        <w:tab w:val="clear" w:pos="9072"/>
        <w:tab w:val="left" w:pos="8227"/>
      </w:tabs>
      <w:rPr>
        <w:lang w:val="fr-FR"/>
      </w:rPr>
    </w:pPr>
  </w:p>
  <w:p w14:paraId="3C3E0BA6" w14:textId="77777777" w:rsidR="00B40277" w:rsidRPr="002F4496" w:rsidRDefault="00B40277" w:rsidP="00583885">
    <w:pPr>
      <w:pStyle w:val="Yltunniste"/>
      <w:jc w:val="right"/>
      <w:rPr>
        <w:lang w:val="fr-FR"/>
      </w:rPr>
    </w:pPr>
  </w:p>
  <w:p w14:paraId="3C3E0BA7" w14:textId="77777777" w:rsidR="00B40277" w:rsidRPr="002F4496" w:rsidRDefault="00B40277">
    <w:pPr>
      <w:pStyle w:val="Yltunniste"/>
      <w:rPr>
        <w:lang w:val="fr-FR"/>
      </w:rPr>
    </w:pPr>
  </w:p>
  <w:p w14:paraId="3C3E0BA8" w14:textId="77777777" w:rsidR="00B40277" w:rsidRPr="002F4496" w:rsidRDefault="00B40277">
    <w:pPr>
      <w:pStyle w:val="Yltunniste"/>
      <w:rPr>
        <w:lang w:val="fr-FR"/>
      </w:rPr>
    </w:pPr>
  </w:p>
  <w:p w14:paraId="3C3E0BA9" w14:textId="77777777" w:rsidR="00B40277" w:rsidRPr="002F4496" w:rsidRDefault="00B40277">
    <w:pPr>
      <w:pStyle w:val="Yltunniste"/>
      <w:rPr>
        <w:lang w:val="fr-FR"/>
      </w:rPr>
    </w:pPr>
  </w:p>
  <w:p w14:paraId="3C3E0BAA" w14:textId="77777777" w:rsidR="00B40277" w:rsidRPr="002F4496" w:rsidRDefault="00B40277">
    <w:pPr>
      <w:pStyle w:val="Yltunniste"/>
      <w:rPr>
        <w:highlight w:val="yellow"/>
        <w:lang w:val="fr-FR"/>
      </w:rPr>
    </w:pPr>
  </w:p>
  <w:p w14:paraId="3C3E0BAB" w14:textId="77777777" w:rsidR="00B40277" w:rsidRDefault="00B40277">
    <w:pPr>
      <w:pStyle w:val="Yltunniste"/>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96152"/>
    <w:multiLevelType w:val="hybridMultilevel"/>
    <w:tmpl w:val="AE5450A4"/>
    <w:lvl w:ilvl="0" w:tplc="4A3A04C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78606AF"/>
    <w:multiLevelType w:val="hybridMultilevel"/>
    <w:tmpl w:val="88CEB80C"/>
    <w:lvl w:ilvl="0" w:tplc="F656F5A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3107220"/>
    <w:multiLevelType w:val="hybridMultilevel"/>
    <w:tmpl w:val="58AC3D58"/>
    <w:lvl w:ilvl="0" w:tplc="8BB2C8D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6"/>
  </w:num>
  <w:num w:numId="22">
    <w:abstractNumId w:val="23"/>
  </w:num>
  <w:num w:numId="23">
    <w:abstractNumId w:val="9"/>
  </w:num>
  <w:num w:numId="24">
    <w:abstractNumId w:val="29"/>
  </w:num>
  <w:num w:numId="25">
    <w:abstractNumId w:val="28"/>
  </w:num>
  <w:num w:numId="26">
    <w:abstractNumId w:val="18"/>
  </w:num>
  <w:num w:numId="27">
    <w:abstractNumId w:val="32"/>
  </w:num>
  <w:num w:numId="28">
    <w:abstractNumId w:val="39"/>
  </w:num>
  <w:num w:numId="29">
    <w:abstractNumId w:val="7"/>
  </w:num>
  <w:num w:numId="30">
    <w:abstractNumId w:val="2"/>
  </w:num>
  <w:num w:numId="31">
    <w:abstractNumId w:val="20"/>
  </w:num>
  <w:num w:numId="32">
    <w:abstractNumId w:val="19"/>
  </w:num>
  <w:num w:numId="33">
    <w:abstractNumId w:val="34"/>
  </w:num>
  <w:num w:numId="34">
    <w:abstractNumId w:val="33"/>
  </w:num>
  <w:num w:numId="35">
    <w:abstractNumId w:val="5"/>
  </w:num>
  <w:num w:numId="36">
    <w:abstractNumId w:val="35"/>
  </w:num>
  <w:num w:numId="37">
    <w:abstractNumId w:val="26"/>
  </w:num>
  <w:num w:numId="38">
    <w:abstractNumId w:val="3"/>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E40"/>
    <w:rsid w:val="00013CCE"/>
    <w:rsid w:val="000140D5"/>
    <w:rsid w:val="0001410B"/>
    <w:rsid w:val="000141D6"/>
    <w:rsid w:val="00014A95"/>
    <w:rsid w:val="00015B5E"/>
    <w:rsid w:val="00015F1D"/>
    <w:rsid w:val="0001774B"/>
    <w:rsid w:val="00020575"/>
    <w:rsid w:val="00020D0F"/>
    <w:rsid w:val="000215EB"/>
    <w:rsid w:val="00021E83"/>
    <w:rsid w:val="00023713"/>
    <w:rsid w:val="00023C4D"/>
    <w:rsid w:val="00023FC1"/>
    <w:rsid w:val="000244C9"/>
    <w:rsid w:val="00025E71"/>
    <w:rsid w:val="00026226"/>
    <w:rsid w:val="00026269"/>
    <w:rsid w:val="00027154"/>
    <w:rsid w:val="000271F1"/>
    <w:rsid w:val="00027ECF"/>
    <w:rsid w:val="000303BE"/>
    <w:rsid w:val="00030838"/>
    <w:rsid w:val="000344D6"/>
    <w:rsid w:val="00034960"/>
    <w:rsid w:val="00034AC9"/>
    <w:rsid w:val="0003575D"/>
    <w:rsid w:val="000358F9"/>
    <w:rsid w:val="00036D92"/>
    <w:rsid w:val="00036FAE"/>
    <w:rsid w:val="00037940"/>
    <w:rsid w:val="00040686"/>
    <w:rsid w:val="00041858"/>
    <w:rsid w:val="0004389E"/>
    <w:rsid w:val="000447A6"/>
    <w:rsid w:val="00045CA6"/>
    <w:rsid w:val="00046354"/>
    <w:rsid w:val="000463A6"/>
    <w:rsid w:val="00046CC9"/>
    <w:rsid w:val="00046E91"/>
    <w:rsid w:val="00047504"/>
    <w:rsid w:val="000502FE"/>
    <w:rsid w:val="0005126D"/>
    <w:rsid w:val="00051992"/>
    <w:rsid w:val="00051E9A"/>
    <w:rsid w:val="000521A7"/>
    <w:rsid w:val="00052F47"/>
    <w:rsid w:val="000537BB"/>
    <w:rsid w:val="0005399B"/>
    <w:rsid w:val="00054DE6"/>
    <w:rsid w:val="000569D7"/>
    <w:rsid w:val="000576D7"/>
    <w:rsid w:val="00060456"/>
    <w:rsid w:val="00060F72"/>
    <w:rsid w:val="00062592"/>
    <w:rsid w:val="000636A1"/>
    <w:rsid w:val="000649D9"/>
    <w:rsid w:val="000652BE"/>
    <w:rsid w:val="00066479"/>
    <w:rsid w:val="00066AB3"/>
    <w:rsid w:val="0006723C"/>
    <w:rsid w:val="00067285"/>
    <w:rsid w:val="00070376"/>
    <w:rsid w:val="00070630"/>
    <w:rsid w:val="00070974"/>
    <w:rsid w:val="00071EAD"/>
    <w:rsid w:val="00071F4E"/>
    <w:rsid w:val="00072271"/>
    <w:rsid w:val="00072B54"/>
    <w:rsid w:val="00072D5A"/>
    <w:rsid w:val="0007463D"/>
    <w:rsid w:val="00074979"/>
    <w:rsid w:val="000749F0"/>
    <w:rsid w:val="0007609D"/>
    <w:rsid w:val="00077C67"/>
    <w:rsid w:val="00080976"/>
    <w:rsid w:val="00080E3D"/>
    <w:rsid w:val="00081CEB"/>
    <w:rsid w:val="00081E60"/>
    <w:rsid w:val="000824FA"/>
    <w:rsid w:val="00082D8E"/>
    <w:rsid w:val="00082E31"/>
    <w:rsid w:val="00083482"/>
    <w:rsid w:val="00083AA3"/>
    <w:rsid w:val="00085947"/>
    <w:rsid w:val="000868FE"/>
    <w:rsid w:val="000878D1"/>
    <w:rsid w:val="000921AE"/>
    <w:rsid w:val="000921D7"/>
    <w:rsid w:val="000925FF"/>
    <w:rsid w:val="000932E0"/>
    <w:rsid w:val="00094853"/>
    <w:rsid w:val="00094C4C"/>
    <w:rsid w:val="00096762"/>
    <w:rsid w:val="000969C8"/>
    <w:rsid w:val="0009752D"/>
    <w:rsid w:val="00097AEB"/>
    <w:rsid w:val="00097AEE"/>
    <w:rsid w:val="000A014A"/>
    <w:rsid w:val="000A0396"/>
    <w:rsid w:val="000A04B6"/>
    <w:rsid w:val="000A0E36"/>
    <w:rsid w:val="000A1BD2"/>
    <w:rsid w:val="000A1D3F"/>
    <w:rsid w:val="000A2127"/>
    <w:rsid w:val="000A2681"/>
    <w:rsid w:val="000A358F"/>
    <w:rsid w:val="000A43CC"/>
    <w:rsid w:val="000A49E8"/>
    <w:rsid w:val="000A70D3"/>
    <w:rsid w:val="000A7314"/>
    <w:rsid w:val="000A7B53"/>
    <w:rsid w:val="000A7B64"/>
    <w:rsid w:val="000B275C"/>
    <w:rsid w:val="000B2C3D"/>
    <w:rsid w:val="000B46C0"/>
    <w:rsid w:val="000B55C0"/>
    <w:rsid w:val="000B5DF2"/>
    <w:rsid w:val="000B7749"/>
    <w:rsid w:val="000C06C9"/>
    <w:rsid w:val="000C1DCC"/>
    <w:rsid w:val="000C1FBC"/>
    <w:rsid w:val="000C2B6A"/>
    <w:rsid w:val="000C2F88"/>
    <w:rsid w:val="000C429E"/>
    <w:rsid w:val="000C55C8"/>
    <w:rsid w:val="000C57C4"/>
    <w:rsid w:val="000C5FD3"/>
    <w:rsid w:val="000C701D"/>
    <w:rsid w:val="000C7C4A"/>
    <w:rsid w:val="000D17AA"/>
    <w:rsid w:val="000D2987"/>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3777"/>
    <w:rsid w:val="000F55B7"/>
    <w:rsid w:val="000F604F"/>
    <w:rsid w:val="000F7399"/>
    <w:rsid w:val="00100694"/>
    <w:rsid w:val="00101BF1"/>
    <w:rsid w:val="001027F1"/>
    <w:rsid w:val="00104F2E"/>
    <w:rsid w:val="00105C39"/>
    <w:rsid w:val="001072DD"/>
    <w:rsid w:val="00110D7A"/>
    <w:rsid w:val="00111464"/>
    <w:rsid w:val="0011167D"/>
    <w:rsid w:val="00112892"/>
    <w:rsid w:val="00112E48"/>
    <w:rsid w:val="001130EA"/>
    <w:rsid w:val="00114259"/>
    <w:rsid w:val="0011460D"/>
    <w:rsid w:val="001168B2"/>
    <w:rsid w:val="00117C20"/>
    <w:rsid w:val="001207B6"/>
    <w:rsid w:val="00120F0E"/>
    <w:rsid w:val="00121A5D"/>
    <w:rsid w:val="00121BED"/>
    <w:rsid w:val="00122A39"/>
    <w:rsid w:val="00123460"/>
    <w:rsid w:val="00123D39"/>
    <w:rsid w:val="00123EBC"/>
    <w:rsid w:val="001244CD"/>
    <w:rsid w:val="0012566F"/>
    <w:rsid w:val="001260CD"/>
    <w:rsid w:val="001262B1"/>
    <w:rsid w:val="00130F41"/>
    <w:rsid w:val="00130FAF"/>
    <w:rsid w:val="001316F3"/>
    <w:rsid w:val="00131AF8"/>
    <w:rsid w:val="00133433"/>
    <w:rsid w:val="00133D0E"/>
    <w:rsid w:val="00135F2B"/>
    <w:rsid w:val="0013653D"/>
    <w:rsid w:val="00136EC5"/>
    <w:rsid w:val="00136EFB"/>
    <w:rsid w:val="001372DD"/>
    <w:rsid w:val="001405BA"/>
    <w:rsid w:val="00141497"/>
    <w:rsid w:val="00141966"/>
    <w:rsid w:val="0014253A"/>
    <w:rsid w:val="001425C8"/>
    <w:rsid w:val="001431AE"/>
    <w:rsid w:val="00143B87"/>
    <w:rsid w:val="001459E3"/>
    <w:rsid w:val="00146A0B"/>
    <w:rsid w:val="0014761E"/>
    <w:rsid w:val="00151907"/>
    <w:rsid w:val="00151FCF"/>
    <w:rsid w:val="001530B3"/>
    <w:rsid w:val="001544C8"/>
    <w:rsid w:val="00155FAB"/>
    <w:rsid w:val="001567A1"/>
    <w:rsid w:val="00156857"/>
    <w:rsid w:val="00157E79"/>
    <w:rsid w:val="00157EED"/>
    <w:rsid w:val="0016087A"/>
    <w:rsid w:val="0016099C"/>
    <w:rsid w:val="00160A5C"/>
    <w:rsid w:val="001613EC"/>
    <w:rsid w:val="0016257E"/>
    <w:rsid w:val="0016358A"/>
    <w:rsid w:val="001638D4"/>
    <w:rsid w:val="00163C87"/>
    <w:rsid w:val="00164664"/>
    <w:rsid w:val="00164F15"/>
    <w:rsid w:val="001651A4"/>
    <w:rsid w:val="0016552B"/>
    <w:rsid w:val="00166B04"/>
    <w:rsid w:val="001670A6"/>
    <w:rsid w:val="001678A4"/>
    <w:rsid w:val="00167A9B"/>
    <w:rsid w:val="001701FA"/>
    <w:rsid w:val="00171183"/>
    <w:rsid w:val="001725A5"/>
    <w:rsid w:val="00172681"/>
    <w:rsid w:val="00173AC7"/>
    <w:rsid w:val="001745D7"/>
    <w:rsid w:val="00174CC6"/>
    <w:rsid w:val="00175754"/>
    <w:rsid w:val="00176982"/>
    <w:rsid w:val="0017701C"/>
    <w:rsid w:val="00180E71"/>
    <w:rsid w:val="00181264"/>
    <w:rsid w:val="00181BD1"/>
    <w:rsid w:val="0018204A"/>
    <w:rsid w:val="00182F7C"/>
    <w:rsid w:val="001843B5"/>
    <w:rsid w:val="001858E3"/>
    <w:rsid w:val="00186829"/>
    <w:rsid w:val="001868CA"/>
    <w:rsid w:val="00187304"/>
    <w:rsid w:val="001875BE"/>
    <w:rsid w:val="0019017A"/>
    <w:rsid w:val="00190B8C"/>
    <w:rsid w:val="00190FF8"/>
    <w:rsid w:val="0019311A"/>
    <w:rsid w:val="0019508A"/>
    <w:rsid w:val="001960D8"/>
    <w:rsid w:val="00196FCB"/>
    <w:rsid w:val="001A1642"/>
    <w:rsid w:val="001A352D"/>
    <w:rsid w:val="001A371B"/>
    <w:rsid w:val="001A4766"/>
    <w:rsid w:val="001A495E"/>
    <w:rsid w:val="001A6A0D"/>
    <w:rsid w:val="001A6C51"/>
    <w:rsid w:val="001A6FAA"/>
    <w:rsid w:val="001A78D3"/>
    <w:rsid w:val="001A7D73"/>
    <w:rsid w:val="001B0363"/>
    <w:rsid w:val="001B1355"/>
    <w:rsid w:val="001B2C57"/>
    <w:rsid w:val="001B2FC9"/>
    <w:rsid w:val="001B3138"/>
    <w:rsid w:val="001B4423"/>
    <w:rsid w:val="001B4E4B"/>
    <w:rsid w:val="001B50AC"/>
    <w:rsid w:val="001B5E05"/>
    <w:rsid w:val="001B6D68"/>
    <w:rsid w:val="001B6F2E"/>
    <w:rsid w:val="001B7FF6"/>
    <w:rsid w:val="001C0344"/>
    <w:rsid w:val="001C0F2A"/>
    <w:rsid w:val="001C1A59"/>
    <w:rsid w:val="001C270F"/>
    <w:rsid w:val="001C29FC"/>
    <w:rsid w:val="001C4679"/>
    <w:rsid w:val="001C5770"/>
    <w:rsid w:val="001C5C13"/>
    <w:rsid w:val="001C6195"/>
    <w:rsid w:val="001D000A"/>
    <w:rsid w:val="001D0883"/>
    <w:rsid w:val="001D1F6D"/>
    <w:rsid w:val="001D2205"/>
    <w:rsid w:val="001D3A1F"/>
    <w:rsid w:val="001D3F20"/>
    <w:rsid w:val="001D3FB6"/>
    <w:rsid w:val="001D4550"/>
    <w:rsid w:val="001D53A1"/>
    <w:rsid w:val="001D5498"/>
    <w:rsid w:val="001D5BAF"/>
    <w:rsid w:val="001D6401"/>
    <w:rsid w:val="001D66C9"/>
    <w:rsid w:val="001D722A"/>
    <w:rsid w:val="001E04FC"/>
    <w:rsid w:val="001E3C93"/>
    <w:rsid w:val="001E407D"/>
    <w:rsid w:val="001E40FB"/>
    <w:rsid w:val="001E5912"/>
    <w:rsid w:val="001E66EC"/>
    <w:rsid w:val="001E68C5"/>
    <w:rsid w:val="001F03F5"/>
    <w:rsid w:val="001F0F63"/>
    <w:rsid w:val="001F1B91"/>
    <w:rsid w:val="001F3996"/>
    <w:rsid w:val="001F44A4"/>
    <w:rsid w:val="001F4F34"/>
    <w:rsid w:val="001F579D"/>
    <w:rsid w:val="001F65EF"/>
    <w:rsid w:val="001F697B"/>
    <w:rsid w:val="002005A6"/>
    <w:rsid w:val="002008AA"/>
    <w:rsid w:val="00204CBC"/>
    <w:rsid w:val="002051F1"/>
    <w:rsid w:val="002067BA"/>
    <w:rsid w:val="00207C28"/>
    <w:rsid w:val="0021058D"/>
    <w:rsid w:val="00211E2F"/>
    <w:rsid w:val="00211E9E"/>
    <w:rsid w:val="00214C4F"/>
    <w:rsid w:val="00214FB4"/>
    <w:rsid w:val="00215940"/>
    <w:rsid w:val="00216D6F"/>
    <w:rsid w:val="0021721C"/>
    <w:rsid w:val="00217C23"/>
    <w:rsid w:val="00220561"/>
    <w:rsid w:val="00220CE4"/>
    <w:rsid w:val="00222D9B"/>
    <w:rsid w:val="00223788"/>
    <w:rsid w:val="00223D11"/>
    <w:rsid w:val="002242D3"/>
    <w:rsid w:val="0022630C"/>
    <w:rsid w:val="00227C1A"/>
    <w:rsid w:val="002301E6"/>
    <w:rsid w:val="00232F90"/>
    <w:rsid w:val="00233B08"/>
    <w:rsid w:val="00233C3B"/>
    <w:rsid w:val="0023499C"/>
    <w:rsid w:val="00235CE3"/>
    <w:rsid w:val="0023636A"/>
    <w:rsid w:val="00236F34"/>
    <w:rsid w:val="002372F7"/>
    <w:rsid w:val="00240651"/>
    <w:rsid w:val="00240803"/>
    <w:rsid w:val="00241076"/>
    <w:rsid w:val="0024426D"/>
    <w:rsid w:val="00244F1D"/>
    <w:rsid w:val="00245004"/>
    <w:rsid w:val="00245204"/>
    <w:rsid w:val="00245D6E"/>
    <w:rsid w:val="00245FB4"/>
    <w:rsid w:val="002462B2"/>
    <w:rsid w:val="0024681A"/>
    <w:rsid w:val="00250827"/>
    <w:rsid w:val="00250898"/>
    <w:rsid w:val="00250F46"/>
    <w:rsid w:val="002519A2"/>
    <w:rsid w:val="00251EA9"/>
    <w:rsid w:val="00252843"/>
    <w:rsid w:val="002543F8"/>
    <w:rsid w:val="002551A4"/>
    <w:rsid w:val="00255909"/>
    <w:rsid w:val="002559F3"/>
    <w:rsid w:val="00256DFE"/>
    <w:rsid w:val="00261D56"/>
    <w:rsid w:val="00261FD3"/>
    <w:rsid w:val="00263505"/>
    <w:rsid w:val="00264077"/>
    <w:rsid w:val="002655F9"/>
    <w:rsid w:val="00266B9A"/>
    <w:rsid w:val="00270E54"/>
    <w:rsid w:val="00271467"/>
    <w:rsid w:val="00273633"/>
    <w:rsid w:val="00273681"/>
    <w:rsid w:val="002739EB"/>
    <w:rsid w:val="002754B5"/>
    <w:rsid w:val="00275F3C"/>
    <w:rsid w:val="002764C5"/>
    <w:rsid w:val="002765BE"/>
    <w:rsid w:val="00276A5A"/>
    <w:rsid w:val="002772AE"/>
    <w:rsid w:val="00280613"/>
    <w:rsid w:val="002819C4"/>
    <w:rsid w:val="00281EDC"/>
    <w:rsid w:val="0028274D"/>
    <w:rsid w:val="00282B96"/>
    <w:rsid w:val="002833D6"/>
    <w:rsid w:val="00283F51"/>
    <w:rsid w:val="00286064"/>
    <w:rsid w:val="002867B1"/>
    <w:rsid w:val="002868FC"/>
    <w:rsid w:val="00287BBB"/>
    <w:rsid w:val="00287E3B"/>
    <w:rsid w:val="0029030A"/>
    <w:rsid w:val="00290638"/>
    <w:rsid w:val="00291763"/>
    <w:rsid w:val="00291D80"/>
    <w:rsid w:val="00293156"/>
    <w:rsid w:val="00293BE7"/>
    <w:rsid w:val="00293D78"/>
    <w:rsid w:val="002946DC"/>
    <w:rsid w:val="0029641A"/>
    <w:rsid w:val="00297462"/>
    <w:rsid w:val="00297BB9"/>
    <w:rsid w:val="002A0C82"/>
    <w:rsid w:val="002A0CD8"/>
    <w:rsid w:val="002A13EB"/>
    <w:rsid w:val="002A35EF"/>
    <w:rsid w:val="002A3DE0"/>
    <w:rsid w:val="002A40D8"/>
    <w:rsid w:val="002A40EA"/>
    <w:rsid w:val="002A46E8"/>
    <w:rsid w:val="002A491C"/>
    <w:rsid w:val="002A4C8E"/>
    <w:rsid w:val="002A6333"/>
    <w:rsid w:val="002A766F"/>
    <w:rsid w:val="002B1FEF"/>
    <w:rsid w:val="002B2DF8"/>
    <w:rsid w:val="002B354F"/>
    <w:rsid w:val="002B3614"/>
    <w:rsid w:val="002B4120"/>
    <w:rsid w:val="002B45D1"/>
    <w:rsid w:val="002B4ED8"/>
    <w:rsid w:val="002B4FAA"/>
    <w:rsid w:val="002B52C2"/>
    <w:rsid w:val="002B7656"/>
    <w:rsid w:val="002B7F7A"/>
    <w:rsid w:val="002C041E"/>
    <w:rsid w:val="002C0642"/>
    <w:rsid w:val="002C1492"/>
    <w:rsid w:val="002C1E8B"/>
    <w:rsid w:val="002C2EFE"/>
    <w:rsid w:val="002C53AA"/>
    <w:rsid w:val="002C5B2D"/>
    <w:rsid w:val="002C6AF9"/>
    <w:rsid w:val="002C797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46EC"/>
    <w:rsid w:val="002E5DDD"/>
    <w:rsid w:val="002E76FC"/>
    <w:rsid w:val="002E7F4B"/>
    <w:rsid w:val="002F0BB9"/>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118"/>
    <w:rsid w:val="00315389"/>
    <w:rsid w:val="00315746"/>
    <w:rsid w:val="00315E96"/>
    <w:rsid w:val="003176F8"/>
    <w:rsid w:val="003178EC"/>
    <w:rsid w:val="00317FC8"/>
    <w:rsid w:val="003223D7"/>
    <w:rsid w:val="00323D9F"/>
    <w:rsid w:val="00324FDB"/>
    <w:rsid w:val="00325F48"/>
    <w:rsid w:val="0033094E"/>
    <w:rsid w:val="0033194F"/>
    <w:rsid w:val="00332304"/>
    <w:rsid w:val="00332406"/>
    <w:rsid w:val="00332D8D"/>
    <w:rsid w:val="00336B56"/>
    <w:rsid w:val="00341B25"/>
    <w:rsid w:val="00341EC0"/>
    <w:rsid w:val="0034240C"/>
    <w:rsid w:val="00344496"/>
    <w:rsid w:val="00345968"/>
    <w:rsid w:val="003462CD"/>
    <w:rsid w:val="003468A0"/>
    <w:rsid w:val="00347667"/>
    <w:rsid w:val="003507E2"/>
    <w:rsid w:val="003516D4"/>
    <w:rsid w:val="003522B2"/>
    <w:rsid w:val="0035455E"/>
    <w:rsid w:val="00354A6F"/>
    <w:rsid w:val="00354B48"/>
    <w:rsid w:val="00355789"/>
    <w:rsid w:val="00355FDC"/>
    <w:rsid w:val="003609B6"/>
    <w:rsid w:val="00361119"/>
    <w:rsid w:val="00362233"/>
    <w:rsid w:val="00362C1B"/>
    <w:rsid w:val="0036538D"/>
    <w:rsid w:val="00365D12"/>
    <w:rsid w:val="00366E20"/>
    <w:rsid w:val="0037018D"/>
    <w:rsid w:val="00372299"/>
    <w:rsid w:val="00372F02"/>
    <w:rsid w:val="00373729"/>
    <w:rsid w:val="00373C91"/>
    <w:rsid w:val="003748F0"/>
    <w:rsid w:val="003755C6"/>
    <w:rsid w:val="00375AEF"/>
    <w:rsid w:val="00376367"/>
    <w:rsid w:val="00376ACD"/>
    <w:rsid w:val="00376B02"/>
    <w:rsid w:val="0037733A"/>
    <w:rsid w:val="003776DC"/>
    <w:rsid w:val="003779C1"/>
    <w:rsid w:val="00380FEC"/>
    <w:rsid w:val="00381226"/>
    <w:rsid w:val="0038123F"/>
    <w:rsid w:val="00381B1B"/>
    <w:rsid w:val="00381FF6"/>
    <w:rsid w:val="00383D7D"/>
    <w:rsid w:val="00384CCE"/>
    <w:rsid w:val="003865E5"/>
    <w:rsid w:val="00391D7C"/>
    <w:rsid w:val="003920D4"/>
    <w:rsid w:val="003926C1"/>
    <w:rsid w:val="00392900"/>
    <w:rsid w:val="00393357"/>
    <w:rsid w:val="0039353F"/>
    <w:rsid w:val="00395E7B"/>
    <w:rsid w:val="00395F4C"/>
    <w:rsid w:val="00396BA8"/>
    <w:rsid w:val="003A403C"/>
    <w:rsid w:val="003A51C5"/>
    <w:rsid w:val="003A5DAC"/>
    <w:rsid w:val="003A6591"/>
    <w:rsid w:val="003A6E9A"/>
    <w:rsid w:val="003B08C8"/>
    <w:rsid w:val="003B2567"/>
    <w:rsid w:val="003B381A"/>
    <w:rsid w:val="003B4976"/>
    <w:rsid w:val="003B4B3F"/>
    <w:rsid w:val="003B4BC0"/>
    <w:rsid w:val="003B6258"/>
    <w:rsid w:val="003B7A99"/>
    <w:rsid w:val="003C0343"/>
    <w:rsid w:val="003C0869"/>
    <w:rsid w:val="003C1474"/>
    <w:rsid w:val="003C1C32"/>
    <w:rsid w:val="003C40DA"/>
    <w:rsid w:val="003C42BA"/>
    <w:rsid w:val="003C462F"/>
    <w:rsid w:val="003C4A02"/>
    <w:rsid w:val="003C4F05"/>
    <w:rsid w:val="003C6191"/>
    <w:rsid w:val="003C6AE9"/>
    <w:rsid w:val="003C6E49"/>
    <w:rsid w:val="003D05C1"/>
    <w:rsid w:val="003D0CBF"/>
    <w:rsid w:val="003D0DD6"/>
    <w:rsid w:val="003D4B73"/>
    <w:rsid w:val="003D503B"/>
    <w:rsid w:val="003D5056"/>
    <w:rsid w:val="003D55F8"/>
    <w:rsid w:val="003D5624"/>
    <w:rsid w:val="003D605E"/>
    <w:rsid w:val="003D61D1"/>
    <w:rsid w:val="003D6780"/>
    <w:rsid w:val="003D6FCB"/>
    <w:rsid w:val="003D7ACC"/>
    <w:rsid w:val="003D7CE4"/>
    <w:rsid w:val="003E0F84"/>
    <w:rsid w:val="003E1FF3"/>
    <w:rsid w:val="003E3212"/>
    <w:rsid w:val="003E3ACA"/>
    <w:rsid w:val="003E50EA"/>
    <w:rsid w:val="003E68C7"/>
    <w:rsid w:val="003E79B0"/>
    <w:rsid w:val="003F0403"/>
    <w:rsid w:val="003F1094"/>
    <w:rsid w:val="003F2E45"/>
    <w:rsid w:val="003F3EFE"/>
    <w:rsid w:val="003F40B8"/>
    <w:rsid w:val="003F51B8"/>
    <w:rsid w:val="003F5C06"/>
    <w:rsid w:val="00400195"/>
    <w:rsid w:val="0040197D"/>
    <w:rsid w:val="0040254B"/>
    <w:rsid w:val="00403086"/>
    <w:rsid w:val="00403460"/>
    <w:rsid w:val="004040FF"/>
    <w:rsid w:val="00404284"/>
    <w:rsid w:val="004042C4"/>
    <w:rsid w:val="00405EF6"/>
    <w:rsid w:val="00406E90"/>
    <w:rsid w:val="00410240"/>
    <w:rsid w:val="00412253"/>
    <w:rsid w:val="004142ED"/>
    <w:rsid w:val="0041634D"/>
    <w:rsid w:val="00416ABC"/>
    <w:rsid w:val="00417EF7"/>
    <w:rsid w:val="0042035B"/>
    <w:rsid w:val="0042040F"/>
    <w:rsid w:val="0042092E"/>
    <w:rsid w:val="00422214"/>
    <w:rsid w:val="00422A7D"/>
    <w:rsid w:val="00422BFC"/>
    <w:rsid w:val="00424642"/>
    <w:rsid w:val="00425ABB"/>
    <w:rsid w:val="00425BB6"/>
    <w:rsid w:val="004261A0"/>
    <w:rsid w:val="004265AA"/>
    <w:rsid w:val="004267CC"/>
    <w:rsid w:val="00426BC3"/>
    <w:rsid w:val="00426CE1"/>
    <w:rsid w:val="0042739E"/>
    <w:rsid w:val="00427D52"/>
    <w:rsid w:val="00430412"/>
    <w:rsid w:val="00430497"/>
    <w:rsid w:val="004307B8"/>
    <w:rsid w:val="0043173B"/>
    <w:rsid w:val="00431B0A"/>
    <w:rsid w:val="00431DA4"/>
    <w:rsid w:val="00432A91"/>
    <w:rsid w:val="00433290"/>
    <w:rsid w:val="004332A4"/>
    <w:rsid w:val="0043453F"/>
    <w:rsid w:val="00434A74"/>
    <w:rsid w:val="00435DE3"/>
    <w:rsid w:val="0043639F"/>
    <w:rsid w:val="00437929"/>
    <w:rsid w:val="00437A4A"/>
    <w:rsid w:val="00440541"/>
    <w:rsid w:val="0044162D"/>
    <w:rsid w:val="0044277A"/>
    <w:rsid w:val="004434EF"/>
    <w:rsid w:val="004434F5"/>
    <w:rsid w:val="004438F8"/>
    <w:rsid w:val="00443D34"/>
    <w:rsid w:val="0044502B"/>
    <w:rsid w:val="004456DC"/>
    <w:rsid w:val="00445EF6"/>
    <w:rsid w:val="00446E64"/>
    <w:rsid w:val="00447A97"/>
    <w:rsid w:val="00447FBE"/>
    <w:rsid w:val="0045035E"/>
    <w:rsid w:val="0045175A"/>
    <w:rsid w:val="00451ED9"/>
    <w:rsid w:val="00452180"/>
    <w:rsid w:val="00453072"/>
    <w:rsid w:val="004539F8"/>
    <w:rsid w:val="00453F26"/>
    <w:rsid w:val="0045503F"/>
    <w:rsid w:val="00455273"/>
    <w:rsid w:val="00460905"/>
    <w:rsid w:val="00461E35"/>
    <w:rsid w:val="004621DB"/>
    <w:rsid w:val="004623E8"/>
    <w:rsid w:val="004634A7"/>
    <w:rsid w:val="00463787"/>
    <w:rsid w:val="00464BF7"/>
    <w:rsid w:val="00466926"/>
    <w:rsid w:val="00466FDA"/>
    <w:rsid w:val="004671D0"/>
    <w:rsid w:val="004674D1"/>
    <w:rsid w:val="00470773"/>
    <w:rsid w:val="00471FF9"/>
    <w:rsid w:val="00473E74"/>
    <w:rsid w:val="00473FEF"/>
    <w:rsid w:val="00474254"/>
    <w:rsid w:val="004746ED"/>
    <w:rsid w:val="00475B8E"/>
    <w:rsid w:val="00475EE2"/>
    <w:rsid w:val="00477644"/>
    <w:rsid w:val="0048104E"/>
    <w:rsid w:val="004814BB"/>
    <w:rsid w:val="004815DA"/>
    <w:rsid w:val="00481C6F"/>
    <w:rsid w:val="00482458"/>
    <w:rsid w:val="004837ED"/>
    <w:rsid w:val="00483942"/>
    <w:rsid w:val="0048394F"/>
    <w:rsid w:val="004843CE"/>
    <w:rsid w:val="00485142"/>
    <w:rsid w:val="004852A7"/>
    <w:rsid w:val="004854D3"/>
    <w:rsid w:val="00485DCB"/>
    <w:rsid w:val="00486C17"/>
    <w:rsid w:val="00486C2C"/>
    <w:rsid w:val="00486DE2"/>
    <w:rsid w:val="00487117"/>
    <w:rsid w:val="00487A32"/>
    <w:rsid w:val="00487A91"/>
    <w:rsid w:val="004900D6"/>
    <w:rsid w:val="004901E5"/>
    <w:rsid w:val="0049027D"/>
    <w:rsid w:val="004903D4"/>
    <w:rsid w:val="0049052B"/>
    <w:rsid w:val="00492457"/>
    <w:rsid w:val="004924A8"/>
    <w:rsid w:val="004934E9"/>
    <w:rsid w:val="004938BE"/>
    <w:rsid w:val="00494737"/>
    <w:rsid w:val="00494D5C"/>
    <w:rsid w:val="00495A6A"/>
    <w:rsid w:val="004964F6"/>
    <w:rsid w:val="00496821"/>
    <w:rsid w:val="00496991"/>
    <w:rsid w:val="004969FD"/>
    <w:rsid w:val="00496BDF"/>
    <w:rsid w:val="00497750"/>
    <w:rsid w:val="00497B44"/>
    <w:rsid w:val="004A00E5"/>
    <w:rsid w:val="004A01A7"/>
    <w:rsid w:val="004A0D09"/>
    <w:rsid w:val="004A116E"/>
    <w:rsid w:val="004A357F"/>
    <w:rsid w:val="004A3DAD"/>
    <w:rsid w:val="004A47BA"/>
    <w:rsid w:val="004A60FE"/>
    <w:rsid w:val="004B0335"/>
    <w:rsid w:val="004B0F1C"/>
    <w:rsid w:val="004B1E61"/>
    <w:rsid w:val="004B21AB"/>
    <w:rsid w:val="004B59E0"/>
    <w:rsid w:val="004B667B"/>
    <w:rsid w:val="004B71C7"/>
    <w:rsid w:val="004B79D0"/>
    <w:rsid w:val="004B7C35"/>
    <w:rsid w:val="004C03AA"/>
    <w:rsid w:val="004C0B9A"/>
    <w:rsid w:val="004C14E7"/>
    <w:rsid w:val="004C1D89"/>
    <w:rsid w:val="004C2A94"/>
    <w:rsid w:val="004C2CD0"/>
    <w:rsid w:val="004C3DAB"/>
    <w:rsid w:val="004C4223"/>
    <w:rsid w:val="004C5766"/>
    <w:rsid w:val="004C5F54"/>
    <w:rsid w:val="004C6E76"/>
    <w:rsid w:val="004C77DD"/>
    <w:rsid w:val="004C7826"/>
    <w:rsid w:val="004C7B33"/>
    <w:rsid w:val="004D0C88"/>
    <w:rsid w:val="004D1410"/>
    <w:rsid w:val="004D1478"/>
    <w:rsid w:val="004D19EE"/>
    <w:rsid w:val="004D1CF2"/>
    <w:rsid w:val="004D2D3A"/>
    <w:rsid w:val="004D374D"/>
    <w:rsid w:val="004D3DEC"/>
    <w:rsid w:val="004D42C8"/>
    <w:rsid w:val="004D4F57"/>
    <w:rsid w:val="004D50F6"/>
    <w:rsid w:val="004D5A0D"/>
    <w:rsid w:val="004D7910"/>
    <w:rsid w:val="004D7C55"/>
    <w:rsid w:val="004D7DEA"/>
    <w:rsid w:val="004E0A28"/>
    <w:rsid w:val="004E1A0F"/>
    <w:rsid w:val="004E2257"/>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2DA7"/>
    <w:rsid w:val="00503A3E"/>
    <w:rsid w:val="00503F59"/>
    <w:rsid w:val="00503FAF"/>
    <w:rsid w:val="005049A7"/>
    <w:rsid w:val="005053B2"/>
    <w:rsid w:val="005059D4"/>
    <w:rsid w:val="00506331"/>
    <w:rsid w:val="00507D11"/>
    <w:rsid w:val="00510662"/>
    <w:rsid w:val="005109B7"/>
    <w:rsid w:val="00510A19"/>
    <w:rsid w:val="00511AAB"/>
    <w:rsid w:val="00514D10"/>
    <w:rsid w:val="005153D5"/>
    <w:rsid w:val="00516783"/>
    <w:rsid w:val="005171FB"/>
    <w:rsid w:val="00517EF8"/>
    <w:rsid w:val="00520083"/>
    <w:rsid w:val="0052029E"/>
    <w:rsid w:val="0052076A"/>
    <w:rsid w:val="00520A2C"/>
    <w:rsid w:val="00520E25"/>
    <w:rsid w:val="0052153E"/>
    <w:rsid w:val="0052183D"/>
    <w:rsid w:val="00522B01"/>
    <w:rsid w:val="00522F44"/>
    <w:rsid w:val="0052360A"/>
    <w:rsid w:val="005242BA"/>
    <w:rsid w:val="005243B8"/>
    <w:rsid w:val="00525108"/>
    <w:rsid w:val="005252DD"/>
    <w:rsid w:val="005274B9"/>
    <w:rsid w:val="005306A5"/>
    <w:rsid w:val="00530A8D"/>
    <w:rsid w:val="0053197D"/>
    <w:rsid w:val="00531C6D"/>
    <w:rsid w:val="00532EF4"/>
    <w:rsid w:val="0053466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FC7"/>
    <w:rsid w:val="00550F4E"/>
    <w:rsid w:val="00551E98"/>
    <w:rsid w:val="00552E32"/>
    <w:rsid w:val="005532B5"/>
    <w:rsid w:val="00554A05"/>
    <w:rsid w:val="00555849"/>
    <w:rsid w:val="005559A8"/>
    <w:rsid w:val="005560C6"/>
    <w:rsid w:val="00557048"/>
    <w:rsid w:val="00557FB5"/>
    <w:rsid w:val="00561AED"/>
    <w:rsid w:val="005648A8"/>
    <w:rsid w:val="00564DE3"/>
    <w:rsid w:val="00564E44"/>
    <w:rsid w:val="00566066"/>
    <w:rsid w:val="005667F4"/>
    <w:rsid w:val="00566C6A"/>
    <w:rsid w:val="00566CE5"/>
    <w:rsid w:val="00566D36"/>
    <w:rsid w:val="005704A5"/>
    <w:rsid w:val="00573569"/>
    <w:rsid w:val="00573871"/>
    <w:rsid w:val="0057389E"/>
    <w:rsid w:val="005765C0"/>
    <w:rsid w:val="005778DE"/>
    <w:rsid w:val="00580430"/>
    <w:rsid w:val="00580B3F"/>
    <w:rsid w:val="00581B9E"/>
    <w:rsid w:val="005825F2"/>
    <w:rsid w:val="00582F9C"/>
    <w:rsid w:val="00583885"/>
    <w:rsid w:val="00584475"/>
    <w:rsid w:val="005860AF"/>
    <w:rsid w:val="00587F1D"/>
    <w:rsid w:val="00590348"/>
    <w:rsid w:val="00591161"/>
    <w:rsid w:val="00592318"/>
    <w:rsid w:val="00593133"/>
    <w:rsid w:val="0059575D"/>
    <w:rsid w:val="00596825"/>
    <w:rsid w:val="005A06A0"/>
    <w:rsid w:val="005A150A"/>
    <w:rsid w:val="005A25CF"/>
    <w:rsid w:val="005A2B3E"/>
    <w:rsid w:val="005A3644"/>
    <w:rsid w:val="005A4087"/>
    <w:rsid w:val="005A483B"/>
    <w:rsid w:val="005A4B18"/>
    <w:rsid w:val="005A533C"/>
    <w:rsid w:val="005A537E"/>
    <w:rsid w:val="005A6F43"/>
    <w:rsid w:val="005A767D"/>
    <w:rsid w:val="005B0012"/>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2A"/>
    <w:rsid w:val="005C3C6C"/>
    <w:rsid w:val="005C3F4C"/>
    <w:rsid w:val="005C43AA"/>
    <w:rsid w:val="005C48C8"/>
    <w:rsid w:val="005C663C"/>
    <w:rsid w:val="005D0750"/>
    <w:rsid w:val="005D1023"/>
    <w:rsid w:val="005D148F"/>
    <w:rsid w:val="005D2AD2"/>
    <w:rsid w:val="005D3AC5"/>
    <w:rsid w:val="005D4A86"/>
    <w:rsid w:val="005D5EB1"/>
    <w:rsid w:val="005D5F0A"/>
    <w:rsid w:val="005D6A29"/>
    <w:rsid w:val="005E0481"/>
    <w:rsid w:val="005E10BF"/>
    <w:rsid w:val="005E1834"/>
    <w:rsid w:val="005E1F34"/>
    <w:rsid w:val="005E2C79"/>
    <w:rsid w:val="005E49E5"/>
    <w:rsid w:val="005E5481"/>
    <w:rsid w:val="005E55E4"/>
    <w:rsid w:val="005E6C5F"/>
    <w:rsid w:val="005E7636"/>
    <w:rsid w:val="005F028E"/>
    <w:rsid w:val="005F04B4"/>
    <w:rsid w:val="005F11A4"/>
    <w:rsid w:val="005F19F8"/>
    <w:rsid w:val="005F2F74"/>
    <w:rsid w:val="005F33A5"/>
    <w:rsid w:val="005F3FB1"/>
    <w:rsid w:val="005F4C33"/>
    <w:rsid w:val="005F5ACF"/>
    <w:rsid w:val="005F60DC"/>
    <w:rsid w:val="005F71C0"/>
    <w:rsid w:val="00600005"/>
    <w:rsid w:val="006000DD"/>
    <w:rsid w:val="00600F63"/>
    <w:rsid w:val="006012E1"/>
    <w:rsid w:val="00601D49"/>
    <w:rsid w:val="00602253"/>
    <w:rsid w:val="006023E1"/>
    <w:rsid w:val="006042A3"/>
    <w:rsid w:val="0060486C"/>
    <w:rsid w:val="00604E07"/>
    <w:rsid w:val="00605111"/>
    <w:rsid w:val="00605531"/>
    <w:rsid w:val="00606240"/>
    <w:rsid w:val="0060674A"/>
    <w:rsid w:val="00606F77"/>
    <w:rsid w:val="00607832"/>
    <w:rsid w:val="0060784B"/>
    <w:rsid w:val="00610254"/>
    <w:rsid w:val="006105FB"/>
    <w:rsid w:val="00610F94"/>
    <w:rsid w:val="00611293"/>
    <w:rsid w:val="0061135E"/>
    <w:rsid w:val="00611735"/>
    <w:rsid w:val="00611FB5"/>
    <w:rsid w:val="0061263A"/>
    <w:rsid w:val="00612C41"/>
    <w:rsid w:val="00613365"/>
    <w:rsid w:val="006145DE"/>
    <w:rsid w:val="0061478E"/>
    <w:rsid w:val="006147AE"/>
    <w:rsid w:val="00614F25"/>
    <w:rsid w:val="006164E6"/>
    <w:rsid w:val="00616A11"/>
    <w:rsid w:val="00616B9B"/>
    <w:rsid w:val="00617520"/>
    <w:rsid w:val="0062022D"/>
    <w:rsid w:val="00620D7C"/>
    <w:rsid w:val="00621089"/>
    <w:rsid w:val="00621E1F"/>
    <w:rsid w:val="006228B2"/>
    <w:rsid w:val="006228E1"/>
    <w:rsid w:val="00622E32"/>
    <w:rsid w:val="00623688"/>
    <w:rsid w:val="006238FB"/>
    <w:rsid w:val="006247E0"/>
    <w:rsid w:val="00625569"/>
    <w:rsid w:val="00625F82"/>
    <w:rsid w:val="00627999"/>
    <w:rsid w:val="00627BAB"/>
    <w:rsid w:val="00630FF7"/>
    <w:rsid w:val="00633433"/>
    <w:rsid w:val="00633C6D"/>
    <w:rsid w:val="006341B5"/>
    <w:rsid w:val="006346C9"/>
    <w:rsid w:val="00634727"/>
    <w:rsid w:val="00634B64"/>
    <w:rsid w:val="00635623"/>
    <w:rsid w:val="0063578C"/>
    <w:rsid w:val="0063642C"/>
    <w:rsid w:val="0063669E"/>
    <w:rsid w:val="0063681E"/>
    <w:rsid w:val="00636FF9"/>
    <w:rsid w:val="00640DCD"/>
    <w:rsid w:val="00641DC3"/>
    <w:rsid w:val="00642972"/>
    <w:rsid w:val="00644F4D"/>
    <w:rsid w:val="006469B1"/>
    <w:rsid w:val="00646C0D"/>
    <w:rsid w:val="00646C30"/>
    <w:rsid w:val="006476F7"/>
    <w:rsid w:val="0064779E"/>
    <w:rsid w:val="00647D13"/>
    <w:rsid w:val="006501FA"/>
    <w:rsid w:val="006509B0"/>
    <w:rsid w:val="006521F3"/>
    <w:rsid w:val="006524D5"/>
    <w:rsid w:val="00652BBD"/>
    <w:rsid w:val="00653633"/>
    <w:rsid w:val="00653F69"/>
    <w:rsid w:val="00654936"/>
    <w:rsid w:val="00655485"/>
    <w:rsid w:val="006558B3"/>
    <w:rsid w:val="006575D3"/>
    <w:rsid w:val="00657F49"/>
    <w:rsid w:val="00660BF0"/>
    <w:rsid w:val="0066189C"/>
    <w:rsid w:val="006630CF"/>
    <w:rsid w:val="00663EFF"/>
    <w:rsid w:val="00664B9A"/>
    <w:rsid w:val="00664FFB"/>
    <w:rsid w:val="00665741"/>
    <w:rsid w:val="00665D16"/>
    <w:rsid w:val="00666F74"/>
    <w:rsid w:val="00667FEA"/>
    <w:rsid w:val="006710D2"/>
    <w:rsid w:val="00671A8B"/>
    <w:rsid w:val="00671F53"/>
    <w:rsid w:val="006725A0"/>
    <w:rsid w:val="0067426D"/>
    <w:rsid w:val="00674628"/>
    <w:rsid w:val="0067555E"/>
    <w:rsid w:val="00677E00"/>
    <w:rsid w:val="00677EEE"/>
    <w:rsid w:val="00677FAD"/>
    <w:rsid w:val="006802DE"/>
    <w:rsid w:val="0068032D"/>
    <w:rsid w:val="0068068C"/>
    <w:rsid w:val="00681115"/>
    <w:rsid w:val="00683920"/>
    <w:rsid w:val="00685147"/>
    <w:rsid w:val="00685653"/>
    <w:rsid w:val="0068590D"/>
    <w:rsid w:val="00685A89"/>
    <w:rsid w:val="006861B3"/>
    <w:rsid w:val="00686FA2"/>
    <w:rsid w:val="006870C5"/>
    <w:rsid w:val="00687602"/>
    <w:rsid w:val="00687C28"/>
    <w:rsid w:val="00687C7E"/>
    <w:rsid w:val="00690F0E"/>
    <w:rsid w:val="006911C0"/>
    <w:rsid w:val="00691B7C"/>
    <w:rsid w:val="00692EFA"/>
    <w:rsid w:val="00694B73"/>
    <w:rsid w:val="00694DF2"/>
    <w:rsid w:val="00695F80"/>
    <w:rsid w:val="006966CD"/>
    <w:rsid w:val="00696735"/>
    <w:rsid w:val="0069780E"/>
    <w:rsid w:val="00697B22"/>
    <w:rsid w:val="006A073E"/>
    <w:rsid w:val="006A2CA2"/>
    <w:rsid w:val="006A5F9A"/>
    <w:rsid w:val="006A73C2"/>
    <w:rsid w:val="006B2D40"/>
    <w:rsid w:val="006B34DF"/>
    <w:rsid w:val="006B366A"/>
    <w:rsid w:val="006B39B2"/>
    <w:rsid w:val="006B3AF9"/>
    <w:rsid w:val="006B45A0"/>
    <w:rsid w:val="006B5668"/>
    <w:rsid w:val="006B581E"/>
    <w:rsid w:val="006B5B9E"/>
    <w:rsid w:val="006B5F71"/>
    <w:rsid w:val="006B6E44"/>
    <w:rsid w:val="006B7059"/>
    <w:rsid w:val="006B7287"/>
    <w:rsid w:val="006B7F2E"/>
    <w:rsid w:val="006C0BF8"/>
    <w:rsid w:val="006C131C"/>
    <w:rsid w:val="006C13E2"/>
    <w:rsid w:val="006C2253"/>
    <w:rsid w:val="006C2CCB"/>
    <w:rsid w:val="006C4334"/>
    <w:rsid w:val="006C4B0F"/>
    <w:rsid w:val="006C5E96"/>
    <w:rsid w:val="006C6136"/>
    <w:rsid w:val="006D36D3"/>
    <w:rsid w:val="006D399F"/>
    <w:rsid w:val="006D4F0C"/>
    <w:rsid w:val="006D5645"/>
    <w:rsid w:val="006E0C8A"/>
    <w:rsid w:val="006E2A23"/>
    <w:rsid w:val="006E35E5"/>
    <w:rsid w:val="006E3C72"/>
    <w:rsid w:val="006E4F20"/>
    <w:rsid w:val="006E649A"/>
    <w:rsid w:val="006F08DC"/>
    <w:rsid w:val="006F11F7"/>
    <w:rsid w:val="006F1405"/>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54C"/>
    <w:rsid w:val="007033A8"/>
    <w:rsid w:val="0070421B"/>
    <w:rsid w:val="007043F0"/>
    <w:rsid w:val="0070482E"/>
    <w:rsid w:val="00704D25"/>
    <w:rsid w:val="00707A7A"/>
    <w:rsid w:val="00710519"/>
    <w:rsid w:val="00710F6E"/>
    <w:rsid w:val="00711663"/>
    <w:rsid w:val="007116B4"/>
    <w:rsid w:val="00712580"/>
    <w:rsid w:val="007133E4"/>
    <w:rsid w:val="00713788"/>
    <w:rsid w:val="00713940"/>
    <w:rsid w:val="007151A2"/>
    <w:rsid w:val="00716774"/>
    <w:rsid w:val="007171F5"/>
    <w:rsid w:val="0071740A"/>
    <w:rsid w:val="007205A2"/>
    <w:rsid w:val="007209DD"/>
    <w:rsid w:val="00720F40"/>
    <w:rsid w:val="00722E49"/>
    <w:rsid w:val="00723A08"/>
    <w:rsid w:val="00723B5C"/>
    <w:rsid w:val="00724391"/>
    <w:rsid w:val="00724C18"/>
    <w:rsid w:val="00725FB1"/>
    <w:rsid w:val="00726630"/>
    <w:rsid w:val="00727F73"/>
    <w:rsid w:val="00730705"/>
    <w:rsid w:val="00730944"/>
    <w:rsid w:val="00730F45"/>
    <w:rsid w:val="0073248E"/>
    <w:rsid w:val="00733EE9"/>
    <w:rsid w:val="00735B8E"/>
    <w:rsid w:val="00735D39"/>
    <w:rsid w:val="0073655C"/>
    <w:rsid w:val="00736651"/>
    <w:rsid w:val="0073673C"/>
    <w:rsid w:val="00736935"/>
    <w:rsid w:val="0073757A"/>
    <w:rsid w:val="00743DE7"/>
    <w:rsid w:val="0074509E"/>
    <w:rsid w:val="00745B9F"/>
    <w:rsid w:val="0074726F"/>
    <w:rsid w:val="00752D4F"/>
    <w:rsid w:val="0075409F"/>
    <w:rsid w:val="0075525A"/>
    <w:rsid w:val="00755609"/>
    <w:rsid w:val="00755986"/>
    <w:rsid w:val="00755C86"/>
    <w:rsid w:val="00755E19"/>
    <w:rsid w:val="00756BFF"/>
    <w:rsid w:val="00756C97"/>
    <w:rsid w:val="00756D77"/>
    <w:rsid w:val="00760041"/>
    <w:rsid w:val="007605C7"/>
    <w:rsid w:val="00760B08"/>
    <w:rsid w:val="00760C0D"/>
    <w:rsid w:val="00760EDA"/>
    <w:rsid w:val="00761F4E"/>
    <w:rsid w:val="00762150"/>
    <w:rsid w:val="00762621"/>
    <w:rsid w:val="0076313F"/>
    <w:rsid w:val="00763F36"/>
    <w:rsid w:val="007648A0"/>
    <w:rsid w:val="00766F4D"/>
    <w:rsid w:val="00767AF2"/>
    <w:rsid w:val="00770268"/>
    <w:rsid w:val="007706B9"/>
    <w:rsid w:val="007707ED"/>
    <w:rsid w:val="00771C3B"/>
    <w:rsid w:val="007726F9"/>
    <w:rsid w:val="00773B94"/>
    <w:rsid w:val="00773C65"/>
    <w:rsid w:val="00775937"/>
    <w:rsid w:val="00777046"/>
    <w:rsid w:val="007770DA"/>
    <w:rsid w:val="007802CE"/>
    <w:rsid w:val="007803B5"/>
    <w:rsid w:val="007805B9"/>
    <w:rsid w:val="00780C3A"/>
    <w:rsid w:val="007812DB"/>
    <w:rsid w:val="007819BD"/>
    <w:rsid w:val="007823E2"/>
    <w:rsid w:val="007830E3"/>
    <w:rsid w:val="00783449"/>
    <w:rsid w:val="007834A1"/>
    <w:rsid w:val="00784882"/>
    <w:rsid w:val="00791EB4"/>
    <w:rsid w:val="0079279F"/>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A99"/>
    <w:rsid w:val="007A4B28"/>
    <w:rsid w:val="007A5C2C"/>
    <w:rsid w:val="007A7678"/>
    <w:rsid w:val="007B048C"/>
    <w:rsid w:val="007B0CD8"/>
    <w:rsid w:val="007B0DE0"/>
    <w:rsid w:val="007B21DE"/>
    <w:rsid w:val="007B265D"/>
    <w:rsid w:val="007B2BB9"/>
    <w:rsid w:val="007B43E8"/>
    <w:rsid w:val="007B4740"/>
    <w:rsid w:val="007B502C"/>
    <w:rsid w:val="007B5F3B"/>
    <w:rsid w:val="007C02B0"/>
    <w:rsid w:val="007C063E"/>
    <w:rsid w:val="007C1901"/>
    <w:rsid w:val="007C2140"/>
    <w:rsid w:val="007C49C0"/>
    <w:rsid w:val="007C55C1"/>
    <w:rsid w:val="007C5738"/>
    <w:rsid w:val="007C5772"/>
    <w:rsid w:val="007C5AC3"/>
    <w:rsid w:val="007C7233"/>
    <w:rsid w:val="007C7D43"/>
    <w:rsid w:val="007D0651"/>
    <w:rsid w:val="007D10EE"/>
    <w:rsid w:val="007D1193"/>
    <w:rsid w:val="007D21D5"/>
    <w:rsid w:val="007D3E8D"/>
    <w:rsid w:val="007D3F5D"/>
    <w:rsid w:val="007D4808"/>
    <w:rsid w:val="007D496E"/>
    <w:rsid w:val="007D5885"/>
    <w:rsid w:val="007D5915"/>
    <w:rsid w:val="007D5B4F"/>
    <w:rsid w:val="007D5C30"/>
    <w:rsid w:val="007D6474"/>
    <w:rsid w:val="007E0660"/>
    <w:rsid w:val="007E0D35"/>
    <w:rsid w:val="007E1411"/>
    <w:rsid w:val="007E1882"/>
    <w:rsid w:val="007E1BB4"/>
    <w:rsid w:val="007E2077"/>
    <w:rsid w:val="007E3154"/>
    <w:rsid w:val="007E3514"/>
    <w:rsid w:val="007E4AAA"/>
    <w:rsid w:val="007E4BD2"/>
    <w:rsid w:val="007E4C29"/>
    <w:rsid w:val="007E4C74"/>
    <w:rsid w:val="007E5E44"/>
    <w:rsid w:val="007E690D"/>
    <w:rsid w:val="007F0DDA"/>
    <w:rsid w:val="007F0F33"/>
    <w:rsid w:val="007F1939"/>
    <w:rsid w:val="007F365C"/>
    <w:rsid w:val="007F5066"/>
    <w:rsid w:val="007F5919"/>
    <w:rsid w:val="007F621C"/>
    <w:rsid w:val="007F7155"/>
    <w:rsid w:val="00800C28"/>
    <w:rsid w:val="0080245E"/>
    <w:rsid w:val="008027F2"/>
    <w:rsid w:val="00802E10"/>
    <w:rsid w:val="00803480"/>
    <w:rsid w:val="0080359C"/>
    <w:rsid w:val="008037AE"/>
    <w:rsid w:val="008043F4"/>
    <w:rsid w:val="00804BB4"/>
    <w:rsid w:val="00805D9F"/>
    <w:rsid w:val="00807A4D"/>
    <w:rsid w:val="00807F30"/>
    <w:rsid w:val="008101CE"/>
    <w:rsid w:val="008103DC"/>
    <w:rsid w:val="0081119F"/>
    <w:rsid w:val="0081134D"/>
    <w:rsid w:val="00811EDA"/>
    <w:rsid w:val="00812403"/>
    <w:rsid w:val="00812FD7"/>
    <w:rsid w:val="00813D9B"/>
    <w:rsid w:val="00813E06"/>
    <w:rsid w:val="00814E99"/>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1E8C"/>
    <w:rsid w:val="00832134"/>
    <w:rsid w:val="0083219E"/>
    <w:rsid w:val="008324B3"/>
    <w:rsid w:val="008333A4"/>
    <w:rsid w:val="0083497C"/>
    <w:rsid w:val="008352A6"/>
    <w:rsid w:val="00835B5B"/>
    <w:rsid w:val="008367AE"/>
    <w:rsid w:val="00836DC3"/>
    <w:rsid w:val="00836E50"/>
    <w:rsid w:val="00840477"/>
    <w:rsid w:val="0084121D"/>
    <w:rsid w:val="008418E3"/>
    <w:rsid w:val="008419C1"/>
    <w:rsid w:val="00844515"/>
    <w:rsid w:val="0084465A"/>
    <w:rsid w:val="00844DFF"/>
    <w:rsid w:val="00845D87"/>
    <w:rsid w:val="00846976"/>
    <w:rsid w:val="00846C3A"/>
    <w:rsid w:val="0084724A"/>
    <w:rsid w:val="008477BF"/>
    <w:rsid w:val="008503DA"/>
    <w:rsid w:val="00850B68"/>
    <w:rsid w:val="00850E82"/>
    <w:rsid w:val="0085122D"/>
    <w:rsid w:val="008519E8"/>
    <w:rsid w:val="008525FF"/>
    <w:rsid w:val="00852C03"/>
    <w:rsid w:val="0085590C"/>
    <w:rsid w:val="008575EB"/>
    <w:rsid w:val="00862DDD"/>
    <w:rsid w:val="00863037"/>
    <w:rsid w:val="0086326D"/>
    <w:rsid w:val="00863CC1"/>
    <w:rsid w:val="00865B01"/>
    <w:rsid w:val="00866D7A"/>
    <w:rsid w:val="00866EE3"/>
    <w:rsid w:val="00870AFA"/>
    <w:rsid w:val="00871F04"/>
    <w:rsid w:val="00872621"/>
    <w:rsid w:val="00873C77"/>
    <w:rsid w:val="008746C1"/>
    <w:rsid w:val="00874F39"/>
    <w:rsid w:val="00877093"/>
    <w:rsid w:val="00880224"/>
    <w:rsid w:val="0088244C"/>
    <w:rsid w:val="00883367"/>
    <w:rsid w:val="00884C47"/>
    <w:rsid w:val="00885E6F"/>
    <w:rsid w:val="008861AC"/>
    <w:rsid w:val="008868E4"/>
    <w:rsid w:val="00886A60"/>
    <w:rsid w:val="0088759B"/>
    <w:rsid w:val="008909B4"/>
    <w:rsid w:val="00891D12"/>
    <w:rsid w:val="008922E8"/>
    <w:rsid w:val="008932FC"/>
    <w:rsid w:val="00893916"/>
    <w:rsid w:val="0089442C"/>
    <w:rsid w:val="00895818"/>
    <w:rsid w:val="0089729B"/>
    <w:rsid w:val="008A0352"/>
    <w:rsid w:val="008A2585"/>
    <w:rsid w:val="008A2718"/>
    <w:rsid w:val="008A4CF6"/>
    <w:rsid w:val="008A4E42"/>
    <w:rsid w:val="008A51AA"/>
    <w:rsid w:val="008A6A12"/>
    <w:rsid w:val="008B09D2"/>
    <w:rsid w:val="008B0DC6"/>
    <w:rsid w:val="008B2B9E"/>
    <w:rsid w:val="008B31F5"/>
    <w:rsid w:val="008B4C79"/>
    <w:rsid w:val="008B5D2D"/>
    <w:rsid w:val="008B6361"/>
    <w:rsid w:val="008C0320"/>
    <w:rsid w:val="008C1677"/>
    <w:rsid w:val="008C2A81"/>
    <w:rsid w:val="008C3863"/>
    <w:rsid w:val="008C3B6B"/>
    <w:rsid w:val="008C3C11"/>
    <w:rsid w:val="008C4BDC"/>
    <w:rsid w:val="008C50FF"/>
    <w:rsid w:val="008C5435"/>
    <w:rsid w:val="008C6BD1"/>
    <w:rsid w:val="008D2DB5"/>
    <w:rsid w:val="008D38AC"/>
    <w:rsid w:val="008D3F10"/>
    <w:rsid w:val="008D611D"/>
    <w:rsid w:val="008D711F"/>
    <w:rsid w:val="008E1B6A"/>
    <w:rsid w:val="008E3054"/>
    <w:rsid w:val="008E32FF"/>
    <w:rsid w:val="008E5625"/>
    <w:rsid w:val="008E5C5B"/>
    <w:rsid w:val="008E6A37"/>
    <w:rsid w:val="008E6E82"/>
    <w:rsid w:val="008F0354"/>
    <w:rsid w:val="008F085A"/>
    <w:rsid w:val="008F1462"/>
    <w:rsid w:val="008F2413"/>
    <w:rsid w:val="008F248D"/>
    <w:rsid w:val="008F2802"/>
    <w:rsid w:val="008F4B2C"/>
    <w:rsid w:val="008F4C08"/>
    <w:rsid w:val="008F6851"/>
    <w:rsid w:val="008F7114"/>
    <w:rsid w:val="008F7759"/>
    <w:rsid w:val="008F7BC4"/>
    <w:rsid w:val="009003B8"/>
    <w:rsid w:val="009008E8"/>
    <w:rsid w:val="00900E7A"/>
    <w:rsid w:val="00901B04"/>
    <w:rsid w:val="00903E11"/>
    <w:rsid w:val="00903EBE"/>
    <w:rsid w:val="009041DE"/>
    <w:rsid w:val="00904FEF"/>
    <w:rsid w:val="00905D59"/>
    <w:rsid w:val="009062CA"/>
    <w:rsid w:val="00907631"/>
    <w:rsid w:val="00907776"/>
    <w:rsid w:val="00907865"/>
    <w:rsid w:val="00913401"/>
    <w:rsid w:val="00913567"/>
    <w:rsid w:val="009137B6"/>
    <w:rsid w:val="009144AE"/>
    <w:rsid w:val="00915EBA"/>
    <w:rsid w:val="00917093"/>
    <w:rsid w:val="0092030E"/>
    <w:rsid w:val="009217B1"/>
    <w:rsid w:val="00921A42"/>
    <w:rsid w:val="009223BB"/>
    <w:rsid w:val="00922491"/>
    <w:rsid w:val="00923BCF"/>
    <w:rsid w:val="00925AEC"/>
    <w:rsid w:val="0092751A"/>
    <w:rsid w:val="009305C4"/>
    <w:rsid w:val="00931FAF"/>
    <w:rsid w:val="00932478"/>
    <w:rsid w:val="00933F3D"/>
    <w:rsid w:val="00934A2F"/>
    <w:rsid w:val="009360F6"/>
    <w:rsid w:val="00936288"/>
    <w:rsid w:val="0093645A"/>
    <w:rsid w:val="009371DC"/>
    <w:rsid w:val="0093759D"/>
    <w:rsid w:val="009377C7"/>
    <w:rsid w:val="00940239"/>
    <w:rsid w:val="00942BD6"/>
    <w:rsid w:val="00942DED"/>
    <w:rsid w:val="00943425"/>
    <w:rsid w:val="00944404"/>
    <w:rsid w:val="009452D7"/>
    <w:rsid w:val="00945EA5"/>
    <w:rsid w:val="00945FD1"/>
    <w:rsid w:val="00946CCC"/>
    <w:rsid w:val="009503E5"/>
    <w:rsid w:val="00950A19"/>
    <w:rsid w:val="00950F71"/>
    <w:rsid w:val="00952E9E"/>
    <w:rsid w:val="00952F2C"/>
    <w:rsid w:val="009532E3"/>
    <w:rsid w:val="009533D3"/>
    <w:rsid w:val="00953615"/>
    <w:rsid w:val="00953B1F"/>
    <w:rsid w:val="00953EC1"/>
    <w:rsid w:val="00954BAF"/>
    <w:rsid w:val="00955F48"/>
    <w:rsid w:val="009560B3"/>
    <w:rsid w:val="0095745E"/>
    <w:rsid w:val="00957CE0"/>
    <w:rsid w:val="0096002E"/>
    <w:rsid w:val="0096039E"/>
    <w:rsid w:val="00962CEF"/>
    <w:rsid w:val="00963766"/>
    <w:rsid w:val="00963B6C"/>
    <w:rsid w:val="00963FDF"/>
    <w:rsid w:val="00964C32"/>
    <w:rsid w:val="0096528F"/>
    <w:rsid w:val="009653F2"/>
    <w:rsid w:val="009661DF"/>
    <w:rsid w:val="009667BD"/>
    <w:rsid w:val="0096742B"/>
    <w:rsid w:val="00967CE2"/>
    <w:rsid w:val="00971DA3"/>
    <w:rsid w:val="00972161"/>
    <w:rsid w:val="0097261B"/>
    <w:rsid w:val="00974881"/>
    <w:rsid w:val="0097606C"/>
    <w:rsid w:val="009771D1"/>
    <w:rsid w:val="0098012D"/>
    <w:rsid w:val="00980845"/>
    <w:rsid w:val="00981BD9"/>
    <w:rsid w:val="0098225F"/>
    <w:rsid w:val="009832A6"/>
    <w:rsid w:val="00983A3C"/>
    <w:rsid w:val="00983EFA"/>
    <w:rsid w:val="00984C15"/>
    <w:rsid w:val="009857B4"/>
    <w:rsid w:val="00986EB0"/>
    <w:rsid w:val="00987829"/>
    <w:rsid w:val="00987F7A"/>
    <w:rsid w:val="00991276"/>
    <w:rsid w:val="009923E7"/>
    <w:rsid w:val="00992697"/>
    <w:rsid w:val="00992D4E"/>
    <w:rsid w:val="009934BB"/>
    <w:rsid w:val="009940BA"/>
    <w:rsid w:val="00994621"/>
    <w:rsid w:val="0099464D"/>
    <w:rsid w:val="009947FF"/>
    <w:rsid w:val="0099544B"/>
    <w:rsid w:val="00996422"/>
    <w:rsid w:val="00996622"/>
    <w:rsid w:val="009A07A6"/>
    <w:rsid w:val="009A0D56"/>
    <w:rsid w:val="009A1BE7"/>
    <w:rsid w:val="009A31B9"/>
    <w:rsid w:val="009A3423"/>
    <w:rsid w:val="009A3E58"/>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4E20"/>
    <w:rsid w:val="009C6091"/>
    <w:rsid w:val="009C634F"/>
    <w:rsid w:val="009D0219"/>
    <w:rsid w:val="009D03A2"/>
    <w:rsid w:val="009D0D55"/>
    <w:rsid w:val="009D2295"/>
    <w:rsid w:val="009D2511"/>
    <w:rsid w:val="009D3E7C"/>
    <w:rsid w:val="009D55CA"/>
    <w:rsid w:val="009D5EF0"/>
    <w:rsid w:val="009D6401"/>
    <w:rsid w:val="009E0711"/>
    <w:rsid w:val="009E1917"/>
    <w:rsid w:val="009E3594"/>
    <w:rsid w:val="009E6B77"/>
    <w:rsid w:val="009E6D99"/>
    <w:rsid w:val="009E7724"/>
    <w:rsid w:val="009E7D1F"/>
    <w:rsid w:val="009F1D82"/>
    <w:rsid w:val="009F37AA"/>
    <w:rsid w:val="009F544C"/>
    <w:rsid w:val="009F5731"/>
    <w:rsid w:val="009F6169"/>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3DF"/>
    <w:rsid w:val="00A10929"/>
    <w:rsid w:val="00A113FD"/>
    <w:rsid w:val="00A11DDE"/>
    <w:rsid w:val="00A127A7"/>
    <w:rsid w:val="00A129F4"/>
    <w:rsid w:val="00A136F4"/>
    <w:rsid w:val="00A138E9"/>
    <w:rsid w:val="00A160D3"/>
    <w:rsid w:val="00A16DC9"/>
    <w:rsid w:val="00A16ECA"/>
    <w:rsid w:val="00A20225"/>
    <w:rsid w:val="00A20D31"/>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6DE"/>
    <w:rsid w:val="00A4173D"/>
    <w:rsid w:val="00A41A95"/>
    <w:rsid w:val="00A4248B"/>
    <w:rsid w:val="00A4376E"/>
    <w:rsid w:val="00A4572B"/>
    <w:rsid w:val="00A45D16"/>
    <w:rsid w:val="00A45E21"/>
    <w:rsid w:val="00A46246"/>
    <w:rsid w:val="00A46349"/>
    <w:rsid w:val="00A46D5E"/>
    <w:rsid w:val="00A50847"/>
    <w:rsid w:val="00A512A0"/>
    <w:rsid w:val="00A512C7"/>
    <w:rsid w:val="00A52E9B"/>
    <w:rsid w:val="00A52EBB"/>
    <w:rsid w:val="00A53A35"/>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4CC"/>
    <w:rsid w:val="00A63C25"/>
    <w:rsid w:val="00A63C96"/>
    <w:rsid w:val="00A65805"/>
    <w:rsid w:val="00A66BEE"/>
    <w:rsid w:val="00A671C9"/>
    <w:rsid w:val="00A67DFD"/>
    <w:rsid w:val="00A70D26"/>
    <w:rsid w:val="00A7101E"/>
    <w:rsid w:val="00A720A2"/>
    <w:rsid w:val="00A74F9F"/>
    <w:rsid w:val="00A750B3"/>
    <w:rsid w:val="00A75559"/>
    <w:rsid w:val="00A7623D"/>
    <w:rsid w:val="00A8217C"/>
    <w:rsid w:val="00A823ED"/>
    <w:rsid w:val="00A824A7"/>
    <w:rsid w:val="00A83644"/>
    <w:rsid w:val="00A83C07"/>
    <w:rsid w:val="00A83F40"/>
    <w:rsid w:val="00A84945"/>
    <w:rsid w:val="00A85286"/>
    <w:rsid w:val="00A85543"/>
    <w:rsid w:val="00A8728B"/>
    <w:rsid w:val="00A87B27"/>
    <w:rsid w:val="00A91682"/>
    <w:rsid w:val="00A92125"/>
    <w:rsid w:val="00A92E4A"/>
    <w:rsid w:val="00A958CA"/>
    <w:rsid w:val="00A95E61"/>
    <w:rsid w:val="00A966B6"/>
    <w:rsid w:val="00A96B46"/>
    <w:rsid w:val="00AA003B"/>
    <w:rsid w:val="00AA016B"/>
    <w:rsid w:val="00AA15DD"/>
    <w:rsid w:val="00AA1C09"/>
    <w:rsid w:val="00AA27E5"/>
    <w:rsid w:val="00AA2F67"/>
    <w:rsid w:val="00AA3569"/>
    <w:rsid w:val="00AA3F72"/>
    <w:rsid w:val="00AA5F4C"/>
    <w:rsid w:val="00AA615C"/>
    <w:rsid w:val="00AA6711"/>
    <w:rsid w:val="00AB01CE"/>
    <w:rsid w:val="00AB1511"/>
    <w:rsid w:val="00AB2AEC"/>
    <w:rsid w:val="00AB2DC1"/>
    <w:rsid w:val="00AB3102"/>
    <w:rsid w:val="00AB3D9A"/>
    <w:rsid w:val="00AB4824"/>
    <w:rsid w:val="00AB4A13"/>
    <w:rsid w:val="00AB4B1D"/>
    <w:rsid w:val="00AB6A0B"/>
    <w:rsid w:val="00AB6B5E"/>
    <w:rsid w:val="00AC047F"/>
    <w:rsid w:val="00AC2C1A"/>
    <w:rsid w:val="00AC3934"/>
    <w:rsid w:val="00AC3E99"/>
    <w:rsid w:val="00AC46F6"/>
    <w:rsid w:val="00AC4E8F"/>
    <w:rsid w:val="00AC50C8"/>
    <w:rsid w:val="00AC5581"/>
    <w:rsid w:val="00AC56AD"/>
    <w:rsid w:val="00AC57FA"/>
    <w:rsid w:val="00AC61BE"/>
    <w:rsid w:val="00AD0C8A"/>
    <w:rsid w:val="00AD0CB4"/>
    <w:rsid w:val="00AD1FF2"/>
    <w:rsid w:val="00AD208A"/>
    <w:rsid w:val="00AD27C4"/>
    <w:rsid w:val="00AD2A21"/>
    <w:rsid w:val="00AD3B43"/>
    <w:rsid w:val="00AD450B"/>
    <w:rsid w:val="00AD4D33"/>
    <w:rsid w:val="00AD4FF2"/>
    <w:rsid w:val="00AD506C"/>
    <w:rsid w:val="00AD5FAF"/>
    <w:rsid w:val="00AD6BE5"/>
    <w:rsid w:val="00AD783E"/>
    <w:rsid w:val="00AE1393"/>
    <w:rsid w:val="00AE3BC6"/>
    <w:rsid w:val="00AE4D4F"/>
    <w:rsid w:val="00AE627C"/>
    <w:rsid w:val="00AE62B0"/>
    <w:rsid w:val="00AE68A2"/>
    <w:rsid w:val="00AE68B1"/>
    <w:rsid w:val="00AF0029"/>
    <w:rsid w:val="00AF0354"/>
    <w:rsid w:val="00AF1236"/>
    <w:rsid w:val="00AF3C29"/>
    <w:rsid w:val="00AF4401"/>
    <w:rsid w:val="00AF4463"/>
    <w:rsid w:val="00AF53CB"/>
    <w:rsid w:val="00AF65C5"/>
    <w:rsid w:val="00AF6F98"/>
    <w:rsid w:val="00AF7E0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7C6"/>
    <w:rsid w:val="00B23F86"/>
    <w:rsid w:val="00B24370"/>
    <w:rsid w:val="00B248A0"/>
    <w:rsid w:val="00B24B42"/>
    <w:rsid w:val="00B24DC6"/>
    <w:rsid w:val="00B24E30"/>
    <w:rsid w:val="00B258F3"/>
    <w:rsid w:val="00B26178"/>
    <w:rsid w:val="00B26369"/>
    <w:rsid w:val="00B2659C"/>
    <w:rsid w:val="00B26B13"/>
    <w:rsid w:val="00B26BD2"/>
    <w:rsid w:val="00B26FD7"/>
    <w:rsid w:val="00B270AB"/>
    <w:rsid w:val="00B2725B"/>
    <w:rsid w:val="00B306FC"/>
    <w:rsid w:val="00B3083B"/>
    <w:rsid w:val="00B309D2"/>
    <w:rsid w:val="00B30E4F"/>
    <w:rsid w:val="00B3124F"/>
    <w:rsid w:val="00B32E49"/>
    <w:rsid w:val="00B33294"/>
    <w:rsid w:val="00B33657"/>
    <w:rsid w:val="00B34885"/>
    <w:rsid w:val="00B34D68"/>
    <w:rsid w:val="00B36117"/>
    <w:rsid w:val="00B362E3"/>
    <w:rsid w:val="00B37C73"/>
    <w:rsid w:val="00B4009B"/>
    <w:rsid w:val="00B400A1"/>
    <w:rsid w:val="00B40277"/>
    <w:rsid w:val="00B40A2B"/>
    <w:rsid w:val="00B420CB"/>
    <w:rsid w:val="00B42F15"/>
    <w:rsid w:val="00B4401C"/>
    <w:rsid w:val="00B44802"/>
    <w:rsid w:val="00B44A96"/>
    <w:rsid w:val="00B455D1"/>
    <w:rsid w:val="00B46135"/>
    <w:rsid w:val="00B46F5F"/>
    <w:rsid w:val="00B472AB"/>
    <w:rsid w:val="00B47CE4"/>
    <w:rsid w:val="00B503A8"/>
    <w:rsid w:val="00B50A83"/>
    <w:rsid w:val="00B5121D"/>
    <w:rsid w:val="00B525C0"/>
    <w:rsid w:val="00B52FAB"/>
    <w:rsid w:val="00B5319A"/>
    <w:rsid w:val="00B5325A"/>
    <w:rsid w:val="00B539F9"/>
    <w:rsid w:val="00B53E56"/>
    <w:rsid w:val="00B546C3"/>
    <w:rsid w:val="00B54BD9"/>
    <w:rsid w:val="00B5503C"/>
    <w:rsid w:val="00B55640"/>
    <w:rsid w:val="00B55C57"/>
    <w:rsid w:val="00B55F83"/>
    <w:rsid w:val="00B57107"/>
    <w:rsid w:val="00B57A85"/>
    <w:rsid w:val="00B57EB1"/>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39D2"/>
    <w:rsid w:val="00B84028"/>
    <w:rsid w:val="00B84307"/>
    <w:rsid w:val="00B8430D"/>
    <w:rsid w:val="00B85661"/>
    <w:rsid w:val="00B85C8A"/>
    <w:rsid w:val="00B86FBD"/>
    <w:rsid w:val="00B87ED1"/>
    <w:rsid w:val="00B91B86"/>
    <w:rsid w:val="00B927CA"/>
    <w:rsid w:val="00B928AE"/>
    <w:rsid w:val="00B93CDA"/>
    <w:rsid w:val="00B942E9"/>
    <w:rsid w:val="00B9433A"/>
    <w:rsid w:val="00B948EE"/>
    <w:rsid w:val="00B94BF3"/>
    <w:rsid w:val="00B94F90"/>
    <w:rsid w:val="00B95DC5"/>
    <w:rsid w:val="00B96E28"/>
    <w:rsid w:val="00B97E34"/>
    <w:rsid w:val="00B97FEF"/>
    <w:rsid w:val="00BA0625"/>
    <w:rsid w:val="00BA1354"/>
    <w:rsid w:val="00BA2266"/>
    <w:rsid w:val="00BA24F8"/>
    <w:rsid w:val="00BA31AA"/>
    <w:rsid w:val="00BA45D8"/>
    <w:rsid w:val="00BA5828"/>
    <w:rsid w:val="00BA64B3"/>
    <w:rsid w:val="00BA754A"/>
    <w:rsid w:val="00BA7820"/>
    <w:rsid w:val="00BA794C"/>
    <w:rsid w:val="00BB09FB"/>
    <w:rsid w:val="00BB238D"/>
    <w:rsid w:val="00BB37CC"/>
    <w:rsid w:val="00BB48C4"/>
    <w:rsid w:val="00BB57A7"/>
    <w:rsid w:val="00BB5D7A"/>
    <w:rsid w:val="00BB6907"/>
    <w:rsid w:val="00BB6E13"/>
    <w:rsid w:val="00BB71B3"/>
    <w:rsid w:val="00BB7A20"/>
    <w:rsid w:val="00BC0B18"/>
    <w:rsid w:val="00BC15B1"/>
    <w:rsid w:val="00BC2C13"/>
    <w:rsid w:val="00BC3C06"/>
    <w:rsid w:val="00BC4E8B"/>
    <w:rsid w:val="00BC5622"/>
    <w:rsid w:val="00BC6060"/>
    <w:rsid w:val="00BC6A9F"/>
    <w:rsid w:val="00BC764D"/>
    <w:rsid w:val="00BC7759"/>
    <w:rsid w:val="00BC7897"/>
    <w:rsid w:val="00BC7ACC"/>
    <w:rsid w:val="00BD06D7"/>
    <w:rsid w:val="00BD0F35"/>
    <w:rsid w:val="00BD1BBD"/>
    <w:rsid w:val="00BD45A4"/>
    <w:rsid w:val="00BD4A5F"/>
    <w:rsid w:val="00BD59AA"/>
    <w:rsid w:val="00BD5BA0"/>
    <w:rsid w:val="00BD65E6"/>
    <w:rsid w:val="00BD6AF7"/>
    <w:rsid w:val="00BE19EF"/>
    <w:rsid w:val="00BE1E78"/>
    <w:rsid w:val="00BE425B"/>
    <w:rsid w:val="00BE51BB"/>
    <w:rsid w:val="00BE7595"/>
    <w:rsid w:val="00BE77D3"/>
    <w:rsid w:val="00BF0138"/>
    <w:rsid w:val="00BF114B"/>
    <w:rsid w:val="00BF1620"/>
    <w:rsid w:val="00BF1AC3"/>
    <w:rsid w:val="00BF373A"/>
    <w:rsid w:val="00BF3E44"/>
    <w:rsid w:val="00BF409D"/>
    <w:rsid w:val="00BF4850"/>
    <w:rsid w:val="00BF4FD3"/>
    <w:rsid w:val="00BF62D2"/>
    <w:rsid w:val="00BF6D9E"/>
    <w:rsid w:val="00BF7180"/>
    <w:rsid w:val="00BF71BB"/>
    <w:rsid w:val="00BF76F7"/>
    <w:rsid w:val="00BF7C9F"/>
    <w:rsid w:val="00C00012"/>
    <w:rsid w:val="00C000A5"/>
    <w:rsid w:val="00C006B4"/>
    <w:rsid w:val="00C00938"/>
    <w:rsid w:val="00C00E2A"/>
    <w:rsid w:val="00C00E90"/>
    <w:rsid w:val="00C01EBD"/>
    <w:rsid w:val="00C025B9"/>
    <w:rsid w:val="00C044B4"/>
    <w:rsid w:val="00C05105"/>
    <w:rsid w:val="00C05A5D"/>
    <w:rsid w:val="00C0654A"/>
    <w:rsid w:val="00C06DE3"/>
    <w:rsid w:val="00C06F97"/>
    <w:rsid w:val="00C10BE6"/>
    <w:rsid w:val="00C11253"/>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423C"/>
    <w:rsid w:val="00C264C7"/>
    <w:rsid w:val="00C2682A"/>
    <w:rsid w:val="00C271C4"/>
    <w:rsid w:val="00C274F3"/>
    <w:rsid w:val="00C30A54"/>
    <w:rsid w:val="00C316F7"/>
    <w:rsid w:val="00C31DF0"/>
    <w:rsid w:val="00C33916"/>
    <w:rsid w:val="00C33BCF"/>
    <w:rsid w:val="00C353A0"/>
    <w:rsid w:val="00C368D7"/>
    <w:rsid w:val="00C36FD1"/>
    <w:rsid w:val="00C371A5"/>
    <w:rsid w:val="00C37E06"/>
    <w:rsid w:val="00C400B0"/>
    <w:rsid w:val="00C40DFA"/>
    <w:rsid w:val="00C413FC"/>
    <w:rsid w:val="00C42424"/>
    <w:rsid w:val="00C42E95"/>
    <w:rsid w:val="00C430B9"/>
    <w:rsid w:val="00C43D33"/>
    <w:rsid w:val="00C441F3"/>
    <w:rsid w:val="00C44407"/>
    <w:rsid w:val="00C456E8"/>
    <w:rsid w:val="00C45E10"/>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4C9A"/>
    <w:rsid w:val="00C651D4"/>
    <w:rsid w:val="00C6669E"/>
    <w:rsid w:val="00C66B61"/>
    <w:rsid w:val="00C672B0"/>
    <w:rsid w:val="00C704FF"/>
    <w:rsid w:val="00C729C7"/>
    <w:rsid w:val="00C7448F"/>
    <w:rsid w:val="00C777AD"/>
    <w:rsid w:val="00C808D0"/>
    <w:rsid w:val="00C80C53"/>
    <w:rsid w:val="00C81195"/>
    <w:rsid w:val="00C81798"/>
    <w:rsid w:val="00C85387"/>
    <w:rsid w:val="00C85E52"/>
    <w:rsid w:val="00C86471"/>
    <w:rsid w:val="00C8677B"/>
    <w:rsid w:val="00C86F96"/>
    <w:rsid w:val="00C909C6"/>
    <w:rsid w:val="00C923B7"/>
    <w:rsid w:val="00C94D4C"/>
    <w:rsid w:val="00C94DFA"/>
    <w:rsid w:val="00C96C1E"/>
    <w:rsid w:val="00C96CA4"/>
    <w:rsid w:val="00CA012C"/>
    <w:rsid w:val="00CA0AA6"/>
    <w:rsid w:val="00CA2897"/>
    <w:rsid w:val="00CA342E"/>
    <w:rsid w:val="00CA42EE"/>
    <w:rsid w:val="00CA44F3"/>
    <w:rsid w:val="00CA5395"/>
    <w:rsid w:val="00CA582C"/>
    <w:rsid w:val="00CA6077"/>
    <w:rsid w:val="00CA6DD8"/>
    <w:rsid w:val="00CA715B"/>
    <w:rsid w:val="00CA7988"/>
    <w:rsid w:val="00CA7BA2"/>
    <w:rsid w:val="00CB0051"/>
    <w:rsid w:val="00CB0B78"/>
    <w:rsid w:val="00CB0F68"/>
    <w:rsid w:val="00CB12A5"/>
    <w:rsid w:val="00CB17FA"/>
    <w:rsid w:val="00CB23D8"/>
    <w:rsid w:val="00CB2C18"/>
    <w:rsid w:val="00CB2ED9"/>
    <w:rsid w:val="00CB36A5"/>
    <w:rsid w:val="00CB56B4"/>
    <w:rsid w:val="00CB5D36"/>
    <w:rsid w:val="00CB7286"/>
    <w:rsid w:val="00CB7947"/>
    <w:rsid w:val="00CC1783"/>
    <w:rsid w:val="00CC3B46"/>
    <w:rsid w:val="00CC3D8B"/>
    <w:rsid w:val="00CC4DAB"/>
    <w:rsid w:val="00CC4E27"/>
    <w:rsid w:val="00CC570C"/>
    <w:rsid w:val="00CC6187"/>
    <w:rsid w:val="00CC62B6"/>
    <w:rsid w:val="00CC71E6"/>
    <w:rsid w:val="00CC723F"/>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5459"/>
    <w:rsid w:val="00CE6FC6"/>
    <w:rsid w:val="00CE7050"/>
    <w:rsid w:val="00CF2056"/>
    <w:rsid w:val="00CF2BE6"/>
    <w:rsid w:val="00CF37C2"/>
    <w:rsid w:val="00CF4471"/>
    <w:rsid w:val="00CF51C0"/>
    <w:rsid w:val="00CF5783"/>
    <w:rsid w:val="00CF5B2A"/>
    <w:rsid w:val="00CF5F57"/>
    <w:rsid w:val="00CF64A7"/>
    <w:rsid w:val="00CF6730"/>
    <w:rsid w:val="00CF70E5"/>
    <w:rsid w:val="00CF7CEC"/>
    <w:rsid w:val="00D00808"/>
    <w:rsid w:val="00D00B0F"/>
    <w:rsid w:val="00D01BC5"/>
    <w:rsid w:val="00D01BF4"/>
    <w:rsid w:val="00D0272C"/>
    <w:rsid w:val="00D045CE"/>
    <w:rsid w:val="00D0481A"/>
    <w:rsid w:val="00D05082"/>
    <w:rsid w:val="00D06163"/>
    <w:rsid w:val="00D06937"/>
    <w:rsid w:val="00D07323"/>
    <w:rsid w:val="00D07AFD"/>
    <w:rsid w:val="00D11749"/>
    <w:rsid w:val="00D12A7D"/>
    <w:rsid w:val="00D13AB0"/>
    <w:rsid w:val="00D1519E"/>
    <w:rsid w:val="00D152B7"/>
    <w:rsid w:val="00D16ABA"/>
    <w:rsid w:val="00D16EDC"/>
    <w:rsid w:val="00D17FDE"/>
    <w:rsid w:val="00D201CB"/>
    <w:rsid w:val="00D22786"/>
    <w:rsid w:val="00D228B4"/>
    <w:rsid w:val="00D24C20"/>
    <w:rsid w:val="00D25AC4"/>
    <w:rsid w:val="00D27C9A"/>
    <w:rsid w:val="00D305F6"/>
    <w:rsid w:val="00D30B25"/>
    <w:rsid w:val="00D31341"/>
    <w:rsid w:val="00D31640"/>
    <w:rsid w:val="00D3175A"/>
    <w:rsid w:val="00D31A00"/>
    <w:rsid w:val="00D31B67"/>
    <w:rsid w:val="00D323E4"/>
    <w:rsid w:val="00D32871"/>
    <w:rsid w:val="00D329F6"/>
    <w:rsid w:val="00D33881"/>
    <w:rsid w:val="00D34282"/>
    <w:rsid w:val="00D366B1"/>
    <w:rsid w:val="00D37AE0"/>
    <w:rsid w:val="00D416A8"/>
    <w:rsid w:val="00D417BD"/>
    <w:rsid w:val="00D41E08"/>
    <w:rsid w:val="00D4217D"/>
    <w:rsid w:val="00D4257C"/>
    <w:rsid w:val="00D425AC"/>
    <w:rsid w:val="00D42823"/>
    <w:rsid w:val="00D42D5E"/>
    <w:rsid w:val="00D43F14"/>
    <w:rsid w:val="00D44C18"/>
    <w:rsid w:val="00D44F40"/>
    <w:rsid w:val="00D4556D"/>
    <w:rsid w:val="00D4779E"/>
    <w:rsid w:val="00D511C6"/>
    <w:rsid w:val="00D5121D"/>
    <w:rsid w:val="00D516AC"/>
    <w:rsid w:val="00D51EBA"/>
    <w:rsid w:val="00D521BB"/>
    <w:rsid w:val="00D52875"/>
    <w:rsid w:val="00D52D40"/>
    <w:rsid w:val="00D53941"/>
    <w:rsid w:val="00D54050"/>
    <w:rsid w:val="00D562AA"/>
    <w:rsid w:val="00D56AC0"/>
    <w:rsid w:val="00D56B84"/>
    <w:rsid w:val="00D6081B"/>
    <w:rsid w:val="00D60960"/>
    <w:rsid w:val="00D60C2B"/>
    <w:rsid w:val="00D6240A"/>
    <w:rsid w:val="00D63093"/>
    <w:rsid w:val="00D63599"/>
    <w:rsid w:val="00D63EBD"/>
    <w:rsid w:val="00D66C4C"/>
    <w:rsid w:val="00D67101"/>
    <w:rsid w:val="00D700CE"/>
    <w:rsid w:val="00D71B45"/>
    <w:rsid w:val="00D71F8A"/>
    <w:rsid w:val="00D75603"/>
    <w:rsid w:val="00D75FEE"/>
    <w:rsid w:val="00D76933"/>
    <w:rsid w:val="00D76D88"/>
    <w:rsid w:val="00D77CC9"/>
    <w:rsid w:val="00D83D4B"/>
    <w:rsid w:val="00D871C6"/>
    <w:rsid w:val="00D87864"/>
    <w:rsid w:val="00D91010"/>
    <w:rsid w:val="00D9143D"/>
    <w:rsid w:val="00D920D1"/>
    <w:rsid w:val="00DA0FA7"/>
    <w:rsid w:val="00DA12B0"/>
    <w:rsid w:val="00DA1DDE"/>
    <w:rsid w:val="00DA2BA0"/>
    <w:rsid w:val="00DA39AD"/>
    <w:rsid w:val="00DA5B13"/>
    <w:rsid w:val="00DA60EE"/>
    <w:rsid w:val="00DA6917"/>
    <w:rsid w:val="00DA6926"/>
    <w:rsid w:val="00DA766B"/>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434"/>
    <w:rsid w:val="00DC7822"/>
    <w:rsid w:val="00DC7AF1"/>
    <w:rsid w:val="00DD15A4"/>
    <w:rsid w:val="00DD2CDA"/>
    <w:rsid w:val="00DD2D92"/>
    <w:rsid w:val="00DD3026"/>
    <w:rsid w:val="00DD33DC"/>
    <w:rsid w:val="00DD3BB0"/>
    <w:rsid w:val="00DD469A"/>
    <w:rsid w:val="00DD61F5"/>
    <w:rsid w:val="00DD6E62"/>
    <w:rsid w:val="00DD7418"/>
    <w:rsid w:val="00DE024E"/>
    <w:rsid w:val="00DE0F3E"/>
    <w:rsid w:val="00DE1802"/>
    <w:rsid w:val="00DE2FCB"/>
    <w:rsid w:val="00DE64A6"/>
    <w:rsid w:val="00DE66EB"/>
    <w:rsid w:val="00DE7035"/>
    <w:rsid w:val="00DE7D3C"/>
    <w:rsid w:val="00DF12E3"/>
    <w:rsid w:val="00DF1389"/>
    <w:rsid w:val="00DF2A20"/>
    <w:rsid w:val="00DF331F"/>
    <w:rsid w:val="00DF3F1D"/>
    <w:rsid w:val="00DF595C"/>
    <w:rsid w:val="00DF7EA7"/>
    <w:rsid w:val="00E04548"/>
    <w:rsid w:val="00E0484E"/>
    <w:rsid w:val="00E063F8"/>
    <w:rsid w:val="00E114D6"/>
    <w:rsid w:val="00E1166E"/>
    <w:rsid w:val="00E11DBD"/>
    <w:rsid w:val="00E13211"/>
    <w:rsid w:val="00E13CAD"/>
    <w:rsid w:val="00E13D5F"/>
    <w:rsid w:val="00E14E16"/>
    <w:rsid w:val="00E15AA9"/>
    <w:rsid w:val="00E16FB5"/>
    <w:rsid w:val="00E179D6"/>
    <w:rsid w:val="00E2022C"/>
    <w:rsid w:val="00E21407"/>
    <w:rsid w:val="00E22668"/>
    <w:rsid w:val="00E227D3"/>
    <w:rsid w:val="00E22BFF"/>
    <w:rsid w:val="00E22CB0"/>
    <w:rsid w:val="00E23798"/>
    <w:rsid w:val="00E2585D"/>
    <w:rsid w:val="00E25DBD"/>
    <w:rsid w:val="00E25FA2"/>
    <w:rsid w:val="00E2723D"/>
    <w:rsid w:val="00E27C77"/>
    <w:rsid w:val="00E304EB"/>
    <w:rsid w:val="00E3179E"/>
    <w:rsid w:val="00E32AC9"/>
    <w:rsid w:val="00E349F3"/>
    <w:rsid w:val="00E354DA"/>
    <w:rsid w:val="00E354F5"/>
    <w:rsid w:val="00E3687E"/>
    <w:rsid w:val="00E36E38"/>
    <w:rsid w:val="00E40026"/>
    <w:rsid w:val="00E40760"/>
    <w:rsid w:val="00E40974"/>
    <w:rsid w:val="00E40AAB"/>
    <w:rsid w:val="00E41205"/>
    <w:rsid w:val="00E41F32"/>
    <w:rsid w:val="00E42608"/>
    <w:rsid w:val="00E43536"/>
    <w:rsid w:val="00E43DA3"/>
    <w:rsid w:val="00E44B80"/>
    <w:rsid w:val="00E45938"/>
    <w:rsid w:val="00E47430"/>
    <w:rsid w:val="00E50FB7"/>
    <w:rsid w:val="00E518B0"/>
    <w:rsid w:val="00E5199F"/>
    <w:rsid w:val="00E526DF"/>
    <w:rsid w:val="00E52E4B"/>
    <w:rsid w:val="00E53C15"/>
    <w:rsid w:val="00E54EE6"/>
    <w:rsid w:val="00E56715"/>
    <w:rsid w:val="00E56C2C"/>
    <w:rsid w:val="00E57F8E"/>
    <w:rsid w:val="00E602A8"/>
    <w:rsid w:val="00E611C8"/>
    <w:rsid w:val="00E6344A"/>
    <w:rsid w:val="00E63FC5"/>
    <w:rsid w:val="00E64E69"/>
    <w:rsid w:val="00E64FB7"/>
    <w:rsid w:val="00E6558B"/>
    <w:rsid w:val="00E669A1"/>
    <w:rsid w:val="00E679BA"/>
    <w:rsid w:val="00E67ED3"/>
    <w:rsid w:val="00E70243"/>
    <w:rsid w:val="00E72CC6"/>
    <w:rsid w:val="00E73D44"/>
    <w:rsid w:val="00E73E92"/>
    <w:rsid w:val="00E740B2"/>
    <w:rsid w:val="00E7494A"/>
    <w:rsid w:val="00E74BE2"/>
    <w:rsid w:val="00E74C66"/>
    <w:rsid w:val="00E75933"/>
    <w:rsid w:val="00E76176"/>
    <w:rsid w:val="00E76421"/>
    <w:rsid w:val="00E77A1B"/>
    <w:rsid w:val="00E808BE"/>
    <w:rsid w:val="00E81E36"/>
    <w:rsid w:val="00E81E40"/>
    <w:rsid w:val="00E82ECE"/>
    <w:rsid w:val="00E8713B"/>
    <w:rsid w:val="00E90774"/>
    <w:rsid w:val="00E90C61"/>
    <w:rsid w:val="00E9265F"/>
    <w:rsid w:val="00E92A82"/>
    <w:rsid w:val="00E92AA8"/>
    <w:rsid w:val="00E9344E"/>
    <w:rsid w:val="00E93E39"/>
    <w:rsid w:val="00E94391"/>
    <w:rsid w:val="00E949FC"/>
    <w:rsid w:val="00E95BD2"/>
    <w:rsid w:val="00E97E2B"/>
    <w:rsid w:val="00EA08CA"/>
    <w:rsid w:val="00EA0C0C"/>
    <w:rsid w:val="00EA2AEA"/>
    <w:rsid w:val="00EA332B"/>
    <w:rsid w:val="00EA3D36"/>
    <w:rsid w:val="00EA40AA"/>
    <w:rsid w:val="00EA57E2"/>
    <w:rsid w:val="00EA5970"/>
    <w:rsid w:val="00EA7186"/>
    <w:rsid w:val="00EB018B"/>
    <w:rsid w:val="00EB1003"/>
    <w:rsid w:val="00EB167E"/>
    <w:rsid w:val="00EB24ED"/>
    <w:rsid w:val="00EB2A00"/>
    <w:rsid w:val="00EB309B"/>
    <w:rsid w:val="00EB3AA2"/>
    <w:rsid w:val="00EB4763"/>
    <w:rsid w:val="00EB5025"/>
    <w:rsid w:val="00EB6CB7"/>
    <w:rsid w:val="00EC078B"/>
    <w:rsid w:val="00EC07A0"/>
    <w:rsid w:val="00EC08E4"/>
    <w:rsid w:val="00EC3CB4"/>
    <w:rsid w:val="00EC443E"/>
    <w:rsid w:val="00EC4D83"/>
    <w:rsid w:val="00EC4EEE"/>
    <w:rsid w:val="00EC634F"/>
    <w:rsid w:val="00EC6596"/>
    <w:rsid w:val="00EC6848"/>
    <w:rsid w:val="00EC6C6E"/>
    <w:rsid w:val="00EC7B97"/>
    <w:rsid w:val="00ED049C"/>
    <w:rsid w:val="00ED07B7"/>
    <w:rsid w:val="00ED19D7"/>
    <w:rsid w:val="00ED2167"/>
    <w:rsid w:val="00ED351E"/>
    <w:rsid w:val="00ED4B27"/>
    <w:rsid w:val="00ED543C"/>
    <w:rsid w:val="00ED6BA4"/>
    <w:rsid w:val="00ED7DA7"/>
    <w:rsid w:val="00EE0598"/>
    <w:rsid w:val="00EE234D"/>
    <w:rsid w:val="00EE311C"/>
    <w:rsid w:val="00EE56FF"/>
    <w:rsid w:val="00EE5886"/>
    <w:rsid w:val="00EE5FBF"/>
    <w:rsid w:val="00EE6472"/>
    <w:rsid w:val="00EE6E8B"/>
    <w:rsid w:val="00EE76F2"/>
    <w:rsid w:val="00EF0769"/>
    <w:rsid w:val="00EF0D7C"/>
    <w:rsid w:val="00EF314C"/>
    <w:rsid w:val="00EF383B"/>
    <w:rsid w:val="00EF40E2"/>
    <w:rsid w:val="00EF4961"/>
    <w:rsid w:val="00EF61C1"/>
    <w:rsid w:val="00EF66A2"/>
    <w:rsid w:val="00EF6E68"/>
    <w:rsid w:val="00EF76DB"/>
    <w:rsid w:val="00F005FD"/>
    <w:rsid w:val="00F016BE"/>
    <w:rsid w:val="00F02C04"/>
    <w:rsid w:val="00F033EC"/>
    <w:rsid w:val="00F03AF1"/>
    <w:rsid w:val="00F040D3"/>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516"/>
    <w:rsid w:val="00F22D3C"/>
    <w:rsid w:val="00F23D66"/>
    <w:rsid w:val="00F24E6F"/>
    <w:rsid w:val="00F26069"/>
    <w:rsid w:val="00F26B7E"/>
    <w:rsid w:val="00F27D7D"/>
    <w:rsid w:val="00F3002B"/>
    <w:rsid w:val="00F30477"/>
    <w:rsid w:val="00F30BC9"/>
    <w:rsid w:val="00F32462"/>
    <w:rsid w:val="00F32741"/>
    <w:rsid w:val="00F32FF7"/>
    <w:rsid w:val="00F3308E"/>
    <w:rsid w:val="00F33EDE"/>
    <w:rsid w:val="00F3568B"/>
    <w:rsid w:val="00F377CD"/>
    <w:rsid w:val="00F40C3B"/>
    <w:rsid w:val="00F40CE0"/>
    <w:rsid w:val="00F42DBC"/>
    <w:rsid w:val="00F4308D"/>
    <w:rsid w:val="00F43F80"/>
    <w:rsid w:val="00F44012"/>
    <w:rsid w:val="00F44430"/>
    <w:rsid w:val="00F44947"/>
    <w:rsid w:val="00F4525B"/>
    <w:rsid w:val="00F458EF"/>
    <w:rsid w:val="00F469F8"/>
    <w:rsid w:val="00F47121"/>
    <w:rsid w:val="00F47611"/>
    <w:rsid w:val="00F4775D"/>
    <w:rsid w:val="00F47D3B"/>
    <w:rsid w:val="00F50160"/>
    <w:rsid w:val="00F504DD"/>
    <w:rsid w:val="00F50874"/>
    <w:rsid w:val="00F516C6"/>
    <w:rsid w:val="00F52221"/>
    <w:rsid w:val="00F52B28"/>
    <w:rsid w:val="00F536BB"/>
    <w:rsid w:val="00F53755"/>
    <w:rsid w:val="00F53E59"/>
    <w:rsid w:val="00F5475B"/>
    <w:rsid w:val="00F5477E"/>
    <w:rsid w:val="00F574D0"/>
    <w:rsid w:val="00F57AC8"/>
    <w:rsid w:val="00F6031F"/>
    <w:rsid w:val="00F61664"/>
    <w:rsid w:val="00F61B99"/>
    <w:rsid w:val="00F63DC6"/>
    <w:rsid w:val="00F640E3"/>
    <w:rsid w:val="00F64C45"/>
    <w:rsid w:val="00F6502B"/>
    <w:rsid w:val="00F6612A"/>
    <w:rsid w:val="00F66724"/>
    <w:rsid w:val="00F66A38"/>
    <w:rsid w:val="00F67F04"/>
    <w:rsid w:val="00F70207"/>
    <w:rsid w:val="00F702CB"/>
    <w:rsid w:val="00F7069F"/>
    <w:rsid w:val="00F71AC2"/>
    <w:rsid w:val="00F71C82"/>
    <w:rsid w:val="00F73194"/>
    <w:rsid w:val="00F739D4"/>
    <w:rsid w:val="00F75453"/>
    <w:rsid w:val="00F77D43"/>
    <w:rsid w:val="00F77D99"/>
    <w:rsid w:val="00F80953"/>
    <w:rsid w:val="00F80B5C"/>
    <w:rsid w:val="00F81312"/>
    <w:rsid w:val="00F81B90"/>
    <w:rsid w:val="00F81E6F"/>
    <w:rsid w:val="00F82FF3"/>
    <w:rsid w:val="00F8453C"/>
    <w:rsid w:val="00F84D4C"/>
    <w:rsid w:val="00F8657D"/>
    <w:rsid w:val="00F8730F"/>
    <w:rsid w:val="00F87897"/>
    <w:rsid w:val="00F87DA3"/>
    <w:rsid w:val="00F90004"/>
    <w:rsid w:val="00F9088B"/>
    <w:rsid w:val="00F90EF4"/>
    <w:rsid w:val="00F917BF"/>
    <w:rsid w:val="00F920B4"/>
    <w:rsid w:val="00F9260D"/>
    <w:rsid w:val="00F92727"/>
    <w:rsid w:val="00F93CCF"/>
    <w:rsid w:val="00F94307"/>
    <w:rsid w:val="00F9580B"/>
    <w:rsid w:val="00F95F15"/>
    <w:rsid w:val="00F965EE"/>
    <w:rsid w:val="00F975CA"/>
    <w:rsid w:val="00FA0B60"/>
    <w:rsid w:val="00FA0C60"/>
    <w:rsid w:val="00FA2528"/>
    <w:rsid w:val="00FA3AC5"/>
    <w:rsid w:val="00FA51C7"/>
    <w:rsid w:val="00FA5524"/>
    <w:rsid w:val="00FA5535"/>
    <w:rsid w:val="00FA7206"/>
    <w:rsid w:val="00FA7EFB"/>
    <w:rsid w:val="00FB0816"/>
    <w:rsid w:val="00FB08C2"/>
    <w:rsid w:val="00FB133C"/>
    <w:rsid w:val="00FB3DD1"/>
    <w:rsid w:val="00FB51FD"/>
    <w:rsid w:val="00FB5667"/>
    <w:rsid w:val="00FB5F3C"/>
    <w:rsid w:val="00FB5FB9"/>
    <w:rsid w:val="00FB7A97"/>
    <w:rsid w:val="00FC1601"/>
    <w:rsid w:val="00FC1B9B"/>
    <w:rsid w:val="00FC318D"/>
    <w:rsid w:val="00FC36CF"/>
    <w:rsid w:val="00FC40BC"/>
    <w:rsid w:val="00FC41FC"/>
    <w:rsid w:val="00FC4F6E"/>
    <w:rsid w:val="00FC506C"/>
    <w:rsid w:val="00FC53A9"/>
    <w:rsid w:val="00FC578C"/>
    <w:rsid w:val="00FC5A37"/>
    <w:rsid w:val="00FC7836"/>
    <w:rsid w:val="00FD13EA"/>
    <w:rsid w:val="00FD5EC4"/>
    <w:rsid w:val="00FD6AB7"/>
    <w:rsid w:val="00FD7858"/>
    <w:rsid w:val="00FD7A8D"/>
    <w:rsid w:val="00FE1330"/>
    <w:rsid w:val="00FE17AA"/>
    <w:rsid w:val="00FE1CE5"/>
    <w:rsid w:val="00FE2832"/>
    <w:rsid w:val="00FE2D38"/>
    <w:rsid w:val="00FE3929"/>
    <w:rsid w:val="00FE3E32"/>
    <w:rsid w:val="00FE5152"/>
    <w:rsid w:val="00FE7A7C"/>
    <w:rsid w:val="00FF015B"/>
    <w:rsid w:val="00FF097B"/>
    <w:rsid w:val="00FF0B6E"/>
    <w:rsid w:val="00FF137D"/>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qFormat/>
    <w:rsid w:val="00646C30"/>
    <w:rPr>
      <w:rFonts w:ascii="Arial" w:hAnsi="Arial"/>
      <w:szCs w:val="24"/>
      <w:lang w:eastAsia="de-DE"/>
    </w:rPr>
  </w:style>
  <w:style w:type="paragraph" w:styleId="Otsikko1">
    <w:name w:val="heading 1"/>
    <w:basedOn w:val="Normaali"/>
    <w:next w:val="Normaali"/>
    <w:link w:val="Otsikko1Char"/>
    <w:qFormat/>
    <w:locked/>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lock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Paragraphe de liste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jc w:val="both"/>
    </w:pPr>
    <w:rPr>
      <w:b/>
      <w:szCs w:val="20"/>
      <w:u w:val="single"/>
    </w:rPr>
  </w:style>
  <w:style w:type="paragraph" w:customStyle="1" w:styleId="Bullet">
    <w:name w:val="Bullet"/>
    <w:basedOn w:val="Normaali"/>
    <w:locked/>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ali"/>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ali"/>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ali"/>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ali"/>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ali"/>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locked/>
    <w:rsid w:val="000D2D0B"/>
    <w:pPr>
      <w:spacing w:after="240"/>
    </w:pPr>
    <w:rPr>
      <w:rFonts w:ascii="Times New Roman" w:hAnsi="Times New Roman"/>
      <w:sz w:val="24"/>
      <w:lang w:eastAsia="en-US"/>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locked/>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locked/>
    <w:rsid w:val="000D2D0B"/>
    <w:rPr>
      <w:rFonts w:cs="Arial"/>
      <w:sz w:val="24"/>
      <w:lang w:eastAsia="en-US"/>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ali"/>
    <w:locked/>
    <w:rsid w:val="000D2D0B"/>
    <w:pPr>
      <w:jc w:val="center"/>
    </w:pPr>
    <w:rPr>
      <w:rFonts w:ascii="Times New Roman" w:hAnsi="Times New Roman"/>
      <w:b/>
      <w:sz w:val="24"/>
      <w:lang w:eastAsia="en-US"/>
    </w:rPr>
  </w:style>
  <w:style w:type="paragraph" w:customStyle="1" w:styleId="Statut">
    <w:name w:val="Statut"/>
    <w:basedOn w:val="Normaali"/>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locked/>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ali"/>
    <w:locked/>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lang w:eastAsia="en-US"/>
    </w:rPr>
  </w:style>
  <w:style w:type="paragraph" w:styleId="Numeroituluettelo2">
    <w:name w:val="List Number 2"/>
    <w:basedOn w:val="Normaali"/>
    <w:locked/>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locked/>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eastAsia="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9577632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66314AC7F93D1345834C91C8E0A9A4A7" ma:contentTypeVersion="5" ma:contentTypeDescription="Luo uusi asiakirja." ma:contentTypeScope="" ma:versionID="717efaea538a894c5c7b7c6489e5d90b">
  <xsd:schema xmlns:xsd="http://www.w3.org/2001/XMLSchema" xmlns:xs="http://www.w3.org/2001/XMLSchema" xmlns:p="http://schemas.microsoft.com/office/2006/metadata/properties" xmlns:ns3="454084a1-fb38-4eb2-94d9-ac7f6ed41225" targetNamespace="http://schemas.microsoft.com/office/2006/metadata/properties" ma:root="true" ma:fieldsID="0d835c0b92b5e7bff52b686cf5749c36" ns3:_="">
    <xsd:import namespace="454084a1-fb38-4eb2-94d9-ac7f6ed41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84a1-fb38-4eb2-94d9-ac7f6ed41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6C729230-C063-4A82-8DEB-6DDD3E7955C0}">
  <ds:schemaRefs>
    <ds:schemaRef ds:uri="http://schemas.openxmlformats.org/officeDocument/2006/bibliography"/>
  </ds:schemaRefs>
</ds:datastoreItem>
</file>

<file path=customXml/itemProps4.xml><?xml version="1.0" encoding="utf-8"?>
<ds:datastoreItem xmlns:ds="http://schemas.openxmlformats.org/officeDocument/2006/customXml" ds:itemID="{C8D8E6BE-9588-47F4-930F-8ADEBE560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84a1-fb38-4eb2-94d9-ac7f6ed4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CF0F4F-332D-4296-8854-95C09972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24</Pages>
  <Words>6223</Words>
  <Characters>50411</Characters>
  <Application>Microsoft Office Word</Application>
  <DocSecurity>8</DocSecurity>
  <Lines>420</Lines>
  <Paragraphs>113</Paragraphs>
  <ScaleCrop>false</ScaleCrop>
  <HeadingPairs>
    <vt:vector size="12" baseType="variant">
      <vt:variant>
        <vt:lpstr>Otsikko</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56521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Ville Kajala</cp:lastModifiedBy>
  <cp:revision>505</cp:revision>
  <cp:lastPrinted>2015-02-18T11:01:00Z</cp:lastPrinted>
  <dcterms:created xsi:type="dcterms:W3CDTF">2019-11-26T07:09:00Z</dcterms:created>
  <dcterms:modified xsi:type="dcterms:W3CDTF">2019-11-29T10:39:00Z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0x01010066314AC7F93D1345834C91C8E0A9A4A7</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