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335FABB8" w:rsidR="00C2682A" w:rsidRPr="00AB6D88" w:rsidRDefault="005F3DC7" w:rsidP="005F3DC7">
                <w:pPr>
                  <w:rPr>
                    <w:rStyle w:val="PlaceholderText"/>
                    <w:rFonts w:cs="Arial"/>
                  </w:rPr>
                </w:pPr>
                <w:r>
                  <w:rPr>
                    <w:rStyle w:val="PlaceholderText"/>
                    <w:rFonts w:cs="Arial"/>
                  </w:rPr>
                  <w:t>Fastmarkets</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1CECD8AB" w:rsidR="00C2682A" w:rsidRPr="00AB6D88" w:rsidRDefault="00BA6A8E" w:rsidP="005F3DC7">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F3DC7">
                  <w:rPr>
                    <w:rFonts w:cs="Arial"/>
                  </w:rPr>
                  <w:t>Non-financial counterparty</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05780E2D" w:rsidR="00C2682A" w:rsidRPr="00AB6D88" w:rsidRDefault="005F3DC7"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77777777" w:rsidR="00C2682A" w:rsidRPr="00AB6D88" w:rsidRDefault="00C2682A" w:rsidP="00FA5524">
                <w:pPr>
                  <w:rPr>
                    <w:rFonts w:cs="Arial"/>
                  </w:rPr>
                </w:pPr>
                <w:r w:rsidRPr="00AB6D88">
                  <w:rPr>
                    <w:rStyle w:val="PlaceholderText"/>
                    <w:rFonts w:cs="Arial"/>
                  </w:rPr>
                  <w:t>Choose an item.</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6B0ECF2F" w14:textId="77777777" w:rsidR="006C5AFB" w:rsidRDefault="005F3DC7" w:rsidP="005F3DC7">
      <w:permStart w:id="1594194160" w:edGrp="everyone"/>
      <w:r>
        <w:t xml:space="preserve">Fastmarkets </w:t>
      </w:r>
      <w:r>
        <w:t>has over 130 years of specialist commod</w:t>
      </w:r>
      <w:r>
        <w:t xml:space="preserve">ity </w:t>
      </w:r>
      <w:r w:rsidR="006C5AFB">
        <w:t xml:space="preserve">and price reporting agency (PRA) </w:t>
      </w:r>
      <w:r>
        <w:t>expertise</w:t>
      </w:r>
      <w:r w:rsidR="006C5AFB">
        <w:t>. Since 1882,</w:t>
      </w:r>
      <w:r>
        <w:t xml:space="preserve"> </w:t>
      </w:r>
      <w:r w:rsidR="006C5AFB">
        <w:t xml:space="preserve">we have </w:t>
      </w:r>
      <w:r>
        <w:t>work</w:t>
      </w:r>
      <w:r w:rsidR="006C5AFB">
        <w:t>ed</w:t>
      </w:r>
      <w:r>
        <w:t xml:space="preserve"> </w:t>
      </w:r>
      <w:r w:rsidRPr="005F3DC7">
        <w:t>with those involved in the buying, selling and trading of commodities</w:t>
      </w:r>
      <w:r>
        <w:t xml:space="preserve"> to deliver market-reflective prices and insights</w:t>
      </w:r>
      <w:r w:rsidR="006C5AFB">
        <w:t xml:space="preserve">. In October 2018, we have rebranded </w:t>
      </w:r>
      <w:r>
        <w:t xml:space="preserve">to unify our </w:t>
      </w:r>
      <w:r w:rsidR="006C5AFB">
        <w:t xml:space="preserve">PRA </w:t>
      </w:r>
      <w:r>
        <w:t>business</w:t>
      </w:r>
      <w:r w:rsidR="006C5AFB">
        <w:t>es (Metal Bulletin. American Metal Markets, Fastmarkets, Industrial Minerals, RISI, FOEX, Random Length, etc) under the umbrella name of Fastmarkets</w:t>
      </w:r>
      <w:r>
        <w:t>.</w:t>
      </w:r>
    </w:p>
    <w:p w14:paraId="1F555312" w14:textId="3484F098" w:rsidR="005F3DC7" w:rsidRDefault="005F3DC7" w:rsidP="005F3DC7">
      <w:r>
        <w:t xml:space="preserve"> </w:t>
      </w:r>
    </w:p>
    <w:p w14:paraId="05E7687B" w14:textId="27387FB8" w:rsidR="005F3DC7" w:rsidRDefault="006C5AFB" w:rsidP="006C5AFB">
      <w:r>
        <w:t xml:space="preserve">Our global team of over 160 price reporters provide over 5,000 proprietary prices, which are used </w:t>
      </w:r>
      <w:r>
        <w:t xml:space="preserve">as reference or benchmark in </w:t>
      </w:r>
      <w:r>
        <w:t>both physical and financial contracts.</w:t>
      </w:r>
      <w:r>
        <w:t xml:space="preserve"> We have a number of prices used for settlement by global exchanges in cash-settled contracts. Our </w:t>
      </w:r>
      <w:r w:rsidR="005F3DC7" w:rsidRPr="005F3DC7">
        <w:t>pricing data is backed by transparent methodologies</w:t>
      </w:r>
      <w:r>
        <w:t xml:space="preserve"> and robust pricing processes and our key prices have been externally audited as compliant with the IOSCO principles for PRAs.</w:t>
      </w:r>
    </w:p>
    <w:p w14:paraId="548618C5" w14:textId="77777777" w:rsidR="005F3DC7" w:rsidRDefault="005F3DC7" w:rsidP="00F87897"/>
    <w:p w14:paraId="31C6A411" w14:textId="77777777" w:rsidR="005F3DC7" w:rsidRDefault="005F3DC7" w:rsidP="005F3DC7">
      <w:r>
        <w:t xml:space="preserve">Our responses below are confined to the questions in Section 3.2 on “The Scope of Application of the benchmark provisions”. </w:t>
      </w:r>
    </w:p>
    <w:p w14:paraId="2C910016" w14:textId="77777777" w:rsidR="005F3DC7" w:rsidRDefault="005F3DC7" w:rsidP="005F3DC7"/>
    <w:p w14:paraId="51BD12A6" w14:textId="77777777" w:rsidR="005F3DC7" w:rsidRDefault="005F3DC7" w:rsidP="005F3DC7">
      <w:r>
        <w:t xml:space="preserve">The Consultation Paper only takes account of the BMR’s Title II regime. ESMA’s proposals, if ever applied to Annex II benchmark administrators and supervised contributors, would be inconsistent with the BMR and IOSCO’s PRA Principles. </w:t>
      </w:r>
    </w:p>
    <w:p w14:paraId="5D814F28" w14:textId="77777777" w:rsidR="005F3DC7" w:rsidRDefault="005F3DC7" w:rsidP="005F3DC7"/>
    <w:p w14:paraId="3C3E0A27" w14:textId="44C69E1A" w:rsidR="00F87897" w:rsidRDefault="005F3DC7" w:rsidP="00F87897">
      <w:r>
        <w:t>FM’s main request is for ESMA to ensure that its proposals align not only with BMR Title II, but also with Annex II for commodity benchmarks. This is essential for maintaining the integrity of FM’s benchmarks.</w:t>
      </w:r>
      <w:r>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95C41E0" w14:textId="77777777" w:rsidR="006C5AFB" w:rsidRDefault="006C5AFB" w:rsidP="006C5AFB">
      <w:permStart w:id="1114596086" w:edGrp="everyone"/>
      <w:r>
        <w:t xml:space="preserve">ESMA’s analysis relates to the BMR’s Title II regime and does not refer to Annex II, which is the regime that applies to FM and its contributors. </w:t>
      </w:r>
    </w:p>
    <w:p w14:paraId="2357F4A9" w14:textId="77777777" w:rsidR="006C5AFB" w:rsidRDefault="006C5AFB" w:rsidP="006C5AFB"/>
    <w:p w14:paraId="3C3E0A36" w14:textId="51F1CDBF" w:rsidR="002E1760" w:rsidRDefault="006C5AFB" w:rsidP="002E1760">
      <w:r>
        <w:t>We ask ESMA to ensure that its final proposals take full account of Annex II as this is vital to ensure the contin</w:t>
      </w:r>
      <w:r>
        <w:t>ued integrity of PRA benchmarks.</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43257D99" w14:textId="019B3E31" w:rsidR="006C5AFB" w:rsidRDefault="006C5AFB" w:rsidP="006C5AFB">
      <w:permStart w:id="1507552575" w:edGrp="everyone"/>
      <w:r>
        <w:t>Once again, we feel the need to point out that ESMA’s analysis, which is based on BMR’s Title II regime, is not appropriate for Annex II administrators and their supervised contributors.</w:t>
      </w:r>
      <w:r>
        <w:br/>
      </w:r>
      <w:r>
        <w:t xml:space="preserve">  </w:t>
      </w:r>
    </w:p>
    <w:p w14:paraId="3C3E0A3B" w14:textId="105039CA" w:rsidR="002E1760" w:rsidRDefault="006C5AFB" w:rsidP="002E1760">
      <w:r>
        <w:t>For example, one of the most important differences between the Title II and Annex II regimes is that Annex II places no obligations on supervised contributors. We could not support ESMA’s proposals to extend administrative sanctions to supervised contributors, if this were to apply also to contributors to Annex II benchmarks, since as IOSCO and others have warned, this could deter them from continuing to make their voluntary contributions.</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lastRenderedPageBreak/>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0AA88EBE" w14:textId="5EEC9A6A" w:rsidR="006C5AFB" w:rsidRDefault="006C5AFB" w:rsidP="006C5AFB">
      <w:permStart w:id="325415610" w:edGrp="everyone"/>
      <w:r>
        <w:t>Once again, ESMA’s proposals are based exclusively on the Title II regime for financial benchmarks, which does not apply to FM and its supervised contributors.</w:t>
      </w:r>
      <w:r>
        <w:br/>
      </w:r>
    </w:p>
    <w:p w14:paraId="3C3E0A40" w14:textId="7F78B875" w:rsidR="00227C1A" w:rsidRDefault="006C5AFB" w:rsidP="00227C1A">
      <w:r>
        <w:t>We ask ESMA to ensure that its final proposals take full account of the Annex II regime. We are particularly concerned about the negative impacts of the proposals for the continued willingness of supervised contributors to make their voluntary contributions to Annex II benchmarks.</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15C79EEF" w14:textId="2E321449" w:rsidR="006C5AFB" w:rsidRDefault="006C5AFB" w:rsidP="006C5AFB">
      <w:permStart w:id="970343703" w:edGrp="everyone"/>
      <w:r>
        <w:t>ESMA’s proposals do not take account of BMR Annex II and are inconsistent with it. Annex II imposes no obligations over supervised contributors to Annex II benchmarks.</w:t>
      </w:r>
      <w:r>
        <w:br/>
      </w:r>
      <w:bookmarkStart w:id="3" w:name="_GoBack"/>
      <w:bookmarkEnd w:id="3"/>
    </w:p>
    <w:p w14:paraId="3C3E0A45" w14:textId="315CFF20" w:rsidR="0062022D" w:rsidRDefault="006C5AFB" w:rsidP="0062022D">
      <w:r>
        <w:t>Secondly, we ask ESMA to bear in mind that FM’s assessors are journalists who also supply news and analysis on commodity markets, operating under editorial codes of conduct. They are independent of the markets they cover and should not be treated as financial services profes</w:t>
      </w:r>
      <w:r>
        <w:t>sionals.</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lastRenderedPageBreak/>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lastRenderedPageBreak/>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lastRenderedPageBreak/>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lastRenderedPageBreak/>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lastRenderedPageBreak/>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lastRenderedPageBreak/>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lastRenderedPageBreak/>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lastRenderedPageBreak/>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0B94" w14:textId="77777777" w:rsidR="002D08B8" w:rsidRDefault="002D08B8">
      <w:r>
        <w:separator/>
      </w:r>
    </w:p>
    <w:p w14:paraId="3C3E0B95" w14:textId="77777777" w:rsidR="002D08B8" w:rsidRDefault="002D08B8"/>
  </w:endnote>
  <w:endnote w:type="continuationSeparator" w:id="0">
    <w:p w14:paraId="3C3E0B96" w14:textId="77777777" w:rsidR="002D08B8" w:rsidRDefault="002D08B8">
      <w:r>
        <w:continuationSeparator/>
      </w:r>
    </w:p>
    <w:p w14:paraId="3C3E0B97" w14:textId="77777777" w:rsidR="002D08B8" w:rsidRDefault="002D08B8"/>
  </w:endnote>
  <w:endnote w:type="continuationNotice" w:id="1">
    <w:p w14:paraId="3C3E0B98" w14:textId="77777777" w:rsidR="002D08B8" w:rsidRDefault="002D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5AC18BF3"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A6A8E">
            <w:rPr>
              <w:rFonts w:cs="Arial"/>
              <w:noProof/>
              <w:sz w:val="22"/>
              <w:szCs w:val="22"/>
            </w:rPr>
            <w:t>8</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0B8F" w14:textId="77777777" w:rsidR="002D08B8" w:rsidRDefault="002D08B8">
      <w:r>
        <w:separator/>
      </w:r>
    </w:p>
    <w:p w14:paraId="3C3E0B90" w14:textId="77777777" w:rsidR="002D08B8" w:rsidRDefault="002D08B8"/>
  </w:footnote>
  <w:footnote w:type="continuationSeparator" w:id="0">
    <w:p w14:paraId="3C3E0B91" w14:textId="77777777" w:rsidR="002D08B8" w:rsidRDefault="002D08B8">
      <w:r>
        <w:continuationSeparator/>
      </w:r>
    </w:p>
    <w:p w14:paraId="3C3E0B92" w14:textId="77777777" w:rsidR="002D08B8" w:rsidRDefault="002D08B8"/>
  </w:footnote>
  <w:footnote w:type="continuationNotice" w:id="1">
    <w:p w14:paraId="3C3E0B93" w14:textId="77777777" w:rsidR="002D08B8" w:rsidRDefault="002D0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FA5524" w:rsidRDefault="00FA55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44B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FA5524" w:rsidRDefault="00FA55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96A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DC7"/>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AFB"/>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A8E"/>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8445324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5659032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5A7939CFF7CC44B00C75CCAD1D0E9E" ma:contentTypeVersion="11" ma:contentTypeDescription="Create a new document." ma:contentTypeScope="" ma:versionID="7f1ed1e13d535375fc94e3bc13a32b0f">
  <xsd:schema xmlns:xsd="http://www.w3.org/2001/XMLSchema" xmlns:xs="http://www.w3.org/2001/XMLSchema" xmlns:p="http://schemas.microsoft.com/office/2006/metadata/properties" xmlns:ns3="c187190c-02b3-43dd-b300-402acb4c4fe5" xmlns:ns4="09f55b15-2a27-41ff-ac0f-c8103a54e465" targetNamespace="http://schemas.microsoft.com/office/2006/metadata/properties" ma:root="true" ma:fieldsID="afb7a3d0a745c9d511f048af29cf2a94" ns3:_="" ns4:_="">
    <xsd:import namespace="c187190c-02b3-43dd-b300-402acb4c4fe5"/>
    <xsd:import namespace="09f55b15-2a27-41ff-ac0f-c8103a54e4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7190c-02b3-43dd-b300-402acb4c4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55b15-2a27-41ff-ac0f-c8103a54e4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187190c-02b3-43dd-b300-402acb4c4fe5"/>
    <ds:schemaRef ds:uri="09f55b15-2a27-41ff-ac0f-c8103a54e465"/>
    <ds:schemaRef ds:uri="http://www.w3.org/XML/1998/namespace"/>
    <ds:schemaRef ds:uri="http://purl.org/dc/dcmitype/"/>
  </ds:schemaRefs>
</ds:datastoreItem>
</file>

<file path=customXml/itemProps3.xml><?xml version="1.0" encoding="utf-8"?>
<ds:datastoreItem xmlns:ds="http://schemas.openxmlformats.org/officeDocument/2006/customXml" ds:itemID="{923ACBE1-7E59-4E7A-9540-9CD7CE65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7190c-02b3-43dd-b300-402acb4c4fe5"/>
    <ds:schemaRef ds:uri="09f55b15-2a27-41ff-ac0f-c8103a54e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FA4C1-0701-4BDC-9281-B06A1B7D408D}">
  <ds:schemaRefs>
    <ds:schemaRef ds:uri="http://schemas.openxmlformats.org/officeDocument/2006/bibliography"/>
  </ds:schemaRefs>
</ds:datastoreItem>
</file>

<file path=customXml/itemProps5.xml><?xml version="1.0" encoding="utf-8"?>
<ds:datastoreItem xmlns:ds="http://schemas.openxmlformats.org/officeDocument/2006/customXml" ds:itemID="{4B207B30-2350-482F-8E13-BF693E08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3741</Words>
  <Characters>21326</Characters>
  <Application>Microsoft Office Word</Application>
  <DocSecurity>8</DocSecurity>
  <Lines>177</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25017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Faye, Perrine (UK)</cp:lastModifiedBy>
  <cp:revision>2</cp:revision>
  <cp:lastPrinted>2015-02-18T11:01:00Z</cp:lastPrinted>
  <dcterms:created xsi:type="dcterms:W3CDTF">2019-11-29T16:53:00Z</dcterms:created>
  <dcterms:modified xsi:type="dcterms:W3CDTF">2019-11-29T16:53:00Z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0x0101004F5A7939CFF7CC44B00C75CCAD1D0E9E</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