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3C3E09EB" w14:textId="77777777" w:rsidTr="00315E96">
        <w:trPr>
          <w:trHeight w:val="284"/>
        </w:trPr>
        <w:tc>
          <w:tcPr>
            <w:tcW w:w="9412" w:type="dxa"/>
          </w:tcPr>
          <w:p w14:paraId="3C3E09EA" w14:textId="2FD7B092"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250827">
              <w:rPr>
                <w:rFonts w:cs="Arial"/>
                <w:color w:val="FFFFFF" w:themeColor="background1"/>
                <w:sz w:val="22"/>
                <w:szCs w:val="22"/>
              </w:rPr>
              <w:t>3</w:t>
            </w:r>
            <w:r w:rsidRPr="00583885">
              <w:rPr>
                <w:rFonts w:cs="Arial"/>
                <w:color w:val="FFFFFF" w:themeColor="background1"/>
                <w:sz w:val="22"/>
                <w:szCs w:val="22"/>
              </w:rPr>
              <w:t xml:space="preserve"> </w:t>
            </w:r>
            <w:r w:rsidR="00250827">
              <w:rPr>
                <w:rFonts w:cs="Arial"/>
                <w:color w:val="FFFFFF" w:themeColor="background1"/>
                <w:sz w:val="22"/>
                <w:szCs w:val="22"/>
              </w:rPr>
              <w:t>October</w:t>
            </w:r>
            <w:r w:rsidR="000E49B7">
              <w:rPr>
                <w:rFonts w:cs="Arial"/>
                <w:color w:val="FFFFFF" w:themeColor="background1"/>
                <w:sz w:val="22"/>
                <w:szCs w:val="22"/>
              </w:rPr>
              <w:t xml:space="preserve"> 2019</w:t>
            </w:r>
          </w:p>
        </w:tc>
      </w:tr>
    </w:tbl>
    <w:p w14:paraId="3C3E09EC"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C3E09EE" w14:textId="77777777" w:rsidTr="00B835D5">
        <w:trPr>
          <w:trHeight w:hRule="exact" w:val="1209"/>
        </w:trPr>
        <w:tc>
          <w:tcPr>
            <w:tcW w:w="9397" w:type="dxa"/>
            <w:vAlign w:val="bottom"/>
          </w:tcPr>
          <w:p w14:paraId="3C3E09ED" w14:textId="77777777" w:rsidR="00791EB4" w:rsidRPr="00616B9B"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227C1A">
              <w:rPr>
                <w:rFonts w:cs="Arial"/>
              </w:rPr>
              <w:t>MAR review report</w:t>
            </w:r>
          </w:p>
        </w:tc>
      </w:tr>
      <w:tr w:rsidR="00060F72" w:rsidRPr="00616B9B" w14:paraId="3C3E09F0" w14:textId="77777777" w:rsidTr="00B835D5">
        <w:trPr>
          <w:trHeight w:hRule="exact" w:val="605"/>
        </w:trPr>
        <w:tc>
          <w:tcPr>
            <w:tcW w:w="9397" w:type="dxa"/>
            <w:tcMar>
              <w:top w:w="142" w:type="dxa"/>
            </w:tcMar>
          </w:tcPr>
          <w:p w14:paraId="3C3E09EF"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3C3E09F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3C3E09F3" w14:textId="77777777" w:rsidTr="00315E96">
        <w:trPr>
          <w:trHeight w:hRule="exact" w:val="964"/>
        </w:trPr>
        <w:tc>
          <w:tcPr>
            <w:tcW w:w="2325" w:type="dxa"/>
          </w:tcPr>
          <w:p w14:paraId="3C3E09F2" w14:textId="2D77F543" w:rsidR="00620D7C" w:rsidRPr="00A52EBB" w:rsidRDefault="00620D7C" w:rsidP="00B1467D">
            <w:pPr>
              <w:pStyle w:val="02Date"/>
              <w:rPr>
                <w:rFonts w:cs="Arial"/>
              </w:rPr>
            </w:pPr>
            <w:r w:rsidRPr="00A52EBB">
              <w:rPr>
                <w:rFonts w:cs="Arial"/>
              </w:rPr>
              <w:lastRenderedPageBreak/>
              <w:t xml:space="preserve">Date: </w:t>
            </w:r>
            <w:r w:rsidR="00250827">
              <w:rPr>
                <w:rFonts w:cs="Arial"/>
              </w:rPr>
              <w:t>3</w:t>
            </w:r>
            <w:r w:rsidR="000E49B7">
              <w:rPr>
                <w:rFonts w:cs="Arial"/>
              </w:rPr>
              <w:t xml:space="preserve"> </w:t>
            </w:r>
            <w:r w:rsidR="00250827">
              <w:rPr>
                <w:rFonts w:cs="Arial"/>
              </w:rPr>
              <w:t>October</w:t>
            </w:r>
            <w:r w:rsidR="004E49B0" w:rsidRPr="00583885">
              <w:rPr>
                <w:rFonts w:cs="Arial"/>
              </w:rPr>
              <w:t xml:space="preserve"> 201</w:t>
            </w:r>
            <w:r w:rsidR="000E49B7">
              <w:rPr>
                <w:rFonts w:cs="Arial"/>
              </w:rPr>
              <w:t>9</w:t>
            </w:r>
          </w:p>
        </w:tc>
      </w:tr>
    </w:tbl>
    <w:p w14:paraId="3C3E09F4"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C3E09F5"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227C1A">
        <w:rPr>
          <w:rFonts w:cs="Arial"/>
        </w:rPr>
        <w:t>MAR review report</w:t>
      </w:r>
      <w:r w:rsidR="000E49B7" w:rsidRPr="000E49B7">
        <w:rPr>
          <w:rFonts w:cs="Arial"/>
        </w:rPr>
        <w:t xml:space="preserve"> </w:t>
      </w:r>
      <w:r w:rsidR="00015B5E" w:rsidRPr="00EF0769">
        <w:rPr>
          <w:rFonts w:cs="Arial"/>
        </w:rPr>
        <w:t>published on the ESMA website</w:t>
      </w:r>
      <w:r w:rsidR="004E49B0" w:rsidRPr="00EF0769">
        <w:rPr>
          <w:rFonts w:cs="Arial"/>
        </w:rPr>
        <w:t>.</w:t>
      </w:r>
    </w:p>
    <w:p w14:paraId="3C3E09F6" w14:textId="77777777" w:rsidR="001D000A" w:rsidRDefault="001D000A" w:rsidP="00F574D0">
      <w:pPr>
        <w:autoSpaceDE w:val="0"/>
        <w:autoSpaceDN w:val="0"/>
        <w:adjustRightInd w:val="0"/>
        <w:spacing w:before="120" w:after="120" w:line="276" w:lineRule="auto"/>
        <w:jc w:val="both"/>
        <w:rPr>
          <w:rStyle w:val="Strong4"/>
          <w:rFonts w:cs="Arial"/>
          <w:i/>
        </w:rPr>
      </w:pPr>
    </w:p>
    <w:p w14:paraId="3C3E09F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3C3E09F8"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3C3E09F9"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3C3E09FA" w14:textId="77777777"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CP_MAR_</w:t>
      </w:r>
      <w:r w:rsidR="000E49B7">
        <w:rPr>
          <w:rFonts w:cs="Arial"/>
        </w:rPr>
        <w:t>1</w:t>
      </w:r>
      <w:r w:rsidR="00F574D0" w:rsidRPr="00293D78">
        <w:rPr>
          <w:rFonts w:cs="Arial"/>
        </w:rPr>
        <w:t>&gt; - i.e. the response to one question has to be framed by the 2 tags corresponding to the question; and</w:t>
      </w:r>
    </w:p>
    <w:p w14:paraId="3C3E09FB"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C3E09FC"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C3E09FD"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3C3E09FE"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C3E09F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3C3E0A00"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3C3E0A01" w14:textId="77777777" w:rsidR="001D000A" w:rsidRDefault="001D000A" w:rsidP="000D17AA">
      <w:pPr>
        <w:pStyle w:val="04BodyText"/>
        <w:spacing w:before="120" w:after="120"/>
        <w:jc w:val="left"/>
        <w:rPr>
          <w:rFonts w:cs="Arial"/>
          <w:b/>
        </w:rPr>
      </w:pPr>
    </w:p>
    <w:p w14:paraId="3C3E0A02" w14:textId="77777777" w:rsidR="000D17AA" w:rsidRPr="00EF0769" w:rsidRDefault="00606240" w:rsidP="000D17AA">
      <w:pPr>
        <w:pStyle w:val="04BodyText"/>
        <w:spacing w:before="120" w:after="120"/>
        <w:jc w:val="left"/>
        <w:rPr>
          <w:rFonts w:cs="Arial"/>
          <w:b/>
        </w:rPr>
      </w:pPr>
      <w:r>
        <w:rPr>
          <w:rFonts w:cs="Arial"/>
          <w:b/>
        </w:rPr>
        <w:t>Naming protocol</w:t>
      </w:r>
    </w:p>
    <w:p w14:paraId="3C3E0A03"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3C3E0A04"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NAMEOFCOMPANY_NAMEOFDOCUMENT</w:t>
      </w:r>
      <w:r w:rsidR="000D17AA" w:rsidRPr="00EF0769">
        <w:rPr>
          <w:rFonts w:cs="Arial"/>
        </w:rPr>
        <w:t>.</w:t>
      </w:r>
    </w:p>
    <w:p w14:paraId="3C3E0A0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3C3E0A06"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 xml:space="preserve">ESMA_REPLYFORM or </w:t>
      </w:r>
    </w:p>
    <w:p w14:paraId="3C3E0A07"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ANNEX1</w:t>
      </w:r>
    </w:p>
    <w:p w14:paraId="3C3E0A08"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C3E0A0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C3E0A0A"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227C1A">
        <w:rPr>
          <w:rFonts w:cs="Arial"/>
          <w:b/>
        </w:rPr>
        <w:t>29 November</w:t>
      </w:r>
      <w:r w:rsidR="00416ABC" w:rsidRPr="00583885">
        <w:rPr>
          <w:rFonts w:cs="Arial"/>
          <w:b/>
        </w:rPr>
        <w:t xml:space="preserve"> 201</w:t>
      </w:r>
      <w:r w:rsidR="002E1760">
        <w:rPr>
          <w:rFonts w:cs="Arial"/>
          <w:b/>
        </w:rPr>
        <w:t>9</w:t>
      </w:r>
      <w:r w:rsidR="00021E83" w:rsidRPr="00EF0769">
        <w:rPr>
          <w:rFonts w:cs="Arial"/>
          <w:b/>
        </w:rPr>
        <w:t>.</w:t>
      </w:r>
    </w:p>
    <w:p w14:paraId="3C3E0A0B"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6" w:history="1">
        <w:r w:rsidRPr="005B6B12">
          <w:rPr>
            <w:rStyle w:val="Hyperlink"/>
          </w:rPr>
          <w:t>www.esma.europa.eu</w:t>
        </w:r>
      </w:hyperlink>
      <w:r w:rsidRPr="005B6B12">
        <w:t xml:space="preserve"> under the heading ‘Your input - Consultations’.</w:t>
      </w:r>
    </w:p>
    <w:p w14:paraId="3C3E0A0C"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C3E0A0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3C3E0A0E"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C3E0A0F"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3C3E0A10"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C3E0A11"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3C3E0A12"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C3E0A13" w14:textId="77777777" w:rsidR="00332304" w:rsidRDefault="00332304">
      <w:pPr>
        <w:rPr>
          <w:rFonts w:cs="Arial"/>
          <w:b/>
          <w:bCs/>
          <w:kern w:val="32"/>
          <w:sz w:val="24"/>
          <w:szCs w:val="32"/>
        </w:rPr>
      </w:pPr>
      <w:r>
        <w:br w:type="page"/>
      </w:r>
    </w:p>
    <w:p w14:paraId="3C3E0A14"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3C3E0A17" w14:textId="77777777" w:rsidTr="00FA5524">
        <w:tc>
          <w:tcPr>
            <w:tcW w:w="3929" w:type="dxa"/>
            <w:shd w:val="clear" w:color="auto" w:fill="auto"/>
          </w:tcPr>
          <w:p w14:paraId="3C3E0A15" w14:textId="77777777" w:rsidR="00C2682A" w:rsidRPr="00E40A5C" w:rsidRDefault="00C2682A" w:rsidP="00FA5524">
            <w:pPr>
              <w:rPr>
                <w:rFonts w:cs="Arial"/>
                <w:sz w:val="22"/>
              </w:rPr>
            </w:pPr>
            <w:permStart w:id="751859053" w:edGrp="everyone" w:colFirst="1" w:colLast="1"/>
            <w:r w:rsidRPr="00E40A5C">
              <w:rPr>
                <w:rFonts w:cs="Arial"/>
                <w:sz w:val="22"/>
              </w:rPr>
              <w:t>Name of the company / organisation</w:t>
            </w:r>
          </w:p>
        </w:tc>
        <w:sdt>
          <w:sdtPr>
            <w:rPr>
              <w:rStyle w:val="PlaceholderText"/>
              <w:rFonts w:cs="Arial"/>
            </w:rPr>
            <w:id w:val="651570699"/>
            <w:text/>
          </w:sdtPr>
          <w:sdtContent>
            <w:tc>
              <w:tcPr>
                <w:tcW w:w="5595" w:type="dxa"/>
                <w:shd w:val="clear" w:color="auto" w:fill="auto"/>
              </w:tcPr>
              <w:p w14:paraId="3C3E0A16" w14:textId="64820B51" w:rsidR="00C2682A" w:rsidRPr="00AB6D88" w:rsidRDefault="00B10109" w:rsidP="00FA5524">
                <w:pPr>
                  <w:rPr>
                    <w:rStyle w:val="PlaceholderText"/>
                    <w:rFonts w:cs="Arial"/>
                  </w:rPr>
                </w:pPr>
                <w:r>
                  <w:rPr>
                    <w:rStyle w:val="PlaceholderText"/>
                    <w:rFonts w:cs="Arial"/>
                  </w:rPr>
                  <w:t>Euronext</w:t>
                </w:r>
              </w:p>
            </w:tc>
          </w:sdtContent>
        </w:sdt>
      </w:tr>
      <w:tr w:rsidR="00C2682A" w:rsidRPr="00AB6D88" w14:paraId="3C3E0A1A" w14:textId="77777777" w:rsidTr="00FA5524">
        <w:tc>
          <w:tcPr>
            <w:tcW w:w="3929" w:type="dxa"/>
            <w:shd w:val="clear" w:color="auto" w:fill="auto"/>
          </w:tcPr>
          <w:p w14:paraId="3C3E0A18" w14:textId="77777777" w:rsidR="00C2682A" w:rsidRPr="00E40A5C" w:rsidRDefault="00C2682A" w:rsidP="00FA5524">
            <w:pPr>
              <w:rPr>
                <w:rFonts w:cs="Arial"/>
                <w:sz w:val="22"/>
              </w:rPr>
            </w:pPr>
            <w:permStart w:id="1858231047" w:edGrp="everyone" w:colFirst="1" w:colLast="1"/>
            <w:permEnd w:id="751859053"/>
            <w:r w:rsidRPr="00E40A5C">
              <w:rPr>
                <w:rFonts w:cs="Arial"/>
                <w:sz w:val="22"/>
              </w:rPr>
              <w:t>Activity</w:t>
            </w:r>
          </w:p>
        </w:tc>
        <w:tc>
          <w:tcPr>
            <w:tcW w:w="5595" w:type="dxa"/>
            <w:shd w:val="clear" w:color="auto" w:fill="auto"/>
          </w:tcPr>
          <w:p w14:paraId="3C3E0A19" w14:textId="7421ED1B" w:rsidR="00C2682A" w:rsidRPr="00AB6D88" w:rsidRDefault="006215E6"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B10109">
                  <w:rPr>
                    <w:rFonts w:cs="Arial"/>
                  </w:rPr>
                  <w:t>Regulated markets/Exchanges/Trading Systems</w:t>
                </w:r>
              </w:sdtContent>
            </w:sdt>
          </w:p>
        </w:tc>
      </w:tr>
      <w:tr w:rsidR="00C2682A" w:rsidRPr="00AB6D88" w14:paraId="3C3E0A1D" w14:textId="77777777" w:rsidTr="00FA5524">
        <w:tc>
          <w:tcPr>
            <w:tcW w:w="3929" w:type="dxa"/>
            <w:shd w:val="clear" w:color="auto" w:fill="auto"/>
          </w:tcPr>
          <w:p w14:paraId="3C3E0A1B" w14:textId="77777777" w:rsidR="00C2682A" w:rsidRPr="00E40A5C" w:rsidRDefault="00C2682A" w:rsidP="00FA5524">
            <w:pPr>
              <w:rPr>
                <w:rFonts w:cs="Arial"/>
                <w:sz w:val="22"/>
              </w:rPr>
            </w:pPr>
            <w:permStart w:id="1888051579" w:edGrp="everyone" w:colFirst="1" w:colLast="1"/>
            <w:permEnd w:id="1858231047"/>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Content>
            <w:tc>
              <w:tcPr>
                <w:tcW w:w="5595" w:type="dxa"/>
                <w:shd w:val="clear" w:color="auto" w:fill="auto"/>
              </w:tcPr>
              <w:p w14:paraId="3C3E0A1C" w14:textId="1A3E4CDD" w:rsidR="00C2682A" w:rsidRPr="00AB6D88" w:rsidRDefault="00B10109" w:rsidP="00FA5524">
                <w:pPr>
                  <w:rPr>
                    <w:rFonts w:cs="Arial"/>
                  </w:rPr>
                </w:pPr>
                <w:r>
                  <w:rPr>
                    <w:rFonts w:ascii="MS Gothic" w:eastAsia="MS Gothic" w:hAnsi="MS Gothic" w:cs="Arial" w:hint="eastAsia"/>
                  </w:rPr>
                  <w:t>☐</w:t>
                </w:r>
              </w:p>
            </w:tc>
          </w:sdtContent>
        </w:sdt>
      </w:tr>
      <w:tr w:rsidR="00C2682A" w:rsidRPr="00AB6D88" w14:paraId="3C3E0A20" w14:textId="77777777" w:rsidTr="00FA5524">
        <w:tc>
          <w:tcPr>
            <w:tcW w:w="3929" w:type="dxa"/>
            <w:shd w:val="clear" w:color="auto" w:fill="auto"/>
          </w:tcPr>
          <w:p w14:paraId="3C3E0A1E" w14:textId="77777777" w:rsidR="00C2682A" w:rsidRPr="00E40A5C" w:rsidRDefault="00C2682A" w:rsidP="00FA5524">
            <w:pPr>
              <w:rPr>
                <w:rFonts w:cs="Arial"/>
                <w:sz w:val="22"/>
              </w:rPr>
            </w:pPr>
            <w:permStart w:id="2006712505" w:edGrp="everyone" w:colFirst="1" w:colLast="1"/>
            <w:permEnd w:id="1888051579"/>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3C3E0A1F" w14:textId="6E3F8541" w:rsidR="00C2682A" w:rsidRPr="00AB6D88" w:rsidRDefault="00B10109" w:rsidP="00FA5524">
                <w:pPr>
                  <w:rPr>
                    <w:rFonts w:cs="Arial"/>
                  </w:rPr>
                </w:pPr>
                <w:r>
                  <w:rPr>
                    <w:rFonts w:cs="Arial"/>
                  </w:rPr>
                  <w:t>International</w:t>
                </w:r>
              </w:p>
            </w:tc>
          </w:sdtContent>
        </w:sdt>
      </w:tr>
      <w:permEnd w:id="2006712505"/>
    </w:tbl>
    <w:p w14:paraId="3C3E0A21" w14:textId="77777777" w:rsidR="00C2682A" w:rsidRDefault="00C2682A" w:rsidP="00F87897">
      <w:pPr>
        <w:spacing w:after="120" w:line="264" w:lineRule="auto"/>
      </w:pPr>
    </w:p>
    <w:p w14:paraId="3C3E0A22" w14:textId="77777777" w:rsidR="00F87897" w:rsidRDefault="00F87897" w:rsidP="00F87897">
      <w:pPr>
        <w:spacing w:after="120" w:line="264" w:lineRule="auto"/>
      </w:pPr>
    </w:p>
    <w:p w14:paraId="3C3E0A23" w14:textId="77777777" w:rsidR="00F87897" w:rsidRDefault="00F87897" w:rsidP="00F87897">
      <w:pPr>
        <w:pStyle w:val="Heading1"/>
        <w:numPr>
          <w:ilvl w:val="0"/>
          <w:numId w:val="0"/>
        </w:numPr>
        <w:ind w:left="431" w:hanging="431"/>
      </w:pPr>
      <w:r>
        <w:t>Introduction</w:t>
      </w:r>
    </w:p>
    <w:p w14:paraId="3C3E0A24" w14:textId="77777777" w:rsidR="00F87897" w:rsidRPr="001D47A5" w:rsidRDefault="00F87897" w:rsidP="00F87897">
      <w:pPr>
        <w:rPr>
          <w:rStyle w:val="IntenseEmphasis"/>
        </w:rPr>
      </w:pPr>
      <w:r w:rsidRPr="001D47A5">
        <w:rPr>
          <w:rStyle w:val="IntenseEmphasis"/>
        </w:rPr>
        <w:t>Please make your introductory comments below, if any:</w:t>
      </w:r>
    </w:p>
    <w:p w14:paraId="3C3E0A25" w14:textId="77777777" w:rsidR="00F87897" w:rsidRPr="00BF28DA" w:rsidRDefault="00F87897" w:rsidP="00F87897"/>
    <w:p w14:paraId="3C3E0A26" w14:textId="77777777" w:rsidR="00F87897" w:rsidRPr="006F4535" w:rsidRDefault="00F87897" w:rsidP="00F87897">
      <w:r w:rsidRPr="006F4535">
        <w:t>&lt;ESMA_COMMENT_</w:t>
      </w:r>
      <w:r w:rsidR="00227C1A">
        <w:t>CP_MAR_</w:t>
      </w:r>
      <w:r w:rsidRPr="006F4535">
        <w:t>1&gt;</w:t>
      </w:r>
    </w:p>
    <w:p w14:paraId="17C09B86" w14:textId="6DC0638F" w:rsidR="007E0027" w:rsidRDefault="007E0027" w:rsidP="007E0027">
      <w:pPr>
        <w:jc w:val="both"/>
        <w:rPr>
          <w:rFonts w:cs="Arial"/>
          <w:szCs w:val="20"/>
        </w:rPr>
      </w:pPr>
      <w:permStart w:id="1594194160" w:edGrp="everyone"/>
      <w:r w:rsidRPr="007E0027">
        <w:rPr>
          <w:rFonts w:cs="Arial"/>
          <w:szCs w:val="20"/>
        </w:rPr>
        <w:t>Euronext welcomes the opportunity to comment on the Market Abuse Regulation consultation. We believe it is timely for such a review to take place and should help improve the effectiveness of the market abuse framework to enhance market integrity and increase investor protection. Given  Euronext’s role as a marker operator of regulated markets and MTFs across seven EEA jurisdictions, we fully support the objective of MAR to ensure market integrity and enable NCAs to investigate potential cases of market abuse as this is critical to ensure investor trust in capital markets.</w:t>
      </w:r>
    </w:p>
    <w:p w14:paraId="08B84742" w14:textId="77777777" w:rsidR="006215E6" w:rsidRPr="007E0027" w:rsidRDefault="006215E6" w:rsidP="007E0027">
      <w:pPr>
        <w:jc w:val="both"/>
        <w:rPr>
          <w:rFonts w:cs="Arial"/>
          <w:szCs w:val="20"/>
        </w:rPr>
      </w:pPr>
    </w:p>
    <w:p w14:paraId="531B10DC" w14:textId="77777777" w:rsidR="007E0027" w:rsidRPr="007E0027" w:rsidRDefault="007E0027" w:rsidP="007E0027">
      <w:pPr>
        <w:jc w:val="both"/>
        <w:rPr>
          <w:rFonts w:cs="Arial"/>
          <w:szCs w:val="20"/>
        </w:rPr>
      </w:pPr>
      <w:r w:rsidRPr="007E0027">
        <w:rPr>
          <w:rFonts w:cs="Arial"/>
          <w:szCs w:val="20"/>
        </w:rPr>
        <w:t>Some key points from our responses include:</w:t>
      </w:r>
    </w:p>
    <w:p w14:paraId="5062B611" w14:textId="77777777" w:rsidR="007E0027" w:rsidRPr="007E0027" w:rsidRDefault="007E0027" w:rsidP="007E0027">
      <w:pPr>
        <w:pStyle w:val="ListParagraph"/>
        <w:numPr>
          <w:ilvl w:val="0"/>
          <w:numId w:val="39"/>
        </w:numPr>
        <w:spacing w:after="160" w:line="259" w:lineRule="auto"/>
        <w:jc w:val="both"/>
        <w:rPr>
          <w:rFonts w:cs="Arial"/>
          <w:szCs w:val="20"/>
        </w:rPr>
      </w:pPr>
      <w:r w:rsidRPr="007E0027">
        <w:rPr>
          <w:rFonts w:cs="Arial"/>
          <w:szCs w:val="20"/>
        </w:rPr>
        <w:t xml:space="preserve">In relation to </w:t>
      </w:r>
      <w:r w:rsidRPr="007E0027">
        <w:rPr>
          <w:rFonts w:cs="Arial"/>
          <w:b/>
          <w:szCs w:val="20"/>
        </w:rPr>
        <w:t>scope</w:t>
      </w:r>
      <w:r w:rsidRPr="007E0027">
        <w:rPr>
          <w:rFonts w:cs="Arial"/>
          <w:szCs w:val="20"/>
        </w:rPr>
        <w:t xml:space="preserve">,  </w:t>
      </w:r>
      <w:r w:rsidRPr="007E0027">
        <w:rPr>
          <w:rFonts w:cs="Arial"/>
          <w:iCs/>
          <w:szCs w:val="20"/>
        </w:rPr>
        <w:t xml:space="preserve">we do not consider it necessary to extend the scope of MAR to </w:t>
      </w:r>
      <w:r w:rsidRPr="007E0027">
        <w:rPr>
          <w:rFonts w:cs="Arial"/>
          <w:b/>
          <w:iCs/>
          <w:szCs w:val="20"/>
        </w:rPr>
        <w:t>spot FX contracts</w:t>
      </w:r>
      <w:r w:rsidRPr="007E0027">
        <w:rPr>
          <w:rFonts w:cs="Arial"/>
          <w:iCs/>
          <w:szCs w:val="20"/>
        </w:rPr>
        <w:t xml:space="preserve"> at this stage. The spot FX market is a global market and as such, spot products and trading participants are not exclusive to one region and do not trade in one uniform manner. </w:t>
      </w:r>
      <w:r w:rsidRPr="007E0027">
        <w:rPr>
          <w:rFonts w:cs="Arial"/>
          <w:szCs w:val="20"/>
        </w:rPr>
        <w:t>The FX Global Code has developed as the appropriate industry standard for this market and this should be assessed further to determine if changes are required.</w:t>
      </w:r>
    </w:p>
    <w:p w14:paraId="75EF8476" w14:textId="77777777" w:rsidR="007E0027" w:rsidRPr="007E0027" w:rsidRDefault="007E0027" w:rsidP="007E0027">
      <w:pPr>
        <w:pStyle w:val="ListParagraph"/>
        <w:jc w:val="both"/>
        <w:rPr>
          <w:rFonts w:cs="Arial"/>
          <w:b/>
          <w:szCs w:val="20"/>
        </w:rPr>
      </w:pPr>
    </w:p>
    <w:p w14:paraId="00B99E5A" w14:textId="77777777" w:rsidR="007E0027" w:rsidRPr="007E0027" w:rsidRDefault="007E0027" w:rsidP="007E0027">
      <w:pPr>
        <w:pStyle w:val="ListParagraph"/>
        <w:numPr>
          <w:ilvl w:val="0"/>
          <w:numId w:val="39"/>
        </w:numPr>
        <w:spacing w:after="160" w:line="259" w:lineRule="auto"/>
        <w:jc w:val="both"/>
        <w:rPr>
          <w:rFonts w:cs="Arial"/>
          <w:b/>
          <w:szCs w:val="20"/>
        </w:rPr>
      </w:pPr>
      <w:r w:rsidRPr="007E0027">
        <w:rPr>
          <w:rFonts w:cs="Arial"/>
          <w:szCs w:val="20"/>
        </w:rPr>
        <w:t xml:space="preserve">Regarding </w:t>
      </w:r>
      <w:r w:rsidRPr="007E0027">
        <w:rPr>
          <w:rFonts w:cs="Arial"/>
          <w:b/>
          <w:szCs w:val="20"/>
        </w:rPr>
        <w:t>scope of benchmarks,</w:t>
      </w:r>
      <w:r w:rsidRPr="007E0027">
        <w:rPr>
          <w:rFonts w:cs="Arial"/>
          <w:szCs w:val="20"/>
        </w:rPr>
        <w:t xml:space="preserve"> we believe that it is important that there are no inconsistencies between the MAR regime and the Benchmark Regulation. One way to avoid the risk of inconsistencies would be to consider undertaking further analysis on whether it would make sense for the prohibition of benchmark manipulation to be removed from MAR and included in BMR instead.</w:t>
      </w:r>
    </w:p>
    <w:p w14:paraId="6BFCA35B" w14:textId="77777777" w:rsidR="007E0027" w:rsidRPr="007E0027" w:rsidRDefault="007E0027" w:rsidP="007E0027">
      <w:pPr>
        <w:pStyle w:val="ListParagraph"/>
        <w:jc w:val="both"/>
        <w:rPr>
          <w:rFonts w:cs="Arial"/>
          <w:szCs w:val="20"/>
        </w:rPr>
      </w:pPr>
    </w:p>
    <w:p w14:paraId="5613D0E5" w14:textId="77777777" w:rsidR="007E0027" w:rsidRPr="007E0027" w:rsidRDefault="007E0027" w:rsidP="007E0027">
      <w:pPr>
        <w:pStyle w:val="ListParagraph"/>
        <w:numPr>
          <w:ilvl w:val="0"/>
          <w:numId w:val="38"/>
        </w:numPr>
        <w:spacing w:after="160" w:line="259" w:lineRule="auto"/>
        <w:jc w:val="both"/>
        <w:rPr>
          <w:rFonts w:cs="Arial"/>
          <w:szCs w:val="20"/>
        </w:rPr>
      </w:pPr>
      <w:r w:rsidRPr="007E0027">
        <w:rPr>
          <w:rFonts w:cs="Arial"/>
          <w:szCs w:val="20"/>
        </w:rPr>
        <w:t xml:space="preserve">Identifying </w:t>
      </w:r>
      <w:r w:rsidRPr="007E0027">
        <w:rPr>
          <w:rFonts w:cs="Arial"/>
          <w:b/>
          <w:szCs w:val="20"/>
        </w:rPr>
        <w:t>inside information</w:t>
      </w:r>
      <w:r w:rsidRPr="007E0027">
        <w:rPr>
          <w:rFonts w:cs="Arial"/>
          <w:szCs w:val="20"/>
        </w:rPr>
        <w:t xml:space="preserve"> is a challenge for issuers, particularly as it can be very hard to quantify the potential impact on share price, which means it is a very hard assessment to make. We suggest it could be useful for ESMA to provide additional guidance in this area by setting out various examples of cases which constitute inside information and the rationale for the approach. Further guidance would also be helpful with respect to the </w:t>
      </w:r>
      <w:r w:rsidRPr="007E0027">
        <w:rPr>
          <w:rFonts w:cs="Arial"/>
          <w:b/>
          <w:szCs w:val="20"/>
        </w:rPr>
        <w:t>delayed disclosure provisions.</w:t>
      </w:r>
    </w:p>
    <w:p w14:paraId="5141C9B7" w14:textId="77777777" w:rsidR="007E0027" w:rsidRPr="007E0027" w:rsidRDefault="007E0027" w:rsidP="007E0027">
      <w:pPr>
        <w:pStyle w:val="ListParagraph"/>
        <w:jc w:val="both"/>
        <w:rPr>
          <w:rFonts w:cs="Arial"/>
          <w:szCs w:val="20"/>
        </w:rPr>
      </w:pPr>
    </w:p>
    <w:p w14:paraId="63E45A3A" w14:textId="77777777" w:rsidR="007E0027" w:rsidRPr="007E0027" w:rsidRDefault="007E0027" w:rsidP="007E0027">
      <w:pPr>
        <w:pStyle w:val="ListParagraph"/>
        <w:widowControl w:val="0"/>
        <w:numPr>
          <w:ilvl w:val="0"/>
          <w:numId w:val="38"/>
        </w:numPr>
        <w:autoSpaceDE w:val="0"/>
        <w:autoSpaceDN w:val="0"/>
        <w:adjustRightInd w:val="0"/>
        <w:spacing w:line="259" w:lineRule="auto"/>
        <w:jc w:val="both"/>
        <w:rPr>
          <w:rFonts w:cs="Arial"/>
          <w:color w:val="353535"/>
          <w:szCs w:val="20"/>
        </w:rPr>
      </w:pPr>
      <w:r w:rsidRPr="007E0027">
        <w:rPr>
          <w:rFonts w:cs="Arial"/>
          <w:szCs w:val="20"/>
        </w:rPr>
        <w:t xml:space="preserve">We agree that </w:t>
      </w:r>
      <w:r w:rsidRPr="007E0027">
        <w:rPr>
          <w:rFonts w:cs="Arial"/>
          <w:b/>
          <w:szCs w:val="20"/>
        </w:rPr>
        <w:t>insider lists</w:t>
      </w:r>
      <w:r w:rsidRPr="007E0027">
        <w:rPr>
          <w:rFonts w:cs="Arial"/>
          <w:szCs w:val="20"/>
        </w:rPr>
        <w:t xml:space="preserve"> are useful, not only to NCAs but also to the issuers’ own compliance functions. We believe the permanent insider list should be retained, as it can be a useful tool provided it is used correctly. However, our experience to date is that it has caused a great deal of confusion and wide-spread use which is not fully compliant with MAR, so it would be helpful for this to be clarified and addressed.</w:t>
      </w:r>
      <w:r w:rsidRPr="007E0027">
        <w:rPr>
          <w:rFonts w:cs="Arial"/>
          <w:color w:val="353535"/>
          <w:szCs w:val="20"/>
        </w:rPr>
        <w:t xml:space="preserve"> </w:t>
      </w:r>
    </w:p>
    <w:p w14:paraId="4A6660BA" w14:textId="77777777" w:rsidR="007E0027" w:rsidRPr="007E0027" w:rsidRDefault="007E0027" w:rsidP="007E0027">
      <w:pPr>
        <w:widowControl w:val="0"/>
        <w:autoSpaceDE w:val="0"/>
        <w:autoSpaceDN w:val="0"/>
        <w:adjustRightInd w:val="0"/>
        <w:jc w:val="both"/>
        <w:rPr>
          <w:rFonts w:cs="Arial"/>
          <w:color w:val="353535"/>
          <w:szCs w:val="20"/>
        </w:rPr>
      </w:pPr>
    </w:p>
    <w:p w14:paraId="54998A7F" w14:textId="77777777" w:rsidR="007E0027" w:rsidRPr="007E0027" w:rsidRDefault="007E0027" w:rsidP="007E0027">
      <w:pPr>
        <w:pStyle w:val="ListParagraph"/>
        <w:numPr>
          <w:ilvl w:val="0"/>
          <w:numId w:val="38"/>
        </w:numPr>
        <w:spacing w:after="160" w:line="259" w:lineRule="auto"/>
        <w:jc w:val="both"/>
        <w:rPr>
          <w:rFonts w:cs="Arial"/>
          <w:szCs w:val="20"/>
        </w:rPr>
      </w:pPr>
      <w:r w:rsidRPr="007E0027">
        <w:rPr>
          <w:rFonts w:cs="Arial"/>
          <w:szCs w:val="20"/>
        </w:rPr>
        <w:t xml:space="preserve">Regarding </w:t>
      </w:r>
      <w:r w:rsidRPr="007E0027">
        <w:rPr>
          <w:rFonts w:cs="Arial"/>
          <w:b/>
          <w:szCs w:val="20"/>
        </w:rPr>
        <w:t xml:space="preserve">PDMRS, </w:t>
      </w:r>
      <w:r w:rsidRPr="007E0027">
        <w:rPr>
          <w:rFonts w:cs="Arial"/>
          <w:szCs w:val="20"/>
        </w:rPr>
        <w:t xml:space="preserve">we suggest that the minimum threshold should be increased to €10,000 and this should be harmonized across the EU. In the case of </w:t>
      </w:r>
      <w:r w:rsidRPr="007E0027">
        <w:rPr>
          <w:rFonts w:cs="Arial"/>
          <w:b/>
          <w:szCs w:val="20"/>
        </w:rPr>
        <w:t>PDMR obligations applying to the management companies of CIUs</w:t>
      </w:r>
      <w:r w:rsidRPr="007E0027">
        <w:rPr>
          <w:rFonts w:cs="Arial"/>
          <w:szCs w:val="20"/>
        </w:rPr>
        <w:t>, we agree with the principle of ESMA’s approach but it needs to be clear which entities are within scope and which individuals it applies to given the different structures in place for CIUs.</w:t>
      </w:r>
    </w:p>
    <w:p w14:paraId="21631C8E" w14:textId="77777777" w:rsidR="007E0027" w:rsidRPr="007E0027" w:rsidRDefault="007E0027" w:rsidP="007E0027">
      <w:pPr>
        <w:jc w:val="both"/>
        <w:rPr>
          <w:rFonts w:cs="Arial"/>
          <w:szCs w:val="20"/>
        </w:rPr>
      </w:pPr>
    </w:p>
    <w:p w14:paraId="724B3512" w14:textId="77777777" w:rsidR="007E0027" w:rsidRPr="007E0027" w:rsidRDefault="007E0027" w:rsidP="007E0027">
      <w:pPr>
        <w:pStyle w:val="ListParagraph"/>
        <w:numPr>
          <w:ilvl w:val="0"/>
          <w:numId w:val="38"/>
        </w:numPr>
        <w:spacing w:after="160" w:line="259" w:lineRule="auto"/>
        <w:jc w:val="both"/>
        <w:rPr>
          <w:rFonts w:cs="Arial"/>
          <w:szCs w:val="20"/>
        </w:rPr>
      </w:pPr>
      <w:r w:rsidRPr="007E0027">
        <w:rPr>
          <w:rFonts w:cs="Arial"/>
          <w:szCs w:val="20"/>
        </w:rPr>
        <w:lastRenderedPageBreak/>
        <w:t xml:space="preserve">The </w:t>
      </w:r>
      <w:r w:rsidRPr="007E0027">
        <w:rPr>
          <w:rFonts w:cs="Arial"/>
          <w:b/>
          <w:szCs w:val="20"/>
        </w:rPr>
        <w:t>concept of a cross-market order book surveillance framework</w:t>
      </w:r>
      <w:r w:rsidRPr="007E0027">
        <w:rPr>
          <w:rFonts w:cs="Arial"/>
          <w:szCs w:val="20"/>
        </w:rPr>
        <w:t xml:space="preserve"> is an ambitious initiative. However, Euronext believes ESMA’s objective to enhance the ability of regulators to monitor markets for market abuse is positive and we support this aim, as market integrity is fundamental to the orderly functioning of our markets.  </w:t>
      </w:r>
    </w:p>
    <w:p w14:paraId="4A3FEA4D" w14:textId="77777777" w:rsidR="007E0027" w:rsidRPr="007E0027" w:rsidRDefault="007E0027" w:rsidP="007E0027">
      <w:pPr>
        <w:pStyle w:val="ListParagraph"/>
        <w:rPr>
          <w:rFonts w:cs="Arial"/>
          <w:szCs w:val="20"/>
        </w:rPr>
      </w:pPr>
    </w:p>
    <w:p w14:paraId="110C6212" w14:textId="77777777" w:rsidR="007E0027" w:rsidRPr="007E0027" w:rsidRDefault="007E0027" w:rsidP="007E0027">
      <w:pPr>
        <w:pStyle w:val="ListParagraph"/>
        <w:jc w:val="both"/>
        <w:rPr>
          <w:rFonts w:cs="Arial"/>
          <w:szCs w:val="20"/>
        </w:rPr>
      </w:pPr>
      <w:r w:rsidRPr="007E0027">
        <w:rPr>
          <w:rFonts w:cs="Arial"/>
          <w:szCs w:val="20"/>
        </w:rPr>
        <w:t>That said, we believe this proposal needs to be considered very carefully, as trading venues have already invested significant resources and costs into developing systems to comply with the current requirements, so any further changes need to take this into account. Any further increase  in costs would have to be proportionate and reasonable and the benefits clearly demonstrated.</w:t>
      </w:r>
    </w:p>
    <w:p w14:paraId="231AF4B4" w14:textId="77777777" w:rsidR="007E0027" w:rsidRPr="007E0027" w:rsidRDefault="007E0027" w:rsidP="007E0027">
      <w:pPr>
        <w:ind w:left="720"/>
        <w:jc w:val="both"/>
        <w:rPr>
          <w:rFonts w:cs="Arial"/>
          <w:szCs w:val="20"/>
        </w:rPr>
      </w:pPr>
      <w:r w:rsidRPr="007E0027">
        <w:rPr>
          <w:rFonts w:cs="Arial"/>
          <w:szCs w:val="20"/>
        </w:rPr>
        <w:t xml:space="preserve">In addition, an extremely crucial point is that any proposal to change the requirements for trading venues to provide order book data to regulators, should also apply to other execution venues, such as systematic </w:t>
      </w:r>
      <w:proofErr w:type="spellStart"/>
      <w:r w:rsidRPr="007E0027">
        <w:rPr>
          <w:rFonts w:cs="Arial"/>
          <w:szCs w:val="20"/>
        </w:rPr>
        <w:t>internalisers</w:t>
      </w:r>
      <w:proofErr w:type="spellEnd"/>
      <w:r w:rsidRPr="007E0027">
        <w:rPr>
          <w:rFonts w:cs="Arial"/>
          <w:szCs w:val="20"/>
        </w:rPr>
        <w:t xml:space="preserve"> in the same way, as this is essential in order to deliver the full view of order data for regulators to monitor activity for market abuse.</w:t>
      </w:r>
    </w:p>
    <w:p w14:paraId="5C2A5EA7" w14:textId="77777777" w:rsidR="007E0027" w:rsidRPr="007E0027" w:rsidRDefault="007E0027" w:rsidP="007E0027">
      <w:pPr>
        <w:ind w:left="720" w:hanging="720"/>
        <w:jc w:val="both"/>
        <w:rPr>
          <w:rFonts w:cs="Arial"/>
          <w:szCs w:val="20"/>
        </w:rPr>
      </w:pPr>
    </w:p>
    <w:p w14:paraId="607E0E86" w14:textId="77777777" w:rsidR="007E0027" w:rsidRPr="007E0027" w:rsidRDefault="007E0027" w:rsidP="007E0027">
      <w:pPr>
        <w:jc w:val="both"/>
        <w:rPr>
          <w:rFonts w:cs="Arial"/>
          <w:szCs w:val="20"/>
        </w:rPr>
      </w:pPr>
      <w:r w:rsidRPr="007E0027">
        <w:rPr>
          <w:rFonts w:cs="Arial"/>
          <w:szCs w:val="20"/>
        </w:rPr>
        <w:t xml:space="preserve">Lastly there are two additional points that we would like to raise, which are not specific to the consultation. These are line with the points raised in the FESE response which we fully support regarding </w:t>
      </w:r>
      <w:r w:rsidRPr="007E0027">
        <w:rPr>
          <w:rFonts w:cs="Arial"/>
          <w:b/>
          <w:szCs w:val="20"/>
        </w:rPr>
        <w:t>the impact of MAR on debt markets and also the impact on SMEs</w:t>
      </w:r>
      <w:r w:rsidRPr="007E0027">
        <w:rPr>
          <w:rFonts w:cs="Arial"/>
          <w:szCs w:val="20"/>
        </w:rPr>
        <w:t>. In particular:</w:t>
      </w:r>
    </w:p>
    <w:p w14:paraId="5F000D0F" w14:textId="77777777" w:rsidR="007E0027" w:rsidRPr="007E0027" w:rsidRDefault="007E0027" w:rsidP="007E0027">
      <w:pPr>
        <w:jc w:val="both"/>
        <w:rPr>
          <w:rFonts w:cs="Arial"/>
          <w:szCs w:val="20"/>
        </w:rPr>
      </w:pPr>
    </w:p>
    <w:p w14:paraId="2001E53F" w14:textId="77777777" w:rsidR="007E0027" w:rsidRPr="007E0027" w:rsidRDefault="007E0027" w:rsidP="007E0027">
      <w:pPr>
        <w:pStyle w:val="ListParagraph"/>
        <w:numPr>
          <w:ilvl w:val="0"/>
          <w:numId w:val="40"/>
        </w:numPr>
        <w:spacing w:after="160" w:line="259" w:lineRule="auto"/>
        <w:jc w:val="both"/>
        <w:rPr>
          <w:rFonts w:cs="Arial"/>
          <w:b/>
          <w:szCs w:val="20"/>
        </w:rPr>
      </w:pPr>
      <w:r w:rsidRPr="007E0027">
        <w:rPr>
          <w:rFonts w:cs="Arial"/>
          <w:b/>
          <w:szCs w:val="20"/>
        </w:rPr>
        <w:t>Impact of MAR on debt market</w:t>
      </w:r>
    </w:p>
    <w:p w14:paraId="03C471D7" w14:textId="58668A82" w:rsidR="007E0027" w:rsidRDefault="007E0027" w:rsidP="007E0027">
      <w:pPr>
        <w:jc w:val="both"/>
        <w:rPr>
          <w:rFonts w:cs="Arial"/>
          <w:szCs w:val="20"/>
        </w:rPr>
      </w:pPr>
      <w:r w:rsidRPr="007E0027">
        <w:rPr>
          <w:rFonts w:cs="Arial"/>
          <w:szCs w:val="20"/>
        </w:rPr>
        <w:t xml:space="preserve">The MAR obligations have been highlighted to us as one of the key factors driving an increase in the numbers of non-EU issuers delisting their bonds from EU markets or new issuances choosing to list on non-EU markets, as it increases compliance and legal costs significantly for issuers. Therefore, Euronext believes this MAR review presents an opportunity to tailor the requirements to bond-only issuers thereby making the EU bond markets more attractive whilst still ensuring investor protection. </w:t>
      </w:r>
    </w:p>
    <w:p w14:paraId="70DC7F3B" w14:textId="77777777" w:rsidR="00EF4D5B" w:rsidRPr="007E0027" w:rsidRDefault="00EF4D5B" w:rsidP="007E0027">
      <w:pPr>
        <w:jc w:val="both"/>
        <w:rPr>
          <w:rFonts w:cs="Arial"/>
          <w:szCs w:val="20"/>
        </w:rPr>
      </w:pPr>
    </w:p>
    <w:p w14:paraId="224FF151" w14:textId="1E04DCE8" w:rsidR="007E0027" w:rsidRDefault="007E0027" w:rsidP="007E0027">
      <w:pPr>
        <w:jc w:val="both"/>
        <w:rPr>
          <w:rFonts w:cs="Arial"/>
          <w:szCs w:val="20"/>
        </w:rPr>
      </w:pPr>
      <w:r w:rsidRPr="007E0027">
        <w:rPr>
          <w:rFonts w:cs="Arial"/>
          <w:szCs w:val="20"/>
        </w:rPr>
        <w:t>it is generally accepted that MAR was drafted and implemented with equity markets in mind: such a ‘one size fits all’ approach does not work for debt markets. In particular,  there is a radical difference in secondary market dynamics between debt and equity and as such, we do not believe there is the same justification to apply equity appropriate compliance requirements on debt issuers. The price of equity is significantly more volatile than the price of a bond, making it more attractive to potential manipulation, compared with bonds which do not have the same characteristics. By definition, the key variables that influence the price of a bond are (</w:t>
      </w:r>
      <w:proofErr w:type="spellStart"/>
      <w:r w:rsidRPr="007E0027">
        <w:rPr>
          <w:rFonts w:cs="Arial"/>
          <w:szCs w:val="20"/>
        </w:rPr>
        <w:t>i</w:t>
      </w:r>
      <w:proofErr w:type="spellEnd"/>
      <w:r w:rsidRPr="007E0027">
        <w:rPr>
          <w:rFonts w:cs="Arial"/>
          <w:szCs w:val="20"/>
        </w:rPr>
        <w:t xml:space="preserve">) market risk, (ii) liquidity risk and (iii) credit risk. Bondholders cannot influence any of these variables, and the only variable that can be influenced by an issuer is the likelihood of default. </w:t>
      </w:r>
    </w:p>
    <w:p w14:paraId="3B9B77B0" w14:textId="77777777" w:rsidR="00EF4D5B" w:rsidRPr="007E0027" w:rsidRDefault="00EF4D5B" w:rsidP="007E0027">
      <w:pPr>
        <w:jc w:val="both"/>
        <w:rPr>
          <w:rFonts w:cs="Arial"/>
          <w:szCs w:val="20"/>
        </w:rPr>
      </w:pPr>
    </w:p>
    <w:p w14:paraId="2864211D" w14:textId="77777777" w:rsidR="00EF4D5B" w:rsidRDefault="007E0027" w:rsidP="007E0027">
      <w:pPr>
        <w:jc w:val="both"/>
        <w:rPr>
          <w:rFonts w:cs="Arial"/>
          <w:szCs w:val="20"/>
        </w:rPr>
      </w:pPr>
      <w:r w:rsidRPr="007E0027">
        <w:rPr>
          <w:rFonts w:cs="Arial"/>
          <w:szCs w:val="20"/>
        </w:rPr>
        <w:t>The current MAR provisions apply to issuers of all financial instruments admitted to an EU trading venue and there is no distinction made between issuers of different securities. Euronext strongly believes that the provisions should be more tailored, in particular for issuers who exclusively issue bonds so as to make the requirement more appropriate to such issuances.</w:t>
      </w:r>
    </w:p>
    <w:p w14:paraId="6FE96A58" w14:textId="564B78BF" w:rsidR="007E0027" w:rsidRPr="007E0027" w:rsidRDefault="007E0027" w:rsidP="007E0027">
      <w:pPr>
        <w:jc w:val="both"/>
        <w:rPr>
          <w:rFonts w:cs="Arial"/>
          <w:szCs w:val="20"/>
        </w:rPr>
      </w:pPr>
      <w:r w:rsidRPr="007E0027">
        <w:rPr>
          <w:rFonts w:cs="Arial"/>
          <w:szCs w:val="20"/>
        </w:rPr>
        <w:t xml:space="preserve"> </w:t>
      </w:r>
    </w:p>
    <w:p w14:paraId="68A19B77" w14:textId="24571454" w:rsidR="007E0027" w:rsidRDefault="007E0027" w:rsidP="007E0027">
      <w:pPr>
        <w:jc w:val="both"/>
        <w:rPr>
          <w:rFonts w:cs="Arial"/>
          <w:szCs w:val="20"/>
        </w:rPr>
      </w:pPr>
      <w:r w:rsidRPr="007E0027">
        <w:rPr>
          <w:rFonts w:cs="Arial"/>
          <w:szCs w:val="20"/>
        </w:rPr>
        <w:t xml:space="preserve">As an example, the provisions related to inside information in respect of debt markets are still, in the experience of Euronext and its bond-only issuers, overly detailed and prescriptive. The current test to determine ‘significant effect on the prices of financial instruments’ is very difficult to apply to the debt market, in contrast to the more liquid equity markets.  Therefore, the information required to be disclosed should be limited to such information that would directly influence their ability to meet the repayment obligations of their debt issuances. </w:t>
      </w:r>
    </w:p>
    <w:p w14:paraId="3BB3963C" w14:textId="77777777" w:rsidR="00EF4D5B" w:rsidRPr="007E0027" w:rsidRDefault="00EF4D5B" w:rsidP="007E0027">
      <w:pPr>
        <w:jc w:val="both"/>
        <w:rPr>
          <w:rFonts w:cs="Arial"/>
          <w:szCs w:val="20"/>
        </w:rPr>
      </w:pPr>
    </w:p>
    <w:p w14:paraId="1AD61AD8" w14:textId="77777777" w:rsidR="007E0027" w:rsidRPr="007E0027" w:rsidRDefault="007E0027" w:rsidP="007E0027">
      <w:pPr>
        <w:jc w:val="both"/>
        <w:rPr>
          <w:rFonts w:cs="Arial"/>
          <w:szCs w:val="20"/>
        </w:rPr>
      </w:pPr>
      <w:r w:rsidRPr="007E0027">
        <w:rPr>
          <w:rFonts w:cs="Arial"/>
          <w:szCs w:val="20"/>
        </w:rPr>
        <w:t>We would welcome consideration by policymakers of further amendments that could be made</w:t>
      </w:r>
      <w:r w:rsidRPr="007E0027" w:rsidDel="0029274B">
        <w:rPr>
          <w:rFonts w:cs="Arial"/>
          <w:szCs w:val="20"/>
        </w:rPr>
        <w:t xml:space="preserve"> </w:t>
      </w:r>
      <w:r w:rsidRPr="007E0027">
        <w:rPr>
          <w:rFonts w:cs="Arial"/>
          <w:szCs w:val="20"/>
        </w:rPr>
        <w:t xml:space="preserve">to strengthen the attractiveness of the EU debt capital markets, and suggest a specific review of the impact of MAR on debt markets is required. </w:t>
      </w:r>
    </w:p>
    <w:p w14:paraId="22D0988D" w14:textId="77777777" w:rsidR="007E0027" w:rsidRPr="007E0027" w:rsidRDefault="007E0027" w:rsidP="007E0027">
      <w:pPr>
        <w:jc w:val="both"/>
        <w:rPr>
          <w:rFonts w:cs="Arial"/>
          <w:b/>
          <w:szCs w:val="20"/>
          <w:u w:val="single"/>
        </w:rPr>
      </w:pPr>
    </w:p>
    <w:p w14:paraId="37792906" w14:textId="77777777" w:rsidR="007E0027" w:rsidRPr="007E0027" w:rsidRDefault="007E0027" w:rsidP="007E0027">
      <w:pPr>
        <w:pStyle w:val="ListParagraph"/>
        <w:numPr>
          <w:ilvl w:val="0"/>
          <w:numId w:val="40"/>
        </w:numPr>
        <w:spacing w:after="160" w:line="259" w:lineRule="auto"/>
        <w:jc w:val="both"/>
        <w:rPr>
          <w:rFonts w:cs="Arial"/>
          <w:b/>
          <w:szCs w:val="20"/>
        </w:rPr>
      </w:pPr>
      <w:r w:rsidRPr="007E0027">
        <w:rPr>
          <w:rFonts w:cs="Arial"/>
          <w:b/>
          <w:szCs w:val="20"/>
        </w:rPr>
        <w:t>Impact on SME Growth Market</w:t>
      </w:r>
    </w:p>
    <w:p w14:paraId="3C3E0A27" w14:textId="04AF2E4B" w:rsidR="00F87897" w:rsidRDefault="007E0027" w:rsidP="00F87897">
      <w:r w:rsidRPr="007E0027">
        <w:rPr>
          <w:rFonts w:cs="Arial"/>
          <w:iCs/>
          <w:szCs w:val="20"/>
        </w:rPr>
        <w:t>Euronext</w:t>
      </w:r>
      <w:r w:rsidRPr="007E0027">
        <w:rPr>
          <w:rFonts w:cs="Arial"/>
          <w:szCs w:val="20"/>
        </w:rPr>
        <w:t xml:space="preserve"> welcomes the recently agreed amendments that will be made to MAR to alleviate the burden </w:t>
      </w:r>
      <w:r w:rsidRPr="007E0027">
        <w:rPr>
          <w:rFonts w:cs="Arial"/>
          <w:iCs/>
          <w:szCs w:val="20"/>
        </w:rPr>
        <w:t xml:space="preserve">for issuers on SME Growth Markets as we believe they will be beneficial to issuers. However, it has been raised that the alleviations do not go far enough, and that the regulatory burdens are still perceived to be </w:t>
      </w:r>
      <w:r w:rsidRPr="007E0027">
        <w:rPr>
          <w:rFonts w:cs="Arial"/>
          <w:iCs/>
          <w:szCs w:val="20"/>
        </w:rPr>
        <w:lastRenderedPageBreak/>
        <w:t>prohibitive for many SMEs.  We suggest the impact should be carefully monitored by ESMA and the Commission, with a view to considering if any further changes could be made to make SME Growth Markets a more attractive option for SMEs wishing to raise finance</w:t>
      </w:r>
      <w:r w:rsidRPr="00E927D6">
        <w:rPr>
          <w:rFonts w:ascii="Calibri" w:hAnsi="Calibri" w:cs="Calibri"/>
          <w:iCs/>
        </w:rPr>
        <w:t>.</w:t>
      </w:r>
      <w:permEnd w:id="1594194160"/>
    </w:p>
    <w:p w14:paraId="3C3E0A28" w14:textId="77777777" w:rsidR="00F87897" w:rsidRPr="00BF28DA" w:rsidRDefault="00F87897" w:rsidP="00F87897">
      <w:r w:rsidRPr="00BF28DA">
        <w:t>&lt;ESMA_COMMENT_</w:t>
      </w:r>
      <w:r w:rsidR="00227C1A">
        <w:t>CP_MAR_</w:t>
      </w:r>
      <w:r w:rsidRPr="00BF28DA">
        <w:t>1&gt;</w:t>
      </w:r>
    </w:p>
    <w:p w14:paraId="3C3E0A29" w14:textId="77777777" w:rsidR="00F87897" w:rsidRDefault="00F87897">
      <w:pPr>
        <w:rPr>
          <w:rFonts w:eastAsiaTheme="minorEastAsia" w:cstheme="minorBidi"/>
          <w:b/>
          <w:sz w:val="22"/>
          <w:szCs w:val="20"/>
          <w:lang w:eastAsia="en-US"/>
        </w:rPr>
      </w:pPr>
      <w:r>
        <w:br w:type="page"/>
      </w:r>
    </w:p>
    <w:p w14:paraId="3C3E0A2A" w14:textId="77777777" w:rsidR="00A8728B" w:rsidRPr="00070630" w:rsidRDefault="00227C1A" w:rsidP="00431B0A">
      <w:pPr>
        <w:pStyle w:val="CPQuestions"/>
      </w:pPr>
      <w:r w:rsidRPr="00227C1A">
        <w:lastRenderedPageBreak/>
        <w:t>Do you consider necessary to extend the scope of MAR to spot FX contracts? Please explain the reasons why the scope should or should not be extended, and whether the same goals could be achieved by changing any other piece of the EU regulatory framework</w:t>
      </w:r>
      <w:r w:rsidR="00276A5A">
        <w:t>.</w:t>
      </w:r>
    </w:p>
    <w:p w14:paraId="3C3E0A2B" w14:textId="77777777" w:rsidR="00A8728B" w:rsidRDefault="00A8728B" w:rsidP="00A8728B">
      <w:r>
        <w:t>&lt;ESMA_QUESTION</w:t>
      </w:r>
      <w:r w:rsidR="00D920D1">
        <w:t>_</w:t>
      </w:r>
      <w:r w:rsidR="00227C1A">
        <w:t>CP_MAR_</w:t>
      </w:r>
      <w:r>
        <w:t>1&gt;</w:t>
      </w:r>
    </w:p>
    <w:p w14:paraId="0E670F48" w14:textId="77777777" w:rsidR="00EF4D5B" w:rsidRDefault="007E0027" w:rsidP="007E0027">
      <w:pPr>
        <w:jc w:val="both"/>
        <w:rPr>
          <w:rFonts w:cs="Arial"/>
          <w:iCs/>
        </w:rPr>
      </w:pPr>
      <w:permStart w:id="751114692" w:edGrp="everyone"/>
      <w:r w:rsidRPr="007E0027">
        <w:rPr>
          <w:rFonts w:cs="Arial"/>
          <w:iCs/>
        </w:rPr>
        <w:t>Euronext Group does not consider it necessary to extend the scope of MAR to spot FX contracts at this stage. While we fully support any initiative that can be demonstrated to improve the identification and prevention of market abuse, we believe the scope of MAR does not need to be extended in this regard. Euronext FX operates an Electronic Communications Network (“ECN”) that facilitates the trading of spot settled FX trades between large institutions (banks, asset managers, large buys side funds, etc.) that include some of the most prominent names in the industry. We are in regular contact with these clients and our competitors and note that both are also equally supportive of the prevention of market abuse.</w:t>
      </w:r>
    </w:p>
    <w:p w14:paraId="414FBE8F" w14:textId="73974CB7" w:rsidR="007E0027" w:rsidRPr="007E0027" w:rsidRDefault="007E0027" w:rsidP="007E0027">
      <w:pPr>
        <w:jc w:val="both"/>
        <w:rPr>
          <w:rFonts w:cs="Arial"/>
          <w:iCs/>
        </w:rPr>
      </w:pPr>
      <w:r w:rsidRPr="007E0027">
        <w:rPr>
          <w:rFonts w:cs="Arial"/>
          <w:iCs/>
        </w:rPr>
        <w:t xml:space="preserve"> </w:t>
      </w:r>
    </w:p>
    <w:p w14:paraId="03EBD787" w14:textId="77777777" w:rsidR="00EF4D5B" w:rsidRDefault="007E0027" w:rsidP="007E0027">
      <w:pPr>
        <w:jc w:val="both"/>
        <w:rPr>
          <w:rFonts w:cs="Arial"/>
          <w:iCs/>
        </w:rPr>
      </w:pPr>
      <w:r w:rsidRPr="007E0027">
        <w:rPr>
          <w:rFonts w:cs="Arial"/>
          <w:iCs/>
        </w:rPr>
        <w:t>The spot FX market is a global market and as such, is not currently monitored by a specific external regulatory body. Spot products and trading participants are not exclusive to one region and do not trade in one uniform manner. As indicated by ESMA, it would be a considerable undertaking for the EU (or any regulatory body) to unilaterally attempt to impose regulation specific to its region without requiring change to the operation of the spot market to fit into its existing regulation. The spot FX market is carefully policed internally via its market participants, and given the vast and global nature of the market, participants acknowledged the need to operate under an established set of guiding principles and accordingly developed the FX Global Code to address that need.</w:t>
      </w:r>
    </w:p>
    <w:p w14:paraId="2B4E4612" w14:textId="22C1E7F1" w:rsidR="007E0027" w:rsidRPr="007E0027" w:rsidRDefault="007E0027" w:rsidP="007E0027">
      <w:pPr>
        <w:jc w:val="both"/>
        <w:rPr>
          <w:rFonts w:cs="Arial"/>
          <w:iCs/>
        </w:rPr>
      </w:pPr>
      <w:r w:rsidRPr="007E0027">
        <w:rPr>
          <w:rFonts w:cs="Arial"/>
          <w:iCs/>
        </w:rPr>
        <w:t xml:space="preserve"> </w:t>
      </w:r>
    </w:p>
    <w:p w14:paraId="3C3E0A2C" w14:textId="09B81AC1" w:rsidR="00A8728B" w:rsidRDefault="007E0027" w:rsidP="00A8728B">
      <w:r w:rsidRPr="007E0027">
        <w:rPr>
          <w:rFonts w:cs="Arial"/>
          <w:iCs/>
        </w:rPr>
        <w:t>Like Euronext, the large majority of our clients and competitors follow the FX Global Code and are committed to its principles. Additionally, the majority of spot FX market participants also operate many other financial service businesses in markets that are monitored by external regulatory bodies. These organizations are fully aware of methodologies and practices necessary to identify and prevent market abuse and are fully cognizant of what is necessary to operate a fair and orderly market. Therefore we believe the current arrangements are sufficiently robust and effective and strongly recommend that the FX Global Code is allowed to develop and mature, with regulators working closely with the industry to propose enhancements and improvements to make the voluntary code more effective.  The empirical evidence of behavio</w:t>
      </w:r>
      <w:r w:rsidR="00EF4D5B">
        <w:rPr>
          <w:rFonts w:cs="Arial"/>
          <w:iCs/>
        </w:rPr>
        <w:t>u</w:t>
      </w:r>
      <w:r w:rsidRPr="007E0027">
        <w:rPr>
          <w:rFonts w:cs="Arial"/>
          <w:iCs/>
        </w:rPr>
        <w:t>r following the implementation of the Code can then be examined in due course to determine whether the Code fully addresses regulatory concerns</w:t>
      </w:r>
      <w:r w:rsidRPr="00E927D6">
        <w:rPr>
          <w:rFonts w:ascii="Calibri" w:hAnsi="Calibri" w:cs="Calibri"/>
          <w:iCs/>
        </w:rPr>
        <w:t>.</w:t>
      </w:r>
      <w:permEnd w:id="751114692"/>
    </w:p>
    <w:p w14:paraId="3C3E0A2D" w14:textId="77777777" w:rsidR="00A8728B" w:rsidRDefault="00A8728B" w:rsidP="00A8728B">
      <w:r>
        <w:t>&lt;ESMA_QUESTION</w:t>
      </w:r>
      <w:r w:rsidR="00D920D1">
        <w:t>_</w:t>
      </w:r>
      <w:r w:rsidR="00227C1A">
        <w:t>CP_MAR_</w:t>
      </w:r>
      <w:r>
        <w:t>1&gt;</w:t>
      </w:r>
    </w:p>
    <w:p w14:paraId="3C3E0A2E" w14:textId="77777777" w:rsidR="00C228C1" w:rsidRDefault="00C228C1" w:rsidP="00A8728B"/>
    <w:p w14:paraId="3C3E0A2F" w14:textId="77777777" w:rsidR="00431DA4" w:rsidRPr="00431DA4" w:rsidRDefault="00227C1A" w:rsidP="00EF383B">
      <w:pPr>
        <w:pStyle w:val="CPQuestions"/>
      </w:pPr>
      <w:r w:rsidRPr="00227C1A">
        <w:t>Do you agree with ESMA’s preliminary view about the structural changes that would be necessary to apply MAR to spot FX contracts? Please elaborate and indicate if you would consider necessary introducing additional regulatory changes</w:t>
      </w:r>
      <w:r w:rsidR="00276A5A">
        <w:t>.</w:t>
      </w:r>
    </w:p>
    <w:p w14:paraId="3C3E0A30" w14:textId="77777777" w:rsidR="00A8728B" w:rsidRDefault="00A8728B" w:rsidP="00A8728B">
      <w:r>
        <w:t>&lt;ESMA_QUESTION</w:t>
      </w:r>
      <w:r w:rsidR="00D920D1">
        <w:t>_</w:t>
      </w:r>
      <w:r w:rsidR="00227C1A">
        <w:t>CP_MAR_</w:t>
      </w:r>
      <w:r>
        <w:t>2&gt;</w:t>
      </w:r>
    </w:p>
    <w:p w14:paraId="1CD95A28" w14:textId="77777777" w:rsidR="00EF4D5B" w:rsidRDefault="007E0027" w:rsidP="007E0027">
      <w:pPr>
        <w:jc w:val="both"/>
        <w:rPr>
          <w:rFonts w:cs="Arial"/>
          <w:iCs/>
        </w:rPr>
      </w:pPr>
      <w:permStart w:id="1040662039" w:edGrp="everyone"/>
      <w:r w:rsidRPr="007E0027">
        <w:rPr>
          <w:rFonts w:cs="Arial"/>
          <w:iCs/>
        </w:rPr>
        <w:t>As stated above, the spot FX business operates in a global market. Spot products and trading participants are not exclusive to one region and do not trade in one uniform manner. As indicated by ESMA, it would be a considerable undertaking for the EU (or any regulatory body) to unilaterally attempt to impose regulation specific to its region without requiring change to the operation of the spot market to fit into its existing regulation.</w:t>
      </w:r>
    </w:p>
    <w:p w14:paraId="7F2D6E9D" w14:textId="76E7273E" w:rsidR="007E0027" w:rsidRPr="007E0027" w:rsidRDefault="007E0027" w:rsidP="007E0027">
      <w:pPr>
        <w:jc w:val="both"/>
        <w:rPr>
          <w:rFonts w:cs="Arial"/>
          <w:iCs/>
        </w:rPr>
      </w:pPr>
      <w:r w:rsidRPr="007E0027">
        <w:rPr>
          <w:rFonts w:cs="Arial"/>
          <w:iCs/>
        </w:rPr>
        <w:t xml:space="preserve"> </w:t>
      </w:r>
    </w:p>
    <w:p w14:paraId="57311B5E" w14:textId="77777777" w:rsidR="00EF4D5B" w:rsidRDefault="007E0027" w:rsidP="007E0027">
      <w:pPr>
        <w:jc w:val="both"/>
        <w:rPr>
          <w:rFonts w:cs="Arial"/>
          <w:iCs/>
        </w:rPr>
      </w:pPr>
      <w:r w:rsidRPr="007E0027">
        <w:rPr>
          <w:rFonts w:cs="Arial"/>
          <w:iCs/>
        </w:rPr>
        <w:t>The European FX Markets  are presently active and robust. One of the reasons for this is that the</w:t>
      </w:r>
      <w:r w:rsidR="00EF4D5B">
        <w:rPr>
          <w:rFonts w:cs="Arial"/>
          <w:iCs/>
        </w:rPr>
        <w:t xml:space="preserve">se </w:t>
      </w:r>
      <w:r w:rsidRPr="007E0027">
        <w:rPr>
          <w:rFonts w:cs="Arial"/>
          <w:iCs/>
        </w:rPr>
        <w:t xml:space="preserve"> markets operate in a broadly similar manner with respect to regulation, policy and practice compared to the other largest regional markets in the world.  As the spot FX market is truly global, if the EU were to move forward with unilaterally applying its own regional rules to the spot FX market, there is a risk that at least some spot FX market participants would shift trading away from the European market to avoid the cost and changes to infrastructure that are not required anywhere else at present. This exodus could cause the European market to suffer significant financial harm due to the loss of market activity, and would frustrate the initial </w:t>
      </w:r>
      <w:r w:rsidRPr="007E0027">
        <w:rPr>
          <w:rFonts w:cs="Arial"/>
          <w:iCs/>
        </w:rPr>
        <w:lastRenderedPageBreak/>
        <w:t>purpose of applying MAR to the spot market in the first place as it would become ineffective in its goal to apply regulation.</w:t>
      </w:r>
    </w:p>
    <w:p w14:paraId="0CF98868" w14:textId="773213DE" w:rsidR="007E0027" w:rsidRPr="007E0027" w:rsidRDefault="007E0027" w:rsidP="007E0027">
      <w:pPr>
        <w:jc w:val="both"/>
        <w:rPr>
          <w:rFonts w:cs="Arial"/>
          <w:iCs/>
        </w:rPr>
      </w:pPr>
      <w:r w:rsidRPr="007E0027">
        <w:rPr>
          <w:rFonts w:cs="Arial"/>
          <w:iCs/>
        </w:rPr>
        <w:t xml:space="preserve"> </w:t>
      </w:r>
    </w:p>
    <w:p w14:paraId="26149176" w14:textId="77777777" w:rsidR="00EF4D5B" w:rsidRDefault="007E0027" w:rsidP="007E0027">
      <w:pPr>
        <w:jc w:val="both"/>
        <w:rPr>
          <w:rFonts w:cs="Arial"/>
          <w:iCs/>
        </w:rPr>
      </w:pPr>
      <w:r w:rsidRPr="007E0027">
        <w:rPr>
          <w:rFonts w:cs="Arial"/>
          <w:iCs/>
        </w:rPr>
        <w:t>In order for a regulatory body or community of bodies to effectively preside over the spot FX market, there would need to be a uniform set of guidelines for all participants to follow. To date the FX Global Code exists and adequately serves this function. With the understanding and acknowledgement that the FX Global Code is a fledgling set of guidelines, it was drafted with the best interest of the global FX marketplace. It needs to be allowed time to be tested and analy</w:t>
      </w:r>
      <w:r w:rsidR="00EF4D5B">
        <w:rPr>
          <w:rFonts w:cs="Arial"/>
          <w:iCs/>
        </w:rPr>
        <w:t>s</w:t>
      </w:r>
      <w:r w:rsidRPr="007E0027">
        <w:rPr>
          <w:rFonts w:cs="Arial"/>
          <w:iCs/>
        </w:rPr>
        <w:t xml:space="preserve">ed so that meaningful and effective changes can be made when and if necessary. Given that the Code was crafted with input and subscription by the most active and influential players in the FX market, including many central banks, and is currently supported by 16 global jurisdictions, there are adequate resources available to identify the Code’s strengths and weaknesses. </w:t>
      </w:r>
      <w:r w:rsidRPr="007E0027">
        <w:rPr>
          <w:rFonts w:cs="Arial"/>
        </w:rPr>
        <w:t>In particular, the Global Foreign Exchange Committee is tasked with analy</w:t>
      </w:r>
      <w:r w:rsidR="00EF4D5B">
        <w:rPr>
          <w:rFonts w:cs="Arial"/>
        </w:rPr>
        <w:t>s</w:t>
      </w:r>
      <w:r w:rsidRPr="007E0027">
        <w:rPr>
          <w:rFonts w:cs="Arial"/>
        </w:rPr>
        <w:t>ing the efficacy of the Code and addressing its weaknesses. In addition, this committee</w:t>
      </w:r>
      <w:r w:rsidRPr="007E0027">
        <w:rPr>
          <w:rFonts w:cs="Arial"/>
          <w:color w:val="000000"/>
          <w:shd w:val="clear" w:color="auto" w:fill="FFFFFF"/>
        </w:rPr>
        <w:t xml:space="preserve"> has been tasked with the Code’s ongoing maintenance, continuing the collaboration between central banks and the private sector on developing principles for good practice in the FX market.</w:t>
      </w:r>
      <w:r w:rsidRPr="007E0027">
        <w:rPr>
          <w:rFonts w:cs="Arial"/>
          <w:iCs/>
        </w:rPr>
        <w:t xml:space="preserve"> This identification will result in thoughtful modification and ultimately a set of guidelines for all spot market participants given the appropriate amount of time.</w:t>
      </w:r>
    </w:p>
    <w:p w14:paraId="5BF2AB90" w14:textId="2900FDC7" w:rsidR="007E0027" w:rsidRPr="007E0027" w:rsidRDefault="007E0027" w:rsidP="007E0027">
      <w:pPr>
        <w:jc w:val="both"/>
        <w:rPr>
          <w:rFonts w:cs="Arial"/>
          <w:iCs/>
        </w:rPr>
      </w:pPr>
      <w:r w:rsidRPr="007E0027">
        <w:rPr>
          <w:rFonts w:cs="Arial"/>
          <w:iCs/>
        </w:rPr>
        <w:t xml:space="preserve">  </w:t>
      </w:r>
    </w:p>
    <w:p w14:paraId="3C3E0A31" w14:textId="08D16DDD" w:rsidR="00A8728B" w:rsidRDefault="007E0027" w:rsidP="00A8728B">
      <w:r w:rsidRPr="007E0027">
        <w:rPr>
          <w:rFonts w:cs="Arial"/>
          <w:iCs/>
        </w:rPr>
        <w:t>In light of the fact that most of the globally situated and influential participants in the spot FX Market are committed to the FX Global Code, it would appear that the FX Global Code remains the most efficient and uniform manner to regulate the spot FX market at present and so there appears no substantive justification for the structural changes referenced in the consultation</w:t>
      </w:r>
      <w:r w:rsidRPr="00E927D6">
        <w:rPr>
          <w:rFonts w:ascii="Calibri" w:hAnsi="Calibri" w:cs="Calibri"/>
          <w:iCs/>
        </w:rPr>
        <w:t xml:space="preserve">. </w:t>
      </w:r>
      <w:r w:rsidR="00A8728B">
        <w:t xml:space="preserve"> </w:t>
      </w:r>
      <w:permEnd w:id="1040662039"/>
    </w:p>
    <w:p w14:paraId="3C3E0A32" w14:textId="77777777" w:rsidR="00A8728B" w:rsidRDefault="00A8728B" w:rsidP="00A8728B">
      <w:r>
        <w:t>&lt;ESMA_QUESTION</w:t>
      </w:r>
      <w:r w:rsidR="00D920D1">
        <w:t>_</w:t>
      </w:r>
      <w:r w:rsidR="00227C1A">
        <w:t>CP_MAR_</w:t>
      </w:r>
      <w:r>
        <w:t>2&gt;</w:t>
      </w:r>
    </w:p>
    <w:p w14:paraId="3C3E0A33" w14:textId="77777777" w:rsidR="002E1760" w:rsidRDefault="002E1760" w:rsidP="00A8728B"/>
    <w:p w14:paraId="3C3E0A34" w14:textId="77777777" w:rsidR="002E1760" w:rsidRPr="00431DA4" w:rsidRDefault="00227C1A" w:rsidP="00293D78">
      <w:pPr>
        <w:pStyle w:val="CPQuestions"/>
      </w:pPr>
      <w:r w:rsidRPr="00227C1A">
        <w:t>Do you agree with this analysis? Do you think that the difference between the MAR and BMR definitions raises any market abuse risks and if so what changes might be necessary</w:t>
      </w:r>
      <w:r>
        <w:t>?</w:t>
      </w:r>
    </w:p>
    <w:p w14:paraId="3C3E0A35" w14:textId="77777777" w:rsidR="002E1760" w:rsidRDefault="002E1760" w:rsidP="002E1760">
      <w:r>
        <w:t>&lt;ESMA_QUESTION_</w:t>
      </w:r>
      <w:r w:rsidR="00227C1A">
        <w:t>CP_MAR_</w:t>
      </w:r>
      <w:r>
        <w:t>3&gt;</w:t>
      </w:r>
    </w:p>
    <w:p w14:paraId="3C3E0A36" w14:textId="711DCEA6" w:rsidR="002E1760" w:rsidRDefault="007E0027" w:rsidP="002E1760">
      <w:permStart w:id="1114596086" w:edGrp="everyone"/>
      <w:r w:rsidRPr="007E0027">
        <w:rPr>
          <w:rFonts w:cs="Arial"/>
        </w:rPr>
        <w:t>Euronext believes that it is important that there are no inconsistencies between the two regimes. One way to avoid the risk of inconsistencies would be to consider undertaking further analysis if it would make sense for the prohibition of benchmark manipulation to be removed from MAR and included in BMR instead. Given BMR covers all general aspects of the provision of benchmarks, it may be more appropriate for it to include the specific provision on benchmark manipulation also</w:t>
      </w:r>
      <w:r>
        <w:rPr>
          <w:rFonts w:ascii="Calibri" w:hAnsi="Calibri" w:cs="Calibri"/>
        </w:rPr>
        <w:t>.</w:t>
      </w:r>
      <w:r w:rsidRPr="00E927D6">
        <w:rPr>
          <w:rFonts w:ascii="Calibri" w:hAnsi="Calibri" w:cs="Calibri"/>
        </w:rPr>
        <w:t>.</w:t>
      </w:r>
      <w:permEnd w:id="1114596086"/>
    </w:p>
    <w:p w14:paraId="3C3E0A37" w14:textId="77777777" w:rsidR="002E1760" w:rsidRDefault="002E1760" w:rsidP="002E1760">
      <w:r>
        <w:t>&lt;ESMA_QUESTION_</w:t>
      </w:r>
      <w:r w:rsidR="00227C1A">
        <w:t>CP_MAR_</w:t>
      </w:r>
      <w:r>
        <w:t>3&gt;</w:t>
      </w:r>
    </w:p>
    <w:p w14:paraId="3C3E0A38" w14:textId="77777777" w:rsidR="002E1760" w:rsidRDefault="002E1760" w:rsidP="00A8728B"/>
    <w:p w14:paraId="3C3E0A39" w14:textId="77777777" w:rsidR="002E1760" w:rsidRPr="00431DA4" w:rsidRDefault="00227C1A" w:rsidP="00293D78">
      <w:pPr>
        <w:pStyle w:val="CPQuestions"/>
      </w:pPr>
      <w:r w:rsidRPr="00227C1A">
        <w:t>Do you agree that the Article 30 of MAR “Administrative sanctions and other administrative measures” should also make reference to administrators of benchmarks and supervised contributors</w:t>
      </w:r>
      <w:r>
        <w:t>?</w:t>
      </w:r>
    </w:p>
    <w:p w14:paraId="3C3E0A3A" w14:textId="77777777" w:rsidR="002E1760" w:rsidRDefault="002E1760" w:rsidP="002E1760">
      <w:r>
        <w:t>&lt;ESMA_QUESTION_</w:t>
      </w:r>
      <w:r w:rsidR="00227C1A">
        <w:t>CP_MAR_</w:t>
      </w:r>
      <w:r>
        <w:t>4&gt;</w:t>
      </w:r>
    </w:p>
    <w:p w14:paraId="3C3E0A3B" w14:textId="0B783765" w:rsidR="002E1760" w:rsidRDefault="007E0027" w:rsidP="002E1760">
      <w:permStart w:id="1507552575" w:edGrp="everyone"/>
      <w:r w:rsidRPr="007E0027">
        <w:rPr>
          <w:lang w:val="pt-PT"/>
        </w:rPr>
        <w:t>A</w:t>
      </w:r>
      <w:r>
        <w:rPr>
          <w:lang w:val="pt-PT"/>
        </w:rPr>
        <w:t>s per Q. 3.</w:t>
      </w:r>
      <w:permEnd w:id="1507552575"/>
    </w:p>
    <w:p w14:paraId="3C3E0A3C" w14:textId="77777777" w:rsidR="002E1760" w:rsidRDefault="002E1760" w:rsidP="002E1760">
      <w:r>
        <w:t>&lt;ESMA_QUESTION_</w:t>
      </w:r>
      <w:r w:rsidR="00227C1A">
        <w:t>CP_MAR_</w:t>
      </w:r>
      <w:r>
        <w:t>4&gt;</w:t>
      </w:r>
    </w:p>
    <w:p w14:paraId="3C3E0A3D" w14:textId="77777777" w:rsidR="002E1760" w:rsidRDefault="002E1760" w:rsidP="002E1760"/>
    <w:p w14:paraId="3C3E0A3E" w14:textId="77777777" w:rsidR="002E1760" w:rsidRPr="00431DA4" w:rsidRDefault="00227C1A" w:rsidP="00293D78">
      <w:pPr>
        <w:pStyle w:val="CPQuestions"/>
      </w:pPr>
      <w:r w:rsidRPr="00227C1A">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r>
        <w:t>?</w:t>
      </w:r>
    </w:p>
    <w:p w14:paraId="3C3E0A3F" w14:textId="77777777" w:rsidR="00227C1A" w:rsidRDefault="00227C1A" w:rsidP="00227C1A">
      <w:r>
        <w:t>&lt;ESMA_QUESTION_CP_MAR_</w:t>
      </w:r>
      <w:r w:rsidR="0062022D">
        <w:t>5</w:t>
      </w:r>
      <w:r>
        <w:t>&gt;</w:t>
      </w:r>
    </w:p>
    <w:p w14:paraId="3C3E0A40" w14:textId="5C429431" w:rsidR="00227C1A" w:rsidRDefault="007E0027" w:rsidP="00227C1A">
      <w:permStart w:id="325415610" w:edGrp="everyone"/>
      <w:r w:rsidRPr="006215E6">
        <w:rPr>
          <w:lang w:val="pt-PT"/>
        </w:rPr>
        <w:t>As per Q. 3.</w:t>
      </w:r>
      <w:permEnd w:id="325415610"/>
    </w:p>
    <w:p w14:paraId="3C3E0A41" w14:textId="77777777" w:rsidR="00227C1A" w:rsidRDefault="00227C1A" w:rsidP="00227C1A">
      <w:r>
        <w:lastRenderedPageBreak/>
        <w:t>&lt;ESMA_QUESTION_CP_MAR_</w:t>
      </w:r>
      <w:r w:rsidR="0062022D">
        <w:t>5</w:t>
      </w:r>
      <w:r>
        <w:t>&gt;</w:t>
      </w:r>
    </w:p>
    <w:p w14:paraId="3C3E0A42" w14:textId="77777777" w:rsidR="002E1760" w:rsidRDefault="002E1760" w:rsidP="002E1760"/>
    <w:p w14:paraId="3C3E0A43" w14:textId="77777777" w:rsidR="002E1760" w:rsidRPr="00431DA4" w:rsidRDefault="0062022D" w:rsidP="00293D78">
      <w:pPr>
        <w:pStyle w:val="CPQuestions"/>
      </w:pPr>
      <w:r w:rsidRPr="0062022D">
        <w:t>Do you agree that Article 30 of MAR points (e), (f) and (g) should also make reference to submitters within supervised contributors and assessors within administrators of commodity benchmarks</w:t>
      </w:r>
      <w:r>
        <w:t>?</w:t>
      </w:r>
    </w:p>
    <w:p w14:paraId="3C3E0A44" w14:textId="77777777" w:rsidR="0062022D" w:rsidRDefault="0062022D" w:rsidP="0062022D">
      <w:r>
        <w:t>&lt;ESMA_QUESTION_CP_MAR_</w:t>
      </w:r>
      <w:r w:rsidR="00A263DF">
        <w:t>6</w:t>
      </w:r>
      <w:r>
        <w:t>&gt;</w:t>
      </w:r>
    </w:p>
    <w:p w14:paraId="3C3E0A45" w14:textId="77777777" w:rsidR="0062022D" w:rsidRDefault="0062022D" w:rsidP="0062022D">
      <w:permStart w:id="970343703" w:edGrp="everyone"/>
      <w:r>
        <w:t>TYPE YOUR TEXT HERE</w:t>
      </w:r>
      <w:permEnd w:id="970343703"/>
    </w:p>
    <w:p w14:paraId="3C3E0A46" w14:textId="77777777" w:rsidR="0062022D" w:rsidRDefault="0062022D" w:rsidP="0062022D">
      <w:r>
        <w:t>&lt;ESMA_QUESTION_CP_MAR_</w:t>
      </w:r>
      <w:r w:rsidR="00A263DF">
        <w:t>6</w:t>
      </w:r>
      <w:r>
        <w:t>&gt;</w:t>
      </w:r>
    </w:p>
    <w:p w14:paraId="3C3E0A47" w14:textId="77777777" w:rsidR="0062022D" w:rsidRDefault="0062022D" w:rsidP="009003B8">
      <w:pPr>
        <w:jc w:val="both"/>
        <w:rPr>
          <w:i/>
        </w:rPr>
      </w:pPr>
    </w:p>
    <w:p w14:paraId="3C3E0A48" w14:textId="77777777" w:rsidR="002E1760" w:rsidRPr="00431DA4" w:rsidRDefault="00A263DF" w:rsidP="00293D78">
      <w:pPr>
        <w:pStyle w:val="CPQuestions"/>
      </w:pPr>
      <w:r w:rsidRPr="00A263DF">
        <w:t>Do you agree that there is a need to modify the reporting mechanism under Article 5(3) of MAR? Please justify your position</w:t>
      </w:r>
      <w:r>
        <w:t>.</w:t>
      </w:r>
    </w:p>
    <w:p w14:paraId="3C3E0A49" w14:textId="77777777" w:rsidR="00A263DF" w:rsidRDefault="00A263DF" w:rsidP="00A263DF">
      <w:r>
        <w:t>&lt;ESMA_QUESTION_CP_MAR_7&gt;</w:t>
      </w:r>
    </w:p>
    <w:p w14:paraId="3C3E0A4A" w14:textId="6A5A891F" w:rsidR="00A263DF" w:rsidRDefault="007E0027" w:rsidP="00A263DF">
      <w:permStart w:id="707658946" w:edGrp="everyone"/>
      <w:r w:rsidRPr="007E0027">
        <w:rPr>
          <w:rFonts w:cs="Arial"/>
        </w:rPr>
        <w:t>Yes, Euronext believes it would be beneficial to modify the requirements so as to alleviate the burden on issuers as having to report to multiple NCAs with the same information is an unnecessary burden</w:t>
      </w:r>
      <w:r w:rsidRPr="00E927D6">
        <w:rPr>
          <w:rFonts w:ascii="Calibri" w:hAnsi="Calibri" w:cs="Calibri"/>
        </w:rPr>
        <w:t>.</w:t>
      </w:r>
      <w:permEnd w:id="707658946"/>
    </w:p>
    <w:p w14:paraId="3C3E0A4B" w14:textId="77777777" w:rsidR="00A263DF" w:rsidRDefault="00A263DF" w:rsidP="00A263DF">
      <w:r>
        <w:t>&lt;ESMA_QUESTION_CP_MAR_7&gt;</w:t>
      </w:r>
    </w:p>
    <w:p w14:paraId="3C3E0A4C" w14:textId="77777777" w:rsidR="00C228C1" w:rsidRDefault="00C228C1" w:rsidP="00A263DF"/>
    <w:p w14:paraId="3C3E0A4D" w14:textId="77777777" w:rsidR="002E1760" w:rsidRPr="00431DA4" w:rsidRDefault="008418E3" w:rsidP="00293D78">
      <w:pPr>
        <w:pStyle w:val="CPQuestions"/>
      </w:pPr>
      <w:r w:rsidRPr="008418E3">
        <w:t>If you agree that the reporting mechanism should be modified, do you agree that Option 3 as described is the best way forward? Please justify your position and if you disagree please suggest alternative</w:t>
      </w:r>
      <w:r>
        <w:t>.</w:t>
      </w:r>
    </w:p>
    <w:p w14:paraId="3C3E0A4E" w14:textId="77777777" w:rsidR="00A263DF" w:rsidRDefault="00A263DF" w:rsidP="00A263DF">
      <w:r>
        <w:t>&lt;ESMA_QUESTION_CP_MAR_</w:t>
      </w:r>
      <w:r w:rsidR="00C228C1">
        <w:t>8</w:t>
      </w:r>
      <w:r>
        <w:t>&gt;</w:t>
      </w:r>
    </w:p>
    <w:p w14:paraId="12BE0988" w14:textId="7E1D315B" w:rsidR="007E0027" w:rsidRDefault="007E0027" w:rsidP="007E0027">
      <w:pPr>
        <w:jc w:val="both"/>
        <w:rPr>
          <w:rFonts w:cs="Arial"/>
        </w:rPr>
      </w:pPr>
      <w:permStart w:id="797404044" w:edGrp="everyone"/>
      <w:r w:rsidRPr="007E0027">
        <w:rPr>
          <w:rFonts w:cs="Arial"/>
        </w:rPr>
        <w:t xml:space="preserve">In our view, Option 2 would be the best approach as there is a direct connection between issuers and the jurisdictions where they have requested admission to trading.  In addition, we would suggest that this option should be modified so that issuers should only be required to report to the NCA that is defined in Article 17 and the supplemental delegated regulation, which is the NCA the issuer must provide information to regarding delayed disclosure. This would simplify the process considerably as the issuer already has a direct relationship with this NCA. This relevant NCA should then forward the information on to all NCAs where the security is traded. </w:t>
      </w:r>
    </w:p>
    <w:p w14:paraId="40FB79ED" w14:textId="77777777" w:rsidR="00EF4D5B" w:rsidRPr="007E0027" w:rsidRDefault="00EF4D5B" w:rsidP="007E0027">
      <w:pPr>
        <w:jc w:val="both"/>
        <w:rPr>
          <w:rFonts w:cs="Arial"/>
        </w:rPr>
      </w:pPr>
    </w:p>
    <w:p w14:paraId="1F805FA7" w14:textId="78A5CDF6" w:rsidR="007E0027" w:rsidRDefault="007E0027" w:rsidP="007E0027">
      <w:pPr>
        <w:jc w:val="both"/>
        <w:rPr>
          <w:rFonts w:cs="Arial"/>
        </w:rPr>
      </w:pPr>
      <w:r w:rsidRPr="007E0027">
        <w:rPr>
          <w:rFonts w:cs="Arial"/>
        </w:rPr>
        <w:t xml:space="preserve">If the approach in Option 3 is taken which focuses on the NCA of the most relevant market in terms of liquidity, this would result in issuers potentially having to deal with different NCAs as the most relevant market is not always the same NCA as defined under Art 17. In addition, the most relevant market may be a market where the issuer has not even requested admission of its securities. Furthermore, given liquidity may also change over time it would mean issuers would always have to keep this under review. </w:t>
      </w:r>
    </w:p>
    <w:p w14:paraId="0BDB42B8" w14:textId="77777777" w:rsidR="00EF4D5B" w:rsidRPr="007E0027" w:rsidRDefault="00EF4D5B" w:rsidP="007E0027">
      <w:pPr>
        <w:jc w:val="both"/>
        <w:rPr>
          <w:rFonts w:cs="Arial"/>
        </w:rPr>
      </w:pPr>
    </w:p>
    <w:p w14:paraId="3C3E0A4F" w14:textId="16655DD9" w:rsidR="00A263DF" w:rsidRDefault="007E0027" w:rsidP="00A263DF">
      <w:r w:rsidRPr="007E0027">
        <w:rPr>
          <w:rFonts w:cs="Arial"/>
        </w:rPr>
        <w:t>Therefore, in our view a modified version of Option 2 that requires all relevant information to be reported to the one NCA already known to the issuer, who can then forward on to others, would be the preferable option in order to avoid the issues described above.</w:t>
      </w:r>
      <w:r>
        <w:rPr>
          <w:rFonts w:cs="Arial"/>
        </w:rPr>
        <w:t>.</w:t>
      </w:r>
      <w:permEnd w:id="797404044"/>
    </w:p>
    <w:p w14:paraId="3C3E0A50" w14:textId="77777777" w:rsidR="00A263DF" w:rsidRDefault="00A263DF" w:rsidP="00A263DF">
      <w:r>
        <w:t>&lt;ESMA_QUESTION_CP_MAR_</w:t>
      </w:r>
      <w:r w:rsidR="00C228C1">
        <w:t>8</w:t>
      </w:r>
      <w:r>
        <w:t>&gt;</w:t>
      </w:r>
    </w:p>
    <w:p w14:paraId="3C3E0A51" w14:textId="77777777" w:rsidR="00C228C1" w:rsidRDefault="00C228C1" w:rsidP="00A263DF"/>
    <w:p w14:paraId="3C3E0A52" w14:textId="77777777" w:rsidR="002E1760" w:rsidRPr="00431DA4" w:rsidRDefault="008418E3" w:rsidP="00293D78">
      <w:pPr>
        <w:pStyle w:val="CPQuestions"/>
      </w:pPr>
      <w:r w:rsidRPr="008418E3">
        <w:t>Do you agree to remove the obligation for issuers to report under Article 5(3) of MAR information specified in Article 25(1) and (2) of MiFIR? If not, please explain</w:t>
      </w:r>
      <w:r>
        <w:t>.</w:t>
      </w:r>
    </w:p>
    <w:p w14:paraId="3C3E0A53" w14:textId="77777777" w:rsidR="002E1760" w:rsidRDefault="002E1760" w:rsidP="002E1760">
      <w:r>
        <w:t>&lt;ESMA_QUESTION_</w:t>
      </w:r>
      <w:r w:rsidR="00227C1A">
        <w:t>CP_MAR_</w:t>
      </w:r>
      <w:r>
        <w:t>9&gt;</w:t>
      </w:r>
    </w:p>
    <w:p w14:paraId="3C3E0A54" w14:textId="38F48D27" w:rsidR="002E1760" w:rsidRDefault="007E0027" w:rsidP="002E1760">
      <w:permStart w:id="1572474776" w:edGrp="everyone"/>
      <w:r w:rsidRPr="007E0027">
        <w:rPr>
          <w:rFonts w:cs="Arial"/>
        </w:rPr>
        <w:t>Yes, we agree this obligation for issuers to report should be removed to avoid duplicate reporting which is unnecessary.</w:t>
      </w:r>
      <w:permEnd w:id="1572474776"/>
    </w:p>
    <w:p w14:paraId="3C3E0A55" w14:textId="77777777" w:rsidR="002E1760" w:rsidRDefault="002E1760" w:rsidP="002E1760">
      <w:r>
        <w:t>&lt;ESMA_QUESTION_</w:t>
      </w:r>
      <w:r w:rsidR="00227C1A">
        <w:t>CP_MAR_</w:t>
      </w:r>
      <w:r>
        <w:t>9&gt;</w:t>
      </w:r>
    </w:p>
    <w:p w14:paraId="3C3E0A56" w14:textId="77777777" w:rsidR="00C228C1" w:rsidRDefault="00C228C1" w:rsidP="002E1760"/>
    <w:p w14:paraId="3C3E0A57" w14:textId="77777777" w:rsidR="002E1760" w:rsidRPr="00431DA4" w:rsidRDefault="008418E3" w:rsidP="00293D78">
      <w:pPr>
        <w:pStyle w:val="CPQuestions"/>
      </w:pPr>
      <w:r w:rsidRPr="008418E3">
        <w:t>Do you agree with the list of fields to be reported by the issuers to the NCA? If not, please elaborate</w:t>
      </w:r>
      <w:r w:rsidR="00FC7836">
        <w:t>.</w:t>
      </w:r>
    </w:p>
    <w:p w14:paraId="3C3E0A58" w14:textId="77777777" w:rsidR="008418E3" w:rsidRDefault="008418E3" w:rsidP="008418E3">
      <w:r>
        <w:t>&lt;ESMA_QUESTION_CP_MAR_10&gt;</w:t>
      </w:r>
    </w:p>
    <w:p w14:paraId="3C3E0A59" w14:textId="77777777" w:rsidR="008418E3" w:rsidRDefault="008418E3" w:rsidP="008418E3">
      <w:permStart w:id="1766684248" w:edGrp="everyone"/>
      <w:r>
        <w:t>TYPE YOUR TEXT HERE</w:t>
      </w:r>
      <w:permEnd w:id="1766684248"/>
    </w:p>
    <w:p w14:paraId="3C3E0A5A" w14:textId="77777777" w:rsidR="008418E3" w:rsidRDefault="008418E3" w:rsidP="008418E3">
      <w:r>
        <w:t>&lt;ESMA_QUESTION_CP_MAR_10&gt;</w:t>
      </w:r>
    </w:p>
    <w:p w14:paraId="3C3E0A5B" w14:textId="77777777" w:rsidR="00C228C1" w:rsidRDefault="00C228C1" w:rsidP="008418E3"/>
    <w:p w14:paraId="3C3E0A5C" w14:textId="77777777" w:rsidR="009003B8" w:rsidRDefault="00F469F8" w:rsidP="00293D78">
      <w:pPr>
        <w:pStyle w:val="CPQuestions"/>
      </w:pPr>
      <w:r w:rsidRPr="00F469F8">
        <w:t>Do you agree with ESMA’s preliminary view</w:t>
      </w:r>
      <w:r w:rsidR="009003B8">
        <w:t>?</w:t>
      </w:r>
    </w:p>
    <w:p w14:paraId="3C3E0A5D" w14:textId="77777777" w:rsidR="00F469F8" w:rsidRDefault="00F469F8" w:rsidP="00F469F8">
      <w:r>
        <w:t>&lt;ESMA_QUESTION_CP_MAR_11&gt;</w:t>
      </w:r>
    </w:p>
    <w:p w14:paraId="3C3E0A5E" w14:textId="77777777" w:rsidR="00F469F8" w:rsidRDefault="00F469F8" w:rsidP="00F469F8">
      <w:permStart w:id="332164447" w:edGrp="everyone"/>
      <w:r>
        <w:t>TYPE YOUR TEXT HERE</w:t>
      </w:r>
      <w:permEnd w:id="332164447"/>
    </w:p>
    <w:p w14:paraId="3C3E0A5F" w14:textId="77777777" w:rsidR="00F469F8" w:rsidRDefault="00F469F8" w:rsidP="00F469F8">
      <w:r>
        <w:t>&lt;ESMA_QUESTION_CP_MAR_11&gt;</w:t>
      </w:r>
    </w:p>
    <w:p w14:paraId="3C3E0A60" w14:textId="77777777" w:rsidR="00C228C1" w:rsidRDefault="00C228C1" w:rsidP="00F469F8"/>
    <w:p w14:paraId="3C3E0A61" w14:textId="77777777" w:rsidR="00F469F8" w:rsidRDefault="00F469F8" w:rsidP="00F469F8">
      <w:pPr>
        <w:pStyle w:val="CPQuestions"/>
      </w:pPr>
      <w:r w:rsidRPr="00F469F8">
        <w:t>Would you find more useful other aggregated data related to the BBP and if so what aggregated data? Please elaborate</w:t>
      </w:r>
      <w:r>
        <w:t>.</w:t>
      </w:r>
    </w:p>
    <w:p w14:paraId="3C3E0A62" w14:textId="77777777" w:rsidR="00F469F8" w:rsidRDefault="00F469F8" w:rsidP="00F469F8">
      <w:r>
        <w:t>&lt;ESMA_QUESTION_CP_MAR_1</w:t>
      </w:r>
      <w:r w:rsidR="002868FC">
        <w:t>2</w:t>
      </w:r>
      <w:r>
        <w:t>&gt;</w:t>
      </w:r>
    </w:p>
    <w:p w14:paraId="3C3E0A63" w14:textId="77777777" w:rsidR="00F469F8" w:rsidRDefault="00F469F8" w:rsidP="00F469F8">
      <w:permStart w:id="1943283503" w:edGrp="everyone"/>
      <w:r>
        <w:t>TYPE YOUR TEXT HERE</w:t>
      </w:r>
      <w:permEnd w:id="1943283503"/>
    </w:p>
    <w:p w14:paraId="3C3E0A64" w14:textId="77777777" w:rsidR="00F469F8" w:rsidRDefault="00F469F8" w:rsidP="00F469F8">
      <w:r>
        <w:t>&lt;ESMA_QUESTION_CP_MAR_1</w:t>
      </w:r>
      <w:r w:rsidR="002868FC">
        <w:t>2</w:t>
      </w:r>
      <w:r>
        <w:t>&gt;</w:t>
      </w:r>
    </w:p>
    <w:p w14:paraId="3C3E0A65" w14:textId="77777777" w:rsidR="009003B8" w:rsidRDefault="009003B8" w:rsidP="002E1760"/>
    <w:p w14:paraId="3C3E0A66" w14:textId="77777777" w:rsidR="00646C30" w:rsidRDefault="00C228C1" w:rsidP="00646C30">
      <w:pPr>
        <w:pStyle w:val="CPQuestions"/>
      </w:pPr>
      <w:r w:rsidRPr="00C228C1">
        <w:t>Have market participants experienced any difficulties with identifying what information is inside information and the moment in which information becomes inside information under the current MAR definition</w:t>
      </w:r>
      <w:r>
        <w:t>?</w:t>
      </w:r>
    </w:p>
    <w:p w14:paraId="3C3E0A67" w14:textId="77777777" w:rsidR="00646C30" w:rsidRDefault="00646C30" w:rsidP="00646C30">
      <w:r>
        <w:t>&lt;ESMA_QUESTION_CP_MAR_1</w:t>
      </w:r>
      <w:r w:rsidR="00101BF1">
        <w:t>3</w:t>
      </w:r>
      <w:r>
        <w:t>&gt;</w:t>
      </w:r>
    </w:p>
    <w:p w14:paraId="6DEFF4D8" w14:textId="7DD683CE" w:rsidR="007E0027" w:rsidRDefault="007E0027" w:rsidP="007E0027">
      <w:pPr>
        <w:jc w:val="both"/>
        <w:rPr>
          <w:rFonts w:cs="Arial"/>
        </w:rPr>
      </w:pPr>
      <w:bookmarkStart w:id="3" w:name="_Hlk25828300"/>
      <w:bookmarkStart w:id="4" w:name="_Hlk24122443"/>
      <w:permStart w:id="770132907" w:edGrp="everyone"/>
      <w:r w:rsidRPr="007E0027">
        <w:rPr>
          <w:rFonts w:cs="Arial"/>
        </w:rPr>
        <w:t>Identifying inside information is a challenge for issuers, particularly as it can be very hard to quantify the potential impact on share price, which means it is a very hard assessment to make.</w:t>
      </w:r>
    </w:p>
    <w:p w14:paraId="298B657B" w14:textId="77777777" w:rsidR="002C0B59" w:rsidRPr="007E0027" w:rsidRDefault="002C0B59" w:rsidP="007E0027">
      <w:pPr>
        <w:jc w:val="both"/>
        <w:rPr>
          <w:rFonts w:cs="Arial"/>
        </w:rPr>
      </w:pPr>
    </w:p>
    <w:p w14:paraId="2990EBF8" w14:textId="2BAC66CC" w:rsidR="007E0027" w:rsidRDefault="007E0027" w:rsidP="007E0027">
      <w:pPr>
        <w:jc w:val="both"/>
        <w:rPr>
          <w:rFonts w:cs="Arial"/>
        </w:rPr>
      </w:pPr>
      <w:r w:rsidRPr="007E0027">
        <w:rPr>
          <w:rFonts w:cs="Arial"/>
        </w:rPr>
        <w:t xml:space="preserve">We suggest it could be useful for ESMA to provide additional guidance in this area by setting out various examples of cases which constitute inside information and the rationale for the approach, and it should be ensured that NCAs also follow these examples. </w:t>
      </w:r>
      <w:bookmarkEnd w:id="3"/>
      <w:r w:rsidRPr="007E0027">
        <w:rPr>
          <w:rFonts w:cs="Arial"/>
        </w:rPr>
        <w:t>Issuers would be able to use these case studies as guidance for their own particular circumstances.</w:t>
      </w:r>
    </w:p>
    <w:p w14:paraId="0FF0608D" w14:textId="77777777" w:rsidR="002C0B59" w:rsidRPr="007E0027" w:rsidRDefault="002C0B59" w:rsidP="007E0027">
      <w:pPr>
        <w:jc w:val="both"/>
        <w:rPr>
          <w:rFonts w:cs="Arial"/>
        </w:rPr>
      </w:pPr>
    </w:p>
    <w:p w14:paraId="37B95958" w14:textId="77777777" w:rsidR="007E0027" w:rsidRPr="007E0027" w:rsidRDefault="007E0027" w:rsidP="007E0027">
      <w:pPr>
        <w:jc w:val="both"/>
        <w:rPr>
          <w:rFonts w:cs="Arial"/>
        </w:rPr>
      </w:pPr>
      <w:r w:rsidRPr="007E0027">
        <w:rPr>
          <w:rFonts w:cs="Arial"/>
        </w:rPr>
        <w:t>In particular we would like to highlight two cases where issues have been identified which we have previously advocated on:</w:t>
      </w:r>
    </w:p>
    <w:p w14:paraId="5CA54D0C" w14:textId="77777777" w:rsidR="007E0027" w:rsidRPr="007E0027" w:rsidRDefault="007E0027" w:rsidP="007E0027">
      <w:pPr>
        <w:pStyle w:val="ListParagraph"/>
        <w:numPr>
          <w:ilvl w:val="0"/>
          <w:numId w:val="41"/>
        </w:numPr>
        <w:spacing w:after="160" w:line="259" w:lineRule="auto"/>
        <w:jc w:val="both"/>
        <w:rPr>
          <w:rFonts w:cs="Arial"/>
        </w:rPr>
      </w:pPr>
      <w:r w:rsidRPr="007E0027">
        <w:rPr>
          <w:rFonts w:cs="Arial"/>
        </w:rPr>
        <w:t xml:space="preserve">In relation to debt markets, it is very difficult to determine if information will have a “significant effect on the price of the debt instrument if made public” given the large majority of these securities are illiquid by nature. We suggest guidance is provided as to how this should be applied to issuers of debt securities or a more specific tailored regime should be considered. </w:t>
      </w:r>
    </w:p>
    <w:p w14:paraId="4C89BB85" w14:textId="77777777" w:rsidR="007E0027" w:rsidRPr="00E927D6" w:rsidRDefault="007E0027" w:rsidP="007E0027">
      <w:pPr>
        <w:pStyle w:val="ListParagraph"/>
        <w:numPr>
          <w:ilvl w:val="0"/>
          <w:numId w:val="41"/>
        </w:numPr>
        <w:spacing w:after="160" w:line="259" w:lineRule="auto"/>
        <w:jc w:val="both"/>
        <w:rPr>
          <w:rFonts w:ascii="Calibri" w:hAnsi="Calibri" w:cs="Calibri"/>
        </w:rPr>
      </w:pPr>
      <w:bookmarkStart w:id="5" w:name="_Hlk24122428"/>
      <w:r w:rsidRPr="007E0027">
        <w:rPr>
          <w:rFonts w:cs="Arial"/>
        </w:rPr>
        <w:t>In relation to derivatives trading, the definition of inside information expressly includes information relating to an issuer of financial instruments that would be likely to have a significant effect on the prices of related derivative financial instruments. Information on expected dividends is critical for the pricing of derivatives, and in our view the dividend policy of the issuer needs to be very clear and any changes should be communicated in a clear and timely way. This has already been acknowledged in the ESMA Q&amp;A on MAD back in Jan 2012, however we believe this needs to be re-emphasised and directly linked to MAR</w:t>
      </w:r>
      <w:r w:rsidRPr="00E927D6">
        <w:rPr>
          <w:rFonts w:ascii="Calibri" w:hAnsi="Calibri" w:cs="Calibri"/>
        </w:rPr>
        <w:t xml:space="preserve">. </w:t>
      </w:r>
    </w:p>
    <w:bookmarkEnd w:id="4"/>
    <w:bookmarkEnd w:id="5"/>
    <w:permEnd w:id="770132907"/>
    <w:p w14:paraId="3C3E0A68" w14:textId="13E79EFC" w:rsidR="00646C30" w:rsidRDefault="00646C30" w:rsidP="00646C30"/>
    <w:p w14:paraId="3C3E0A69" w14:textId="77777777" w:rsidR="00646C30" w:rsidRDefault="00646C30" w:rsidP="00646C30">
      <w:r>
        <w:lastRenderedPageBreak/>
        <w:t>&lt;ESMA_QUESTION_CP_MAR_1</w:t>
      </w:r>
      <w:r w:rsidR="002F1683">
        <w:t>3</w:t>
      </w:r>
      <w:r>
        <w:t>&gt;</w:t>
      </w:r>
    </w:p>
    <w:p w14:paraId="3C3E0A6A" w14:textId="77777777" w:rsidR="002868FC" w:rsidRDefault="002868FC" w:rsidP="002E1760"/>
    <w:p w14:paraId="3C3E0A6B" w14:textId="77777777" w:rsidR="00646C30" w:rsidRDefault="00C228C1" w:rsidP="00646C30">
      <w:pPr>
        <w:pStyle w:val="CPQuestions"/>
      </w:pPr>
      <w:r w:rsidRPr="00C228C1">
        <w:t>Do market participants consider that the definition of inside information is sufficient for combatting market abuse</w:t>
      </w:r>
      <w:r>
        <w:t>?</w:t>
      </w:r>
    </w:p>
    <w:p w14:paraId="3C3E0A6C" w14:textId="77777777" w:rsidR="00646C30" w:rsidRDefault="00646C30" w:rsidP="00646C30">
      <w:r>
        <w:t>&lt;ESMA_QUESTION_CP_MAR_1</w:t>
      </w:r>
      <w:r w:rsidR="00101BF1">
        <w:t>4</w:t>
      </w:r>
      <w:r>
        <w:t>&gt;</w:t>
      </w:r>
    </w:p>
    <w:p w14:paraId="3C3E0A6D" w14:textId="199B3D78" w:rsidR="00646C30" w:rsidRDefault="007E0027" w:rsidP="00646C30">
      <w:permStart w:id="416102086" w:edGrp="everyone"/>
      <w:r w:rsidRPr="007E0027">
        <w:rPr>
          <w:rFonts w:cs="Arial"/>
        </w:rPr>
        <w:t>We believe the definition of inside information is sufficient and should not be changed. However, as referenced above, it is still a difficult assessment to make and therefore further guidance from ESMA of specific examples would be helpful.</w:t>
      </w:r>
      <w:r w:rsidRPr="00E927D6">
        <w:rPr>
          <w:rFonts w:ascii="Calibri" w:hAnsi="Calibri" w:cs="Calibri"/>
        </w:rPr>
        <w:t xml:space="preserve"> </w:t>
      </w:r>
      <w:permEnd w:id="416102086"/>
    </w:p>
    <w:p w14:paraId="3C3E0A6E" w14:textId="77777777" w:rsidR="00646C30" w:rsidRDefault="00646C30" w:rsidP="00646C30">
      <w:r>
        <w:t>&lt;ESMA_QUESTION_CP_MAR_1</w:t>
      </w:r>
      <w:r w:rsidR="00101BF1">
        <w:t>4</w:t>
      </w:r>
      <w:r>
        <w:t>&gt;</w:t>
      </w:r>
    </w:p>
    <w:p w14:paraId="3C3E0A6F" w14:textId="77777777" w:rsidR="002868FC" w:rsidRDefault="002868FC" w:rsidP="002E1760"/>
    <w:p w14:paraId="3C3E0A70" w14:textId="77777777" w:rsidR="00646C30" w:rsidRDefault="00C228C1" w:rsidP="00646C30">
      <w:pPr>
        <w:pStyle w:val="CPQuestions"/>
      </w:pPr>
      <w:r w:rsidRPr="00C228C1">
        <w:t>In particular, have market participants identified information that they would consider as inside information, but which is not covered by the current definition of inside information</w:t>
      </w:r>
      <w:r>
        <w:t>?</w:t>
      </w:r>
    </w:p>
    <w:p w14:paraId="3C3E0A71" w14:textId="77777777" w:rsidR="00646C30" w:rsidRDefault="00646C30" w:rsidP="00646C30">
      <w:r>
        <w:t>&lt;ESMA_QUESTION_CP_MAR_1</w:t>
      </w:r>
      <w:r w:rsidR="00101BF1">
        <w:t>5</w:t>
      </w:r>
      <w:r>
        <w:t>&gt;</w:t>
      </w:r>
    </w:p>
    <w:p w14:paraId="3C3E0A72" w14:textId="42B61E0D" w:rsidR="00646C30" w:rsidRDefault="007E0027" w:rsidP="00646C30">
      <w:permStart w:id="831264800" w:edGrp="everyone"/>
      <w:r>
        <w:t>No, we have not.</w:t>
      </w:r>
      <w:permEnd w:id="831264800"/>
    </w:p>
    <w:p w14:paraId="3C3E0A73" w14:textId="77777777" w:rsidR="00646C30" w:rsidRDefault="00646C30" w:rsidP="00646C30">
      <w:r>
        <w:t>&lt;ESMA_QUESTION_CP_MAR_1</w:t>
      </w:r>
      <w:r w:rsidR="00101BF1">
        <w:t>5</w:t>
      </w:r>
      <w:r>
        <w:t>&gt;</w:t>
      </w:r>
    </w:p>
    <w:p w14:paraId="3C3E0A74" w14:textId="77777777" w:rsidR="002868FC" w:rsidRDefault="002868FC" w:rsidP="002E1760"/>
    <w:p w14:paraId="3C3E0A75" w14:textId="77777777" w:rsidR="00646C30" w:rsidRDefault="00C228C1" w:rsidP="00646C30">
      <w:pPr>
        <w:pStyle w:val="CPQuestions"/>
      </w:pPr>
      <w:r w:rsidRPr="00C228C1">
        <w:t>Have market participants identified inside information on commodity derivatives which is not included in the current definition of Article 7(1)(b) of MAR</w:t>
      </w:r>
      <w:r>
        <w:t>?</w:t>
      </w:r>
    </w:p>
    <w:p w14:paraId="3C3E0A76" w14:textId="77777777" w:rsidR="00646C30" w:rsidRDefault="00646C30" w:rsidP="00646C30">
      <w:r>
        <w:t>&lt;ESMA_QUESTION_CP_MAR_1</w:t>
      </w:r>
      <w:r w:rsidR="00101BF1">
        <w:t>6</w:t>
      </w:r>
      <w:r>
        <w:t>&gt;</w:t>
      </w:r>
    </w:p>
    <w:p w14:paraId="10123D50" w14:textId="1F4BEB6D" w:rsidR="0012468A" w:rsidRPr="0012468A" w:rsidRDefault="0012468A" w:rsidP="0012468A">
      <w:pPr>
        <w:jc w:val="both"/>
        <w:rPr>
          <w:rFonts w:cs="Arial"/>
          <w:iCs/>
        </w:rPr>
      </w:pPr>
      <w:permStart w:id="2062680747" w:edGrp="everyone"/>
      <w:r w:rsidRPr="0012468A">
        <w:rPr>
          <w:rFonts w:cs="Arial"/>
          <w:iCs/>
        </w:rPr>
        <w:t xml:space="preserve">In respect of listed agricultural commodity derivatives markets, no specific concern has been reported to the exchange by market participants about the current MAR definition. </w:t>
      </w:r>
    </w:p>
    <w:p w14:paraId="0AA93D2E" w14:textId="77777777" w:rsidR="0012468A" w:rsidRDefault="0012468A" w:rsidP="00646C30">
      <w:pPr>
        <w:rPr>
          <w:rFonts w:cs="Arial"/>
          <w:iCs/>
        </w:rPr>
      </w:pPr>
    </w:p>
    <w:p w14:paraId="3C3E0A77" w14:textId="5FDB0CC0" w:rsidR="00646C30" w:rsidRDefault="0012468A" w:rsidP="00646C30">
      <w:r w:rsidRPr="0012468A">
        <w:rPr>
          <w:rFonts w:cs="Arial"/>
          <w:iCs/>
        </w:rPr>
        <w:t xml:space="preserve">In particular, the current definition allows market infrastructure (exchanges and clearing houses) and the delivery warehouses to agree on the information that should be disclosed as a matter of good practice and qualify as inside information: for example, warehouses eligible for the delivery of Euronext agricultural listed derivatives have agreed to make public e.g. any change in their quality acceptance requirements and disclose situations where their storage available capacity reaches some critical thresholds, which tailored construction fits with the current MAR definition encompassing “information […] which users of markets on which such derivatives are traded would expect to receive in accordance with accepted market practices on those markets “. </w:t>
      </w:r>
      <w:r w:rsidRPr="0012468A">
        <w:rPr>
          <w:rFonts w:cs="Arial"/>
        </w:rPr>
        <w:t>This type of information is rapidly made public to all market participants</w:t>
      </w:r>
      <w:r w:rsidR="007E0027">
        <w:t>.</w:t>
      </w:r>
      <w:permEnd w:id="2062680747"/>
    </w:p>
    <w:p w14:paraId="3C3E0A78" w14:textId="77777777" w:rsidR="00646C30" w:rsidRDefault="00646C30" w:rsidP="00646C30">
      <w:r>
        <w:t>&lt;ESMA_QUESTION_CP_MAR_1</w:t>
      </w:r>
      <w:r w:rsidR="00101BF1">
        <w:t>6</w:t>
      </w:r>
      <w:r>
        <w:t>&gt;</w:t>
      </w:r>
    </w:p>
    <w:p w14:paraId="3C3E0A79" w14:textId="77777777" w:rsidR="002868FC" w:rsidRDefault="002868FC" w:rsidP="002E1760"/>
    <w:p w14:paraId="3C3E0A7A" w14:textId="77777777" w:rsidR="00646C30" w:rsidRDefault="00C228C1" w:rsidP="00646C30">
      <w:pPr>
        <w:pStyle w:val="CPQuestions"/>
      </w:pPr>
      <w:r w:rsidRPr="00C228C1">
        <w:t>What is an appropriate balance between the scope of inside information relating to commodity derivatives and allowing commodity producers to undertake hedging transactions on the basis of that information, to enable them to carry out their commercial activities and to support the effective functioning of the market?</w:t>
      </w:r>
    </w:p>
    <w:p w14:paraId="3C3E0A7B" w14:textId="77777777" w:rsidR="00646C30" w:rsidRDefault="00646C30" w:rsidP="00646C30">
      <w:r>
        <w:t>&lt;ESMA_QUESTION_CP_MAR_1</w:t>
      </w:r>
      <w:r w:rsidR="00101BF1">
        <w:t>7</w:t>
      </w:r>
      <w:r>
        <w:t>&gt;</w:t>
      </w:r>
    </w:p>
    <w:p w14:paraId="3C3E0A7C" w14:textId="08C74627" w:rsidR="00646C30" w:rsidRDefault="0012468A" w:rsidP="00646C30">
      <w:permStart w:id="436762959" w:edGrp="everyone"/>
      <w:r w:rsidRPr="0012468A">
        <w:rPr>
          <w:rFonts w:cs="Arial"/>
          <w:iCs/>
          <w:lang w:eastAsia="fr-FR"/>
        </w:rPr>
        <w:t>The primary purpose of commodity derivatives markets is to offer hedging possibilities, between commercial participants or against financial players accepting to get the risk transferred: as far as agricultural listed derivatives are concerned, the priority should remain to give comfort to commercial participants that they can perform their hedging interventions without being exposed to regulatory uncertainty via too wide a definition in a domain where disciplinary case-law is limited</w:t>
      </w:r>
      <w:r>
        <w:rPr>
          <w:rFonts w:ascii="Calibri" w:hAnsi="Calibri" w:cs="Calibri"/>
          <w:iCs/>
          <w:lang w:eastAsia="fr-FR"/>
        </w:rPr>
        <w:t>.</w:t>
      </w:r>
      <w:permEnd w:id="436762959"/>
    </w:p>
    <w:p w14:paraId="3C3E0A7D" w14:textId="77777777" w:rsidR="00646C30" w:rsidRDefault="00646C30" w:rsidP="00646C30">
      <w:r>
        <w:t>&lt;ESMA_QUESTION_CP_MAR_1</w:t>
      </w:r>
      <w:r w:rsidR="00101BF1">
        <w:t>7</w:t>
      </w:r>
      <w:r>
        <w:t>&gt;</w:t>
      </w:r>
    </w:p>
    <w:p w14:paraId="3C3E0A7E" w14:textId="77777777" w:rsidR="002868FC" w:rsidRDefault="002868FC" w:rsidP="002E1760"/>
    <w:p w14:paraId="3C3E0A7F" w14:textId="77777777" w:rsidR="00646C30" w:rsidRDefault="00C228C1" w:rsidP="00646C30">
      <w:pPr>
        <w:pStyle w:val="CPQuestions"/>
      </w:pPr>
      <w:r w:rsidRPr="00C228C1">
        <w:lastRenderedPageBreak/>
        <w:t>As of today, does the current definition of Article 7(1)(b) of MAR allow commodity producers to hedge their commercial activities? In this respect, please provide information on hedging difficulties encountered</w:t>
      </w:r>
      <w:r>
        <w:t>.</w:t>
      </w:r>
    </w:p>
    <w:p w14:paraId="3C3E0A80" w14:textId="77777777" w:rsidR="00646C30" w:rsidRDefault="00646C30" w:rsidP="00646C30">
      <w:r>
        <w:t>&lt;ESMA_QUESTION_CP_MAR_1</w:t>
      </w:r>
      <w:r w:rsidR="00101BF1">
        <w:t>8</w:t>
      </w:r>
      <w:r>
        <w:t>&gt;</w:t>
      </w:r>
    </w:p>
    <w:p w14:paraId="3C3E0A81" w14:textId="7588DD36" w:rsidR="00646C30" w:rsidRDefault="0012468A" w:rsidP="00646C30">
      <w:permStart w:id="1619285630" w:edGrp="everyone"/>
      <w:proofErr w:type="spellStart"/>
      <w:r w:rsidRPr="006215E6">
        <w:rPr>
          <w:lang w:val="pt-PT"/>
        </w:rPr>
        <w:t>See</w:t>
      </w:r>
      <w:proofErr w:type="spellEnd"/>
      <w:r w:rsidRPr="006215E6">
        <w:rPr>
          <w:lang w:val="pt-PT"/>
        </w:rPr>
        <w:t xml:space="preserve"> Q. 16.</w:t>
      </w:r>
      <w:permEnd w:id="1619285630"/>
    </w:p>
    <w:p w14:paraId="3C3E0A82" w14:textId="77777777" w:rsidR="00646C30" w:rsidRDefault="00646C30" w:rsidP="00646C30">
      <w:r>
        <w:t>&lt;ESMA_QUESTION_CP_MAR_1</w:t>
      </w:r>
      <w:r w:rsidR="00101BF1">
        <w:t>8</w:t>
      </w:r>
      <w:r>
        <w:t>&gt;</w:t>
      </w:r>
    </w:p>
    <w:p w14:paraId="3C3E0A83" w14:textId="77777777" w:rsidR="002868FC" w:rsidRDefault="002868FC" w:rsidP="002E1760"/>
    <w:p w14:paraId="3C3E0A84" w14:textId="77777777" w:rsidR="00646C30" w:rsidRDefault="000A0396" w:rsidP="00646C30">
      <w:pPr>
        <w:pStyle w:val="CPQuestions"/>
      </w:pPr>
      <w:r w:rsidRPr="000A0396">
        <w:t>Please provide your views on whether the general definition of inside information of Article 7(1)(a) of MAR could be used for commodity derivatives. In such case, would safeguards enabling commodity producers to undertake hedging transactions based on proprietary inside information related to their commercial activities be needed? Which types of safeguards would you envisage</w:t>
      </w:r>
      <w:r w:rsidR="00C228C1">
        <w:t>?</w:t>
      </w:r>
    </w:p>
    <w:p w14:paraId="3C3E0A85" w14:textId="77777777" w:rsidR="00646C30" w:rsidRDefault="00646C30" w:rsidP="00646C30">
      <w:r>
        <w:t>&lt;ESMA_QUESTION_CP_MAR_1</w:t>
      </w:r>
      <w:r w:rsidR="00101BF1">
        <w:t>9</w:t>
      </w:r>
      <w:r>
        <w:t>&gt;</w:t>
      </w:r>
    </w:p>
    <w:p w14:paraId="3C3E0A86" w14:textId="4572117C" w:rsidR="00646C30" w:rsidRDefault="0012468A" w:rsidP="00646C30">
      <w:permStart w:id="1674213556" w:edGrp="everyone"/>
      <w:r w:rsidRPr="0012468A">
        <w:rPr>
          <w:rFonts w:cs="Arial"/>
          <w:iCs/>
        </w:rPr>
        <w:t>See Q16: absent demonstrated issues, a conservative approach would be recommended as far as agricultural listed derivatives are concerned.</w:t>
      </w:r>
      <w:permEnd w:id="1674213556"/>
    </w:p>
    <w:p w14:paraId="3C3E0A87" w14:textId="77777777" w:rsidR="00646C30" w:rsidRDefault="00646C30" w:rsidP="00646C30">
      <w:r>
        <w:t>&lt;ESMA_QUESTION_CP_MAR_1</w:t>
      </w:r>
      <w:r w:rsidR="00101BF1">
        <w:t>9</w:t>
      </w:r>
      <w:r>
        <w:t>&gt;</w:t>
      </w:r>
    </w:p>
    <w:p w14:paraId="3C3E0A88" w14:textId="77777777" w:rsidR="002868FC" w:rsidRDefault="002868FC" w:rsidP="002E1760"/>
    <w:p w14:paraId="3C3E0A89" w14:textId="77777777" w:rsidR="00646C30" w:rsidRDefault="00C96CA4" w:rsidP="00646C30">
      <w:pPr>
        <w:pStyle w:val="CPQuestions"/>
      </w:pPr>
      <w:r w:rsidRPr="00C96CA4">
        <w:t>What changes could be made to include other cases of front running</w:t>
      </w:r>
      <w:r>
        <w:t>?</w:t>
      </w:r>
    </w:p>
    <w:p w14:paraId="3C3E0A8A" w14:textId="77777777" w:rsidR="00646C30" w:rsidRDefault="00646C30" w:rsidP="00646C30">
      <w:r>
        <w:t>&lt;ESMA_QUESTION_CP_MAR_</w:t>
      </w:r>
      <w:r w:rsidR="00101BF1">
        <w:t>20</w:t>
      </w:r>
      <w:r>
        <w:t>&gt;</w:t>
      </w:r>
    </w:p>
    <w:p w14:paraId="3C3E0A8B" w14:textId="77777777" w:rsidR="00646C30" w:rsidRDefault="00646C30" w:rsidP="00646C30">
      <w:permStart w:id="583142347" w:edGrp="everyone"/>
      <w:r>
        <w:t>TYPE YOUR TEXT HERE</w:t>
      </w:r>
      <w:permEnd w:id="583142347"/>
    </w:p>
    <w:p w14:paraId="3C3E0A8C" w14:textId="77777777" w:rsidR="00646C30" w:rsidRDefault="00646C30" w:rsidP="00646C30">
      <w:r>
        <w:t>&lt;ESMA_QUESTION_CP_MAR_</w:t>
      </w:r>
      <w:r w:rsidR="00101BF1">
        <w:t>20</w:t>
      </w:r>
      <w:r>
        <w:t>&gt;</w:t>
      </w:r>
    </w:p>
    <w:p w14:paraId="3C3E0A8D" w14:textId="77777777" w:rsidR="00646C30" w:rsidRDefault="00646C30" w:rsidP="002E1760"/>
    <w:p w14:paraId="3C3E0A8E" w14:textId="77777777" w:rsidR="00646C30" w:rsidRDefault="00C96CA4" w:rsidP="00646C30">
      <w:pPr>
        <w:pStyle w:val="CPQuestions"/>
      </w:pPr>
      <w:r w:rsidRPr="00C96CA4">
        <w:t>Do you consider that specific conditions should be added in MAR to cover front-running on financial instruments which have an illiquid market</w:t>
      </w:r>
      <w:r>
        <w:t>?</w:t>
      </w:r>
    </w:p>
    <w:p w14:paraId="3C3E0A8F" w14:textId="77777777" w:rsidR="00646C30" w:rsidRDefault="00646C30" w:rsidP="00646C30">
      <w:r>
        <w:t>&lt;ESMA_QUESTION_CP_MAR_</w:t>
      </w:r>
      <w:r w:rsidR="00101BF1">
        <w:t>21</w:t>
      </w:r>
      <w:r>
        <w:t>&gt;</w:t>
      </w:r>
    </w:p>
    <w:p w14:paraId="3C3E0A90" w14:textId="207ADFE5" w:rsidR="00646C30" w:rsidRDefault="002B3BB8" w:rsidP="00646C30">
      <w:permStart w:id="1948856452" w:edGrp="everyone"/>
      <w:r w:rsidRPr="002B3BB8">
        <w:rPr>
          <w:rFonts w:cs="Arial"/>
        </w:rPr>
        <w:t>We believe it would be helpful to clarify situations where liquidity contracts are in place with the issuer of illiquid securities, and that in these circumstances where a liquidity provider is facilitating the retail flow by providing additional liquidity, this is not considered front-running. There would have to be strict controls in place to ensure the correct procedure is adhered to but it would be helpful to have clarity on this situation.</w:t>
      </w:r>
      <w:permEnd w:id="1948856452"/>
    </w:p>
    <w:p w14:paraId="3C3E0A91" w14:textId="77777777" w:rsidR="00646C30" w:rsidRDefault="00646C30" w:rsidP="00646C30">
      <w:r>
        <w:t>&lt;ESMA_QUESTION_CP_MAR_</w:t>
      </w:r>
      <w:r w:rsidR="00101BF1">
        <w:t>21</w:t>
      </w:r>
      <w:r>
        <w:t>&gt;</w:t>
      </w:r>
    </w:p>
    <w:p w14:paraId="3C3E0A92" w14:textId="77777777" w:rsidR="00646C30" w:rsidRDefault="00646C30" w:rsidP="002E1760"/>
    <w:p w14:paraId="3C3E0A93" w14:textId="77777777" w:rsidR="00646C30" w:rsidRDefault="00674628" w:rsidP="00646C30">
      <w:pPr>
        <w:pStyle w:val="CPQuestions"/>
      </w:pPr>
      <w:r w:rsidRPr="00674628">
        <w:t>What market abuse and/or conduct risks could arise from pre-hedging behaviours and what systems and controls do firms have in place to address those risks? What measures could be used in MAR or other legislation to address those risks</w:t>
      </w:r>
      <w:r>
        <w:t>?</w:t>
      </w:r>
    </w:p>
    <w:p w14:paraId="3C3E0A94" w14:textId="77777777" w:rsidR="00646C30" w:rsidRDefault="00646C30" w:rsidP="00646C30">
      <w:r>
        <w:t>&lt;ESMA_QUESTION_CP_MAR_</w:t>
      </w:r>
      <w:r w:rsidR="00101BF1">
        <w:t>22</w:t>
      </w:r>
      <w:r>
        <w:t>&gt;</w:t>
      </w:r>
    </w:p>
    <w:p w14:paraId="3C3E0A95" w14:textId="279BF233" w:rsidR="00646C30" w:rsidRDefault="002B3BB8" w:rsidP="00646C30">
      <w:permStart w:id="969017955" w:edGrp="everyone"/>
      <w:r w:rsidRPr="002B3BB8">
        <w:rPr>
          <w:rFonts w:cs="Arial"/>
          <w:iCs/>
        </w:rPr>
        <w:t>Euronext believes that ESMA should clarify where certain cases of pre-hedging should not be allowed. We have been made aware of a scenario where</w:t>
      </w:r>
      <w:r w:rsidRPr="002B3BB8">
        <w:rPr>
          <w:rFonts w:cs="Arial"/>
          <w:iCs/>
          <w:lang w:val="en-IE"/>
        </w:rPr>
        <w:t xml:space="preserve"> market participants are in receipt of a request for a price and trade on the basis of that information, and this has given rise to client concerns regarding information leakage when requesting RFQs from liquidity providers. In other words, investors are concerned that market participants may take advantage of their price requests in order to make trading profits and, in the process, move prices against the investor. It is in the industry’s interest to eliminate this concern by requesting that clarification is provided as to when an RFQ is considered inside information and setting out where </w:t>
      </w:r>
      <w:r w:rsidRPr="002B3BB8">
        <w:rPr>
          <w:rFonts w:cs="Arial"/>
          <w:lang w:val="en-IE"/>
        </w:rPr>
        <w:lastRenderedPageBreak/>
        <w:t>very limited pre-hedging may be</w:t>
      </w:r>
      <w:r w:rsidRPr="002B3BB8">
        <w:rPr>
          <w:rFonts w:cs="Arial"/>
          <w:iCs/>
          <w:lang w:val="en-IE"/>
        </w:rPr>
        <w:t xml:space="preserve"> </w:t>
      </w:r>
      <w:r w:rsidRPr="002B3BB8">
        <w:rPr>
          <w:rFonts w:cs="Arial"/>
          <w:lang w:val="en-IE"/>
        </w:rPr>
        <w:t>allowed and this should be documented</w:t>
      </w:r>
      <w:r w:rsidRPr="002B3BB8">
        <w:rPr>
          <w:rFonts w:cs="Arial"/>
          <w:iCs/>
          <w:lang w:val="en-IE"/>
        </w:rPr>
        <w:t>. I</w:t>
      </w:r>
      <w:r w:rsidR="00EE46EA">
        <w:rPr>
          <w:rFonts w:cs="Arial"/>
          <w:iCs/>
          <w:lang w:val="en-IE"/>
        </w:rPr>
        <w:t>t</w:t>
      </w:r>
      <w:r w:rsidRPr="002B3BB8">
        <w:rPr>
          <w:rFonts w:cs="Arial"/>
          <w:iCs/>
        </w:rPr>
        <w:t xml:space="preserve"> is important that a firm discloses its pre-hedging arrangements to its clients and that there is an internal policy within the firm that traders must adhere to.</w:t>
      </w:r>
      <w:permEnd w:id="969017955"/>
    </w:p>
    <w:p w14:paraId="3C3E0A96" w14:textId="77777777" w:rsidR="00646C30" w:rsidRDefault="00646C30" w:rsidP="00646C30">
      <w:r>
        <w:t>&lt;ESMA_QUESTION_CP_MAR_</w:t>
      </w:r>
      <w:r w:rsidR="00101BF1">
        <w:t>22</w:t>
      </w:r>
      <w:r>
        <w:t>&gt;</w:t>
      </w:r>
    </w:p>
    <w:p w14:paraId="3C3E0A97" w14:textId="77777777" w:rsidR="00646C30" w:rsidRDefault="00646C30" w:rsidP="002E1760"/>
    <w:p w14:paraId="3C3E0A98" w14:textId="77777777" w:rsidR="00646C30" w:rsidRDefault="00674628" w:rsidP="00646C30">
      <w:pPr>
        <w:pStyle w:val="CPQuestions"/>
      </w:pPr>
      <w:r w:rsidRPr="00674628">
        <w:t>What benefits do pre-hedging behaviours provide to firms, clients and to the functioning of the market</w:t>
      </w:r>
      <w:r>
        <w:t>?</w:t>
      </w:r>
    </w:p>
    <w:p w14:paraId="3C3E0A99" w14:textId="77777777" w:rsidR="00646C30" w:rsidRDefault="00646C30" w:rsidP="00646C30">
      <w:r>
        <w:t>&lt;ESMA_QUESTION_CP_MAR_</w:t>
      </w:r>
      <w:r w:rsidR="00101BF1">
        <w:t>23</w:t>
      </w:r>
      <w:r>
        <w:t>&gt;</w:t>
      </w:r>
    </w:p>
    <w:p w14:paraId="3C3E0A9A" w14:textId="77777777" w:rsidR="00646C30" w:rsidRDefault="00646C30" w:rsidP="00646C30">
      <w:permStart w:id="210436899" w:edGrp="everyone"/>
      <w:r>
        <w:t>TYPE YOUR TEXT HERE</w:t>
      </w:r>
      <w:permEnd w:id="210436899"/>
    </w:p>
    <w:p w14:paraId="3C3E0A9B" w14:textId="77777777" w:rsidR="00646C30" w:rsidRDefault="00646C30" w:rsidP="00646C30">
      <w:r>
        <w:t>&lt;ESMA_QUESTION_CP_MAR_</w:t>
      </w:r>
      <w:r w:rsidR="00101BF1">
        <w:t>23</w:t>
      </w:r>
      <w:r>
        <w:t>&gt;</w:t>
      </w:r>
    </w:p>
    <w:p w14:paraId="3C3E0A9C" w14:textId="77777777" w:rsidR="00646C30" w:rsidRDefault="00646C30" w:rsidP="002E1760"/>
    <w:p w14:paraId="3C3E0A9D" w14:textId="77777777" w:rsidR="00646C30" w:rsidRDefault="00674628" w:rsidP="00646C30">
      <w:pPr>
        <w:pStyle w:val="CPQuestions"/>
      </w:pPr>
      <w:r w:rsidRPr="00674628">
        <w:t>What financial instruments are subject to pre-hedging behaviours and why</w:t>
      </w:r>
      <w:r>
        <w:t>?</w:t>
      </w:r>
    </w:p>
    <w:p w14:paraId="3C3E0A9E" w14:textId="77777777" w:rsidR="00646C30" w:rsidRDefault="00646C30" w:rsidP="00646C30">
      <w:r>
        <w:t>&lt;ESMA_QUESTION_CP_MAR_</w:t>
      </w:r>
      <w:r w:rsidR="00101BF1">
        <w:t>24</w:t>
      </w:r>
      <w:r>
        <w:t>&gt;</w:t>
      </w:r>
    </w:p>
    <w:p w14:paraId="3C3E0A9F" w14:textId="77777777" w:rsidR="00646C30" w:rsidRDefault="00646C30" w:rsidP="00646C30">
      <w:permStart w:id="1807571479" w:edGrp="everyone"/>
      <w:r>
        <w:t>TYPE YOUR TEXT HERE</w:t>
      </w:r>
      <w:permEnd w:id="1807571479"/>
    </w:p>
    <w:p w14:paraId="3C3E0AA0" w14:textId="77777777" w:rsidR="00646C30" w:rsidRDefault="00646C30" w:rsidP="00646C30">
      <w:r>
        <w:t>&lt;ESMA_QUESTION_CP_MAR_</w:t>
      </w:r>
      <w:r w:rsidR="00101BF1">
        <w:t>24</w:t>
      </w:r>
      <w:r>
        <w:t>&gt;</w:t>
      </w:r>
    </w:p>
    <w:p w14:paraId="3C3E0AA1" w14:textId="77777777" w:rsidR="00646C30" w:rsidRDefault="00646C30" w:rsidP="002E1760"/>
    <w:p w14:paraId="3C3E0AA2" w14:textId="77777777" w:rsidR="00646C30" w:rsidRDefault="00907865" w:rsidP="00646C30">
      <w:pPr>
        <w:pStyle w:val="CPQuestions"/>
      </w:pPr>
      <w:r w:rsidRPr="00907865">
        <w:t>Please provide your views on the functioning of the conditions to delay disclosure of inside information and on whether they enable issuers to delay disclosure of inside information where necessary</w:t>
      </w:r>
      <w:r w:rsidR="00646C30">
        <w:t>.</w:t>
      </w:r>
    </w:p>
    <w:p w14:paraId="3C3E0AA3" w14:textId="77777777" w:rsidR="00646C30" w:rsidRDefault="00646C30" w:rsidP="00646C30">
      <w:r>
        <w:t>&lt;ESMA_QUESTION_CP_MAR_</w:t>
      </w:r>
      <w:r w:rsidR="00101BF1">
        <w:t>25</w:t>
      </w:r>
      <w:r>
        <w:t>&gt;</w:t>
      </w:r>
    </w:p>
    <w:p w14:paraId="7CA8BEC4" w14:textId="24A751BD" w:rsidR="002B3BB8" w:rsidRDefault="002B3BB8" w:rsidP="002B3BB8">
      <w:pPr>
        <w:jc w:val="both"/>
        <w:rPr>
          <w:rFonts w:cs="Arial"/>
        </w:rPr>
      </w:pPr>
      <w:bookmarkStart w:id="6" w:name="_Hlk25828405"/>
      <w:permStart w:id="611875542" w:edGrp="everyone"/>
      <w:r w:rsidRPr="002B3BB8">
        <w:rPr>
          <w:rFonts w:cs="Arial"/>
        </w:rPr>
        <w:t xml:space="preserve">While it is very difficult for issuers to make the assessment on the conditions to delay disclosure of inside information, in our view this is due to the nature of the task; we do not believe further changes to the legislation are necessary in this area. </w:t>
      </w:r>
    </w:p>
    <w:p w14:paraId="41F796E0" w14:textId="77777777" w:rsidR="00EE46EA" w:rsidRPr="002B3BB8" w:rsidRDefault="00EE46EA" w:rsidP="002B3BB8">
      <w:pPr>
        <w:jc w:val="both"/>
        <w:rPr>
          <w:rFonts w:cs="Arial"/>
        </w:rPr>
      </w:pPr>
    </w:p>
    <w:p w14:paraId="3C3E0AA4" w14:textId="51972BDB" w:rsidR="00646C30" w:rsidRDefault="002B3BB8" w:rsidP="00646C30">
      <w:r w:rsidRPr="002B3BB8">
        <w:rPr>
          <w:rFonts w:cs="Arial"/>
        </w:rPr>
        <w:t xml:space="preserve">However, as referenced in our response to Q. 26, we believe it would be helpful for ESMA to clarify the situation regarding draft reports. This could be in the form of Level 3 guidance / Q&amp;As. </w:t>
      </w:r>
      <w:bookmarkEnd w:id="6"/>
      <w:permEnd w:id="611875542"/>
    </w:p>
    <w:p w14:paraId="3C3E0AA5" w14:textId="77777777" w:rsidR="00646C30" w:rsidRDefault="00646C30" w:rsidP="00646C30">
      <w:r>
        <w:t>&lt;ESMA_QUESTION_CP_MAR_</w:t>
      </w:r>
      <w:r w:rsidR="00101BF1">
        <w:t>25</w:t>
      </w:r>
      <w:r>
        <w:t>&gt;</w:t>
      </w:r>
    </w:p>
    <w:p w14:paraId="3C3E0AA6" w14:textId="77777777" w:rsidR="00646C30" w:rsidRDefault="00646C30" w:rsidP="002E1760"/>
    <w:p w14:paraId="3C3E0AA7" w14:textId="77777777" w:rsidR="00646C30" w:rsidRDefault="00907865" w:rsidP="00646C30">
      <w:pPr>
        <w:pStyle w:val="CPQuestions"/>
      </w:pPr>
      <w:r w:rsidRPr="00907865">
        <w:t>Please provide relevant examples of difficulties encountered in the assessment of the conditions for the delay or in the application of the procedure under Article 17(4) of MAR.</w:t>
      </w:r>
    </w:p>
    <w:p w14:paraId="3C3E0AA8" w14:textId="77777777" w:rsidR="00646C30" w:rsidRDefault="00646C30" w:rsidP="00646C30">
      <w:r>
        <w:t>&lt;ESMA_QUESTION_CP_MAR_</w:t>
      </w:r>
      <w:r w:rsidR="00101BF1">
        <w:t>26</w:t>
      </w:r>
      <w:r>
        <w:t>&gt;</w:t>
      </w:r>
    </w:p>
    <w:p w14:paraId="3562C057" w14:textId="77777777" w:rsidR="00EE46EA" w:rsidRDefault="002B3BB8" w:rsidP="002B3BB8">
      <w:pPr>
        <w:autoSpaceDE w:val="0"/>
        <w:autoSpaceDN w:val="0"/>
        <w:jc w:val="both"/>
        <w:rPr>
          <w:rFonts w:cs="Arial"/>
          <w:color w:val="353535"/>
        </w:rPr>
      </w:pPr>
      <w:permStart w:id="1829000557" w:edGrp="everyone"/>
      <w:r w:rsidRPr="002B3BB8">
        <w:rPr>
          <w:rFonts w:cs="Arial"/>
          <w:color w:val="353535"/>
        </w:rPr>
        <w:t>An example of an area where there are difficulties encountered relates to draft financial reports. There appears to be a diverging approach between issuers in different jurisdictions in the treatment of non-public information in draft financial reports.</w:t>
      </w:r>
    </w:p>
    <w:p w14:paraId="0ED79EE4" w14:textId="3353EAC8" w:rsidR="002B3BB8" w:rsidRPr="002B3BB8" w:rsidRDefault="002B3BB8" w:rsidP="002B3BB8">
      <w:pPr>
        <w:autoSpaceDE w:val="0"/>
        <w:autoSpaceDN w:val="0"/>
        <w:jc w:val="both"/>
        <w:rPr>
          <w:rFonts w:cs="Arial"/>
          <w:color w:val="353535"/>
        </w:rPr>
      </w:pPr>
      <w:r w:rsidRPr="002B3BB8">
        <w:rPr>
          <w:rFonts w:cs="Arial"/>
          <w:color w:val="353535"/>
        </w:rPr>
        <w:t xml:space="preserve"> </w:t>
      </w:r>
    </w:p>
    <w:p w14:paraId="00F75B76" w14:textId="2879A099" w:rsidR="002B3BB8" w:rsidRDefault="002B3BB8" w:rsidP="002B3BB8">
      <w:pPr>
        <w:autoSpaceDE w:val="0"/>
        <w:autoSpaceDN w:val="0"/>
        <w:jc w:val="both"/>
        <w:rPr>
          <w:rFonts w:cs="Arial"/>
          <w:color w:val="353535"/>
        </w:rPr>
      </w:pPr>
      <w:r w:rsidRPr="002B3BB8">
        <w:rPr>
          <w:rFonts w:cs="Arial"/>
          <w:color w:val="353535"/>
        </w:rPr>
        <w:t xml:space="preserve">In some markets, there is a tendency for issuers to treat draft reports as inside information based on the view that this is information that ”a reasonable investor would be likely to use as part of the basis of his or her investment decisions”. </w:t>
      </w:r>
    </w:p>
    <w:p w14:paraId="5D12E300" w14:textId="77777777" w:rsidR="00EE46EA" w:rsidRPr="002B3BB8" w:rsidRDefault="00EE46EA" w:rsidP="002B3BB8">
      <w:pPr>
        <w:autoSpaceDE w:val="0"/>
        <w:autoSpaceDN w:val="0"/>
        <w:jc w:val="both"/>
        <w:rPr>
          <w:rFonts w:cs="Arial"/>
          <w:color w:val="353535"/>
        </w:rPr>
      </w:pPr>
    </w:p>
    <w:p w14:paraId="16500E75" w14:textId="77777777" w:rsidR="00EE46EA" w:rsidRDefault="002B3BB8" w:rsidP="00646C30">
      <w:pPr>
        <w:rPr>
          <w:rFonts w:cs="Arial"/>
          <w:color w:val="353535"/>
        </w:rPr>
      </w:pPr>
      <w:r w:rsidRPr="002B3BB8">
        <w:rPr>
          <w:rFonts w:cs="Arial"/>
          <w:color w:val="353535"/>
        </w:rPr>
        <w:t>In some other markets, the prevailing view is that the non-public information available to individuals who work on preparing the report is not seen as inside information and therefore is not subject to a delayed disclosure. The argument is that the information would only be price sensitive (i.e. inside information) if it deviates from markets expectations and if so the company would have to issue an immediate profit warning.</w:t>
      </w:r>
    </w:p>
    <w:p w14:paraId="3C3E0AA9" w14:textId="18475E58" w:rsidR="00646C30" w:rsidRDefault="002B3BB8" w:rsidP="00646C30">
      <w:r w:rsidRPr="002B3BB8">
        <w:rPr>
          <w:rFonts w:cs="Arial"/>
          <w:color w:val="353535"/>
        </w:rPr>
        <w:lastRenderedPageBreak/>
        <w:t>Since these are two contradictory positions, one of which increases the burden on issuers, it would be valuable if ESMA could clarify which is the correct one under MAR.</w:t>
      </w:r>
      <w:permEnd w:id="1829000557"/>
    </w:p>
    <w:p w14:paraId="3C3E0AAA" w14:textId="77777777" w:rsidR="00646C30" w:rsidRDefault="00646C30" w:rsidP="00646C30">
      <w:r>
        <w:t>&lt;ESMA_QUESTION_CP_MAR_</w:t>
      </w:r>
      <w:r w:rsidR="00101BF1">
        <w:t>26</w:t>
      </w:r>
      <w:r>
        <w:t>&gt;</w:t>
      </w:r>
    </w:p>
    <w:p w14:paraId="3C3E0AAB" w14:textId="77777777" w:rsidR="00646C30" w:rsidRDefault="00646C30" w:rsidP="002E1760"/>
    <w:p w14:paraId="3C3E0AAC" w14:textId="77777777" w:rsidR="00646C30" w:rsidRDefault="0079485D" w:rsidP="00646C30">
      <w:pPr>
        <w:pStyle w:val="CPQuestions"/>
      </w:pPr>
      <w:r w:rsidRPr="0079485D">
        <w:t>Please provide your view on the inclusion of a requirement in MAR for issuers to have systems and controls for identifying, handling, and disclosing inside information. What would the impact be of introducing a systems and controls requirement for issuers?</w:t>
      </w:r>
    </w:p>
    <w:p w14:paraId="3C3E0AAD" w14:textId="77777777" w:rsidR="00646C30" w:rsidRDefault="00646C30" w:rsidP="00646C30">
      <w:r>
        <w:t>&lt;ESMA_QUESTION_CP_MAR_</w:t>
      </w:r>
      <w:r w:rsidR="00101BF1">
        <w:t>27</w:t>
      </w:r>
      <w:r>
        <w:t>&gt;</w:t>
      </w:r>
    </w:p>
    <w:p w14:paraId="3C3E0AAE" w14:textId="2FE61170" w:rsidR="00646C30" w:rsidRDefault="002B3BB8" w:rsidP="00646C30">
      <w:permStart w:id="1678079242" w:edGrp="everyone"/>
      <w:r w:rsidRPr="002B3BB8">
        <w:rPr>
          <w:rFonts w:cs="Arial"/>
        </w:rPr>
        <w:t>We do not believe an additional requirement specifically referencing systems and controls should be included in the legislation as our view is that it is already implied in the requirements. In order for issuers to comply with the obligations under MAR, such controls are necessary to have in place.</w:t>
      </w:r>
      <w:r w:rsidRPr="00E927D6">
        <w:rPr>
          <w:rFonts w:ascii="Calibri" w:hAnsi="Calibri" w:cs="Calibri"/>
        </w:rPr>
        <w:t xml:space="preserve"> </w:t>
      </w:r>
      <w:permEnd w:id="1678079242"/>
    </w:p>
    <w:p w14:paraId="3C3E0AAF" w14:textId="77777777" w:rsidR="00646C30" w:rsidRDefault="00646C30" w:rsidP="00646C30">
      <w:r>
        <w:t>&lt;ESMA_QUESTION_CP_MAR_</w:t>
      </w:r>
      <w:r w:rsidR="00101BF1">
        <w:t>27</w:t>
      </w:r>
      <w:r>
        <w:t>&gt;</w:t>
      </w:r>
    </w:p>
    <w:p w14:paraId="3C3E0AB0" w14:textId="77777777" w:rsidR="00646C30" w:rsidRDefault="00646C30" w:rsidP="002E1760"/>
    <w:p w14:paraId="3C3E0AB1" w14:textId="77777777" w:rsidR="00646C30" w:rsidRDefault="0079485D" w:rsidP="00646C30">
      <w:pPr>
        <w:pStyle w:val="CPQuestions"/>
      </w:pPr>
      <w:r w:rsidRPr="0079485D">
        <w:t>Please provide examples of cases in which the identification of when an information became “inside information” was problematic</w:t>
      </w:r>
      <w:r w:rsidR="00646C30">
        <w:t>.</w:t>
      </w:r>
    </w:p>
    <w:p w14:paraId="3C3E0AB2" w14:textId="77777777" w:rsidR="00646C30" w:rsidRDefault="00646C30" w:rsidP="00646C30">
      <w:r>
        <w:t>&lt;ESMA_QUESTION_CP_MAR_2</w:t>
      </w:r>
      <w:r w:rsidR="00101BF1">
        <w:t>8</w:t>
      </w:r>
      <w:r>
        <w:t>&gt;</w:t>
      </w:r>
    </w:p>
    <w:p w14:paraId="3C3E0AB3" w14:textId="77777777" w:rsidR="00646C30" w:rsidRDefault="00646C30" w:rsidP="00646C30">
      <w:permStart w:id="266360711" w:edGrp="everyone"/>
      <w:r>
        <w:t>TYPE YOUR TEXT HERE</w:t>
      </w:r>
      <w:permEnd w:id="266360711"/>
    </w:p>
    <w:p w14:paraId="3C3E0AB4" w14:textId="77777777" w:rsidR="00646C30" w:rsidRDefault="00646C30" w:rsidP="00646C30">
      <w:r>
        <w:t>&lt;ESMA_QUESTION_CP_MAR_</w:t>
      </w:r>
      <w:r w:rsidR="00101BF1">
        <w:t>28</w:t>
      </w:r>
      <w:r>
        <w:t>&gt;</w:t>
      </w:r>
    </w:p>
    <w:p w14:paraId="3C3E0AB5" w14:textId="77777777" w:rsidR="00646C30" w:rsidRDefault="00646C30" w:rsidP="002E1760"/>
    <w:p w14:paraId="3C3E0AB6" w14:textId="77777777" w:rsidR="00646C30" w:rsidRDefault="00C551D2" w:rsidP="00646C30">
      <w:pPr>
        <w:pStyle w:val="CPQuestions"/>
      </w:pPr>
      <w:r w:rsidRPr="00C551D2">
        <w:t>Please provide your views on the notification to NCAs of the delay of disclosure of inside information, in those cases in which the relevant information loses its inside nature following the decision to delay the disclosure</w:t>
      </w:r>
      <w:r w:rsidR="00646C30">
        <w:t>.</w:t>
      </w:r>
    </w:p>
    <w:p w14:paraId="3C3E0AB7" w14:textId="77777777" w:rsidR="00646C30" w:rsidRDefault="00646C30" w:rsidP="00646C30">
      <w:r>
        <w:t>&lt;ESMA_QUESTION_CP_MAR_</w:t>
      </w:r>
      <w:r w:rsidR="00101BF1">
        <w:t>29</w:t>
      </w:r>
      <w:r>
        <w:t>&gt;</w:t>
      </w:r>
    </w:p>
    <w:p w14:paraId="3C3E0AB8" w14:textId="77777777" w:rsidR="00646C30" w:rsidRDefault="00646C30" w:rsidP="00646C30">
      <w:permStart w:id="1420902335" w:edGrp="everyone"/>
      <w:r>
        <w:t>TYPE YOUR TEXT HERE</w:t>
      </w:r>
      <w:permEnd w:id="1420902335"/>
    </w:p>
    <w:p w14:paraId="3C3E0AB9" w14:textId="77777777" w:rsidR="00646C30" w:rsidRDefault="00646C30" w:rsidP="00646C30">
      <w:r>
        <w:t>&lt;ESMA_QUESTION_CP_MAR_</w:t>
      </w:r>
      <w:r w:rsidR="00101BF1">
        <w:t>29</w:t>
      </w:r>
      <w:r>
        <w:t>&gt;</w:t>
      </w:r>
    </w:p>
    <w:p w14:paraId="3C3E0ABA" w14:textId="77777777" w:rsidR="00646C30" w:rsidRDefault="00646C30" w:rsidP="002E1760"/>
    <w:p w14:paraId="3C3E0ABB" w14:textId="77777777" w:rsidR="00646C30" w:rsidRDefault="006F71FA" w:rsidP="00646C30">
      <w:pPr>
        <w:pStyle w:val="CPQuestions"/>
      </w:pPr>
      <w:r w:rsidRPr="006F71FA">
        <w:t>Please provide your views on whether Article 17(5) of MAR has to be made more explicit to include the case of a listed issuer, which is not a credit or financial institution, but which is controlling, directly or indirectly, a listed or non-listed credit or financial institution</w:t>
      </w:r>
      <w:r w:rsidR="00646C30">
        <w:t>.</w:t>
      </w:r>
    </w:p>
    <w:p w14:paraId="3C3E0ABC" w14:textId="77777777" w:rsidR="00646C30" w:rsidRDefault="00646C30" w:rsidP="00646C30">
      <w:r>
        <w:t>&lt;ESMA_QUESTION_CP_MAR_</w:t>
      </w:r>
      <w:r w:rsidR="00101BF1">
        <w:t>30</w:t>
      </w:r>
      <w:r>
        <w:t>&gt;</w:t>
      </w:r>
    </w:p>
    <w:p w14:paraId="3C3E0ABD" w14:textId="4E466DCA" w:rsidR="00646C30" w:rsidRDefault="002B3BB8" w:rsidP="00646C30">
      <w:permStart w:id="385179280" w:edGrp="everyone"/>
      <w:r w:rsidRPr="002B3BB8">
        <w:rPr>
          <w:rFonts w:cs="Arial"/>
        </w:rPr>
        <w:t>In principle we agree, given the aim is financial stability in the financial system. In particular, there is a growing segment of payment facilitators which could potentially damage the financial system if declared bankrupt. These fintech companies can be owned by listed issuers that are not specific financial institution</w:t>
      </w:r>
      <w:r w:rsidRPr="00E927D6">
        <w:rPr>
          <w:rFonts w:ascii="Calibri" w:hAnsi="Calibri" w:cs="Calibri"/>
        </w:rPr>
        <w:t>.</w:t>
      </w:r>
      <w:permEnd w:id="385179280"/>
    </w:p>
    <w:p w14:paraId="3C3E0ABE" w14:textId="77777777" w:rsidR="00646C30" w:rsidRDefault="00646C30" w:rsidP="00646C30">
      <w:r>
        <w:t>&lt;ESMA_QUESTION_CP_MAR_</w:t>
      </w:r>
      <w:r w:rsidR="00101BF1">
        <w:t>30</w:t>
      </w:r>
      <w:r>
        <w:t>&gt;</w:t>
      </w:r>
    </w:p>
    <w:p w14:paraId="3C3E0ABF" w14:textId="77777777" w:rsidR="00646C30" w:rsidRDefault="00646C30" w:rsidP="002E1760"/>
    <w:p w14:paraId="3C3E0AC0" w14:textId="77777777" w:rsidR="00646C30" w:rsidRDefault="006F71FA" w:rsidP="00646C30">
      <w:pPr>
        <w:pStyle w:val="CPQuestions"/>
      </w:pPr>
      <w:r w:rsidRPr="006F71FA">
        <w:t>Please provide relevant examples of difficulties encountered in the assessment of the conditions for the delay or in the application of Article 17(5) of MAR</w:t>
      </w:r>
      <w:r w:rsidR="00646C30">
        <w:t>.</w:t>
      </w:r>
    </w:p>
    <w:p w14:paraId="3C3E0AC1" w14:textId="77777777" w:rsidR="00646C30" w:rsidRDefault="00646C30" w:rsidP="00646C30">
      <w:r>
        <w:t>&lt;ESMA_QUESTION_CP_MAR_</w:t>
      </w:r>
      <w:r w:rsidR="00101BF1">
        <w:t>31</w:t>
      </w:r>
      <w:r>
        <w:t>&gt;</w:t>
      </w:r>
    </w:p>
    <w:p w14:paraId="3C3E0AC2" w14:textId="77777777" w:rsidR="00646C30" w:rsidRDefault="00646C30" w:rsidP="00646C30">
      <w:permStart w:id="1676897336" w:edGrp="everyone"/>
      <w:r>
        <w:t>TYPE YOUR TEXT HERE</w:t>
      </w:r>
      <w:permEnd w:id="1676897336"/>
    </w:p>
    <w:p w14:paraId="3C3E0AC3" w14:textId="77777777" w:rsidR="00646C30" w:rsidRDefault="00646C30" w:rsidP="00646C30">
      <w:r>
        <w:lastRenderedPageBreak/>
        <w:t>&lt;ESMA_QUESTION_CP_MAR_</w:t>
      </w:r>
      <w:r w:rsidR="00101BF1">
        <w:t>31</w:t>
      </w:r>
      <w:r>
        <w:t>&gt;</w:t>
      </w:r>
    </w:p>
    <w:p w14:paraId="3C3E0AC4" w14:textId="77777777" w:rsidR="00646C30" w:rsidRDefault="00646C30" w:rsidP="002E1760"/>
    <w:p w14:paraId="3C3E0AC5" w14:textId="77777777" w:rsidR="00646C30" w:rsidRDefault="00D60960" w:rsidP="00646C30">
      <w:pPr>
        <w:pStyle w:val="CPQuestions"/>
      </w:pPr>
      <w:r w:rsidRPr="00D60960">
        <w:t>Please indicate whether you have found difficulties in the assessment of the obligation to disclose a piece of inside information under Article 17 MAR when analysed together with other obligations arising from CRD, CRR or BRRD. Please provide specific examples.</w:t>
      </w:r>
    </w:p>
    <w:p w14:paraId="3C3E0AC6" w14:textId="77777777" w:rsidR="00646C30" w:rsidRDefault="00646C30" w:rsidP="00646C30">
      <w:r>
        <w:t>&lt;ESMA_QUESTION_CP_MAR_</w:t>
      </w:r>
      <w:r w:rsidR="00101BF1">
        <w:t>3</w:t>
      </w:r>
      <w:r>
        <w:t>2&gt;</w:t>
      </w:r>
    </w:p>
    <w:p w14:paraId="3C3E0AC7" w14:textId="77777777" w:rsidR="00646C30" w:rsidRDefault="00646C30" w:rsidP="00646C30">
      <w:permStart w:id="610084603" w:edGrp="everyone"/>
      <w:r>
        <w:t>TYPE YOUR TEXT HERE</w:t>
      </w:r>
      <w:permEnd w:id="610084603"/>
    </w:p>
    <w:p w14:paraId="3C3E0AC8" w14:textId="77777777" w:rsidR="00646C30" w:rsidRDefault="00646C30" w:rsidP="00646C30">
      <w:r>
        <w:t>&lt;ESMA_QUESTION_CP_MAR_</w:t>
      </w:r>
      <w:r w:rsidR="00101BF1">
        <w:t>3</w:t>
      </w:r>
      <w:r>
        <w:t>2&gt;</w:t>
      </w:r>
    </w:p>
    <w:p w14:paraId="3C3E0AC9" w14:textId="77777777" w:rsidR="00646C30" w:rsidRDefault="00646C30" w:rsidP="002E1760"/>
    <w:p w14:paraId="3C3E0ACA" w14:textId="77777777" w:rsidR="00646C30" w:rsidRDefault="00D60960" w:rsidP="00646C30">
      <w:pPr>
        <w:pStyle w:val="CPQuestions"/>
      </w:pPr>
      <w:r w:rsidRPr="00D60960">
        <w:t>Do you agree with the proposed amendments to Article 11 of MAR</w:t>
      </w:r>
      <w:r>
        <w:t>?</w:t>
      </w:r>
    </w:p>
    <w:p w14:paraId="3C3E0ACB" w14:textId="77777777" w:rsidR="00646C30" w:rsidRDefault="00646C30" w:rsidP="00646C30">
      <w:r>
        <w:t>&lt;ESMA_QUESTION_CP_MAR_</w:t>
      </w:r>
      <w:r w:rsidR="00101BF1">
        <w:t>33</w:t>
      </w:r>
      <w:r>
        <w:t>&gt;</w:t>
      </w:r>
    </w:p>
    <w:p w14:paraId="3C3E0ACC" w14:textId="55A5D1EA" w:rsidR="00646C30" w:rsidRDefault="002B3BB8" w:rsidP="00646C30">
      <w:permStart w:id="1371158119" w:edGrp="everyone"/>
      <w:r w:rsidRPr="002B3BB8">
        <w:rPr>
          <w:rFonts w:cs="Arial"/>
        </w:rPr>
        <w:t>Yes, we agree with the proposed amendments</w:t>
      </w:r>
      <w:r w:rsidRPr="00E927D6">
        <w:rPr>
          <w:rFonts w:ascii="Calibri" w:hAnsi="Calibri" w:cs="Calibri"/>
        </w:rPr>
        <w:t>.</w:t>
      </w:r>
      <w:permEnd w:id="1371158119"/>
    </w:p>
    <w:p w14:paraId="3C3E0ACD" w14:textId="77777777" w:rsidR="00646C30" w:rsidRDefault="00646C30" w:rsidP="00646C30">
      <w:r>
        <w:t>&lt;ESMA_QUESTION_CP_MAR_</w:t>
      </w:r>
      <w:r w:rsidR="00101BF1">
        <w:t>33</w:t>
      </w:r>
      <w:r>
        <w:t>&gt;</w:t>
      </w:r>
    </w:p>
    <w:p w14:paraId="3C3E0ACE" w14:textId="77777777" w:rsidR="00646C30" w:rsidRDefault="00646C30" w:rsidP="002E1760"/>
    <w:p w14:paraId="3C3E0ACF" w14:textId="77777777" w:rsidR="00646C30" w:rsidRDefault="00BF409D" w:rsidP="00646C30">
      <w:pPr>
        <w:pStyle w:val="CPQuestions"/>
      </w:pPr>
      <w:r w:rsidRPr="00BF409D">
        <w:t>Do you think that some limitation to the definition of market sounding should be introduced (e.g. excluding certain categories of transactions) or that additional clarification on the scope of the definition of market sounding should be provided</w:t>
      </w:r>
      <w:r>
        <w:t>?</w:t>
      </w:r>
    </w:p>
    <w:p w14:paraId="3C3E0AD0" w14:textId="77777777" w:rsidR="00646C30" w:rsidRDefault="00646C30" w:rsidP="00646C30">
      <w:r>
        <w:t>&lt;ESMA_QUESTION_CP_MAR_</w:t>
      </w:r>
      <w:r w:rsidR="00101BF1">
        <w:t>34</w:t>
      </w:r>
      <w:r>
        <w:t>&gt;</w:t>
      </w:r>
    </w:p>
    <w:p w14:paraId="3C3E0AD1" w14:textId="148CC5E1" w:rsidR="00646C30" w:rsidRDefault="002B3BB8" w:rsidP="00646C30">
      <w:permStart w:id="146477293" w:edGrp="everyone"/>
      <w:r w:rsidRPr="002B3BB8">
        <w:rPr>
          <w:rFonts w:cs="Arial"/>
        </w:rPr>
        <w:t>No, we don’t believe this is required.</w:t>
      </w:r>
      <w:permEnd w:id="146477293"/>
    </w:p>
    <w:p w14:paraId="3C3E0AD2" w14:textId="77777777" w:rsidR="00646C30" w:rsidRDefault="00646C30" w:rsidP="00646C30">
      <w:r>
        <w:t>&lt;ESMA_QUESTION_CP_MAR_</w:t>
      </w:r>
      <w:r w:rsidR="00101BF1">
        <w:t>34</w:t>
      </w:r>
      <w:r>
        <w:t>&gt;</w:t>
      </w:r>
    </w:p>
    <w:p w14:paraId="3C3E0AD3" w14:textId="77777777" w:rsidR="00646C30" w:rsidRDefault="00646C30" w:rsidP="002E1760"/>
    <w:p w14:paraId="3C3E0AD4" w14:textId="77777777" w:rsidR="00646C30" w:rsidRDefault="00BF409D" w:rsidP="00646C30">
      <w:pPr>
        <w:pStyle w:val="CPQuestions"/>
      </w:pPr>
      <w:r w:rsidRPr="00BF409D">
        <w:t>What are in your view the stages of the interaction between DMPs and potential investors, from the initial contact to the execution of the transaction, that should be covered by the definition of market soundings</w:t>
      </w:r>
      <w:r>
        <w:t>?</w:t>
      </w:r>
    </w:p>
    <w:p w14:paraId="3C3E0AD5" w14:textId="77777777" w:rsidR="00646C30" w:rsidRDefault="00646C30" w:rsidP="00646C30">
      <w:r>
        <w:t>&lt;ESMA_QUESTION_CP_MAR_</w:t>
      </w:r>
      <w:r w:rsidR="00101BF1">
        <w:t>35</w:t>
      </w:r>
      <w:r>
        <w:t>&gt;</w:t>
      </w:r>
    </w:p>
    <w:p w14:paraId="3C3E0AD6" w14:textId="77777777" w:rsidR="00646C30" w:rsidRDefault="00646C30" w:rsidP="00646C30">
      <w:permStart w:id="73213744" w:edGrp="everyone"/>
      <w:r>
        <w:t>TYPE YOUR TEXT HERE</w:t>
      </w:r>
      <w:permEnd w:id="73213744"/>
    </w:p>
    <w:p w14:paraId="3C3E0AD7" w14:textId="77777777" w:rsidR="00646C30" w:rsidRDefault="00646C30" w:rsidP="00646C30">
      <w:r>
        <w:t>&lt;ESMA_QUESTION_CP_MAR_</w:t>
      </w:r>
      <w:r w:rsidR="00101BF1">
        <w:t>35</w:t>
      </w:r>
      <w:r>
        <w:t>&gt;</w:t>
      </w:r>
    </w:p>
    <w:p w14:paraId="3C3E0AD8" w14:textId="77777777" w:rsidR="00646C30" w:rsidRDefault="00646C30" w:rsidP="002E1760"/>
    <w:p w14:paraId="3C3E0AD9" w14:textId="77777777" w:rsidR="00646C30" w:rsidRDefault="00BF409D" w:rsidP="00646C30">
      <w:pPr>
        <w:pStyle w:val="CPQuestions"/>
      </w:pPr>
      <w:r w:rsidRPr="00BF409D">
        <w:t>Do you think that the reference to “prior to the announcement of a transaction” in the definition of market sounding is appropriate or whether it should be amended to cover also those communications of information not followed by any specific announcement?</w:t>
      </w:r>
    </w:p>
    <w:p w14:paraId="3C3E0ADA" w14:textId="77777777" w:rsidR="00646C30" w:rsidRDefault="00646C30" w:rsidP="00646C30">
      <w:r>
        <w:t>&lt;ESMA_QUESTION_CP_MAR_</w:t>
      </w:r>
      <w:r w:rsidR="00B6351C">
        <w:t>36</w:t>
      </w:r>
      <w:r>
        <w:t>&gt;</w:t>
      </w:r>
    </w:p>
    <w:p w14:paraId="3C3E0ADB" w14:textId="28D9E405" w:rsidR="00646C30" w:rsidRDefault="002B3BB8" w:rsidP="00646C30">
      <w:permStart w:id="720899510" w:edGrp="everyone"/>
      <w:r w:rsidRPr="00C24639">
        <w:rPr>
          <w:rFonts w:cs="Arial"/>
          <w:bCs/>
        </w:rPr>
        <w:t>From our experience, the current reference seems sufficient</w:t>
      </w:r>
      <w:r w:rsidRPr="00E927D6">
        <w:rPr>
          <w:rFonts w:ascii="Calibri" w:hAnsi="Calibri" w:cs="Calibri"/>
          <w:bCs/>
        </w:rPr>
        <w:t>.</w:t>
      </w:r>
      <w:permEnd w:id="720899510"/>
    </w:p>
    <w:p w14:paraId="3C3E0ADC" w14:textId="77777777" w:rsidR="00646C30" w:rsidRDefault="00646C30" w:rsidP="00646C30">
      <w:r>
        <w:t>&lt;ESMA_QUESTION_CP_MAR_</w:t>
      </w:r>
      <w:r w:rsidR="00B6351C">
        <w:t>36</w:t>
      </w:r>
      <w:r>
        <w:t>&gt;</w:t>
      </w:r>
    </w:p>
    <w:p w14:paraId="3C3E0ADD" w14:textId="77777777" w:rsidR="00646C30" w:rsidRDefault="00646C30" w:rsidP="002E1760"/>
    <w:p w14:paraId="3C3E0ADE" w14:textId="77777777" w:rsidR="00646C30" w:rsidRDefault="001B2FC9" w:rsidP="00646C30">
      <w:pPr>
        <w:pStyle w:val="CPQuestions"/>
      </w:pPr>
      <w:r w:rsidRPr="001B2FC9">
        <w:t>Can you provide information on situations where the market soundings regime has proven to be of difficult application by DMPs or persons receiving the market sounding? Could you please elaborate</w:t>
      </w:r>
      <w:r>
        <w:t>?</w:t>
      </w:r>
    </w:p>
    <w:p w14:paraId="3C3E0ADF" w14:textId="77777777" w:rsidR="00646C30" w:rsidRDefault="00646C30" w:rsidP="00646C30">
      <w:r>
        <w:lastRenderedPageBreak/>
        <w:t>&lt;ESMA_QUESTION_CP_MAR_</w:t>
      </w:r>
      <w:r w:rsidR="00B6351C">
        <w:t>37</w:t>
      </w:r>
      <w:r>
        <w:t>&gt;</w:t>
      </w:r>
    </w:p>
    <w:p w14:paraId="3C3E0AE0" w14:textId="77777777" w:rsidR="00646C30" w:rsidRDefault="00646C30" w:rsidP="00646C30">
      <w:permStart w:id="427762830" w:edGrp="everyone"/>
      <w:r>
        <w:t>TYPE YOUR TEXT HERE</w:t>
      </w:r>
      <w:permEnd w:id="427762830"/>
    </w:p>
    <w:p w14:paraId="3C3E0AE1" w14:textId="77777777" w:rsidR="00646C30" w:rsidRDefault="00646C30" w:rsidP="00646C30">
      <w:r>
        <w:t>&lt;ESMA_QUESTION_CP_MAR_</w:t>
      </w:r>
      <w:r w:rsidR="00B6351C">
        <w:t>37</w:t>
      </w:r>
      <w:r>
        <w:t>&gt;</w:t>
      </w:r>
    </w:p>
    <w:p w14:paraId="3C3E0AE2" w14:textId="77777777" w:rsidR="00646C30" w:rsidRDefault="00646C30" w:rsidP="002E1760"/>
    <w:p w14:paraId="3C3E0AE3" w14:textId="77777777" w:rsidR="00646C30" w:rsidRDefault="001B2FC9" w:rsidP="00646C30">
      <w:pPr>
        <w:pStyle w:val="CPQuestions"/>
      </w:pPr>
      <w:r w:rsidRPr="001B2FC9">
        <w:t>Can you provide your views on how to simplify or improve the market sounding procedure and requirements while ensuring an adequate level of audit trail of the conveyed information (in relation to both the DMPs and the persons receiving the market sounding)?</w:t>
      </w:r>
    </w:p>
    <w:p w14:paraId="3C3E0AE4" w14:textId="77777777" w:rsidR="00646C30" w:rsidRDefault="00646C30" w:rsidP="00646C30">
      <w:r>
        <w:t>&lt;ESMA_QUESTION_CP_MAR_</w:t>
      </w:r>
      <w:r w:rsidR="00B6351C">
        <w:t>38</w:t>
      </w:r>
      <w:r>
        <w:t>&gt;</w:t>
      </w:r>
    </w:p>
    <w:p w14:paraId="3C3E0AE5" w14:textId="77777777" w:rsidR="00646C30" w:rsidRDefault="00646C30" w:rsidP="00646C30">
      <w:permStart w:id="2098217667" w:edGrp="everyone"/>
      <w:r>
        <w:t>TYPE YOUR TEXT HERE</w:t>
      </w:r>
      <w:permEnd w:id="2098217667"/>
    </w:p>
    <w:p w14:paraId="3C3E0AE6" w14:textId="77777777" w:rsidR="00646C30" w:rsidRDefault="00646C30" w:rsidP="00646C30">
      <w:r>
        <w:t>&lt;ESMA_QUESTION_CP_MAR_</w:t>
      </w:r>
      <w:r w:rsidR="00B6351C">
        <w:t>38</w:t>
      </w:r>
      <w:r>
        <w:t>&gt;</w:t>
      </w:r>
    </w:p>
    <w:p w14:paraId="3C3E0AE7" w14:textId="77777777" w:rsidR="00646C30" w:rsidRDefault="00646C30" w:rsidP="002E1760"/>
    <w:p w14:paraId="3C3E0AE8" w14:textId="77777777" w:rsidR="00646C30" w:rsidRDefault="001B2FC9" w:rsidP="00646C30">
      <w:pPr>
        <w:pStyle w:val="CPQuestions"/>
      </w:pPr>
      <w:r w:rsidRPr="001B2FC9">
        <w:t>Do you agree with ESMA’s preliminary view on the usefulness of insider list? If not, please elaborate</w:t>
      </w:r>
      <w:r w:rsidR="00646C30">
        <w:t>.</w:t>
      </w:r>
    </w:p>
    <w:p w14:paraId="3C3E0AE9" w14:textId="77777777" w:rsidR="00646C30" w:rsidRDefault="00646C30" w:rsidP="00646C30">
      <w:r>
        <w:t>&lt;ESMA_QUESTION_CP_MAR_</w:t>
      </w:r>
      <w:r w:rsidR="00B6351C">
        <w:t>39</w:t>
      </w:r>
      <w:r>
        <w:t>&gt;</w:t>
      </w:r>
    </w:p>
    <w:p w14:paraId="3C3E0AEA" w14:textId="7CCCD916" w:rsidR="00646C30" w:rsidRDefault="00C24639" w:rsidP="00646C30">
      <w:bookmarkStart w:id="7" w:name="_Hlk25828619"/>
      <w:permStart w:id="1933056180" w:edGrp="everyone"/>
      <w:r w:rsidRPr="00C24639">
        <w:rPr>
          <w:rFonts w:cs="Arial"/>
          <w:color w:val="353535"/>
        </w:rPr>
        <w:t>Yes, Euronext agrees with ESMA’s view. Insider lists are useful not only to NCAs but also to the issuers’ own compliance functions</w:t>
      </w:r>
      <w:r w:rsidRPr="00E927D6">
        <w:rPr>
          <w:rFonts w:ascii="Calibri" w:hAnsi="Calibri" w:cs="Calibri"/>
          <w:color w:val="353535"/>
        </w:rPr>
        <w:t>.</w:t>
      </w:r>
      <w:bookmarkEnd w:id="7"/>
      <w:permEnd w:id="1933056180"/>
    </w:p>
    <w:p w14:paraId="3C3E0AEB" w14:textId="77777777" w:rsidR="00646C30" w:rsidRDefault="00646C30" w:rsidP="00646C30">
      <w:r>
        <w:t>&lt;ESMA_QUESTION_CP_MAR_</w:t>
      </w:r>
      <w:r w:rsidR="00B6351C">
        <w:t>39</w:t>
      </w:r>
      <w:r>
        <w:t>&gt;</w:t>
      </w:r>
    </w:p>
    <w:p w14:paraId="3C3E0AEC" w14:textId="77777777" w:rsidR="00646C30" w:rsidRDefault="00646C30" w:rsidP="002E1760"/>
    <w:p w14:paraId="3C3E0AED" w14:textId="77777777" w:rsidR="00646C30" w:rsidRDefault="00263505" w:rsidP="00646C30">
      <w:pPr>
        <w:pStyle w:val="CPQuestions"/>
      </w:pPr>
      <w:r w:rsidRPr="00263505">
        <w:t>Do you consider that the insider list regime should be amended to make it more effective?  Please elaborate</w:t>
      </w:r>
      <w:r w:rsidR="00646C30">
        <w:t>.</w:t>
      </w:r>
    </w:p>
    <w:p w14:paraId="3C3E0AEE" w14:textId="77777777" w:rsidR="00646C30" w:rsidRDefault="00646C30" w:rsidP="00646C30">
      <w:r>
        <w:t>&lt;ESMA_QUESTION_CP_MAR_</w:t>
      </w:r>
      <w:r w:rsidR="00B6351C">
        <w:t>40</w:t>
      </w:r>
      <w:r>
        <w:t>&gt;</w:t>
      </w:r>
    </w:p>
    <w:p w14:paraId="630B374F" w14:textId="12FFC787" w:rsidR="00C24639" w:rsidRPr="00C24639" w:rsidRDefault="00C24639" w:rsidP="00C24639">
      <w:pPr>
        <w:widowControl w:val="0"/>
        <w:autoSpaceDE w:val="0"/>
        <w:autoSpaceDN w:val="0"/>
        <w:adjustRightInd w:val="0"/>
        <w:jc w:val="both"/>
        <w:rPr>
          <w:rFonts w:cs="Arial"/>
        </w:rPr>
      </w:pPr>
      <w:permStart w:id="1252881600" w:edGrp="everyone"/>
      <w:r w:rsidRPr="00C24639">
        <w:rPr>
          <w:rFonts w:cs="Arial"/>
        </w:rPr>
        <w:t>Firstly, we do not believe that amendments are required to the Level 1 text in this area.</w:t>
      </w:r>
    </w:p>
    <w:p w14:paraId="4055B8A7" w14:textId="77777777" w:rsidR="00C24639" w:rsidRPr="00C24639" w:rsidRDefault="00C24639" w:rsidP="00C24639">
      <w:pPr>
        <w:widowControl w:val="0"/>
        <w:autoSpaceDE w:val="0"/>
        <w:autoSpaceDN w:val="0"/>
        <w:adjustRightInd w:val="0"/>
        <w:jc w:val="both"/>
        <w:rPr>
          <w:rFonts w:cs="Arial"/>
        </w:rPr>
      </w:pPr>
    </w:p>
    <w:p w14:paraId="3399A82C" w14:textId="77777777" w:rsidR="00C24639" w:rsidRPr="00C24639" w:rsidRDefault="00C24639" w:rsidP="00C24639">
      <w:pPr>
        <w:widowControl w:val="0"/>
        <w:autoSpaceDE w:val="0"/>
        <w:autoSpaceDN w:val="0"/>
        <w:adjustRightInd w:val="0"/>
        <w:jc w:val="both"/>
        <w:rPr>
          <w:rFonts w:cs="Arial"/>
        </w:rPr>
      </w:pPr>
      <w:r w:rsidRPr="00C24639">
        <w:rPr>
          <w:rFonts w:cs="Arial"/>
        </w:rPr>
        <w:t xml:space="preserve">However, further clarity from ESMA in this area would be helpful. We agree with ESMA’s position that only persons who have had actual access to inside information should be included in the corresponding insider list. However it seems there may be a tendency for issuers to include more individuals than is accurate so as not to miss anyone.  </w:t>
      </w:r>
    </w:p>
    <w:p w14:paraId="28D58118" w14:textId="77777777" w:rsidR="00C24639" w:rsidRPr="00C24639" w:rsidRDefault="00C24639" w:rsidP="00C24639">
      <w:pPr>
        <w:widowControl w:val="0"/>
        <w:autoSpaceDE w:val="0"/>
        <w:autoSpaceDN w:val="0"/>
        <w:adjustRightInd w:val="0"/>
        <w:jc w:val="both"/>
        <w:rPr>
          <w:rFonts w:cs="Arial"/>
        </w:rPr>
      </w:pPr>
    </w:p>
    <w:p w14:paraId="21C638C8" w14:textId="77777777" w:rsidR="00C24639" w:rsidRPr="00C24639" w:rsidRDefault="00C24639" w:rsidP="00C24639">
      <w:pPr>
        <w:widowControl w:val="0"/>
        <w:autoSpaceDE w:val="0"/>
        <w:autoSpaceDN w:val="0"/>
        <w:adjustRightInd w:val="0"/>
        <w:jc w:val="both"/>
        <w:rPr>
          <w:rFonts w:cs="Arial"/>
        </w:rPr>
      </w:pPr>
      <w:bookmarkStart w:id="8" w:name="_Hlk25828670"/>
      <w:r w:rsidRPr="00C24639">
        <w:rPr>
          <w:rFonts w:cs="Arial"/>
        </w:rPr>
        <w:t>We believe it would be valuable to issuers if ESMA and NCAs clarified further the purpose of insider lists and explained why the lists become less effective for NCAs if they contain individuals who are not in fact insiders.</w:t>
      </w:r>
    </w:p>
    <w:bookmarkEnd w:id="8"/>
    <w:p w14:paraId="4C7D19F0" w14:textId="77777777" w:rsidR="00C24639" w:rsidRPr="00C24639" w:rsidRDefault="00C24639" w:rsidP="00C24639">
      <w:pPr>
        <w:widowControl w:val="0"/>
        <w:autoSpaceDE w:val="0"/>
        <w:autoSpaceDN w:val="0"/>
        <w:adjustRightInd w:val="0"/>
        <w:jc w:val="both"/>
        <w:rPr>
          <w:rFonts w:cs="Arial"/>
        </w:rPr>
      </w:pPr>
    </w:p>
    <w:p w14:paraId="6BB0D04E" w14:textId="77777777" w:rsidR="00145519" w:rsidRDefault="00C24639" w:rsidP="00C24639">
      <w:pPr>
        <w:autoSpaceDE w:val="0"/>
        <w:autoSpaceDN w:val="0"/>
        <w:jc w:val="both"/>
        <w:rPr>
          <w:rFonts w:cs="Arial"/>
        </w:rPr>
      </w:pPr>
      <w:r w:rsidRPr="00C24639">
        <w:rPr>
          <w:rFonts w:cs="Arial"/>
          <w:iCs/>
        </w:rPr>
        <w:t xml:space="preserve">On the same topic, ESMA and NCAs could clarify that the first step for issuers is to ensure control over its inside information and that no one should really have ”potential access”. </w:t>
      </w:r>
      <w:r w:rsidRPr="00C24639">
        <w:rPr>
          <w:rFonts w:cs="Arial"/>
        </w:rPr>
        <w:t>As pointed out by ESMA in section 170 of the Consultation Paper, issuers have an obligation to only permit access to inside information on a ‘need-to-know’ basis. This means that issuers need to be able to identify inside information when it arises, restrict access to it to those who need it (by not storing it in shared folders, using code names etc) and document when such access is granted to new individuals.</w:t>
      </w:r>
    </w:p>
    <w:p w14:paraId="7658D863" w14:textId="6D2CD33E" w:rsidR="00C24639" w:rsidRPr="00C24639" w:rsidRDefault="00C24639" w:rsidP="00C24639">
      <w:pPr>
        <w:autoSpaceDE w:val="0"/>
        <w:autoSpaceDN w:val="0"/>
        <w:jc w:val="both"/>
        <w:rPr>
          <w:rFonts w:cs="Arial"/>
          <w:iCs/>
        </w:rPr>
      </w:pPr>
      <w:r w:rsidRPr="00C24639">
        <w:rPr>
          <w:rFonts w:cs="Arial"/>
        </w:rPr>
        <w:t xml:space="preserve"> </w:t>
      </w:r>
    </w:p>
    <w:p w14:paraId="3C3E0AEF" w14:textId="1986E293" w:rsidR="00646C30" w:rsidRDefault="00C24639" w:rsidP="00646C30">
      <w:r w:rsidRPr="00C24639">
        <w:rPr>
          <w:rFonts w:cs="Arial"/>
          <w:iCs/>
        </w:rPr>
        <w:t>Allowing potential access in the first place would constitute a breach of this basic obligation and should not be dealt with as a distinction under the obligation to keep insider lists, as that would signal an acceptance of allowing unrestricted access.</w:t>
      </w:r>
      <w:permEnd w:id="1252881600"/>
    </w:p>
    <w:p w14:paraId="3C3E0AF0" w14:textId="77777777" w:rsidR="00646C30" w:rsidRDefault="00646C30" w:rsidP="00646C30">
      <w:r>
        <w:t>&lt;ESMA_QUESTION_CP_MAR_</w:t>
      </w:r>
      <w:r w:rsidR="00B6351C">
        <w:t>40</w:t>
      </w:r>
      <w:r>
        <w:t>&gt;</w:t>
      </w:r>
    </w:p>
    <w:p w14:paraId="3C3E0AF1" w14:textId="77777777" w:rsidR="00646C30" w:rsidRDefault="00646C30" w:rsidP="002E1760"/>
    <w:p w14:paraId="3C3E0AF2" w14:textId="77777777" w:rsidR="00646C30" w:rsidRDefault="00263505" w:rsidP="00646C30">
      <w:pPr>
        <w:pStyle w:val="CPQuestions"/>
      </w:pPr>
      <w:r w:rsidRPr="00263505">
        <w:lastRenderedPageBreak/>
        <w:t>What changes and what systems and controls would issuers need to put in place in order to be able to provide NCAs, at their request, the insider list with the individuals who had actually accessed the inside information within a short time period</w:t>
      </w:r>
      <w:r>
        <w:t>?</w:t>
      </w:r>
    </w:p>
    <w:p w14:paraId="3C3E0AF3" w14:textId="77777777" w:rsidR="00646C30" w:rsidRDefault="00646C30" w:rsidP="00646C30">
      <w:r>
        <w:t>&lt;ESMA_QUESTION_CP_MAR_</w:t>
      </w:r>
      <w:r w:rsidR="00B6351C">
        <w:t>41</w:t>
      </w:r>
      <w:r>
        <w:t>&gt;</w:t>
      </w:r>
    </w:p>
    <w:p w14:paraId="6F208122" w14:textId="5DED3919" w:rsidR="00C24639" w:rsidRPr="00C24639" w:rsidRDefault="00C24639" w:rsidP="00C24639">
      <w:pPr>
        <w:widowControl w:val="0"/>
        <w:autoSpaceDE w:val="0"/>
        <w:autoSpaceDN w:val="0"/>
        <w:adjustRightInd w:val="0"/>
        <w:jc w:val="both"/>
        <w:rPr>
          <w:rFonts w:cs="Arial"/>
          <w:color w:val="353535"/>
        </w:rPr>
      </w:pPr>
      <w:permStart w:id="93392546" w:edGrp="everyone"/>
      <w:r w:rsidRPr="00C24639">
        <w:rPr>
          <w:rFonts w:cs="Arial"/>
          <w:color w:val="353535"/>
        </w:rPr>
        <w:t>Euronext does not believe that it’s appropriate for NCAs to start requesting supporting evidence of the effective access to the inside information, as mentioned by ESMA in section 169 of the Consultation Paper. Inside information can very well be shared verbally and the recipient thereafter be properly entered into the insider list. There is nothing in MAR which requires the issuer to also keep a ”paper trail” and such an approach would indeed increase the administrative burden on issuers.</w:t>
      </w:r>
    </w:p>
    <w:p w14:paraId="4D06F4BB" w14:textId="77777777" w:rsidR="00C24639" w:rsidRPr="00C24639" w:rsidRDefault="00C24639" w:rsidP="00C24639">
      <w:pPr>
        <w:widowControl w:val="0"/>
        <w:autoSpaceDE w:val="0"/>
        <w:autoSpaceDN w:val="0"/>
        <w:adjustRightInd w:val="0"/>
        <w:jc w:val="both"/>
        <w:rPr>
          <w:rFonts w:cs="Arial"/>
          <w:color w:val="353535"/>
        </w:rPr>
      </w:pPr>
    </w:p>
    <w:p w14:paraId="1EE77BAF" w14:textId="77777777" w:rsidR="00C24639" w:rsidRPr="00C24639" w:rsidRDefault="00C24639" w:rsidP="00C24639">
      <w:pPr>
        <w:widowControl w:val="0"/>
        <w:autoSpaceDE w:val="0"/>
        <w:autoSpaceDN w:val="0"/>
        <w:adjustRightInd w:val="0"/>
        <w:jc w:val="both"/>
        <w:rPr>
          <w:rFonts w:cs="Arial"/>
          <w:color w:val="353535"/>
        </w:rPr>
      </w:pPr>
      <w:r w:rsidRPr="00C24639">
        <w:rPr>
          <w:rFonts w:cs="Arial"/>
          <w:color w:val="353535"/>
        </w:rPr>
        <w:t>We would argue that all issuers need to be clear on who is privy to inside information. This will vary depending on the different types of company, and there has to be a practical approach to this so there is some sort of limitation on who is involved (i.e. issuers shouldn’t be including everyone just in case). Therefore, ESMA and NCAs should instead reinforce the obligations not to allow access to inside information for those who do not need it and not to include persons on insider lists unless they have actually been granted such access. Thereafter, the content of the insider lists should be trusted without requiring any further supporting evidence.</w:t>
      </w:r>
    </w:p>
    <w:p w14:paraId="3180A292" w14:textId="77777777" w:rsidR="00C24639" w:rsidRPr="00C24639" w:rsidRDefault="00C24639" w:rsidP="00C24639">
      <w:pPr>
        <w:widowControl w:val="0"/>
        <w:autoSpaceDE w:val="0"/>
        <w:autoSpaceDN w:val="0"/>
        <w:adjustRightInd w:val="0"/>
        <w:jc w:val="both"/>
        <w:rPr>
          <w:rFonts w:cs="Arial"/>
          <w:b/>
          <w:bCs/>
          <w:color w:val="353535"/>
        </w:rPr>
      </w:pPr>
    </w:p>
    <w:p w14:paraId="2EE98525" w14:textId="77777777" w:rsidR="00C24639" w:rsidRPr="00C24639" w:rsidRDefault="00C24639" w:rsidP="00C24639">
      <w:pPr>
        <w:widowControl w:val="0"/>
        <w:autoSpaceDE w:val="0"/>
        <w:autoSpaceDN w:val="0"/>
        <w:adjustRightInd w:val="0"/>
        <w:jc w:val="both"/>
        <w:rPr>
          <w:rFonts w:cs="Arial"/>
          <w:color w:val="353535"/>
        </w:rPr>
      </w:pPr>
      <w:r w:rsidRPr="00C24639">
        <w:rPr>
          <w:rFonts w:cs="Arial"/>
          <w:color w:val="353535"/>
        </w:rPr>
        <w:t>In relation to the proposed alleviation for SME issuers, we agree with the position taken by the European Parliament</w:t>
      </w:r>
      <w:r w:rsidRPr="00C24639">
        <w:rPr>
          <w:rFonts w:cs="Arial"/>
          <w:color w:val="353535"/>
          <w:vertAlign w:val="superscript"/>
        </w:rPr>
        <w:footnoteReference w:id="2"/>
      </w:r>
      <w:r w:rsidRPr="00C24639">
        <w:rPr>
          <w:rFonts w:cs="Arial"/>
          <w:color w:val="353535"/>
        </w:rPr>
        <w:t xml:space="preserve"> that the current alleviations in Article 18 are of ”limited practical effect” since issuers still need to be able to produce a complete insider list upon request, which would be practically very difficult (if not impossible) unless it has been continuously kept.</w:t>
      </w:r>
    </w:p>
    <w:p w14:paraId="4FA5A891" w14:textId="77777777" w:rsidR="00C24639" w:rsidRPr="00C24639" w:rsidRDefault="00C24639" w:rsidP="00C24639">
      <w:pPr>
        <w:widowControl w:val="0"/>
        <w:autoSpaceDE w:val="0"/>
        <w:autoSpaceDN w:val="0"/>
        <w:adjustRightInd w:val="0"/>
        <w:jc w:val="both"/>
        <w:rPr>
          <w:rFonts w:cs="Arial"/>
          <w:color w:val="353535"/>
        </w:rPr>
      </w:pPr>
    </w:p>
    <w:p w14:paraId="2140B17F" w14:textId="77777777" w:rsidR="00C24639" w:rsidRPr="00C24639" w:rsidRDefault="00C24639" w:rsidP="00C24639">
      <w:pPr>
        <w:widowControl w:val="0"/>
        <w:autoSpaceDE w:val="0"/>
        <w:autoSpaceDN w:val="0"/>
        <w:adjustRightInd w:val="0"/>
        <w:jc w:val="both"/>
        <w:rPr>
          <w:rFonts w:cs="Arial"/>
          <w:color w:val="353535"/>
        </w:rPr>
      </w:pPr>
      <w:r w:rsidRPr="00C24639">
        <w:rPr>
          <w:rFonts w:cs="Arial"/>
          <w:color w:val="353535"/>
        </w:rPr>
        <w:t>We therefore welcome the proposal for further alleviations for SME-issuers which we believe would do significantly more to reduce the administrative burden. We note, however, that the terminology used by the Commission has caused confusion among both SMEs and regular issuers. The proposed further alleviations introduce an alternative type of insider lists for SME issuers, which would contain individuals with regular access to inside information, instead of being event-based, and require less details about each individual. This could be referred to as ”regular insiders” or ”frequent insiders”. However, the Commission has in one of its FAQs referred to this group of individuals as ”permanent insiders”.</w:t>
      </w:r>
      <w:r w:rsidRPr="00C24639">
        <w:rPr>
          <w:rFonts w:cs="Arial"/>
          <w:color w:val="353535"/>
          <w:vertAlign w:val="superscript"/>
        </w:rPr>
        <w:footnoteReference w:id="3"/>
      </w:r>
      <w:r w:rsidRPr="00C24639">
        <w:rPr>
          <w:rFonts w:cs="Arial"/>
          <w:color w:val="353535"/>
        </w:rPr>
        <w:t xml:space="preserve"> This is unfortunate as that term is already used in MAR and refers to something else, and this has already led to significant confusion and misunderstandings among market participants.</w:t>
      </w:r>
    </w:p>
    <w:p w14:paraId="49E6216A" w14:textId="77777777" w:rsidR="00C24639" w:rsidRPr="00C24639" w:rsidRDefault="00C24639" w:rsidP="00C24639">
      <w:pPr>
        <w:widowControl w:val="0"/>
        <w:autoSpaceDE w:val="0"/>
        <w:autoSpaceDN w:val="0"/>
        <w:adjustRightInd w:val="0"/>
        <w:jc w:val="both"/>
        <w:rPr>
          <w:rFonts w:cs="Arial"/>
          <w:color w:val="353535"/>
        </w:rPr>
      </w:pPr>
    </w:p>
    <w:p w14:paraId="1C9CB5E7" w14:textId="77777777" w:rsidR="00C24639" w:rsidRPr="00C24639" w:rsidRDefault="00C24639" w:rsidP="00C24639">
      <w:pPr>
        <w:widowControl w:val="0"/>
        <w:autoSpaceDE w:val="0"/>
        <w:autoSpaceDN w:val="0"/>
        <w:adjustRightInd w:val="0"/>
        <w:jc w:val="both"/>
        <w:rPr>
          <w:rFonts w:cs="Arial"/>
          <w:color w:val="353535"/>
        </w:rPr>
      </w:pPr>
      <w:r w:rsidRPr="00C24639">
        <w:rPr>
          <w:rFonts w:cs="Arial"/>
          <w:color w:val="353535"/>
        </w:rPr>
        <w:t>As mentioned by ESMA in section 183(b) of the Consultation Paper, only an extremely limited group of individuals should meet the current definition of ”permanent insiders” under Implementing Regulation (EU) 2016/347. If ESMA's statement is read together with the Commission’s FAQ, SMEs could get the impression that they are only required to list their CEO as a “permanent insider” and then not consider who else might have access to inside information. This is clearly not the intention with the proposed alleviation, where the group of individuals is wider and should be referred to with some other term.</w:t>
      </w:r>
    </w:p>
    <w:p w14:paraId="42FB22F4" w14:textId="77777777" w:rsidR="00C24639" w:rsidRPr="00C24639" w:rsidRDefault="00C24639" w:rsidP="00C24639">
      <w:pPr>
        <w:widowControl w:val="0"/>
        <w:autoSpaceDE w:val="0"/>
        <w:autoSpaceDN w:val="0"/>
        <w:adjustRightInd w:val="0"/>
        <w:jc w:val="both"/>
        <w:rPr>
          <w:rFonts w:cs="Arial"/>
          <w:color w:val="353535"/>
        </w:rPr>
      </w:pPr>
    </w:p>
    <w:p w14:paraId="3778C1C8" w14:textId="77777777" w:rsidR="00C24639" w:rsidRPr="00C24639" w:rsidRDefault="00C24639" w:rsidP="00C24639">
      <w:pPr>
        <w:widowControl w:val="0"/>
        <w:autoSpaceDE w:val="0"/>
        <w:autoSpaceDN w:val="0"/>
        <w:adjustRightInd w:val="0"/>
        <w:ind w:left="2880" w:hanging="2880"/>
        <w:jc w:val="both"/>
        <w:rPr>
          <w:rFonts w:cs="Arial"/>
          <w:color w:val="353535"/>
        </w:rPr>
      </w:pPr>
      <w:r w:rsidRPr="00C24639">
        <w:rPr>
          <w:rFonts w:cs="Arial"/>
          <w:color w:val="353535"/>
        </w:rPr>
        <w:t xml:space="preserve">Permanent insiders: </w:t>
      </w:r>
      <w:r w:rsidRPr="00C24639">
        <w:rPr>
          <w:rFonts w:cs="Arial"/>
          <w:color w:val="353535"/>
        </w:rPr>
        <w:tab/>
      </w:r>
      <w:r w:rsidRPr="00C24639">
        <w:rPr>
          <w:rFonts w:cs="Arial"/>
          <w:i/>
          <w:color w:val="353535"/>
        </w:rPr>
        <w:t xml:space="preserve">”persons who […]have </w:t>
      </w:r>
      <w:r w:rsidRPr="00C24639">
        <w:rPr>
          <w:rFonts w:cs="Arial"/>
          <w:color w:val="353535"/>
        </w:rPr>
        <w:t xml:space="preserve">access </w:t>
      </w:r>
      <w:r w:rsidRPr="00C24639">
        <w:rPr>
          <w:rFonts w:cs="Arial"/>
          <w:i/>
          <w:color w:val="353535"/>
        </w:rPr>
        <w:t xml:space="preserve">to all inside information if and when such information exists </w:t>
      </w:r>
    </w:p>
    <w:p w14:paraId="2EAEF903" w14:textId="77777777" w:rsidR="00C24639" w:rsidRPr="00C24639" w:rsidRDefault="00C24639" w:rsidP="00C24639">
      <w:pPr>
        <w:widowControl w:val="0"/>
        <w:autoSpaceDE w:val="0"/>
        <w:autoSpaceDN w:val="0"/>
        <w:adjustRightInd w:val="0"/>
        <w:jc w:val="both"/>
        <w:rPr>
          <w:rFonts w:cs="Arial"/>
          <w:color w:val="353535"/>
        </w:rPr>
      </w:pPr>
      <w:r w:rsidRPr="00C24639">
        <w:rPr>
          <w:rFonts w:cs="Arial"/>
          <w:color w:val="353535"/>
        </w:rPr>
        <w:t xml:space="preserve">Regular/frequent insiders: </w:t>
      </w:r>
      <w:r w:rsidRPr="00C24639">
        <w:rPr>
          <w:rFonts w:cs="Arial"/>
          <w:color w:val="353535"/>
        </w:rPr>
        <w:tab/>
      </w:r>
      <w:r w:rsidRPr="00C24639">
        <w:rPr>
          <w:rFonts w:cs="Arial"/>
          <w:i/>
          <w:color w:val="353535"/>
        </w:rPr>
        <w:t>”persons who […] have regular access to inside information”</w:t>
      </w:r>
    </w:p>
    <w:p w14:paraId="0993BC63" w14:textId="77777777" w:rsidR="00C24639" w:rsidRPr="00C24639" w:rsidRDefault="00C24639" w:rsidP="00C24639">
      <w:pPr>
        <w:widowControl w:val="0"/>
        <w:autoSpaceDE w:val="0"/>
        <w:autoSpaceDN w:val="0"/>
        <w:adjustRightInd w:val="0"/>
        <w:jc w:val="both"/>
        <w:rPr>
          <w:rFonts w:cs="Arial"/>
          <w:color w:val="353535"/>
        </w:rPr>
      </w:pPr>
    </w:p>
    <w:p w14:paraId="3C3E0AF4" w14:textId="6DC48BF1" w:rsidR="00646C30" w:rsidRDefault="00C24639" w:rsidP="00646C30">
      <w:r w:rsidRPr="00C24639">
        <w:rPr>
          <w:rFonts w:cs="Arial"/>
          <w:color w:val="353535"/>
        </w:rPr>
        <w:t>The distinction between these two groups needs to be clarified, to avoid confusion and mistakes from both SMEs and regular issuers. See further comments in relation to permanent insiders under Question 43.</w:t>
      </w:r>
      <w:permEnd w:id="93392546"/>
    </w:p>
    <w:p w14:paraId="3C3E0AF5" w14:textId="77777777" w:rsidR="00646C30" w:rsidRDefault="00646C30" w:rsidP="00646C30">
      <w:r>
        <w:t>&lt;ESMA_QUESTION_CP_MAR_</w:t>
      </w:r>
      <w:r w:rsidR="00B6351C">
        <w:t>41</w:t>
      </w:r>
      <w:r>
        <w:t>&gt;</w:t>
      </w:r>
    </w:p>
    <w:p w14:paraId="3C3E0AF6" w14:textId="77777777" w:rsidR="00646C30" w:rsidRDefault="00646C30" w:rsidP="002E1760"/>
    <w:p w14:paraId="3C3E0AF7" w14:textId="77777777" w:rsidR="00646C30" w:rsidRDefault="00A55D71" w:rsidP="00646C30">
      <w:pPr>
        <w:pStyle w:val="CPQuestions"/>
      </w:pPr>
      <w:r w:rsidRPr="00A55D71">
        <w:t xml:space="preserve">What are your views about expanding the scope of Article 18(1) of MAR (i.e. drawing up and maintain the insider list) to include any person performing tasks through </w:t>
      </w:r>
      <w:r w:rsidRPr="00A55D71">
        <w:lastRenderedPageBreak/>
        <w:t>which they have access to inside information, irrespective of the fact that they act on behalf or on account of the issuer? Please identify any other cases that you consider appropriate</w:t>
      </w:r>
      <w:r w:rsidR="00646C30">
        <w:t>.</w:t>
      </w:r>
    </w:p>
    <w:p w14:paraId="3C3E0AF8" w14:textId="77777777" w:rsidR="00646C30" w:rsidRDefault="00646C30" w:rsidP="00646C30">
      <w:r>
        <w:t>&lt;ESMA_QUESTION_CP_MAR_</w:t>
      </w:r>
      <w:r w:rsidR="00B6351C">
        <w:t>4</w:t>
      </w:r>
      <w:r>
        <w:t>2&gt;</w:t>
      </w:r>
    </w:p>
    <w:p w14:paraId="2C807216" w14:textId="0AB97CA2" w:rsidR="00C24639" w:rsidRPr="00C24639" w:rsidRDefault="00C24639" w:rsidP="00C24639">
      <w:pPr>
        <w:widowControl w:val="0"/>
        <w:autoSpaceDE w:val="0"/>
        <w:autoSpaceDN w:val="0"/>
        <w:adjustRightInd w:val="0"/>
        <w:jc w:val="both"/>
        <w:rPr>
          <w:rFonts w:cs="Arial"/>
          <w:color w:val="353535"/>
        </w:rPr>
      </w:pPr>
      <w:permStart w:id="1148858332" w:edGrp="everyone"/>
      <w:r w:rsidRPr="00C24639">
        <w:rPr>
          <w:rFonts w:cs="Arial"/>
          <w:color w:val="353535"/>
        </w:rPr>
        <w:t>Euronext does not make the same broad interpretation of article 18(1)(a) as the one expressed in section 176 of the Consultation Paper. We believe that the text in subsection (a) should be read as requiring issuers and persons acting on their behalf or on their account to:</w:t>
      </w:r>
    </w:p>
    <w:p w14:paraId="56A58AE3" w14:textId="77777777" w:rsidR="00C24639" w:rsidRPr="00C24639" w:rsidRDefault="00C24639" w:rsidP="00C24639">
      <w:pPr>
        <w:widowControl w:val="0"/>
        <w:autoSpaceDE w:val="0"/>
        <w:autoSpaceDN w:val="0"/>
        <w:adjustRightInd w:val="0"/>
        <w:jc w:val="both"/>
        <w:rPr>
          <w:rFonts w:cs="Arial"/>
          <w:color w:val="353535"/>
        </w:rPr>
      </w:pPr>
    </w:p>
    <w:p w14:paraId="27CDF897" w14:textId="77777777" w:rsidR="00C24639" w:rsidRPr="00C24639" w:rsidRDefault="00C24639" w:rsidP="00C24639">
      <w:pPr>
        <w:widowControl w:val="0"/>
        <w:autoSpaceDE w:val="0"/>
        <w:autoSpaceDN w:val="0"/>
        <w:adjustRightInd w:val="0"/>
        <w:jc w:val="both"/>
        <w:rPr>
          <w:rFonts w:cs="Arial"/>
          <w:i/>
          <w:color w:val="353535"/>
        </w:rPr>
      </w:pPr>
      <w:r w:rsidRPr="00C24639">
        <w:rPr>
          <w:rFonts w:cs="Arial"/>
          <w:i/>
          <w:color w:val="353535"/>
        </w:rPr>
        <w:t xml:space="preserve">”draw up a list of all persons who have access to inside information and who are </w:t>
      </w:r>
      <w:r w:rsidRPr="00C24639">
        <w:rPr>
          <w:rFonts w:cs="Arial"/>
          <w:i/>
          <w:color w:val="353535"/>
          <w:u w:val="single" w:color="353535"/>
        </w:rPr>
        <w:t>working for them under a contract of employment or otherwise</w:t>
      </w:r>
      <w:r w:rsidRPr="00C24639">
        <w:rPr>
          <w:rFonts w:cs="Arial"/>
          <w:i/>
          <w:color w:val="353535"/>
        </w:rPr>
        <w:t>, [and who are] performing tasks through which they have access to inside information, such as advisers, accountants or credit rating agencies (insider list)”</w:t>
      </w:r>
    </w:p>
    <w:p w14:paraId="23C66F55" w14:textId="77777777" w:rsidR="00C24639" w:rsidRPr="00C24639" w:rsidRDefault="00C24639" w:rsidP="00C24639">
      <w:pPr>
        <w:widowControl w:val="0"/>
        <w:autoSpaceDE w:val="0"/>
        <w:autoSpaceDN w:val="0"/>
        <w:adjustRightInd w:val="0"/>
        <w:jc w:val="both"/>
        <w:rPr>
          <w:rFonts w:cs="Arial"/>
          <w:color w:val="353535"/>
        </w:rPr>
      </w:pPr>
    </w:p>
    <w:p w14:paraId="0EA9C562" w14:textId="77777777" w:rsidR="00C24639" w:rsidRPr="00C24639" w:rsidRDefault="00C24639" w:rsidP="00C24639">
      <w:pPr>
        <w:widowControl w:val="0"/>
        <w:autoSpaceDE w:val="0"/>
        <w:autoSpaceDN w:val="0"/>
        <w:adjustRightInd w:val="0"/>
        <w:jc w:val="both"/>
        <w:rPr>
          <w:rFonts w:cs="Arial"/>
          <w:color w:val="353535"/>
        </w:rPr>
      </w:pPr>
      <w:r w:rsidRPr="00C24639">
        <w:rPr>
          <w:rFonts w:cs="Arial"/>
          <w:color w:val="353535"/>
        </w:rPr>
        <w:t xml:space="preserve">This is more in line with recital 57 of MAR and both current and past market practices across member states. The broader interpretation suggested by ESMA would mean that issuers would have to include in their insider lists both contractual counterparties and the counterparty’s advisors etc, whom the issuer might not even know about. We do not believe this to be the intention behind Article 18. </w:t>
      </w:r>
    </w:p>
    <w:p w14:paraId="2205E83E" w14:textId="77777777" w:rsidR="00C24639" w:rsidRPr="00C24639" w:rsidRDefault="00C24639" w:rsidP="00C24639">
      <w:pPr>
        <w:widowControl w:val="0"/>
        <w:autoSpaceDE w:val="0"/>
        <w:autoSpaceDN w:val="0"/>
        <w:adjustRightInd w:val="0"/>
        <w:jc w:val="both"/>
        <w:rPr>
          <w:rFonts w:cs="Arial"/>
          <w:color w:val="353535"/>
        </w:rPr>
      </w:pPr>
    </w:p>
    <w:p w14:paraId="57AB495F" w14:textId="77777777" w:rsidR="00C24639" w:rsidRPr="00C24639" w:rsidRDefault="00C24639" w:rsidP="00C24639">
      <w:pPr>
        <w:widowControl w:val="0"/>
        <w:autoSpaceDE w:val="0"/>
        <w:autoSpaceDN w:val="0"/>
        <w:adjustRightInd w:val="0"/>
        <w:jc w:val="both"/>
        <w:rPr>
          <w:rFonts w:cs="Arial"/>
          <w:color w:val="353535"/>
        </w:rPr>
      </w:pPr>
      <w:r w:rsidRPr="00C24639">
        <w:rPr>
          <w:rFonts w:cs="Arial"/>
          <w:color w:val="353535"/>
        </w:rPr>
        <w:t xml:space="preserve">The above question (who to include in the lists kept by the issuer or persons acting on their behalf or on their account) is separate from the question posed by ESMA (who should be required to keep an insider list) and whether the obligation to maintain an insider list should be expanded to persons not acting on behalf of the issuer. </w:t>
      </w:r>
    </w:p>
    <w:p w14:paraId="612A99DA" w14:textId="77777777" w:rsidR="00C24639" w:rsidRPr="00C24639" w:rsidRDefault="00C24639" w:rsidP="00C24639">
      <w:pPr>
        <w:widowControl w:val="0"/>
        <w:autoSpaceDE w:val="0"/>
        <w:autoSpaceDN w:val="0"/>
        <w:adjustRightInd w:val="0"/>
        <w:jc w:val="both"/>
        <w:rPr>
          <w:rFonts w:cs="Arial"/>
          <w:color w:val="353535"/>
        </w:rPr>
      </w:pPr>
    </w:p>
    <w:p w14:paraId="3A5D1FF4" w14:textId="77777777" w:rsidR="00C24639" w:rsidRPr="00C24639" w:rsidRDefault="00C24639" w:rsidP="00C24639">
      <w:pPr>
        <w:widowControl w:val="0"/>
        <w:autoSpaceDE w:val="0"/>
        <w:autoSpaceDN w:val="0"/>
        <w:adjustRightInd w:val="0"/>
        <w:jc w:val="both"/>
        <w:rPr>
          <w:rFonts w:cs="Arial"/>
          <w:color w:val="353535"/>
        </w:rPr>
      </w:pPr>
      <w:r w:rsidRPr="00C24639">
        <w:rPr>
          <w:rFonts w:cs="Arial"/>
          <w:color w:val="353535"/>
        </w:rPr>
        <w:t xml:space="preserve">As stated above, we do not believe that issuers are or should be required to list everyone who might have access to inside information when those persons are outside of the issuer’s control. It would be less unreasonable to require such persons (e.g. a law firm representing the issuer’s counterparty) to keep their own internal list of individuals with access to the information. The risk of unlawful trading should be as high within the counterparty’s advisory firm as within the firm representing the issuer. </w:t>
      </w:r>
    </w:p>
    <w:p w14:paraId="219FB2BA" w14:textId="77777777" w:rsidR="00C24639" w:rsidRPr="00C24639" w:rsidRDefault="00C24639" w:rsidP="00C24639">
      <w:pPr>
        <w:widowControl w:val="0"/>
        <w:autoSpaceDE w:val="0"/>
        <w:autoSpaceDN w:val="0"/>
        <w:adjustRightInd w:val="0"/>
        <w:jc w:val="both"/>
        <w:rPr>
          <w:rFonts w:cs="Arial"/>
          <w:color w:val="353535"/>
        </w:rPr>
      </w:pPr>
    </w:p>
    <w:p w14:paraId="0698504E" w14:textId="77777777" w:rsidR="00C24639" w:rsidRPr="00C24639" w:rsidRDefault="00C24639" w:rsidP="00C24639">
      <w:pPr>
        <w:widowControl w:val="0"/>
        <w:autoSpaceDE w:val="0"/>
        <w:autoSpaceDN w:val="0"/>
        <w:adjustRightInd w:val="0"/>
        <w:jc w:val="both"/>
        <w:rPr>
          <w:rFonts w:cs="Arial"/>
          <w:color w:val="353535"/>
        </w:rPr>
      </w:pPr>
      <w:r w:rsidRPr="00C24639">
        <w:rPr>
          <w:rFonts w:cs="Arial"/>
          <w:color w:val="353535"/>
        </w:rPr>
        <w:t xml:space="preserve">This would however be a substantial expansion of the scope of Article 18 which would affect everyone that interacts with issuers, both directly as a counterparty or indirectly as an advisor or sub-supplier to a counterparty. Such an expansion should not be taken lightly and the increased administrative burden and transactional costs needs to be carefully evaluated and measured against any expected improvement of market integrity. </w:t>
      </w:r>
    </w:p>
    <w:p w14:paraId="1C4D85CC" w14:textId="77777777" w:rsidR="00C24639" w:rsidRPr="00C24639" w:rsidRDefault="00C24639" w:rsidP="00C24639">
      <w:pPr>
        <w:widowControl w:val="0"/>
        <w:autoSpaceDE w:val="0"/>
        <w:autoSpaceDN w:val="0"/>
        <w:adjustRightInd w:val="0"/>
        <w:jc w:val="both"/>
        <w:rPr>
          <w:rFonts w:cs="Arial"/>
          <w:color w:val="353535"/>
        </w:rPr>
      </w:pPr>
    </w:p>
    <w:p w14:paraId="6512A532" w14:textId="77777777" w:rsidR="00C24639" w:rsidRPr="00C24639" w:rsidRDefault="00C24639" w:rsidP="00C24639">
      <w:pPr>
        <w:widowControl w:val="0"/>
        <w:autoSpaceDE w:val="0"/>
        <w:autoSpaceDN w:val="0"/>
        <w:adjustRightInd w:val="0"/>
        <w:jc w:val="both"/>
        <w:rPr>
          <w:rFonts w:cs="Arial"/>
          <w:color w:val="353535"/>
        </w:rPr>
      </w:pPr>
      <w:r w:rsidRPr="00C24639">
        <w:rPr>
          <w:rFonts w:cs="Arial"/>
          <w:color w:val="353535"/>
        </w:rPr>
        <w:t>We do not believe that such an expansion is required for the obligation to cover auditors and notaries, as they should be seen as ”</w:t>
      </w:r>
      <w:r w:rsidRPr="00C24639">
        <w:rPr>
          <w:rFonts w:cs="Arial"/>
          <w:i/>
          <w:color w:val="353535"/>
        </w:rPr>
        <w:t>acting on the issuer’s behalf or on their account</w:t>
      </w:r>
      <w:r w:rsidRPr="00C24639">
        <w:rPr>
          <w:rFonts w:cs="Arial"/>
          <w:color w:val="353535"/>
        </w:rPr>
        <w:t xml:space="preserve">” and be covered already by the existing wording. This is also the established market practice in several jurisdictions, that the big international auditing firms maintain insider lists not only for their tax advisors and consultancy divisions but also for their auditors.   </w:t>
      </w:r>
    </w:p>
    <w:p w14:paraId="175850F3" w14:textId="77777777" w:rsidR="00C24639" w:rsidRPr="00C24639" w:rsidRDefault="00C24639" w:rsidP="00C24639">
      <w:pPr>
        <w:widowControl w:val="0"/>
        <w:autoSpaceDE w:val="0"/>
        <w:autoSpaceDN w:val="0"/>
        <w:adjustRightInd w:val="0"/>
        <w:jc w:val="both"/>
        <w:rPr>
          <w:rFonts w:cs="Arial"/>
          <w:color w:val="353535"/>
        </w:rPr>
      </w:pPr>
    </w:p>
    <w:p w14:paraId="32262F54" w14:textId="77777777" w:rsidR="00C24639" w:rsidRPr="00C24639" w:rsidRDefault="00C24639" w:rsidP="00C24639">
      <w:pPr>
        <w:widowControl w:val="0"/>
        <w:autoSpaceDE w:val="0"/>
        <w:autoSpaceDN w:val="0"/>
        <w:adjustRightInd w:val="0"/>
        <w:jc w:val="both"/>
        <w:rPr>
          <w:rFonts w:cs="Arial"/>
          <w:color w:val="353535"/>
        </w:rPr>
      </w:pPr>
      <w:r w:rsidRPr="00C24639">
        <w:rPr>
          <w:rFonts w:cs="Arial"/>
          <w:color w:val="353535"/>
        </w:rPr>
        <w:t>This view is also supported by the German NCA which in one of its FAQs on the topic includes auditors in the same group as other service providers such as attorneys and investor relations agencies.</w:t>
      </w:r>
      <w:r w:rsidRPr="00C24639">
        <w:rPr>
          <w:rFonts w:cs="Arial"/>
          <w:color w:val="353535"/>
          <w:vertAlign w:val="superscript"/>
        </w:rPr>
        <w:footnoteReference w:id="4"/>
      </w:r>
    </w:p>
    <w:p w14:paraId="7DF27411" w14:textId="77777777" w:rsidR="00C24639" w:rsidRPr="00C24639" w:rsidRDefault="00C24639" w:rsidP="00C24639">
      <w:pPr>
        <w:widowControl w:val="0"/>
        <w:autoSpaceDE w:val="0"/>
        <w:autoSpaceDN w:val="0"/>
        <w:adjustRightInd w:val="0"/>
        <w:jc w:val="both"/>
        <w:rPr>
          <w:rFonts w:cs="Arial"/>
          <w:color w:val="353535"/>
        </w:rPr>
      </w:pPr>
    </w:p>
    <w:p w14:paraId="595BA61D" w14:textId="77777777" w:rsidR="00C24639" w:rsidRPr="00C24639" w:rsidRDefault="00C24639" w:rsidP="00C24639">
      <w:pPr>
        <w:widowControl w:val="0"/>
        <w:autoSpaceDE w:val="0"/>
        <w:autoSpaceDN w:val="0"/>
        <w:adjustRightInd w:val="0"/>
        <w:jc w:val="both"/>
        <w:rPr>
          <w:rFonts w:cs="Arial"/>
          <w:i/>
          <w:color w:val="353535"/>
        </w:rPr>
      </w:pPr>
      <w:r w:rsidRPr="00C24639">
        <w:rPr>
          <w:rFonts w:cs="Arial"/>
          <w:i/>
          <w:color w:val="353535"/>
        </w:rPr>
        <w:t xml:space="preserve">"Question: What information must issuers include in the insider list about persons acting on their behalf or on their account ("service providers" such as attorneys, business consultants, tax advisors, investor relations agencies, external accountants, </w:t>
      </w:r>
      <w:r w:rsidRPr="00C24639">
        <w:rPr>
          <w:rFonts w:cs="Arial"/>
          <w:bCs/>
          <w:i/>
          <w:color w:val="353535"/>
          <w:u w:val="single" w:color="353535"/>
        </w:rPr>
        <w:t>auditors</w:t>
      </w:r>
      <w:r w:rsidRPr="00C24639">
        <w:rPr>
          <w:rFonts w:cs="Arial"/>
          <w:i/>
          <w:color w:val="353535"/>
        </w:rPr>
        <w:t>)?”</w:t>
      </w:r>
    </w:p>
    <w:p w14:paraId="2C007CC7" w14:textId="77777777" w:rsidR="00C24639" w:rsidRPr="00C24639" w:rsidRDefault="00C24639" w:rsidP="00C24639">
      <w:pPr>
        <w:widowControl w:val="0"/>
        <w:autoSpaceDE w:val="0"/>
        <w:autoSpaceDN w:val="0"/>
        <w:adjustRightInd w:val="0"/>
        <w:jc w:val="both"/>
        <w:rPr>
          <w:rFonts w:cs="Arial"/>
          <w:color w:val="353535"/>
        </w:rPr>
      </w:pPr>
    </w:p>
    <w:p w14:paraId="3C3E0AF9" w14:textId="0AD48CA2" w:rsidR="00646C30" w:rsidRDefault="00C24639" w:rsidP="00646C30">
      <w:r w:rsidRPr="00C24639">
        <w:rPr>
          <w:rFonts w:cs="Arial"/>
          <w:color w:val="353535"/>
        </w:rPr>
        <w:t>So in summary, we believe that ESMA should clarify that the current obligation covers auditors and notaries, rather than expand the obligation to include new persons that are more distanced from the issuer.</w:t>
      </w:r>
      <w:permEnd w:id="1148858332"/>
    </w:p>
    <w:p w14:paraId="3C3E0AFA" w14:textId="77777777" w:rsidR="00646C30" w:rsidRDefault="00646C30" w:rsidP="00646C30">
      <w:r>
        <w:t>&lt;ESMA_QUESTION_CP_MAR_</w:t>
      </w:r>
      <w:r w:rsidR="00B6351C">
        <w:t>4</w:t>
      </w:r>
      <w:r>
        <w:t>2&gt;</w:t>
      </w:r>
    </w:p>
    <w:p w14:paraId="3C3E0AFB" w14:textId="77777777" w:rsidR="00646C30" w:rsidRDefault="00646C30" w:rsidP="002E1760"/>
    <w:p w14:paraId="3C3E0AFC" w14:textId="77777777" w:rsidR="00646C30" w:rsidRDefault="004F728D" w:rsidP="00646C30">
      <w:pPr>
        <w:pStyle w:val="CPQuestions"/>
      </w:pPr>
      <w:r w:rsidRPr="004F728D">
        <w:lastRenderedPageBreak/>
        <w:t>Do you consider useful maintaining the permanent insider section? If yes, please elaborate on your reasons for using the permanent insider section and who should be included in that section in your opinion</w:t>
      </w:r>
      <w:r w:rsidR="00646C30">
        <w:t>.</w:t>
      </w:r>
    </w:p>
    <w:p w14:paraId="3C3E0AFD" w14:textId="77777777" w:rsidR="00646C30" w:rsidRDefault="00646C30" w:rsidP="00646C30">
      <w:r>
        <w:t>&lt;ESMA_QUESTION_CP_MAR_</w:t>
      </w:r>
      <w:r w:rsidR="00B6351C">
        <w:t>43</w:t>
      </w:r>
      <w:r>
        <w:t>&gt;</w:t>
      </w:r>
    </w:p>
    <w:p w14:paraId="532C3F07" w14:textId="29BCD1CA" w:rsidR="00C24639" w:rsidRPr="00C24639" w:rsidRDefault="00C24639" w:rsidP="00C24639">
      <w:pPr>
        <w:widowControl w:val="0"/>
        <w:autoSpaceDE w:val="0"/>
        <w:autoSpaceDN w:val="0"/>
        <w:adjustRightInd w:val="0"/>
        <w:jc w:val="both"/>
        <w:rPr>
          <w:rFonts w:cs="Arial"/>
          <w:color w:val="353535"/>
        </w:rPr>
      </w:pPr>
      <w:bookmarkStart w:id="9" w:name="_Hlk24124181"/>
      <w:permStart w:id="513950227" w:edGrp="everyone"/>
      <w:r w:rsidRPr="00C24639">
        <w:rPr>
          <w:rFonts w:cs="Arial"/>
          <w:color w:val="353535"/>
        </w:rPr>
        <w:t xml:space="preserve">We believe the permanent insider list should be retained, as it can be a useful tool provided it is used correctly. Our experience to date is that it has caused a great deal of confusion and wide-spread use which is not fully compliant with MAR, and this needs to be clarified and addressed. </w:t>
      </w:r>
    </w:p>
    <w:p w14:paraId="637ACC74" w14:textId="77777777" w:rsidR="00C24639" w:rsidRPr="00C24639" w:rsidRDefault="00C24639" w:rsidP="00C24639">
      <w:pPr>
        <w:widowControl w:val="0"/>
        <w:autoSpaceDE w:val="0"/>
        <w:autoSpaceDN w:val="0"/>
        <w:adjustRightInd w:val="0"/>
        <w:jc w:val="both"/>
        <w:rPr>
          <w:rFonts w:cs="Arial"/>
          <w:color w:val="353535"/>
        </w:rPr>
      </w:pPr>
    </w:p>
    <w:p w14:paraId="790260F8" w14:textId="77777777" w:rsidR="00C24639" w:rsidRPr="00C24639" w:rsidRDefault="00C24639" w:rsidP="00C24639">
      <w:pPr>
        <w:widowControl w:val="0"/>
        <w:autoSpaceDE w:val="0"/>
        <w:autoSpaceDN w:val="0"/>
        <w:adjustRightInd w:val="0"/>
        <w:jc w:val="both"/>
        <w:rPr>
          <w:rFonts w:cs="Arial"/>
          <w:color w:val="353535"/>
        </w:rPr>
      </w:pPr>
      <w:r w:rsidRPr="00C24639">
        <w:rPr>
          <w:rFonts w:cs="Arial"/>
          <w:color w:val="353535"/>
        </w:rPr>
        <w:t xml:space="preserve">We understand that issues have been identified where issuers use the permanent section as a substitute rather than a supplement to the event-based sections and/or include far too many persons on it. A common approach in certain jurisdictions is to have a permanent insider list with 20-50 individuals and then not treat inside information on a case by case-basis anymore. We do not believe this is the intended purpose and therefore further guidance from ESMA is required. </w:t>
      </w:r>
    </w:p>
    <w:p w14:paraId="6B4EFA56" w14:textId="77777777" w:rsidR="00C24639" w:rsidRPr="00C24639" w:rsidRDefault="00C24639" w:rsidP="00C24639">
      <w:pPr>
        <w:widowControl w:val="0"/>
        <w:autoSpaceDE w:val="0"/>
        <w:autoSpaceDN w:val="0"/>
        <w:adjustRightInd w:val="0"/>
        <w:jc w:val="both"/>
        <w:rPr>
          <w:rFonts w:cs="Arial"/>
          <w:color w:val="353535"/>
        </w:rPr>
      </w:pPr>
    </w:p>
    <w:p w14:paraId="4FE692FA" w14:textId="77777777" w:rsidR="00C24639" w:rsidRPr="00C24639" w:rsidRDefault="00C24639" w:rsidP="00C24639">
      <w:pPr>
        <w:widowControl w:val="0"/>
        <w:autoSpaceDE w:val="0"/>
        <w:autoSpaceDN w:val="0"/>
        <w:adjustRightInd w:val="0"/>
        <w:jc w:val="both"/>
        <w:rPr>
          <w:rFonts w:cs="Arial"/>
          <w:color w:val="353535"/>
        </w:rPr>
      </w:pPr>
      <w:r w:rsidRPr="00C24639">
        <w:rPr>
          <w:rFonts w:cs="Arial"/>
          <w:color w:val="353535"/>
        </w:rPr>
        <w:t>We suggest that one reason for this is that the term ”permanent” is in itself a bit misleading. A permanent insider sounds like someone who “always has access to inside information”, rather than someone who has “</w:t>
      </w:r>
      <w:bookmarkStart w:id="10" w:name="_Hlk24616264"/>
      <w:r w:rsidRPr="00C24639">
        <w:rPr>
          <w:rFonts w:cs="Arial"/>
          <w:color w:val="353535"/>
        </w:rPr>
        <w:t>access to all inside information if and when such information exists</w:t>
      </w:r>
      <w:bookmarkEnd w:id="10"/>
      <w:r w:rsidRPr="00C24639">
        <w:rPr>
          <w:rFonts w:cs="Arial"/>
          <w:color w:val="353535"/>
        </w:rPr>
        <w:t xml:space="preserve">”. By interpreting it as a permanent state, issuers are again led to believe that they don’t need to consider each insider event separately. </w:t>
      </w:r>
    </w:p>
    <w:p w14:paraId="5BA163A6" w14:textId="77777777" w:rsidR="00C24639" w:rsidRPr="00C24639" w:rsidRDefault="00C24639" w:rsidP="00C24639">
      <w:pPr>
        <w:widowControl w:val="0"/>
        <w:autoSpaceDE w:val="0"/>
        <w:autoSpaceDN w:val="0"/>
        <w:adjustRightInd w:val="0"/>
        <w:jc w:val="both"/>
        <w:rPr>
          <w:rFonts w:cs="Arial"/>
          <w:color w:val="353535"/>
        </w:rPr>
      </w:pPr>
    </w:p>
    <w:p w14:paraId="5978C78C" w14:textId="77777777" w:rsidR="00C24639" w:rsidRPr="00C24639" w:rsidRDefault="00C24639" w:rsidP="00C24639">
      <w:pPr>
        <w:widowControl w:val="0"/>
        <w:autoSpaceDE w:val="0"/>
        <w:autoSpaceDN w:val="0"/>
        <w:adjustRightInd w:val="0"/>
        <w:jc w:val="both"/>
        <w:rPr>
          <w:rFonts w:cs="Arial"/>
          <w:color w:val="353535"/>
        </w:rPr>
      </w:pPr>
      <w:r w:rsidRPr="00C24639">
        <w:rPr>
          <w:rFonts w:cs="Arial"/>
          <w:color w:val="353535"/>
        </w:rPr>
        <w:t xml:space="preserve">In terms of who should be included in the permanent list, we agree with ESMA that this should only be a limited number of individuals. However, we do not believe certain functions should be referenced as potentials for inclusion on the permanent insider list, as it will very much depend on each individual company as to what individuals / specific roles may always be privy to inside information. Therefore, there needs to be some flexibility for issuers to approach it in different ways. </w:t>
      </w:r>
    </w:p>
    <w:p w14:paraId="098C2373" w14:textId="77777777" w:rsidR="00C24639" w:rsidRPr="00C24639" w:rsidRDefault="00C24639" w:rsidP="00C24639">
      <w:pPr>
        <w:widowControl w:val="0"/>
        <w:autoSpaceDE w:val="0"/>
        <w:autoSpaceDN w:val="0"/>
        <w:adjustRightInd w:val="0"/>
        <w:jc w:val="both"/>
        <w:rPr>
          <w:rFonts w:cs="Arial"/>
          <w:color w:val="353535"/>
        </w:rPr>
      </w:pPr>
    </w:p>
    <w:p w14:paraId="3C3E0AFE" w14:textId="2837DBB1" w:rsidR="00646C30" w:rsidRDefault="00C24639" w:rsidP="00646C30">
      <w:r w:rsidRPr="00C24639">
        <w:rPr>
          <w:rFonts w:cs="Arial"/>
          <w:color w:val="353535"/>
        </w:rPr>
        <w:t xml:space="preserve">The main point that needs to be highlighted is that the use of permanent insider lists does not mean issuers should not be creating event specific lists also. These are essential and should include any additional individuals for each specific event, who are not included on the permanent list. ESMA and NCAs should issue clear guidelines on the proper use of the permanent list as a supplement to event-based sections. Issuers need to be made aware that for each insider event there needs to be a new event-based section in the insider list, even if only persons listed as permanent insiders have access to the information. Using the combined lists correctly avoids any duplication and therefore makes it easier and less onerous for issuers. </w:t>
      </w:r>
      <w:bookmarkEnd w:id="9"/>
      <w:permEnd w:id="513950227"/>
    </w:p>
    <w:p w14:paraId="3C3E0AFF" w14:textId="77777777" w:rsidR="00646C30" w:rsidRDefault="00646C30" w:rsidP="00646C30">
      <w:r>
        <w:t>&lt;ESMA_QUESTION_CP_MAR_</w:t>
      </w:r>
      <w:r w:rsidR="00B6351C">
        <w:t>43</w:t>
      </w:r>
      <w:r>
        <w:t>&gt;</w:t>
      </w:r>
    </w:p>
    <w:p w14:paraId="3C3E0B00" w14:textId="77777777" w:rsidR="00646C30" w:rsidRDefault="00646C30" w:rsidP="002E1760"/>
    <w:p w14:paraId="3C3E0B01" w14:textId="77777777" w:rsidR="00646C30" w:rsidRDefault="00074979" w:rsidP="00646C30">
      <w:pPr>
        <w:pStyle w:val="CPQuestions"/>
      </w:pPr>
      <w:r w:rsidRPr="00074979">
        <w:t>Do you agree with ESMA’s preliminary view</w:t>
      </w:r>
      <w:r>
        <w:t>?</w:t>
      </w:r>
    </w:p>
    <w:p w14:paraId="3C3E0B02" w14:textId="77777777" w:rsidR="00646C30" w:rsidRDefault="00646C30" w:rsidP="00646C30">
      <w:r>
        <w:t>&lt;ESMA_QUESTION_CP_MAR_</w:t>
      </w:r>
      <w:r w:rsidR="00B6351C">
        <w:t>44</w:t>
      </w:r>
      <w:r>
        <w:t>&gt;</w:t>
      </w:r>
    </w:p>
    <w:p w14:paraId="13A9C91C" w14:textId="7CF3D67B" w:rsidR="00C24639" w:rsidRPr="00C24639" w:rsidRDefault="00C24639" w:rsidP="00C24639">
      <w:pPr>
        <w:widowControl w:val="0"/>
        <w:autoSpaceDE w:val="0"/>
        <w:autoSpaceDN w:val="0"/>
        <w:adjustRightInd w:val="0"/>
        <w:jc w:val="both"/>
        <w:rPr>
          <w:rFonts w:cs="Arial"/>
          <w:color w:val="353535"/>
        </w:rPr>
      </w:pPr>
      <w:permStart w:id="1908500529" w:edGrp="everyone"/>
      <w:r w:rsidRPr="00C24639">
        <w:rPr>
          <w:rFonts w:cs="Arial"/>
          <w:color w:val="353535"/>
        </w:rPr>
        <w:t xml:space="preserve">Yes, </w:t>
      </w:r>
      <w:r w:rsidRPr="00C24639">
        <w:rPr>
          <w:rFonts w:cs="Arial"/>
        </w:rPr>
        <w:t xml:space="preserve">we agree that there should be one contact in the third party entity that is included in the issuer insider list and then that person is responsible for maintaining its own insider list covering individuals in the third party entity. </w:t>
      </w:r>
      <w:r w:rsidRPr="00C24639">
        <w:rPr>
          <w:rFonts w:cs="Arial"/>
          <w:color w:val="353535"/>
        </w:rPr>
        <w:t>This is also a common market practice in several jurisdictions and for example, how the German NCA instructs issuers to act.</w:t>
      </w:r>
      <w:r w:rsidRPr="00C24639">
        <w:rPr>
          <w:rFonts w:cs="Arial"/>
          <w:color w:val="353535"/>
          <w:vertAlign w:val="superscript"/>
        </w:rPr>
        <w:footnoteReference w:id="5"/>
      </w:r>
      <w:r w:rsidRPr="00C24639">
        <w:rPr>
          <w:rFonts w:cs="Arial"/>
          <w:color w:val="353535"/>
        </w:rPr>
        <w:t xml:space="preserve"> </w:t>
      </w:r>
    </w:p>
    <w:p w14:paraId="7394E46D" w14:textId="77777777" w:rsidR="00C24639" w:rsidRPr="00C24639" w:rsidRDefault="00C24639" w:rsidP="00C24639">
      <w:pPr>
        <w:widowControl w:val="0"/>
        <w:autoSpaceDE w:val="0"/>
        <w:autoSpaceDN w:val="0"/>
        <w:adjustRightInd w:val="0"/>
        <w:jc w:val="both"/>
        <w:rPr>
          <w:rFonts w:cs="Arial"/>
          <w:color w:val="353535"/>
        </w:rPr>
      </w:pPr>
    </w:p>
    <w:p w14:paraId="320C1EB6" w14:textId="77777777" w:rsidR="00C24639" w:rsidRPr="00C24639" w:rsidRDefault="00C24639" w:rsidP="00C24639">
      <w:pPr>
        <w:widowControl w:val="0"/>
        <w:autoSpaceDE w:val="0"/>
        <w:autoSpaceDN w:val="0"/>
        <w:adjustRightInd w:val="0"/>
        <w:jc w:val="both"/>
        <w:rPr>
          <w:rFonts w:cs="Arial"/>
          <w:i/>
          <w:color w:val="353535"/>
        </w:rPr>
      </w:pPr>
      <w:r w:rsidRPr="00C24639">
        <w:rPr>
          <w:rFonts w:cs="Arial"/>
          <w:i/>
          <w:color w:val="353535"/>
        </w:rPr>
        <w:t xml:space="preserve">"Question: What information must issuers include in the insider list about persons acting on their behalf or on their account ("service providers" such as attorneys, business consultants, tax advisors, investor relations agencies, external accountants, </w:t>
      </w:r>
      <w:r w:rsidRPr="00C24639">
        <w:rPr>
          <w:rFonts w:cs="Arial"/>
          <w:bCs/>
          <w:i/>
          <w:color w:val="353535"/>
        </w:rPr>
        <w:t>auditors</w:t>
      </w:r>
      <w:r w:rsidRPr="00C24639">
        <w:rPr>
          <w:rFonts w:cs="Arial"/>
          <w:i/>
          <w:color w:val="353535"/>
        </w:rPr>
        <w:t>)?</w:t>
      </w:r>
    </w:p>
    <w:p w14:paraId="1603025D" w14:textId="77777777" w:rsidR="00C24639" w:rsidRPr="00C24639" w:rsidRDefault="00C24639" w:rsidP="00C24639">
      <w:pPr>
        <w:widowControl w:val="0"/>
        <w:autoSpaceDE w:val="0"/>
        <w:autoSpaceDN w:val="0"/>
        <w:adjustRightInd w:val="0"/>
        <w:jc w:val="both"/>
        <w:rPr>
          <w:rFonts w:cs="Arial"/>
          <w:i/>
          <w:color w:val="353535"/>
        </w:rPr>
      </w:pPr>
    </w:p>
    <w:p w14:paraId="0C7E5FE3" w14:textId="77777777" w:rsidR="00C24639" w:rsidRPr="00C24639" w:rsidRDefault="00C24639" w:rsidP="00C24639">
      <w:pPr>
        <w:widowControl w:val="0"/>
        <w:autoSpaceDE w:val="0"/>
        <w:autoSpaceDN w:val="0"/>
        <w:adjustRightInd w:val="0"/>
        <w:jc w:val="both"/>
        <w:rPr>
          <w:rFonts w:cs="Arial"/>
          <w:i/>
          <w:color w:val="353535"/>
        </w:rPr>
      </w:pPr>
      <w:r w:rsidRPr="00C24639">
        <w:rPr>
          <w:rFonts w:cs="Arial"/>
          <w:i/>
          <w:color w:val="353535"/>
        </w:rPr>
        <w:t xml:space="preserve">Answer: In its insider list the issuer shall note that such a service provider has been engaged or that insider information has been disclosed to such a service provider and shall note the date/time of engagement or disclosure. It shall be sufficient to provide the identity of a contact person for the service provider. All of the </w:t>
      </w:r>
      <w:r w:rsidRPr="00C24639">
        <w:rPr>
          <w:rFonts w:cs="Arial"/>
          <w:i/>
          <w:color w:val="353535"/>
        </w:rPr>
        <w:lastRenderedPageBreak/>
        <w:t>information prescribed by Annex I of Commission Implementing Regulation (EU) 2016/347 must be provided for such contact person in the insider list.”</w:t>
      </w:r>
    </w:p>
    <w:p w14:paraId="6731407C" w14:textId="77777777" w:rsidR="00C24639" w:rsidRPr="00C24639" w:rsidRDefault="00C24639" w:rsidP="00C24639">
      <w:pPr>
        <w:widowControl w:val="0"/>
        <w:autoSpaceDE w:val="0"/>
        <w:autoSpaceDN w:val="0"/>
        <w:adjustRightInd w:val="0"/>
        <w:jc w:val="both"/>
        <w:rPr>
          <w:rFonts w:cs="Arial"/>
          <w:color w:val="353535"/>
        </w:rPr>
      </w:pPr>
    </w:p>
    <w:p w14:paraId="6783B7A7" w14:textId="77777777" w:rsidR="00C24639" w:rsidRPr="00C24639" w:rsidRDefault="00C24639" w:rsidP="00C24639">
      <w:pPr>
        <w:widowControl w:val="0"/>
        <w:autoSpaceDE w:val="0"/>
        <w:autoSpaceDN w:val="0"/>
        <w:adjustRightInd w:val="0"/>
        <w:jc w:val="both"/>
        <w:rPr>
          <w:rFonts w:cs="Arial"/>
          <w:b/>
          <w:bCs/>
          <w:i/>
          <w:color w:val="353535"/>
        </w:rPr>
      </w:pPr>
      <w:r w:rsidRPr="00C24639">
        <w:rPr>
          <w:rFonts w:cs="Arial"/>
          <w:color w:val="353535"/>
        </w:rPr>
        <w:t xml:space="preserve">ESMA’s FAQ states in A10.2 that </w:t>
      </w:r>
      <w:r w:rsidRPr="00C24639">
        <w:rPr>
          <w:rFonts w:cs="Arial"/>
          <w:i/>
          <w:color w:val="353535"/>
        </w:rPr>
        <w:t xml:space="preserve">”the issuer is not responsible for the fulfilment of the insider list requirements of the persons acting on its behalf or account mentioned in Article 18(1) of MAR and first subparagraph of Article 18(2) (e.g. advisors and consultants) who are personally responsible for the obligation to draw up, update and provide to the NCA upon request their own insider list.”   </w:t>
      </w:r>
    </w:p>
    <w:p w14:paraId="43295D01" w14:textId="77777777" w:rsidR="00C24639" w:rsidRPr="00C24639" w:rsidRDefault="00C24639" w:rsidP="00C24639">
      <w:pPr>
        <w:widowControl w:val="0"/>
        <w:autoSpaceDE w:val="0"/>
        <w:autoSpaceDN w:val="0"/>
        <w:adjustRightInd w:val="0"/>
        <w:jc w:val="both"/>
        <w:rPr>
          <w:rFonts w:cs="Arial"/>
          <w:b/>
          <w:bCs/>
          <w:color w:val="353535"/>
        </w:rPr>
      </w:pPr>
    </w:p>
    <w:p w14:paraId="24E1D950" w14:textId="77777777" w:rsidR="00C24639" w:rsidRPr="00C24639" w:rsidRDefault="00C24639" w:rsidP="00C24639">
      <w:pPr>
        <w:widowControl w:val="0"/>
        <w:autoSpaceDE w:val="0"/>
        <w:autoSpaceDN w:val="0"/>
        <w:adjustRightInd w:val="0"/>
        <w:jc w:val="both"/>
        <w:rPr>
          <w:rFonts w:cs="Arial"/>
          <w:color w:val="353535"/>
        </w:rPr>
      </w:pPr>
      <w:r w:rsidRPr="00C24639">
        <w:rPr>
          <w:rFonts w:cs="Arial"/>
          <w:color w:val="353535"/>
        </w:rPr>
        <w:t xml:space="preserve">This has been interpreted in several jurisdictions as meaning that the issuer does not have to include the advisor’s staff in the issuer’s insider list. While it is a common market practice to include at least the main contact person as proposed above, it is not seen as a formal obligation under MAR. </w:t>
      </w:r>
    </w:p>
    <w:p w14:paraId="075AA5C3" w14:textId="77777777" w:rsidR="00C24639" w:rsidRPr="00C24639" w:rsidRDefault="00C24639" w:rsidP="00C24639">
      <w:pPr>
        <w:widowControl w:val="0"/>
        <w:autoSpaceDE w:val="0"/>
        <w:autoSpaceDN w:val="0"/>
        <w:adjustRightInd w:val="0"/>
        <w:jc w:val="both"/>
        <w:rPr>
          <w:rFonts w:cs="Arial"/>
          <w:color w:val="353535"/>
        </w:rPr>
      </w:pPr>
    </w:p>
    <w:p w14:paraId="3C3E0B03" w14:textId="4828BD61" w:rsidR="00646C30" w:rsidRDefault="00C24639" w:rsidP="00646C30">
      <w:r w:rsidRPr="00C24639">
        <w:rPr>
          <w:rFonts w:cs="Arial"/>
          <w:color w:val="353535"/>
        </w:rPr>
        <w:t>It does not seem meaningful (nor in line with GDPR) to duplicate the same extensive personal information about an advisor’s staff in both the advisor’s and the issuer’s insider lists and it should be clarified that this is not an obligation. This can be done together with introducing the requirement that the main contact person should be included in the issuer’s list, if this is the position taken by ESMA.</w:t>
      </w:r>
      <w:permEnd w:id="1908500529"/>
    </w:p>
    <w:p w14:paraId="3C3E0B04" w14:textId="77777777" w:rsidR="00646C30" w:rsidRDefault="00646C30" w:rsidP="00646C30">
      <w:r>
        <w:t>&lt;ESMA_QUESTION_CP_MAR_</w:t>
      </w:r>
      <w:r w:rsidR="00B6351C">
        <w:t>44</w:t>
      </w:r>
      <w:r>
        <w:t>&gt;</w:t>
      </w:r>
    </w:p>
    <w:p w14:paraId="3C3E0B05" w14:textId="77777777" w:rsidR="00646C30" w:rsidRDefault="00646C30" w:rsidP="002E1760"/>
    <w:p w14:paraId="3C3E0B06" w14:textId="77777777" w:rsidR="00646C30" w:rsidRDefault="00074979" w:rsidP="00646C30">
      <w:pPr>
        <w:pStyle w:val="CPQuestions"/>
      </w:pPr>
      <w:r w:rsidRPr="00074979">
        <w:t>Do you have any other suggestion on the insider lists that would support more efficiently their objectives while reducing the administrative work they entail? If yes, please elaborate how those changes could contribute to that purpose</w:t>
      </w:r>
      <w:r w:rsidR="00646C30">
        <w:t>.</w:t>
      </w:r>
    </w:p>
    <w:p w14:paraId="3C3E0B07" w14:textId="77777777" w:rsidR="00646C30" w:rsidRDefault="00646C30" w:rsidP="00646C30">
      <w:r>
        <w:t>&lt;ESMA_QUESTION_CP_MAR_</w:t>
      </w:r>
      <w:r w:rsidR="00B6351C">
        <w:t>45</w:t>
      </w:r>
      <w:r>
        <w:t>&gt;</w:t>
      </w:r>
    </w:p>
    <w:p w14:paraId="576DC79F" w14:textId="1BB7241C" w:rsidR="00C24639" w:rsidRPr="00C24639" w:rsidRDefault="00C24639" w:rsidP="00C24639">
      <w:pPr>
        <w:widowControl w:val="0"/>
        <w:autoSpaceDE w:val="0"/>
        <w:autoSpaceDN w:val="0"/>
        <w:adjustRightInd w:val="0"/>
        <w:jc w:val="both"/>
        <w:rPr>
          <w:rFonts w:cs="Arial"/>
          <w:color w:val="353535"/>
        </w:rPr>
      </w:pPr>
      <w:permStart w:id="673864140" w:edGrp="everyone"/>
      <w:r w:rsidRPr="00C24639">
        <w:rPr>
          <w:rFonts w:cs="Arial"/>
          <w:color w:val="353535"/>
        </w:rPr>
        <w:t xml:space="preserve">Issuers on some markets (notably Spain and Portugal) have made a stricter interpretation of Article 18(2) than other markets. They interpret the reference to ”written confirmation” as a requirement to obtain a physically signed piece of paper from each insider. This of course has a massive impact on the administrative burden of maintaining insider lists and reduces their usefulness to NCAs as the electronic records will be scanned images of papers rather than searchable emails or system logs. </w:t>
      </w:r>
    </w:p>
    <w:p w14:paraId="2990015E" w14:textId="77777777" w:rsidR="00C24639" w:rsidRPr="00C24639" w:rsidRDefault="00C24639" w:rsidP="00C24639">
      <w:pPr>
        <w:widowControl w:val="0"/>
        <w:autoSpaceDE w:val="0"/>
        <w:autoSpaceDN w:val="0"/>
        <w:adjustRightInd w:val="0"/>
        <w:jc w:val="both"/>
        <w:rPr>
          <w:rFonts w:cs="Arial"/>
          <w:color w:val="353535"/>
        </w:rPr>
      </w:pPr>
    </w:p>
    <w:p w14:paraId="14914E7D" w14:textId="77777777" w:rsidR="00C24639" w:rsidRPr="00C24639" w:rsidRDefault="00C24639" w:rsidP="00C24639">
      <w:pPr>
        <w:widowControl w:val="0"/>
        <w:autoSpaceDE w:val="0"/>
        <w:autoSpaceDN w:val="0"/>
        <w:adjustRightInd w:val="0"/>
        <w:jc w:val="both"/>
        <w:rPr>
          <w:rFonts w:cs="Arial"/>
          <w:color w:val="353535"/>
        </w:rPr>
      </w:pPr>
      <w:r w:rsidRPr="00C24639">
        <w:rPr>
          <w:rFonts w:cs="Arial"/>
          <w:color w:val="353535"/>
        </w:rPr>
        <w:t xml:space="preserve">To these issuers, it would be very valuable if ESMA and the relevant NCAs could clarify that the requirement of receiving ”written confirmation” can be met by having the insider confirm by email or by pressing a ”Confirm-button” which generates a written system log that identifies the person and the time of the confirmation.  </w:t>
      </w:r>
    </w:p>
    <w:p w14:paraId="257CD4FF" w14:textId="77777777" w:rsidR="00C24639" w:rsidRPr="00C24639" w:rsidRDefault="00C24639" w:rsidP="00C24639">
      <w:pPr>
        <w:widowControl w:val="0"/>
        <w:autoSpaceDE w:val="0"/>
        <w:autoSpaceDN w:val="0"/>
        <w:adjustRightInd w:val="0"/>
        <w:jc w:val="both"/>
        <w:rPr>
          <w:rFonts w:cs="Arial"/>
          <w:color w:val="353535"/>
        </w:rPr>
      </w:pPr>
    </w:p>
    <w:p w14:paraId="41040E55" w14:textId="77777777" w:rsidR="00C24639" w:rsidRPr="00C24639" w:rsidRDefault="00C24639" w:rsidP="00C24639">
      <w:pPr>
        <w:widowControl w:val="0"/>
        <w:autoSpaceDE w:val="0"/>
        <w:autoSpaceDN w:val="0"/>
        <w:adjustRightInd w:val="0"/>
        <w:jc w:val="both"/>
        <w:rPr>
          <w:rFonts w:cs="Arial"/>
          <w:color w:val="353535"/>
        </w:rPr>
      </w:pPr>
      <w:r w:rsidRPr="00C24639">
        <w:rPr>
          <w:rFonts w:cs="Arial"/>
          <w:color w:val="353535"/>
        </w:rPr>
        <w:t>This would reduce the administrative burden for issuers, increase the quality of the documentation for NCAs and is in line with the generally accepted interpretation of what constitutes a ”written record” in today’s society.</w:t>
      </w:r>
    </w:p>
    <w:p w14:paraId="53A6A899" w14:textId="77777777" w:rsidR="00C24639" w:rsidRPr="00C24639" w:rsidRDefault="00C24639" w:rsidP="00C24639">
      <w:pPr>
        <w:widowControl w:val="0"/>
        <w:autoSpaceDE w:val="0"/>
        <w:autoSpaceDN w:val="0"/>
        <w:adjustRightInd w:val="0"/>
        <w:jc w:val="both"/>
        <w:rPr>
          <w:rFonts w:cs="Arial"/>
          <w:color w:val="353535"/>
        </w:rPr>
      </w:pPr>
    </w:p>
    <w:p w14:paraId="3B9EC7A1" w14:textId="77777777" w:rsidR="00C24639" w:rsidRPr="00C24639" w:rsidRDefault="00C24639" w:rsidP="00C24639">
      <w:pPr>
        <w:widowControl w:val="0"/>
        <w:autoSpaceDE w:val="0"/>
        <w:autoSpaceDN w:val="0"/>
        <w:adjustRightInd w:val="0"/>
        <w:jc w:val="both"/>
        <w:outlineLvl w:val="0"/>
        <w:rPr>
          <w:rFonts w:cs="Arial"/>
          <w:color w:val="353535"/>
        </w:rPr>
      </w:pPr>
      <w:r w:rsidRPr="00C24639">
        <w:rPr>
          <w:rFonts w:cs="Arial"/>
          <w:color w:val="353535"/>
        </w:rPr>
        <w:t xml:space="preserve">Below are some examples showing that this is an established market practice in several jurisdictions. </w:t>
      </w:r>
    </w:p>
    <w:p w14:paraId="555D415B" w14:textId="77777777" w:rsidR="00C24639" w:rsidRPr="00C24639" w:rsidRDefault="00C24639" w:rsidP="00C24639">
      <w:pPr>
        <w:widowControl w:val="0"/>
        <w:autoSpaceDE w:val="0"/>
        <w:autoSpaceDN w:val="0"/>
        <w:adjustRightInd w:val="0"/>
        <w:jc w:val="both"/>
        <w:rPr>
          <w:rFonts w:cs="Arial"/>
          <w:color w:val="353535"/>
        </w:rPr>
      </w:pPr>
    </w:p>
    <w:p w14:paraId="75A1200A" w14:textId="77777777" w:rsidR="00C24639" w:rsidRPr="00C24639" w:rsidRDefault="00C24639" w:rsidP="00C24639">
      <w:pPr>
        <w:widowControl w:val="0"/>
        <w:autoSpaceDE w:val="0"/>
        <w:autoSpaceDN w:val="0"/>
        <w:adjustRightInd w:val="0"/>
        <w:jc w:val="both"/>
        <w:rPr>
          <w:rFonts w:cs="Arial"/>
          <w:color w:val="353535"/>
        </w:rPr>
      </w:pPr>
      <w:r w:rsidRPr="00C24639">
        <w:rPr>
          <w:rFonts w:cs="Arial"/>
          <w:color w:val="353535"/>
        </w:rPr>
        <w:t>There is a guideline</w:t>
      </w:r>
      <w:r w:rsidRPr="00C24639">
        <w:rPr>
          <w:rFonts w:cs="Arial"/>
          <w:color w:val="353535"/>
          <w:vertAlign w:val="superscript"/>
        </w:rPr>
        <w:footnoteReference w:id="6"/>
      </w:r>
      <w:r w:rsidRPr="00C24639">
        <w:rPr>
          <w:rFonts w:cs="Arial"/>
          <w:color w:val="353535"/>
        </w:rPr>
        <w:t xml:space="preserve"> which has been produced by GC100 which is an association of General Counsels in the FTSE100 companies, i.e. the 100 largest issuers in the UK. It has also been supported by the global law firm Freshfields. Below is an excerpt which confirms that clicking "I accept” should be seen as a written confirmation under MAR article 18(2). </w:t>
      </w:r>
    </w:p>
    <w:p w14:paraId="4157139F" w14:textId="77777777" w:rsidR="00C24639" w:rsidRPr="00C24639" w:rsidRDefault="00C24639" w:rsidP="00C24639">
      <w:pPr>
        <w:widowControl w:val="0"/>
        <w:autoSpaceDE w:val="0"/>
        <w:autoSpaceDN w:val="0"/>
        <w:adjustRightInd w:val="0"/>
        <w:jc w:val="both"/>
        <w:rPr>
          <w:rFonts w:cs="Arial"/>
          <w:color w:val="353535"/>
        </w:rPr>
      </w:pPr>
    </w:p>
    <w:p w14:paraId="44989B7F" w14:textId="77777777" w:rsidR="00C24639" w:rsidRPr="00C24639" w:rsidRDefault="00C24639" w:rsidP="00C24639">
      <w:pPr>
        <w:widowControl w:val="0"/>
        <w:autoSpaceDE w:val="0"/>
        <w:autoSpaceDN w:val="0"/>
        <w:adjustRightInd w:val="0"/>
        <w:jc w:val="both"/>
        <w:rPr>
          <w:rFonts w:cs="Arial"/>
          <w:i/>
          <w:iCs/>
          <w:color w:val="353535"/>
        </w:rPr>
      </w:pPr>
      <w:r w:rsidRPr="00C24639">
        <w:rPr>
          <w:rFonts w:cs="Arial"/>
          <w:i/>
          <w:iCs/>
          <w:color w:val="353535"/>
        </w:rPr>
        <w:t>2.11 Can employee acknowledgements be made electronically?</w:t>
      </w:r>
    </w:p>
    <w:p w14:paraId="2D921DB8" w14:textId="77777777" w:rsidR="00C24639" w:rsidRPr="00C24639" w:rsidRDefault="00C24639" w:rsidP="00C24639">
      <w:pPr>
        <w:widowControl w:val="0"/>
        <w:autoSpaceDE w:val="0"/>
        <w:autoSpaceDN w:val="0"/>
        <w:adjustRightInd w:val="0"/>
        <w:jc w:val="both"/>
        <w:rPr>
          <w:rFonts w:cs="Arial"/>
          <w:i/>
          <w:iCs/>
          <w:color w:val="353535"/>
        </w:rPr>
      </w:pPr>
      <w:r w:rsidRPr="00C24639">
        <w:rPr>
          <w:rFonts w:cs="Arial"/>
          <w:i/>
          <w:iCs/>
          <w:color w:val="353535"/>
        </w:rPr>
        <w:t>A company must ensure that every person whose name is on the insider list acknowledges in writing the legal and regulatory duties entailed and is aware of the sanctions applicable to insider dealing and unlawful disclosure of such information (Article 18(2), MAR).</w:t>
      </w:r>
    </w:p>
    <w:p w14:paraId="598AF9BA" w14:textId="77777777" w:rsidR="00C24639" w:rsidRPr="00C24639" w:rsidRDefault="00C24639" w:rsidP="00C24639">
      <w:pPr>
        <w:widowControl w:val="0"/>
        <w:autoSpaceDE w:val="0"/>
        <w:autoSpaceDN w:val="0"/>
        <w:adjustRightInd w:val="0"/>
        <w:jc w:val="both"/>
        <w:rPr>
          <w:rFonts w:cs="Arial"/>
          <w:i/>
          <w:iCs/>
          <w:color w:val="353535"/>
        </w:rPr>
      </w:pPr>
    </w:p>
    <w:p w14:paraId="439B4543" w14:textId="77777777" w:rsidR="00C24639" w:rsidRPr="00C24639" w:rsidRDefault="00C24639" w:rsidP="00C24639">
      <w:pPr>
        <w:widowControl w:val="0"/>
        <w:autoSpaceDE w:val="0"/>
        <w:autoSpaceDN w:val="0"/>
        <w:adjustRightInd w:val="0"/>
        <w:jc w:val="both"/>
        <w:rPr>
          <w:rFonts w:cs="Arial"/>
          <w:i/>
          <w:iCs/>
          <w:color w:val="353535"/>
        </w:rPr>
      </w:pPr>
      <w:r w:rsidRPr="00C24639">
        <w:rPr>
          <w:rFonts w:cs="Arial"/>
          <w:i/>
          <w:iCs/>
          <w:color w:val="353535"/>
          <w:u w:val="single" w:color="353535"/>
        </w:rPr>
        <w:t>A company may wish to send insider notifications out in email format. If the insider is required to electronically accept the terms of being an insider, the following may need to be considered</w:t>
      </w:r>
      <w:r w:rsidRPr="00C24639">
        <w:rPr>
          <w:rFonts w:cs="Arial"/>
          <w:i/>
          <w:iCs/>
          <w:color w:val="353535"/>
        </w:rPr>
        <w:t>:</w:t>
      </w:r>
    </w:p>
    <w:p w14:paraId="36BCFC5F" w14:textId="77777777" w:rsidR="00C24639" w:rsidRPr="00C24639" w:rsidRDefault="00C24639" w:rsidP="00C24639">
      <w:pPr>
        <w:widowControl w:val="0"/>
        <w:autoSpaceDE w:val="0"/>
        <w:autoSpaceDN w:val="0"/>
        <w:adjustRightInd w:val="0"/>
        <w:jc w:val="both"/>
        <w:rPr>
          <w:rFonts w:cs="Arial"/>
          <w:i/>
          <w:iCs/>
          <w:color w:val="353535"/>
        </w:rPr>
      </w:pPr>
    </w:p>
    <w:p w14:paraId="0B2AAAF9" w14:textId="77777777" w:rsidR="00C24639" w:rsidRPr="00C24639" w:rsidRDefault="00C24639" w:rsidP="00C24639">
      <w:pPr>
        <w:widowControl w:val="0"/>
        <w:autoSpaceDE w:val="0"/>
        <w:autoSpaceDN w:val="0"/>
        <w:adjustRightInd w:val="0"/>
        <w:jc w:val="both"/>
        <w:rPr>
          <w:rFonts w:cs="Arial"/>
          <w:color w:val="353535"/>
        </w:rPr>
      </w:pPr>
      <w:r w:rsidRPr="00C24639">
        <w:rPr>
          <w:rFonts w:cs="Arial"/>
          <w:i/>
          <w:iCs/>
          <w:color w:val="353535"/>
        </w:rPr>
        <w:lastRenderedPageBreak/>
        <w:t>- The time and date that the individual confirmed acceptance by clicking "I Accept" should be logged on the system.</w:t>
      </w:r>
    </w:p>
    <w:p w14:paraId="7EEDB97E" w14:textId="77777777" w:rsidR="00C24639" w:rsidRPr="00C24639" w:rsidRDefault="00C24639" w:rsidP="00C24639">
      <w:pPr>
        <w:widowControl w:val="0"/>
        <w:autoSpaceDE w:val="0"/>
        <w:autoSpaceDN w:val="0"/>
        <w:adjustRightInd w:val="0"/>
        <w:jc w:val="both"/>
        <w:rPr>
          <w:rFonts w:cs="Arial"/>
          <w:i/>
          <w:iCs/>
          <w:color w:val="353535"/>
        </w:rPr>
      </w:pPr>
      <w:r w:rsidRPr="00C24639">
        <w:rPr>
          <w:rFonts w:cs="Arial"/>
          <w:i/>
          <w:iCs/>
          <w:color w:val="353535"/>
        </w:rPr>
        <w:t>- The email notice should also make the recipient aware that:</w:t>
      </w:r>
    </w:p>
    <w:p w14:paraId="00F208F8" w14:textId="77777777" w:rsidR="00C24639" w:rsidRPr="00C24639" w:rsidRDefault="00C24639" w:rsidP="00C24639">
      <w:pPr>
        <w:widowControl w:val="0"/>
        <w:autoSpaceDE w:val="0"/>
        <w:autoSpaceDN w:val="0"/>
        <w:adjustRightInd w:val="0"/>
        <w:jc w:val="both"/>
        <w:rPr>
          <w:rFonts w:cs="Arial"/>
          <w:i/>
          <w:iCs/>
          <w:color w:val="353535"/>
        </w:rPr>
      </w:pPr>
      <w:r w:rsidRPr="00C24639">
        <w:rPr>
          <w:rFonts w:cs="Arial"/>
          <w:i/>
          <w:iCs/>
          <w:color w:val="353535"/>
        </w:rPr>
        <w:t>• By clicking "I Accept", he is signing his insider's acceptance electronically.</w:t>
      </w:r>
    </w:p>
    <w:p w14:paraId="604EBEAD" w14:textId="77777777" w:rsidR="00C24639" w:rsidRPr="00C24639" w:rsidRDefault="00C24639" w:rsidP="00C24639">
      <w:pPr>
        <w:widowControl w:val="0"/>
        <w:autoSpaceDE w:val="0"/>
        <w:autoSpaceDN w:val="0"/>
        <w:adjustRightInd w:val="0"/>
        <w:jc w:val="both"/>
        <w:rPr>
          <w:rFonts w:cs="Arial"/>
          <w:i/>
          <w:iCs/>
          <w:color w:val="353535"/>
        </w:rPr>
      </w:pPr>
      <w:r w:rsidRPr="00C24639">
        <w:rPr>
          <w:rFonts w:cs="Arial"/>
          <w:i/>
          <w:iCs/>
          <w:color w:val="353535"/>
        </w:rPr>
        <w:t>• By clicking "I Accept", he consents to be legally bound by the company's insider terms and conditions.</w:t>
      </w:r>
    </w:p>
    <w:p w14:paraId="47F5CF9C" w14:textId="77777777" w:rsidR="00C24639" w:rsidRPr="00C24639" w:rsidRDefault="00C24639" w:rsidP="00C24639">
      <w:pPr>
        <w:widowControl w:val="0"/>
        <w:autoSpaceDE w:val="0"/>
        <w:autoSpaceDN w:val="0"/>
        <w:adjustRightInd w:val="0"/>
        <w:jc w:val="both"/>
        <w:rPr>
          <w:rFonts w:cs="Arial"/>
          <w:color w:val="353535"/>
        </w:rPr>
      </w:pPr>
      <w:r w:rsidRPr="00C24639">
        <w:rPr>
          <w:rFonts w:cs="Arial"/>
          <w:i/>
          <w:iCs/>
          <w:color w:val="353535"/>
        </w:rPr>
        <w:t>• He agrees that his electronic signature is the legal equivalent of a manuscript signature of acceptance.</w:t>
      </w:r>
    </w:p>
    <w:p w14:paraId="3C2A7408" w14:textId="77777777" w:rsidR="00C24639" w:rsidRPr="00C24639" w:rsidRDefault="00C24639" w:rsidP="00C24639">
      <w:pPr>
        <w:widowControl w:val="0"/>
        <w:autoSpaceDE w:val="0"/>
        <w:autoSpaceDN w:val="0"/>
        <w:adjustRightInd w:val="0"/>
        <w:jc w:val="both"/>
        <w:rPr>
          <w:rFonts w:cs="Arial"/>
          <w:b/>
          <w:bCs/>
          <w:color w:val="353535"/>
        </w:rPr>
      </w:pPr>
    </w:p>
    <w:p w14:paraId="43B22103" w14:textId="77777777" w:rsidR="00C24639" w:rsidRPr="00C24639" w:rsidRDefault="00C24639" w:rsidP="00C24639">
      <w:pPr>
        <w:widowControl w:val="0"/>
        <w:autoSpaceDE w:val="0"/>
        <w:autoSpaceDN w:val="0"/>
        <w:adjustRightInd w:val="0"/>
        <w:jc w:val="both"/>
        <w:rPr>
          <w:rFonts w:cs="Arial"/>
          <w:color w:val="353535"/>
        </w:rPr>
      </w:pPr>
      <w:r w:rsidRPr="00C24639">
        <w:rPr>
          <w:rFonts w:cs="Arial"/>
          <w:color w:val="353535"/>
        </w:rPr>
        <w:t>There is another guideline</w:t>
      </w:r>
      <w:r w:rsidRPr="00C24639">
        <w:rPr>
          <w:rFonts w:cs="Arial"/>
          <w:color w:val="353535"/>
          <w:vertAlign w:val="superscript"/>
        </w:rPr>
        <w:footnoteReference w:id="7"/>
      </w:r>
      <w:r w:rsidRPr="00C24639">
        <w:rPr>
          <w:rFonts w:cs="Arial"/>
          <w:color w:val="353535"/>
        </w:rPr>
        <w:t xml:space="preserve"> that has been prepared by the two largest Swedish law firms </w:t>
      </w:r>
      <w:proofErr w:type="spellStart"/>
      <w:r w:rsidRPr="00C24639">
        <w:rPr>
          <w:rFonts w:cs="Arial"/>
          <w:color w:val="353535"/>
        </w:rPr>
        <w:t>Mannheimer</w:t>
      </w:r>
      <w:proofErr w:type="spellEnd"/>
      <w:r w:rsidRPr="00C24639">
        <w:rPr>
          <w:rFonts w:cs="Arial"/>
          <w:color w:val="353535"/>
        </w:rPr>
        <w:t xml:space="preserve"> </w:t>
      </w:r>
      <w:proofErr w:type="spellStart"/>
      <w:r w:rsidRPr="00C24639">
        <w:rPr>
          <w:rFonts w:cs="Arial"/>
          <w:color w:val="353535"/>
        </w:rPr>
        <w:t>Swartling</w:t>
      </w:r>
      <w:proofErr w:type="spellEnd"/>
      <w:r w:rsidRPr="00C24639">
        <w:rPr>
          <w:rFonts w:cs="Arial"/>
          <w:color w:val="353535"/>
        </w:rPr>
        <w:t xml:space="preserve"> and </w:t>
      </w:r>
      <w:proofErr w:type="spellStart"/>
      <w:r w:rsidRPr="00C24639">
        <w:rPr>
          <w:rFonts w:cs="Arial"/>
          <w:color w:val="353535"/>
        </w:rPr>
        <w:t>Vinge</w:t>
      </w:r>
      <w:proofErr w:type="spellEnd"/>
      <w:r w:rsidRPr="00C24639">
        <w:rPr>
          <w:rFonts w:cs="Arial"/>
          <w:color w:val="353535"/>
        </w:rPr>
        <w:t xml:space="preserve">, in cooperation with the Swedish Securities Dealers Association which clarifies that the requirement of written notification under article 19 can be met with email. </w:t>
      </w:r>
    </w:p>
    <w:p w14:paraId="23A93C38" w14:textId="77777777" w:rsidR="00C24639" w:rsidRPr="00C24639" w:rsidRDefault="00C24639" w:rsidP="00C24639">
      <w:pPr>
        <w:widowControl w:val="0"/>
        <w:autoSpaceDE w:val="0"/>
        <w:autoSpaceDN w:val="0"/>
        <w:adjustRightInd w:val="0"/>
        <w:jc w:val="both"/>
        <w:rPr>
          <w:rFonts w:cs="Arial"/>
          <w:color w:val="353535"/>
        </w:rPr>
      </w:pPr>
    </w:p>
    <w:p w14:paraId="2E77F8CD" w14:textId="77777777" w:rsidR="00C24639" w:rsidRPr="00C24639" w:rsidRDefault="00C24639" w:rsidP="00C24639">
      <w:pPr>
        <w:widowControl w:val="0"/>
        <w:autoSpaceDE w:val="0"/>
        <w:autoSpaceDN w:val="0"/>
        <w:adjustRightInd w:val="0"/>
        <w:jc w:val="both"/>
        <w:rPr>
          <w:rFonts w:cs="Arial"/>
          <w:color w:val="353535"/>
        </w:rPr>
      </w:pPr>
      <w:r w:rsidRPr="00C24639">
        <w:rPr>
          <w:rFonts w:cs="Arial"/>
          <w:i/>
          <w:iCs/>
          <w:color w:val="353535"/>
        </w:rPr>
        <w:t xml:space="preserve">2.5 In which form must you notify persons closely associated with you? </w:t>
      </w:r>
    </w:p>
    <w:p w14:paraId="4B909CC0" w14:textId="77777777" w:rsidR="00C24639" w:rsidRPr="00C24639" w:rsidRDefault="00C24639" w:rsidP="00C24639">
      <w:pPr>
        <w:widowControl w:val="0"/>
        <w:autoSpaceDE w:val="0"/>
        <w:autoSpaceDN w:val="0"/>
        <w:adjustRightInd w:val="0"/>
        <w:jc w:val="both"/>
        <w:rPr>
          <w:rFonts w:cs="Arial"/>
          <w:color w:val="353535"/>
        </w:rPr>
      </w:pPr>
      <w:r w:rsidRPr="00C24639">
        <w:rPr>
          <w:rFonts w:cs="Arial"/>
          <w:i/>
          <w:iCs/>
          <w:color w:val="353535"/>
        </w:rPr>
        <w:t xml:space="preserve">You must notify persons closely associated with you in writing and save a copy of the notification. </w:t>
      </w:r>
      <w:r w:rsidRPr="00C24639">
        <w:rPr>
          <w:rFonts w:cs="Arial"/>
          <w:i/>
          <w:iCs/>
          <w:color w:val="353535"/>
          <w:u w:val="single" w:color="353535"/>
        </w:rPr>
        <w:t>Notifications sent by email are considered to have taken place in writing</w:t>
      </w:r>
      <w:r w:rsidRPr="00C24639">
        <w:rPr>
          <w:rFonts w:cs="Arial"/>
          <w:i/>
          <w:iCs/>
          <w:color w:val="353535"/>
        </w:rPr>
        <w:t>.</w:t>
      </w:r>
    </w:p>
    <w:p w14:paraId="05DA4825" w14:textId="77777777" w:rsidR="00C24639" w:rsidRPr="00C24639" w:rsidRDefault="00C24639" w:rsidP="00C24639">
      <w:pPr>
        <w:widowControl w:val="0"/>
        <w:autoSpaceDE w:val="0"/>
        <w:autoSpaceDN w:val="0"/>
        <w:adjustRightInd w:val="0"/>
        <w:jc w:val="both"/>
        <w:rPr>
          <w:rFonts w:cs="Arial"/>
          <w:color w:val="353535"/>
        </w:rPr>
      </w:pPr>
    </w:p>
    <w:p w14:paraId="220E777A" w14:textId="77777777" w:rsidR="00C24639" w:rsidRPr="00C24639" w:rsidRDefault="00C24639" w:rsidP="00C24639">
      <w:pPr>
        <w:widowControl w:val="0"/>
        <w:autoSpaceDE w:val="0"/>
        <w:autoSpaceDN w:val="0"/>
        <w:adjustRightInd w:val="0"/>
        <w:jc w:val="both"/>
        <w:rPr>
          <w:rFonts w:cs="Arial"/>
          <w:color w:val="353535"/>
        </w:rPr>
      </w:pPr>
      <w:r w:rsidRPr="00C24639">
        <w:rPr>
          <w:rFonts w:cs="Arial"/>
          <w:color w:val="353535"/>
        </w:rPr>
        <w:t>The Finnish NCA has also stated that email confirmations are enough in a Q&amp;A</w:t>
      </w:r>
      <w:r w:rsidRPr="00C24639">
        <w:rPr>
          <w:rFonts w:cs="Arial"/>
          <w:color w:val="353535"/>
          <w:vertAlign w:val="superscript"/>
        </w:rPr>
        <w:footnoteReference w:id="8"/>
      </w:r>
      <w:r w:rsidRPr="00C24639">
        <w:rPr>
          <w:rFonts w:cs="Arial"/>
          <w:color w:val="353535"/>
        </w:rPr>
        <w:t xml:space="preserve"> which is unfortunately only available in Swedish and Finnish, but below is an unofficial translation. </w:t>
      </w:r>
    </w:p>
    <w:p w14:paraId="200A5A77" w14:textId="77777777" w:rsidR="00C24639" w:rsidRPr="00C24639" w:rsidRDefault="00C24639" w:rsidP="00C24639">
      <w:pPr>
        <w:widowControl w:val="0"/>
        <w:autoSpaceDE w:val="0"/>
        <w:autoSpaceDN w:val="0"/>
        <w:adjustRightInd w:val="0"/>
        <w:jc w:val="both"/>
        <w:rPr>
          <w:rFonts w:cs="Arial"/>
          <w:color w:val="353535"/>
        </w:rPr>
      </w:pPr>
    </w:p>
    <w:p w14:paraId="483D4439" w14:textId="77777777" w:rsidR="00C24639" w:rsidRPr="00C24639" w:rsidRDefault="00C24639" w:rsidP="00C24639">
      <w:pPr>
        <w:widowControl w:val="0"/>
        <w:autoSpaceDE w:val="0"/>
        <w:autoSpaceDN w:val="0"/>
        <w:adjustRightInd w:val="0"/>
        <w:jc w:val="both"/>
        <w:outlineLvl w:val="0"/>
        <w:rPr>
          <w:rFonts w:cs="Arial"/>
          <w:color w:val="353535"/>
        </w:rPr>
      </w:pPr>
      <w:r w:rsidRPr="00C24639">
        <w:rPr>
          <w:rFonts w:cs="Arial"/>
          <w:i/>
          <w:iCs/>
          <w:color w:val="353535"/>
        </w:rPr>
        <w:t xml:space="preserve">4 Confirmation provided by the persons appearing in the insider list </w:t>
      </w:r>
    </w:p>
    <w:p w14:paraId="716F1300" w14:textId="77777777" w:rsidR="00C24639" w:rsidRPr="00C24639" w:rsidRDefault="00C24639" w:rsidP="00C24639">
      <w:pPr>
        <w:widowControl w:val="0"/>
        <w:autoSpaceDE w:val="0"/>
        <w:autoSpaceDN w:val="0"/>
        <w:adjustRightInd w:val="0"/>
        <w:jc w:val="both"/>
        <w:rPr>
          <w:rFonts w:cs="Arial"/>
          <w:color w:val="353535"/>
        </w:rPr>
      </w:pPr>
      <w:r w:rsidRPr="00C24639">
        <w:rPr>
          <w:rFonts w:cs="Arial"/>
          <w:i/>
          <w:iCs/>
          <w:color w:val="353535"/>
        </w:rPr>
        <w:t xml:space="preserve">Is it enough that an insider confirms the aforementioned obligations by e-mail or is it necessary to collect specific signatures? </w:t>
      </w:r>
    </w:p>
    <w:p w14:paraId="4D38CE1A" w14:textId="77777777" w:rsidR="00C24639" w:rsidRPr="00C24639" w:rsidRDefault="00C24639" w:rsidP="00C24639">
      <w:pPr>
        <w:widowControl w:val="0"/>
        <w:autoSpaceDE w:val="0"/>
        <w:autoSpaceDN w:val="0"/>
        <w:adjustRightInd w:val="0"/>
        <w:jc w:val="both"/>
        <w:rPr>
          <w:rFonts w:cs="Arial"/>
          <w:i/>
          <w:iCs/>
          <w:color w:val="353535"/>
        </w:rPr>
      </w:pPr>
    </w:p>
    <w:p w14:paraId="3C3E0B08" w14:textId="314DC74C" w:rsidR="00646C30" w:rsidRDefault="00C24639" w:rsidP="00646C30">
      <w:r w:rsidRPr="00C24639">
        <w:rPr>
          <w:rFonts w:cs="Arial"/>
          <w:i/>
          <w:iCs/>
          <w:color w:val="353535"/>
        </w:rPr>
        <w:t xml:space="preserve">Under Article 18 (2) of the MAR, issuers or persons acting on their behalf shall take all reasonable steps to ensure that all persons appearing on the insider list confirm in writing that they are aware of the legal obligations arising from this and the sanctions applicable to insider dealing and the unlawful disclosure of inside information. According to the Finnish Financial Supervisory Authority, it is sufficient for an insider to confirm the first time that he or she is aware of their obligations in connection with the inclusion in a project list and then it is sufficient to refer to the obligations and sanctions. However, if the company so desires, it may require a separate confirmation for each project. </w:t>
      </w:r>
      <w:r w:rsidRPr="00C24639">
        <w:rPr>
          <w:rFonts w:cs="Arial"/>
          <w:i/>
          <w:iCs/>
          <w:color w:val="353535"/>
          <w:u w:val="single" w:color="353535"/>
        </w:rPr>
        <w:t>A confirmation by email will suffice</w:t>
      </w:r>
      <w:r w:rsidRPr="00E927D6">
        <w:rPr>
          <w:rFonts w:ascii="Calibri" w:hAnsi="Calibri" w:cs="Calibri"/>
          <w:i/>
          <w:iCs/>
          <w:color w:val="353535"/>
          <w:u w:val="single" w:color="353535"/>
        </w:rPr>
        <w:t>.</w:t>
      </w:r>
      <w:permEnd w:id="673864140"/>
    </w:p>
    <w:p w14:paraId="3C3E0B09" w14:textId="77777777" w:rsidR="00646C30" w:rsidRDefault="00646C30" w:rsidP="00646C30">
      <w:r>
        <w:t>&lt;ESMA_QUESTION_CP_MAR_</w:t>
      </w:r>
      <w:r w:rsidR="00B6351C">
        <w:t>45</w:t>
      </w:r>
      <w:r>
        <w:t>&gt;</w:t>
      </w:r>
    </w:p>
    <w:p w14:paraId="3C3E0B0A" w14:textId="77777777" w:rsidR="00646C30" w:rsidRDefault="00646C30" w:rsidP="002E1760"/>
    <w:p w14:paraId="3C3E0B0B" w14:textId="77777777" w:rsidR="00646C30" w:rsidRDefault="00074979" w:rsidP="00646C30">
      <w:pPr>
        <w:pStyle w:val="CPQuestions"/>
      </w:pPr>
      <w:r w:rsidRPr="00074979">
        <w:t>Does the minimum reporting threshold have to be increased from Euro 5,000? If so, what threshold would ensure an appropriate balance between transparency to the market, preventing market abuse and the reporting burden on issuers, PDMRs, and closely associated persons</w:t>
      </w:r>
      <w:r>
        <w:t>?</w:t>
      </w:r>
    </w:p>
    <w:p w14:paraId="3C3E0B0C" w14:textId="77777777" w:rsidR="00646C30" w:rsidRDefault="00646C30" w:rsidP="00646C30">
      <w:r>
        <w:t>&lt;ESMA_QUESTION_CP_MAR_</w:t>
      </w:r>
      <w:r w:rsidR="00B6351C">
        <w:t>46</w:t>
      </w:r>
      <w:r>
        <w:t>&gt;</w:t>
      </w:r>
    </w:p>
    <w:p w14:paraId="3C3E0B0D" w14:textId="7A9ABC6D" w:rsidR="00646C30" w:rsidRDefault="009F0F33" w:rsidP="00646C30">
      <w:permStart w:id="274992488" w:edGrp="everyone"/>
      <w:r w:rsidRPr="009F0F33">
        <w:rPr>
          <w:rFonts w:cs="Arial"/>
        </w:rPr>
        <w:t>We suggest that the minimum threshold should be increased to €10,000 and this should be harmonized across the EU. In our view, this threshold would strike the right balance between ensuring transparency in the market and minimizing the burden on issuers.</w:t>
      </w:r>
      <w:r w:rsidRPr="00E927D6">
        <w:rPr>
          <w:rFonts w:ascii="Calibri" w:hAnsi="Calibri" w:cs="Calibri"/>
        </w:rPr>
        <w:t xml:space="preserve"> </w:t>
      </w:r>
      <w:permEnd w:id="274992488"/>
    </w:p>
    <w:p w14:paraId="3C3E0B0E" w14:textId="77777777" w:rsidR="00646C30" w:rsidRDefault="00646C30" w:rsidP="00646C30">
      <w:r>
        <w:t>&lt;ESMA_QUESTION_CP_MAR_</w:t>
      </w:r>
      <w:r w:rsidR="00B6351C">
        <w:t>46</w:t>
      </w:r>
      <w:r>
        <w:t>&gt;</w:t>
      </w:r>
    </w:p>
    <w:p w14:paraId="3C3E0B0F" w14:textId="77777777" w:rsidR="00646C30" w:rsidRDefault="00646C30" w:rsidP="002E1760"/>
    <w:p w14:paraId="3C3E0B10" w14:textId="77777777" w:rsidR="00646C30" w:rsidRDefault="00074979" w:rsidP="00646C30">
      <w:pPr>
        <w:pStyle w:val="CPQuestions"/>
      </w:pPr>
      <w:r w:rsidRPr="00074979">
        <w:t>Should NCAs still have the option to keep a higher threshold? In that case, should the optional threshold be higher than Euro 20,000? If so, please describe the criteria to be used to set the higher optional threshold (by way of example, the liquidity of the financial instrument, or the average compensation received by the managers).</w:t>
      </w:r>
    </w:p>
    <w:p w14:paraId="3C3E0B11" w14:textId="77777777" w:rsidR="00646C30" w:rsidRDefault="00646C30" w:rsidP="00646C30">
      <w:r>
        <w:t>&lt;ESMA_QUESTION_CP_MAR_</w:t>
      </w:r>
      <w:r w:rsidR="00DD7418">
        <w:t>47</w:t>
      </w:r>
      <w:r>
        <w:t>&gt;</w:t>
      </w:r>
    </w:p>
    <w:p w14:paraId="3C3E0B12" w14:textId="626F57C5" w:rsidR="00646C30" w:rsidRDefault="009F0F33" w:rsidP="00646C30">
      <w:permStart w:id="1265633318" w:edGrp="everyone"/>
      <w:r w:rsidRPr="009F0F33">
        <w:rPr>
          <w:rFonts w:cs="Arial"/>
        </w:rPr>
        <w:lastRenderedPageBreak/>
        <w:t>We would argue that NCAs should not have the option to have a higher threshold. We believe it would make more sense to take a harmonized approach so that issuers are subject to the same threshold, regardless of the jurisdiction they are in. We would suggest €10,000 should be set as the threshold.</w:t>
      </w:r>
      <w:r w:rsidRPr="00E927D6">
        <w:rPr>
          <w:rFonts w:ascii="Calibri" w:hAnsi="Calibri" w:cs="Calibri"/>
        </w:rPr>
        <w:t xml:space="preserve"> </w:t>
      </w:r>
      <w:permEnd w:id="1265633318"/>
    </w:p>
    <w:p w14:paraId="3C3E0B13" w14:textId="77777777" w:rsidR="00646C30" w:rsidRDefault="00646C30" w:rsidP="00646C30">
      <w:r>
        <w:t>&lt;ESMA_QUESTION_CP_MAR_</w:t>
      </w:r>
      <w:r w:rsidR="00DD7418">
        <w:t>47</w:t>
      </w:r>
      <w:r>
        <w:t>&gt;</w:t>
      </w:r>
    </w:p>
    <w:p w14:paraId="3C3E0B14" w14:textId="77777777" w:rsidR="00646C30" w:rsidRDefault="00646C30" w:rsidP="002E1760"/>
    <w:p w14:paraId="3C3E0B15" w14:textId="77777777" w:rsidR="00646C30" w:rsidRDefault="00074979" w:rsidP="00646C30">
      <w:pPr>
        <w:pStyle w:val="CPQuestions"/>
      </w:pPr>
      <w:r w:rsidRPr="00074979">
        <w:t>Did you identify alternative criteria on which the reporting threshold could be based? Please explain why</w:t>
      </w:r>
      <w:r w:rsidR="00646C30">
        <w:t>.</w:t>
      </w:r>
    </w:p>
    <w:p w14:paraId="3C3E0B16" w14:textId="77777777" w:rsidR="00646C30" w:rsidRDefault="00646C30" w:rsidP="00646C30">
      <w:r>
        <w:t>&lt;ESMA_QUESTION_CP_MAR_</w:t>
      </w:r>
      <w:r w:rsidR="00DD7418">
        <w:t>48</w:t>
      </w:r>
      <w:r>
        <w:t>&gt;</w:t>
      </w:r>
    </w:p>
    <w:p w14:paraId="3C3E0B17" w14:textId="77777777" w:rsidR="00646C30" w:rsidRDefault="00646C30" w:rsidP="00646C30">
      <w:permStart w:id="234174884" w:edGrp="everyone"/>
      <w:r>
        <w:t>TYPE YOUR TEXT HERE</w:t>
      </w:r>
      <w:permEnd w:id="234174884"/>
    </w:p>
    <w:p w14:paraId="3C3E0B18" w14:textId="77777777" w:rsidR="00646C30" w:rsidRDefault="00646C30" w:rsidP="00646C30">
      <w:r>
        <w:t>&lt;ESMA_QUESTION_CP_MAR_</w:t>
      </w:r>
      <w:r w:rsidR="00DD7418">
        <w:t>48</w:t>
      </w:r>
      <w:r>
        <w:t>&gt;</w:t>
      </w:r>
    </w:p>
    <w:p w14:paraId="3C3E0B19" w14:textId="77777777" w:rsidR="00646C30" w:rsidRDefault="00646C30" w:rsidP="002E1760"/>
    <w:p w14:paraId="3C3E0B1A" w14:textId="77777777" w:rsidR="00646C30" w:rsidRDefault="00074979" w:rsidP="00646C30">
      <w:pPr>
        <w:pStyle w:val="CPQuestions"/>
      </w:pPr>
      <w:r w:rsidRPr="00074979">
        <w:t>On the application of this provision for EAMPs: have issues or difficulties been experienced</w:t>
      </w:r>
      <w:r>
        <w:t>?</w:t>
      </w:r>
    </w:p>
    <w:p w14:paraId="3C3E0B1B" w14:textId="77777777" w:rsidR="00646C30" w:rsidRDefault="00646C30" w:rsidP="00646C30">
      <w:r>
        <w:t>&lt;ESMA_QUESTION_CP_MAR_</w:t>
      </w:r>
      <w:r w:rsidR="00DD7418">
        <w:t>49</w:t>
      </w:r>
      <w:r>
        <w:t>&gt;</w:t>
      </w:r>
    </w:p>
    <w:p w14:paraId="3C3E0B1C" w14:textId="77777777" w:rsidR="00646C30" w:rsidRDefault="00646C30" w:rsidP="00646C30">
      <w:permStart w:id="1966610289" w:edGrp="everyone"/>
      <w:r>
        <w:t>TYPE YOUR TEXT HERE</w:t>
      </w:r>
      <w:permEnd w:id="1966610289"/>
    </w:p>
    <w:p w14:paraId="3C3E0B1D" w14:textId="77777777" w:rsidR="00646C30" w:rsidRDefault="00646C30" w:rsidP="00646C30">
      <w:r>
        <w:t>&lt;ESMA_QUESTION_CP_MAR_</w:t>
      </w:r>
      <w:r w:rsidR="00DD7418">
        <w:t>49</w:t>
      </w:r>
      <w:r>
        <w:t>&gt;</w:t>
      </w:r>
    </w:p>
    <w:p w14:paraId="3C3E0B1E" w14:textId="77777777" w:rsidR="00646C30" w:rsidRDefault="00646C30" w:rsidP="002E1760"/>
    <w:p w14:paraId="3C3E0B1F" w14:textId="77777777" w:rsidR="00646C30" w:rsidRDefault="00074979" w:rsidP="00646C30">
      <w:pPr>
        <w:pStyle w:val="CPQuestions"/>
      </w:pPr>
      <w:r w:rsidRPr="00074979">
        <w:t>Did you identify alternative criteria on which the subsequent notifications could be based? Please explain why</w:t>
      </w:r>
      <w:r w:rsidR="00646C30">
        <w:t>.</w:t>
      </w:r>
    </w:p>
    <w:p w14:paraId="3C3E0B20" w14:textId="77777777" w:rsidR="00646C30" w:rsidRDefault="00646C30" w:rsidP="00646C30">
      <w:r>
        <w:t>&lt;ESMA_QUESTION_CP_MAR_</w:t>
      </w:r>
      <w:r w:rsidR="00DD7418">
        <w:t>50</w:t>
      </w:r>
      <w:r>
        <w:t>&gt;</w:t>
      </w:r>
    </w:p>
    <w:p w14:paraId="3C3E0B21" w14:textId="77777777" w:rsidR="00646C30" w:rsidRDefault="00646C30" w:rsidP="00646C30">
      <w:permStart w:id="619659001" w:edGrp="everyone"/>
      <w:r>
        <w:t>TYPE YOUR TEXT HERE</w:t>
      </w:r>
      <w:permEnd w:id="619659001"/>
    </w:p>
    <w:p w14:paraId="3C3E0B22" w14:textId="77777777" w:rsidR="00646C30" w:rsidRDefault="00646C30" w:rsidP="00646C30">
      <w:r>
        <w:t>&lt;ESMA_QUESTION_CP_MAR_</w:t>
      </w:r>
      <w:r w:rsidR="00DD7418">
        <w:t>50</w:t>
      </w:r>
      <w:r>
        <w:t>&gt;</w:t>
      </w:r>
    </w:p>
    <w:p w14:paraId="3C3E0B23" w14:textId="77777777" w:rsidR="00646C30" w:rsidRDefault="00646C30" w:rsidP="002E1760"/>
    <w:p w14:paraId="3C3E0B24" w14:textId="77777777" w:rsidR="00646C30" w:rsidRDefault="0042739E" w:rsidP="00646C30">
      <w:pPr>
        <w:pStyle w:val="CPQuestions"/>
      </w:pPr>
      <w:r w:rsidRPr="0042739E">
        <w:t>Do you consider that the 20% threshold included in Article 19(1a)(a) and (b) is appropriate? If not, please explain the reason why and provide examples in which the 20% threshold is not effective</w:t>
      </w:r>
      <w:r w:rsidR="00646C30">
        <w:t>.</w:t>
      </w:r>
    </w:p>
    <w:p w14:paraId="3C3E0B25" w14:textId="77777777" w:rsidR="00646C30" w:rsidRDefault="00646C30" w:rsidP="00646C30">
      <w:r>
        <w:t>&lt;ESMA_QUESTION_CP_MAR_</w:t>
      </w:r>
      <w:r w:rsidR="00DD7418">
        <w:t>51</w:t>
      </w:r>
      <w:r>
        <w:t>&gt;</w:t>
      </w:r>
    </w:p>
    <w:p w14:paraId="3C3E0B26" w14:textId="77777777" w:rsidR="00646C30" w:rsidRDefault="00646C30" w:rsidP="00646C30">
      <w:permStart w:id="1580208711" w:edGrp="everyone"/>
      <w:r>
        <w:t>TYPE YOUR TEXT HERE</w:t>
      </w:r>
      <w:permEnd w:id="1580208711"/>
    </w:p>
    <w:p w14:paraId="3C3E0B27" w14:textId="77777777" w:rsidR="00646C30" w:rsidRDefault="00646C30" w:rsidP="00646C30">
      <w:r>
        <w:t>&lt;ESMA_QUESTION_CP_MAR_</w:t>
      </w:r>
      <w:r w:rsidR="00DD7418">
        <w:t>51</w:t>
      </w:r>
      <w:r>
        <w:t>&gt;</w:t>
      </w:r>
    </w:p>
    <w:p w14:paraId="3C3E0B28" w14:textId="77777777" w:rsidR="00646C30" w:rsidRDefault="00646C30" w:rsidP="002E1760"/>
    <w:p w14:paraId="3C3E0B29" w14:textId="77777777" w:rsidR="00646C30" w:rsidRDefault="0042739E" w:rsidP="00646C30">
      <w:pPr>
        <w:pStyle w:val="CPQuestions"/>
      </w:pPr>
      <w:r w:rsidRPr="0042739E">
        <w:t>Have you identified any possible alternative system to set the threshold in relation to managers' transactions where the issuer's shares or debt instruments form part of a collective investment undertaking or provide exposure to a portfolio of assets</w:t>
      </w:r>
      <w:r>
        <w:t>?</w:t>
      </w:r>
    </w:p>
    <w:p w14:paraId="3C3E0B2A" w14:textId="77777777" w:rsidR="00646C30" w:rsidRDefault="00646C30" w:rsidP="00646C30">
      <w:r>
        <w:t>&lt;ESMA_QUESTION_CP_MAR_</w:t>
      </w:r>
      <w:r w:rsidR="00DD7418">
        <w:t>5</w:t>
      </w:r>
      <w:r>
        <w:t>2&gt;</w:t>
      </w:r>
    </w:p>
    <w:p w14:paraId="3C3E0B2B" w14:textId="77777777" w:rsidR="00646C30" w:rsidRDefault="00646C30" w:rsidP="00646C30">
      <w:permStart w:id="1138307169" w:edGrp="everyone"/>
      <w:r>
        <w:t>TYPE YOUR TEXT HERE</w:t>
      </w:r>
      <w:permEnd w:id="1138307169"/>
    </w:p>
    <w:p w14:paraId="3C3E0B2C" w14:textId="77777777" w:rsidR="00646C30" w:rsidRDefault="00646C30" w:rsidP="00646C30">
      <w:r>
        <w:t>&lt;ESMA_QUESTION_CP_MAR_</w:t>
      </w:r>
      <w:r w:rsidR="00DD7418">
        <w:t>5</w:t>
      </w:r>
      <w:r>
        <w:t>2&gt;</w:t>
      </w:r>
    </w:p>
    <w:p w14:paraId="3C3E0B2D" w14:textId="77777777" w:rsidR="00646C30" w:rsidRDefault="00646C30" w:rsidP="002E1760"/>
    <w:p w14:paraId="3C3E0B2E" w14:textId="77777777" w:rsidR="00646C30" w:rsidRDefault="0042739E" w:rsidP="00646C30">
      <w:pPr>
        <w:pStyle w:val="CPQuestions"/>
      </w:pPr>
      <w:r w:rsidRPr="0042739E">
        <w:t>Did you identify elements of Article 19(11) of MAR which in your view could be amended? If yes, why? Have you identified alternatives to the closed period</w:t>
      </w:r>
      <w:r>
        <w:t>?</w:t>
      </w:r>
    </w:p>
    <w:p w14:paraId="3C3E0B2F" w14:textId="77777777" w:rsidR="00646C30" w:rsidRDefault="00646C30" w:rsidP="00646C30">
      <w:r>
        <w:t>&lt;ESMA_QUESTION_CP_MAR_</w:t>
      </w:r>
      <w:r w:rsidR="00DD7418">
        <w:t>53</w:t>
      </w:r>
      <w:r>
        <w:t>&gt;</w:t>
      </w:r>
    </w:p>
    <w:p w14:paraId="3C3E0B30" w14:textId="6C079AF0" w:rsidR="00646C30" w:rsidRDefault="009F0F33" w:rsidP="00646C30">
      <w:permStart w:id="439554279" w:edGrp="everyone"/>
      <w:r w:rsidRPr="009F0F33">
        <w:rPr>
          <w:rFonts w:cs="Arial"/>
        </w:rPr>
        <w:lastRenderedPageBreak/>
        <w:t xml:space="preserve">We don’t believe there are any </w:t>
      </w:r>
      <w:r w:rsidR="00FF4938">
        <w:rPr>
          <w:rFonts w:cs="Arial"/>
        </w:rPr>
        <w:t xml:space="preserve">significant </w:t>
      </w:r>
      <w:r w:rsidRPr="009F0F33">
        <w:rPr>
          <w:rFonts w:cs="Arial"/>
        </w:rPr>
        <w:t>changes required to the closed period regime as it seems to work well in practice.</w:t>
      </w:r>
      <w:permEnd w:id="439554279"/>
    </w:p>
    <w:p w14:paraId="3C3E0B31" w14:textId="77777777" w:rsidR="00646C30" w:rsidRDefault="00646C30" w:rsidP="00646C30">
      <w:r>
        <w:t>&lt;ESMA_QUESTION_CP_MAR_</w:t>
      </w:r>
      <w:r w:rsidR="00DD7418">
        <w:t>53</w:t>
      </w:r>
      <w:r>
        <w:t>&gt;</w:t>
      </w:r>
    </w:p>
    <w:p w14:paraId="3C3E0B32" w14:textId="77777777" w:rsidR="00646C30" w:rsidRDefault="00646C30"/>
    <w:p w14:paraId="3C3E0B33" w14:textId="77777777" w:rsidR="00646C30" w:rsidRDefault="0042739E" w:rsidP="00646C30">
      <w:pPr>
        <w:pStyle w:val="CPQuestions"/>
      </w:pPr>
      <w:r w:rsidRPr="0042739E">
        <w:t>Market participants are requested to indicate if the current framework to identify the closed period is working well or if clarifications are sought</w:t>
      </w:r>
      <w:r w:rsidR="00646C30">
        <w:t>.</w:t>
      </w:r>
    </w:p>
    <w:p w14:paraId="3C3E0B34" w14:textId="77777777" w:rsidR="00646C30" w:rsidRDefault="00646C30" w:rsidP="00646C30">
      <w:r>
        <w:t>&lt;ESMA_QUESTION_CP_MAR_</w:t>
      </w:r>
      <w:r w:rsidR="00DD7418">
        <w:t>54</w:t>
      </w:r>
      <w:r>
        <w:t>&gt;</w:t>
      </w:r>
    </w:p>
    <w:p w14:paraId="084436CF" w14:textId="4A4FA321" w:rsidR="009F0F33" w:rsidRPr="009F0F33" w:rsidRDefault="009F0F33" w:rsidP="009F0F33">
      <w:pPr>
        <w:widowControl w:val="0"/>
        <w:autoSpaceDE w:val="0"/>
        <w:autoSpaceDN w:val="0"/>
        <w:adjustRightInd w:val="0"/>
        <w:jc w:val="both"/>
        <w:rPr>
          <w:rFonts w:cs="Arial"/>
          <w:color w:val="353535"/>
        </w:rPr>
      </w:pPr>
      <w:permStart w:id="306464996" w:edGrp="everyone"/>
      <w:r w:rsidRPr="009F0F33">
        <w:rPr>
          <w:rFonts w:cs="Arial"/>
          <w:color w:val="353535"/>
        </w:rPr>
        <w:t>The closed period under article 19</w:t>
      </w:r>
      <w:r w:rsidR="00FF4938">
        <w:rPr>
          <w:rFonts w:cs="Arial"/>
          <w:color w:val="353535"/>
        </w:rPr>
        <w:t>(</w:t>
      </w:r>
      <w:r w:rsidRPr="009F0F33">
        <w:rPr>
          <w:rFonts w:cs="Arial"/>
          <w:color w:val="353535"/>
        </w:rPr>
        <w:t>11</w:t>
      </w:r>
      <w:r w:rsidR="00FF4938">
        <w:rPr>
          <w:rFonts w:cs="Arial"/>
          <w:color w:val="353535"/>
        </w:rPr>
        <w:t>)</w:t>
      </w:r>
      <w:r w:rsidRPr="009F0F33">
        <w:rPr>
          <w:rFonts w:cs="Arial"/>
          <w:color w:val="353535"/>
        </w:rPr>
        <w:t xml:space="preserve"> only applies before the announcement of an interim financial report or a year-end report which the issuer is obliged to make public according to:</w:t>
      </w:r>
    </w:p>
    <w:p w14:paraId="3BF75D58" w14:textId="77777777" w:rsidR="009F0F33" w:rsidRPr="009F0F33" w:rsidRDefault="009F0F33" w:rsidP="009F0F33">
      <w:pPr>
        <w:widowControl w:val="0"/>
        <w:autoSpaceDE w:val="0"/>
        <w:autoSpaceDN w:val="0"/>
        <w:adjustRightInd w:val="0"/>
        <w:jc w:val="both"/>
        <w:rPr>
          <w:rFonts w:cs="Arial"/>
          <w:color w:val="353535"/>
        </w:rPr>
      </w:pPr>
      <w:r w:rsidRPr="009F0F33">
        <w:rPr>
          <w:rFonts w:cs="Arial"/>
          <w:color w:val="353535"/>
        </w:rPr>
        <w:t>(a) the rules of the trading venue where the issuer’s shares are admitted to trading; or</w:t>
      </w:r>
    </w:p>
    <w:p w14:paraId="1BC4D103" w14:textId="77777777" w:rsidR="009F0F33" w:rsidRPr="009F0F33" w:rsidRDefault="009F0F33" w:rsidP="009F0F33">
      <w:pPr>
        <w:widowControl w:val="0"/>
        <w:autoSpaceDE w:val="0"/>
        <w:autoSpaceDN w:val="0"/>
        <w:adjustRightInd w:val="0"/>
        <w:jc w:val="both"/>
        <w:rPr>
          <w:rFonts w:cs="Arial"/>
          <w:color w:val="353535"/>
        </w:rPr>
      </w:pPr>
      <w:r w:rsidRPr="009F0F33">
        <w:rPr>
          <w:rFonts w:cs="Arial"/>
          <w:color w:val="353535"/>
        </w:rPr>
        <w:t xml:space="preserve">(b) national law. </w:t>
      </w:r>
    </w:p>
    <w:p w14:paraId="689323F9" w14:textId="77777777" w:rsidR="009F0F33" w:rsidRPr="009F0F33" w:rsidRDefault="009F0F33" w:rsidP="009F0F33">
      <w:pPr>
        <w:widowControl w:val="0"/>
        <w:autoSpaceDE w:val="0"/>
        <w:autoSpaceDN w:val="0"/>
        <w:adjustRightInd w:val="0"/>
        <w:jc w:val="both"/>
        <w:rPr>
          <w:rFonts w:cs="Arial"/>
          <w:color w:val="353535"/>
        </w:rPr>
      </w:pPr>
    </w:p>
    <w:p w14:paraId="6FD7F706" w14:textId="77777777" w:rsidR="009F0F33" w:rsidRPr="009F0F33" w:rsidRDefault="009F0F33" w:rsidP="009F0F33">
      <w:pPr>
        <w:widowControl w:val="0"/>
        <w:autoSpaceDE w:val="0"/>
        <w:autoSpaceDN w:val="0"/>
        <w:adjustRightInd w:val="0"/>
        <w:jc w:val="both"/>
        <w:rPr>
          <w:rFonts w:cs="Arial"/>
          <w:color w:val="353535"/>
        </w:rPr>
      </w:pPr>
      <w:r w:rsidRPr="009F0F33">
        <w:rPr>
          <w:rFonts w:cs="Arial"/>
          <w:color w:val="353535"/>
        </w:rPr>
        <w:t xml:space="preserve">As ESMA points out, the reference to national law and rules of trading venues means that issuers are subject to different number of closed periods across the EU. But there are diverging approaches and market practices also between issuers on markets with the same formal requirements, where Q1 and Q3 reports do not fall under this definition. </w:t>
      </w:r>
    </w:p>
    <w:p w14:paraId="4B2C8CC7" w14:textId="77777777" w:rsidR="009F0F33" w:rsidRPr="009F0F33" w:rsidRDefault="009F0F33" w:rsidP="009F0F33">
      <w:pPr>
        <w:widowControl w:val="0"/>
        <w:autoSpaceDE w:val="0"/>
        <w:autoSpaceDN w:val="0"/>
        <w:adjustRightInd w:val="0"/>
        <w:jc w:val="both"/>
        <w:rPr>
          <w:rFonts w:cs="Arial"/>
          <w:color w:val="353535"/>
        </w:rPr>
      </w:pPr>
    </w:p>
    <w:p w14:paraId="072181D8" w14:textId="77777777" w:rsidR="009F0F33" w:rsidRPr="009F0F33" w:rsidRDefault="009F0F33" w:rsidP="009F0F33">
      <w:pPr>
        <w:widowControl w:val="0"/>
        <w:autoSpaceDE w:val="0"/>
        <w:autoSpaceDN w:val="0"/>
        <w:adjustRightInd w:val="0"/>
        <w:jc w:val="both"/>
        <w:rPr>
          <w:rFonts w:cs="Arial"/>
          <w:color w:val="000000"/>
          <w:lang w:eastAsia="sv-SE"/>
        </w:rPr>
      </w:pPr>
      <w:r w:rsidRPr="009F0F33">
        <w:rPr>
          <w:rFonts w:cs="Arial"/>
          <w:color w:val="353535"/>
        </w:rPr>
        <w:t>On some markets, the market practice is to apply the 30 day closed period in advance to all four reports. The French NCA also recommends</w:t>
      </w:r>
      <w:r w:rsidRPr="009F0F33">
        <w:rPr>
          <w:rFonts w:cs="Arial"/>
          <w:lang w:eastAsia="sv-SE"/>
        </w:rPr>
        <w:t xml:space="preserve"> that issuers voluntarily introduce a closed period before a Q1 and Q3 announcement but suggests that these should be </w:t>
      </w:r>
      <w:r w:rsidRPr="009F0F33">
        <w:rPr>
          <w:rFonts w:cs="Arial"/>
          <w:color w:val="000000"/>
          <w:lang w:eastAsia="sv-SE"/>
        </w:rPr>
        <w:t>shorter periods of 15 days instead of the 30 days required by MAR for Q2 and the year-end report.</w:t>
      </w:r>
      <w:r w:rsidRPr="009F0F33">
        <w:rPr>
          <w:rFonts w:cs="Arial"/>
          <w:color w:val="353535"/>
          <w:vertAlign w:val="superscript"/>
        </w:rPr>
        <w:footnoteReference w:id="9"/>
      </w:r>
      <w:r w:rsidRPr="009F0F33">
        <w:rPr>
          <w:rFonts w:cs="Arial"/>
          <w:color w:val="353535"/>
        </w:rPr>
        <w:t xml:space="preserve"> </w:t>
      </w:r>
      <w:r w:rsidRPr="009F0F33">
        <w:rPr>
          <w:rFonts w:cs="Arial"/>
          <w:color w:val="000000"/>
          <w:lang w:eastAsia="sv-SE"/>
        </w:rPr>
        <w:t xml:space="preserve"> </w:t>
      </w:r>
    </w:p>
    <w:p w14:paraId="2B7EDCE3" w14:textId="77777777" w:rsidR="009F0F33" w:rsidRPr="009F0F33" w:rsidRDefault="009F0F33" w:rsidP="009F0F33">
      <w:pPr>
        <w:widowControl w:val="0"/>
        <w:autoSpaceDE w:val="0"/>
        <w:autoSpaceDN w:val="0"/>
        <w:adjustRightInd w:val="0"/>
        <w:jc w:val="both"/>
        <w:rPr>
          <w:rFonts w:cs="Arial"/>
          <w:color w:val="000000"/>
          <w:lang w:eastAsia="sv-SE"/>
        </w:rPr>
      </w:pPr>
    </w:p>
    <w:p w14:paraId="3C3E0B35" w14:textId="0384868E" w:rsidR="00646C30" w:rsidRDefault="009F0F33" w:rsidP="00646C30">
      <w:r w:rsidRPr="009F0F33">
        <w:rPr>
          <w:rFonts w:cs="Arial"/>
          <w:color w:val="000000"/>
          <w:lang w:eastAsia="sv-SE"/>
        </w:rPr>
        <w:t xml:space="preserve">These diverging approaches complicates things for issuers who often seek information online and, believing that MAR is applied in a harmonised way, might rely on expert information from other jurisdictions. Therefore, we suggest that ESMA emphasises this further in its guidance by highlighting that an issuer will need to consider the relevant rules in its own jurisdiction for these other scenarios. </w:t>
      </w:r>
      <w:permEnd w:id="306464996"/>
    </w:p>
    <w:p w14:paraId="3C3E0B36" w14:textId="77777777" w:rsidR="00646C30" w:rsidRDefault="00646C30" w:rsidP="00646C30">
      <w:r>
        <w:t>&lt;ESMA_QUESTION_CP_MAR_</w:t>
      </w:r>
      <w:r w:rsidR="00DD7418">
        <w:t>54</w:t>
      </w:r>
      <w:r>
        <w:t>&gt;</w:t>
      </w:r>
    </w:p>
    <w:p w14:paraId="3C3E0B37" w14:textId="77777777" w:rsidR="00646C30" w:rsidRDefault="00646C30"/>
    <w:p w14:paraId="3C3E0B38" w14:textId="77777777" w:rsidR="00646C30" w:rsidRDefault="0042739E" w:rsidP="00646C30">
      <w:pPr>
        <w:pStyle w:val="CPQuestions"/>
      </w:pPr>
      <w:r w:rsidRPr="0042739E">
        <w:t>Please provide your views on extending the requirement of Article 19(11) to (i) issuers, and to (ii) persons closely associated with PDMRs. Please indicate which would be the impact on issuers and persona closely associated with PDMRs, including any benefits and downsides</w:t>
      </w:r>
      <w:r w:rsidR="00646C30">
        <w:t>.</w:t>
      </w:r>
    </w:p>
    <w:p w14:paraId="3C3E0B39" w14:textId="77777777" w:rsidR="00646C30" w:rsidRDefault="00646C30" w:rsidP="00646C30">
      <w:r>
        <w:t>&lt;ESMA_QUESTION_CP_MAR_</w:t>
      </w:r>
      <w:r w:rsidR="00DD7418">
        <w:t>55</w:t>
      </w:r>
      <w:r>
        <w:t>&gt;</w:t>
      </w:r>
    </w:p>
    <w:p w14:paraId="3DE190B8" w14:textId="1236E2CB" w:rsidR="009F0F33" w:rsidRPr="009F0F33" w:rsidRDefault="009F0F33" w:rsidP="009F0F33">
      <w:pPr>
        <w:widowControl w:val="0"/>
        <w:autoSpaceDE w:val="0"/>
        <w:autoSpaceDN w:val="0"/>
        <w:adjustRightInd w:val="0"/>
        <w:jc w:val="both"/>
        <w:rPr>
          <w:rFonts w:cs="Arial"/>
          <w:color w:val="000000"/>
          <w:lang w:eastAsia="sv-SE"/>
        </w:rPr>
      </w:pPr>
      <w:permStart w:id="680881453" w:edGrp="everyone"/>
      <w:r w:rsidRPr="009F0F33">
        <w:rPr>
          <w:rFonts w:cs="Arial"/>
          <w:color w:val="000000"/>
          <w:lang w:eastAsia="sv-SE"/>
        </w:rPr>
        <w:t>We note the same downsides as ESMA when it comes to extending the prohibition to issuers and would advise against it unless there is data showing that such extension is necessary to curb violations by issuers of Articles 14 and 15 of MAR.</w:t>
      </w:r>
    </w:p>
    <w:p w14:paraId="1179C168" w14:textId="77777777" w:rsidR="009F0F33" w:rsidRPr="009F0F33" w:rsidRDefault="009F0F33" w:rsidP="009F0F33">
      <w:pPr>
        <w:widowControl w:val="0"/>
        <w:autoSpaceDE w:val="0"/>
        <w:autoSpaceDN w:val="0"/>
        <w:adjustRightInd w:val="0"/>
        <w:jc w:val="both"/>
        <w:rPr>
          <w:rFonts w:cs="Arial"/>
          <w:color w:val="000000"/>
          <w:lang w:eastAsia="sv-SE"/>
        </w:rPr>
      </w:pPr>
    </w:p>
    <w:p w14:paraId="06FD6F1A" w14:textId="77777777" w:rsidR="009F0F33" w:rsidRPr="009F0F33" w:rsidRDefault="009F0F33" w:rsidP="009F0F33">
      <w:pPr>
        <w:widowControl w:val="0"/>
        <w:autoSpaceDE w:val="0"/>
        <w:autoSpaceDN w:val="0"/>
        <w:adjustRightInd w:val="0"/>
        <w:jc w:val="both"/>
        <w:rPr>
          <w:rFonts w:cs="Arial"/>
          <w:color w:val="000000"/>
          <w:lang w:eastAsia="sv-SE"/>
        </w:rPr>
      </w:pPr>
      <w:r w:rsidRPr="009F0F33">
        <w:rPr>
          <w:rFonts w:cs="Arial"/>
          <w:color w:val="000000"/>
          <w:lang w:eastAsia="sv-SE"/>
        </w:rPr>
        <w:t>However, we see the logic in extending the prohibition to closely associated persons. They are already covered by the transaction reporting obligation, based on the idea that they have the same information as the PDMR or could be influenced to act on behalf of the PDMR. With that reasoning, the closed period should potentially also apply to them.</w:t>
      </w:r>
    </w:p>
    <w:p w14:paraId="439BF463" w14:textId="77777777" w:rsidR="009F0F33" w:rsidRPr="009F0F33" w:rsidRDefault="009F0F33" w:rsidP="009F0F33">
      <w:pPr>
        <w:widowControl w:val="0"/>
        <w:autoSpaceDE w:val="0"/>
        <w:autoSpaceDN w:val="0"/>
        <w:adjustRightInd w:val="0"/>
        <w:jc w:val="both"/>
        <w:rPr>
          <w:rFonts w:cs="Arial"/>
          <w:color w:val="000000"/>
          <w:lang w:eastAsia="sv-SE"/>
        </w:rPr>
      </w:pPr>
    </w:p>
    <w:p w14:paraId="50FB5FCB" w14:textId="77777777" w:rsidR="009F0F33" w:rsidRPr="009F0F33" w:rsidRDefault="009F0F33" w:rsidP="009F0F33">
      <w:pPr>
        <w:widowControl w:val="0"/>
        <w:autoSpaceDE w:val="0"/>
        <w:autoSpaceDN w:val="0"/>
        <w:adjustRightInd w:val="0"/>
        <w:jc w:val="both"/>
        <w:rPr>
          <w:rFonts w:cs="Arial"/>
          <w:color w:val="000000"/>
          <w:lang w:eastAsia="sv-SE"/>
        </w:rPr>
      </w:pPr>
      <w:r w:rsidRPr="009F0F33">
        <w:rPr>
          <w:rFonts w:cs="Arial"/>
          <w:color w:val="000000"/>
          <w:lang w:eastAsia="sv-SE"/>
        </w:rPr>
        <w:t>Expanding the closed period to closely associated persons would also remove the complexity outlined by ESMA in section 213 of the Consultation Paper, of distinguishing between cases where a transaction is carried out by a closely associated person (and is permissible) or ”indirectly” by the PDMR (and is forbidden).</w:t>
      </w:r>
    </w:p>
    <w:p w14:paraId="5696C2D1" w14:textId="77777777" w:rsidR="009F0F33" w:rsidRPr="009F0F33" w:rsidRDefault="009F0F33" w:rsidP="009F0F33">
      <w:pPr>
        <w:widowControl w:val="0"/>
        <w:autoSpaceDE w:val="0"/>
        <w:autoSpaceDN w:val="0"/>
        <w:adjustRightInd w:val="0"/>
        <w:jc w:val="both"/>
        <w:rPr>
          <w:rFonts w:cs="Arial"/>
          <w:color w:val="000000"/>
          <w:lang w:eastAsia="sv-SE"/>
        </w:rPr>
      </w:pPr>
    </w:p>
    <w:p w14:paraId="70BC9E1F" w14:textId="77777777" w:rsidR="009F0F33" w:rsidRPr="009F0F33" w:rsidRDefault="009F0F33" w:rsidP="009F0F33">
      <w:pPr>
        <w:widowControl w:val="0"/>
        <w:autoSpaceDE w:val="0"/>
        <w:autoSpaceDN w:val="0"/>
        <w:adjustRightInd w:val="0"/>
        <w:jc w:val="both"/>
        <w:rPr>
          <w:rFonts w:cs="Arial"/>
          <w:color w:val="000000"/>
          <w:lang w:eastAsia="sv-SE"/>
        </w:rPr>
      </w:pPr>
      <w:r w:rsidRPr="009F0F33">
        <w:rPr>
          <w:rFonts w:cs="Arial"/>
          <w:color w:val="000000"/>
          <w:lang w:eastAsia="sv-SE"/>
        </w:rPr>
        <w:t xml:space="preserve">Although not mentioned in ESMA’s question we would also like to bring up a related topic where we see a need for clarification. In some markets (notably Finland and France) it is a common market practice that the </w:t>
      </w:r>
      <w:r w:rsidRPr="009F0F33">
        <w:rPr>
          <w:rFonts w:cs="Arial"/>
          <w:color w:val="000000"/>
          <w:lang w:eastAsia="sv-SE"/>
        </w:rPr>
        <w:lastRenderedPageBreak/>
        <w:t xml:space="preserve">closed period is extended not only to PDMRs and closely associated persons but also to a wider group of individuals within the issuer. </w:t>
      </w:r>
    </w:p>
    <w:p w14:paraId="0F0AEF12" w14:textId="77777777" w:rsidR="009F0F33" w:rsidRPr="009F0F33" w:rsidRDefault="009F0F33" w:rsidP="009F0F33">
      <w:pPr>
        <w:widowControl w:val="0"/>
        <w:autoSpaceDE w:val="0"/>
        <w:autoSpaceDN w:val="0"/>
        <w:adjustRightInd w:val="0"/>
        <w:jc w:val="both"/>
        <w:rPr>
          <w:rFonts w:cs="Arial"/>
          <w:color w:val="000000"/>
          <w:lang w:eastAsia="sv-SE"/>
        </w:rPr>
      </w:pPr>
    </w:p>
    <w:p w14:paraId="318236EB" w14:textId="77777777" w:rsidR="009F0F33" w:rsidRPr="009F0F33" w:rsidRDefault="009F0F33" w:rsidP="009F0F33">
      <w:pPr>
        <w:widowControl w:val="0"/>
        <w:autoSpaceDE w:val="0"/>
        <w:autoSpaceDN w:val="0"/>
        <w:adjustRightInd w:val="0"/>
        <w:jc w:val="both"/>
        <w:rPr>
          <w:rFonts w:cs="Arial"/>
          <w:color w:val="000000"/>
          <w:lang w:eastAsia="sv-SE"/>
        </w:rPr>
      </w:pPr>
      <w:r w:rsidRPr="009F0F33">
        <w:rPr>
          <w:rFonts w:cs="Arial"/>
          <w:color w:val="000000"/>
          <w:lang w:eastAsia="sv-SE"/>
        </w:rPr>
        <w:t>In Finland the group is referred to as "</w:t>
      </w:r>
      <w:r w:rsidRPr="009F0F33">
        <w:rPr>
          <w:rFonts w:cs="Arial"/>
          <w:i/>
          <w:color w:val="000000"/>
          <w:lang w:eastAsia="sv-SE"/>
        </w:rPr>
        <w:t>financial information recipients</w:t>
      </w:r>
      <w:r w:rsidRPr="009F0F33">
        <w:rPr>
          <w:rFonts w:cs="Arial"/>
          <w:color w:val="000000"/>
          <w:lang w:eastAsia="sv-SE"/>
        </w:rPr>
        <w:t>" and includes individuals regularly involved in preparing the financial statements. This relates to the situation described under Question 26 above that Finnish issuers typically don’t treat these situations as insider events where they keep insider lists. So instead they apply a closed period to the persons that would otherwise be seen as insiders in relation to the draft report and be included in an event-based insider list.</w:t>
      </w:r>
    </w:p>
    <w:p w14:paraId="6B81A3BE" w14:textId="77777777" w:rsidR="009F0F33" w:rsidRPr="009F0F33" w:rsidRDefault="009F0F33" w:rsidP="009F0F33">
      <w:pPr>
        <w:widowControl w:val="0"/>
        <w:autoSpaceDE w:val="0"/>
        <w:autoSpaceDN w:val="0"/>
        <w:adjustRightInd w:val="0"/>
        <w:jc w:val="both"/>
        <w:rPr>
          <w:rFonts w:cs="Arial"/>
          <w:color w:val="000000"/>
          <w:lang w:eastAsia="sv-SE"/>
        </w:rPr>
      </w:pPr>
      <w:r w:rsidRPr="009F0F33">
        <w:rPr>
          <w:rFonts w:cs="Arial"/>
          <w:color w:val="000000"/>
          <w:lang w:eastAsia="sv-SE"/>
        </w:rPr>
        <w:br/>
        <w:t>In France the NCA has recommended that the closed period is extended to ”</w:t>
      </w:r>
      <w:r w:rsidRPr="009F0F33">
        <w:rPr>
          <w:rFonts w:cs="Arial"/>
          <w:i/>
          <w:color w:val="000000"/>
          <w:lang w:eastAsia="sv-SE"/>
        </w:rPr>
        <w:t>people who have regular or occasional access to inside information</w:t>
      </w:r>
      <w:r w:rsidRPr="009F0F33">
        <w:rPr>
          <w:rFonts w:cs="Arial"/>
          <w:color w:val="000000"/>
          <w:lang w:eastAsia="sv-SE"/>
        </w:rPr>
        <w:t>”.</w:t>
      </w:r>
      <w:r w:rsidRPr="009F0F33">
        <w:rPr>
          <w:rFonts w:cs="Arial"/>
          <w:color w:val="000000"/>
          <w:vertAlign w:val="superscript"/>
          <w:lang w:eastAsia="sv-SE"/>
        </w:rPr>
        <w:footnoteReference w:id="10"/>
      </w:r>
      <w:r w:rsidRPr="009F0F33">
        <w:rPr>
          <w:rFonts w:cs="Arial"/>
          <w:color w:val="000000"/>
          <w:lang w:eastAsia="sv-SE"/>
        </w:rPr>
        <w:t xml:space="preserve"> This is how many issuers also incorrectly define permanent insiders which means that issuers see these two groups as one and the same. By introducing the concept of closed periods for permanent insiders, it becomes even more difficult for issuers to distinguish between PDMRs, permanent insiders and event-based insiders.</w:t>
      </w:r>
    </w:p>
    <w:p w14:paraId="6773B013" w14:textId="77777777" w:rsidR="009F0F33" w:rsidRPr="009F0F33" w:rsidRDefault="009F0F33" w:rsidP="009F0F33">
      <w:pPr>
        <w:widowControl w:val="0"/>
        <w:autoSpaceDE w:val="0"/>
        <w:autoSpaceDN w:val="0"/>
        <w:adjustRightInd w:val="0"/>
        <w:jc w:val="both"/>
        <w:rPr>
          <w:rFonts w:cs="Arial"/>
          <w:color w:val="000000"/>
          <w:lang w:eastAsia="sv-SE"/>
        </w:rPr>
      </w:pPr>
    </w:p>
    <w:p w14:paraId="3C3E0B3A" w14:textId="1566DE7B" w:rsidR="00646C30" w:rsidRDefault="009F0F33" w:rsidP="00646C30">
      <w:r w:rsidRPr="009F0F33">
        <w:rPr>
          <w:rFonts w:cs="Arial"/>
        </w:rPr>
        <w:t xml:space="preserve">We don’t see a need to amend MAR to address the above, but wanted to draw ESMA’s attention to the diverging market practices and the need for the respective NCAs to issue clear guidelines to avoid that local practices and recommendations cause confusion about the more formal obligations under MAR. </w:t>
      </w:r>
      <w:permEnd w:id="680881453"/>
    </w:p>
    <w:p w14:paraId="3C3E0B3B" w14:textId="77777777" w:rsidR="00646C30" w:rsidRDefault="00646C30" w:rsidP="00646C30">
      <w:r>
        <w:t>&lt;ESMA_QUESTION_CP_MAR_</w:t>
      </w:r>
      <w:r w:rsidR="00DD7418">
        <w:t>55</w:t>
      </w:r>
      <w:r>
        <w:t>&gt;</w:t>
      </w:r>
    </w:p>
    <w:p w14:paraId="3C3E0B3C" w14:textId="77777777" w:rsidR="00646C30" w:rsidRDefault="00646C30"/>
    <w:p w14:paraId="3C3E0B3D" w14:textId="77777777" w:rsidR="00646C30" w:rsidRDefault="0042739E" w:rsidP="00646C30">
      <w:pPr>
        <w:pStyle w:val="CPQuestions"/>
      </w:pPr>
      <w:r w:rsidRPr="0042739E">
        <w:t>Please provide your views on the extension of the immediate sale provided by Article 19(12)(a) to financial instruments other than shares. Please explain which financial instruments should be included and why</w:t>
      </w:r>
      <w:r w:rsidR="00646C30">
        <w:t>.</w:t>
      </w:r>
    </w:p>
    <w:p w14:paraId="3C3E0B3E" w14:textId="77777777" w:rsidR="00646C30" w:rsidRDefault="00646C30" w:rsidP="00646C30">
      <w:r>
        <w:t>&lt;ESMA_QUESTION_CP_MAR_</w:t>
      </w:r>
      <w:r w:rsidR="00DD7418">
        <w:t>56</w:t>
      </w:r>
      <w:r>
        <w:t>&gt;</w:t>
      </w:r>
    </w:p>
    <w:p w14:paraId="3C3E0B3F" w14:textId="77777777" w:rsidR="00646C30" w:rsidRDefault="00646C30" w:rsidP="00646C30">
      <w:permStart w:id="1771316849" w:edGrp="everyone"/>
      <w:r>
        <w:t>TYPE YOUR TEXT HERE</w:t>
      </w:r>
      <w:permEnd w:id="1771316849"/>
    </w:p>
    <w:p w14:paraId="3C3E0B40" w14:textId="77777777" w:rsidR="00646C30" w:rsidRDefault="00646C30" w:rsidP="00646C30">
      <w:r>
        <w:t>&lt;ESMA_QUESTION_CP_MAR_</w:t>
      </w:r>
      <w:r w:rsidR="00DD7418">
        <w:t>56</w:t>
      </w:r>
      <w:r>
        <w:t>&gt;</w:t>
      </w:r>
    </w:p>
    <w:p w14:paraId="3C3E0B41" w14:textId="77777777" w:rsidR="00646C30" w:rsidRDefault="00646C30" w:rsidP="002E1760"/>
    <w:p w14:paraId="3C3E0B42" w14:textId="77777777" w:rsidR="00646C30" w:rsidRDefault="0042739E" w:rsidP="00646C30">
      <w:pPr>
        <w:pStyle w:val="CPQuestions"/>
      </w:pPr>
      <w:r w:rsidRPr="0042739E">
        <w:t>Please provide your views on whether, in addition to the criteria in Article 19(12) (a) and (b), other criteria resulting in further cases of exemption from the closed period obligation could be considered</w:t>
      </w:r>
      <w:r w:rsidR="00646C30">
        <w:t>.</w:t>
      </w:r>
    </w:p>
    <w:p w14:paraId="3C3E0B43" w14:textId="77777777" w:rsidR="00646C30" w:rsidRDefault="00646C30" w:rsidP="00646C30">
      <w:r>
        <w:t>&lt;ESMA_QUESTION_CP_MAR_</w:t>
      </w:r>
      <w:r w:rsidR="00DD7418">
        <w:t>57</w:t>
      </w:r>
      <w:r>
        <w:t>&gt;</w:t>
      </w:r>
    </w:p>
    <w:p w14:paraId="3C3E0B44" w14:textId="77777777" w:rsidR="00646C30" w:rsidRDefault="00646C30" w:rsidP="00646C30">
      <w:permStart w:id="1172058443" w:edGrp="everyone"/>
      <w:r>
        <w:t>TYPE YOUR TEXT HERE</w:t>
      </w:r>
      <w:permEnd w:id="1172058443"/>
    </w:p>
    <w:p w14:paraId="3C3E0B45" w14:textId="77777777" w:rsidR="00646C30" w:rsidRDefault="00646C30" w:rsidP="00646C30">
      <w:r>
        <w:t>&lt;ESMA_QUESTION_CP_MAR_</w:t>
      </w:r>
      <w:r w:rsidR="00DD7418">
        <w:t>57</w:t>
      </w:r>
      <w:r>
        <w:t>&gt;</w:t>
      </w:r>
    </w:p>
    <w:p w14:paraId="3C3E0B46" w14:textId="77777777" w:rsidR="00646C30" w:rsidRDefault="00646C30"/>
    <w:p w14:paraId="3C3E0B47" w14:textId="77777777" w:rsidR="00646C30" w:rsidRDefault="0042739E" w:rsidP="00646C30">
      <w:pPr>
        <w:pStyle w:val="CPQuestions"/>
      </w:pPr>
      <w:r w:rsidRPr="0042739E">
        <w:t>Do you consider that CIUs admitted to trading or trading on a trading venue should be differentiated with respect to other issuers? Please elaborate your response specifically with respect to PDMR obligations, disclosure of inside information and insider lists. In this regard, please consider whether you could identify any articulation or consistency issues between MAR and the EU or national regulations for the different types of CIUs, with regards for example to transparency requirements under MAR vis-à-vis market timing or front running issues</w:t>
      </w:r>
      <w:r w:rsidR="00646C30">
        <w:t>.</w:t>
      </w:r>
    </w:p>
    <w:p w14:paraId="3C3E0B48" w14:textId="77777777" w:rsidR="00646C30" w:rsidRDefault="00646C30" w:rsidP="00646C30">
      <w:r>
        <w:t>&lt;ESMA_QUESTION_CP_MAR_</w:t>
      </w:r>
      <w:r w:rsidR="00DD7418">
        <w:t>58</w:t>
      </w:r>
      <w:r>
        <w:t>&gt;</w:t>
      </w:r>
    </w:p>
    <w:p w14:paraId="3C3E0B49" w14:textId="642CA98B" w:rsidR="00646C30" w:rsidRDefault="009F0F33" w:rsidP="00646C30">
      <w:permStart w:id="1585398486" w:edGrp="everyone"/>
      <w:r w:rsidRPr="009F0F33">
        <w:rPr>
          <w:rFonts w:cs="Arial"/>
        </w:rPr>
        <w:lastRenderedPageBreak/>
        <w:t>While the specific MAR regime clearly applies to CIUs admitted to trading or trading on a trading venue, we are of the view that the general objective of these requirements is relevant to all CIUs in terms of investor protection. Given the purpose of these requirements is to ensure transparency and market integrity to the benefit of the investor, we would be concerned if the requirements differed significantly or were deemed too onerous to the extent as to discourage CIUs from requesting admission to trading venues as that would not be a desirable outcome for the market as a whole</w:t>
      </w:r>
      <w:r w:rsidRPr="00E927D6">
        <w:rPr>
          <w:rFonts w:ascii="Calibri" w:hAnsi="Calibri" w:cs="Calibri"/>
        </w:rPr>
        <w:t xml:space="preserve">. </w:t>
      </w:r>
      <w:permEnd w:id="1585398486"/>
    </w:p>
    <w:p w14:paraId="3C3E0B4A" w14:textId="77777777" w:rsidR="00646C30" w:rsidRDefault="00646C30" w:rsidP="00646C30">
      <w:r>
        <w:t>&lt;ESMA_QUESTION_CP_MAR_</w:t>
      </w:r>
      <w:r w:rsidR="00DD7418">
        <w:t>58</w:t>
      </w:r>
      <w:r>
        <w:t>&gt;</w:t>
      </w:r>
    </w:p>
    <w:p w14:paraId="3C3E0B4B" w14:textId="77777777" w:rsidR="00646C30" w:rsidRDefault="00646C30"/>
    <w:p w14:paraId="3C3E0B4C" w14:textId="77777777" w:rsidR="00646C30" w:rsidRDefault="0042739E" w:rsidP="00646C30">
      <w:pPr>
        <w:pStyle w:val="CPQuestions"/>
      </w:pPr>
      <w:r w:rsidRPr="0042739E">
        <w:t>Do you agree with ESMA’s preliminary view? Please indicate which transactions should be captured by PDMR obligations in the case of management companies of CIUs</w:t>
      </w:r>
      <w:r w:rsidR="00646C30">
        <w:t>.</w:t>
      </w:r>
    </w:p>
    <w:p w14:paraId="3C3E0B4D" w14:textId="77777777" w:rsidR="00646C30" w:rsidRDefault="00646C30" w:rsidP="00646C30">
      <w:r>
        <w:t>&lt;ESMA_QUESTION_CP_MAR_</w:t>
      </w:r>
      <w:r w:rsidR="00FA5524">
        <w:t>59</w:t>
      </w:r>
      <w:r>
        <w:t>&gt;</w:t>
      </w:r>
    </w:p>
    <w:p w14:paraId="7C3D417B" w14:textId="6C3215C8" w:rsidR="009F0F33" w:rsidRDefault="009F0F33" w:rsidP="009F0F33">
      <w:pPr>
        <w:jc w:val="both"/>
        <w:rPr>
          <w:rFonts w:cs="Arial"/>
        </w:rPr>
      </w:pPr>
      <w:permStart w:id="1390705103" w:edGrp="everyone"/>
      <w:r w:rsidRPr="009F0F33">
        <w:rPr>
          <w:rFonts w:cs="Arial"/>
        </w:rPr>
        <w:t xml:space="preserve">In the case of PDMR obligations applying to the management companies of CIUs, we agree with the principle of ESMA’s approach but it needs to be clear which entities are within scope and which individuals it applies to given the different structures in place i.e.  where funds have no legal personality and have a Manager who undertakes the executive decisions, and funds which have their own legal personality and use an external management company (commonly known as a </w:t>
      </w:r>
      <w:proofErr w:type="spellStart"/>
      <w:r w:rsidRPr="009F0F33">
        <w:rPr>
          <w:rFonts w:cs="Arial"/>
        </w:rPr>
        <w:t>ManCo</w:t>
      </w:r>
      <w:proofErr w:type="spellEnd"/>
      <w:r w:rsidRPr="009F0F33">
        <w:rPr>
          <w:rFonts w:cs="Arial"/>
        </w:rPr>
        <w:t xml:space="preserve">), to undertake certain regulatory responsibilities. It is important that a distinction is made between a Manager, in the case of an entity that does not have its own legal personality, and a Management Company in the case of other types of funds that have a legal entity and that the two terms are not used interchangeably as they do not have the same meaning in the industry generally. </w:t>
      </w:r>
    </w:p>
    <w:p w14:paraId="587A8FF8" w14:textId="77777777" w:rsidR="00FF4938" w:rsidRPr="009F0F33" w:rsidRDefault="00FF4938" w:rsidP="009F0F33">
      <w:pPr>
        <w:jc w:val="both"/>
        <w:rPr>
          <w:rFonts w:cs="Arial"/>
        </w:rPr>
      </w:pPr>
    </w:p>
    <w:p w14:paraId="3C3E0B4E" w14:textId="74123F12" w:rsidR="00646C30" w:rsidRDefault="009F0F33" w:rsidP="00646C30">
      <w:r w:rsidRPr="009F0F33">
        <w:rPr>
          <w:rFonts w:cs="Arial"/>
        </w:rPr>
        <w:t xml:space="preserve">In both scenarios, it is likely these individuals will be privy to inside information so those relevant provisions will apply, but in relation to PDMRs, it needs to be clear who is discharging the managerial responsibility - for funds with no legal personality, it would be standard practice for the PDMR requirements to be complied with by the principals of the manager. However, in some other cases where the fund has its own legal personality, it should be clear that  the individuals in the management company within scope of the PDMR obligations are those responsible for the decision-making, and it may be that using the “relevant person” terminology may be too broad in certain circumstances. </w:t>
      </w:r>
      <w:permEnd w:id="1390705103"/>
    </w:p>
    <w:p w14:paraId="3C3E0B4F" w14:textId="77777777" w:rsidR="00646C30" w:rsidRDefault="00646C30" w:rsidP="00646C30">
      <w:r>
        <w:t>&lt;ESMA_QUESTION_CP_MAR_</w:t>
      </w:r>
      <w:r w:rsidR="00FA5524">
        <w:t>59</w:t>
      </w:r>
      <w:r>
        <w:t>&gt;</w:t>
      </w:r>
    </w:p>
    <w:p w14:paraId="3C3E0B50" w14:textId="77777777" w:rsidR="00646C30" w:rsidRDefault="00646C30" w:rsidP="002E1760"/>
    <w:p w14:paraId="3C3E0B51" w14:textId="77777777" w:rsidR="00646C30" w:rsidRDefault="0042739E" w:rsidP="00646C30">
      <w:pPr>
        <w:pStyle w:val="CPQuestions"/>
      </w:pPr>
      <w:r w:rsidRPr="0042739E">
        <w:t>Do you agree with ESMA’s preliminary view? If not, please elaborate</w:t>
      </w:r>
      <w:r w:rsidR="00646C30">
        <w:t>.</w:t>
      </w:r>
    </w:p>
    <w:p w14:paraId="3C3E0B52" w14:textId="77777777" w:rsidR="00646C30" w:rsidRDefault="00646C30" w:rsidP="00646C30">
      <w:r>
        <w:t>&lt;ESMA_QUESTION_CP_MAR_</w:t>
      </w:r>
      <w:r w:rsidR="00FA5524">
        <w:t>60</w:t>
      </w:r>
      <w:r>
        <w:t>&gt;</w:t>
      </w:r>
    </w:p>
    <w:p w14:paraId="3C3E0B53" w14:textId="601219A3" w:rsidR="00646C30" w:rsidRDefault="009F0F33" w:rsidP="00646C30">
      <w:permStart w:id="1861502119" w:edGrp="everyone"/>
      <w:r w:rsidRPr="009F0F33">
        <w:rPr>
          <w:rFonts w:cs="Arial"/>
        </w:rPr>
        <w:t>See response to Q. 59.</w:t>
      </w:r>
      <w:permEnd w:id="1861502119"/>
    </w:p>
    <w:p w14:paraId="3C3E0B54" w14:textId="77777777" w:rsidR="00646C30" w:rsidRDefault="00646C30" w:rsidP="00646C30">
      <w:r>
        <w:t>&lt;ESMA_QUESTION_CP_MAR_</w:t>
      </w:r>
      <w:r w:rsidR="00D53941">
        <w:t>60</w:t>
      </w:r>
      <w:r>
        <w:t>&gt;</w:t>
      </w:r>
    </w:p>
    <w:p w14:paraId="3C3E0B55" w14:textId="77777777" w:rsidR="00646C30" w:rsidRDefault="00646C30"/>
    <w:p w14:paraId="3C3E0B56" w14:textId="77777777" w:rsidR="00646C30" w:rsidRDefault="0042739E" w:rsidP="00646C30">
      <w:pPr>
        <w:pStyle w:val="CPQuestions"/>
      </w:pPr>
      <w:r w:rsidRPr="0042739E">
        <w:t>What persons should PDMR obligations apply to depending on the different structures of CIUs and why? In particular, please indicate whether the definition of “relevant persons” would be adequate for CIUs other than UCITs and AIFs</w:t>
      </w:r>
      <w:r w:rsidR="00646C30">
        <w:t>.</w:t>
      </w:r>
    </w:p>
    <w:p w14:paraId="3C3E0B57" w14:textId="77777777" w:rsidR="00646C30" w:rsidRDefault="00646C30" w:rsidP="00646C30">
      <w:r>
        <w:t>&lt;ESMA_QUESTION_CP_MAR_</w:t>
      </w:r>
      <w:r w:rsidR="00D53941">
        <w:t>61</w:t>
      </w:r>
      <w:r>
        <w:t>&gt;</w:t>
      </w:r>
    </w:p>
    <w:p w14:paraId="3C3E0B58" w14:textId="58A46F18" w:rsidR="00646C30" w:rsidRDefault="009F0F33" w:rsidP="00646C30">
      <w:permStart w:id="518088190" w:edGrp="everyone"/>
      <w:r w:rsidRPr="009F0F33">
        <w:rPr>
          <w:rFonts w:ascii="Calibri" w:hAnsi="Calibri" w:cs="Calibri"/>
        </w:rPr>
        <w:t xml:space="preserve"> </w:t>
      </w:r>
      <w:r w:rsidRPr="009F0F33">
        <w:rPr>
          <w:rFonts w:cs="Arial"/>
        </w:rPr>
        <w:t>We believe further analysis should be undertaken on the implications of this as it may be considered that using the “relevant persons” definition could be too broad.</w:t>
      </w:r>
      <w:permEnd w:id="518088190"/>
    </w:p>
    <w:p w14:paraId="3C3E0B59" w14:textId="77777777" w:rsidR="00646C30" w:rsidRDefault="00646C30" w:rsidP="00646C30">
      <w:r>
        <w:t>&lt;ESMA_QUESTION_CP_MAR_</w:t>
      </w:r>
      <w:r w:rsidR="00D53941">
        <w:t>61</w:t>
      </w:r>
      <w:r>
        <w:t>&gt;</w:t>
      </w:r>
    </w:p>
    <w:p w14:paraId="3C3E0B5A" w14:textId="77777777" w:rsidR="00646C30" w:rsidRDefault="00646C30"/>
    <w:p w14:paraId="3C3E0B5B" w14:textId="77777777" w:rsidR="00646C30" w:rsidRDefault="0042739E" w:rsidP="00646C30">
      <w:pPr>
        <w:pStyle w:val="CPQuestions"/>
      </w:pPr>
      <w:r w:rsidRPr="0042739E">
        <w:t xml:space="preserve">ESMA would like to gather views from stakeholders on whether other entities than the asset management company (e.g. depository) and other entities on which the </w:t>
      </w:r>
      <w:r w:rsidRPr="0042739E">
        <w:lastRenderedPageBreak/>
        <w:t>CIUs has delegated the execution of certain tasks should be captured by the PDMR regime</w:t>
      </w:r>
      <w:r w:rsidR="00646C30">
        <w:t>.</w:t>
      </w:r>
    </w:p>
    <w:p w14:paraId="3C3E0B5C" w14:textId="77777777" w:rsidR="00646C30" w:rsidRDefault="00646C30" w:rsidP="00646C30">
      <w:r>
        <w:t>&lt;ESMA_QUESTION_CP_MAR_</w:t>
      </w:r>
      <w:r w:rsidR="00D53941">
        <w:t>62</w:t>
      </w:r>
      <w:r>
        <w:t>&gt;</w:t>
      </w:r>
    </w:p>
    <w:p w14:paraId="75420539" w14:textId="4DD5212D" w:rsidR="009A75B5" w:rsidRDefault="009A75B5" w:rsidP="009A75B5">
      <w:pPr>
        <w:jc w:val="both"/>
        <w:rPr>
          <w:rFonts w:cs="Arial"/>
        </w:rPr>
      </w:pPr>
      <w:permStart w:id="1489983752" w:edGrp="everyone"/>
      <w:r w:rsidRPr="009A75B5">
        <w:rPr>
          <w:rFonts w:cs="Arial"/>
        </w:rPr>
        <w:t xml:space="preserve">In our view, we do not think other entities should be captured by the PDMR regime. </w:t>
      </w:r>
    </w:p>
    <w:p w14:paraId="04669DA8" w14:textId="77777777" w:rsidR="00FF4938" w:rsidRPr="009A75B5" w:rsidRDefault="00FF4938" w:rsidP="009A75B5">
      <w:pPr>
        <w:jc w:val="both"/>
        <w:rPr>
          <w:rFonts w:cs="Arial"/>
        </w:rPr>
      </w:pPr>
    </w:p>
    <w:p w14:paraId="3C3E0B5D" w14:textId="4027552F" w:rsidR="00646C30" w:rsidRDefault="009A75B5" w:rsidP="00646C30">
      <w:r w:rsidRPr="009A75B5">
        <w:rPr>
          <w:rFonts w:cs="Arial"/>
        </w:rPr>
        <w:t xml:space="preserve">We think there needs to be a clear distinction made between the different roles of the different entities i.e. funds with no legal personality, such as a unit trust that has a Manager, funds with legal personality who use a Management Company for certain regulatory responsibilities, asset managers/portfolio managers, depositories – these all have different functions which should be clear and not confused in any way. </w:t>
      </w:r>
      <w:permEnd w:id="1489983752"/>
    </w:p>
    <w:p w14:paraId="3C3E0B5E" w14:textId="77777777" w:rsidR="00646C30" w:rsidRDefault="00646C30" w:rsidP="00646C30">
      <w:r>
        <w:t>&lt;ESMA_QUESTION_CP_MAR_</w:t>
      </w:r>
      <w:r w:rsidR="00D53941">
        <w:t>62</w:t>
      </w:r>
      <w:r>
        <w:t>&gt;</w:t>
      </w:r>
    </w:p>
    <w:p w14:paraId="3C3E0B5F" w14:textId="77777777" w:rsidR="00646C30" w:rsidRDefault="00646C30"/>
    <w:p w14:paraId="3C3E0B60" w14:textId="77777777" w:rsidR="00646C30" w:rsidRDefault="0042739E" w:rsidP="00646C30">
      <w:pPr>
        <w:pStyle w:val="CPQuestions"/>
      </w:pPr>
      <w:r w:rsidRPr="0042739E">
        <w:t>Do you agree with ESMA’s conclusion? If not, please elaborate</w:t>
      </w:r>
      <w:r w:rsidR="00646C30">
        <w:t>.</w:t>
      </w:r>
    </w:p>
    <w:p w14:paraId="3C3E0B61" w14:textId="77777777" w:rsidR="00646C30" w:rsidRDefault="00646C30" w:rsidP="00646C30">
      <w:r>
        <w:t>&lt;ESMA_QUESTION_CP_MAR_</w:t>
      </w:r>
      <w:r w:rsidR="00D53941">
        <w:t>63</w:t>
      </w:r>
      <w:r>
        <w:t>&gt;</w:t>
      </w:r>
    </w:p>
    <w:p w14:paraId="3C3E0B62" w14:textId="5BFE9372" w:rsidR="00646C30" w:rsidRDefault="009A75B5" w:rsidP="00646C30">
      <w:permStart w:id="1272137283" w:edGrp="everyone"/>
      <w:r w:rsidRPr="009A75B5">
        <w:rPr>
          <w:rFonts w:cs="Arial"/>
        </w:rPr>
        <w:t>Yes, we agree that it would provide clarity to the market to specifically refer to units of CIUs as being within scope. We understand this is the general interpretation in the market in any case</w:t>
      </w:r>
      <w:r w:rsidRPr="00E927D6">
        <w:rPr>
          <w:rFonts w:ascii="Calibri" w:hAnsi="Calibri" w:cs="Calibri"/>
        </w:rPr>
        <w:t>.</w:t>
      </w:r>
      <w:permEnd w:id="1272137283"/>
    </w:p>
    <w:p w14:paraId="3C3E0B63" w14:textId="77777777" w:rsidR="00646C30" w:rsidRDefault="00646C30" w:rsidP="00646C30">
      <w:r>
        <w:t>&lt;ESMA_QUESTION_CP_MAR_</w:t>
      </w:r>
      <w:r w:rsidR="00D53941">
        <w:t>63</w:t>
      </w:r>
      <w:r>
        <w:t>&gt;</w:t>
      </w:r>
    </w:p>
    <w:p w14:paraId="3C3E0B64" w14:textId="77777777" w:rsidR="00646C30" w:rsidRDefault="0042739E" w:rsidP="00646C30">
      <w:pPr>
        <w:pStyle w:val="CPQuestions"/>
      </w:pPr>
      <w:r w:rsidRPr="0042739E">
        <w:t>Do you agree with ESMA preliminary view? Please elaborate</w:t>
      </w:r>
      <w:r w:rsidR="00646C30">
        <w:t>.</w:t>
      </w:r>
    </w:p>
    <w:p w14:paraId="3C3E0B65" w14:textId="77777777" w:rsidR="00646C30" w:rsidRDefault="00646C30" w:rsidP="00646C30">
      <w:r>
        <w:t>&lt;ESMA_QUESTION_CP_MAR_</w:t>
      </w:r>
      <w:r w:rsidR="00D53941">
        <w:t>64</w:t>
      </w:r>
      <w:r>
        <w:t>&gt;</w:t>
      </w:r>
    </w:p>
    <w:p w14:paraId="3C3E0B66" w14:textId="61C13640" w:rsidR="00646C30" w:rsidRDefault="009A75B5" w:rsidP="00646C30">
      <w:permStart w:id="1364398990" w:edGrp="everyone"/>
      <w:r w:rsidRPr="009A75B5">
        <w:rPr>
          <w:rFonts w:cs="Arial"/>
        </w:rPr>
        <w:t>Yes, we agree that the management company should have the same legal responsibility as the issuer under Article 17 of MAR where the fund does not have its own legal personality.</w:t>
      </w:r>
      <w:r w:rsidRPr="00E927D6">
        <w:rPr>
          <w:rFonts w:ascii="Calibri" w:hAnsi="Calibri" w:cs="Calibri"/>
        </w:rPr>
        <w:t xml:space="preserve"> </w:t>
      </w:r>
      <w:permEnd w:id="1364398990"/>
    </w:p>
    <w:p w14:paraId="3C3E0B67" w14:textId="77777777" w:rsidR="00646C30" w:rsidRDefault="00646C30" w:rsidP="00646C30">
      <w:r>
        <w:t>&lt;ESMA_QUESTION_CP_MAR_</w:t>
      </w:r>
      <w:r w:rsidR="00D53941">
        <w:t>64</w:t>
      </w:r>
      <w:r>
        <w:t>&gt;</w:t>
      </w:r>
    </w:p>
    <w:p w14:paraId="3C3E0B68" w14:textId="77777777" w:rsidR="00646C30" w:rsidRDefault="00646C30" w:rsidP="002E1760"/>
    <w:p w14:paraId="3C3E0B69" w14:textId="77777777" w:rsidR="00646C30" w:rsidRDefault="0042739E" w:rsidP="00646C30">
      <w:pPr>
        <w:pStyle w:val="CPQuestions"/>
      </w:pPr>
      <w:r w:rsidRPr="0042739E">
        <w:t>Do you agree with ESMA’s preliminary views? Do you consider that specific obligations are needed for elaborating insider lists related to CIUs admitted to traded or traded on a trading venue</w:t>
      </w:r>
      <w:r>
        <w:t>?</w:t>
      </w:r>
    </w:p>
    <w:p w14:paraId="3C3E0B6A" w14:textId="77777777" w:rsidR="00646C30" w:rsidRDefault="00646C30" w:rsidP="00646C30">
      <w:r>
        <w:t>&lt;ESMA_QUESTION_CP_MAR_</w:t>
      </w:r>
      <w:r w:rsidR="00D53941">
        <w:t>65</w:t>
      </w:r>
      <w:r>
        <w:t>&gt;</w:t>
      </w:r>
    </w:p>
    <w:p w14:paraId="3C3E0B6B" w14:textId="4EA0C72B" w:rsidR="00646C30" w:rsidRDefault="009A75B5" w:rsidP="00646C30">
      <w:permStart w:id="1228214564" w:edGrp="everyone"/>
      <w:r w:rsidRPr="009A75B5">
        <w:rPr>
          <w:rFonts w:cs="Arial"/>
        </w:rPr>
        <w:t xml:space="preserve">We agree that the requirements for insider lists should apply to CIUs. We support ESMA’s proposals to specify that the issuer should only be required to have one contact on its insider list for each external provider. </w:t>
      </w:r>
      <w:permEnd w:id="1228214564"/>
    </w:p>
    <w:p w14:paraId="3C3E0B6C" w14:textId="77777777" w:rsidR="00646C30" w:rsidRDefault="00646C30" w:rsidP="00646C30">
      <w:r>
        <w:t>&lt;ESMA_QUESTION_CP_MAR_</w:t>
      </w:r>
      <w:r w:rsidR="00D53941">
        <w:t>65</w:t>
      </w:r>
      <w:r>
        <w:t>&gt;</w:t>
      </w:r>
    </w:p>
    <w:p w14:paraId="3C3E0B6D" w14:textId="77777777" w:rsidR="00646C30" w:rsidRDefault="00646C30" w:rsidP="002E1760"/>
    <w:p w14:paraId="3C3E0B6E" w14:textId="77777777" w:rsidR="00646C30" w:rsidRDefault="0042739E" w:rsidP="00646C30">
      <w:pPr>
        <w:pStyle w:val="CPQuestions"/>
      </w:pPr>
      <w:r w:rsidRPr="0042739E">
        <w:t>Please provide your views on the abovementioned harmonisation of reporting formats of order book data. In addition, please provide your views on the impact and cost linked to the implementation of new common standards to transmit order book data to NCAs upon request. Please provide your views on the consequences of using XML templates or other types of templates</w:t>
      </w:r>
      <w:r w:rsidR="00646C30">
        <w:t>.</w:t>
      </w:r>
    </w:p>
    <w:p w14:paraId="3C3E0B6F" w14:textId="77777777" w:rsidR="00646C30" w:rsidRDefault="00646C30" w:rsidP="00646C30">
      <w:r>
        <w:t>&lt;ESMA_QUESTION_CP_MAR_</w:t>
      </w:r>
      <w:r w:rsidR="00D53941">
        <w:t>66</w:t>
      </w:r>
      <w:r>
        <w:t>&gt;</w:t>
      </w:r>
    </w:p>
    <w:p w14:paraId="468DE3F3" w14:textId="77777777" w:rsidR="00FF4938" w:rsidRDefault="009A75B5" w:rsidP="009A75B5">
      <w:pPr>
        <w:jc w:val="both"/>
        <w:rPr>
          <w:rFonts w:cs="Arial"/>
        </w:rPr>
      </w:pPr>
      <w:permStart w:id="2025406494" w:edGrp="everyone"/>
      <w:r w:rsidRPr="009A75B5">
        <w:rPr>
          <w:rFonts w:cs="Arial"/>
        </w:rPr>
        <w:t>The concept of a cross-market order book surveillance framework is an ambitious initiative. However, Euronext believes that ESMA’s objective to enhance the ability of regulators to monitor markets for market abuse is positive and we support this aim, as market integrity is fundamental to the orderly functioning of our markets.</w:t>
      </w:r>
    </w:p>
    <w:p w14:paraId="759F231A" w14:textId="58DD8D98" w:rsidR="009A75B5" w:rsidRPr="009A75B5" w:rsidRDefault="009A75B5" w:rsidP="009A75B5">
      <w:pPr>
        <w:jc w:val="both"/>
        <w:rPr>
          <w:rFonts w:cs="Arial"/>
        </w:rPr>
      </w:pPr>
      <w:r w:rsidRPr="009A75B5">
        <w:rPr>
          <w:rFonts w:cs="Arial"/>
        </w:rPr>
        <w:t xml:space="preserve">  </w:t>
      </w:r>
    </w:p>
    <w:p w14:paraId="4DB16F38" w14:textId="77777777" w:rsidR="00FF4938" w:rsidRDefault="009A75B5" w:rsidP="009A75B5">
      <w:pPr>
        <w:jc w:val="both"/>
        <w:rPr>
          <w:rFonts w:cs="Arial"/>
        </w:rPr>
      </w:pPr>
      <w:r w:rsidRPr="009A75B5">
        <w:rPr>
          <w:rFonts w:cs="Arial"/>
        </w:rPr>
        <w:lastRenderedPageBreak/>
        <w:t>Given Euronext’s role as an operator of regulated markets and MTFs in seven jurisdictions across the EEA, we are obliged to engage with seven different regulators and as such, support the proposal to improve harmonisation in this area.  The lack of harmonisation of the reporting format is not always due to trading venues but to lack of harmonisation between EU Member States. In some countries the reporting format is defined in the law or in Competent Authority Rules. That said, we believe this proposal needs to be considered very carefully, as trading venues have already invested significant resources and costs into developing systems to comply with the current requirements, so any further changes need to take this into account.</w:t>
      </w:r>
    </w:p>
    <w:p w14:paraId="75129BE6" w14:textId="4C6EB20D" w:rsidR="009A75B5" w:rsidRPr="009A75B5" w:rsidRDefault="009A75B5" w:rsidP="009A75B5">
      <w:pPr>
        <w:jc w:val="both"/>
        <w:rPr>
          <w:rFonts w:cs="Arial"/>
        </w:rPr>
      </w:pPr>
      <w:r w:rsidRPr="009A75B5">
        <w:rPr>
          <w:rFonts w:cs="Arial"/>
        </w:rPr>
        <w:t xml:space="preserve"> </w:t>
      </w:r>
    </w:p>
    <w:p w14:paraId="65F3AAE2" w14:textId="77777777" w:rsidR="009A75B5" w:rsidRPr="009A75B5" w:rsidRDefault="009A75B5" w:rsidP="009A75B5">
      <w:pPr>
        <w:jc w:val="both"/>
        <w:rPr>
          <w:rFonts w:cs="Arial"/>
        </w:rPr>
      </w:pPr>
      <w:r w:rsidRPr="009A75B5">
        <w:rPr>
          <w:rFonts w:cs="Arial"/>
        </w:rPr>
        <w:t xml:space="preserve">In addition, an extremely crucial point is that any proposal to change the requirements for trading venues to provide order book data to regulators, should also apply to other execution venues, such as systematic </w:t>
      </w:r>
      <w:proofErr w:type="spellStart"/>
      <w:r w:rsidRPr="009A75B5">
        <w:rPr>
          <w:rFonts w:cs="Arial"/>
        </w:rPr>
        <w:t>internalisers</w:t>
      </w:r>
      <w:proofErr w:type="spellEnd"/>
      <w:r w:rsidRPr="009A75B5">
        <w:rPr>
          <w:rFonts w:cs="Arial"/>
        </w:rPr>
        <w:t xml:space="preserve"> in the same way, as this is essential in order to deliver the full view of order data for regulators to monitor activity for market abuse. In addition, it should be noted that currently some NCA requests are different depending on the category of trading venue. It is crucial that the approach taken applies to all in the same way so that it can be ensured that there is a level playing field for all entities engaged in trading activity. </w:t>
      </w:r>
    </w:p>
    <w:p w14:paraId="4FEF8255" w14:textId="77777777" w:rsidR="009A75B5" w:rsidRPr="009A75B5" w:rsidRDefault="009A75B5" w:rsidP="009A75B5">
      <w:pPr>
        <w:spacing w:before="100" w:beforeAutospacing="1" w:after="100" w:afterAutospacing="1"/>
        <w:jc w:val="both"/>
        <w:rPr>
          <w:rFonts w:cs="Arial"/>
        </w:rPr>
      </w:pPr>
      <w:r w:rsidRPr="009A75B5">
        <w:rPr>
          <w:rFonts w:cs="Arial"/>
        </w:rPr>
        <w:t xml:space="preserve">In relation to the specific proposal to harmonise the requirements under </w:t>
      </w:r>
      <w:proofErr w:type="spellStart"/>
      <w:r w:rsidRPr="009A75B5">
        <w:rPr>
          <w:rFonts w:cs="Arial"/>
        </w:rPr>
        <w:t>MiFIR</w:t>
      </w:r>
      <w:proofErr w:type="spellEnd"/>
      <w:r w:rsidRPr="009A75B5">
        <w:rPr>
          <w:rFonts w:cs="Arial"/>
        </w:rPr>
        <w:t xml:space="preserve"> Art 25 for trading venues to use XML templates in accordance with the ISO 20022 methodology, we believe this seems a reasonable approach. In the longer term it would give a certain degree of flexibility to add information that may currently be missing and may make it easier for trading venues to validate and easier for regulators to process. However, we suggest a phased approach is taken, where we first move to XML with no content change and only after that, start enhancing it if required. </w:t>
      </w:r>
      <w:bookmarkStart w:id="11" w:name="_GoBack"/>
      <w:bookmarkEnd w:id="11"/>
    </w:p>
    <w:p w14:paraId="3267D5BD" w14:textId="77777777" w:rsidR="009A75B5" w:rsidRPr="009A75B5" w:rsidRDefault="009A75B5" w:rsidP="009A75B5">
      <w:pPr>
        <w:spacing w:before="100" w:beforeAutospacing="1" w:after="100" w:afterAutospacing="1"/>
        <w:jc w:val="both"/>
        <w:rPr>
          <w:rFonts w:cs="Arial"/>
        </w:rPr>
      </w:pPr>
      <w:r w:rsidRPr="009A75B5">
        <w:rPr>
          <w:rFonts w:cs="Arial"/>
        </w:rPr>
        <w:t>In addition, we would highlight that this data should only be required on a T+1 basis. These requirements cover a significant amount of data and this would give sufficient time for venues to submit it in the required format and with the required fields, including client code information. We believe this would meet the requirements for NCAs for the specific purpose of market surveillance.</w:t>
      </w:r>
    </w:p>
    <w:p w14:paraId="547F8BDA" w14:textId="77777777" w:rsidR="009A75B5" w:rsidRPr="009A75B5" w:rsidRDefault="009A75B5" w:rsidP="009A75B5">
      <w:pPr>
        <w:spacing w:before="100" w:beforeAutospacing="1" w:after="100" w:afterAutospacing="1"/>
        <w:jc w:val="both"/>
        <w:rPr>
          <w:rFonts w:cs="Arial"/>
        </w:rPr>
      </w:pPr>
      <w:r w:rsidRPr="009A75B5">
        <w:rPr>
          <w:rFonts w:cs="Arial"/>
        </w:rPr>
        <w:t xml:space="preserve">In terms of cost, it is hard for us to estimate this until we have further clarity on the specific changes that would be required. Moving to providing XML for all our regulators would require some development and testing for us but should be achievable as long as we can use the same schema for all regulators and there are no major changes made to the content at the same time, as this would impact costs further. This also will result in additional costs for the regulators,  and it is likely that the market will end up covering this so given the significant costs already invested in as a result of MiFID II, any further increase would have to be proportionate and reasonable and the benefits clearly demonstrated. </w:t>
      </w:r>
    </w:p>
    <w:p w14:paraId="3C24FC04" w14:textId="77777777" w:rsidR="009A75B5" w:rsidRPr="009A75B5" w:rsidRDefault="009A75B5" w:rsidP="009A75B5">
      <w:pPr>
        <w:jc w:val="both"/>
        <w:rPr>
          <w:rFonts w:cs="Arial"/>
        </w:rPr>
      </w:pPr>
      <w:r w:rsidRPr="009A75B5">
        <w:rPr>
          <w:rFonts w:cs="Arial"/>
        </w:rPr>
        <w:t>Based on our experience of daily RTS24 reporting, we think clear rules must be defined for:</w:t>
      </w:r>
    </w:p>
    <w:p w14:paraId="71E50CC7" w14:textId="77777777" w:rsidR="009A75B5" w:rsidRPr="009A75B5" w:rsidRDefault="009A75B5" w:rsidP="009A75B5">
      <w:pPr>
        <w:pStyle w:val="ListParagraph"/>
        <w:numPr>
          <w:ilvl w:val="0"/>
          <w:numId w:val="37"/>
        </w:numPr>
        <w:spacing w:after="160" w:line="259" w:lineRule="auto"/>
        <w:jc w:val="both"/>
        <w:rPr>
          <w:rFonts w:cs="Arial"/>
        </w:rPr>
      </w:pPr>
      <w:r w:rsidRPr="009A75B5">
        <w:rPr>
          <w:rFonts w:cs="Arial"/>
        </w:rPr>
        <w:t xml:space="preserve">Feedback: time allowed for a regulator to check and reject an RTS24 report must be limited; </w:t>
      </w:r>
    </w:p>
    <w:p w14:paraId="7B281AA3" w14:textId="77777777" w:rsidR="009A75B5" w:rsidRPr="009A75B5" w:rsidRDefault="009A75B5" w:rsidP="009A75B5">
      <w:pPr>
        <w:pStyle w:val="ListParagraph"/>
        <w:numPr>
          <w:ilvl w:val="0"/>
          <w:numId w:val="37"/>
        </w:numPr>
        <w:spacing w:after="160" w:line="259" w:lineRule="auto"/>
        <w:jc w:val="both"/>
        <w:rPr>
          <w:rFonts w:cs="Arial"/>
        </w:rPr>
      </w:pPr>
      <w:r w:rsidRPr="009A75B5">
        <w:rPr>
          <w:rFonts w:cs="Arial"/>
        </w:rPr>
        <w:t>XML schema upgrades: we find the current big-bang approach used by most regulators for XML reporting hard to manage, and would advise to make it mandatory for regulators to provide a transition phase when XML schema is updated.</w:t>
      </w:r>
    </w:p>
    <w:p w14:paraId="4C92D23B" w14:textId="77777777" w:rsidR="009A75B5" w:rsidRPr="009A75B5" w:rsidRDefault="009A75B5" w:rsidP="009A75B5">
      <w:pPr>
        <w:jc w:val="both"/>
        <w:rPr>
          <w:rFonts w:cs="Arial"/>
        </w:rPr>
      </w:pPr>
      <w:r w:rsidRPr="009A75B5">
        <w:rPr>
          <w:rFonts w:cs="Arial"/>
        </w:rPr>
        <w:t>In addition, the following points must also be considered:</w:t>
      </w:r>
    </w:p>
    <w:p w14:paraId="3797F461" w14:textId="77777777" w:rsidR="009A75B5" w:rsidRPr="009A75B5" w:rsidRDefault="009A75B5" w:rsidP="009A75B5">
      <w:pPr>
        <w:pStyle w:val="ListParagraph"/>
        <w:numPr>
          <w:ilvl w:val="0"/>
          <w:numId w:val="37"/>
        </w:numPr>
        <w:spacing w:after="160" w:line="259" w:lineRule="auto"/>
        <w:jc w:val="both"/>
        <w:rPr>
          <w:rFonts w:cs="Arial"/>
        </w:rPr>
      </w:pPr>
      <w:r w:rsidRPr="009A75B5">
        <w:rPr>
          <w:rFonts w:cs="Arial"/>
        </w:rPr>
        <w:t xml:space="preserve">if changes are made to this requirement, they should not apply retrospectively as that would be cost prohibitive, </w:t>
      </w:r>
    </w:p>
    <w:p w14:paraId="5B870A00" w14:textId="77777777" w:rsidR="009A75B5" w:rsidRPr="009A75B5" w:rsidRDefault="009A75B5" w:rsidP="009A75B5">
      <w:pPr>
        <w:pStyle w:val="ListParagraph"/>
        <w:numPr>
          <w:ilvl w:val="0"/>
          <w:numId w:val="37"/>
        </w:numPr>
        <w:spacing w:after="160" w:line="259" w:lineRule="auto"/>
        <w:jc w:val="both"/>
        <w:rPr>
          <w:rFonts w:cs="Arial"/>
        </w:rPr>
      </w:pPr>
      <w:r w:rsidRPr="009A75B5">
        <w:rPr>
          <w:rFonts w:cs="Arial"/>
        </w:rPr>
        <w:t xml:space="preserve">there would have to be sufficient time for the market to develop and adapt to the new requirements so a transition phase would be essential. </w:t>
      </w:r>
    </w:p>
    <w:p w14:paraId="669776E4" w14:textId="77777777" w:rsidR="009A75B5" w:rsidRPr="009A75B5" w:rsidRDefault="009A75B5" w:rsidP="009A75B5">
      <w:pPr>
        <w:jc w:val="both"/>
        <w:rPr>
          <w:rFonts w:cs="Arial"/>
        </w:rPr>
      </w:pPr>
    </w:p>
    <w:p w14:paraId="5BB90150" w14:textId="77777777" w:rsidR="009A75B5" w:rsidRPr="009A75B5" w:rsidRDefault="009A75B5" w:rsidP="009A75B5">
      <w:pPr>
        <w:jc w:val="both"/>
        <w:rPr>
          <w:rFonts w:cs="Arial"/>
        </w:rPr>
      </w:pPr>
      <w:r w:rsidRPr="009A75B5">
        <w:rPr>
          <w:rFonts w:cs="Arial"/>
        </w:rPr>
        <w:t xml:space="preserve">If it is concluded that this harmonised approach will achieve the objective of creating a cross-platform uniform market replay that regulators can use for cross-market order book surveillance, we would ask that all regulators follow the same approach. We definitely should not end up in a situation where we are required to follow this process for most regulators, but potentially also have to follow another more localized process as per certain individual regulators, as that would be extremely cumbersome both in terms of cost and resources for us. </w:t>
      </w:r>
    </w:p>
    <w:p w14:paraId="3C3E0B70" w14:textId="38CC48FE" w:rsidR="00646C30" w:rsidRDefault="009A75B5" w:rsidP="00646C30">
      <w:r w:rsidRPr="009A75B5">
        <w:rPr>
          <w:rFonts w:cs="Arial"/>
        </w:rPr>
        <w:lastRenderedPageBreak/>
        <w:t>Lastly, if further work is being contemplated by ESMA on this proposal, we would suggest that a workshop is held for participants to engage on it from the very start so that it can be developed in a way that will work for all – regulators, trading venues and investment firms.</w:t>
      </w:r>
      <w:permEnd w:id="2025406494"/>
    </w:p>
    <w:p w14:paraId="3C3E0B71" w14:textId="77777777" w:rsidR="00646C30" w:rsidRDefault="00646C30" w:rsidP="00646C30">
      <w:r>
        <w:t>&lt;ESMA_QUESTION_CP_MAR_</w:t>
      </w:r>
      <w:r w:rsidR="00D53941">
        <w:t>66</w:t>
      </w:r>
      <w:r>
        <w:t>&gt;</w:t>
      </w:r>
    </w:p>
    <w:p w14:paraId="3C3E0B72" w14:textId="77777777" w:rsidR="00646C30" w:rsidRDefault="00646C30" w:rsidP="002E1760"/>
    <w:p w14:paraId="3C3E0B73" w14:textId="77777777" w:rsidR="00646C30" w:rsidRDefault="0042739E" w:rsidP="00646C30">
      <w:pPr>
        <w:pStyle w:val="CPQuestions"/>
      </w:pPr>
      <w:r w:rsidRPr="0042739E">
        <w:t>Please provide your views on the impact and cost linked to the establishment of a regular reporting mechanism of order book data</w:t>
      </w:r>
      <w:r w:rsidR="00646C30">
        <w:t>.</w:t>
      </w:r>
    </w:p>
    <w:p w14:paraId="3C3E0B74" w14:textId="77777777" w:rsidR="00646C30" w:rsidRDefault="00646C30" w:rsidP="00646C30">
      <w:r>
        <w:t>&lt;ESMA_QUESTION_CP_MAR_</w:t>
      </w:r>
      <w:r w:rsidR="00D53941">
        <w:t>67</w:t>
      </w:r>
      <w:r>
        <w:t>&gt;</w:t>
      </w:r>
    </w:p>
    <w:p w14:paraId="62A5B32A" w14:textId="5902ADE0" w:rsidR="009A75B5" w:rsidRPr="009A75B5" w:rsidRDefault="009A75B5" w:rsidP="009A75B5">
      <w:pPr>
        <w:jc w:val="both"/>
        <w:rPr>
          <w:rFonts w:cs="Arial"/>
        </w:rPr>
      </w:pPr>
      <w:permStart w:id="482090286" w:edGrp="everyone"/>
      <w:r w:rsidRPr="009A75B5">
        <w:rPr>
          <w:rFonts w:cs="Arial"/>
        </w:rPr>
        <w:t xml:space="preserve">We suggest that further analysis is done by ESMA on the costs and benefits of this proposal in order to establish if this mechanism is required by NCAs for market surveillance purposes, and if it is concluded that this harmonised approach will achieve the objective of creating a cross-market order book surveillance tool for regulators, we would ask that all regulators follow the same approach. As mentioned above, we should not have a situation where we are required to follow this process for most regulators, but potentially also have to follow another more localized process as per certain individual regulators, as that would be extremely cumbersome both in terms of cost and resources for us. Currently, this is the case where different approaches are taken by regulators, with some requiring regular reporting, whereas others do not, which creates issues. </w:t>
      </w:r>
    </w:p>
    <w:p w14:paraId="09D734CB" w14:textId="77777777" w:rsidR="009A75B5" w:rsidRPr="009A75B5" w:rsidRDefault="009A75B5" w:rsidP="009A75B5">
      <w:pPr>
        <w:jc w:val="both"/>
        <w:rPr>
          <w:rFonts w:cs="Arial"/>
        </w:rPr>
      </w:pPr>
    </w:p>
    <w:p w14:paraId="2010FDC1" w14:textId="77777777" w:rsidR="009A75B5" w:rsidRPr="009A75B5" w:rsidRDefault="009A75B5" w:rsidP="009A75B5">
      <w:pPr>
        <w:jc w:val="both"/>
        <w:rPr>
          <w:rFonts w:cs="Arial"/>
        </w:rPr>
      </w:pPr>
      <w:r w:rsidRPr="009A75B5">
        <w:rPr>
          <w:rFonts w:cs="Arial"/>
        </w:rPr>
        <w:t>Therefore, we support the idea of regular reporting becoming the standard as we are already doing it currently for some of our regulators and we believe there needs to be a harmonised approach. All the points set out in our response to Q. 66 are also relevant here.</w:t>
      </w:r>
    </w:p>
    <w:p w14:paraId="46E39CD2" w14:textId="77777777" w:rsidR="009A75B5" w:rsidRPr="009A75B5" w:rsidRDefault="009A75B5" w:rsidP="009A75B5">
      <w:pPr>
        <w:jc w:val="both"/>
        <w:rPr>
          <w:rFonts w:cs="Arial"/>
        </w:rPr>
      </w:pPr>
    </w:p>
    <w:p w14:paraId="4EF1804A" w14:textId="77777777" w:rsidR="009A75B5" w:rsidRDefault="009A75B5" w:rsidP="009A75B5">
      <w:pPr>
        <w:jc w:val="both"/>
        <w:rPr>
          <w:rFonts w:cs="Arial"/>
        </w:rPr>
      </w:pPr>
      <w:r w:rsidRPr="009A75B5">
        <w:rPr>
          <w:rFonts w:cs="Arial"/>
        </w:rPr>
        <w:t xml:space="preserve">In particular, we would highlight that Euronext believes the establishment of a regular reporting mechanism of order book data would have to apply to all venues – trading venues and other execution venues, such as systematic </w:t>
      </w:r>
      <w:proofErr w:type="spellStart"/>
      <w:r w:rsidRPr="009A75B5">
        <w:rPr>
          <w:rFonts w:cs="Arial"/>
        </w:rPr>
        <w:t>internalisers</w:t>
      </w:r>
      <w:proofErr w:type="spellEnd"/>
      <w:r w:rsidRPr="009A75B5">
        <w:rPr>
          <w:rFonts w:cs="Arial"/>
        </w:rPr>
        <w:t xml:space="preserve"> – so that the surveillance by regulators for the purposes of identifying and investigating market abuse covers the full breadth of order / quote data.</w:t>
      </w:r>
    </w:p>
    <w:p w14:paraId="2503F79C" w14:textId="56D54629" w:rsidR="009A75B5" w:rsidRPr="009A75B5" w:rsidRDefault="009A75B5" w:rsidP="009A75B5">
      <w:pPr>
        <w:jc w:val="both"/>
        <w:rPr>
          <w:rFonts w:cs="Arial"/>
        </w:rPr>
      </w:pPr>
      <w:r w:rsidRPr="009A75B5">
        <w:rPr>
          <w:rFonts w:cs="Arial"/>
        </w:rPr>
        <w:t xml:space="preserve"> </w:t>
      </w:r>
    </w:p>
    <w:p w14:paraId="3C3E0B75" w14:textId="53934EEB" w:rsidR="00646C30" w:rsidRDefault="009A75B5" w:rsidP="00646C30">
      <w:r w:rsidRPr="009A75B5">
        <w:rPr>
          <w:rFonts w:cs="Arial"/>
        </w:rPr>
        <w:t xml:space="preserve">In addition, </w:t>
      </w:r>
      <w:r w:rsidRPr="009A75B5">
        <w:rPr>
          <w:rFonts w:eastAsia="Arial" w:cs="Arial"/>
        </w:rPr>
        <w:t xml:space="preserve">if regular reporting is required, we would emphasise that this should be required on a T+1 basis. </w:t>
      </w:r>
      <w:r w:rsidRPr="009A75B5">
        <w:rPr>
          <w:rFonts w:cs="Arial"/>
        </w:rPr>
        <w:t>These requirements cover a significant amount of data and this would give sufficient time for venues to submit it in the required format and with the required fields, including client code information. We believe this would meet the requirements for NCAs for the specific purposes of market surveillance.</w:t>
      </w:r>
      <w:permEnd w:id="482090286"/>
    </w:p>
    <w:p w14:paraId="3C3E0B76" w14:textId="77777777" w:rsidR="00646C30" w:rsidRDefault="00646C30" w:rsidP="00646C30">
      <w:r>
        <w:t>&lt;ESMA_QUESTION_CP_MAR_</w:t>
      </w:r>
      <w:r w:rsidR="00D53941">
        <w:t>67</w:t>
      </w:r>
      <w:r>
        <w:t>&gt;</w:t>
      </w:r>
    </w:p>
    <w:p w14:paraId="3C3E0B77" w14:textId="77777777" w:rsidR="00646C30" w:rsidRDefault="00646C30" w:rsidP="002E1760"/>
    <w:p w14:paraId="3C3E0B78" w14:textId="77777777" w:rsidR="00646C30" w:rsidRDefault="0042739E" w:rsidP="00646C30">
      <w:pPr>
        <w:pStyle w:val="CPQuestions"/>
      </w:pPr>
      <w:r w:rsidRPr="0042739E">
        <w:t>In particular, please: a) elaborate on the cost differences between a daily reporting system and a daily record keeping and ad-hoc transmission mechanism; b) explain if and how the impact would change by limiting the scope of a regular reporting mechanism of order book data to a subset of financial instruments. In that context, please provide detailed description of the criteria that you would use to define the appropriate scope of financial instruments for the order book reporting</w:t>
      </w:r>
      <w:r w:rsidR="00646C30">
        <w:t>.</w:t>
      </w:r>
    </w:p>
    <w:p w14:paraId="3C3E0B79" w14:textId="77777777" w:rsidR="00646C30" w:rsidRDefault="00646C30" w:rsidP="00646C30">
      <w:r>
        <w:t>&lt;ESMA_QUESTION_CP_MAR_</w:t>
      </w:r>
      <w:r w:rsidR="00D53941">
        <w:t>68</w:t>
      </w:r>
      <w:r>
        <w:t>&gt;</w:t>
      </w:r>
    </w:p>
    <w:p w14:paraId="52D9168C" w14:textId="6D9C0755" w:rsidR="009A75B5" w:rsidRPr="009A75B5" w:rsidRDefault="009A75B5" w:rsidP="009A75B5">
      <w:pPr>
        <w:pStyle w:val="ListParagraph"/>
        <w:numPr>
          <w:ilvl w:val="0"/>
          <w:numId w:val="42"/>
        </w:numPr>
        <w:spacing w:after="160" w:line="259" w:lineRule="auto"/>
        <w:jc w:val="both"/>
        <w:rPr>
          <w:rFonts w:cs="Arial"/>
        </w:rPr>
      </w:pPr>
      <w:permStart w:id="81003916" w:edGrp="everyone"/>
      <w:r w:rsidRPr="009A75B5">
        <w:rPr>
          <w:rFonts w:cs="Arial"/>
        </w:rPr>
        <w:t xml:space="preserve">We are of the view that it may be easier and more streamlined to provide daily reporting on a T+1 basis, rather than daily record keeping and ad-hoc transmission. The data will have to be recorded on a daily basis in any case, and from our experience with dealing with different regulators, it would be easier to have a standard and harmonized approach to report daily, rather than dealing with various different ad-hoc requests on an on-going basis. It should also be noted that in some jurisdictions, this requirement was already transposed into national law to require daily reporting on a T+1 basis. </w:t>
      </w:r>
    </w:p>
    <w:p w14:paraId="6D42E654" w14:textId="77777777" w:rsidR="009A75B5" w:rsidRPr="009A75B5" w:rsidRDefault="009A75B5" w:rsidP="009A75B5">
      <w:pPr>
        <w:pStyle w:val="ListParagraph"/>
        <w:jc w:val="both"/>
        <w:rPr>
          <w:rFonts w:cs="Arial"/>
        </w:rPr>
      </w:pPr>
    </w:p>
    <w:p w14:paraId="3A8B0CD1" w14:textId="7533D8AC" w:rsidR="009A75B5" w:rsidRPr="009A75B5" w:rsidRDefault="009A75B5" w:rsidP="009A75B5">
      <w:pPr>
        <w:pStyle w:val="ListParagraph"/>
        <w:numPr>
          <w:ilvl w:val="0"/>
          <w:numId w:val="42"/>
        </w:numPr>
        <w:spacing w:after="160" w:line="259" w:lineRule="auto"/>
        <w:jc w:val="both"/>
        <w:rPr>
          <w:rFonts w:cs="Arial"/>
        </w:rPr>
      </w:pPr>
      <w:r w:rsidRPr="009A75B5">
        <w:rPr>
          <w:rFonts w:cs="Arial"/>
        </w:rPr>
        <w:lastRenderedPageBreak/>
        <w:t>We believe it would be most efficient to report order book data for all financial instruments, rather than a subset. While this will result in a huge amount of data being transmitted, in our view it is more manageable to report it all, rather than setting up sub-groups of instruments which may change over time depending on the criteria set.</w:t>
      </w:r>
    </w:p>
    <w:permEnd w:id="81003916"/>
    <w:p w14:paraId="3C3E0B7A" w14:textId="566C2DBB" w:rsidR="00646C30" w:rsidRDefault="00646C30" w:rsidP="00646C30"/>
    <w:p w14:paraId="3C3E0B7B" w14:textId="77777777" w:rsidR="00646C30" w:rsidRDefault="00646C30" w:rsidP="00646C30">
      <w:r>
        <w:t>&lt;ESMA_QUESTION_CP_MAR_</w:t>
      </w:r>
      <w:r w:rsidR="00D53941">
        <w:t>68</w:t>
      </w:r>
      <w:r>
        <w:t>&gt;</w:t>
      </w:r>
    </w:p>
    <w:p w14:paraId="3C3E0B7C" w14:textId="77777777" w:rsidR="00646C30" w:rsidRDefault="00646C30" w:rsidP="002E1760"/>
    <w:p w14:paraId="3C3E0B7D" w14:textId="77777777" w:rsidR="00646C30" w:rsidRDefault="0042739E" w:rsidP="00646C30">
      <w:pPr>
        <w:pStyle w:val="CPQuestions"/>
      </w:pPr>
      <w:r>
        <w:t>W</w:t>
      </w:r>
      <w:r w:rsidRPr="0042739E">
        <w:t>hat are your views regarding those proposed amendments to MAR</w:t>
      </w:r>
      <w:r>
        <w:t>?</w:t>
      </w:r>
    </w:p>
    <w:p w14:paraId="3C3E0B7E" w14:textId="77777777" w:rsidR="00646C30" w:rsidRDefault="00646C30" w:rsidP="00646C30">
      <w:r>
        <w:t>&lt;ESMA_QUESTION_CP_MAR_</w:t>
      </w:r>
      <w:r w:rsidR="00D53941">
        <w:t>69</w:t>
      </w:r>
      <w:r>
        <w:t>&gt;</w:t>
      </w:r>
    </w:p>
    <w:p w14:paraId="3C3E0B7F" w14:textId="77777777" w:rsidR="00646C30" w:rsidRDefault="00646C30" w:rsidP="00646C30">
      <w:permStart w:id="59336310" w:edGrp="everyone"/>
      <w:r>
        <w:t>TYPE YOUR TEXT HERE</w:t>
      </w:r>
      <w:permEnd w:id="59336310"/>
    </w:p>
    <w:p w14:paraId="3C3E0B80" w14:textId="77777777" w:rsidR="00646C30" w:rsidRDefault="00646C30" w:rsidP="00646C30">
      <w:r>
        <w:t>&lt;ESMA_QUESTION_CP_MAR_</w:t>
      </w:r>
      <w:r w:rsidR="00D53941">
        <w:t>69</w:t>
      </w:r>
      <w:r>
        <w:t>&gt;</w:t>
      </w:r>
    </w:p>
    <w:p w14:paraId="3C3E0B81" w14:textId="77777777" w:rsidR="00646C30" w:rsidRDefault="00646C30" w:rsidP="002E1760"/>
    <w:p w14:paraId="3C3E0B82" w14:textId="77777777" w:rsidR="00646C30" w:rsidRDefault="0042739E" w:rsidP="00646C30">
      <w:pPr>
        <w:pStyle w:val="CPQuestions"/>
      </w:pPr>
      <w:r w:rsidRPr="0042739E">
        <w:t>Are you in favour of amending Article 30(1) second paragraph of MAR so that all NCAs in the EU have the capacity of imposing administrative sanctions? If yes, please elaborate</w:t>
      </w:r>
      <w:r w:rsidR="00646C30">
        <w:t>.</w:t>
      </w:r>
    </w:p>
    <w:p w14:paraId="3C3E0B83" w14:textId="77777777" w:rsidR="00646C30" w:rsidRDefault="00646C30" w:rsidP="00646C30">
      <w:r>
        <w:t>&lt;ESMA_QUESTION_CP_MAR_</w:t>
      </w:r>
      <w:r w:rsidR="00D53941">
        <w:t>70</w:t>
      </w:r>
      <w:r>
        <w:t>&gt;</w:t>
      </w:r>
    </w:p>
    <w:p w14:paraId="3C3E0B84" w14:textId="77777777" w:rsidR="00646C30" w:rsidRDefault="00646C30" w:rsidP="00646C30">
      <w:permStart w:id="889603544" w:edGrp="everyone"/>
      <w:r>
        <w:t>TYPE YOUR TEXT HERE</w:t>
      </w:r>
      <w:permEnd w:id="889603544"/>
    </w:p>
    <w:p w14:paraId="3C3E0B85" w14:textId="77777777" w:rsidR="00646C30" w:rsidRDefault="00646C30" w:rsidP="00646C30">
      <w:r>
        <w:t>&lt;ESMA_QUESTION_CP_MAR_</w:t>
      </w:r>
      <w:r w:rsidR="00D53941">
        <w:t>70</w:t>
      </w:r>
      <w:r>
        <w:t>&gt;</w:t>
      </w:r>
    </w:p>
    <w:p w14:paraId="3C3E0B86" w14:textId="77777777" w:rsidR="00646C30" w:rsidRDefault="00646C30" w:rsidP="002E1760"/>
    <w:p w14:paraId="3C3E0B87" w14:textId="77777777" w:rsidR="00646C30" w:rsidRDefault="0042739E" w:rsidP="00646C30">
      <w:pPr>
        <w:pStyle w:val="CPQuestions"/>
      </w:pPr>
      <w:r w:rsidRPr="0042739E">
        <w:t>Please share your views on the elements described above</w:t>
      </w:r>
      <w:r w:rsidR="00646C30">
        <w:t>.</w:t>
      </w:r>
    </w:p>
    <w:p w14:paraId="3C3E0B88" w14:textId="77777777" w:rsidR="00646C30" w:rsidRDefault="00646C30" w:rsidP="00646C30">
      <w:r>
        <w:t>&lt;ESMA_QUESTION_CP_MAR_</w:t>
      </w:r>
      <w:r w:rsidR="00D53941">
        <w:t>71</w:t>
      </w:r>
      <w:r>
        <w:t>&gt;</w:t>
      </w:r>
    </w:p>
    <w:p w14:paraId="3C3E0B89" w14:textId="77777777" w:rsidR="00646C30" w:rsidRDefault="00646C30" w:rsidP="00646C30">
      <w:permStart w:id="1714450615" w:edGrp="everyone"/>
      <w:r>
        <w:t>TYPE YOUR TEXT HERE</w:t>
      </w:r>
      <w:permEnd w:id="1714450615"/>
    </w:p>
    <w:p w14:paraId="3C3E0B8A" w14:textId="77777777" w:rsidR="00646C30" w:rsidRDefault="00646C30" w:rsidP="00646C30">
      <w:r>
        <w:t>&lt;ESMA_QUESTION_CP_MAR_</w:t>
      </w:r>
      <w:r w:rsidR="00D53941">
        <w:t>71</w:t>
      </w:r>
      <w:r>
        <w:t>&gt;</w:t>
      </w:r>
    </w:p>
    <w:p w14:paraId="3C3E0B8B" w14:textId="77777777" w:rsidR="00646C30" w:rsidRDefault="00646C30" w:rsidP="002E1760"/>
    <w:p w14:paraId="3C3E0B8C" w14:textId="77777777" w:rsidR="00646C30" w:rsidRDefault="00646C30" w:rsidP="002E1760"/>
    <w:p w14:paraId="3C3E0B8D" w14:textId="77777777" w:rsidR="00646C30" w:rsidRDefault="00646C30" w:rsidP="002E1760"/>
    <w:p w14:paraId="3C3E0B8E" w14:textId="77777777" w:rsidR="009003B8" w:rsidRDefault="009003B8" w:rsidP="002E1760"/>
    <w:sectPr w:rsidR="009003B8"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E0B94" w14:textId="77777777" w:rsidR="006215E6" w:rsidRDefault="006215E6">
      <w:r>
        <w:separator/>
      </w:r>
    </w:p>
    <w:p w14:paraId="3C3E0B95" w14:textId="77777777" w:rsidR="006215E6" w:rsidRDefault="006215E6"/>
  </w:endnote>
  <w:endnote w:type="continuationSeparator" w:id="0">
    <w:p w14:paraId="3C3E0B96" w14:textId="77777777" w:rsidR="006215E6" w:rsidRDefault="006215E6">
      <w:r>
        <w:continuationSeparator/>
      </w:r>
    </w:p>
    <w:p w14:paraId="3C3E0B97" w14:textId="77777777" w:rsidR="006215E6" w:rsidRDefault="006215E6"/>
  </w:endnote>
  <w:endnote w:type="continuationNotice" w:id="1">
    <w:p w14:paraId="3C3E0B98" w14:textId="77777777" w:rsidR="006215E6" w:rsidRDefault="00621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215E6" w:rsidRPr="00616B9B" w14:paraId="3C3E0B9C" w14:textId="77777777" w:rsidTr="00315E96">
      <w:trPr>
        <w:trHeight w:val="284"/>
      </w:trPr>
      <w:tc>
        <w:tcPr>
          <w:tcW w:w="8460" w:type="dxa"/>
        </w:tcPr>
        <w:p w14:paraId="3C3E0B9A" w14:textId="77777777" w:rsidR="006215E6" w:rsidRPr="00315E96" w:rsidRDefault="006215E6" w:rsidP="00315E96">
          <w:pPr>
            <w:pStyle w:val="00Footer"/>
            <w:rPr>
              <w:lang w:val="fr-FR"/>
            </w:rPr>
          </w:pPr>
        </w:p>
      </w:tc>
      <w:tc>
        <w:tcPr>
          <w:tcW w:w="952" w:type="dxa"/>
        </w:tcPr>
        <w:p w14:paraId="3C3E0B9B" w14:textId="77777777" w:rsidR="006215E6" w:rsidRPr="00616B9B" w:rsidRDefault="006215E6"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3C3E0B9D" w14:textId="77777777" w:rsidR="006215E6" w:rsidRDefault="00621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AC" w14:textId="77777777" w:rsidR="006215E6" w:rsidRDefault="00621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E0B8F" w14:textId="77777777" w:rsidR="006215E6" w:rsidRDefault="006215E6">
      <w:r>
        <w:separator/>
      </w:r>
    </w:p>
    <w:p w14:paraId="3C3E0B90" w14:textId="77777777" w:rsidR="006215E6" w:rsidRDefault="006215E6"/>
  </w:footnote>
  <w:footnote w:type="continuationSeparator" w:id="0">
    <w:p w14:paraId="3C3E0B91" w14:textId="77777777" w:rsidR="006215E6" w:rsidRDefault="006215E6">
      <w:r>
        <w:continuationSeparator/>
      </w:r>
    </w:p>
    <w:p w14:paraId="3C3E0B92" w14:textId="77777777" w:rsidR="006215E6" w:rsidRDefault="006215E6"/>
  </w:footnote>
  <w:footnote w:type="continuationNotice" w:id="1">
    <w:p w14:paraId="3C3E0B93" w14:textId="77777777" w:rsidR="006215E6" w:rsidRDefault="006215E6"/>
  </w:footnote>
  <w:footnote w:id="2">
    <w:p w14:paraId="673BEAD4" w14:textId="77777777" w:rsidR="006215E6" w:rsidRDefault="006215E6" w:rsidP="00C24639">
      <w:pPr>
        <w:pStyle w:val="FootnoteText"/>
      </w:pPr>
      <w:r>
        <w:rPr>
          <w:rStyle w:val="FootnoteReference"/>
        </w:rPr>
        <w:footnoteRef/>
      </w:r>
      <w:r>
        <w:t xml:space="preserve"> </w:t>
      </w:r>
      <w:hyperlink r:id="rId1" w:anchor="title2" w:history="1">
        <w:r>
          <w:rPr>
            <w:rStyle w:val="Hyperlink"/>
            <w:bCs/>
          </w:rPr>
          <w:t>http://www.europarl.europa.eu/doceo/document/TA-8-2019-0439_EN.html#title2</w:t>
        </w:r>
      </w:hyperlink>
    </w:p>
  </w:footnote>
  <w:footnote w:id="3">
    <w:p w14:paraId="00ACC640" w14:textId="77777777" w:rsidR="006215E6" w:rsidRDefault="006215E6" w:rsidP="00C24639">
      <w:pPr>
        <w:pStyle w:val="FootnoteText"/>
      </w:pPr>
      <w:r>
        <w:rPr>
          <w:rStyle w:val="FootnoteReference"/>
        </w:rPr>
        <w:footnoteRef/>
      </w:r>
      <w:r>
        <w:t xml:space="preserve"> </w:t>
      </w:r>
      <w:hyperlink r:id="rId2" w:history="1">
        <w:r>
          <w:rPr>
            <w:rStyle w:val="Hyperlink"/>
            <w:bCs/>
          </w:rPr>
          <w:t>https://europa.eu/rapid/press-release_MEMO-18-3728_en.htm</w:t>
        </w:r>
      </w:hyperlink>
    </w:p>
  </w:footnote>
  <w:footnote w:id="4">
    <w:p w14:paraId="3B6C5D7F" w14:textId="77777777" w:rsidR="006215E6" w:rsidRDefault="006215E6" w:rsidP="00C24639">
      <w:pPr>
        <w:widowControl w:val="0"/>
        <w:autoSpaceDE w:val="0"/>
        <w:autoSpaceDN w:val="0"/>
        <w:adjustRightInd w:val="0"/>
        <w:rPr>
          <w:rFonts w:cs="Arial"/>
          <w:color w:val="353535"/>
          <w:sz w:val="18"/>
          <w:szCs w:val="20"/>
          <w:lang w:val="sv-SE"/>
        </w:rPr>
      </w:pPr>
      <w:r>
        <w:rPr>
          <w:rStyle w:val="FootnoteReference"/>
        </w:rPr>
        <w:footnoteRef/>
      </w:r>
      <w:hyperlink r:id="rId3" w:history="1">
        <w:r w:rsidRPr="00331E50">
          <w:rPr>
            <w:rStyle w:val="Hyperlink"/>
            <w:rFonts w:cs="Arial"/>
            <w:bCs/>
            <w:sz w:val="16"/>
            <w:lang w:val="sv-SE"/>
          </w:rPr>
          <w:t>https://www.bafin.de/SharedDocs/Downloads/EN/FAQ/dl_faq_mar_art_18_insiderlisten_en.pdf?__blob=publicationFile&amp;v=3</w:t>
        </w:r>
      </w:hyperlink>
    </w:p>
    <w:p w14:paraId="474BB3BE" w14:textId="77777777" w:rsidR="006215E6" w:rsidRDefault="006215E6" w:rsidP="00C24639">
      <w:pPr>
        <w:pStyle w:val="FootnoteText"/>
      </w:pPr>
    </w:p>
  </w:footnote>
  <w:footnote w:id="5">
    <w:p w14:paraId="7EBA2535" w14:textId="77777777" w:rsidR="006215E6" w:rsidRDefault="006215E6" w:rsidP="00C24639">
      <w:pPr>
        <w:widowControl w:val="0"/>
        <w:autoSpaceDE w:val="0"/>
        <w:autoSpaceDN w:val="0"/>
        <w:adjustRightInd w:val="0"/>
        <w:rPr>
          <w:rFonts w:cs="Arial"/>
          <w:color w:val="353535"/>
          <w:szCs w:val="20"/>
          <w:lang w:val="sv-SE"/>
        </w:rPr>
      </w:pPr>
      <w:r>
        <w:rPr>
          <w:rStyle w:val="FootnoteReference"/>
        </w:rPr>
        <w:footnoteRef/>
      </w:r>
      <w:hyperlink r:id="rId4" w:history="1">
        <w:r w:rsidRPr="00331E50">
          <w:rPr>
            <w:rStyle w:val="Hyperlink"/>
            <w:rFonts w:cs="Arial"/>
            <w:bCs/>
            <w:sz w:val="16"/>
            <w:lang w:val="sv-SE"/>
          </w:rPr>
          <w:t>https://www.bafin.de/SharedDocs/Downloads/EN/FAQ/dl_faq_mar_art_18_insiderlisten_en.pdf?__blob=publicationFile&amp;v=3</w:t>
        </w:r>
      </w:hyperlink>
    </w:p>
    <w:p w14:paraId="46325E7C" w14:textId="77777777" w:rsidR="006215E6" w:rsidRDefault="006215E6" w:rsidP="00C24639">
      <w:pPr>
        <w:pStyle w:val="FootnoteText"/>
      </w:pPr>
    </w:p>
  </w:footnote>
  <w:footnote w:id="6">
    <w:p w14:paraId="2FDAE755" w14:textId="77777777" w:rsidR="006215E6" w:rsidRDefault="006215E6" w:rsidP="00C24639">
      <w:pPr>
        <w:pStyle w:val="FootnoteText"/>
      </w:pPr>
      <w:r>
        <w:rPr>
          <w:rStyle w:val="FootnoteReference"/>
        </w:rPr>
        <w:footnoteRef/>
      </w:r>
      <w:r>
        <w:t xml:space="preserve"> </w:t>
      </w:r>
      <w:hyperlink r:id="rId5" w:history="1">
        <w:r>
          <w:rPr>
            <w:rStyle w:val="Hyperlink"/>
            <w:bCs/>
          </w:rPr>
          <w:t>https://uk.practicallaw.thomsonreuters.com/2-629-0375</w:t>
        </w:r>
      </w:hyperlink>
    </w:p>
  </w:footnote>
  <w:footnote w:id="7">
    <w:p w14:paraId="7BE96BB0" w14:textId="77777777" w:rsidR="006215E6" w:rsidRPr="00331E50" w:rsidRDefault="006215E6" w:rsidP="00C24639">
      <w:pPr>
        <w:widowControl w:val="0"/>
        <w:autoSpaceDE w:val="0"/>
        <w:autoSpaceDN w:val="0"/>
        <w:adjustRightInd w:val="0"/>
        <w:rPr>
          <w:rFonts w:cs="Arial"/>
          <w:color w:val="353535"/>
          <w:szCs w:val="20"/>
          <w:lang w:val="sv-SE"/>
        </w:rPr>
      </w:pPr>
      <w:r>
        <w:rPr>
          <w:rStyle w:val="FootnoteReference"/>
        </w:rPr>
        <w:footnoteRef/>
      </w:r>
      <w:r w:rsidRPr="00331E50">
        <w:rPr>
          <w:lang w:val="sv-SE"/>
        </w:rPr>
        <w:t xml:space="preserve"> </w:t>
      </w:r>
      <w:hyperlink r:id="rId6" w:history="1">
        <w:r w:rsidRPr="00331E50">
          <w:rPr>
            <w:rStyle w:val="Hyperlink"/>
            <w:bCs/>
            <w:sz w:val="16"/>
            <w:lang w:val="sv-SE"/>
          </w:rPr>
          <w:t>https://www.ropa.se/wp-content/uploads/2016/07/170628-MAR-FAQ-Version-3-170628-English.pdf</w:t>
        </w:r>
      </w:hyperlink>
      <w:r w:rsidRPr="00331E50">
        <w:rPr>
          <w:rFonts w:cs="Arial"/>
          <w:color w:val="353535"/>
          <w:sz w:val="18"/>
          <w:szCs w:val="20"/>
          <w:lang w:val="sv-SE"/>
        </w:rPr>
        <w:t xml:space="preserve"> </w:t>
      </w:r>
    </w:p>
  </w:footnote>
  <w:footnote w:id="8">
    <w:p w14:paraId="44D5278A" w14:textId="77777777" w:rsidR="006215E6" w:rsidRPr="00331E50" w:rsidRDefault="006215E6" w:rsidP="00C24639">
      <w:pPr>
        <w:widowControl w:val="0"/>
        <w:autoSpaceDE w:val="0"/>
        <w:autoSpaceDN w:val="0"/>
        <w:adjustRightInd w:val="0"/>
        <w:rPr>
          <w:rFonts w:cs="Arial"/>
          <w:color w:val="353535"/>
          <w:szCs w:val="20"/>
          <w:lang w:val="sv-SE"/>
        </w:rPr>
      </w:pPr>
      <w:r>
        <w:rPr>
          <w:rStyle w:val="FootnoteReference"/>
        </w:rPr>
        <w:footnoteRef/>
      </w:r>
      <w:r w:rsidRPr="00331E50">
        <w:rPr>
          <w:lang w:val="sv-SE"/>
        </w:rPr>
        <w:t xml:space="preserve"> </w:t>
      </w:r>
      <w:hyperlink r:id="rId7" w:history="1">
        <w:r w:rsidRPr="00331E50">
          <w:rPr>
            <w:rStyle w:val="Hyperlink"/>
            <w:rFonts w:cs="Arial"/>
            <w:sz w:val="16"/>
            <w:lang w:val="sv-SE"/>
          </w:rPr>
          <w:t>https://www.finanssivalvonta.fi/globalassets/sv/kapitalmarknaden/emittenter-och-investerare/mar/finansinspektionen_q_a_insiderforteckningar_artikel_18_i_mar.pdf</w:t>
        </w:r>
      </w:hyperlink>
    </w:p>
  </w:footnote>
  <w:footnote w:id="9">
    <w:p w14:paraId="632B233B" w14:textId="77777777" w:rsidR="006215E6" w:rsidRPr="00ED65AA" w:rsidRDefault="006215E6" w:rsidP="009F0F33">
      <w:pPr>
        <w:pStyle w:val="FootnoteText"/>
        <w:rPr>
          <w:lang w:val="fr-FR"/>
        </w:rPr>
      </w:pPr>
      <w:r>
        <w:rPr>
          <w:rStyle w:val="FootnoteReference"/>
        </w:rPr>
        <w:footnoteRef/>
      </w:r>
      <w:r w:rsidRPr="00ED65AA">
        <w:rPr>
          <w:lang w:val="fr-FR"/>
        </w:rPr>
        <w:t xml:space="preserve"> </w:t>
      </w:r>
      <w:r w:rsidRPr="00ED65AA">
        <w:rPr>
          <w:rFonts w:cs="Arial"/>
          <w:iCs/>
          <w:lang w:val="fr-FR" w:eastAsia="sv-SE"/>
        </w:rPr>
        <w:t>Section 2.1.1.1 of</w:t>
      </w:r>
      <w:r w:rsidRPr="00ED65AA">
        <w:rPr>
          <w:rFonts w:cs="Arial"/>
          <w:i/>
          <w:iCs/>
          <w:lang w:val="fr-FR" w:eastAsia="sv-SE"/>
        </w:rPr>
        <w:t xml:space="preserve"> ”</w:t>
      </w:r>
      <w:hyperlink r:id="rId8" w:history="1">
        <w:r w:rsidRPr="00ED65AA">
          <w:rPr>
            <w:rStyle w:val="Hyperlink"/>
            <w:rFonts w:cs="Arial"/>
            <w:i/>
            <w:iCs/>
            <w:lang w:val="fr-FR" w:eastAsia="sv-SE"/>
          </w:rPr>
          <w:t xml:space="preserve">Guide de l’information permanente et de la gestion de l’information </w:t>
        </w:r>
        <w:proofErr w:type="spellStart"/>
        <w:r w:rsidRPr="00ED65AA">
          <w:rPr>
            <w:rStyle w:val="Hyperlink"/>
            <w:rFonts w:cs="Arial"/>
            <w:i/>
            <w:iCs/>
            <w:lang w:val="fr-FR" w:eastAsia="sv-SE"/>
          </w:rPr>
          <w:t>privilégiée</w:t>
        </w:r>
        <w:proofErr w:type="spellEnd"/>
        <w:r w:rsidRPr="00ED65AA">
          <w:rPr>
            <w:rStyle w:val="Hyperlink"/>
            <w:rFonts w:cs="Arial"/>
            <w:i/>
            <w:iCs/>
            <w:lang w:val="fr-FR" w:eastAsia="sv-SE"/>
          </w:rPr>
          <w:t xml:space="preserve"> DOC-2016-08</w:t>
        </w:r>
      </w:hyperlink>
      <w:r w:rsidRPr="00ED65AA">
        <w:rPr>
          <w:rFonts w:cs="Arial"/>
          <w:lang w:val="fr-FR" w:eastAsia="sv-SE"/>
        </w:rPr>
        <w:t>".</w:t>
      </w:r>
    </w:p>
  </w:footnote>
  <w:footnote w:id="10">
    <w:p w14:paraId="3980C881" w14:textId="77777777" w:rsidR="006215E6" w:rsidRPr="00ED65AA" w:rsidRDefault="006215E6" w:rsidP="009F0F33">
      <w:pPr>
        <w:pStyle w:val="FootnoteText"/>
        <w:rPr>
          <w:lang w:val="fr-FR"/>
        </w:rPr>
      </w:pPr>
      <w:r>
        <w:rPr>
          <w:rStyle w:val="FootnoteReference"/>
        </w:rPr>
        <w:footnoteRef/>
      </w:r>
      <w:r w:rsidRPr="00ED65AA">
        <w:rPr>
          <w:lang w:val="fr-FR"/>
        </w:rPr>
        <w:t xml:space="preserve"> </w:t>
      </w:r>
      <w:r w:rsidRPr="00ED65AA">
        <w:rPr>
          <w:rFonts w:cs="Arial"/>
          <w:iCs/>
          <w:lang w:val="fr-FR" w:eastAsia="sv-SE"/>
        </w:rPr>
        <w:t>Section 2.1.1.1 of</w:t>
      </w:r>
      <w:r w:rsidRPr="00ED65AA">
        <w:rPr>
          <w:rFonts w:cs="Arial"/>
          <w:i/>
          <w:iCs/>
          <w:lang w:val="fr-FR" w:eastAsia="sv-SE"/>
        </w:rPr>
        <w:t xml:space="preserve"> ”</w:t>
      </w:r>
      <w:hyperlink r:id="rId9" w:history="1">
        <w:r w:rsidRPr="00ED65AA">
          <w:rPr>
            <w:rStyle w:val="Hyperlink"/>
            <w:rFonts w:cs="Arial"/>
            <w:i/>
            <w:iCs/>
            <w:lang w:val="fr-FR" w:eastAsia="sv-SE"/>
          </w:rPr>
          <w:t xml:space="preserve">Guide de l’information permanente et de la gestion de l’information </w:t>
        </w:r>
        <w:proofErr w:type="spellStart"/>
        <w:r w:rsidRPr="00ED65AA">
          <w:rPr>
            <w:rStyle w:val="Hyperlink"/>
            <w:rFonts w:cs="Arial"/>
            <w:i/>
            <w:iCs/>
            <w:lang w:val="fr-FR" w:eastAsia="sv-SE"/>
          </w:rPr>
          <w:t>privilégiée</w:t>
        </w:r>
        <w:proofErr w:type="spellEnd"/>
        <w:r w:rsidRPr="00ED65AA">
          <w:rPr>
            <w:rStyle w:val="Hyperlink"/>
            <w:rFonts w:cs="Arial"/>
            <w:i/>
            <w:iCs/>
            <w:lang w:val="fr-FR" w:eastAsia="sv-SE"/>
          </w:rPr>
          <w:t xml:space="preserve"> DOC-2016-08</w:t>
        </w:r>
      </w:hyperlink>
      <w:r w:rsidRPr="00ED65AA">
        <w:rPr>
          <w:rFonts w:cs="Arial"/>
          <w:lang w:val="fr-FR" w:eastAsia="sv-S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9" w14:textId="77777777" w:rsidR="006215E6" w:rsidRDefault="006215E6">
    <w:pPr>
      <w:pStyle w:val="Header"/>
    </w:pPr>
    <w:r>
      <w:rPr>
        <w:noProof/>
        <w:lang w:eastAsia="en-GB"/>
      </w:rPr>
      <w:drawing>
        <wp:anchor distT="0" distB="0" distL="114300" distR="114300" simplePos="0" relativeHeight="251658240" behindDoc="0" locked="0" layoutInCell="1" allowOverlap="1" wp14:anchorId="3C3E0BAD" wp14:editId="3C3E0BAE">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C3E0BAF" wp14:editId="3C3E0BB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1119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E" w14:textId="77777777" w:rsidR="006215E6" w:rsidRDefault="006215E6" w:rsidP="00013CCE">
    <w:pPr>
      <w:pStyle w:val="Header"/>
      <w:jc w:val="right"/>
    </w:pPr>
    <w:r>
      <w:rPr>
        <w:noProof/>
        <w:lang w:eastAsia="en-GB"/>
      </w:rPr>
      <w:drawing>
        <wp:anchor distT="0" distB="0" distL="114300" distR="114300" simplePos="0" relativeHeight="251657216" behindDoc="0" locked="0" layoutInCell="1" allowOverlap="1" wp14:anchorId="3C3E0BB1" wp14:editId="3C3E0BB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C3E0BB3" wp14:editId="3C3E0BB4">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F" w14:textId="77777777" w:rsidR="006215E6" w:rsidRDefault="006215E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215E6" w:rsidRPr="002F4496" w14:paraId="3C3E0BA2" w14:textId="77777777" w:rsidTr="000C06C9">
      <w:trPr>
        <w:trHeight w:val="284"/>
      </w:trPr>
      <w:tc>
        <w:tcPr>
          <w:tcW w:w="8460" w:type="dxa"/>
        </w:tcPr>
        <w:p w14:paraId="3C3E0BA0" w14:textId="77777777" w:rsidR="006215E6" w:rsidRPr="000C3B6D" w:rsidRDefault="006215E6" w:rsidP="000C06C9">
          <w:pPr>
            <w:pStyle w:val="00Footer"/>
            <w:rPr>
              <w:lang w:val="fr-FR"/>
            </w:rPr>
          </w:pPr>
        </w:p>
      </w:tc>
      <w:tc>
        <w:tcPr>
          <w:tcW w:w="952" w:type="dxa"/>
        </w:tcPr>
        <w:p w14:paraId="3C3E0BA1" w14:textId="77777777" w:rsidR="006215E6" w:rsidRPr="00146B34" w:rsidRDefault="006215E6" w:rsidP="000C06C9">
          <w:pPr>
            <w:pStyle w:val="00aPagenumber"/>
            <w:rPr>
              <w:lang w:val="fr-FR"/>
            </w:rPr>
          </w:pPr>
        </w:p>
      </w:tc>
    </w:tr>
  </w:tbl>
  <w:p w14:paraId="3C3E0BA3" w14:textId="77777777" w:rsidR="006215E6" w:rsidRPr="00DB46C3" w:rsidRDefault="006215E6">
    <w:pPr>
      <w:rPr>
        <w:lang w:val="fr-FR"/>
      </w:rPr>
    </w:pPr>
  </w:p>
  <w:p w14:paraId="3C3E0BA4" w14:textId="77777777" w:rsidR="006215E6" w:rsidRPr="002F4496" w:rsidRDefault="006215E6">
    <w:pPr>
      <w:pStyle w:val="Header"/>
      <w:rPr>
        <w:lang w:val="fr-FR"/>
      </w:rPr>
    </w:pPr>
  </w:p>
  <w:p w14:paraId="3C3E0BA5" w14:textId="77777777" w:rsidR="006215E6" w:rsidRPr="002F4496" w:rsidRDefault="006215E6" w:rsidP="000C06C9">
    <w:pPr>
      <w:pStyle w:val="Header"/>
      <w:tabs>
        <w:tab w:val="clear" w:pos="4536"/>
        <w:tab w:val="clear" w:pos="9072"/>
        <w:tab w:val="left" w:pos="8227"/>
      </w:tabs>
      <w:rPr>
        <w:lang w:val="fr-FR"/>
      </w:rPr>
    </w:pPr>
  </w:p>
  <w:p w14:paraId="3C3E0BA6" w14:textId="77777777" w:rsidR="006215E6" w:rsidRPr="002F4496" w:rsidRDefault="006215E6" w:rsidP="00583885">
    <w:pPr>
      <w:pStyle w:val="Header"/>
      <w:jc w:val="right"/>
      <w:rPr>
        <w:lang w:val="fr-FR"/>
      </w:rPr>
    </w:pPr>
  </w:p>
  <w:p w14:paraId="3C3E0BA7" w14:textId="77777777" w:rsidR="006215E6" w:rsidRPr="002F4496" w:rsidRDefault="006215E6">
    <w:pPr>
      <w:pStyle w:val="Header"/>
      <w:rPr>
        <w:lang w:val="fr-FR"/>
      </w:rPr>
    </w:pPr>
  </w:p>
  <w:p w14:paraId="3C3E0BA8" w14:textId="77777777" w:rsidR="006215E6" w:rsidRPr="002F4496" w:rsidRDefault="006215E6">
    <w:pPr>
      <w:pStyle w:val="Header"/>
      <w:rPr>
        <w:lang w:val="fr-FR"/>
      </w:rPr>
    </w:pPr>
  </w:p>
  <w:p w14:paraId="3C3E0BA9" w14:textId="77777777" w:rsidR="006215E6" w:rsidRPr="002F4496" w:rsidRDefault="006215E6">
    <w:pPr>
      <w:pStyle w:val="Header"/>
      <w:rPr>
        <w:lang w:val="fr-FR"/>
      </w:rPr>
    </w:pPr>
  </w:p>
  <w:p w14:paraId="3C3E0BAA" w14:textId="77777777" w:rsidR="006215E6" w:rsidRPr="002F4496" w:rsidRDefault="006215E6">
    <w:pPr>
      <w:pStyle w:val="Header"/>
      <w:rPr>
        <w:highlight w:val="yellow"/>
        <w:lang w:val="fr-FR"/>
      </w:rPr>
    </w:pPr>
  </w:p>
  <w:p w14:paraId="3C3E0BAB" w14:textId="77777777" w:rsidR="006215E6" w:rsidRDefault="006215E6">
    <w:pPr>
      <w:pStyle w:val="Header"/>
    </w:pPr>
    <w:r>
      <w:rPr>
        <w:noProof/>
        <w:lang w:eastAsia="en-GB"/>
      </w:rPr>
      <mc:AlternateContent>
        <mc:Choice Requires="wps">
          <w:drawing>
            <wp:anchor distT="0" distB="0" distL="114299" distR="114299" simplePos="0" relativeHeight="251660288" behindDoc="0" locked="0" layoutInCell="1" allowOverlap="1" wp14:anchorId="3C3E0BB5" wp14:editId="3C3E0BB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7EF39"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C3E0BB7" wp14:editId="3C3E0BB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5A66DD2"/>
    <w:multiLevelType w:val="hybridMultilevel"/>
    <w:tmpl w:val="C40C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0D3F09"/>
    <w:multiLevelType w:val="hybridMultilevel"/>
    <w:tmpl w:val="A7A0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4292C72"/>
    <w:multiLevelType w:val="hybridMultilevel"/>
    <w:tmpl w:val="A27E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15:restartNumberingAfterBreak="0">
    <w:nsid w:val="68607A72"/>
    <w:multiLevelType w:val="hybridMultilevel"/>
    <w:tmpl w:val="9C0862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96647E4"/>
    <w:multiLevelType w:val="hybridMultilevel"/>
    <w:tmpl w:val="736A0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22A0673"/>
    <w:multiLevelType w:val="hybridMultilevel"/>
    <w:tmpl w:val="388C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4"/>
  </w:num>
  <w:num w:numId="5">
    <w:abstractNumId w:val="26"/>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9"/>
  </w:num>
  <w:num w:numId="16">
    <w:abstractNumId w:val="1"/>
  </w:num>
  <w:num w:numId="17">
    <w:abstractNumId w:val="14"/>
  </w:num>
  <w:num w:numId="18">
    <w:abstractNumId w:val="15"/>
  </w:num>
  <w:num w:numId="19">
    <w:abstractNumId w:val="17"/>
  </w:num>
  <w:num w:numId="20">
    <w:abstractNumId w:val="27"/>
  </w:num>
  <w:num w:numId="21">
    <w:abstractNumId w:val="39"/>
  </w:num>
  <w:num w:numId="22">
    <w:abstractNumId w:val="25"/>
  </w:num>
  <w:num w:numId="23">
    <w:abstractNumId w:val="8"/>
  </w:num>
  <w:num w:numId="24">
    <w:abstractNumId w:val="30"/>
  </w:num>
  <w:num w:numId="25">
    <w:abstractNumId w:val="29"/>
  </w:num>
  <w:num w:numId="26">
    <w:abstractNumId w:val="20"/>
  </w:num>
  <w:num w:numId="27">
    <w:abstractNumId w:val="34"/>
  </w:num>
  <w:num w:numId="28">
    <w:abstractNumId w:val="42"/>
  </w:num>
  <w:num w:numId="29">
    <w:abstractNumId w:val="6"/>
  </w:num>
  <w:num w:numId="30">
    <w:abstractNumId w:val="2"/>
  </w:num>
  <w:num w:numId="31">
    <w:abstractNumId w:val="22"/>
  </w:num>
  <w:num w:numId="32">
    <w:abstractNumId w:val="21"/>
  </w:num>
  <w:num w:numId="33">
    <w:abstractNumId w:val="37"/>
  </w:num>
  <w:num w:numId="34">
    <w:abstractNumId w:val="36"/>
  </w:num>
  <w:num w:numId="35">
    <w:abstractNumId w:val="4"/>
  </w:num>
  <w:num w:numId="36">
    <w:abstractNumId w:val="38"/>
  </w:num>
  <w:num w:numId="37">
    <w:abstractNumId w:val="19"/>
  </w:num>
  <w:num w:numId="38">
    <w:abstractNumId w:val="40"/>
  </w:num>
  <w:num w:numId="39">
    <w:abstractNumId w:val="35"/>
  </w:num>
  <w:num w:numId="40">
    <w:abstractNumId w:val="12"/>
  </w:num>
  <w:num w:numId="41">
    <w:abstractNumId w:val="10"/>
  </w:num>
  <w:num w:numId="42">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PoMOv/lL7Pe40Xszl/cHn0Sklkz3r/NXYsIj1cxGT/YpwS0Usl4nqklbwIaEd7/+NpbW2xVg3oIr1eH7uk1ZQ==" w:salt="Y31LDsLQoet5IQr8D6tVtA=="/>
  <w:defaultTabStop w:val="709"/>
  <w:autoHyphenation/>
  <w:hyphenationZone w:val="567"/>
  <w:characterSpacingControl w:val="doNotCompress"/>
  <w:hdrShapeDefaults>
    <o:shapedefaults v:ext="edit" spidmax="1433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468A"/>
    <w:rsid w:val="0012566F"/>
    <w:rsid w:val="001262B1"/>
    <w:rsid w:val="00130F41"/>
    <w:rsid w:val="00130FAF"/>
    <w:rsid w:val="00135F2B"/>
    <w:rsid w:val="001372DD"/>
    <w:rsid w:val="001405BA"/>
    <w:rsid w:val="00141497"/>
    <w:rsid w:val="0014253A"/>
    <w:rsid w:val="001425C8"/>
    <w:rsid w:val="001431AE"/>
    <w:rsid w:val="00143B87"/>
    <w:rsid w:val="00145519"/>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27"/>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3BB8"/>
    <w:rsid w:val="002B45D1"/>
    <w:rsid w:val="002B4ED8"/>
    <w:rsid w:val="002B4FAA"/>
    <w:rsid w:val="002B52C2"/>
    <w:rsid w:val="002B7656"/>
    <w:rsid w:val="002C0642"/>
    <w:rsid w:val="002C0B59"/>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16D4"/>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5E6"/>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2F9"/>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027"/>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5B5"/>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0F33"/>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109"/>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4639"/>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0C2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46EA"/>
    <w:rsid w:val="00EE56FF"/>
    <w:rsid w:val="00EE5886"/>
    <w:rsid w:val="00EE5FBF"/>
    <w:rsid w:val="00EE6472"/>
    <w:rsid w:val="00EE76F2"/>
    <w:rsid w:val="00EF0769"/>
    <w:rsid w:val="00EF0D7C"/>
    <w:rsid w:val="00EF314C"/>
    <w:rsid w:val="00EF383B"/>
    <w:rsid w:val="00EF40E2"/>
    <w:rsid w:val="00EF4D5B"/>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938"/>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2d4491,#283583"/>
    </o:shapedefaults>
    <o:shapelayout v:ext="edit">
      <o:idmap v:ext="edit" data="1"/>
    </o:shapelayout>
  </w:shapeDefaults>
  <w:decimalSymbol w:val="."/>
  <w:listSeparator w:val=","/>
  <w14:docId w14:val="3C3E09EA"/>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amf-france.org/technique/multimedia?docId=workspace://SpacesStore/79c5176f-4092-4eda-b87c-eeed641df923_fr_1.1_rendition" TargetMode="External"/><Relationship Id="rId3" Type="http://schemas.openxmlformats.org/officeDocument/2006/relationships/hyperlink" Target="https://www.bafin.de/SharedDocs/Downloads/EN/FAQ/dl_faq_mar_art_18_insiderlisten_en.pdf?__blob=publicationFile&amp;v=3" TargetMode="External"/><Relationship Id="rId7" Type="http://schemas.openxmlformats.org/officeDocument/2006/relationships/hyperlink" Target="https://www.finanssivalvonta.fi/globalassets/sv/kapitalmarknaden/emittenter-och-investerare/mar/finansinspektionen_q_a_insiderforteckningar_artikel_18_i_mar.pdf" TargetMode="External"/><Relationship Id="rId2" Type="http://schemas.openxmlformats.org/officeDocument/2006/relationships/hyperlink" Target="https://europa.eu/rapid/press-release_MEMO-18-3728_en.htm" TargetMode="External"/><Relationship Id="rId1" Type="http://schemas.openxmlformats.org/officeDocument/2006/relationships/hyperlink" Target="http://www.europarl.europa.eu/doceo/document/TA-8-2019-0439_EN.html" TargetMode="External"/><Relationship Id="rId6" Type="http://schemas.openxmlformats.org/officeDocument/2006/relationships/hyperlink" Target="https://www.ropa.se/wp-content/uploads/2016/07/170628-MAR-FAQ-Version-3-170628-English.pdf" TargetMode="External"/><Relationship Id="rId5" Type="http://schemas.openxmlformats.org/officeDocument/2006/relationships/hyperlink" Target="https://uk.practicallaw.thomsonreuters.com/2-629-0375" TargetMode="External"/><Relationship Id="rId4" Type="http://schemas.openxmlformats.org/officeDocument/2006/relationships/hyperlink" Target="https://www.bafin.de/SharedDocs/Downloads/EN/FAQ/dl_faq_mar_art_18_insiderlisten_en.pdf?__blob=publicationFile&amp;v=3" TargetMode="External"/><Relationship Id="rId9" Type="http://schemas.openxmlformats.org/officeDocument/2006/relationships/hyperlink" Target="https://www.amf-france.org/technique/multimedia?docId=workspace://SpacesStore/79c5176f-4092-4eda-b87c-eeed641df923_fr_1.1_rendi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2016</Year>
    <TaxCatchAll xmlns="20fbe147-bbda-4e53-b6b1-7e8bbff3fe19">
      <Value>503</Value>
      <Value>1</Value>
      <Value>2</Value>
      <Value>484</Value>
      <Value>504</Value>
    </TaxCatchAll>
    <_dlc_DocId xmlns="20fbe147-bbda-4e53-b6b1-7e8bbff3fe19">ESMA70-156-1394</_dlc_DocId>
    <_dlc_DocIdUrl xmlns="20fbe147-bbda-4e53-b6b1-7e8bbff3fe19">
      <Url>https://sherpa.esma.europa.eu/sites/MKT/SMK/_layouts/15/DocIdRedir.aspx?ID=ESMA70-156-1394</Url>
      <Description>ESMA70-156-1394</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Abuse</TermName>
          <TermId xmlns="http://schemas.microsoft.com/office/infopath/2007/PartnerControls">c480dd12-5209-4ca4-80a5-d0e37753c09e</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Market Abuse - MAR Review</TermName>
          <TermId xmlns="http://schemas.microsoft.com/office/infopath/2007/PartnerControls">786475ed-b1e5-40bb-bf2b-734cb3546e7a</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ADFFE-41E0-49BC-8A9B-46A2984C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3F37C169-B082-42D7-95A8-39DCDC7C43D3}">
  <ds:schemaRefs>
    <ds:schemaRef ds:uri="http://purl.org/dc/elements/1.1/"/>
    <ds:schemaRef ds:uri="http://purl.org/dc/dcmitype/"/>
    <ds:schemaRef ds:uri="http://schemas.microsoft.com/office/2006/documentManagement/types"/>
    <ds:schemaRef ds:uri="20fbe147-bbda-4e53-b6b1-7e8bbff3fe19"/>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schemas.microsoft.com/sharepoint/v4"/>
    <ds:schemaRef ds:uri="http://www.w3.org/XML/1998/namespace"/>
    <ds:schemaRef ds:uri="http://purl.org/dc/terms/"/>
  </ds:schemaRefs>
</ds:datastoreItem>
</file>

<file path=customXml/itemProps5.xml><?xml version="1.0" encoding="utf-8"?>
<ds:datastoreItem xmlns:ds="http://schemas.openxmlformats.org/officeDocument/2006/customXml" ds:itemID="{C745C21D-AD11-4534-A573-4F8722BA4946}">
  <ds:schemaRefs>
    <ds:schemaRef ds:uri="http://schemas.openxmlformats.org/officeDocument/2006/bibliography"/>
  </ds:schemaRefs>
</ds:datastoreItem>
</file>

<file path=customXml/itemProps6.xml><?xml version="1.0" encoding="utf-8"?>
<ds:datastoreItem xmlns:ds="http://schemas.openxmlformats.org/officeDocument/2006/customXml" ds:itemID="{326C73F7-9225-4CC0-9686-9BD3FEA85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29</Pages>
  <Words>12005</Words>
  <Characters>64650</Characters>
  <Application>Microsoft Office Word</Application>
  <DocSecurity>8</DocSecurity>
  <Lines>538</Lines>
  <Paragraphs>153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76502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Gillian Leeson</cp:lastModifiedBy>
  <cp:revision>8</cp:revision>
  <cp:lastPrinted>2015-02-18T11:01:00Z</cp:lastPrinted>
  <dcterms:created xsi:type="dcterms:W3CDTF">2019-10-10T07:52:00Z</dcterms:created>
  <dcterms:modified xsi:type="dcterms:W3CDTF">2019-11-29T10:32:00Z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2d5b60f3-5771-4094-9bd7-de24e244202d</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503;#Market Abuse|c480dd12-5209-4ca4-80a5-d0e37753c09e</vt:lpwstr>
  </property>
  <property fmtid="{D5CDD505-2E9C-101B-9397-08002B2CF9AE}" pid="7" name="ConfidentialityLevel">
    <vt:lpwstr>2;#Restricted|187aa7e6-627f-4951-b138-6ff841dc883d</vt:lpwstr>
  </property>
  <property fmtid="{D5CDD505-2E9C-101B-9397-08002B2CF9AE}" pid="8" name="DocumentType">
    <vt:lpwstr>1;#Note|b9e1c92e-303a-4555-86f0-5c711c65937e</vt:lpwstr>
  </property>
  <property fmtid="{D5CDD505-2E9C-101B-9397-08002B2CF9AE}" pid="9" name="SubTopic">
    <vt:lpwstr>504;#Market Abuse - MAR Review|786475ed-b1e5-40bb-bf2b-734cb3546e7a</vt:lpwstr>
  </property>
  <property fmtid="{D5CDD505-2E9C-101B-9397-08002B2CF9AE}" pid="10" name="docIndexRef">
    <vt:lpwstr>00336cbd-a3da-40b0-aa56-e634e150ab43</vt:lpwstr>
  </property>
  <property fmtid="{D5CDD505-2E9C-101B-9397-08002B2CF9AE}" pid="11" name="bjSaver">
    <vt:lpwstr>hYBu0c4MPh/4Z/cgi1fe4JdTuJcCIMC6</vt:lpwstr>
  </property>
  <property fmtid="{D5CDD505-2E9C-101B-9397-08002B2CF9AE}" pid="12" name="bjDocumentSecurityLabel">
    <vt:lpwstr>This item has no classification</vt:lpwstr>
  </property>
</Properties>
</file>