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C3E09EB" w14:textId="77777777" w:rsidTr="00315E96">
        <w:trPr>
          <w:trHeight w:val="284"/>
        </w:trPr>
        <w:tc>
          <w:tcPr>
            <w:tcW w:w="9412" w:type="dxa"/>
          </w:tcPr>
          <w:p w14:paraId="3C3E09EA" w14:textId="2FD7B092" w:rsidR="00C2094B" w:rsidRPr="00583885" w:rsidRDefault="00A52EBB" w:rsidP="0071740A">
            <w:pPr>
              <w:pStyle w:val="Voettekst"/>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14:paraId="3C3E09EC"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C3E09EE" w14:textId="77777777" w:rsidTr="00B835D5">
        <w:trPr>
          <w:trHeight w:hRule="exact" w:val="1209"/>
        </w:trPr>
        <w:tc>
          <w:tcPr>
            <w:tcW w:w="9397" w:type="dxa"/>
            <w:vAlign w:val="bottom"/>
          </w:tcPr>
          <w:p w14:paraId="3C3E09ED"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14:paraId="3C3E09F0" w14:textId="77777777" w:rsidTr="00B835D5">
        <w:trPr>
          <w:trHeight w:hRule="exact" w:val="605"/>
        </w:trPr>
        <w:tc>
          <w:tcPr>
            <w:tcW w:w="9397" w:type="dxa"/>
            <w:tcMar>
              <w:top w:w="142" w:type="dxa"/>
            </w:tcMar>
          </w:tcPr>
          <w:p w14:paraId="3C3E09E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C3E09F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3C3E09F3" w14:textId="77777777" w:rsidTr="00315E96">
        <w:trPr>
          <w:trHeight w:hRule="exact" w:val="964"/>
        </w:trPr>
        <w:tc>
          <w:tcPr>
            <w:tcW w:w="2325" w:type="dxa"/>
          </w:tcPr>
          <w:p w14:paraId="3C3E09F2" w14:textId="2D77F543"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14:paraId="3C3E09F4"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3E09F5" w14:textId="77777777" w:rsidR="00F574D0" w:rsidRPr="00EF0769" w:rsidRDefault="00F574D0" w:rsidP="00F574D0">
      <w:pPr>
        <w:pStyle w:val="04BodyText"/>
        <w:spacing w:before="120" w:after="120"/>
        <w:rPr>
          <w:rFonts w:cs="Arial"/>
        </w:rPr>
      </w:pPr>
      <w:r w:rsidRPr="00EF0769">
        <w:rPr>
          <w:rFonts w:cs="Arial"/>
        </w:rPr>
        <w:t xml:space="preserve">The European Securities and Markets Authority (ESMA) invites responses </w:t>
      </w:r>
      <w:bookmarkStart w:id="1" w:name="_Hlk25058753"/>
      <w:r w:rsidRPr="00EF0769">
        <w:rPr>
          <w:rFonts w:cs="Arial"/>
        </w:rPr>
        <w:t>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bookmarkEnd w:id="1"/>
      <w:r w:rsidR="00015B5E" w:rsidRPr="00EF0769">
        <w:rPr>
          <w:rFonts w:cs="Arial"/>
        </w:rPr>
        <w:t>published on the ESMA website</w:t>
      </w:r>
      <w:r w:rsidR="004E49B0" w:rsidRPr="00EF0769">
        <w:rPr>
          <w:rFonts w:cs="Arial"/>
        </w:rPr>
        <w:t>.</w:t>
      </w:r>
    </w:p>
    <w:p w14:paraId="3C3E09F6" w14:textId="77777777" w:rsidR="001D000A" w:rsidRDefault="001D000A" w:rsidP="00F574D0">
      <w:pPr>
        <w:autoSpaceDE w:val="0"/>
        <w:autoSpaceDN w:val="0"/>
        <w:adjustRightInd w:val="0"/>
        <w:spacing w:before="120" w:after="120" w:line="276" w:lineRule="auto"/>
        <w:jc w:val="both"/>
        <w:rPr>
          <w:rStyle w:val="Strong4"/>
          <w:rFonts w:cs="Arial"/>
          <w:i/>
        </w:rPr>
      </w:pPr>
    </w:p>
    <w:p w14:paraId="3C3E09F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C3E09F8"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C3E09F9"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3C3E09FA"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14:paraId="3C3E09FB"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C3E09F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C3E09FD"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3C3E09FE"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C3E09F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3C3E0A00"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C3E0A01" w14:textId="77777777" w:rsidR="001D000A" w:rsidRDefault="001D000A" w:rsidP="000D17AA">
      <w:pPr>
        <w:pStyle w:val="04BodyText"/>
        <w:spacing w:before="120" w:after="120"/>
        <w:jc w:val="left"/>
        <w:rPr>
          <w:rFonts w:cs="Arial"/>
          <w:b/>
        </w:rPr>
      </w:pPr>
    </w:p>
    <w:p w14:paraId="3C3E0A02" w14:textId="77777777" w:rsidR="000D17AA" w:rsidRPr="00EF0769" w:rsidRDefault="00606240" w:rsidP="000D17AA">
      <w:pPr>
        <w:pStyle w:val="04BodyText"/>
        <w:spacing w:before="120" w:after="120"/>
        <w:jc w:val="left"/>
        <w:rPr>
          <w:rFonts w:cs="Arial"/>
          <w:b/>
        </w:rPr>
      </w:pPr>
      <w:r>
        <w:rPr>
          <w:rFonts w:cs="Arial"/>
          <w:b/>
        </w:rPr>
        <w:t>Naming protocol</w:t>
      </w:r>
    </w:p>
    <w:p w14:paraId="3C3E0A03"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3C3E0A0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14:paraId="3C3E0A0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C3E0A06"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14:paraId="3C3E0A07"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14:paraId="3C3E0A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C3E0A0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C3E0A0A"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14:paraId="3C3E0A0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2" w:name="_Toc335141334"/>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w:t>
      </w:r>
    </w:p>
    <w:p w14:paraId="3C3E0A0C"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C3E0A0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14:paraId="3C3E0A0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C3E0A0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14:paraId="3C3E0A1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14:paraId="3C3E0A11"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C3E0A12"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C3E0A13" w14:textId="77777777" w:rsidR="00332304" w:rsidRDefault="00332304">
      <w:pPr>
        <w:rPr>
          <w:rFonts w:cs="Arial"/>
          <w:b/>
          <w:bCs/>
          <w:kern w:val="32"/>
          <w:sz w:val="24"/>
          <w:szCs w:val="32"/>
        </w:rPr>
      </w:pPr>
      <w:r>
        <w:br w:type="page"/>
      </w:r>
    </w:p>
    <w:p w14:paraId="3C3E0A14" w14:textId="77777777" w:rsidR="00F87897" w:rsidRPr="00AB6D88" w:rsidRDefault="00F87897" w:rsidP="00F87897">
      <w:pPr>
        <w:pStyle w:val="Kop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3C3E0A17" w14:textId="77777777" w:rsidTr="00FA5524">
        <w:tc>
          <w:tcPr>
            <w:tcW w:w="3929" w:type="dxa"/>
            <w:shd w:val="clear" w:color="auto" w:fill="auto"/>
          </w:tcPr>
          <w:p w14:paraId="3C3E0A15" w14:textId="77777777" w:rsidR="00C2682A" w:rsidRPr="00E40A5C" w:rsidRDefault="00C2682A" w:rsidP="00FA5524">
            <w:pPr>
              <w:rPr>
                <w:rFonts w:cs="Arial"/>
                <w:sz w:val="22"/>
              </w:rPr>
            </w:pPr>
            <w:permStart w:id="751859053" w:edGrp="everyone" w:colFirst="1" w:colLast="1"/>
            <w:r w:rsidRPr="00E40A5C">
              <w:rPr>
                <w:rFonts w:cs="Arial"/>
                <w:sz w:val="22"/>
              </w:rPr>
              <w:t>Name of the company / organisation</w:t>
            </w:r>
          </w:p>
        </w:tc>
        <w:sdt>
          <w:sdtPr>
            <w:rPr>
              <w:rStyle w:val="Tekstvantijdelijkeaanduiding"/>
              <w:rFonts w:cs="Arial"/>
            </w:rPr>
            <w:id w:val="651570699"/>
            <w:text/>
          </w:sdtPr>
          <w:sdtContent>
            <w:tc>
              <w:tcPr>
                <w:tcW w:w="5595" w:type="dxa"/>
                <w:shd w:val="clear" w:color="auto" w:fill="auto"/>
              </w:tcPr>
              <w:p w14:paraId="3C3E0A16" w14:textId="19F31D52" w:rsidR="00C2682A" w:rsidRPr="00AB6D88" w:rsidRDefault="00DC3F67" w:rsidP="00FA5524">
                <w:pPr>
                  <w:rPr>
                    <w:rStyle w:val="Tekstvantijdelijkeaanduiding"/>
                    <w:rFonts w:cs="Arial"/>
                  </w:rPr>
                </w:pPr>
                <w:r>
                  <w:rPr>
                    <w:rStyle w:val="Tekstvantijdelijkeaanduiding"/>
                    <w:rFonts w:cs="Arial"/>
                  </w:rPr>
                  <w:t>Dutch Fund and Asset Management Association</w:t>
                </w:r>
              </w:p>
            </w:tc>
          </w:sdtContent>
        </w:sdt>
      </w:tr>
      <w:tr w:rsidR="00C2682A" w:rsidRPr="00AB6D88" w14:paraId="3C3E0A1A" w14:textId="77777777" w:rsidTr="00FA5524">
        <w:tc>
          <w:tcPr>
            <w:tcW w:w="3929" w:type="dxa"/>
            <w:shd w:val="clear" w:color="auto" w:fill="auto"/>
          </w:tcPr>
          <w:p w14:paraId="3C3E0A18" w14:textId="77777777" w:rsidR="00C2682A" w:rsidRPr="00E40A5C" w:rsidRDefault="00C2682A" w:rsidP="00FA5524">
            <w:pPr>
              <w:rPr>
                <w:rFonts w:cs="Arial"/>
                <w:sz w:val="22"/>
              </w:rPr>
            </w:pPr>
            <w:permStart w:id="1858231047" w:edGrp="everyone" w:colFirst="1" w:colLast="1"/>
            <w:permEnd w:id="751859053"/>
            <w:r w:rsidRPr="00E40A5C">
              <w:rPr>
                <w:rFonts w:cs="Arial"/>
                <w:sz w:val="22"/>
              </w:rPr>
              <w:t>Activity</w:t>
            </w:r>
          </w:p>
        </w:tc>
        <w:tc>
          <w:tcPr>
            <w:tcW w:w="5595" w:type="dxa"/>
            <w:shd w:val="clear" w:color="auto" w:fill="auto"/>
          </w:tcPr>
          <w:p w14:paraId="3C3E0A19" w14:textId="28A1B94C" w:rsidR="00C2682A" w:rsidRPr="00AB6D88" w:rsidRDefault="00B2484A"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DC3F67">
                  <w:rPr>
                    <w:rFonts w:cs="Arial"/>
                  </w:rPr>
                  <w:t>Investment Services</w:t>
                </w:r>
              </w:sdtContent>
            </w:sdt>
          </w:p>
        </w:tc>
      </w:tr>
      <w:tr w:rsidR="00C2682A" w:rsidRPr="00AB6D88" w14:paraId="3C3E0A1D" w14:textId="77777777" w:rsidTr="00FA5524">
        <w:tc>
          <w:tcPr>
            <w:tcW w:w="3929" w:type="dxa"/>
            <w:shd w:val="clear" w:color="auto" w:fill="auto"/>
          </w:tcPr>
          <w:p w14:paraId="3C3E0A1B" w14:textId="77777777" w:rsidR="00C2682A" w:rsidRPr="00E40A5C" w:rsidRDefault="00C2682A" w:rsidP="00FA5524">
            <w:pPr>
              <w:rPr>
                <w:rFonts w:cs="Arial"/>
                <w:sz w:val="22"/>
              </w:rPr>
            </w:pPr>
            <w:permStart w:id="1888051579" w:edGrp="everyone" w:colFirst="1" w:colLast="1"/>
            <w:permEnd w:id="1858231047"/>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Content>
            <w:tc>
              <w:tcPr>
                <w:tcW w:w="5595" w:type="dxa"/>
                <w:shd w:val="clear" w:color="auto" w:fill="auto"/>
              </w:tcPr>
              <w:p w14:paraId="3C3E0A1C" w14:textId="5BBD979C" w:rsidR="00C2682A" w:rsidRPr="00AB6D88" w:rsidRDefault="00DC3F67" w:rsidP="00FA5524">
                <w:pPr>
                  <w:rPr>
                    <w:rFonts w:cs="Arial"/>
                  </w:rPr>
                </w:pPr>
                <w:r>
                  <w:rPr>
                    <w:rFonts w:ascii="MS Gothic" w:eastAsia="MS Gothic" w:hAnsi="MS Gothic" w:cs="Arial" w:hint="eastAsia"/>
                  </w:rPr>
                  <w:t>☒</w:t>
                </w:r>
              </w:p>
            </w:tc>
          </w:sdtContent>
        </w:sdt>
      </w:tr>
      <w:tr w:rsidR="00C2682A" w:rsidRPr="00AB6D88" w14:paraId="3C3E0A20" w14:textId="77777777" w:rsidTr="00FA5524">
        <w:tc>
          <w:tcPr>
            <w:tcW w:w="3929" w:type="dxa"/>
            <w:shd w:val="clear" w:color="auto" w:fill="auto"/>
          </w:tcPr>
          <w:p w14:paraId="3C3E0A1E" w14:textId="77777777" w:rsidR="00C2682A" w:rsidRPr="00E40A5C" w:rsidRDefault="00C2682A" w:rsidP="00FA5524">
            <w:pPr>
              <w:rPr>
                <w:rFonts w:cs="Arial"/>
                <w:sz w:val="22"/>
              </w:rPr>
            </w:pPr>
            <w:permStart w:id="2006712505" w:edGrp="everyone" w:colFirst="1" w:colLast="1"/>
            <w:permEnd w:id="1888051579"/>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3C3E0A1F" w14:textId="1B7C8684" w:rsidR="00C2682A" w:rsidRPr="00AB6D88" w:rsidRDefault="00DC3F67" w:rsidP="00FA5524">
                <w:pPr>
                  <w:rPr>
                    <w:rFonts w:cs="Arial"/>
                  </w:rPr>
                </w:pPr>
                <w:r>
                  <w:rPr>
                    <w:rFonts w:cs="Arial"/>
                  </w:rPr>
                  <w:t>Netherlands</w:t>
                </w:r>
              </w:p>
            </w:tc>
          </w:sdtContent>
        </w:sdt>
      </w:tr>
      <w:permEnd w:id="2006712505"/>
    </w:tbl>
    <w:p w14:paraId="3C3E0A21" w14:textId="77777777" w:rsidR="00C2682A" w:rsidRDefault="00C2682A" w:rsidP="00F87897">
      <w:pPr>
        <w:spacing w:after="120" w:line="264" w:lineRule="auto"/>
      </w:pPr>
    </w:p>
    <w:p w14:paraId="3C3E0A22" w14:textId="77777777" w:rsidR="00F87897" w:rsidRDefault="00F87897" w:rsidP="00F87897">
      <w:pPr>
        <w:spacing w:after="120" w:line="264" w:lineRule="auto"/>
      </w:pPr>
    </w:p>
    <w:p w14:paraId="3C3E0A23" w14:textId="77777777" w:rsidR="00F87897" w:rsidRDefault="00F87897" w:rsidP="00F87897">
      <w:pPr>
        <w:pStyle w:val="Kop1"/>
        <w:numPr>
          <w:ilvl w:val="0"/>
          <w:numId w:val="0"/>
        </w:numPr>
        <w:ind w:left="431" w:hanging="431"/>
      </w:pPr>
      <w:r>
        <w:t>Introduction</w:t>
      </w:r>
    </w:p>
    <w:p w14:paraId="3C3E0A24" w14:textId="77777777" w:rsidR="00F87897" w:rsidRPr="001D47A5" w:rsidRDefault="00F87897" w:rsidP="00F87897">
      <w:pPr>
        <w:rPr>
          <w:rStyle w:val="Intensievebenadrukking"/>
        </w:rPr>
      </w:pPr>
      <w:r w:rsidRPr="001D47A5">
        <w:rPr>
          <w:rStyle w:val="Intensievebenadrukking"/>
        </w:rPr>
        <w:t>Please make your introductory comments below, if any:</w:t>
      </w:r>
    </w:p>
    <w:p w14:paraId="3C3E0A25" w14:textId="77777777" w:rsidR="00F87897" w:rsidRPr="00BF28DA" w:rsidRDefault="00F87897" w:rsidP="00F87897"/>
    <w:p w14:paraId="3C3E0A26" w14:textId="77777777" w:rsidR="00F87897" w:rsidRPr="006F4535" w:rsidRDefault="00F87897" w:rsidP="00F87897">
      <w:r w:rsidRPr="006F4535">
        <w:t>&lt;ESMA_COMMENT_</w:t>
      </w:r>
      <w:r w:rsidR="00227C1A">
        <w:t>CP_MAR_</w:t>
      </w:r>
      <w:r w:rsidRPr="006F4535">
        <w:t>1&gt;</w:t>
      </w:r>
    </w:p>
    <w:p w14:paraId="3C3E0A27" w14:textId="37F72B19" w:rsidR="00F87897" w:rsidRDefault="00B2484A" w:rsidP="00F87897">
      <w:permStart w:id="1594194160" w:edGrp="everyone"/>
      <w:r w:rsidRPr="00B2484A">
        <w:rPr>
          <w:rFonts w:ascii="Gill Sans MT" w:hAnsi="Gill Sans MT"/>
          <w:sz w:val="21"/>
          <w:lang w:eastAsia="en-US"/>
        </w:rPr>
        <w:t>The Dutch Fund and Asset Management Association (Dufas)</w:t>
      </w:r>
      <w:r>
        <w:rPr>
          <w:rFonts w:ascii="Gill Sans MT" w:hAnsi="Gill Sans MT"/>
          <w:sz w:val="21"/>
          <w:lang w:eastAsia="en-US"/>
        </w:rPr>
        <w:t xml:space="preserve"> </w:t>
      </w:r>
      <w:r w:rsidR="00DC3F67" w:rsidRPr="00B2484A">
        <w:rPr>
          <w:rFonts w:ascii="Gill Sans MT" w:hAnsi="Gill Sans MT"/>
          <w:sz w:val="21"/>
          <w:lang w:eastAsia="en-US"/>
        </w:rPr>
        <w:t xml:space="preserve">welcomes the opportunity to respond to </w:t>
      </w:r>
      <w:r>
        <w:rPr>
          <w:rFonts w:ascii="Gill Sans MT" w:hAnsi="Gill Sans MT"/>
          <w:sz w:val="21"/>
          <w:lang w:eastAsia="en-US"/>
        </w:rPr>
        <w:t xml:space="preserve">several </w:t>
      </w:r>
      <w:r w:rsidR="00DC3F67" w:rsidRPr="00B2484A">
        <w:rPr>
          <w:rFonts w:ascii="Gill Sans MT" w:hAnsi="Gill Sans MT"/>
          <w:sz w:val="21"/>
          <w:lang w:eastAsia="en-US"/>
        </w:rPr>
        <w:t xml:space="preserve"> specific questions listed in the Consultation Paper on the MAR review report</w:t>
      </w:r>
      <w:r w:rsidRPr="00B2484A">
        <w:rPr>
          <w:rFonts w:ascii="Gill Sans MT" w:hAnsi="Gill Sans MT"/>
          <w:sz w:val="21"/>
          <w:lang w:eastAsia="en-US"/>
        </w:rPr>
        <w:t xml:space="preserve">. </w:t>
      </w:r>
      <w:r>
        <w:rPr>
          <w:rFonts w:ascii="Gill Sans MT" w:hAnsi="Gill Sans MT"/>
          <w:sz w:val="21"/>
          <w:lang w:eastAsia="en-US"/>
        </w:rPr>
        <w:t xml:space="preserve">Dufas </w:t>
      </w:r>
      <w:r w:rsidRPr="00B2484A">
        <w:rPr>
          <w:rFonts w:ascii="Gill Sans MT" w:hAnsi="Gill Sans MT"/>
          <w:sz w:val="21"/>
          <w:lang w:eastAsia="en-US"/>
        </w:rPr>
        <w:t>promotes the collective interests of asset managers, investment firms and custodians, operating on and from the Dutch market place – both Dutch and foreign parties. Dufas has a commercial focus, aimed at creating both institutional and retail business opportunities for its members. Central to this is the promotion of an optimal business climate for asset management in the Netherlands. A level playing field for free supply of investment products and asset management services within the European Union and a broadening of the market for investment products are key. Dufas represents over 95% of the Dutch asset management market, both retail and institutional business. Next to independent asset management firms, self-managed (real estate) funds and custodians, Dufas membership is comprised of asset management firms that are linked to banking, insurance and pension funds. For more information, see: www.dufas.nl</w:t>
      </w:r>
      <w:r w:rsidR="00DC3F67" w:rsidRPr="00DC3F67">
        <w:rPr>
          <w:rFonts w:ascii="Gill Sans MT" w:hAnsi="Gill Sans MT"/>
          <w:sz w:val="21"/>
          <w:lang w:eastAsia="en-US"/>
        </w:rPr>
        <w:t xml:space="preserve"> .</w:t>
      </w:r>
      <w:permEnd w:id="1594194160"/>
    </w:p>
    <w:p w14:paraId="3C3E0A28" w14:textId="77777777" w:rsidR="00F87897" w:rsidRPr="00BF28DA" w:rsidRDefault="00F87897" w:rsidP="00F87897">
      <w:r w:rsidRPr="00BF28DA">
        <w:t>&lt;ESMA_COMMENT_</w:t>
      </w:r>
      <w:r w:rsidR="00227C1A">
        <w:t>CP_MAR_</w:t>
      </w:r>
      <w:r w:rsidRPr="00BF28DA">
        <w:t>1&gt;</w:t>
      </w:r>
    </w:p>
    <w:p w14:paraId="3C3E0A29" w14:textId="77777777" w:rsidR="00F87897" w:rsidRDefault="00F87897">
      <w:pPr>
        <w:rPr>
          <w:rFonts w:eastAsiaTheme="minorEastAsia" w:cstheme="minorBidi"/>
          <w:b/>
          <w:sz w:val="22"/>
          <w:szCs w:val="20"/>
          <w:lang w:eastAsia="en-US"/>
        </w:rPr>
      </w:pPr>
      <w:r>
        <w:br w:type="page"/>
      </w:r>
    </w:p>
    <w:p w14:paraId="3C3E0A2A" w14:textId="77777777" w:rsidR="00A8728B" w:rsidRPr="00070630" w:rsidRDefault="00227C1A" w:rsidP="00431B0A">
      <w:pPr>
        <w:pStyle w:val="CPQuestions"/>
      </w:pPr>
      <w:r w:rsidRPr="00227C1A">
        <w:lastRenderedPageBreak/>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14:paraId="3C3E0A2B" w14:textId="77777777" w:rsidR="00A8728B" w:rsidRDefault="00A8728B" w:rsidP="00A8728B">
      <w:r>
        <w:t>&lt;ESMA_QUESTION</w:t>
      </w:r>
      <w:r w:rsidR="00D920D1">
        <w:t>_</w:t>
      </w:r>
      <w:r w:rsidR="00227C1A">
        <w:t>CP_MAR_</w:t>
      </w:r>
      <w:r>
        <w:t>1&gt;</w:t>
      </w:r>
    </w:p>
    <w:p w14:paraId="63858014" w14:textId="7E49C0E4" w:rsidR="00BA387A" w:rsidRPr="00C635AF" w:rsidRDefault="00E80271" w:rsidP="00BA387A">
      <w:pPr>
        <w:pStyle w:val="Default"/>
        <w:spacing w:line="260" w:lineRule="exact"/>
        <w:rPr>
          <w:rFonts w:ascii="Taz SemiLight" w:hAnsi="Taz SemiLight"/>
          <w:sz w:val="20"/>
          <w:szCs w:val="20"/>
          <w:lang w:val="en-US"/>
        </w:rPr>
      </w:pPr>
      <w:permStart w:id="751114692" w:edGrp="everyone"/>
      <w:r>
        <w:rPr>
          <w:rFonts w:ascii="Taz SemiLight" w:hAnsi="Taz SemiLight"/>
          <w:bCs/>
          <w:sz w:val="20"/>
          <w:szCs w:val="20"/>
          <w:lang w:val="en-US"/>
        </w:rPr>
        <w:t>No, we do not think this is necessary. A</w:t>
      </w:r>
      <w:r w:rsidR="00BA387A" w:rsidRPr="00C635AF">
        <w:rPr>
          <w:rFonts w:ascii="Taz SemiLight" w:hAnsi="Taz SemiLight"/>
          <w:bCs/>
          <w:sz w:val="20"/>
          <w:szCs w:val="20"/>
          <w:lang w:val="en-US"/>
        </w:rPr>
        <w:t>t this stage, we do not consider it appropriate to extend the scope of MAR to FX contracts. As ESMA rightly notes</w:t>
      </w:r>
      <w:r w:rsidR="003976CD">
        <w:rPr>
          <w:rFonts w:ascii="Taz SemiLight" w:hAnsi="Taz SemiLight"/>
          <w:bCs/>
          <w:sz w:val="20"/>
          <w:szCs w:val="20"/>
          <w:lang w:val="en-US"/>
        </w:rPr>
        <w:t>,</w:t>
      </w:r>
      <w:r w:rsidR="00BA387A" w:rsidRPr="00C635AF">
        <w:rPr>
          <w:rFonts w:ascii="Taz SemiLight" w:hAnsi="Taz SemiLight"/>
          <w:bCs/>
          <w:sz w:val="20"/>
          <w:szCs w:val="20"/>
          <w:lang w:val="en-US"/>
        </w:rPr>
        <w:t xml:space="preserve"> </w:t>
      </w:r>
      <w:r w:rsidR="00BA387A" w:rsidRPr="00C635AF">
        <w:rPr>
          <w:rFonts w:ascii="Taz SemiLight" w:hAnsi="Taz SemiLight"/>
          <w:sz w:val="20"/>
          <w:szCs w:val="20"/>
          <w:lang w:val="en-US"/>
        </w:rPr>
        <w:t>the FX Global Code of Conduct (‘the Code’)</w:t>
      </w:r>
      <w:r w:rsidR="003976CD">
        <w:rPr>
          <w:rFonts w:ascii="Taz SemiLight" w:hAnsi="Taz SemiLight"/>
          <w:sz w:val="20"/>
          <w:szCs w:val="20"/>
          <w:lang w:val="en-US"/>
        </w:rPr>
        <w:t>,</w:t>
      </w:r>
      <w:r w:rsidR="00BA387A" w:rsidRPr="00C635AF">
        <w:rPr>
          <w:rFonts w:ascii="Taz SemiLight" w:hAnsi="Taz SemiLight"/>
          <w:sz w:val="20"/>
          <w:szCs w:val="20"/>
          <w:lang w:val="en-US"/>
        </w:rPr>
        <w:t xml:space="preserve"> developed by central banks and market participants from sixteen jurisdictions around the globe has already achieved progress in promoting higher standards in the wholesale FX market. An increasing number of buy side firms has signed up to the Code.</w:t>
      </w:r>
    </w:p>
    <w:p w14:paraId="138F5835" w14:textId="77777777" w:rsidR="00BA387A" w:rsidRPr="00C635AF" w:rsidRDefault="00BA387A" w:rsidP="00BA387A">
      <w:pPr>
        <w:pStyle w:val="Default"/>
        <w:spacing w:line="260" w:lineRule="exact"/>
        <w:rPr>
          <w:rFonts w:ascii="Taz SemiLight" w:hAnsi="Taz SemiLight"/>
          <w:sz w:val="20"/>
          <w:szCs w:val="20"/>
          <w:lang w:val="en-US"/>
        </w:rPr>
      </w:pPr>
    </w:p>
    <w:p w14:paraId="7D37B407" w14:textId="05C309F2" w:rsidR="00BA387A" w:rsidRPr="00C635AF" w:rsidRDefault="00BA387A" w:rsidP="00BA387A">
      <w:pPr>
        <w:pStyle w:val="Default"/>
        <w:spacing w:line="260" w:lineRule="exact"/>
        <w:rPr>
          <w:rFonts w:ascii="Taz SemiLight" w:hAnsi="Taz SemiLight"/>
          <w:sz w:val="20"/>
          <w:szCs w:val="20"/>
          <w:lang w:val="en-US"/>
        </w:rPr>
      </w:pPr>
      <w:r w:rsidRPr="00C635AF">
        <w:rPr>
          <w:rFonts w:ascii="Taz SemiLight" w:hAnsi="Taz SemiLight"/>
          <w:sz w:val="20"/>
          <w:szCs w:val="20"/>
          <w:lang w:val="en-US"/>
        </w:rPr>
        <w:t xml:space="preserve">This Code is currently under revision </w:t>
      </w:r>
      <w:r w:rsidRPr="00C635AF">
        <w:rPr>
          <w:rFonts w:ascii="Taz SemiLight" w:hAnsi="Taz SemiLight"/>
          <w:bCs/>
          <w:sz w:val="20"/>
          <w:szCs w:val="20"/>
          <w:lang w:val="en-US"/>
        </w:rPr>
        <w:t xml:space="preserve">with a focus on implications for the buy-side and </w:t>
      </w:r>
      <w:r w:rsidR="003976CD">
        <w:rPr>
          <w:rFonts w:ascii="Taz SemiLight" w:hAnsi="Taz SemiLight"/>
          <w:bCs/>
          <w:sz w:val="20"/>
          <w:szCs w:val="20"/>
          <w:lang w:val="en-US"/>
        </w:rPr>
        <w:t xml:space="preserve">with the intention </w:t>
      </w:r>
      <w:r w:rsidRPr="00C635AF">
        <w:rPr>
          <w:rFonts w:ascii="Taz SemiLight" w:hAnsi="Taz SemiLight"/>
          <w:bCs/>
          <w:sz w:val="20"/>
          <w:szCs w:val="20"/>
          <w:lang w:val="en-US"/>
        </w:rPr>
        <w:t xml:space="preserve">to make it more robust. The ECB plays a central </w:t>
      </w:r>
      <w:r>
        <w:rPr>
          <w:rFonts w:ascii="Taz SemiLight" w:hAnsi="Taz SemiLight"/>
          <w:bCs/>
          <w:sz w:val="20"/>
          <w:szCs w:val="20"/>
          <w:lang w:val="en-US"/>
        </w:rPr>
        <w:t xml:space="preserve">role </w:t>
      </w:r>
      <w:r w:rsidRPr="00C635AF">
        <w:rPr>
          <w:rFonts w:ascii="Taz SemiLight" w:hAnsi="Taz SemiLight"/>
          <w:bCs/>
          <w:sz w:val="20"/>
          <w:szCs w:val="20"/>
          <w:lang w:val="en-US"/>
        </w:rPr>
        <w:t xml:space="preserve">in the reform. Our understanding is that </w:t>
      </w:r>
      <w:r>
        <w:rPr>
          <w:rFonts w:ascii="Taz SemiLight" w:hAnsi="Taz SemiLight"/>
          <w:bCs/>
          <w:sz w:val="20"/>
          <w:szCs w:val="20"/>
          <w:lang w:val="en-US"/>
        </w:rPr>
        <w:t xml:space="preserve">the </w:t>
      </w:r>
      <w:r w:rsidRPr="00C635AF">
        <w:rPr>
          <w:rFonts w:ascii="Taz SemiLight" w:hAnsi="Taz SemiLight"/>
          <w:bCs/>
          <w:sz w:val="20"/>
          <w:szCs w:val="20"/>
          <w:lang w:val="en-US"/>
        </w:rPr>
        <w:t xml:space="preserve">reformed Code will increasingly address potential specific issues </w:t>
      </w:r>
      <w:r w:rsidRPr="00C635AF">
        <w:rPr>
          <w:rFonts w:ascii="Taz SemiLight" w:hAnsi="Taz SemiLight"/>
          <w:sz w:val="20"/>
          <w:szCs w:val="20"/>
          <w:lang w:val="en-US"/>
        </w:rPr>
        <w:t xml:space="preserve">in the spot FX market around e.g. conflicts of interest, handling of confidential information and transparency as regards how market participants executed and managed FX transactions. </w:t>
      </w:r>
    </w:p>
    <w:p w14:paraId="5D027B62" w14:textId="77777777" w:rsidR="00BA387A" w:rsidRPr="00C635AF" w:rsidRDefault="00BA387A" w:rsidP="00BA387A">
      <w:pPr>
        <w:pStyle w:val="Default"/>
        <w:spacing w:line="260" w:lineRule="exact"/>
        <w:rPr>
          <w:rFonts w:ascii="Taz SemiLight" w:hAnsi="Taz SemiLight"/>
          <w:sz w:val="20"/>
          <w:szCs w:val="20"/>
          <w:lang w:val="en-US"/>
        </w:rPr>
      </w:pPr>
    </w:p>
    <w:p w14:paraId="3C3E0A2C" w14:textId="680F0609" w:rsidR="00A8728B" w:rsidRDefault="00BA387A" w:rsidP="00A8728B">
      <w:r w:rsidRPr="00C635AF">
        <w:rPr>
          <w:rFonts w:ascii="Taz SemiLight" w:hAnsi="Taz SemiLight"/>
          <w:szCs w:val="20"/>
          <w:lang w:val="en-US"/>
        </w:rPr>
        <w:t xml:space="preserve">One sensible approach for ESMA and the Commission </w:t>
      </w:r>
      <w:r w:rsidR="003976CD">
        <w:rPr>
          <w:rFonts w:ascii="Taz SemiLight" w:hAnsi="Taz SemiLight"/>
          <w:szCs w:val="20"/>
          <w:lang w:val="en-US"/>
        </w:rPr>
        <w:t xml:space="preserve">would in our opinion be </w:t>
      </w:r>
      <w:r w:rsidRPr="00C635AF">
        <w:rPr>
          <w:rFonts w:ascii="Taz SemiLight" w:hAnsi="Taz SemiLight"/>
          <w:szCs w:val="20"/>
          <w:lang w:val="en-US"/>
        </w:rPr>
        <w:t xml:space="preserve">to allow the market to use the reformed Code for a couple of years and subsequently evaluate whether it is necessary to supplement the Code with public policies, derived from MAR or other </w:t>
      </w:r>
      <w:r w:rsidR="003976CD">
        <w:rPr>
          <w:rFonts w:ascii="Taz SemiLight" w:hAnsi="Taz SemiLight"/>
          <w:szCs w:val="20"/>
          <w:lang w:val="en-US"/>
        </w:rPr>
        <w:t>areas</w:t>
      </w:r>
      <w:r w:rsidRPr="00C635AF">
        <w:rPr>
          <w:rFonts w:ascii="Taz SemiLight" w:hAnsi="Taz SemiLight"/>
          <w:szCs w:val="20"/>
          <w:lang w:val="en-US"/>
        </w:rPr>
        <w:t xml:space="preserve"> of Financial regulation.</w:t>
      </w:r>
      <w:permEnd w:id="751114692"/>
    </w:p>
    <w:p w14:paraId="3C3E0A2D" w14:textId="77777777" w:rsidR="00A8728B" w:rsidRDefault="00A8728B" w:rsidP="00A8728B">
      <w:r>
        <w:t>&lt;ESMA_QUESTION</w:t>
      </w:r>
      <w:r w:rsidR="00D920D1">
        <w:t>_</w:t>
      </w:r>
      <w:r w:rsidR="00227C1A">
        <w:t>CP_MAR_</w:t>
      </w:r>
      <w:r>
        <w:t>1&gt;</w:t>
      </w:r>
    </w:p>
    <w:p w14:paraId="3C3E0A2E" w14:textId="77777777" w:rsidR="00C228C1" w:rsidRDefault="00C228C1" w:rsidP="00A8728B"/>
    <w:p w14:paraId="3C3E0A2F" w14:textId="77777777" w:rsidR="00431DA4" w:rsidRPr="00431DA4" w:rsidRDefault="00227C1A" w:rsidP="00EF383B">
      <w:pPr>
        <w:pStyle w:val="CPQuestions"/>
      </w:pPr>
      <w:r w:rsidRPr="00227C1A">
        <w:t>Do you agree with ESMA’s preliminary view about the structural changes that would be necessary to apply MAR to spot FX contracts? Please elaborate and indicate if you would consider necessary introducing additional regulatory changes</w:t>
      </w:r>
      <w:r w:rsidR="00276A5A">
        <w:t>.</w:t>
      </w:r>
    </w:p>
    <w:p w14:paraId="3C3E0A30" w14:textId="77777777" w:rsidR="00A8728B" w:rsidRDefault="00A8728B" w:rsidP="00A8728B">
      <w:r>
        <w:t>&lt;ESMA_QUESTION</w:t>
      </w:r>
      <w:r w:rsidR="00D920D1">
        <w:t>_</w:t>
      </w:r>
      <w:r w:rsidR="00227C1A">
        <w:t>CP_MAR_</w:t>
      </w:r>
      <w:r>
        <w:t>2&gt;</w:t>
      </w:r>
    </w:p>
    <w:p w14:paraId="3C3E0A31" w14:textId="77777777" w:rsidR="00A8728B" w:rsidRDefault="00A8728B" w:rsidP="00A8728B">
      <w:permStart w:id="1040662039" w:edGrp="everyone"/>
      <w:r>
        <w:t>TYPE YOUR TEXT HERE</w:t>
      </w:r>
      <w:permEnd w:id="1040662039"/>
    </w:p>
    <w:p w14:paraId="3C3E0A32" w14:textId="77777777" w:rsidR="00A8728B" w:rsidRDefault="00A8728B" w:rsidP="00A8728B">
      <w:r>
        <w:t>&lt;ESMA_QUESTION</w:t>
      </w:r>
      <w:r w:rsidR="00D920D1">
        <w:t>_</w:t>
      </w:r>
      <w:r w:rsidR="00227C1A">
        <w:t>CP_MAR_</w:t>
      </w:r>
      <w:r>
        <w:t>2&gt;</w:t>
      </w:r>
    </w:p>
    <w:p w14:paraId="3C3E0A33" w14:textId="77777777" w:rsidR="002E1760" w:rsidRDefault="002E1760" w:rsidP="00A8728B"/>
    <w:p w14:paraId="3C3E0A34" w14:textId="77777777" w:rsidR="002E1760" w:rsidRPr="00431DA4" w:rsidRDefault="00227C1A" w:rsidP="00293D78">
      <w:pPr>
        <w:pStyle w:val="CPQuestions"/>
      </w:pPr>
      <w:r w:rsidRPr="00227C1A">
        <w:t>Do you agree with this analysis? Do you think that the difference between the MAR and BMR definitions raises any market abuse risks and if so what changes might be necessary</w:t>
      </w:r>
      <w:r>
        <w:t>?</w:t>
      </w:r>
    </w:p>
    <w:p w14:paraId="3C3E0A35" w14:textId="77777777" w:rsidR="002E1760" w:rsidRDefault="002E1760" w:rsidP="002E1760">
      <w:r>
        <w:t>&lt;ESMA_QUESTION_</w:t>
      </w:r>
      <w:r w:rsidR="00227C1A">
        <w:t>CP_MAR_</w:t>
      </w:r>
      <w:r>
        <w:t>3&gt;</w:t>
      </w:r>
    </w:p>
    <w:p w14:paraId="3C3E0A36" w14:textId="77777777" w:rsidR="002E1760" w:rsidRDefault="002E1760" w:rsidP="002E1760">
      <w:permStart w:id="1114596086" w:edGrp="everyone"/>
      <w:r>
        <w:t>TYPE YOUR TEXT HERE</w:t>
      </w:r>
      <w:permEnd w:id="1114596086"/>
    </w:p>
    <w:p w14:paraId="3C3E0A37" w14:textId="77777777" w:rsidR="002E1760" w:rsidRDefault="002E1760" w:rsidP="002E1760">
      <w:r>
        <w:t>&lt;ESMA_QUESTION_</w:t>
      </w:r>
      <w:r w:rsidR="00227C1A">
        <w:t>CP_MAR_</w:t>
      </w:r>
      <w:r>
        <w:t>3&gt;</w:t>
      </w:r>
    </w:p>
    <w:p w14:paraId="3C3E0A38" w14:textId="77777777" w:rsidR="002E1760" w:rsidRDefault="002E1760" w:rsidP="00A8728B"/>
    <w:p w14:paraId="3C3E0A39" w14:textId="77777777" w:rsidR="002E1760" w:rsidRPr="00431DA4" w:rsidRDefault="00227C1A" w:rsidP="00293D78">
      <w:pPr>
        <w:pStyle w:val="CPQuestions"/>
      </w:pPr>
      <w:r w:rsidRPr="00227C1A">
        <w:t>Do you agree that the Article 30 of MAR “Administrative sanctions and other administrative measures” should also make reference to administrators of benchmarks and supervised contributors</w:t>
      </w:r>
      <w:r>
        <w:t>?</w:t>
      </w:r>
    </w:p>
    <w:p w14:paraId="3C3E0A3A" w14:textId="77777777" w:rsidR="002E1760" w:rsidRDefault="002E1760" w:rsidP="002E1760">
      <w:r>
        <w:t>&lt;ESMA_QUESTION_</w:t>
      </w:r>
      <w:r w:rsidR="00227C1A">
        <w:t>CP_MAR_</w:t>
      </w:r>
      <w:r>
        <w:t>4&gt;</w:t>
      </w:r>
    </w:p>
    <w:p w14:paraId="3C3E0A3B" w14:textId="77777777" w:rsidR="002E1760" w:rsidRDefault="002E1760" w:rsidP="002E1760">
      <w:permStart w:id="1507552575" w:edGrp="everyone"/>
      <w:r>
        <w:t>TYPE YOUR TEXT HERE</w:t>
      </w:r>
      <w:permEnd w:id="1507552575"/>
    </w:p>
    <w:p w14:paraId="3C3E0A3C" w14:textId="77777777" w:rsidR="002E1760" w:rsidRDefault="002E1760" w:rsidP="002E1760">
      <w:r>
        <w:t>&lt;ESMA_QUESTION_</w:t>
      </w:r>
      <w:r w:rsidR="00227C1A">
        <w:t>CP_MAR_</w:t>
      </w:r>
      <w:r>
        <w:t>4&gt;</w:t>
      </w:r>
    </w:p>
    <w:p w14:paraId="3C3E0A3D" w14:textId="77777777" w:rsidR="002E1760" w:rsidRDefault="002E1760" w:rsidP="002E1760"/>
    <w:p w14:paraId="3C3E0A3E" w14:textId="77777777" w:rsidR="002E1760" w:rsidRPr="00431DA4" w:rsidRDefault="00227C1A" w:rsidP="00293D78">
      <w:pPr>
        <w:pStyle w:val="CPQuestions"/>
      </w:pPr>
      <w:r w:rsidRPr="00227C1A">
        <w:lastRenderedPageBreak/>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14:paraId="3C3E0A3F" w14:textId="77777777" w:rsidR="00227C1A" w:rsidRDefault="00227C1A" w:rsidP="00227C1A">
      <w:r>
        <w:t>&lt;ESMA_QUESTION_CP_MAR_</w:t>
      </w:r>
      <w:r w:rsidR="0062022D">
        <w:t>5</w:t>
      </w:r>
      <w:r>
        <w:t>&gt;</w:t>
      </w:r>
    </w:p>
    <w:p w14:paraId="3C3E0A40" w14:textId="77777777" w:rsidR="00227C1A" w:rsidRDefault="00227C1A" w:rsidP="00227C1A">
      <w:permStart w:id="325415610" w:edGrp="everyone"/>
      <w:r>
        <w:t>TYPE YOUR TEXT HERE</w:t>
      </w:r>
      <w:permEnd w:id="325415610"/>
    </w:p>
    <w:p w14:paraId="3C3E0A41" w14:textId="77777777" w:rsidR="00227C1A" w:rsidRDefault="00227C1A" w:rsidP="00227C1A">
      <w:r>
        <w:t>&lt;ESMA_QUESTION_CP_MAR_</w:t>
      </w:r>
      <w:r w:rsidR="0062022D">
        <w:t>5</w:t>
      </w:r>
      <w:r>
        <w:t>&gt;</w:t>
      </w:r>
    </w:p>
    <w:p w14:paraId="3C3E0A42" w14:textId="77777777" w:rsidR="002E1760" w:rsidRDefault="002E1760" w:rsidP="002E1760"/>
    <w:p w14:paraId="3C3E0A43" w14:textId="77777777" w:rsidR="002E1760" w:rsidRPr="00431DA4" w:rsidRDefault="0062022D" w:rsidP="00293D78">
      <w:pPr>
        <w:pStyle w:val="CPQuestions"/>
      </w:pPr>
      <w:r w:rsidRPr="0062022D">
        <w:t>Do you agree that Article 30 of MAR points (e), (f) and (g) should also make reference to submitters within supervised contributors and assessors within administrators of commodity benchmarks</w:t>
      </w:r>
      <w:r>
        <w:t>?</w:t>
      </w:r>
    </w:p>
    <w:p w14:paraId="3C3E0A44" w14:textId="77777777" w:rsidR="0062022D" w:rsidRDefault="0062022D" w:rsidP="0062022D">
      <w:r>
        <w:t>&lt;ESMA_QUESTION_CP_MAR_</w:t>
      </w:r>
      <w:r w:rsidR="00A263DF">
        <w:t>6</w:t>
      </w:r>
      <w:r>
        <w:t>&gt;</w:t>
      </w:r>
    </w:p>
    <w:p w14:paraId="3C3E0A45" w14:textId="77777777" w:rsidR="0062022D" w:rsidRDefault="0062022D" w:rsidP="0062022D">
      <w:permStart w:id="970343703" w:edGrp="everyone"/>
      <w:r>
        <w:t>TYPE YOUR TEXT HERE</w:t>
      </w:r>
      <w:permEnd w:id="970343703"/>
    </w:p>
    <w:p w14:paraId="3C3E0A46" w14:textId="77777777" w:rsidR="0062022D" w:rsidRDefault="0062022D" w:rsidP="0062022D">
      <w:r>
        <w:t>&lt;ESMA_QUESTION_CP_MAR_</w:t>
      </w:r>
      <w:r w:rsidR="00A263DF">
        <w:t>6</w:t>
      </w:r>
      <w:r>
        <w:t>&gt;</w:t>
      </w:r>
    </w:p>
    <w:p w14:paraId="3C3E0A47" w14:textId="77777777" w:rsidR="0062022D" w:rsidRDefault="0062022D" w:rsidP="009003B8">
      <w:pPr>
        <w:jc w:val="both"/>
        <w:rPr>
          <w:i/>
        </w:rPr>
      </w:pPr>
    </w:p>
    <w:p w14:paraId="3C3E0A48" w14:textId="77777777" w:rsidR="002E1760" w:rsidRPr="00431DA4" w:rsidRDefault="00A263DF" w:rsidP="00293D78">
      <w:pPr>
        <w:pStyle w:val="CPQuestions"/>
      </w:pPr>
      <w:r w:rsidRPr="00A263DF">
        <w:t>Do you agree that there is a need to modify the reporting mechanism under Article 5(3) of MAR? Please justify your position</w:t>
      </w:r>
      <w:r>
        <w:t>.</w:t>
      </w:r>
    </w:p>
    <w:p w14:paraId="3C3E0A49" w14:textId="77777777" w:rsidR="00A263DF" w:rsidRDefault="00A263DF" w:rsidP="00A263DF">
      <w:r>
        <w:t>&lt;ESMA_QUESTION_CP_MAR_7&gt;</w:t>
      </w:r>
    </w:p>
    <w:p w14:paraId="3C3E0A4A" w14:textId="77777777" w:rsidR="00A263DF" w:rsidRDefault="00A263DF" w:rsidP="00A263DF">
      <w:permStart w:id="707658946" w:edGrp="everyone"/>
      <w:r>
        <w:t>TYPE YOUR TEXT HERE</w:t>
      </w:r>
      <w:permEnd w:id="707658946"/>
    </w:p>
    <w:p w14:paraId="3C3E0A4B" w14:textId="77777777" w:rsidR="00A263DF" w:rsidRDefault="00A263DF" w:rsidP="00A263DF">
      <w:r>
        <w:t>&lt;ESMA_QUESTION_CP_MAR_7&gt;</w:t>
      </w:r>
    </w:p>
    <w:p w14:paraId="3C3E0A4C" w14:textId="77777777" w:rsidR="00C228C1" w:rsidRDefault="00C228C1" w:rsidP="00A263DF"/>
    <w:p w14:paraId="3C3E0A4D" w14:textId="77777777"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14:paraId="3C3E0A4E" w14:textId="77777777" w:rsidR="00A263DF" w:rsidRDefault="00A263DF" w:rsidP="00A263DF">
      <w:r>
        <w:t>&lt;ESMA_QUESTION_CP_MAR_</w:t>
      </w:r>
      <w:r w:rsidR="00C228C1">
        <w:t>8</w:t>
      </w:r>
      <w:r>
        <w:t>&gt;</w:t>
      </w:r>
    </w:p>
    <w:p w14:paraId="3C3E0A4F" w14:textId="77777777" w:rsidR="00A263DF" w:rsidRDefault="00A263DF" w:rsidP="00A263DF">
      <w:permStart w:id="797404044" w:edGrp="everyone"/>
      <w:r>
        <w:t>TYPE YOUR TEXT HERE</w:t>
      </w:r>
      <w:permEnd w:id="797404044"/>
    </w:p>
    <w:p w14:paraId="3C3E0A50" w14:textId="77777777" w:rsidR="00A263DF" w:rsidRDefault="00A263DF" w:rsidP="00A263DF">
      <w:r>
        <w:t>&lt;ESMA_QUESTION_CP_MAR_</w:t>
      </w:r>
      <w:r w:rsidR="00C228C1">
        <w:t>8</w:t>
      </w:r>
      <w:r>
        <w:t>&gt;</w:t>
      </w:r>
    </w:p>
    <w:p w14:paraId="3C3E0A51" w14:textId="77777777" w:rsidR="00C228C1" w:rsidRDefault="00C228C1" w:rsidP="00A263DF"/>
    <w:p w14:paraId="3C3E0A52" w14:textId="77777777"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14:paraId="3C3E0A53" w14:textId="77777777" w:rsidR="002E1760" w:rsidRDefault="002E1760" w:rsidP="002E1760">
      <w:r>
        <w:t>&lt;ESMA_QUESTION_</w:t>
      </w:r>
      <w:r w:rsidR="00227C1A">
        <w:t>CP_MAR_</w:t>
      </w:r>
      <w:r>
        <w:t>9&gt;</w:t>
      </w:r>
    </w:p>
    <w:p w14:paraId="3C3E0A54" w14:textId="77777777" w:rsidR="002E1760" w:rsidRDefault="002E1760" w:rsidP="002E1760">
      <w:permStart w:id="1572474776" w:edGrp="everyone"/>
      <w:r>
        <w:t>TYPE YOUR TEXT HERE</w:t>
      </w:r>
      <w:permEnd w:id="1572474776"/>
    </w:p>
    <w:p w14:paraId="3C3E0A55" w14:textId="77777777" w:rsidR="002E1760" w:rsidRDefault="002E1760" w:rsidP="002E1760">
      <w:r>
        <w:t>&lt;ESMA_QUESTION_</w:t>
      </w:r>
      <w:r w:rsidR="00227C1A">
        <w:t>CP_MAR_</w:t>
      </w:r>
      <w:r>
        <w:t>9&gt;</w:t>
      </w:r>
    </w:p>
    <w:p w14:paraId="3C3E0A56" w14:textId="77777777" w:rsidR="00C228C1" w:rsidRDefault="00C228C1" w:rsidP="002E1760"/>
    <w:p w14:paraId="3C3E0A57" w14:textId="77777777" w:rsidR="002E1760" w:rsidRPr="00431DA4" w:rsidRDefault="008418E3" w:rsidP="00293D78">
      <w:pPr>
        <w:pStyle w:val="CPQuestions"/>
      </w:pPr>
      <w:r w:rsidRPr="008418E3">
        <w:t>Do you agree with the list of fields to be reported by the issuers to the NCA? If not, please elaborate</w:t>
      </w:r>
      <w:r w:rsidR="00FC7836">
        <w:t>.</w:t>
      </w:r>
    </w:p>
    <w:p w14:paraId="3C3E0A58" w14:textId="77777777" w:rsidR="008418E3" w:rsidRDefault="008418E3" w:rsidP="008418E3">
      <w:r>
        <w:t>&lt;ESMA_QUESTION_CP_MAR_10&gt;</w:t>
      </w:r>
    </w:p>
    <w:p w14:paraId="3C3E0A59" w14:textId="77777777" w:rsidR="008418E3" w:rsidRDefault="008418E3" w:rsidP="008418E3">
      <w:permStart w:id="1766684248" w:edGrp="everyone"/>
      <w:r>
        <w:t>TYPE YOUR TEXT HERE</w:t>
      </w:r>
      <w:permEnd w:id="1766684248"/>
    </w:p>
    <w:p w14:paraId="3C3E0A5A" w14:textId="77777777" w:rsidR="008418E3" w:rsidRDefault="008418E3" w:rsidP="008418E3">
      <w:r>
        <w:t>&lt;ESMA_QUESTION_CP_MAR_10&gt;</w:t>
      </w:r>
    </w:p>
    <w:p w14:paraId="3C3E0A5B" w14:textId="77777777" w:rsidR="00C228C1" w:rsidRDefault="00C228C1" w:rsidP="008418E3"/>
    <w:p w14:paraId="3C3E0A5C" w14:textId="77777777" w:rsidR="009003B8" w:rsidRDefault="00F469F8" w:rsidP="00293D78">
      <w:pPr>
        <w:pStyle w:val="CPQuestions"/>
      </w:pPr>
      <w:r w:rsidRPr="00F469F8">
        <w:lastRenderedPageBreak/>
        <w:t>Do you agree with ESMA’s preliminary view</w:t>
      </w:r>
      <w:r w:rsidR="009003B8">
        <w:t>?</w:t>
      </w:r>
    </w:p>
    <w:p w14:paraId="3C3E0A5D" w14:textId="77777777" w:rsidR="00F469F8" w:rsidRDefault="00F469F8" w:rsidP="00F469F8">
      <w:r>
        <w:t>&lt;ESMA_QUESTION_CP_MAR_11&gt;</w:t>
      </w:r>
    </w:p>
    <w:p w14:paraId="3C3E0A5E" w14:textId="77777777" w:rsidR="00F469F8" w:rsidRDefault="00F469F8" w:rsidP="00F469F8">
      <w:permStart w:id="332164447" w:edGrp="everyone"/>
      <w:r>
        <w:t>TYPE YOUR TEXT HERE</w:t>
      </w:r>
      <w:permEnd w:id="332164447"/>
    </w:p>
    <w:p w14:paraId="3C3E0A5F" w14:textId="77777777" w:rsidR="00F469F8" w:rsidRDefault="00F469F8" w:rsidP="00F469F8">
      <w:r>
        <w:t>&lt;ESMA_QUESTION_CP_MAR_11&gt;</w:t>
      </w:r>
    </w:p>
    <w:p w14:paraId="3C3E0A60" w14:textId="77777777" w:rsidR="00C228C1" w:rsidRDefault="00C228C1" w:rsidP="00F469F8"/>
    <w:p w14:paraId="3C3E0A61" w14:textId="77777777" w:rsidR="00F469F8" w:rsidRDefault="00F469F8" w:rsidP="00F469F8">
      <w:pPr>
        <w:pStyle w:val="CPQuestions"/>
      </w:pPr>
      <w:r w:rsidRPr="00F469F8">
        <w:t>Would you find more useful other aggregated data related to the BBP and if so what aggregated data? Please elaborate</w:t>
      </w:r>
      <w:r>
        <w:t>.</w:t>
      </w:r>
    </w:p>
    <w:p w14:paraId="3C3E0A62" w14:textId="77777777" w:rsidR="00F469F8" w:rsidRDefault="00F469F8" w:rsidP="00F469F8">
      <w:r>
        <w:t>&lt;ESMA_QUESTION_CP_MAR_1</w:t>
      </w:r>
      <w:r w:rsidR="002868FC">
        <w:t>2</w:t>
      </w:r>
      <w:r>
        <w:t>&gt;</w:t>
      </w:r>
    </w:p>
    <w:p w14:paraId="3C3E0A63" w14:textId="77777777" w:rsidR="00F469F8" w:rsidRDefault="00F469F8" w:rsidP="00F469F8">
      <w:permStart w:id="1943283503" w:edGrp="everyone"/>
      <w:r>
        <w:t>TYPE YOUR TEXT HERE</w:t>
      </w:r>
      <w:permEnd w:id="1943283503"/>
    </w:p>
    <w:p w14:paraId="3C3E0A64" w14:textId="77777777" w:rsidR="00F469F8" w:rsidRDefault="00F469F8" w:rsidP="00F469F8">
      <w:r>
        <w:t>&lt;ESMA_QUESTION_CP_MAR_1</w:t>
      </w:r>
      <w:r w:rsidR="002868FC">
        <w:t>2</w:t>
      </w:r>
      <w:r>
        <w:t>&gt;</w:t>
      </w:r>
    </w:p>
    <w:p w14:paraId="3C3E0A65" w14:textId="77777777" w:rsidR="009003B8" w:rsidRDefault="009003B8" w:rsidP="002E1760"/>
    <w:p w14:paraId="3C3E0A66" w14:textId="77777777" w:rsidR="00646C30" w:rsidRDefault="00C228C1" w:rsidP="00646C30">
      <w:pPr>
        <w:pStyle w:val="CPQuestions"/>
      </w:pPr>
      <w:r w:rsidRPr="00C228C1">
        <w:t>Have market participants experienced any difficulties with identifying what information is inside information and the moment in which information becomes inside information under the current MAR definition</w:t>
      </w:r>
      <w:r>
        <w:t>?</w:t>
      </w:r>
    </w:p>
    <w:p w14:paraId="3C3E0A67" w14:textId="77777777" w:rsidR="00646C30" w:rsidRDefault="00646C30" w:rsidP="00646C30">
      <w:r>
        <w:t>&lt;ESMA_QUESTION_CP_MAR_1</w:t>
      </w:r>
      <w:r w:rsidR="00101BF1">
        <w:t>3</w:t>
      </w:r>
      <w:r>
        <w:t>&gt;</w:t>
      </w:r>
    </w:p>
    <w:p w14:paraId="3C3E0A68" w14:textId="77777777" w:rsidR="00646C30" w:rsidRDefault="00646C30" w:rsidP="00646C30">
      <w:permStart w:id="770132907" w:edGrp="everyone"/>
      <w:r>
        <w:t>TYPE YOUR TEXT HERE</w:t>
      </w:r>
      <w:permEnd w:id="770132907"/>
    </w:p>
    <w:p w14:paraId="3C3E0A69" w14:textId="77777777" w:rsidR="00646C30" w:rsidRDefault="00646C30" w:rsidP="00646C30">
      <w:r>
        <w:t>&lt;ESMA_QUESTION_CP_MAR_1</w:t>
      </w:r>
      <w:r w:rsidR="002F1683">
        <w:t>3</w:t>
      </w:r>
      <w:r>
        <w:t>&gt;</w:t>
      </w:r>
    </w:p>
    <w:p w14:paraId="3C3E0A6A" w14:textId="77777777" w:rsidR="002868FC" w:rsidRDefault="002868FC" w:rsidP="002E1760"/>
    <w:p w14:paraId="3C3E0A6B" w14:textId="77777777" w:rsidR="00646C30" w:rsidRDefault="00C228C1" w:rsidP="00646C30">
      <w:pPr>
        <w:pStyle w:val="CPQuestions"/>
      </w:pPr>
      <w:r w:rsidRPr="00C228C1">
        <w:t>Do market participants consider that the definition of inside information is sufficient for combatting market abuse</w:t>
      </w:r>
      <w:r>
        <w:t>?</w:t>
      </w:r>
    </w:p>
    <w:p w14:paraId="3C3E0A6C" w14:textId="77777777" w:rsidR="00646C30" w:rsidRDefault="00646C30" w:rsidP="00646C30">
      <w:r>
        <w:t>&lt;ESMA_QUESTION_CP_MAR_1</w:t>
      </w:r>
      <w:r w:rsidR="00101BF1">
        <w:t>4</w:t>
      </w:r>
      <w:r>
        <w:t>&gt;</w:t>
      </w:r>
    </w:p>
    <w:p w14:paraId="3C3E0A6D" w14:textId="77777777" w:rsidR="00646C30" w:rsidRDefault="00646C30" w:rsidP="00646C30">
      <w:permStart w:id="416102086" w:edGrp="everyone"/>
      <w:r>
        <w:t>TYPE YOUR TEXT HERE</w:t>
      </w:r>
      <w:permEnd w:id="416102086"/>
    </w:p>
    <w:p w14:paraId="3C3E0A6E" w14:textId="77777777" w:rsidR="00646C30" w:rsidRDefault="00646C30" w:rsidP="00646C30">
      <w:r>
        <w:t>&lt;ESMA_QUESTION_CP_MAR_1</w:t>
      </w:r>
      <w:r w:rsidR="00101BF1">
        <w:t>4</w:t>
      </w:r>
      <w:r>
        <w:t>&gt;</w:t>
      </w:r>
    </w:p>
    <w:p w14:paraId="3C3E0A6F" w14:textId="77777777" w:rsidR="002868FC" w:rsidRDefault="002868FC" w:rsidP="002E1760"/>
    <w:p w14:paraId="3C3E0A70" w14:textId="77777777" w:rsidR="00646C30" w:rsidRDefault="00C228C1" w:rsidP="00646C30">
      <w:pPr>
        <w:pStyle w:val="CPQuestions"/>
      </w:pPr>
      <w:r w:rsidRPr="00C228C1">
        <w:t>In particular, have market participants identified information that they would consider as inside information, but which is not covered by the current definition of inside information</w:t>
      </w:r>
      <w:r>
        <w:t>?</w:t>
      </w:r>
    </w:p>
    <w:p w14:paraId="3C3E0A71" w14:textId="77777777" w:rsidR="00646C30" w:rsidRDefault="00646C30" w:rsidP="00646C30">
      <w:r>
        <w:t>&lt;ESMA_QUESTION_CP_MAR_1</w:t>
      </w:r>
      <w:r w:rsidR="00101BF1">
        <w:t>5</w:t>
      </w:r>
      <w:r>
        <w:t>&gt;</w:t>
      </w:r>
    </w:p>
    <w:p w14:paraId="3C3E0A72" w14:textId="77777777" w:rsidR="00646C30" w:rsidRDefault="00646C30" w:rsidP="00646C30">
      <w:permStart w:id="831264800" w:edGrp="everyone"/>
      <w:r>
        <w:t>TYPE YOUR TEXT HERE</w:t>
      </w:r>
      <w:permEnd w:id="831264800"/>
    </w:p>
    <w:p w14:paraId="3C3E0A73" w14:textId="77777777" w:rsidR="00646C30" w:rsidRDefault="00646C30" w:rsidP="00646C30">
      <w:r>
        <w:t>&lt;ESMA_QUESTION_CP_MAR_1</w:t>
      </w:r>
      <w:r w:rsidR="00101BF1">
        <w:t>5</w:t>
      </w:r>
      <w:r>
        <w:t>&gt;</w:t>
      </w:r>
    </w:p>
    <w:p w14:paraId="3C3E0A74" w14:textId="77777777" w:rsidR="002868FC" w:rsidRDefault="002868FC" w:rsidP="002E1760"/>
    <w:p w14:paraId="3C3E0A75" w14:textId="77777777" w:rsidR="00646C30" w:rsidRDefault="00C228C1" w:rsidP="00646C30">
      <w:pPr>
        <w:pStyle w:val="CPQuestions"/>
      </w:pPr>
      <w:r w:rsidRPr="00C228C1">
        <w:t>Have market participants identified inside information on commodity derivatives which is not included in the current definition of Article 7(1)(b) of MAR</w:t>
      </w:r>
      <w:r>
        <w:t>?</w:t>
      </w:r>
    </w:p>
    <w:p w14:paraId="3C3E0A76" w14:textId="77777777" w:rsidR="00646C30" w:rsidRDefault="00646C30" w:rsidP="00646C30">
      <w:r>
        <w:t>&lt;ESMA_QUESTION_CP_MAR_1</w:t>
      </w:r>
      <w:r w:rsidR="00101BF1">
        <w:t>6</w:t>
      </w:r>
      <w:r>
        <w:t>&gt;</w:t>
      </w:r>
    </w:p>
    <w:p w14:paraId="3C3E0A77" w14:textId="77777777" w:rsidR="00646C30" w:rsidRDefault="00646C30" w:rsidP="00646C30">
      <w:permStart w:id="2062680747" w:edGrp="everyone"/>
      <w:r>
        <w:t>TYPE YOUR TEXT HERE</w:t>
      </w:r>
      <w:permEnd w:id="2062680747"/>
    </w:p>
    <w:p w14:paraId="3C3E0A78" w14:textId="77777777" w:rsidR="00646C30" w:rsidRDefault="00646C30" w:rsidP="00646C30">
      <w:r>
        <w:t>&lt;ESMA_QUESTION_CP_MAR_1</w:t>
      </w:r>
      <w:r w:rsidR="00101BF1">
        <w:t>6</w:t>
      </w:r>
      <w:r>
        <w:t>&gt;</w:t>
      </w:r>
    </w:p>
    <w:p w14:paraId="3C3E0A79" w14:textId="77777777" w:rsidR="002868FC" w:rsidRDefault="002868FC" w:rsidP="002E1760"/>
    <w:p w14:paraId="3C3E0A7A" w14:textId="77777777" w:rsidR="00646C30" w:rsidRDefault="00C228C1" w:rsidP="00646C30">
      <w:pPr>
        <w:pStyle w:val="CPQuestions"/>
      </w:pPr>
      <w:r w:rsidRPr="00C228C1">
        <w:t xml:space="preserve">What is an appropriate balance between the scope of inside information relating to commodity derivatives and allowing commodity producers to undertake hedging </w:t>
      </w:r>
      <w:r w:rsidRPr="00C228C1">
        <w:lastRenderedPageBreak/>
        <w:t>transactions on the basis of that information, to enable them to carry out their commercial activities and to support the effective functioning of the market?</w:t>
      </w:r>
    </w:p>
    <w:p w14:paraId="3C3E0A7B" w14:textId="77777777" w:rsidR="00646C30" w:rsidRDefault="00646C30" w:rsidP="00646C30">
      <w:r>
        <w:t>&lt;ESMA_QUESTION_CP_MAR_1</w:t>
      </w:r>
      <w:r w:rsidR="00101BF1">
        <w:t>7</w:t>
      </w:r>
      <w:r>
        <w:t>&gt;</w:t>
      </w:r>
    </w:p>
    <w:p w14:paraId="3C3E0A7C" w14:textId="77777777" w:rsidR="00646C30" w:rsidRDefault="00646C30" w:rsidP="00646C30">
      <w:permStart w:id="436762959" w:edGrp="everyone"/>
      <w:r>
        <w:t>TYPE YOUR TEXT HERE</w:t>
      </w:r>
      <w:permEnd w:id="436762959"/>
    </w:p>
    <w:p w14:paraId="3C3E0A7D" w14:textId="77777777" w:rsidR="00646C30" w:rsidRDefault="00646C30" w:rsidP="00646C30">
      <w:r>
        <w:t>&lt;ESMA_QUESTION_CP_MAR_1</w:t>
      </w:r>
      <w:r w:rsidR="00101BF1">
        <w:t>7</w:t>
      </w:r>
      <w:r>
        <w:t>&gt;</w:t>
      </w:r>
    </w:p>
    <w:p w14:paraId="3C3E0A7E" w14:textId="77777777" w:rsidR="002868FC" w:rsidRDefault="002868FC" w:rsidP="002E1760"/>
    <w:p w14:paraId="3C3E0A7F" w14:textId="77777777" w:rsidR="00646C30" w:rsidRDefault="00C228C1" w:rsidP="00646C30">
      <w:pPr>
        <w:pStyle w:val="CPQuestions"/>
      </w:pPr>
      <w:r w:rsidRPr="00C228C1">
        <w:t>As of today, does the current definition of Article 7(1)(b) of MAR allow commodity producers to hedge their commercial activities? In this respect, please provide information on hedging difficulties encountered</w:t>
      </w:r>
      <w:r>
        <w:t>.</w:t>
      </w:r>
    </w:p>
    <w:p w14:paraId="3C3E0A80" w14:textId="77777777" w:rsidR="00646C30" w:rsidRDefault="00646C30" w:rsidP="00646C30">
      <w:r>
        <w:t>&lt;ESMA_QUESTION_CP_MAR_1</w:t>
      </w:r>
      <w:r w:rsidR="00101BF1">
        <w:t>8</w:t>
      </w:r>
      <w:r>
        <w:t>&gt;</w:t>
      </w:r>
    </w:p>
    <w:p w14:paraId="3C3E0A81" w14:textId="77777777" w:rsidR="00646C30" w:rsidRDefault="00646C30" w:rsidP="00646C30">
      <w:permStart w:id="1619285630" w:edGrp="everyone"/>
      <w:r>
        <w:t>TYPE YOUR TEXT HERE</w:t>
      </w:r>
      <w:permEnd w:id="1619285630"/>
    </w:p>
    <w:p w14:paraId="3C3E0A82" w14:textId="77777777" w:rsidR="00646C30" w:rsidRDefault="00646C30" w:rsidP="00646C30">
      <w:r>
        <w:t>&lt;ESMA_QUESTION_CP_MAR_1</w:t>
      </w:r>
      <w:r w:rsidR="00101BF1">
        <w:t>8</w:t>
      </w:r>
      <w:r>
        <w:t>&gt;</w:t>
      </w:r>
    </w:p>
    <w:p w14:paraId="3C3E0A83" w14:textId="77777777" w:rsidR="002868FC" w:rsidRDefault="002868FC" w:rsidP="002E1760"/>
    <w:p w14:paraId="3C3E0A84" w14:textId="77777777" w:rsidR="00646C30" w:rsidRDefault="000A0396" w:rsidP="00646C30">
      <w:pPr>
        <w:pStyle w:val="CPQuestions"/>
      </w:pPr>
      <w:r w:rsidRPr="000A0396">
        <w:t>Please provide your views on whether the general definition of inside information of Article 7(1)(a) of MAR could be used for commodity derivatives. In such case, would safeguards enabling commodity producers to undertake hedging transactions based on proprietary inside information related to their commercial activities be needed? Which types of safeguards would you envisage</w:t>
      </w:r>
      <w:r w:rsidR="00C228C1">
        <w:t>?</w:t>
      </w:r>
    </w:p>
    <w:p w14:paraId="3C3E0A85" w14:textId="77777777" w:rsidR="00646C30" w:rsidRDefault="00646C30" w:rsidP="00646C30">
      <w:r>
        <w:t>&lt;ESMA_QUESTION_CP_MAR_1</w:t>
      </w:r>
      <w:r w:rsidR="00101BF1">
        <w:t>9</w:t>
      </w:r>
      <w:r>
        <w:t>&gt;</w:t>
      </w:r>
    </w:p>
    <w:p w14:paraId="3C3E0A86" w14:textId="77777777" w:rsidR="00646C30" w:rsidRDefault="00646C30" w:rsidP="00646C30">
      <w:permStart w:id="1674213556" w:edGrp="everyone"/>
      <w:r>
        <w:t>TYPE YOUR TEXT HERE</w:t>
      </w:r>
      <w:permEnd w:id="1674213556"/>
    </w:p>
    <w:p w14:paraId="3C3E0A87" w14:textId="77777777" w:rsidR="00646C30" w:rsidRDefault="00646C30" w:rsidP="00646C30">
      <w:r>
        <w:t>&lt;ESMA_QUESTION_CP_MAR_1</w:t>
      </w:r>
      <w:r w:rsidR="00101BF1">
        <w:t>9</w:t>
      </w:r>
      <w:r>
        <w:t>&gt;</w:t>
      </w:r>
    </w:p>
    <w:p w14:paraId="3C3E0A88" w14:textId="77777777" w:rsidR="002868FC" w:rsidRDefault="002868FC" w:rsidP="002E1760"/>
    <w:p w14:paraId="3C3E0A89" w14:textId="77777777" w:rsidR="00646C30" w:rsidRDefault="00C96CA4" w:rsidP="00646C30">
      <w:pPr>
        <w:pStyle w:val="CPQuestions"/>
      </w:pPr>
      <w:r w:rsidRPr="00C96CA4">
        <w:t>What changes could be made to include other cases of front running</w:t>
      </w:r>
      <w:r>
        <w:t>?</w:t>
      </w:r>
    </w:p>
    <w:p w14:paraId="3C3E0A8A" w14:textId="77777777" w:rsidR="00646C30" w:rsidRDefault="00646C30" w:rsidP="00646C30">
      <w:r>
        <w:t>&lt;ESMA_QUESTION_CP_MAR_</w:t>
      </w:r>
      <w:r w:rsidR="00101BF1">
        <w:t>20</w:t>
      </w:r>
      <w:r>
        <w:t>&gt;</w:t>
      </w:r>
    </w:p>
    <w:p w14:paraId="3C3E0A8B" w14:textId="77777777" w:rsidR="00646C30" w:rsidRDefault="00646C30" w:rsidP="00646C30">
      <w:permStart w:id="583142347" w:edGrp="everyone"/>
      <w:r>
        <w:t>TYPE YOUR TEXT HERE</w:t>
      </w:r>
      <w:permEnd w:id="583142347"/>
    </w:p>
    <w:p w14:paraId="3C3E0A8C" w14:textId="77777777" w:rsidR="00646C30" w:rsidRDefault="00646C30" w:rsidP="00646C30">
      <w:r>
        <w:t>&lt;ESMA_QUESTION_CP_MAR_</w:t>
      </w:r>
      <w:r w:rsidR="00101BF1">
        <w:t>20</w:t>
      </w:r>
      <w:r>
        <w:t>&gt;</w:t>
      </w:r>
    </w:p>
    <w:p w14:paraId="3C3E0A8D" w14:textId="77777777" w:rsidR="00646C30" w:rsidRDefault="00646C30" w:rsidP="002E1760"/>
    <w:p w14:paraId="3C3E0A8E" w14:textId="77777777" w:rsidR="00646C30" w:rsidRDefault="00C96CA4" w:rsidP="00646C30">
      <w:pPr>
        <w:pStyle w:val="CPQuestions"/>
      </w:pPr>
      <w:r w:rsidRPr="00C96CA4">
        <w:t>Do you consider that specific conditions should be added in MAR to cover front-running on financial instruments which have an illiquid market</w:t>
      </w:r>
      <w:r>
        <w:t>?</w:t>
      </w:r>
    </w:p>
    <w:p w14:paraId="3C3E0A8F" w14:textId="77777777" w:rsidR="00646C30" w:rsidRDefault="00646C30" w:rsidP="00646C30">
      <w:r>
        <w:t>&lt;ESMA_QUESTION_CP_MAR_</w:t>
      </w:r>
      <w:r w:rsidR="00101BF1">
        <w:t>21</w:t>
      </w:r>
      <w:r>
        <w:t>&gt;</w:t>
      </w:r>
    </w:p>
    <w:p w14:paraId="3C3E0A90" w14:textId="77777777" w:rsidR="00646C30" w:rsidRDefault="00646C30" w:rsidP="00646C30">
      <w:permStart w:id="1948856452" w:edGrp="everyone"/>
      <w:r>
        <w:t>TYPE YOUR TEXT HERE</w:t>
      </w:r>
      <w:permEnd w:id="1948856452"/>
    </w:p>
    <w:p w14:paraId="3C3E0A91" w14:textId="77777777" w:rsidR="00646C30" w:rsidRDefault="00646C30" w:rsidP="00646C30">
      <w:r>
        <w:t>&lt;ESMA_QUESTION_CP_MAR_</w:t>
      </w:r>
      <w:r w:rsidR="00101BF1">
        <w:t>21</w:t>
      </w:r>
      <w:r>
        <w:t>&gt;</w:t>
      </w:r>
    </w:p>
    <w:p w14:paraId="3C3E0A92" w14:textId="77777777" w:rsidR="00646C30" w:rsidRDefault="00646C30" w:rsidP="002E1760"/>
    <w:p w14:paraId="3C3E0A93" w14:textId="77777777"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14:paraId="3C3E0A94" w14:textId="77777777" w:rsidR="00646C30" w:rsidRDefault="00646C30" w:rsidP="00646C30">
      <w:r>
        <w:t>&lt;ESMA_QUESTION_CP_MAR_</w:t>
      </w:r>
      <w:r w:rsidR="00101BF1">
        <w:t>22</w:t>
      </w:r>
      <w:r>
        <w:t>&gt;</w:t>
      </w:r>
    </w:p>
    <w:p w14:paraId="3C3E0A95" w14:textId="77777777" w:rsidR="00646C30" w:rsidRDefault="00646C30" w:rsidP="00646C30">
      <w:permStart w:id="969017955" w:edGrp="everyone"/>
      <w:r>
        <w:t>TYPE YOUR TEXT HERE</w:t>
      </w:r>
      <w:permEnd w:id="969017955"/>
    </w:p>
    <w:p w14:paraId="3C3E0A96" w14:textId="77777777" w:rsidR="00646C30" w:rsidRDefault="00646C30" w:rsidP="00646C30">
      <w:r>
        <w:t>&lt;ESMA_QUESTION_CP_MAR_</w:t>
      </w:r>
      <w:r w:rsidR="00101BF1">
        <w:t>22</w:t>
      </w:r>
      <w:r>
        <w:t>&gt;</w:t>
      </w:r>
    </w:p>
    <w:p w14:paraId="3C3E0A97" w14:textId="77777777" w:rsidR="00646C30" w:rsidRDefault="00646C30" w:rsidP="002E1760"/>
    <w:p w14:paraId="3C3E0A98" w14:textId="77777777" w:rsidR="00646C30" w:rsidRDefault="00674628" w:rsidP="00646C30">
      <w:pPr>
        <w:pStyle w:val="CPQuestions"/>
      </w:pPr>
      <w:r w:rsidRPr="00674628">
        <w:lastRenderedPageBreak/>
        <w:t>What benefits do pre-hedging behaviours provide to firms, clients and to the functioning of the market</w:t>
      </w:r>
      <w:r>
        <w:t>?</w:t>
      </w:r>
    </w:p>
    <w:p w14:paraId="3C3E0A99" w14:textId="77777777" w:rsidR="00646C30" w:rsidRDefault="00646C30" w:rsidP="00646C30">
      <w:r>
        <w:t>&lt;ESMA_QUESTION_CP_MAR_</w:t>
      </w:r>
      <w:r w:rsidR="00101BF1">
        <w:t>23</w:t>
      </w:r>
      <w:r>
        <w:t>&gt;</w:t>
      </w:r>
    </w:p>
    <w:p w14:paraId="3C3E0A9A" w14:textId="77777777" w:rsidR="00646C30" w:rsidRDefault="00646C30" w:rsidP="00646C30">
      <w:permStart w:id="210436899" w:edGrp="everyone"/>
      <w:r>
        <w:t>TYPE YOUR TEXT HERE</w:t>
      </w:r>
      <w:permEnd w:id="210436899"/>
    </w:p>
    <w:p w14:paraId="3C3E0A9B" w14:textId="77777777" w:rsidR="00646C30" w:rsidRDefault="00646C30" w:rsidP="00646C30">
      <w:r>
        <w:t>&lt;ESMA_QUESTION_CP_MAR_</w:t>
      </w:r>
      <w:r w:rsidR="00101BF1">
        <w:t>23</w:t>
      </w:r>
      <w:r>
        <w:t>&gt;</w:t>
      </w:r>
    </w:p>
    <w:p w14:paraId="3C3E0A9C" w14:textId="77777777" w:rsidR="00646C30" w:rsidRDefault="00646C30" w:rsidP="002E1760"/>
    <w:p w14:paraId="3C3E0A9D" w14:textId="77777777" w:rsidR="00646C30" w:rsidRDefault="00674628" w:rsidP="00646C30">
      <w:pPr>
        <w:pStyle w:val="CPQuestions"/>
      </w:pPr>
      <w:r w:rsidRPr="00674628">
        <w:t>What financial instruments are subject to pre-hedging behaviours and why</w:t>
      </w:r>
      <w:r>
        <w:t>?</w:t>
      </w:r>
    </w:p>
    <w:p w14:paraId="3C3E0A9E" w14:textId="77777777" w:rsidR="00646C30" w:rsidRDefault="00646C30" w:rsidP="00646C30">
      <w:r>
        <w:t>&lt;ESMA_QUESTION_CP_MAR_</w:t>
      </w:r>
      <w:r w:rsidR="00101BF1">
        <w:t>24</w:t>
      </w:r>
      <w:r>
        <w:t>&gt;</w:t>
      </w:r>
    </w:p>
    <w:p w14:paraId="3C3E0A9F" w14:textId="77777777" w:rsidR="00646C30" w:rsidRDefault="00646C30" w:rsidP="00646C30">
      <w:permStart w:id="1807571479" w:edGrp="everyone"/>
      <w:r>
        <w:t>TYPE YOUR TEXT HERE</w:t>
      </w:r>
      <w:permEnd w:id="1807571479"/>
    </w:p>
    <w:p w14:paraId="3C3E0AA0" w14:textId="77777777" w:rsidR="00646C30" w:rsidRDefault="00646C30" w:rsidP="00646C30">
      <w:r>
        <w:t>&lt;ESMA_QUESTION_CP_MAR_</w:t>
      </w:r>
      <w:r w:rsidR="00101BF1">
        <w:t>24</w:t>
      </w:r>
      <w:r>
        <w:t>&gt;</w:t>
      </w:r>
    </w:p>
    <w:p w14:paraId="3C3E0AA1" w14:textId="77777777" w:rsidR="00646C30" w:rsidRDefault="00646C30" w:rsidP="002E1760"/>
    <w:p w14:paraId="3C3E0AA2" w14:textId="77777777" w:rsidR="00646C30" w:rsidRDefault="00907865" w:rsidP="00646C30">
      <w:pPr>
        <w:pStyle w:val="CPQuestions"/>
      </w:pPr>
      <w:r w:rsidRPr="00907865">
        <w:t>Please provide your views on the functioning of the conditions to delay disclosure of inside information and on whether they enable issuers to delay disclosure of inside information where necessary</w:t>
      </w:r>
      <w:r w:rsidR="00646C30">
        <w:t>.</w:t>
      </w:r>
    </w:p>
    <w:p w14:paraId="3C3E0AA3" w14:textId="77777777" w:rsidR="00646C30" w:rsidRDefault="00646C30" w:rsidP="00646C30">
      <w:r>
        <w:t>&lt;ESMA_QUESTION_CP_MAR_</w:t>
      </w:r>
      <w:r w:rsidR="00101BF1">
        <w:t>25</w:t>
      </w:r>
      <w:r>
        <w:t>&gt;</w:t>
      </w:r>
    </w:p>
    <w:p w14:paraId="3C3E0AA4" w14:textId="77777777" w:rsidR="00646C30" w:rsidRDefault="00646C30" w:rsidP="00646C30">
      <w:permStart w:id="611875542" w:edGrp="everyone"/>
      <w:r>
        <w:t>TYPE YOUR TEXT HERE</w:t>
      </w:r>
      <w:permEnd w:id="611875542"/>
    </w:p>
    <w:p w14:paraId="3C3E0AA5" w14:textId="77777777" w:rsidR="00646C30" w:rsidRDefault="00646C30" w:rsidP="00646C30">
      <w:r>
        <w:t>&lt;ESMA_QUESTION_CP_MAR_</w:t>
      </w:r>
      <w:r w:rsidR="00101BF1">
        <w:t>25</w:t>
      </w:r>
      <w:r>
        <w:t>&gt;</w:t>
      </w:r>
    </w:p>
    <w:p w14:paraId="3C3E0AA6" w14:textId="77777777" w:rsidR="00646C30" w:rsidRDefault="00646C30" w:rsidP="002E1760"/>
    <w:p w14:paraId="3C3E0AA7" w14:textId="77777777" w:rsidR="00646C30" w:rsidRDefault="00907865" w:rsidP="00646C30">
      <w:pPr>
        <w:pStyle w:val="CPQuestions"/>
      </w:pPr>
      <w:r w:rsidRPr="00907865">
        <w:t>Please provide relevant examples of difficulties encountered in the assessment of the conditions for the delay or in the application of the procedure under Article 17(4) of MAR.</w:t>
      </w:r>
    </w:p>
    <w:p w14:paraId="3C3E0AA8" w14:textId="77777777" w:rsidR="00646C30" w:rsidRDefault="00646C30" w:rsidP="00646C30">
      <w:r>
        <w:t>&lt;ESMA_QUESTION_CP_MAR_</w:t>
      </w:r>
      <w:r w:rsidR="00101BF1">
        <w:t>26</w:t>
      </w:r>
      <w:r>
        <w:t>&gt;</w:t>
      </w:r>
    </w:p>
    <w:p w14:paraId="3C3E0AA9" w14:textId="77777777" w:rsidR="00646C30" w:rsidRDefault="00646C30" w:rsidP="00646C30">
      <w:permStart w:id="1829000557" w:edGrp="everyone"/>
      <w:r>
        <w:t>TYPE YOUR TEXT HERE</w:t>
      </w:r>
      <w:permEnd w:id="1829000557"/>
    </w:p>
    <w:p w14:paraId="3C3E0AAA" w14:textId="77777777" w:rsidR="00646C30" w:rsidRDefault="00646C30" w:rsidP="00646C30">
      <w:r>
        <w:t>&lt;ESMA_QUESTION_CP_MAR_</w:t>
      </w:r>
      <w:r w:rsidR="00101BF1">
        <w:t>26</w:t>
      </w:r>
      <w:r>
        <w:t>&gt;</w:t>
      </w:r>
    </w:p>
    <w:p w14:paraId="3C3E0AAB" w14:textId="77777777" w:rsidR="00646C30" w:rsidRDefault="00646C30" w:rsidP="002E1760"/>
    <w:p w14:paraId="3C3E0AAC" w14:textId="77777777" w:rsidR="00646C30" w:rsidRDefault="0079485D" w:rsidP="00646C30">
      <w:pPr>
        <w:pStyle w:val="CPQuestions"/>
      </w:pPr>
      <w:r w:rsidRPr="0079485D">
        <w:t>Please provide your view on the inclusion of a requirement in MAR for issuers to have systems and controls for identifying, handling, and disclosing inside information. What would the impact be of introducing a systems and controls requirement for issuers?</w:t>
      </w:r>
    </w:p>
    <w:p w14:paraId="3C3E0AAD" w14:textId="77777777" w:rsidR="00646C30" w:rsidRDefault="00646C30" w:rsidP="00646C30">
      <w:r>
        <w:t>&lt;ESMA_QUESTION_CP_MAR_</w:t>
      </w:r>
      <w:r w:rsidR="00101BF1">
        <w:t>27</w:t>
      </w:r>
      <w:r>
        <w:t>&gt;</w:t>
      </w:r>
    </w:p>
    <w:p w14:paraId="3C3E0AAE" w14:textId="77777777" w:rsidR="00646C30" w:rsidRDefault="00646C30" w:rsidP="00646C30">
      <w:permStart w:id="1678079242" w:edGrp="everyone"/>
      <w:r>
        <w:t>TYPE YOUR TEXT HERE</w:t>
      </w:r>
      <w:permEnd w:id="1678079242"/>
    </w:p>
    <w:p w14:paraId="3C3E0AAF" w14:textId="77777777" w:rsidR="00646C30" w:rsidRDefault="00646C30" w:rsidP="00646C30">
      <w:r>
        <w:t>&lt;ESMA_QUESTION_CP_MAR_</w:t>
      </w:r>
      <w:r w:rsidR="00101BF1">
        <w:t>27</w:t>
      </w:r>
      <w:r>
        <w:t>&gt;</w:t>
      </w:r>
    </w:p>
    <w:p w14:paraId="3C3E0AB0" w14:textId="77777777" w:rsidR="00646C30" w:rsidRDefault="00646C30" w:rsidP="002E1760"/>
    <w:p w14:paraId="3C3E0AB1" w14:textId="77777777" w:rsidR="00646C30" w:rsidRDefault="0079485D" w:rsidP="00646C30">
      <w:pPr>
        <w:pStyle w:val="CPQuestions"/>
      </w:pPr>
      <w:r w:rsidRPr="0079485D">
        <w:t>Please provide examples of cases in which the identification of when an information became “inside information” was problematic</w:t>
      </w:r>
      <w:r w:rsidR="00646C30">
        <w:t>.</w:t>
      </w:r>
    </w:p>
    <w:p w14:paraId="3C3E0AB2" w14:textId="77777777" w:rsidR="00646C30" w:rsidRDefault="00646C30" w:rsidP="00646C30">
      <w:r>
        <w:t>&lt;ESMA_QUESTION_CP_MAR_2</w:t>
      </w:r>
      <w:r w:rsidR="00101BF1">
        <w:t>8</w:t>
      </w:r>
      <w:r>
        <w:t>&gt;</w:t>
      </w:r>
    </w:p>
    <w:p w14:paraId="3C3E0AB3" w14:textId="77777777" w:rsidR="00646C30" w:rsidRDefault="00646C30" w:rsidP="00646C30">
      <w:permStart w:id="266360711" w:edGrp="everyone"/>
      <w:r>
        <w:t>TYPE YOUR TEXT HERE</w:t>
      </w:r>
      <w:permEnd w:id="266360711"/>
    </w:p>
    <w:p w14:paraId="3C3E0AB4" w14:textId="77777777" w:rsidR="00646C30" w:rsidRDefault="00646C30" w:rsidP="00646C30">
      <w:r>
        <w:t>&lt;ESMA_QUESTION_CP_MAR_</w:t>
      </w:r>
      <w:r w:rsidR="00101BF1">
        <w:t>28</w:t>
      </w:r>
      <w:r>
        <w:t>&gt;</w:t>
      </w:r>
    </w:p>
    <w:p w14:paraId="3C3E0AB5" w14:textId="77777777" w:rsidR="00646C30" w:rsidRDefault="00646C30" w:rsidP="002E1760"/>
    <w:p w14:paraId="3C3E0AB6" w14:textId="77777777" w:rsidR="00646C30" w:rsidRDefault="00C551D2" w:rsidP="00646C30">
      <w:pPr>
        <w:pStyle w:val="CPQuestions"/>
      </w:pPr>
      <w:r w:rsidRPr="00C551D2">
        <w:lastRenderedPageBreak/>
        <w:t>Please provide your views on the notification to NCAs of the delay of disclosure of inside information, in those cases in which the relevant information loses its inside nature following the decision to delay the disclosure</w:t>
      </w:r>
      <w:r w:rsidR="00646C30">
        <w:t>.</w:t>
      </w:r>
    </w:p>
    <w:p w14:paraId="3C3E0AB7" w14:textId="77777777" w:rsidR="00646C30" w:rsidRDefault="00646C30" w:rsidP="00646C30">
      <w:r>
        <w:t>&lt;ESMA_QUESTION_CP_MAR_</w:t>
      </w:r>
      <w:r w:rsidR="00101BF1">
        <w:t>29</w:t>
      </w:r>
      <w:r>
        <w:t>&gt;</w:t>
      </w:r>
    </w:p>
    <w:p w14:paraId="3C3E0AB8" w14:textId="77777777" w:rsidR="00646C30" w:rsidRDefault="00646C30" w:rsidP="00646C30">
      <w:permStart w:id="1420902335" w:edGrp="everyone"/>
      <w:r>
        <w:t>TYPE YOUR TEXT HERE</w:t>
      </w:r>
      <w:permEnd w:id="1420902335"/>
    </w:p>
    <w:p w14:paraId="3C3E0AB9" w14:textId="77777777" w:rsidR="00646C30" w:rsidRDefault="00646C30" w:rsidP="00646C30">
      <w:r>
        <w:t>&lt;ESMA_QUESTION_CP_MAR_</w:t>
      </w:r>
      <w:r w:rsidR="00101BF1">
        <w:t>29</w:t>
      </w:r>
      <w:r>
        <w:t>&gt;</w:t>
      </w:r>
    </w:p>
    <w:p w14:paraId="3C3E0ABA" w14:textId="77777777" w:rsidR="00646C30" w:rsidRDefault="00646C30" w:rsidP="002E1760"/>
    <w:p w14:paraId="3C3E0ABB" w14:textId="77777777" w:rsidR="00646C30" w:rsidRDefault="006F71FA" w:rsidP="00646C30">
      <w:pPr>
        <w:pStyle w:val="CPQuestions"/>
      </w:pPr>
      <w:r w:rsidRPr="006F71FA">
        <w:t>Please provide your views on whether Article 17(5) of MAR has to be made more explicit to include the case of a listed issuer, which is not a credit or financial institution, but which is controlling, directly or indirectly, a listed or non-listed credit or financial institution</w:t>
      </w:r>
      <w:r w:rsidR="00646C30">
        <w:t>.</w:t>
      </w:r>
    </w:p>
    <w:p w14:paraId="3C3E0ABC" w14:textId="77777777" w:rsidR="00646C30" w:rsidRDefault="00646C30" w:rsidP="00646C30">
      <w:r>
        <w:t>&lt;ESMA_QUESTION_CP_MAR_</w:t>
      </w:r>
      <w:r w:rsidR="00101BF1">
        <w:t>30</w:t>
      </w:r>
      <w:r>
        <w:t>&gt;</w:t>
      </w:r>
    </w:p>
    <w:p w14:paraId="3C3E0ABD" w14:textId="77777777" w:rsidR="00646C30" w:rsidRDefault="00646C30" w:rsidP="00646C30">
      <w:permStart w:id="385179280" w:edGrp="everyone"/>
      <w:r>
        <w:t>TYPE YOUR TEXT HERE</w:t>
      </w:r>
      <w:permEnd w:id="385179280"/>
    </w:p>
    <w:p w14:paraId="3C3E0ABE" w14:textId="77777777" w:rsidR="00646C30" w:rsidRDefault="00646C30" w:rsidP="00646C30">
      <w:r>
        <w:t>&lt;ESMA_QUESTION_CP_MAR_</w:t>
      </w:r>
      <w:r w:rsidR="00101BF1">
        <w:t>30</w:t>
      </w:r>
      <w:r>
        <w:t>&gt;</w:t>
      </w:r>
    </w:p>
    <w:p w14:paraId="3C3E0ABF" w14:textId="77777777" w:rsidR="00646C30" w:rsidRDefault="00646C30" w:rsidP="002E1760"/>
    <w:p w14:paraId="3C3E0AC0" w14:textId="77777777" w:rsidR="00646C30" w:rsidRDefault="006F71FA" w:rsidP="00646C30">
      <w:pPr>
        <w:pStyle w:val="CPQuestions"/>
      </w:pPr>
      <w:r w:rsidRPr="006F71FA">
        <w:t>Please provide relevant examples of difficulties encountered in the assessment of the conditions for the delay or in the application of Article 17(5) of MAR</w:t>
      </w:r>
      <w:r w:rsidR="00646C30">
        <w:t>.</w:t>
      </w:r>
    </w:p>
    <w:p w14:paraId="3C3E0AC1" w14:textId="77777777" w:rsidR="00646C30" w:rsidRDefault="00646C30" w:rsidP="00646C30">
      <w:r>
        <w:t>&lt;ESMA_QUESTION_CP_MAR_</w:t>
      </w:r>
      <w:r w:rsidR="00101BF1">
        <w:t>31</w:t>
      </w:r>
      <w:r>
        <w:t>&gt;</w:t>
      </w:r>
    </w:p>
    <w:p w14:paraId="3C3E0AC2" w14:textId="77777777" w:rsidR="00646C30" w:rsidRDefault="00646C30" w:rsidP="00646C30">
      <w:permStart w:id="1676897336" w:edGrp="everyone"/>
      <w:r>
        <w:t>TYPE YOUR TEXT HERE</w:t>
      </w:r>
      <w:permEnd w:id="1676897336"/>
    </w:p>
    <w:p w14:paraId="3C3E0AC3" w14:textId="77777777" w:rsidR="00646C30" w:rsidRDefault="00646C30" w:rsidP="00646C30">
      <w:r>
        <w:t>&lt;ESMA_QUESTION_CP_MAR_</w:t>
      </w:r>
      <w:r w:rsidR="00101BF1">
        <w:t>31</w:t>
      </w:r>
      <w:r>
        <w:t>&gt;</w:t>
      </w:r>
    </w:p>
    <w:p w14:paraId="3C3E0AC4" w14:textId="77777777" w:rsidR="00646C30" w:rsidRDefault="00646C30" w:rsidP="002E1760"/>
    <w:p w14:paraId="3C3E0AC5" w14:textId="77777777" w:rsidR="00646C30" w:rsidRDefault="00D60960" w:rsidP="00646C30">
      <w:pPr>
        <w:pStyle w:val="CPQuestions"/>
      </w:pPr>
      <w:r w:rsidRPr="00D60960">
        <w:t>Please indicate whether you have found difficulties in the assessment of the obligation to disclose a piece of inside information under Article 17 MAR when analysed together with other obligations arising from CRD, CRR or BRRD. Please provide specific examples.</w:t>
      </w:r>
    </w:p>
    <w:p w14:paraId="3C3E0AC6" w14:textId="77777777" w:rsidR="00646C30" w:rsidRDefault="00646C30" w:rsidP="00646C30">
      <w:r>
        <w:t>&lt;ESMA_QUESTION_CP_MAR_</w:t>
      </w:r>
      <w:r w:rsidR="00101BF1">
        <w:t>3</w:t>
      </w:r>
      <w:r>
        <w:t>2&gt;</w:t>
      </w:r>
    </w:p>
    <w:p w14:paraId="3C3E0AC7" w14:textId="77777777" w:rsidR="00646C30" w:rsidRDefault="00646C30" w:rsidP="00646C30">
      <w:permStart w:id="610084603" w:edGrp="everyone"/>
      <w:r>
        <w:t>TYPE YOUR TEXT HERE</w:t>
      </w:r>
      <w:permEnd w:id="610084603"/>
    </w:p>
    <w:p w14:paraId="3C3E0AC8" w14:textId="77777777" w:rsidR="00646C30" w:rsidRDefault="00646C30" w:rsidP="00646C30">
      <w:r>
        <w:t>&lt;ESMA_QUESTION_CP_MAR_</w:t>
      </w:r>
      <w:r w:rsidR="00101BF1">
        <w:t>3</w:t>
      </w:r>
      <w:r>
        <w:t>2&gt;</w:t>
      </w:r>
    </w:p>
    <w:p w14:paraId="3C3E0AC9" w14:textId="77777777" w:rsidR="00646C30" w:rsidRDefault="00646C30" w:rsidP="002E1760"/>
    <w:p w14:paraId="3C3E0ACA" w14:textId="77777777" w:rsidR="00646C30" w:rsidRDefault="00D60960" w:rsidP="00646C30">
      <w:pPr>
        <w:pStyle w:val="CPQuestions"/>
      </w:pPr>
      <w:r w:rsidRPr="00D60960">
        <w:t>Do you agree with the proposed amendments to Article 11 of MAR</w:t>
      </w:r>
      <w:r>
        <w:t>?</w:t>
      </w:r>
    </w:p>
    <w:p w14:paraId="3C3E0ACB" w14:textId="77777777" w:rsidR="00646C30" w:rsidRDefault="00646C30" w:rsidP="00646C30">
      <w:r>
        <w:t>&lt;ESMA_QUESTION_CP_MAR_</w:t>
      </w:r>
      <w:r w:rsidR="00101BF1">
        <w:t>33</w:t>
      </w:r>
      <w:r>
        <w:t>&gt;</w:t>
      </w:r>
    </w:p>
    <w:p w14:paraId="3C3E0ACC" w14:textId="77777777" w:rsidR="00646C30" w:rsidRDefault="00646C30" w:rsidP="00646C30">
      <w:permStart w:id="1371158119" w:edGrp="everyone"/>
      <w:r>
        <w:t>TYPE YOUR TEXT HERE</w:t>
      </w:r>
      <w:permEnd w:id="1371158119"/>
    </w:p>
    <w:p w14:paraId="3C3E0ACD" w14:textId="77777777" w:rsidR="00646C30" w:rsidRDefault="00646C30" w:rsidP="00646C30">
      <w:r>
        <w:t>&lt;ESMA_QUESTION_CP_MAR_</w:t>
      </w:r>
      <w:r w:rsidR="00101BF1">
        <w:t>33</w:t>
      </w:r>
      <w:r>
        <w:t>&gt;</w:t>
      </w:r>
    </w:p>
    <w:p w14:paraId="3C3E0ACE" w14:textId="77777777" w:rsidR="00646C30" w:rsidRDefault="00646C30" w:rsidP="002E1760"/>
    <w:p w14:paraId="3C3E0ACF" w14:textId="77777777"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14:paraId="3C3E0AD0" w14:textId="77777777" w:rsidR="00646C30" w:rsidRDefault="00646C30" w:rsidP="00646C30">
      <w:r>
        <w:t>&lt;ESMA_QUESTION_CP_MAR_</w:t>
      </w:r>
      <w:r w:rsidR="00101BF1">
        <w:t>34</w:t>
      </w:r>
      <w:r>
        <w:t>&gt;</w:t>
      </w:r>
    </w:p>
    <w:p w14:paraId="3C3E0AD1" w14:textId="77777777" w:rsidR="00646C30" w:rsidRDefault="00646C30" w:rsidP="00646C30">
      <w:permStart w:id="146477293" w:edGrp="everyone"/>
      <w:r>
        <w:t>TYPE YOUR TEXT HERE</w:t>
      </w:r>
      <w:permEnd w:id="146477293"/>
    </w:p>
    <w:p w14:paraId="3C3E0AD2" w14:textId="77777777" w:rsidR="00646C30" w:rsidRDefault="00646C30" w:rsidP="00646C30">
      <w:r>
        <w:t>&lt;ESMA_QUESTION_CP_MAR_</w:t>
      </w:r>
      <w:r w:rsidR="00101BF1">
        <w:t>34</w:t>
      </w:r>
      <w:r>
        <w:t>&gt;</w:t>
      </w:r>
    </w:p>
    <w:p w14:paraId="3C3E0AD3" w14:textId="77777777" w:rsidR="00646C30" w:rsidRDefault="00646C30" w:rsidP="002E1760"/>
    <w:p w14:paraId="3C3E0AD4" w14:textId="77777777" w:rsidR="00646C30" w:rsidRDefault="00BF409D" w:rsidP="00646C30">
      <w:pPr>
        <w:pStyle w:val="CPQuestions"/>
      </w:pPr>
      <w:r w:rsidRPr="00BF409D">
        <w:t>What are in your view the stages of the interaction between DMPs and potential investors, from the initial contact to the execution of the transaction, that should be covered by the definition of market soundings</w:t>
      </w:r>
      <w:r>
        <w:t>?</w:t>
      </w:r>
    </w:p>
    <w:p w14:paraId="3C3E0AD5" w14:textId="77777777" w:rsidR="00646C30" w:rsidRDefault="00646C30" w:rsidP="00646C30">
      <w:r>
        <w:t>&lt;ESMA_QUESTION_CP_MAR_</w:t>
      </w:r>
      <w:r w:rsidR="00101BF1">
        <w:t>35</w:t>
      </w:r>
      <w:r>
        <w:t>&gt;</w:t>
      </w:r>
    </w:p>
    <w:p w14:paraId="3C3E0AD6" w14:textId="77777777" w:rsidR="00646C30" w:rsidRDefault="00646C30" w:rsidP="00646C30">
      <w:permStart w:id="73213744" w:edGrp="everyone"/>
      <w:r>
        <w:t>TYPE YOUR TEXT HERE</w:t>
      </w:r>
      <w:permEnd w:id="73213744"/>
    </w:p>
    <w:p w14:paraId="3C3E0AD7" w14:textId="77777777" w:rsidR="00646C30" w:rsidRDefault="00646C30" w:rsidP="00646C30">
      <w:r>
        <w:t>&lt;ESMA_QUESTION_CP_MAR_</w:t>
      </w:r>
      <w:r w:rsidR="00101BF1">
        <w:t>35</w:t>
      </w:r>
      <w:r>
        <w:t>&gt;</w:t>
      </w:r>
    </w:p>
    <w:p w14:paraId="3C3E0AD8" w14:textId="77777777" w:rsidR="00646C30" w:rsidRDefault="00646C30" w:rsidP="002E1760"/>
    <w:p w14:paraId="3C3E0AD9" w14:textId="77777777" w:rsidR="00646C30" w:rsidRDefault="00BF409D" w:rsidP="00646C30">
      <w:pPr>
        <w:pStyle w:val="CPQuestions"/>
      </w:pPr>
      <w:r w:rsidRPr="00BF409D">
        <w:t>Do you think that the reference to “prior to the announcement of a transaction” in the definition of market sounding is appropriate or whether it should be amended to cover also those communications of information not followed by any specific announcement?</w:t>
      </w:r>
    </w:p>
    <w:p w14:paraId="3C3E0ADA" w14:textId="77777777" w:rsidR="00646C30" w:rsidRDefault="00646C30" w:rsidP="00646C30">
      <w:r>
        <w:t>&lt;ESMA_QUESTION_CP_MAR_</w:t>
      </w:r>
      <w:r w:rsidR="00B6351C">
        <w:t>36</w:t>
      </w:r>
      <w:r>
        <w:t>&gt;</w:t>
      </w:r>
    </w:p>
    <w:p w14:paraId="5863D21C" w14:textId="77777777" w:rsidR="00777742" w:rsidRDefault="00777742" w:rsidP="00777742">
      <w:pPr>
        <w:pStyle w:val="Default"/>
        <w:spacing w:line="260" w:lineRule="exact"/>
        <w:rPr>
          <w:rFonts w:ascii="Taz SemiLight" w:hAnsi="Taz SemiLight"/>
          <w:bCs/>
          <w:sz w:val="20"/>
          <w:szCs w:val="20"/>
          <w:lang w:val="en-US"/>
        </w:rPr>
      </w:pPr>
      <w:permStart w:id="720899510" w:edGrp="everyone"/>
      <w:r w:rsidRPr="005A5A34">
        <w:rPr>
          <w:rFonts w:ascii="Taz SemiLight" w:hAnsi="Taz SemiLight"/>
          <w:bCs/>
          <w:sz w:val="20"/>
          <w:szCs w:val="20"/>
          <w:lang w:val="en-US"/>
        </w:rPr>
        <w:t xml:space="preserve">In order to foster clarity for potential investors as to the estimated date at which the information disclosed will cease to be inside information (e.g. because the transaction has become public), DMPs should include in the standard set of information, where possible, an </w:t>
      </w:r>
      <w:r w:rsidRPr="000B50DE">
        <w:rPr>
          <w:rFonts w:ascii="Taz SemiLight" w:hAnsi="Taz SemiLight"/>
          <w:bCs/>
          <w:i/>
          <w:sz w:val="20"/>
          <w:szCs w:val="20"/>
          <w:lang w:val="en-US"/>
        </w:rPr>
        <w:t xml:space="preserve">estimation </w:t>
      </w:r>
      <w:r w:rsidRPr="005A5A34">
        <w:rPr>
          <w:rFonts w:ascii="Taz SemiLight" w:hAnsi="Taz SemiLight"/>
          <w:bCs/>
          <w:sz w:val="20"/>
          <w:szCs w:val="20"/>
          <w:lang w:val="en-US"/>
        </w:rPr>
        <w:t>of when the information will</w:t>
      </w:r>
      <w:r>
        <w:rPr>
          <w:rFonts w:ascii="Taz SemiLight" w:hAnsi="Taz SemiLight"/>
          <w:bCs/>
          <w:sz w:val="20"/>
          <w:szCs w:val="20"/>
          <w:lang w:val="en-US"/>
        </w:rPr>
        <w:t xml:space="preserve"> cease to be inside information.</w:t>
      </w:r>
    </w:p>
    <w:p w14:paraId="08806D3E" w14:textId="77777777" w:rsidR="00777742" w:rsidRDefault="00777742" w:rsidP="00777742">
      <w:pPr>
        <w:pStyle w:val="Default"/>
        <w:spacing w:line="260" w:lineRule="exact"/>
        <w:rPr>
          <w:rFonts w:ascii="Taz SemiLight" w:hAnsi="Taz SemiLight"/>
          <w:bCs/>
          <w:sz w:val="20"/>
          <w:szCs w:val="20"/>
          <w:lang w:val="en-US"/>
        </w:rPr>
      </w:pPr>
    </w:p>
    <w:p w14:paraId="3C3E0ADB" w14:textId="68181C5B" w:rsidR="00646C30" w:rsidRDefault="00A706C4" w:rsidP="00646C30">
      <w:r>
        <w:rPr>
          <w:rFonts w:ascii="Taz SemiLight" w:hAnsi="Taz SemiLight"/>
          <w:bCs/>
          <w:szCs w:val="20"/>
          <w:lang w:val="en-US"/>
        </w:rPr>
        <w:t xml:space="preserve">At the same time, we realize that an </w:t>
      </w:r>
      <w:r w:rsidR="00777742">
        <w:rPr>
          <w:rFonts w:ascii="Taz SemiLight" w:hAnsi="Taz SemiLight"/>
          <w:bCs/>
          <w:szCs w:val="20"/>
          <w:lang w:val="en-US"/>
        </w:rPr>
        <w:t>estimation does not provide any certainty. In practice it is not uncommon that a public announcement by the issuers is still lacking long after the estimated period has expired, causing considerable uncertainty in the market and among buy side firms. We would urge ESMA to address this</w:t>
      </w:r>
      <w:r w:rsidR="00B57044">
        <w:rPr>
          <w:rFonts w:ascii="Taz SemiLight" w:hAnsi="Taz SemiLight"/>
          <w:bCs/>
          <w:szCs w:val="20"/>
          <w:lang w:val="en-US"/>
        </w:rPr>
        <w:t>,</w:t>
      </w:r>
      <w:r w:rsidR="00777742">
        <w:rPr>
          <w:rFonts w:ascii="Taz SemiLight" w:hAnsi="Taz SemiLight"/>
          <w:bCs/>
          <w:szCs w:val="20"/>
          <w:lang w:val="en-US"/>
        </w:rPr>
        <w:t xml:space="preserve"> for instance by requiring DMPs to determine a fixed deadline.</w:t>
      </w:r>
      <w:permEnd w:id="720899510"/>
    </w:p>
    <w:p w14:paraId="3C3E0ADC" w14:textId="77777777" w:rsidR="00646C30" w:rsidRDefault="00646C30" w:rsidP="00646C30">
      <w:r>
        <w:t>&lt;ESMA_QUESTION_CP_MAR_</w:t>
      </w:r>
      <w:r w:rsidR="00B6351C">
        <w:t>36</w:t>
      </w:r>
      <w:r>
        <w:t>&gt;</w:t>
      </w:r>
    </w:p>
    <w:p w14:paraId="3C3E0ADD" w14:textId="77777777" w:rsidR="00646C30" w:rsidRDefault="00646C30" w:rsidP="002E1760"/>
    <w:p w14:paraId="3C3E0ADE" w14:textId="77777777" w:rsidR="00646C30" w:rsidRDefault="001B2FC9" w:rsidP="00646C30">
      <w:pPr>
        <w:pStyle w:val="CPQuestions"/>
      </w:pPr>
      <w:r w:rsidRPr="001B2FC9">
        <w:t>Can you provide information on situations where the market soundings regime has proven to be of difficult application by DMPs or persons receiving the market sounding? Could you please elaborate</w:t>
      </w:r>
      <w:r>
        <w:t>?</w:t>
      </w:r>
    </w:p>
    <w:p w14:paraId="3C3E0ADF" w14:textId="77777777" w:rsidR="00646C30" w:rsidRDefault="00646C30" w:rsidP="00646C30">
      <w:r>
        <w:t>&lt;ESMA_QUESTION_CP_MAR_</w:t>
      </w:r>
      <w:r w:rsidR="00B6351C">
        <w:t>37</w:t>
      </w:r>
      <w:r>
        <w:t>&gt;</w:t>
      </w:r>
    </w:p>
    <w:p w14:paraId="3C3E0AE0" w14:textId="77777777" w:rsidR="00646C30" w:rsidRDefault="00646C30" w:rsidP="00646C30">
      <w:permStart w:id="427762830" w:edGrp="everyone"/>
      <w:r>
        <w:t>TYPE YOUR TEXT HERE</w:t>
      </w:r>
      <w:permEnd w:id="427762830"/>
    </w:p>
    <w:p w14:paraId="3C3E0AE1" w14:textId="77777777" w:rsidR="00646C30" w:rsidRDefault="00646C30" w:rsidP="00646C30">
      <w:r>
        <w:t>&lt;ESMA_QUESTION_CP_MAR_</w:t>
      </w:r>
      <w:r w:rsidR="00B6351C">
        <w:t>37</w:t>
      </w:r>
      <w:r>
        <w:t>&gt;</w:t>
      </w:r>
    </w:p>
    <w:p w14:paraId="3C3E0AE2" w14:textId="77777777" w:rsidR="00646C30" w:rsidRDefault="00646C30" w:rsidP="002E1760"/>
    <w:p w14:paraId="3C3E0AE3" w14:textId="77777777" w:rsidR="00646C30" w:rsidRDefault="001B2FC9" w:rsidP="00646C30">
      <w:pPr>
        <w:pStyle w:val="CPQuestions"/>
      </w:pPr>
      <w:r w:rsidRPr="001B2FC9">
        <w:t>Can you provide your views on how to simplify or improve the market sounding procedure and requirements while ensuring an adequate level of audit trail of the conveyed information (in relation to both the DMPs and the persons receiving the market sounding)?</w:t>
      </w:r>
    </w:p>
    <w:p w14:paraId="3C3E0AE4" w14:textId="77777777" w:rsidR="00646C30" w:rsidRDefault="00646C30" w:rsidP="00646C30">
      <w:r>
        <w:t>&lt;ESMA_QUESTION_CP_MAR_</w:t>
      </w:r>
      <w:r w:rsidR="00B6351C">
        <w:t>38</w:t>
      </w:r>
      <w:r>
        <w:t>&gt;</w:t>
      </w:r>
    </w:p>
    <w:p w14:paraId="3C3E0AE5" w14:textId="77777777" w:rsidR="00646C30" w:rsidRDefault="00646C30" w:rsidP="00646C30">
      <w:permStart w:id="2098217667" w:edGrp="everyone"/>
      <w:r>
        <w:t>TYPE YOUR TEXT HERE</w:t>
      </w:r>
      <w:permEnd w:id="2098217667"/>
    </w:p>
    <w:p w14:paraId="3C3E0AE6" w14:textId="77777777" w:rsidR="00646C30" w:rsidRDefault="00646C30" w:rsidP="00646C30">
      <w:r>
        <w:t>&lt;ESMA_QUESTION_CP_MAR_</w:t>
      </w:r>
      <w:r w:rsidR="00B6351C">
        <w:t>38</w:t>
      </w:r>
      <w:r>
        <w:t>&gt;</w:t>
      </w:r>
    </w:p>
    <w:p w14:paraId="3C3E0AE7" w14:textId="77777777" w:rsidR="00646C30" w:rsidRDefault="00646C30" w:rsidP="002E1760"/>
    <w:p w14:paraId="3C3E0AE8" w14:textId="77777777" w:rsidR="00646C30" w:rsidRDefault="001B2FC9" w:rsidP="00646C30">
      <w:pPr>
        <w:pStyle w:val="CPQuestions"/>
      </w:pPr>
      <w:r w:rsidRPr="001B2FC9">
        <w:t>Do you agree with ESMA’s preliminary view on the usefulness of insider list? If not, please elaborate</w:t>
      </w:r>
      <w:r w:rsidR="00646C30">
        <w:t>.</w:t>
      </w:r>
    </w:p>
    <w:p w14:paraId="3C3E0AE9" w14:textId="77777777" w:rsidR="00646C30" w:rsidRDefault="00646C30" w:rsidP="00646C30">
      <w:r>
        <w:t>&lt;ESMA_QUESTION_CP_MAR_</w:t>
      </w:r>
      <w:r w:rsidR="00B6351C">
        <w:t>39</w:t>
      </w:r>
      <w:r>
        <w:t>&gt;</w:t>
      </w:r>
    </w:p>
    <w:p w14:paraId="3C3E0AEA" w14:textId="77777777" w:rsidR="00646C30" w:rsidRDefault="00646C30" w:rsidP="00646C30">
      <w:permStart w:id="1933056180" w:edGrp="everyone"/>
      <w:r>
        <w:lastRenderedPageBreak/>
        <w:t>TYPE YOUR TEXT HERE</w:t>
      </w:r>
      <w:permEnd w:id="1933056180"/>
    </w:p>
    <w:p w14:paraId="3C3E0AEB" w14:textId="77777777" w:rsidR="00646C30" w:rsidRDefault="00646C30" w:rsidP="00646C30">
      <w:r>
        <w:t>&lt;ESMA_QUESTION_CP_MAR_</w:t>
      </w:r>
      <w:r w:rsidR="00B6351C">
        <w:t>39</w:t>
      </w:r>
      <w:r>
        <w:t>&gt;</w:t>
      </w:r>
    </w:p>
    <w:p w14:paraId="3C3E0AEC" w14:textId="77777777" w:rsidR="00646C30" w:rsidRDefault="00646C30" w:rsidP="002E1760"/>
    <w:p w14:paraId="3C3E0AED" w14:textId="77777777" w:rsidR="00646C30" w:rsidRDefault="00263505" w:rsidP="00646C30">
      <w:pPr>
        <w:pStyle w:val="CPQuestions"/>
      </w:pPr>
      <w:r w:rsidRPr="00263505">
        <w:t>Do you consider that the insider list regime should be amended to make it more effective?  Please elaborate</w:t>
      </w:r>
      <w:r w:rsidR="00646C30">
        <w:t>.</w:t>
      </w:r>
    </w:p>
    <w:p w14:paraId="3C3E0AEE" w14:textId="77777777" w:rsidR="00646C30" w:rsidRDefault="00646C30" w:rsidP="00646C30">
      <w:r>
        <w:t>&lt;ESMA_QUESTION_CP_MAR_</w:t>
      </w:r>
      <w:r w:rsidR="00B6351C">
        <w:t>40</w:t>
      </w:r>
      <w:r>
        <w:t>&gt;</w:t>
      </w:r>
    </w:p>
    <w:p w14:paraId="3C3E0AEF" w14:textId="77777777" w:rsidR="00646C30" w:rsidRDefault="00646C30" w:rsidP="00646C30">
      <w:permStart w:id="1252881600" w:edGrp="everyone"/>
      <w:r>
        <w:t>TYPE YOUR TEXT HERE</w:t>
      </w:r>
      <w:permEnd w:id="1252881600"/>
    </w:p>
    <w:p w14:paraId="3C3E0AF0" w14:textId="77777777" w:rsidR="00646C30" w:rsidRDefault="00646C30" w:rsidP="00646C30">
      <w:r>
        <w:t>&lt;ESMA_QUESTION_CP_MAR_</w:t>
      </w:r>
      <w:r w:rsidR="00B6351C">
        <w:t>40</w:t>
      </w:r>
      <w:r>
        <w:t>&gt;</w:t>
      </w:r>
    </w:p>
    <w:p w14:paraId="3C3E0AF1" w14:textId="77777777" w:rsidR="00646C30" w:rsidRDefault="00646C30" w:rsidP="002E1760"/>
    <w:p w14:paraId="3C3E0AF2" w14:textId="77777777" w:rsidR="00646C30" w:rsidRDefault="00263505" w:rsidP="00646C30">
      <w:pPr>
        <w:pStyle w:val="CPQuestions"/>
      </w:pPr>
      <w:r w:rsidRPr="00263505">
        <w:t>What changes and what systems and controls would issuers need to put in place in order to be able to provide NCAs, at their request, the insider list with the individuals who had actually accessed the inside information within a short time period</w:t>
      </w:r>
      <w:r>
        <w:t>?</w:t>
      </w:r>
    </w:p>
    <w:p w14:paraId="3C3E0AF3" w14:textId="77777777" w:rsidR="00646C30" w:rsidRDefault="00646C30" w:rsidP="00646C30">
      <w:r>
        <w:t>&lt;ESMA_QUESTION_CP_MAR_</w:t>
      </w:r>
      <w:r w:rsidR="00B6351C">
        <w:t>41</w:t>
      </w:r>
      <w:r>
        <w:t>&gt;</w:t>
      </w:r>
    </w:p>
    <w:p w14:paraId="3C3E0AF4" w14:textId="77777777" w:rsidR="00646C30" w:rsidRDefault="00646C30" w:rsidP="00646C30">
      <w:permStart w:id="93392546" w:edGrp="everyone"/>
      <w:r>
        <w:t>TYPE YOUR TEXT HERE</w:t>
      </w:r>
      <w:permEnd w:id="93392546"/>
    </w:p>
    <w:p w14:paraId="3C3E0AF5" w14:textId="77777777" w:rsidR="00646C30" w:rsidRDefault="00646C30" w:rsidP="00646C30">
      <w:r>
        <w:t>&lt;ESMA_QUESTION_CP_MAR_</w:t>
      </w:r>
      <w:r w:rsidR="00B6351C">
        <w:t>41</w:t>
      </w:r>
      <w:r>
        <w:t>&gt;</w:t>
      </w:r>
    </w:p>
    <w:p w14:paraId="3C3E0AF6" w14:textId="77777777" w:rsidR="00646C30" w:rsidRDefault="00646C30" w:rsidP="002E1760"/>
    <w:p w14:paraId="3C3E0AF7" w14:textId="77777777" w:rsidR="00646C30" w:rsidRDefault="00A55D71" w:rsidP="00646C30">
      <w:pPr>
        <w:pStyle w:val="CPQuestions"/>
      </w:pPr>
      <w:r w:rsidRPr="00A55D71">
        <w:t>What are your views about expanding the scope of Article 18(1) of MAR (i.e. drawing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14:paraId="3C3E0AF8" w14:textId="77777777" w:rsidR="00646C30" w:rsidRDefault="00646C30" w:rsidP="00646C30">
      <w:r>
        <w:t>&lt;ESMA_QUESTION_CP_MAR_</w:t>
      </w:r>
      <w:r w:rsidR="00B6351C">
        <w:t>4</w:t>
      </w:r>
      <w:r>
        <w:t>2&gt;</w:t>
      </w:r>
    </w:p>
    <w:p w14:paraId="3C3E0AF9" w14:textId="77777777" w:rsidR="00646C30" w:rsidRDefault="00646C30" w:rsidP="00646C30">
      <w:permStart w:id="1148858332" w:edGrp="everyone"/>
      <w:r>
        <w:t>TYPE YOUR TEXT HERE</w:t>
      </w:r>
      <w:permEnd w:id="1148858332"/>
    </w:p>
    <w:p w14:paraId="3C3E0AFA" w14:textId="77777777" w:rsidR="00646C30" w:rsidRDefault="00646C30" w:rsidP="00646C30">
      <w:r>
        <w:t>&lt;ESMA_QUESTION_CP_MAR_</w:t>
      </w:r>
      <w:r w:rsidR="00B6351C">
        <w:t>4</w:t>
      </w:r>
      <w:r>
        <w:t>2&gt;</w:t>
      </w:r>
    </w:p>
    <w:p w14:paraId="3C3E0AFB" w14:textId="77777777" w:rsidR="00646C30" w:rsidRDefault="00646C30" w:rsidP="002E1760"/>
    <w:p w14:paraId="3C3E0AFC" w14:textId="77777777" w:rsidR="00646C30" w:rsidRDefault="004F728D" w:rsidP="00646C30">
      <w:pPr>
        <w:pStyle w:val="CPQuestions"/>
      </w:pPr>
      <w:r w:rsidRPr="004F728D">
        <w:t>Do you consider useful maintaining the permanent insider section? If yes, please elaborate on your reasons for using the permanent insider section and who should be included in that section in your opinion</w:t>
      </w:r>
      <w:r w:rsidR="00646C30">
        <w:t>.</w:t>
      </w:r>
    </w:p>
    <w:p w14:paraId="3C3E0AFD" w14:textId="77777777" w:rsidR="00646C30" w:rsidRDefault="00646C30" w:rsidP="00646C30">
      <w:r>
        <w:t>&lt;ESMA_QUESTION_CP_MAR_</w:t>
      </w:r>
      <w:r w:rsidR="00B6351C">
        <w:t>43</w:t>
      </w:r>
      <w:r>
        <w:t>&gt;</w:t>
      </w:r>
    </w:p>
    <w:p w14:paraId="3C3E0AFE" w14:textId="77777777" w:rsidR="00646C30" w:rsidRDefault="00646C30" w:rsidP="00646C30">
      <w:permStart w:id="513950227" w:edGrp="everyone"/>
      <w:r>
        <w:t>TYPE YOUR TEXT HERE</w:t>
      </w:r>
      <w:permEnd w:id="513950227"/>
    </w:p>
    <w:p w14:paraId="3C3E0AFF" w14:textId="77777777" w:rsidR="00646C30" w:rsidRDefault="00646C30" w:rsidP="00646C30">
      <w:r>
        <w:t>&lt;ESMA_QUESTION_CP_MAR_</w:t>
      </w:r>
      <w:r w:rsidR="00B6351C">
        <w:t>43</w:t>
      </w:r>
      <w:r>
        <w:t>&gt;</w:t>
      </w:r>
    </w:p>
    <w:p w14:paraId="3C3E0B00" w14:textId="77777777" w:rsidR="00646C30" w:rsidRDefault="00646C30" w:rsidP="002E1760"/>
    <w:p w14:paraId="3C3E0B01" w14:textId="77777777" w:rsidR="00646C30" w:rsidRDefault="00074979" w:rsidP="00646C30">
      <w:pPr>
        <w:pStyle w:val="CPQuestions"/>
      </w:pPr>
      <w:r w:rsidRPr="00074979">
        <w:t>Do you agree with ESMA’s preliminary view</w:t>
      </w:r>
      <w:r>
        <w:t>?</w:t>
      </w:r>
    </w:p>
    <w:p w14:paraId="3C3E0B02" w14:textId="77777777" w:rsidR="00646C30" w:rsidRDefault="00646C30" w:rsidP="00646C30">
      <w:r>
        <w:t>&lt;ESMA_QUESTION_CP_MAR_</w:t>
      </w:r>
      <w:r w:rsidR="00B6351C">
        <w:t>44</w:t>
      </w:r>
      <w:r>
        <w:t>&gt;</w:t>
      </w:r>
    </w:p>
    <w:p w14:paraId="3C3E0B03" w14:textId="77777777" w:rsidR="00646C30" w:rsidRDefault="00646C30" w:rsidP="00646C30">
      <w:permStart w:id="1908500529" w:edGrp="everyone"/>
      <w:r>
        <w:t>TYPE YOUR TEXT HERE</w:t>
      </w:r>
      <w:permEnd w:id="1908500529"/>
    </w:p>
    <w:p w14:paraId="3C3E0B04" w14:textId="77777777" w:rsidR="00646C30" w:rsidRDefault="00646C30" w:rsidP="00646C30">
      <w:r>
        <w:t>&lt;ESMA_QUESTION_CP_MAR_</w:t>
      </w:r>
      <w:r w:rsidR="00B6351C">
        <w:t>44</w:t>
      </w:r>
      <w:r>
        <w:t>&gt;</w:t>
      </w:r>
    </w:p>
    <w:p w14:paraId="3C3E0B05" w14:textId="77777777" w:rsidR="00646C30" w:rsidRDefault="00646C30" w:rsidP="002E1760"/>
    <w:p w14:paraId="3C3E0B06" w14:textId="77777777" w:rsidR="00646C30" w:rsidRDefault="00074979" w:rsidP="00646C30">
      <w:pPr>
        <w:pStyle w:val="CPQuestions"/>
      </w:pPr>
      <w:r w:rsidRPr="00074979">
        <w:t>Do you have any other suggestion on the insider lists that would support more efficiently their objectives while reducing the administrative work they entail? If yes, please elaborate how those changes could contribute to that purpose</w:t>
      </w:r>
      <w:r w:rsidR="00646C30">
        <w:t>.</w:t>
      </w:r>
    </w:p>
    <w:p w14:paraId="3C3E0B07" w14:textId="77777777" w:rsidR="00646C30" w:rsidRDefault="00646C30" w:rsidP="00646C30">
      <w:r>
        <w:lastRenderedPageBreak/>
        <w:t>&lt;ESMA_QUESTION_CP_MAR_</w:t>
      </w:r>
      <w:r w:rsidR="00B6351C">
        <w:t>45</w:t>
      </w:r>
      <w:r>
        <w:t>&gt;</w:t>
      </w:r>
    </w:p>
    <w:p w14:paraId="3C3E0B08" w14:textId="77777777" w:rsidR="00646C30" w:rsidRDefault="00646C30" w:rsidP="00646C30">
      <w:permStart w:id="673864140" w:edGrp="everyone"/>
      <w:r>
        <w:t>TYPE YOUR TEXT HERE</w:t>
      </w:r>
      <w:permEnd w:id="673864140"/>
    </w:p>
    <w:p w14:paraId="3C3E0B09" w14:textId="77777777" w:rsidR="00646C30" w:rsidRDefault="00646C30" w:rsidP="00646C30">
      <w:r>
        <w:t>&lt;ESMA_QUESTION_CP_MAR_</w:t>
      </w:r>
      <w:r w:rsidR="00B6351C">
        <w:t>45</w:t>
      </w:r>
      <w:r>
        <w:t>&gt;</w:t>
      </w:r>
    </w:p>
    <w:p w14:paraId="3C3E0B0A" w14:textId="77777777" w:rsidR="00646C30" w:rsidRDefault="00646C30" w:rsidP="002E1760"/>
    <w:p w14:paraId="3C3E0B0B" w14:textId="77777777" w:rsidR="00646C30" w:rsidRDefault="00074979" w:rsidP="00646C30">
      <w:pPr>
        <w:pStyle w:val="CPQuestions"/>
      </w:pPr>
      <w:r w:rsidRPr="00074979">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C3E0B0C" w14:textId="77777777" w:rsidR="00646C30" w:rsidRDefault="00646C30" w:rsidP="00646C30">
      <w:r>
        <w:t>&lt;ESMA_QUESTION_CP_MAR_</w:t>
      </w:r>
      <w:r w:rsidR="00B6351C">
        <w:t>46</w:t>
      </w:r>
      <w:r>
        <w:t>&gt;</w:t>
      </w:r>
    </w:p>
    <w:p w14:paraId="1A7BECE8" w14:textId="0DEC1BBD" w:rsidR="00777742" w:rsidRPr="00D60659" w:rsidRDefault="00777742" w:rsidP="00777742">
      <w:pPr>
        <w:pStyle w:val="Default"/>
        <w:spacing w:line="260" w:lineRule="exact"/>
        <w:rPr>
          <w:rFonts w:ascii="Taz SemiLight" w:hAnsi="Taz SemiLight"/>
          <w:sz w:val="20"/>
          <w:szCs w:val="20"/>
          <w:lang w:val="en-US"/>
        </w:rPr>
      </w:pPr>
      <w:permStart w:id="274992488" w:edGrp="everyone"/>
      <w:r w:rsidRPr="00FE4439">
        <w:rPr>
          <w:rFonts w:ascii="Taz SemiLight" w:hAnsi="Taz SemiLight"/>
          <w:sz w:val="20"/>
          <w:szCs w:val="20"/>
          <w:lang w:val="en-US"/>
        </w:rPr>
        <w:t xml:space="preserve">Yes, </w:t>
      </w:r>
      <w:r w:rsidR="0004539D">
        <w:rPr>
          <w:rFonts w:ascii="Taz SemiLight" w:hAnsi="Taz SemiLight"/>
          <w:sz w:val="20"/>
          <w:szCs w:val="20"/>
          <w:lang w:val="en-US"/>
        </w:rPr>
        <w:t xml:space="preserve">Dufas is strongly in favor of increasing the minimum reporting threshold, </w:t>
      </w:r>
      <w:r w:rsidRPr="00FE4439">
        <w:rPr>
          <w:rFonts w:ascii="Taz SemiLight" w:hAnsi="Taz SemiLight"/>
          <w:sz w:val="20"/>
          <w:szCs w:val="20"/>
          <w:lang w:val="en-US"/>
        </w:rPr>
        <w:t>in particular for PD</w:t>
      </w:r>
      <w:r w:rsidR="0004539D">
        <w:rPr>
          <w:rFonts w:ascii="Taz SemiLight" w:hAnsi="Taz SemiLight"/>
          <w:sz w:val="20"/>
          <w:szCs w:val="20"/>
          <w:lang w:val="en-US"/>
        </w:rPr>
        <w:t>M</w:t>
      </w:r>
      <w:r w:rsidRPr="00FE4439">
        <w:rPr>
          <w:rFonts w:ascii="Taz SemiLight" w:hAnsi="Taz SemiLight"/>
          <w:sz w:val="20"/>
          <w:szCs w:val="20"/>
          <w:lang w:val="en-US"/>
        </w:rPr>
        <w:t>Rs of CUIs. Article 19(8) of MAR provides that P</w:t>
      </w:r>
      <w:r>
        <w:rPr>
          <w:rFonts w:ascii="Taz SemiLight" w:hAnsi="Taz SemiLight"/>
          <w:sz w:val="20"/>
          <w:szCs w:val="20"/>
          <w:lang w:val="en-US"/>
        </w:rPr>
        <w:t>MD</w:t>
      </w:r>
      <w:r w:rsidRPr="00FE4439">
        <w:rPr>
          <w:rFonts w:ascii="Taz SemiLight" w:hAnsi="Taz SemiLight"/>
          <w:sz w:val="20"/>
          <w:szCs w:val="20"/>
          <w:lang w:val="en-US"/>
        </w:rPr>
        <w:t xml:space="preserve">Rs have to notify the issuer and the NCA when in a calendar year they reach the threshold of € 5,000, to be calculated by adding the value of the transactions conducted, without netting them.  In Article 19(9) of MAR provides that NCAs may decide to increase the threshold to € 20,000. </w:t>
      </w:r>
    </w:p>
    <w:p w14:paraId="1F3C4B70" w14:textId="77777777" w:rsidR="00777742" w:rsidRPr="00FE4439" w:rsidRDefault="00777742" w:rsidP="00777742">
      <w:pPr>
        <w:pStyle w:val="Default"/>
        <w:spacing w:line="260" w:lineRule="exact"/>
        <w:rPr>
          <w:rFonts w:ascii="Taz SemiLight" w:hAnsi="Taz SemiLight"/>
          <w:sz w:val="20"/>
          <w:szCs w:val="20"/>
          <w:lang w:val="en-US"/>
        </w:rPr>
      </w:pPr>
    </w:p>
    <w:p w14:paraId="6726C248" w14:textId="3C9E8996" w:rsidR="00777742" w:rsidRPr="00FE4439" w:rsidRDefault="00777742" w:rsidP="00777742">
      <w:pPr>
        <w:pStyle w:val="Default"/>
        <w:spacing w:line="260" w:lineRule="exact"/>
        <w:rPr>
          <w:rFonts w:ascii="Taz SemiLight" w:hAnsi="Taz SemiLight"/>
          <w:sz w:val="20"/>
          <w:szCs w:val="20"/>
          <w:lang w:val="en-US"/>
        </w:rPr>
      </w:pPr>
      <w:r w:rsidRPr="00FE4439">
        <w:rPr>
          <w:rFonts w:ascii="Taz SemiLight" w:hAnsi="Taz SemiLight"/>
          <w:sz w:val="20"/>
          <w:szCs w:val="20"/>
          <w:lang w:val="en-US"/>
        </w:rPr>
        <w:t xml:space="preserve">As the CP points out, so far four NCAs have decided to use increased threshold (DEN, FRA, ITA and SPA). A fifth NCA is likely to follow suit (GER). On the </w:t>
      </w:r>
      <w:r w:rsidR="0004539D">
        <w:rPr>
          <w:rFonts w:ascii="Taz SemiLight" w:hAnsi="Taz SemiLight"/>
          <w:sz w:val="20"/>
          <w:szCs w:val="20"/>
          <w:lang w:val="en-US"/>
        </w:rPr>
        <w:t>other hand</w:t>
      </w:r>
      <w:r w:rsidRPr="00FE4439">
        <w:rPr>
          <w:rFonts w:ascii="Taz SemiLight" w:hAnsi="Taz SemiLight"/>
          <w:sz w:val="20"/>
          <w:szCs w:val="20"/>
          <w:lang w:val="en-US"/>
        </w:rPr>
        <w:t>, some other NCA</w:t>
      </w:r>
      <w:r w:rsidR="0004539D">
        <w:rPr>
          <w:rFonts w:ascii="Taz SemiLight" w:hAnsi="Taz SemiLight"/>
          <w:sz w:val="20"/>
          <w:szCs w:val="20"/>
          <w:lang w:val="en-US"/>
        </w:rPr>
        <w:t>s</w:t>
      </w:r>
      <w:r w:rsidRPr="00FE4439">
        <w:rPr>
          <w:rFonts w:ascii="Taz SemiLight" w:hAnsi="Taz SemiLight"/>
          <w:sz w:val="20"/>
          <w:szCs w:val="20"/>
          <w:lang w:val="en-US"/>
        </w:rPr>
        <w:t xml:space="preserve"> (</w:t>
      </w:r>
      <w:r w:rsidR="0004539D">
        <w:rPr>
          <w:rFonts w:ascii="Taz SemiLight" w:hAnsi="Taz SemiLight"/>
          <w:sz w:val="20"/>
          <w:szCs w:val="20"/>
          <w:lang w:val="en-US"/>
        </w:rPr>
        <w:t xml:space="preserve">like </w:t>
      </w:r>
      <w:r w:rsidRPr="00FE4439">
        <w:rPr>
          <w:rFonts w:ascii="Taz SemiLight" w:hAnsi="Taz SemiLight"/>
          <w:sz w:val="20"/>
          <w:szCs w:val="20"/>
          <w:lang w:val="en-US"/>
        </w:rPr>
        <w:t xml:space="preserve">NL) have proven to be rigid and have ignored, despite sensible market requests, to make use of </w:t>
      </w:r>
      <w:r w:rsidR="0004539D">
        <w:rPr>
          <w:rFonts w:ascii="Taz SemiLight" w:hAnsi="Taz SemiLight"/>
          <w:sz w:val="20"/>
          <w:szCs w:val="20"/>
          <w:lang w:val="en-US"/>
        </w:rPr>
        <w:t xml:space="preserve">this option to </w:t>
      </w:r>
      <w:r w:rsidRPr="00FE4439">
        <w:rPr>
          <w:rFonts w:ascii="Taz SemiLight" w:hAnsi="Taz SemiLight"/>
          <w:sz w:val="20"/>
          <w:szCs w:val="20"/>
          <w:lang w:val="en-US"/>
        </w:rPr>
        <w:t>increase</w:t>
      </w:r>
      <w:r w:rsidR="0004539D">
        <w:rPr>
          <w:rFonts w:ascii="Taz SemiLight" w:hAnsi="Taz SemiLight"/>
          <w:sz w:val="20"/>
          <w:szCs w:val="20"/>
          <w:lang w:val="en-US"/>
        </w:rPr>
        <w:t xml:space="preserve"> the</w:t>
      </w:r>
      <w:r w:rsidRPr="00FE4439">
        <w:rPr>
          <w:rFonts w:ascii="Taz SemiLight" w:hAnsi="Taz SemiLight"/>
          <w:sz w:val="20"/>
          <w:szCs w:val="20"/>
          <w:lang w:val="en-US"/>
        </w:rPr>
        <w:t xml:space="preserve"> threshold. Hence, while MAR’s key objective is to harmonize across the EU, it has created an unleveled playing field in relation the PDMRs notification threshold.</w:t>
      </w:r>
    </w:p>
    <w:p w14:paraId="54F81FA5" w14:textId="77777777" w:rsidR="00777742" w:rsidRPr="00FE4439" w:rsidRDefault="00777742" w:rsidP="00777742">
      <w:pPr>
        <w:pStyle w:val="Default"/>
        <w:spacing w:line="260" w:lineRule="exact"/>
        <w:rPr>
          <w:rFonts w:ascii="Taz SemiLight" w:hAnsi="Taz SemiLight"/>
          <w:sz w:val="20"/>
          <w:szCs w:val="20"/>
          <w:lang w:val="en-US"/>
        </w:rPr>
      </w:pPr>
    </w:p>
    <w:p w14:paraId="7B5614D8" w14:textId="77777777" w:rsidR="006C2F4F" w:rsidRDefault="00777742" w:rsidP="00777742">
      <w:pPr>
        <w:pStyle w:val="Default"/>
        <w:spacing w:line="260" w:lineRule="exact"/>
        <w:rPr>
          <w:rFonts w:ascii="Taz SemiLight" w:hAnsi="Taz SemiLight"/>
          <w:sz w:val="20"/>
          <w:szCs w:val="20"/>
          <w:lang w:val="en-US"/>
        </w:rPr>
      </w:pPr>
      <w:r w:rsidRPr="00FE4439">
        <w:rPr>
          <w:rFonts w:ascii="Taz SemiLight" w:hAnsi="Taz SemiLight"/>
          <w:sz w:val="20"/>
          <w:szCs w:val="20"/>
          <w:lang w:val="en-US"/>
        </w:rPr>
        <w:t>In particular for P</w:t>
      </w:r>
      <w:r w:rsidR="0004539D">
        <w:rPr>
          <w:rFonts w:ascii="Taz SemiLight" w:hAnsi="Taz SemiLight"/>
          <w:sz w:val="20"/>
          <w:szCs w:val="20"/>
          <w:lang w:val="en-US"/>
        </w:rPr>
        <w:t>DM</w:t>
      </w:r>
      <w:r w:rsidRPr="00FE4439">
        <w:rPr>
          <w:rFonts w:ascii="Taz SemiLight" w:hAnsi="Taz SemiLight"/>
          <w:sz w:val="20"/>
          <w:szCs w:val="20"/>
          <w:lang w:val="en-US"/>
        </w:rPr>
        <w:t>R</w:t>
      </w:r>
      <w:r w:rsidR="0004539D">
        <w:rPr>
          <w:rFonts w:ascii="Taz SemiLight" w:hAnsi="Taz SemiLight"/>
          <w:sz w:val="20"/>
          <w:szCs w:val="20"/>
          <w:lang w:val="en-US"/>
        </w:rPr>
        <w:t>s</w:t>
      </w:r>
      <w:r w:rsidRPr="00FE4439">
        <w:rPr>
          <w:rFonts w:ascii="Taz SemiLight" w:hAnsi="Taz SemiLight"/>
          <w:sz w:val="20"/>
          <w:szCs w:val="20"/>
          <w:lang w:val="en-US"/>
        </w:rPr>
        <w:t xml:space="preserve"> of CUIs the existing low threshold </w:t>
      </w:r>
      <w:r w:rsidR="0004539D">
        <w:rPr>
          <w:rFonts w:ascii="Taz SemiLight" w:hAnsi="Taz SemiLight"/>
          <w:sz w:val="20"/>
          <w:szCs w:val="20"/>
          <w:lang w:val="en-US"/>
        </w:rPr>
        <w:t xml:space="preserve">of </w:t>
      </w:r>
      <w:r w:rsidR="0004539D" w:rsidRPr="00FE4439">
        <w:rPr>
          <w:rFonts w:ascii="Taz SemiLight" w:hAnsi="Taz SemiLight"/>
          <w:sz w:val="20"/>
          <w:szCs w:val="20"/>
          <w:lang w:val="en-US"/>
        </w:rPr>
        <w:t>€ 5,000</w:t>
      </w:r>
      <w:r w:rsidR="0004539D">
        <w:rPr>
          <w:rFonts w:ascii="Taz SemiLight" w:hAnsi="Taz SemiLight"/>
          <w:sz w:val="20"/>
          <w:szCs w:val="20"/>
          <w:lang w:val="en-US"/>
        </w:rPr>
        <w:t xml:space="preserve"> </w:t>
      </w:r>
      <w:r w:rsidRPr="00FE4439">
        <w:rPr>
          <w:rFonts w:ascii="Taz SemiLight" w:hAnsi="Taz SemiLight"/>
          <w:sz w:val="20"/>
          <w:szCs w:val="20"/>
          <w:lang w:val="en-US"/>
        </w:rPr>
        <w:t>is troublesome. The thresholds discourages paying PD</w:t>
      </w:r>
      <w:r w:rsidR="006C2F4F">
        <w:rPr>
          <w:rFonts w:ascii="Taz SemiLight" w:hAnsi="Taz SemiLight"/>
          <w:sz w:val="20"/>
          <w:szCs w:val="20"/>
          <w:lang w:val="en-US"/>
        </w:rPr>
        <w:t>M</w:t>
      </w:r>
      <w:r w:rsidRPr="00FE4439">
        <w:rPr>
          <w:rFonts w:ascii="Taz SemiLight" w:hAnsi="Taz SemiLight"/>
          <w:sz w:val="20"/>
          <w:szCs w:val="20"/>
          <w:lang w:val="en-US"/>
        </w:rPr>
        <w:t xml:space="preserve">R in shares/units of the CUI, while </w:t>
      </w:r>
      <w:r>
        <w:rPr>
          <w:rFonts w:ascii="Taz SemiLight" w:hAnsi="Taz SemiLight"/>
          <w:sz w:val="20"/>
          <w:szCs w:val="20"/>
          <w:lang w:val="en-US"/>
        </w:rPr>
        <w:t xml:space="preserve">– on the </w:t>
      </w:r>
      <w:r w:rsidR="006C2F4F">
        <w:rPr>
          <w:rFonts w:ascii="Taz SemiLight" w:hAnsi="Taz SemiLight"/>
          <w:sz w:val="20"/>
          <w:szCs w:val="20"/>
          <w:lang w:val="en-US"/>
        </w:rPr>
        <w:t>other hand</w:t>
      </w:r>
      <w:r>
        <w:rPr>
          <w:rFonts w:ascii="Taz SemiLight" w:hAnsi="Taz SemiLight"/>
          <w:sz w:val="20"/>
          <w:szCs w:val="20"/>
          <w:lang w:val="en-US"/>
        </w:rPr>
        <w:t xml:space="preserve"> - </w:t>
      </w:r>
      <w:r w:rsidRPr="00FE4439">
        <w:rPr>
          <w:rFonts w:ascii="Taz SemiLight" w:hAnsi="Taz SemiLight"/>
          <w:sz w:val="20"/>
          <w:szCs w:val="20"/>
          <w:lang w:val="en-US"/>
        </w:rPr>
        <w:t xml:space="preserve">the </w:t>
      </w:r>
      <w:r>
        <w:rPr>
          <w:rFonts w:ascii="Taz SemiLight" w:hAnsi="Taz SemiLight"/>
          <w:sz w:val="20"/>
          <w:szCs w:val="20"/>
          <w:lang w:val="en-US"/>
        </w:rPr>
        <w:t>remuneration provisions</w:t>
      </w:r>
      <w:r w:rsidRPr="00FE4439">
        <w:rPr>
          <w:rFonts w:ascii="Taz SemiLight" w:hAnsi="Taz SemiLight"/>
          <w:sz w:val="20"/>
          <w:szCs w:val="20"/>
          <w:lang w:val="en-US"/>
        </w:rPr>
        <w:t xml:space="preserve"> under UCITS/AIFMD promote the payment of a significant part of Identified Staff’s (e.g. PD</w:t>
      </w:r>
      <w:r w:rsidR="006C2F4F">
        <w:rPr>
          <w:rFonts w:ascii="Taz SemiLight" w:hAnsi="Taz SemiLight"/>
          <w:sz w:val="20"/>
          <w:szCs w:val="20"/>
          <w:lang w:val="en-US"/>
        </w:rPr>
        <w:t>M</w:t>
      </w:r>
      <w:r w:rsidRPr="00FE4439">
        <w:rPr>
          <w:rFonts w:ascii="Taz SemiLight" w:hAnsi="Taz SemiLight"/>
          <w:sz w:val="20"/>
          <w:szCs w:val="20"/>
          <w:lang w:val="en-US"/>
        </w:rPr>
        <w:t>R) variable remuneration in shares/unit</w:t>
      </w:r>
      <w:r>
        <w:rPr>
          <w:rFonts w:ascii="Taz SemiLight" w:hAnsi="Taz SemiLight"/>
          <w:sz w:val="20"/>
          <w:szCs w:val="20"/>
          <w:lang w:val="en-US"/>
        </w:rPr>
        <w:t>s</w:t>
      </w:r>
      <w:r w:rsidRPr="00FE4439">
        <w:rPr>
          <w:rFonts w:ascii="Taz SemiLight" w:hAnsi="Taz SemiLight"/>
          <w:sz w:val="20"/>
          <w:szCs w:val="20"/>
          <w:lang w:val="en-US"/>
        </w:rPr>
        <w:t xml:space="preserve"> of the CUI (or comparable instruments). </w:t>
      </w:r>
    </w:p>
    <w:p w14:paraId="2B5B5927" w14:textId="1FB360A0" w:rsidR="006C2F4F" w:rsidRDefault="006C2F4F" w:rsidP="00777742">
      <w:pPr>
        <w:pStyle w:val="Default"/>
        <w:spacing w:line="260" w:lineRule="exact"/>
        <w:rPr>
          <w:rFonts w:ascii="Taz SemiLight" w:hAnsi="Taz SemiLight"/>
          <w:sz w:val="20"/>
          <w:szCs w:val="20"/>
          <w:lang w:val="en-US"/>
        </w:rPr>
      </w:pPr>
      <w:r>
        <w:rPr>
          <w:rFonts w:ascii="Taz SemiLight" w:hAnsi="Taz SemiLight"/>
          <w:sz w:val="20"/>
          <w:szCs w:val="20"/>
          <w:lang w:val="en-US"/>
        </w:rPr>
        <w:t>To be more precise, f</w:t>
      </w:r>
      <w:r w:rsidRPr="006C2F4F">
        <w:rPr>
          <w:rFonts w:ascii="Taz SemiLight" w:hAnsi="Taz SemiLight"/>
          <w:sz w:val="20"/>
          <w:szCs w:val="20"/>
          <w:lang w:val="en-US"/>
        </w:rPr>
        <w:t xml:space="preserve">or the identified staff regarding </w:t>
      </w:r>
      <w:r>
        <w:rPr>
          <w:rFonts w:ascii="Taz SemiLight" w:hAnsi="Taz SemiLight"/>
          <w:sz w:val="20"/>
          <w:szCs w:val="20"/>
          <w:lang w:val="en-US"/>
        </w:rPr>
        <w:t xml:space="preserve">both </w:t>
      </w:r>
      <w:r w:rsidRPr="006C2F4F">
        <w:rPr>
          <w:rFonts w:ascii="Taz SemiLight" w:hAnsi="Taz SemiLight"/>
          <w:sz w:val="20"/>
          <w:szCs w:val="20"/>
          <w:lang w:val="en-US"/>
        </w:rPr>
        <w:t xml:space="preserve">AIF </w:t>
      </w:r>
      <w:r w:rsidR="009C6DEA">
        <w:rPr>
          <w:rFonts w:ascii="Taz SemiLight" w:hAnsi="Taz SemiLight"/>
          <w:sz w:val="20"/>
          <w:szCs w:val="20"/>
          <w:lang w:val="en-US"/>
        </w:rPr>
        <w:t xml:space="preserve">and UCITS </w:t>
      </w:r>
      <w:r w:rsidRPr="006C2F4F">
        <w:rPr>
          <w:rFonts w:ascii="Taz SemiLight" w:hAnsi="Taz SemiLight"/>
          <w:sz w:val="20"/>
          <w:szCs w:val="20"/>
          <w:lang w:val="en-US"/>
        </w:rPr>
        <w:t>the minimum portion of 50% of variable remuneration that should be paid in instruments (Annex II, paragraph 1(m) of the AIFMD</w:t>
      </w:r>
      <w:r w:rsidR="009C6DEA">
        <w:rPr>
          <w:rFonts w:ascii="Taz SemiLight" w:hAnsi="Taz SemiLight"/>
          <w:sz w:val="20"/>
          <w:szCs w:val="20"/>
          <w:lang w:val="en-US"/>
        </w:rPr>
        <w:t xml:space="preserve"> and </w:t>
      </w:r>
      <w:r w:rsidR="009C6DEA" w:rsidRPr="009C6DEA">
        <w:rPr>
          <w:rFonts w:ascii="Taz SemiLight" w:hAnsi="Taz SemiLight"/>
          <w:sz w:val="20"/>
          <w:szCs w:val="20"/>
          <w:lang w:val="en-US"/>
        </w:rPr>
        <w:t>14b(1)(m) of the UCITS Directive</w:t>
      </w:r>
      <w:r w:rsidRPr="006C2F4F">
        <w:rPr>
          <w:rFonts w:ascii="Taz SemiLight" w:hAnsi="Taz SemiLight"/>
          <w:sz w:val="20"/>
          <w:szCs w:val="20"/>
          <w:lang w:val="en-US"/>
        </w:rPr>
        <w:t xml:space="preserve">). </w:t>
      </w:r>
    </w:p>
    <w:p w14:paraId="3C3E0B0D" w14:textId="70BC39C1" w:rsidR="00646C30" w:rsidRDefault="009C6DEA" w:rsidP="00646C30">
      <w:r>
        <w:rPr>
          <w:rFonts w:ascii="Taz SemiLight" w:hAnsi="Taz SemiLight"/>
          <w:szCs w:val="20"/>
          <w:lang w:val="en-US"/>
        </w:rPr>
        <w:t>In the UCITS Directive i</w:t>
      </w:r>
      <w:r w:rsidR="006C2F4F" w:rsidRPr="006C2F4F">
        <w:rPr>
          <w:rFonts w:ascii="Taz SemiLight" w:hAnsi="Taz SemiLight"/>
          <w:szCs w:val="20"/>
          <w:lang w:val="en-US"/>
        </w:rPr>
        <w:t xml:space="preserve">nstruments </w:t>
      </w:r>
      <w:r>
        <w:rPr>
          <w:rFonts w:ascii="Taz SemiLight" w:hAnsi="Taz SemiLight"/>
          <w:szCs w:val="20"/>
          <w:lang w:val="en-US"/>
        </w:rPr>
        <w:t xml:space="preserve">are </w:t>
      </w:r>
      <w:r w:rsidR="006C2F4F" w:rsidRPr="006C2F4F">
        <w:rPr>
          <w:rFonts w:ascii="Taz SemiLight" w:hAnsi="Taz SemiLight"/>
          <w:szCs w:val="20"/>
          <w:lang w:val="en-US"/>
        </w:rPr>
        <w:t xml:space="preserve">defined as: </w:t>
      </w:r>
      <w:r w:rsidR="006C2F4F">
        <w:rPr>
          <w:rFonts w:ascii="Taz SemiLight" w:hAnsi="Taz SemiLight"/>
          <w:szCs w:val="20"/>
          <w:lang w:val="en-US"/>
        </w:rPr>
        <w:t xml:space="preserve">‘ </w:t>
      </w:r>
      <w:r w:rsidR="006C2F4F" w:rsidRPr="006C2F4F">
        <w:rPr>
          <w:rFonts w:ascii="Taz SemiLight" w:hAnsi="Taz SemiLight"/>
          <w:szCs w:val="20"/>
          <w:lang w:val="en-US"/>
        </w:rPr>
        <w:t>units or shares of the UCITS managed by the management company, equivalent ownership interests (including – for UCITS issuing only units – unit-linked instruments), subject to the legal structure of the UCITS concerned and its fund rules or instruments of incorporation, or share-linked instruments or equivalent non-cash instruments with equally effective incentives as any of the instruments referred to in this definition</w:t>
      </w:r>
      <w:r w:rsidR="006C2F4F">
        <w:rPr>
          <w:rFonts w:ascii="Taz SemiLight" w:hAnsi="Taz SemiLight"/>
          <w:szCs w:val="20"/>
          <w:lang w:val="en-US"/>
        </w:rPr>
        <w:t>.’</w:t>
      </w:r>
      <w:r w:rsidR="006C2F4F" w:rsidRPr="006C2F4F">
        <w:rPr>
          <w:rFonts w:ascii="Taz SemiLight" w:hAnsi="Taz SemiLight"/>
          <w:szCs w:val="20"/>
          <w:lang w:val="en-US"/>
        </w:rPr>
        <w:t>.</w:t>
      </w:r>
      <w:permEnd w:id="274992488"/>
    </w:p>
    <w:p w14:paraId="3C3E0B0E" w14:textId="77777777" w:rsidR="00646C30" w:rsidRDefault="00646C30" w:rsidP="00646C30">
      <w:r>
        <w:t>&lt;ESMA_QUESTION_CP_MAR_</w:t>
      </w:r>
      <w:r w:rsidR="00B6351C">
        <w:t>46</w:t>
      </w:r>
      <w:r>
        <w:t>&gt;</w:t>
      </w:r>
    </w:p>
    <w:p w14:paraId="3C3E0B0F" w14:textId="77777777" w:rsidR="00646C30" w:rsidRDefault="00646C30" w:rsidP="002E1760"/>
    <w:p w14:paraId="3C3E0B10" w14:textId="77777777" w:rsidR="00646C30" w:rsidRDefault="00074979" w:rsidP="00646C30">
      <w:pPr>
        <w:pStyle w:val="CPQuestions"/>
      </w:pPr>
      <w:r w:rsidRPr="00074979">
        <w:t>Should NCAs still have the option to keep a higher threshold? In that case, should the optional threshold be higher than Euro 20,000? If so, please describe the criteria to be used to set the higher optional threshold (by way of example, the liquidity of the financial instrument, or the average compensation received by the managers).</w:t>
      </w:r>
    </w:p>
    <w:p w14:paraId="3C3E0B11" w14:textId="77777777" w:rsidR="00646C30" w:rsidRDefault="00646C30" w:rsidP="00646C30">
      <w:r>
        <w:t>&lt;ESMA_QUESTION_CP_MAR_</w:t>
      </w:r>
      <w:r w:rsidR="00DD7418">
        <w:t>47</w:t>
      </w:r>
      <w:r>
        <w:t>&gt;</w:t>
      </w:r>
    </w:p>
    <w:p w14:paraId="3C3E0B12" w14:textId="77777777" w:rsidR="00646C30" w:rsidRDefault="00646C30" w:rsidP="00646C30">
      <w:permStart w:id="1265633318" w:edGrp="everyone"/>
      <w:r>
        <w:t>TYPE YOUR TEXT HERE</w:t>
      </w:r>
      <w:permEnd w:id="1265633318"/>
    </w:p>
    <w:p w14:paraId="3C3E0B13" w14:textId="77777777" w:rsidR="00646C30" w:rsidRDefault="00646C30" w:rsidP="00646C30">
      <w:r>
        <w:t>&lt;ESMA_QUESTION_CP_MAR_</w:t>
      </w:r>
      <w:r w:rsidR="00DD7418">
        <w:t>47</w:t>
      </w:r>
      <w:r>
        <w:t>&gt;</w:t>
      </w:r>
    </w:p>
    <w:p w14:paraId="3C3E0B14" w14:textId="77777777" w:rsidR="00646C30" w:rsidRDefault="00646C30" w:rsidP="002E1760"/>
    <w:p w14:paraId="3C3E0B15" w14:textId="77777777" w:rsidR="00646C30" w:rsidRDefault="00074979" w:rsidP="00646C30">
      <w:pPr>
        <w:pStyle w:val="CPQuestions"/>
      </w:pPr>
      <w:r w:rsidRPr="00074979">
        <w:t>Did you identify alternative criteria on which the reporting threshold could be based? Please explain why</w:t>
      </w:r>
      <w:r w:rsidR="00646C30">
        <w:t>.</w:t>
      </w:r>
    </w:p>
    <w:p w14:paraId="3C3E0B16" w14:textId="77777777" w:rsidR="00646C30" w:rsidRDefault="00646C30" w:rsidP="00646C30">
      <w:r>
        <w:t>&lt;ESMA_QUESTION_CP_MAR_</w:t>
      </w:r>
      <w:r w:rsidR="00DD7418">
        <w:t>48</w:t>
      </w:r>
      <w:r>
        <w:t>&gt;</w:t>
      </w:r>
    </w:p>
    <w:p w14:paraId="3C3E0B17" w14:textId="77777777" w:rsidR="00646C30" w:rsidRDefault="00646C30" w:rsidP="00646C30">
      <w:permStart w:id="234174884" w:edGrp="everyone"/>
      <w:r>
        <w:lastRenderedPageBreak/>
        <w:t>TYPE YOUR TEXT HERE</w:t>
      </w:r>
      <w:permEnd w:id="234174884"/>
    </w:p>
    <w:p w14:paraId="3C3E0B18" w14:textId="77777777" w:rsidR="00646C30" w:rsidRDefault="00646C30" w:rsidP="00646C30">
      <w:r>
        <w:t>&lt;ESMA_QUESTION_CP_MAR_</w:t>
      </w:r>
      <w:r w:rsidR="00DD7418">
        <w:t>48</w:t>
      </w:r>
      <w:r>
        <w:t>&gt;</w:t>
      </w:r>
    </w:p>
    <w:p w14:paraId="3C3E0B19" w14:textId="77777777" w:rsidR="00646C30" w:rsidRDefault="00646C30" w:rsidP="002E1760"/>
    <w:p w14:paraId="3C3E0B1A" w14:textId="77777777" w:rsidR="00646C30" w:rsidRDefault="00074979" w:rsidP="00646C30">
      <w:pPr>
        <w:pStyle w:val="CPQuestions"/>
      </w:pPr>
      <w:r w:rsidRPr="00074979">
        <w:t>On the application of this provision for EAMPs: have issues or difficulties been experienced</w:t>
      </w:r>
      <w:r>
        <w:t>?</w:t>
      </w:r>
    </w:p>
    <w:p w14:paraId="3C3E0B1B" w14:textId="77777777" w:rsidR="00646C30" w:rsidRDefault="00646C30" w:rsidP="00646C30">
      <w:r>
        <w:t>&lt;ESMA_QUESTION_CP_MAR_</w:t>
      </w:r>
      <w:r w:rsidR="00DD7418">
        <w:t>49</w:t>
      </w:r>
      <w:r>
        <w:t>&gt;</w:t>
      </w:r>
    </w:p>
    <w:p w14:paraId="3C3E0B1C" w14:textId="77777777" w:rsidR="00646C30" w:rsidRDefault="00646C30" w:rsidP="00646C30">
      <w:permStart w:id="1966610289" w:edGrp="everyone"/>
      <w:r>
        <w:t>TYPE YOUR TEXT HERE</w:t>
      </w:r>
      <w:permEnd w:id="1966610289"/>
    </w:p>
    <w:p w14:paraId="3C3E0B1D" w14:textId="77777777" w:rsidR="00646C30" w:rsidRDefault="00646C30" w:rsidP="00646C30">
      <w:r>
        <w:t>&lt;ESMA_QUESTION_CP_MAR_</w:t>
      </w:r>
      <w:r w:rsidR="00DD7418">
        <w:t>49</w:t>
      </w:r>
      <w:r>
        <w:t>&gt;</w:t>
      </w:r>
    </w:p>
    <w:p w14:paraId="3C3E0B1E" w14:textId="77777777" w:rsidR="00646C30" w:rsidRDefault="00646C30" w:rsidP="002E1760"/>
    <w:p w14:paraId="3C3E0B1F" w14:textId="77777777" w:rsidR="00646C30" w:rsidRDefault="00074979" w:rsidP="00646C30">
      <w:pPr>
        <w:pStyle w:val="CPQuestions"/>
      </w:pPr>
      <w:r w:rsidRPr="00074979">
        <w:t>Did you identify alternative criteria on which the subsequent notifications could be based? Please explain why</w:t>
      </w:r>
      <w:r w:rsidR="00646C30">
        <w:t>.</w:t>
      </w:r>
    </w:p>
    <w:p w14:paraId="3C3E0B20" w14:textId="77777777" w:rsidR="00646C30" w:rsidRDefault="00646C30" w:rsidP="00646C30">
      <w:r>
        <w:t>&lt;ESMA_QUESTION_CP_MAR_</w:t>
      </w:r>
      <w:r w:rsidR="00DD7418">
        <w:t>50</w:t>
      </w:r>
      <w:r>
        <w:t>&gt;</w:t>
      </w:r>
    </w:p>
    <w:p w14:paraId="3C3E0B21" w14:textId="77777777" w:rsidR="00646C30" w:rsidRDefault="00646C30" w:rsidP="00646C30">
      <w:permStart w:id="619659001" w:edGrp="everyone"/>
      <w:r>
        <w:t>TYPE YOUR TEXT HERE</w:t>
      </w:r>
      <w:permEnd w:id="619659001"/>
    </w:p>
    <w:p w14:paraId="3C3E0B22" w14:textId="77777777" w:rsidR="00646C30" w:rsidRDefault="00646C30" w:rsidP="00646C30">
      <w:r>
        <w:t>&lt;ESMA_QUESTION_CP_MAR_</w:t>
      </w:r>
      <w:r w:rsidR="00DD7418">
        <w:t>50</w:t>
      </w:r>
      <w:r>
        <w:t>&gt;</w:t>
      </w:r>
    </w:p>
    <w:p w14:paraId="3C3E0B23" w14:textId="77777777" w:rsidR="00646C30" w:rsidRDefault="00646C30" w:rsidP="002E1760"/>
    <w:p w14:paraId="3C3E0B24" w14:textId="77777777" w:rsidR="00646C30" w:rsidRDefault="0042739E" w:rsidP="00646C30">
      <w:pPr>
        <w:pStyle w:val="CPQuestions"/>
      </w:pPr>
      <w:r w:rsidRPr="0042739E">
        <w:t>Do you consider that the 20% threshold included in Article 19(1a)(a) and (b) is appropriate? If not, please explain the reason why and provide examples in which the 20% threshold is not effective</w:t>
      </w:r>
      <w:r w:rsidR="00646C30">
        <w:t>.</w:t>
      </w:r>
    </w:p>
    <w:p w14:paraId="3C3E0B25" w14:textId="77777777" w:rsidR="00646C30" w:rsidRDefault="00646C30" w:rsidP="00646C30">
      <w:r>
        <w:t>&lt;ESMA_QUESTION_CP_MAR_</w:t>
      </w:r>
      <w:r w:rsidR="00DD7418">
        <w:t>51</w:t>
      </w:r>
      <w:r>
        <w:t>&gt;</w:t>
      </w:r>
    </w:p>
    <w:p w14:paraId="3C3E0B26" w14:textId="77777777" w:rsidR="00646C30" w:rsidRDefault="00646C30" w:rsidP="00646C30">
      <w:permStart w:id="1580208711" w:edGrp="everyone"/>
      <w:r>
        <w:t>TYPE YOUR TEXT HERE</w:t>
      </w:r>
      <w:permEnd w:id="1580208711"/>
    </w:p>
    <w:p w14:paraId="3C3E0B27" w14:textId="77777777" w:rsidR="00646C30" w:rsidRDefault="00646C30" w:rsidP="00646C30">
      <w:r>
        <w:t>&lt;ESMA_QUESTION_CP_MAR_</w:t>
      </w:r>
      <w:r w:rsidR="00DD7418">
        <w:t>51</w:t>
      </w:r>
      <w:r>
        <w:t>&gt;</w:t>
      </w:r>
    </w:p>
    <w:p w14:paraId="3C3E0B28" w14:textId="77777777" w:rsidR="00646C30" w:rsidRDefault="00646C30" w:rsidP="002E1760"/>
    <w:p w14:paraId="3C3E0B29" w14:textId="77777777" w:rsidR="00646C30" w:rsidRDefault="0042739E" w:rsidP="00646C30">
      <w:pPr>
        <w:pStyle w:val="CPQuestions"/>
      </w:pPr>
      <w:r w:rsidRPr="0042739E">
        <w:t>Have you identified any possible alternative system to set the threshold in relation to managers' transactions where the issuer's shares or debt instruments form part of a collective investment undertaking or provide exposure to a portfolio of assets</w:t>
      </w:r>
      <w:r>
        <w:t>?</w:t>
      </w:r>
    </w:p>
    <w:p w14:paraId="3C3E0B2A" w14:textId="77777777" w:rsidR="00646C30" w:rsidRDefault="00646C30" w:rsidP="00646C30">
      <w:r>
        <w:t>&lt;ESMA_QUESTION_CP_MAR_</w:t>
      </w:r>
      <w:r w:rsidR="00DD7418">
        <w:t>5</w:t>
      </w:r>
      <w:r>
        <w:t>2&gt;</w:t>
      </w:r>
    </w:p>
    <w:p w14:paraId="3C3E0B2B" w14:textId="77777777" w:rsidR="00646C30" w:rsidRDefault="00646C30" w:rsidP="00646C30">
      <w:permStart w:id="1138307169" w:edGrp="everyone"/>
      <w:r>
        <w:t>TYPE YOUR TEXT HERE</w:t>
      </w:r>
      <w:permEnd w:id="1138307169"/>
    </w:p>
    <w:p w14:paraId="3C3E0B2C" w14:textId="77777777" w:rsidR="00646C30" w:rsidRDefault="00646C30" w:rsidP="00646C30">
      <w:r>
        <w:t>&lt;ESMA_QUESTION_CP_MAR_</w:t>
      </w:r>
      <w:r w:rsidR="00DD7418">
        <w:t>5</w:t>
      </w:r>
      <w:r>
        <w:t>2&gt;</w:t>
      </w:r>
    </w:p>
    <w:p w14:paraId="3C3E0B2D" w14:textId="77777777" w:rsidR="00646C30" w:rsidRDefault="00646C30" w:rsidP="002E1760"/>
    <w:p w14:paraId="3C3E0B2E" w14:textId="77777777" w:rsidR="00646C30" w:rsidRDefault="0042739E" w:rsidP="00646C30">
      <w:pPr>
        <w:pStyle w:val="CPQuestions"/>
      </w:pPr>
      <w:r w:rsidRPr="0042739E">
        <w:t>Did you identify elements of Article 19(11) of MAR which in your view could be amended? If yes, why? Have you identified alternatives to the closed period</w:t>
      </w:r>
      <w:r>
        <w:t>?</w:t>
      </w:r>
    </w:p>
    <w:p w14:paraId="3C3E0B2F" w14:textId="77777777" w:rsidR="00646C30" w:rsidRDefault="00646C30" w:rsidP="00646C30">
      <w:r>
        <w:t>&lt;ESMA_QUESTION_CP_MAR_</w:t>
      </w:r>
      <w:r w:rsidR="00DD7418">
        <w:t>53</w:t>
      </w:r>
      <w:r>
        <w:t>&gt;</w:t>
      </w:r>
    </w:p>
    <w:p w14:paraId="3C3E0B30" w14:textId="77777777" w:rsidR="00646C30" w:rsidRDefault="00646C30" w:rsidP="00646C30">
      <w:permStart w:id="439554279" w:edGrp="everyone"/>
      <w:r>
        <w:t>TYPE YOUR TEXT HERE</w:t>
      </w:r>
      <w:permEnd w:id="439554279"/>
    </w:p>
    <w:p w14:paraId="3C3E0B31" w14:textId="77777777" w:rsidR="00646C30" w:rsidRDefault="00646C30" w:rsidP="00646C30">
      <w:r>
        <w:t>&lt;ESMA_QUESTION_CP_MAR_</w:t>
      </w:r>
      <w:r w:rsidR="00DD7418">
        <w:t>53</w:t>
      </w:r>
      <w:r>
        <w:t>&gt;</w:t>
      </w:r>
    </w:p>
    <w:p w14:paraId="3C3E0B32" w14:textId="77777777" w:rsidR="00646C30" w:rsidRDefault="00646C30"/>
    <w:p w14:paraId="3C3E0B33" w14:textId="77777777" w:rsidR="00646C30" w:rsidRDefault="0042739E" w:rsidP="00646C30">
      <w:pPr>
        <w:pStyle w:val="CPQuestions"/>
      </w:pPr>
      <w:r w:rsidRPr="0042739E">
        <w:t>Market participants are requested to indicate if the current framework to identify the closed period is working well or if clarifications are sought</w:t>
      </w:r>
      <w:r w:rsidR="00646C30">
        <w:t>.</w:t>
      </w:r>
    </w:p>
    <w:p w14:paraId="3C3E0B34" w14:textId="77777777" w:rsidR="00646C30" w:rsidRDefault="00646C30" w:rsidP="00646C30">
      <w:r>
        <w:t>&lt;ESMA_QUESTION_CP_MAR_</w:t>
      </w:r>
      <w:r w:rsidR="00DD7418">
        <w:t>54</w:t>
      </w:r>
      <w:r>
        <w:t>&gt;</w:t>
      </w:r>
    </w:p>
    <w:p w14:paraId="3C3E0B35" w14:textId="77777777" w:rsidR="00646C30" w:rsidRDefault="00646C30" w:rsidP="00646C30">
      <w:permStart w:id="306464996" w:edGrp="everyone"/>
      <w:r>
        <w:t>TYPE YOUR TEXT HERE</w:t>
      </w:r>
      <w:permEnd w:id="306464996"/>
    </w:p>
    <w:p w14:paraId="3C3E0B36" w14:textId="77777777" w:rsidR="00646C30" w:rsidRDefault="00646C30" w:rsidP="00646C30">
      <w:r>
        <w:t>&lt;ESMA_QUESTION_CP_MAR_</w:t>
      </w:r>
      <w:r w:rsidR="00DD7418">
        <w:t>54</w:t>
      </w:r>
      <w:r>
        <w:t>&gt;</w:t>
      </w:r>
    </w:p>
    <w:p w14:paraId="3C3E0B37" w14:textId="77777777" w:rsidR="00646C30" w:rsidRDefault="00646C30"/>
    <w:p w14:paraId="3C3E0B38" w14:textId="77777777" w:rsidR="00646C30" w:rsidRDefault="0042739E" w:rsidP="00646C30">
      <w:pPr>
        <w:pStyle w:val="CPQuestions"/>
      </w:pPr>
      <w:r w:rsidRPr="0042739E">
        <w:t>Please provide your views on extending the requirement of Article 19(11) to (i) issuers, and to (ii) persons closely associated with PDMRs. Please indicate which would be the impact on issuers and persona closely associated with PDMRs, including any benefits and downsides</w:t>
      </w:r>
      <w:r w:rsidR="00646C30">
        <w:t>.</w:t>
      </w:r>
    </w:p>
    <w:p w14:paraId="3C3E0B39" w14:textId="77777777" w:rsidR="00646C30" w:rsidRDefault="00646C30" w:rsidP="00646C30">
      <w:r>
        <w:t>&lt;ESMA_QUESTION_CP_MAR_</w:t>
      </w:r>
      <w:r w:rsidR="00DD7418">
        <w:t>55</w:t>
      </w:r>
      <w:r>
        <w:t>&gt;</w:t>
      </w:r>
    </w:p>
    <w:p w14:paraId="3C3E0B3A" w14:textId="77777777" w:rsidR="00646C30" w:rsidRDefault="00646C30" w:rsidP="00646C30">
      <w:permStart w:id="680881453" w:edGrp="everyone"/>
      <w:r>
        <w:t>TYPE YOUR TEXT HERE</w:t>
      </w:r>
      <w:permEnd w:id="680881453"/>
    </w:p>
    <w:p w14:paraId="3C3E0B3B" w14:textId="77777777" w:rsidR="00646C30" w:rsidRDefault="00646C30" w:rsidP="00646C30">
      <w:r>
        <w:t>&lt;ESMA_QUESTION_CP_MAR_</w:t>
      </w:r>
      <w:r w:rsidR="00DD7418">
        <w:t>55</w:t>
      </w:r>
      <w:r>
        <w:t>&gt;</w:t>
      </w:r>
    </w:p>
    <w:p w14:paraId="3C3E0B3C" w14:textId="77777777" w:rsidR="00646C30" w:rsidRDefault="00646C30"/>
    <w:p w14:paraId="3C3E0B3D" w14:textId="77777777" w:rsidR="00646C30" w:rsidRDefault="0042739E" w:rsidP="00646C30">
      <w:pPr>
        <w:pStyle w:val="CPQuestions"/>
      </w:pPr>
      <w:r w:rsidRPr="0042739E">
        <w:t>Please provide your views on the extension of the immediate sale provided by Article 19(12)(a) to financial instruments other than shares. Please explain which financial instruments should be included and why</w:t>
      </w:r>
      <w:r w:rsidR="00646C30">
        <w:t>.</w:t>
      </w:r>
    </w:p>
    <w:p w14:paraId="3C3E0B3E" w14:textId="77777777" w:rsidR="00646C30" w:rsidRDefault="00646C30" w:rsidP="00646C30">
      <w:r>
        <w:t>&lt;ESMA_QUESTION_CP_MAR_</w:t>
      </w:r>
      <w:r w:rsidR="00DD7418">
        <w:t>56</w:t>
      </w:r>
      <w:r>
        <w:t>&gt;</w:t>
      </w:r>
    </w:p>
    <w:p w14:paraId="3C3E0B3F" w14:textId="77777777" w:rsidR="00646C30" w:rsidRDefault="00646C30" w:rsidP="00646C30">
      <w:permStart w:id="1771316849" w:edGrp="everyone"/>
      <w:r>
        <w:t>TYPE YOUR TEXT HERE</w:t>
      </w:r>
      <w:permEnd w:id="1771316849"/>
    </w:p>
    <w:p w14:paraId="3C3E0B40" w14:textId="77777777" w:rsidR="00646C30" w:rsidRDefault="00646C30" w:rsidP="00646C30">
      <w:r>
        <w:t>&lt;ESMA_QUESTION_CP_MAR_</w:t>
      </w:r>
      <w:r w:rsidR="00DD7418">
        <w:t>56</w:t>
      </w:r>
      <w:r>
        <w:t>&gt;</w:t>
      </w:r>
    </w:p>
    <w:p w14:paraId="3C3E0B41" w14:textId="77777777" w:rsidR="00646C30" w:rsidRDefault="00646C30" w:rsidP="002E1760"/>
    <w:p w14:paraId="3C3E0B42" w14:textId="77777777" w:rsidR="00646C30" w:rsidRDefault="0042739E" w:rsidP="00646C30">
      <w:pPr>
        <w:pStyle w:val="CPQuestions"/>
      </w:pPr>
      <w:r w:rsidRPr="0042739E">
        <w:t>Please provide your views on whether, in addition to the criteria in Article 19(12) (a) and (b), other criteria resulting in further cases of exemption from the closed period obligation could be considered</w:t>
      </w:r>
      <w:r w:rsidR="00646C30">
        <w:t>.</w:t>
      </w:r>
    </w:p>
    <w:p w14:paraId="3C3E0B43" w14:textId="77777777" w:rsidR="00646C30" w:rsidRDefault="00646C30" w:rsidP="00646C30">
      <w:r>
        <w:t>&lt;ESMA_QUESTION_CP_MAR_</w:t>
      </w:r>
      <w:r w:rsidR="00DD7418">
        <w:t>57</w:t>
      </w:r>
      <w:r>
        <w:t>&gt;</w:t>
      </w:r>
    </w:p>
    <w:p w14:paraId="3C3E0B44" w14:textId="77777777" w:rsidR="00646C30" w:rsidRDefault="00646C30" w:rsidP="00646C30">
      <w:permStart w:id="1172058443" w:edGrp="everyone"/>
      <w:r>
        <w:t>TYPE YOUR TEXT HERE</w:t>
      </w:r>
      <w:permEnd w:id="1172058443"/>
    </w:p>
    <w:p w14:paraId="3C3E0B45" w14:textId="77777777" w:rsidR="00646C30" w:rsidRDefault="00646C30" w:rsidP="00646C30">
      <w:r>
        <w:t>&lt;ESMA_QUESTION_CP_MAR_</w:t>
      </w:r>
      <w:r w:rsidR="00DD7418">
        <w:t>57</w:t>
      </w:r>
      <w:r>
        <w:t>&gt;</w:t>
      </w:r>
    </w:p>
    <w:p w14:paraId="3C3E0B46" w14:textId="77777777" w:rsidR="00646C30" w:rsidRDefault="00646C30"/>
    <w:p w14:paraId="3C3E0B47" w14:textId="77777777" w:rsidR="00646C30" w:rsidRDefault="0042739E" w:rsidP="00646C30">
      <w:pPr>
        <w:pStyle w:val="CPQuestions"/>
      </w:pPr>
      <w:r w:rsidRPr="0042739E">
        <w:t>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articulation or consistency issues between MAR and the EU or national regulations for the different types of CIUs, with regards for example to transparency requirements under MAR vis-à-vis market timing or front running issues</w:t>
      </w:r>
      <w:r w:rsidR="00646C30">
        <w:t>.</w:t>
      </w:r>
    </w:p>
    <w:p w14:paraId="3C3E0B48" w14:textId="77777777" w:rsidR="00646C30" w:rsidRDefault="00646C30" w:rsidP="00646C30">
      <w:r>
        <w:t>&lt;ESMA_QUESTION_CP_MAR_</w:t>
      </w:r>
      <w:r w:rsidR="00DD7418">
        <w:t>58</w:t>
      </w:r>
      <w:r>
        <w:t>&gt;</w:t>
      </w:r>
    </w:p>
    <w:p w14:paraId="4EC45EE0" w14:textId="3CA5EC5C" w:rsidR="00777742" w:rsidRPr="003A7F1E" w:rsidRDefault="009C6DEA" w:rsidP="00777742">
      <w:pPr>
        <w:pStyle w:val="Default"/>
        <w:spacing w:line="260" w:lineRule="exact"/>
        <w:rPr>
          <w:rFonts w:ascii="Taz SemiLight" w:hAnsi="Taz SemiLight"/>
          <w:bCs/>
          <w:sz w:val="20"/>
          <w:szCs w:val="20"/>
          <w:lang w:val="en-US"/>
        </w:rPr>
      </w:pPr>
      <w:permStart w:id="1585398486" w:edGrp="everyone"/>
      <w:r>
        <w:rPr>
          <w:rFonts w:ascii="Taz SemiLight" w:hAnsi="Taz SemiLight"/>
          <w:bCs/>
          <w:sz w:val="20"/>
          <w:szCs w:val="20"/>
          <w:lang w:val="en-US"/>
        </w:rPr>
        <w:t>Dufas is of the opinion that a clear d</w:t>
      </w:r>
      <w:r w:rsidR="00777742" w:rsidRPr="003A7F1E">
        <w:rPr>
          <w:rFonts w:ascii="Taz SemiLight" w:hAnsi="Taz SemiLight"/>
          <w:bCs/>
          <w:sz w:val="20"/>
          <w:szCs w:val="20"/>
          <w:lang w:val="en-US"/>
        </w:rPr>
        <w:t>istinction should be made between ETF</w:t>
      </w:r>
      <w:r>
        <w:rPr>
          <w:rFonts w:ascii="Taz SemiLight" w:hAnsi="Taz SemiLight"/>
          <w:bCs/>
          <w:sz w:val="20"/>
          <w:szCs w:val="20"/>
          <w:lang w:val="en-US"/>
        </w:rPr>
        <w:t>s</w:t>
      </w:r>
      <w:r w:rsidR="00777742" w:rsidRPr="003A7F1E">
        <w:rPr>
          <w:rFonts w:ascii="Taz SemiLight" w:hAnsi="Taz SemiLight"/>
          <w:bCs/>
          <w:sz w:val="20"/>
          <w:szCs w:val="20"/>
          <w:lang w:val="en-US"/>
        </w:rPr>
        <w:t xml:space="preserve"> and traditional open-end UCIs admitted to trading on a trading venue.</w:t>
      </w:r>
    </w:p>
    <w:p w14:paraId="1D37CFB1" w14:textId="77777777" w:rsidR="002B50CA" w:rsidRDefault="00777742" w:rsidP="00777742">
      <w:pPr>
        <w:pStyle w:val="Default"/>
        <w:spacing w:line="260" w:lineRule="exact"/>
        <w:rPr>
          <w:rFonts w:ascii="Taz SemiLight" w:hAnsi="Taz SemiLight"/>
          <w:sz w:val="20"/>
          <w:szCs w:val="20"/>
          <w:lang w:val="en-US"/>
        </w:rPr>
      </w:pPr>
      <w:r w:rsidRPr="003A7F1E">
        <w:rPr>
          <w:rFonts w:ascii="Taz SemiLight" w:hAnsi="Taz SemiLight"/>
          <w:bCs/>
          <w:sz w:val="20"/>
          <w:szCs w:val="20"/>
          <w:lang w:val="en-US"/>
        </w:rPr>
        <w:t xml:space="preserve">We believe that </w:t>
      </w:r>
      <w:r>
        <w:rPr>
          <w:rFonts w:ascii="Taz SemiLight" w:hAnsi="Taz SemiLight"/>
          <w:bCs/>
          <w:sz w:val="20"/>
          <w:szCs w:val="20"/>
          <w:lang w:val="en-US"/>
        </w:rPr>
        <w:t>CUIs</w:t>
      </w:r>
      <w:r w:rsidRPr="003A7F1E">
        <w:rPr>
          <w:rFonts w:ascii="Taz SemiLight" w:hAnsi="Taz SemiLight"/>
          <w:bCs/>
          <w:sz w:val="20"/>
          <w:szCs w:val="20"/>
          <w:lang w:val="en-US"/>
        </w:rPr>
        <w:t xml:space="preserve"> which are ETFs should be treated in the same way as other issuers as these are traded in a very </w:t>
      </w:r>
      <w:r>
        <w:rPr>
          <w:rFonts w:ascii="Taz SemiLight" w:hAnsi="Taz SemiLight"/>
          <w:bCs/>
          <w:sz w:val="20"/>
          <w:szCs w:val="20"/>
          <w:lang w:val="en-US"/>
        </w:rPr>
        <w:t xml:space="preserve">comparable </w:t>
      </w:r>
      <w:r w:rsidRPr="003A7F1E">
        <w:rPr>
          <w:rFonts w:ascii="Taz SemiLight" w:hAnsi="Taz SemiLight"/>
          <w:bCs/>
          <w:sz w:val="20"/>
          <w:szCs w:val="20"/>
          <w:lang w:val="en-US"/>
        </w:rPr>
        <w:t>way a</w:t>
      </w:r>
      <w:r>
        <w:rPr>
          <w:rFonts w:ascii="Taz SemiLight" w:hAnsi="Taz SemiLight"/>
          <w:bCs/>
          <w:sz w:val="20"/>
          <w:szCs w:val="20"/>
          <w:lang w:val="en-US"/>
        </w:rPr>
        <w:t>s</w:t>
      </w:r>
      <w:r w:rsidRPr="003A7F1E">
        <w:rPr>
          <w:rFonts w:ascii="Taz SemiLight" w:hAnsi="Taz SemiLight"/>
          <w:bCs/>
          <w:sz w:val="20"/>
          <w:szCs w:val="20"/>
          <w:lang w:val="en-US"/>
        </w:rPr>
        <w:t xml:space="preserve"> corporate shares admitted to trading on a trading platform. Unlike </w:t>
      </w:r>
      <w:r w:rsidRPr="003A7F1E">
        <w:rPr>
          <w:rFonts w:ascii="Taz SemiLight" w:hAnsi="Taz SemiLight"/>
          <w:sz w:val="20"/>
          <w:szCs w:val="20"/>
          <w:lang w:val="en-US"/>
        </w:rPr>
        <w:t xml:space="preserve">traditional open-end </w:t>
      </w:r>
      <w:r>
        <w:rPr>
          <w:rFonts w:ascii="Taz SemiLight" w:hAnsi="Taz SemiLight"/>
          <w:sz w:val="20"/>
          <w:szCs w:val="20"/>
          <w:lang w:val="en-US"/>
        </w:rPr>
        <w:t>funds</w:t>
      </w:r>
      <w:r w:rsidRPr="003A7F1E">
        <w:rPr>
          <w:rFonts w:ascii="Taz SemiLight" w:hAnsi="Taz SemiLight"/>
          <w:sz w:val="20"/>
          <w:szCs w:val="20"/>
          <w:lang w:val="en-US"/>
        </w:rPr>
        <w:t>, ETF shares can be bought and sold on the exchange intraday. Because the size of the fund is intraday fixed in terms of both assets and shares outstanding, secondary market liquidity</w:t>
      </w:r>
      <w:r>
        <w:rPr>
          <w:rFonts w:ascii="Taz SemiLight" w:hAnsi="Taz SemiLight"/>
          <w:sz w:val="20"/>
          <w:szCs w:val="20"/>
          <w:lang w:val="en-US"/>
        </w:rPr>
        <w:t xml:space="preserve"> - supported by market makers -</w:t>
      </w:r>
      <w:r w:rsidRPr="003A7F1E">
        <w:rPr>
          <w:rFonts w:ascii="Taz SemiLight" w:hAnsi="Taz SemiLight"/>
          <w:sz w:val="20"/>
          <w:szCs w:val="20"/>
          <w:lang w:val="en-US"/>
        </w:rPr>
        <w:t xml:space="preserve"> determines the price at which shares are bought or sold. This is why ETFs may trade intraday at premiums or discounts to the value of the underlying securities held by the ETF. </w:t>
      </w:r>
      <w:r w:rsidRPr="003A7F1E">
        <w:rPr>
          <w:rFonts w:ascii="Taz SemiLight" w:hAnsi="Taz SemiLight"/>
          <w:bCs/>
          <w:sz w:val="20"/>
          <w:szCs w:val="20"/>
          <w:lang w:val="en-US"/>
        </w:rPr>
        <w:t xml:space="preserve">Practice has shown that </w:t>
      </w:r>
      <w:r w:rsidRPr="003A7F1E">
        <w:rPr>
          <w:rFonts w:ascii="Taz SemiLight" w:hAnsi="Taz SemiLight"/>
          <w:sz w:val="20"/>
          <w:szCs w:val="20"/>
          <w:lang w:val="en-US"/>
        </w:rPr>
        <w:t>ETF prices may indeed significantly decouple from those of their constituent securities in particular in times market stress</w:t>
      </w:r>
      <w:r w:rsidR="002B50CA">
        <w:rPr>
          <w:rFonts w:ascii="Taz SemiLight" w:hAnsi="Taz SemiLight"/>
          <w:sz w:val="20"/>
          <w:szCs w:val="20"/>
          <w:lang w:val="en-US"/>
        </w:rPr>
        <w:t xml:space="preserve">, (see: </w:t>
      </w:r>
      <w:r w:rsidR="009C6DEA" w:rsidRPr="009C6DEA">
        <w:rPr>
          <w:rFonts w:ascii="Taz SemiLight" w:hAnsi="Taz SemiLight"/>
          <w:sz w:val="20"/>
          <w:szCs w:val="20"/>
          <w:lang w:val="en-US"/>
        </w:rPr>
        <w:t xml:space="preserve">ESRB Advisory Scientific Committee, ’Can ETFs contribute to systemic risk?’, June 2019. </w:t>
      </w:r>
      <w:r w:rsidR="002B50CA">
        <w:rPr>
          <w:rFonts w:ascii="Taz SemiLight" w:hAnsi="Taz SemiLight"/>
          <w:sz w:val="20"/>
          <w:szCs w:val="20"/>
          <w:lang w:val="en-US"/>
        </w:rPr>
        <w:t>)</w:t>
      </w:r>
    </w:p>
    <w:p w14:paraId="541CA8FE" w14:textId="28EF2ACD" w:rsidR="00777742" w:rsidRPr="003A7F1E" w:rsidRDefault="00777742" w:rsidP="00777742">
      <w:pPr>
        <w:pStyle w:val="Default"/>
        <w:spacing w:line="260" w:lineRule="exact"/>
        <w:rPr>
          <w:rFonts w:ascii="Taz SemiLight" w:hAnsi="Taz SemiLight"/>
          <w:sz w:val="20"/>
          <w:szCs w:val="20"/>
          <w:lang w:val="en-US"/>
        </w:rPr>
      </w:pPr>
      <w:r w:rsidRPr="003A7F1E">
        <w:rPr>
          <w:rFonts w:ascii="Taz SemiLight" w:hAnsi="Taz SemiLight"/>
          <w:sz w:val="20"/>
          <w:szCs w:val="20"/>
          <w:lang w:val="en-US"/>
        </w:rPr>
        <w:lastRenderedPageBreak/>
        <w:t xml:space="preserve"> ETF trades </w:t>
      </w:r>
      <w:r w:rsidR="002B50CA">
        <w:rPr>
          <w:rFonts w:ascii="Taz SemiLight" w:hAnsi="Taz SemiLight"/>
          <w:sz w:val="20"/>
          <w:szCs w:val="20"/>
          <w:lang w:val="en-US"/>
        </w:rPr>
        <w:t>are also made</w:t>
      </w:r>
      <w:r>
        <w:rPr>
          <w:rFonts w:ascii="Taz SemiLight" w:hAnsi="Taz SemiLight"/>
          <w:sz w:val="20"/>
          <w:szCs w:val="20"/>
          <w:lang w:val="en-US"/>
        </w:rPr>
        <w:t xml:space="preserve"> end-of-day</w:t>
      </w:r>
      <w:r w:rsidRPr="003A7F1E">
        <w:rPr>
          <w:rFonts w:ascii="Taz SemiLight" w:hAnsi="Taz SemiLight"/>
          <w:sz w:val="20"/>
          <w:szCs w:val="20"/>
          <w:lang w:val="en-US"/>
        </w:rPr>
        <w:t xml:space="preserve"> primary market, facilitated by a</w:t>
      </w:r>
      <w:r>
        <w:rPr>
          <w:rFonts w:ascii="Taz SemiLight" w:hAnsi="Taz SemiLight"/>
          <w:sz w:val="20"/>
          <w:szCs w:val="20"/>
          <w:lang w:val="en-US"/>
        </w:rPr>
        <w:t>n</w:t>
      </w:r>
      <w:r w:rsidRPr="003A7F1E">
        <w:rPr>
          <w:rFonts w:ascii="Taz SemiLight" w:hAnsi="Taz SemiLight"/>
          <w:sz w:val="20"/>
          <w:szCs w:val="20"/>
          <w:lang w:val="en-US"/>
        </w:rPr>
        <w:t xml:space="preserve"> approved group of group of institutional firms</w:t>
      </w:r>
      <w:r>
        <w:rPr>
          <w:rFonts w:ascii="Taz SemiLight" w:hAnsi="Taz SemiLight"/>
          <w:sz w:val="20"/>
          <w:szCs w:val="20"/>
          <w:lang w:val="en-US"/>
        </w:rPr>
        <w:t xml:space="preserve"> (Authorized Participants (APs))</w:t>
      </w:r>
      <w:r w:rsidRPr="003A7F1E">
        <w:rPr>
          <w:rFonts w:ascii="Taz SemiLight" w:hAnsi="Taz SemiLight"/>
          <w:sz w:val="20"/>
          <w:szCs w:val="20"/>
          <w:lang w:val="en-US"/>
        </w:rPr>
        <w:t xml:space="preserve">s </w:t>
      </w:r>
    </w:p>
    <w:p w14:paraId="6A8C0B70" w14:textId="77777777" w:rsidR="00777742" w:rsidRDefault="00777742" w:rsidP="00777742">
      <w:pPr>
        <w:pStyle w:val="Default"/>
        <w:rPr>
          <w:lang w:val="en-US"/>
        </w:rPr>
      </w:pPr>
    </w:p>
    <w:p w14:paraId="199FA87F" w14:textId="09CE7182" w:rsidR="00777742" w:rsidRPr="00C25A14" w:rsidRDefault="00777742" w:rsidP="00777742">
      <w:pPr>
        <w:pStyle w:val="Default"/>
        <w:spacing w:line="260" w:lineRule="exact"/>
        <w:rPr>
          <w:rFonts w:ascii="Taz SemiLight" w:hAnsi="Taz SemiLight"/>
          <w:sz w:val="20"/>
          <w:szCs w:val="20"/>
          <w:lang w:val="en-US"/>
        </w:rPr>
      </w:pPr>
      <w:r w:rsidRPr="00C25A14">
        <w:rPr>
          <w:rFonts w:ascii="Taz SemiLight" w:hAnsi="Taz SemiLight"/>
          <w:bCs/>
          <w:sz w:val="20"/>
          <w:szCs w:val="20"/>
          <w:lang w:val="en-US"/>
        </w:rPr>
        <w:t>Unlike ETFs, open-end</w:t>
      </w:r>
      <w:r>
        <w:rPr>
          <w:rFonts w:ascii="Taz SemiLight" w:hAnsi="Taz SemiLight"/>
          <w:bCs/>
          <w:sz w:val="20"/>
          <w:szCs w:val="20"/>
          <w:lang w:val="en-US"/>
        </w:rPr>
        <w:t xml:space="preserve"> funds </w:t>
      </w:r>
      <w:r w:rsidRPr="00C25A14">
        <w:rPr>
          <w:rFonts w:ascii="Taz SemiLight" w:hAnsi="Taz SemiLight"/>
          <w:bCs/>
          <w:sz w:val="20"/>
          <w:szCs w:val="20"/>
          <w:lang w:val="en-US"/>
        </w:rPr>
        <w:t xml:space="preserve">which are –for marketing </w:t>
      </w:r>
      <w:r w:rsidR="002B50CA">
        <w:rPr>
          <w:rFonts w:ascii="Taz SemiLight" w:hAnsi="Taz SemiLight"/>
          <w:bCs/>
          <w:sz w:val="20"/>
          <w:szCs w:val="20"/>
          <w:lang w:val="en-US"/>
        </w:rPr>
        <w:t xml:space="preserve">reasons </w:t>
      </w:r>
      <w:r w:rsidRPr="00C25A14">
        <w:rPr>
          <w:rFonts w:ascii="Taz SemiLight" w:hAnsi="Taz SemiLight"/>
          <w:bCs/>
          <w:sz w:val="20"/>
          <w:szCs w:val="20"/>
          <w:lang w:val="en-US"/>
        </w:rPr>
        <w:t>or to serve a Tax Treaty purpose –listed on a trading venue lack secondary market liquidity. This is the case for open-end</w:t>
      </w:r>
      <w:r>
        <w:rPr>
          <w:rFonts w:ascii="Taz SemiLight" w:hAnsi="Taz SemiLight"/>
          <w:bCs/>
          <w:sz w:val="20"/>
          <w:szCs w:val="20"/>
          <w:lang w:val="en-US"/>
        </w:rPr>
        <w:t xml:space="preserve"> funds </w:t>
      </w:r>
      <w:r w:rsidRPr="00C25A14">
        <w:rPr>
          <w:rFonts w:ascii="Taz SemiLight" w:hAnsi="Taz SemiLight"/>
          <w:bCs/>
          <w:sz w:val="20"/>
          <w:szCs w:val="20"/>
          <w:lang w:val="en-US"/>
        </w:rPr>
        <w:t xml:space="preserve">which are listed </w:t>
      </w:r>
      <w:r w:rsidRPr="00C25A14">
        <w:rPr>
          <w:rFonts w:ascii="Taz SemiLight" w:hAnsi="Taz SemiLight" w:cs="Segoe UI"/>
          <w:color w:val="252631"/>
          <w:spacing w:val="-8"/>
          <w:sz w:val="20"/>
          <w:szCs w:val="20"/>
          <w:shd w:val="clear" w:color="auto" w:fill="FFFFFF"/>
          <w:lang w:val="en-US"/>
        </w:rPr>
        <w:t xml:space="preserve">on </w:t>
      </w:r>
      <w:r w:rsidRPr="00C25A14">
        <w:rPr>
          <w:rFonts w:ascii="Taz SemiLight" w:hAnsi="Taz SemiLight" w:cs="Segoe UI"/>
          <w:i/>
          <w:color w:val="252631"/>
          <w:spacing w:val="-8"/>
          <w:sz w:val="20"/>
          <w:szCs w:val="20"/>
          <w:shd w:val="clear" w:color="auto" w:fill="FFFFFF"/>
          <w:lang w:val="en-US"/>
        </w:rPr>
        <w:t>Euronext Fund Service</w:t>
      </w:r>
      <w:r w:rsidRPr="00C25A14">
        <w:rPr>
          <w:rFonts w:ascii="Taz SemiLight" w:hAnsi="Taz SemiLight" w:cs="Segoe UI"/>
          <w:color w:val="252631"/>
          <w:spacing w:val="-8"/>
          <w:sz w:val="20"/>
          <w:szCs w:val="20"/>
          <w:shd w:val="clear" w:color="auto" w:fill="FFFFFF"/>
          <w:lang w:val="en-US"/>
        </w:rPr>
        <w:t xml:space="preserve"> (EFS) which is a primary market/NAV platform for open end funds located in Paris and Amsterdam.</w:t>
      </w:r>
      <w:r w:rsidR="002B50CA">
        <w:rPr>
          <w:rFonts w:ascii="Taz SemiLight" w:hAnsi="Taz SemiLight" w:cs="Segoe UI"/>
          <w:color w:val="252631"/>
          <w:spacing w:val="-8"/>
          <w:sz w:val="20"/>
          <w:szCs w:val="20"/>
          <w:shd w:val="clear" w:color="auto" w:fill="FFFFFF"/>
          <w:lang w:val="en-US"/>
        </w:rPr>
        <w:t>(</w:t>
      </w:r>
      <w:r w:rsidR="002B50CA" w:rsidRPr="002B50CA">
        <w:t xml:space="preserve"> </w:t>
      </w:r>
      <w:hyperlink r:id="rId18" w:history="1">
        <w:r w:rsidR="002B50CA" w:rsidRPr="006029FE">
          <w:rPr>
            <w:rStyle w:val="Hyperlink"/>
            <w:rFonts w:ascii="Taz SemiLight" w:hAnsi="Taz SemiLight" w:cs="Segoe UI"/>
            <w:spacing w:val="-8"/>
            <w:sz w:val="20"/>
            <w:szCs w:val="20"/>
            <w:shd w:val="clear" w:color="auto" w:fill="FFFFFF"/>
            <w:lang w:val="en-US"/>
          </w:rPr>
          <w:t>https://www.euronext.com/en/for-investors/funds</w:t>
        </w:r>
      </w:hyperlink>
      <w:r w:rsidR="002B50CA">
        <w:rPr>
          <w:rFonts w:ascii="Taz SemiLight" w:hAnsi="Taz SemiLight" w:cs="Segoe UI"/>
          <w:color w:val="252631"/>
          <w:spacing w:val="-8"/>
          <w:sz w:val="20"/>
          <w:szCs w:val="20"/>
          <w:shd w:val="clear" w:color="auto" w:fill="FFFFFF"/>
          <w:lang w:val="en-US"/>
        </w:rPr>
        <w:t>)</w:t>
      </w:r>
      <w:r w:rsidRPr="00C25A14">
        <w:rPr>
          <w:rFonts w:ascii="Taz SemiLight" w:hAnsi="Taz SemiLight" w:cs="Segoe UI"/>
          <w:color w:val="252631"/>
          <w:spacing w:val="-8"/>
          <w:sz w:val="20"/>
          <w:szCs w:val="20"/>
          <w:shd w:val="clear" w:color="auto" w:fill="FFFFFF"/>
          <w:lang w:val="en-US"/>
        </w:rPr>
        <w:t> </w:t>
      </w:r>
      <w:r w:rsidR="002B50CA">
        <w:rPr>
          <w:rFonts w:ascii="Taz SemiLight" w:hAnsi="Taz SemiLight" w:cs="Segoe UI"/>
          <w:color w:val="252631"/>
          <w:spacing w:val="-8"/>
          <w:sz w:val="20"/>
          <w:szCs w:val="20"/>
          <w:shd w:val="clear" w:color="auto" w:fill="FFFFFF"/>
          <w:lang w:val="en-US"/>
        </w:rPr>
        <w:t>EFS</w:t>
      </w:r>
      <w:r w:rsidRPr="00C25A14">
        <w:rPr>
          <w:rFonts w:ascii="Taz SemiLight" w:hAnsi="Taz SemiLight" w:cs="Segoe UI"/>
          <w:color w:val="252631"/>
          <w:spacing w:val="-8"/>
          <w:sz w:val="20"/>
          <w:szCs w:val="20"/>
          <w:shd w:val="clear" w:color="auto" w:fill="FFFFFF"/>
          <w:lang w:val="en-US"/>
        </w:rPr>
        <w:t xml:space="preserve"> enables clients to buy and sell funds by sending subscription/redemption orders </w:t>
      </w:r>
      <w:r w:rsidR="00A368E0">
        <w:rPr>
          <w:rFonts w:ascii="Taz SemiLight" w:hAnsi="Taz SemiLight" w:cs="Segoe UI"/>
          <w:color w:val="252631"/>
          <w:spacing w:val="-8"/>
          <w:sz w:val="20"/>
          <w:szCs w:val="20"/>
          <w:shd w:val="clear" w:color="auto" w:fill="FFFFFF"/>
          <w:lang w:val="en-US"/>
        </w:rPr>
        <w:t>through</w:t>
      </w:r>
      <w:r w:rsidRPr="00C25A14">
        <w:rPr>
          <w:rFonts w:ascii="Taz SemiLight" w:hAnsi="Taz SemiLight" w:cs="Segoe UI"/>
          <w:color w:val="252631"/>
          <w:spacing w:val="-8"/>
          <w:sz w:val="20"/>
          <w:szCs w:val="20"/>
          <w:shd w:val="clear" w:color="auto" w:fill="FFFFFF"/>
          <w:lang w:val="en-US"/>
        </w:rPr>
        <w:t xml:space="preserve"> a Euronext member broker</w:t>
      </w:r>
      <w:r>
        <w:rPr>
          <w:rFonts w:ascii="Taz SemiLight" w:hAnsi="Taz SemiLight" w:cs="Segoe UI"/>
          <w:color w:val="252631"/>
          <w:spacing w:val="-8"/>
          <w:sz w:val="20"/>
          <w:szCs w:val="20"/>
          <w:shd w:val="clear" w:color="auto" w:fill="FFFFFF"/>
          <w:lang w:val="en-US"/>
        </w:rPr>
        <w:t xml:space="preserve"> which act as distributor</w:t>
      </w:r>
      <w:r w:rsidRPr="00C25A14">
        <w:rPr>
          <w:rFonts w:ascii="Taz SemiLight" w:hAnsi="Taz SemiLight" w:cs="Segoe UI"/>
          <w:color w:val="252631"/>
          <w:spacing w:val="-8"/>
          <w:sz w:val="20"/>
          <w:szCs w:val="20"/>
          <w:shd w:val="clear" w:color="auto" w:fill="FFFFFF"/>
          <w:lang w:val="en-US"/>
        </w:rPr>
        <w:t xml:space="preserve">. </w:t>
      </w:r>
      <w:r w:rsidRPr="00C25A14">
        <w:rPr>
          <w:rFonts w:ascii="Taz SemiLight" w:hAnsi="Taz SemiLight"/>
          <w:sz w:val="20"/>
          <w:szCs w:val="20"/>
          <w:lang w:val="en-US"/>
        </w:rPr>
        <w:t>The pricing of the shares issued or repurchased by the open-end fund from orders received through EFS is determined by the end-of-day calculation of their net asset value (NAV), with a predetermined adjustment reflecting the transaction costs of the fund as specified in the prospectus.</w:t>
      </w:r>
    </w:p>
    <w:p w14:paraId="1D0FDDB1" w14:textId="77777777" w:rsidR="00777742" w:rsidRPr="00C25A14" w:rsidRDefault="00777742" w:rsidP="00777742">
      <w:pPr>
        <w:pStyle w:val="Default"/>
        <w:spacing w:line="260" w:lineRule="exact"/>
        <w:rPr>
          <w:rFonts w:ascii="Taz SemiLight" w:hAnsi="Taz SemiLight"/>
          <w:sz w:val="20"/>
          <w:szCs w:val="20"/>
          <w:lang w:val="en-US"/>
        </w:rPr>
      </w:pPr>
    </w:p>
    <w:p w14:paraId="04B882B5" w14:textId="3BA05757" w:rsidR="00777742" w:rsidRDefault="00777742" w:rsidP="00777742">
      <w:pPr>
        <w:pStyle w:val="Default"/>
        <w:spacing w:line="260" w:lineRule="exact"/>
        <w:rPr>
          <w:rFonts w:ascii="Taz SemiLight" w:hAnsi="Taz SemiLight"/>
          <w:sz w:val="20"/>
          <w:szCs w:val="20"/>
          <w:lang w:val="en-US"/>
        </w:rPr>
      </w:pPr>
      <w:r w:rsidRPr="00C25A14">
        <w:rPr>
          <w:rFonts w:ascii="Taz SemiLight" w:hAnsi="Taz SemiLight"/>
          <w:sz w:val="20"/>
          <w:szCs w:val="20"/>
          <w:lang w:val="en-US"/>
        </w:rPr>
        <w:t xml:space="preserve">The function of </w:t>
      </w:r>
      <w:r>
        <w:rPr>
          <w:rFonts w:ascii="Taz SemiLight" w:hAnsi="Taz SemiLight"/>
          <w:sz w:val="20"/>
          <w:szCs w:val="20"/>
          <w:lang w:val="en-US"/>
        </w:rPr>
        <w:t>EFS is to facilitate</w:t>
      </w:r>
      <w:r w:rsidRPr="00C25A14">
        <w:rPr>
          <w:rFonts w:ascii="Taz SemiLight" w:hAnsi="Taz SemiLight"/>
          <w:sz w:val="20"/>
          <w:szCs w:val="20"/>
          <w:lang w:val="en-US"/>
        </w:rPr>
        <w:t xml:space="preserve"> </w:t>
      </w:r>
      <w:r w:rsidR="00A368E0">
        <w:rPr>
          <w:rFonts w:ascii="Taz SemiLight" w:hAnsi="Taz SemiLight"/>
          <w:sz w:val="20"/>
          <w:szCs w:val="20"/>
          <w:lang w:val="en-US"/>
        </w:rPr>
        <w:t xml:space="preserve">the transmission of </w:t>
      </w:r>
      <w:r w:rsidRPr="00C25A14">
        <w:rPr>
          <w:rFonts w:ascii="Taz SemiLight" w:hAnsi="Taz SemiLight"/>
          <w:sz w:val="20"/>
          <w:szCs w:val="20"/>
          <w:lang w:val="en-US"/>
        </w:rPr>
        <w:t xml:space="preserve">orders to a fund and facilitate a fund in giving effect to its obligation to execute these orders. </w:t>
      </w:r>
      <w:r w:rsidRPr="00C25A14">
        <w:rPr>
          <w:rFonts w:ascii="Taz SemiLight" w:hAnsi="Taz SemiLight" w:cs="Segoe UI"/>
          <w:color w:val="252631"/>
          <w:spacing w:val="-8"/>
          <w:sz w:val="20"/>
          <w:szCs w:val="20"/>
          <w:shd w:val="clear" w:color="auto" w:fill="FFFFFF"/>
          <w:lang w:val="en-US"/>
        </w:rPr>
        <w:t xml:space="preserve">Brokers do not conduct any </w:t>
      </w:r>
      <w:r>
        <w:rPr>
          <w:rFonts w:ascii="Taz SemiLight" w:hAnsi="Taz SemiLight" w:cs="Segoe UI"/>
          <w:color w:val="252631"/>
          <w:spacing w:val="-8"/>
          <w:sz w:val="20"/>
          <w:szCs w:val="20"/>
          <w:shd w:val="clear" w:color="auto" w:fill="FFFFFF"/>
          <w:lang w:val="en-US"/>
        </w:rPr>
        <w:t>transactions with other brokers;</w:t>
      </w:r>
      <w:r w:rsidRPr="00C25A14">
        <w:rPr>
          <w:rFonts w:ascii="Taz SemiLight" w:hAnsi="Taz SemiLight"/>
          <w:sz w:val="20"/>
          <w:szCs w:val="20"/>
          <w:lang w:val="en-US"/>
        </w:rPr>
        <w:t xml:space="preserve"> </w:t>
      </w:r>
      <w:r>
        <w:rPr>
          <w:rFonts w:ascii="Taz SemiLight" w:hAnsi="Taz SemiLight"/>
          <w:sz w:val="20"/>
          <w:szCs w:val="20"/>
          <w:lang w:val="en-US"/>
        </w:rPr>
        <w:t>m</w:t>
      </w:r>
      <w:r w:rsidRPr="00C25A14">
        <w:rPr>
          <w:rFonts w:ascii="Taz SemiLight" w:hAnsi="Taz SemiLight"/>
          <w:sz w:val="20"/>
          <w:szCs w:val="20"/>
          <w:lang w:val="en-US"/>
        </w:rPr>
        <w:t>arket making and secondary price-formation is absence in the case of EFS. Pricing is determined by the fund's NAV and bears no relation to the supply and demand for shares in the fund (whether or not channeled through EFS).</w:t>
      </w:r>
      <w:r>
        <w:rPr>
          <w:rFonts w:ascii="Taz SemiLight" w:hAnsi="Taz SemiLight"/>
          <w:sz w:val="20"/>
          <w:szCs w:val="20"/>
          <w:lang w:val="en-US"/>
        </w:rPr>
        <w:t xml:space="preserve"> The same goes for the open-end UCIs listed in on the Bourse de Luxembourg.</w:t>
      </w:r>
    </w:p>
    <w:p w14:paraId="357AFE18" w14:textId="77777777" w:rsidR="00777742" w:rsidRDefault="00777742" w:rsidP="00777742">
      <w:pPr>
        <w:pStyle w:val="Default"/>
        <w:spacing w:line="260" w:lineRule="exact"/>
        <w:rPr>
          <w:rFonts w:ascii="Taz SemiLight" w:hAnsi="Taz SemiLight"/>
          <w:sz w:val="20"/>
          <w:szCs w:val="20"/>
          <w:lang w:val="en-US"/>
        </w:rPr>
      </w:pPr>
    </w:p>
    <w:p w14:paraId="4A72BC3B" w14:textId="77777777" w:rsidR="00777742" w:rsidRDefault="00777742" w:rsidP="00777742">
      <w:pPr>
        <w:pStyle w:val="Default"/>
        <w:spacing w:line="260" w:lineRule="exact"/>
        <w:rPr>
          <w:rFonts w:ascii="Taz SemiLight" w:hAnsi="Taz SemiLight"/>
          <w:sz w:val="20"/>
          <w:szCs w:val="20"/>
          <w:lang w:val="en-US"/>
        </w:rPr>
      </w:pPr>
      <w:r>
        <w:rPr>
          <w:rFonts w:ascii="Taz SemiLight" w:hAnsi="Taz SemiLight"/>
          <w:sz w:val="20"/>
          <w:szCs w:val="20"/>
          <w:lang w:val="en-US"/>
        </w:rPr>
        <w:t>Consequently, we believe it appropriate to exempt open-end UCI listed on a trading venue, without any secondary market price formation and market making, from the PDMR obligation (19 MAR), closed periods (art 17 MAR) and insider lists (art 18 MAR).</w:t>
      </w:r>
    </w:p>
    <w:permEnd w:id="1585398486"/>
    <w:p w14:paraId="3C3E0B49" w14:textId="4BCDC458" w:rsidR="00646C30" w:rsidRDefault="00646C30" w:rsidP="00646C30"/>
    <w:p w14:paraId="3C3E0B4A" w14:textId="77777777" w:rsidR="00646C30" w:rsidRDefault="00646C30" w:rsidP="00646C30">
      <w:r>
        <w:t>&lt;ESMA_QUESTION_CP_MAR_</w:t>
      </w:r>
      <w:r w:rsidR="00DD7418">
        <w:t>58</w:t>
      </w:r>
      <w:r>
        <w:t>&gt;</w:t>
      </w:r>
    </w:p>
    <w:p w14:paraId="3C3E0B4B" w14:textId="77777777" w:rsidR="00646C30" w:rsidRDefault="00646C30"/>
    <w:p w14:paraId="3C3E0B4C" w14:textId="77777777" w:rsidR="00646C30" w:rsidRDefault="0042739E" w:rsidP="00646C30">
      <w:pPr>
        <w:pStyle w:val="CPQuestions"/>
      </w:pPr>
      <w:r w:rsidRPr="0042739E">
        <w:t>Do you agree with ESMA’s preliminary view? Please indicate which transactions should be captured by PDMR obligations in the case of management companies of CIUs</w:t>
      </w:r>
      <w:r w:rsidR="00646C30">
        <w:t>.</w:t>
      </w:r>
    </w:p>
    <w:p w14:paraId="3C3E0B4D" w14:textId="77777777" w:rsidR="00646C30" w:rsidRDefault="00646C30" w:rsidP="00646C30">
      <w:r>
        <w:t>&lt;ESMA_QUESTION_CP_MAR_</w:t>
      </w:r>
      <w:r w:rsidR="00FA5524">
        <w:t>59</w:t>
      </w:r>
      <w:r>
        <w:t>&gt;</w:t>
      </w:r>
    </w:p>
    <w:p w14:paraId="79851387" w14:textId="777A7729" w:rsidR="00777742" w:rsidRDefault="00A368E0" w:rsidP="00777742">
      <w:pPr>
        <w:pStyle w:val="Default"/>
        <w:spacing w:line="260" w:lineRule="exact"/>
        <w:rPr>
          <w:rFonts w:ascii="Taz SemiLight" w:hAnsi="Taz SemiLight" w:cs="Segoe UI"/>
          <w:color w:val="252631"/>
          <w:spacing w:val="-8"/>
          <w:sz w:val="20"/>
          <w:szCs w:val="20"/>
          <w:shd w:val="clear" w:color="auto" w:fill="FFFFFF"/>
          <w:lang w:val="en-US"/>
        </w:rPr>
      </w:pPr>
      <w:permStart w:id="1390705103" w:edGrp="everyone"/>
      <w:r>
        <w:rPr>
          <w:rFonts w:ascii="Taz SemiLight" w:hAnsi="Taz SemiLight" w:cs="Segoe UI"/>
          <w:color w:val="252631"/>
          <w:spacing w:val="-8"/>
          <w:sz w:val="20"/>
          <w:szCs w:val="20"/>
          <w:shd w:val="clear" w:color="auto" w:fill="FFFFFF"/>
          <w:lang w:val="en-US"/>
        </w:rPr>
        <w:t xml:space="preserve">No, we do not agree with ESMA’s view. </w:t>
      </w:r>
      <w:r w:rsidR="00777742">
        <w:rPr>
          <w:rFonts w:ascii="Taz SemiLight" w:hAnsi="Taz SemiLight" w:cs="Segoe UI"/>
          <w:color w:val="252631"/>
          <w:spacing w:val="-8"/>
          <w:sz w:val="20"/>
          <w:szCs w:val="20"/>
          <w:shd w:val="clear" w:color="auto" w:fill="FFFFFF"/>
          <w:lang w:val="en-US"/>
        </w:rPr>
        <w:t>Given that open-end</w:t>
      </w:r>
      <w:r>
        <w:rPr>
          <w:rFonts w:ascii="Taz SemiLight" w:hAnsi="Taz SemiLight" w:cs="Segoe UI"/>
          <w:color w:val="252631"/>
          <w:spacing w:val="-8"/>
          <w:sz w:val="20"/>
          <w:szCs w:val="20"/>
          <w:shd w:val="clear" w:color="auto" w:fill="FFFFFF"/>
          <w:lang w:val="en-US"/>
        </w:rPr>
        <w:t xml:space="preserve"> </w:t>
      </w:r>
      <w:r w:rsidR="00777742">
        <w:rPr>
          <w:rFonts w:ascii="Taz SemiLight" w:hAnsi="Taz SemiLight" w:cs="Segoe UI"/>
          <w:color w:val="252631"/>
          <w:spacing w:val="-8"/>
          <w:sz w:val="20"/>
          <w:szCs w:val="20"/>
          <w:shd w:val="clear" w:color="auto" w:fill="FFFFFF"/>
          <w:lang w:val="en-US"/>
        </w:rPr>
        <w:t xml:space="preserve">CIU’s share price mirrors the </w:t>
      </w:r>
      <w:r w:rsidR="00777742" w:rsidRPr="009C5033">
        <w:rPr>
          <w:rFonts w:ascii="Taz SemiLight" w:hAnsi="Taz SemiLight" w:cs="Segoe UI"/>
          <w:color w:val="252631"/>
          <w:spacing w:val="-8"/>
          <w:sz w:val="20"/>
          <w:szCs w:val="20"/>
          <w:shd w:val="clear" w:color="auto" w:fill="FFFFFF"/>
          <w:lang w:val="en-US"/>
        </w:rPr>
        <w:t>Net Asset Value</w:t>
      </w:r>
      <w:r w:rsidR="00777742">
        <w:rPr>
          <w:rFonts w:ascii="Taz SemiLight" w:hAnsi="Taz SemiLight" w:cs="Segoe UI"/>
          <w:color w:val="252631"/>
          <w:spacing w:val="-8"/>
          <w:sz w:val="20"/>
          <w:szCs w:val="20"/>
          <w:shd w:val="clear" w:color="auto" w:fill="FFFFFF"/>
          <w:lang w:val="en-US"/>
        </w:rPr>
        <w:t>, PDMR’ decisions on the fund does not have significant impact on price-formation. It is hard to see how these decisions can qualify as ‘inside information’ in terms of the MAR. Hence, PD</w:t>
      </w:r>
      <w:r>
        <w:rPr>
          <w:rFonts w:ascii="Taz SemiLight" w:hAnsi="Taz SemiLight" w:cs="Segoe UI"/>
          <w:color w:val="252631"/>
          <w:spacing w:val="-8"/>
          <w:sz w:val="20"/>
          <w:szCs w:val="20"/>
          <w:shd w:val="clear" w:color="auto" w:fill="FFFFFF"/>
          <w:lang w:val="en-US"/>
        </w:rPr>
        <w:t>M</w:t>
      </w:r>
      <w:r w:rsidR="00777742">
        <w:rPr>
          <w:rFonts w:ascii="Taz SemiLight" w:hAnsi="Taz SemiLight" w:cs="Segoe UI"/>
          <w:color w:val="252631"/>
          <w:spacing w:val="-8"/>
          <w:sz w:val="20"/>
          <w:szCs w:val="20"/>
          <w:shd w:val="clear" w:color="auto" w:fill="FFFFFF"/>
          <w:lang w:val="en-US"/>
        </w:rPr>
        <w:t>Rs related to management companies of open-end UCIs should be exempted from the art 19 MAR obligations.</w:t>
      </w:r>
    </w:p>
    <w:permEnd w:id="1390705103"/>
    <w:p w14:paraId="3C3E0B4E" w14:textId="62E39FDA" w:rsidR="00646C30" w:rsidRDefault="00646C30" w:rsidP="00646C30"/>
    <w:p w14:paraId="3C3E0B4F" w14:textId="77777777" w:rsidR="00646C30" w:rsidRDefault="00646C30" w:rsidP="00646C30">
      <w:r>
        <w:t>&lt;ESMA_QUESTION_CP_MAR_</w:t>
      </w:r>
      <w:r w:rsidR="00FA5524">
        <w:t>59</w:t>
      </w:r>
      <w:r>
        <w:t>&gt;</w:t>
      </w:r>
    </w:p>
    <w:p w14:paraId="3C3E0B50" w14:textId="77777777" w:rsidR="00646C30" w:rsidRDefault="00646C30" w:rsidP="002E1760"/>
    <w:p w14:paraId="3C3E0B51" w14:textId="77777777" w:rsidR="00646C30" w:rsidRDefault="0042739E" w:rsidP="00646C30">
      <w:pPr>
        <w:pStyle w:val="CPQuestions"/>
      </w:pPr>
      <w:r w:rsidRPr="0042739E">
        <w:t>Do you agree with ESMA’s preliminary view? If not, please elaborate</w:t>
      </w:r>
      <w:r w:rsidR="00646C30">
        <w:t>.</w:t>
      </w:r>
    </w:p>
    <w:p w14:paraId="3C3E0B52" w14:textId="77777777" w:rsidR="00646C30" w:rsidRDefault="00646C30" w:rsidP="00646C30">
      <w:r>
        <w:t>&lt;ESMA_QUESTION_CP_MAR_</w:t>
      </w:r>
      <w:r w:rsidR="00FA5524">
        <w:t>60</w:t>
      </w:r>
      <w:r>
        <w:t>&gt;</w:t>
      </w:r>
    </w:p>
    <w:p w14:paraId="3C3E0B53" w14:textId="1FA958EA" w:rsidR="00646C30" w:rsidRDefault="00646C30" w:rsidP="00646C30">
      <w:permStart w:id="1861502119" w:edGrp="everyone"/>
      <w:r>
        <w:t>TYPE YOUR TEXT HERE</w:t>
      </w:r>
      <w:permEnd w:id="1861502119"/>
    </w:p>
    <w:p w14:paraId="3C3E0B54" w14:textId="77777777" w:rsidR="00646C30" w:rsidRDefault="00646C30" w:rsidP="00646C30">
      <w:r>
        <w:t>&lt;ESMA_QUESTION_CP_MAR_</w:t>
      </w:r>
      <w:r w:rsidR="00D53941">
        <w:t>60</w:t>
      </w:r>
      <w:r>
        <w:t>&gt;</w:t>
      </w:r>
    </w:p>
    <w:p w14:paraId="3C3E0B55" w14:textId="77777777" w:rsidR="00646C30" w:rsidRDefault="00646C30"/>
    <w:p w14:paraId="3C3E0B56" w14:textId="77777777" w:rsidR="00646C30" w:rsidRDefault="0042739E" w:rsidP="00646C30">
      <w:pPr>
        <w:pStyle w:val="CPQuestions"/>
      </w:pPr>
      <w:r w:rsidRPr="0042739E">
        <w:t>What persons should PDMR obligations apply to depending on the different structures of CIUs and why? In particular, please indicate whether the definition of “relevant persons” would be adequate for CIUs other than UCITs and AIFs</w:t>
      </w:r>
      <w:r w:rsidR="00646C30">
        <w:t>.</w:t>
      </w:r>
    </w:p>
    <w:p w14:paraId="3C3E0B57" w14:textId="77777777" w:rsidR="00646C30" w:rsidRDefault="00646C30" w:rsidP="00646C30">
      <w:r>
        <w:t>&lt;ESMA_QUESTION_CP_MAR_</w:t>
      </w:r>
      <w:r w:rsidR="00D53941">
        <w:t>61</w:t>
      </w:r>
      <w:r>
        <w:t>&gt;</w:t>
      </w:r>
    </w:p>
    <w:p w14:paraId="3C3E0B58" w14:textId="71A95F77" w:rsidR="00646C30" w:rsidRDefault="00FD4A19" w:rsidP="00646C30">
      <w:permStart w:id="518088190" w:edGrp="everyone"/>
      <w:r>
        <w:rPr>
          <w:rFonts w:cs="Arial"/>
          <w:color w:val="252631"/>
          <w:spacing w:val="-8"/>
          <w:szCs w:val="20"/>
          <w:shd w:val="clear" w:color="auto" w:fill="FFFFFF"/>
          <w:lang w:val="en-US"/>
        </w:rPr>
        <w:t>T</w:t>
      </w:r>
      <w:r w:rsidRPr="00FD4A19">
        <w:rPr>
          <w:rFonts w:cs="Arial"/>
          <w:color w:val="252631"/>
          <w:spacing w:val="-8"/>
          <w:szCs w:val="20"/>
          <w:shd w:val="clear" w:color="auto" w:fill="FFFFFF"/>
          <w:lang w:val="en-US"/>
        </w:rPr>
        <w:t>YPE</w:t>
      </w:r>
      <w:r>
        <w:rPr>
          <w:rFonts w:ascii="Taz SemiLight" w:hAnsi="Taz SemiLight" w:cs="Segoe UI"/>
          <w:color w:val="252631"/>
          <w:spacing w:val="-8"/>
          <w:szCs w:val="20"/>
          <w:shd w:val="clear" w:color="auto" w:fill="FFFFFF"/>
          <w:lang w:val="en-US"/>
        </w:rPr>
        <w:t xml:space="preserve"> </w:t>
      </w:r>
      <w:r w:rsidRPr="00FD4A19">
        <w:rPr>
          <w:rFonts w:cs="Arial"/>
          <w:color w:val="252631"/>
          <w:spacing w:val="-8"/>
          <w:szCs w:val="20"/>
          <w:shd w:val="clear" w:color="auto" w:fill="FFFFFF"/>
          <w:lang w:val="en-US"/>
        </w:rPr>
        <w:t>YOUR TEXT HERE</w:t>
      </w:r>
      <w:permEnd w:id="518088190"/>
    </w:p>
    <w:p w14:paraId="3C3E0B59" w14:textId="77777777" w:rsidR="00646C30" w:rsidRDefault="00646C30" w:rsidP="00646C30">
      <w:r>
        <w:t>&lt;ESMA_QUESTION_CP_MAR_</w:t>
      </w:r>
      <w:r w:rsidR="00D53941">
        <w:t>61</w:t>
      </w:r>
      <w:r>
        <w:t>&gt;</w:t>
      </w:r>
    </w:p>
    <w:p w14:paraId="3C3E0B5A" w14:textId="77777777" w:rsidR="00646C30" w:rsidRDefault="00646C30"/>
    <w:p w14:paraId="3C3E0B5B" w14:textId="77777777" w:rsidR="00646C30" w:rsidRDefault="0042739E" w:rsidP="00646C30">
      <w:pPr>
        <w:pStyle w:val="CPQuestions"/>
      </w:pPr>
      <w:r w:rsidRPr="0042739E">
        <w:t>ESMA would like to gather views from stakeholders on whether other entities than the asset management company (e.g. depository) and other entities on which the CIUs has delegated the execution of certain tasks should be captured by the PDMR regime</w:t>
      </w:r>
      <w:r w:rsidR="00646C30">
        <w:t>.</w:t>
      </w:r>
    </w:p>
    <w:p w14:paraId="3C3E0B5C" w14:textId="77777777" w:rsidR="00646C30" w:rsidRDefault="00646C30" w:rsidP="00646C30">
      <w:r>
        <w:t>&lt;ESMA_QUESTION_CP_MAR_</w:t>
      </w:r>
      <w:r w:rsidR="00D53941">
        <w:t>62</w:t>
      </w:r>
      <w:r>
        <w:t>&gt;</w:t>
      </w:r>
    </w:p>
    <w:p w14:paraId="3C3E0B5D" w14:textId="77777777" w:rsidR="00646C30" w:rsidRDefault="00646C30" w:rsidP="00646C30">
      <w:permStart w:id="1489983752" w:edGrp="everyone"/>
      <w:r>
        <w:t>TYPE YOUR TEXT HERE</w:t>
      </w:r>
      <w:permEnd w:id="1489983752"/>
    </w:p>
    <w:p w14:paraId="3C3E0B5E" w14:textId="77777777" w:rsidR="00646C30" w:rsidRDefault="00646C30" w:rsidP="00646C30">
      <w:r>
        <w:t>&lt;ESMA_QUESTION_CP_MAR_</w:t>
      </w:r>
      <w:r w:rsidR="00D53941">
        <w:t>62</w:t>
      </w:r>
      <w:r>
        <w:t>&gt;</w:t>
      </w:r>
    </w:p>
    <w:p w14:paraId="3C3E0B5F" w14:textId="77777777" w:rsidR="00646C30" w:rsidRDefault="00646C30"/>
    <w:p w14:paraId="3C3E0B60" w14:textId="77777777" w:rsidR="00646C30" w:rsidRDefault="0042739E" w:rsidP="00646C30">
      <w:pPr>
        <w:pStyle w:val="CPQuestions"/>
      </w:pPr>
      <w:r w:rsidRPr="0042739E">
        <w:t>Do you agree with ESMA’s conclusion? If not, please elaborate</w:t>
      </w:r>
      <w:r w:rsidR="00646C30">
        <w:t>.</w:t>
      </w:r>
    </w:p>
    <w:p w14:paraId="3C3E0B61" w14:textId="77777777" w:rsidR="00646C30" w:rsidRDefault="00646C30" w:rsidP="00646C30">
      <w:r>
        <w:t>&lt;ESMA_QUESTION_CP_MAR_</w:t>
      </w:r>
      <w:r w:rsidR="00D53941">
        <w:t>63</w:t>
      </w:r>
      <w:r>
        <w:t>&gt;</w:t>
      </w:r>
    </w:p>
    <w:p w14:paraId="3C3E0B62" w14:textId="77777777" w:rsidR="00646C30" w:rsidRDefault="00646C30" w:rsidP="00646C30">
      <w:permStart w:id="1272137283" w:edGrp="everyone"/>
      <w:r>
        <w:t>TYPE YOUR TEXT HERE</w:t>
      </w:r>
      <w:permEnd w:id="1272137283"/>
    </w:p>
    <w:p w14:paraId="3C3E0B63" w14:textId="77777777" w:rsidR="00646C30" w:rsidRDefault="00646C30" w:rsidP="00646C30">
      <w:r>
        <w:t>&lt;ESMA_QUESTION_CP_MAR_</w:t>
      </w:r>
      <w:r w:rsidR="00D53941">
        <w:t>63</w:t>
      </w:r>
      <w:r>
        <w:t>&gt;</w:t>
      </w:r>
    </w:p>
    <w:p w14:paraId="3C3E0B64" w14:textId="77777777" w:rsidR="00646C30" w:rsidRDefault="0042739E" w:rsidP="00646C30">
      <w:pPr>
        <w:pStyle w:val="CPQuestions"/>
      </w:pPr>
      <w:r w:rsidRPr="0042739E">
        <w:t>Do you agree with ESMA preliminary view? Please elaborate</w:t>
      </w:r>
      <w:r w:rsidR="00646C30">
        <w:t>.</w:t>
      </w:r>
    </w:p>
    <w:p w14:paraId="3C3E0B65" w14:textId="77777777" w:rsidR="00646C30" w:rsidRDefault="00646C30" w:rsidP="00646C30">
      <w:r>
        <w:t>&lt;ESMA_QUESTION_CP_MAR_</w:t>
      </w:r>
      <w:r w:rsidR="00D53941">
        <w:t>64</w:t>
      </w:r>
      <w:r>
        <w:t>&gt;</w:t>
      </w:r>
    </w:p>
    <w:p w14:paraId="3C3E0B66" w14:textId="77777777" w:rsidR="00646C30" w:rsidRDefault="00646C30" w:rsidP="00646C30">
      <w:permStart w:id="1364398990" w:edGrp="everyone"/>
      <w:r>
        <w:t>TYPE YOUR TEXT HERE</w:t>
      </w:r>
      <w:permEnd w:id="1364398990"/>
    </w:p>
    <w:p w14:paraId="3C3E0B67" w14:textId="77777777" w:rsidR="00646C30" w:rsidRDefault="00646C30" w:rsidP="00646C30">
      <w:r>
        <w:t>&lt;ESMA_QUESTION_CP_MAR_</w:t>
      </w:r>
      <w:r w:rsidR="00D53941">
        <w:t>64</w:t>
      </w:r>
      <w:r>
        <w:t>&gt;</w:t>
      </w:r>
    </w:p>
    <w:p w14:paraId="3C3E0B68" w14:textId="77777777" w:rsidR="00646C30" w:rsidRDefault="00646C30" w:rsidP="002E1760"/>
    <w:p w14:paraId="3C3E0B69" w14:textId="77777777" w:rsidR="00646C30" w:rsidRDefault="0042739E" w:rsidP="00646C30">
      <w:pPr>
        <w:pStyle w:val="CPQuestions"/>
      </w:pPr>
      <w:r w:rsidRPr="0042739E">
        <w:t>Do you agree with ESMA’s preliminary views? Do you consider that specific obligations are needed for elaborating insider lists related to CIUs admitted to traded or traded on a trading venue</w:t>
      </w:r>
      <w:r>
        <w:t>?</w:t>
      </w:r>
    </w:p>
    <w:p w14:paraId="3C3E0B6A" w14:textId="77777777" w:rsidR="00646C30" w:rsidRDefault="00646C30" w:rsidP="00646C30">
      <w:r>
        <w:t>&lt;ESMA_QUESTION_CP_MAR_</w:t>
      </w:r>
      <w:r w:rsidR="00D53941">
        <w:t>65</w:t>
      </w:r>
      <w:r>
        <w:t>&gt;</w:t>
      </w:r>
    </w:p>
    <w:p w14:paraId="3C3E0B6B" w14:textId="1A28EF24" w:rsidR="00646C30" w:rsidRDefault="002551F2" w:rsidP="00646C30">
      <w:permStart w:id="1228214564" w:edGrp="everyone"/>
      <w:r w:rsidRPr="00554D4E">
        <w:rPr>
          <w:rFonts w:ascii="Taz SemiLight" w:hAnsi="Taz SemiLight" w:cs="Segoe UI"/>
          <w:color w:val="252631"/>
          <w:spacing w:val="-8"/>
          <w:szCs w:val="20"/>
          <w:shd w:val="clear" w:color="auto" w:fill="FFFFFF"/>
          <w:lang w:val="en-US"/>
        </w:rPr>
        <w:t xml:space="preserve">We believe that </w:t>
      </w:r>
      <w:r w:rsidR="00FD4A19">
        <w:rPr>
          <w:rFonts w:ascii="Taz SemiLight" w:hAnsi="Taz SemiLight" w:cs="Segoe UI"/>
          <w:color w:val="252631"/>
          <w:spacing w:val="-8"/>
          <w:szCs w:val="20"/>
          <w:shd w:val="clear" w:color="auto" w:fill="FFFFFF"/>
          <w:lang w:val="en-US"/>
        </w:rPr>
        <w:t xml:space="preserve">an </w:t>
      </w:r>
      <w:r w:rsidRPr="00554D4E">
        <w:rPr>
          <w:rFonts w:ascii="Taz SemiLight" w:hAnsi="Taz SemiLight"/>
          <w:szCs w:val="20"/>
          <w:lang w:val="en-US"/>
        </w:rPr>
        <w:t xml:space="preserve">open-end UCI listed on a trading venue like EFS </w:t>
      </w:r>
      <w:r w:rsidR="00FD4A19">
        <w:rPr>
          <w:rFonts w:ascii="Taz SemiLight" w:hAnsi="Taz SemiLight"/>
          <w:szCs w:val="20"/>
          <w:lang w:val="en-US"/>
        </w:rPr>
        <w:t xml:space="preserve">as explained in our answer to question 58 </w:t>
      </w:r>
      <w:r w:rsidRPr="00554D4E">
        <w:rPr>
          <w:rFonts w:ascii="Taz SemiLight" w:hAnsi="Taz SemiLight"/>
          <w:szCs w:val="20"/>
          <w:lang w:val="en-US"/>
        </w:rPr>
        <w:t>should</w:t>
      </w:r>
      <w:r w:rsidR="00FD4A19">
        <w:rPr>
          <w:rFonts w:ascii="Taz SemiLight" w:hAnsi="Taz SemiLight"/>
          <w:szCs w:val="20"/>
          <w:lang w:val="en-US"/>
        </w:rPr>
        <w:t xml:space="preserve"> be</w:t>
      </w:r>
      <w:r w:rsidRPr="00554D4E">
        <w:rPr>
          <w:rFonts w:ascii="Taz SemiLight" w:hAnsi="Taz SemiLight"/>
          <w:szCs w:val="20"/>
          <w:lang w:val="en-US"/>
        </w:rPr>
        <w:t xml:space="preserve"> excluded from the insider list obligations.</w:t>
      </w:r>
      <w:permEnd w:id="1228214564"/>
    </w:p>
    <w:p w14:paraId="3C3E0B6C" w14:textId="77777777" w:rsidR="00646C30" w:rsidRDefault="00646C30" w:rsidP="00646C30">
      <w:r>
        <w:t>&lt;ESMA_QUESTION_CP_MAR_</w:t>
      </w:r>
      <w:r w:rsidR="00D53941">
        <w:t>65</w:t>
      </w:r>
      <w:r>
        <w:t>&gt;</w:t>
      </w:r>
    </w:p>
    <w:p w14:paraId="3C3E0B6D" w14:textId="77777777" w:rsidR="00646C30" w:rsidRDefault="00646C30" w:rsidP="002E1760"/>
    <w:p w14:paraId="3C3E0B6E" w14:textId="77777777" w:rsidR="00646C30" w:rsidRDefault="0042739E" w:rsidP="00646C30">
      <w:pPr>
        <w:pStyle w:val="CPQuestions"/>
      </w:pPr>
      <w:r w:rsidRPr="0042739E">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bookmarkStart w:id="4" w:name="_GoBack"/>
      <w:bookmarkEnd w:id="4"/>
    </w:p>
    <w:p w14:paraId="3C3E0B6F" w14:textId="77777777" w:rsidR="00646C30" w:rsidRDefault="00646C30" w:rsidP="00646C30">
      <w:r>
        <w:t>&lt;ESMA_QUESTION_CP_MAR_</w:t>
      </w:r>
      <w:r w:rsidR="00D53941">
        <w:t>66</w:t>
      </w:r>
      <w:r>
        <w:t>&gt;</w:t>
      </w:r>
    </w:p>
    <w:p w14:paraId="3C3E0B70" w14:textId="77777777" w:rsidR="00646C30" w:rsidRDefault="00646C30" w:rsidP="00646C30">
      <w:permStart w:id="2025406494" w:edGrp="everyone"/>
      <w:r>
        <w:t>TYPE YOUR TEXT HERE</w:t>
      </w:r>
      <w:permEnd w:id="2025406494"/>
    </w:p>
    <w:p w14:paraId="3C3E0B71" w14:textId="77777777" w:rsidR="00646C30" w:rsidRDefault="00646C30" w:rsidP="00646C30">
      <w:r>
        <w:t>&lt;ESMA_QUESTION_CP_MAR_</w:t>
      </w:r>
      <w:r w:rsidR="00D53941">
        <w:t>66</w:t>
      </w:r>
      <w:r>
        <w:t>&gt;</w:t>
      </w:r>
    </w:p>
    <w:p w14:paraId="3C3E0B72" w14:textId="77777777" w:rsidR="00646C30" w:rsidRDefault="00646C30" w:rsidP="002E1760"/>
    <w:p w14:paraId="3C3E0B73" w14:textId="77777777" w:rsidR="00646C30" w:rsidRDefault="0042739E" w:rsidP="00646C30">
      <w:pPr>
        <w:pStyle w:val="CPQuestions"/>
      </w:pPr>
      <w:r w:rsidRPr="0042739E">
        <w:t>Please provide your views on the impact and cost linked to the establishment of a regular reporting mechanism of order book data</w:t>
      </w:r>
      <w:r w:rsidR="00646C30">
        <w:t>.</w:t>
      </w:r>
    </w:p>
    <w:p w14:paraId="3C3E0B74" w14:textId="77777777" w:rsidR="00646C30" w:rsidRDefault="00646C30" w:rsidP="00646C30">
      <w:r>
        <w:t>&lt;ESMA_QUESTION_CP_MAR_</w:t>
      </w:r>
      <w:r w:rsidR="00D53941">
        <w:t>67</w:t>
      </w:r>
      <w:r>
        <w:t>&gt;</w:t>
      </w:r>
    </w:p>
    <w:p w14:paraId="3C3E0B75" w14:textId="77777777" w:rsidR="00646C30" w:rsidRDefault="00646C30" w:rsidP="00646C30">
      <w:permStart w:id="482090286" w:edGrp="everyone"/>
      <w:r>
        <w:t>TYPE YOUR TEXT HERE</w:t>
      </w:r>
      <w:permEnd w:id="482090286"/>
    </w:p>
    <w:p w14:paraId="3C3E0B76" w14:textId="77777777" w:rsidR="00646C30" w:rsidRDefault="00646C30" w:rsidP="00646C30">
      <w:r>
        <w:lastRenderedPageBreak/>
        <w:t>&lt;ESMA_QUESTION_CP_MAR_</w:t>
      </w:r>
      <w:r w:rsidR="00D53941">
        <w:t>67</w:t>
      </w:r>
      <w:r>
        <w:t>&gt;</w:t>
      </w:r>
    </w:p>
    <w:p w14:paraId="3C3E0B77" w14:textId="77777777" w:rsidR="00646C30" w:rsidRDefault="00646C30" w:rsidP="002E1760"/>
    <w:p w14:paraId="3C3E0B78" w14:textId="77777777" w:rsidR="00646C30" w:rsidRDefault="0042739E" w:rsidP="00646C30">
      <w:pPr>
        <w:pStyle w:val="CPQuestions"/>
      </w:pPr>
      <w:r w:rsidRPr="0042739E">
        <w:t>In particular, please: a) elaborate on the cost differences between a daily reporting system and a daily record keeping and ad-hoc transmission mechanism; b) explain if and how the impact would change by limiting the scope of a regular reporting mechanism of order book data to a subset of financial instruments. In that context, please provide detailed description of the criteria that you would use to define the appropriate scope of financial instruments for the order book reporting</w:t>
      </w:r>
      <w:r w:rsidR="00646C30">
        <w:t>.</w:t>
      </w:r>
    </w:p>
    <w:p w14:paraId="3C3E0B79" w14:textId="77777777" w:rsidR="00646C30" w:rsidRDefault="00646C30" w:rsidP="00646C30">
      <w:r>
        <w:t>&lt;ESMA_QUESTION_CP_MAR_</w:t>
      </w:r>
      <w:r w:rsidR="00D53941">
        <w:t>68</w:t>
      </w:r>
      <w:r>
        <w:t>&gt;</w:t>
      </w:r>
    </w:p>
    <w:p w14:paraId="3C3E0B7A" w14:textId="77777777" w:rsidR="00646C30" w:rsidRDefault="00646C30" w:rsidP="00646C30">
      <w:permStart w:id="81003916" w:edGrp="everyone"/>
      <w:r>
        <w:t>TYPE YOUR TEXT HERE</w:t>
      </w:r>
      <w:permEnd w:id="81003916"/>
    </w:p>
    <w:p w14:paraId="3C3E0B7B" w14:textId="77777777" w:rsidR="00646C30" w:rsidRDefault="00646C30" w:rsidP="00646C30">
      <w:r>
        <w:t>&lt;ESMA_QUESTION_CP_MAR_</w:t>
      </w:r>
      <w:r w:rsidR="00D53941">
        <w:t>68</w:t>
      </w:r>
      <w:r>
        <w:t>&gt;</w:t>
      </w:r>
    </w:p>
    <w:p w14:paraId="3C3E0B7C" w14:textId="77777777" w:rsidR="00646C30" w:rsidRDefault="00646C30" w:rsidP="002E1760"/>
    <w:p w14:paraId="3C3E0B7D" w14:textId="77777777" w:rsidR="00646C30" w:rsidRDefault="0042739E" w:rsidP="00646C30">
      <w:pPr>
        <w:pStyle w:val="CPQuestions"/>
      </w:pPr>
      <w:r>
        <w:t>W</w:t>
      </w:r>
      <w:r w:rsidRPr="0042739E">
        <w:t>hat are your views regarding those proposed amendments to MAR</w:t>
      </w:r>
      <w:r>
        <w:t>?</w:t>
      </w:r>
    </w:p>
    <w:p w14:paraId="3C3E0B7E" w14:textId="77777777" w:rsidR="00646C30" w:rsidRDefault="00646C30" w:rsidP="00646C30">
      <w:r>
        <w:t>&lt;ESMA_QUESTION_CP_MAR_</w:t>
      </w:r>
      <w:r w:rsidR="00D53941">
        <w:t>69</w:t>
      </w:r>
      <w:r>
        <w:t>&gt;</w:t>
      </w:r>
    </w:p>
    <w:p w14:paraId="3C3E0B7F" w14:textId="77777777" w:rsidR="00646C30" w:rsidRDefault="00646C30" w:rsidP="00646C30">
      <w:permStart w:id="59336310" w:edGrp="everyone"/>
      <w:r>
        <w:t>TYPE YOUR TEXT HERE</w:t>
      </w:r>
      <w:permEnd w:id="59336310"/>
    </w:p>
    <w:p w14:paraId="3C3E0B80" w14:textId="77777777" w:rsidR="00646C30" w:rsidRDefault="00646C30" w:rsidP="00646C30">
      <w:r>
        <w:t>&lt;ESMA_QUESTION_CP_MAR_</w:t>
      </w:r>
      <w:r w:rsidR="00D53941">
        <w:t>69</w:t>
      </w:r>
      <w:r>
        <w:t>&gt;</w:t>
      </w:r>
    </w:p>
    <w:p w14:paraId="3C3E0B81" w14:textId="77777777" w:rsidR="00646C30" w:rsidRDefault="00646C30" w:rsidP="002E1760"/>
    <w:p w14:paraId="3C3E0B82" w14:textId="77777777" w:rsidR="00646C30" w:rsidRDefault="0042739E" w:rsidP="00646C30">
      <w:pPr>
        <w:pStyle w:val="CPQuestions"/>
      </w:pPr>
      <w:r w:rsidRPr="0042739E">
        <w:t>Are you in favour of amending Article 30(1) second paragraph of MAR so that all NCAs in the EU have the capacity of imposing administrative sanctions? If yes, please elaborate</w:t>
      </w:r>
      <w:r w:rsidR="00646C30">
        <w:t>.</w:t>
      </w:r>
    </w:p>
    <w:p w14:paraId="3C3E0B83" w14:textId="77777777" w:rsidR="00646C30" w:rsidRDefault="00646C30" w:rsidP="00646C30">
      <w:r>
        <w:t>&lt;ESMA_QUESTION_CP_MAR_</w:t>
      </w:r>
      <w:r w:rsidR="00D53941">
        <w:t>70</w:t>
      </w:r>
      <w:r>
        <w:t>&gt;</w:t>
      </w:r>
    </w:p>
    <w:p w14:paraId="3C3E0B84" w14:textId="77777777" w:rsidR="00646C30" w:rsidRDefault="00646C30" w:rsidP="00646C30">
      <w:permStart w:id="889603544" w:edGrp="everyone"/>
      <w:r>
        <w:t>TYPE YOUR TEXT HERE</w:t>
      </w:r>
      <w:permEnd w:id="889603544"/>
    </w:p>
    <w:p w14:paraId="3C3E0B85" w14:textId="77777777" w:rsidR="00646C30" w:rsidRDefault="00646C30" w:rsidP="00646C30">
      <w:r>
        <w:t>&lt;ESMA_QUESTION_CP_MAR_</w:t>
      </w:r>
      <w:r w:rsidR="00D53941">
        <w:t>70</w:t>
      </w:r>
      <w:r>
        <w:t>&gt;</w:t>
      </w:r>
    </w:p>
    <w:p w14:paraId="3C3E0B86" w14:textId="77777777" w:rsidR="00646C30" w:rsidRDefault="00646C30" w:rsidP="002E1760"/>
    <w:p w14:paraId="3C3E0B87" w14:textId="77777777" w:rsidR="00646C30" w:rsidRDefault="0042739E" w:rsidP="00646C30">
      <w:pPr>
        <w:pStyle w:val="CPQuestions"/>
      </w:pPr>
      <w:r w:rsidRPr="0042739E">
        <w:t>Please share your views on the elements described above</w:t>
      </w:r>
      <w:r w:rsidR="00646C30">
        <w:t>.</w:t>
      </w:r>
    </w:p>
    <w:p w14:paraId="3C3E0B88" w14:textId="77777777" w:rsidR="00646C30" w:rsidRDefault="00646C30" w:rsidP="00646C30">
      <w:r>
        <w:t>&lt;ESMA_QUESTION_CP_MAR_</w:t>
      </w:r>
      <w:r w:rsidR="00D53941">
        <w:t>71</w:t>
      </w:r>
      <w:r>
        <w:t>&gt;</w:t>
      </w:r>
    </w:p>
    <w:p w14:paraId="3C3E0B89" w14:textId="77777777" w:rsidR="00646C30" w:rsidRDefault="00646C30" w:rsidP="00646C30">
      <w:permStart w:id="1714450615" w:edGrp="everyone"/>
      <w:r>
        <w:t>TYPE YOUR TEXT HERE</w:t>
      </w:r>
      <w:permEnd w:id="1714450615"/>
    </w:p>
    <w:p w14:paraId="3C3E0B8A" w14:textId="77777777" w:rsidR="00646C30" w:rsidRDefault="00646C30" w:rsidP="00646C30">
      <w:r>
        <w:t>&lt;ESMA_QUESTION_CP_MAR_</w:t>
      </w:r>
      <w:r w:rsidR="00D53941">
        <w:t>71</w:t>
      </w:r>
      <w:r>
        <w:t>&gt;</w:t>
      </w:r>
    </w:p>
    <w:p w14:paraId="3C3E0B8B" w14:textId="77777777" w:rsidR="00646C30" w:rsidRDefault="00646C30" w:rsidP="002E1760"/>
    <w:p w14:paraId="3C3E0B8C" w14:textId="77777777" w:rsidR="00646C30" w:rsidRDefault="00646C30" w:rsidP="002E1760"/>
    <w:p w14:paraId="3C3E0B8D" w14:textId="77777777" w:rsidR="00646C30" w:rsidRDefault="00646C30" w:rsidP="002E1760"/>
    <w:p w14:paraId="3C3E0B8E" w14:textId="77777777" w:rsidR="009003B8" w:rsidRDefault="009003B8" w:rsidP="002E1760"/>
    <w:sectPr w:rsidR="009003B8"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E0B94" w14:textId="77777777" w:rsidR="00A368E0" w:rsidRDefault="00A368E0">
      <w:r>
        <w:separator/>
      </w:r>
    </w:p>
    <w:p w14:paraId="3C3E0B95" w14:textId="77777777" w:rsidR="00A368E0" w:rsidRDefault="00A368E0"/>
  </w:endnote>
  <w:endnote w:type="continuationSeparator" w:id="0">
    <w:p w14:paraId="3C3E0B96" w14:textId="77777777" w:rsidR="00A368E0" w:rsidRDefault="00A368E0">
      <w:r>
        <w:continuationSeparator/>
      </w:r>
    </w:p>
    <w:p w14:paraId="3C3E0B97" w14:textId="77777777" w:rsidR="00A368E0" w:rsidRDefault="00A368E0"/>
  </w:endnote>
  <w:endnote w:type="continuationNotice" w:id="1">
    <w:p w14:paraId="3C3E0B98" w14:textId="77777777" w:rsidR="00A368E0" w:rsidRDefault="00A36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Taz SemiLight">
    <w:altName w:val="Calibri"/>
    <w:charset w:val="00"/>
    <w:family w:val="swiss"/>
    <w:pitch w:val="variable"/>
    <w:sig w:usb0="A00000EF" w:usb1="5000203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A368E0" w:rsidRPr="00616B9B" w14:paraId="3C3E0B9C" w14:textId="77777777" w:rsidTr="00315E96">
      <w:trPr>
        <w:trHeight w:val="284"/>
      </w:trPr>
      <w:tc>
        <w:tcPr>
          <w:tcW w:w="8460" w:type="dxa"/>
        </w:tcPr>
        <w:p w14:paraId="3C3E0B9A" w14:textId="77777777" w:rsidR="00A368E0" w:rsidRPr="00315E96" w:rsidRDefault="00A368E0" w:rsidP="00315E96">
          <w:pPr>
            <w:pStyle w:val="00Footer"/>
            <w:rPr>
              <w:lang w:val="fr-FR"/>
            </w:rPr>
          </w:pPr>
        </w:p>
      </w:tc>
      <w:tc>
        <w:tcPr>
          <w:tcW w:w="952" w:type="dxa"/>
        </w:tcPr>
        <w:p w14:paraId="3C3E0B9B" w14:textId="77777777" w:rsidR="00A368E0" w:rsidRPr="00616B9B" w:rsidRDefault="00A368E0"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3C3E0B9D" w14:textId="77777777" w:rsidR="00A368E0" w:rsidRDefault="00A368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AC" w14:textId="77777777" w:rsidR="00A368E0" w:rsidRDefault="00A368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E0B8F" w14:textId="77777777" w:rsidR="00A368E0" w:rsidRDefault="00A368E0">
      <w:r>
        <w:separator/>
      </w:r>
    </w:p>
    <w:p w14:paraId="3C3E0B90" w14:textId="77777777" w:rsidR="00A368E0" w:rsidRDefault="00A368E0"/>
  </w:footnote>
  <w:footnote w:type="continuationSeparator" w:id="0">
    <w:p w14:paraId="3C3E0B91" w14:textId="77777777" w:rsidR="00A368E0" w:rsidRDefault="00A368E0">
      <w:r>
        <w:continuationSeparator/>
      </w:r>
    </w:p>
    <w:p w14:paraId="3C3E0B92" w14:textId="77777777" w:rsidR="00A368E0" w:rsidRDefault="00A368E0"/>
  </w:footnote>
  <w:footnote w:type="continuationNotice" w:id="1">
    <w:p w14:paraId="3C3E0B93" w14:textId="77777777" w:rsidR="00A368E0" w:rsidRDefault="00A368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9" w14:textId="77777777" w:rsidR="00A368E0" w:rsidRDefault="00A368E0">
    <w:pPr>
      <w:pStyle w:val="Koptekst"/>
    </w:pPr>
    <w:r>
      <w:rPr>
        <w:noProof/>
        <w:lang w:eastAsia="en-GB"/>
      </w:rPr>
      <w:drawing>
        <wp:anchor distT="0" distB="0" distL="114300" distR="114300" simplePos="0" relativeHeight="251658240" behindDoc="0" locked="0" layoutInCell="1" allowOverlap="1" wp14:anchorId="3C3E0BAD" wp14:editId="3C3E0B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C3E0BAF" wp14:editId="3C3E0B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1119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E" w14:textId="77777777" w:rsidR="00A368E0" w:rsidRDefault="00A368E0" w:rsidP="00013CCE">
    <w:pPr>
      <w:pStyle w:val="Koptekst"/>
      <w:jc w:val="right"/>
    </w:pPr>
    <w:r>
      <w:rPr>
        <w:noProof/>
        <w:lang w:eastAsia="en-GB"/>
      </w:rPr>
      <w:drawing>
        <wp:anchor distT="0" distB="0" distL="114300" distR="114300" simplePos="0" relativeHeight="251657216" behindDoc="0" locked="0" layoutInCell="1" allowOverlap="1" wp14:anchorId="3C3E0BB1" wp14:editId="3C3E0B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C3E0BB3" wp14:editId="3C3E0B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F" w14:textId="77777777" w:rsidR="00A368E0" w:rsidRDefault="00A368E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A368E0" w:rsidRPr="002F4496" w14:paraId="3C3E0BA2" w14:textId="77777777" w:rsidTr="000C06C9">
      <w:trPr>
        <w:trHeight w:val="284"/>
      </w:trPr>
      <w:tc>
        <w:tcPr>
          <w:tcW w:w="8460" w:type="dxa"/>
        </w:tcPr>
        <w:p w14:paraId="3C3E0BA0" w14:textId="77777777" w:rsidR="00A368E0" w:rsidRPr="000C3B6D" w:rsidRDefault="00A368E0" w:rsidP="000C06C9">
          <w:pPr>
            <w:pStyle w:val="00Footer"/>
            <w:rPr>
              <w:lang w:val="fr-FR"/>
            </w:rPr>
          </w:pPr>
        </w:p>
      </w:tc>
      <w:tc>
        <w:tcPr>
          <w:tcW w:w="952" w:type="dxa"/>
        </w:tcPr>
        <w:p w14:paraId="3C3E0BA1" w14:textId="77777777" w:rsidR="00A368E0" w:rsidRPr="00146B34" w:rsidRDefault="00A368E0" w:rsidP="000C06C9">
          <w:pPr>
            <w:pStyle w:val="00aPagenumber"/>
            <w:rPr>
              <w:lang w:val="fr-FR"/>
            </w:rPr>
          </w:pPr>
        </w:p>
      </w:tc>
    </w:tr>
  </w:tbl>
  <w:p w14:paraId="3C3E0BA3" w14:textId="77777777" w:rsidR="00A368E0" w:rsidRPr="00DB46C3" w:rsidRDefault="00A368E0">
    <w:pPr>
      <w:rPr>
        <w:lang w:val="fr-FR"/>
      </w:rPr>
    </w:pPr>
  </w:p>
  <w:p w14:paraId="3C3E0BA4" w14:textId="77777777" w:rsidR="00A368E0" w:rsidRPr="002F4496" w:rsidRDefault="00A368E0">
    <w:pPr>
      <w:pStyle w:val="Koptekst"/>
      <w:rPr>
        <w:lang w:val="fr-FR"/>
      </w:rPr>
    </w:pPr>
  </w:p>
  <w:p w14:paraId="3C3E0BA5" w14:textId="77777777" w:rsidR="00A368E0" w:rsidRPr="002F4496" w:rsidRDefault="00A368E0" w:rsidP="000C06C9">
    <w:pPr>
      <w:pStyle w:val="Koptekst"/>
      <w:tabs>
        <w:tab w:val="clear" w:pos="4536"/>
        <w:tab w:val="clear" w:pos="9072"/>
        <w:tab w:val="left" w:pos="8227"/>
      </w:tabs>
      <w:rPr>
        <w:lang w:val="fr-FR"/>
      </w:rPr>
    </w:pPr>
  </w:p>
  <w:p w14:paraId="3C3E0BA6" w14:textId="77777777" w:rsidR="00A368E0" w:rsidRPr="002F4496" w:rsidRDefault="00A368E0" w:rsidP="00583885">
    <w:pPr>
      <w:pStyle w:val="Koptekst"/>
      <w:jc w:val="right"/>
      <w:rPr>
        <w:lang w:val="fr-FR"/>
      </w:rPr>
    </w:pPr>
  </w:p>
  <w:p w14:paraId="3C3E0BA7" w14:textId="77777777" w:rsidR="00A368E0" w:rsidRPr="002F4496" w:rsidRDefault="00A368E0">
    <w:pPr>
      <w:pStyle w:val="Koptekst"/>
      <w:rPr>
        <w:lang w:val="fr-FR"/>
      </w:rPr>
    </w:pPr>
  </w:p>
  <w:p w14:paraId="3C3E0BA8" w14:textId="77777777" w:rsidR="00A368E0" w:rsidRPr="002F4496" w:rsidRDefault="00A368E0">
    <w:pPr>
      <w:pStyle w:val="Koptekst"/>
      <w:rPr>
        <w:lang w:val="fr-FR"/>
      </w:rPr>
    </w:pPr>
  </w:p>
  <w:p w14:paraId="3C3E0BA9" w14:textId="77777777" w:rsidR="00A368E0" w:rsidRPr="002F4496" w:rsidRDefault="00A368E0">
    <w:pPr>
      <w:pStyle w:val="Koptekst"/>
      <w:rPr>
        <w:lang w:val="fr-FR"/>
      </w:rPr>
    </w:pPr>
  </w:p>
  <w:p w14:paraId="3C3E0BAA" w14:textId="77777777" w:rsidR="00A368E0" w:rsidRPr="002F4496" w:rsidRDefault="00A368E0">
    <w:pPr>
      <w:pStyle w:val="Koptekst"/>
      <w:rPr>
        <w:highlight w:val="yellow"/>
        <w:lang w:val="fr-FR"/>
      </w:rPr>
    </w:pPr>
  </w:p>
  <w:p w14:paraId="3C3E0BAB" w14:textId="77777777" w:rsidR="00A368E0" w:rsidRDefault="00A368E0">
    <w:pPr>
      <w:pStyle w:val="Koptekst"/>
    </w:pPr>
    <w:r>
      <w:rPr>
        <w:noProof/>
        <w:lang w:eastAsia="en-GB"/>
      </w:rPr>
      <mc:AlternateContent>
        <mc:Choice Requires="wps">
          <w:drawing>
            <wp:anchor distT="0" distB="0" distL="114299" distR="114299" simplePos="0" relativeHeight="251660288" behindDoc="0" locked="0" layoutInCell="1" allowOverlap="1" wp14:anchorId="3C3E0BB5" wp14:editId="3C3E0B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7EF3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C3E0BB7" wp14:editId="3C3E0B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jstopsomtek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Platte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jstopsomtek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Lijstopsomtek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Kop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Kop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jstnummering"/>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1433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39D"/>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27"/>
    <w:rsid w:val="00250898"/>
    <w:rsid w:val="00251EA9"/>
    <w:rsid w:val="00252843"/>
    <w:rsid w:val="002543F8"/>
    <w:rsid w:val="002551A4"/>
    <w:rsid w:val="002551F2"/>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0C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16D4"/>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976CD"/>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6AB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2F4F"/>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77742"/>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2D"/>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DEA"/>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8E0"/>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6C4"/>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1D89"/>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4A"/>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044"/>
    <w:rsid w:val="00B57107"/>
    <w:rsid w:val="00B60D27"/>
    <w:rsid w:val="00B619E4"/>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387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0C2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758C"/>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3F67"/>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271"/>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4A19"/>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2d4491,#283583"/>
    </o:shapedefaults>
    <o:shapelayout v:ext="edit">
      <o:idmap v:ext="edit" data="1"/>
    </o:shapelayout>
  </w:shapeDefaults>
  <w:decimalSymbol w:val=","/>
  <w:listSeparator w:val=";"/>
  <w14:docId w14:val="3C3E09EA"/>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ard">
    <w:name w:val="Normal"/>
    <w:qFormat/>
    <w:rsid w:val="00646C30"/>
    <w:rPr>
      <w:rFonts w:ascii="Arial" w:hAnsi="Arial"/>
      <w:szCs w:val="24"/>
      <w:lang w:eastAsia="de-DE"/>
    </w:rPr>
  </w:style>
  <w:style w:type="paragraph" w:styleId="Kop1">
    <w:name w:val="heading 1"/>
    <w:basedOn w:val="Standaard"/>
    <w:next w:val="Standaard"/>
    <w:link w:val="Kop1Char"/>
    <w:qFormat/>
    <w:locked/>
    <w:rsid w:val="009E7724"/>
    <w:pPr>
      <w:keepNext/>
      <w:numPr>
        <w:numId w:val="5"/>
      </w:numPr>
      <w:spacing w:before="240" w:after="60"/>
      <w:outlineLvl w:val="0"/>
    </w:pPr>
    <w:rPr>
      <w:rFonts w:cs="Arial"/>
      <w:b/>
      <w:bCs/>
      <w:kern w:val="32"/>
      <w:sz w:val="24"/>
      <w:szCs w:val="32"/>
    </w:rPr>
  </w:style>
  <w:style w:type="paragraph" w:styleId="Kop2">
    <w:name w:val="heading 2"/>
    <w:basedOn w:val="Standaard"/>
    <w:next w:val="Standaard"/>
    <w:link w:val="Kop2Char"/>
    <w:qFormat/>
    <w:locked/>
    <w:rsid w:val="00886A60"/>
    <w:pPr>
      <w:keepNext/>
      <w:keepLines/>
      <w:spacing w:before="200" w:after="120"/>
      <w:outlineLvl w:val="1"/>
    </w:pPr>
    <w:rPr>
      <w:b/>
      <w:bCs/>
      <w:szCs w:val="26"/>
    </w:rPr>
  </w:style>
  <w:style w:type="paragraph" w:styleId="Kop3">
    <w:name w:val="heading 3"/>
    <w:basedOn w:val="Standaard"/>
    <w:next w:val="Standaard"/>
    <w:link w:val="Kop3Char"/>
    <w:qFormat/>
    <w:locked/>
    <w:rsid w:val="003865E5"/>
    <w:pPr>
      <w:keepNext/>
      <w:keepLines/>
      <w:spacing w:before="200"/>
      <w:outlineLvl w:val="2"/>
    </w:pPr>
    <w:rPr>
      <w:rFonts w:ascii="Cambria" w:hAnsi="Cambria"/>
      <w:b/>
      <w:bCs/>
      <w:color w:val="4F81BD"/>
    </w:rPr>
  </w:style>
  <w:style w:type="paragraph" w:styleId="Kop4">
    <w:name w:val="heading 4"/>
    <w:basedOn w:val="Standaard"/>
    <w:next w:val="Standaard"/>
    <w:link w:val="Kop4Ch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aliases w:val="Questions"/>
    <w:basedOn w:val="Standaard"/>
    <w:next w:val="Standaard"/>
    <w:link w:val="Kop5Char"/>
    <w:uiPriority w:val="9"/>
    <w:qFormat/>
    <w:locked/>
    <w:rsid w:val="00E9344E"/>
    <w:pPr>
      <w:keepNext/>
      <w:keepLines/>
      <w:numPr>
        <w:numId w:val="13"/>
      </w:numPr>
      <w:spacing w:before="200"/>
      <w:jc w:val="both"/>
      <w:outlineLvl w:val="4"/>
    </w:pPr>
    <w:rPr>
      <w:b/>
    </w:rPr>
  </w:style>
  <w:style w:type="paragraph" w:styleId="Kop6">
    <w:name w:val="heading 6"/>
    <w:basedOn w:val="Standaard"/>
    <w:next w:val="Standaard"/>
    <w:link w:val="Kop6Char"/>
    <w:qFormat/>
    <w:locked/>
    <w:rsid w:val="003609B6"/>
    <w:pPr>
      <w:numPr>
        <w:ilvl w:val="5"/>
        <w:numId w:val="4"/>
      </w:numPr>
      <w:spacing w:before="240" w:after="60"/>
      <w:outlineLvl w:val="5"/>
    </w:pPr>
    <w:rPr>
      <w:rFonts w:ascii="Times New Roman" w:hAnsi="Times New Roman"/>
      <w:b/>
      <w:bCs/>
      <w:szCs w:val="22"/>
    </w:rPr>
  </w:style>
  <w:style w:type="paragraph" w:styleId="Kop7">
    <w:name w:val="heading 7"/>
    <w:basedOn w:val="Standaard"/>
    <w:next w:val="Standaard"/>
    <w:link w:val="Kop7Char"/>
    <w:unhideWhenUsed/>
    <w:qFormat/>
    <w:locked/>
    <w:rsid w:val="002D6E1A"/>
    <w:pPr>
      <w:spacing w:before="240" w:after="60"/>
      <w:ind w:left="1296" w:hanging="1296"/>
      <w:outlineLvl w:val="6"/>
    </w:pPr>
    <w:rPr>
      <w:rFonts w:ascii="Times New Roman" w:hAnsi="Times New Roman"/>
    </w:rPr>
  </w:style>
  <w:style w:type="paragraph" w:styleId="Kop8">
    <w:name w:val="heading 8"/>
    <w:basedOn w:val="Standaard"/>
    <w:next w:val="Standaard"/>
    <w:link w:val="Kop8Char"/>
    <w:qFormat/>
    <w:locked/>
    <w:rsid w:val="003609B6"/>
    <w:pPr>
      <w:numPr>
        <w:ilvl w:val="7"/>
        <w:numId w:val="4"/>
      </w:numPr>
      <w:spacing w:before="240" w:after="60"/>
      <w:outlineLvl w:val="7"/>
    </w:pPr>
    <w:rPr>
      <w:rFonts w:ascii="Times New Roman" w:hAnsi="Times New Roman"/>
      <w:i/>
      <w:iCs/>
    </w:rPr>
  </w:style>
  <w:style w:type="paragraph" w:styleId="Kop9">
    <w:name w:val="heading 9"/>
    <w:basedOn w:val="Standaard"/>
    <w:next w:val="Standaard"/>
    <w:link w:val="Kop9Char"/>
    <w:qFormat/>
    <w:locked/>
    <w:rsid w:val="00A06867"/>
    <w:pPr>
      <w:tabs>
        <w:tab w:val="num" w:pos="1584"/>
      </w:tabs>
      <w:spacing w:before="240" w:after="60"/>
      <w:ind w:left="1584" w:hanging="1584"/>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locked/>
    <w:rsid w:val="005B64CB"/>
    <w:pPr>
      <w:tabs>
        <w:tab w:val="center" w:pos="4536"/>
        <w:tab w:val="right" w:pos="9072"/>
      </w:tabs>
    </w:pPr>
  </w:style>
  <w:style w:type="paragraph" w:styleId="Voettekst">
    <w:name w:val="footer"/>
    <w:basedOn w:val="Standaard"/>
    <w:link w:val="VoettekstChar"/>
    <w:uiPriority w:val="99"/>
    <w:locked/>
    <w:rsid w:val="005B64CB"/>
    <w:pPr>
      <w:tabs>
        <w:tab w:val="center" w:pos="4536"/>
        <w:tab w:val="right" w:pos="9072"/>
      </w:tabs>
    </w:pPr>
  </w:style>
  <w:style w:type="table" w:styleId="Tabelraster">
    <w:name w:val="Table Grid"/>
    <w:basedOn w:val="Standaardtabe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ard"/>
    <w:locked/>
    <w:rsid w:val="003E3ACA"/>
    <w:pPr>
      <w:spacing w:line="200" w:lineRule="exact"/>
    </w:pPr>
    <w:rPr>
      <w:color w:val="2D4190"/>
      <w:sz w:val="16"/>
    </w:rPr>
  </w:style>
  <w:style w:type="paragraph" w:customStyle="1" w:styleId="05aTitle">
    <w:name w:val="05a_Title"/>
    <w:basedOn w:val="Standaard"/>
    <w:locked/>
    <w:rsid w:val="00791EB4"/>
    <w:pPr>
      <w:spacing w:line="340" w:lineRule="exact"/>
    </w:pPr>
    <w:rPr>
      <w:b/>
      <w:color w:val="000000"/>
      <w:sz w:val="28"/>
    </w:rPr>
  </w:style>
  <w:style w:type="paragraph" w:customStyle="1" w:styleId="02Date">
    <w:name w:val="02_Date"/>
    <w:basedOn w:val="Standa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ard"/>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inanummer">
    <w:name w:val="page number"/>
    <w:basedOn w:val="Standaardalinea-lettertype"/>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Inhopg1">
    <w:name w:val="toc 1"/>
    <w:basedOn w:val="Standaard"/>
    <w:next w:val="Standa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Voetnoottekst">
    <w:name w:val="footnote text"/>
    <w:aliases w:val="Char3, Char3,Fußnotentextf,Fußnotentextr,stile 1,Footnote1,Footnote2,Footnote3,Footnote4,Footnote5,Footnote6,Footnote7,Footnote8,Footnote9,Footnote10,Footnote11,Footnote21,Footnote31,Footnote41,Footnote51,Footnote61,Footnote71"/>
    <w:basedOn w:val="Standaard"/>
    <w:link w:val="VoetnoottekstChar"/>
    <w:uiPriority w:val="99"/>
    <w:qFormat/>
    <w:locked/>
    <w:rsid w:val="001725A5"/>
    <w:pPr>
      <w:spacing w:line="200" w:lineRule="exact"/>
    </w:pPr>
    <w:rPr>
      <w:sz w:val="16"/>
      <w:szCs w:val="20"/>
    </w:rPr>
  </w:style>
  <w:style w:type="character" w:styleId="Voetnootmarkering">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Inhopg2">
    <w:name w:val="toc 2"/>
    <w:basedOn w:val="Standaard"/>
    <w:next w:val="Standa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ard"/>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Verwijzingopmerking">
    <w:name w:val="annotation reference"/>
    <w:locked/>
    <w:rsid w:val="004B1E61"/>
    <w:rPr>
      <w:sz w:val="16"/>
      <w:szCs w:val="16"/>
    </w:rPr>
  </w:style>
  <w:style w:type="paragraph" w:styleId="Tekstopmerking">
    <w:name w:val="annotation text"/>
    <w:basedOn w:val="Standaard"/>
    <w:link w:val="TekstopmerkingChar"/>
    <w:locked/>
    <w:rsid w:val="004B1E61"/>
    <w:rPr>
      <w:szCs w:val="20"/>
    </w:rPr>
  </w:style>
  <w:style w:type="character" w:customStyle="1" w:styleId="TekstopmerkingChar">
    <w:name w:val="Tekst opmerking Char"/>
    <w:link w:val="Tekstopmerking"/>
    <w:uiPriority w:val="99"/>
    <w:rsid w:val="004B1E61"/>
    <w:rPr>
      <w:rFonts w:ascii="Georgia" w:hAnsi="Georgia"/>
      <w:lang w:eastAsia="de-DE"/>
    </w:rPr>
  </w:style>
  <w:style w:type="paragraph" w:styleId="Onderwerpvanopmerking">
    <w:name w:val="annotation subject"/>
    <w:basedOn w:val="Tekstopmerking"/>
    <w:next w:val="Tekstopmerking"/>
    <w:link w:val="OnderwerpvanopmerkingChar"/>
    <w:locked/>
    <w:rsid w:val="004B1E61"/>
    <w:rPr>
      <w:b/>
      <w:bCs/>
    </w:rPr>
  </w:style>
  <w:style w:type="character" w:customStyle="1" w:styleId="OnderwerpvanopmerkingChar">
    <w:name w:val="Onderwerp van opmerking Char"/>
    <w:link w:val="Onderwerpvanopmerking"/>
    <w:rsid w:val="004B1E61"/>
    <w:rPr>
      <w:rFonts w:ascii="Georgia" w:hAnsi="Georgia"/>
      <w:b/>
      <w:bCs/>
      <w:lang w:eastAsia="de-DE"/>
    </w:rPr>
  </w:style>
  <w:style w:type="paragraph" w:styleId="Ballontekst">
    <w:name w:val="Balloon Text"/>
    <w:basedOn w:val="Standaard"/>
    <w:link w:val="BallontekstChar"/>
    <w:locked/>
    <w:rsid w:val="004B1E61"/>
    <w:rPr>
      <w:rFonts w:ascii="Tahoma" w:hAnsi="Tahoma" w:cs="Tahoma"/>
      <w:sz w:val="16"/>
      <w:szCs w:val="16"/>
    </w:rPr>
  </w:style>
  <w:style w:type="character" w:customStyle="1" w:styleId="BallontekstChar">
    <w:name w:val="Ballontekst Char"/>
    <w:link w:val="Ballontekst"/>
    <w:rsid w:val="004B1E61"/>
    <w:rPr>
      <w:rFonts w:ascii="Tahoma" w:hAnsi="Tahoma" w:cs="Tahoma"/>
      <w:sz w:val="16"/>
      <w:szCs w:val="16"/>
      <w:lang w:eastAsia="de-DE"/>
    </w:rPr>
  </w:style>
  <w:style w:type="paragraph" w:styleId="Lijstalinea">
    <w:name w:val="List Paragraph"/>
    <w:aliases w:val="Paragraphe EI,Paragraphe de liste1,EC,Paragraphe de liste"/>
    <w:basedOn w:val="Standaard"/>
    <w:link w:val="LijstalineaChar"/>
    <w:uiPriority w:val="34"/>
    <w:qFormat/>
    <w:locked/>
    <w:rsid w:val="002A0C82"/>
    <w:pPr>
      <w:ind w:left="720"/>
      <w:contextualSpacing/>
    </w:pPr>
  </w:style>
  <w:style w:type="paragraph" w:styleId="Kopvaninhoudsopgave">
    <w:name w:val="TOC Heading"/>
    <w:basedOn w:val="Kop1"/>
    <w:next w:val="Standaard"/>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VoetnoottekstChar">
    <w:name w:val="Voetnoottekst Char"/>
    <w:aliases w:val="Char3 Char, Char3 Char,Fußnotentextf Char,Fußnotentextr Char,stile 1 Char,Footnote1 Char,Footnote2 Char,Footnote3 Char,Footnote4 Char,Footnote5 Char,Footnote6 Char,Footnote7 Char,Footnote8 Char,Footnote9 Char,Footnote10 Char"/>
    <w:link w:val="Voetnootteks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ardalinea-lettertype"/>
    <w:locked/>
    <w:rsid w:val="008E1B6A"/>
  </w:style>
  <w:style w:type="paragraph" w:customStyle="1" w:styleId="ManualNumPar1">
    <w:name w:val="Manual NumPar 1"/>
    <w:basedOn w:val="Standaard"/>
    <w:next w:val="Standaard"/>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Kop1Char">
    <w:name w:val="Kop 1 Char"/>
    <w:link w:val="Kop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Nadruk">
    <w:name w:val="Emphasis"/>
    <w:uiPriority w:val="20"/>
    <w:qFormat/>
    <w:locked/>
    <w:rsid w:val="005F028E"/>
    <w:rPr>
      <w:i/>
      <w:iCs/>
    </w:rPr>
  </w:style>
  <w:style w:type="paragraph" w:styleId="Revisie">
    <w:name w:val="Revision"/>
    <w:link w:val="RevisieChar"/>
    <w:hidden/>
    <w:uiPriority w:val="99"/>
    <w:semiHidden/>
    <w:rsid w:val="008E6A37"/>
    <w:rPr>
      <w:rFonts w:ascii="Georgia" w:hAnsi="Georgia"/>
      <w:sz w:val="22"/>
      <w:szCs w:val="24"/>
      <w:lang w:eastAsia="de-DE"/>
    </w:rPr>
  </w:style>
  <w:style w:type="paragraph" w:styleId="Inhopg3">
    <w:name w:val="toc 3"/>
    <w:basedOn w:val="Standaard"/>
    <w:next w:val="Standa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ard"/>
    <w:next w:val="Standaard"/>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ard"/>
    <w:next w:val="Standaard"/>
    <w:uiPriority w:val="99"/>
    <w:locked/>
    <w:rsid w:val="00F377CD"/>
    <w:pPr>
      <w:autoSpaceDE w:val="0"/>
      <w:autoSpaceDN w:val="0"/>
      <w:adjustRightInd w:val="0"/>
    </w:pPr>
    <w:rPr>
      <w:rFonts w:ascii="EUAlbertina" w:eastAsia="Calibri" w:hAnsi="EUAlbertina"/>
      <w:sz w:val="24"/>
      <w:lang w:val="fr-FR" w:eastAsia="en-US"/>
    </w:rPr>
  </w:style>
  <w:style w:type="paragraph" w:styleId="Inhopg4">
    <w:name w:val="toc 4"/>
    <w:basedOn w:val="Standaard"/>
    <w:next w:val="Standaard"/>
    <w:autoRedefine/>
    <w:uiPriority w:val="39"/>
    <w:unhideWhenUsed/>
    <w:locked/>
    <w:rsid w:val="00F377CD"/>
    <w:pPr>
      <w:spacing w:after="100" w:line="276" w:lineRule="auto"/>
      <w:ind w:left="660"/>
    </w:pPr>
    <w:rPr>
      <w:rFonts w:ascii="Calibri" w:hAnsi="Calibri"/>
      <w:szCs w:val="22"/>
      <w:lang w:eastAsia="en-GB"/>
    </w:rPr>
  </w:style>
  <w:style w:type="paragraph" w:styleId="Inhopg5">
    <w:name w:val="toc 5"/>
    <w:basedOn w:val="Standaard"/>
    <w:next w:val="Standaard"/>
    <w:autoRedefine/>
    <w:uiPriority w:val="39"/>
    <w:unhideWhenUsed/>
    <w:locked/>
    <w:rsid w:val="00F377CD"/>
    <w:pPr>
      <w:spacing w:after="100" w:line="276" w:lineRule="auto"/>
      <w:ind w:left="880"/>
    </w:pPr>
    <w:rPr>
      <w:rFonts w:ascii="Calibri" w:hAnsi="Calibri"/>
      <w:szCs w:val="22"/>
      <w:lang w:eastAsia="en-GB"/>
    </w:rPr>
  </w:style>
  <w:style w:type="paragraph" w:styleId="Inhopg6">
    <w:name w:val="toc 6"/>
    <w:basedOn w:val="Standaard"/>
    <w:next w:val="Standaard"/>
    <w:autoRedefine/>
    <w:uiPriority w:val="39"/>
    <w:unhideWhenUsed/>
    <w:locked/>
    <w:rsid w:val="00F377CD"/>
    <w:pPr>
      <w:spacing w:after="100" w:line="276" w:lineRule="auto"/>
      <w:ind w:left="1100"/>
    </w:pPr>
    <w:rPr>
      <w:rFonts w:ascii="Calibri" w:hAnsi="Calibri"/>
      <w:szCs w:val="22"/>
      <w:lang w:eastAsia="en-GB"/>
    </w:rPr>
  </w:style>
  <w:style w:type="paragraph" w:styleId="Inhopg7">
    <w:name w:val="toc 7"/>
    <w:basedOn w:val="Standaard"/>
    <w:next w:val="Standaard"/>
    <w:autoRedefine/>
    <w:uiPriority w:val="39"/>
    <w:unhideWhenUsed/>
    <w:locked/>
    <w:rsid w:val="00F377CD"/>
    <w:pPr>
      <w:spacing w:after="100" w:line="276" w:lineRule="auto"/>
      <w:ind w:left="1320"/>
    </w:pPr>
    <w:rPr>
      <w:rFonts w:ascii="Calibri" w:hAnsi="Calibri"/>
      <w:szCs w:val="22"/>
      <w:lang w:eastAsia="en-GB"/>
    </w:rPr>
  </w:style>
  <w:style w:type="paragraph" w:styleId="Inhopg8">
    <w:name w:val="toc 8"/>
    <w:basedOn w:val="Standaard"/>
    <w:next w:val="Standaard"/>
    <w:autoRedefine/>
    <w:uiPriority w:val="39"/>
    <w:unhideWhenUsed/>
    <w:locked/>
    <w:rsid w:val="00F377CD"/>
    <w:pPr>
      <w:spacing w:after="100" w:line="276" w:lineRule="auto"/>
      <w:ind w:left="1540"/>
    </w:pPr>
    <w:rPr>
      <w:rFonts w:ascii="Calibri" w:hAnsi="Calibri"/>
      <w:szCs w:val="22"/>
      <w:lang w:eastAsia="en-GB"/>
    </w:rPr>
  </w:style>
  <w:style w:type="paragraph" w:styleId="Inhopg9">
    <w:name w:val="toc 9"/>
    <w:basedOn w:val="Standaard"/>
    <w:next w:val="Standaard"/>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ijschrift">
    <w:name w:val="caption"/>
    <w:basedOn w:val="Standaard"/>
    <w:next w:val="Standa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alweb">
    <w:name w:val="Normal (Web)"/>
    <w:basedOn w:val="Standa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structuur">
    <w:name w:val="Document Map"/>
    <w:basedOn w:val="Standaard"/>
    <w:link w:val="DocumentstructuurChar"/>
    <w:locked/>
    <w:rsid w:val="00AA016B"/>
    <w:rPr>
      <w:rFonts w:ascii="Tahoma" w:hAnsi="Tahoma" w:cs="Tahoma"/>
      <w:sz w:val="16"/>
      <w:szCs w:val="16"/>
    </w:rPr>
  </w:style>
  <w:style w:type="character" w:customStyle="1" w:styleId="DocumentstructuurChar">
    <w:name w:val="Documentstructuur Char"/>
    <w:link w:val="Documentstructuur"/>
    <w:rsid w:val="00AA016B"/>
    <w:rPr>
      <w:rFonts w:ascii="Tahoma" w:hAnsi="Tahoma" w:cs="Tahoma"/>
      <w:sz w:val="16"/>
      <w:szCs w:val="16"/>
      <w:lang w:eastAsia="de-DE"/>
    </w:rPr>
  </w:style>
  <w:style w:type="paragraph" w:styleId="Tekstzonderopmaak">
    <w:name w:val="Plain Text"/>
    <w:basedOn w:val="Standaard"/>
    <w:link w:val="TekstzonderopmaakChar"/>
    <w:unhideWhenUsed/>
    <w:locked/>
    <w:rsid w:val="00AA016B"/>
    <w:rPr>
      <w:rFonts w:ascii="Consolas" w:hAnsi="Consolas"/>
      <w:sz w:val="21"/>
      <w:szCs w:val="21"/>
      <w:lang w:val="de-DE"/>
    </w:rPr>
  </w:style>
  <w:style w:type="character" w:customStyle="1" w:styleId="TekstzonderopmaakChar">
    <w:name w:val="Tekst zonder opmaak Char"/>
    <w:link w:val="Tekstzonderopmaak"/>
    <w:rsid w:val="00AA016B"/>
    <w:rPr>
      <w:rFonts w:ascii="Consolas" w:hAnsi="Consolas"/>
      <w:sz w:val="21"/>
      <w:szCs w:val="21"/>
      <w:lang w:val="de-DE" w:eastAsia="de-DE"/>
    </w:rPr>
  </w:style>
  <w:style w:type="paragraph" w:styleId="Plattetekst">
    <w:name w:val="Body Text"/>
    <w:basedOn w:val="Standaard"/>
    <w:link w:val="PlattetekstChar"/>
    <w:unhideWhenUsed/>
    <w:locked/>
    <w:rsid w:val="00AA016B"/>
    <w:pPr>
      <w:numPr>
        <w:numId w:val="8"/>
      </w:numPr>
      <w:spacing w:after="240"/>
      <w:jc w:val="both"/>
    </w:pPr>
    <w:rPr>
      <w:rFonts w:ascii="Times New Roman" w:hAnsi="Times New Roman"/>
      <w:sz w:val="24"/>
      <w:szCs w:val="20"/>
      <w:lang w:eastAsia="en-GB"/>
    </w:rPr>
  </w:style>
  <w:style w:type="character" w:customStyle="1" w:styleId="PlattetekstChar">
    <w:name w:val="Platte tekst Char"/>
    <w:link w:val="Plattetekst"/>
    <w:rsid w:val="00AA016B"/>
    <w:rPr>
      <w:sz w:val="24"/>
    </w:rPr>
  </w:style>
  <w:style w:type="paragraph" w:customStyle="1" w:styleId="ListParagraph1">
    <w:name w:val="List Paragraph1"/>
    <w:basedOn w:val="Standaard"/>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Zwaar">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Kop2Char">
    <w:name w:val="Kop 2 Char"/>
    <w:link w:val="Kop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Kop9Char">
    <w:name w:val="Kop 9 Char"/>
    <w:link w:val="Kop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Kop7Char">
    <w:name w:val="Kop 7 Char"/>
    <w:link w:val="Kop7"/>
    <w:rsid w:val="002D6E1A"/>
    <w:rPr>
      <w:sz w:val="22"/>
      <w:szCs w:val="24"/>
      <w:lang w:eastAsia="de-DE"/>
    </w:rPr>
  </w:style>
  <w:style w:type="character" w:customStyle="1" w:styleId="Kop6Char">
    <w:name w:val="Kop 6 Char"/>
    <w:link w:val="Kop6"/>
    <w:rsid w:val="002D6E1A"/>
    <w:rPr>
      <w:b/>
      <w:bCs/>
      <w:szCs w:val="22"/>
      <w:lang w:eastAsia="de-DE"/>
    </w:rPr>
  </w:style>
  <w:style w:type="character" w:customStyle="1" w:styleId="Kop8Char">
    <w:name w:val="Kop 8 Char"/>
    <w:link w:val="Kop8"/>
    <w:rsid w:val="002D6E1A"/>
    <w:rPr>
      <w:i/>
      <w:iCs/>
      <w:szCs w:val="24"/>
      <w:lang w:eastAsia="de-DE"/>
    </w:rPr>
  </w:style>
  <w:style w:type="numbering" w:customStyle="1" w:styleId="NoList1">
    <w:name w:val="No List1"/>
    <w:next w:val="Geenlijst"/>
    <w:uiPriority w:val="99"/>
    <w:semiHidden/>
    <w:unhideWhenUsed/>
    <w:locked/>
    <w:rsid w:val="002D6E1A"/>
  </w:style>
  <w:style w:type="character" w:styleId="GevolgdeHyperlink">
    <w:name w:val="FollowedHyperlink"/>
    <w:unhideWhenUsed/>
    <w:locked/>
    <w:rsid w:val="002D6E1A"/>
    <w:rPr>
      <w:color w:val="800080"/>
      <w:u w:val="single"/>
    </w:rPr>
  </w:style>
  <w:style w:type="character" w:customStyle="1" w:styleId="KoptekstChar">
    <w:name w:val="Koptekst Char"/>
    <w:link w:val="Koptekst"/>
    <w:rsid w:val="002D6E1A"/>
    <w:rPr>
      <w:rFonts w:ascii="Georgia" w:hAnsi="Georgia"/>
      <w:sz w:val="22"/>
      <w:szCs w:val="24"/>
      <w:lang w:eastAsia="de-DE"/>
    </w:rPr>
  </w:style>
  <w:style w:type="character" w:customStyle="1" w:styleId="VoettekstChar">
    <w:name w:val="Voettekst Char"/>
    <w:link w:val="Voettekst"/>
    <w:uiPriority w:val="99"/>
    <w:rsid w:val="002D6E1A"/>
    <w:rPr>
      <w:rFonts w:ascii="Georgia" w:hAnsi="Georgia"/>
      <w:sz w:val="22"/>
      <w:szCs w:val="24"/>
      <w:lang w:eastAsia="de-DE"/>
    </w:rPr>
  </w:style>
  <w:style w:type="paragraph" w:styleId="Eindnoottekst">
    <w:name w:val="endnote text"/>
    <w:basedOn w:val="Standaard"/>
    <w:link w:val="EindnoottekstChar"/>
    <w:unhideWhenUsed/>
    <w:locked/>
    <w:rsid w:val="002D6E1A"/>
    <w:rPr>
      <w:szCs w:val="20"/>
    </w:rPr>
  </w:style>
  <w:style w:type="character" w:customStyle="1" w:styleId="EindnoottekstChar">
    <w:name w:val="Eindnoottekst Char"/>
    <w:link w:val="Eindnoottekst"/>
    <w:rsid w:val="002D6E1A"/>
    <w:rPr>
      <w:rFonts w:ascii="Georgia" w:hAnsi="Georgia"/>
      <w:lang w:eastAsia="de-DE"/>
    </w:rPr>
  </w:style>
  <w:style w:type="paragraph" w:styleId="Lijstnummering">
    <w:name w:val="List Number"/>
    <w:basedOn w:val="Standaard"/>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jstalineaChar">
    <w:name w:val="Lijstalinea Char"/>
    <w:aliases w:val="Paragraphe EI Char,Paragraphe de liste1 Char,EC Char,Paragraphe de liste Char"/>
    <w:link w:val="Lijstalinea"/>
    <w:uiPriority w:val="34"/>
    <w:locked/>
    <w:rsid w:val="002D6E1A"/>
    <w:rPr>
      <w:rFonts w:ascii="Georgia" w:hAnsi="Georgia"/>
      <w:sz w:val="22"/>
      <w:szCs w:val="24"/>
      <w:lang w:eastAsia="de-DE"/>
    </w:rPr>
  </w:style>
  <w:style w:type="paragraph" w:customStyle="1" w:styleId="04anumbering0">
    <w:name w:val="04anumbering"/>
    <w:basedOn w:val="Standaard"/>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ard"/>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jstalinea"/>
    <w:link w:val="DPChar"/>
    <w:qFormat/>
    <w:locked/>
    <w:rsid w:val="002D6E1A"/>
    <w:pPr>
      <w:ind w:left="708"/>
      <w:contextualSpacing w:val="0"/>
      <w:jc w:val="both"/>
    </w:pPr>
    <w:rPr>
      <w:b/>
      <w:szCs w:val="20"/>
      <w:u w:val="single"/>
    </w:rPr>
  </w:style>
  <w:style w:type="paragraph" w:customStyle="1" w:styleId="Bullet">
    <w:name w:val="Bullet"/>
    <w:basedOn w:val="Standaard"/>
    <w:locked/>
    <w:rsid w:val="002D6E1A"/>
    <w:pPr>
      <w:numPr>
        <w:numId w:val="11"/>
      </w:numPr>
      <w:tabs>
        <w:tab w:val="left" w:pos="708"/>
      </w:tabs>
      <w:spacing w:before="120" w:after="120" w:line="276" w:lineRule="auto"/>
      <w:jc w:val="both"/>
    </w:pPr>
    <w:rPr>
      <w:szCs w:val="20"/>
      <w:lang w:eastAsia="en-GB"/>
    </w:rPr>
  </w:style>
  <w:style w:type="character" w:styleId="Eindnootmarkering">
    <w:name w:val="endnote reference"/>
    <w:unhideWhenUsed/>
    <w:locked/>
    <w:rsid w:val="002D6E1A"/>
    <w:rPr>
      <w:vertAlign w:val="superscript"/>
    </w:rPr>
  </w:style>
  <w:style w:type="character" w:styleId="Tekstvantijdelijkeaanduiding">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Standaardtabe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Geenlij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Regelnummer">
    <w:name w:val="line number"/>
    <w:basedOn w:val="Standaardalinea-lettertype"/>
    <w:uiPriority w:val="99"/>
    <w:unhideWhenUsed/>
    <w:locked/>
    <w:rsid w:val="00952F2C"/>
  </w:style>
  <w:style w:type="paragraph" w:customStyle="1" w:styleId="aStyle">
    <w:name w:val="a) Style"/>
    <w:basedOn w:val="Standaard"/>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jschrift"/>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Kop5Char">
    <w:name w:val="Kop 5 Char"/>
    <w:aliases w:val="Questions Char7"/>
    <w:link w:val="Kop5"/>
    <w:uiPriority w:val="9"/>
    <w:rsid w:val="00E9344E"/>
    <w:rPr>
      <w:rFonts w:ascii="Arial" w:hAnsi="Arial"/>
      <w:b/>
      <w:szCs w:val="24"/>
      <w:lang w:eastAsia="de-DE"/>
    </w:rPr>
  </w:style>
  <w:style w:type="character" w:customStyle="1" w:styleId="Kop3Char">
    <w:name w:val="Kop 3 Char"/>
    <w:link w:val="Kop3"/>
    <w:rsid w:val="003865E5"/>
    <w:rPr>
      <w:rFonts w:ascii="Cambria" w:eastAsia="Times New Roman" w:hAnsi="Cambria" w:cs="Times New Roman"/>
      <w:b/>
      <w:bCs/>
      <w:color w:val="4F81BD"/>
      <w:sz w:val="22"/>
      <w:szCs w:val="24"/>
      <w:lang w:eastAsia="de-DE"/>
    </w:rPr>
  </w:style>
  <w:style w:type="character" w:customStyle="1" w:styleId="Kop4Char">
    <w:name w:val="Kop 4 Char"/>
    <w:link w:val="Kop4"/>
    <w:rsid w:val="00CB7286"/>
    <w:rPr>
      <w:b/>
      <w:bCs/>
      <w:sz w:val="28"/>
      <w:szCs w:val="28"/>
      <w:lang w:eastAsia="de-DE"/>
    </w:rPr>
  </w:style>
  <w:style w:type="table" w:styleId="Lichtelijst-accent3">
    <w:name w:val="Light List Accent 3"/>
    <w:basedOn w:val="Standaardtabe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ardtabe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ard"/>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ard"/>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Kop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Kop1"/>
    <w:next w:val="Standaard"/>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ard"/>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ard"/>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ard"/>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ard"/>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ard"/>
    <w:next w:val="Standaard"/>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ard"/>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ard"/>
    <w:rsid w:val="000D2D0B"/>
    <w:rPr>
      <w:szCs w:val="20"/>
    </w:rPr>
  </w:style>
  <w:style w:type="paragraph" w:customStyle="1" w:styleId="Sbuchead">
    <w:name w:val="Sbuchead"/>
    <w:basedOn w:val="Standaard"/>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ard"/>
    <w:next w:val="Fait"/>
    <w:locked/>
    <w:rsid w:val="000D2D0B"/>
    <w:pPr>
      <w:spacing w:before="480" w:after="120"/>
      <w:jc w:val="both"/>
    </w:pPr>
    <w:rPr>
      <w:rFonts w:ascii="Times New Roman" w:hAnsi="Times New Roman"/>
      <w:sz w:val="24"/>
      <w:lang w:eastAsia="en-US"/>
    </w:rPr>
  </w:style>
  <w:style w:type="paragraph" w:customStyle="1" w:styleId="Fait">
    <w:name w:val="Fait à"/>
    <w:basedOn w:val="Standaard"/>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ard"/>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ard"/>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Standaard"/>
    <w:next w:val="Standa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ard"/>
    <w:next w:val="Standaard"/>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ard"/>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Standaard"/>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ard"/>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ard"/>
    <w:locked/>
    <w:rsid w:val="000D2D0B"/>
    <w:pPr>
      <w:spacing w:before="120" w:after="120"/>
      <w:ind w:left="850"/>
      <w:jc w:val="both"/>
    </w:pPr>
    <w:rPr>
      <w:rFonts w:ascii="Times New Roman" w:hAnsi="Times New Roman"/>
      <w:sz w:val="24"/>
      <w:lang w:eastAsia="en-US"/>
    </w:rPr>
  </w:style>
  <w:style w:type="paragraph" w:customStyle="1" w:styleId="Text2">
    <w:name w:val="Text 2"/>
    <w:basedOn w:val="Standaard"/>
    <w:locked/>
    <w:rsid w:val="000D2D0B"/>
    <w:pPr>
      <w:spacing w:before="120" w:after="120"/>
      <w:ind w:left="1417"/>
      <w:jc w:val="both"/>
    </w:pPr>
    <w:rPr>
      <w:rFonts w:ascii="Times New Roman" w:hAnsi="Times New Roman"/>
      <w:sz w:val="24"/>
      <w:lang w:eastAsia="en-US"/>
    </w:rPr>
  </w:style>
  <w:style w:type="paragraph" w:customStyle="1" w:styleId="Text3">
    <w:name w:val="Text 3"/>
    <w:basedOn w:val="Standaard"/>
    <w:locked/>
    <w:rsid w:val="000D2D0B"/>
    <w:pPr>
      <w:spacing w:before="120" w:after="120"/>
      <w:ind w:left="1984"/>
      <w:jc w:val="both"/>
    </w:pPr>
    <w:rPr>
      <w:rFonts w:ascii="Times New Roman" w:hAnsi="Times New Roman"/>
      <w:sz w:val="24"/>
      <w:lang w:eastAsia="en-US"/>
    </w:rPr>
  </w:style>
  <w:style w:type="paragraph" w:customStyle="1" w:styleId="Text4">
    <w:name w:val="Text 4"/>
    <w:basedOn w:val="Standaard"/>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ard"/>
    <w:rsid w:val="000D2D0B"/>
    <w:pPr>
      <w:spacing w:before="120" w:after="120"/>
      <w:jc w:val="center"/>
    </w:pPr>
    <w:rPr>
      <w:rFonts w:ascii="Times New Roman" w:hAnsi="Times New Roman"/>
      <w:sz w:val="24"/>
      <w:lang w:eastAsia="en-US"/>
    </w:rPr>
  </w:style>
  <w:style w:type="paragraph" w:customStyle="1" w:styleId="NormalLeft">
    <w:name w:val="Normal Left"/>
    <w:basedOn w:val="Standaard"/>
    <w:rsid w:val="000D2D0B"/>
    <w:pPr>
      <w:spacing w:before="120" w:after="120"/>
    </w:pPr>
    <w:rPr>
      <w:rFonts w:ascii="Times New Roman" w:hAnsi="Times New Roman"/>
      <w:sz w:val="24"/>
      <w:lang w:eastAsia="en-US"/>
    </w:rPr>
  </w:style>
  <w:style w:type="paragraph" w:customStyle="1" w:styleId="NormalRight">
    <w:name w:val="Normal Right"/>
    <w:basedOn w:val="Standaard"/>
    <w:rsid w:val="000D2D0B"/>
    <w:pPr>
      <w:spacing w:before="120" w:after="120"/>
      <w:jc w:val="right"/>
    </w:pPr>
    <w:rPr>
      <w:rFonts w:ascii="Times New Roman" w:hAnsi="Times New Roman"/>
      <w:sz w:val="24"/>
      <w:lang w:eastAsia="en-US"/>
    </w:rPr>
  </w:style>
  <w:style w:type="paragraph" w:customStyle="1" w:styleId="QuotedText">
    <w:name w:val="Quoted Text"/>
    <w:basedOn w:val="Standaard"/>
    <w:locked/>
    <w:rsid w:val="000D2D0B"/>
    <w:pPr>
      <w:spacing w:before="120" w:after="120"/>
      <w:ind w:left="1417"/>
      <w:jc w:val="both"/>
    </w:pPr>
    <w:rPr>
      <w:rFonts w:ascii="Times New Roman" w:hAnsi="Times New Roman"/>
      <w:sz w:val="24"/>
      <w:lang w:eastAsia="en-US"/>
    </w:rPr>
  </w:style>
  <w:style w:type="paragraph" w:customStyle="1" w:styleId="Point0">
    <w:name w:val="Point 0"/>
    <w:basedOn w:val="Standaard"/>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ard"/>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ard"/>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ard"/>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ard"/>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ard"/>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ard"/>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ard"/>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ard"/>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ard"/>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ard"/>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ard"/>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ard"/>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ard"/>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ard"/>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ard"/>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ard"/>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ard"/>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ard"/>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ard"/>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ard"/>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ard"/>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ard"/>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ard"/>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ard"/>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ard"/>
    <w:next w:val="Standaard"/>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ard"/>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ard"/>
    <w:next w:val="Kop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ard"/>
    <w:next w:val="Standaard"/>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ard"/>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ard"/>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ard"/>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ard"/>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ard"/>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ard"/>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ard"/>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ard"/>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ard"/>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ard"/>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ard"/>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ard"/>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ard"/>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ard"/>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ard"/>
    <w:next w:val="Standaard"/>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ard"/>
    <w:next w:val="Standaard"/>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ard"/>
    <w:next w:val="Standaard"/>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ard"/>
    <w:next w:val="Standaard"/>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ard"/>
    <w:next w:val="Standaard"/>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ard"/>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ard"/>
    <w:next w:val="Standaard"/>
    <w:locked/>
    <w:rsid w:val="000D2D0B"/>
    <w:pPr>
      <w:spacing w:after="240"/>
    </w:pPr>
    <w:rPr>
      <w:rFonts w:ascii="Times New Roman" w:hAnsi="Times New Roman"/>
      <w:sz w:val="24"/>
      <w:lang w:eastAsia="en-US"/>
    </w:rPr>
  </w:style>
  <w:style w:type="paragraph" w:customStyle="1" w:styleId="Datedadoption">
    <w:name w:val="Date d'adoption"/>
    <w:basedOn w:val="Standaard"/>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Standaard"/>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Standaard"/>
    <w:next w:val="Standaard"/>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ard"/>
    <w:next w:val="Standaard"/>
    <w:locked/>
    <w:rsid w:val="000D2D0B"/>
    <w:pPr>
      <w:keepNext/>
      <w:spacing w:before="600" w:after="120"/>
      <w:jc w:val="both"/>
    </w:pPr>
    <w:rPr>
      <w:rFonts w:ascii="Times New Roman" w:hAnsi="Times New Roman"/>
      <w:sz w:val="24"/>
      <w:lang w:eastAsia="en-US"/>
    </w:rPr>
  </w:style>
  <w:style w:type="paragraph" w:customStyle="1" w:styleId="Langue">
    <w:name w:val="Langue"/>
    <w:basedOn w:val="Standaard"/>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ard"/>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ard"/>
    <w:next w:val="Emission"/>
    <w:locked/>
    <w:rsid w:val="000D2D0B"/>
    <w:rPr>
      <w:rFonts w:cs="Arial"/>
      <w:sz w:val="24"/>
      <w:lang w:eastAsia="en-US"/>
    </w:rPr>
  </w:style>
  <w:style w:type="paragraph" w:customStyle="1" w:styleId="Rfrenceinstitutionnelle">
    <w:name w:val="Référence institutionnelle"/>
    <w:basedOn w:val="Standaard"/>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ard"/>
    <w:next w:val="Statut"/>
    <w:locked/>
    <w:rsid w:val="000D2D0B"/>
    <w:pPr>
      <w:ind w:left="5103"/>
    </w:pPr>
    <w:rPr>
      <w:rFonts w:ascii="Times New Roman" w:hAnsi="Times New Roman"/>
      <w:sz w:val="24"/>
      <w:lang w:eastAsia="en-US"/>
    </w:rPr>
  </w:style>
  <w:style w:type="paragraph" w:customStyle="1" w:styleId="Rfrenceinterne">
    <w:name w:val="Référence interne"/>
    <w:basedOn w:val="Standaard"/>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Standaard"/>
    <w:locked/>
    <w:rsid w:val="000D2D0B"/>
    <w:pPr>
      <w:jc w:val="center"/>
    </w:pPr>
    <w:rPr>
      <w:rFonts w:ascii="Times New Roman" w:hAnsi="Times New Roman"/>
      <w:b/>
      <w:sz w:val="24"/>
      <w:lang w:eastAsia="en-US"/>
    </w:rPr>
  </w:style>
  <w:style w:type="paragraph" w:customStyle="1" w:styleId="Statut">
    <w:name w:val="Statut"/>
    <w:basedOn w:val="Standaard"/>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ard"/>
    <w:next w:val="Standaard"/>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ard"/>
    <w:next w:val="Standaard"/>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ard"/>
    <w:next w:val="Standaard"/>
    <w:locked/>
    <w:rsid w:val="000D2D0B"/>
    <w:pPr>
      <w:spacing w:before="120" w:after="120"/>
      <w:jc w:val="both"/>
    </w:pPr>
    <w:rPr>
      <w:rFonts w:ascii="Times New Roman" w:hAnsi="Times New Roman"/>
      <w:sz w:val="24"/>
      <w:lang w:eastAsia="en-US"/>
    </w:rPr>
  </w:style>
  <w:style w:type="paragraph" w:customStyle="1" w:styleId="Supertitre">
    <w:name w:val="Supertitre"/>
    <w:basedOn w:val="Standaard"/>
    <w:next w:val="Standaard"/>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Standaard"/>
    <w:next w:val="Standaard"/>
    <w:locked/>
    <w:rsid w:val="000D2D0B"/>
    <w:pPr>
      <w:spacing w:before="360"/>
      <w:jc w:val="center"/>
    </w:pPr>
    <w:rPr>
      <w:rFonts w:ascii="Times New Roman" w:hAnsi="Times New Roman"/>
      <w:sz w:val="24"/>
      <w:lang w:eastAsia="en-US"/>
    </w:rPr>
  </w:style>
  <w:style w:type="paragraph" w:customStyle="1" w:styleId="Rfrencecroise">
    <w:name w:val="Référence croisée"/>
    <w:basedOn w:val="Standaard"/>
    <w:locked/>
    <w:rsid w:val="000D2D0B"/>
    <w:pPr>
      <w:jc w:val="center"/>
    </w:pPr>
    <w:rPr>
      <w:rFonts w:ascii="Times New Roman" w:hAnsi="Times New Roman"/>
      <w:sz w:val="24"/>
      <w:lang w:eastAsia="en-US"/>
    </w:rPr>
  </w:style>
  <w:style w:type="paragraph" w:customStyle="1" w:styleId="Fichefinanciretitre">
    <w:name w:val="Fiche financière titre"/>
    <w:basedOn w:val="Standaard"/>
    <w:next w:val="Standaard"/>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ard"/>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ard"/>
    <w:locked/>
    <w:rsid w:val="000D2D0B"/>
    <w:pPr>
      <w:spacing w:after="240"/>
    </w:pPr>
  </w:style>
  <w:style w:type="paragraph" w:customStyle="1" w:styleId="Accompagnant">
    <w:name w:val="Accompagnant"/>
    <w:basedOn w:val="Standaard"/>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ard"/>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ard"/>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ard"/>
    <w:next w:val="Standaard"/>
    <w:locked/>
    <w:rsid w:val="000D2D0B"/>
    <w:pPr>
      <w:spacing w:before="360"/>
      <w:jc w:val="center"/>
    </w:pPr>
    <w:rPr>
      <w:rFonts w:ascii="Times New Roman" w:hAnsi="Times New Roman"/>
      <w:sz w:val="24"/>
      <w:lang w:eastAsia="en-US"/>
    </w:rPr>
  </w:style>
  <w:style w:type="paragraph" w:styleId="Lijstnummering2">
    <w:name w:val="List Number 2"/>
    <w:basedOn w:val="Standaard"/>
    <w:locked/>
    <w:rsid w:val="000D2D0B"/>
    <w:pPr>
      <w:tabs>
        <w:tab w:val="num" w:pos="643"/>
      </w:tabs>
      <w:spacing w:before="120" w:after="120"/>
      <w:ind w:left="643" w:hanging="360"/>
      <w:jc w:val="both"/>
    </w:pPr>
    <w:rPr>
      <w:rFonts w:ascii="Times New Roman" w:hAnsi="Times New Roman"/>
      <w:sz w:val="24"/>
      <w:lang w:eastAsia="en-US"/>
    </w:rPr>
  </w:style>
  <w:style w:type="paragraph" w:styleId="Lijstnummering3">
    <w:name w:val="List Number 3"/>
    <w:basedOn w:val="Standaard"/>
    <w:locked/>
    <w:rsid w:val="000D2D0B"/>
    <w:pPr>
      <w:tabs>
        <w:tab w:val="num" w:pos="926"/>
      </w:tabs>
      <w:spacing w:before="120" w:after="120"/>
      <w:ind w:left="926" w:hanging="360"/>
      <w:jc w:val="both"/>
    </w:pPr>
    <w:rPr>
      <w:rFonts w:ascii="Times New Roman" w:hAnsi="Times New Roman"/>
      <w:sz w:val="24"/>
      <w:lang w:eastAsia="en-US"/>
    </w:rPr>
  </w:style>
  <w:style w:type="paragraph" w:styleId="Lijstnummering4">
    <w:name w:val="List Number 4"/>
    <w:basedOn w:val="Standaard"/>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jstopsomteken">
    <w:name w:val="List Bullet"/>
    <w:basedOn w:val="Standaard"/>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jstopsomteken2">
    <w:name w:val="List Bullet 2"/>
    <w:basedOn w:val="Standaard"/>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jstopsomteken3">
    <w:name w:val="List Bullet 3"/>
    <w:basedOn w:val="Standaard"/>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jstopsomteken4">
    <w:name w:val="List Bullet 4"/>
    <w:basedOn w:val="Standaard"/>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Lijstmetafbeeldingen">
    <w:name w:val="table of figures"/>
    <w:basedOn w:val="Standaard"/>
    <w:next w:val="Standaard"/>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ard"/>
    <w:locked/>
    <w:rsid w:val="000D2D0B"/>
    <w:pPr>
      <w:ind w:left="720"/>
      <w:contextualSpacing/>
    </w:pPr>
    <w:rPr>
      <w:rFonts w:ascii="Cambria" w:hAnsi="Cambria"/>
      <w:sz w:val="24"/>
      <w:lang w:val="en-US" w:eastAsia="en-US"/>
    </w:rPr>
  </w:style>
  <w:style w:type="paragraph" w:customStyle="1" w:styleId="Listeavsnitt1">
    <w:name w:val="Listeavsnitt1"/>
    <w:basedOn w:val="Standaard"/>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ard"/>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ard"/>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Standaard"/>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Kop1"/>
    <w:next w:val="Standaard"/>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ard"/>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ard"/>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ard"/>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ard"/>
    <w:next w:val="Standaard"/>
    <w:link w:val="Titel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Char">
    <w:name w:val="Titel Char"/>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ard"/>
    <w:locked/>
    <w:rsid w:val="000D2D0B"/>
    <w:pPr>
      <w:spacing w:before="320" w:line="260" w:lineRule="exact"/>
      <w:jc w:val="both"/>
    </w:pPr>
    <w:rPr>
      <w:rFonts w:ascii="Myriad Pro Light" w:hAnsi="Myriad Pro Light"/>
      <w:b/>
      <w:sz w:val="21"/>
      <w:szCs w:val="20"/>
      <w:lang w:val="es-ES" w:eastAsia="es-ES"/>
    </w:rPr>
  </w:style>
  <w:style w:type="character" w:customStyle="1" w:styleId="RevisieChar">
    <w:name w:val="Revisie Char"/>
    <w:link w:val="Revisie"/>
    <w:uiPriority w:val="99"/>
    <w:semiHidden/>
    <w:locked/>
    <w:rsid w:val="000D2D0B"/>
    <w:rPr>
      <w:rFonts w:ascii="Georgia" w:hAnsi="Georgia"/>
      <w:sz w:val="22"/>
      <w:szCs w:val="24"/>
      <w:lang w:eastAsia="de-DE"/>
    </w:rPr>
  </w:style>
  <w:style w:type="table" w:customStyle="1" w:styleId="TableGrid2">
    <w:name w:val="Table Grid2"/>
    <w:basedOn w:val="Standaardtabel"/>
    <w:next w:val="Tabel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aliases w:val="Question"/>
    <w:uiPriority w:val="19"/>
    <w:qFormat/>
    <w:locked/>
    <w:rsid w:val="003A6E9A"/>
    <w:rPr>
      <w:b/>
      <w:i w:val="0"/>
      <w:iCs/>
      <w:sz w:val="20"/>
    </w:rPr>
  </w:style>
  <w:style w:type="paragraph" w:customStyle="1" w:styleId="NEW-Paragraph-Level1">
    <w:name w:val="NEW-Paragraph-Level1"/>
    <w:basedOn w:val="Standaard"/>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ard"/>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ard"/>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ard"/>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ard"/>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ard"/>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ard"/>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ard"/>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ard"/>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ard"/>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ard"/>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ard"/>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ardalinea-lettertype"/>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evebenadrukking">
    <w:name w:val="Intense Emphasis"/>
    <w:basedOn w:val="Standaardalinea-lettertype"/>
    <w:uiPriority w:val="21"/>
    <w:qFormat/>
    <w:locked/>
    <w:rsid w:val="00D34282"/>
    <w:rPr>
      <w:b/>
      <w:bCs/>
      <w:i/>
      <w:iCs/>
    </w:rPr>
  </w:style>
  <w:style w:type="character" w:customStyle="1" w:styleId="CPTitle1Char">
    <w:name w:val="CP_Title1 Char"/>
    <w:basedOn w:val="Standaardalinea-lettertype"/>
    <w:link w:val="CPTitle1"/>
    <w:locked/>
    <w:rsid w:val="00D34282"/>
    <w:rPr>
      <w:rFonts w:asciiTheme="majorHAnsi" w:eastAsiaTheme="majorEastAsia" w:hAnsiTheme="majorHAnsi" w:cstheme="majorHAnsi"/>
      <w:b/>
      <w:sz w:val="32"/>
      <w:szCs w:val="32"/>
    </w:rPr>
  </w:style>
  <w:style w:type="paragraph" w:customStyle="1" w:styleId="CPTitle1">
    <w:name w:val="CP_Title1"/>
    <w:basedOn w:val="Kop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Kop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ard"/>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ard"/>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ard"/>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ard"/>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ard"/>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ard"/>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styleId="Onopgelostemelding">
    <w:name w:val="Unresolved Mention"/>
    <w:basedOn w:val="Standaardalinea-lettertype"/>
    <w:uiPriority w:val="99"/>
    <w:semiHidden/>
    <w:unhideWhenUsed/>
    <w:rsid w:val="002B5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euronext.com/en/for-investors/fund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2016</Year>
    <TaxCatchAll xmlns="20fbe147-bbda-4e53-b6b1-7e8bbff3fe19">
      <Value>503</Value>
      <Value>1</Value>
      <Value>2</Value>
      <Value>484</Value>
      <Value>504</Value>
    </TaxCatchAll>
    <_dlc_DocId xmlns="20fbe147-bbda-4e53-b6b1-7e8bbff3fe19">ESMA70-156-1394</_dlc_DocId>
    <_dlc_DocIdUrl xmlns="20fbe147-bbda-4e53-b6b1-7e8bbff3fe19">
      <Url>https://sherpa.esma.europa.eu/sites/MKT/SMK/_layouts/15/DocIdRedir.aspx?ID=ESMA70-156-1394</Url>
      <Description>ESMA70-156-1394</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Abuse</TermName>
          <TermId xmlns="http://schemas.microsoft.com/office/infopath/2007/PartnerControls">c480dd12-5209-4ca4-80a5-d0e37753c09e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Abuse - MAR Review</TermName>
          <TermId xmlns="http://schemas.microsoft.com/office/infopath/2007/PartnerControls">786475ed-b1e5-40bb-bf2b-734cb3546e7a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7BADFFE-41E0-49BC-8A9B-46A2984C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191AE0CF-D136-4A56-92D2-80E0532553B3}">
  <ds:schemaRefs>
    <ds:schemaRef ds:uri="http://schemas.openxmlformats.org/officeDocument/2006/bibliography"/>
  </ds:schemaRefs>
</ds:datastoreItem>
</file>

<file path=customXml/itemProps6.xml><?xml version="1.0" encoding="utf-8"?>
<ds:datastoreItem xmlns:ds="http://schemas.openxmlformats.org/officeDocument/2006/customXml" ds:itemID="{B5E81AB3-A22B-41C6-9381-0D6C95EE6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4414</Words>
  <Characters>25755</Characters>
  <Application>Microsoft Office Word</Application>
  <DocSecurity>8</DocSecurity>
  <Lines>214</Lines>
  <Paragraphs>60</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30109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Pelt, Fijtsia van</cp:lastModifiedBy>
  <cp:revision>2</cp:revision>
  <cp:lastPrinted>2015-02-18T11:01:00Z</cp:lastPrinted>
  <dcterms:created xsi:type="dcterms:W3CDTF">2019-11-20T13:56:00Z</dcterms:created>
  <dcterms:modified xsi:type="dcterms:W3CDTF">2019-11-20T13:56:00Z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ies>
</file>