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D1669" w:rsidRPr="00FB0E7D" w14:paraId="2E25F5FE" w14:textId="77777777" w:rsidTr="0A5769A0">
        <w:trPr>
          <w:trHeight w:val="284"/>
        </w:trPr>
        <w:tc>
          <w:tcPr>
            <w:tcW w:w="9412" w:type="dxa"/>
          </w:tcPr>
          <w:p w14:paraId="76688A24" w14:textId="77777777" w:rsidR="00CD1669" w:rsidRPr="00FB0E7D" w:rsidRDefault="00CD1669" w:rsidP="00503347">
            <w:pPr>
              <w:pStyle w:val="Fuzeile"/>
              <w:jc w:val="both"/>
              <w:rPr>
                <w:rFonts w:cs="Arial"/>
                <w:sz w:val="22"/>
                <w:szCs w:val="22"/>
              </w:rPr>
            </w:pPr>
            <w:r w:rsidRPr="00FB0E7D">
              <w:rPr>
                <w:rFonts w:cs="Arial"/>
                <w:color w:val="FFFFFF" w:themeColor="background1"/>
                <w:sz w:val="22"/>
                <w:szCs w:val="22"/>
              </w:rPr>
              <w:ptab w:relativeTo="margin" w:alignment="center" w:leader="none"/>
            </w:r>
            <w:r w:rsidRPr="00FB0E7D">
              <w:rPr>
                <w:rFonts w:cs="Arial"/>
                <w:color w:val="FFFFFF" w:themeColor="background1"/>
                <w:sz w:val="22"/>
                <w:szCs w:val="22"/>
              </w:rPr>
              <w:ptab w:relativeTo="margin" w:alignment="right" w:leader="none"/>
            </w:r>
            <w:r w:rsidRPr="00FB0E7D">
              <w:rPr>
                <w:rFonts w:cs="Arial"/>
                <w:color w:val="FFFFFF" w:themeColor="background1"/>
                <w:sz w:val="22"/>
                <w:szCs w:val="22"/>
              </w:rPr>
              <w:t>3 October 2019</w:t>
            </w:r>
          </w:p>
        </w:tc>
      </w:tr>
    </w:tbl>
    <w:p w14:paraId="672A6659" w14:textId="77777777" w:rsidR="00CD1669" w:rsidRPr="00FB0E7D" w:rsidRDefault="00CD1669" w:rsidP="00503347">
      <w:pPr>
        <w:jc w:val="both"/>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CD1669" w:rsidRPr="00FB0E7D" w14:paraId="3BAC4A14" w14:textId="77777777" w:rsidTr="0A5769A0">
        <w:trPr>
          <w:trHeight w:hRule="exact" w:val="1209"/>
        </w:trPr>
        <w:tc>
          <w:tcPr>
            <w:tcW w:w="9397" w:type="dxa"/>
            <w:vAlign w:val="bottom"/>
          </w:tcPr>
          <w:p w14:paraId="3A32FE9F" w14:textId="77777777" w:rsidR="00CD1669" w:rsidRPr="00FB0E7D" w:rsidRDefault="0A5769A0" w:rsidP="00503347">
            <w:pPr>
              <w:pStyle w:val="01aDBTitle"/>
              <w:jc w:val="both"/>
              <w:rPr>
                <w:rFonts w:cs="Arial"/>
              </w:rPr>
            </w:pPr>
            <w:r w:rsidRPr="00FB0E7D">
              <w:rPr>
                <w:rFonts w:cs="Arial"/>
              </w:rPr>
              <w:t>Reply form for the</w:t>
            </w:r>
            <w:r w:rsidRPr="00FB0E7D">
              <w:t xml:space="preserve"> </w:t>
            </w:r>
            <w:r w:rsidRPr="00FB0E7D">
              <w:rPr>
                <w:rFonts w:cs="Arial"/>
              </w:rPr>
              <w:t>Consultation Paper on MAR review report</w:t>
            </w:r>
          </w:p>
        </w:tc>
      </w:tr>
      <w:tr w:rsidR="00CD1669" w:rsidRPr="00FB0E7D" w14:paraId="29D6B04F" w14:textId="77777777" w:rsidTr="0A5769A0">
        <w:trPr>
          <w:trHeight w:hRule="exact" w:val="605"/>
        </w:trPr>
        <w:tc>
          <w:tcPr>
            <w:tcW w:w="9397" w:type="dxa"/>
            <w:tcMar>
              <w:top w:w="142" w:type="dxa"/>
            </w:tcMar>
          </w:tcPr>
          <w:p w14:paraId="0A6959E7" w14:textId="77777777" w:rsidR="00CD1669" w:rsidRPr="00FB0E7D" w:rsidRDefault="00CD1669" w:rsidP="00503347">
            <w:pPr>
              <w:pStyle w:val="01bDBSubtitle"/>
              <w:jc w:val="both"/>
              <w:rPr>
                <w:rFonts w:ascii="Arial" w:hAnsi="Arial" w:cs="Arial"/>
              </w:rPr>
            </w:pPr>
            <w:r w:rsidRPr="00FB0E7D">
              <w:rPr>
                <w:rFonts w:ascii="Arial" w:hAnsi="Arial" w:cs="Arial"/>
              </w:rPr>
              <w:t xml:space="preserve"> </w:t>
            </w:r>
          </w:p>
        </w:tc>
      </w:tr>
    </w:tbl>
    <w:p w14:paraId="0A37501D" w14:textId="77777777" w:rsidR="00CD1669" w:rsidRPr="00FB0E7D" w:rsidRDefault="00CD1669" w:rsidP="00503347">
      <w:pPr>
        <w:pStyle w:val="05HeadlinenoIndex"/>
        <w:rPr>
          <w:rFonts w:cs="Arial"/>
        </w:rPr>
        <w:sectPr w:rsidR="00CD1669" w:rsidRPr="00FB0E7D" w:rsidSect="001029FE">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CD1669" w:rsidRPr="00FB0E7D" w14:paraId="72E1C1D6" w14:textId="77777777" w:rsidTr="0A5769A0">
        <w:trPr>
          <w:trHeight w:hRule="exact" w:val="964"/>
        </w:trPr>
        <w:tc>
          <w:tcPr>
            <w:tcW w:w="2325" w:type="dxa"/>
          </w:tcPr>
          <w:p w14:paraId="4E601420" w14:textId="77777777" w:rsidR="00CD1669" w:rsidRPr="00FB0E7D" w:rsidRDefault="0A5769A0" w:rsidP="00503347">
            <w:pPr>
              <w:pStyle w:val="02Date"/>
              <w:jc w:val="both"/>
              <w:rPr>
                <w:rFonts w:cs="Arial"/>
              </w:rPr>
            </w:pPr>
            <w:r w:rsidRPr="00FB0E7D">
              <w:rPr>
                <w:rFonts w:cs="Arial"/>
              </w:rPr>
              <w:lastRenderedPageBreak/>
              <w:t>Date: 3 October 2019</w:t>
            </w:r>
          </w:p>
        </w:tc>
      </w:tr>
    </w:tbl>
    <w:p w14:paraId="3C477ABF" w14:textId="77777777" w:rsidR="00CD1669" w:rsidRPr="00FB0E7D" w:rsidRDefault="00CD1669" w:rsidP="00503347">
      <w:pPr>
        <w:pStyle w:val="05HeadlinenoIndex"/>
        <w:rPr>
          <w:rFonts w:cs="Arial"/>
        </w:rPr>
      </w:pPr>
      <w:bookmarkStart w:id="0" w:name="_Toc280628648"/>
      <w:r w:rsidRPr="00FB0E7D">
        <w:rPr>
          <w:rFonts w:cs="Arial"/>
        </w:rPr>
        <w:t xml:space="preserve">Responding to this paper </w:t>
      </w:r>
    </w:p>
    <w:p w14:paraId="5C20CF6E" w14:textId="77777777" w:rsidR="00CD1669" w:rsidRPr="00FB0E7D" w:rsidRDefault="0A5769A0" w:rsidP="00503347">
      <w:pPr>
        <w:pStyle w:val="04BodyText"/>
        <w:spacing w:before="120" w:after="120"/>
        <w:rPr>
          <w:rFonts w:cs="Arial"/>
        </w:rPr>
      </w:pPr>
      <w:r w:rsidRPr="00FB0E7D">
        <w:rPr>
          <w:rFonts w:cs="Arial"/>
        </w:rPr>
        <w:t>The European Securities and Markets Authority (ESMA) invites responses to the specific questions listed in the Consultation Paper on the MAR review report published on the ESMA website.</w:t>
      </w:r>
    </w:p>
    <w:p w14:paraId="5DAB6C7B" w14:textId="77777777" w:rsidR="00CD1669" w:rsidRPr="00FB0E7D" w:rsidRDefault="00CD1669" w:rsidP="00503347">
      <w:pPr>
        <w:autoSpaceDE w:val="0"/>
        <w:autoSpaceDN w:val="0"/>
        <w:adjustRightInd w:val="0"/>
        <w:spacing w:before="120" w:after="120" w:line="276" w:lineRule="auto"/>
        <w:jc w:val="both"/>
        <w:rPr>
          <w:rStyle w:val="Strong4"/>
          <w:rFonts w:cs="Arial"/>
          <w:i/>
        </w:rPr>
      </w:pPr>
    </w:p>
    <w:p w14:paraId="65524BBF" w14:textId="77777777" w:rsidR="00CD1669" w:rsidRPr="00FB0E7D" w:rsidRDefault="0A5769A0" w:rsidP="00503347">
      <w:pPr>
        <w:autoSpaceDE w:val="0"/>
        <w:autoSpaceDN w:val="0"/>
        <w:adjustRightInd w:val="0"/>
        <w:spacing w:before="120" w:after="120" w:line="276" w:lineRule="auto"/>
        <w:jc w:val="both"/>
        <w:rPr>
          <w:rStyle w:val="Strong4"/>
          <w:rFonts w:cs="Arial"/>
          <w:i/>
          <w:iCs/>
        </w:rPr>
      </w:pPr>
      <w:r w:rsidRPr="00FB0E7D">
        <w:rPr>
          <w:rStyle w:val="Strong4"/>
          <w:rFonts w:cs="Arial"/>
          <w:i/>
          <w:iCs/>
        </w:rPr>
        <w:t>Instructions</w:t>
      </w:r>
    </w:p>
    <w:p w14:paraId="547DE85B" w14:textId="77777777" w:rsidR="00CD1669" w:rsidRPr="00FB0E7D" w:rsidRDefault="0A5769A0" w:rsidP="00503347">
      <w:pPr>
        <w:pStyle w:val="04BodyText"/>
        <w:spacing w:before="120" w:after="120"/>
        <w:rPr>
          <w:rFonts w:cs="Arial"/>
        </w:rPr>
      </w:pPr>
      <w:r w:rsidRPr="00FB0E7D">
        <w:rPr>
          <w:rFonts w:cs="Arial"/>
        </w:rPr>
        <w:t>Please note that, in order to facilitate the analysis of the large number of responses expected, you are requested to use this file to send your response to ESMA so as to allow us to process it properly. Therefore, ESMA will only be able to consider responses which follow the instructions described below:</w:t>
      </w:r>
    </w:p>
    <w:p w14:paraId="55DA3B2B" w14:textId="77777777" w:rsidR="00CD1669" w:rsidRPr="00FB0E7D" w:rsidRDefault="0A5769A0" w:rsidP="00503347">
      <w:pPr>
        <w:pStyle w:val="04BodyText"/>
        <w:numPr>
          <w:ilvl w:val="0"/>
          <w:numId w:val="5"/>
        </w:numPr>
        <w:spacing w:before="120" w:after="120"/>
        <w:rPr>
          <w:rFonts w:cs="Arial"/>
        </w:rPr>
      </w:pPr>
      <w:r w:rsidRPr="00FB0E7D">
        <w:rPr>
          <w:rFonts w:cs="Arial"/>
        </w:rPr>
        <w:t>use this form and send your responses in Word format (pdf documents will not be considered except for annexes);</w:t>
      </w:r>
    </w:p>
    <w:p w14:paraId="3DE3D2B6" w14:textId="77777777" w:rsidR="00CD1669" w:rsidRPr="00FB0E7D" w:rsidRDefault="0A5769A0" w:rsidP="00503347">
      <w:pPr>
        <w:pStyle w:val="04BodyText"/>
        <w:numPr>
          <w:ilvl w:val="0"/>
          <w:numId w:val="5"/>
        </w:numPr>
        <w:spacing w:before="120" w:after="120"/>
        <w:rPr>
          <w:rFonts w:cs="Arial"/>
        </w:rPr>
      </w:pPr>
      <w:r w:rsidRPr="00FB0E7D">
        <w:rPr>
          <w:rFonts w:cs="Arial"/>
        </w:rPr>
        <w:t>do not remove the tags of type &lt;ESMA_QUESTION_CP_MAR_1&gt; - i.e. the response to one question has to be framed by the 2 tags corresponding to the question; and</w:t>
      </w:r>
    </w:p>
    <w:p w14:paraId="1E598623" w14:textId="77777777" w:rsidR="00CD1669" w:rsidRPr="00FB0E7D" w:rsidRDefault="0A5769A0" w:rsidP="00503347">
      <w:pPr>
        <w:pStyle w:val="04BodyText"/>
        <w:numPr>
          <w:ilvl w:val="0"/>
          <w:numId w:val="5"/>
        </w:numPr>
        <w:spacing w:before="120" w:after="120"/>
        <w:rPr>
          <w:rFonts w:cs="Arial"/>
        </w:rPr>
      </w:pPr>
      <w:r w:rsidRPr="00FB0E7D">
        <w:rPr>
          <w:rFonts w:cs="Arial"/>
        </w:rPr>
        <w:t>if you do not have a response to a question, do not delete it and leave the text “TYPE YOUR TEXT HERE” between the tags.</w:t>
      </w:r>
    </w:p>
    <w:p w14:paraId="2128B201" w14:textId="77777777" w:rsidR="00CD1669" w:rsidRPr="00FB0E7D" w:rsidRDefault="0A5769A0" w:rsidP="00503347">
      <w:pPr>
        <w:pStyle w:val="04bList"/>
        <w:numPr>
          <w:ilvl w:val="0"/>
          <w:numId w:val="0"/>
        </w:numPr>
        <w:spacing w:before="120" w:after="120"/>
        <w:rPr>
          <w:rFonts w:cs="Arial"/>
        </w:rPr>
      </w:pPr>
      <w:r w:rsidRPr="00FB0E7D">
        <w:rPr>
          <w:rFonts w:cs="Arial"/>
        </w:rPr>
        <w:t>Responses are most helpful:</w:t>
      </w:r>
    </w:p>
    <w:p w14:paraId="70D4B488" w14:textId="77777777" w:rsidR="00CD1669" w:rsidRPr="00FB0E7D" w:rsidRDefault="0A5769A0" w:rsidP="00503347">
      <w:pPr>
        <w:pStyle w:val="04BodyText"/>
        <w:numPr>
          <w:ilvl w:val="0"/>
          <w:numId w:val="6"/>
        </w:numPr>
        <w:spacing w:before="120" w:after="120"/>
        <w:rPr>
          <w:rFonts w:cs="Arial"/>
        </w:rPr>
      </w:pPr>
      <w:r w:rsidRPr="00FB0E7D">
        <w:rPr>
          <w:rFonts w:cs="Arial"/>
        </w:rPr>
        <w:t>if they respond to the question stated;</w:t>
      </w:r>
    </w:p>
    <w:p w14:paraId="2016B573" w14:textId="77777777" w:rsidR="00CD1669" w:rsidRPr="00FB0E7D" w:rsidRDefault="0A5769A0" w:rsidP="00503347">
      <w:pPr>
        <w:pStyle w:val="04BodyText"/>
        <w:numPr>
          <w:ilvl w:val="0"/>
          <w:numId w:val="6"/>
        </w:numPr>
        <w:spacing w:before="120" w:after="120"/>
        <w:rPr>
          <w:rFonts w:cs="Arial"/>
        </w:rPr>
      </w:pPr>
      <w:r w:rsidRPr="00FB0E7D">
        <w:rPr>
          <w:rFonts w:cs="Arial"/>
        </w:rPr>
        <w:t>indicate the specific question to which the comment relates;</w:t>
      </w:r>
    </w:p>
    <w:p w14:paraId="104014B8" w14:textId="77777777" w:rsidR="00CD1669" w:rsidRPr="00FB0E7D" w:rsidRDefault="0A5769A0" w:rsidP="00503347">
      <w:pPr>
        <w:pStyle w:val="04BodyText"/>
        <w:numPr>
          <w:ilvl w:val="0"/>
          <w:numId w:val="6"/>
        </w:numPr>
        <w:spacing w:before="120" w:after="120"/>
        <w:rPr>
          <w:rFonts w:cs="Arial"/>
        </w:rPr>
      </w:pPr>
      <w:r w:rsidRPr="00FB0E7D">
        <w:rPr>
          <w:rFonts w:cs="Arial"/>
        </w:rPr>
        <w:t>contain a clear rationale; and</w:t>
      </w:r>
    </w:p>
    <w:p w14:paraId="6A182279" w14:textId="77777777" w:rsidR="00CD1669" w:rsidRPr="00FB0E7D" w:rsidRDefault="0A5769A0" w:rsidP="00503347">
      <w:pPr>
        <w:pStyle w:val="04BodyText"/>
        <w:numPr>
          <w:ilvl w:val="0"/>
          <w:numId w:val="6"/>
        </w:numPr>
        <w:spacing w:before="120" w:after="120"/>
        <w:rPr>
          <w:rFonts w:cs="Arial"/>
        </w:rPr>
      </w:pPr>
      <w:r w:rsidRPr="00FB0E7D">
        <w:rPr>
          <w:rFonts w:cs="Arial"/>
        </w:rPr>
        <w:t>describe any alternatives ESMA should consider.</w:t>
      </w:r>
    </w:p>
    <w:p w14:paraId="02EB378F" w14:textId="77777777" w:rsidR="00CD1669" w:rsidRPr="00FB0E7D" w:rsidRDefault="00CD1669" w:rsidP="00503347">
      <w:pPr>
        <w:pStyle w:val="04BodyText"/>
        <w:spacing w:before="120" w:after="120"/>
        <w:rPr>
          <w:rFonts w:cs="Arial"/>
          <w:b/>
        </w:rPr>
      </w:pPr>
    </w:p>
    <w:p w14:paraId="3403CEF4" w14:textId="77777777" w:rsidR="00CD1669" w:rsidRPr="00FB0E7D" w:rsidRDefault="0A5769A0" w:rsidP="00503347">
      <w:pPr>
        <w:pStyle w:val="04BodyText"/>
        <w:spacing w:before="120" w:after="120"/>
        <w:rPr>
          <w:rFonts w:cs="Arial"/>
          <w:b/>
          <w:bCs/>
        </w:rPr>
      </w:pPr>
      <w:r w:rsidRPr="00FB0E7D">
        <w:rPr>
          <w:rFonts w:cs="Arial"/>
          <w:b/>
          <w:bCs/>
        </w:rPr>
        <w:t>Naming protocol</w:t>
      </w:r>
    </w:p>
    <w:p w14:paraId="49A12F7A" w14:textId="77777777" w:rsidR="00CD1669" w:rsidRPr="00FB0E7D" w:rsidRDefault="0A5769A0" w:rsidP="00503347">
      <w:pPr>
        <w:pStyle w:val="04BodyText"/>
        <w:spacing w:before="120" w:after="120"/>
        <w:rPr>
          <w:rFonts w:cs="Arial"/>
        </w:rPr>
      </w:pPr>
      <w:r w:rsidRPr="00FB0E7D">
        <w:rPr>
          <w:rFonts w:cs="Arial"/>
        </w:rPr>
        <w:t>In order to facilitate the handling of stakeholders’ responses please save your document using the following format:</w:t>
      </w:r>
    </w:p>
    <w:p w14:paraId="2DBD2639" w14:textId="77777777" w:rsidR="00CD1669" w:rsidRPr="00FB0E7D" w:rsidRDefault="0A5769A0" w:rsidP="00503347">
      <w:pPr>
        <w:pStyle w:val="04BodyText"/>
        <w:spacing w:before="120" w:after="120"/>
        <w:rPr>
          <w:rFonts w:cs="Arial"/>
        </w:rPr>
      </w:pPr>
      <w:r w:rsidRPr="00FB0E7D">
        <w:rPr>
          <w:rFonts w:cs="Arial"/>
        </w:rPr>
        <w:t>ESMA_CP_MAR_NAMEOFCOMPANY_NAMEOFDOCUMENT.</w:t>
      </w:r>
    </w:p>
    <w:p w14:paraId="72EF98A6" w14:textId="77777777" w:rsidR="00CD1669" w:rsidRPr="00FB0E7D" w:rsidRDefault="0A5769A0" w:rsidP="00503347">
      <w:pPr>
        <w:pStyle w:val="04BodyText"/>
        <w:spacing w:before="120" w:after="120"/>
        <w:rPr>
          <w:rFonts w:cs="Arial"/>
        </w:rPr>
      </w:pPr>
      <w:r w:rsidRPr="00FB0E7D">
        <w:rPr>
          <w:rFonts w:cs="Arial"/>
        </w:rPr>
        <w:t>e.g. if the respondent were ESMA, the name of the reply form would be:</w:t>
      </w:r>
    </w:p>
    <w:p w14:paraId="67162184" w14:textId="77777777" w:rsidR="00CD1669" w:rsidRPr="00FB0E7D" w:rsidRDefault="0A5769A0" w:rsidP="00503347">
      <w:pPr>
        <w:pStyle w:val="04BodyText"/>
        <w:spacing w:before="120" w:after="120"/>
        <w:rPr>
          <w:rFonts w:cs="Arial"/>
        </w:rPr>
      </w:pPr>
      <w:r w:rsidRPr="00FB0E7D">
        <w:rPr>
          <w:rFonts w:cs="Arial"/>
        </w:rPr>
        <w:t xml:space="preserve">ESMA_CP_MAR_ESMA_REPLYFORM or </w:t>
      </w:r>
    </w:p>
    <w:p w14:paraId="29AC192A" w14:textId="77777777" w:rsidR="00CD1669" w:rsidRPr="00FB0E7D" w:rsidRDefault="0A5769A0" w:rsidP="00503347">
      <w:pPr>
        <w:pStyle w:val="04BodyText"/>
        <w:spacing w:before="120" w:after="120"/>
        <w:rPr>
          <w:rFonts w:cs="Arial"/>
        </w:rPr>
      </w:pPr>
      <w:r w:rsidRPr="00FB0E7D">
        <w:rPr>
          <w:rFonts w:cs="Arial"/>
        </w:rPr>
        <w:t>ESMA_CP_MAR_ANNEX1</w:t>
      </w:r>
    </w:p>
    <w:p w14:paraId="6A05A809" w14:textId="77777777" w:rsidR="00CD1669" w:rsidRPr="00FB0E7D" w:rsidRDefault="00CD1669" w:rsidP="00503347">
      <w:pPr>
        <w:autoSpaceDE w:val="0"/>
        <w:autoSpaceDN w:val="0"/>
        <w:adjustRightInd w:val="0"/>
        <w:spacing w:before="120" w:after="120" w:line="276" w:lineRule="auto"/>
        <w:jc w:val="both"/>
        <w:rPr>
          <w:rFonts w:cs="Arial"/>
          <w:b/>
          <w:bCs/>
          <w:i/>
          <w:color w:val="000000"/>
          <w:szCs w:val="20"/>
          <w:lang w:eastAsia="en-GB"/>
        </w:rPr>
      </w:pPr>
    </w:p>
    <w:p w14:paraId="465F721A" w14:textId="77777777" w:rsidR="00CD1669" w:rsidRPr="00FB0E7D" w:rsidRDefault="0A5769A0" w:rsidP="00503347">
      <w:pPr>
        <w:autoSpaceDE w:val="0"/>
        <w:autoSpaceDN w:val="0"/>
        <w:adjustRightInd w:val="0"/>
        <w:spacing w:before="120" w:after="120" w:line="276" w:lineRule="auto"/>
        <w:jc w:val="both"/>
        <w:rPr>
          <w:rFonts w:cs="Arial"/>
          <w:b/>
          <w:bCs/>
          <w:i/>
          <w:iCs/>
          <w:color w:val="000000" w:themeColor="text1"/>
          <w:lang w:eastAsia="en-GB"/>
        </w:rPr>
      </w:pPr>
      <w:r w:rsidRPr="00FB0E7D">
        <w:rPr>
          <w:rFonts w:cs="Arial"/>
          <w:b/>
          <w:bCs/>
          <w:i/>
          <w:iCs/>
          <w:color w:val="000000" w:themeColor="text1"/>
          <w:lang w:eastAsia="en-GB"/>
        </w:rPr>
        <w:t>Deadline</w:t>
      </w:r>
    </w:p>
    <w:p w14:paraId="21650057" w14:textId="77777777" w:rsidR="00CD1669" w:rsidRPr="00FB0E7D" w:rsidRDefault="0A5769A0" w:rsidP="00503347">
      <w:pPr>
        <w:pStyle w:val="04BodyText"/>
        <w:spacing w:before="120" w:after="120"/>
        <w:rPr>
          <w:rFonts w:cs="Arial"/>
        </w:rPr>
      </w:pPr>
      <w:r w:rsidRPr="00FB0E7D">
        <w:rPr>
          <w:rFonts w:cs="Arial"/>
        </w:rPr>
        <w:t xml:space="preserve">Responses must reach us by </w:t>
      </w:r>
      <w:r w:rsidRPr="00FB0E7D">
        <w:rPr>
          <w:rFonts w:cs="Arial"/>
          <w:b/>
          <w:bCs/>
        </w:rPr>
        <w:t>29 November 2019.</w:t>
      </w:r>
    </w:p>
    <w:p w14:paraId="5BC05542" w14:textId="77777777" w:rsidR="00CD1669" w:rsidRPr="00FB0E7D" w:rsidRDefault="00CD1669" w:rsidP="00503347">
      <w:pPr>
        <w:autoSpaceDE w:val="0"/>
        <w:autoSpaceDN w:val="0"/>
        <w:adjustRightInd w:val="0"/>
        <w:spacing w:before="120" w:after="120" w:line="276" w:lineRule="auto"/>
        <w:jc w:val="both"/>
        <w:rPr>
          <w:rFonts w:cs="Arial"/>
          <w:b/>
          <w:bCs/>
          <w:i/>
          <w:iCs/>
          <w:color w:val="000000" w:themeColor="text1"/>
          <w:lang w:eastAsia="en-GB"/>
        </w:rPr>
      </w:pPr>
      <w:bookmarkStart w:id="1" w:name="_Toc335141334"/>
      <w:r w:rsidRPr="00FB0E7D">
        <w:t xml:space="preserve">All contributions should be submitted online at </w:t>
      </w:r>
      <w:hyperlink r:id="rId16" w:history="1">
        <w:r w:rsidRPr="00FB0E7D">
          <w:rPr>
            <w:rStyle w:val="Hyperlink"/>
          </w:rPr>
          <w:t>www.esma.europa.eu</w:t>
        </w:r>
      </w:hyperlink>
      <w:r w:rsidRPr="00FB0E7D">
        <w:t xml:space="preserve"> under the heading ‘Your input - Consultations’.</w:t>
      </w:r>
    </w:p>
    <w:p w14:paraId="5A39BBE3" w14:textId="77777777" w:rsidR="00CD1669" w:rsidRPr="00FB0E7D" w:rsidRDefault="00CD1669" w:rsidP="00503347">
      <w:pPr>
        <w:autoSpaceDE w:val="0"/>
        <w:autoSpaceDN w:val="0"/>
        <w:adjustRightInd w:val="0"/>
        <w:spacing w:before="120" w:after="120" w:line="276" w:lineRule="auto"/>
        <w:jc w:val="both"/>
        <w:rPr>
          <w:rFonts w:cs="Arial"/>
          <w:b/>
          <w:bCs/>
          <w:i/>
          <w:color w:val="000000"/>
          <w:szCs w:val="20"/>
          <w:lang w:eastAsia="en-GB"/>
        </w:rPr>
      </w:pPr>
    </w:p>
    <w:p w14:paraId="0EB29C28" w14:textId="77777777" w:rsidR="00CD1669" w:rsidRPr="00FB0E7D" w:rsidRDefault="0A5769A0" w:rsidP="00503347">
      <w:pPr>
        <w:autoSpaceDE w:val="0"/>
        <w:autoSpaceDN w:val="0"/>
        <w:adjustRightInd w:val="0"/>
        <w:spacing w:before="120" w:after="120" w:line="276" w:lineRule="auto"/>
        <w:jc w:val="both"/>
        <w:rPr>
          <w:rFonts w:cs="Arial"/>
          <w:b/>
          <w:bCs/>
          <w:i/>
          <w:iCs/>
          <w:color w:val="000000" w:themeColor="text1"/>
          <w:lang w:eastAsia="en-GB"/>
        </w:rPr>
      </w:pPr>
      <w:r w:rsidRPr="00FB0E7D">
        <w:rPr>
          <w:rFonts w:cs="Arial"/>
          <w:b/>
          <w:bCs/>
          <w:i/>
          <w:iCs/>
          <w:color w:val="000000" w:themeColor="text1"/>
          <w:lang w:eastAsia="en-GB"/>
        </w:rPr>
        <w:lastRenderedPageBreak/>
        <w:t>Publication of responses</w:t>
      </w:r>
      <w:bookmarkEnd w:id="1"/>
    </w:p>
    <w:p w14:paraId="22C0D4FC" w14:textId="77777777" w:rsidR="00CD1669" w:rsidRPr="00FB0E7D" w:rsidRDefault="0A5769A0" w:rsidP="00503347">
      <w:pPr>
        <w:pStyle w:val="04BodyText"/>
        <w:spacing w:before="120" w:after="120"/>
        <w:rPr>
          <w:rFonts w:cs="Arial"/>
        </w:rPr>
      </w:pPr>
      <w:r w:rsidRPr="00FB0E7D">
        <w:rPr>
          <w:rFonts w:cs="Arial"/>
        </w:rPr>
        <w:t xml:space="preserve">All contributions received will be published following the end of the consultation period, unless otherwise requested. </w:t>
      </w:r>
      <w:r w:rsidRPr="00FB0E7D">
        <w:rPr>
          <w:rFonts w:cs="Arial"/>
          <w:b/>
          <w:bCs/>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FB0E7D">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41C8F396" w14:textId="77777777" w:rsidR="00CD1669" w:rsidRPr="00FB0E7D" w:rsidRDefault="00CD1669" w:rsidP="00503347">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5C35BFCB" w14:textId="77777777" w:rsidR="00CD1669" w:rsidRPr="00FB0E7D" w:rsidRDefault="0A5769A0" w:rsidP="00503347">
      <w:pPr>
        <w:autoSpaceDE w:val="0"/>
        <w:autoSpaceDN w:val="0"/>
        <w:adjustRightInd w:val="0"/>
        <w:spacing w:before="120" w:after="120" w:line="276" w:lineRule="auto"/>
        <w:jc w:val="both"/>
        <w:rPr>
          <w:rFonts w:cs="Arial"/>
          <w:b/>
          <w:bCs/>
          <w:i/>
          <w:iCs/>
          <w:color w:val="000000" w:themeColor="text1"/>
          <w:lang w:eastAsia="en-GB"/>
        </w:rPr>
      </w:pPr>
      <w:r w:rsidRPr="00FB0E7D">
        <w:rPr>
          <w:rFonts w:cs="Arial"/>
          <w:b/>
          <w:bCs/>
          <w:i/>
          <w:iCs/>
          <w:color w:val="000000" w:themeColor="text1"/>
          <w:lang w:eastAsia="en-GB"/>
        </w:rPr>
        <w:t>Data protection</w:t>
      </w:r>
      <w:bookmarkEnd w:id="2"/>
    </w:p>
    <w:p w14:paraId="03876DB5" w14:textId="77777777" w:rsidR="00CD1669" w:rsidRPr="00FB0E7D" w:rsidRDefault="0A5769A0" w:rsidP="00503347">
      <w:pPr>
        <w:autoSpaceDE w:val="0"/>
        <w:autoSpaceDN w:val="0"/>
        <w:adjustRightInd w:val="0"/>
        <w:spacing w:before="120" w:after="120" w:line="276" w:lineRule="auto"/>
        <w:jc w:val="both"/>
        <w:rPr>
          <w:rFonts w:cs="Arial"/>
        </w:rPr>
      </w:pPr>
      <w:r w:rsidRPr="00FB0E7D">
        <w:rPr>
          <w:rFonts w:cs="Arial"/>
        </w:rPr>
        <w:t xml:space="preserve">Information on data protection can be found at </w:t>
      </w:r>
      <w:hyperlink r:id="rId17">
        <w:r w:rsidRPr="00FB0E7D">
          <w:rPr>
            <w:rStyle w:val="Hyperlink"/>
            <w:rFonts w:cs="Arial"/>
          </w:rPr>
          <w:t>www.esma.europa.eu</w:t>
        </w:r>
      </w:hyperlink>
      <w:r w:rsidRPr="00FB0E7D">
        <w:rPr>
          <w:rFonts w:cs="Arial"/>
        </w:rPr>
        <w:t xml:space="preserve"> under the </w:t>
      </w:r>
      <w:r w:rsidRPr="00FB0E7D">
        <w:rPr>
          <w:rFonts w:cs="Arial"/>
          <w:lang w:eastAsia="en-GB"/>
        </w:rPr>
        <w:t>headings ‘Legal notice’ and ‘Data protection’.</w:t>
      </w:r>
    </w:p>
    <w:p w14:paraId="72A3D3EC" w14:textId="77777777" w:rsidR="00CD1669" w:rsidRPr="00FB0E7D" w:rsidRDefault="00CD1669" w:rsidP="00503347">
      <w:pPr>
        <w:autoSpaceDE w:val="0"/>
        <w:autoSpaceDN w:val="0"/>
        <w:adjustRightInd w:val="0"/>
        <w:spacing w:before="120" w:after="120" w:line="276" w:lineRule="auto"/>
        <w:jc w:val="both"/>
        <w:rPr>
          <w:rFonts w:cs="Arial"/>
          <w:szCs w:val="20"/>
        </w:rPr>
      </w:pPr>
    </w:p>
    <w:bookmarkEnd w:id="0"/>
    <w:p w14:paraId="0D0B940D" w14:textId="77777777" w:rsidR="00CD1669" w:rsidRPr="00FB0E7D" w:rsidRDefault="00CD1669" w:rsidP="00503347">
      <w:pPr>
        <w:jc w:val="both"/>
        <w:rPr>
          <w:rFonts w:cs="Arial"/>
          <w:b/>
          <w:bCs/>
          <w:kern w:val="32"/>
          <w:sz w:val="24"/>
          <w:szCs w:val="32"/>
        </w:rPr>
      </w:pPr>
      <w:r w:rsidRPr="00FB0E7D">
        <w:br w:type="page"/>
      </w:r>
    </w:p>
    <w:p w14:paraId="5FDCF4F8" w14:textId="77777777" w:rsidR="00DE6335" w:rsidRPr="00DE6335" w:rsidRDefault="00DE6335" w:rsidP="00DE6335">
      <w:pPr>
        <w:keepNext/>
        <w:spacing w:before="240" w:after="60"/>
        <w:outlineLvl w:val="0"/>
        <w:rPr>
          <w:rFonts w:cs="Arial"/>
          <w:b/>
          <w:bCs/>
          <w:kern w:val="32"/>
          <w:sz w:val="24"/>
          <w:szCs w:val="32"/>
        </w:rPr>
      </w:pPr>
      <w:r w:rsidRPr="00DE6335">
        <w:rPr>
          <w:rFonts w:cs="Arial"/>
          <w:b/>
          <w:bCs/>
          <w:kern w:val="32"/>
          <w:sz w:val="24"/>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E6335" w:rsidRPr="00DE6335" w14:paraId="15E4F795" w14:textId="77777777" w:rsidTr="004C74EF">
        <w:tc>
          <w:tcPr>
            <w:tcW w:w="3929" w:type="dxa"/>
            <w:shd w:val="clear" w:color="auto" w:fill="auto"/>
          </w:tcPr>
          <w:p w14:paraId="3AAEB38C" w14:textId="77777777" w:rsidR="00DE6335" w:rsidRPr="00DE6335" w:rsidRDefault="00DE6335" w:rsidP="00DE6335">
            <w:pPr>
              <w:rPr>
                <w:rFonts w:cs="Arial"/>
                <w:sz w:val="22"/>
              </w:rPr>
            </w:pPr>
            <w:r w:rsidRPr="00DE6335">
              <w:rPr>
                <w:rFonts w:cs="Arial"/>
                <w:sz w:val="22"/>
              </w:rPr>
              <w:t>Name of the company / organisation</w:t>
            </w:r>
          </w:p>
        </w:tc>
        <w:sdt>
          <w:sdtPr>
            <w:rPr>
              <w:rFonts w:cs="Arial"/>
              <w:color w:val="808080"/>
            </w:rPr>
            <w:id w:val="651570699"/>
            <w:text/>
          </w:sdtPr>
          <w:sdtContent>
            <w:tc>
              <w:tcPr>
                <w:tcW w:w="5595" w:type="dxa"/>
                <w:shd w:val="clear" w:color="auto" w:fill="auto"/>
              </w:tcPr>
              <w:p w14:paraId="5B2AD973" w14:textId="0D950B4A" w:rsidR="00DE6335" w:rsidRPr="00DE6335" w:rsidRDefault="00DE6335" w:rsidP="00DE6335">
                <w:pPr>
                  <w:rPr>
                    <w:rFonts w:cs="Arial"/>
                    <w:color w:val="808080"/>
                  </w:rPr>
                </w:pPr>
                <w:r>
                  <w:rPr>
                    <w:rFonts w:cs="Arial"/>
                    <w:color w:val="808080"/>
                  </w:rPr>
                  <w:t>Deutsche Börse Group (DBG)</w:t>
                </w:r>
              </w:p>
            </w:tc>
          </w:sdtContent>
        </w:sdt>
      </w:tr>
      <w:tr w:rsidR="00DE6335" w:rsidRPr="00DE6335" w14:paraId="1DBD73C4" w14:textId="77777777" w:rsidTr="004C74EF">
        <w:tc>
          <w:tcPr>
            <w:tcW w:w="3929" w:type="dxa"/>
            <w:shd w:val="clear" w:color="auto" w:fill="auto"/>
          </w:tcPr>
          <w:p w14:paraId="0BFACAB3" w14:textId="77777777" w:rsidR="00DE6335" w:rsidRPr="00DE6335" w:rsidRDefault="00DE6335" w:rsidP="00DE6335">
            <w:pPr>
              <w:rPr>
                <w:rFonts w:cs="Arial"/>
                <w:sz w:val="22"/>
              </w:rPr>
            </w:pPr>
            <w:r w:rsidRPr="00DE6335">
              <w:rPr>
                <w:rFonts w:cs="Arial"/>
                <w:sz w:val="22"/>
              </w:rPr>
              <w:t>Activity</w:t>
            </w:r>
          </w:p>
        </w:tc>
        <w:tc>
          <w:tcPr>
            <w:tcW w:w="5595" w:type="dxa"/>
            <w:shd w:val="clear" w:color="auto" w:fill="auto"/>
          </w:tcPr>
          <w:p w14:paraId="2F3EF804" w14:textId="63E81432" w:rsidR="00DE6335" w:rsidRPr="00DE6335" w:rsidRDefault="00DE6335" w:rsidP="00DE6335">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Pr>
                    <w:rFonts w:cs="Arial"/>
                  </w:rPr>
                  <w:t>Regulated markets/Exchanges/Trading Systems</w:t>
                </w:r>
              </w:sdtContent>
            </w:sdt>
          </w:p>
        </w:tc>
      </w:tr>
      <w:tr w:rsidR="00DE6335" w:rsidRPr="00DE6335" w14:paraId="46EA2C65" w14:textId="77777777" w:rsidTr="004C74EF">
        <w:tc>
          <w:tcPr>
            <w:tcW w:w="3929" w:type="dxa"/>
            <w:shd w:val="clear" w:color="auto" w:fill="auto"/>
          </w:tcPr>
          <w:p w14:paraId="080EF688" w14:textId="77777777" w:rsidR="00DE6335" w:rsidRPr="00DE6335" w:rsidRDefault="00DE6335" w:rsidP="00DE6335">
            <w:pPr>
              <w:rPr>
                <w:rFonts w:cs="Arial"/>
                <w:sz w:val="22"/>
              </w:rPr>
            </w:pPr>
            <w:r w:rsidRPr="00DE6335">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Content>
            <w:tc>
              <w:tcPr>
                <w:tcW w:w="5595" w:type="dxa"/>
                <w:shd w:val="clear" w:color="auto" w:fill="auto"/>
              </w:tcPr>
              <w:p w14:paraId="41146818" w14:textId="77777777" w:rsidR="00DE6335" w:rsidRPr="00DE6335" w:rsidRDefault="00DE6335" w:rsidP="00DE6335">
                <w:pPr>
                  <w:rPr>
                    <w:rFonts w:cs="Arial"/>
                  </w:rPr>
                </w:pPr>
                <w:r w:rsidRPr="00DE6335">
                  <w:rPr>
                    <w:rFonts w:eastAsia="MS Gothic" w:cs="Arial" w:hint="eastAsia"/>
                  </w:rPr>
                  <w:t>☐</w:t>
                </w:r>
              </w:p>
            </w:tc>
          </w:sdtContent>
        </w:sdt>
      </w:tr>
      <w:tr w:rsidR="00DE6335" w:rsidRPr="00DE6335" w14:paraId="3F05E212" w14:textId="77777777" w:rsidTr="004C74EF">
        <w:tc>
          <w:tcPr>
            <w:tcW w:w="3929" w:type="dxa"/>
            <w:shd w:val="clear" w:color="auto" w:fill="auto"/>
          </w:tcPr>
          <w:p w14:paraId="20B60A11" w14:textId="77777777" w:rsidR="00DE6335" w:rsidRPr="00DE6335" w:rsidRDefault="00DE6335" w:rsidP="00DE6335">
            <w:pPr>
              <w:rPr>
                <w:rFonts w:cs="Arial"/>
                <w:sz w:val="22"/>
              </w:rPr>
            </w:pPr>
            <w:r w:rsidRPr="00DE6335">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2ACECD2" w14:textId="79C3FA91" w:rsidR="00DE6335" w:rsidRPr="00DE6335" w:rsidRDefault="00DE6335" w:rsidP="00DE6335">
                <w:pPr>
                  <w:rPr>
                    <w:rFonts w:cs="Arial"/>
                  </w:rPr>
                </w:pPr>
                <w:r>
                  <w:rPr>
                    <w:rFonts w:cs="Arial"/>
                  </w:rPr>
                  <w:t>Germany</w:t>
                </w:r>
              </w:p>
            </w:tc>
          </w:sdtContent>
        </w:sdt>
      </w:tr>
    </w:tbl>
    <w:p w14:paraId="60061E4C" w14:textId="664AF03E" w:rsidR="00CD1669" w:rsidRPr="00FB0E7D" w:rsidRDefault="00CD1669" w:rsidP="00503347">
      <w:pPr>
        <w:spacing w:after="120" w:line="264" w:lineRule="auto"/>
        <w:jc w:val="both"/>
      </w:pPr>
    </w:p>
    <w:p w14:paraId="3E7A9F1C" w14:textId="77777777" w:rsidR="00CD1669" w:rsidRPr="00FB0E7D" w:rsidRDefault="0A5769A0" w:rsidP="00503347">
      <w:pPr>
        <w:pStyle w:val="berschrift1"/>
        <w:numPr>
          <w:ilvl w:val="0"/>
          <w:numId w:val="0"/>
        </w:numPr>
        <w:ind w:left="431" w:hanging="431"/>
        <w:jc w:val="both"/>
      </w:pPr>
      <w:r w:rsidRPr="00FB0E7D">
        <w:t>Introduction</w:t>
      </w:r>
    </w:p>
    <w:p w14:paraId="652C8E7C" w14:textId="77777777" w:rsidR="00CD1669" w:rsidRPr="00FB0E7D" w:rsidRDefault="0A5769A0" w:rsidP="00503347">
      <w:pPr>
        <w:jc w:val="both"/>
        <w:rPr>
          <w:rStyle w:val="IntensiveHervorhebung"/>
        </w:rPr>
      </w:pPr>
      <w:r w:rsidRPr="00FB0E7D">
        <w:rPr>
          <w:rStyle w:val="IntensiveHervorhebung"/>
        </w:rPr>
        <w:t>Please make your introductory comments below, if any:</w:t>
      </w:r>
    </w:p>
    <w:p w14:paraId="6B7D241F" w14:textId="77777777" w:rsidR="00A436AE" w:rsidRPr="00A436AE" w:rsidRDefault="0A5769A0" w:rsidP="00503347">
      <w:pPr>
        <w:jc w:val="both"/>
        <w:rPr>
          <w:lang w:val="en-US"/>
        </w:rPr>
      </w:pPr>
      <w:r w:rsidRPr="00A436AE">
        <w:rPr>
          <w:lang w:val="en-US"/>
        </w:rPr>
        <w:t>&lt;ESMA_COMMENT_CP_MAR_1&gt;</w:t>
      </w:r>
      <w:r w:rsidR="00A436AE" w:rsidRPr="00A436AE">
        <w:rPr>
          <w:lang w:val="en-US"/>
        </w:rPr>
        <w:t xml:space="preserve"> </w:t>
      </w:r>
    </w:p>
    <w:p w14:paraId="0D34FA9D" w14:textId="2D7E2AA3" w:rsidR="00A436AE" w:rsidRDefault="00A436AE" w:rsidP="00503347">
      <w:pPr>
        <w:jc w:val="both"/>
        <w:rPr>
          <w:rFonts w:cs="Arial"/>
          <w:szCs w:val="20"/>
        </w:rPr>
      </w:pPr>
      <w:r w:rsidRPr="00A436AE">
        <w:rPr>
          <w:lang w:val="en-US"/>
        </w:rPr>
        <w:t>[</w:t>
      </w:r>
      <w:r>
        <w:rPr>
          <w:rFonts w:cs="Arial"/>
          <w:szCs w:val="20"/>
        </w:rPr>
        <w:t>Deutsche Börse Group (DBG) strongly advocates the Market Abuse Regulation (MAR) and its objective to ensure more efficient, transparent and trustworthy European financial markets. Against this background, we appreciate the opportunity to respond to ESMA’s Consultation Paper on the MAR review report.</w:t>
      </w:r>
      <w:r w:rsidRPr="00A32BD6">
        <w:rPr>
          <w:rFonts w:cs="Arial"/>
          <w:szCs w:val="20"/>
        </w:rPr>
        <w:t xml:space="preserve"> </w:t>
      </w:r>
      <w:r>
        <w:rPr>
          <w:rFonts w:cs="Arial"/>
          <w:szCs w:val="20"/>
        </w:rPr>
        <w:t>Our answers reflect the perspective of a market operator with a natural interest in preventing and detecting market abuse.</w:t>
      </w:r>
      <w:r w:rsidRPr="00A32BD6">
        <w:rPr>
          <w:rFonts w:cs="Arial"/>
          <w:szCs w:val="20"/>
        </w:rPr>
        <w:t xml:space="preserve"> </w:t>
      </w:r>
      <w:r>
        <w:rPr>
          <w:rFonts w:cs="Arial"/>
          <w:szCs w:val="20"/>
        </w:rPr>
        <w:t>In recent years, we have set up extensive systems and established processes to fully meet the requirements of MAR.</w:t>
      </w:r>
    </w:p>
    <w:p w14:paraId="5C366DA1" w14:textId="77777777" w:rsidR="00503347" w:rsidRPr="00503347" w:rsidRDefault="00503347" w:rsidP="00503347">
      <w:pPr>
        <w:jc w:val="both"/>
        <w:rPr>
          <w:lang w:val="en-US"/>
        </w:rPr>
      </w:pPr>
    </w:p>
    <w:p w14:paraId="447F13C7" w14:textId="77777777" w:rsidR="00A436AE" w:rsidRDefault="00A436AE" w:rsidP="00503347">
      <w:pPr>
        <w:jc w:val="both"/>
        <w:rPr>
          <w:rFonts w:cs="Arial"/>
          <w:szCs w:val="20"/>
        </w:rPr>
      </w:pPr>
      <w:r>
        <w:rPr>
          <w:rFonts w:cs="Arial"/>
          <w:szCs w:val="20"/>
        </w:rPr>
        <w:t xml:space="preserve">Overall, we are of the view that the existing regulatory framework is fit for purpose and appropriate. Any extension of the scope of MAR should only be considered if the need for it is clearly demonstrated and the proposed amendments serve the purpose of MAR in a comprehensible way. </w:t>
      </w:r>
    </w:p>
    <w:p w14:paraId="32DAEE86" w14:textId="77777777" w:rsidR="00F84DBA" w:rsidRDefault="00F84DBA" w:rsidP="00503347">
      <w:pPr>
        <w:jc w:val="both"/>
        <w:rPr>
          <w:rFonts w:cs="Arial"/>
          <w:szCs w:val="20"/>
        </w:rPr>
      </w:pPr>
    </w:p>
    <w:p w14:paraId="5A26A2B7" w14:textId="2D6C67E8" w:rsidR="00A436AE" w:rsidRDefault="00A436AE" w:rsidP="00503347">
      <w:pPr>
        <w:jc w:val="both"/>
        <w:rPr>
          <w:rFonts w:cs="Arial"/>
          <w:szCs w:val="20"/>
        </w:rPr>
      </w:pPr>
      <w:r>
        <w:rPr>
          <w:rFonts w:cs="Arial"/>
          <w:szCs w:val="20"/>
        </w:rPr>
        <w:t>In this respect, we would like to make the following points in advance.</w:t>
      </w:r>
    </w:p>
    <w:p w14:paraId="21B55D07" w14:textId="77777777" w:rsidR="00A436AE" w:rsidRDefault="00A436AE" w:rsidP="00503347">
      <w:pPr>
        <w:jc w:val="both"/>
        <w:rPr>
          <w:rFonts w:cs="Arial"/>
          <w:b/>
          <w:szCs w:val="20"/>
        </w:rPr>
      </w:pPr>
    </w:p>
    <w:p w14:paraId="173D3620" w14:textId="45BEAC16" w:rsidR="00A436AE" w:rsidRDefault="00A436AE" w:rsidP="00503347">
      <w:pPr>
        <w:jc w:val="both"/>
        <w:rPr>
          <w:rFonts w:cs="Arial"/>
          <w:b/>
          <w:szCs w:val="20"/>
        </w:rPr>
      </w:pPr>
      <w:r w:rsidRPr="0097404F">
        <w:rPr>
          <w:rFonts w:cs="Arial"/>
          <w:b/>
          <w:szCs w:val="20"/>
        </w:rPr>
        <w:t>Extending the scope of MAR to spot FX contracts</w:t>
      </w:r>
    </w:p>
    <w:p w14:paraId="225235D4" w14:textId="6BEE9FEF" w:rsidR="00A436AE" w:rsidRDefault="001B1F88" w:rsidP="00503347">
      <w:pPr>
        <w:contextualSpacing/>
        <w:jc w:val="both"/>
        <w:rPr>
          <w:rFonts w:eastAsia="Arial" w:cs="Arial"/>
          <w:szCs w:val="20"/>
          <w:lang w:val="en-US"/>
        </w:rPr>
      </w:pPr>
      <w:r w:rsidRPr="00503347">
        <w:rPr>
          <w:lang w:val="en-US"/>
        </w:rPr>
        <w:t xml:space="preserve">DBG is aware that many trading venues already monitor Spot FX transactions in order to detect and prevent market abusive behaviors in this segment of the global FX market. </w:t>
      </w:r>
      <w:r>
        <w:rPr>
          <w:lang w:val="en-US"/>
        </w:rPr>
        <w:t>However,</w:t>
      </w:r>
      <w:r w:rsidRPr="00503347">
        <w:rPr>
          <w:lang w:val="en-US"/>
        </w:rPr>
        <w:t xml:space="preserve"> we are not yet fully convinced of the need to mandate the inclusion of FX spot in MAR as of now</w:t>
      </w:r>
      <w:r w:rsidR="008D1AD7">
        <w:rPr>
          <w:lang w:val="en-US"/>
        </w:rPr>
        <w:t>.</w:t>
      </w:r>
      <w:r w:rsidR="00BD441E">
        <w:rPr>
          <w:lang w:val="en-US"/>
        </w:rPr>
        <w:t xml:space="preserve"> </w:t>
      </w:r>
      <w:r w:rsidRPr="00503347">
        <w:rPr>
          <w:rFonts w:eastAsia="Arial" w:cs="Arial"/>
          <w:szCs w:val="20"/>
          <w:lang w:val="en-US"/>
        </w:rPr>
        <w:t xml:space="preserve">We believe that </w:t>
      </w:r>
      <w:r>
        <w:rPr>
          <w:rFonts w:eastAsia="Arial" w:cs="Arial"/>
          <w:szCs w:val="20"/>
          <w:lang w:val="en-US"/>
        </w:rPr>
        <w:t>further</w:t>
      </w:r>
      <w:r w:rsidRPr="00503347">
        <w:rPr>
          <w:rFonts w:eastAsia="Arial" w:cs="Arial"/>
          <w:szCs w:val="20"/>
          <w:lang w:val="en-US"/>
        </w:rPr>
        <w:t xml:space="preserve"> consideration of the peculiarities of spot FX markets </w:t>
      </w:r>
      <w:r>
        <w:rPr>
          <w:rFonts w:eastAsia="Arial" w:cs="Arial"/>
          <w:szCs w:val="20"/>
          <w:lang w:val="en-US"/>
        </w:rPr>
        <w:t xml:space="preserve">may be warranted </w:t>
      </w:r>
      <w:r w:rsidRPr="00503347">
        <w:rPr>
          <w:rFonts w:eastAsia="Arial" w:cs="Arial"/>
          <w:szCs w:val="20"/>
          <w:lang w:val="en-US"/>
        </w:rPr>
        <w:t xml:space="preserve">and </w:t>
      </w:r>
      <w:r>
        <w:rPr>
          <w:rFonts w:eastAsia="Arial" w:cs="Arial"/>
          <w:szCs w:val="20"/>
          <w:lang w:val="en-US"/>
        </w:rPr>
        <w:t xml:space="preserve">that </w:t>
      </w:r>
      <w:r w:rsidRPr="00503347">
        <w:rPr>
          <w:rFonts w:eastAsia="Arial" w:cs="Arial"/>
          <w:szCs w:val="20"/>
          <w:lang w:val="en-US"/>
        </w:rPr>
        <w:t>an assessment of the potential impact should be carried out before proceeding with any specific EU legislation</w:t>
      </w:r>
      <w:r>
        <w:rPr>
          <w:rFonts w:eastAsia="Arial" w:cs="Arial"/>
          <w:szCs w:val="20"/>
          <w:lang w:val="en-US"/>
        </w:rPr>
        <w:t>.</w:t>
      </w:r>
    </w:p>
    <w:p w14:paraId="598337A4" w14:textId="77777777" w:rsidR="001B1F88" w:rsidRDefault="001B1F88" w:rsidP="00503347">
      <w:pPr>
        <w:contextualSpacing/>
        <w:jc w:val="both"/>
        <w:rPr>
          <w:rFonts w:cs="Arial"/>
          <w:b/>
          <w:szCs w:val="20"/>
        </w:rPr>
      </w:pPr>
    </w:p>
    <w:p w14:paraId="46E7D571" w14:textId="77777777" w:rsidR="00A436AE" w:rsidRPr="0097404F" w:rsidRDefault="00A436AE" w:rsidP="00503347">
      <w:pPr>
        <w:contextualSpacing/>
        <w:jc w:val="both"/>
        <w:rPr>
          <w:rFonts w:cs="Arial"/>
          <w:b/>
          <w:szCs w:val="20"/>
        </w:rPr>
      </w:pPr>
      <w:r w:rsidRPr="0097404F">
        <w:rPr>
          <w:rFonts w:cs="Arial"/>
          <w:b/>
          <w:szCs w:val="20"/>
        </w:rPr>
        <w:t>Definition of “inside information”</w:t>
      </w:r>
    </w:p>
    <w:p w14:paraId="69D635BB" w14:textId="7A4CC21C" w:rsidR="00223EF2" w:rsidRDefault="00A436AE" w:rsidP="00503347">
      <w:pPr>
        <w:contextualSpacing/>
        <w:jc w:val="both"/>
        <w:rPr>
          <w:rFonts w:cs="Arial"/>
          <w:szCs w:val="20"/>
        </w:rPr>
      </w:pPr>
      <w:r>
        <w:rPr>
          <w:rFonts w:cs="Arial"/>
          <w:szCs w:val="20"/>
        </w:rPr>
        <w:t xml:space="preserve">In our view, the definition of "inside information" is appropriate and sufficient to identify inside information and thus to </w:t>
      </w:r>
      <w:r w:rsidR="00B60397">
        <w:rPr>
          <w:rFonts w:cs="Arial"/>
          <w:szCs w:val="20"/>
        </w:rPr>
        <w:t>fulfil</w:t>
      </w:r>
      <w:r>
        <w:rPr>
          <w:rFonts w:cs="Arial"/>
          <w:szCs w:val="20"/>
        </w:rPr>
        <w:t xml:space="preserve"> MAR's overall objective of preventing market abuse. Yet, uncertainties remain about the determination of "significant effect" or "precise information", the exact delineation of "reasonable investor" or the "protracted process</w:t>
      </w:r>
      <w:r w:rsidR="00223EF2">
        <w:rPr>
          <w:rFonts w:cs="Arial"/>
          <w:szCs w:val="20"/>
        </w:rPr>
        <w:t>" as well as the evaluation of derivatives issued by a third party</w:t>
      </w:r>
      <w:r>
        <w:rPr>
          <w:rFonts w:cs="Arial"/>
          <w:szCs w:val="20"/>
        </w:rPr>
        <w:t>. Further clarification would be helpful.</w:t>
      </w:r>
    </w:p>
    <w:p w14:paraId="1D518006" w14:textId="77777777" w:rsidR="00A436AE" w:rsidRDefault="00A436AE" w:rsidP="00503347">
      <w:pPr>
        <w:contextualSpacing/>
        <w:jc w:val="both"/>
        <w:rPr>
          <w:rFonts w:cs="Arial"/>
          <w:szCs w:val="20"/>
        </w:rPr>
      </w:pPr>
    </w:p>
    <w:p w14:paraId="5AA926B1" w14:textId="77777777" w:rsidR="00A436AE" w:rsidRPr="0097404F" w:rsidRDefault="00A436AE" w:rsidP="00503347">
      <w:pPr>
        <w:contextualSpacing/>
        <w:jc w:val="both"/>
        <w:rPr>
          <w:rFonts w:cs="Arial"/>
          <w:b/>
          <w:szCs w:val="20"/>
          <w:lang w:val="en-US"/>
        </w:rPr>
      </w:pPr>
      <w:r w:rsidRPr="0097404F">
        <w:rPr>
          <w:rFonts w:cs="Arial"/>
          <w:b/>
          <w:szCs w:val="20"/>
        </w:rPr>
        <w:t>“</w:t>
      </w:r>
      <w:r w:rsidRPr="0097404F">
        <w:rPr>
          <w:rFonts w:cs="Arial"/>
          <w:b/>
          <w:szCs w:val="20"/>
          <w:lang w:val="en-US"/>
        </w:rPr>
        <w:t>Pre-hedging</w:t>
      </w:r>
      <w:r w:rsidRPr="0097404F">
        <w:rPr>
          <w:rFonts w:cs="Arial"/>
          <w:b/>
          <w:szCs w:val="20"/>
        </w:rPr>
        <w:t>”</w:t>
      </w:r>
      <w:r w:rsidRPr="0097404F">
        <w:rPr>
          <w:rFonts w:cs="Arial"/>
          <w:b/>
          <w:szCs w:val="20"/>
          <w:lang w:val="en-US"/>
        </w:rPr>
        <w:t xml:space="preserve"> versus </w:t>
      </w:r>
      <w:r w:rsidRPr="0097404F">
        <w:rPr>
          <w:rFonts w:cs="Arial"/>
          <w:b/>
          <w:szCs w:val="20"/>
        </w:rPr>
        <w:t>“f</w:t>
      </w:r>
      <w:r w:rsidRPr="0097404F">
        <w:rPr>
          <w:rFonts w:cs="Arial"/>
          <w:b/>
          <w:szCs w:val="20"/>
          <w:lang w:val="en-US"/>
        </w:rPr>
        <w:t>ront-run</w:t>
      </w:r>
      <w:r w:rsidRPr="0097404F">
        <w:rPr>
          <w:rFonts w:cs="Arial"/>
          <w:b/>
          <w:szCs w:val="20"/>
        </w:rPr>
        <w:t>ning”</w:t>
      </w:r>
    </w:p>
    <w:p w14:paraId="263E3D34" w14:textId="3CACDFED" w:rsidR="00A436AE" w:rsidRDefault="00A436AE" w:rsidP="00503347">
      <w:pPr>
        <w:contextualSpacing/>
        <w:jc w:val="both"/>
        <w:rPr>
          <w:rFonts w:cs="Arial"/>
          <w:szCs w:val="20"/>
        </w:rPr>
      </w:pPr>
      <w:r>
        <w:rPr>
          <w:rFonts w:cs="Arial"/>
          <w:szCs w:val="20"/>
        </w:rPr>
        <w:t xml:space="preserve">DBG shares ESMA's view that a better understanding of "pre-hedging" practices is required in order to assess if these practices entail the risk of potential market abuse, severe market distortion, information leakage and slippage costs for investors. We argue that pre-hedging is not per se to be classified as market manipulative </w:t>
      </w:r>
      <w:r w:rsidR="00DC6B08">
        <w:rPr>
          <w:rFonts w:cs="Arial"/>
          <w:szCs w:val="20"/>
        </w:rPr>
        <w:t>behaviour</w:t>
      </w:r>
      <w:r>
        <w:rPr>
          <w:rFonts w:cs="Arial"/>
          <w:szCs w:val="20"/>
        </w:rPr>
        <w:t>. In our view, it therefore makes sense to work together with market participants, taking into account the characteristics of different markets, to arrive at a common understanding of market practices which may then form the basis of any decision as regards the necessity for regulatory measures. In order to effectively prevent market abuse, classify suspicious cases and clearly identify cases of market abuse, it is also necessary to clearly distinguish between pre-hedging and front-running</w:t>
      </w:r>
      <w:r w:rsidR="008D1AD7">
        <w:rPr>
          <w:rFonts w:cs="Arial"/>
          <w:szCs w:val="20"/>
        </w:rPr>
        <w:t>.</w:t>
      </w:r>
    </w:p>
    <w:p w14:paraId="3CBEB2C2" w14:textId="77777777" w:rsidR="00A436AE" w:rsidRDefault="00A436AE" w:rsidP="00503347">
      <w:pPr>
        <w:contextualSpacing/>
        <w:jc w:val="both"/>
        <w:rPr>
          <w:rFonts w:cs="Arial"/>
          <w:szCs w:val="20"/>
        </w:rPr>
      </w:pPr>
    </w:p>
    <w:p w14:paraId="7ADC7F29" w14:textId="77777777" w:rsidR="00A436AE" w:rsidRPr="0097404F" w:rsidRDefault="00A436AE" w:rsidP="00503347">
      <w:pPr>
        <w:contextualSpacing/>
        <w:jc w:val="both"/>
        <w:rPr>
          <w:rFonts w:cs="Arial"/>
          <w:b/>
          <w:szCs w:val="20"/>
        </w:rPr>
      </w:pPr>
      <w:r w:rsidRPr="0097404F">
        <w:rPr>
          <w:rFonts w:cs="Arial"/>
          <w:b/>
          <w:szCs w:val="20"/>
        </w:rPr>
        <w:t>Third parties maintain</w:t>
      </w:r>
      <w:r>
        <w:rPr>
          <w:rFonts w:cs="Arial"/>
          <w:b/>
          <w:szCs w:val="20"/>
        </w:rPr>
        <w:t>ing</w:t>
      </w:r>
      <w:r w:rsidRPr="0097404F">
        <w:rPr>
          <w:rFonts w:cs="Arial"/>
          <w:b/>
          <w:szCs w:val="20"/>
        </w:rPr>
        <w:t xml:space="preserve"> insider lists</w:t>
      </w:r>
    </w:p>
    <w:p w14:paraId="78073B0E" w14:textId="365A65B5" w:rsidR="00A436AE" w:rsidRDefault="00A436AE" w:rsidP="00503347">
      <w:pPr>
        <w:contextualSpacing/>
        <w:jc w:val="both"/>
        <w:rPr>
          <w:rFonts w:cs="Arial"/>
          <w:szCs w:val="20"/>
        </w:rPr>
      </w:pPr>
      <w:r>
        <w:rPr>
          <w:rFonts w:cs="Arial"/>
          <w:szCs w:val="20"/>
        </w:rPr>
        <w:t xml:space="preserve">An extension of the scope of Art. 18 (1) MAR (maintenance of insider lists) would relieve the burden on issuers, but third parties who have no connection to issuers and who may not be aware that they </w:t>
      </w:r>
      <w:r w:rsidR="00373A3F">
        <w:rPr>
          <w:rFonts w:cs="Arial"/>
          <w:szCs w:val="20"/>
        </w:rPr>
        <w:t>must</w:t>
      </w:r>
      <w:r>
        <w:rPr>
          <w:rFonts w:cs="Arial"/>
          <w:szCs w:val="20"/>
        </w:rPr>
        <w:t xml:space="preserve"> keep insider lists could then possibly fall within the scope. It is also questionable whether these third parties had the necessary systems and processes in place to comply with the rule. Therefore, DBG is against extending the scope.</w:t>
      </w:r>
    </w:p>
    <w:p w14:paraId="48718F55" w14:textId="77777777" w:rsidR="00A436AE" w:rsidRDefault="00A436AE" w:rsidP="00503347">
      <w:pPr>
        <w:contextualSpacing/>
        <w:jc w:val="both"/>
        <w:rPr>
          <w:rFonts w:cs="Arial"/>
          <w:szCs w:val="20"/>
        </w:rPr>
      </w:pPr>
    </w:p>
    <w:p w14:paraId="47948479" w14:textId="77777777" w:rsidR="00A436AE" w:rsidRPr="0097404F" w:rsidRDefault="00A436AE" w:rsidP="00503347">
      <w:pPr>
        <w:contextualSpacing/>
        <w:jc w:val="both"/>
        <w:rPr>
          <w:rFonts w:cs="Arial"/>
          <w:b/>
          <w:szCs w:val="20"/>
        </w:rPr>
      </w:pPr>
      <w:r w:rsidRPr="0097404F">
        <w:rPr>
          <w:rFonts w:cs="Arial"/>
          <w:b/>
          <w:szCs w:val="20"/>
        </w:rPr>
        <w:t>EU cross-order market book</w:t>
      </w:r>
    </w:p>
    <w:p w14:paraId="5C964DD6" w14:textId="7DE3CF7F" w:rsidR="00A436AE" w:rsidRPr="00A436AE" w:rsidRDefault="00A436AE" w:rsidP="00503347">
      <w:pPr>
        <w:pStyle w:val="Default"/>
        <w:contextualSpacing/>
        <w:jc w:val="both"/>
        <w:rPr>
          <w:sz w:val="20"/>
          <w:szCs w:val="20"/>
        </w:rPr>
      </w:pPr>
      <w:r>
        <w:rPr>
          <w:sz w:val="20"/>
          <w:szCs w:val="20"/>
        </w:rPr>
        <w:lastRenderedPageBreak/>
        <w:t>In our opinion the established framework to request data on an ad-hoc basis where suspicion of market abuse exists is suitable and sufficient for achieving the intention of the law. So far, ESMA has not provided any evidence as regards potential shortcomings or deficiencies of the existing regime but noted (para 296) that the exchange of information between NCAs according to the rules and procedures of the existing regime actually facilitated the detection of market abuse in a cross-border context. DBG has also strong concerns regarding the administrative challenges that come with such a cross-order market book. Overall, DBG does not see any benefit in this and therefore opposes the proposal.]</w:t>
      </w:r>
    </w:p>
    <w:p w14:paraId="7AC4A647" w14:textId="77777777" w:rsidR="00CD1669" w:rsidRPr="00BB36FF" w:rsidRDefault="0A5769A0" w:rsidP="00503347">
      <w:pPr>
        <w:jc w:val="both"/>
        <w:rPr>
          <w:lang w:val="fr-FR"/>
        </w:rPr>
      </w:pPr>
      <w:r w:rsidRPr="00BB36FF">
        <w:rPr>
          <w:lang w:val="fr-FR"/>
        </w:rPr>
        <w:t>&lt;ESMA_COMMENT_CP_MAR_1&gt;</w:t>
      </w:r>
    </w:p>
    <w:p w14:paraId="4B94D5A5" w14:textId="77777777" w:rsidR="00CD1669" w:rsidRPr="00BB36FF" w:rsidRDefault="00CD1669" w:rsidP="00503347">
      <w:pPr>
        <w:jc w:val="both"/>
        <w:rPr>
          <w:rFonts w:eastAsiaTheme="minorEastAsia" w:cstheme="minorBidi"/>
          <w:b/>
          <w:sz w:val="22"/>
          <w:szCs w:val="20"/>
          <w:lang w:val="fr-FR" w:eastAsia="en-US"/>
        </w:rPr>
      </w:pPr>
      <w:r w:rsidRPr="00BB36FF">
        <w:rPr>
          <w:lang w:val="fr-FR"/>
        </w:rPr>
        <w:br w:type="page"/>
      </w:r>
    </w:p>
    <w:p w14:paraId="52A1C2F8" w14:textId="77777777" w:rsidR="007D5EDB" w:rsidRPr="00FB0E7D" w:rsidRDefault="0A5769A0" w:rsidP="00503347">
      <w:pPr>
        <w:pStyle w:val="CPQuestions"/>
      </w:pPr>
      <w:r w:rsidRPr="00FB0E7D">
        <w:lastRenderedPageBreak/>
        <w:t>Do you consider necessary to extend the scope of MAR to spot FX contracts? Please explain the reasons why the scope should or should not be extended, and whether the same goals could be achieved by changing any other piece of the EU regulatory framework.</w:t>
      </w:r>
    </w:p>
    <w:p w14:paraId="22C18F51" w14:textId="77777777" w:rsidR="007D5EDB" w:rsidRPr="00FB0E7D" w:rsidRDefault="0A5769A0" w:rsidP="00503347">
      <w:pPr>
        <w:jc w:val="both"/>
      </w:pPr>
      <w:r w:rsidRPr="00FB0E7D">
        <w:t>&lt;ESMA_QUESTION_CP_MAR_1&gt;</w:t>
      </w:r>
    </w:p>
    <w:p w14:paraId="35006347" w14:textId="428EF8C0" w:rsidR="0067556D" w:rsidRPr="00503347" w:rsidRDefault="00CF6830" w:rsidP="0067556D">
      <w:pPr>
        <w:spacing w:before="100" w:beforeAutospacing="1" w:after="100" w:afterAutospacing="1"/>
        <w:contextualSpacing/>
        <w:jc w:val="both"/>
        <w:rPr>
          <w:rFonts w:cs="Arial"/>
        </w:rPr>
      </w:pPr>
      <w:r>
        <w:rPr>
          <w:lang w:val="en-US"/>
        </w:rPr>
        <w:t>[</w:t>
      </w:r>
      <w:r w:rsidR="0067556D" w:rsidRPr="00503347">
        <w:rPr>
          <w:lang w:val="en-US"/>
        </w:rPr>
        <w:t xml:space="preserve">DBG is aware that many </w:t>
      </w:r>
      <w:r w:rsidR="0067556D">
        <w:rPr>
          <w:lang w:val="en-US"/>
        </w:rPr>
        <w:t xml:space="preserve">EU authorized </w:t>
      </w:r>
      <w:r w:rsidR="0067556D" w:rsidRPr="00503347">
        <w:rPr>
          <w:lang w:val="en-US"/>
        </w:rPr>
        <w:t xml:space="preserve">trading venues already monitor </w:t>
      </w:r>
      <w:r w:rsidR="0067556D">
        <w:rPr>
          <w:lang w:val="en-US"/>
        </w:rPr>
        <w:t xml:space="preserve">trading in </w:t>
      </w:r>
      <w:r w:rsidR="0067556D" w:rsidRPr="00503347">
        <w:rPr>
          <w:lang w:val="en-US"/>
        </w:rPr>
        <w:t>Spot FX transactions</w:t>
      </w:r>
      <w:r w:rsidR="0067556D">
        <w:rPr>
          <w:lang w:val="en-US"/>
        </w:rPr>
        <w:t xml:space="preserve"> in conjunction with FX derivatives</w:t>
      </w:r>
      <w:r w:rsidR="0067556D" w:rsidRPr="00503347">
        <w:rPr>
          <w:lang w:val="en-US"/>
        </w:rPr>
        <w:t xml:space="preserve"> in order to detect and prevent market abusive behaviors in this segment of the global FX market. </w:t>
      </w:r>
      <w:r w:rsidR="0067556D">
        <w:rPr>
          <w:lang w:val="en-US"/>
        </w:rPr>
        <w:t xml:space="preserve">That said, </w:t>
      </w:r>
      <w:r w:rsidR="0067556D" w:rsidRPr="00503347">
        <w:rPr>
          <w:lang w:val="en-US"/>
        </w:rPr>
        <w:t xml:space="preserve">we are not </w:t>
      </w:r>
      <w:r w:rsidR="0067556D">
        <w:rPr>
          <w:lang w:val="en-US"/>
        </w:rPr>
        <w:t xml:space="preserve">yet </w:t>
      </w:r>
      <w:r w:rsidR="0067556D" w:rsidRPr="00503347">
        <w:rPr>
          <w:lang w:val="en-US"/>
        </w:rPr>
        <w:t xml:space="preserve">fully convinced of the need to mandate the inclusion of FX spot in MAR as of now. </w:t>
      </w:r>
      <w:r w:rsidR="0067556D" w:rsidRPr="00503347">
        <w:rPr>
          <w:rFonts w:eastAsia="Arial" w:cs="Arial"/>
          <w:szCs w:val="20"/>
          <w:lang w:val="en-US"/>
        </w:rPr>
        <w:t xml:space="preserve">We believe that </w:t>
      </w:r>
      <w:r w:rsidR="0067556D">
        <w:rPr>
          <w:rFonts w:eastAsia="Arial" w:cs="Arial"/>
          <w:szCs w:val="20"/>
          <w:lang w:val="en-US"/>
        </w:rPr>
        <w:t>further</w:t>
      </w:r>
      <w:r w:rsidR="0067556D" w:rsidRPr="00503347">
        <w:rPr>
          <w:rFonts w:eastAsia="Arial" w:cs="Arial"/>
          <w:szCs w:val="20"/>
          <w:lang w:val="en-US"/>
        </w:rPr>
        <w:t xml:space="preserve"> consideration of the peculiarities of spot FX markets and an assessment of the potential impact should be carried out before proceeding with any specific EU legislation. </w:t>
      </w:r>
    </w:p>
    <w:p w14:paraId="3E88C980" w14:textId="03CB87D0" w:rsidR="0067556D" w:rsidRPr="00FB0E7D" w:rsidRDefault="0067556D" w:rsidP="0067556D">
      <w:pPr>
        <w:spacing w:before="100" w:beforeAutospacing="1" w:after="100" w:afterAutospacing="1"/>
        <w:contextualSpacing/>
        <w:jc w:val="both"/>
      </w:pPr>
    </w:p>
    <w:p w14:paraId="0E78802A" w14:textId="57BB2D54" w:rsidR="0067556D" w:rsidRPr="00FB0E7D" w:rsidRDefault="0067556D" w:rsidP="0067556D">
      <w:pPr>
        <w:spacing w:before="100" w:beforeAutospacing="1" w:after="100" w:afterAutospacing="1"/>
        <w:contextualSpacing/>
        <w:jc w:val="both"/>
      </w:pPr>
      <w:r w:rsidRPr="78F6E27A">
        <w:rPr>
          <w:rFonts w:eastAsia="Arial" w:cs="Arial"/>
        </w:rPr>
        <w:t xml:space="preserve">Even though there may be reasonable grounds for increasing monitoring of possible market abuse and misconduct in the spot FX markets, the global dimension and characteristics of those markets </w:t>
      </w:r>
      <w:r>
        <w:rPr>
          <w:rFonts w:eastAsia="Arial" w:cs="Arial"/>
        </w:rPr>
        <w:t xml:space="preserve">should be taken into account before deciding on their inclusion into </w:t>
      </w:r>
      <w:r w:rsidRPr="78F6E27A">
        <w:rPr>
          <w:rFonts w:eastAsia="Arial" w:cs="Arial"/>
        </w:rPr>
        <w:t xml:space="preserve">the current MAR regime. The main reason is, as outlined by ESMA, that there </w:t>
      </w:r>
      <w:r>
        <w:rPr>
          <w:rFonts w:eastAsia="Arial" w:cs="Arial"/>
        </w:rPr>
        <w:t xml:space="preserve">may be a </w:t>
      </w:r>
      <w:r w:rsidRPr="78F6E27A">
        <w:rPr>
          <w:rFonts w:eastAsia="Arial" w:cs="Arial"/>
        </w:rPr>
        <w:t xml:space="preserve">need for </w:t>
      </w:r>
      <w:r>
        <w:rPr>
          <w:rFonts w:eastAsia="Arial" w:cs="Arial"/>
        </w:rPr>
        <w:t xml:space="preserve">some </w:t>
      </w:r>
      <w:r w:rsidRPr="78F6E27A">
        <w:rPr>
          <w:rFonts w:eastAsia="Arial" w:cs="Arial"/>
        </w:rPr>
        <w:t xml:space="preserve">structural changes in relation to infrastructure, transparency and supervision of the involved entities, in order for monitoring under the MAR regime to </w:t>
      </w:r>
      <w:r>
        <w:rPr>
          <w:rFonts w:eastAsia="Arial" w:cs="Arial"/>
        </w:rPr>
        <w:t>increase</w:t>
      </w:r>
      <w:r w:rsidRPr="78F6E27A">
        <w:rPr>
          <w:rFonts w:eastAsia="Arial" w:cs="Arial"/>
        </w:rPr>
        <w:t xml:space="preserve"> value. </w:t>
      </w:r>
      <w:r>
        <w:rPr>
          <w:rFonts w:eastAsia="Arial" w:cs="Arial"/>
        </w:rPr>
        <w:t>T</w:t>
      </w:r>
      <w:r w:rsidRPr="78F6E27A">
        <w:rPr>
          <w:rFonts w:eastAsia="Arial" w:cs="Arial"/>
        </w:rPr>
        <w:t xml:space="preserve">he political and monetary systems, including the special role played by central banks, </w:t>
      </w:r>
      <w:r>
        <w:rPr>
          <w:rFonts w:eastAsia="Arial" w:cs="Arial"/>
        </w:rPr>
        <w:t xml:space="preserve">would all need to be evaluated in order to determine how to bring </w:t>
      </w:r>
      <w:r w:rsidRPr="78F6E27A">
        <w:rPr>
          <w:rFonts w:eastAsia="Arial" w:cs="Arial"/>
        </w:rPr>
        <w:t xml:space="preserve">spot FX contracts </w:t>
      </w:r>
      <w:r>
        <w:rPr>
          <w:rFonts w:eastAsia="Arial" w:cs="Arial"/>
        </w:rPr>
        <w:t>with</w:t>
      </w:r>
      <w:r w:rsidRPr="78F6E27A">
        <w:rPr>
          <w:rFonts w:eastAsia="Arial" w:cs="Arial"/>
        </w:rPr>
        <w:t xml:space="preserve">in the scope of MAR. </w:t>
      </w:r>
      <w:r>
        <w:rPr>
          <w:rFonts w:eastAsia="Arial" w:cs="Arial"/>
        </w:rPr>
        <w:t>So too the wider EU legislative acts would need to be evaluated, as whilst potentially includible with MAR we do not believe that that would necessarily also merit bringing spot FX within the scope of MiFID or EMIR.</w:t>
      </w:r>
    </w:p>
    <w:p w14:paraId="50E0559A" w14:textId="5D334145" w:rsidR="0067556D" w:rsidRPr="00FB0E7D" w:rsidRDefault="0067556D" w:rsidP="0067556D">
      <w:pPr>
        <w:spacing w:before="100" w:beforeAutospacing="1" w:after="100" w:afterAutospacing="1"/>
        <w:contextualSpacing/>
        <w:jc w:val="both"/>
      </w:pPr>
      <w:r w:rsidRPr="78F6E27A">
        <w:rPr>
          <w:rFonts w:eastAsia="Arial" w:cs="Arial"/>
        </w:rPr>
        <w:t xml:space="preserve"> </w:t>
      </w:r>
    </w:p>
    <w:p w14:paraId="339627FA" w14:textId="6D4A8618" w:rsidR="007D5EDB" w:rsidRPr="00503347" w:rsidRDefault="0067556D" w:rsidP="0067556D">
      <w:pPr>
        <w:spacing w:before="100" w:beforeAutospacing="1" w:after="100" w:afterAutospacing="1"/>
        <w:contextualSpacing/>
        <w:jc w:val="both"/>
      </w:pPr>
      <w:r w:rsidRPr="78F6E27A">
        <w:rPr>
          <w:rFonts w:eastAsia="Arial" w:cs="Arial"/>
          <w:lang w:val="en-US"/>
        </w:rPr>
        <w:t xml:space="preserve">Given the global nature of the spot FX market, the FX Global Code has </w:t>
      </w:r>
      <w:r>
        <w:rPr>
          <w:rFonts w:eastAsia="Arial" w:cs="Arial"/>
          <w:lang w:val="en-US"/>
        </w:rPr>
        <w:t xml:space="preserve">been </w:t>
      </w:r>
      <w:r w:rsidRPr="78F6E27A">
        <w:rPr>
          <w:rFonts w:eastAsia="Arial" w:cs="Arial"/>
          <w:lang w:val="en-US"/>
        </w:rPr>
        <w:t>develop</w:t>
      </w:r>
      <w:r>
        <w:rPr>
          <w:rFonts w:eastAsia="Arial" w:cs="Arial"/>
          <w:lang w:val="en-US"/>
        </w:rPr>
        <w:t>ing</w:t>
      </w:r>
      <w:r w:rsidRPr="78F6E27A">
        <w:rPr>
          <w:rFonts w:eastAsia="Arial" w:cs="Arial"/>
          <w:lang w:val="en-US"/>
        </w:rPr>
        <w:t xml:space="preserve"> as the appropriate standard for participants to adhere to. </w:t>
      </w:r>
      <w:r w:rsidRPr="78F6E27A">
        <w:rPr>
          <w:rFonts w:eastAsia="Arial" w:cs="Arial"/>
        </w:rPr>
        <w:t xml:space="preserve">We </w:t>
      </w:r>
      <w:r>
        <w:rPr>
          <w:rFonts w:eastAsia="Arial" w:cs="Arial"/>
        </w:rPr>
        <w:t xml:space="preserve">would therefore </w:t>
      </w:r>
      <w:r w:rsidRPr="78F6E27A">
        <w:rPr>
          <w:rFonts w:eastAsia="Arial" w:cs="Arial"/>
        </w:rPr>
        <w:t xml:space="preserve">also suggest that the effects of the FX Global Code should be assessed, mainly in terms of efficiency and adequateness, </w:t>
      </w:r>
      <w:r>
        <w:rPr>
          <w:rFonts w:eastAsia="Arial" w:cs="Arial"/>
        </w:rPr>
        <w:t>before</w:t>
      </w:r>
      <w:r w:rsidRPr="78F6E27A">
        <w:rPr>
          <w:rFonts w:eastAsia="Arial" w:cs="Arial"/>
        </w:rPr>
        <w:t xml:space="preserve"> the principles</w:t>
      </w:r>
      <w:r>
        <w:rPr>
          <w:rFonts w:eastAsia="Arial" w:cs="Arial"/>
        </w:rPr>
        <w:t xml:space="preserve"> were to</w:t>
      </w:r>
      <w:r w:rsidRPr="78F6E27A">
        <w:rPr>
          <w:rFonts w:eastAsia="Arial" w:cs="Arial"/>
        </w:rPr>
        <w:t xml:space="preserve"> be elevated into legislation. Any further proposals in this regard should only be made if there is clear evidence that the current arrangements are not sufficiently robust and effective</w:t>
      </w:r>
      <w:r>
        <w:rPr>
          <w:rFonts w:eastAsia="Arial" w:cs="Arial"/>
        </w:rPr>
        <w:t>, or if in practice monitoring for abusive behaviours is only being undertaken by the aforementioned trading venues and not by the proliferation of unregulated platforms pertaining to support the FX markets</w:t>
      </w:r>
      <w:r w:rsidR="78F6E27A" w:rsidRPr="78F6E27A">
        <w:rPr>
          <w:rFonts w:eastAsia="Arial" w:cs="Arial"/>
        </w:rPr>
        <w:t xml:space="preserve">.] </w:t>
      </w:r>
    </w:p>
    <w:p w14:paraId="228877EA" w14:textId="77777777" w:rsidR="007D5EDB" w:rsidRPr="00FB0E7D" w:rsidRDefault="0A5769A0" w:rsidP="00503347">
      <w:pPr>
        <w:spacing w:before="100" w:beforeAutospacing="1" w:after="100" w:afterAutospacing="1"/>
        <w:contextualSpacing/>
        <w:jc w:val="both"/>
        <w:rPr>
          <w:rFonts w:cs="Arial"/>
        </w:rPr>
      </w:pPr>
      <w:r w:rsidRPr="00FB0E7D">
        <w:rPr>
          <w:rFonts w:cs="Arial"/>
        </w:rPr>
        <w:t>&lt;ESMA_QUESTION_CP_MAR_1&gt;</w:t>
      </w:r>
    </w:p>
    <w:p w14:paraId="686D1A88" w14:textId="77777777" w:rsidR="007D5EDB" w:rsidRPr="00FB0E7D" w:rsidRDefault="007D5EDB" w:rsidP="00503347">
      <w:pPr>
        <w:jc w:val="both"/>
      </w:pPr>
    </w:p>
    <w:p w14:paraId="3C9FBB08" w14:textId="77777777" w:rsidR="007D5EDB" w:rsidRPr="00FB0E7D" w:rsidRDefault="0A5769A0" w:rsidP="00503347">
      <w:pPr>
        <w:pStyle w:val="CPQuestions"/>
      </w:pPr>
      <w:r w:rsidRPr="00FB0E7D">
        <w:t>Do you agree with ESMA’s preliminary view about the structural changes that would be necessary to apply MAR to spot FX contracts? Please elaborate and indicate if you would consider necessary introducing additional regulatory changes.</w:t>
      </w:r>
    </w:p>
    <w:p w14:paraId="56D703C3" w14:textId="77777777" w:rsidR="007D5EDB" w:rsidRPr="00FB0E7D" w:rsidRDefault="5D72722E" w:rsidP="00503347">
      <w:pPr>
        <w:jc w:val="both"/>
      </w:pPr>
      <w:r>
        <w:t>&lt;ESMA_QUESTION_CP_MAR_2&gt;</w:t>
      </w:r>
    </w:p>
    <w:p w14:paraId="0960CA8E" w14:textId="65463702" w:rsidR="0067556D" w:rsidRPr="00FB0E7D" w:rsidRDefault="78F6E27A" w:rsidP="0067556D">
      <w:pPr>
        <w:snapToGrid w:val="0"/>
        <w:spacing w:before="100" w:beforeAutospacing="1" w:after="100" w:afterAutospacing="1"/>
        <w:contextualSpacing/>
        <w:jc w:val="both"/>
      </w:pPr>
      <w:r w:rsidRPr="78F6E27A">
        <w:rPr>
          <w:rFonts w:eastAsia="Arial" w:cs="Arial"/>
        </w:rPr>
        <w:t>[</w:t>
      </w:r>
      <w:r w:rsidR="0067556D" w:rsidRPr="78F6E27A">
        <w:rPr>
          <w:rFonts w:eastAsia="Arial" w:cs="Arial"/>
        </w:rPr>
        <w:t xml:space="preserve">Please see response to Q1. </w:t>
      </w:r>
    </w:p>
    <w:p w14:paraId="6E729FC1" w14:textId="2905187A" w:rsidR="0067556D" w:rsidRPr="00FB0E7D" w:rsidRDefault="0067556D" w:rsidP="0067556D">
      <w:pPr>
        <w:snapToGrid w:val="0"/>
        <w:spacing w:before="100" w:beforeAutospacing="1" w:after="100" w:afterAutospacing="1"/>
        <w:contextualSpacing/>
        <w:jc w:val="both"/>
      </w:pPr>
      <w:r w:rsidRPr="78F6E27A">
        <w:rPr>
          <w:rFonts w:eastAsia="Arial" w:cs="Arial"/>
        </w:rPr>
        <w:t xml:space="preserve"> </w:t>
      </w:r>
    </w:p>
    <w:p w14:paraId="79020FAD" w14:textId="16B5C718" w:rsidR="007D5EDB" w:rsidRPr="00FB0E7D" w:rsidRDefault="0067556D" w:rsidP="0067556D">
      <w:pPr>
        <w:snapToGrid w:val="0"/>
        <w:spacing w:before="100" w:beforeAutospacing="1" w:after="100" w:afterAutospacing="1"/>
        <w:contextualSpacing/>
        <w:jc w:val="both"/>
      </w:pPr>
      <w:r w:rsidRPr="78F6E27A">
        <w:rPr>
          <w:rFonts w:eastAsia="Arial" w:cs="Arial"/>
        </w:rPr>
        <w:t>Even though there may be reasonable grounds for increasing monitoring of possible market abuse and misconduct in the spot FX markets,</w:t>
      </w:r>
      <w:r>
        <w:rPr>
          <w:rFonts w:eastAsia="Arial" w:cs="Arial"/>
        </w:rPr>
        <w:t xml:space="preserve"> which have been subject to significant abuse in the recent past, we nevertheless feel that</w:t>
      </w:r>
      <w:r w:rsidRPr="78F6E27A">
        <w:rPr>
          <w:rFonts w:eastAsia="Arial" w:cs="Arial"/>
        </w:rPr>
        <w:t xml:space="preserve"> the global nature and characteristics of those markets makes it inappropriate to include them in the MAR regime </w:t>
      </w:r>
      <w:r>
        <w:rPr>
          <w:rFonts w:eastAsia="Arial" w:cs="Arial"/>
        </w:rPr>
        <w:t>without further review</w:t>
      </w:r>
      <w:r w:rsidRPr="78F6E27A">
        <w:rPr>
          <w:rFonts w:eastAsia="Arial" w:cs="Arial"/>
        </w:rPr>
        <w:t xml:space="preserve">. </w:t>
      </w:r>
      <w:r>
        <w:rPr>
          <w:rFonts w:eastAsia="Arial" w:cs="Arial"/>
        </w:rPr>
        <w:t>As noted already, t</w:t>
      </w:r>
      <w:r w:rsidRPr="78F6E27A">
        <w:rPr>
          <w:rFonts w:eastAsia="Arial" w:cs="Arial"/>
        </w:rPr>
        <w:t xml:space="preserve">here </w:t>
      </w:r>
      <w:r>
        <w:rPr>
          <w:rFonts w:eastAsia="Arial" w:cs="Arial"/>
        </w:rPr>
        <w:t xml:space="preserve">may be a </w:t>
      </w:r>
      <w:r w:rsidRPr="78F6E27A">
        <w:rPr>
          <w:rFonts w:eastAsia="Arial" w:cs="Arial"/>
        </w:rPr>
        <w:t xml:space="preserve">need for </w:t>
      </w:r>
      <w:r>
        <w:rPr>
          <w:rFonts w:eastAsia="Arial" w:cs="Arial"/>
        </w:rPr>
        <w:t xml:space="preserve">some </w:t>
      </w:r>
      <w:r w:rsidRPr="78F6E27A">
        <w:rPr>
          <w:rFonts w:eastAsia="Arial" w:cs="Arial"/>
        </w:rPr>
        <w:t xml:space="preserve">structural changes in relation to infrastructure, transparency and supervision of the involved entities, in order for monitoring under the MAR regime to </w:t>
      </w:r>
      <w:r>
        <w:rPr>
          <w:rFonts w:eastAsia="Arial" w:cs="Arial"/>
        </w:rPr>
        <w:t>increase</w:t>
      </w:r>
      <w:r w:rsidRPr="78F6E27A">
        <w:rPr>
          <w:rFonts w:eastAsia="Arial" w:cs="Arial"/>
        </w:rPr>
        <w:t xml:space="preserve"> value. To some extent the political and monetary systems, including the special role played by central banks, </w:t>
      </w:r>
      <w:r>
        <w:rPr>
          <w:rFonts w:eastAsia="Arial" w:cs="Arial"/>
        </w:rPr>
        <w:t xml:space="preserve">would need to be evaluated in order to determine how to bring </w:t>
      </w:r>
      <w:r w:rsidRPr="78F6E27A">
        <w:rPr>
          <w:rFonts w:eastAsia="Arial" w:cs="Arial"/>
        </w:rPr>
        <w:t xml:space="preserve">spot FX contracts </w:t>
      </w:r>
      <w:r>
        <w:rPr>
          <w:rFonts w:eastAsia="Arial" w:cs="Arial"/>
        </w:rPr>
        <w:t>with</w:t>
      </w:r>
      <w:r w:rsidRPr="78F6E27A">
        <w:rPr>
          <w:rFonts w:eastAsia="Arial" w:cs="Arial"/>
        </w:rPr>
        <w:t>in the scope of MAR</w:t>
      </w:r>
      <w:r w:rsidR="78F6E27A" w:rsidRPr="78F6E27A">
        <w:rPr>
          <w:rFonts w:eastAsia="Arial" w:cs="Arial"/>
        </w:rPr>
        <w:t xml:space="preserve">.] </w:t>
      </w:r>
    </w:p>
    <w:p w14:paraId="59A09CDD" w14:textId="77777777" w:rsidR="007D5EDB" w:rsidRDefault="0A5769A0" w:rsidP="00503347">
      <w:pPr>
        <w:snapToGrid w:val="0"/>
        <w:spacing w:before="100" w:beforeAutospacing="1" w:after="100" w:afterAutospacing="1"/>
        <w:contextualSpacing/>
        <w:jc w:val="both"/>
      </w:pPr>
      <w:r w:rsidRPr="00FB0E7D">
        <w:t>&lt;ESMA_QUESTION_CP_MAR_2&gt;</w:t>
      </w:r>
    </w:p>
    <w:p w14:paraId="34D59D80" w14:textId="77777777" w:rsidR="00E31031" w:rsidRPr="00FB0E7D" w:rsidRDefault="00E31031" w:rsidP="00503347">
      <w:pPr>
        <w:snapToGrid w:val="0"/>
        <w:spacing w:before="100" w:beforeAutospacing="1" w:after="100" w:afterAutospacing="1"/>
        <w:contextualSpacing/>
        <w:jc w:val="both"/>
      </w:pPr>
    </w:p>
    <w:p w14:paraId="01AEB6DC" w14:textId="77777777" w:rsidR="007D5EDB" w:rsidRPr="00FB0E7D" w:rsidRDefault="007D5EDB" w:rsidP="00503347">
      <w:pPr>
        <w:jc w:val="both"/>
      </w:pPr>
    </w:p>
    <w:p w14:paraId="26A9D0F8" w14:textId="77777777" w:rsidR="007D5EDB" w:rsidRPr="00FB0E7D" w:rsidRDefault="0A5769A0" w:rsidP="00503347">
      <w:pPr>
        <w:pStyle w:val="CPQuestions"/>
      </w:pPr>
      <w:r w:rsidRPr="00FB0E7D">
        <w:lastRenderedPageBreak/>
        <w:t>Do you agree with this analysis? Do you think that the difference between the MAR and BMR definitions raises any market abuse risks and if so what changes might be necessary?</w:t>
      </w:r>
    </w:p>
    <w:p w14:paraId="5BC272AA" w14:textId="77777777" w:rsidR="007D5EDB" w:rsidRPr="00FB0E7D" w:rsidRDefault="0A5769A0" w:rsidP="00503347">
      <w:pPr>
        <w:jc w:val="both"/>
      </w:pPr>
      <w:r w:rsidRPr="00FB0E7D">
        <w:t>&lt;ESMA_QUESTION_CP_MAR_3&gt;</w:t>
      </w:r>
    </w:p>
    <w:p w14:paraId="4DB5D9EB" w14:textId="049F29FE" w:rsidR="007D5EDB" w:rsidRPr="00FB0E7D" w:rsidRDefault="0A5769A0" w:rsidP="00503347">
      <w:pPr>
        <w:jc w:val="both"/>
      </w:pPr>
      <w:r w:rsidRPr="00FC202B">
        <w:rPr>
          <w:rFonts w:cs="Arial"/>
          <w:szCs w:val="20"/>
        </w:rPr>
        <w:t>[</w:t>
      </w:r>
      <w:r w:rsidR="00FC202B" w:rsidRPr="00FC202B">
        <w:rPr>
          <w:rFonts w:cs="Arial"/>
          <w:color w:val="000000"/>
          <w:szCs w:val="20"/>
        </w:rPr>
        <w:t>The unification of definitions is always useful.</w:t>
      </w:r>
      <w:r w:rsidR="00D107B2">
        <w:rPr>
          <w:rFonts w:cs="Arial"/>
          <w:color w:val="000000"/>
          <w:szCs w:val="20"/>
        </w:rPr>
        <w:t xml:space="preserve"> </w:t>
      </w:r>
      <w:r w:rsidR="00D107B2" w:rsidRPr="00FB0E7D">
        <w:t>The definition of a benchmark should be strictly identical in both regulation for very principle reasons</w:t>
      </w:r>
      <w:r w:rsidR="00D107B2">
        <w:t>.</w:t>
      </w:r>
      <w:r w:rsidR="00FC202B" w:rsidRPr="00FC202B">
        <w:rPr>
          <w:rFonts w:cs="Arial"/>
          <w:color w:val="000000"/>
          <w:szCs w:val="20"/>
        </w:rPr>
        <w:t xml:space="preserve"> In this case, </w:t>
      </w:r>
      <w:r w:rsidR="009C6EAD">
        <w:rPr>
          <w:rFonts w:cs="Arial"/>
          <w:color w:val="000000"/>
          <w:szCs w:val="20"/>
        </w:rPr>
        <w:t>DBG strongly supports the</w:t>
      </w:r>
      <w:r w:rsidR="009C6EAD" w:rsidRPr="00FC202B">
        <w:rPr>
          <w:rFonts w:cs="Arial"/>
          <w:color w:val="000000"/>
          <w:szCs w:val="20"/>
        </w:rPr>
        <w:t xml:space="preserve"> </w:t>
      </w:r>
      <w:r w:rsidR="00FC202B" w:rsidRPr="00FC202B">
        <w:rPr>
          <w:rFonts w:cs="Arial"/>
          <w:color w:val="000000"/>
          <w:szCs w:val="20"/>
        </w:rPr>
        <w:t>BMR defi</w:t>
      </w:r>
      <w:r w:rsidR="00AD3184">
        <w:rPr>
          <w:rFonts w:cs="Arial"/>
          <w:color w:val="000000"/>
          <w:szCs w:val="20"/>
        </w:rPr>
        <w:t>ni</w:t>
      </w:r>
      <w:r w:rsidR="00FC202B" w:rsidRPr="00FC202B">
        <w:rPr>
          <w:rFonts w:cs="Arial"/>
          <w:color w:val="000000"/>
          <w:szCs w:val="20"/>
        </w:rPr>
        <w:t xml:space="preserve">tion </w:t>
      </w:r>
      <w:r w:rsidR="009C6EAD">
        <w:rPr>
          <w:rFonts w:cs="Arial"/>
          <w:color w:val="000000"/>
          <w:szCs w:val="20"/>
        </w:rPr>
        <w:t>as the decisive definition.</w:t>
      </w:r>
      <w:r w:rsidR="00FC202B" w:rsidRPr="00FC202B">
        <w:rPr>
          <w:rFonts w:cs="Arial"/>
          <w:color w:val="000000"/>
          <w:szCs w:val="20"/>
        </w:rPr>
        <w:t xml:space="preserve"> Current drafts for an update of the BMR do not seem to include any significant changes to the definition</w:t>
      </w:r>
      <w:r w:rsidR="009C6EAD">
        <w:rPr>
          <w:rFonts w:cs="Arial"/>
          <w:color w:val="000000"/>
          <w:szCs w:val="20"/>
        </w:rPr>
        <w:t>.</w:t>
      </w:r>
      <w:r w:rsidR="007D5EDB" w:rsidRPr="00FB0E7D">
        <w:t>]</w:t>
      </w:r>
    </w:p>
    <w:p w14:paraId="5475F75E" w14:textId="77777777" w:rsidR="007D5EDB" w:rsidRPr="00FB0E7D" w:rsidRDefault="0A5769A0" w:rsidP="00503347">
      <w:pPr>
        <w:jc w:val="both"/>
      </w:pPr>
      <w:r w:rsidRPr="00FB0E7D">
        <w:t>&lt;ESMA_QUESTION_CP_MAR_3&gt;</w:t>
      </w:r>
    </w:p>
    <w:p w14:paraId="4C9FB9AC" w14:textId="77777777" w:rsidR="007D5EDB" w:rsidRPr="00FB0E7D" w:rsidRDefault="007D5EDB" w:rsidP="00503347">
      <w:pPr>
        <w:jc w:val="both"/>
      </w:pPr>
    </w:p>
    <w:p w14:paraId="26A2E43C" w14:textId="77777777" w:rsidR="007D5EDB" w:rsidRPr="00FB0E7D" w:rsidRDefault="0A5769A0" w:rsidP="00503347">
      <w:pPr>
        <w:pStyle w:val="CPQuestions"/>
      </w:pPr>
      <w:r w:rsidRPr="00FB0E7D">
        <w:t>Do you agree that the Article 30 of MAR “Administrative sanctions and other administrative measures” should also make reference to administrators of benchmarks and supervised contributors?</w:t>
      </w:r>
    </w:p>
    <w:p w14:paraId="521AA916" w14:textId="77777777" w:rsidR="007D5EDB" w:rsidRPr="00FB0E7D" w:rsidRDefault="0A5769A0" w:rsidP="00503347">
      <w:pPr>
        <w:jc w:val="both"/>
      </w:pPr>
      <w:r w:rsidRPr="00FB0E7D">
        <w:t>&lt;ESMA_QUESTION_CP_MAR_4&gt;</w:t>
      </w:r>
    </w:p>
    <w:p w14:paraId="63D5A248" w14:textId="5AAC108E" w:rsidR="007D5EDB" w:rsidRPr="00FB0E7D" w:rsidRDefault="0A5769A0" w:rsidP="00503347">
      <w:pPr>
        <w:jc w:val="both"/>
      </w:pPr>
      <w:r w:rsidRPr="00FB0E7D">
        <w:t>[</w:t>
      </w:r>
      <w:r w:rsidR="00AD3184" w:rsidRPr="00FB0E7D">
        <w:t>TYPE YOUR TEXT HERE</w:t>
      </w:r>
      <w:r w:rsidR="00AD3184">
        <w:t>]</w:t>
      </w:r>
    </w:p>
    <w:p w14:paraId="15BF9693" w14:textId="77777777" w:rsidR="007D5EDB" w:rsidRPr="00FB0E7D" w:rsidRDefault="0A5769A0" w:rsidP="00503347">
      <w:pPr>
        <w:jc w:val="both"/>
      </w:pPr>
      <w:r w:rsidRPr="00FB0E7D">
        <w:t>&lt;ESMA_QUESTION_CP_MAR_4&gt;</w:t>
      </w:r>
    </w:p>
    <w:p w14:paraId="720046E3" w14:textId="77777777" w:rsidR="007D5EDB" w:rsidRPr="00FB0E7D" w:rsidRDefault="007D5EDB" w:rsidP="00503347">
      <w:pPr>
        <w:jc w:val="both"/>
      </w:pPr>
    </w:p>
    <w:p w14:paraId="0FAC693B" w14:textId="77777777" w:rsidR="007D5EDB" w:rsidRPr="00FB0E7D" w:rsidRDefault="0A5769A0" w:rsidP="00503347">
      <w:pPr>
        <w:pStyle w:val="CPQuestions"/>
      </w:pPr>
      <w:r w:rsidRPr="00FB0E7D">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p>
    <w:p w14:paraId="644DAC29" w14:textId="77777777" w:rsidR="007D5EDB" w:rsidRPr="00FB0E7D" w:rsidRDefault="0A5769A0" w:rsidP="00503347">
      <w:pPr>
        <w:jc w:val="both"/>
      </w:pPr>
      <w:r w:rsidRPr="00FB0E7D">
        <w:t>&lt;ESMA_QUESTION_CP_MAR_5&gt;</w:t>
      </w:r>
    </w:p>
    <w:p w14:paraId="12D295C9" w14:textId="74177C6A" w:rsidR="007D5EDB" w:rsidRPr="00FB0E7D" w:rsidRDefault="0A5769A0" w:rsidP="00503347">
      <w:pPr>
        <w:jc w:val="both"/>
      </w:pPr>
      <w:r w:rsidRPr="00FB0E7D">
        <w:t>[</w:t>
      </w:r>
      <w:r w:rsidR="00AD3184" w:rsidRPr="00FB0E7D">
        <w:t>TYPE YOUR TEXT HERE</w:t>
      </w:r>
      <w:r w:rsidR="00AD3184">
        <w:t>]</w:t>
      </w:r>
    </w:p>
    <w:p w14:paraId="33C90148" w14:textId="77777777" w:rsidR="007D5EDB" w:rsidRPr="00FB0E7D" w:rsidRDefault="0A5769A0" w:rsidP="00503347">
      <w:pPr>
        <w:jc w:val="both"/>
      </w:pPr>
      <w:r w:rsidRPr="00FB0E7D">
        <w:t>&lt;ESMA_QUESTION_CP_MAR_5&gt;</w:t>
      </w:r>
    </w:p>
    <w:p w14:paraId="41430903" w14:textId="77777777" w:rsidR="007D5EDB" w:rsidRPr="00FB0E7D" w:rsidRDefault="007D5EDB" w:rsidP="00503347">
      <w:pPr>
        <w:jc w:val="both"/>
      </w:pPr>
    </w:p>
    <w:p w14:paraId="43BD9A79" w14:textId="77777777" w:rsidR="007D5EDB" w:rsidRPr="00FB0E7D" w:rsidRDefault="0A5769A0" w:rsidP="00503347">
      <w:pPr>
        <w:pStyle w:val="CPQuestions"/>
      </w:pPr>
      <w:r w:rsidRPr="00FB0E7D">
        <w:t>Do you agree that Article 30 of MAR points (e), (f) and (g) should also make reference to submitters within supervised contributors and assessors within administrators of commodity benchmarks?</w:t>
      </w:r>
    </w:p>
    <w:p w14:paraId="5BDBDA63" w14:textId="77777777" w:rsidR="007D5EDB" w:rsidRPr="00FB0E7D" w:rsidRDefault="0A5769A0" w:rsidP="00503347">
      <w:pPr>
        <w:jc w:val="both"/>
      </w:pPr>
      <w:r w:rsidRPr="00FB0E7D">
        <w:t>&lt;ESMA_QUESTION_CP_MAR_6&gt;</w:t>
      </w:r>
    </w:p>
    <w:p w14:paraId="1C55FE47" w14:textId="1709D040" w:rsidR="007D5EDB" w:rsidRPr="00FB0E7D" w:rsidRDefault="0A5769A0" w:rsidP="00503347">
      <w:pPr>
        <w:jc w:val="both"/>
      </w:pPr>
      <w:r w:rsidRPr="00FB0E7D">
        <w:t>[</w:t>
      </w:r>
      <w:r w:rsidR="00AD3184" w:rsidRPr="00FB0E7D">
        <w:t>TYPE YOUR TEXT HERE</w:t>
      </w:r>
      <w:r w:rsidRPr="00FB0E7D">
        <w:t>]</w:t>
      </w:r>
    </w:p>
    <w:p w14:paraId="2A08BC5E" w14:textId="77777777" w:rsidR="007D5EDB" w:rsidRPr="00FB0E7D" w:rsidRDefault="0A5769A0" w:rsidP="00503347">
      <w:pPr>
        <w:jc w:val="both"/>
      </w:pPr>
      <w:r w:rsidRPr="00FB0E7D">
        <w:t>&lt;ESMA_QUESTION_CP_MAR_6&gt;</w:t>
      </w:r>
    </w:p>
    <w:p w14:paraId="2C2F1C12" w14:textId="77777777" w:rsidR="007D5EDB" w:rsidRPr="00FB0E7D" w:rsidRDefault="007D5EDB" w:rsidP="00503347">
      <w:pPr>
        <w:jc w:val="both"/>
        <w:rPr>
          <w:i/>
        </w:rPr>
      </w:pPr>
    </w:p>
    <w:p w14:paraId="2654A1AD" w14:textId="77777777" w:rsidR="007D5EDB" w:rsidRPr="00FB0E7D" w:rsidRDefault="0A5769A0" w:rsidP="00503347">
      <w:pPr>
        <w:pStyle w:val="CPQuestions"/>
      </w:pPr>
      <w:r w:rsidRPr="00FB0E7D">
        <w:t>Do you agree that there is a need to modify the reporting mechanism under Article 5(3) of MAR? Please justify your position.</w:t>
      </w:r>
    </w:p>
    <w:p w14:paraId="17CB3A19" w14:textId="77777777" w:rsidR="007D5EDB" w:rsidRPr="00FB0E7D" w:rsidRDefault="0A5769A0" w:rsidP="00503347">
      <w:pPr>
        <w:jc w:val="both"/>
      </w:pPr>
      <w:r w:rsidRPr="00FB0E7D">
        <w:t>&lt;ESMA_QUESTION_CP_MAR_7&gt;</w:t>
      </w:r>
    </w:p>
    <w:p w14:paraId="6A809929" w14:textId="34FBC6FC" w:rsidR="007D5EDB" w:rsidRPr="00FB0E7D" w:rsidRDefault="0A5769A0" w:rsidP="00503347">
      <w:pPr>
        <w:jc w:val="both"/>
      </w:pPr>
      <w:r w:rsidRPr="00FB0E7D">
        <w:t>[</w:t>
      </w:r>
      <w:r w:rsidR="00FC202B" w:rsidRPr="00FC202B">
        <w:t>Yes, we agree that there is a need to modify the reporting mechanism as the trading venue on which the shares of the issuer are traded may not always be known to the issuer. Thus, in practice, it can be close to impossible to identify all relevant trading venues which need to be informed in order to comply with the reporting obligation stipulated by Art. 5(3) MAR and Art. 2(2) of the Delegated Regulation.</w:t>
      </w:r>
      <w:r w:rsidRPr="00FB0E7D">
        <w:t>]</w:t>
      </w:r>
    </w:p>
    <w:p w14:paraId="6280B00E" w14:textId="77777777" w:rsidR="007D5EDB" w:rsidRPr="00FB0E7D" w:rsidRDefault="0A5769A0" w:rsidP="00503347">
      <w:pPr>
        <w:jc w:val="both"/>
      </w:pPr>
      <w:r w:rsidRPr="00FB0E7D">
        <w:t>&lt;ESMA_QUESTION_CP_MAR_7&gt;</w:t>
      </w:r>
    </w:p>
    <w:p w14:paraId="7DEEF415" w14:textId="77777777" w:rsidR="007D5EDB" w:rsidRPr="00FB0E7D" w:rsidRDefault="007D5EDB" w:rsidP="00503347">
      <w:pPr>
        <w:jc w:val="both"/>
      </w:pPr>
    </w:p>
    <w:p w14:paraId="5316B227" w14:textId="77777777" w:rsidR="007D5EDB" w:rsidRPr="00FB0E7D" w:rsidRDefault="0A5769A0" w:rsidP="00503347">
      <w:pPr>
        <w:pStyle w:val="CPQuestions"/>
      </w:pPr>
      <w:r w:rsidRPr="00FB0E7D">
        <w:lastRenderedPageBreak/>
        <w:t>If you agree that the reporting mechanism should be modified, do you agree that Option 3 as described is the best way forward? Please justify your position and if you disagree please suggest alternative.</w:t>
      </w:r>
    </w:p>
    <w:p w14:paraId="28BD6AFF" w14:textId="77777777" w:rsidR="007D5EDB" w:rsidRPr="00FB0E7D" w:rsidRDefault="0A5769A0" w:rsidP="00503347">
      <w:pPr>
        <w:jc w:val="both"/>
      </w:pPr>
      <w:r w:rsidRPr="00FB0E7D">
        <w:t>&lt;ESMA_QUESTION_CP_MAR_8&gt;</w:t>
      </w:r>
    </w:p>
    <w:p w14:paraId="05BE708A" w14:textId="48591F59" w:rsidR="007D5EDB" w:rsidRPr="00AD3184" w:rsidRDefault="0A5769A0" w:rsidP="00503347">
      <w:pPr>
        <w:jc w:val="both"/>
        <w:rPr>
          <w:rFonts w:cs="Arial"/>
          <w:szCs w:val="20"/>
        </w:rPr>
      </w:pPr>
      <w:r w:rsidRPr="00AD3184">
        <w:t>[</w:t>
      </w:r>
      <w:r w:rsidR="00AD3184" w:rsidRPr="00AD3184">
        <w:rPr>
          <w:rFonts w:cs="Arial"/>
          <w:szCs w:val="20"/>
        </w:rPr>
        <w:t>We think that Option 2 is the best way forward. Option 3 requires the issuer to report to the NCA of the most relevant market in terms of liquidity which, however, might not be known to the issuer. Option 3 therefore exposes the issuer to uncertainty which can be avoided by implementing Option 2. Option 2 could, like the proposed Option 3, be supplemented with the possibility of other authorities to request from the NCA of the jurisdiction where the issuer requested admission to trading (or approved trading) the transaction data.</w:t>
      </w:r>
      <w:r w:rsidRPr="00AD3184">
        <w:rPr>
          <w:rFonts w:cs="Arial"/>
          <w:szCs w:val="20"/>
        </w:rPr>
        <w:t>]</w:t>
      </w:r>
    </w:p>
    <w:p w14:paraId="75EFFE93" w14:textId="77777777" w:rsidR="007D5EDB" w:rsidRPr="00FB0E7D" w:rsidRDefault="0A5769A0" w:rsidP="00503347">
      <w:pPr>
        <w:jc w:val="both"/>
      </w:pPr>
      <w:r w:rsidRPr="00FB0E7D">
        <w:t>&lt;ESMA_QUESTION_CP_MAR_8&gt;</w:t>
      </w:r>
    </w:p>
    <w:p w14:paraId="13064032" w14:textId="77777777" w:rsidR="007D5EDB" w:rsidRPr="00FB0E7D" w:rsidRDefault="007D5EDB" w:rsidP="00503347">
      <w:pPr>
        <w:jc w:val="both"/>
      </w:pPr>
    </w:p>
    <w:p w14:paraId="71D97C21" w14:textId="77777777" w:rsidR="007D5EDB" w:rsidRPr="00FB0E7D" w:rsidRDefault="0A5769A0" w:rsidP="00503347">
      <w:pPr>
        <w:pStyle w:val="CPQuestions"/>
      </w:pPr>
      <w:r w:rsidRPr="00FB0E7D">
        <w:t>Do you agree to remove the obligation for issuers to report under Article 5(3) of MAR information specified in Article 25(1) and (2) of MiFIR? If not, please explain.</w:t>
      </w:r>
    </w:p>
    <w:p w14:paraId="3F7BE025" w14:textId="77777777" w:rsidR="007D5EDB" w:rsidRPr="00FB0E7D" w:rsidRDefault="0A5769A0" w:rsidP="00503347">
      <w:pPr>
        <w:jc w:val="both"/>
      </w:pPr>
      <w:r w:rsidRPr="00FB0E7D">
        <w:t>&lt;ESMA_QUESTION_CP_MAR_9&gt;</w:t>
      </w:r>
    </w:p>
    <w:p w14:paraId="0E52C37C" w14:textId="77777777" w:rsidR="007D5EDB" w:rsidRPr="00FB0E7D" w:rsidRDefault="0A5769A0" w:rsidP="00503347">
      <w:pPr>
        <w:jc w:val="both"/>
      </w:pPr>
      <w:r w:rsidRPr="00FB0E7D">
        <w:t>[</w:t>
      </w:r>
      <w:r w:rsidRPr="00FB0E7D">
        <w:rPr>
          <w:rFonts w:cs="Arial"/>
          <w:color w:val="000000" w:themeColor="text1"/>
          <w:lang w:eastAsia="zh-CN"/>
        </w:rPr>
        <w:t xml:space="preserve">DBG agrees to the removal of the requirement from Art. 25. </w:t>
      </w:r>
      <w:r w:rsidRPr="00FB0E7D">
        <w:t>If the competent authorities can access the same information, or at least the information necessary for them to conduct their supervision, we do not see any reason to report the same information twice.</w:t>
      </w:r>
    </w:p>
    <w:p w14:paraId="18222FEF" w14:textId="77777777" w:rsidR="007D5EDB" w:rsidRPr="00FB0E7D" w:rsidRDefault="007D5EDB" w:rsidP="00503347">
      <w:pPr>
        <w:jc w:val="both"/>
      </w:pPr>
    </w:p>
    <w:p w14:paraId="7295AD07" w14:textId="77777777" w:rsidR="007D5EDB" w:rsidRPr="00FB0E7D" w:rsidRDefault="0A5769A0" w:rsidP="00503347">
      <w:pPr>
        <w:jc w:val="both"/>
      </w:pPr>
      <w:r w:rsidRPr="00FB0E7D">
        <w:rPr>
          <w:rFonts w:cs="Arial"/>
          <w:color w:val="000000" w:themeColor="text1"/>
          <w:lang w:eastAsia="zh-CN"/>
        </w:rPr>
        <w:t>We do, however, not see a requirement for the provision of information to the NCA under Art. 26 if the same information has to be published at the same time.</w:t>
      </w:r>
      <w:r w:rsidRPr="00FB0E7D">
        <w:t>]</w:t>
      </w:r>
    </w:p>
    <w:p w14:paraId="731BD123" w14:textId="77777777" w:rsidR="007D5EDB" w:rsidRPr="00FB0E7D" w:rsidRDefault="0A5769A0" w:rsidP="00503347">
      <w:pPr>
        <w:jc w:val="both"/>
      </w:pPr>
      <w:r w:rsidRPr="00FB0E7D">
        <w:t>&lt;ESMA_QUESTION_CP_MAR_9&gt;</w:t>
      </w:r>
    </w:p>
    <w:p w14:paraId="0D3325A0" w14:textId="77777777" w:rsidR="007D5EDB" w:rsidRPr="00FB0E7D" w:rsidRDefault="007D5EDB" w:rsidP="00503347">
      <w:pPr>
        <w:jc w:val="both"/>
      </w:pPr>
    </w:p>
    <w:p w14:paraId="7E3732FA" w14:textId="77777777" w:rsidR="007D5EDB" w:rsidRPr="00FB0E7D" w:rsidRDefault="0A5769A0" w:rsidP="00503347">
      <w:pPr>
        <w:pStyle w:val="CPQuestions"/>
      </w:pPr>
      <w:r w:rsidRPr="00FB0E7D">
        <w:t>Do you agree with the list of fields to be reported by the issuers to the NCA? If not, please elaborate.</w:t>
      </w:r>
    </w:p>
    <w:p w14:paraId="26ABA871" w14:textId="77777777" w:rsidR="007D5EDB" w:rsidRPr="00FB0E7D" w:rsidRDefault="0A5769A0" w:rsidP="00503347">
      <w:pPr>
        <w:jc w:val="both"/>
      </w:pPr>
      <w:r w:rsidRPr="00FB0E7D">
        <w:t>&lt;ESMA_QUESTION_CP_MAR_10&gt;</w:t>
      </w:r>
    </w:p>
    <w:p w14:paraId="2269C833" w14:textId="77777777" w:rsidR="007D5EDB" w:rsidRPr="00FB0E7D" w:rsidRDefault="0A5769A0" w:rsidP="00503347">
      <w:pPr>
        <w:jc w:val="both"/>
      </w:pPr>
      <w:r w:rsidRPr="00FB0E7D">
        <w:t>[TYPE YOUR TEXT HERE]</w:t>
      </w:r>
    </w:p>
    <w:p w14:paraId="4F321B80" w14:textId="77777777" w:rsidR="007D5EDB" w:rsidRPr="00FB0E7D" w:rsidRDefault="0A5769A0" w:rsidP="00503347">
      <w:pPr>
        <w:jc w:val="both"/>
      </w:pPr>
      <w:r w:rsidRPr="00FB0E7D">
        <w:t>&lt;ESMA_QUESTION_CP_MAR_10&gt;</w:t>
      </w:r>
    </w:p>
    <w:p w14:paraId="5055E892" w14:textId="77777777" w:rsidR="007D5EDB" w:rsidRPr="00FB0E7D" w:rsidRDefault="007D5EDB" w:rsidP="00503347">
      <w:pPr>
        <w:jc w:val="both"/>
      </w:pPr>
    </w:p>
    <w:p w14:paraId="0AC81889" w14:textId="77777777" w:rsidR="007D5EDB" w:rsidRPr="00FB0E7D" w:rsidRDefault="0A5769A0" w:rsidP="00503347">
      <w:pPr>
        <w:pStyle w:val="CPQuestions"/>
      </w:pPr>
      <w:r w:rsidRPr="00FB0E7D">
        <w:t>Do you agree with ESMA’s preliminary view?</w:t>
      </w:r>
    </w:p>
    <w:p w14:paraId="3961FE09" w14:textId="77777777" w:rsidR="007D5EDB" w:rsidRPr="00FB0E7D" w:rsidRDefault="0A5769A0" w:rsidP="00503347">
      <w:pPr>
        <w:jc w:val="both"/>
      </w:pPr>
      <w:r w:rsidRPr="00FB0E7D">
        <w:t>&lt;ESMA_QUESTION_CP_MAR_11&gt;</w:t>
      </w:r>
    </w:p>
    <w:p w14:paraId="7F5B76EF" w14:textId="04CC862C" w:rsidR="007D5EDB" w:rsidRPr="00AD3184" w:rsidRDefault="0A5769A0" w:rsidP="00503347">
      <w:pPr>
        <w:jc w:val="both"/>
        <w:rPr>
          <w:rFonts w:cs="Arial"/>
          <w:szCs w:val="20"/>
          <w:lang w:val="en-US" w:eastAsia="zh-CN"/>
        </w:rPr>
      </w:pPr>
      <w:r w:rsidRPr="00AD3184">
        <w:rPr>
          <w:rFonts w:cs="Arial"/>
          <w:szCs w:val="20"/>
        </w:rPr>
        <w:t>[</w:t>
      </w:r>
      <w:r w:rsidR="00AD3184" w:rsidRPr="00AD3184">
        <w:rPr>
          <w:rFonts w:cs="Arial"/>
          <w:szCs w:val="20"/>
          <w:lang w:val="en-US" w:eastAsia="zh-CN"/>
        </w:rPr>
        <w:t>Yes, we agree with ESMA's preliminary view that market participants will find more useful data in aggregated form and not find much value in all the details of the transactions previously reported to the NCA.</w:t>
      </w:r>
      <w:r w:rsidRPr="00AD3184">
        <w:rPr>
          <w:rFonts w:cs="Arial"/>
          <w:szCs w:val="20"/>
        </w:rPr>
        <w:t>]</w:t>
      </w:r>
    </w:p>
    <w:p w14:paraId="72EE9C97" w14:textId="77777777" w:rsidR="007D5EDB" w:rsidRPr="00FB0E7D" w:rsidRDefault="0A5769A0" w:rsidP="00503347">
      <w:pPr>
        <w:jc w:val="both"/>
      </w:pPr>
      <w:r w:rsidRPr="00FB0E7D">
        <w:t>&lt;ESMA_QUESTION_CP_MAR_11&gt;</w:t>
      </w:r>
    </w:p>
    <w:p w14:paraId="46FA511B" w14:textId="77777777" w:rsidR="007D5EDB" w:rsidRPr="00FB0E7D" w:rsidRDefault="007D5EDB" w:rsidP="00503347">
      <w:pPr>
        <w:jc w:val="both"/>
      </w:pPr>
    </w:p>
    <w:p w14:paraId="0C064337" w14:textId="77777777" w:rsidR="007D5EDB" w:rsidRPr="00FB0E7D" w:rsidRDefault="0A5769A0" w:rsidP="00503347">
      <w:pPr>
        <w:pStyle w:val="CPQuestions"/>
      </w:pPr>
      <w:r w:rsidRPr="00FB0E7D">
        <w:t>Would you find more useful other aggregated data related to the BBP and if so what aggregated data? Please elaborate.</w:t>
      </w:r>
    </w:p>
    <w:p w14:paraId="674D569E" w14:textId="77777777" w:rsidR="007D5EDB" w:rsidRPr="00FB0E7D" w:rsidRDefault="0A5769A0" w:rsidP="00503347">
      <w:pPr>
        <w:jc w:val="both"/>
      </w:pPr>
      <w:r w:rsidRPr="00FB0E7D">
        <w:t>&lt;ESMA_QUESTION_CP_MAR_12&gt;</w:t>
      </w:r>
    </w:p>
    <w:p w14:paraId="1D00C9BC" w14:textId="77777777" w:rsidR="007D5EDB" w:rsidRPr="00FB0E7D" w:rsidRDefault="0A5769A0" w:rsidP="00503347">
      <w:pPr>
        <w:jc w:val="both"/>
      </w:pPr>
      <w:r w:rsidRPr="00FB0E7D">
        <w:t>[TYPE YOUR TEXT HERE]</w:t>
      </w:r>
    </w:p>
    <w:p w14:paraId="4247FF13" w14:textId="77777777" w:rsidR="007D5EDB" w:rsidRPr="00FB0E7D" w:rsidRDefault="0A5769A0" w:rsidP="00503347">
      <w:pPr>
        <w:jc w:val="both"/>
      </w:pPr>
      <w:r w:rsidRPr="00FB0E7D">
        <w:t>&lt;ESMA_QUESTION_CP_MAR_12&gt;</w:t>
      </w:r>
    </w:p>
    <w:p w14:paraId="5F114435" w14:textId="77777777" w:rsidR="007D5EDB" w:rsidRPr="00FB0E7D" w:rsidRDefault="007D5EDB" w:rsidP="00503347">
      <w:pPr>
        <w:jc w:val="both"/>
      </w:pPr>
    </w:p>
    <w:p w14:paraId="347289F5" w14:textId="77777777" w:rsidR="007D5EDB" w:rsidRPr="00FB0E7D" w:rsidRDefault="0A5769A0" w:rsidP="00503347">
      <w:pPr>
        <w:pStyle w:val="CPQuestions"/>
      </w:pPr>
      <w:r w:rsidRPr="00FB0E7D">
        <w:lastRenderedPageBreak/>
        <w:t>Have market participants experienced any difficulties with identifying what information is inside information and the moment in which information becomes inside information under the current MAR definition?</w:t>
      </w:r>
    </w:p>
    <w:p w14:paraId="29235AA4" w14:textId="77777777" w:rsidR="007D5EDB" w:rsidRPr="00FB0E7D" w:rsidRDefault="0A5769A0" w:rsidP="00503347">
      <w:pPr>
        <w:jc w:val="both"/>
      </w:pPr>
      <w:r w:rsidRPr="00FB0E7D">
        <w:t>&lt;ESMA_QUESTION_CP_MAR_13&gt;</w:t>
      </w:r>
    </w:p>
    <w:p w14:paraId="6BF5DC03" w14:textId="1F09A152" w:rsidR="0008281F" w:rsidRPr="002B43EB" w:rsidRDefault="0A5769A0" w:rsidP="00503347">
      <w:pPr>
        <w:spacing w:after="240"/>
        <w:jc w:val="both"/>
        <w:rPr>
          <w:rFonts w:cs="Arial"/>
          <w:szCs w:val="20"/>
          <w:lang w:val="en-US" w:eastAsia="zh-CN"/>
        </w:rPr>
      </w:pPr>
      <w:r w:rsidRPr="0072451C">
        <w:rPr>
          <w:rFonts w:cs="Arial"/>
          <w:szCs w:val="20"/>
        </w:rPr>
        <w:t>[</w:t>
      </w:r>
      <w:r w:rsidR="0008281F" w:rsidRPr="002B43EB">
        <w:rPr>
          <w:rFonts w:cs="Arial"/>
          <w:szCs w:val="20"/>
          <w:lang w:val="en-US" w:eastAsia="zh-CN"/>
        </w:rPr>
        <w:t>In our opinion the definition of inside information is from an overall perspective adequate and sufficient to identify inside information for the purpose of preventing market abuse. However, there are a number of aspects that are subject of discussions and uncertainty in connection with the definition of inside information. Issuers would therefore benefit from further clarification regarding the following points</w:t>
      </w:r>
      <w:r w:rsidR="00C51873">
        <w:rPr>
          <w:rFonts w:cs="Arial"/>
          <w:strike/>
          <w:szCs w:val="20"/>
          <w:lang w:val="en-US" w:eastAsia="zh-CN"/>
        </w:rPr>
        <w:t>,</w:t>
      </w:r>
      <w:r w:rsidR="00C51873" w:rsidRPr="002B43EB">
        <w:rPr>
          <w:rFonts w:cs="Arial"/>
          <w:strike/>
          <w:szCs w:val="20"/>
          <w:lang w:val="en-US" w:eastAsia="zh-CN"/>
        </w:rPr>
        <w:t xml:space="preserve"> </w:t>
      </w:r>
      <w:r w:rsidR="0008281F" w:rsidRPr="002B43EB">
        <w:rPr>
          <w:rFonts w:cs="Arial"/>
          <w:szCs w:val="20"/>
          <w:lang w:val="en-US" w:eastAsia="zh-CN"/>
        </w:rPr>
        <w:t xml:space="preserve">whereby such clarification does not necessarily have to take the form of actual changes to the MAR text </w:t>
      </w:r>
      <w:r w:rsidR="0099378F" w:rsidRPr="002B43EB">
        <w:rPr>
          <w:rFonts w:cs="Arial"/>
          <w:szCs w:val="20"/>
          <w:lang w:val="en-US" w:eastAsia="zh-CN"/>
        </w:rPr>
        <w:t>itself but</w:t>
      </w:r>
      <w:r w:rsidR="0008281F" w:rsidRPr="002B43EB">
        <w:rPr>
          <w:rFonts w:cs="Arial"/>
          <w:szCs w:val="20"/>
          <w:lang w:val="en-US" w:eastAsia="zh-CN"/>
        </w:rPr>
        <w:t xml:space="preserve"> could rather be facilitated through regulatory or technical standards or ESMA recommendations: </w:t>
      </w:r>
      <w:r w:rsidR="0008281F" w:rsidRPr="002B43EB">
        <w:rPr>
          <w:rFonts w:cs="Arial"/>
          <w:szCs w:val="20"/>
          <w:lang w:val="en-US" w:eastAsia="zh-CN"/>
        </w:rPr>
        <w:br/>
      </w:r>
      <w:r w:rsidR="0008281F" w:rsidRPr="002B43EB">
        <w:rPr>
          <w:rFonts w:cs="Arial"/>
          <w:szCs w:val="20"/>
          <w:lang w:val="en-US" w:eastAsia="zh-CN"/>
        </w:rPr>
        <w:br/>
        <w:t xml:space="preserve">1. The definition of a "significant" effect on the share price has been a matter of uncertainty. What share price movement is significant? The figure of the reasonable investor has been set as a benchmark (Art. 7 (4) MAR). But it is yet unclear, how much of a potential profit would motivate a reasonable investor to react. </w:t>
      </w:r>
    </w:p>
    <w:p w14:paraId="52064D89" w14:textId="77777777" w:rsidR="0008281F" w:rsidRPr="002B43EB" w:rsidRDefault="0008281F" w:rsidP="00503347">
      <w:pPr>
        <w:spacing w:after="240"/>
        <w:jc w:val="both"/>
        <w:rPr>
          <w:rFonts w:cs="Arial"/>
          <w:szCs w:val="20"/>
          <w:lang w:val="en-US" w:eastAsia="zh-CN"/>
        </w:rPr>
      </w:pPr>
      <w:r w:rsidRPr="002B43EB">
        <w:rPr>
          <w:rFonts w:cs="Arial"/>
          <w:szCs w:val="20"/>
          <w:lang w:val="en-US" w:eastAsia="zh-CN"/>
        </w:rPr>
        <w:t xml:space="preserve">BaFin has recently stated in a consultation draft of its module C for new Issuer Guidelines (BaFin Emittentenleitfaden) that a certain profit, no matter how small, would suffice. Consequently, almost any movement of the share price would be relevant. But many issuers feel that the aspect of significance would not be adequately reflected in that case. Moreover, the universe of inside information would be significantly wider, if even the smallest potential profit would be relevant. The definition of "significant" is therefore difficult to interpret and needs clarification. </w:t>
      </w:r>
    </w:p>
    <w:p w14:paraId="417C3D29" w14:textId="339596A1" w:rsidR="0008281F" w:rsidRDefault="0008281F" w:rsidP="00D000AC">
      <w:pPr>
        <w:spacing w:after="240"/>
        <w:jc w:val="both"/>
        <w:rPr>
          <w:rFonts w:cs="Arial"/>
          <w:lang w:val="en-US" w:eastAsia="zh-CN"/>
        </w:rPr>
      </w:pPr>
      <w:r w:rsidRPr="002B43EB">
        <w:rPr>
          <w:rFonts w:cs="Arial"/>
          <w:szCs w:val="20"/>
          <w:lang w:val="en-US" w:eastAsia="zh-CN"/>
        </w:rPr>
        <w:t>Furthermore, it is unclear whether or not a reasonable investor anticipates irrational market reactions and BaFin had stated in the past in its FAQ on Art. 17 MAR that a reasonable investor would also take into account irrational behavior of other investors. This approach, however, would make it impossible for issuer to make a clear ex ante judgement of market reactions/price effects. This could be addressed for example by adding to recital (14) MAR a clarifying statement that a reasonable investor acts in a rational manner.</w:t>
      </w:r>
      <w:r w:rsidRPr="002B43EB">
        <w:rPr>
          <w:rFonts w:cs="Arial"/>
          <w:szCs w:val="20"/>
          <w:lang w:val="en-US" w:eastAsia="zh-CN"/>
        </w:rPr>
        <w:br/>
      </w:r>
      <w:r w:rsidRPr="002B43EB">
        <w:rPr>
          <w:rFonts w:cs="Arial"/>
          <w:szCs w:val="20"/>
          <w:lang w:val="en-US" w:eastAsia="zh-CN"/>
        </w:rPr>
        <w:br/>
      </w:r>
      <w:r w:rsidRPr="5D72722E">
        <w:rPr>
          <w:rFonts w:cs="Arial"/>
          <w:lang w:val="en-US" w:eastAsia="zh-CN"/>
        </w:rPr>
        <w:t xml:space="preserve">2. It should also be clarified in Art. 7(1) MAR that issuers only have to evaluate potential price effects on financial instruments issued by themselves, but not on (derivative) financial instruments that are issued by third parties. In many cases, the issuer will not be aware of all </w:t>
      </w:r>
      <w:r w:rsidR="00770402" w:rsidRPr="5D72722E">
        <w:rPr>
          <w:rFonts w:cs="Arial"/>
          <w:lang w:val="en-US" w:eastAsia="zh-CN"/>
        </w:rPr>
        <w:t xml:space="preserve">existing </w:t>
      </w:r>
      <w:r w:rsidRPr="5D72722E">
        <w:rPr>
          <w:rFonts w:cs="Arial"/>
          <w:lang w:val="en-US" w:eastAsia="zh-CN"/>
        </w:rPr>
        <w:t>derivative financial instruments that ar</w:t>
      </w:r>
      <w:r w:rsidR="5D72722E" w:rsidRPr="5D72722E">
        <w:rPr>
          <w:rFonts w:cs="Arial"/>
          <w:lang w:val="en-US" w:eastAsia="zh-CN"/>
        </w:rPr>
        <w:t>e</w:t>
      </w:r>
      <w:r w:rsidR="00CF7CAC" w:rsidRPr="5D72722E">
        <w:rPr>
          <w:rFonts w:cs="Arial"/>
          <w:lang w:val="en-US" w:eastAsia="zh-CN"/>
        </w:rPr>
        <w:t xml:space="preserve"> </w:t>
      </w:r>
      <w:r w:rsidRPr="5D72722E">
        <w:rPr>
          <w:rFonts w:cs="Arial"/>
          <w:lang w:val="en-US" w:eastAsia="zh-CN"/>
        </w:rPr>
        <w:t xml:space="preserve">related to </w:t>
      </w:r>
      <w:r w:rsidR="00770402" w:rsidRPr="5D72722E">
        <w:rPr>
          <w:rFonts w:cs="Arial"/>
          <w:lang w:val="en-US" w:eastAsia="zh-CN"/>
        </w:rPr>
        <w:t xml:space="preserve">its </w:t>
      </w:r>
      <w:r w:rsidRPr="5D72722E">
        <w:rPr>
          <w:rFonts w:cs="Arial"/>
          <w:lang w:val="en-US" w:eastAsia="zh-CN"/>
        </w:rPr>
        <w:t xml:space="preserve">own financial instruments. </w:t>
      </w:r>
      <w:r w:rsidRPr="002B43EB">
        <w:rPr>
          <w:rFonts w:cs="Arial"/>
          <w:szCs w:val="20"/>
          <w:lang w:val="en-US" w:eastAsia="zh-CN"/>
        </w:rPr>
        <w:br/>
      </w:r>
      <w:r w:rsidRPr="002B43EB">
        <w:rPr>
          <w:rFonts w:cs="Arial"/>
          <w:szCs w:val="20"/>
          <w:lang w:val="en-US" w:eastAsia="zh-CN"/>
        </w:rPr>
        <w:br/>
      </w:r>
      <w:r w:rsidRPr="5D72722E">
        <w:rPr>
          <w:rFonts w:cs="Arial"/>
          <w:lang w:val="en-US" w:eastAsia="zh-CN"/>
        </w:rPr>
        <w:t>3. a) In many cases inside information develops over a period of time, i.e. it occurs in stages of a protracted process. Having in mind a ruling of the ECJ (Geltl./.Daimler), MAR tried to clarify that not any stage of a protracted process can and should be considered as inside information. However, the newly introduced definition and recitals around protracted processes leave it still unclear in which circumstances an intermediate step can by itself deemed to be inside information. Especially, the relationship between the probability of the final result and the probability of the intermediate step is highly unclear, especially the application of a probability-magnitude-test in this regard. Even worse, issuers feel increased pressure to assume inside information in too early stages of protracted processes. It should therefore be clarified that an intermediate step usually cannot be classified as inside information as long as the final result cannot be reasonably expected to occur. The only exception should be if the intermediate step represents an inside information in itself, fully satisfying all criteria for inside information as defined in Art. 7 (1) MAR.</w:t>
      </w:r>
      <w:r w:rsidRPr="002B43EB">
        <w:rPr>
          <w:rFonts w:cs="Arial"/>
          <w:szCs w:val="20"/>
          <w:lang w:val="en-US" w:eastAsia="zh-CN"/>
        </w:rPr>
        <w:br/>
      </w:r>
      <w:r w:rsidRPr="002B43EB">
        <w:rPr>
          <w:rFonts w:cs="Arial"/>
          <w:szCs w:val="20"/>
          <w:lang w:val="en-US" w:eastAsia="zh-CN"/>
        </w:rPr>
        <w:br/>
      </w:r>
      <w:r w:rsidRPr="5D72722E">
        <w:rPr>
          <w:rFonts w:cs="Arial"/>
          <w:lang w:val="en-US" w:eastAsia="zh-CN"/>
        </w:rPr>
        <w:t>b) Furthermore, the Lafonta decision has induced questions on whether an information can be precise if the direction the stock</w:t>
      </w:r>
      <w:r w:rsidR="00C16F51" w:rsidRPr="5D72722E">
        <w:rPr>
          <w:rFonts w:cs="Arial"/>
          <w:lang w:val="en-US" w:eastAsia="zh-CN"/>
        </w:rPr>
        <w:t xml:space="preserve"> </w:t>
      </w:r>
      <w:r w:rsidRPr="5D72722E">
        <w:rPr>
          <w:rFonts w:cs="Arial"/>
          <w:lang w:val="en-US" w:eastAsia="zh-CN"/>
        </w:rPr>
        <w:t xml:space="preserve">price will take cannot be anticipated. The Lafonta decision has created much uncertainty and it would be most helpful if the ESMA could comment on the subject. </w:t>
      </w:r>
      <w:r w:rsidRPr="002B43EB">
        <w:rPr>
          <w:rFonts w:cs="Arial"/>
          <w:szCs w:val="20"/>
          <w:lang w:val="en-US" w:eastAsia="zh-CN"/>
        </w:rPr>
        <w:br/>
      </w:r>
      <w:r w:rsidRPr="002B43EB">
        <w:rPr>
          <w:rFonts w:cs="Arial"/>
          <w:szCs w:val="20"/>
          <w:lang w:val="en-US" w:eastAsia="zh-CN"/>
        </w:rPr>
        <w:br/>
      </w:r>
      <w:r w:rsidRPr="5D72722E">
        <w:rPr>
          <w:rFonts w:cs="Arial"/>
          <w:lang w:val="en-US" w:eastAsia="zh-CN"/>
        </w:rPr>
        <w:t>c) Inside information in connection with financial (interim) reporting and outlooks</w:t>
      </w:r>
      <w:r w:rsidRPr="002B43EB">
        <w:rPr>
          <w:rFonts w:cs="Arial"/>
          <w:szCs w:val="20"/>
          <w:lang w:val="en-US" w:eastAsia="zh-CN"/>
        </w:rPr>
        <w:br/>
      </w:r>
      <w:r w:rsidRPr="5D72722E">
        <w:rPr>
          <w:rFonts w:cs="Arial"/>
          <w:lang w:val="en-US" w:eastAsia="zh-CN"/>
        </w:rPr>
        <w:t>Preliminary figures in relation to financial (interim) reporting and outlooks may, under certain circumstances, be classified as inside information. However, the criteria for the assessment are unclear, in particular there is no sufficient legal certainty on the benchmarks that are to be applied. It should be clarified that the question whether the issuer maintains its full year guidance should be the relevant benchmark.</w:t>
      </w:r>
      <w:r w:rsidR="0A5769A0" w:rsidRPr="5D72722E">
        <w:rPr>
          <w:rFonts w:cs="Arial"/>
        </w:rPr>
        <w:t>]</w:t>
      </w:r>
    </w:p>
    <w:p w14:paraId="16A71AF0" w14:textId="50F77CD1" w:rsidR="007D5EDB" w:rsidRPr="0008281F" w:rsidRDefault="0A5769A0" w:rsidP="00503347">
      <w:pPr>
        <w:snapToGrid w:val="0"/>
        <w:jc w:val="both"/>
        <w:rPr>
          <w:rFonts w:cs="Arial"/>
          <w:szCs w:val="20"/>
          <w:lang w:val="en-US" w:eastAsia="zh-CN"/>
        </w:rPr>
      </w:pPr>
      <w:r w:rsidRPr="00FB0E7D">
        <w:lastRenderedPageBreak/>
        <w:t>&lt;ESMA_QUESTION_CP_MAR_13&gt;</w:t>
      </w:r>
    </w:p>
    <w:p w14:paraId="23C12F66" w14:textId="77777777" w:rsidR="007D5EDB" w:rsidRPr="00FB0E7D" w:rsidRDefault="007D5EDB" w:rsidP="00503347">
      <w:pPr>
        <w:jc w:val="both"/>
      </w:pPr>
    </w:p>
    <w:p w14:paraId="45441719" w14:textId="77777777" w:rsidR="007D5EDB" w:rsidRPr="00FB0E7D" w:rsidRDefault="0A5769A0" w:rsidP="00503347">
      <w:pPr>
        <w:pStyle w:val="CPQuestions"/>
      </w:pPr>
      <w:r w:rsidRPr="00FB0E7D">
        <w:t>Do market participants consider that the definition of inside information is sufficient for combatting market abuse?</w:t>
      </w:r>
    </w:p>
    <w:p w14:paraId="6036F904" w14:textId="77777777" w:rsidR="007D5EDB" w:rsidRPr="00FB0E7D" w:rsidRDefault="0A5769A0" w:rsidP="00503347">
      <w:pPr>
        <w:jc w:val="both"/>
      </w:pPr>
      <w:r w:rsidRPr="00FB0E7D">
        <w:t>&lt;ESMA_QUESTION_CP_MAR_14&gt;</w:t>
      </w:r>
    </w:p>
    <w:p w14:paraId="37FBED9D" w14:textId="6A5B3497" w:rsidR="007D5EDB" w:rsidRPr="00FB0E7D" w:rsidRDefault="0A5769A0" w:rsidP="00503347">
      <w:pPr>
        <w:jc w:val="both"/>
      </w:pPr>
      <w:r w:rsidRPr="0072451C">
        <w:rPr>
          <w:rFonts w:cs="Arial"/>
          <w:szCs w:val="20"/>
        </w:rPr>
        <w:t>[</w:t>
      </w:r>
      <w:r w:rsidR="0008281F" w:rsidRPr="002B43EB">
        <w:rPr>
          <w:rFonts w:cs="Arial"/>
          <w:szCs w:val="20"/>
          <w:lang w:val="en-US" w:eastAsia="zh-CN"/>
        </w:rPr>
        <w:t>From our perspective the definition is sufficiently wide to combat market abuse.</w:t>
      </w:r>
      <w:r w:rsidR="00C16F51">
        <w:rPr>
          <w:rFonts w:cs="Arial"/>
          <w:szCs w:val="20"/>
          <w:lang w:val="en-US" w:eastAsia="zh-CN"/>
        </w:rPr>
        <w:t xml:space="preserve"> </w:t>
      </w:r>
      <w:r w:rsidR="0008281F" w:rsidRPr="002B43EB">
        <w:t xml:space="preserve">Except for the recommendation we made in Q13, we recommend </w:t>
      </w:r>
      <w:r w:rsidR="00685988" w:rsidRPr="002B43EB">
        <w:t>keeping</w:t>
      </w:r>
      <w:r w:rsidR="0008281F" w:rsidRPr="002B43EB">
        <w:t xml:space="preserve"> the definition unchanged. Moreover, it would be beneficial to exclude power and natural gas from the scope of MAR as a tailor-made regime already exists (REMIT). Matters of overlap would not need to be discussed if a single jurisdiction applies only</w:t>
      </w:r>
      <w:r w:rsidR="0008281F">
        <w:t>.</w:t>
      </w:r>
      <w:r w:rsidRPr="00FB0E7D">
        <w:rPr>
          <w:rFonts w:cs="Arial"/>
        </w:rPr>
        <w:t>]</w:t>
      </w:r>
    </w:p>
    <w:p w14:paraId="56D76DBC" w14:textId="77777777" w:rsidR="007D5EDB" w:rsidRPr="00FB0E7D" w:rsidRDefault="0A5769A0" w:rsidP="00503347">
      <w:pPr>
        <w:jc w:val="both"/>
      </w:pPr>
      <w:r w:rsidRPr="00FB0E7D">
        <w:t>&lt;ESMA_QUESTION_CP_MAR_14&gt;</w:t>
      </w:r>
    </w:p>
    <w:p w14:paraId="2199AD00" w14:textId="77777777" w:rsidR="007D5EDB" w:rsidRPr="00FB0E7D" w:rsidRDefault="007D5EDB" w:rsidP="00503347">
      <w:pPr>
        <w:jc w:val="both"/>
      </w:pPr>
    </w:p>
    <w:p w14:paraId="1F8E9B77" w14:textId="77777777" w:rsidR="007D5EDB" w:rsidRPr="00FB0E7D" w:rsidRDefault="0A5769A0" w:rsidP="00503347">
      <w:pPr>
        <w:pStyle w:val="CPQuestions"/>
      </w:pPr>
      <w:r w:rsidRPr="00FB0E7D">
        <w:t>In particular, have market participants identified information that they would consider as inside information, but which is not covered by the current definition of inside information?</w:t>
      </w:r>
    </w:p>
    <w:p w14:paraId="3CEEDC21" w14:textId="77777777" w:rsidR="007D5EDB" w:rsidRPr="00FB0E7D" w:rsidRDefault="0A5769A0" w:rsidP="00503347">
      <w:pPr>
        <w:jc w:val="both"/>
      </w:pPr>
      <w:r w:rsidRPr="00FB0E7D">
        <w:t>&lt;ESMA_QUESTION_CP_MAR_15&gt;</w:t>
      </w:r>
    </w:p>
    <w:p w14:paraId="327FA4CC" w14:textId="77777777" w:rsidR="007D5EDB" w:rsidRPr="00FB0E7D" w:rsidRDefault="0A5769A0" w:rsidP="00503347">
      <w:pPr>
        <w:jc w:val="both"/>
      </w:pPr>
      <w:r w:rsidRPr="00FB0E7D">
        <w:t>[No, we have not.]</w:t>
      </w:r>
    </w:p>
    <w:p w14:paraId="65E1F289" w14:textId="77777777" w:rsidR="007D5EDB" w:rsidRPr="00FB0E7D" w:rsidRDefault="0A5769A0" w:rsidP="00503347">
      <w:pPr>
        <w:jc w:val="both"/>
      </w:pPr>
      <w:r w:rsidRPr="00FB0E7D">
        <w:t>&lt;ESMA_QUESTION_CP_MAR_15&gt;</w:t>
      </w:r>
    </w:p>
    <w:p w14:paraId="2822561A" w14:textId="77777777" w:rsidR="007D5EDB" w:rsidRPr="00FB0E7D" w:rsidRDefault="007D5EDB" w:rsidP="00503347">
      <w:pPr>
        <w:jc w:val="both"/>
      </w:pPr>
    </w:p>
    <w:p w14:paraId="484DDF3D" w14:textId="77777777" w:rsidR="007D5EDB" w:rsidRPr="00FB0E7D" w:rsidRDefault="0A5769A0" w:rsidP="00503347">
      <w:pPr>
        <w:pStyle w:val="CPQuestions"/>
      </w:pPr>
      <w:r w:rsidRPr="00FB0E7D">
        <w:t>Have market participants identified inside information on commodity derivatives which is not included in the current definition of Article 7(1)(b) of MAR?</w:t>
      </w:r>
    </w:p>
    <w:p w14:paraId="6E79FF0C" w14:textId="77777777" w:rsidR="007D5EDB" w:rsidRPr="00FB0E7D" w:rsidRDefault="0A5769A0" w:rsidP="00503347">
      <w:pPr>
        <w:jc w:val="both"/>
      </w:pPr>
      <w:r w:rsidRPr="00FB0E7D">
        <w:t>&lt;ESMA_QUESTION_CP_MAR_16&gt;</w:t>
      </w:r>
    </w:p>
    <w:p w14:paraId="593A7208" w14:textId="77777777" w:rsidR="007D5EDB" w:rsidRPr="00FB0E7D" w:rsidRDefault="0A5769A0" w:rsidP="00503347">
      <w:pPr>
        <w:jc w:val="both"/>
      </w:pPr>
      <w:r w:rsidRPr="00FB0E7D">
        <w:t>[TYPE YOUR TEXT HERE]</w:t>
      </w:r>
    </w:p>
    <w:p w14:paraId="323594B8" w14:textId="77777777" w:rsidR="007D5EDB" w:rsidRPr="00FB0E7D" w:rsidRDefault="0A5769A0" w:rsidP="00503347">
      <w:pPr>
        <w:jc w:val="both"/>
      </w:pPr>
      <w:r w:rsidRPr="00FB0E7D">
        <w:t>&lt;ESMA_QUESTION_CP_MAR_16&gt;</w:t>
      </w:r>
    </w:p>
    <w:p w14:paraId="4C971B54" w14:textId="77777777" w:rsidR="007D5EDB" w:rsidRPr="00FB0E7D" w:rsidRDefault="007D5EDB" w:rsidP="00503347">
      <w:pPr>
        <w:jc w:val="both"/>
      </w:pPr>
    </w:p>
    <w:p w14:paraId="5C00401A" w14:textId="77777777" w:rsidR="007D5EDB" w:rsidRPr="00FB0E7D" w:rsidRDefault="0A5769A0" w:rsidP="00503347">
      <w:pPr>
        <w:pStyle w:val="CPQuestions"/>
      </w:pPr>
      <w:r w:rsidRPr="00FB0E7D">
        <w:t>What is an appropriate balance between the scope of inside information relating to commodity derivatives and allowing commodity producers to undertake hedging transactions on the basis of that information, to enable them to carry out their commercial activities and to support the effective functioning of the market?</w:t>
      </w:r>
    </w:p>
    <w:p w14:paraId="10A81671" w14:textId="77777777" w:rsidR="007D5EDB" w:rsidRPr="00FB0E7D" w:rsidRDefault="0A5769A0" w:rsidP="00503347">
      <w:pPr>
        <w:jc w:val="both"/>
      </w:pPr>
      <w:r w:rsidRPr="00FB0E7D">
        <w:t>&lt;ESMA_QUESTION_CP_MAR_17&gt;</w:t>
      </w:r>
    </w:p>
    <w:p w14:paraId="1014AECB" w14:textId="77777777" w:rsidR="000139ED" w:rsidRPr="0016366E" w:rsidRDefault="0A5769A0" w:rsidP="00503347">
      <w:pPr>
        <w:jc w:val="both"/>
        <w:rPr>
          <w:rFonts w:cs="Arial"/>
          <w:szCs w:val="20"/>
          <w:lang w:eastAsia="fr-FR"/>
        </w:rPr>
      </w:pPr>
      <w:r w:rsidRPr="00FB0E7D">
        <w:t>[</w:t>
      </w:r>
      <w:r w:rsidRPr="0016366E">
        <w:rPr>
          <w:rFonts w:cs="Arial"/>
          <w:szCs w:val="20"/>
        </w:rPr>
        <w:t>There is an inherent challenge with including commodity derivatives under MAR, as commodities markets, and to some extent the commodity derivatives markets, have different characteristics, purposes and market participants.</w:t>
      </w:r>
      <w:r w:rsidRPr="0016366E">
        <w:rPr>
          <w:rFonts w:cs="Arial"/>
          <w:szCs w:val="20"/>
          <w:lang w:eastAsia="fr-FR"/>
        </w:rPr>
        <w:t xml:space="preserve"> </w:t>
      </w:r>
    </w:p>
    <w:p w14:paraId="04825DEB" w14:textId="77777777" w:rsidR="000139ED" w:rsidRPr="0016366E" w:rsidRDefault="000139ED" w:rsidP="00503347">
      <w:pPr>
        <w:jc w:val="both"/>
        <w:rPr>
          <w:rFonts w:cs="Arial"/>
          <w:iCs/>
          <w:szCs w:val="20"/>
          <w:lang w:eastAsia="fr-FR"/>
        </w:rPr>
      </w:pPr>
    </w:p>
    <w:p w14:paraId="1B719D3B" w14:textId="50D728F0" w:rsidR="007D5EDB" w:rsidRPr="00685988" w:rsidRDefault="0A5769A0" w:rsidP="00503347">
      <w:pPr>
        <w:jc w:val="both"/>
        <w:rPr>
          <w:rFonts w:cs="Arial"/>
        </w:rPr>
      </w:pPr>
      <w:r w:rsidRPr="0016366E">
        <w:rPr>
          <w:rFonts w:cs="Arial"/>
          <w:szCs w:val="20"/>
          <w:lang w:eastAsia="fr-FR"/>
        </w:rPr>
        <w:t xml:space="preserve">The primary purpose of commodity derivatives markets is to offer hedging possibilities, between commercial participants or against financial players accepting to get the risk transferred: as far as agricultural listed derivatives are concerned, the priority should </w:t>
      </w:r>
      <w:r w:rsidRPr="00685988">
        <w:rPr>
          <w:rFonts w:cs="Arial"/>
          <w:szCs w:val="20"/>
          <w:lang w:eastAsia="fr-FR"/>
        </w:rPr>
        <w:t>remain to give comfort to commercial participants that they can perform their hedging interventions without being exposed to regulatory uncertainty via too wide a definition in a domain where disciplinary case-law is</w:t>
      </w:r>
      <w:r w:rsidR="0038532B" w:rsidRPr="00685988">
        <w:rPr>
          <w:rFonts w:cs="Arial"/>
          <w:szCs w:val="20"/>
          <w:lang w:eastAsia="fr-FR"/>
        </w:rPr>
        <w:t xml:space="preserve">. </w:t>
      </w:r>
      <w:r w:rsidR="0038532B" w:rsidRPr="00685988">
        <w:rPr>
          <w:rFonts w:cs="Arial"/>
          <w:szCs w:val="20"/>
          <w:lang w:val="en-US"/>
        </w:rPr>
        <w:t>When</w:t>
      </w:r>
      <w:r w:rsidR="0038532B" w:rsidRPr="00685988">
        <w:rPr>
          <w:rFonts w:cs="Arial"/>
          <w:lang w:val="en-US"/>
        </w:rPr>
        <w:t xml:space="preserve"> it comes to energy, REMIT provides the necessary clarity. Therefore, we believe the definition in MAR should be wider or at least be aligned/harmonized with REMIT.</w:t>
      </w:r>
      <w:r w:rsidRPr="00685988">
        <w:rPr>
          <w:rFonts w:cs="Arial"/>
        </w:rPr>
        <w:t>]</w:t>
      </w:r>
    </w:p>
    <w:p w14:paraId="70A9B267" w14:textId="77777777" w:rsidR="007D5EDB" w:rsidRPr="00FB0E7D" w:rsidRDefault="0A5769A0" w:rsidP="00503347">
      <w:pPr>
        <w:jc w:val="both"/>
      </w:pPr>
      <w:r w:rsidRPr="00FB0E7D">
        <w:t>&lt;ESMA_QUESTION_CP_MAR_17&gt;</w:t>
      </w:r>
    </w:p>
    <w:p w14:paraId="392E0EAE" w14:textId="77777777" w:rsidR="007D5EDB" w:rsidRPr="00FB0E7D" w:rsidRDefault="007D5EDB" w:rsidP="00503347">
      <w:pPr>
        <w:jc w:val="both"/>
      </w:pPr>
    </w:p>
    <w:p w14:paraId="36F60D64" w14:textId="77777777" w:rsidR="007D5EDB" w:rsidRPr="00FB0E7D" w:rsidRDefault="0A5769A0" w:rsidP="00503347">
      <w:pPr>
        <w:pStyle w:val="CPQuestions"/>
      </w:pPr>
      <w:r w:rsidRPr="00FB0E7D">
        <w:lastRenderedPageBreak/>
        <w:t>As of today, does the current definition of Article 7(1)(b) of MAR allow commodity producers to hedge their commercial activities? In this respect, please provide information on hedging difficulties encountered.</w:t>
      </w:r>
    </w:p>
    <w:p w14:paraId="186C898D" w14:textId="77777777" w:rsidR="007D5EDB" w:rsidRPr="00FB0E7D" w:rsidRDefault="0A5769A0" w:rsidP="00503347">
      <w:pPr>
        <w:jc w:val="both"/>
      </w:pPr>
      <w:r w:rsidRPr="00FB0E7D">
        <w:t>&lt;ESMA_QUESTION_CP_MAR_18&gt;</w:t>
      </w:r>
    </w:p>
    <w:p w14:paraId="16E59FFF" w14:textId="77777777" w:rsidR="007D5EDB" w:rsidRPr="00FB0E7D" w:rsidRDefault="0A5769A0" w:rsidP="00503347">
      <w:pPr>
        <w:jc w:val="both"/>
      </w:pPr>
      <w:r w:rsidRPr="00FB0E7D">
        <w:t>[TYPE YOUR TEXT HERE]</w:t>
      </w:r>
    </w:p>
    <w:p w14:paraId="0237AED7" w14:textId="77777777" w:rsidR="007D5EDB" w:rsidRPr="00FB0E7D" w:rsidRDefault="0A5769A0" w:rsidP="00503347">
      <w:pPr>
        <w:jc w:val="both"/>
      </w:pPr>
      <w:r w:rsidRPr="00FB0E7D">
        <w:t>&lt;ESMA_QUESTION_CP_MAR_18&gt;</w:t>
      </w:r>
    </w:p>
    <w:p w14:paraId="2D3B203C" w14:textId="77777777" w:rsidR="007D5EDB" w:rsidRPr="00FB0E7D" w:rsidRDefault="007D5EDB" w:rsidP="00503347">
      <w:pPr>
        <w:jc w:val="both"/>
      </w:pPr>
    </w:p>
    <w:p w14:paraId="50506521" w14:textId="77777777" w:rsidR="007D5EDB" w:rsidRPr="00FB0E7D" w:rsidRDefault="0A5769A0" w:rsidP="00503347">
      <w:pPr>
        <w:pStyle w:val="CPQuestions"/>
      </w:pPr>
      <w:r w:rsidRPr="00FB0E7D">
        <w:t>Please provide your views on whether the general definition of inside information of Article 7(1)(a) of MAR could be used for commodity derivatives. In such case, would safeguards enabling commodity producers to undertake hedging transactions based on proprietary inside information related to their commercial activities be needed? Which types of safeguards would you envisage?</w:t>
      </w:r>
    </w:p>
    <w:p w14:paraId="374490D6" w14:textId="77777777" w:rsidR="007D5EDB" w:rsidRPr="00FB0E7D" w:rsidRDefault="0A5769A0" w:rsidP="00503347">
      <w:pPr>
        <w:jc w:val="both"/>
      </w:pPr>
      <w:r w:rsidRPr="00FB0E7D">
        <w:t>&lt;ESMA_QUESTION_CP_MAR_19&gt;</w:t>
      </w:r>
    </w:p>
    <w:p w14:paraId="5C752028" w14:textId="77777777" w:rsidR="007D5EDB" w:rsidRPr="00FB0E7D" w:rsidRDefault="0A5769A0" w:rsidP="00503347">
      <w:pPr>
        <w:jc w:val="both"/>
      </w:pPr>
      <w:r w:rsidRPr="00FB0E7D">
        <w:t>[TYPE YOUR TEXT HERE]</w:t>
      </w:r>
    </w:p>
    <w:p w14:paraId="145F8423" w14:textId="77777777" w:rsidR="007D5EDB" w:rsidRPr="00FB0E7D" w:rsidRDefault="0A5769A0" w:rsidP="00503347">
      <w:pPr>
        <w:jc w:val="both"/>
      </w:pPr>
      <w:r w:rsidRPr="00FB0E7D">
        <w:t>&lt;ESMA_QUESTION_CP_MAR_19&gt;</w:t>
      </w:r>
    </w:p>
    <w:p w14:paraId="2F5CF1E1" w14:textId="77777777" w:rsidR="007D5EDB" w:rsidRPr="00FB0E7D" w:rsidRDefault="007D5EDB" w:rsidP="00503347">
      <w:pPr>
        <w:jc w:val="both"/>
      </w:pPr>
    </w:p>
    <w:p w14:paraId="1BB8234D" w14:textId="77777777" w:rsidR="007D5EDB" w:rsidRPr="00FB0E7D" w:rsidRDefault="0A5769A0" w:rsidP="00503347">
      <w:pPr>
        <w:pStyle w:val="CPQuestions"/>
      </w:pPr>
      <w:r w:rsidRPr="00FB0E7D">
        <w:t>What changes could be made to include other cases of front running?</w:t>
      </w:r>
    </w:p>
    <w:p w14:paraId="022EFD4B" w14:textId="77777777" w:rsidR="007D5EDB" w:rsidRPr="00FB0E7D" w:rsidRDefault="0A5769A0" w:rsidP="00503347">
      <w:pPr>
        <w:jc w:val="both"/>
      </w:pPr>
      <w:r w:rsidRPr="00FB0E7D">
        <w:t>&lt;ESMA_QUESTION_CP_MAR_20&gt;</w:t>
      </w:r>
    </w:p>
    <w:p w14:paraId="52813B45" w14:textId="77777777" w:rsidR="00D000AC" w:rsidRPr="00FB0E7D" w:rsidRDefault="00D000AC" w:rsidP="00D000AC">
      <w:pPr>
        <w:jc w:val="both"/>
      </w:pPr>
      <w:r w:rsidRPr="00FB0E7D">
        <w:t>[TYPE YOUR TEXT HERE]</w:t>
      </w:r>
    </w:p>
    <w:p w14:paraId="5CDA1806" w14:textId="77777777" w:rsidR="007D5EDB" w:rsidRPr="00FB0E7D" w:rsidRDefault="0A5769A0" w:rsidP="00503347">
      <w:pPr>
        <w:jc w:val="both"/>
      </w:pPr>
      <w:r w:rsidRPr="00FB0E7D">
        <w:t>&lt;ESMA_QUESTION_CP_MAR_20&gt;</w:t>
      </w:r>
    </w:p>
    <w:p w14:paraId="35D892EB" w14:textId="77777777" w:rsidR="007D5EDB" w:rsidRPr="00FB0E7D" w:rsidRDefault="007D5EDB" w:rsidP="00503347">
      <w:pPr>
        <w:jc w:val="both"/>
      </w:pPr>
    </w:p>
    <w:p w14:paraId="50891B0F" w14:textId="77777777" w:rsidR="007D5EDB" w:rsidRPr="00FB0E7D" w:rsidRDefault="0A5769A0" w:rsidP="00503347">
      <w:pPr>
        <w:pStyle w:val="CPQuestions"/>
      </w:pPr>
      <w:r w:rsidRPr="00FB0E7D">
        <w:t>Do you consider that specific conditions should be added in MAR to cover front-running on financial instruments which have an illiquid market?</w:t>
      </w:r>
    </w:p>
    <w:p w14:paraId="36DFF88C" w14:textId="77777777" w:rsidR="007D5EDB" w:rsidRPr="00FB0E7D" w:rsidRDefault="0A5769A0" w:rsidP="00503347">
      <w:pPr>
        <w:jc w:val="both"/>
      </w:pPr>
      <w:r w:rsidRPr="00FB0E7D">
        <w:t>&lt;ESMA_QUESTION_CP_MAR_21&gt;</w:t>
      </w:r>
    </w:p>
    <w:p w14:paraId="1C9E9834" w14:textId="77777777" w:rsidR="00D000AC" w:rsidRPr="00FB0E7D" w:rsidRDefault="00D000AC" w:rsidP="00D000AC">
      <w:pPr>
        <w:jc w:val="both"/>
      </w:pPr>
      <w:r w:rsidRPr="00FB0E7D">
        <w:t>[TYPE YOUR TEXT HERE]</w:t>
      </w:r>
    </w:p>
    <w:p w14:paraId="402D4842" w14:textId="77777777" w:rsidR="007D5EDB" w:rsidRPr="00FB0E7D" w:rsidRDefault="0A5769A0" w:rsidP="00503347">
      <w:pPr>
        <w:jc w:val="both"/>
      </w:pPr>
      <w:r w:rsidRPr="00FB0E7D">
        <w:t>&lt;ESMA_QUESTION_CP_MAR_21&gt;</w:t>
      </w:r>
    </w:p>
    <w:p w14:paraId="2439F015" w14:textId="77777777" w:rsidR="007D5EDB" w:rsidRPr="00FB0E7D" w:rsidRDefault="007D5EDB" w:rsidP="00503347">
      <w:pPr>
        <w:jc w:val="both"/>
      </w:pPr>
    </w:p>
    <w:p w14:paraId="5DBC22E1" w14:textId="77777777" w:rsidR="007D5EDB" w:rsidRPr="00FB0E7D" w:rsidRDefault="0A5769A0" w:rsidP="00503347">
      <w:pPr>
        <w:pStyle w:val="CPQuestions"/>
      </w:pPr>
      <w:r w:rsidRPr="00FB0E7D">
        <w:t>What market abuse and/or conduct risks could arise from pre-hedging behaviours and what systems and controls do firms have in place to address those risks? What measures could be used in MAR or other legislation to address those risks?</w:t>
      </w:r>
    </w:p>
    <w:p w14:paraId="1592F5FF" w14:textId="77777777" w:rsidR="007D5EDB" w:rsidRPr="00FB0E7D" w:rsidRDefault="0A5769A0" w:rsidP="00503347">
      <w:pPr>
        <w:jc w:val="both"/>
      </w:pPr>
      <w:r w:rsidRPr="00FB0E7D">
        <w:t>&lt;ESMA_QUESTION_CP_MAR_22&gt;</w:t>
      </w:r>
    </w:p>
    <w:p w14:paraId="3CF9212A" w14:textId="63D3C9DD" w:rsidR="00E85810" w:rsidRPr="0041165C" w:rsidRDefault="5D72722E" w:rsidP="00503347">
      <w:pPr>
        <w:jc w:val="both"/>
        <w:rPr>
          <w:rFonts w:cs="Arial"/>
        </w:rPr>
      </w:pPr>
      <w:r w:rsidRPr="5D72722E">
        <w:rPr>
          <w:rFonts w:cs="Arial"/>
        </w:rPr>
        <w:t xml:space="preserve">[DBG is aligned with ESMA’s view in terms of ‘pre-hedging’ causing risk of potential market abuse, competition distortion among brokers (“un-level playing”), severe market distortion, information leakage, allowance for insider information and creation of slippage costs for investors. </w:t>
      </w:r>
    </w:p>
    <w:p w14:paraId="3C7A25EB" w14:textId="77777777" w:rsidR="00E85810" w:rsidRPr="0041165C" w:rsidRDefault="00E85810" w:rsidP="00503347">
      <w:pPr>
        <w:jc w:val="both"/>
        <w:rPr>
          <w:rFonts w:cs="Arial"/>
          <w:szCs w:val="20"/>
        </w:rPr>
      </w:pPr>
      <w:r w:rsidRPr="0041165C">
        <w:rPr>
          <w:rFonts w:cs="Arial"/>
          <w:szCs w:val="20"/>
        </w:rPr>
        <w:t>We are outspoken proponents of agreed common definitions created together with market participants to support safety, integrity, efficiency, investor protection and resiliency</w:t>
      </w:r>
      <w:r w:rsidRPr="0041165C">
        <w:rPr>
          <w:rFonts w:cs="Arial"/>
          <w:szCs w:val="20"/>
          <w:vertAlign w:val="superscript"/>
        </w:rPr>
        <w:footnoteReference w:id="2"/>
      </w:r>
      <w:r w:rsidRPr="0041165C">
        <w:rPr>
          <w:rFonts w:cs="Arial"/>
          <w:szCs w:val="20"/>
          <w:vertAlign w:val="superscript"/>
        </w:rPr>
        <w:t xml:space="preserve"> </w:t>
      </w:r>
      <w:r w:rsidRPr="0041165C">
        <w:rPr>
          <w:rFonts w:cs="Arial"/>
          <w:szCs w:val="20"/>
        </w:rPr>
        <w:t>towards the financial markets to reach a level playing field.</w:t>
      </w:r>
    </w:p>
    <w:p w14:paraId="350D8429" w14:textId="687EBD5F" w:rsidR="00E85810" w:rsidRPr="0041165C" w:rsidRDefault="5D72722E" w:rsidP="00503347">
      <w:pPr>
        <w:jc w:val="both"/>
        <w:rPr>
          <w:rFonts w:cs="Arial"/>
        </w:rPr>
      </w:pPr>
      <w:r w:rsidRPr="5D72722E">
        <w:rPr>
          <w:rFonts w:cs="Arial"/>
        </w:rPr>
        <w:t xml:space="preserve">DBG concurs with ESMA`s view that behaviours of market participants in terms of undertaking transactions in anticipation of further matching events is important for regulatory purposes. An exact definition of what is considered to be permitted in relation to pre-hedging and what actions could be considered as ‘front-running’ would help market authorities to effectively monitor and identify instances of potential market abuse, according to our understanding, but also the market participants. </w:t>
      </w:r>
    </w:p>
    <w:p w14:paraId="6293DFED" w14:textId="6E8C8AB6" w:rsidR="00E85810" w:rsidRPr="0041165C" w:rsidRDefault="5D72722E" w:rsidP="00503347">
      <w:pPr>
        <w:jc w:val="both"/>
        <w:rPr>
          <w:rFonts w:cs="Arial"/>
        </w:rPr>
      </w:pPr>
      <w:r w:rsidRPr="5D72722E">
        <w:rPr>
          <w:rFonts w:cs="Arial"/>
        </w:rPr>
        <w:lastRenderedPageBreak/>
        <w:t xml:space="preserve">We believe that a clear differentiation between those two notions is necessary to avoid misinterpretation and to define the scope of acceptable behaviour. Consequently, potentially affected market participants would be enabled better to avoid unintended illegitimate behaviour. </w:t>
      </w:r>
    </w:p>
    <w:p w14:paraId="5E02686E" w14:textId="52ADFD67" w:rsidR="00E85810" w:rsidRPr="0041165C" w:rsidRDefault="5D72722E" w:rsidP="00503347">
      <w:pPr>
        <w:jc w:val="both"/>
        <w:rPr>
          <w:rFonts w:cs="Arial"/>
        </w:rPr>
      </w:pPr>
      <w:r w:rsidRPr="5D72722E">
        <w:rPr>
          <w:rFonts w:cs="Arial"/>
        </w:rPr>
        <w:t xml:space="preserve">In this regard, it may also be important to distinguish between the type of market. For example, with respect to the concerns of manipulative behaviour specifically in derivative markets, DBG can observe that market participants are at times trying to facilitate trading in markets where it is not always simple to readily see prices, for example in less liquid options markets, where investors need the support of brokers, and where liquidity providers/ market makers provide prices to what is demanded and could wrongly be understood as front-running. </w:t>
      </w:r>
      <w:r w:rsidR="000A5393" w:rsidRPr="000A5393">
        <w:rPr>
          <w:rStyle w:val="normaltextrun"/>
          <w:rFonts w:cs="Arial"/>
          <w:szCs w:val="20"/>
        </w:rPr>
        <w:t xml:space="preserve">As a second example, on the European ETF market we have been made aware that there indeed may be loopholes when using information out of private RFQ protocols to act on lit markets, before such information has become part of the public domain. </w:t>
      </w:r>
      <w:r w:rsidRPr="000A5393">
        <w:rPr>
          <w:rFonts w:cs="Arial"/>
        </w:rPr>
        <w:t>Forming an ecosystem where investors, brokers and liquidity providers interact in a triangle could result in beneficial outcomes as well should not be considered as ‘front-running’, but rather be delineated, as ESMA</w:t>
      </w:r>
      <w:r w:rsidRPr="5D72722E">
        <w:rPr>
          <w:rFonts w:cs="Arial"/>
        </w:rPr>
        <w:t xml:space="preserve"> suggests.</w:t>
      </w:r>
    </w:p>
    <w:p w14:paraId="1D6D1BEE" w14:textId="77777777" w:rsidR="00E85810" w:rsidRPr="0041165C" w:rsidRDefault="00E85810" w:rsidP="00503347">
      <w:pPr>
        <w:jc w:val="both"/>
        <w:rPr>
          <w:rFonts w:cs="Arial"/>
          <w:szCs w:val="20"/>
        </w:rPr>
      </w:pPr>
      <w:r w:rsidRPr="0041165C">
        <w:rPr>
          <w:rFonts w:cs="Arial"/>
          <w:szCs w:val="20"/>
        </w:rPr>
        <w:t>To this backdrop, DBG would like to encourage ESMA to gather intelligence of such market practices that can help the market, especially in less liquid instruments, and its participants and could potentially fall under an envisaged concise exception and get a deeper understanding of the exact nature, market constellation and chronological procedures of ‘pre-hedging’.</w:t>
      </w:r>
    </w:p>
    <w:p w14:paraId="7DD53660" w14:textId="56A8D71C" w:rsidR="00E85810" w:rsidRPr="0041165C" w:rsidRDefault="78F6E27A" w:rsidP="00503347">
      <w:pPr>
        <w:jc w:val="both"/>
        <w:rPr>
          <w:rFonts w:cs="Arial"/>
        </w:rPr>
      </w:pPr>
      <w:r w:rsidRPr="78F6E27A">
        <w:rPr>
          <w:rFonts w:cs="Arial"/>
          <w:color w:val="262626" w:themeColor="text1" w:themeTint="D9"/>
        </w:rPr>
        <w:t>This MAR review commented that they have received a number of suspicious transaction and order reports regarding pre-hedging behaviours. We think it needs to be examined which markets were involved and whether any of these transactions were in fact market abuse breaches or raised by the firms due to a lack of additional information to assess if these were MAR breaches. MAR does not provide a differentiation between insider dealing (art. 8 MAR) / market manipulation (art. 12 MAR) and pre-trading which seems to be a pre-condition for further examination of pre-trading.</w:t>
      </w:r>
    </w:p>
    <w:p w14:paraId="7793F490" w14:textId="77777777" w:rsidR="00E85810" w:rsidRPr="0041165C" w:rsidRDefault="00E85810" w:rsidP="00503347">
      <w:pPr>
        <w:jc w:val="both"/>
        <w:rPr>
          <w:rFonts w:cs="Arial"/>
          <w:szCs w:val="20"/>
        </w:rPr>
      </w:pPr>
      <w:r w:rsidRPr="0041165C">
        <w:rPr>
          <w:rFonts w:cs="Arial"/>
          <w:szCs w:val="20"/>
        </w:rPr>
        <w:t>Therefore, DBG would like to emphasize that possible conditional allowance for ‘pre-hedging’ can render beneficial outcomes for certain markets and would like to encourage ESMA to gather intelligence from the market as to how the delineation in definition or mitigating measures that support positive outcomes can be designed into a regulatory framework e.g.:</w:t>
      </w:r>
    </w:p>
    <w:p w14:paraId="021A238A" w14:textId="6A32818F" w:rsidR="00E85810" w:rsidRPr="0041165C" w:rsidRDefault="00E85810" w:rsidP="00503347">
      <w:pPr>
        <w:pStyle w:val="Listenabsatz"/>
        <w:numPr>
          <w:ilvl w:val="0"/>
          <w:numId w:val="15"/>
        </w:numPr>
        <w:spacing w:after="160" w:line="259" w:lineRule="auto"/>
        <w:jc w:val="both"/>
        <w:rPr>
          <w:rFonts w:cs="Arial"/>
          <w:szCs w:val="20"/>
        </w:rPr>
      </w:pPr>
      <w:r w:rsidRPr="0041165C">
        <w:rPr>
          <w:rFonts w:cs="Arial"/>
          <w:szCs w:val="20"/>
        </w:rPr>
        <w:t>ESMA shall gather intelligence on the exact nature of ‘pre-hedging’ and how to delineate from front-running and negative consequences for the market (definition clarification). This could be achieved by understanding which market practices exist, how the interaction in the triangle for the parties involved (investor, broker, liquidity provider) looks like, according to the market they interact in</w:t>
      </w:r>
      <w:r w:rsidR="005A0243">
        <w:rPr>
          <w:rFonts w:cs="Arial"/>
          <w:szCs w:val="20"/>
        </w:rPr>
        <w:t>.</w:t>
      </w:r>
    </w:p>
    <w:p w14:paraId="3FD215E9" w14:textId="77777777" w:rsidR="00E85810" w:rsidRPr="0041165C" w:rsidRDefault="00E85810" w:rsidP="00503347">
      <w:pPr>
        <w:pStyle w:val="Listenabsatz"/>
        <w:numPr>
          <w:ilvl w:val="0"/>
          <w:numId w:val="15"/>
        </w:numPr>
        <w:spacing w:after="160" w:line="259" w:lineRule="auto"/>
        <w:jc w:val="both"/>
        <w:rPr>
          <w:rFonts w:cs="Arial"/>
          <w:szCs w:val="20"/>
        </w:rPr>
      </w:pPr>
      <w:r w:rsidRPr="0041165C">
        <w:rPr>
          <w:rFonts w:cs="Arial"/>
          <w:szCs w:val="20"/>
        </w:rPr>
        <w:t>An understanding of the chronological procedure in the specific ‘pre-hedging’ process under analysis, ESMA could identify potential types of drawbacks and benefits of ‘pre-hedging’ in the particular case or constellations</w:t>
      </w:r>
    </w:p>
    <w:p w14:paraId="5B1B4EE2" w14:textId="2EF5CDF0" w:rsidR="00EE3AD8" w:rsidRPr="00FB0E7D" w:rsidRDefault="00E85810" w:rsidP="00503347">
      <w:pPr>
        <w:jc w:val="both"/>
        <w:rPr>
          <w:rFonts w:cs="Arial"/>
        </w:rPr>
      </w:pPr>
      <w:r w:rsidRPr="0041165C">
        <w:rPr>
          <w:rFonts w:cs="Arial"/>
          <w:szCs w:val="20"/>
        </w:rPr>
        <w:t>Many of the market participants also have suggestions on how to mitigate potential drawbacks and propose measures that from a market operator point of view seem reasonable. Liquidity providers, for example, suggest two-sided request for quotes as a measure, in case of particular drawbacks in pre-hedging constellations. Investors might ask for more process transparency in bilateral transactions, brokers likewise seek measures that allow for certainty, which seem reasonable to us, for all stakeholders to achieve healthy, integer and thriving markets</w:t>
      </w:r>
      <w:r w:rsidR="0A5769A0" w:rsidRPr="00FB0E7D">
        <w:rPr>
          <w:rFonts w:cs="Arial"/>
        </w:rPr>
        <w:t>.]</w:t>
      </w:r>
    </w:p>
    <w:p w14:paraId="0FE41ED2" w14:textId="57185254" w:rsidR="007D5EDB" w:rsidRPr="00FB0E7D" w:rsidRDefault="0A5769A0" w:rsidP="00503347">
      <w:pPr>
        <w:spacing w:line="257" w:lineRule="auto"/>
        <w:jc w:val="both"/>
        <w:rPr>
          <w:rFonts w:cs="Arial"/>
        </w:rPr>
      </w:pPr>
      <w:r w:rsidRPr="00FB0E7D">
        <w:t>&lt;ESMA_QUESTION_CP_MAR_22&gt;</w:t>
      </w:r>
    </w:p>
    <w:p w14:paraId="3D7F112A" w14:textId="77777777" w:rsidR="007D5EDB" w:rsidRPr="00FB0E7D" w:rsidRDefault="007D5EDB" w:rsidP="00503347">
      <w:pPr>
        <w:jc w:val="both"/>
      </w:pPr>
    </w:p>
    <w:p w14:paraId="4EC25EE9" w14:textId="77777777" w:rsidR="007D5EDB" w:rsidRPr="00FB0E7D" w:rsidRDefault="0A5769A0" w:rsidP="00503347">
      <w:pPr>
        <w:pStyle w:val="CPQuestions"/>
      </w:pPr>
      <w:r w:rsidRPr="00FB0E7D">
        <w:t>What benefits do pre-hedging behaviours provide to firms, clients and to the functioning of the market?</w:t>
      </w:r>
    </w:p>
    <w:p w14:paraId="11BFE4A4" w14:textId="77777777" w:rsidR="007D5EDB" w:rsidRPr="00FB0E7D" w:rsidRDefault="0A5769A0" w:rsidP="00503347">
      <w:pPr>
        <w:jc w:val="both"/>
      </w:pPr>
      <w:r w:rsidRPr="00FB0E7D">
        <w:t>&lt;ESMA_QUESTION_CP_MAR_23&gt;</w:t>
      </w:r>
    </w:p>
    <w:p w14:paraId="31114035" w14:textId="03A92836" w:rsidR="007D5EDB" w:rsidRPr="00FB0E7D" w:rsidRDefault="0A5769A0" w:rsidP="00503347">
      <w:pPr>
        <w:jc w:val="both"/>
        <w:rPr>
          <w:rFonts w:cs="Arial"/>
        </w:rPr>
      </w:pPr>
      <w:r w:rsidRPr="00FB0E7D">
        <w:rPr>
          <w:rFonts w:cs="Arial"/>
        </w:rPr>
        <w:t>[</w:t>
      </w:r>
      <w:r w:rsidR="000842DC" w:rsidRPr="00FB0E7D">
        <w:t>TYPE YOUR TEXT HERE</w:t>
      </w:r>
      <w:r w:rsidRPr="00FB0E7D">
        <w:rPr>
          <w:rFonts w:cs="Arial"/>
        </w:rPr>
        <w:t>]</w:t>
      </w:r>
    </w:p>
    <w:p w14:paraId="7DD90326" w14:textId="77777777" w:rsidR="007D5EDB" w:rsidRPr="00FB0E7D" w:rsidRDefault="0A5769A0" w:rsidP="00503347">
      <w:pPr>
        <w:jc w:val="both"/>
      </w:pPr>
      <w:r w:rsidRPr="00FB0E7D">
        <w:t>&lt;ESMA_QUESTION_CP_MAR_23&gt;</w:t>
      </w:r>
    </w:p>
    <w:p w14:paraId="095AB71A" w14:textId="77777777" w:rsidR="007D5EDB" w:rsidRPr="00FB0E7D" w:rsidRDefault="007D5EDB" w:rsidP="00503347">
      <w:pPr>
        <w:jc w:val="both"/>
      </w:pPr>
    </w:p>
    <w:p w14:paraId="782F224E" w14:textId="77777777" w:rsidR="007D5EDB" w:rsidRPr="00FB0E7D" w:rsidRDefault="0A5769A0" w:rsidP="00503347">
      <w:pPr>
        <w:pStyle w:val="CPQuestions"/>
      </w:pPr>
      <w:r w:rsidRPr="00FB0E7D">
        <w:t>What financial instruments are subject to pre-hedging behaviours and why?</w:t>
      </w:r>
    </w:p>
    <w:p w14:paraId="4343FD93" w14:textId="77777777" w:rsidR="007D5EDB" w:rsidRPr="00FB0E7D" w:rsidRDefault="0A5769A0" w:rsidP="00503347">
      <w:pPr>
        <w:jc w:val="both"/>
      </w:pPr>
      <w:r w:rsidRPr="00FB0E7D">
        <w:t>&lt;ESMA_QUESTION_CP_MAR_24&gt;</w:t>
      </w:r>
    </w:p>
    <w:p w14:paraId="39E7DE6D" w14:textId="27551EF5" w:rsidR="007D5EDB" w:rsidRPr="00FB0E7D" w:rsidRDefault="0038532B" w:rsidP="00503347">
      <w:pPr>
        <w:jc w:val="both"/>
        <w:rPr>
          <w:rFonts w:cs="Arial"/>
          <w:szCs w:val="20"/>
        </w:rPr>
      </w:pPr>
      <w:r>
        <w:rPr>
          <w:rFonts w:cs="Arial"/>
          <w:szCs w:val="20"/>
        </w:rPr>
        <w:lastRenderedPageBreak/>
        <w:t>[See our answer to Q22 above</w:t>
      </w:r>
      <w:r w:rsidR="0A5769A0" w:rsidRPr="00FB0E7D">
        <w:rPr>
          <w:rFonts w:cs="Arial"/>
          <w:szCs w:val="20"/>
        </w:rPr>
        <w:t>.]</w:t>
      </w:r>
    </w:p>
    <w:p w14:paraId="0F4CCD7F" w14:textId="77777777" w:rsidR="007D5EDB" w:rsidRPr="00FB0E7D" w:rsidRDefault="0A5769A0" w:rsidP="00503347">
      <w:pPr>
        <w:jc w:val="both"/>
      </w:pPr>
      <w:r w:rsidRPr="00FB0E7D">
        <w:t>&lt;ESMA_QUESTION_CP_MAR_24&gt;</w:t>
      </w:r>
    </w:p>
    <w:p w14:paraId="10744912" w14:textId="77777777" w:rsidR="007D5EDB" w:rsidRPr="00FB0E7D" w:rsidRDefault="007D5EDB" w:rsidP="00503347">
      <w:pPr>
        <w:jc w:val="both"/>
      </w:pPr>
    </w:p>
    <w:p w14:paraId="5823F966" w14:textId="77777777" w:rsidR="007D5EDB" w:rsidRPr="00FB0E7D" w:rsidRDefault="0A5769A0" w:rsidP="00503347">
      <w:pPr>
        <w:pStyle w:val="CPQuestions"/>
      </w:pPr>
      <w:r w:rsidRPr="00FB0E7D">
        <w:t>Please provide your views on the functioning of the conditions to delay disclosure of inside information and on whether they enable issuers to delay disclosure of inside information where necessary.</w:t>
      </w:r>
    </w:p>
    <w:p w14:paraId="7723B14B" w14:textId="77777777" w:rsidR="007D5EDB" w:rsidRPr="00FB0E7D" w:rsidRDefault="0A5769A0" w:rsidP="00503347">
      <w:pPr>
        <w:jc w:val="both"/>
      </w:pPr>
      <w:r w:rsidRPr="00FB0E7D">
        <w:t>&lt;ESMA_QUESTION_CP_MAR_25&gt;</w:t>
      </w:r>
    </w:p>
    <w:p w14:paraId="445A2FAE" w14:textId="33D8F6E5" w:rsidR="007D5EDB" w:rsidRPr="0008281F" w:rsidRDefault="78F6E27A" w:rsidP="00503347">
      <w:pPr>
        <w:jc w:val="both"/>
        <w:rPr>
          <w:rFonts w:cs="Arial"/>
          <w:color w:val="000000" w:themeColor="text1"/>
          <w:lang w:val="en-US" w:eastAsia="zh-CN"/>
        </w:rPr>
      </w:pPr>
      <w:r w:rsidRPr="78F6E27A">
        <w:rPr>
          <w:rFonts w:cs="Arial"/>
        </w:rPr>
        <w:t>[</w:t>
      </w:r>
      <w:r w:rsidRPr="78F6E27A">
        <w:rPr>
          <w:rFonts w:cs="Arial"/>
          <w:lang w:val="en-US" w:eastAsia="zh-CN"/>
        </w:rPr>
        <w:t xml:space="preserve">Uncertainty arises particularly in connection with emerging rumors without factual basis while the issuer has delayed the disclosure of inside information and the </w:t>
      </w:r>
      <w:r w:rsidR="00D000AC" w:rsidRPr="78F6E27A">
        <w:rPr>
          <w:rFonts w:cs="Arial"/>
          <w:lang w:val="en-US" w:eastAsia="zh-CN"/>
        </w:rPr>
        <w:t>behavior</w:t>
      </w:r>
      <w:r w:rsidRPr="78F6E27A">
        <w:rPr>
          <w:rFonts w:cs="Arial"/>
          <w:lang w:val="en-US" w:eastAsia="zh-CN"/>
        </w:rPr>
        <w:t xml:space="preserve"> that is expected from issuers. Art. 17(7) subparagraph 2 states that the inside information has to be disclosed to the public as soon as possible "where a </w:t>
      </w:r>
      <w:r w:rsidR="00D000AC" w:rsidRPr="78F6E27A">
        <w:rPr>
          <w:rFonts w:cs="Arial"/>
          <w:lang w:val="en-US" w:eastAsia="zh-CN"/>
        </w:rPr>
        <w:t>rumor</w:t>
      </w:r>
      <w:r w:rsidRPr="78F6E27A">
        <w:rPr>
          <w:rFonts w:cs="Arial"/>
          <w:lang w:val="en-US" w:eastAsia="zh-CN"/>
        </w:rPr>
        <w:t xml:space="preserve"> explicitly relates to inside information the disclose of which has been delayed [...] where that </w:t>
      </w:r>
      <w:r w:rsidR="00D000AC" w:rsidRPr="78F6E27A">
        <w:rPr>
          <w:rFonts w:cs="Arial"/>
          <w:lang w:val="en-US" w:eastAsia="zh-CN"/>
        </w:rPr>
        <w:t>rumor</w:t>
      </w:r>
      <w:r w:rsidRPr="78F6E27A">
        <w:rPr>
          <w:rFonts w:cs="Arial"/>
          <w:lang w:val="en-US" w:eastAsia="zh-CN"/>
        </w:rPr>
        <w:t xml:space="preserve"> is sufficiently accurate to indicate that the confidentiality of that information is no longer ensured." The criteria of sufficient accuracy of the </w:t>
      </w:r>
      <w:r w:rsidR="00D000AC" w:rsidRPr="78F6E27A">
        <w:rPr>
          <w:rFonts w:cs="Arial"/>
          <w:lang w:val="en-US" w:eastAsia="zh-CN"/>
        </w:rPr>
        <w:t>rumor</w:t>
      </w:r>
      <w:r w:rsidRPr="78F6E27A">
        <w:rPr>
          <w:rFonts w:cs="Arial"/>
          <w:lang w:val="en-US" w:eastAsia="zh-CN"/>
        </w:rPr>
        <w:t xml:space="preserve"> are unclear.</w:t>
      </w:r>
      <w:r w:rsidR="0A5769A0">
        <w:br/>
      </w:r>
      <w:r w:rsidRPr="78F6E27A">
        <w:rPr>
          <w:rFonts w:cs="Arial"/>
          <w:lang w:val="en-US" w:eastAsia="zh-CN"/>
        </w:rPr>
        <w:t xml:space="preserve">Additional guidance on this point would lead to more legal certainty. We would advocate guidance that clarifies that the </w:t>
      </w:r>
      <w:r w:rsidR="00D000AC" w:rsidRPr="78F6E27A">
        <w:rPr>
          <w:rFonts w:cs="Arial"/>
          <w:lang w:val="en-US" w:eastAsia="zh-CN"/>
        </w:rPr>
        <w:t>rumor</w:t>
      </w:r>
      <w:r w:rsidRPr="78F6E27A">
        <w:rPr>
          <w:rFonts w:cs="Arial"/>
          <w:lang w:val="en-US" w:eastAsia="zh-CN"/>
        </w:rPr>
        <w:t>, in order to be sufficiently accurate, must contain all significant details of the inside information in question and must not contain additional wrong information that changes the character of the information</w:t>
      </w:r>
      <w:r w:rsidRPr="78F6E27A">
        <w:rPr>
          <w:rFonts w:eastAsiaTheme="minorEastAsia" w:cs="Arial"/>
          <w:lang w:eastAsia="en-GB"/>
        </w:rPr>
        <w:t>.</w:t>
      </w:r>
      <w:r w:rsidRPr="78F6E27A">
        <w:rPr>
          <w:rFonts w:cs="Arial"/>
        </w:rPr>
        <w:t>]</w:t>
      </w:r>
    </w:p>
    <w:p w14:paraId="52E40FA2" w14:textId="77777777" w:rsidR="007D5EDB" w:rsidRPr="00FB0E7D" w:rsidRDefault="0A5769A0" w:rsidP="00503347">
      <w:pPr>
        <w:jc w:val="both"/>
      </w:pPr>
      <w:r w:rsidRPr="00FB0E7D">
        <w:t>&lt;ESMA_QUESTION_CP_MAR_25&gt;</w:t>
      </w:r>
    </w:p>
    <w:p w14:paraId="1238A97F" w14:textId="77777777" w:rsidR="007D5EDB" w:rsidRPr="00FB0E7D" w:rsidRDefault="007D5EDB" w:rsidP="00503347">
      <w:pPr>
        <w:jc w:val="both"/>
      </w:pPr>
    </w:p>
    <w:p w14:paraId="22CB3957" w14:textId="77777777" w:rsidR="007D5EDB" w:rsidRPr="00FB0E7D" w:rsidRDefault="0A5769A0" w:rsidP="00503347">
      <w:pPr>
        <w:pStyle w:val="CPQuestions"/>
      </w:pPr>
      <w:r w:rsidRPr="00FB0E7D">
        <w:t>Please provide relevant examples of difficulties encountered in the assessment of the conditions for the delay or in the application of the procedure under Article 17(4) of MAR.</w:t>
      </w:r>
    </w:p>
    <w:p w14:paraId="69638E07" w14:textId="77777777" w:rsidR="007D5EDB" w:rsidRPr="00FB0E7D" w:rsidRDefault="0A5769A0" w:rsidP="00503347">
      <w:pPr>
        <w:jc w:val="both"/>
      </w:pPr>
      <w:r w:rsidRPr="00FB0E7D">
        <w:t>&lt;ESMA_QUESTION_CP_MAR_26&gt;</w:t>
      </w:r>
    </w:p>
    <w:p w14:paraId="2B4C9110" w14:textId="3DD8DEBF" w:rsidR="007D5EDB" w:rsidRPr="00FB0E7D" w:rsidRDefault="0A5769A0" w:rsidP="00503347">
      <w:pPr>
        <w:jc w:val="both"/>
        <w:rPr>
          <w:rFonts w:cs="Arial"/>
        </w:rPr>
      </w:pPr>
      <w:r w:rsidRPr="00FB0E7D">
        <w:rPr>
          <w:rFonts w:cs="Arial"/>
        </w:rPr>
        <w:t>[</w:t>
      </w:r>
      <w:r w:rsidR="009306EB">
        <w:rPr>
          <w:rFonts w:cs="Arial"/>
          <w:color w:val="000000" w:themeColor="text1"/>
          <w:lang w:val="en-US" w:eastAsia="zh-CN"/>
        </w:rPr>
        <w:t>Please see answer to Q25</w:t>
      </w:r>
      <w:r w:rsidRPr="00FB0E7D">
        <w:rPr>
          <w:rFonts w:cs="Arial"/>
          <w:color w:val="000000" w:themeColor="text1"/>
          <w:lang w:val="en-US" w:eastAsia="zh-CN"/>
        </w:rPr>
        <w:t>.</w:t>
      </w:r>
      <w:r w:rsidRPr="00FB0E7D">
        <w:rPr>
          <w:rFonts w:cs="Arial"/>
        </w:rPr>
        <w:t>]</w:t>
      </w:r>
    </w:p>
    <w:p w14:paraId="3365E995" w14:textId="77777777" w:rsidR="007D5EDB" w:rsidRPr="00FB0E7D" w:rsidRDefault="0A5769A0" w:rsidP="00503347">
      <w:pPr>
        <w:jc w:val="both"/>
      </w:pPr>
      <w:r w:rsidRPr="00FB0E7D">
        <w:t>&lt;ESMA_QUESTION_CP_MAR_26&gt;</w:t>
      </w:r>
    </w:p>
    <w:p w14:paraId="67BEB9A4" w14:textId="77777777" w:rsidR="007D5EDB" w:rsidRPr="00FB0E7D" w:rsidRDefault="007D5EDB" w:rsidP="00503347">
      <w:pPr>
        <w:jc w:val="both"/>
      </w:pPr>
    </w:p>
    <w:p w14:paraId="1AE4B17B" w14:textId="77777777" w:rsidR="007D5EDB" w:rsidRPr="00FB0E7D" w:rsidRDefault="0A5769A0" w:rsidP="00503347">
      <w:pPr>
        <w:pStyle w:val="CPQuestions"/>
      </w:pPr>
      <w:r w:rsidRPr="00FB0E7D">
        <w:t>Please provide your view on the inclusion of a requirement in MAR for issuers to have systems and controls for identifying, handling, and disclosing inside information. What would the impact be of introducing a systems and controls requirement for issuers?</w:t>
      </w:r>
    </w:p>
    <w:p w14:paraId="52797A8C" w14:textId="77777777" w:rsidR="007D5EDB" w:rsidRPr="00FB0E7D" w:rsidRDefault="0A5769A0" w:rsidP="00503347">
      <w:pPr>
        <w:jc w:val="both"/>
      </w:pPr>
      <w:r w:rsidRPr="00FB0E7D">
        <w:t>&lt;ESMA_QUESTION_CP_MAR_27&gt;</w:t>
      </w:r>
    </w:p>
    <w:p w14:paraId="58FFB3BD" w14:textId="0400138D" w:rsidR="007D5EDB" w:rsidRPr="00F31510" w:rsidRDefault="0A5769A0" w:rsidP="00503347">
      <w:pPr>
        <w:jc w:val="both"/>
        <w:rPr>
          <w:rFonts w:cs="Arial"/>
          <w:color w:val="000000"/>
          <w:szCs w:val="20"/>
          <w:lang w:val="en-US" w:eastAsia="zh-CN"/>
        </w:rPr>
      </w:pPr>
      <w:r w:rsidRPr="00F31510">
        <w:rPr>
          <w:rFonts w:cs="Arial"/>
          <w:szCs w:val="20"/>
        </w:rPr>
        <w:t>[</w:t>
      </w:r>
      <w:r w:rsidR="0008281F">
        <w:rPr>
          <w:rFonts w:cs="Arial"/>
          <w:szCs w:val="20"/>
        </w:rPr>
        <w:t>MAR sets requirements for the handling and the disclosure of inside information and for the identification of insiders. The requirement to design and implement systems and controls of some kind to address these requirements is therefore inherent in the requirements MAR already contains. An additional requirement for the implementation of such systems and controls is therefore superfluous. The kind and extend of such systems and controls highly depends on the nature and size of the issuer. For certain industries, there are already requirements for adequate compliance and internal controls system in place. Hence, we would not support the notion to include such a requirement</w:t>
      </w:r>
      <w:r w:rsidRPr="00F31510">
        <w:rPr>
          <w:rFonts w:cs="Arial"/>
          <w:szCs w:val="20"/>
          <w:lang w:val="en-US" w:eastAsia="zh-CN"/>
        </w:rPr>
        <w:t>.</w:t>
      </w:r>
      <w:r w:rsidRPr="00F31510">
        <w:rPr>
          <w:rFonts w:cs="Arial"/>
          <w:szCs w:val="20"/>
        </w:rPr>
        <w:t>]</w:t>
      </w:r>
    </w:p>
    <w:p w14:paraId="649F4ABA" w14:textId="77777777" w:rsidR="007D5EDB" w:rsidRPr="00FB0E7D" w:rsidRDefault="0A5769A0" w:rsidP="00503347">
      <w:pPr>
        <w:jc w:val="both"/>
      </w:pPr>
      <w:r w:rsidRPr="00FB0E7D">
        <w:t>&lt;ESMA_QUESTION_CP_MAR_27&gt;</w:t>
      </w:r>
    </w:p>
    <w:p w14:paraId="4E029F15" w14:textId="77777777" w:rsidR="007D5EDB" w:rsidRPr="00FB0E7D" w:rsidRDefault="007D5EDB" w:rsidP="00503347">
      <w:pPr>
        <w:jc w:val="both"/>
      </w:pPr>
    </w:p>
    <w:p w14:paraId="559DB67A" w14:textId="77777777" w:rsidR="007D5EDB" w:rsidRPr="00FB0E7D" w:rsidRDefault="0A5769A0" w:rsidP="00503347">
      <w:pPr>
        <w:pStyle w:val="CPQuestions"/>
      </w:pPr>
      <w:r w:rsidRPr="00FB0E7D">
        <w:t>Please provide examples of cases in which the identification of when an information became “inside information” was problematic.</w:t>
      </w:r>
    </w:p>
    <w:p w14:paraId="1E6E5BF6" w14:textId="77777777" w:rsidR="007D5EDB" w:rsidRPr="00FB0E7D" w:rsidRDefault="0A5769A0" w:rsidP="00503347">
      <w:pPr>
        <w:jc w:val="both"/>
      </w:pPr>
      <w:r w:rsidRPr="00FB0E7D">
        <w:t>&lt;ESMA_QUESTION_CP_MAR_28&gt;</w:t>
      </w:r>
    </w:p>
    <w:p w14:paraId="1B65A781" w14:textId="73C5E521" w:rsidR="007D5EDB" w:rsidRPr="00F31510" w:rsidRDefault="0A5769A0" w:rsidP="00503347">
      <w:pPr>
        <w:jc w:val="both"/>
        <w:rPr>
          <w:rFonts w:cs="Arial"/>
          <w:color w:val="000000"/>
          <w:szCs w:val="20"/>
          <w:lang w:val="en-US" w:eastAsia="zh-CN"/>
        </w:rPr>
      </w:pPr>
      <w:r w:rsidRPr="00F31510">
        <w:rPr>
          <w:rFonts w:cs="Arial"/>
          <w:szCs w:val="20"/>
        </w:rPr>
        <w:t>[</w:t>
      </w:r>
      <w:r w:rsidR="0008281F" w:rsidRPr="00F31510">
        <w:rPr>
          <w:rFonts w:cs="Arial"/>
          <w:color w:val="000000"/>
          <w:szCs w:val="20"/>
          <w:lang w:val="en-US" w:eastAsia="zh-CN"/>
        </w:rPr>
        <w:t xml:space="preserve">In protracted </w:t>
      </w:r>
      <w:r w:rsidR="0008281F" w:rsidRPr="0058747D">
        <w:rPr>
          <w:rFonts w:cs="Arial"/>
          <w:szCs w:val="20"/>
          <w:lang w:val="en-US" w:eastAsia="zh-CN"/>
        </w:rPr>
        <w:t xml:space="preserve">processes (M&amp;A transactions; financial (interim) reporting/outlooks; decisions regarding boards members), it can be difficult to identify the right point in time in the process, when an information </w:t>
      </w:r>
      <w:r w:rsidR="0008281F" w:rsidRPr="0058747D">
        <w:rPr>
          <w:rFonts w:cs="Arial"/>
          <w:szCs w:val="20"/>
          <w:lang w:val="en-US" w:eastAsia="zh-CN"/>
        </w:rPr>
        <w:lastRenderedPageBreak/>
        <w:t>becomes inside information. More guidance on the relevant triggers, depending on the nature and specifics of the transaction, would be helpful</w:t>
      </w:r>
      <w:r w:rsidR="0008281F" w:rsidRPr="00F31510">
        <w:rPr>
          <w:rFonts w:cs="Arial"/>
          <w:color w:val="000000"/>
          <w:szCs w:val="20"/>
          <w:lang w:val="en-US" w:eastAsia="zh-CN"/>
        </w:rPr>
        <w:t>.</w:t>
      </w:r>
      <w:r w:rsidR="0008281F">
        <w:rPr>
          <w:rFonts w:cs="Arial"/>
          <w:color w:val="000000"/>
          <w:szCs w:val="20"/>
          <w:lang w:val="en-US" w:eastAsia="zh-CN"/>
        </w:rPr>
        <w:t xml:space="preserve"> Please also see our answer to Q13.]</w:t>
      </w:r>
    </w:p>
    <w:p w14:paraId="25D7BFA1" w14:textId="77777777" w:rsidR="007D5EDB" w:rsidRPr="00FB0E7D" w:rsidRDefault="0A5769A0" w:rsidP="00503347">
      <w:pPr>
        <w:jc w:val="both"/>
      </w:pPr>
      <w:r w:rsidRPr="00FB0E7D">
        <w:t>&lt;ESMA_QUESTION_CP_MAR_28&gt;</w:t>
      </w:r>
    </w:p>
    <w:p w14:paraId="60DF4D11" w14:textId="77777777" w:rsidR="007D5EDB" w:rsidRPr="00FB0E7D" w:rsidRDefault="007D5EDB" w:rsidP="00503347">
      <w:pPr>
        <w:jc w:val="both"/>
      </w:pPr>
    </w:p>
    <w:p w14:paraId="719C6D40" w14:textId="77777777" w:rsidR="007D5EDB" w:rsidRPr="00FB0E7D" w:rsidRDefault="0A5769A0" w:rsidP="00503347">
      <w:pPr>
        <w:pStyle w:val="CPQuestions"/>
      </w:pPr>
      <w:r w:rsidRPr="00FB0E7D">
        <w:t>Please provide your views on the notification to NCAs of the delay of disclosure of inside information, in those cases in which the relevant information loses its inside nature following the decision to delay the disclosure.</w:t>
      </w:r>
    </w:p>
    <w:p w14:paraId="1918158E" w14:textId="77777777" w:rsidR="007D5EDB" w:rsidRPr="00FB0E7D" w:rsidRDefault="0A5769A0" w:rsidP="00503347">
      <w:pPr>
        <w:jc w:val="both"/>
      </w:pPr>
      <w:r w:rsidRPr="00FB0E7D">
        <w:t>&lt;ESMA_QUESTION_CP_MAR_29&gt;</w:t>
      </w:r>
    </w:p>
    <w:p w14:paraId="2B65BD35" w14:textId="7585AF16" w:rsidR="007D5EDB" w:rsidRPr="00F31510" w:rsidRDefault="78F6E27A" w:rsidP="00503347">
      <w:pPr>
        <w:jc w:val="both"/>
        <w:rPr>
          <w:rFonts w:cs="Arial"/>
          <w:color w:val="000000" w:themeColor="text1"/>
          <w:lang w:val="en-US" w:eastAsia="zh-CN"/>
        </w:rPr>
      </w:pPr>
      <w:r w:rsidRPr="78F6E27A">
        <w:rPr>
          <w:rFonts w:cs="Arial"/>
        </w:rPr>
        <w:t>[</w:t>
      </w:r>
      <w:r w:rsidRPr="78F6E27A">
        <w:rPr>
          <w:rFonts w:cs="Arial"/>
          <w:lang w:val="en-US" w:eastAsia="zh-CN"/>
        </w:rPr>
        <w:t>We would not support the idea to notify the NCA if the delayed information ceased to be of inside nature before disclosure. First of all, it would be an additional burden on the NCA and the issuer. While it would give the NCA an additional source of information from which to start investigations regarding potential insider trading, it would concern projects that failed and were never published. If the information does not become public, it will not significantly move the share price. Therefore, it is difficult to gain a profit by performing insider dealing. Hence, the interest of the NCAs in this information should be limited to question whether the issuer complied with their obligations to take a decision on the delay at the right time and maintain an insider list etc.</w:t>
      </w:r>
      <w:r w:rsidR="0A5769A0">
        <w:br/>
      </w:r>
      <w:r w:rsidRPr="78F6E27A">
        <w:rPr>
          <w:rFonts w:cs="Arial"/>
          <w:lang w:val="en-US" w:eastAsia="zh-CN"/>
        </w:rPr>
        <w:t xml:space="preserve">Furthermore, the proposed obligation would create conflicting incentives for the issuer. On the one hand the issuer should assume the existence of an inside information rather early in the project </w:t>
      </w:r>
      <w:r w:rsidRPr="78F6E27A">
        <w:rPr>
          <w:rFonts w:cs="Arial"/>
          <w:color w:val="000000" w:themeColor="text1"/>
          <w:lang w:val="en-US" w:eastAsia="zh-CN"/>
        </w:rPr>
        <w:t xml:space="preserve">and decide on a delay. On the other hand, he then would have to report to the NCA even if the project fails and exposes himself to scrutiny, thereby being </w:t>
      </w:r>
      <w:r w:rsidR="00D000AC" w:rsidRPr="78F6E27A">
        <w:rPr>
          <w:rFonts w:cs="Arial"/>
          <w:color w:val="000000" w:themeColor="text1"/>
          <w:lang w:val="en-US" w:eastAsia="zh-CN"/>
        </w:rPr>
        <w:t>disincentivized</w:t>
      </w:r>
      <w:r w:rsidRPr="78F6E27A">
        <w:rPr>
          <w:rFonts w:cs="Arial"/>
          <w:color w:val="000000" w:themeColor="text1"/>
          <w:lang w:val="en-US" w:eastAsia="zh-CN"/>
        </w:rPr>
        <w:t xml:space="preserve"> to assume an inside information early on.</w:t>
      </w:r>
      <w:r w:rsidRPr="78F6E27A">
        <w:rPr>
          <w:rFonts w:cs="Arial"/>
        </w:rPr>
        <w:t>]</w:t>
      </w:r>
    </w:p>
    <w:p w14:paraId="79185512" w14:textId="77777777" w:rsidR="007D5EDB" w:rsidRPr="00FB0E7D" w:rsidRDefault="0A5769A0" w:rsidP="00503347">
      <w:pPr>
        <w:jc w:val="both"/>
      </w:pPr>
      <w:r w:rsidRPr="00FB0E7D">
        <w:t>&lt;ESMA_QUESTION_CP_MAR_29&gt;</w:t>
      </w:r>
    </w:p>
    <w:p w14:paraId="358483EF" w14:textId="77777777" w:rsidR="007D5EDB" w:rsidRPr="00FB0E7D" w:rsidRDefault="007D5EDB" w:rsidP="00503347">
      <w:pPr>
        <w:jc w:val="both"/>
      </w:pPr>
    </w:p>
    <w:p w14:paraId="37C62CFC" w14:textId="77777777" w:rsidR="007D5EDB" w:rsidRPr="00FB0E7D" w:rsidRDefault="0A5769A0" w:rsidP="00503347">
      <w:pPr>
        <w:pStyle w:val="CPQuestions"/>
      </w:pPr>
      <w:r w:rsidRPr="00FB0E7D">
        <w:t>Please provide your views on whether Article 17(5) of MAR has to be made more explicit to include the case of a listed issuer, which is not a credit or financial institution, but which is controlling, directly or indirectly, a listed or non-listed credit or financial institution.</w:t>
      </w:r>
    </w:p>
    <w:p w14:paraId="48B88C20" w14:textId="77777777" w:rsidR="007D5EDB" w:rsidRPr="00FB0E7D" w:rsidRDefault="0A5769A0" w:rsidP="00503347">
      <w:pPr>
        <w:jc w:val="both"/>
      </w:pPr>
      <w:r w:rsidRPr="00FB0E7D">
        <w:t>&lt;ESMA_QUESTION_CP_MAR_30&gt;</w:t>
      </w:r>
    </w:p>
    <w:p w14:paraId="6AE47386" w14:textId="77777777" w:rsidR="007D5EDB" w:rsidRPr="00FB0E7D" w:rsidRDefault="0A5769A0" w:rsidP="00503347">
      <w:pPr>
        <w:jc w:val="both"/>
      </w:pPr>
      <w:r w:rsidRPr="00FB0E7D">
        <w:t>[TYPE YOUR TEXT HERE]</w:t>
      </w:r>
    </w:p>
    <w:p w14:paraId="5930DBF5" w14:textId="77777777" w:rsidR="007D5EDB" w:rsidRPr="00FB0E7D" w:rsidRDefault="0A5769A0" w:rsidP="00503347">
      <w:pPr>
        <w:jc w:val="both"/>
      </w:pPr>
      <w:r w:rsidRPr="00FB0E7D">
        <w:t>&lt;ESMA_QUESTION_CP_MAR_30&gt;</w:t>
      </w:r>
    </w:p>
    <w:p w14:paraId="42731EA5" w14:textId="77777777" w:rsidR="007D5EDB" w:rsidRPr="00FB0E7D" w:rsidRDefault="007D5EDB" w:rsidP="00503347">
      <w:pPr>
        <w:jc w:val="both"/>
      </w:pPr>
    </w:p>
    <w:p w14:paraId="556B7535" w14:textId="77777777" w:rsidR="007D5EDB" w:rsidRPr="00FB0E7D" w:rsidRDefault="0A5769A0" w:rsidP="00503347">
      <w:pPr>
        <w:pStyle w:val="CPQuestions"/>
      </w:pPr>
      <w:r w:rsidRPr="00FB0E7D">
        <w:t>Please provide relevant examples of difficulties encountered in the assessment of the conditions for the delay or in the application of Article 17(5) of MAR.</w:t>
      </w:r>
    </w:p>
    <w:p w14:paraId="167C6738" w14:textId="77777777" w:rsidR="007D5EDB" w:rsidRPr="00FB0E7D" w:rsidRDefault="0A5769A0" w:rsidP="00503347">
      <w:pPr>
        <w:jc w:val="both"/>
      </w:pPr>
      <w:r w:rsidRPr="00FB0E7D">
        <w:t>&lt;ESMA_QUESTION_CP_MAR_31&gt;</w:t>
      </w:r>
    </w:p>
    <w:p w14:paraId="3D909793" w14:textId="77777777" w:rsidR="007D5EDB" w:rsidRPr="00FB0E7D" w:rsidRDefault="0A5769A0" w:rsidP="00503347">
      <w:pPr>
        <w:jc w:val="both"/>
      </w:pPr>
      <w:r w:rsidRPr="00FB0E7D">
        <w:t>[TYPE YOUR TEXT HERE]</w:t>
      </w:r>
    </w:p>
    <w:p w14:paraId="6F13C023" w14:textId="77777777" w:rsidR="007D5EDB" w:rsidRPr="00FB0E7D" w:rsidRDefault="0A5769A0" w:rsidP="00503347">
      <w:pPr>
        <w:jc w:val="both"/>
      </w:pPr>
      <w:r w:rsidRPr="00FB0E7D">
        <w:t>&lt;ESMA_QUESTION_CP_MAR_31&gt;</w:t>
      </w:r>
    </w:p>
    <w:p w14:paraId="63BEE178" w14:textId="77777777" w:rsidR="007D5EDB" w:rsidRPr="00FB0E7D" w:rsidRDefault="007D5EDB" w:rsidP="00503347">
      <w:pPr>
        <w:jc w:val="both"/>
      </w:pPr>
    </w:p>
    <w:p w14:paraId="2CDCA205" w14:textId="77777777" w:rsidR="007D5EDB" w:rsidRPr="00FB0E7D" w:rsidRDefault="0A5769A0" w:rsidP="00503347">
      <w:pPr>
        <w:pStyle w:val="CPQuestions"/>
      </w:pPr>
      <w:r w:rsidRPr="00FB0E7D">
        <w:t>Please indicate whether you have found difficulties in the assessment of the obligation to disclose a piece of inside information under Article 17 MAR when analysed together with other obligations arising from CRD, CRR or BRRD. Please provide specific examples.</w:t>
      </w:r>
    </w:p>
    <w:p w14:paraId="27406319" w14:textId="77777777" w:rsidR="007D5EDB" w:rsidRPr="00FB0E7D" w:rsidRDefault="0A5769A0" w:rsidP="00503347">
      <w:pPr>
        <w:jc w:val="both"/>
      </w:pPr>
      <w:r w:rsidRPr="00FB0E7D">
        <w:t>&lt;ESMA_QUESTION_CP_MAR_32&gt;</w:t>
      </w:r>
    </w:p>
    <w:p w14:paraId="6C268248" w14:textId="77777777" w:rsidR="007D5EDB" w:rsidRPr="00FB0E7D" w:rsidRDefault="0A5769A0" w:rsidP="00503347">
      <w:pPr>
        <w:jc w:val="both"/>
      </w:pPr>
      <w:r w:rsidRPr="00FB0E7D">
        <w:t>[TYPE YOUR TEXT HERE]</w:t>
      </w:r>
    </w:p>
    <w:p w14:paraId="1C60F9F2" w14:textId="77777777" w:rsidR="007D5EDB" w:rsidRPr="00FB0E7D" w:rsidRDefault="0A5769A0" w:rsidP="00503347">
      <w:pPr>
        <w:jc w:val="both"/>
      </w:pPr>
      <w:r w:rsidRPr="00FB0E7D">
        <w:t>&lt;ESMA_QUESTION_CP_MAR_32&gt;</w:t>
      </w:r>
    </w:p>
    <w:p w14:paraId="4F618112" w14:textId="77777777" w:rsidR="007D5EDB" w:rsidRPr="00FB0E7D" w:rsidRDefault="007D5EDB" w:rsidP="00503347">
      <w:pPr>
        <w:jc w:val="both"/>
      </w:pPr>
    </w:p>
    <w:p w14:paraId="6AA1664E" w14:textId="77777777" w:rsidR="007D5EDB" w:rsidRPr="00FB0E7D" w:rsidRDefault="0A5769A0" w:rsidP="00503347">
      <w:pPr>
        <w:pStyle w:val="CPQuestions"/>
      </w:pPr>
      <w:r w:rsidRPr="00FB0E7D">
        <w:lastRenderedPageBreak/>
        <w:t>Do you agree with the proposed amendments to Article 11 of MAR?</w:t>
      </w:r>
    </w:p>
    <w:p w14:paraId="4CDEA536" w14:textId="77777777" w:rsidR="007D5EDB" w:rsidRPr="00FB0E7D" w:rsidRDefault="0A5769A0" w:rsidP="00503347">
      <w:pPr>
        <w:jc w:val="both"/>
      </w:pPr>
      <w:r w:rsidRPr="00FB0E7D">
        <w:t>&lt;ESMA_QUESTION_CP_MAR_33&gt;</w:t>
      </w:r>
    </w:p>
    <w:p w14:paraId="1474F185" w14:textId="77777777" w:rsidR="007D5EDB" w:rsidRPr="00FB0E7D" w:rsidRDefault="0A5769A0" w:rsidP="00503347">
      <w:pPr>
        <w:jc w:val="both"/>
      </w:pPr>
      <w:r w:rsidRPr="00FB0E7D">
        <w:t>[TYPE YOUR TEXT HERE]</w:t>
      </w:r>
    </w:p>
    <w:p w14:paraId="65623A2E" w14:textId="77777777" w:rsidR="007D5EDB" w:rsidRPr="00FB0E7D" w:rsidRDefault="0A5769A0" w:rsidP="00503347">
      <w:pPr>
        <w:jc w:val="both"/>
      </w:pPr>
      <w:r w:rsidRPr="00FB0E7D">
        <w:t>&lt;ESMA_QUESTION_CP_MAR_33&gt;</w:t>
      </w:r>
    </w:p>
    <w:p w14:paraId="045EDFC4" w14:textId="77777777" w:rsidR="007D5EDB" w:rsidRPr="00FB0E7D" w:rsidRDefault="007D5EDB" w:rsidP="00503347">
      <w:pPr>
        <w:jc w:val="both"/>
      </w:pPr>
    </w:p>
    <w:p w14:paraId="46BB08A4" w14:textId="77777777" w:rsidR="007D5EDB" w:rsidRPr="00FB0E7D" w:rsidRDefault="0A5769A0" w:rsidP="00503347">
      <w:pPr>
        <w:pStyle w:val="CPQuestions"/>
      </w:pPr>
      <w:r w:rsidRPr="00FB0E7D">
        <w:t>Do you think that some limitation to the definition of market sounding should be introduced (e.g. excluding certain categories of transactions) or that additional clarification on the scope of the definition of market sounding should be provided?</w:t>
      </w:r>
    </w:p>
    <w:p w14:paraId="10475C64" w14:textId="77777777" w:rsidR="007D5EDB" w:rsidRPr="00FB0E7D" w:rsidRDefault="0A5769A0" w:rsidP="00503347">
      <w:pPr>
        <w:jc w:val="both"/>
      </w:pPr>
      <w:r w:rsidRPr="00FB0E7D">
        <w:t>&lt;ESMA_QUESTION_CP_MAR_34&gt;</w:t>
      </w:r>
    </w:p>
    <w:p w14:paraId="1CB00F85" w14:textId="77777777" w:rsidR="007D5EDB" w:rsidRPr="00FB0E7D" w:rsidRDefault="0A5769A0" w:rsidP="00503347">
      <w:pPr>
        <w:jc w:val="both"/>
      </w:pPr>
      <w:r w:rsidRPr="00FB0E7D">
        <w:t>[TYPE YOUR TEXT HERE]</w:t>
      </w:r>
    </w:p>
    <w:p w14:paraId="295014B8" w14:textId="77777777" w:rsidR="007D5EDB" w:rsidRPr="00FB0E7D" w:rsidRDefault="0A5769A0" w:rsidP="00503347">
      <w:pPr>
        <w:jc w:val="both"/>
      </w:pPr>
      <w:r w:rsidRPr="00FB0E7D">
        <w:t>&lt;ESMA_QUESTION_CP_MAR_34&gt;</w:t>
      </w:r>
    </w:p>
    <w:p w14:paraId="0037A18D" w14:textId="77777777" w:rsidR="007D5EDB" w:rsidRPr="00FB0E7D" w:rsidRDefault="007D5EDB" w:rsidP="00503347">
      <w:pPr>
        <w:jc w:val="both"/>
      </w:pPr>
    </w:p>
    <w:p w14:paraId="713D555E" w14:textId="77777777" w:rsidR="007D5EDB" w:rsidRPr="00FB0E7D" w:rsidRDefault="0A5769A0" w:rsidP="00503347">
      <w:pPr>
        <w:pStyle w:val="CPQuestions"/>
      </w:pPr>
      <w:r w:rsidRPr="00FB0E7D">
        <w:t>What are in your view the stages of the interaction between DMPs and potential investors, from the initial contact to the execution of the transaction, that should be covered by the definition of market soundings?</w:t>
      </w:r>
    </w:p>
    <w:p w14:paraId="5900EB5D" w14:textId="77777777" w:rsidR="007D5EDB" w:rsidRPr="00FB0E7D" w:rsidRDefault="0A5769A0" w:rsidP="00503347">
      <w:pPr>
        <w:jc w:val="both"/>
      </w:pPr>
      <w:r w:rsidRPr="00FB0E7D">
        <w:t>&lt;ESMA_QUESTION_CP_MAR_35&gt;</w:t>
      </w:r>
    </w:p>
    <w:p w14:paraId="13522C86" w14:textId="77777777" w:rsidR="007D5EDB" w:rsidRPr="00FB0E7D" w:rsidRDefault="0A5769A0" w:rsidP="00503347">
      <w:pPr>
        <w:jc w:val="both"/>
      </w:pPr>
      <w:r w:rsidRPr="00FB0E7D">
        <w:t>[TYPE YOUR TEXT HERE]</w:t>
      </w:r>
    </w:p>
    <w:p w14:paraId="5282CD12" w14:textId="77777777" w:rsidR="007D5EDB" w:rsidRPr="00FB0E7D" w:rsidRDefault="0A5769A0" w:rsidP="00503347">
      <w:pPr>
        <w:jc w:val="both"/>
      </w:pPr>
      <w:r w:rsidRPr="00FB0E7D">
        <w:t>&lt;ESMA_QUESTION_CP_MAR_35&gt;</w:t>
      </w:r>
    </w:p>
    <w:p w14:paraId="7F0214CF" w14:textId="77777777" w:rsidR="007D5EDB" w:rsidRPr="00FB0E7D" w:rsidRDefault="007D5EDB" w:rsidP="00503347">
      <w:pPr>
        <w:jc w:val="both"/>
      </w:pPr>
    </w:p>
    <w:p w14:paraId="0DE55146" w14:textId="77777777" w:rsidR="007D5EDB" w:rsidRPr="00FB0E7D" w:rsidRDefault="0A5769A0" w:rsidP="00503347">
      <w:pPr>
        <w:pStyle w:val="CPQuestions"/>
      </w:pPr>
      <w:r w:rsidRPr="00FB0E7D">
        <w:t>Do you think that the reference to “prior to the announcement of a transaction” in the definition of market sounding is appropriate or whether it should be amended to cover also those communications of information not followed by any specific announcement?</w:t>
      </w:r>
    </w:p>
    <w:p w14:paraId="316B9883" w14:textId="77777777" w:rsidR="007D5EDB" w:rsidRPr="00FB0E7D" w:rsidRDefault="0A5769A0" w:rsidP="00503347">
      <w:pPr>
        <w:jc w:val="both"/>
      </w:pPr>
      <w:r w:rsidRPr="00FB0E7D">
        <w:t>&lt;ESMA_QUESTION_CP_MAR_36&gt;</w:t>
      </w:r>
    </w:p>
    <w:p w14:paraId="07C6A845" w14:textId="77777777" w:rsidR="007D5EDB" w:rsidRPr="00FB0E7D" w:rsidRDefault="0A5769A0" w:rsidP="00503347">
      <w:pPr>
        <w:jc w:val="both"/>
      </w:pPr>
      <w:r w:rsidRPr="00FB0E7D">
        <w:t>[TYPE YOUR TEXT HERE]</w:t>
      </w:r>
    </w:p>
    <w:p w14:paraId="6B3207E6" w14:textId="77777777" w:rsidR="007D5EDB" w:rsidRPr="00FB0E7D" w:rsidRDefault="0A5769A0" w:rsidP="00503347">
      <w:pPr>
        <w:jc w:val="both"/>
      </w:pPr>
      <w:r w:rsidRPr="00FB0E7D">
        <w:t>&lt;ESMA_QUESTION_CP_MAR_36&gt;</w:t>
      </w:r>
    </w:p>
    <w:p w14:paraId="79660287" w14:textId="77777777" w:rsidR="007D5EDB" w:rsidRPr="00FB0E7D" w:rsidRDefault="007D5EDB" w:rsidP="00503347">
      <w:pPr>
        <w:jc w:val="both"/>
      </w:pPr>
    </w:p>
    <w:p w14:paraId="597BFE89" w14:textId="77777777" w:rsidR="007D5EDB" w:rsidRPr="00FB0E7D" w:rsidRDefault="0A5769A0" w:rsidP="00503347">
      <w:pPr>
        <w:pStyle w:val="CPQuestions"/>
      </w:pPr>
      <w:r w:rsidRPr="00FB0E7D">
        <w:t>Can you provide information on situations where the market soundings regime has proven to be of difficult application by DMPs or persons receiving the market sounding? Could you please elaborate?</w:t>
      </w:r>
    </w:p>
    <w:p w14:paraId="04E0B39A" w14:textId="77777777" w:rsidR="007D5EDB" w:rsidRPr="00FB0E7D" w:rsidRDefault="0A5769A0" w:rsidP="00503347">
      <w:pPr>
        <w:jc w:val="both"/>
      </w:pPr>
      <w:r w:rsidRPr="00FB0E7D">
        <w:t>&lt;ESMA_QUESTION_CP_MAR_37&gt;</w:t>
      </w:r>
    </w:p>
    <w:p w14:paraId="3B56C8A7" w14:textId="77777777" w:rsidR="007D5EDB" w:rsidRPr="00FB0E7D" w:rsidRDefault="0A5769A0" w:rsidP="00503347">
      <w:pPr>
        <w:jc w:val="both"/>
      </w:pPr>
      <w:r w:rsidRPr="00FB0E7D">
        <w:t>[TYPE YOUR TEXT HERE]</w:t>
      </w:r>
    </w:p>
    <w:p w14:paraId="0B5C80DE" w14:textId="77777777" w:rsidR="007D5EDB" w:rsidRPr="00FB0E7D" w:rsidRDefault="0A5769A0" w:rsidP="00503347">
      <w:pPr>
        <w:jc w:val="both"/>
      </w:pPr>
      <w:r w:rsidRPr="00FB0E7D">
        <w:t>&lt;ESMA_QUESTION_CP_MAR_37&gt;</w:t>
      </w:r>
    </w:p>
    <w:p w14:paraId="76C88216" w14:textId="77777777" w:rsidR="007D5EDB" w:rsidRPr="00FB0E7D" w:rsidRDefault="007D5EDB" w:rsidP="00503347">
      <w:pPr>
        <w:jc w:val="both"/>
      </w:pPr>
    </w:p>
    <w:p w14:paraId="0533841A" w14:textId="77777777" w:rsidR="007D5EDB" w:rsidRPr="00FB0E7D" w:rsidRDefault="0A5769A0" w:rsidP="00503347">
      <w:pPr>
        <w:pStyle w:val="CPQuestions"/>
      </w:pPr>
      <w:r w:rsidRPr="00FB0E7D">
        <w:t>Can you provide your views on how to simplify or improve the market sounding procedure and requirements while ensuring an adequate level of audit trail of the conveyed information (in relation to both the DMPs and the persons receiving the market sounding)?</w:t>
      </w:r>
    </w:p>
    <w:p w14:paraId="245F8189" w14:textId="77777777" w:rsidR="007D5EDB" w:rsidRPr="00FB0E7D" w:rsidRDefault="0A5769A0" w:rsidP="00503347">
      <w:pPr>
        <w:jc w:val="both"/>
      </w:pPr>
      <w:r w:rsidRPr="00FB0E7D">
        <w:t>&lt;ESMA_QUESTION_CP_MAR_38&gt;</w:t>
      </w:r>
    </w:p>
    <w:p w14:paraId="7EF91F0F" w14:textId="77777777" w:rsidR="007D5EDB" w:rsidRPr="00FB0E7D" w:rsidRDefault="0A5769A0" w:rsidP="00503347">
      <w:pPr>
        <w:jc w:val="both"/>
      </w:pPr>
      <w:r w:rsidRPr="00FB0E7D">
        <w:t>[TYPE YOUR TEXT HERE]</w:t>
      </w:r>
    </w:p>
    <w:p w14:paraId="36298ECA" w14:textId="77777777" w:rsidR="007D5EDB" w:rsidRPr="00FB0E7D" w:rsidRDefault="0A5769A0" w:rsidP="00503347">
      <w:pPr>
        <w:jc w:val="both"/>
      </w:pPr>
      <w:r w:rsidRPr="00FB0E7D">
        <w:lastRenderedPageBreak/>
        <w:t>&lt;ESMA_QUESTION_CP_MAR_38&gt;</w:t>
      </w:r>
    </w:p>
    <w:p w14:paraId="7357BD76" w14:textId="77777777" w:rsidR="007D5EDB" w:rsidRPr="00FB0E7D" w:rsidRDefault="007D5EDB" w:rsidP="00503347">
      <w:pPr>
        <w:jc w:val="both"/>
      </w:pPr>
    </w:p>
    <w:p w14:paraId="080C4F28" w14:textId="77777777" w:rsidR="007D5EDB" w:rsidRPr="00FB0E7D" w:rsidRDefault="0A5769A0" w:rsidP="00503347">
      <w:pPr>
        <w:pStyle w:val="CPQuestions"/>
      </w:pPr>
      <w:r w:rsidRPr="00FB0E7D">
        <w:t>Do you agree with ESMA’s preliminary view on the usefulness of insider list? If not, please elaborate.</w:t>
      </w:r>
    </w:p>
    <w:p w14:paraId="5B456B99" w14:textId="77777777" w:rsidR="007D5EDB" w:rsidRPr="00FB0E7D" w:rsidRDefault="0A5769A0" w:rsidP="00503347">
      <w:pPr>
        <w:jc w:val="both"/>
        <w:rPr>
          <w:rFonts w:cs="Arial"/>
        </w:rPr>
      </w:pPr>
      <w:r w:rsidRPr="00FB0E7D">
        <w:rPr>
          <w:rFonts w:cs="Arial"/>
        </w:rPr>
        <w:t>&lt;ESMA_QUESTION_CP_MAR_39&gt;</w:t>
      </w:r>
    </w:p>
    <w:p w14:paraId="113DC405" w14:textId="77777777" w:rsidR="007D5EDB" w:rsidRPr="00FB0E7D" w:rsidRDefault="007D5EDB" w:rsidP="00503347">
      <w:pPr>
        <w:pStyle w:val="Kommentartext"/>
        <w:spacing w:after="0"/>
        <w:jc w:val="both"/>
        <w:rPr>
          <w:rFonts w:ascii="Arial" w:hAnsi="Arial" w:cs="Arial"/>
        </w:rPr>
      </w:pPr>
      <w:bookmarkStart w:id="3" w:name="_Hlk23957790"/>
      <w:r w:rsidRPr="00FB0E7D">
        <w:rPr>
          <w:rFonts w:ascii="Arial" w:hAnsi="Arial" w:cs="Arial"/>
        </w:rPr>
        <w:t>[</w:t>
      </w:r>
      <w:r w:rsidRPr="00FB0E7D">
        <w:rPr>
          <w:rFonts w:ascii="Arial" w:hAnsi="Arial" w:cs="Arial"/>
          <w:color w:val="000000"/>
        </w:rPr>
        <w:t xml:space="preserve">It appears from the European Commission’s request that this question can only be fully answered by and is therefore mainly addressed to NCAs. </w:t>
      </w:r>
      <w:r w:rsidRPr="00FB0E7D">
        <w:rPr>
          <w:rFonts w:ascii="Arial" w:hAnsi="Arial" w:cs="Arial"/>
        </w:rPr>
        <w:t xml:space="preserve">We agree with ESMA’s view that insider lists are useful, not only to NCAs but also to issuers’ own compliance function. </w:t>
      </w:r>
      <w:r w:rsidRPr="00FB0E7D">
        <w:rPr>
          <w:rFonts w:ascii="Arial" w:hAnsi="Arial" w:cs="Arial"/>
          <w:color w:val="000000"/>
        </w:rPr>
        <w:t>From an issuer’s perspective, insider lists are most helpful not only to manage the flow and confidentiality of inside information but also to increase the awareness of individuals as to the sensitivity of the information and the severeness of its misuse. The protection of market integrity is based on the responsible handling of inside information by all stakeholders.</w:t>
      </w:r>
      <w:r w:rsidRPr="00FB0E7D">
        <w:rPr>
          <w:rFonts w:ascii="Arial" w:hAnsi="Arial" w:cs="Arial"/>
        </w:rPr>
        <w:t>]</w:t>
      </w:r>
      <w:bookmarkEnd w:id="3"/>
    </w:p>
    <w:p w14:paraId="0995BBD3" w14:textId="77777777" w:rsidR="007D5EDB" w:rsidRPr="00FB0E7D" w:rsidRDefault="0A5769A0" w:rsidP="00503347">
      <w:pPr>
        <w:pStyle w:val="Kommentartext"/>
        <w:spacing w:after="0"/>
        <w:jc w:val="both"/>
        <w:rPr>
          <w:rFonts w:ascii="Arial" w:hAnsi="Arial" w:cs="Arial"/>
        </w:rPr>
      </w:pPr>
      <w:r w:rsidRPr="00FB0E7D">
        <w:rPr>
          <w:rFonts w:ascii="Arial" w:hAnsi="Arial" w:cs="Arial"/>
        </w:rPr>
        <w:t>&lt;ESMA_QUESTION_CP_MAR_39&gt;</w:t>
      </w:r>
    </w:p>
    <w:p w14:paraId="5053567B" w14:textId="77777777" w:rsidR="007D5EDB" w:rsidRPr="00FB0E7D" w:rsidRDefault="007D5EDB" w:rsidP="00503347">
      <w:pPr>
        <w:jc w:val="both"/>
      </w:pPr>
    </w:p>
    <w:p w14:paraId="28299BCE" w14:textId="77777777" w:rsidR="007D5EDB" w:rsidRPr="00FB0E7D" w:rsidRDefault="0A5769A0" w:rsidP="00503347">
      <w:pPr>
        <w:pStyle w:val="CPQuestions"/>
      </w:pPr>
      <w:r w:rsidRPr="00FB0E7D">
        <w:t>Do you consider that the insider list regime should be amended to make it more effective?  Please elaborate.</w:t>
      </w:r>
    </w:p>
    <w:p w14:paraId="5F4AEF9F" w14:textId="77777777" w:rsidR="007D5EDB" w:rsidRPr="00FB0E7D" w:rsidRDefault="0A5769A0" w:rsidP="00503347">
      <w:pPr>
        <w:jc w:val="both"/>
      </w:pPr>
      <w:r w:rsidRPr="00FB0E7D">
        <w:t>&lt;ESMA_QUESTION_CP_MAR_40&gt;</w:t>
      </w:r>
    </w:p>
    <w:p w14:paraId="58D79308" w14:textId="77777777" w:rsidR="007D5EDB" w:rsidRPr="00FB0E7D" w:rsidRDefault="0A5769A0" w:rsidP="00503347">
      <w:pPr>
        <w:jc w:val="both"/>
      </w:pPr>
      <w:r w:rsidRPr="00FB0E7D">
        <w:t>[TYPE YOUR TEXT HERE]</w:t>
      </w:r>
    </w:p>
    <w:p w14:paraId="613085CD" w14:textId="77777777" w:rsidR="007D5EDB" w:rsidRPr="00FB0E7D" w:rsidRDefault="0A5769A0" w:rsidP="00503347">
      <w:pPr>
        <w:jc w:val="both"/>
      </w:pPr>
      <w:r w:rsidRPr="00FB0E7D">
        <w:t>&lt;ESMA_QUESTION_CP_MAR_40&gt;</w:t>
      </w:r>
    </w:p>
    <w:p w14:paraId="1D89F8E5" w14:textId="77777777" w:rsidR="007D5EDB" w:rsidRPr="00FB0E7D" w:rsidRDefault="007D5EDB" w:rsidP="00503347">
      <w:pPr>
        <w:jc w:val="both"/>
      </w:pPr>
    </w:p>
    <w:p w14:paraId="511E207D" w14:textId="77777777" w:rsidR="007D5EDB" w:rsidRPr="00FB0E7D" w:rsidRDefault="0A5769A0" w:rsidP="00503347">
      <w:pPr>
        <w:pStyle w:val="CPQuestions"/>
      </w:pPr>
      <w:r w:rsidRPr="00FB0E7D">
        <w:t>What changes and what systems and controls would issuers need to put in place in order to be able to provide NCAs, at their request, the insider list with the individuals who had actually accessed the inside information within a short time period?</w:t>
      </w:r>
    </w:p>
    <w:p w14:paraId="0BD13733" w14:textId="77777777" w:rsidR="007D5EDB" w:rsidRPr="00FB0E7D" w:rsidRDefault="78F6E27A" w:rsidP="00503347">
      <w:pPr>
        <w:jc w:val="both"/>
      </w:pPr>
      <w:r>
        <w:t>&lt;ESMA_QUESTION_CP_MAR_41&gt;</w:t>
      </w:r>
    </w:p>
    <w:p w14:paraId="283E3CE9" w14:textId="74FBBB91" w:rsidR="78F6E27A" w:rsidRDefault="78F6E27A" w:rsidP="00503347">
      <w:pPr>
        <w:jc w:val="both"/>
      </w:pPr>
      <w:r>
        <w:t>[TYPE YOUR TEXT HERE]</w:t>
      </w:r>
    </w:p>
    <w:p w14:paraId="3F4E5D48" w14:textId="77777777" w:rsidR="007D5EDB" w:rsidRPr="00FB0E7D" w:rsidRDefault="0A5769A0" w:rsidP="00503347">
      <w:pPr>
        <w:jc w:val="both"/>
      </w:pPr>
      <w:r w:rsidRPr="00FB0E7D">
        <w:t>&lt;ESMA_QUESTION_CP_MAR_41&gt;</w:t>
      </w:r>
    </w:p>
    <w:p w14:paraId="3C5D6B33" w14:textId="77777777" w:rsidR="007D5EDB" w:rsidRPr="00FB0E7D" w:rsidRDefault="007D5EDB" w:rsidP="00503347">
      <w:pPr>
        <w:jc w:val="both"/>
      </w:pPr>
    </w:p>
    <w:p w14:paraId="66E64769" w14:textId="77777777" w:rsidR="007D5EDB" w:rsidRPr="00FB0E7D" w:rsidRDefault="0A5769A0" w:rsidP="00503347">
      <w:pPr>
        <w:pStyle w:val="CPQuestions"/>
      </w:pPr>
      <w:r w:rsidRPr="00FB0E7D">
        <w:t>What are your views about expanding the scope of Article 18(1) of MAR (i.e. drawing up and maintain the insider list) to include any person performing tasks through which they have access to inside information, irrespective of the fact that they act on behalf or on account of the issuer? Please identify any other cases that you consider appropriate.</w:t>
      </w:r>
    </w:p>
    <w:p w14:paraId="2B4E76B7" w14:textId="77777777" w:rsidR="007D5EDB" w:rsidRPr="00FB0E7D" w:rsidRDefault="0A5769A0" w:rsidP="00503347">
      <w:pPr>
        <w:jc w:val="both"/>
      </w:pPr>
      <w:r w:rsidRPr="00FB0E7D">
        <w:t>&lt;ESMA_QUESTION_CP_MAR_42&gt;</w:t>
      </w:r>
    </w:p>
    <w:p w14:paraId="68ADB6CF" w14:textId="77777777" w:rsidR="004704CC" w:rsidRDefault="0A5769A0" w:rsidP="00503347">
      <w:pPr>
        <w:jc w:val="both"/>
        <w:rPr>
          <w:rFonts w:cs="Arial"/>
          <w:color w:val="000000"/>
          <w:szCs w:val="20"/>
          <w:lang w:val="en-US" w:eastAsia="zh-CN"/>
        </w:rPr>
      </w:pPr>
      <w:r w:rsidRPr="00F31510">
        <w:rPr>
          <w:rFonts w:cs="Arial"/>
          <w:szCs w:val="20"/>
        </w:rPr>
        <w:t>[</w:t>
      </w:r>
      <w:r w:rsidR="004704CC" w:rsidRPr="00F31510">
        <w:rPr>
          <w:rFonts w:cs="Arial"/>
          <w:color w:val="000000"/>
          <w:szCs w:val="20"/>
          <w:lang w:val="en-US" w:eastAsia="zh-CN"/>
        </w:rPr>
        <w:t>On the one hand, it would slightly reduce the issuers burden, if external parties without contractual or similar relationship to the issuer have to maintain insider list on their own. On the other hand, the proposed change of scope of Art. 18 (1) MAR would result in a large number of external parties being obliged to maintain lists, including regulators or other governmen</w:t>
      </w:r>
      <w:r w:rsidR="004704CC">
        <w:rPr>
          <w:rFonts w:cs="Arial"/>
          <w:color w:val="000000"/>
          <w:szCs w:val="20"/>
          <w:lang w:val="en-US" w:eastAsia="zh-CN"/>
        </w:rPr>
        <w:t xml:space="preserve">t bodies doing investigations. </w:t>
      </w:r>
    </w:p>
    <w:p w14:paraId="6B4B098D" w14:textId="77777777" w:rsidR="004704CC" w:rsidRDefault="004704CC" w:rsidP="00503347">
      <w:pPr>
        <w:jc w:val="both"/>
        <w:rPr>
          <w:rFonts w:cs="Arial"/>
          <w:color w:val="000000"/>
          <w:szCs w:val="20"/>
          <w:lang w:val="en-US" w:eastAsia="zh-CN"/>
        </w:rPr>
      </w:pPr>
    </w:p>
    <w:p w14:paraId="38BA44B5" w14:textId="77777777" w:rsidR="004704CC" w:rsidRDefault="004704CC" w:rsidP="00503347">
      <w:pPr>
        <w:jc w:val="both"/>
        <w:rPr>
          <w:rFonts w:cs="Arial"/>
          <w:color w:val="000000"/>
          <w:szCs w:val="20"/>
          <w:lang w:val="en-US" w:eastAsia="zh-CN"/>
        </w:rPr>
      </w:pPr>
      <w:r>
        <w:rPr>
          <w:rFonts w:cs="Arial"/>
          <w:color w:val="000000"/>
          <w:szCs w:val="20"/>
          <w:lang w:val="en-US" w:eastAsia="zh-CN"/>
        </w:rPr>
        <w:t xml:space="preserve">It is highly unclear what third parties could fall into the scope of the requirement after the proposed extension, but it could include third parties without any connection to the issuer, without being </w:t>
      </w:r>
      <w:r w:rsidRPr="00F31510">
        <w:rPr>
          <w:rFonts w:cs="Arial"/>
          <w:color w:val="000000"/>
          <w:szCs w:val="20"/>
          <w:lang w:val="en-US" w:eastAsia="zh-CN"/>
        </w:rPr>
        <w:t>familiar with the concept and regulation around insider lists</w:t>
      </w:r>
      <w:r>
        <w:rPr>
          <w:rFonts w:cs="Arial"/>
          <w:color w:val="000000"/>
          <w:szCs w:val="20"/>
          <w:lang w:val="en-US" w:eastAsia="zh-CN"/>
        </w:rPr>
        <w:t xml:space="preserve"> and without being known to the issuer. </w:t>
      </w:r>
    </w:p>
    <w:p w14:paraId="5D8B030F" w14:textId="5CEAAF8A" w:rsidR="007D5EDB" w:rsidRPr="00F31510" w:rsidRDefault="004704CC" w:rsidP="00503347">
      <w:pPr>
        <w:jc w:val="both"/>
        <w:rPr>
          <w:rFonts w:cs="Arial"/>
          <w:color w:val="000000"/>
          <w:szCs w:val="20"/>
          <w:lang w:val="en-US" w:eastAsia="zh-CN"/>
        </w:rPr>
      </w:pPr>
      <w:r w:rsidRPr="00F31510">
        <w:rPr>
          <w:rFonts w:cs="Arial"/>
          <w:color w:val="000000"/>
          <w:szCs w:val="20"/>
          <w:lang w:val="en-US" w:eastAsia="zh-CN"/>
        </w:rPr>
        <w:br/>
        <w:t xml:space="preserve">It is the obligation of the issuer to inform </w:t>
      </w:r>
      <w:r w:rsidRPr="0058747D">
        <w:rPr>
          <w:rFonts w:cs="Arial"/>
          <w:szCs w:val="20"/>
          <w:lang w:val="en-US" w:eastAsia="zh-CN"/>
        </w:rPr>
        <w:t xml:space="preserve">its </w:t>
      </w:r>
      <w:r w:rsidRPr="00F31510">
        <w:rPr>
          <w:rFonts w:cs="Arial"/>
          <w:color w:val="000000"/>
          <w:szCs w:val="20"/>
          <w:lang w:val="en-US" w:eastAsia="zh-CN"/>
        </w:rPr>
        <w:t xml:space="preserve">service providers about the nature of the information they are getting access to and to inform them about their duty to maintain an insider list by themselves. This ensures that they are aware of the requirement. If third parties without any relationship to the issuer, would come in </w:t>
      </w:r>
      <w:r w:rsidRPr="00F31510">
        <w:rPr>
          <w:rFonts w:cs="Arial"/>
          <w:color w:val="000000"/>
          <w:szCs w:val="20"/>
          <w:lang w:val="en-US" w:eastAsia="zh-CN"/>
        </w:rPr>
        <w:lastRenderedPageBreak/>
        <w:t>the situation they would lack the necessary systems and procedures to deal with it.</w:t>
      </w:r>
      <w:r w:rsidRPr="00F31510">
        <w:rPr>
          <w:rFonts w:cs="Arial"/>
          <w:color w:val="000000"/>
          <w:szCs w:val="20"/>
          <w:lang w:val="en-US" w:eastAsia="zh-CN"/>
        </w:rPr>
        <w:br/>
        <w:t>We would therefore not support the proposed change of scope</w:t>
      </w:r>
      <w:r w:rsidR="00F31510" w:rsidRPr="00F31510">
        <w:rPr>
          <w:rFonts w:cs="Arial"/>
          <w:color w:val="000000"/>
          <w:szCs w:val="20"/>
          <w:lang w:val="en-US" w:eastAsia="zh-CN"/>
        </w:rPr>
        <w:t>.</w:t>
      </w:r>
      <w:r w:rsidR="0A5769A0" w:rsidRPr="00FB0E7D">
        <w:rPr>
          <w:rFonts w:cs="Arial"/>
        </w:rPr>
        <w:t>]</w:t>
      </w:r>
    </w:p>
    <w:p w14:paraId="39013DDA" w14:textId="77777777" w:rsidR="007D5EDB" w:rsidRPr="00FB0E7D" w:rsidRDefault="0A5769A0" w:rsidP="00503347">
      <w:pPr>
        <w:jc w:val="both"/>
      </w:pPr>
      <w:r w:rsidRPr="00FB0E7D">
        <w:t>&lt;ESMA_QUESTION_CP_MAR_42&gt;</w:t>
      </w:r>
    </w:p>
    <w:p w14:paraId="7FAEA125" w14:textId="77777777" w:rsidR="007D5EDB" w:rsidRPr="00FB0E7D" w:rsidRDefault="007D5EDB" w:rsidP="00503347">
      <w:pPr>
        <w:jc w:val="both"/>
      </w:pPr>
    </w:p>
    <w:p w14:paraId="6968F72F" w14:textId="77777777" w:rsidR="007D5EDB" w:rsidRPr="00FB0E7D" w:rsidRDefault="0A5769A0" w:rsidP="00503347">
      <w:pPr>
        <w:pStyle w:val="CPQuestions"/>
      </w:pPr>
      <w:r w:rsidRPr="00FB0E7D">
        <w:t>Do you consider useful maintaining the permanent insider section? If yes, please elaborate on your reasons for using the permanent insider section and who should be included in that section in your opinion.</w:t>
      </w:r>
    </w:p>
    <w:p w14:paraId="7ADFB1E5" w14:textId="77777777" w:rsidR="007D5EDB" w:rsidRPr="00FB0E7D" w:rsidRDefault="0A5769A0" w:rsidP="00503347">
      <w:pPr>
        <w:jc w:val="both"/>
      </w:pPr>
      <w:r w:rsidRPr="00FB0E7D">
        <w:t>&lt;ESMA_QUESTION_CP_MAR_43&gt;</w:t>
      </w:r>
    </w:p>
    <w:p w14:paraId="72B886A4" w14:textId="77777777" w:rsidR="007D5EDB" w:rsidRPr="00FB0E7D" w:rsidRDefault="0A5769A0" w:rsidP="00503347">
      <w:pPr>
        <w:jc w:val="both"/>
      </w:pPr>
      <w:r w:rsidRPr="00FB0E7D">
        <w:t>[TYPE YOUR TEXT HERE]</w:t>
      </w:r>
    </w:p>
    <w:p w14:paraId="2C122383" w14:textId="77777777" w:rsidR="007D5EDB" w:rsidRPr="00FB0E7D" w:rsidRDefault="0A5769A0" w:rsidP="00503347">
      <w:pPr>
        <w:jc w:val="both"/>
      </w:pPr>
      <w:r w:rsidRPr="00FB0E7D">
        <w:t>&lt;ESMA_QUESTION_CP_MAR_43&gt;</w:t>
      </w:r>
    </w:p>
    <w:p w14:paraId="4EE91BA6" w14:textId="77777777" w:rsidR="007D5EDB" w:rsidRPr="00FB0E7D" w:rsidRDefault="007D5EDB" w:rsidP="00503347">
      <w:pPr>
        <w:jc w:val="both"/>
      </w:pPr>
    </w:p>
    <w:p w14:paraId="5FD69EF2" w14:textId="77777777" w:rsidR="007D5EDB" w:rsidRPr="00FB0E7D" w:rsidRDefault="0A5769A0" w:rsidP="00503347">
      <w:pPr>
        <w:pStyle w:val="CPQuestions"/>
      </w:pPr>
      <w:r w:rsidRPr="00FB0E7D">
        <w:t>Do you agree with ESMA’s preliminary view?</w:t>
      </w:r>
    </w:p>
    <w:p w14:paraId="479C9C7B" w14:textId="77777777" w:rsidR="007D5EDB" w:rsidRPr="00FB0E7D" w:rsidRDefault="0A5769A0" w:rsidP="00503347">
      <w:pPr>
        <w:jc w:val="both"/>
      </w:pPr>
      <w:r w:rsidRPr="00FB0E7D">
        <w:t>&lt;ESMA_QUESTION_CP_MAR_44&gt;</w:t>
      </w:r>
    </w:p>
    <w:p w14:paraId="5E2BEA1B" w14:textId="77777777" w:rsidR="007D5EDB" w:rsidRPr="00FB0E7D" w:rsidRDefault="0A5769A0" w:rsidP="00503347">
      <w:pPr>
        <w:jc w:val="both"/>
        <w:rPr>
          <w:rFonts w:cs="Arial"/>
          <w:color w:val="000000" w:themeColor="text1"/>
          <w:lang w:val="en-US" w:eastAsia="zh-CN"/>
        </w:rPr>
      </w:pPr>
      <w:r w:rsidRPr="00FB0E7D">
        <w:rPr>
          <w:rFonts w:cs="Arial"/>
        </w:rPr>
        <w:t>[</w:t>
      </w:r>
      <w:r w:rsidRPr="00FB0E7D">
        <w:t>DBG agrees with the remarks from the issuers’ associations highlighted in paragraph 187 of the consultation paper and with ESMA’s preliminary view.</w:t>
      </w:r>
      <w:r w:rsidRPr="00FB0E7D">
        <w:rPr>
          <w:rFonts w:cs="Arial"/>
        </w:rPr>
        <w:t>]</w:t>
      </w:r>
    </w:p>
    <w:p w14:paraId="55C0FC54" w14:textId="77777777" w:rsidR="007D5EDB" w:rsidRPr="00FB0E7D" w:rsidRDefault="0A5769A0" w:rsidP="00503347">
      <w:pPr>
        <w:jc w:val="both"/>
      </w:pPr>
      <w:r w:rsidRPr="00FB0E7D">
        <w:t>&lt;ESMA_QUESTION_CP_MAR_44&gt;</w:t>
      </w:r>
    </w:p>
    <w:p w14:paraId="679CF948" w14:textId="77777777" w:rsidR="007D5EDB" w:rsidRPr="00FB0E7D" w:rsidRDefault="007D5EDB" w:rsidP="00503347">
      <w:pPr>
        <w:jc w:val="both"/>
      </w:pPr>
    </w:p>
    <w:p w14:paraId="0C142609" w14:textId="77777777" w:rsidR="007D5EDB" w:rsidRPr="00FB0E7D" w:rsidRDefault="0A5769A0" w:rsidP="00503347">
      <w:pPr>
        <w:pStyle w:val="CPQuestions"/>
      </w:pPr>
      <w:r w:rsidRPr="00FB0E7D">
        <w:t>Do you have any other suggestion on the insider lists that would support more efficiently their objectives while reducing the administrative work they entail? If yes, please elaborate how those changes could contribute to that purpose.</w:t>
      </w:r>
    </w:p>
    <w:p w14:paraId="7C03E9CD" w14:textId="77777777" w:rsidR="007D5EDB" w:rsidRPr="00FB0E7D" w:rsidRDefault="0A5769A0" w:rsidP="00503347">
      <w:pPr>
        <w:jc w:val="both"/>
      </w:pPr>
      <w:r w:rsidRPr="00FB0E7D">
        <w:t>&lt;ESMA_QUESTION_CP_MAR_45&gt;</w:t>
      </w:r>
    </w:p>
    <w:p w14:paraId="3D2D6911" w14:textId="77777777" w:rsidR="007D5EDB" w:rsidRPr="00FB0E7D" w:rsidRDefault="0A5769A0" w:rsidP="00503347">
      <w:pPr>
        <w:jc w:val="both"/>
      </w:pPr>
      <w:r w:rsidRPr="00FB0E7D">
        <w:t>[TYPE YOUR TEXT HERE]</w:t>
      </w:r>
    </w:p>
    <w:p w14:paraId="122473F1" w14:textId="77777777" w:rsidR="007D5EDB" w:rsidRPr="00FB0E7D" w:rsidRDefault="0A5769A0" w:rsidP="00503347">
      <w:pPr>
        <w:jc w:val="both"/>
      </w:pPr>
      <w:r w:rsidRPr="00FB0E7D">
        <w:t>&lt;ESMA_QUESTION_CP_MAR_45&gt;</w:t>
      </w:r>
    </w:p>
    <w:p w14:paraId="1B8091F6" w14:textId="77777777" w:rsidR="007D5EDB" w:rsidRPr="00FB0E7D" w:rsidRDefault="007D5EDB" w:rsidP="00503347">
      <w:pPr>
        <w:jc w:val="both"/>
      </w:pPr>
    </w:p>
    <w:p w14:paraId="2E6C40B1" w14:textId="77777777" w:rsidR="007D5EDB" w:rsidRPr="00FB0E7D" w:rsidRDefault="007D5EDB" w:rsidP="00503347">
      <w:pPr>
        <w:pStyle w:val="CPQuestions"/>
      </w:pPr>
      <w:bookmarkStart w:id="4" w:name="_Hlk24475923"/>
      <w:r w:rsidRPr="00FB0E7D">
        <w:t>Does the minimum reporting threshold have to be increased from Euro 5,000? If so, what threshold would ensure an appropriate balance between transparency to the market, preventing market abuse and the reporting burden on issuers, PDMRs, and closely associated persons?</w:t>
      </w:r>
    </w:p>
    <w:p w14:paraId="09FA943B" w14:textId="77777777" w:rsidR="007D5EDB" w:rsidRPr="00FB0E7D" w:rsidRDefault="0A5769A0" w:rsidP="00503347">
      <w:pPr>
        <w:jc w:val="both"/>
      </w:pPr>
      <w:r w:rsidRPr="00FB0E7D">
        <w:t>&lt;ESMA_QUESTION_CP_MAR_46&gt;</w:t>
      </w:r>
    </w:p>
    <w:p w14:paraId="7028860D" w14:textId="69CCA989" w:rsidR="005807EA" w:rsidRPr="005807EA" w:rsidRDefault="0A5769A0" w:rsidP="00503347">
      <w:pPr>
        <w:jc w:val="both"/>
        <w:rPr>
          <w:rFonts w:cs="Arial"/>
          <w:szCs w:val="20"/>
          <w:lang w:val="en-US"/>
        </w:rPr>
      </w:pPr>
      <w:r w:rsidRPr="00F31510">
        <w:rPr>
          <w:rFonts w:cs="Arial"/>
          <w:szCs w:val="20"/>
        </w:rPr>
        <w:t>[</w:t>
      </w:r>
      <w:r w:rsidR="005807EA" w:rsidRPr="005807EA">
        <w:rPr>
          <w:rFonts w:cs="Arial"/>
          <w:szCs w:val="20"/>
          <w:lang w:val="en-US" w:eastAsia="zh-CN"/>
        </w:rPr>
        <w:t>We support the general increase of the minimum reporting threshold from EUR 5,000 to EUR 20,000 which would alleviate administrative burdens for both issuers and NCAs. MAR should provide for the option of NCAs to further increase the threshold, e.g. to EUR 50,000.</w:t>
      </w:r>
    </w:p>
    <w:p w14:paraId="5DAB98D5" w14:textId="77777777" w:rsidR="005807EA" w:rsidRPr="005807EA" w:rsidRDefault="005807EA" w:rsidP="00503347">
      <w:pPr>
        <w:jc w:val="both"/>
        <w:rPr>
          <w:rFonts w:cs="Arial"/>
          <w:szCs w:val="20"/>
          <w:lang w:val="en-US" w:eastAsia="zh-CN"/>
        </w:rPr>
      </w:pPr>
    </w:p>
    <w:p w14:paraId="6D154B4F" w14:textId="4F6BE426" w:rsidR="007D5EDB" w:rsidRPr="005807EA" w:rsidRDefault="005807EA" w:rsidP="00503347">
      <w:pPr>
        <w:jc w:val="both"/>
        <w:rPr>
          <w:rFonts w:cs="Arial"/>
          <w:color w:val="FF0000"/>
          <w:szCs w:val="20"/>
          <w:lang w:val="en-US" w:eastAsia="zh-CN"/>
        </w:rPr>
      </w:pPr>
      <w:r w:rsidRPr="00020D85">
        <w:rPr>
          <w:rFonts w:cs="Arial"/>
          <w:szCs w:val="20"/>
          <w:lang w:val="en-US" w:eastAsia="zh-CN"/>
        </w:rPr>
        <w:t>It has not been asked, however, we would like to point out that the conflict between the three-day time limit since the date of the transaction for both the notification of the issuer by the PDMR and the disclosure by the issuer should be addressed and resolved in the MAR revi</w:t>
      </w:r>
      <w:r>
        <w:rPr>
          <w:rFonts w:cs="Arial"/>
          <w:szCs w:val="20"/>
          <w:lang w:val="en-US" w:eastAsia="zh-CN"/>
        </w:rPr>
        <w:t>ew (Art. 19 (1) and 19 (3) MAR)</w:t>
      </w:r>
      <w:r w:rsidR="0015769A">
        <w:rPr>
          <w:rFonts w:cs="Arial"/>
          <w:szCs w:val="20"/>
          <w:lang w:val="en-US" w:eastAsia="zh-CN"/>
        </w:rPr>
        <w:t>.</w:t>
      </w:r>
      <w:r w:rsidR="0A5769A0" w:rsidRPr="00F31510">
        <w:rPr>
          <w:rFonts w:cs="Arial"/>
          <w:szCs w:val="20"/>
        </w:rPr>
        <w:t>]</w:t>
      </w:r>
    </w:p>
    <w:bookmarkEnd w:id="4"/>
    <w:p w14:paraId="64F71886" w14:textId="77777777" w:rsidR="007D5EDB" w:rsidRPr="00FB0E7D" w:rsidRDefault="0A5769A0" w:rsidP="00503347">
      <w:pPr>
        <w:jc w:val="both"/>
      </w:pPr>
      <w:r w:rsidRPr="00FB0E7D">
        <w:t>&lt;ESMA_QUESTION_CP_MAR_46&gt;</w:t>
      </w:r>
    </w:p>
    <w:p w14:paraId="7674AC36" w14:textId="77777777" w:rsidR="007D5EDB" w:rsidRPr="00FB0E7D" w:rsidRDefault="007D5EDB" w:rsidP="00503347">
      <w:pPr>
        <w:jc w:val="both"/>
      </w:pPr>
    </w:p>
    <w:p w14:paraId="74FF8428" w14:textId="77777777" w:rsidR="007D5EDB" w:rsidRPr="00FB0E7D" w:rsidRDefault="0A5769A0" w:rsidP="00503347">
      <w:pPr>
        <w:pStyle w:val="CPQuestions"/>
      </w:pPr>
      <w:r w:rsidRPr="00FB0E7D">
        <w:t>Should NCAs still have the option to keep a higher threshold? In that case, should the optional threshold be higher than Euro 20,000? If so, please describe the criteria to be used to set the higher optional threshold (by way of example, the liquidity of the financial instrument, or the average compensation received by the managers).</w:t>
      </w:r>
    </w:p>
    <w:p w14:paraId="097DEC25" w14:textId="77777777" w:rsidR="007D5EDB" w:rsidRPr="00FB0E7D" w:rsidRDefault="0A5769A0" w:rsidP="00503347">
      <w:pPr>
        <w:jc w:val="both"/>
      </w:pPr>
      <w:r w:rsidRPr="00FB0E7D">
        <w:lastRenderedPageBreak/>
        <w:t>&lt;ESMA_QUESTION_CP_MAR_47&gt;</w:t>
      </w:r>
    </w:p>
    <w:p w14:paraId="3ED8F36D" w14:textId="77777777" w:rsidR="007D5EDB" w:rsidRPr="00FB0E7D" w:rsidRDefault="0A5769A0" w:rsidP="00503347">
      <w:pPr>
        <w:jc w:val="both"/>
      </w:pPr>
      <w:r w:rsidRPr="00FB0E7D">
        <w:t>[TYPE YOUR TEXT HERE]</w:t>
      </w:r>
    </w:p>
    <w:p w14:paraId="23FF67FA" w14:textId="77777777" w:rsidR="007D5EDB" w:rsidRPr="00FB0E7D" w:rsidRDefault="0A5769A0" w:rsidP="00503347">
      <w:pPr>
        <w:jc w:val="both"/>
      </w:pPr>
      <w:r w:rsidRPr="00FB0E7D">
        <w:t>&lt;ESMA_QUESTION_CP_MAR_47&gt;</w:t>
      </w:r>
    </w:p>
    <w:p w14:paraId="1844B152" w14:textId="77777777" w:rsidR="007D5EDB" w:rsidRPr="00FB0E7D" w:rsidRDefault="007D5EDB" w:rsidP="00503347">
      <w:pPr>
        <w:jc w:val="both"/>
      </w:pPr>
    </w:p>
    <w:p w14:paraId="1E5365EA" w14:textId="77777777" w:rsidR="007D5EDB" w:rsidRPr="00FB0E7D" w:rsidRDefault="0A5769A0" w:rsidP="00503347">
      <w:pPr>
        <w:pStyle w:val="CPQuestions"/>
      </w:pPr>
      <w:r w:rsidRPr="00FB0E7D">
        <w:t>Did you identify alternative criteria on which the reporting threshold could be based? Please explain why.</w:t>
      </w:r>
    </w:p>
    <w:p w14:paraId="007994A8" w14:textId="77777777" w:rsidR="007D5EDB" w:rsidRPr="00FB0E7D" w:rsidRDefault="0A5769A0" w:rsidP="00503347">
      <w:pPr>
        <w:jc w:val="both"/>
      </w:pPr>
      <w:r w:rsidRPr="00FB0E7D">
        <w:t>&lt;ESMA_QUESTION_CP_MAR_48&gt;</w:t>
      </w:r>
    </w:p>
    <w:p w14:paraId="5348B1EB" w14:textId="77777777" w:rsidR="007D5EDB" w:rsidRPr="00FB0E7D" w:rsidRDefault="0A5769A0" w:rsidP="00503347">
      <w:pPr>
        <w:jc w:val="both"/>
      </w:pPr>
      <w:r w:rsidRPr="00FB0E7D">
        <w:t>[TYPE YOUR TEXT HERE]</w:t>
      </w:r>
    </w:p>
    <w:p w14:paraId="26DE69C1" w14:textId="77777777" w:rsidR="007D5EDB" w:rsidRPr="00FB0E7D" w:rsidRDefault="0A5769A0" w:rsidP="00503347">
      <w:pPr>
        <w:jc w:val="both"/>
      </w:pPr>
      <w:r w:rsidRPr="00FB0E7D">
        <w:t>&lt;ESMA_QUESTION_CP_MAR_48&gt;</w:t>
      </w:r>
    </w:p>
    <w:p w14:paraId="3D8BC6D6" w14:textId="77777777" w:rsidR="007D5EDB" w:rsidRPr="00FB0E7D" w:rsidRDefault="007D5EDB" w:rsidP="00503347">
      <w:pPr>
        <w:jc w:val="both"/>
      </w:pPr>
    </w:p>
    <w:p w14:paraId="3657E2A6" w14:textId="77777777" w:rsidR="007D5EDB" w:rsidRPr="00FB0E7D" w:rsidRDefault="0A5769A0" w:rsidP="00503347">
      <w:pPr>
        <w:pStyle w:val="CPQuestions"/>
      </w:pPr>
      <w:r w:rsidRPr="00FB0E7D">
        <w:t>On the application of this provision for EAMPs: have issues or difficulties been experienced?</w:t>
      </w:r>
    </w:p>
    <w:p w14:paraId="649ECB27" w14:textId="77777777" w:rsidR="007D5EDB" w:rsidRPr="00FB0E7D" w:rsidRDefault="0A5769A0" w:rsidP="00503347">
      <w:pPr>
        <w:jc w:val="both"/>
      </w:pPr>
      <w:r w:rsidRPr="00FB0E7D">
        <w:t>&lt;ESMA_QUESTION_CP_MAR_49&gt;</w:t>
      </w:r>
    </w:p>
    <w:p w14:paraId="3AE470A2" w14:textId="77777777" w:rsidR="007D5EDB" w:rsidRPr="00FB0E7D" w:rsidRDefault="0A5769A0" w:rsidP="00503347">
      <w:pPr>
        <w:jc w:val="both"/>
      </w:pPr>
      <w:r w:rsidRPr="00FB0E7D">
        <w:t>[TYPE YOUR TEXT HERE]</w:t>
      </w:r>
    </w:p>
    <w:p w14:paraId="68C1CC0B" w14:textId="77777777" w:rsidR="007D5EDB" w:rsidRPr="00FB0E7D" w:rsidRDefault="0A5769A0" w:rsidP="00503347">
      <w:pPr>
        <w:jc w:val="both"/>
      </w:pPr>
      <w:r w:rsidRPr="00FB0E7D">
        <w:t>&lt;ESMA_QUESTION_CP_MAR_49&gt;</w:t>
      </w:r>
    </w:p>
    <w:p w14:paraId="6DBDAFFD" w14:textId="77777777" w:rsidR="007D5EDB" w:rsidRPr="00FB0E7D" w:rsidRDefault="007D5EDB" w:rsidP="00503347">
      <w:pPr>
        <w:jc w:val="both"/>
      </w:pPr>
    </w:p>
    <w:p w14:paraId="21156FA1" w14:textId="77777777" w:rsidR="007D5EDB" w:rsidRPr="00FB0E7D" w:rsidRDefault="0A5769A0" w:rsidP="00503347">
      <w:pPr>
        <w:pStyle w:val="CPQuestions"/>
      </w:pPr>
      <w:r w:rsidRPr="00FB0E7D">
        <w:t>Did you identify alternative criteria on which the subsequent notifications could be based? Please explain why.</w:t>
      </w:r>
    </w:p>
    <w:p w14:paraId="4E682A8F" w14:textId="77777777" w:rsidR="007D5EDB" w:rsidRPr="00FB0E7D" w:rsidRDefault="0A5769A0" w:rsidP="00503347">
      <w:pPr>
        <w:jc w:val="both"/>
      </w:pPr>
      <w:r w:rsidRPr="00FB0E7D">
        <w:t>&lt;ESMA_QUESTION_CP_MAR_50&gt;</w:t>
      </w:r>
    </w:p>
    <w:p w14:paraId="0D359D33" w14:textId="77777777" w:rsidR="007D5EDB" w:rsidRPr="00FB0E7D" w:rsidRDefault="0A5769A0" w:rsidP="00503347">
      <w:pPr>
        <w:jc w:val="both"/>
      </w:pPr>
      <w:r w:rsidRPr="00FB0E7D">
        <w:t>[TYPE YOUR TEXT HERE]</w:t>
      </w:r>
    </w:p>
    <w:p w14:paraId="5CDC5A8F" w14:textId="77777777" w:rsidR="007D5EDB" w:rsidRPr="00FB0E7D" w:rsidRDefault="0A5769A0" w:rsidP="00503347">
      <w:pPr>
        <w:jc w:val="both"/>
      </w:pPr>
      <w:r w:rsidRPr="00FB0E7D">
        <w:t>&lt;ESMA_QUESTION_CP_MAR_50&gt;</w:t>
      </w:r>
    </w:p>
    <w:p w14:paraId="0C8B0029" w14:textId="77777777" w:rsidR="007D5EDB" w:rsidRPr="00FB0E7D" w:rsidRDefault="007D5EDB" w:rsidP="00503347">
      <w:pPr>
        <w:jc w:val="both"/>
      </w:pPr>
    </w:p>
    <w:p w14:paraId="4B91E110" w14:textId="77777777" w:rsidR="007D5EDB" w:rsidRPr="00FB0E7D" w:rsidRDefault="0A5769A0" w:rsidP="00503347">
      <w:pPr>
        <w:pStyle w:val="CPQuestions"/>
      </w:pPr>
      <w:r w:rsidRPr="00FB0E7D">
        <w:t>Do you consider that the 20% threshold included in Article 19(1a)(a) and (b) is appropriate? If not, please explain the reason why and provide examples in which the 20% threshold is not effective.</w:t>
      </w:r>
    </w:p>
    <w:p w14:paraId="3673F72F" w14:textId="77777777" w:rsidR="007D5EDB" w:rsidRPr="00FB0E7D" w:rsidRDefault="0A5769A0" w:rsidP="00503347">
      <w:pPr>
        <w:jc w:val="both"/>
      </w:pPr>
      <w:r w:rsidRPr="00FB0E7D">
        <w:t>&lt;ESMA_QUESTION_CP_MAR_51&gt;</w:t>
      </w:r>
    </w:p>
    <w:p w14:paraId="19DE8DC9" w14:textId="77777777" w:rsidR="007D5EDB" w:rsidRPr="00FB0E7D" w:rsidRDefault="0A5769A0" w:rsidP="00503347">
      <w:pPr>
        <w:jc w:val="both"/>
      </w:pPr>
      <w:r w:rsidRPr="00FB0E7D">
        <w:t>[</w:t>
      </w:r>
      <w:r w:rsidRPr="00FB0E7D">
        <w:rPr>
          <w:rFonts w:cs="Arial"/>
          <w:color w:val="000000" w:themeColor="text1"/>
          <w:lang w:val="en-US" w:eastAsia="zh-CN"/>
        </w:rPr>
        <w:t>DBG considers the 20% threshold appropriate.</w:t>
      </w:r>
      <w:r w:rsidRPr="00FB0E7D">
        <w:t>]</w:t>
      </w:r>
    </w:p>
    <w:p w14:paraId="09F204FB" w14:textId="77777777" w:rsidR="007D5EDB" w:rsidRPr="00FB0E7D" w:rsidRDefault="0A5769A0" w:rsidP="00503347">
      <w:pPr>
        <w:jc w:val="both"/>
      </w:pPr>
      <w:r w:rsidRPr="00FB0E7D">
        <w:t>&lt;ESMA_QUESTION_CP_MAR_51&gt;</w:t>
      </w:r>
    </w:p>
    <w:p w14:paraId="24B5C410" w14:textId="77777777" w:rsidR="007D5EDB" w:rsidRPr="00FB0E7D" w:rsidRDefault="007D5EDB" w:rsidP="00503347">
      <w:pPr>
        <w:jc w:val="both"/>
      </w:pPr>
    </w:p>
    <w:p w14:paraId="6C2F5A19" w14:textId="77777777" w:rsidR="007D5EDB" w:rsidRPr="00FB0E7D" w:rsidRDefault="0A5769A0" w:rsidP="00503347">
      <w:pPr>
        <w:pStyle w:val="CPQuestions"/>
      </w:pPr>
      <w:r w:rsidRPr="00FB0E7D">
        <w:t>Have you identified any possible alternative system to set the threshold in relation to managers' transactions where the issuer's shares or debt instruments form part of a collective investment undertaking or provide exposure to a portfolio of assets?</w:t>
      </w:r>
    </w:p>
    <w:p w14:paraId="6FA06B70" w14:textId="77777777" w:rsidR="007D5EDB" w:rsidRPr="00FB0E7D" w:rsidRDefault="0A5769A0" w:rsidP="00503347">
      <w:pPr>
        <w:jc w:val="both"/>
      </w:pPr>
      <w:r w:rsidRPr="00FB0E7D">
        <w:t>&lt;ESMA_QUESTION_CP_MAR_52&gt;</w:t>
      </w:r>
    </w:p>
    <w:p w14:paraId="7846995A" w14:textId="77777777" w:rsidR="007D5EDB" w:rsidRPr="00FB0E7D" w:rsidRDefault="0A5769A0" w:rsidP="00503347">
      <w:pPr>
        <w:jc w:val="both"/>
      </w:pPr>
      <w:r w:rsidRPr="00FB0E7D">
        <w:t>[TYPE YOUR TEXT HERE]</w:t>
      </w:r>
    </w:p>
    <w:p w14:paraId="477600AA" w14:textId="77777777" w:rsidR="007D5EDB" w:rsidRPr="00FB0E7D" w:rsidRDefault="0A5769A0" w:rsidP="00503347">
      <w:pPr>
        <w:jc w:val="both"/>
      </w:pPr>
      <w:r w:rsidRPr="00FB0E7D">
        <w:t>&lt;ESMA_QUESTION_CP_MAR_52&gt;</w:t>
      </w:r>
    </w:p>
    <w:p w14:paraId="1504540D" w14:textId="77777777" w:rsidR="007D5EDB" w:rsidRPr="00FB0E7D" w:rsidRDefault="007D5EDB" w:rsidP="00503347">
      <w:pPr>
        <w:jc w:val="both"/>
      </w:pPr>
    </w:p>
    <w:p w14:paraId="6219257A" w14:textId="77777777" w:rsidR="007D5EDB" w:rsidRPr="00FB0E7D" w:rsidRDefault="0A5769A0" w:rsidP="00503347">
      <w:pPr>
        <w:pStyle w:val="CPQuestions"/>
      </w:pPr>
      <w:r w:rsidRPr="00FB0E7D">
        <w:t>Did you identify elements of Article 19(11) of MAR which in your view could be amended? If yes, why? Have you identified alternatives to the closed period?</w:t>
      </w:r>
    </w:p>
    <w:p w14:paraId="79BFA058" w14:textId="77777777" w:rsidR="007D5EDB" w:rsidRPr="00FB0E7D" w:rsidRDefault="0A5769A0" w:rsidP="00503347">
      <w:pPr>
        <w:jc w:val="both"/>
      </w:pPr>
      <w:r w:rsidRPr="00FB0E7D">
        <w:t>&lt;ESMA_QUESTION_CP_MAR_53&gt;</w:t>
      </w:r>
    </w:p>
    <w:p w14:paraId="477746CE" w14:textId="77777777" w:rsidR="007D5EDB" w:rsidRPr="00FB0E7D" w:rsidRDefault="0A5769A0" w:rsidP="00503347">
      <w:pPr>
        <w:jc w:val="both"/>
      </w:pPr>
      <w:r w:rsidRPr="00FB0E7D">
        <w:t>[TYPE YOUR TEXT HERE]</w:t>
      </w:r>
    </w:p>
    <w:p w14:paraId="45E429F9" w14:textId="77777777" w:rsidR="007D5EDB" w:rsidRPr="00FB0E7D" w:rsidRDefault="0A5769A0" w:rsidP="00503347">
      <w:pPr>
        <w:jc w:val="both"/>
      </w:pPr>
      <w:r w:rsidRPr="00FB0E7D">
        <w:lastRenderedPageBreak/>
        <w:t>&lt;ESMA_QUESTION_CP_MAR_53&gt;</w:t>
      </w:r>
    </w:p>
    <w:p w14:paraId="5D2B06D4" w14:textId="77777777" w:rsidR="007D5EDB" w:rsidRPr="00FB0E7D" w:rsidRDefault="007D5EDB" w:rsidP="00503347">
      <w:pPr>
        <w:jc w:val="both"/>
      </w:pPr>
    </w:p>
    <w:p w14:paraId="56B1D6E5" w14:textId="77777777" w:rsidR="007D5EDB" w:rsidRPr="00FB0E7D" w:rsidRDefault="007D5EDB" w:rsidP="00503347">
      <w:pPr>
        <w:pStyle w:val="CPQuestions"/>
      </w:pPr>
      <w:bookmarkStart w:id="5" w:name="_Hlk24476025"/>
      <w:r w:rsidRPr="00FB0E7D">
        <w:t>Market participants are requested to indicate if the current framework to identify the closed period is working well or if clarifications are sought</w:t>
      </w:r>
      <w:bookmarkEnd w:id="5"/>
      <w:r w:rsidRPr="00FB0E7D">
        <w:t>.</w:t>
      </w:r>
    </w:p>
    <w:p w14:paraId="7F8DEDE6" w14:textId="77777777" w:rsidR="007D5EDB" w:rsidRPr="00FB0E7D" w:rsidRDefault="0A5769A0" w:rsidP="00503347">
      <w:pPr>
        <w:jc w:val="both"/>
      </w:pPr>
      <w:r w:rsidRPr="00FB0E7D">
        <w:t>&lt;ESMA_QUESTION_CP_MAR_54&gt;</w:t>
      </w:r>
    </w:p>
    <w:p w14:paraId="02EC812D" w14:textId="6FC96AC4" w:rsidR="007D5EDB" w:rsidRPr="005807EA" w:rsidRDefault="007D5EDB" w:rsidP="00503347">
      <w:pPr>
        <w:jc w:val="both"/>
        <w:rPr>
          <w:rFonts w:cs="Arial"/>
          <w:szCs w:val="20"/>
          <w:lang w:val="en-US" w:eastAsia="zh-CN"/>
        </w:rPr>
      </w:pPr>
      <w:r w:rsidRPr="00F31510">
        <w:rPr>
          <w:rFonts w:cs="Arial"/>
          <w:szCs w:val="20"/>
        </w:rPr>
        <w:t>[</w:t>
      </w:r>
      <w:bookmarkStart w:id="6" w:name="_Hlk23957990"/>
      <w:r w:rsidR="005807EA" w:rsidRPr="003928EC">
        <w:rPr>
          <w:rFonts w:cs="Arial"/>
          <w:szCs w:val="20"/>
          <w:lang w:val="en-US" w:eastAsia="zh-CN"/>
        </w:rPr>
        <w:t>It seems that the language chosen in MAR on the beginning of the closed period is unnecessarily complicated. The guidance provided by ESMA helps somewhat. What is meant is the disclosure of the report itself, unless the relevant information contained in it is disclosed at an earlier point in the form of preliminary figures. The restriction to those reports that the issuer is obliged to disclose does not make any sense. Quarterly figures are important information in any case. The restriction of Art. 19 (11) is meant to prevent the misuse of such information. Therefore, PDMRs are prohibited from trading in the timeframe before they are disclosed. How can it make a difference whether such disclosure is legally or contractually required?</w:t>
      </w:r>
      <w:r w:rsidR="005807EA" w:rsidRPr="003928EC">
        <w:rPr>
          <w:rFonts w:cs="Arial"/>
          <w:szCs w:val="20"/>
        </w:rPr>
        <w:t>]</w:t>
      </w:r>
      <w:bookmarkEnd w:id="6"/>
    </w:p>
    <w:p w14:paraId="46244F20" w14:textId="77777777" w:rsidR="007D5EDB" w:rsidRPr="00FB0E7D" w:rsidRDefault="0A5769A0" w:rsidP="00503347">
      <w:pPr>
        <w:jc w:val="both"/>
      </w:pPr>
      <w:r w:rsidRPr="00FB0E7D">
        <w:t>&lt;ESMA_QUESTION_CP_MAR_54&gt;</w:t>
      </w:r>
    </w:p>
    <w:p w14:paraId="79FC45CE" w14:textId="77777777" w:rsidR="007D5EDB" w:rsidRPr="00FB0E7D" w:rsidRDefault="007D5EDB" w:rsidP="00503347">
      <w:pPr>
        <w:jc w:val="both"/>
      </w:pPr>
    </w:p>
    <w:p w14:paraId="5E0EF61B" w14:textId="77777777" w:rsidR="007D5EDB" w:rsidRPr="00FB0E7D" w:rsidRDefault="007D5EDB" w:rsidP="00503347">
      <w:pPr>
        <w:pStyle w:val="CPQuestions"/>
      </w:pPr>
      <w:bookmarkStart w:id="7" w:name="_Hlk24476066"/>
      <w:r w:rsidRPr="00FB0E7D">
        <w:t>Please provide your views on extending the requirement of Article 19(11) to (i) issuers, and to (ii) persons closely associated with PDMRs. Please indicate which would be the impact on issuers and persona closely associated with PDMRs, including any benefits and downsides</w:t>
      </w:r>
      <w:bookmarkEnd w:id="7"/>
      <w:r w:rsidRPr="00FB0E7D">
        <w:t>.</w:t>
      </w:r>
    </w:p>
    <w:p w14:paraId="7F0456D3" w14:textId="77777777" w:rsidR="007D5EDB" w:rsidRPr="00FB0E7D" w:rsidRDefault="0A5769A0" w:rsidP="00503347">
      <w:pPr>
        <w:jc w:val="both"/>
      </w:pPr>
      <w:r w:rsidRPr="00FB0E7D">
        <w:t>&lt;ESMA_QUESTION_CP_MAR_55&gt;</w:t>
      </w:r>
    </w:p>
    <w:p w14:paraId="6483E7DE" w14:textId="77777777" w:rsidR="007D5EDB" w:rsidRPr="00FB0E7D" w:rsidRDefault="007D5EDB" w:rsidP="00503347">
      <w:pPr>
        <w:jc w:val="both"/>
      </w:pPr>
      <w:r w:rsidRPr="00FB0E7D">
        <w:t>[</w:t>
      </w:r>
      <w:bookmarkStart w:id="8" w:name="_Hlk24476077"/>
      <w:r w:rsidRPr="00FB0E7D">
        <w:rPr>
          <w:rFonts w:cs="Arial"/>
          <w:color w:val="000000"/>
          <w:lang w:val="en-US" w:eastAsia="zh-CN"/>
        </w:rPr>
        <w:t>Factually, issuers would need to inform a potentially large number of persons closely associated with PDMRs of the beginning of the closed period. This is an additional administrative burden. If the need-to-know principle is adequately implemented and communicated, persons closely related to PDMRs should not have access to inside information anyways</w:t>
      </w:r>
      <w:bookmarkEnd w:id="8"/>
      <w:r w:rsidRPr="00FB0E7D">
        <w:rPr>
          <w:rFonts w:cs="Arial"/>
          <w:color w:val="000000"/>
          <w:lang w:val="en-US" w:eastAsia="zh-CN"/>
        </w:rPr>
        <w:t>.</w:t>
      </w:r>
      <w:r w:rsidRPr="00FB0E7D">
        <w:t>]</w:t>
      </w:r>
    </w:p>
    <w:p w14:paraId="33631C5F" w14:textId="77777777" w:rsidR="007D5EDB" w:rsidRPr="00FB0E7D" w:rsidRDefault="0A5769A0" w:rsidP="00503347">
      <w:pPr>
        <w:jc w:val="both"/>
      </w:pPr>
      <w:r w:rsidRPr="00FB0E7D">
        <w:t>&lt;ESMA_QUESTION_CP_MAR_55&gt;</w:t>
      </w:r>
    </w:p>
    <w:p w14:paraId="7C44317D" w14:textId="77777777" w:rsidR="007D5EDB" w:rsidRPr="00FB0E7D" w:rsidRDefault="007D5EDB" w:rsidP="00503347">
      <w:pPr>
        <w:jc w:val="both"/>
      </w:pPr>
    </w:p>
    <w:p w14:paraId="5F2B8577" w14:textId="77777777" w:rsidR="007D5EDB" w:rsidRPr="00FB0E7D" w:rsidRDefault="0A5769A0" w:rsidP="00503347">
      <w:pPr>
        <w:pStyle w:val="CPQuestions"/>
      </w:pPr>
      <w:r w:rsidRPr="00FB0E7D">
        <w:t>Please provide your views on the extension of the immediate sale provided by Article 19(12)(a) to financial instruments other than shares. Please explain which financial instruments should be included and why.</w:t>
      </w:r>
    </w:p>
    <w:p w14:paraId="23AC0637" w14:textId="77777777" w:rsidR="007D5EDB" w:rsidRPr="00FB0E7D" w:rsidRDefault="0A5769A0" w:rsidP="00503347">
      <w:pPr>
        <w:jc w:val="both"/>
      </w:pPr>
      <w:r w:rsidRPr="00FB0E7D">
        <w:t>&lt;ESMA_QUESTION_CP_MAR_56&gt;</w:t>
      </w:r>
    </w:p>
    <w:p w14:paraId="1977399C" w14:textId="77777777" w:rsidR="007D5EDB" w:rsidRPr="00FB0E7D" w:rsidRDefault="0A5769A0" w:rsidP="00503347">
      <w:pPr>
        <w:jc w:val="both"/>
      </w:pPr>
      <w:r w:rsidRPr="00FB0E7D">
        <w:t>[TYPE YOUR TEXT HERE]</w:t>
      </w:r>
    </w:p>
    <w:p w14:paraId="0DE9D00B" w14:textId="77777777" w:rsidR="007D5EDB" w:rsidRPr="00FB0E7D" w:rsidRDefault="0A5769A0" w:rsidP="00503347">
      <w:pPr>
        <w:jc w:val="both"/>
      </w:pPr>
      <w:r w:rsidRPr="00FB0E7D">
        <w:t>&lt;ESMA_QUESTION_CP_MAR_56&gt;</w:t>
      </w:r>
    </w:p>
    <w:p w14:paraId="5DDEFC94" w14:textId="77777777" w:rsidR="007D5EDB" w:rsidRPr="00FB0E7D" w:rsidRDefault="007D5EDB" w:rsidP="00503347">
      <w:pPr>
        <w:jc w:val="both"/>
      </w:pPr>
    </w:p>
    <w:p w14:paraId="4E8C97A6" w14:textId="77777777" w:rsidR="007D5EDB" w:rsidRPr="00FB0E7D" w:rsidRDefault="0A5769A0" w:rsidP="00503347">
      <w:pPr>
        <w:pStyle w:val="CPQuestions"/>
      </w:pPr>
      <w:r w:rsidRPr="00FB0E7D">
        <w:t>Please provide your views on whether, in addition to the criteria in Article 19(12) (a) and (b), other criteria resulting in further cases of exemption from the closed period obligation could be considered.</w:t>
      </w:r>
    </w:p>
    <w:p w14:paraId="02A2AC00" w14:textId="77777777" w:rsidR="007D5EDB" w:rsidRPr="00FB0E7D" w:rsidRDefault="0A5769A0" w:rsidP="00503347">
      <w:pPr>
        <w:jc w:val="both"/>
      </w:pPr>
      <w:r w:rsidRPr="00FB0E7D">
        <w:t>&lt;ESMA_QUESTION_CP_MAR_57&gt;</w:t>
      </w:r>
    </w:p>
    <w:p w14:paraId="35AD36AB" w14:textId="77777777" w:rsidR="007D5EDB" w:rsidRPr="00FB0E7D" w:rsidRDefault="0A5769A0" w:rsidP="00503347">
      <w:pPr>
        <w:jc w:val="both"/>
      </w:pPr>
      <w:r w:rsidRPr="00FB0E7D">
        <w:t>[TYPE YOUR TEXT HERE]</w:t>
      </w:r>
    </w:p>
    <w:p w14:paraId="51172094" w14:textId="77777777" w:rsidR="007D5EDB" w:rsidRPr="00FB0E7D" w:rsidRDefault="0A5769A0" w:rsidP="00503347">
      <w:pPr>
        <w:jc w:val="both"/>
      </w:pPr>
      <w:r w:rsidRPr="00FB0E7D">
        <w:t>&lt;ESMA_QUESTION_CP_MAR_57&gt;</w:t>
      </w:r>
    </w:p>
    <w:p w14:paraId="7F49B22A" w14:textId="77777777" w:rsidR="007D5EDB" w:rsidRPr="00FB0E7D" w:rsidRDefault="007D5EDB" w:rsidP="00503347">
      <w:pPr>
        <w:jc w:val="both"/>
      </w:pPr>
    </w:p>
    <w:p w14:paraId="494504BF" w14:textId="77777777" w:rsidR="007D5EDB" w:rsidRPr="00FB0E7D" w:rsidRDefault="0A5769A0" w:rsidP="00503347">
      <w:pPr>
        <w:pStyle w:val="CPQuestions"/>
      </w:pPr>
      <w:r w:rsidRPr="00FB0E7D">
        <w:t xml:space="preserve">Do you consider that CIUs admitted to trading or trading on a trading venue should be differentiated with respect to other issuers? Please elaborate your response specifically with respect to PDMR obligations, disclosure of inside information and </w:t>
      </w:r>
      <w:r w:rsidRPr="00FB0E7D">
        <w:lastRenderedPageBreak/>
        <w:t>insider lists. In this regard, please consider whether you could identify any articulation or consistency issues between MAR and the EU or national regulations for the different types of CIUs, with regards for example to transparency requirements under MAR vis-à-vis market timing or front running issues.</w:t>
      </w:r>
    </w:p>
    <w:p w14:paraId="77D3E73A" w14:textId="77777777" w:rsidR="007D5EDB" w:rsidRPr="00FB0E7D" w:rsidRDefault="0A5769A0" w:rsidP="00503347">
      <w:pPr>
        <w:jc w:val="both"/>
      </w:pPr>
      <w:r w:rsidRPr="00FB0E7D">
        <w:t>&lt;ESMA_QUESTION_CP_MAR_58&gt;</w:t>
      </w:r>
    </w:p>
    <w:p w14:paraId="175AA617" w14:textId="77777777" w:rsidR="007D5EDB" w:rsidRPr="00FB0E7D" w:rsidRDefault="0A5769A0" w:rsidP="00503347">
      <w:pPr>
        <w:jc w:val="both"/>
      </w:pPr>
      <w:r w:rsidRPr="00FB0E7D">
        <w:t>[TYPE YOUR TEXT HERE]</w:t>
      </w:r>
    </w:p>
    <w:p w14:paraId="0BA28A50" w14:textId="77777777" w:rsidR="007D5EDB" w:rsidRPr="00FB0E7D" w:rsidRDefault="0A5769A0" w:rsidP="00503347">
      <w:pPr>
        <w:jc w:val="both"/>
      </w:pPr>
      <w:r w:rsidRPr="00FB0E7D">
        <w:t>&lt;ESMA_QUESTION_CP_MAR_58&gt;</w:t>
      </w:r>
    </w:p>
    <w:p w14:paraId="75A0DD40" w14:textId="77777777" w:rsidR="007D5EDB" w:rsidRPr="00FB0E7D" w:rsidRDefault="007D5EDB" w:rsidP="00503347">
      <w:pPr>
        <w:jc w:val="both"/>
      </w:pPr>
    </w:p>
    <w:p w14:paraId="3754D750" w14:textId="77777777" w:rsidR="007D5EDB" w:rsidRPr="00FB0E7D" w:rsidRDefault="0A5769A0" w:rsidP="00503347">
      <w:pPr>
        <w:pStyle w:val="CPQuestions"/>
      </w:pPr>
      <w:r w:rsidRPr="00FB0E7D">
        <w:t>Do you agree with ESMA’s preliminary view? Please indicate which transactions should be captured by PDMR obligations in the case of management companies of CIUs.</w:t>
      </w:r>
    </w:p>
    <w:p w14:paraId="4CD4E3AA" w14:textId="77777777" w:rsidR="007D5EDB" w:rsidRPr="00FB0E7D" w:rsidRDefault="0A5769A0" w:rsidP="00503347">
      <w:pPr>
        <w:jc w:val="both"/>
      </w:pPr>
      <w:r w:rsidRPr="00FB0E7D">
        <w:t>&lt;ESMA_QUESTION_CP_MAR_59&gt;</w:t>
      </w:r>
    </w:p>
    <w:p w14:paraId="1E2ED52A" w14:textId="77777777" w:rsidR="007D5EDB" w:rsidRPr="00FB0E7D" w:rsidRDefault="0A5769A0" w:rsidP="00503347">
      <w:pPr>
        <w:jc w:val="both"/>
      </w:pPr>
      <w:r w:rsidRPr="00FB0E7D">
        <w:t>[TYPE YOUR TEXT HERE]</w:t>
      </w:r>
    </w:p>
    <w:p w14:paraId="05B46F06" w14:textId="77777777" w:rsidR="007D5EDB" w:rsidRPr="00FB0E7D" w:rsidRDefault="0A5769A0" w:rsidP="00503347">
      <w:pPr>
        <w:jc w:val="both"/>
      </w:pPr>
      <w:r w:rsidRPr="00FB0E7D">
        <w:t>&lt;ESMA_QUESTION_CP_MAR_59&gt;</w:t>
      </w:r>
    </w:p>
    <w:p w14:paraId="7613E695" w14:textId="77777777" w:rsidR="007D5EDB" w:rsidRPr="00FB0E7D" w:rsidRDefault="007D5EDB" w:rsidP="00503347">
      <w:pPr>
        <w:jc w:val="both"/>
      </w:pPr>
    </w:p>
    <w:p w14:paraId="7481E52D" w14:textId="77777777" w:rsidR="007D5EDB" w:rsidRPr="00FB0E7D" w:rsidRDefault="0A5769A0" w:rsidP="00503347">
      <w:pPr>
        <w:pStyle w:val="CPQuestions"/>
      </w:pPr>
      <w:r w:rsidRPr="00FB0E7D">
        <w:t>Do you agree with ESMA’s preliminary view? If not, please elaborate.</w:t>
      </w:r>
    </w:p>
    <w:p w14:paraId="3641E3B6" w14:textId="77777777" w:rsidR="007D5EDB" w:rsidRPr="00FB0E7D" w:rsidRDefault="0A5769A0" w:rsidP="00503347">
      <w:pPr>
        <w:jc w:val="both"/>
      </w:pPr>
      <w:r w:rsidRPr="00FB0E7D">
        <w:t>&lt;ESMA_QUESTION_CP_MAR_60&gt;</w:t>
      </w:r>
    </w:p>
    <w:p w14:paraId="18C99A68" w14:textId="77777777" w:rsidR="007D5EDB" w:rsidRPr="00FB0E7D" w:rsidRDefault="0A5769A0" w:rsidP="00503347">
      <w:pPr>
        <w:jc w:val="both"/>
      </w:pPr>
      <w:r w:rsidRPr="00FB0E7D">
        <w:t>[TYPE YOUR TEXT HERE]</w:t>
      </w:r>
    </w:p>
    <w:p w14:paraId="093540BB" w14:textId="77777777" w:rsidR="007D5EDB" w:rsidRPr="00FB0E7D" w:rsidRDefault="0A5769A0" w:rsidP="00503347">
      <w:pPr>
        <w:jc w:val="both"/>
      </w:pPr>
      <w:r w:rsidRPr="00FB0E7D">
        <w:t>&lt;ESMA_QUESTION_CP_MAR_60&gt;</w:t>
      </w:r>
    </w:p>
    <w:p w14:paraId="5B00FB35" w14:textId="77777777" w:rsidR="007D5EDB" w:rsidRPr="00FB0E7D" w:rsidRDefault="007D5EDB" w:rsidP="00503347">
      <w:pPr>
        <w:jc w:val="both"/>
      </w:pPr>
    </w:p>
    <w:p w14:paraId="4FB1FFB6" w14:textId="77777777" w:rsidR="007D5EDB" w:rsidRPr="00FB0E7D" w:rsidRDefault="0A5769A0" w:rsidP="00503347">
      <w:pPr>
        <w:pStyle w:val="CPQuestions"/>
      </w:pPr>
      <w:r w:rsidRPr="00FB0E7D">
        <w:t>What persons should PDMR obligations apply to depending on the different structures of CIUs and why? In particular, please indicate whether the definition of “relevant persons” would be adequate for CIUs other than UCITs and AIFs.</w:t>
      </w:r>
    </w:p>
    <w:p w14:paraId="7AABD2B0" w14:textId="77777777" w:rsidR="007D5EDB" w:rsidRPr="00FB0E7D" w:rsidRDefault="0A5769A0" w:rsidP="00503347">
      <w:pPr>
        <w:jc w:val="both"/>
      </w:pPr>
      <w:r w:rsidRPr="00FB0E7D">
        <w:t>&lt;ESMA_QUESTION_CP_MAR_61&gt;</w:t>
      </w:r>
    </w:p>
    <w:p w14:paraId="2CBEA785" w14:textId="77777777" w:rsidR="007D5EDB" w:rsidRPr="00FB0E7D" w:rsidRDefault="0A5769A0" w:rsidP="00503347">
      <w:pPr>
        <w:jc w:val="both"/>
      </w:pPr>
      <w:r w:rsidRPr="00FB0E7D">
        <w:t>[TYPE YOUR TEXT HERE]</w:t>
      </w:r>
    </w:p>
    <w:p w14:paraId="292D5D47" w14:textId="77777777" w:rsidR="007D5EDB" w:rsidRPr="00FB0E7D" w:rsidRDefault="0A5769A0" w:rsidP="00503347">
      <w:pPr>
        <w:jc w:val="both"/>
      </w:pPr>
      <w:r w:rsidRPr="00FB0E7D">
        <w:t>&lt;ESMA_QUESTION_CP_MAR_61&gt;</w:t>
      </w:r>
    </w:p>
    <w:p w14:paraId="4C603CF7" w14:textId="77777777" w:rsidR="007D5EDB" w:rsidRPr="00FB0E7D" w:rsidRDefault="007D5EDB" w:rsidP="00503347">
      <w:pPr>
        <w:jc w:val="both"/>
      </w:pPr>
    </w:p>
    <w:p w14:paraId="230FB735" w14:textId="77777777" w:rsidR="007D5EDB" w:rsidRPr="00FB0E7D" w:rsidRDefault="0A5769A0" w:rsidP="00503347">
      <w:pPr>
        <w:pStyle w:val="CPQuestions"/>
      </w:pPr>
      <w:r w:rsidRPr="00FB0E7D">
        <w:t>ESMA would like to gather views from stakeholders on whether other entities than the asset management company (e.g. depository) and other entities on which the CIUs has delegated the execution of certain tasks should be captured by the PDMR regime.</w:t>
      </w:r>
    </w:p>
    <w:p w14:paraId="2CF4402D" w14:textId="77777777" w:rsidR="007D5EDB" w:rsidRPr="00FB0E7D" w:rsidRDefault="0A5769A0" w:rsidP="00503347">
      <w:pPr>
        <w:jc w:val="both"/>
      </w:pPr>
      <w:r w:rsidRPr="00FB0E7D">
        <w:t>&lt;ESMA_QUESTION_CP_MAR_62&gt;</w:t>
      </w:r>
    </w:p>
    <w:p w14:paraId="314EC29C" w14:textId="77777777" w:rsidR="007D5EDB" w:rsidRPr="00FB0E7D" w:rsidRDefault="0A5769A0" w:rsidP="00503347">
      <w:pPr>
        <w:jc w:val="both"/>
      </w:pPr>
      <w:r w:rsidRPr="00FB0E7D">
        <w:t>[TYPE YOUR TEXT HERE]</w:t>
      </w:r>
    </w:p>
    <w:p w14:paraId="358CA05B" w14:textId="77777777" w:rsidR="007D5EDB" w:rsidRPr="00FB0E7D" w:rsidRDefault="0A5769A0" w:rsidP="00503347">
      <w:pPr>
        <w:jc w:val="both"/>
      </w:pPr>
      <w:r w:rsidRPr="00FB0E7D">
        <w:t>&lt;ESMA_QUESTION_CP_MAR_62&gt;</w:t>
      </w:r>
    </w:p>
    <w:p w14:paraId="6EF09A0C" w14:textId="77777777" w:rsidR="007D5EDB" w:rsidRPr="00FB0E7D" w:rsidRDefault="007D5EDB" w:rsidP="00503347">
      <w:pPr>
        <w:jc w:val="both"/>
      </w:pPr>
    </w:p>
    <w:p w14:paraId="1F52BA25" w14:textId="77777777" w:rsidR="007D5EDB" w:rsidRPr="00FB0E7D" w:rsidRDefault="0A5769A0" w:rsidP="00503347">
      <w:pPr>
        <w:pStyle w:val="CPQuestions"/>
      </w:pPr>
      <w:r w:rsidRPr="00FB0E7D">
        <w:t>Do you agree with ESMA’s conclusion? If not, please elaborate.</w:t>
      </w:r>
    </w:p>
    <w:p w14:paraId="43BBD39D" w14:textId="77777777" w:rsidR="007D5EDB" w:rsidRPr="00FB0E7D" w:rsidRDefault="0A5769A0" w:rsidP="00503347">
      <w:pPr>
        <w:jc w:val="both"/>
      </w:pPr>
      <w:r w:rsidRPr="00FB0E7D">
        <w:t>&lt;ESMA_QUESTION_CP_MAR_63&gt;</w:t>
      </w:r>
    </w:p>
    <w:p w14:paraId="17B21464" w14:textId="77777777" w:rsidR="007D5EDB" w:rsidRPr="00FB0E7D" w:rsidRDefault="0A5769A0" w:rsidP="00503347">
      <w:pPr>
        <w:jc w:val="both"/>
      </w:pPr>
      <w:r w:rsidRPr="00FB0E7D">
        <w:t>[TYPE YOUR TEXT HERE]</w:t>
      </w:r>
    </w:p>
    <w:p w14:paraId="25C4F874" w14:textId="77777777" w:rsidR="007D5EDB" w:rsidRPr="00FB0E7D" w:rsidRDefault="0A5769A0" w:rsidP="00503347">
      <w:pPr>
        <w:jc w:val="both"/>
      </w:pPr>
      <w:r w:rsidRPr="00FB0E7D">
        <w:t>&lt;ESMA_QUESTION_CP_MAR_63&gt;</w:t>
      </w:r>
    </w:p>
    <w:p w14:paraId="107C2F7E" w14:textId="77777777" w:rsidR="007D5EDB" w:rsidRPr="00FB0E7D" w:rsidRDefault="0A5769A0" w:rsidP="00503347">
      <w:pPr>
        <w:pStyle w:val="CPQuestions"/>
      </w:pPr>
      <w:r w:rsidRPr="00FB0E7D">
        <w:lastRenderedPageBreak/>
        <w:t>Do you agree with ESMA preliminary view? Please elaborate.</w:t>
      </w:r>
    </w:p>
    <w:p w14:paraId="0736B4D7" w14:textId="77777777" w:rsidR="007D5EDB" w:rsidRPr="00FB0E7D" w:rsidRDefault="0A5769A0" w:rsidP="00503347">
      <w:pPr>
        <w:jc w:val="both"/>
      </w:pPr>
      <w:r w:rsidRPr="00FB0E7D">
        <w:t>&lt;ESMA_QUESTION_CP_MAR_64&gt;</w:t>
      </w:r>
    </w:p>
    <w:p w14:paraId="58C45B32" w14:textId="77777777" w:rsidR="007D5EDB" w:rsidRPr="00FB0E7D" w:rsidRDefault="0A5769A0" w:rsidP="00503347">
      <w:pPr>
        <w:jc w:val="both"/>
      </w:pPr>
      <w:r w:rsidRPr="00FB0E7D">
        <w:t>[TYPE YOUR TEXT HERE]</w:t>
      </w:r>
    </w:p>
    <w:p w14:paraId="7FEB64C0" w14:textId="77777777" w:rsidR="007D5EDB" w:rsidRPr="00FB0E7D" w:rsidRDefault="0A5769A0" w:rsidP="00503347">
      <w:pPr>
        <w:jc w:val="both"/>
      </w:pPr>
      <w:r w:rsidRPr="00FB0E7D">
        <w:t>&lt;ESMA_QUESTION_CP_MAR_64&gt;</w:t>
      </w:r>
    </w:p>
    <w:p w14:paraId="048526EB" w14:textId="77777777" w:rsidR="007D5EDB" w:rsidRPr="00FB0E7D" w:rsidRDefault="007D5EDB" w:rsidP="00503347">
      <w:pPr>
        <w:jc w:val="both"/>
      </w:pPr>
    </w:p>
    <w:p w14:paraId="0332C0F1" w14:textId="77777777" w:rsidR="007D5EDB" w:rsidRPr="00FB0E7D" w:rsidRDefault="0A5769A0" w:rsidP="00503347">
      <w:pPr>
        <w:pStyle w:val="CPQuestions"/>
      </w:pPr>
      <w:r w:rsidRPr="00FB0E7D">
        <w:t>Do you agree with ESMA’s preliminary views? Do you consider that specific obligations are needed for elaborating insider lists related to CIUs admitted to traded or traded on a trading venue?</w:t>
      </w:r>
    </w:p>
    <w:p w14:paraId="4D20A089" w14:textId="77777777" w:rsidR="007D5EDB" w:rsidRPr="00FB0E7D" w:rsidRDefault="0A5769A0" w:rsidP="00503347">
      <w:pPr>
        <w:jc w:val="both"/>
      </w:pPr>
      <w:r w:rsidRPr="00FB0E7D">
        <w:t>&lt;ESMA_QUESTION_CP_MAR_65&gt;</w:t>
      </w:r>
    </w:p>
    <w:p w14:paraId="77BB9072" w14:textId="77777777" w:rsidR="007D5EDB" w:rsidRPr="00FB0E7D" w:rsidRDefault="0A5769A0" w:rsidP="00503347">
      <w:pPr>
        <w:jc w:val="both"/>
      </w:pPr>
      <w:r w:rsidRPr="00FB0E7D">
        <w:t>[TYPE YOUR TEXT HERE]</w:t>
      </w:r>
    </w:p>
    <w:p w14:paraId="71A14CBD" w14:textId="77777777" w:rsidR="007D5EDB" w:rsidRPr="00FB0E7D" w:rsidRDefault="0A5769A0" w:rsidP="00503347">
      <w:pPr>
        <w:jc w:val="both"/>
      </w:pPr>
      <w:r w:rsidRPr="00FB0E7D">
        <w:t>&lt;ESMA_QUESTION_CP_MAR_65&gt;</w:t>
      </w:r>
    </w:p>
    <w:p w14:paraId="5409DB15" w14:textId="77777777" w:rsidR="007D5EDB" w:rsidRPr="00FB0E7D" w:rsidRDefault="007D5EDB" w:rsidP="00503347">
      <w:pPr>
        <w:jc w:val="both"/>
      </w:pPr>
    </w:p>
    <w:p w14:paraId="1926882D" w14:textId="77777777" w:rsidR="007D5EDB" w:rsidRPr="00FB0E7D" w:rsidRDefault="0A5769A0" w:rsidP="00503347">
      <w:pPr>
        <w:pStyle w:val="CPQuestions"/>
      </w:pPr>
      <w:r w:rsidRPr="00FB0E7D">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p>
    <w:p w14:paraId="7642EE20" w14:textId="77777777" w:rsidR="007D5EDB" w:rsidRPr="00FB0E7D" w:rsidRDefault="0A5769A0" w:rsidP="00503347">
      <w:pPr>
        <w:jc w:val="both"/>
      </w:pPr>
      <w:r w:rsidRPr="00FB0E7D">
        <w:t>&lt;ESMA_QUESTION_CP_MAR_66&gt;</w:t>
      </w:r>
    </w:p>
    <w:p w14:paraId="4D18CC14" w14:textId="249AD47B" w:rsidR="00923B32" w:rsidRDefault="00D000AC" w:rsidP="00503347">
      <w:pPr>
        <w:jc w:val="both"/>
        <w:rPr>
          <w:rFonts w:cs="Arial"/>
          <w:color w:val="70AD47" w:themeColor="accent6"/>
          <w:szCs w:val="20"/>
        </w:rPr>
      </w:pPr>
      <w:r>
        <w:rPr>
          <w:rFonts w:cs="Arial"/>
          <w:szCs w:val="20"/>
        </w:rPr>
        <w:t>[</w:t>
      </w:r>
      <w:r w:rsidR="00923B32">
        <w:rPr>
          <w:rFonts w:cs="Arial"/>
          <w:szCs w:val="20"/>
        </w:rPr>
        <w:t xml:space="preserve">DBG </w:t>
      </w:r>
      <w:r w:rsidR="00923B32">
        <w:t xml:space="preserve">considers that the proposal to use XML templates in accordance with the ISO 20022 methodology in order to harmonise the requirements under MiFIR Art. 25 for trading venues is a reasonable approach. XML templates would allow more flexible amendment of information, easier validation from trading venues and easier processing for regulators.  We however suggest a phased approach with enhancing of the content only in a second step. </w:t>
      </w:r>
    </w:p>
    <w:p w14:paraId="4B5A0A3C" w14:textId="77777777" w:rsidR="00923B32" w:rsidRDefault="00923B32" w:rsidP="00503347">
      <w:pPr>
        <w:spacing w:before="100" w:beforeAutospacing="1" w:after="100" w:afterAutospacing="1"/>
        <w:jc w:val="both"/>
      </w:pPr>
      <w:r>
        <w:t xml:space="preserve">Costs of this measure are difficult to estimate, at least until further clarity is provided on the specific changes that would be required. Providing XML to all regulators requires some development and testing and the greater the changes, the higher the costs. Moreover, additional costs for regulators would in fine be passed on market participants and be added to all costs already incurred by MiFID II. We would hence urge for the conduct of a cost-benefit analysis before any measure is decided upon. </w:t>
      </w:r>
    </w:p>
    <w:p w14:paraId="58477A02" w14:textId="77777777" w:rsidR="00923B32" w:rsidRDefault="00923B32" w:rsidP="00503347">
      <w:pPr>
        <w:jc w:val="both"/>
      </w:pPr>
      <w:r>
        <w:t>Based on our experience of RTS24 reporting, we believe that clear rules must be defined for:</w:t>
      </w:r>
    </w:p>
    <w:p w14:paraId="4920933D" w14:textId="77777777" w:rsidR="00923B32" w:rsidRDefault="00923B32" w:rsidP="00503347">
      <w:pPr>
        <w:pStyle w:val="Listenabsatz"/>
        <w:numPr>
          <w:ilvl w:val="0"/>
          <w:numId w:val="13"/>
        </w:numPr>
        <w:spacing w:after="160" w:line="256" w:lineRule="auto"/>
        <w:jc w:val="both"/>
      </w:pPr>
      <w:r>
        <w:t>XML schema upgrades: the current big-bang approach applied by most regulators for XML reporting appears difficult to manage; we, strongly advise to make it mandatory for regulators to provide a transition phase when XML schema is updated.</w:t>
      </w:r>
    </w:p>
    <w:p w14:paraId="01BD7650" w14:textId="77777777" w:rsidR="00923B32" w:rsidRDefault="00923B32" w:rsidP="00503347">
      <w:pPr>
        <w:jc w:val="both"/>
      </w:pPr>
      <w:r>
        <w:t>In addition, the following points must also be considered:</w:t>
      </w:r>
    </w:p>
    <w:p w14:paraId="5C7084CC" w14:textId="77777777" w:rsidR="00923B32" w:rsidRDefault="5D72722E" w:rsidP="00503347">
      <w:pPr>
        <w:pStyle w:val="Listenabsatz"/>
        <w:numPr>
          <w:ilvl w:val="0"/>
          <w:numId w:val="13"/>
        </w:numPr>
        <w:spacing w:after="160" w:line="256" w:lineRule="auto"/>
        <w:jc w:val="both"/>
        <w:rPr>
          <w:color w:val="000000" w:themeColor="text1"/>
        </w:rPr>
      </w:pPr>
      <w:r>
        <w:t xml:space="preserve">Changes to the templates shall not apply retrospectively because of the prohibitive costs </w:t>
      </w:r>
      <w:r w:rsidRPr="5D72722E">
        <w:t xml:space="preserve">incurred; </w:t>
      </w:r>
    </w:p>
    <w:p w14:paraId="63A3669E" w14:textId="54275AC0" w:rsidR="00923B32" w:rsidRPr="00923B32" w:rsidRDefault="5D72722E" w:rsidP="00503347">
      <w:pPr>
        <w:pStyle w:val="Listenabsatz"/>
        <w:numPr>
          <w:ilvl w:val="0"/>
          <w:numId w:val="13"/>
        </w:numPr>
        <w:spacing w:after="160" w:line="252" w:lineRule="auto"/>
        <w:jc w:val="both"/>
        <w:rPr>
          <w:color w:val="000000" w:themeColor="text1"/>
        </w:rPr>
      </w:pPr>
      <w:r w:rsidRPr="5D72722E">
        <w:t>Other execution venues, such as systematic internalisers should also be within scope of these requirements;</w:t>
      </w:r>
    </w:p>
    <w:p w14:paraId="6C01A8D9" w14:textId="50B0E69C" w:rsidR="00923B32" w:rsidRDefault="00923B32" w:rsidP="00503347">
      <w:pPr>
        <w:pStyle w:val="Listenabsatz"/>
        <w:numPr>
          <w:ilvl w:val="0"/>
          <w:numId w:val="13"/>
        </w:numPr>
        <w:spacing w:after="160" w:line="256" w:lineRule="auto"/>
        <w:jc w:val="both"/>
      </w:pPr>
      <w:r>
        <w:t>A transition phase is essential to allow the market for developing and adapting the new requirements.</w:t>
      </w:r>
    </w:p>
    <w:p w14:paraId="743A9F5C" w14:textId="1878C3F1" w:rsidR="00923B32" w:rsidRDefault="00923B32" w:rsidP="00503347">
      <w:pPr>
        <w:jc w:val="both"/>
      </w:pPr>
      <w:r>
        <w:t xml:space="preserve">We strongly suggest the organisation of a workshop should further work being contemplated by ESMA on this proposal. This would allow participants to engage on it from the very </w:t>
      </w:r>
      <w:r w:rsidRPr="00923B32">
        <w:rPr>
          <w:color w:val="000000" w:themeColor="text1"/>
        </w:rPr>
        <w:t>beginning and guarantee a satisfactory and efficient result for all parties – regulators, trading venues and investment firms.</w:t>
      </w:r>
      <w:r w:rsidRPr="00923B32">
        <w:rPr>
          <w:rFonts w:eastAsia="DengXian" w:cs="Arial"/>
          <w:color w:val="000000" w:themeColor="text1"/>
          <w:szCs w:val="20"/>
          <w:lang w:eastAsia="en-GB"/>
        </w:rPr>
        <w:t>]</w:t>
      </w:r>
    </w:p>
    <w:p w14:paraId="08008EF3" w14:textId="77777777" w:rsidR="00923B32" w:rsidRDefault="00923B32" w:rsidP="00503347">
      <w:pPr>
        <w:jc w:val="both"/>
      </w:pPr>
      <w:r>
        <w:t>&lt;ESMA_QUESTION_CP_MAR_66&gt;</w:t>
      </w:r>
    </w:p>
    <w:p w14:paraId="058F432A" w14:textId="77777777" w:rsidR="00923B32" w:rsidRDefault="00923B32" w:rsidP="00503347">
      <w:pPr>
        <w:jc w:val="both"/>
      </w:pPr>
    </w:p>
    <w:p w14:paraId="15C03366" w14:textId="77777777" w:rsidR="00923B32" w:rsidRDefault="00923B32" w:rsidP="00503347">
      <w:pPr>
        <w:spacing w:after="160" w:line="256" w:lineRule="auto"/>
        <w:jc w:val="both"/>
      </w:pPr>
    </w:p>
    <w:p w14:paraId="7FE8B23D" w14:textId="7B0B4328" w:rsidR="007D5EDB" w:rsidRPr="00FB0E7D" w:rsidRDefault="0A5769A0" w:rsidP="00503347">
      <w:pPr>
        <w:pStyle w:val="CPQuestions"/>
      </w:pPr>
      <w:r w:rsidRPr="00FB0E7D">
        <w:lastRenderedPageBreak/>
        <w:t>Please provide your views on the impact and cost linked to the establishment of a regular reporting mechanism of order book data.</w:t>
      </w:r>
    </w:p>
    <w:p w14:paraId="1D0AB903" w14:textId="77777777" w:rsidR="007D5EDB" w:rsidRPr="00FB0E7D" w:rsidRDefault="0A5769A0" w:rsidP="00503347">
      <w:pPr>
        <w:jc w:val="both"/>
      </w:pPr>
      <w:r w:rsidRPr="00FB0E7D">
        <w:t>&lt;ESMA_QUESTION_CP_MAR_67&gt;</w:t>
      </w:r>
    </w:p>
    <w:p w14:paraId="4D612990" w14:textId="62D64554" w:rsidR="00923B32" w:rsidRPr="00923B32" w:rsidRDefault="00D000AC" w:rsidP="00503347">
      <w:pPr>
        <w:jc w:val="both"/>
      </w:pPr>
      <w:r>
        <w:t>[</w:t>
      </w:r>
      <w:r w:rsidR="00923B32" w:rsidRPr="00923B32">
        <w:t xml:space="preserve">Art. 25 MiFIR was intended to put NCAs in a position to efficiently and effectively monitor financial markets, specifically towards the backdrop of suspicious behaviour. Therefore, NCAs may use information stored and supplied by investment firms and trading venues to investigate suspicious elements and potential cases of market abuse; this additional tool shall equip NCAs to pursue, analyse and follow-up on suspicious behaviour of market participants in concrete cases. In our opinion the established framework to request data on an ad-hoc basis where suspicion of market abuse exists is suitable and sufficient for achieving the intention of the law. </w:t>
      </w:r>
    </w:p>
    <w:p w14:paraId="23845567" w14:textId="77777777" w:rsidR="00923B32" w:rsidRPr="00923B32" w:rsidRDefault="00923B32" w:rsidP="00503347">
      <w:pPr>
        <w:jc w:val="both"/>
      </w:pPr>
    </w:p>
    <w:p w14:paraId="26CD0CF6" w14:textId="77777777" w:rsidR="00923B32" w:rsidRPr="00923B32" w:rsidRDefault="00923B32" w:rsidP="00503347">
      <w:pPr>
        <w:jc w:val="both"/>
      </w:pPr>
      <w:r w:rsidRPr="00923B32">
        <w:t>In this light DBG would like to understand for what purpose the establishment of a regular reporting mechanism should be used. In its consultation paper ESMA does not provide any information on why NCAs would require regular access to all data. Section 11.1.2 in the MAR Review Paper only describes the status quo and states that according to article 38 of MAR, the European Commission (EC) is required “to assess the possibility of establishing a Union framework for cross-market order book surveillance in relation to market abuse, including recommendations for the framework” and that the EC requests ESMA’s input on this topic. It remains unclear whether the proposal of the establishment of an EU framework for cross-market order book surveillance is based on a needs assessment and thus where exactly the added value might lie. Further, ESMA does not provide any evidence as regard potential shortcomings or deficiencies of the existing regime; as noted in para 296, the exchange of information between NCAs according to the rules and procedures of the existing regime facilitate the detection of market abuse in a cross-border context. Hence, the report falls short to argue in a sufficiently precise manner how this system could be improved by establishing cross-order book surveillance. DBG has also concerns regarding sending data for record keeping to NCAs on a regular basis. As previously stated, in its consultation paper ESMA does not provide any information on why NCAs would require regular access to all data. This would require NCAs to heavily invest in IT infrastructure (servers, storage, lines, cloud, trainings etc.). Moreover, it would consume a lot of time and budget before any such data transfer could start and may take years before it could be implemented. Unlike transfer and processing of smaller data subsets the transfer of entire data pools is complex and slow. Examining entire data pools instead of relevant data only for concrete case specific questions of potential market abuse may also lead to confusion and even wrong conclusions. The question is, if the potential advantages of cross-market order book surveillance justify the efforts and uncertainties (such as challenges related to the technical implementation or potential unintended consequences for trading venues) that might result from it.</w:t>
      </w:r>
    </w:p>
    <w:p w14:paraId="23770A38" w14:textId="77777777" w:rsidR="00923B32" w:rsidRPr="00923B32" w:rsidRDefault="00923B32" w:rsidP="00503347">
      <w:pPr>
        <w:jc w:val="both"/>
      </w:pPr>
    </w:p>
    <w:p w14:paraId="28CFB972" w14:textId="77777777" w:rsidR="00923B32" w:rsidRPr="00923B32" w:rsidRDefault="00923B32" w:rsidP="00503347">
      <w:pPr>
        <w:jc w:val="both"/>
      </w:pPr>
      <w:r w:rsidRPr="00923B32">
        <w:t xml:space="preserve">Further, the creation of a cross-market order book may lead to misleading results as 1) market models of trading venues might vary, e.g. it is hard to compare price determinations in continuous trading with market models with specialists, 2) products differ, especially in derivatives markets and 3) the underlying rulebooks may be different which might lead to wrong conclusions when doing cross-market surveillance. </w:t>
      </w:r>
    </w:p>
    <w:p w14:paraId="440A1F9C" w14:textId="77777777" w:rsidR="00923B32" w:rsidRPr="00923B32" w:rsidRDefault="00923B32" w:rsidP="00503347">
      <w:pPr>
        <w:jc w:val="both"/>
      </w:pPr>
    </w:p>
    <w:p w14:paraId="536B6B4D" w14:textId="77777777" w:rsidR="00923B32" w:rsidRPr="00923B32" w:rsidRDefault="00923B32" w:rsidP="00503347">
      <w:pPr>
        <w:jc w:val="both"/>
      </w:pPr>
      <w:r w:rsidRPr="00923B32">
        <w:t xml:space="preserve">ESMA’S proposal only goes so far as to create a cross market orderbook across trading venues but does not reflect upon OTC and bilateral trading, such as Systematic Internalisation. We would like to understand how the delineation is intended when it comes to cross market surveillance. In our view, it would have merit to find ways to rather combine information from trading venues and OTC to pursue specific cases to better determine whether market manipulative behaviour can be identified since targeted data which can be analysed in context can support monitoring efforts.  </w:t>
      </w:r>
    </w:p>
    <w:p w14:paraId="5B005BB0" w14:textId="77777777" w:rsidR="00923B32" w:rsidRPr="00923B32" w:rsidRDefault="00923B32" w:rsidP="00503347">
      <w:pPr>
        <w:jc w:val="both"/>
      </w:pPr>
    </w:p>
    <w:p w14:paraId="3422F0C7" w14:textId="44A031B4" w:rsidR="007D5EDB" w:rsidRPr="00FB0E7D" w:rsidRDefault="5D72722E" w:rsidP="00503347">
      <w:pPr>
        <w:jc w:val="both"/>
      </w:pPr>
      <w:r>
        <w:t>As a result, DBG does strongly oppose establishing a regular reporting mechanism as we do not see any benefits, but rather a large burden for both NCAs and trading venues in terms of adapting their IT-infrastructures, with little to no improvement on monitoring efforts. We are concerned that broad and continuous data reports might distort the picture, due to the aforementioned examples, and would rather impair, than improve the monitoring efforts of the competent authorities. We believe that the established framework of having ad-hoc requests on a subset of data in specific cases of market abuse suspicion is the right way forward.]</w:t>
      </w:r>
    </w:p>
    <w:p w14:paraId="3B7BCDAC" w14:textId="77777777" w:rsidR="007D5EDB" w:rsidRPr="00FB0E7D" w:rsidRDefault="0A5769A0" w:rsidP="00503347">
      <w:pPr>
        <w:jc w:val="both"/>
      </w:pPr>
      <w:r w:rsidRPr="00FB0E7D">
        <w:t>&lt;ESMA_QUESTION_CP_MAR_67&gt;</w:t>
      </w:r>
    </w:p>
    <w:p w14:paraId="178E25FD" w14:textId="77777777" w:rsidR="007D5EDB" w:rsidRPr="00FB0E7D" w:rsidRDefault="007D5EDB" w:rsidP="00503347">
      <w:pPr>
        <w:jc w:val="both"/>
      </w:pPr>
    </w:p>
    <w:p w14:paraId="435420F8" w14:textId="77777777" w:rsidR="007D5EDB" w:rsidRPr="00FB0E7D" w:rsidRDefault="0A5769A0" w:rsidP="00503347">
      <w:pPr>
        <w:pStyle w:val="CPQuestions"/>
      </w:pPr>
      <w:r w:rsidRPr="00FB0E7D">
        <w:t>In particular, please: a) elaborate on the cost differences between a daily reporting system and a daily record keeping and ad-hoc transmission mechanism; b) explain if and how the impact would change by limiting the scope of a regular reporting mechanism of order book data to a subset of financial instruments. In that context, please provide detailed description of the criteria that you would use to define the appropriate scope of financial instruments for the order book reporting.</w:t>
      </w:r>
    </w:p>
    <w:p w14:paraId="0D819D91" w14:textId="77777777" w:rsidR="007D5EDB" w:rsidRPr="00FB0E7D" w:rsidRDefault="0A5769A0" w:rsidP="00503347">
      <w:pPr>
        <w:jc w:val="both"/>
      </w:pPr>
      <w:r w:rsidRPr="00FB0E7D">
        <w:t>&lt;ESMA_QUESTION_CP_MAR_68&gt;</w:t>
      </w:r>
    </w:p>
    <w:p w14:paraId="4086847D" w14:textId="7D14F524" w:rsidR="007D5EDB" w:rsidRPr="00FB0E7D" w:rsidRDefault="0A5769A0" w:rsidP="00503347">
      <w:pPr>
        <w:jc w:val="both"/>
      </w:pPr>
      <w:r w:rsidRPr="00FB0E7D">
        <w:t>[</w:t>
      </w:r>
      <w:r w:rsidR="00334E4B" w:rsidRPr="00FB0E7D">
        <w:t xml:space="preserve">Please see our answer </w:t>
      </w:r>
      <w:r w:rsidR="00DE6335">
        <w:t>to</w:t>
      </w:r>
      <w:r w:rsidR="00334E4B" w:rsidRPr="00FB0E7D">
        <w:t xml:space="preserve"> Q67.</w:t>
      </w:r>
      <w:r w:rsidRPr="00FB0E7D">
        <w:t>]</w:t>
      </w:r>
    </w:p>
    <w:p w14:paraId="03958DD3" w14:textId="77777777" w:rsidR="007D5EDB" w:rsidRPr="00FB0E7D" w:rsidRDefault="0A5769A0" w:rsidP="00503347">
      <w:pPr>
        <w:jc w:val="both"/>
      </w:pPr>
      <w:r w:rsidRPr="00FB0E7D">
        <w:t>&lt;ESMA_QUESTION_CP_MAR_68&gt;</w:t>
      </w:r>
    </w:p>
    <w:p w14:paraId="1B6E8609" w14:textId="77777777" w:rsidR="007D5EDB" w:rsidRPr="00FB0E7D" w:rsidRDefault="007D5EDB" w:rsidP="00503347">
      <w:pPr>
        <w:jc w:val="both"/>
      </w:pPr>
    </w:p>
    <w:p w14:paraId="7A18CB73" w14:textId="77777777" w:rsidR="007D5EDB" w:rsidRPr="00FB0E7D" w:rsidRDefault="0A5769A0" w:rsidP="00503347">
      <w:pPr>
        <w:pStyle w:val="CPQuestions"/>
      </w:pPr>
      <w:r w:rsidRPr="00FB0E7D">
        <w:t>What are your views regarding tho</w:t>
      </w:r>
      <w:bookmarkStart w:id="9" w:name="_GoBack"/>
      <w:bookmarkEnd w:id="9"/>
      <w:r w:rsidRPr="00FB0E7D">
        <w:t>se proposed amendments to MAR?</w:t>
      </w:r>
    </w:p>
    <w:p w14:paraId="24420639" w14:textId="77777777" w:rsidR="007D5EDB" w:rsidRPr="00FB0E7D" w:rsidRDefault="0A5769A0" w:rsidP="00503347">
      <w:pPr>
        <w:jc w:val="both"/>
      </w:pPr>
      <w:r w:rsidRPr="00FB0E7D">
        <w:t>&lt;ESMA_QUESTION_CP_MAR_69&gt;</w:t>
      </w:r>
    </w:p>
    <w:p w14:paraId="13F56D89" w14:textId="042E1864" w:rsidR="007D5EDB" w:rsidRPr="00FB0E7D" w:rsidRDefault="0A5769A0" w:rsidP="00503347">
      <w:pPr>
        <w:jc w:val="both"/>
        <w:rPr>
          <w:rFonts w:ascii="Calibri" w:hAnsi="Calibri"/>
          <w:lang w:val="en-US" w:eastAsia="zh-CN"/>
        </w:rPr>
      </w:pPr>
      <w:r w:rsidRPr="00FB0E7D">
        <w:t>[</w:t>
      </w:r>
      <w:r w:rsidRPr="00FB0E7D">
        <w:rPr>
          <w:lang w:val="en-US"/>
        </w:rPr>
        <w:t>DBG welcomes ESMA’s proposal to grant NCA’s the mandate to investigate and sanction cases of unfair behavior in connection with tax reclaim schemes that represent a threat to the integrity of the financial markets beyond insider dealing and market manipulation. DBG believes that granting NCA’s with the power to exchange information also with tax authorities across the EU could help to investigate and address those activities effectively.</w:t>
      </w:r>
      <w:r w:rsidRPr="00FB0E7D">
        <w:t>]</w:t>
      </w:r>
    </w:p>
    <w:p w14:paraId="4977D66B" w14:textId="77777777" w:rsidR="007D5EDB" w:rsidRPr="00FB0E7D" w:rsidRDefault="0A5769A0" w:rsidP="00503347">
      <w:pPr>
        <w:jc w:val="both"/>
      </w:pPr>
      <w:r w:rsidRPr="00FB0E7D">
        <w:t>&lt;ESMA_QUESTION_CP_MAR_69&gt;</w:t>
      </w:r>
    </w:p>
    <w:p w14:paraId="1569A2D0" w14:textId="77777777" w:rsidR="007D5EDB" w:rsidRPr="00FB0E7D" w:rsidRDefault="007D5EDB" w:rsidP="00503347">
      <w:pPr>
        <w:jc w:val="both"/>
      </w:pPr>
    </w:p>
    <w:p w14:paraId="1097B42C" w14:textId="77777777" w:rsidR="007D5EDB" w:rsidRPr="00FB0E7D" w:rsidRDefault="0A5769A0" w:rsidP="00503347">
      <w:pPr>
        <w:pStyle w:val="CPQuestions"/>
      </w:pPr>
      <w:r w:rsidRPr="00FB0E7D">
        <w:t>Are you in favour of amending Article 30(1) second paragraph of MAR so that all NCAs in the EU have the capacity of imposing administrative sanctions? If yes, please elaborate.</w:t>
      </w:r>
    </w:p>
    <w:p w14:paraId="26E7AEB6" w14:textId="77777777" w:rsidR="007D5EDB" w:rsidRPr="00FB0E7D" w:rsidRDefault="0A5769A0" w:rsidP="00503347">
      <w:pPr>
        <w:jc w:val="both"/>
      </w:pPr>
      <w:r w:rsidRPr="00FB0E7D">
        <w:t>&lt;ESMA_QUESTION_CP_MAR_70&gt;</w:t>
      </w:r>
    </w:p>
    <w:p w14:paraId="78D3523C" w14:textId="77777777" w:rsidR="001F4866" w:rsidRDefault="001F4866" w:rsidP="00503347">
      <w:pPr>
        <w:jc w:val="both"/>
      </w:pPr>
      <w:r w:rsidRPr="00FB0E7D">
        <w:t>[TYPE YOUR TEXT HERE]</w:t>
      </w:r>
    </w:p>
    <w:p w14:paraId="56914B9D" w14:textId="36731AAE" w:rsidR="007D5EDB" w:rsidRPr="00FB0E7D" w:rsidRDefault="0A5769A0" w:rsidP="00503347">
      <w:pPr>
        <w:jc w:val="both"/>
      </w:pPr>
      <w:r w:rsidRPr="00FB0E7D">
        <w:t>&lt;ESMA_QUESTION_CP_MAR_70&gt;</w:t>
      </w:r>
    </w:p>
    <w:p w14:paraId="1F0EB6E1" w14:textId="77777777" w:rsidR="007D5EDB" w:rsidRPr="00FB0E7D" w:rsidRDefault="007D5EDB" w:rsidP="00503347">
      <w:pPr>
        <w:jc w:val="both"/>
      </w:pPr>
    </w:p>
    <w:p w14:paraId="128A9E59" w14:textId="77777777" w:rsidR="007D5EDB" w:rsidRPr="00FB0E7D" w:rsidRDefault="0A5769A0" w:rsidP="00503347">
      <w:pPr>
        <w:pStyle w:val="CPQuestions"/>
      </w:pPr>
      <w:r w:rsidRPr="00FB0E7D">
        <w:t>Please share your views on the elements described above.</w:t>
      </w:r>
    </w:p>
    <w:p w14:paraId="6AE9702E" w14:textId="77777777" w:rsidR="007D5EDB" w:rsidRPr="00FB0E7D" w:rsidRDefault="0A5769A0" w:rsidP="00503347">
      <w:pPr>
        <w:jc w:val="both"/>
      </w:pPr>
      <w:r w:rsidRPr="00FB0E7D">
        <w:t>&lt;ESMA_QUESTION_CP_MAR_71&gt;</w:t>
      </w:r>
    </w:p>
    <w:p w14:paraId="1881893A" w14:textId="79878171" w:rsidR="007D5EDB" w:rsidRPr="00FB0E7D" w:rsidRDefault="0A5769A0" w:rsidP="00503347">
      <w:pPr>
        <w:jc w:val="both"/>
      </w:pPr>
      <w:r w:rsidRPr="00FB0E7D">
        <w:t>[</w:t>
      </w:r>
      <w:r w:rsidRPr="00FB0E7D">
        <w:rPr>
          <w:rFonts w:ascii="Roboto" w:hAnsi="Roboto"/>
          <w:color w:val="000000" w:themeColor="text1"/>
        </w:rPr>
        <w:t xml:space="preserve">This is possible </w:t>
      </w:r>
      <w:r w:rsidR="001C5FB7">
        <w:rPr>
          <w:rFonts w:ascii="Roboto" w:hAnsi="Roboto"/>
          <w:color w:val="000000" w:themeColor="text1"/>
        </w:rPr>
        <w:t>only</w:t>
      </w:r>
      <w:r w:rsidR="001C5FB7" w:rsidRPr="00FB0E7D">
        <w:rPr>
          <w:rFonts w:ascii="Roboto" w:hAnsi="Roboto"/>
          <w:color w:val="000000" w:themeColor="text1"/>
        </w:rPr>
        <w:t xml:space="preserve"> </w:t>
      </w:r>
      <w:r w:rsidRPr="00FB0E7D">
        <w:rPr>
          <w:rFonts w:ascii="Roboto" w:hAnsi="Roboto"/>
          <w:color w:val="000000" w:themeColor="text1"/>
        </w:rPr>
        <w:t>for the NCA to respond to.</w:t>
      </w:r>
      <w:r w:rsidRPr="00FB0E7D">
        <w:t>]</w:t>
      </w:r>
    </w:p>
    <w:p w14:paraId="0F1135E4" w14:textId="30141377" w:rsidR="00782A2C" w:rsidRDefault="0A5769A0" w:rsidP="00503347">
      <w:pPr>
        <w:jc w:val="both"/>
      </w:pPr>
      <w:r w:rsidRPr="00FB0E7D">
        <w:t>&lt;ESMA_QUESTION_CP_MAR_71&gt;</w:t>
      </w:r>
    </w:p>
    <w:sectPr w:rsidR="00782A2C" w:rsidSect="00670634">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19146" w14:textId="77777777" w:rsidR="00E31031" w:rsidRDefault="00E31031" w:rsidP="00CD1669">
      <w:r>
        <w:separator/>
      </w:r>
    </w:p>
  </w:endnote>
  <w:endnote w:type="continuationSeparator" w:id="0">
    <w:p w14:paraId="7079A2F1" w14:textId="77777777" w:rsidR="00E31031" w:rsidRDefault="00E31031" w:rsidP="00CD1669">
      <w:r>
        <w:continuationSeparator/>
      </w:r>
    </w:p>
  </w:endnote>
  <w:endnote w:type="continuationNotice" w:id="1">
    <w:p w14:paraId="413E2F4A" w14:textId="77777777" w:rsidR="00E31031" w:rsidRDefault="00E31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Roboto">
    <w:altName w:val="Arial"/>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E31031" w:rsidRPr="00616B9B" w14:paraId="4F2BFEFC" w14:textId="77777777" w:rsidTr="001029FE">
      <w:trPr>
        <w:trHeight w:val="284"/>
      </w:trPr>
      <w:tc>
        <w:tcPr>
          <w:tcW w:w="8460" w:type="dxa"/>
        </w:tcPr>
        <w:p w14:paraId="5BE93A62" w14:textId="77777777" w:rsidR="00E31031" w:rsidRPr="00315E96" w:rsidRDefault="00E31031" w:rsidP="001029FE">
          <w:pPr>
            <w:pStyle w:val="00Footer"/>
            <w:rPr>
              <w:lang w:val="fr-FR"/>
            </w:rPr>
          </w:pPr>
        </w:p>
      </w:tc>
      <w:tc>
        <w:tcPr>
          <w:tcW w:w="952" w:type="dxa"/>
        </w:tcPr>
        <w:p w14:paraId="0E704CC7" w14:textId="77777777" w:rsidR="00E31031" w:rsidRPr="00616B9B" w:rsidRDefault="00E31031" w:rsidP="001029FE">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384BA73E" w14:textId="77777777" w:rsidR="00E31031" w:rsidRDefault="00E3103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B30F8" w14:textId="77777777" w:rsidR="00E31031" w:rsidRDefault="00E310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8CA6A" w14:textId="77777777" w:rsidR="00E31031" w:rsidRDefault="00E31031" w:rsidP="00CD1669">
      <w:r>
        <w:separator/>
      </w:r>
    </w:p>
  </w:footnote>
  <w:footnote w:type="continuationSeparator" w:id="0">
    <w:p w14:paraId="1EF8A45D" w14:textId="77777777" w:rsidR="00E31031" w:rsidRDefault="00E31031" w:rsidP="00CD1669">
      <w:r>
        <w:continuationSeparator/>
      </w:r>
    </w:p>
  </w:footnote>
  <w:footnote w:type="continuationNotice" w:id="1">
    <w:p w14:paraId="288D3CA2" w14:textId="77777777" w:rsidR="00E31031" w:rsidRDefault="00E31031"/>
  </w:footnote>
  <w:footnote w:id="2">
    <w:p w14:paraId="5DCCC7A5" w14:textId="77777777" w:rsidR="00E31031" w:rsidRPr="000A4F1B" w:rsidRDefault="00E31031" w:rsidP="00E85810">
      <w:pPr>
        <w:pStyle w:val="Funotentext"/>
        <w:jc w:val="both"/>
        <w:rPr>
          <w:rFonts w:asciiTheme="majorHAnsi" w:hAnsiTheme="majorHAnsi"/>
          <w:sz w:val="16"/>
          <w:szCs w:val="16"/>
        </w:rPr>
      </w:pPr>
      <w:r w:rsidRPr="000A4F1B">
        <w:rPr>
          <w:rStyle w:val="Funotenzeichen"/>
          <w:rFonts w:asciiTheme="majorHAnsi" w:hAnsiTheme="majorHAnsi"/>
          <w:sz w:val="16"/>
          <w:szCs w:val="16"/>
        </w:rPr>
        <w:footnoteRef/>
      </w:r>
      <w:r w:rsidRPr="000A4F1B">
        <w:rPr>
          <w:rFonts w:asciiTheme="majorHAnsi" w:hAnsiTheme="majorHAnsi"/>
          <w:sz w:val="16"/>
          <w:szCs w:val="16"/>
        </w:rPr>
        <w:t xml:space="preserve"> Commission Delegated Regulation (EU) 2017/589 of 19 July 2016, Recital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8332" w14:textId="77777777" w:rsidR="00E31031" w:rsidRDefault="00E31031">
    <w:pPr>
      <w:pStyle w:val="Kopfzeile"/>
    </w:pPr>
    <w:r>
      <w:rPr>
        <w:noProof/>
        <w:lang w:eastAsia="en-GB"/>
      </w:rPr>
      <w:drawing>
        <wp:anchor distT="0" distB="0" distL="114300" distR="114300" simplePos="0" relativeHeight="251658245" behindDoc="0" locked="0" layoutInCell="1" allowOverlap="1" wp14:anchorId="6891F890" wp14:editId="42F9AB3E">
          <wp:simplePos x="0" y="0"/>
          <wp:positionH relativeFrom="page">
            <wp:posOffset>791845</wp:posOffset>
          </wp:positionH>
          <wp:positionV relativeFrom="page">
            <wp:posOffset>612140</wp:posOffset>
          </wp:positionV>
          <wp:extent cx="561975" cy="561975"/>
          <wp:effectExtent l="0" t="0" r="9525" b="9525"/>
          <wp:wrapNone/>
          <wp:docPr id="9"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2" behindDoc="0" locked="0" layoutInCell="1" allowOverlap="1" wp14:anchorId="7F2B37D2" wp14:editId="38096C6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829BE" id="Line 16" o:spid="_x0000_s1026" style="position:absolute;z-index:25165824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B8069" w14:textId="77777777" w:rsidR="00E31031" w:rsidRDefault="00E31031" w:rsidP="001029FE">
    <w:pPr>
      <w:pStyle w:val="Kopfzeile"/>
      <w:jc w:val="right"/>
    </w:pPr>
    <w:r>
      <w:rPr>
        <w:noProof/>
        <w:lang w:eastAsia="en-GB"/>
      </w:rPr>
      <w:drawing>
        <wp:anchor distT="0" distB="0" distL="114300" distR="114300" simplePos="0" relativeHeight="251658244" behindDoc="0" locked="0" layoutInCell="1" allowOverlap="1" wp14:anchorId="5C8F66BB" wp14:editId="0464F532">
          <wp:simplePos x="0" y="0"/>
          <wp:positionH relativeFrom="page">
            <wp:posOffset>377825</wp:posOffset>
          </wp:positionH>
          <wp:positionV relativeFrom="page">
            <wp:posOffset>377825</wp:posOffset>
          </wp:positionV>
          <wp:extent cx="2209800" cy="904875"/>
          <wp:effectExtent l="0" t="0" r="0" b="9525"/>
          <wp:wrapNone/>
          <wp:docPr id="11"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01F29CD" wp14:editId="36935E83">
          <wp:simplePos x="0" y="0"/>
          <wp:positionH relativeFrom="page">
            <wp:posOffset>0</wp:posOffset>
          </wp:positionH>
          <wp:positionV relativeFrom="page">
            <wp:posOffset>3895725</wp:posOffset>
          </wp:positionV>
          <wp:extent cx="7560310" cy="6800850"/>
          <wp:effectExtent l="0" t="0" r="2540" b="0"/>
          <wp:wrapNone/>
          <wp:docPr id="12"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F2EB" w14:textId="77777777" w:rsidR="00E31031" w:rsidRDefault="00E3103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E31031" w:rsidRPr="002F4496" w14:paraId="1DA6542E" w14:textId="77777777" w:rsidTr="001029FE">
      <w:trPr>
        <w:trHeight w:val="284"/>
      </w:trPr>
      <w:tc>
        <w:tcPr>
          <w:tcW w:w="8460" w:type="dxa"/>
        </w:tcPr>
        <w:p w14:paraId="3041E394" w14:textId="77777777" w:rsidR="00E31031" w:rsidRPr="000C3B6D" w:rsidRDefault="00E31031" w:rsidP="001029FE">
          <w:pPr>
            <w:pStyle w:val="00Footer"/>
            <w:rPr>
              <w:lang w:val="fr-FR"/>
            </w:rPr>
          </w:pPr>
        </w:p>
      </w:tc>
      <w:tc>
        <w:tcPr>
          <w:tcW w:w="952" w:type="dxa"/>
        </w:tcPr>
        <w:p w14:paraId="722B00AE" w14:textId="77777777" w:rsidR="00E31031" w:rsidRPr="00146B34" w:rsidRDefault="00E31031" w:rsidP="001029FE">
          <w:pPr>
            <w:pStyle w:val="00aPagenumber"/>
            <w:rPr>
              <w:lang w:val="fr-FR"/>
            </w:rPr>
          </w:pPr>
        </w:p>
      </w:tc>
    </w:tr>
  </w:tbl>
  <w:p w14:paraId="42C6D796" w14:textId="77777777" w:rsidR="00E31031" w:rsidRPr="00DB46C3" w:rsidRDefault="00E31031">
    <w:pPr>
      <w:rPr>
        <w:lang w:val="fr-FR"/>
      </w:rPr>
    </w:pPr>
  </w:p>
  <w:p w14:paraId="6E1831B3" w14:textId="77777777" w:rsidR="00E31031" w:rsidRPr="002F4496" w:rsidRDefault="00E31031">
    <w:pPr>
      <w:pStyle w:val="Kopfzeile"/>
      <w:rPr>
        <w:lang w:val="fr-FR"/>
      </w:rPr>
    </w:pPr>
  </w:p>
  <w:p w14:paraId="54E11D2A" w14:textId="77777777" w:rsidR="00E31031" w:rsidRPr="002F4496" w:rsidRDefault="00E31031" w:rsidP="001029FE">
    <w:pPr>
      <w:pStyle w:val="Kopfzeile"/>
      <w:tabs>
        <w:tab w:val="left" w:pos="8227"/>
      </w:tabs>
      <w:rPr>
        <w:lang w:val="fr-FR"/>
      </w:rPr>
    </w:pPr>
  </w:p>
  <w:p w14:paraId="31126E5D" w14:textId="77777777" w:rsidR="00E31031" w:rsidRPr="002F4496" w:rsidRDefault="00E31031" w:rsidP="001029FE">
    <w:pPr>
      <w:pStyle w:val="Kopfzeile"/>
      <w:jc w:val="right"/>
      <w:rPr>
        <w:lang w:val="fr-FR"/>
      </w:rPr>
    </w:pPr>
  </w:p>
  <w:p w14:paraId="2DE403A5" w14:textId="77777777" w:rsidR="00E31031" w:rsidRPr="002F4496" w:rsidRDefault="00E31031">
    <w:pPr>
      <w:pStyle w:val="Kopfzeile"/>
      <w:rPr>
        <w:lang w:val="fr-FR"/>
      </w:rPr>
    </w:pPr>
  </w:p>
  <w:p w14:paraId="62431CDC" w14:textId="77777777" w:rsidR="00E31031" w:rsidRPr="002F4496" w:rsidRDefault="00E31031">
    <w:pPr>
      <w:pStyle w:val="Kopfzeile"/>
      <w:rPr>
        <w:lang w:val="fr-FR"/>
      </w:rPr>
    </w:pPr>
  </w:p>
  <w:p w14:paraId="49E398E2" w14:textId="77777777" w:rsidR="00E31031" w:rsidRPr="002F4496" w:rsidRDefault="00E31031">
    <w:pPr>
      <w:pStyle w:val="Kopfzeile"/>
      <w:rPr>
        <w:lang w:val="fr-FR"/>
      </w:rPr>
    </w:pPr>
  </w:p>
  <w:p w14:paraId="16287F21" w14:textId="77777777" w:rsidR="00E31031" w:rsidRPr="002F4496" w:rsidRDefault="00E31031">
    <w:pPr>
      <w:pStyle w:val="Kopfzeile"/>
      <w:rPr>
        <w:highlight w:val="yellow"/>
        <w:lang w:val="fr-FR"/>
      </w:rPr>
    </w:pPr>
  </w:p>
  <w:p w14:paraId="3264F76B" w14:textId="77777777" w:rsidR="00E31031" w:rsidRDefault="00E31031">
    <w:pPr>
      <w:pStyle w:val="Kopfzeile"/>
    </w:pPr>
    <w:r>
      <w:rPr>
        <w:noProof/>
        <w:lang w:eastAsia="en-GB"/>
      </w:rPr>
      <mc:AlternateContent>
        <mc:Choice Requires="wps">
          <w:drawing>
            <wp:anchor distT="0" distB="0" distL="114299" distR="114299" simplePos="0" relativeHeight="251658243" behindDoc="0" locked="0" layoutInCell="1" allowOverlap="1" wp14:anchorId="15A195D7" wp14:editId="72FE1FAF">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55357" id="Straight Connector 138" o:spid="_x0000_s1026" style="position:absolute;z-index:251658243;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8241" behindDoc="0" locked="0" layoutInCell="1" allowOverlap="1" wp14:anchorId="1A1280D3" wp14:editId="52E4E90E">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602D0"/>
    <w:multiLevelType w:val="hybridMultilevel"/>
    <w:tmpl w:val="048E3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C6D0A"/>
    <w:multiLevelType w:val="hybridMultilevel"/>
    <w:tmpl w:val="EC90F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61A44D9"/>
    <w:multiLevelType w:val="hybridMultilevel"/>
    <w:tmpl w:val="D38E9C08"/>
    <w:lvl w:ilvl="0" w:tplc="6958D0F8">
      <w:start w:val="1"/>
      <w:numFmt w:val="bullet"/>
      <w:lvlText w:val=""/>
      <w:lvlJc w:val="left"/>
      <w:pPr>
        <w:ind w:left="720" w:hanging="360"/>
      </w:pPr>
      <w:rPr>
        <w:rFonts w:ascii="Symbol" w:hAnsi="Symbol" w:hint="default"/>
      </w:rPr>
    </w:lvl>
    <w:lvl w:ilvl="1" w:tplc="40706B1A">
      <w:start w:val="1"/>
      <w:numFmt w:val="bullet"/>
      <w:lvlText w:val="o"/>
      <w:lvlJc w:val="left"/>
      <w:pPr>
        <w:ind w:left="1440" w:hanging="360"/>
      </w:pPr>
      <w:rPr>
        <w:rFonts w:ascii="Courier New" w:hAnsi="Courier New" w:hint="default"/>
      </w:rPr>
    </w:lvl>
    <w:lvl w:ilvl="2" w:tplc="37644C04">
      <w:start w:val="1"/>
      <w:numFmt w:val="bullet"/>
      <w:lvlText w:val=""/>
      <w:lvlJc w:val="left"/>
      <w:pPr>
        <w:ind w:left="2160" w:hanging="360"/>
      </w:pPr>
      <w:rPr>
        <w:rFonts w:ascii="Wingdings" w:hAnsi="Wingdings" w:hint="default"/>
      </w:rPr>
    </w:lvl>
    <w:lvl w:ilvl="3" w:tplc="91C6ED7E">
      <w:start w:val="1"/>
      <w:numFmt w:val="bullet"/>
      <w:lvlText w:val=""/>
      <w:lvlJc w:val="left"/>
      <w:pPr>
        <w:ind w:left="2880" w:hanging="360"/>
      </w:pPr>
      <w:rPr>
        <w:rFonts w:ascii="Symbol" w:hAnsi="Symbol" w:hint="default"/>
      </w:rPr>
    </w:lvl>
    <w:lvl w:ilvl="4" w:tplc="94200888">
      <w:start w:val="1"/>
      <w:numFmt w:val="bullet"/>
      <w:lvlText w:val="o"/>
      <w:lvlJc w:val="left"/>
      <w:pPr>
        <w:ind w:left="3600" w:hanging="360"/>
      </w:pPr>
      <w:rPr>
        <w:rFonts w:ascii="Courier New" w:hAnsi="Courier New" w:hint="default"/>
      </w:rPr>
    </w:lvl>
    <w:lvl w:ilvl="5" w:tplc="8E2A7ADE">
      <w:start w:val="1"/>
      <w:numFmt w:val="bullet"/>
      <w:lvlText w:val=""/>
      <w:lvlJc w:val="left"/>
      <w:pPr>
        <w:ind w:left="4320" w:hanging="360"/>
      </w:pPr>
      <w:rPr>
        <w:rFonts w:ascii="Wingdings" w:hAnsi="Wingdings" w:hint="default"/>
      </w:rPr>
    </w:lvl>
    <w:lvl w:ilvl="6" w:tplc="1BEEDC00">
      <w:start w:val="1"/>
      <w:numFmt w:val="bullet"/>
      <w:lvlText w:val=""/>
      <w:lvlJc w:val="left"/>
      <w:pPr>
        <w:ind w:left="5040" w:hanging="360"/>
      </w:pPr>
      <w:rPr>
        <w:rFonts w:ascii="Symbol" w:hAnsi="Symbol" w:hint="default"/>
      </w:rPr>
    </w:lvl>
    <w:lvl w:ilvl="7" w:tplc="70C82262">
      <w:start w:val="1"/>
      <w:numFmt w:val="bullet"/>
      <w:lvlText w:val="o"/>
      <w:lvlJc w:val="left"/>
      <w:pPr>
        <w:ind w:left="5760" w:hanging="360"/>
      </w:pPr>
      <w:rPr>
        <w:rFonts w:ascii="Courier New" w:hAnsi="Courier New" w:hint="default"/>
      </w:rPr>
    </w:lvl>
    <w:lvl w:ilvl="8" w:tplc="76CE4BC2">
      <w:start w:val="1"/>
      <w:numFmt w:val="bullet"/>
      <w:lvlText w:val=""/>
      <w:lvlJc w:val="left"/>
      <w:pPr>
        <w:ind w:left="6480" w:hanging="360"/>
      </w:pPr>
      <w:rPr>
        <w:rFonts w:ascii="Wingdings" w:hAnsi="Wingdings" w:hint="default"/>
      </w:rPr>
    </w:lvl>
  </w:abstractNum>
  <w:abstractNum w:abstractNumId="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836030"/>
    <w:multiLevelType w:val="hybridMultilevel"/>
    <w:tmpl w:val="B5168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92C72"/>
    <w:multiLevelType w:val="hybridMultilevel"/>
    <w:tmpl w:val="A27E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E15A7"/>
    <w:multiLevelType w:val="hybridMultilevel"/>
    <w:tmpl w:val="C2FE303E"/>
    <w:lvl w:ilvl="0" w:tplc="12083B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6500A87"/>
    <w:multiLevelType w:val="hybridMultilevel"/>
    <w:tmpl w:val="2F3C7EFE"/>
    <w:lvl w:ilvl="0" w:tplc="EE0004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525931"/>
    <w:multiLevelType w:val="hybridMultilevel"/>
    <w:tmpl w:val="6D40AD7A"/>
    <w:lvl w:ilvl="0" w:tplc="AC6C4062">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7"/>
  </w:num>
  <w:num w:numId="5">
    <w:abstractNumId w:val="1"/>
  </w:num>
  <w:num w:numId="6">
    <w:abstractNumId w:val="12"/>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8"/>
  </w:num>
  <w:num w:numId="11">
    <w:abstractNumId w:val="11"/>
  </w:num>
  <w:num w:numId="12">
    <w:abstractNumId w:val="6"/>
  </w:num>
  <w:num w:numId="13">
    <w:abstractNumId w:val="6"/>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69"/>
    <w:rsid w:val="000139ED"/>
    <w:rsid w:val="0001430D"/>
    <w:rsid w:val="00020590"/>
    <w:rsid w:val="00031FBD"/>
    <w:rsid w:val="00036F1F"/>
    <w:rsid w:val="000468C0"/>
    <w:rsid w:val="00051402"/>
    <w:rsid w:val="00053C7B"/>
    <w:rsid w:val="00055E79"/>
    <w:rsid w:val="00060447"/>
    <w:rsid w:val="00062487"/>
    <w:rsid w:val="00071F19"/>
    <w:rsid w:val="000814F4"/>
    <w:rsid w:val="0008281F"/>
    <w:rsid w:val="000842DC"/>
    <w:rsid w:val="000A22A4"/>
    <w:rsid w:val="000A40F3"/>
    <w:rsid w:val="000A5393"/>
    <w:rsid w:val="000A7FE3"/>
    <w:rsid w:val="000B0C68"/>
    <w:rsid w:val="000B1060"/>
    <w:rsid w:val="000C2542"/>
    <w:rsid w:val="000D0C5D"/>
    <w:rsid w:val="000D431F"/>
    <w:rsid w:val="000D6F4F"/>
    <w:rsid w:val="000E3B47"/>
    <w:rsid w:val="000F72CC"/>
    <w:rsid w:val="00100927"/>
    <w:rsid w:val="001029FE"/>
    <w:rsid w:val="00127A18"/>
    <w:rsid w:val="001325C8"/>
    <w:rsid w:val="00147E5E"/>
    <w:rsid w:val="00151DA7"/>
    <w:rsid w:val="0015769A"/>
    <w:rsid w:val="0016366E"/>
    <w:rsid w:val="00172E57"/>
    <w:rsid w:val="00176B74"/>
    <w:rsid w:val="0017787F"/>
    <w:rsid w:val="0018088E"/>
    <w:rsid w:val="00185572"/>
    <w:rsid w:val="00193974"/>
    <w:rsid w:val="00194A76"/>
    <w:rsid w:val="001A13DD"/>
    <w:rsid w:val="001B1F88"/>
    <w:rsid w:val="001B4EF9"/>
    <w:rsid w:val="001B7681"/>
    <w:rsid w:val="001C02E4"/>
    <w:rsid w:val="001C158D"/>
    <w:rsid w:val="001C5007"/>
    <w:rsid w:val="001C5432"/>
    <w:rsid w:val="001C5FB7"/>
    <w:rsid w:val="001C7D4C"/>
    <w:rsid w:val="001D2C72"/>
    <w:rsid w:val="001D3932"/>
    <w:rsid w:val="001D6FEC"/>
    <w:rsid w:val="001E04A4"/>
    <w:rsid w:val="001F0EF8"/>
    <w:rsid w:val="001F4866"/>
    <w:rsid w:val="00220C3C"/>
    <w:rsid w:val="002223BA"/>
    <w:rsid w:val="00223EF2"/>
    <w:rsid w:val="00225C99"/>
    <w:rsid w:val="00227382"/>
    <w:rsid w:val="00227A03"/>
    <w:rsid w:val="0023042F"/>
    <w:rsid w:val="002304CD"/>
    <w:rsid w:val="00232D85"/>
    <w:rsid w:val="00233DC5"/>
    <w:rsid w:val="00236E2C"/>
    <w:rsid w:val="002555AB"/>
    <w:rsid w:val="0026779D"/>
    <w:rsid w:val="00272BB9"/>
    <w:rsid w:val="00293FCB"/>
    <w:rsid w:val="00296613"/>
    <w:rsid w:val="002A05CA"/>
    <w:rsid w:val="002A3D6B"/>
    <w:rsid w:val="002A7889"/>
    <w:rsid w:val="002B330C"/>
    <w:rsid w:val="002B742D"/>
    <w:rsid w:val="002C1100"/>
    <w:rsid w:val="002C7F32"/>
    <w:rsid w:val="002D7ECA"/>
    <w:rsid w:val="002E33FD"/>
    <w:rsid w:val="002F7158"/>
    <w:rsid w:val="003012A4"/>
    <w:rsid w:val="00303706"/>
    <w:rsid w:val="00305573"/>
    <w:rsid w:val="00315A9D"/>
    <w:rsid w:val="00317247"/>
    <w:rsid w:val="00326618"/>
    <w:rsid w:val="0032721A"/>
    <w:rsid w:val="00330562"/>
    <w:rsid w:val="00332479"/>
    <w:rsid w:val="00334E4B"/>
    <w:rsid w:val="00336F64"/>
    <w:rsid w:val="003423F0"/>
    <w:rsid w:val="0034579D"/>
    <w:rsid w:val="00345E5E"/>
    <w:rsid w:val="00350C4C"/>
    <w:rsid w:val="00351E75"/>
    <w:rsid w:val="003530DA"/>
    <w:rsid w:val="00356CB7"/>
    <w:rsid w:val="00357425"/>
    <w:rsid w:val="003658A6"/>
    <w:rsid w:val="003670CC"/>
    <w:rsid w:val="00371269"/>
    <w:rsid w:val="003724EE"/>
    <w:rsid w:val="00373A3F"/>
    <w:rsid w:val="00375744"/>
    <w:rsid w:val="003765EA"/>
    <w:rsid w:val="0037688B"/>
    <w:rsid w:val="003830B8"/>
    <w:rsid w:val="0038532B"/>
    <w:rsid w:val="00387264"/>
    <w:rsid w:val="00395051"/>
    <w:rsid w:val="003A16FE"/>
    <w:rsid w:val="003A2DCA"/>
    <w:rsid w:val="003A341F"/>
    <w:rsid w:val="003A5E74"/>
    <w:rsid w:val="003B5D67"/>
    <w:rsid w:val="003B65D6"/>
    <w:rsid w:val="003C2B3A"/>
    <w:rsid w:val="003D4D9D"/>
    <w:rsid w:val="003D5AD4"/>
    <w:rsid w:val="003D6CB7"/>
    <w:rsid w:val="003E0DB2"/>
    <w:rsid w:val="003E2BE0"/>
    <w:rsid w:val="003E4913"/>
    <w:rsid w:val="003E7881"/>
    <w:rsid w:val="003F0F1C"/>
    <w:rsid w:val="003F5B10"/>
    <w:rsid w:val="00404A54"/>
    <w:rsid w:val="004050B2"/>
    <w:rsid w:val="00410D08"/>
    <w:rsid w:val="00412B9F"/>
    <w:rsid w:val="00415C43"/>
    <w:rsid w:val="00416492"/>
    <w:rsid w:val="0042057B"/>
    <w:rsid w:val="00430D1F"/>
    <w:rsid w:val="00431A2A"/>
    <w:rsid w:val="00437C9F"/>
    <w:rsid w:val="00442F6D"/>
    <w:rsid w:val="00444665"/>
    <w:rsid w:val="00454463"/>
    <w:rsid w:val="00455B3E"/>
    <w:rsid w:val="00460208"/>
    <w:rsid w:val="00461323"/>
    <w:rsid w:val="00461ABB"/>
    <w:rsid w:val="00461D77"/>
    <w:rsid w:val="004704CC"/>
    <w:rsid w:val="004737E3"/>
    <w:rsid w:val="0047401A"/>
    <w:rsid w:val="004811BB"/>
    <w:rsid w:val="00494759"/>
    <w:rsid w:val="0049522A"/>
    <w:rsid w:val="0049593C"/>
    <w:rsid w:val="004B15B2"/>
    <w:rsid w:val="004B73C1"/>
    <w:rsid w:val="004C0360"/>
    <w:rsid w:val="004C6449"/>
    <w:rsid w:val="004C7862"/>
    <w:rsid w:val="004C79DA"/>
    <w:rsid w:val="004D26D8"/>
    <w:rsid w:val="004E4740"/>
    <w:rsid w:val="004E4C9E"/>
    <w:rsid w:val="004E6C71"/>
    <w:rsid w:val="00503347"/>
    <w:rsid w:val="00504D19"/>
    <w:rsid w:val="00511FC7"/>
    <w:rsid w:val="00514A81"/>
    <w:rsid w:val="0052475E"/>
    <w:rsid w:val="00555059"/>
    <w:rsid w:val="00560087"/>
    <w:rsid w:val="00565CD6"/>
    <w:rsid w:val="00567ED4"/>
    <w:rsid w:val="00570082"/>
    <w:rsid w:val="0057376E"/>
    <w:rsid w:val="00573897"/>
    <w:rsid w:val="005807EA"/>
    <w:rsid w:val="00581490"/>
    <w:rsid w:val="00584102"/>
    <w:rsid w:val="005848B2"/>
    <w:rsid w:val="00586161"/>
    <w:rsid w:val="00587946"/>
    <w:rsid w:val="005A0243"/>
    <w:rsid w:val="005A5597"/>
    <w:rsid w:val="005B0031"/>
    <w:rsid w:val="005B3228"/>
    <w:rsid w:val="005B5108"/>
    <w:rsid w:val="005C2567"/>
    <w:rsid w:val="005C2B77"/>
    <w:rsid w:val="005C2C49"/>
    <w:rsid w:val="005C7422"/>
    <w:rsid w:val="005D0B2D"/>
    <w:rsid w:val="005D1917"/>
    <w:rsid w:val="005D7E6E"/>
    <w:rsid w:val="005E2658"/>
    <w:rsid w:val="005E35DC"/>
    <w:rsid w:val="005E38C3"/>
    <w:rsid w:val="005E48EA"/>
    <w:rsid w:val="005F7650"/>
    <w:rsid w:val="00601F06"/>
    <w:rsid w:val="00602C2F"/>
    <w:rsid w:val="006159F1"/>
    <w:rsid w:val="00624EF1"/>
    <w:rsid w:val="0064488B"/>
    <w:rsid w:val="00646FD1"/>
    <w:rsid w:val="0065266C"/>
    <w:rsid w:val="006615D7"/>
    <w:rsid w:val="00662032"/>
    <w:rsid w:val="00663FAD"/>
    <w:rsid w:val="00666B33"/>
    <w:rsid w:val="00670634"/>
    <w:rsid w:val="0067271B"/>
    <w:rsid w:val="00673FB2"/>
    <w:rsid w:val="0067556D"/>
    <w:rsid w:val="00676B64"/>
    <w:rsid w:val="006820A8"/>
    <w:rsid w:val="00685988"/>
    <w:rsid w:val="00685E9D"/>
    <w:rsid w:val="00696505"/>
    <w:rsid w:val="006A1538"/>
    <w:rsid w:val="006A339D"/>
    <w:rsid w:val="006A6F32"/>
    <w:rsid w:val="006A7DF2"/>
    <w:rsid w:val="006B2BB8"/>
    <w:rsid w:val="006C4BE4"/>
    <w:rsid w:val="006D0493"/>
    <w:rsid w:val="006D7122"/>
    <w:rsid w:val="006F2663"/>
    <w:rsid w:val="006F3D04"/>
    <w:rsid w:val="006F4EC6"/>
    <w:rsid w:val="00700A7C"/>
    <w:rsid w:val="00701964"/>
    <w:rsid w:val="00701E57"/>
    <w:rsid w:val="0070486E"/>
    <w:rsid w:val="00705327"/>
    <w:rsid w:val="00710355"/>
    <w:rsid w:val="0071227E"/>
    <w:rsid w:val="007219CB"/>
    <w:rsid w:val="0072451C"/>
    <w:rsid w:val="0072645E"/>
    <w:rsid w:val="00726761"/>
    <w:rsid w:val="00731AD8"/>
    <w:rsid w:val="00732A18"/>
    <w:rsid w:val="00736838"/>
    <w:rsid w:val="00736C11"/>
    <w:rsid w:val="007461FB"/>
    <w:rsid w:val="007462A8"/>
    <w:rsid w:val="00747A99"/>
    <w:rsid w:val="00747C74"/>
    <w:rsid w:val="0075296B"/>
    <w:rsid w:val="00754A3A"/>
    <w:rsid w:val="007613D4"/>
    <w:rsid w:val="007666B4"/>
    <w:rsid w:val="00770402"/>
    <w:rsid w:val="00782A2C"/>
    <w:rsid w:val="007A18E9"/>
    <w:rsid w:val="007A72F5"/>
    <w:rsid w:val="007B0FBA"/>
    <w:rsid w:val="007B1042"/>
    <w:rsid w:val="007B5AC7"/>
    <w:rsid w:val="007C3C0E"/>
    <w:rsid w:val="007C4BCD"/>
    <w:rsid w:val="007C570D"/>
    <w:rsid w:val="007C5F90"/>
    <w:rsid w:val="007C766B"/>
    <w:rsid w:val="007D353F"/>
    <w:rsid w:val="007D4782"/>
    <w:rsid w:val="007D5EDB"/>
    <w:rsid w:val="007D67BC"/>
    <w:rsid w:val="007D7174"/>
    <w:rsid w:val="007E0296"/>
    <w:rsid w:val="007E1861"/>
    <w:rsid w:val="007E6A45"/>
    <w:rsid w:val="007F0508"/>
    <w:rsid w:val="007F2642"/>
    <w:rsid w:val="007F5889"/>
    <w:rsid w:val="00805557"/>
    <w:rsid w:val="008118EC"/>
    <w:rsid w:val="00816A80"/>
    <w:rsid w:val="00832D66"/>
    <w:rsid w:val="0083566F"/>
    <w:rsid w:val="00835E07"/>
    <w:rsid w:val="00851202"/>
    <w:rsid w:val="0086110C"/>
    <w:rsid w:val="008776E5"/>
    <w:rsid w:val="00880A7D"/>
    <w:rsid w:val="00884713"/>
    <w:rsid w:val="00884EC7"/>
    <w:rsid w:val="008857A5"/>
    <w:rsid w:val="0089132F"/>
    <w:rsid w:val="00895694"/>
    <w:rsid w:val="008A0D93"/>
    <w:rsid w:val="008A3EF3"/>
    <w:rsid w:val="008A556B"/>
    <w:rsid w:val="008B0B12"/>
    <w:rsid w:val="008B3E50"/>
    <w:rsid w:val="008B4CA2"/>
    <w:rsid w:val="008C259B"/>
    <w:rsid w:val="008C7904"/>
    <w:rsid w:val="008D1AD7"/>
    <w:rsid w:val="008D4C9C"/>
    <w:rsid w:val="008E152E"/>
    <w:rsid w:val="008E1D09"/>
    <w:rsid w:val="008F561D"/>
    <w:rsid w:val="00901020"/>
    <w:rsid w:val="00921055"/>
    <w:rsid w:val="0092184A"/>
    <w:rsid w:val="00923B32"/>
    <w:rsid w:val="00926B83"/>
    <w:rsid w:val="009306EB"/>
    <w:rsid w:val="00933222"/>
    <w:rsid w:val="00933909"/>
    <w:rsid w:val="00957A6D"/>
    <w:rsid w:val="00991C26"/>
    <w:rsid w:val="0099378F"/>
    <w:rsid w:val="009A0029"/>
    <w:rsid w:val="009A253E"/>
    <w:rsid w:val="009A283B"/>
    <w:rsid w:val="009A36B5"/>
    <w:rsid w:val="009A4EEE"/>
    <w:rsid w:val="009A6E4B"/>
    <w:rsid w:val="009B409D"/>
    <w:rsid w:val="009B712B"/>
    <w:rsid w:val="009C48A5"/>
    <w:rsid w:val="009C6EAD"/>
    <w:rsid w:val="009D5B12"/>
    <w:rsid w:val="009D648E"/>
    <w:rsid w:val="009D7E6B"/>
    <w:rsid w:val="009E2662"/>
    <w:rsid w:val="009E6DE0"/>
    <w:rsid w:val="009E7AD2"/>
    <w:rsid w:val="00A0101F"/>
    <w:rsid w:val="00A113F8"/>
    <w:rsid w:val="00A24C5C"/>
    <w:rsid w:val="00A323E1"/>
    <w:rsid w:val="00A33A45"/>
    <w:rsid w:val="00A34AF2"/>
    <w:rsid w:val="00A436AE"/>
    <w:rsid w:val="00A63216"/>
    <w:rsid w:val="00A63FE9"/>
    <w:rsid w:val="00A66BB5"/>
    <w:rsid w:val="00A9119D"/>
    <w:rsid w:val="00A950F9"/>
    <w:rsid w:val="00AA2C0D"/>
    <w:rsid w:val="00AB1466"/>
    <w:rsid w:val="00AB43F6"/>
    <w:rsid w:val="00AC166B"/>
    <w:rsid w:val="00AC2D99"/>
    <w:rsid w:val="00AC57B4"/>
    <w:rsid w:val="00AD04B3"/>
    <w:rsid w:val="00AD3184"/>
    <w:rsid w:val="00AE512D"/>
    <w:rsid w:val="00AE5264"/>
    <w:rsid w:val="00AF0B42"/>
    <w:rsid w:val="00AF35C1"/>
    <w:rsid w:val="00AF370B"/>
    <w:rsid w:val="00AF5007"/>
    <w:rsid w:val="00B113E9"/>
    <w:rsid w:val="00B124A9"/>
    <w:rsid w:val="00B21CA5"/>
    <w:rsid w:val="00B23C46"/>
    <w:rsid w:val="00B243C0"/>
    <w:rsid w:val="00B31947"/>
    <w:rsid w:val="00B338C5"/>
    <w:rsid w:val="00B36013"/>
    <w:rsid w:val="00B37534"/>
    <w:rsid w:val="00B375B5"/>
    <w:rsid w:val="00B50217"/>
    <w:rsid w:val="00B508AC"/>
    <w:rsid w:val="00B60397"/>
    <w:rsid w:val="00B74E61"/>
    <w:rsid w:val="00B77974"/>
    <w:rsid w:val="00B81313"/>
    <w:rsid w:val="00B848EE"/>
    <w:rsid w:val="00B851B5"/>
    <w:rsid w:val="00BA21A4"/>
    <w:rsid w:val="00BA2B94"/>
    <w:rsid w:val="00BA34EA"/>
    <w:rsid w:val="00BA733A"/>
    <w:rsid w:val="00BB1D5F"/>
    <w:rsid w:val="00BB2BCE"/>
    <w:rsid w:val="00BB2D6E"/>
    <w:rsid w:val="00BB36FF"/>
    <w:rsid w:val="00BB6576"/>
    <w:rsid w:val="00BB718D"/>
    <w:rsid w:val="00BB7A04"/>
    <w:rsid w:val="00BC0BAC"/>
    <w:rsid w:val="00BC19C3"/>
    <w:rsid w:val="00BC5E29"/>
    <w:rsid w:val="00BD1C7A"/>
    <w:rsid w:val="00BD22FA"/>
    <w:rsid w:val="00BD441E"/>
    <w:rsid w:val="00BF4462"/>
    <w:rsid w:val="00BF4AD7"/>
    <w:rsid w:val="00BF5322"/>
    <w:rsid w:val="00BF6DC6"/>
    <w:rsid w:val="00C03A32"/>
    <w:rsid w:val="00C05978"/>
    <w:rsid w:val="00C0641B"/>
    <w:rsid w:val="00C11BAE"/>
    <w:rsid w:val="00C16F51"/>
    <w:rsid w:val="00C23E02"/>
    <w:rsid w:val="00C2576F"/>
    <w:rsid w:val="00C2792C"/>
    <w:rsid w:val="00C333BF"/>
    <w:rsid w:val="00C37955"/>
    <w:rsid w:val="00C402A2"/>
    <w:rsid w:val="00C437D3"/>
    <w:rsid w:val="00C44F8B"/>
    <w:rsid w:val="00C51670"/>
    <w:rsid w:val="00C51873"/>
    <w:rsid w:val="00C5307D"/>
    <w:rsid w:val="00C61146"/>
    <w:rsid w:val="00C7127A"/>
    <w:rsid w:val="00C733A8"/>
    <w:rsid w:val="00C77348"/>
    <w:rsid w:val="00C776D2"/>
    <w:rsid w:val="00C9145F"/>
    <w:rsid w:val="00C9174E"/>
    <w:rsid w:val="00C9419C"/>
    <w:rsid w:val="00C950D9"/>
    <w:rsid w:val="00CA188F"/>
    <w:rsid w:val="00CA6E23"/>
    <w:rsid w:val="00CC1C81"/>
    <w:rsid w:val="00CC61FD"/>
    <w:rsid w:val="00CC78D0"/>
    <w:rsid w:val="00CD02DB"/>
    <w:rsid w:val="00CD1669"/>
    <w:rsid w:val="00CD1EFF"/>
    <w:rsid w:val="00CE23C3"/>
    <w:rsid w:val="00CE2CFB"/>
    <w:rsid w:val="00CE749B"/>
    <w:rsid w:val="00CE758E"/>
    <w:rsid w:val="00CF6830"/>
    <w:rsid w:val="00CF7CAC"/>
    <w:rsid w:val="00D000AC"/>
    <w:rsid w:val="00D01C17"/>
    <w:rsid w:val="00D0483A"/>
    <w:rsid w:val="00D04EE1"/>
    <w:rsid w:val="00D053A0"/>
    <w:rsid w:val="00D060F4"/>
    <w:rsid w:val="00D06538"/>
    <w:rsid w:val="00D0657E"/>
    <w:rsid w:val="00D07D80"/>
    <w:rsid w:val="00D107B2"/>
    <w:rsid w:val="00D2077D"/>
    <w:rsid w:val="00D24111"/>
    <w:rsid w:val="00D26995"/>
    <w:rsid w:val="00D271C0"/>
    <w:rsid w:val="00D44EFF"/>
    <w:rsid w:val="00D50E42"/>
    <w:rsid w:val="00D60DBC"/>
    <w:rsid w:val="00D755A2"/>
    <w:rsid w:val="00DA4094"/>
    <w:rsid w:val="00DA42F8"/>
    <w:rsid w:val="00DA7DFF"/>
    <w:rsid w:val="00DB2DB7"/>
    <w:rsid w:val="00DB301F"/>
    <w:rsid w:val="00DC6B08"/>
    <w:rsid w:val="00DC6C25"/>
    <w:rsid w:val="00DC7319"/>
    <w:rsid w:val="00DD4FAA"/>
    <w:rsid w:val="00DE0E34"/>
    <w:rsid w:val="00DE2F91"/>
    <w:rsid w:val="00DE6335"/>
    <w:rsid w:val="00DF01BE"/>
    <w:rsid w:val="00DF7494"/>
    <w:rsid w:val="00E04959"/>
    <w:rsid w:val="00E0605C"/>
    <w:rsid w:val="00E0645E"/>
    <w:rsid w:val="00E31031"/>
    <w:rsid w:val="00E32415"/>
    <w:rsid w:val="00E3563E"/>
    <w:rsid w:val="00E35793"/>
    <w:rsid w:val="00E37D09"/>
    <w:rsid w:val="00E40AF3"/>
    <w:rsid w:val="00E44DAF"/>
    <w:rsid w:val="00E47F2B"/>
    <w:rsid w:val="00E5478D"/>
    <w:rsid w:val="00E556CD"/>
    <w:rsid w:val="00E57917"/>
    <w:rsid w:val="00E61610"/>
    <w:rsid w:val="00E64ABA"/>
    <w:rsid w:val="00E65187"/>
    <w:rsid w:val="00E72308"/>
    <w:rsid w:val="00E81EE2"/>
    <w:rsid w:val="00E85810"/>
    <w:rsid w:val="00E87DAC"/>
    <w:rsid w:val="00EC26D9"/>
    <w:rsid w:val="00EC3916"/>
    <w:rsid w:val="00EC7A76"/>
    <w:rsid w:val="00ED08A2"/>
    <w:rsid w:val="00ED414A"/>
    <w:rsid w:val="00ED6EF6"/>
    <w:rsid w:val="00ED7B32"/>
    <w:rsid w:val="00EE3AD8"/>
    <w:rsid w:val="00EE4A63"/>
    <w:rsid w:val="00EE7659"/>
    <w:rsid w:val="00EF46EC"/>
    <w:rsid w:val="00F106C2"/>
    <w:rsid w:val="00F10C4D"/>
    <w:rsid w:val="00F11CF9"/>
    <w:rsid w:val="00F20147"/>
    <w:rsid w:val="00F233F4"/>
    <w:rsid w:val="00F262B0"/>
    <w:rsid w:val="00F26331"/>
    <w:rsid w:val="00F31510"/>
    <w:rsid w:val="00F32A2A"/>
    <w:rsid w:val="00F33887"/>
    <w:rsid w:val="00F35961"/>
    <w:rsid w:val="00F3758E"/>
    <w:rsid w:val="00F407BA"/>
    <w:rsid w:val="00F628C5"/>
    <w:rsid w:val="00F72C62"/>
    <w:rsid w:val="00F7348D"/>
    <w:rsid w:val="00F74322"/>
    <w:rsid w:val="00F80B40"/>
    <w:rsid w:val="00F84DBA"/>
    <w:rsid w:val="00F91CB1"/>
    <w:rsid w:val="00FA2C3D"/>
    <w:rsid w:val="00FA474E"/>
    <w:rsid w:val="00FA65C1"/>
    <w:rsid w:val="00FB0E7D"/>
    <w:rsid w:val="00FB21D6"/>
    <w:rsid w:val="00FB69E5"/>
    <w:rsid w:val="00FC202B"/>
    <w:rsid w:val="00FC3105"/>
    <w:rsid w:val="00FC7B15"/>
    <w:rsid w:val="00FD63BF"/>
    <w:rsid w:val="00FE470A"/>
    <w:rsid w:val="00FE5B99"/>
    <w:rsid w:val="00FE6B77"/>
    <w:rsid w:val="00FE6DDF"/>
    <w:rsid w:val="00FF2E9F"/>
    <w:rsid w:val="00FF300F"/>
    <w:rsid w:val="00FF36DC"/>
    <w:rsid w:val="00FF36F3"/>
    <w:rsid w:val="00FF4DC1"/>
    <w:rsid w:val="00FF50B0"/>
    <w:rsid w:val="0236284D"/>
    <w:rsid w:val="0A5769A0"/>
    <w:rsid w:val="2FD1466E"/>
    <w:rsid w:val="5D72722E"/>
    <w:rsid w:val="6034C538"/>
    <w:rsid w:val="6E9E5E78"/>
    <w:rsid w:val="78F6E27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32A1"/>
  <w15:chartTrackingRefBased/>
  <w15:docId w15:val="{E25865C7-BFC2-4238-B48C-59338AD2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D1669"/>
    <w:pPr>
      <w:spacing w:after="0" w:line="240" w:lineRule="auto"/>
    </w:pPr>
    <w:rPr>
      <w:rFonts w:ascii="Arial" w:eastAsia="Times New Roman" w:hAnsi="Arial" w:cs="Times New Roman"/>
      <w:sz w:val="20"/>
      <w:szCs w:val="24"/>
      <w:lang w:val="en-GB" w:eastAsia="de-DE"/>
    </w:rPr>
  </w:style>
  <w:style w:type="paragraph" w:styleId="berschrift1">
    <w:name w:val="heading 1"/>
    <w:basedOn w:val="Standard"/>
    <w:next w:val="Standard"/>
    <w:link w:val="berschrift1Zchn"/>
    <w:qFormat/>
    <w:rsid w:val="00CD1669"/>
    <w:pPr>
      <w:keepNext/>
      <w:numPr>
        <w:numId w:val="3"/>
      </w:numPr>
      <w:spacing w:before="240" w:after="60"/>
      <w:outlineLvl w:val="0"/>
    </w:pPr>
    <w:rPr>
      <w:rFonts w:cs="Arial"/>
      <w:b/>
      <w:bCs/>
      <w:kern w:val="32"/>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D1669"/>
    <w:pPr>
      <w:tabs>
        <w:tab w:val="center" w:pos="4680"/>
        <w:tab w:val="right" w:pos="9360"/>
      </w:tabs>
    </w:pPr>
  </w:style>
  <w:style w:type="character" w:customStyle="1" w:styleId="KopfzeileZchn">
    <w:name w:val="Kopfzeile Zchn"/>
    <w:basedOn w:val="Absatz-Standardschriftart"/>
    <w:link w:val="Kopfzeile"/>
    <w:rsid w:val="00CD1669"/>
  </w:style>
  <w:style w:type="paragraph" w:styleId="Fuzeile">
    <w:name w:val="footer"/>
    <w:basedOn w:val="Standard"/>
    <w:link w:val="FuzeileZchn"/>
    <w:uiPriority w:val="99"/>
    <w:unhideWhenUsed/>
    <w:rsid w:val="00CD1669"/>
    <w:pPr>
      <w:tabs>
        <w:tab w:val="center" w:pos="4680"/>
        <w:tab w:val="right" w:pos="9360"/>
      </w:tabs>
    </w:pPr>
  </w:style>
  <w:style w:type="character" w:customStyle="1" w:styleId="FuzeileZchn">
    <w:name w:val="Fußzeile Zchn"/>
    <w:basedOn w:val="Absatz-Standardschriftart"/>
    <w:link w:val="Fuzeile"/>
    <w:uiPriority w:val="99"/>
    <w:rsid w:val="00CD1669"/>
  </w:style>
  <w:style w:type="character" w:customStyle="1" w:styleId="berschrift1Zchn">
    <w:name w:val="Überschrift 1 Zchn"/>
    <w:basedOn w:val="Absatz-Standardschriftart"/>
    <w:link w:val="berschrift1"/>
    <w:rsid w:val="00CD1669"/>
    <w:rPr>
      <w:rFonts w:ascii="Arial" w:eastAsia="Times New Roman" w:hAnsi="Arial" w:cs="Arial"/>
      <w:b/>
      <w:bCs/>
      <w:kern w:val="32"/>
      <w:sz w:val="24"/>
      <w:szCs w:val="32"/>
      <w:lang w:val="en-GB" w:eastAsia="de-DE"/>
    </w:rPr>
  </w:style>
  <w:style w:type="paragraph" w:customStyle="1" w:styleId="00Footer">
    <w:name w:val="00_Footer"/>
    <w:basedOn w:val="Standard"/>
    <w:locked/>
    <w:rsid w:val="00CD1669"/>
    <w:pPr>
      <w:spacing w:line="200" w:lineRule="exact"/>
    </w:pPr>
    <w:rPr>
      <w:color w:val="2D4190"/>
      <w:sz w:val="16"/>
    </w:rPr>
  </w:style>
  <w:style w:type="paragraph" w:customStyle="1" w:styleId="02Date">
    <w:name w:val="02_Date"/>
    <w:basedOn w:val="Standard"/>
    <w:locked/>
    <w:rsid w:val="00CD1669"/>
    <w:pPr>
      <w:spacing w:line="220" w:lineRule="exact"/>
    </w:pPr>
    <w:rPr>
      <w:sz w:val="17"/>
    </w:rPr>
  </w:style>
  <w:style w:type="paragraph" w:customStyle="1" w:styleId="00aPagenumber">
    <w:name w:val="00a_Page number"/>
    <w:basedOn w:val="00Footer"/>
    <w:locked/>
    <w:rsid w:val="00CD1669"/>
    <w:pPr>
      <w:spacing w:line="280" w:lineRule="atLeast"/>
      <w:jc w:val="right"/>
    </w:pPr>
    <w:rPr>
      <w:color w:val="000000"/>
      <w:sz w:val="20"/>
    </w:rPr>
  </w:style>
  <w:style w:type="paragraph" w:customStyle="1" w:styleId="04BodyText">
    <w:name w:val="04_Body Text"/>
    <w:basedOn w:val="Standard"/>
    <w:link w:val="04BodyTextChar"/>
    <w:locked/>
    <w:rsid w:val="00CD1669"/>
    <w:pPr>
      <w:spacing w:after="250" w:line="276" w:lineRule="auto"/>
      <w:jc w:val="both"/>
    </w:pPr>
  </w:style>
  <w:style w:type="paragraph" w:customStyle="1" w:styleId="05HeadlinenoIndex">
    <w:name w:val="05_Headline no Index"/>
    <w:basedOn w:val="04BodyText"/>
    <w:locked/>
    <w:rsid w:val="00CD1669"/>
    <w:pPr>
      <w:spacing w:line="300" w:lineRule="exact"/>
    </w:pPr>
    <w:rPr>
      <w:b/>
      <w:sz w:val="24"/>
    </w:rPr>
  </w:style>
  <w:style w:type="paragraph" w:customStyle="1" w:styleId="01aDBTitle">
    <w:name w:val="01a_DB_Title"/>
    <w:basedOn w:val="Standard"/>
    <w:locked/>
    <w:rsid w:val="00CD1669"/>
    <w:pPr>
      <w:spacing w:line="400" w:lineRule="exact"/>
      <w:jc w:val="right"/>
    </w:pPr>
    <w:rPr>
      <w:b/>
      <w:color w:val="2D4190"/>
      <w:sz w:val="40"/>
    </w:rPr>
  </w:style>
  <w:style w:type="paragraph" w:customStyle="1" w:styleId="01bDBSubtitle">
    <w:name w:val="01b_DB_Subtitle"/>
    <w:locked/>
    <w:rsid w:val="00CD1669"/>
    <w:pPr>
      <w:spacing w:after="0" w:line="240" w:lineRule="auto"/>
      <w:jc w:val="right"/>
    </w:pPr>
    <w:rPr>
      <w:rFonts w:ascii="Georgia" w:eastAsia="Times New Roman" w:hAnsi="Georgia" w:cs="Times New Roman"/>
      <w:color w:val="000000"/>
      <w:sz w:val="24"/>
      <w:szCs w:val="24"/>
      <w:lang w:val="en-GB" w:eastAsia="de-DE"/>
    </w:rPr>
  </w:style>
  <w:style w:type="character" w:styleId="Hyperlink">
    <w:name w:val="Hyperlink"/>
    <w:uiPriority w:val="99"/>
    <w:rsid w:val="00CD1669"/>
    <w:rPr>
      <w:color w:val="0000FF"/>
      <w:u w:val="single"/>
    </w:rPr>
  </w:style>
  <w:style w:type="paragraph" w:customStyle="1" w:styleId="04bList">
    <w:name w:val="04b_List"/>
    <w:basedOn w:val="04BodyText"/>
    <w:uiPriority w:val="99"/>
    <w:locked/>
    <w:rsid w:val="00CD1669"/>
    <w:pPr>
      <w:numPr>
        <w:numId w:val="2"/>
      </w:numPr>
      <w:tabs>
        <w:tab w:val="clear" w:pos="568"/>
        <w:tab w:val="num" w:pos="360"/>
      </w:tabs>
      <w:ind w:left="0" w:firstLine="0"/>
    </w:pPr>
  </w:style>
  <w:style w:type="character" w:styleId="Platzhaltertext">
    <w:name w:val="Placeholder Text"/>
    <w:uiPriority w:val="99"/>
    <w:semiHidden/>
    <w:rsid w:val="00CD1669"/>
    <w:rPr>
      <w:color w:val="808080"/>
    </w:rPr>
  </w:style>
  <w:style w:type="character" w:customStyle="1" w:styleId="Strong4">
    <w:name w:val="Strong4"/>
    <w:uiPriority w:val="22"/>
    <w:qFormat/>
    <w:locked/>
    <w:rsid w:val="00CD1669"/>
    <w:rPr>
      <w:b/>
      <w:bCs/>
    </w:rPr>
  </w:style>
  <w:style w:type="character" w:customStyle="1" w:styleId="04BodyTextChar">
    <w:name w:val="04_Body Text Char"/>
    <w:link w:val="04BodyText"/>
    <w:rsid w:val="00CD1669"/>
    <w:rPr>
      <w:rFonts w:ascii="Arial" w:eastAsia="Times New Roman" w:hAnsi="Arial" w:cs="Times New Roman"/>
      <w:sz w:val="20"/>
      <w:szCs w:val="24"/>
      <w:lang w:val="en-GB" w:eastAsia="de-DE"/>
    </w:rPr>
  </w:style>
  <w:style w:type="paragraph" w:customStyle="1" w:styleId="CPQuestions">
    <w:name w:val="CP_Questions"/>
    <w:basedOn w:val="Standard"/>
    <w:link w:val="CPQuestionsChar"/>
    <w:qFormat/>
    <w:locked/>
    <w:rsid w:val="00CD1669"/>
    <w:pPr>
      <w:numPr>
        <w:numId w:val="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CD1669"/>
    <w:rPr>
      <w:rFonts w:ascii="Arial" w:hAnsi="Arial"/>
      <w:b/>
      <w:szCs w:val="20"/>
      <w:lang w:val="en-GB" w:eastAsia="en-US"/>
    </w:rPr>
  </w:style>
  <w:style w:type="character" w:styleId="IntensiveHervorhebung">
    <w:name w:val="Intense Emphasis"/>
    <w:basedOn w:val="Absatz-Standardschriftart"/>
    <w:uiPriority w:val="21"/>
    <w:qFormat/>
    <w:rsid w:val="00CD1669"/>
    <w:rPr>
      <w:b/>
      <w:bCs/>
      <w:i/>
      <w:iCs/>
    </w:rPr>
  </w:style>
  <w:style w:type="character" w:styleId="Kommentarzeichen">
    <w:name w:val="annotation reference"/>
    <w:basedOn w:val="Absatz-Standardschriftart"/>
    <w:uiPriority w:val="99"/>
    <w:unhideWhenUsed/>
    <w:rsid w:val="00BA21A4"/>
    <w:rPr>
      <w:sz w:val="16"/>
      <w:szCs w:val="16"/>
    </w:rPr>
  </w:style>
  <w:style w:type="paragraph" w:styleId="Kommentartext">
    <w:name w:val="annotation text"/>
    <w:basedOn w:val="Standard"/>
    <w:link w:val="KommentartextZchn"/>
    <w:uiPriority w:val="99"/>
    <w:unhideWhenUsed/>
    <w:rsid w:val="00BA21A4"/>
    <w:pPr>
      <w:spacing w:after="160"/>
    </w:pPr>
    <w:rPr>
      <w:rFonts w:asciiTheme="minorHAnsi" w:eastAsiaTheme="minorEastAsia" w:hAnsiTheme="minorHAnsi" w:cstheme="minorBidi"/>
      <w:szCs w:val="20"/>
      <w:lang w:val="en-US" w:eastAsia="zh-CN"/>
    </w:rPr>
  </w:style>
  <w:style w:type="character" w:customStyle="1" w:styleId="KommentartextZchn">
    <w:name w:val="Kommentartext Zchn"/>
    <w:basedOn w:val="Absatz-Standardschriftart"/>
    <w:link w:val="Kommentartext"/>
    <w:uiPriority w:val="99"/>
    <w:rsid w:val="00BA21A4"/>
    <w:rPr>
      <w:sz w:val="20"/>
      <w:szCs w:val="20"/>
      <w:lang w:val="en-US"/>
    </w:rPr>
  </w:style>
  <w:style w:type="paragraph" w:styleId="Sprechblasentext">
    <w:name w:val="Balloon Text"/>
    <w:basedOn w:val="Standard"/>
    <w:link w:val="SprechblasentextZchn"/>
    <w:uiPriority w:val="99"/>
    <w:semiHidden/>
    <w:unhideWhenUsed/>
    <w:rsid w:val="00BA21A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21A4"/>
    <w:rPr>
      <w:rFonts w:ascii="Segoe UI" w:eastAsia="Times New Roman" w:hAnsi="Segoe UI" w:cs="Segoe UI"/>
      <w:sz w:val="18"/>
      <w:szCs w:val="18"/>
      <w:lang w:val="en-GB" w:eastAsia="de-DE"/>
    </w:rPr>
  </w:style>
  <w:style w:type="paragraph" w:styleId="Kommentarthema">
    <w:name w:val="annotation subject"/>
    <w:basedOn w:val="Kommentartext"/>
    <w:next w:val="Kommentartext"/>
    <w:link w:val="KommentarthemaZchn"/>
    <w:uiPriority w:val="99"/>
    <w:semiHidden/>
    <w:unhideWhenUsed/>
    <w:rsid w:val="00C2576F"/>
    <w:pPr>
      <w:spacing w:after="0"/>
    </w:pPr>
    <w:rPr>
      <w:rFonts w:ascii="Arial" w:eastAsia="Times New Roman" w:hAnsi="Arial" w:cs="Times New Roman"/>
      <w:b/>
      <w:bCs/>
      <w:lang w:val="en-GB" w:eastAsia="de-DE"/>
    </w:rPr>
  </w:style>
  <w:style w:type="character" w:customStyle="1" w:styleId="KommentarthemaZchn">
    <w:name w:val="Kommentarthema Zchn"/>
    <w:basedOn w:val="KommentartextZchn"/>
    <w:link w:val="Kommentarthema"/>
    <w:uiPriority w:val="99"/>
    <w:semiHidden/>
    <w:rsid w:val="00C2576F"/>
    <w:rPr>
      <w:rFonts w:ascii="Arial" w:eastAsia="Times New Roman" w:hAnsi="Arial" w:cs="Times New Roman"/>
      <w:b/>
      <w:bCs/>
      <w:sz w:val="20"/>
      <w:szCs w:val="20"/>
      <w:lang w:val="en-GB" w:eastAsia="de-DE"/>
    </w:rPr>
  </w:style>
  <w:style w:type="paragraph" w:customStyle="1" w:styleId="04aNumbering">
    <w:name w:val="04a_Numbering"/>
    <w:basedOn w:val="04BodyText"/>
    <w:link w:val="04aNumberingChar"/>
    <w:uiPriority w:val="99"/>
    <w:locked/>
    <w:rsid w:val="00F26331"/>
    <w:pPr>
      <w:tabs>
        <w:tab w:val="num" w:pos="851"/>
      </w:tabs>
      <w:ind w:left="851" w:hanging="284"/>
    </w:pPr>
  </w:style>
  <w:style w:type="character" w:customStyle="1" w:styleId="04aNumberingChar">
    <w:name w:val="04a_Numbering Char"/>
    <w:link w:val="04aNumbering"/>
    <w:uiPriority w:val="99"/>
    <w:rsid w:val="00F26331"/>
    <w:rPr>
      <w:rFonts w:ascii="Arial" w:eastAsia="Times New Roman" w:hAnsi="Arial" w:cs="Times New Roman"/>
      <w:sz w:val="20"/>
      <w:szCs w:val="24"/>
      <w:lang w:val="en-GB" w:eastAsia="de-DE"/>
    </w:rPr>
  </w:style>
  <w:style w:type="paragraph" w:styleId="Listenabsatz">
    <w:name w:val="List Paragraph"/>
    <w:aliases w:val="Paragraphe EI,Paragraphe de liste1,EC,Paragraphe de liste"/>
    <w:basedOn w:val="Standard"/>
    <w:link w:val="ListenabsatzZchn"/>
    <w:uiPriority w:val="34"/>
    <w:qFormat/>
    <w:pPr>
      <w:ind w:left="720"/>
      <w:contextualSpacing/>
    </w:pPr>
  </w:style>
  <w:style w:type="table" w:styleId="Tabellenraster">
    <w:name w:val="Table Grid"/>
    <w:basedOn w:val="NormaleTabelle"/>
    <w:uiPriority w:val="59"/>
    <w:rsid w:val="000D431F"/>
    <w:pPr>
      <w:spacing w:after="0" w:line="240" w:lineRule="auto"/>
    </w:pPr>
    <w:rPr>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EE3AD8"/>
    <w:rPr>
      <w:rFonts w:asciiTheme="minorHAnsi" w:eastAsiaTheme="minorHAnsi" w:hAnsiTheme="minorHAnsi" w:cstheme="minorBidi"/>
      <w:szCs w:val="20"/>
      <w:lang w:val="en-IE" w:eastAsia="en-US"/>
    </w:rPr>
  </w:style>
  <w:style w:type="character" w:customStyle="1" w:styleId="FunotentextZchn">
    <w:name w:val="Fußnotentext Zchn"/>
    <w:basedOn w:val="Absatz-Standardschriftart"/>
    <w:link w:val="Funotentext"/>
    <w:uiPriority w:val="99"/>
    <w:semiHidden/>
    <w:rsid w:val="00EE3AD8"/>
    <w:rPr>
      <w:rFonts w:eastAsiaTheme="minorHAnsi"/>
      <w:sz w:val="20"/>
      <w:szCs w:val="20"/>
      <w:lang w:val="en-IE" w:eastAsia="en-US"/>
    </w:rPr>
  </w:style>
  <w:style w:type="character" w:styleId="Funotenzeichen">
    <w:name w:val="footnote reference"/>
    <w:basedOn w:val="Absatz-Standardschriftart"/>
    <w:uiPriority w:val="99"/>
    <w:semiHidden/>
    <w:unhideWhenUsed/>
    <w:rsid w:val="00EE3AD8"/>
    <w:rPr>
      <w:vertAlign w:val="superscript"/>
    </w:rPr>
  </w:style>
  <w:style w:type="character" w:customStyle="1" w:styleId="ListenabsatzZchn">
    <w:name w:val="Listenabsatz Zchn"/>
    <w:aliases w:val="Paragraphe EI Zchn,Paragraphe de liste1 Zchn,EC Zchn,Paragraphe de liste Zchn"/>
    <w:link w:val="Listenabsatz"/>
    <w:uiPriority w:val="34"/>
    <w:locked/>
    <w:rsid w:val="000A40F3"/>
    <w:rPr>
      <w:rFonts w:ascii="Arial" w:eastAsia="Times New Roman" w:hAnsi="Arial" w:cs="Times New Roman"/>
      <w:sz w:val="20"/>
      <w:szCs w:val="24"/>
      <w:lang w:val="en-GB" w:eastAsia="de-DE"/>
    </w:rPr>
  </w:style>
  <w:style w:type="paragraph" w:styleId="berarbeitung">
    <w:name w:val="Revision"/>
    <w:hidden/>
    <w:uiPriority w:val="99"/>
    <w:semiHidden/>
    <w:rsid w:val="00FF36DC"/>
    <w:pPr>
      <w:spacing w:after="0" w:line="240" w:lineRule="auto"/>
    </w:pPr>
    <w:rPr>
      <w:rFonts w:ascii="Arial" w:eastAsia="Times New Roman" w:hAnsi="Arial" w:cs="Times New Roman"/>
      <w:sz w:val="20"/>
      <w:szCs w:val="24"/>
      <w:lang w:val="en-GB" w:eastAsia="de-DE"/>
    </w:rPr>
  </w:style>
  <w:style w:type="paragraph" w:customStyle="1" w:styleId="Default">
    <w:name w:val="Default"/>
    <w:rsid w:val="00567ED4"/>
    <w:pPr>
      <w:autoSpaceDE w:val="0"/>
      <w:autoSpaceDN w:val="0"/>
      <w:adjustRightInd w:val="0"/>
      <w:spacing w:after="0" w:line="240" w:lineRule="auto"/>
    </w:pPr>
    <w:rPr>
      <w:rFonts w:ascii="Arial" w:hAnsi="Arial" w:cs="Arial"/>
      <w:color w:val="000000"/>
      <w:sz w:val="24"/>
      <w:szCs w:val="24"/>
      <w:lang w:val="en-US"/>
    </w:rPr>
  </w:style>
  <w:style w:type="paragraph" w:styleId="StandardWeb">
    <w:name w:val="Normal (Web)"/>
    <w:basedOn w:val="Standard"/>
    <w:uiPriority w:val="99"/>
    <w:semiHidden/>
    <w:unhideWhenUsed/>
    <w:rsid w:val="00567ED4"/>
    <w:pPr>
      <w:spacing w:before="100" w:beforeAutospacing="1" w:after="100" w:afterAutospacing="1"/>
    </w:pPr>
    <w:rPr>
      <w:rFonts w:ascii="Times New Roman" w:hAnsi="Times New Roman"/>
      <w:sz w:val="24"/>
      <w:lang w:val="en-US" w:eastAsia="zh-CN"/>
    </w:rPr>
  </w:style>
  <w:style w:type="character" w:styleId="Fett">
    <w:name w:val="Strong"/>
    <w:basedOn w:val="Absatz-Standardschriftart"/>
    <w:uiPriority w:val="22"/>
    <w:qFormat/>
    <w:rsid w:val="00567ED4"/>
    <w:rPr>
      <w:b/>
      <w:bCs/>
    </w:rPr>
  </w:style>
  <w:style w:type="character" w:customStyle="1" w:styleId="normaltextrun">
    <w:name w:val="normaltextrun"/>
    <w:basedOn w:val="Absatz-Standardschriftart"/>
    <w:rsid w:val="000A5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30012">
      <w:bodyDiv w:val="1"/>
      <w:marLeft w:val="0"/>
      <w:marRight w:val="0"/>
      <w:marTop w:val="0"/>
      <w:marBottom w:val="0"/>
      <w:divBdr>
        <w:top w:val="none" w:sz="0" w:space="0" w:color="auto"/>
        <w:left w:val="none" w:sz="0" w:space="0" w:color="auto"/>
        <w:bottom w:val="none" w:sz="0" w:space="0" w:color="auto"/>
        <w:right w:val="none" w:sz="0" w:space="0" w:color="auto"/>
      </w:divBdr>
    </w:div>
    <w:div w:id="69085760">
      <w:bodyDiv w:val="1"/>
      <w:marLeft w:val="0"/>
      <w:marRight w:val="0"/>
      <w:marTop w:val="0"/>
      <w:marBottom w:val="0"/>
      <w:divBdr>
        <w:top w:val="none" w:sz="0" w:space="0" w:color="auto"/>
        <w:left w:val="none" w:sz="0" w:space="0" w:color="auto"/>
        <w:bottom w:val="none" w:sz="0" w:space="0" w:color="auto"/>
        <w:right w:val="none" w:sz="0" w:space="0" w:color="auto"/>
      </w:divBdr>
    </w:div>
    <w:div w:id="116145910">
      <w:bodyDiv w:val="1"/>
      <w:marLeft w:val="0"/>
      <w:marRight w:val="0"/>
      <w:marTop w:val="0"/>
      <w:marBottom w:val="0"/>
      <w:divBdr>
        <w:top w:val="none" w:sz="0" w:space="0" w:color="auto"/>
        <w:left w:val="none" w:sz="0" w:space="0" w:color="auto"/>
        <w:bottom w:val="none" w:sz="0" w:space="0" w:color="auto"/>
        <w:right w:val="none" w:sz="0" w:space="0" w:color="auto"/>
      </w:divBdr>
    </w:div>
    <w:div w:id="122115935">
      <w:bodyDiv w:val="1"/>
      <w:marLeft w:val="0"/>
      <w:marRight w:val="0"/>
      <w:marTop w:val="0"/>
      <w:marBottom w:val="0"/>
      <w:divBdr>
        <w:top w:val="none" w:sz="0" w:space="0" w:color="auto"/>
        <w:left w:val="none" w:sz="0" w:space="0" w:color="auto"/>
        <w:bottom w:val="none" w:sz="0" w:space="0" w:color="auto"/>
        <w:right w:val="none" w:sz="0" w:space="0" w:color="auto"/>
      </w:divBdr>
    </w:div>
    <w:div w:id="140737296">
      <w:bodyDiv w:val="1"/>
      <w:marLeft w:val="0"/>
      <w:marRight w:val="0"/>
      <w:marTop w:val="0"/>
      <w:marBottom w:val="0"/>
      <w:divBdr>
        <w:top w:val="none" w:sz="0" w:space="0" w:color="auto"/>
        <w:left w:val="none" w:sz="0" w:space="0" w:color="auto"/>
        <w:bottom w:val="none" w:sz="0" w:space="0" w:color="auto"/>
        <w:right w:val="none" w:sz="0" w:space="0" w:color="auto"/>
      </w:divBdr>
    </w:div>
    <w:div w:id="158928167">
      <w:bodyDiv w:val="1"/>
      <w:marLeft w:val="0"/>
      <w:marRight w:val="0"/>
      <w:marTop w:val="0"/>
      <w:marBottom w:val="0"/>
      <w:divBdr>
        <w:top w:val="none" w:sz="0" w:space="0" w:color="auto"/>
        <w:left w:val="none" w:sz="0" w:space="0" w:color="auto"/>
        <w:bottom w:val="none" w:sz="0" w:space="0" w:color="auto"/>
        <w:right w:val="none" w:sz="0" w:space="0" w:color="auto"/>
      </w:divBdr>
    </w:div>
    <w:div w:id="171335732">
      <w:bodyDiv w:val="1"/>
      <w:marLeft w:val="0"/>
      <w:marRight w:val="0"/>
      <w:marTop w:val="0"/>
      <w:marBottom w:val="0"/>
      <w:divBdr>
        <w:top w:val="none" w:sz="0" w:space="0" w:color="auto"/>
        <w:left w:val="none" w:sz="0" w:space="0" w:color="auto"/>
        <w:bottom w:val="none" w:sz="0" w:space="0" w:color="auto"/>
        <w:right w:val="none" w:sz="0" w:space="0" w:color="auto"/>
      </w:divBdr>
      <w:divsChild>
        <w:div w:id="1720124927">
          <w:marLeft w:val="0"/>
          <w:marRight w:val="0"/>
          <w:marTop w:val="0"/>
          <w:marBottom w:val="0"/>
          <w:divBdr>
            <w:top w:val="none" w:sz="0" w:space="0" w:color="auto"/>
            <w:left w:val="none" w:sz="0" w:space="0" w:color="auto"/>
            <w:bottom w:val="none" w:sz="0" w:space="0" w:color="auto"/>
            <w:right w:val="none" w:sz="0" w:space="0" w:color="auto"/>
          </w:divBdr>
          <w:divsChild>
            <w:div w:id="11058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4232">
      <w:bodyDiv w:val="1"/>
      <w:marLeft w:val="0"/>
      <w:marRight w:val="0"/>
      <w:marTop w:val="0"/>
      <w:marBottom w:val="0"/>
      <w:divBdr>
        <w:top w:val="none" w:sz="0" w:space="0" w:color="auto"/>
        <w:left w:val="none" w:sz="0" w:space="0" w:color="auto"/>
        <w:bottom w:val="none" w:sz="0" w:space="0" w:color="auto"/>
        <w:right w:val="none" w:sz="0" w:space="0" w:color="auto"/>
      </w:divBdr>
    </w:div>
    <w:div w:id="277759412">
      <w:bodyDiv w:val="1"/>
      <w:marLeft w:val="0"/>
      <w:marRight w:val="0"/>
      <w:marTop w:val="0"/>
      <w:marBottom w:val="0"/>
      <w:divBdr>
        <w:top w:val="none" w:sz="0" w:space="0" w:color="auto"/>
        <w:left w:val="none" w:sz="0" w:space="0" w:color="auto"/>
        <w:bottom w:val="none" w:sz="0" w:space="0" w:color="auto"/>
        <w:right w:val="none" w:sz="0" w:space="0" w:color="auto"/>
      </w:divBdr>
      <w:divsChild>
        <w:div w:id="87586314">
          <w:marLeft w:val="0"/>
          <w:marRight w:val="0"/>
          <w:marTop w:val="0"/>
          <w:marBottom w:val="0"/>
          <w:divBdr>
            <w:top w:val="none" w:sz="0" w:space="0" w:color="auto"/>
            <w:left w:val="none" w:sz="0" w:space="0" w:color="auto"/>
            <w:bottom w:val="none" w:sz="0" w:space="0" w:color="auto"/>
            <w:right w:val="none" w:sz="0" w:space="0" w:color="auto"/>
          </w:divBdr>
          <w:divsChild>
            <w:div w:id="19863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86329">
      <w:bodyDiv w:val="1"/>
      <w:marLeft w:val="0"/>
      <w:marRight w:val="0"/>
      <w:marTop w:val="0"/>
      <w:marBottom w:val="0"/>
      <w:divBdr>
        <w:top w:val="none" w:sz="0" w:space="0" w:color="auto"/>
        <w:left w:val="none" w:sz="0" w:space="0" w:color="auto"/>
        <w:bottom w:val="none" w:sz="0" w:space="0" w:color="auto"/>
        <w:right w:val="none" w:sz="0" w:space="0" w:color="auto"/>
      </w:divBdr>
    </w:div>
    <w:div w:id="345908228">
      <w:bodyDiv w:val="1"/>
      <w:marLeft w:val="0"/>
      <w:marRight w:val="0"/>
      <w:marTop w:val="0"/>
      <w:marBottom w:val="0"/>
      <w:divBdr>
        <w:top w:val="none" w:sz="0" w:space="0" w:color="auto"/>
        <w:left w:val="none" w:sz="0" w:space="0" w:color="auto"/>
        <w:bottom w:val="none" w:sz="0" w:space="0" w:color="auto"/>
        <w:right w:val="none" w:sz="0" w:space="0" w:color="auto"/>
      </w:divBdr>
    </w:div>
    <w:div w:id="439839054">
      <w:bodyDiv w:val="1"/>
      <w:marLeft w:val="0"/>
      <w:marRight w:val="0"/>
      <w:marTop w:val="0"/>
      <w:marBottom w:val="0"/>
      <w:divBdr>
        <w:top w:val="none" w:sz="0" w:space="0" w:color="auto"/>
        <w:left w:val="none" w:sz="0" w:space="0" w:color="auto"/>
        <w:bottom w:val="none" w:sz="0" w:space="0" w:color="auto"/>
        <w:right w:val="none" w:sz="0" w:space="0" w:color="auto"/>
      </w:divBdr>
    </w:div>
    <w:div w:id="552473537">
      <w:bodyDiv w:val="1"/>
      <w:marLeft w:val="0"/>
      <w:marRight w:val="0"/>
      <w:marTop w:val="0"/>
      <w:marBottom w:val="0"/>
      <w:divBdr>
        <w:top w:val="none" w:sz="0" w:space="0" w:color="auto"/>
        <w:left w:val="none" w:sz="0" w:space="0" w:color="auto"/>
        <w:bottom w:val="none" w:sz="0" w:space="0" w:color="auto"/>
        <w:right w:val="none" w:sz="0" w:space="0" w:color="auto"/>
      </w:divBdr>
    </w:div>
    <w:div w:id="560211899">
      <w:bodyDiv w:val="1"/>
      <w:marLeft w:val="0"/>
      <w:marRight w:val="0"/>
      <w:marTop w:val="0"/>
      <w:marBottom w:val="0"/>
      <w:divBdr>
        <w:top w:val="none" w:sz="0" w:space="0" w:color="auto"/>
        <w:left w:val="none" w:sz="0" w:space="0" w:color="auto"/>
        <w:bottom w:val="none" w:sz="0" w:space="0" w:color="auto"/>
        <w:right w:val="none" w:sz="0" w:space="0" w:color="auto"/>
      </w:divBdr>
    </w:div>
    <w:div w:id="577984080">
      <w:bodyDiv w:val="1"/>
      <w:marLeft w:val="0"/>
      <w:marRight w:val="0"/>
      <w:marTop w:val="0"/>
      <w:marBottom w:val="0"/>
      <w:divBdr>
        <w:top w:val="none" w:sz="0" w:space="0" w:color="auto"/>
        <w:left w:val="none" w:sz="0" w:space="0" w:color="auto"/>
        <w:bottom w:val="none" w:sz="0" w:space="0" w:color="auto"/>
        <w:right w:val="none" w:sz="0" w:space="0" w:color="auto"/>
      </w:divBdr>
    </w:div>
    <w:div w:id="584647805">
      <w:bodyDiv w:val="1"/>
      <w:marLeft w:val="0"/>
      <w:marRight w:val="0"/>
      <w:marTop w:val="0"/>
      <w:marBottom w:val="0"/>
      <w:divBdr>
        <w:top w:val="none" w:sz="0" w:space="0" w:color="auto"/>
        <w:left w:val="none" w:sz="0" w:space="0" w:color="auto"/>
        <w:bottom w:val="none" w:sz="0" w:space="0" w:color="auto"/>
        <w:right w:val="none" w:sz="0" w:space="0" w:color="auto"/>
      </w:divBdr>
    </w:div>
    <w:div w:id="654257832">
      <w:bodyDiv w:val="1"/>
      <w:marLeft w:val="0"/>
      <w:marRight w:val="0"/>
      <w:marTop w:val="0"/>
      <w:marBottom w:val="0"/>
      <w:divBdr>
        <w:top w:val="none" w:sz="0" w:space="0" w:color="auto"/>
        <w:left w:val="none" w:sz="0" w:space="0" w:color="auto"/>
        <w:bottom w:val="none" w:sz="0" w:space="0" w:color="auto"/>
        <w:right w:val="none" w:sz="0" w:space="0" w:color="auto"/>
      </w:divBdr>
    </w:div>
    <w:div w:id="655958949">
      <w:bodyDiv w:val="1"/>
      <w:marLeft w:val="0"/>
      <w:marRight w:val="0"/>
      <w:marTop w:val="0"/>
      <w:marBottom w:val="0"/>
      <w:divBdr>
        <w:top w:val="none" w:sz="0" w:space="0" w:color="auto"/>
        <w:left w:val="none" w:sz="0" w:space="0" w:color="auto"/>
        <w:bottom w:val="none" w:sz="0" w:space="0" w:color="auto"/>
        <w:right w:val="none" w:sz="0" w:space="0" w:color="auto"/>
      </w:divBdr>
    </w:div>
    <w:div w:id="664863851">
      <w:bodyDiv w:val="1"/>
      <w:marLeft w:val="0"/>
      <w:marRight w:val="0"/>
      <w:marTop w:val="0"/>
      <w:marBottom w:val="0"/>
      <w:divBdr>
        <w:top w:val="none" w:sz="0" w:space="0" w:color="auto"/>
        <w:left w:val="none" w:sz="0" w:space="0" w:color="auto"/>
        <w:bottom w:val="none" w:sz="0" w:space="0" w:color="auto"/>
        <w:right w:val="none" w:sz="0" w:space="0" w:color="auto"/>
      </w:divBdr>
    </w:div>
    <w:div w:id="671102248">
      <w:bodyDiv w:val="1"/>
      <w:marLeft w:val="0"/>
      <w:marRight w:val="0"/>
      <w:marTop w:val="0"/>
      <w:marBottom w:val="0"/>
      <w:divBdr>
        <w:top w:val="none" w:sz="0" w:space="0" w:color="auto"/>
        <w:left w:val="none" w:sz="0" w:space="0" w:color="auto"/>
        <w:bottom w:val="none" w:sz="0" w:space="0" w:color="auto"/>
        <w:right w:val="none" w:sz="0" w:space="0" w:color="auto"/>
      </w:divBdr>
    </w:div>
    <w:div w:id="754128725">
      <w:bodyDiv w:val="1"/>
      <w:marLeft w:val="0"/>
      <w:marRight w:val="0"/>
      <w:marTop w:val="0"/>
      <w:marBottom w:val="0"/>
      <w:divBdr>
        <w:top w:val="none" w:sz="0" w:space="0" w:color="auto"/>
        <w:left w:val="none" w:sz="0" w:space="0" w:color="auto"/>
        <w:bottom w:val="none" w:sz="0" w:space="0" w:color="auto"/>
        <w:right w:val="none" w:sz="0" w:space="0" w:color="auto"/>
      </w:divBdr>
      <w:divsChild>
        <w:div w:id="773289397">
          <w:marLeft w:val="0"/>
          <w:marRight w:val="0"/>
          <w:marTop w:val="240"/>
          <w:marBottom w:val="240"/>
          <w:divBdr>
            <w:top w:val="none" w:sz="0" w:space="0" w:color="auto"/>
            <w:left w:val="none" w:sz="0" w:space="0" w:color="auto"/>
            <w:bottom w:val="none" w:sz="0" w:space="0" w:color="auto"/>
            <w:right w:val="none" w:sz="0" w:space="0" w:color="auto"/>
          </w:divBdr>
          <w:divsChild>
            <w:div w:id="4713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44260">
      <w:bodyDiv w:val="1"/>
      <w:marLeft w:val="0"/>
      <w:marRight w:val="0"/>
      <w:marTop w:val="0"/>
      <w:marBottom w:val="0"/>
      <w:divBdr>
        <w:top w:val="none" w:sz="0" w:space="0" w:color="auto"/>
        <w:left w:val="none" w:sz="0" w:space="0" w:color="auto"/>
        <w:bottom w:val="none" w:sz="0" w:space="0" w:color="auto"/>
        <w:right w:val="none" w:sz="0" w:space="0" w:color="auto"/>
      </w:divBdr>
    </w:div>
    <w:div w:id="837694941">
      <w:bodyDiv w:val="1"/>
      <w:marLeft w:val="0"/>
      <w:marRight w:val="0"/>
      <w:marTop w:val="0"/>
      <w:marBottom w:val="0"/>
      <w:divBdr>
        <w:top w:val="none" w:sz="0" w:space="0" w:color="auto"/>
        <w:left w:val="none" w:sz="0" w:space="0" w:color="auto"/>
        <w:bottom w:val="none" w:sz="0" w:space="0" w:color="auto"/>
        <w:right w:val="none" w:sz="0" w:space="0" w:color="auto"/>
      </w:divBdr>
    </w:div>
    <w:div w:id="878469987">
      <w:bodyDiv w:val="1"/>
      <w:marLeft w:val="0"/>
      <w:marRight w:val="0"/>
      <w:marTop w:val="0"/>
      <w:marBottom w:val="0"/>
      <w:divBdr>
        <w:top w:val="none" w:sz="0" w:space="0" w:color="auto"/>
        <w:left w:val="none" w:sz="0" w:space="0" w:color="auto"/>
        <w:bottom w:val="none" w:sz="0" w:space="0" w:color="auto"/>
        <w:right w:val="none" w:sz="0" w:space="0" w:color="auto"/>
      </w:divBdr>
      <w:divsChild>
        <w:div w:id="474763908">
          <w:marLeft w:val="0"/>
          <w:marRight w:val="0"/>
          <w:marTop w:val="0"/>
          <w:marBottom w:val="0"/>
          <w:divBdr>
            <w:top w:val="none" w:sz="0" w:space="0" w:color="auto"/>
            <w:left w:val="none" w:sz="0" w:space="0" w:color="auto"/>
            <w:bottom w:val="none" w:sz="0" w:space="0" w:color="auto"/>
            <w:right w:val="none" w:sz="0" w:space="0" w:color="auto"/>
          </w:divBdr>
          <w:divsChild>
            <w:div w:id="928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02657">
      <w:bodyDiv w:val="1"/>
      <w:marLeft w:val="0"/>
      <w:marRight w:val="0"/>
      <w:marTop w:val="0"/>
      <w:marBottom w:val="0"/>
      <w:divBdr>
        <w:top w:val="none" w:sz="0" w:space="0" w:color="auto"/>
        <w:left w:val="none" w:sz="0" w:space="0" w:color="auto"/>
        <w:bottom w:val="none" w:sz="0" w:space="0" w:color="auto"/>
        <w:right w:val="none" w:sz="0" w:space="0" w:color="auto"/>
      </w:divBdr>
    </w:div>
    <w:div w:id="937567200">
      <w:bodyDiv w:val="1"/>
      <w:marLeft w:val="0"/>
      <w:marRight w:val="0"/>
      <w:marTop w:val="0"/>
      <w:marBottom w:val="0"/>
      <w:divBdr>
        <w:top w:val="none" w:sz="0" w:space="0" w:color="auto"/>
        <w:left w:val="none" w:sz="0" w:space="0" w:color="auto"/>
        <w:bottom w:val="none" w:sz="0" w:space="0" w:color="auto"/>
        <w:right w:val="none" w:sz="0" w:space="0" w:color="auto"/>
      </w:divBdr>
    </w:div>
    <w:div w:id="954017381">
      <w:bodyDiv w:val="1"/>
      <w:marLeft w:val="0"/>
      <w:marRight w:val="0"/>
      <w:marTop w:val="0"/>
      <w:marBottom w:val="0"/>
      <w:divBdr>
        <w:top w:val="none" w:sz="0" w:space="0" w:color="auto"/>
        <w:left w:val="none" w:sz="0" w:space="0" w:color="auto"/>
        <w:bottom w:val="none" w:sz="0" w:space="0" w:color="auto"/>
        <w:right w:val="none" w:sz="0" w:space="0" w:color="auto"/>
      </w:divBdr>
    </w:div>
    <w:div w:id="1010835196">
      <w:bodyDiv w:val="1"/>
      <w:marLeft w:val="0"/>
      <w:marRight w:val="0"/>
      <w:marTop w:val="0"/>
      <w:marBottom w:val="0"/>
      <w:divBdr>
        <w:top w:val="none" w:sz="0" w:space="0" w:color="auto"/>
        <w:left w:val="none" w:sz="0" w:space="0" w:color="auto"/>
        <w:bottom w:val="none" w:sz="0" w:space="0" w:color="auto"/>
        <w:right w:val="none" w:sz="0" w:space="0" w:color="auto"/>
      </w:divBdr>
    </w:div>
    <w:div w:id="1018045409">
      <w:bodyDiv w:val="1"/>
      <w:marLeft w:val="0"/>
      <w:marRight w:val="0"/>
      <w:marTop w:val="0"/>
      <w:marBottom w:val="0"/>
      <w:divBdr>
        <w:top w:val="none" w:sz="0" w:space="0" w:color="auto"/>
        <w:left w:val="none" w:sz="0" w:space="0" w:color="auto"/>
        <w:bottom w:val="none" w:sz="0" w:space="0" w:color="auto"/>
        <w:right w:val="none" w:sz="0" w:space="0" w:color="auto"/>
      </w:divBdr>
    </w:div>
    <w:div w:id="1024208365">
      <w:bodyDiv w:val="1"/>
      <w:marLeft w:val="0"/>
      <w:marRight w:val="0"/>
      <w:marTop w:val="0"/>
      <w:marBottom w:val="0"/>
      <w:divBdr>
        <w:top w:val="none" w:sz="0" w:space="0" w:color="auto"/>
        <w:left w:val="none" w:sz="0" w:space="0" w:color="auto"/>
        <w:bottom w:val="none" w:sz="0" w:space="0" w:color="auto"/>
        <w:right w:val="none" w:sz="0" w:space="0" w:color="auto"/>
      </w:divBdr>
    </w:div>
    <w:div w:id="1077292007">
      <w:bodyDiv w:val="1"/>
      <w:marLeft w:val="0"/>
      <w:marRight w:val="0"/>
      <w:marTop w:val="0"/>
      <w:marBottom w:val="0"/>
      <w:divBdr>
        <w:top w:val="none" w:sz="0" w:space="0" w:color="auto"/>
        <w:left w:val="none" w:sz="0" w:space="0" w:color="auto"/>
        <w:bottom w:val="none" w:sz="0" w:space="0" w:color="auto"/>
        <w:right w:val="none" w:sz="0" w:space="0" w:color="auto"/>
      </w:divBdr>
    </w:div>
    <w:div w:id="1148285041">
      <w:bodyDiv w:val="1"/>
      <w:marLeft w:val="0"/>
      <w:marRight w:val="0"/>
      <w:marTop w:val="0"/>
      <w:marBottom w:val="0"/>
      <w:divBdr>
        <w:top w:val="none" w:sz="0" w:space="0" w:color="auto"/>
        <w:left w:val="none" w:sz="0" w:space="0" w:color="auto"/>
        <w:bottom w:val="none" w:sz="0" w:space="0" w:color="auto"/>
        <w:right w:val="none" w:sz="0" w:space="0" w:color="auto"/>
      </w:divBdr>
    </w:div>
    <w:div w:id="1150250639">
      <w:bodyDiv w:val="1"/>
      <w:marLeft w:val="0"/>
      <w:marRight w:val="0"/>
      <w:marTop w:val="0"/>
      <w:marBottom w:val="0"/>
      <w:divBdr>
        <w:top w:val="none" w:sz="0" w:space="0" w:color="auto"/>
        <w:left w:val="none" w:sz="0" w:space="0" w:color="auto"/>
        <w:bottom w:val="none" w:sz="0" w:space="0" w:color="auto"/>
        <w:right w:val="none" w:sz="0" w:space="0" w:color="auto"/>
      </w:divBdr>
    </w:div>
    <w:div w:id="1196967937">
      <w:bodyDiv w:val="1"/>
      <w:marLeft w:val="0"/>
      <w:marRight w:val="0"/>
      <w:marTop w:val="0"/>
      <w:marBottom w:val="0"/>
      <w:divBdr>
        <w:top w:val="none" w:sz="0" w:space="0" w:color="auto"/>
        <w:left w:val="none" w:sz="0" w:space="0" w:color="auto"/>
        <w:bottom w:val="none" w:sz="0" w:space="0" w:color="auto"/>
        <w:right w:val="none" w:sz="0" w:space="0" w:color="auto"/>
      </w:divBdr>
    </w:div>
    <w:div w:id="1217200382">
      <w:bodyDiv w:val="1"/>
      <w:marLeft w:val="0"/>
      <w:marRight w:val="0"/>
      <w:marTop w:val="0"/>
      <w:marBottom w:val="0"/>
      <w:divBdr>
        <w:top w:val="none" w:sz="0" w:space="0" w:color="auto"/>
        <w:left w:val="none" w:sz="0" w:space="0" w:color="auto"/>
        <w:bottom w:val="none" w:sz="0" w:space="0" w:color="auto"/>
        <w:right w:val="none" w:sz="0" w:space="0" w:color="auto"/>
      </w:divBdr>
    </w:div>
    <w:div w:id="1225793717">
      <w:bodyDiv w:val="1"/>
      <w:marLeft w:val="0"/>
      <w:marRight w:val="0"/>
      <w:marTop w:val="0"/>
      <w:marBottom w:val="0"/>
      <w:divBdr>
        <w:top w:val="none" w:sz="0" w:space="0" w:color="auto"/>
        <w:left w:val="none" w:sz="0" w:space="0" w:color="auto"/>
        <w:bottom w:val="none" w:sz="0" w:space="0" w:color="auto"/>
        <w:right w:val="none" w:sz="0" w:space="0" w:color="auto"/>
      </w:divBdr>
    </w:div>
    <w:div w:id="1229346011">
      <w:bodyDiv w:val="1"/>
      <w:marLeft w:val="0"/>
      <w:marRight w:val="0"/>
      <w:marTop w:val="0"/>
      <w:marBottom w:val="0"/>
      <w:divBdr>
        <w:top w:val="none" w:sz="0" w:space="0" w:color="auto"/>
        <w:left w:val="none" w:sz="0" w:space="0" w:color="auto"/>
        <w:bottom w:val="none" w:sz="0" w:space="0" w:color="auto"/>
        <w:right w:val="none" w:sz="0" w:space="0" w:color="auto"/>
      </w:divBdr>
    </w:div>
    <w:div w:id="1340233887">
      <w:bodyDiv w:val="1"/>
      <w:marLeft w:val="0"/>
      <w:marRight w:val="0"/>
      <w:marTop w:val="0"/>
      <w:marBottom w:val="0"/>
      <w:divBdr>
        <w:top w:val="none" w:sz="0" w:space="0" w:color="auto"/>
        <w:left w:val="none" w:sz="0" w:space="0" w:color="auto"/>
        <w:bottom w:val="none" w:sz="0" w:space="0" w:color="auto"/>
        <w:right w:val="none" w:sz="0" w:space="0" w:color="auto"/>
      </w:divBdr>
      <w:divsChild>
        <w:div w:id="1654603906">
          <w:marLeft w:val="0"/>
          <w:marRight w:val="0"/>
          <w:marTop w:val="0"/>
          <w:marBottom w:val="0"/>
          <w:divBdr>
            <w:top w:val="none" w:sz="0" w:space="0" w:color="auto"/>
            <w:left w:val="none" w:sz="0" w:space="0" w:color="auto"/>
            <w:bottom w:val="none" w:sz="0" w:space="0" w:color="auto"/>
            <w:right w:val="none" w:sz="0" w:space="0" w:color="auto"/>
          </w:divBdr>
          <w:divsChild>
            <w:div w:id="9495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17434">
      <w:bodyDiv w:val="1"/>
      <w:marLeft w:val="0"/>
      <w:marRight w:val="0"/>
      <w:marTop w:val="0"/>
      <w:marBottom w:val="0"/>
      <w:divBdr>
        <w:top w:val="none" w:sz="0" w:space="0" w:color="auto"/>
        <w:left w:val="none" w:sz="0" w:space="0" w:color="auto"/>
        <w:bottom w:val="none" w:sz="0" w:space="0" w:color="auto"/>
        <w:right w:val="none" w:sz="0" w:space="0" w:color="auto"/>
      </w:divBdr>
    </w:div>
    <w:div w:id="1473598861">
      <w:bodyDiv w:val="1"/>
      <w:marLeft w:val="0"/>
      <w:marRight w:val="0"/>
      <w:marTop w:val="0"/>
      <w:marBottom w:val="0"/>
      <w:divBdr>
        <w:top w:val="none" w:sz="0" w:space="0" w:color="auto"/>
        <w:left w:val="none" w:sz="0" w:space="0" w:color="auto"/>
        <w:bottom w:val="none" w:sz="0" w:space="0" w:color="auto"/>
        <w:right w:val="none" w:sz="0" w:space="0" w:color="auto"/>
      </w:divBdr>
    </w:div>
    <w:div w:id="1520464700">
      <w:bodyDiv w:val="1"/>
      <w:marLeft w:val="0"/>
      <w:marRight w:val="0"/>
      <w:marTop w:val="0"/>
      <w:marBottom w:val="0"/>
      <w:divBdr>
        <w:top w:val="none" w:sz="0" w:space="0" w:color="auto"/>
        <w:left w:val="none" w:sz="0" w:space="0" w:color="auto"/>
        <w:bottom w:val="none" w:sz="0" w:space="0" w:color="auto"/>
        <w:right w:val="none" w:sz="0" w:space="0" w:color="auto"/>
      </w:divBdr>
    </w:div>
    <w:div w:id="1584143096">
      <w:bodyDiv w:val="1"/>
      <w:marLeft w:val="0"/>
      <w:marRight w:val="0"/>
      <w:marTop w:val="0"/>
      <w:marBottom w:val="0"/>
      <w:divBdr>
        <w:top w:val="none" w:sz="0" w:space="0" w:color="auto"/>
        <w:left w:val="none" w:sz="0" w:space="0" w:color="auto"/>
        <w:bottom w:val="none" w:sz="0" w:space="0" w:color="auto"/>
        <w:right w:val="none" w:sz="0" w:space="0" w:color="auto"/>
      </w:divBdr>
    </w:div>
    <w:div w:id="1612586716">
      <w:bodyDiv w:val="1"/>
      <w:marLeft w:val="0"/>
      <w:marRight w:val="0"/>
      <w:marTop w:val="0"/>
      <w:marBottom w:val="0"/>
      <w:divBdr>
        <w:top w:val="none" w:sz="0" w:space="0" w:color="auto"/>
        <w:left w:val="none" w:sz="0" w:space="0" w:color="auto"/>
        <w:bottom w:val="none" w:sz="0" w:space="0" w:color="auto"/>
        <w:right w:val="none" w:sz="0" w:space="0" w:color="auto"/>
      </w:divBdr>
    </w:div>
    <w:div w:id="1614440879">
      <w:bodyDiv w:val="1"/>
      <w:marLeft w:val="0"/>
      <w:marRight w:val="0"/>
      <w:marTop w:val="0"/>
      <w:marBottom w:val="0"/>
      <w:divBdr>
        <w:top w:val="none" w:sz="0" w:space="0" w:color="auto"/>
        <w:left w:val="none" w:sz="0" w:space="0" w:color="auto"/>
        <w:bottom w:val="none" w:sz="0" w:space="0" w:color="auto"/>
        <w:right w:val="none" w:sz="0" w:space="0" w:color="auto"/>
      </w:divBdr>
    </w:div>
    <w:div w:id="1717461741">
      <w:bodyDiv w:val="1"/>
      <w:marLeft w:val="0"/>
      <w:marRight w:val="0"/>
      <w:marTop w:val="0"/>
      <w:marBottom w:val="0"/>
      <w:divBdr>
        <w:top w:val="none" w:sz="0" w:space="0" w:color="auto"/>
        <w:left w:val="none" w:sz="0" w:space="0" w:color="auto"/>
        <w:bottom w:val="none" w:sz="0" w:space="0" w:color="auto"/>
        <w:right w:val="none" w:sz="0" w:space="0" w:color="auto"/>
      </w:divBdr>
      <w:divsChild>
        <w:div w:id="984238151">
          <w:marLeft w:val="0"/>
          <w:marRight w:val="0"/>
          <w:marTop w:val="0"/>
          <w:marBottom w:val="0"/>
          <w:divBdr>
            <w:top w:val="none" w:sz="0" w:space="0" w:color="auto"/>
            <w:left w:val="none" w:sz="0" w:space="0" w:color="auto"/>
            <w:bottom w:val="none" w:sz="0" w:space="0" w:color="auto"/>
            <w:right w:val="none" w:sz="0" w:space="0" w:color="auto"/>
          </w:divBdr>
          <w:divsChild>
            <w:div w:id="15930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08597">
      <w:bodyDiv w:val="1"/>
      <w:marLeft w:val="0"/>
      <w:marRight w:val="0"/>
      <w:marTop w:val="0"/>
      <w:marBottom w:val="0"/>
      <w:divBdr>
        <w:top w:val="none" w:sz="0" w:space="0" w:color="auto"/>
        <w:left w:val="none" w:sz="0" w:space="0" w:color="auto"/>
        <w:bottom w:val="none" w:sz="0" w:space="0" w:color="auto"/>
        <w:right w:val="none" w:sz="0" w:space="0" w:color="auto"/>
      </w:divBdr>
    </w:div>
    <w:div w:id="1782453991">
      <w:bodyDiv w:val="1"/>
      <w:marLeft w:val="0"/>
      <w:marRight w:val="0"/>
      <w:marTop w:val="0"/>
      <w:marBottom w:val="0"/>
      <w:divBdr>
        <w:top w:val="none" w:sz="0" w:space="0" w:color="auto"/>
        <w:left w:val="none" w:sz="0" w:space="0" w:color="auto"/>
        <w:bottom w:val="none" w:sz="0" w:space="0" w:color="auto"/>
        <w:right w:val="none" w:sz="0" w:space="0" w:color="auto"/>
      </w:divBdr>
    </w:div>
    <w:div w:id="1811441788">
      <w:bodyDiv w:val="1"/>
      <w:marLeft w:val="0"/>
      <w:marRight w:val="0"/>
      <w:marTop w:val="0"/>
      <w:marBottom w:val="0"/>
      <w:divBdr>
        <w:top w:val="none" w:sz="0" w:space="0" w:color="auto"/>
        <w:left w:val="none" w:sz="0" w:space="0" w:color="auto"/>
        <w:bottom w:val="none" w:sz="0" w:space="0" w:color="auto"/>
        <w:right w:val="none" w:sz="0" w:space="0" w:color="auto"/>
      </w:divBdr>
    </w:div>
    <w:div w:id="1822843304">
      <w:bodyDiv w:val="1"/>
      <w:marLeft w:val="0"/>
      <w:marRight w:val="0"/>
      <w:marTop w:val="0"/>
      <w:marBottom w:val="0"/>
      <w:divBdr>
        <w:top w:val="none" w:sz="0" w:space="0" w:color="auto"/>
        <w:left w:val="none" w:sz="0" w:space="0" w:color="auto"/>
        <w:bottom w:val="none" w:sz="0" w:space="0" w:color="auto"/>
        <w:right w:val="none" w:sz="0" w:space="0" w:color="auto"/>
      </w:divBdr>
    </w:div>
    <w:div w:id="1835804886">
      <w:bodyDiv w:val="1"/>
      <w:marLeft w:val="0"/>
      <w:marRight w:val="0"/>
      <w:marTop w:val="0"/>
      <w:marBottom w:val="0"/>
      <w:divBdr>
        <w:top w:val="none" w:sz="0" w:space="0" w:color="auto"/>
        <w:left w:val="none" w:sz="0" w:space="0" w:color="auto"/>
        <w:bottom w:val="none" w:sz="0" w:space="0" w:color="auto"/>
        <w:right w:val="none" w:sz="0" w:space="0" w:color="auto"/>
      </w:divBdr>
    </w:div>
    <w:div w:id="1846289037">
      <w:bodyDiv w:val="1"/>
      <w:marLeft w:val="0"/>
      <w:marRight w:val="0"/>
      <w:marTop w:val="0"/>
      <w:marBottom w:val="0"/>
      <w:divBdr>
        <w:top w:val="none" w:sz="0" w:space="0" w:color="auto"/>
        <w:left w:val="none" w:sz="0" w:space="0" w:color="auto"/>
        <w:bottom w:val="none" w:sz="0" w:space="0" w:color="auto"/>
        <w:right w:val="none" w:sz="0" w:space="0" w:color="auto"/>
      </w:divBdr>
    </w:div>
    <w:div w:id="1875847824">
      <w:bodyDiv w:val="1"/>
      <w:marLeft w:val="0"/>
      <w:marRight w:val="0"/>
      <w:marTop w:val="0"/>
      <w:marBottom w:val="0"/>
      <w:divBdr>
        <w:top w:val="none" w:sz="0" w:space="0" w:color="auto"/>
        <w:left w:val="none" w:sz="0" w:space="0" w:color="auto"/>
        <w:bottom w:val="none" w:sz="0" w:space="0" w:color="auto"/>
        <w:right w:val="none" w:sz="0" w:space="0" w:color="auto"/>
      </w:divBdr>
    </w:div>
    <w:div w:id="1939605154">
      <w:bodyDiv w:val="1"/>
      <w:marLeft w:val="0"/>
      <w:marRight w:val="0"/>
      <w:marTop w:val="0"/>
      <w:marBottom w:val="0"/>
      <w:divBdr>
        <w:top w:val="none" w:sz="0" w:space="0" w:color="auto"/>
        <w:left w:val="none" w:sz="0" w:space="0" w:color="auto"/>
        <w:bottom w:val="none" w:sz="0" w:space="0" w:color="auto"/>
        <w:right w:val="none" w:sz="0" w:space="0" w:color="auto"/>
      </w:divBdr>
      <w:divsChild>
        <w:div w:id="822626005">
          <w:marLeft w:val="0"/>
          <w:marRight w:val="0"/>
          <w:marTop w:val="0"/>
          <w:marBottom w:val="0"/>
          <w:divBdr>
            <w:top w:val="none" w:sz="0" w:space="0" w:color="auto"/>
            <w:left w:val="none" w:sz="0" w:space="0" w:color="auto"/>
            <w:bottom w:val="none" w:sz="0" w:space="0" w:color="auto"/>
            <w:right w:val="none" w:sz="0" w:space="0" w:color="auto"/>
          </w:divBdr>
          <w:divsChild>
            <w:div w:id="2946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17676">
      <w:bodyDiv w:val="1"/>
      <w:marLeft w:val="0"/>
      <w:marRight w:val="0"/>
      <w:marTop w:val="0"/>
      <w:marBottom w:val="0"/>
      <w:divBdr>
        <w:top w:val="none" w:sz="0" w:space="0" w:color="auto"/>
        <w:left w:val="none" w:sz="0" w:space="0" w:color="auto"/>
        <w:bottom w:val="none" w:sz="0" w:space="0" w:color="auto"/>
        <w:right w:val="none" w:sz="0" w:space="0" w:color="auto"/>
      </w:divBdr>
    </w:div>
    <w:div w:id="2020040457">
      <w:bodyDiv w:val="1"/>
      <w:marLeft w:val="0"/>
      <w:marRight w:val="0"/>
      <w:marTop w:val="0"/>
      <w:marBottom w:val="0"/>
      <w:divBdr>
        <w:top w:val="none" w:sz="0" w:space="0" w:color="auto"/>
        <w:left w:val="none" w:sz="0" w:space="0" w:color="auto"/>
        <w:bottom w:val="none" w:sz="0" w:space="0" w:color="auto"/>
        <w:right w:val="none" w:sz="0" w:space="0" w:color="auto"/>
      </w:divBdr>
      <w:divsChild>
        <w:div w:id="1219124051">
          <w:marLeft w:val="0"/>
          <w:marRight w:val="0"/>
          <w:marTop w:val="0"/>
          <w:marBottom w:val="120"/>
          <w:divBdr>
            <w:top w:val="none" w:sz="0" w:space="0" w:color="auto"/>
            <w:left w:val="none" w:sz="0" w:space="0" w:color="auto"/>
            <w:bottom w:val="none" w:sz="0" w:space="0" w:color="auto"/>
            <w:right w:val="none" w:sz="0" w:space="0" w:color="auto"/>
          </w:divBdr>
          <w:divsChild>
            <w:div w:id="6359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003">
      <w:bodyDiv w:val="1"/>
      <w:marLeft w:val="0"/>
      <w:marRight w:val="0"/>
      <w:marTop w:val="0"/>
      <w:marBottom w:val="0"/>
      <w:divBdr>
        <w:top w:val="none" w:sz="0" w:space="0" w:color="auto"/>
        <w:left w:val="none" w:sz="0" w:space="0" w:color="auto"/>
        <w:bottom w:val="none" w:sz="0" w:space="0" w:color="auto"/>
        <w:right w:val="none" w:sz="0" w:space="0" w:color="auto"/>
      </w:divBdr>
    </w:div>
    <w:div w:id="2105416722">
      <w:bodyDiv w:val="1"/>
      <w:marLeft w:val="0"/>
      <w:marRight w:val="0"/>
      <w:marTop w:val="0"/>
      <w:marBottom w:val="0"/>
      <w:divBdr>
        <w:top w:val="none" w:sz="0" w:space="0" w:color="auto"/>
        <w:left w:val="none" w:sz="0" w:space="0" w:color="auto"/>
        <w:bottom w:val="none" w:sz="0" w:space="0" w:color="auto"/>
        <w:right w:val="none" w:sz="0" w:space="0" w:color="auto"/>
      </w:divBdr>
    </w:div>
    <w:div w:id="213274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1D3907A0C6247B601A082F1A2FA73" ma:contentTypeVersion="1" ma:contentTypeDescription="Create a new document." ma:contentTypeScope="" ma:versionID="ca175f41477f3fde6c3f9e32187c8017">
  <xsd:schema xmlns:xsd="http://www.w3.org/2001/XMLSchema" xmlns:xs="http://www.w3.org/2001/XMLSchema" xmlns:p="http://schemas.microsoft.com/office/2006/metadata/properties" xmlns:ns2="75dd4624-ca72-435e-9abf-82395934845b" targetNamespace="http://schemas.microsoft.com/office/2006/metadata/properties" ma:root="true" ma:fieldsID="3df0b6991f0507aac31459d0386983e0" ns2:_="">
    <xsd:import namespace="75dd4624-ca72-435e-9abf-82395934845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d4624-ca72-435e-9abf-8239593484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TIxNjY1Mi03Y2IxLTQyZDMtYTIyZi1mYjVjN2YzNDhkYjUiIG9yaWdpbj0iZGVmYXVsdFZhbHVlIj48ZWxlbWVudCB1aWQ9ImlkX2NsYXNzaWZpY2F0aW9uX2ludGVybmFsb25seSIgdmFsdWU9IiIgeG1sbnM9Imh0dHA6Ly93d3cuYm9sZG9uamFtZXMuY29tLzIwMDgvMDEvc2llL2ludGVybmFsL2xhYmVsIiAvPjwvc2lzbD48VXNlck5hbWU+T0FBRFx2Yzk1NDwvVXNlck5hbWU+PERhdGVUaW1lPjE2LjEwLjIwMTkgMDg6MDI6MDc8L0RhdGVUaW1lPjxMYWJlbFN0cmluZz5JbnRlcm5hbDwvTGFiZWxTdHJpbmc+PC9pdGVtPjwvbGFiZWxIaXN0b3J5Pg==</Value>
</WrappedLabelHistor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5dd4624-ca72-435e-9abf-82395934845b">
      <UserInfo>
        <DisplayName>Lena Elmgren</DisplayName>
        <AccountId>9</AccountId>
        <AccountType/>
      </UserInfo>
      <UserInfo>
        <DisplayName>Severine Vandelanoite</DisplayName>
        <AccountId>52</AccountId>
        <AccountType/>
      </UserInfo>
      <UserInfo>
        <DisplayName>Arne Hartung</DisplayName>
        <AccountId>53</AccountId>
        <AccountType/>
      </UserInfo>
      <UserInfo>
        <DisplayName>Italo di Lorenzo</DisplayName>
        <AccountId>54</AccountId>
        <AccountType/>
      </UserInfo>
      <UserInfo>
        <DisplayName>Marco Tautges</DisplayName>
        <AccountId>55</AccountId>
        <AccountType/>
      </UserInfo>
      <UserInfo>
        <DisplayName>Leonardo Scimmi</DisplayName>
        <AccountId>57</AccountId>
        <AccountType/>
      </UserInfo>
      <UserInfo>
        <DisplayName>Michael Hyzik</DisplayName>
        <AccountId>58</AccountId>
        <AccountType/>
      </UserInfo>
      <UserInfo>
        <DisplayName>Monir Taik</DisplayName>
        <AccountId>59</AccountId>
        <AccountType/>
      </UserInfo>
      <UserInfo>
        <DisplayName>Filip Vanura</DisplayName>
        <AccountId>60</AccountId>
        <AccountType/>
      </UserInfo>
    </SharedWithUsers>
  </documentManagement>
</p:properties>
</file>

<file path=customXml/item5.xml><?xml version="1.0" encoding="utf-8"?>
<sisl xmlns:xsi="http://www.w3.org/2001/XMLSchema-instance" xmlns:xsd="http://www.w3.org/2001/XMLSchema" xmlns="http://www.boldonjames.com/2008/01/sie/internal/label" sislVersion="0" policy="5e216652-7cb1-42d3-a22f-fb5c7f348db5" origin="defaultValue">
  <element uid="id_classification_internalonly" value=""/>
</sisl>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3BE60-D2CE-41F2-B4D8-01392A35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d4624-ca72-435e-9abf-823959348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F9D41-15B0-422B-BA29-ADB4C60F9A64}">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8777991F-6F29-49BA-A62E-26DD9BB7B055}">
  <ds:schemaRefs>
    <ds:schemaRef ds:uri="http://schemas.microsoft.com/sharepoint/v3/contenttype/forms"/>
  </ds:schemaRefs>
</ds:datastoreItem>
</file>

<file path=customXml/itemProps4.xml><?xml version="1.0" encoding="utf-8"?>
<ds:datastoreItem xmlns:ds="http://schemas.openxmlformats.org/officeDocument/2006/customXml" ds:itemID="{D8F248A5-B23A-4772-8ED9-87C38B744EF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75dd4624-ca72-435e-9abf-82395934845b"/>
    <ds:schemaRef ds:uri="http://www.w3.org/XML/1998/namespace"/>
    <ds:schemaRef ds:uri="http://purl.org/dc/dcmitype/"/>
  </ds:schemaRefs>
</ds:datastoreItem>
</file>

<file path=customXml/itemProps5.xml><?xml version="1.0" encoding="utf-8"?>
<ds:datastoreItem xmlns:ds="http://schemas.openxmlformats.org/officeDocument/2006/customXml" ds:itemID="{B4705B5B-463C-4C21-8601-5350BC6BB6E3}">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89A64866-45E7-4492-873D-2755C23C9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8199</Words>
  <Characters>46736</Characters>
  <Application>Microsoft Office Word</Application>
  <DocSecurity>0</DocSecurity>
  <Lines>389</Lines>
  <Paragraphs>109</Paragraphs>
  <ScaleCrop>false</ScaleCrop>
  <HeadingPairs>
    <vt:vector size="2" baseType="variant">
      <vt:variant>
        <vt:lpstr>Titel</vt:lpstr>
      </vt:variant>
      <vt:variant>
        <vt:i4>1</vt:i4>
      </vt:variant>
    </vt:vector>
  </HeadingPairs>
  <TitlesOfParts>
    <vt:vector size="1" baseType="lpstr">
      <vt:lpstr/>
    </vt:vector>
  </TitlesOfParts>
  <Company>Deutsche Boerse Group</Company>
  <LinksUpToDate>false</LinksUpToDate>
  <CharactersWithSpaces>54826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Winteroll</dc:creator>
  <cp:keywords/>
  <dc:description/>
  <cp:lastModifiedBy>GRS</cp:lastModifiedBy>
  <cp:revision>2</cp:revision>
  <cp:lastPrinted>2019-11-29T09:05:00Z</cp:lastPrinted>
  <dcterms:created xsi:type="dcterms:W3CDTF">2019-11-29T12:27:00Z</dcterms:created>
  <dcterms:modified xsi:type="dcterms:W3CDTF">2019-11-29T12:27:00Z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d91e6c02-bbd6-4266-88cb-2dbc5fe3454c</vt:lpwstr>
  </property>
  <property fmtid="{D5CDD505-2E9C-101B-9397-08002B2CF9AE}" pid="3" name="bjDocumentLabelXML">
    <vt:lpwstr>&lt;?xml version="1.0" encoding="us-ascii"?&gt;&lt;sisl xmlns:xsi="http://www.w3.org/2001/XMLSchema-instance" xmlns:xsd="http://www.w3.org/2001/XMLSchema" sislVersion="0" policy="5e216652-7cb1-42d3-a22f-fb5c7f348db5" origin="defaultValue" xmlns="http://www.boldonj</vt:lpwstr>
  </property>
  <property fmtid="{D5CDD505-2E9C-101B-9397-08002B2CF9AE}" pid="4" name="bjDocumentLabelXML-0">
    <vt:lpwstr>ames.com/2008/01/sie/internal/label"&gt;&lt;element uid="id_classification_internalonly" value="" /&gt;&lt;/sisl&gt;</vt:lpwstr>
  </property>
  <property fmtid="{D5CDD505-2E9C-101B-9397-08002B2CF9AE}" pid="5" name="bjDocumentSecurityLabel">
    <vt:lpwstr>Internal</vt:lpwstr>
  </property>
  <property fmtid="{D5CDD505-2E9C-101B-9397-08002B2CF9AE}" pid="6" name="DBG_Classification_ID">
    <vt:lpwstr>2</vt:lpwstr>
  </property>
  <property fmtid="{D5CDD505-2E9C-101B-9397-08002B2CF9AE}" pid="7" name="DBG_Classification_Name">
    <vt:lpwstr>Internal</vt:lpwstr>
  </property>
  <property fmtid="{D5CDD505-2E9C-101B-9397-08002B2CF9AE}" pid="8" name="bjSaver">
    <vt:lpwstr>kWLP1teI0vzs2Q2h8OKb7AGKzOdSQ3Qk</vt:lpwstr>
  </property>
  <property fmtid="{D5CDD505-2E9C-101B-9397-08002B2CF9AE}" pid="9" name="bjLabelHistoryID">
    <vt:lpwstr>{B5DF9D41-15B0-422B-BA29-ADB4C60F9A64}</vt:lpwstr>
  </property>
  <property fmtid="{D5CDD505-2E9C-101B-9397-08002B2CF9AE}" pid="10" name="ContentTypeId">
    <vt:lpwstr>0x010100B581D3907A0C6247B601A082F1A2FA73</vt:lpwstr>
  </property>
</Properties>
</file>