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3C3E09EB" w14:textId="77777777" w:rsidTr="00315E96">
        <w:trPr>
          <w:trHeight w:val="284"/>
        </w:trPr>
        <w:tc>
          <w:tcPr>
            <w:tcW w:w="9412" w:type="dxa"/>
          </w:tcPr>
          <w:p w14:paraId="3C3E09EA" w14:textId="2FD7B092" w:rsidR="00C2094B" w:rsidRPr="00583885" w:rsidRDefault="00A52EBB" w:rsidP="0071740A">
            <w:pPr>
              <w:pStyle w:val="Footer"/>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250827">
              <w:rPr>
                <w:rFonts w:cs="Arial"/>
                <w:color w:val="FFFFFF" w:themeColor="background1"/>
                <w:sz w:val="22"/>
                <w:szCs w:val="22"/>
              </w:rPr>
              <w:t>3</w:t>
            </w:r>
            <w:r w:rsidRPr="00583885">
              <w:rPr>
                <w:rFonts w:cs="Arial"/>
                <w:color w:val="FFFFFF" w:themeColor="background1"/>
                <w:sz w:val="22"/>
                <w:szCs w:val="22"/>
              </w:rPr>
              <w:t xml:space="preserve"> </w:t>
            </w:r>
            <w:r w:rsidR="00250827">
              <w:rPr>
                <w:rFonts w:cs="Arial"/>
                <w:color w:val="FFFFFF" w:themeColor="background1"/>
                <w:sz w:val="22"/>
                <w:szCs w:val="22"/>
              </w:rPr>
              <w:t>October</w:t>
            </w:r>
            <w:r w:rsidR="000E49B7">
              <w:rPr>
                <w:rFonts w:cs="Arial"/>
                <w:color w:val="FFFFFF" w:themeColor="background1"/>
                <w:sz w:val="22"/>
                <w:szCs w:val="22"/>
              </w:rPr>
              <w:t xml:space="preserve"> 2019</w:t>
            </w:r>
          </w:p>
        </w:tc>
      </w:tr>
    </w:tbl>
    <w:p w14:paraId="3C3E09EC"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C3E09EE" w14:textId="77777777" w:rsidTr="00B835D5">
        <w:trPr>
          <w:trHeight w:hRule="exact" w:val="1209"/>
        </w:trPr>
        <w:tc>
          <w:tcPr>
            <w:tcW w:w="9397" w:type="dxa"/>
            <w:vAlign w:val="bottom"/>
          </w:tcPr>
          <w:p w14:paraId="3C3E09ED" w14:textId="77777777" w:rsidR="00791EB4" w:rsidRPr="00616B9B"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227C1A">
              <w:rPr>
                <w:rFonts w:cs="Arial"/>
              </w:rPr>
              <w:t>MAR review report</w:t>
            </w:r>
          </w:p>
        </w:tc>
      </w:tr>
      <w:tr w:rsidR="00060F72" w:rsidRPr="00616B9B" w14:paraId="3C3E09F0" w14:textId="77777777" w:rsidTr="00B835D5">
        <w:trPr>
          <w:trHeight w:hRule="exact" w:val="605"/>
        </w:trPr>
        <w:tc>
          <w:tcPr>
            <w:tcW w:w="9397" w:type="dxa"/>
            <w:tcMar>
              <w:top w:w="142" w:type="dxa"/>
            </w:tcMar>
          </w:tcPr>
          <w:p w14:paraId="3C3E09EF"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3C3E09F1"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3C3E09F3" w14:textId="77777777" w:rsidTr="00315E96">
        <w:trPr>
          <w:trHeight w:hRule="exact" w:val="964"/>
        </w:trPr>
        <w:tc>
          <w:tcPr>
            <w:tcW w:w="2325" w:type="dxa"/>
          </w:tcPr>
          <w:p w14:paraId="3C3E09F2" w14:textId="2D77F543" w:rsidR="00620D7C" w:rsidRPr="00A52EBB" w:rsidRDefault="00620D7C" w:rsidP="00B1467D">
            <w:pPr>
              <w:pStyle w:val="02Date"/>
              <w:rPr>
                <w:rFonts w:cs="Arial"/>
              </w:rPr>
            </w:pPr>
            <w:r w:rsidRPr="00A52EBB">
              <w:rPr>
                <w:rFonts w:cs="Arial"/>
              </w:rPr>
              <w:lastRenderedPageBreak/>
              <w:t xml:space="preserve">Date: </w:t>
            </w:r>
            <w:r w:rsidR="00250827">
              <w:rPr>
                <w:rFonts w:cs="Arial"/>
              </w:rPr>
              <w:t>3</w:t>
            </w:r>
            <w:r w:rsidR="000E49B7">
              <w:rPr>
                <w:rFonts w:cs="Arial"/>
              </w:rPr>
              <w:t xml:space="preserve"> </w:t>
            </w:r>
            <w:r w:rsidR="00250827">
              <w:rPr>
                <w:rFonts w:cs="Arial"/>
              </w:rPr>
              <w:t>October</w:t>
            </w:r>
            <w:r w:rsidR="004E49B0" w:rsidRPr="00583885">
              <w:rPr>
                <w:rFonts w:cs="Arial"/>
              </w:rPr>
              <w:t xml:space="preserve"> 201</w:t>
            </w:r>
            <w:r w:rsidR="000E49B7">
              <w:rPr>
                <w:rFonts w:cs="Arial"/>
              </w:rPr>
              <w:t>9</w:t>
            </w:r>
          </w:p>
        </w:tc>
      </w:tr>
    </w:tbl>
    <w:p w14:paraId="3C3E09F4"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C3E09F5"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227C1A">
        <w:rPr>
          <w:rFonts w:cs="Arial"/>
        </w:rPr>
        <w:t>MAR review report</w:t>
      </w:r>
      <w:r w:rsidR="000E49B7" w:rsidRPr="000E49B7">
        <w:rPr>
          <w:rFonts w:cs="Arial"/>
        </w:rPr>
        <w:t xml:space="preserve"> </w:t>
      </w:r>
      <w:r w:rsidR="00015B5E" w:rsidRPr="00EF0769">
        <w:rPr>
          <w:rFonts w:cs="Arial"/>
        </w:rPr>
        <w:t>published on the ESMA website</w:t>
      </w:r>
      <w:r w:rsidR="004E49B0" w:rsidRPr="00EF0769">
        <w:rPr>
          <w:rFonts w:cs="Arial"/>
        </w:rPr>
        <w:t>.</w:t>
      </w:r>
    </w:p>
    <w:p w14:paraId="3C3E09F6" w14:textId="77777777" w:rsidR="001D000A" w:rsidRDefault="001D000A" w:rsidP="00F574D0">
      <w:pPr>
        <w:autoSpaceDE w:val="0"/>
        <w:autoSpaceDN w:val="0"/>
        <w:adjustRightInd w:val="0"/>
        <w:spacing w:before="120" w:after="120" w:line="276" w:lineRule="auto"/>
        <w:jc w:val="both"/>
        <w:rPr>
          <w:rStyle w:val="Strong4"/>
          <w:rFonts w:cs="Arial"/>
          <w:i/>
        </w:rPr>
      </w:pPr>
    </w:p>
    <w:p w14:paraId="3C3E09F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3C3E09F8"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3C3E09F9"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3C3E09FA" w14:textId="77777777"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CP_MAR_</w:t>
      </w:r>
      <w:r w:rsidR="000E49B7">
        <w:rPr>
          <w:rFonts w:cs="Arial"/>
        </w:rPr>
        <w:t>1</w:t>
      </w:r>
      <w:r w:rsidR="00F574D0" w:rsidRPr="00293D78">
        <w:rPr>
          <w:rFonts w:cs="Arial"/>
        </w:rPr>
        <w:t>&gt; - i.e. the response to one question has to be framed by the 2 tags corresponding to the question; and</w:t>
      </w:r>
    </w:p>
    <w:p w14:paraId="3C3E09FB"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C3E09FC"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3C3E09FD"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3C3E09FE"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C3E09FF"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3C3E0A00"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3C3E0A01" w14:textId="77777777" w:rsidR="001D000A" w:rsidRDefault="001D000A" w:rsidP="000D17AA">
      <w:pPr>
        <w:pStyle w:val="04BodyText"/>
        <w:spacing w:before="120" w:after="120"/>
        <w:jc w:val="left"/>
        <w:rPr>
          <w:rFonts w:cs="Arial"/>
          <w:b/>
        </w:rPr>
      </w:pPr>
    </w:p>
    <w:p w14:paraId="3C3E0A02" w14:textId="77777777" w:rsidR="000D17AA" w:rsidRPr="00EF0769" w:rsidRDefault="00606240" w:rsidP="000D17AA">
      <w:pPr>
        <w:pStyle w:val="04BodyText"/>
        <w:spacing w:before="120" w:after="120"/>
        <w:jc w:val="left"/>
        <w:rPr>
          <w:rFonts w:cs="Arial"/>
          <w:b/>
        </w:rPr>
      </w:pPr>
      <w:r>
        <w:rPr>
          <w:rFonts w:cs="Arial"/>
          <w:b/>
        </w:rPr>
        <w:t>Naming protocol</w:t>
      </w:r>
    </w:p>
    <w:p w14:paraId="3C3E0A03"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3C3E0A04"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NAMEOFCOMPANY_NAMEOFDOCUMENT</w:t>
      </w:r>
      <w:r w:rsidR="000D17AA" w:rsidRPr="00EF0769">
        <w:rPr>
          <w:rFonts w:cs="Arial"/>
        </w:rPr>
        <w:t>.</w:t>
      </w:r>
    </w:p>
    <w:p w14:paraId="3C3E0A05"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3C3E0A06" w14:textId="77777777"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 xml:space="preserve">ESMA_REPLYFORM or </w:t>
      </w:r>
    </w:p>
    <w:p w14:paraId="3C3E0A07"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ANNEX1</w:t>
      </w:r>
    </w:p>
    <w:p w14:paraId="3C3E0A08"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3C3E0A09"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3C3E0A0A"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227C1A">
        <w:rPr>
          <w:rFonts w:cs="Arial"/>
          <w:b/>
        </w:rPr>
        <w:t>29 November</w:t>
      </w:r>
      <w:r w:rsidR="00416ABC" w:rsidRPr="00583885">
        <w:rPr>
          <w:rFonts w:cs="Arial"/>
          <w:b/>
        </w:rPr>
        <w:t xml:space="preserve"> 201</w:t>
      </w:r>
      <w:r w:rsidR="002E1760">
        <w:rPr>
          <w:rFonts w:cs="Arial"/>
          <w:b/>
        </w:rPr>
        <w:t>9</w:t>
      </w:r>
      <w:r w:rsidR="00021E83" w:rsidRPr="00EF0769">
        <w:rPr>
          <w:rFonts w:cs="Arial"/>
          <w:b/>
        </w:rPr>
        <w:t>.</w:t>
      </w:r>
    </w:p>
    <w:p w14:paraId="3C3E0A0B"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6" w:history="1">
        <w:r w:rsidRPr="005B6B12">
          <w:rPr>
            <w:rStyle w:val="Hyperlink"/>
          </w:rPr>
          <w:t>www.esma.europa.eu</w:t>
        </w:r>
      </w:hyperlink>
      <w:r w:rsidRPr="005B6B12">
        <w:t xml:space="preserve"> under the heading ‘Your input - Consultations’.</w:t>
      </w:r>
    </w:p>
    <w:p w14:paraId="3C3E0A0C"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3C3E0A0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3C3E0A0E"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C3E0A0F"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3C3E0A10"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3C3E0A11"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3C3E0A12"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C3E0A13" w14:textId="77777777" w:rsidR="00332304" w:rsidRDefault="00332304">
      <w:pPr>
        <w:rPr>
          <w:rFonts w:cs="Arial"/>
          <w:b/>
          <w:bCs/>
          <w:kern w:val="32"/>
          <w:sz w:val="24"/>
          <w:szCs w:val="32"/>
        </w:rPr>
      </w:pPr>
      <w:r>
        <w:br w:type="page"/>
      </w:r>
    </w:p>
    <w:p w14:paraId="3C3E0A14"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3C3E0A17" w14:textId="77777777" w:rsidTr="00FA5524">
        <w:tc>
          <w:tcPr>
            <w:tcW w:w="3929" w:type="dxa"/>
            <w:shd w:val="clear" w:color="auto" w:fill="auto"/>
          </w:tcPr>
          <w:p w14:paraId="3C3E0A15" w14:textId="77777777" w:rsidR="00C2682A" w:rsidRPr="00E40A5C" w:rsidRDefault="00C2682A" w:rsidP="00FA5524">
            <w:pPr>
              <w:rPr>
                <w:rFonts w:cs="Arial"/>
                <w:sz w:val="22"/>
              </w:rPr>
            </w:pPr>
            <w:permStart w:id="751859053" w:edGrp="everyone" w:colFirst="1" w:colLast="1"/>
            <w:r w:rsidRPr="00E40A5C">
              <w:rPr>
                <w:rFonts w:cs="Arial"/>
                <w:sz w:val="22"/>
              </w:rPr>
              <w:t>Name of the company / organisation</w:t>
            </w:r>
          </w:p>
        </w:tc>
        <w:sdt>
          <w:sdtPr>
            <w:rPr>
              <w:rStyle w:val="PlaceholderText"/>
              <w:rFonts w:cs="Arial"/>
            </w:rPr>
            <w:id w:val="651570699"/>
            <w:text/>
          </w:sdtPr>
          <w:sdtContent>
            <w:tc>
              <w:tcPr>
                <w:tcW w:w="5595" w:type="dxa"/>
                <w:shd w:val="clear" w:color="auto" w:fill="auto"/>
              </w:tcPr>
              <w:p w14:paraId="3C3E0A16" w14:textId="473CCD6E" w:rsidR="00C2682A" w:rsidRPr="00AB6D88" w:rsidRDefault="00A2433F" w:rsidP="00FA5524">
                <w:pPr>
                  <w:rPr>
                    <w:rStyle w:val="PlaceholderText"/>
                    <w:rFonts w:cs="Arial"/>
                  </w:rPr>
                </w:pPr>
                <w:r>
                  <w:rPr>
                    <w:rStyle w:val="PlaceholderText"/>
                    <w:rFonts w:cs="Arial"/>
                  </w:rPr>
                  <w:t>Company Matters, part of Link Group</w:t>
                </w:r>
              </w:p>
            </w:tc>
          </w:sdtContent>
        </w:sdt>
      </w:tr>
      <w:tr w:rsidR="00C2682A" w:rsidRPr="00AB6D88" w14:paraId="3C3E0A1A" w14:textId="77777777" w:rsidTr="00FA5524">
        <w:tc>
          <w:tcPr>
            <w:tcW w:w="3929" w:type="dxa"/>
            <w:shd w:val="clear" w:color="auto" w:fill="auto"/>
          </w:tcPr>
          <w:p w14:paraId="3C3E0A18" w14:textId="77777777" w:rsidR="00C2682A" w:rsidRPr="00E40A5C" w:rsidRDefault="00C2682A" w:rsidP="00FA5524">
            <w:pPr>
              <w:rPr>
                <w:rFonts w:cs="Arial"/>
                <w:sz w:val="22"/>
              </w:rPr>
            </w:pPr>
            <w:permStart w:id="1858231047" w:edGrp="everyone" w:colFirst="1" w:colLast="1"/>
            <w:permEnd w:id="751859053"/>
            <w:r w:rsidRPr="00E40A5C">
              <w:rPr>
                <w:rFonts w:cs="Arial"/>
                <w:sz w:val="22"/>
              </w:rPr>
              <w:t>Activity</w:t>
            </w:r>
          </w:p>
        </w:tc>
        <w:tc>
          <w:tcPr>
            <w:tcW w:w="5595" w:type="dxa"/>
            <w:shd w:val="clear" w:color="auto" w:fill="auto"/>
          </w:tcPr>
          <w:p w14:paraId="3C3E0A19" w14:textId="01FB24B0" w:rsidR="00C2682A" w:rsidRPr="00AB6D88" w:rsidRDefault="00D563DF"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A2433F">
                  <w:rPr>
                    <w:rFonts w:cs="Arial"/>
                  </w:rPr>
                  <w:t>Other Financial service providers</w:t>
                </w:r>
              </w:sdtContent>
            </w:sdt>
          </w:p>
        </w:tc>
      </w:tr>
      <w:tr w:rsidR="00C2682A" w:rsidRPr="00AB6D88" w14:paraId="3C3E0A1D" w14:textId="77777777" w:rsidTr="00FA5524">
        <w:tc>
          <w:tcPr>
            <w:tcW w:w="3929" w:type="dxa"/>
            <w:shd w:val="clear" w:color="auto" w:fill="auto"/>
          </w:tcPr>
          <w:p w14:paraId="3C3E0A1B" w14:textId="77777777" w:rsidR="00C2682A" w:rsidRPr="00E40A5C" w:rsidRDefault="00C2682A" w:rsidP="00FA5524">
            <w:pPr>
              <w:rPr>
                <w:rFonts w:cs="Arial"/>
                <w:sz w:val="22"/>
              </w:rPr>
            </w:pPr>
            <w:permStart w:id="1888051579" w:edGrp="everyone" w:colFirst="1" w:colLast="1"/>
            <w:permEnd w:id="1858231047"/>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Content>
            <w:tc>
              <w:tcPr>
                <w:tcW w:w="5595" w:type="dxa"/>
                <w:shd w:val="clear" w:color="auto" w:fill="auto"/>
              </w:tcPr>
              <w:p w14:paraId="3C3E0A1C" w14:textId="77777777" w:rsidR="00C2682A" w:rsidRPr="00AB6D88" w:rsidRDefault="00C2682A" w:rsidP="00FA5524">
                <w:pPr>
                  <w:rPr>
                    <w:rFonts w:cs="Arial"/>
                  </w:rPr>
                </w:pPr>
                <w:r>
                  <w:rPr>
                    <w:rFonts w:ascii="MS Gothic" w:eastAsia="MS Gothic" w:hAnsi="MS Gothic" w:cs="Arial" w:hint="eastAsia"/>
                  </w:rPr>
                  <w:t>☐</w:t>
                </w:r>
              </w:p>
            </w:tc>
          </w:sdtContent>
        </w:sdt>
      </w:tr>
      <w:tr w:rsidR="00C2682A" w:rsidRPr="00AB6D88" w14:paraId="3C3E0A20" w14:textId="77777777" w:rsidTr="00FA5524">
        <w:tc>
          <w:tcPr>
            <w:tcW w:w="3929" w:type="dxa"/>
            <w:shd w:val="clear" w:color="auto" w:fill="auto"/>
          </w:tcPr>
          <w:p w14:paraId="3C3E0A1E" w14:textId="77777777" w:rsidR="00C2682A" w:rsidRPr="00E40A5C" w:rsidRDefault="00C2682A" w:rsidP="00FA5524">
            <w:pPr>
              <w:rPr>
                <w:rFonts w:cs="Arial"/>
                <w:sz w:val="22"/>
              </w:rPr>
            </w:pPr>
            <w:permStart w:id="2006712505" w:edGrp="everyone" w:colFirst="1" w:colLast="1"/>
            <w:permEnd w:id="1888051579"/>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3C3E0A1F" w14:textId="2EB7BB33" w:rsidR="00C2682A" w:rsidRPr="00AB6D88" w:rsidRDefault="00A2433F" w:rsidP="00FA5524">
                <w:pPr>
                  <w:rPr>
                    <w:rFonts w:cs="Arial"/>
                  </w:rPr>
                </w:pPr>
                <w:r>
                  <w:rPr>
                    <w:rFonts w:cs="Arial"/>
                  </w:rPr>
                  <w:t>UK</w:t>
                </w:r>
              </w:p>
            </w:tc>
          </w:sdtContent>
        </w:sdt>
      </w:tr>
      <w:permEnd w:id="2006712505"/>
    </w:tbl>
    <w:p w14:paraId="3C3E0A21" w14:textId="77777777" w:rsidR="00C2682A" w:rsidRDefault="00C2682A" w:rsidP="00F87897">
      <w:pPr>
        <w:spacing w:after="120" w:line="264" w:lineRule="auto"/>
      </w:pPr>
    </w:p>
    <w:p w14:paraId="3C3E0A22" w14:textId="77777777" w:rsidR="00F87897" w:rsidRDefault="00F87897" w:rsidP="00F87897">
      <w:pPr>
        <w:spacing w:after="120" w:line="264" w:lineRule="auto"/>
      </w:pPr>
    </w:p>
    <w:p w14:paraId="3C3E0A23" w14:textId="77777777" w:rsidR="00F87897" w:rsidRDefault="00F87897" w:rsidP="00F87897">
      <w:pPr>
        <w:pStyle w:val="Heading1"/>
        <w:numPr>
          <w:ilvl w:val="0"/>
          <w:numId w:val="0"/>
        </w:numPr>
        <w:ind w:left="431" w:hanging="431"/>
      </w:pPr>
      <w:r>
        <w:t>Introduction</w:t>
      </w:r>
    </w:p>
    <w:p w14:paraId="3C3E0A24" w14:textId="77777777" w:rsidR="00F87897" w:rsidRPr="001D47A5" w:rsidRDefault="00F87897" w:rsidP="00F87897">
      <w:pPr>
        <w:rPr>
          <w:rStyle w:val="IntenseEmphasis"/>
        </w:rPr>
      </w:pPr>
      <w:r w:rsidRPr="001D47A5">
        <w:rPr>
          <w:rStyle w:val="IntenseEmphasis"/>
        </w:rPr>
        <w:t>Please make your introductory comments below, if any:</w:t>
      </w:r>
    </w:p>
    <w:p w14:paraId="3C3E0A25" w14:textId="77777777" w:rsidR="00F87897" w:rsidRPr="00BF28DA" w:rsidRDefault="00F87897" w:rsidP="00F87897"/>
    <w:p w14:paraId="3C3E0A26" w14:textId="77777777" w:rsidR="00F87897" w:rsidRPr="006F4535" w:rsidRDefault="00F87897" w:rsidP="00F87897">
      <w:r w:rsidRPr="006F4535">
        <w:t>&lt;ESMA_COMMENT_</w:t>
      </w:r>
      <w:r w:rsidR="00227C1A">
        <w:t>CP_MAR_</w:t>
      </w:r>
      <w:r w:rsidRPr="006F4535">
        <w:t>1&gt;</w:t>
      </w:r>
    </w:p>
    <w:p w14:paraId="4433AC0E" w14:textId="77777777" w:rsidR="00A2433F" w:rsidRPr="00FE6A46" w:rsidRDefault="00A2433F" w:rsidP="006637D2">
      <w:pPr>
        <w:jc w:val="both"/>
      </w:pPr>
      <w:permStart w:id="1594194160" w:edGrp="everyone"/>
      <w:r w:rsidRPr="00FE6A46">
        <w:t>Company Matters, part of the wider Link Group</w:t>
      </w:r>
      <w:r>
        <w:t xml:space="preserve"> (ASX: LNK)</w:t>
      </w:r>
      <w:r w:rsidRPr="00FE6A46">
        <w:t xml:space="preserve">, is one of the UK’s </w:t>
      </w:r>
      <w:r>
        <w:t xml:space="preserve">leading </w:t>
      </w:r>
      <w:r w:rsidRPr="00FE6A46">
        <w:t xml:space="preserve">corporate governance and company secretarial specialists. </w:t>
      </w:r>
      <w:r>
        <w:t xml:space="preserve">We are a team of over 60 dedicated company secretaries and governance professionals providing tailored support to the company secretaries and boards of a wide range of companies in different sectors, stages of maturity and countries around the world. </w:t>
      </w:r>
    </w:p>
    <w:p w14:paraId="0D5C7A51" w14:textId="77777777" w:rsidR="00A2433F" w:rsidRPr="00FE6A46" w:rsidRDefault="00A2433F" w:rsidP="00A2433F">
      <w:pPr>
        <w:jc w:val="both"/>
      </w:pPr>
    </w:p>
    <w:p w14:paraId="3C3E0A27" w14:textId="466377F5" w:rsidR="00F87897" w:rsidRDefault="00A2433F" w:rsidP="00F87897">
      <w:proofErr w:type="gramStart"/>
      <w:r w:rsidRPr="00FE6A46">
        <w:t>The majority of</w:t>
      </w:r>
      <w:proofErr w:type="gramEnd"/>
      <w:r w:rsidRPr="00FE6A46">
        <w:t xml:space="preserve"> our clients have shares listed on the London Stock Exchange’s Main Market (mainly companies in the FTSE 250 or Small Cap indices) or traded on AIM. They include operating companies and a significant number of investment trusts. We therefore often advise and support clients on compliance with MAR, the Financial Conduct Authority’s Disclosure Guidance and Transparency Rules (“DTRs”) and related guidance and the AIM Rules, as relevant. Our responses </w:t>
      </w:r>
      <w:r>
        <w:t xml:space="preserve">to this consultation </w:t>
      </w:r>
      <w:r w:rsidRPr="00FE6A46">
        <w:t>have been prepared from this perspective.</w:t>
      </w:r>
      <w:permEnd w:id="1594194160"/>
    </w:p>
    <w:p w14:paraId="3C3E0A28" w14:textId="77777777" w:rsidR="00F87897" w:rsidRPr="00BF28DA" w:rsidRDefault="00F87897" w:rsidP="00F87897">
      <w:r w:rsidRPr="00BF28DA">
        <w:t>&lt;ESMA_COMMENT_</w:t>
      </w:r>
      <w:r w:rsidR="00227C1A">
        <w:t>CP_MAR_</w:t>
      </w:r>
      <w:r w:rsidRPr="00BF28DA">
        <w:t>1&gt;</w:t>
      </w:r>
    </w:p>
    <w:p w14:paraId="3C3E0A29" w14:textId="77777777" w:rsidR="00F87897" w:rsidRDefault="00F87897">
      <w:pPr>
        <w:rPr>
          <w:rFonts w:eastAsiaTheme="minorEastAsia" w:cstheme="minorBidi"/>
          <w:b/>
          <w:sz w:val="22"/>
          <w:szCs w:val="20"/>
          <w:lang w:eastAsia="en-US"/>
        </w:rPr>
      </w:pPr>
      <w:r>
        <w:br w:type="page"/>
      </w:r>
    </w:p>
    <w:p w14:paraId="3C3E0A2A" w14:textId="77777777" w:rsidR="00A8728B" w:rsidRPr="00070630" w:rsidRDefault="00227C1A" w:rsidP="00431B0A">
      <w:pPr>
        <w:pStyle w:val="CPQuestions"/>
      </w:pPr>
      <w:r w:rsidRPr="00227C1A">
        <w:lastRenderedPageBreak/>
        <w:t>Do you consider necessary to extend the scope of MAR to spot FX contracts? Please explain the reasons why the scope should or should not be extended, and whether the same goals could be achieved by changing any other piece of the EU regulatory framework</w:t>
      </w:r>
      <w:r w:rsidR="00276A5A">
        <w:t>.</w:t>
      </w:r>
    </w:p>
    <w:p w14:paraId="3C3E0A2B" w14:textId="77777777" w:rsidR="00A8728B" w:rsidRDefault="00A8728B" w:rsidP="00A8728B">
      <w:r>
        <w:t>&lt;ESMA_QUESTION</w:t>
      </w:r>
      <w:r w:rsidR="00D920D1">
        <w:t>_</w:t>
      </w:r>
      <w:r w:rsidR="00227C1A">
        <w:t>CP_MAR_</w:t>
      </w:r>
      <w:r>
        <w:t>1&gt;</w:t>
      </w:r>
    </w:p>
    <w:p w14:paraId="3C3E0A2C" w14:textId="77777777" w:rsidR="00A8728B" w:rsidRDefault="00A8728B" w:rsidP="00A8728B">
      <w:permStart w:id="751114692" w:edGrp="everyone"/>
      <w:r>
        <w:t>TYPE YOUR TEXT HERE</w:t>
      </w:r>
      <w:permEnd w:id="751114692"/>
    </w:p>
    <w:p w14:paraId="3C3E0A2D" w14:textId="77777777" w:rsidR="00A8728B" w:rsidRDefault="00A8728B" w:rsidP="00A8728B">
      <w:r>
        <w:t>&lt;ESMA_QUESTION</w:t>
      </w:r>
      <w:r w:rsidR="00D920D1">
        <w:t>_</w:t>
      </w:r>
      <w:r w:rsidR="00227C1A">
        <w:t>CP_MAR_</w:t>
      </w:r>
      <w:r>
        <w:t>1&gt;</w:t>
      </w:r>
    </w:p>
    <w:p w14:paraId="3C3E0A2E" w14:textId="77777777" w:rsidR="00C228C1" w:rsidRDefault="00C228C1" w:rsidP="00A8728B"/>
    <w:p w14:paraId="3C3E0A2F" w14:textId="77777777" w:rsidR="00431DA4" w:rsidRPr="00431DA4" w:rsidRDefault="00227C1A" w:rsidP="00EF383B">
      <w:pPr>
        <w:pStyle w:val="CPQuestions"/>
      </w:pPr>
      <w:r w:rsidRPr="00227C1A">
        <w:t>Do you agree with ESMA’s preliminary view about the structural changes that would be necessary to apply MAR to spot FX contracts? Please elaborate and indicate if you would consider necessary introducing additional regulatory changes</w:t>
      </w:r>
      <w:r w:rsidR="00276A5A">
        <w:t>.</w:t>
      </w:r>
    </w:p>
    <w:p w14:paraId="3C3E0A30" w14:textId="77777777" w:rsidR="00A8728B" w:rsidRDefault="00A8728B" w:rsidP="00A8728B">
      <w:r>
        <w:t>&lt;ESMA_QUESTION</w:t>
      </w:r>
      <w:r w:rsidR="00D920D1">
        <w:t>_</w:t>
      </w:r>
      <w:r w:rsidR="00227C1A">
        <w:t>CP_MAR_</w:t>
      </w:r>
      <w:r>
        <w:t>2&gt;</w:t>
      </w:r>
    </w:p>
    <w:p w14:paraId="3C3E0A31" w14:textId="77777777" w:rsidR="00A8728B" w:rsidRDefault="00A8728B" w:rsidP="00A8728B">
      <w:permStart w:id="1040662039" w:edGrp="everyone"/>
      <w:r>
        <w:t>TYPE YOUR TEXT HERE</w:t>
      </w:r>
      <w:permEnd w:id="1040662039"/>
    </w:p>
    <w:p w14:paraId="3C3E0A32" w14:textId="77777777" w:rsidR="00A8728B" w:rsidRDefault="00A8728B" w:rsidP="00A8728B">
      <w:r>
        <w:t>&lt;ESMA_QUESTION</w:t>
      </w:r>
      <w:r w:rsidR="00D920D1">
        <w:t>_</w:t>
      </w:r>
      <w:r w:rsidR="00227C1A">
        <w:t>CP_MAR_</w:t>
      </w:r>
      <w:r>
        <w:t>2&gt;</w:t>
      </w:r>
    </w:p>
    <w:p w14:paraId="3C3E0A33" w14:textId="77777777" w:rsidR="002E1760" w:rsidRDefault="002E1760" w:rsidP="00A8728B"/>
    <w:p w14:paraId="3C3E0A34" w14:textId="77777777" w:rsidR="002E1760" w:rsidRPr="00431DA4" w:rsidRDefault="00227C1A" w:rsidP="00293D78">
      <w:pPr>
        <w:pStyle w:val="CPQuestions"/>
      </w:pPr>
      <w:r w:rsidRPr="00227C1A">
        <w:t>Do you agree with this analysis? Do you think that the difference between the MAR and BMR definitions raises any market abuse risks and if so what changes might be necessary</w:t>
      </w:r>
      <w:r>
        <w:t>?</w:t>
      </w:r>
    </w:p>
    <w:p w14:paraId="3C3E0A35" w14:textId="77777777" w:rsidR="002E1760" w:rsidRDefault="002E1760" w:rsidP="002E1760">
      <w:r>
        <w:t>&lt;ESMA_QUESTION_</w:t>
      </w:r>
      <w:r w:rsidR="00227C1A">
        <w:t>CP_MAR_</w:t>
      </w:r>
      <w:r>
        <w:t>3&gt;</w:t>
      </w:r>
    </w:p>
    <w:p w14:paraId="3C3E0A36" w14:textId="77777777" w:rsidR="002E1760" w:rsidRDefault="002E1760" w:rsidP="002E1760">
      <w:permStart w:id="1114596086" w:edGrp="everyone"/>
      <w:r>
        <w:t>TYPE YOUR TEXT HERE</w:t>
      </w:r>
      <w:permEnd w:id="1114596086"/>
    </w:p>
    <w:p w14:paraId="3C3E0A37" w14:textId="77777777" w:rsidR="002E1760" w:rsidRDefault="002E1760" w:rsidP="002E1760">
      <w:r>
        <w:t>&lt;ESMA_QUESTION_</w:t>
      </w:r>
      <w:r w:rsidR="00227C1A">
        <w:t>CP_MAR_</w:t>
      </w:r>
      <w:r>
        <w:t>3&gt;</w:t>
      </w:r>
    </w:p>
    <w:p w14:paraId="3C3E0A38" w14:textId="77777777" w:rsidR="002E1760" w:rsidRDefault="002E1760" w:rsidP="00A8728B"/>
    <w:p w14:paraId="3C3E0A39" w14:textId="77777777" w:rsidR="002E1760" w:rsidRPr="00431DA4" w:rsidRDefault="00227C1A" w:rsidP="00293D78">
      <w:pPr>
        <w:pStyle w:val="CPQuestions"/>
      </w:pPr>
      <w:r w:rsidRPr="00227C1A">
        <w:t>Do you agree that the Article 30 of MAR “Administrative sanctions and other administrative measures” should also make reference to administrators of benchmarks and supervised contributors</w:t>
      </w:r>
      <w:r>
        <w:t>?</w:t>
      </w:r>
    </w:p>
    <w:p w14:paraId="3C3E0A3A" w14:textId="77777777" w:rsidR="002E1760" w:rsidRDefault="002E1760" w:rsidP="002E1760">
      <w:r>
        <w:t>&lt;ESMA_QUESTION_</w:t>
      </w:r>
      <w:r w:rsidR="00227C1A">
        <w:t>CP_MAR_</w:t>
      </w:r>
      <w:r>
        <w:t>4&gt;</w:t>
      </w:r>
    </w:p>
    <w:p w14:paraId="3C3E0A3B" w14:textId="77777777" w:rsidR="002E1760" w:rsidRDefault="002E1760" w:rsidP="002E1760">
      <w:permStart w:id="1507552575" w:edGrp="everyone"/>
      <w:r>
        <w:t>TYPE YOUR TEXT HERE</w:t>
      </w:r>
      <w:permEnd w:id="1507552575"/>
    </w:p>
    <w:p w14:paraId="3C3E0A3C" w14:textId="77777777" w:rsidR="002E1760" w:rsidRDefault="002E1760" w:rsidP="002E1760">
      <w:r>
        <w:t>&lt;ESMA_QUESTION_</w:t>
      </w:r>
      <w:r w:rsidR="00227C1A">
        <w:t>CP_MAR_</w:t>
      </w:r>
      <w:r>
        <w:t>4&gt;</w:t>
      </w:r>
    </w:p>
    <w:p w14:paraId="3C3E0A3D" w14:textId="77777777" w:rsidR="002E1760" w:rsidRDefault="002E1760" w:rsidP="002E1760"/>
    <w:p w14:paraId="3C3E0A3E" w14:textId="77777777" w:rsidR="002E1760" w:rsidRPr="00431DA4" w:rsidRDefault="00227C1A" w:rsidP="00293D78">
      <w:pPr>
        <w:pStyle w:val="CPQuestions"/>
      </w:pPr>
      <w:r w:rsidRPr="00227C1A">
        <w:t>Do you agree that the Article 23 of MAR “Powers of competent authorities” point (g) should also make reference to administrators of benchmarks and supervised contributors? Do you think that is there any other provision in Article 23 that should be amended to tackle (attempted) manipulation of benchmarks</w:t>
      </w:r>
      <w:r>
        <w:t>?</w:t>
      </w:r>
    </w:p>
    <w:p w14:paraId="3C3E0A3F" w14:textId="77777777" w:rsidR="00227C1A" w:rsidRDefault="00227C1A" w:rsidP="00227C1A">
      <w:r>
        <w:t>&lt;ESMA_QUESTION_CP_MAR_</w:t>
      </w:r>
      <w:r w:rsidR="0062022D">
        <w:t>5</w:t>
      </w:r>
      <w:r>
        <w:t>&gt;</w:t>
      </w:r>
    </w:p>
    <w:p w14:paraId="3C3E0A40" w14:textId="77777777" w:rsidR="00227C1A" w:rsidRDefault="00227C1A" w:rsidP="00227C1A">
      <w:permStart w:id="325415610" w:edGrp="everyone"/>
      <w:r>
        <w:t>TYPE YOUR TEXT HERE</w:t>
      </w:r>
      <w:permEnd w:id="325415610"/>
    </w:p>
    <w:p w14:paraId="3C3E0A41" w14:textId="77777777" w:rsidR="00227C1A" w:rsidRDefault="00227C1A" w:rsidP="00227C1A">
      <w:r>
        <w:t>&lt;ESMA_QUESTION_CP_MAR_</w:t>
      </w:r>
      <w:r w:rsidR="0062022D">
        <w:t>5</w:t>
      </w:r>
      <w:r>
        <w:t>&gt;</w:t>
      </w:r>
    </w:p>
    <w:p w14:paraId="3C3E0A42" w14:textId="77777777" w:rsidR="002E1760" w:rsidRDefault="002E1760" w:rsidP="002E1760"/>
    <w:p w14:paraId="3C3E0A43" w14:textId="77777777" w:rsidR="002E1760" w:rsidRPr="00431DA4" w:rsidRDefault="0062022D" w:rsidP="00293D78">
      <w:pPr>
        <w:pStyle w:val="CPQuestions"/>
      </w:pPr>
      <w:r w:rsidRPr="0062022D">
        <w:t>Do you agree that Article 30 of MAR points (e), (f) and (g) should also make reference to submitters within supervised contributors and assessors within administrators of commodity benchmarks</w:t>
      </w:r>
      <w:r>
        <w:t>?</w:t>
      </w:r>
    </w:p>
    <w:p w14:paraId="3C3E0A44" w14:textId="77777777" w:rsidR="0062022D" w:rsidRDefault="0062022D" w:rsidP="0062022D">
      <w:r>
        <w:lastRenderedPageBreak/>
        <w:t>&lt;ESMA_QUESTION_CP_MAR_</w:t>
      </w:r>
      <w:r w:rsidR="00A263DF">
        <w:t>6</w:t>
      </w:r>
      <w:r>
        <w:t>&gt;</w:t>
      </w:r>
    </w:p>
    <w:p w14:paraId="3C3E0A45" w14:textId="77777777" w:rsidR="0062022D" w:rsidRDefault="0062022D" w:rsidP="0062022D">
      <w:permStart w:id="970343703" w:edGrp="everyone"/>
      <w:r>
        <w:t>TYPE YOUR TEXT HERE</w:t>
      </w:r>
      <w:permEnd w:id="970343703"/>
    </w:p>
    <w:p w14:paraId="3C3E0A46" w14:textId="77777777" w:rsidR="0062022D" w:rsidRDefault="0062022D" w:rsidP="0062022D">
      <w:r>
        <w:t>&lt;ESMA_QUESTION_CP_MAR_</w:t>
      </w:r>
      <w:r w:rsidR="00A263DF">
        <w:t>6</w:t>
      </w:r>
      <w:r>
        <w:t>&gt;</w:t>
      </w:r>
    </w:p>
    <w:p w14:paraId="3C3E0A47" w14:textId="77777777" w:rsidR="0062022D" w:rsidRDefault="0062022D" w:rsidP="009003B8">
      <w:pPr>
        <w:jc w:val="both"/>
        <w:rPr>
          <w:i/>
        </w:rPr>
      </w:pPr>
    </w:p>
    <w:p w14:paraId="3C3E0A48" w14:textId="77777777" w:rsidR="002E1760" w:rsidRPr="00431DA4" w:rsidRDefault="00A263DF" w:rsidP="00293D78">
      <w:pPr>
        <w:pStyle w:val="CPQuestions"/>
      </w:pPr>
      <w:r w:rsidRPr="00A263DF">
        <w:t>Do you agree that there is a need to modify the reporting mechanism under Article 5(3) of MAR? Please justify your position</w:t>
      </w:r>
      <w:r>
        <w:t>.</w:t>
      </w:r>
    </w:p>
    <w:p w14:paraId="3C3E0A49" w14:textId="77777777" w:rsidR="00A263DF" w:rsidRDefault="00A263DF" w:rsidP="00A263DF">
      <w:r>
        <w:t>&lt;ESMA_QUESTION_CP_MAR_7&gt;</w:t>
      </w:r>
    </w:p>
    <w:p w14:paraId="3C3E0A4A" w14:textId="77777777" w:rsidR="00A263DF" w:rsidRDefault="00A263DF" w:rsidP="00A263DF">
      <w:permStart w:id="707658946" w:edGrp="everyone"/>
      <w:r>
        <w:t>TYPE YOUR TEXT HERE</w:t>
      </w:r>
      <w:permEnd w:id="707658946"/>
    </w:p>
    <w:p w14:paraId="3C3E0A4B" w14:textId="77777777" w:rsidR="00A263DF" w:rsidRDefault="00A263DF" w:rsidP="00A263DF">
      <w:r>
        <w:t>&lt;ESMA_QUESTION_CP_MAR_7&gt;</w:t>
      </w:r>
    </w:p>
    <w:p w14:paraId="3C3E0A4C" w14:textId="77777777" w:rsidR="00C228C1" w:rsidRDefault="00C228C1" w:rsidP="00A263DF"/>
    <w:p w14:paraId="3C3E0A4D" w14:textId="77777777" w:rsidR="002E1760" w:rsidRPr="00431DA4" w:rsidRDefault="008418E3" w:rsidP="00293D78">
      <w:pPr>
        <w:pStyle w:val="CPQuestions"/>
      </w:pPr>
      <w:r w:rsidRPr="008418E3">
        <w:t>If you agree that the reporting mechanism should be modified, do you agree that Option 3 as described is the best way forward? Please justify your position and if you disagree please suggest alternative</w:t>
      </w:r>
      <w:r>
        <w:t>.</w:t>
      </w:r>
    </w:p>
    <w:p w14:paraId="3C3E0A4E" w14:textId="77777777" w:rsidR="00A263DF" w:rsidRDefault="00A263DF" w:rsidP="00A263DF">
      <w:r>
        <w:t>&lt;ESMA_QUESTION_CP_MAR_</w:t>
      </w:r>
      <w:r w:rsidR="00C228C1">
        <w:t>8</w:t>
      </w:r>
      <w:r>
        <w:t>&gt;</w:t>
      </w:r>
    </w:p>
    <w:p w14:paraId="3C3E0A4F" w14:textId="77777777" w:rsidR="00A263DF" w:rsidRDefault="00A263DF" w:rsidP="00A263DF">
      <w:permStart w:id="797404044" w:edGrp="everyone"/>
      <w:r>
        <w:t>TYPE YOUR TEXT HERE</w:t>
      </w:r>
      <w:permEnd w:id="797404044"/>
    </w:p>
    <w:p w14:paraId="3C3E0A50" w14:textId="77777777" w:rsidR="00A263DF" w:rsidRDefault="00A263DF" w:rsidP="00A263DF">
      <w:r>
        <w:t>&lt;ESMA_QUESTION_CP_MAR_</w:t>
      </w:r>
      <w:r w:rsidR="00C228C1">
        <w:t>8</w:t>
      </w:r>
      <w:r>
        <w:t>&gt;</w:t>
      </w:r>
    </w:p>
    <w:p w14:paraId="3C3E0A51" w14:textId="77777777" w:rsidR="00C228C1" w:rsidRDefault="00C228C1" w:rsidP="00A263DF"/>
    <w:p w14:paraId="3C3E0A52" w14:textId="77777777" w:rsidR="002E1760" w:rsidRPr="00431DA4" w:rsidRDefault="008418E3" w:rsidP="00293D78">
      <w:pPr>
        <w:pStyle w:val="CPQuestions"/>
      </w:pPr>
      <w:r w:rsidRPr="008418E3">
        <w:t>Do you agree to remove the obligation for issuers to report under Article 5(3) of MAR information specified in Article 25(1) and (2) of MiFIR? If not, please explain</w:t>
      </w:r>
      <w:r>
        <w:t>.</w:t>
      </w:r>
    </w:p>
    <w:p w14:paraId="3C3E0A53" w14:textId="77777777" w:rsidR="002E1760" w:rsidRDefault="002E1760" w:rsidP="002E1760">
      <w:r>
        <w:t>&lt;ESMA_QUESTION_</w:t>
      </w:r>
      <w:r w:rsidR="00227C1A">
        <w:t>CP_MAR_</w:t>
      </w:r>
      <w:r>
        <w:t>9&gt;</w:t>
      </w:r>
    </w:p>
    <w:p w14:paraId="3C3E0A54" w14:textId="77777777" w:rsidR="002E1760" w:rsidRDefault="002E1760" w:rsidP="002E1760">
      <w:permStart w:id="1572474776" w:edGrp="everyone"/>
      <w:r>
        <w:t>TYPE YOUR TEXT HERE</w:t>
      </w:r>
      <w:permEnd w:id="1572474776"/>
    </w:p>
    <w:p w14:paraId="3C3E0A55" w14:textId="77777777" w:rsidR="002E1760" w:rsidRDefault="002E1760" w:rsidP="002E1760">
      <w:r>
        <w:t>&lt;ESMA_QUESTION_</w:t>
      </w:r>
      <w:r w:rsidR="00227C1A">
        <w:t>CP_MAR_</w:t>
      </w:r>
      <w:r>
        <w:t>9&gt;</w:t>
      </w:r>
    </w:p>
    <w:p w14:paraId="3C3E0A56" w14:textId="77777777" w:rsidR="00C228C1" w:rsidRDefault="00C228C1" w:rsidP="002E1760"/>
    <w:p w14:paraId="3C3E0A57" w14:textId="77777777" w:rsidR="002E1760" w:rsidRPr="00431DA4" w:rsidRDefault="008418E3" w:rsidP="00293D78">
      <w:pPr>
        <w:pStyle w:val="CPQuestions"/>
      </w:pPr>
      <w:r w:rsidRPr="008418E3">
        <w:t>Do you agree with the list of fields to be reported by the issuers to the NCA? If not, please elaborate</w:t>
      </w:r>
      <w:r w:rsidR="00FC7836">
        <w:t>.</w:t>
      </w:r>
    </w:p>
    <w:p w14:paraId="3C3E0A58" w14:textId="77777777" w:rsidR="008418E3" w:rsidRDefault="008418E3" w:rsidP="008418E3">
      <w:r>
        <w:t>&lt;ESMA_QUESTION_CP_MAR_10&gt;</w:t>
      </w:r>
    </w:p>
    <w:p w14:paraId="3C3E0A59" w14:textId="77777777" w:rsidR="008418E3" w:rsidRDefault="008418E3" w:rsidP="008418E3">
      <w:permStart w:id="1766684248" w:edGrp="everyone"/>
      <w:r>
        <w:t>TYPE YOUR TEXT HERE</w:t>
      </w:r>
      <w:permEnd w:id="1766684248"/>
    </w:p>
    <w:p w14:paraId="3C3E0A5A" w14:textId="77777777" w:rsidR="008418E3" w:rsidRDefault="008418E3" w:rsidP="008418E3">
      <w:r>
        <w:t>&lt;ESMA_QUESTION_CP_MAR_10&gt;</w:t>
      </w:r>
    </w:p>
    <w:p w14:paraId="3C3E0A5B" w14:textId="77777777" w:rsidR="00C228C1" w:rsidRDefault="00C228C1" w:rsidP="008418E3"/>
    <w:p w14:paraId="3C3E0A5C" w14:textId="77777777" w:rsidR="009003B8" w:rsidRDefault="00F469F8" w:rsidP="00293D78">
      <w:pPr>
        <w:pStyle w:val="CPQuestions"/>
      </w:pPr>
      <w:r w:rsidRPr="00F469F8">
        <w:t>Do you agree with ESMA’s preliminary view</w:t>
      </w:r>
      <w:r w:rsidR="009003B8">
        <w:t>?</w:t>
      </w:r>
    </w:p>
    <w:p w14:paraId="3C3E0A5D" w14:textId="77777777" w:rsidR="00F469F8" w:rsidRDefault="00F469F8" w:rsidP="00F469F8">
      <w:r>
        <w:t>&lt;ESMA_QUESTION_CP_MAR_11&gt;</w:t>
      </w:r>
    </w:p>
    <w:p w14:paraId="3C3E0A5E" w14:textId="77777777" w:rsidR="00F469F8" w:rsidRDefault="00F469F8" w:rsidP="00F469F8">
      <w:permStart w:id="332164447" w:edGrp="everyone"/>
      <w:r>
        <w:t>TYPE YOUR TEXT HERE</w:t>
      </w:r>
      <w:permEnd w:id="332164447"/>
    </w:p>
    <w:p w14:paraId="3C3E0A5F" w14:textId="77777777" w:rsidR="00F469F8" w:rsidRDefault="00F469F8" w:rsidP="00F469F8">
      <w:r>
        <w:t>&lt;ESMA_QUESTION_CP_MAR_11&gt;</w:t>
      </w:r>
    </w:p>
    <w:p w14:paraId="3C3E0A60" w14:textId="77777777" w:rsidR="00C228C1" w:rsidRDefault="00C228C1" w:rsidP="00F469F8"/>
    <w:p w14:paraId="3C3E0A61" w14:textId="77777777" w:rsidR="00F469F8" w:rsidRDefault="00F469F8" w:rsidP="00F469F8">
      <w:pPr>
        <w:pStyle w:val="CPQuestions"/>
      </w:pPr>
      <w:r w:rsidRPr="00F469F8">
        <w:t>Would you find more useful other aggregated data related to the BBP and if so what aggregated data? Please elaborate</w:t>
      </w:r>
      <w:r>
        <w:t>.</w:t>
      </w:r>
    </w:p>
    <w:p w14:paraId="3C3E0A62" w14:textId="77777777" w:rsidR="00F469F8" w:rsidRDefault="00F469F8" w:rsidP="00F469F8">
      <w:r>
        <w:t>&lt;ESMA_QUESTION_CP_MAR_1</w:t>
      </w:r>
      <w:r w:rsidR="002868FC">
        <w:t>2</w:t>
      </w:r>
      <w:r>
        <w:t>&gt;</w:t>
      </w:r>
    </w:p>
    <w:p w14:paraId="3C3E0A63" w14:textId="77777777" w:rsidR="00F469F8" w:rsidRDefault="00F469F8" w:rsidP="00F469F8">
      <w:permStart w:id="1943283503" w:edGrp="everyone"/>
      <w:r>
        <w:t>TYPE YOUR TEXT HERE</w:t>
      </w:r>
      <w:permEnd w:id="1943283503"/>
    </w:p>
    <w:p w14:paraId="3C3E0A64" w14:textId="77777777" w:rsidR="00F469F8" w:rsidRDefault="00F469F8" w:rsidP="00F469F8">
      <w:r>
        <w:t>&lt;ESMA_QUESTION_CP_MAR_1</w:t>
      </w:r>
      <w:r w:rsidR="002868FC">
        <w:t>2</w:t>
      </w:r>
      <w:r>
        <w:t>&gt;</w:t>
      </w:r>
    </w:p>
    <w:p w14:paraId="3C3E0A65" w14:textId="77777777" w:rsidR="009003B8" w:rsidRDefault="009003B8" w:rsidP="002E1760"/>
    <w:p w14:paraId="3C3E0A66" w14:textId="77777777" w:rsidR="00646C30" w:rsidRDefault="00C228C1" w:rsidP="00646C30">
      <w:pPr>
        <w:pStyle w:val="CPQuestions"/>
      </w:pPr>
      <w:r w:rsidRPr="00C228C1">
        <w:lastRenderedPageBreak/>
        <w:t>Have market participants experienced any difficulties with identifying what information is inside information and the moment in which information becomes inside information under the current MAR definition</w:t>
      </w:r>
      <w:r>
        <w:t>?</w:t>
      </w:r>
    </w:p>
    <w:p w14:paraId="3C3E0A67" w14:textId="77777777" w:rsidR="00646C30" w:rsidRDefault="00646C30" w:rsidP="00646C30">
      <w:r>
        <w:t>&lt;ESMA_QUESTION_CP_MAR_1</w:t>
      </w:r>
      <w:r w:rsidR="00101BF1">
        <w:t>3</w:t>
      </w:r>
      <w:r>
        <w:t>&gt;</w:t>
      </w:r>
    </w:p>
    <w:p w14:paraId="0F22D751" w14:textId="77777777" w:rsidR="00A2433F" w:rsidRDefault="00A2433F" w:rsidP="00D563DF">
      <w:pPr>
        <w:jc w:val="both"/>
      </w:pPr>
      <w:permStart w:id="770132907" w:edGrp="everyone"/>
      <w:r>
        <w:t>T</w:t>
      </w:r>
      <w:r w:rsidRPr="00FE6A46">
        <w:t>he definition of inside information</w:t>
      </w:r>
      <w:r>
        <w:t xml:space="preserve"> has four main limbs: </w:t>
      </w:r>
      <w:r w:rsidRPr="00FE6A46">
        <w:t>a) precise nature, b) not public, c) relating directly or indirectly to an issuer, and d) likely, if made public, to have a significant effect on share price</w:t>
      </w:r>
      <w:r>
        <w:t xml:space="preserve">. Applying this definition is not always straightforward. It requires a thorough understanding of MAR, related guidance and relevant case law and – as emphasised by the National Competent Authority in the UK, the Financial Conduct Authority or “FCA” – exercising constant vigilance and situational judgement. </w:t>
      </w:r>
    </w:p>
    <w:p w14:paraId="46AAFD84" w14:textId="77777777" w:rsidR="00A2433F" w:rsidRDefault="00A2433F" w:rsidP="00D563DF">
      <w:pPr>
        <w:jc w:val="both"/>
      </w:pPr>
    </w:p>
    <w:p w14:paraId="28CC888C" w14:textId="2A022AEB" w:rsidR="00A2433F" w:rsidRDefault="00A2433F" w:rsidP="00D563DF">
      <w:pPr>
        <w:jc w:val="both"/>
      </w:pPr>
      <w:r>
        <w:t>Based on our experience and feedback from others</w:t>
      </w:r>
      <w:r w:rsidRPr="005E328E">
        <w:t xml:space="preserve"> </w:t>
      </w:r>
      <w:r>
        <w:t>(including the results from a survey on the practical application of MAR undertaken by Company Matters and EQS Group, published in April 2019)</w:t>
      </w:r>
      <w:r w:rsidR="006637D2">
        <w:t xml:space="preserve"> (please see note below)</w:t>
      </w:r>
      <w:r w:rsidRPr="00FE6A46">
        <w:t xml:space="preserve">, often the most challenging aspect is determining exactly when any information becomes </w:t>
      </w:r>
      <w:r>
        <w:t>”</w:t>
      </w:r>
      <w:r w:rsidRPr="00FE6A46">
        <w:t>precise</w:t>
      </w:r>
      <w:r>
        <w:t>”</w:t>
      </w:r>
      <w:r w:rsidRPr="00FE6A46">
        <w:t xml:space="preserve"> in accordance with </w:t>
      </w:r>
      <w:r>
        <w:t xml:space="preserve">the first limb of the definition of inside information and the additional requirements under </w:t>
      </w:r>
      <w:r w:rsidRPr="00FE6A46">
        <w:t xml:space="preserve">Art 7(2). In particular, in relation to </w:t>
      </w:r>
      <w:r w:rsidR="006637D2">
        <w:t xml:space="preserve">the question of </w:t>
      </w:r>
      <w:r w:rsidRPr="00FE6A46">
        <w:t xml:space="preserve">when does information indicate a set of circumstances which “may reasonably be expected to come into existence” or “may reasonably be expected to occur”, and when is the information “specific enough to enable a conclusion to be drawn as to its possible effect” on the share price of an issuer. </w:t>
      </w:r>
    </w:p>
    <w:p w14:paraId="499F234C" w14:textId="77777777" w:rsidR="00A2433F" w:rsidRDefault="00A2433F" w:rsidP="00D563DF">
      <w:pPr>
        <w:jc w:val="both"/>
      </w:pPr>
    </w:p>
    <w:p w14:paraId="7919FC8A" w14:textId="77777777" w:rsidR="00A2433F" w:rsidRPr="00FE6A46" w:rsidRDefault="00A2433F" w:rsidP="00D563DF">
      <w:pPr>
        <w:jc w:val="both"/>
      </w:pPr>
      <w:r w:rsidRPr="00FE6A46">
        <w:t xml:space="preserve">This </w:t>
      </w:r>
      <w:r>
        <w:t>can be especially</w:t>
      </w:r>
      <w:r w:rsidRPr="00FE6A46">
        <w:t xml:space="preserve"> challenging in the context of complex accounting judgements, such as where a potential impairment trigger is identified, which requires a company to consider – subject to considerable further work – whether it would be appropriate to write down</w:t>
      </w:r>
      <w:r>
        <w:t xml:space="preserve"> the value of</w:t>
      </w:r>
      <w:r w:rsidRPr="00FE6A46">
        <w:t xml:space="preserve"> an asset and by how much (which will </w:t>
      </w:r>
      <w:r>
        <w:t>ultimately</w:t>
      </w:r>
      <w:r w:rsidRPr="00FE6A46">
        <w:t xml:space="preserve"> require board approval). The level of certainty about </w:t>
      </w:r>
      <w:r>
        <w:t xml:space="preserve">whether there should be a write down </w:t>
      </w:r>
      <w:r w:rsidRPr="00FE6A46">
        <w:t xml:space="preserve">and the quantum involved </w:t>
      </w:r>
      <w:r>
        <w:t xml:space="preserve">will grow </w:t>
      </w:r>
      <w:r w:rsidRPr="00FE6A46">
        <w:t xml:space="preserve">gradually over time, and it is not always </w:t>
      </w:r>
      <w:r>
        <w:t>straightforward</w:t>
      </w:r>
      <w:r w:rsidRPr="00FE6A46">
        <w:t xml:space="preserve"> to pinpoint with certainty the exact time when the information </w:t>
      </w:r>
      <w:r>
        <w:t>met</w:t>
      </w:r>
      <w:r w:rsidRPr="00FE6A46">
        <w:t xml:space="preserve"> the intended definition of ‘precise’. </w:t>
      </w:r>
    </w:p>
    <w:p w14:paraId="74FA237B" w14:textId="77777777" w:rsidR="00A2433F" w:rsidRDefault="00A2433F" w:rsidP="00D563DF">
      <w:pPr>
        <w:jc w:val="both"/>
      </w:pPr>
    </w:p>
    <w:p w14:paraId="3B300E82" w14:textId="77777777" w:rsidR="00A2433F" w:rsidRDefault="00A2433F" w:rsidP="00D563DF">
      <w:pPr>
        <w:jc w:val="both"/>
      </w:pPr>
      <w:bookmarkStart w:id="3" w:name="_Hlk25665918"/>
      <w:r w:rsidRPr="00FE6A46">
        <w:t xml:space="preserve">We have also observed </w:t>
      </w:r>
      <w:r>
        <w:t xml:space="preserve">difficulties with </w:t>
      </w:r>
      <w:r w:rsidRPr="00FE6A46">
        <w:t>the fourth limb</w:t>
      </w:r>
      <w:r>
        <w:t xml:space="preserve"> of the definition of inside information under Art 7(1)(a)</w:t>
      </w:r>
      <w:r w:rsidRPr="00FE6A46">
        <w:t xml:space="preserve">, i.e. whether the information, if made public, would </w:t>
      </w:r>
      <w:r>
        <w:t xml:space="preserve">be likely to </w:t>
      </w:r>
      <w:r w:rsidRPr="00FE6A46">
        <w:t xml:space="preserve">have a significant effect on </w:t>
      </w:r>
      <w:r>
        <w:t xml:space="preserve">the company’s share </w:t>
      </w:r>
      <w:r w:rsidRPr="00FE6A46">
        <w:t>price</w:t>
      </w:r>
      <w:r>
        <w:t>, and how this fits together with Art 7(4), which states that such information “shall mean information that a reasonable investor would be likely to use as part of the basis of his or her investment decisions.” It is not clear how the “significant effect” and “reasonable investor” tests fit together, leaving scope for different interpretations</w:t>
      </w:r>
      <w:r w:rsidRPr="00FE6A46">
        <w:t xml:space="preserve">. </w:t>
      </w:r>
    </w:p>
    <w:p w14:paraId="3DA96F90" w14:textId="77777777" w:rsidR="00A2433F" w:rsidRDefault="00A2433F" w:rsidP="00D563DF">
      <w:pPr>
        <w:jc w:val="both"/>
      </w:pPr>
    </w:p>
    <w:p w14:paraId="2829B517" w14:textId="77777777" w:rsidR="00A2433F" w:rsidRDefault="00A2433F" w:rsidP="00D563DF">
      <w:pPr>
        <w:jc w:val="both"/>
      </w:pPr>
      <w:r w:rsidRPr="00FE6A46">
        <w:t xml:space="preserve">Some </w:t>
      </w:r>
      <w:r>
        <w:t>parties</w:t>
      </w:r>
      <w:r w:rsidRPr="00FE6A46">
        <w:t xml:space="preserve"> approach this assessment </w:t>
      </w:r>
      <w:proofErr w:type="gramStart"/>
      <w:r w:rsidRPr="00FE6A46">
        <w:t>taking into account</w:t>
      </w:r>
      <w:proofErr w:type="gramEnd"/>
      <w:r w:rsidRPr="00FE6A46">
        <w:t xml:space="preserve"> the </w:t>
      </w:r>
      <w:r>
        <w:t>likely</w:t>
      </w:r>
      <w:r w:rsidRPr="00FE6A46">
        <w:t xml:space="preserve"> impact of the information on the share price </w:t>
      </w:r>
      <w:r w:rsidRPr="004D3B58">
        <w:rPr>
          <w:i/>
        </w:rPr>
        <w:t>as well as</w:t>
      </w:r>
      <w:r w:rsidRPr="00FE6A46">
        <w:t xml:space="preserve"> </w:t>
      </w:r>
      <w:r>
        <w:t xml:space="preserve">or </w:t>
      </w:r>
      <w:r w:rsidRPr="00C44D59">
        <w:rPr>
          <w:i/>
        </w:rPr>
        <w:t>and therefore</w:t>
      </w:r>
      <w:r>
        <w:t xml:space="preserve"> </w:t>
      </w:r>
      <w:r w:rsidRPr="00FE6A46">
        <w:t xml:space="preserve">whether it is information that </w:t>
      </w:r>
      <w:r>
        <w:t xml:space="preserve">is likely to form part of the motive for a reasonable investor’s decision. </w:t>
      </w:r>
      <w:r w:rsidRPr="00FE6A46">
        <w:t>O</w:t>
      </w:r>
      <w:r>
        <w:t>t</w:t>
      </w:r>
      <w:r w:rsidRPr="00FE6A46">
        <w:t>her</w:t>
      </w:r>
      <w:r>
        <w:t>s</w:t>
      </w:r>
      <w:r w:rsidRPr="00FE6A46">
        <w:t xml:space="preserve"> interpret Art 7(4) more literally, i.e. whether the information is likely to have a significant impact on the share price is </w:t>
      </w:r>
      <w:r>
        <w:t>not the starting point. T</w:t>
      </w:r>
      <w:r w:rsidRPr="00FE6A46">
        <w:t xml:space="preserve">he question is whether it is information that a reasonable investor would be likely use as part of the basis of their investment decision. </w:t>
      </w:r>
      <w:r>
        <w:t xml:space="preserve"> In practice, answering this question requires </w:t>
      </w:r>
      <w:proofErr w:type="gramStart"/>
      <w:r>
        <w:t>taking into account</w:t>
      </w:r>
      <w:proofErr w:type="gramEnd"/>
      <w:r>
        <w:t xml:space="preserve"> the likely impact of the information </w:t>
      </w:r>
      <w:r w:rsidRPr="00FE6A46">
        <w:t xml:space="preserve">on </w:t>
      </w:r>
      <w:r>
        <w:t xml:space="preserve">the share </w:t>
      </w:r>
      <w:r w:rsidRPr="00FE6A46">
        <w:t>price</w:t>
      </w:r>
      <w:r>
        <w:t>, and therefore both interpretations tend to arrive at the same conclusion. However, would this always be the case?</w:t>
      </w:r>
    </w:p>
    <w:p w14:paraId="6314FBA9" w14:textId="77777777" w:rsidR="00A2433F" w:rsidRDefault="00A2433F" w:rsidP="00D563DF">
      <w:pPr>
        <w:jc w:val="both"/>
      </w:pPr>
    </w:p>
    <w:bookmarkEnd w:id="3"/>
    <w:p w14:paraId="37076719" w14:textId="77777777" w:rsidR="00A2433F" w:rsidRPr="00FE6A46" w:rsidRDefault="00A2433F" w:rsidP="00D563DF">
      <w:pPr>
        <w:jc w:val="both"/>
      </w:pPr>
      <w:r w:rsidRPr="00FE6A46">
        <w:t xml:space="preserve">The </w:t>
      </w:r>
      <w:r>
        <w:t xml:space="preserve">overall </w:t>
      </w:r>
      <w:r w:rsidRPr="00FE6A46">
        <w:t xml:space="preserve">assessment of </w:t>
      </w:r>
      <w:r>
        <w:t xml:space="preserve">whether and when information is inside information </w:t>
      </w:r>
      <w:r w:rsidRPr="00FE6A46">
        <w:t>is generally influenced by the degree of cautiousness practiced by a company’s board of directors, company secretary and/ or general counsel</w:t>
      </w:r>
      <w:r>
        <w:t>,</w:t>
      </w:r>
      <w:r w:rsidRPr="00FE6A46">
        <w:t xml:space="preserve"> </w:t>
      </w:r>
      <w:r>
        <w:t xml:space="preserve">as well as </w:t>
      </w:r>
      <w:r w:rsidRPr="00FE6A46">
        <w:t>its external advisers, such as</w:t>
      </w:r>
      <w:r>
        <w:t xml:space="preserve"> their</w:t>
      </w:r>
      <w:r w:rsidRPr="00FE6A46">
        <w:t xml:space="preserve"> corporate broker, lawyers and in the case of investment companies, the investment manager. There is not always a consistent approach from company to company or between advisers. This inherently leaves the definition of ‘inside information’</w:t>
      </w:r>
      <w:r>
        <w:t xml:space="preserve"> exposed</w:t>
      </w:r>
      <w:r w:rsidRPr="00FE6A46">
        <w:t xml:space="preserve"> to a significant level of subjectivity, </w:t>
      </w:r>
      <w:r>
        <w:t>and</w:t>
      </w:r>
      <w:r w:rsidRPr="00FE6A46">
        <w:t xml:space="preserve"> largely contingent upon the cautiousness of advice being received from legal and other advisors.</w:t>
      </w:r>
    </w:p>
    <w:p w14:paraId="320B08B8" w14:textId="77777777" w:rsidR="00A2433F" w:rsidRPr="00FE6A46" w:rsidRDefault="00A2433F" w:rsidP="00D563DF">
      <w:pPr>
        <w:jc w:val="both"/>
      </w:pPr>
    </w:p>
    <w:p w14:paraId="3C3E0A68" w14:textId="278F5352" w:rsidR="00646C30" w:rsidRDefault="00A2433F" w:rsidP="006637D2">
      <w:pPr>
        <w:jc w:val="both"/>
      </w:pPr>
      <w:r w:rsidRPr="00FE6A46">
        <w:t xml:space="preserve">The effect of a subjective approach to determining whether information is inside information is exacerbated in the case of investment companies. The sole activity of these companies is to invest in other </w:t>
      </w:r>
      <w:r>
        <w:t>companies’</w:t>
      </w:r>
      <w:r w:rsidRPr="00FE6A46">
        <w:t xml:space="preserve"> shares, real estate and/or other assets, so they must be constantly vigilant as to whether information regarding one of their investments could constitute inside information in relation to the investment company itself. Some </w:t>
      </w:r>
      <w:r>
        <w:t xml:space="preserve">investment </w:t>
      </w:r>
      <w:r w:rsidRPr="00FE6A46">
        <w:t>companies argue that the</w:t>
      </w:r>
      <w:r>
        <w:t>ir</w:t>
      </w:r>
      <w:r w:rsidRPr="00FE6A46">
        <w:t xml:space="preserve"> very objective is to generate returns by buying and </w:t>
      </w:r>
      <w:r w:rsidRPr="00FE6A46">
        <w:lastRenderedPageBreak/>
        <w:t>selling shares or assets. They consider that</w:t>
      </w:r>
      <w:r>
        <w:t>,</w:t>
      </w:r>
      <w:r w:rsidRPr="00FE6A46">
        <w:t xml:space="preserve"> generally</w:t>
      </w:r>
      <w:r>
        <w:t>,</w:t>
      </w:r>
      <w:r w:rsidRPr="00FE6A46">
        <w:t xml:space="preserve"> </w:t>
      </w:r>
      <w:r>
        <w:t xml:space="preserve">most </w:t>
      </w:r>
      <w:r w:rsidRPr="00FE6A46">
        <w:t xml:space="preserve">discussions and decisions around their investment activity are </w:t>
      </w:r>
      <w:r w:rsidR="00792918">
        <w:t>“</w:t>
      </w:r>
      <w:r w:rsidRPr="00FE6A46">
        <w:t>business as usual</w:t>
      </w:r>
      <w:r>
        <w:t>”</w:t>
      </w:r>
      <w:r w:rsidRPr="00FE6A46">
        <w:t xml:space="preserve"> and </w:t>
      </w:r>
      <w:r>
        <w:t>th</w:t>
      </w:r>
      <w:r w:rsidR="00792918">
        <w:t>erefore</w:t>
      </w:r>
      <w:r>
        <w:t xml:space="preserve"> </w:t>
      </w:r>
      <w:r w:rsidRPr="00FE6A46">
        <w:t xml:space="preserve">adopt a </w:t>
      </w:r>
      <w:proofErr w:type="gramStart"/>
      <w:r>
        <w:t xml:space="preserve">fairly </w:t>
      </w:r>
      <w:r w:rsidRPr="00FE6A46">
        <w:t>robust</w:t>
      </w:r>
      <w:proofErr w:type="gramEnd"/>
      <w:r w:rsidRPr="00FE6A46">
        <w:t xml:space="preserve"> approach to determining whether they have ‘inside information’.</w:t>
      </w:r>
      <w:r w:rsidRPr="00FE6A46" w:rsidDel="00306EDA">
        <w:rPr>
          <w:rStyle w:val="CommentReference"/>
        </w:rPr>
        <w:t xml:space="preserve"> </w:t>
      </w:r>
      <w:r w:rsidRPr="00FE6A46">
        <w:t xml:space="preserve">Other companies adopt a more cautious approach, which can result in relevant parties being unnecessarily restricted from dealing in the company’s shares following inclusion on an insider list. </w:t>
      </w:r>
      <w:r>
        <w:t>Greater clarity on the identification of inside information and its timing would help to ensure greater consistency within and between markets.</w:t>
      </w:r>
    </w:p>
    <w:p w14:paraId="062D29CD" w14:textId="0DA957D8" w:rsidR="00646C30" w:rsidRDefault="00646C30" w:rsidP="00646C30"/>
    <w:p w14:paraId="349BC00D" w14:textId="0EB516E1" w:rsidR="00646C30" w:rsidRDefault="00A2433F" w:rsidP="00646C30">
      <w:r>
        <w:t xml:space="preserve">Note: ‘An update on the practical application of MAR’, April 2019, page 6: Almost a third of respondents stated that they had difficulty in determining precisely when information becomes inside information. Survey available at: </w:t>
      </w:r>
      <w:hyperlink r:id="rId18" w:history="1">
        <w:r w:rsidRPr="00F85116">
          <w:rPr>
            <w:rStyle w:val="Hyperlink"/>
          </w:rPr>
          <w:t>https://www.linkassetservices.com/documents/mar-report/0474-mar-survey_v2_r7-web.pdf</w:t>
        </w:r>
      </w:hyperlink>
      <w:permEnd w:id="770132907"/>
    </w:p>
    <w:p w14:paraId="3C3E0A69" w14:textId="77777777" w:rsidR="00646C30" w:rsidRDefault="00646C30" w:rsidP="00646C30">
      <w:r>
        <w:t>&lt;ESMA_QUESTION_CP_MAR_1</w:t>
      </w:r>
      <w:r w:rsidR="002F1683">
        <w:t>3</w:t>
      </w:r>
      <w:r>
        <w:t>&gt;</w:t>
      </w:r>
    </w:p>
    <w:p w14:paraId="3C3E0A6A" w14:textId="77777777" w:rsidR="002868FC" w:rsidRDefault="002868FC" w:rsidP="002E1760"/>
    <w:p w14:paraId="3C3E0A6B" w14:textId="77777777" w:rsidR="00646C30" w:rsidRDefault="00C228C1" w:rsidP="00646C30">
      <w:pPr>
        <w:pStyle w:val="CPQuestions"/>
      </w:pPr>
      <w:r w:rsidRPr="00C228C1">
        <w:t>Do market participants consider that the definition of inside information is sufficient for combatting market abuse</w:t>
      </w:r>
      <w:r>
        <w:t>?</w:t>
      </w:r>
    </w:p>
    <w:p w14:paraId="3C3E0A6C" w14:textId="77777777" w:rsidR="00646C30" w:rsidRDefault="00646C30" w:rsidP="00646C30">
      <w:r>
        <w:t>&lt;ESMA_QUESTION_CP_MAR_1</w:t>
      </w:r>
      <w:r w:rsidR="00101BF1">
        <w:t>4</w:t>
      </w:r>
      <w:r>
        <w:t>&gt;</w:t>
      </w:r>
    </w:p>
    <w:p w14:paraId="2C3AD8CF" w14:textId="77777777" w:rsidR="008E5912" w:rsidRPr="00FE6A46" w:rsidRDefault="008E5912" w:rsidP="00D563DF">
      <w:pPr>
        <w:jc w:val="both"/>
      </w:pPr>
      <w:permStart w:id="416102086" w:edGrp="everyone"/>
      <w:r w:rsidRPr="00FE6A46">
        <w:t xml:space="preserve">No. As mentioned in the response to Q15 below, we have seen certain instances </w:t>
      </w:r>
      <w:r>
        <w:t xml:space="preserve">of important information </w:t>
      </w:r>
      <w:r w:rsidRPr="00FE6A46">
        <w:t xml:space="preserve">which may have been outside of the scope of the current definition of ‘inside information’. </w:t>
      </w:r>
      <w:r>
        <w:t xml:space="preserve">Depending on the nature of that information, there </w:t>
      </w:r>
      <w:r w:rsidRPr="00FE6A46">
        <w:t xml:space="preserve">is potential for such instances to </w:t>
      </w:r>
      <w:r>
        <w:t>undermine the objectives of MAR</w:t>
      </w:r>
      <w:r w:rsidRPr="00FE6A46">
        <w:t xml:space="preserve">.  </w:t>
      </w:r>
    </w:p>
    <w:p w14:paraId="689C51B7" w14:textId="77777777" w:rsidR="008E5912" w:rsidRPr="00FE6A46" w:rsidRDefault="008E5912" w:rsidP="00D563DF">
      <w:pPr>
        <w:jc w:val="both"/>
      </w:pPr>
    </w:p>
    <w:p w14:paraId="3C3E0A6D" w14:textId="407C496E" w:rsidR="00646C30" w:rsidRDefault="008E5912" w:rsidP="00646C30">
      <w:r w:rsidRPr="00FE6A46">
        <w:t>I</w:t>
      </w:r>
      <w:r>
        <w:t>n addition, i</w:t>
      </w:r>
      <w:r w:rsidRPr="00FE6A46">
        <w:t>t may be necessary to highlight in MAR that</w:t>
      </w:r>
      <w:r>
        <w:t>,</w:t>
      </w:r>
      <w:r w:rsidRPr="00FE6A46">
        <w:t xml:space="preserve"> when considering the definition of ‘inside information’ in respect of </w:t>
      </w:r>
      <w:r>
        <w:t>one or more</w:t>
      </w:r>
      <w:r w:rsidRPr="00FE6A46">
        <w:t xml:space="preserve"> individual scenario</w:t>
      </w:r>
      <w:r>
        <w:t>s</w:t>
      </w:r>
      <w:r w:rsidRPr="00FE6A46">
        <w:t xml:space="preserve">, issuers should also be mindful of the wider circumstances of the company, including other information which individually may not meet the definition of inside information, but </w:t>
      </w:r>
      <w:r>
        <w:t xml:space="preserve">may do so </w:t>
      </w:r>
      <w:r w:rsidRPr="00FE6A46">
        <w:t xml:space="preserve">when considered </w:t>
      </w:r>
      <w:r>
        <w:t>in aggregate</w:t>
      </w:r>
      <w:r w:rsidRPr="00FE6A46">
        <w:t>. Specific scenarios in this regard are set out in the response to Q15 below</w:t>
      </w:r>
      <w:r>
        <w:t>.</w:t>
      </w:r>
      <w:permEnd w:id="416102086"/>
    </w:p>
    <w:p w14:paraId="3C3E0A6E" w14:textId="77777777" w:rsidR="00646C30" w:rsidRDefault="00646C30" w:rsidP="00646C30">
      <w:r>
        <w:t>&lt;ESMA_QUESTION_CP_MAR_1</w:t>
      </w:r>
      <w:r w:rsidR="00101BF1">
        <w:t>4</w:t>
      </w:r>
      <w:r>
        <w:t>&gt;</w:t>
      </w:r>
    </w:p>
    <w:p w14:paraId="3C3E0A6F" w14:textId="77777777" w:rsidR="002868FC" w:rsidRDefault="002868FC" w:rsidP="002E1760"/>
    <w:p w14:paraId="3C3E0A70" w14:textId="77777777" w:rsidR="00646C30" w:rsidRDefault="00C228C1" w:rsidP="00646C30">
      <w:pPr>
        <w:pStyle w:val="CPQuestions"/>
      </w:pPr>
      <w:r w:rsidRPr="00C228C1">
        <w:t>In particular, have market participants identified information that they would consider as inside information, but which is not covered by the current definition of inside information</w:t>
      </w:r>
      <w:r>
        <w:t>?</w:t>
      </w:r>
    </w:p>
    <w:p w14:paraId="3C3E0A71" w14:textId="77777777" w:rsidR="00646C30" w:rsidRDefault="00646C30" w:rsidP="00646C30">
      <w:r>
        <w:t>&lt;ESMA_QUESTION_CP_MAR_1</w:t>
      </w:r>
      <w:r w:rsidR="00101BF1">
        <w:t>5</w:t>
      </w:r>
      <w:r>
        <w:t>&gt;</w:t>
      </w:r>
    </w:p>
    <w:p w14:paraId="45038916" w14:textId="77777777" w:rsidR="006637D2" w:rsidRPr="00FE6A46" w:rsidRDefault="006637D2" w:rsidP="006637D2">
      <w:pPr>
        <w:jc w:val="both"/>
      </w:pPr>
      <w:permStart w:id="831264800" w:edGrp="everyone"/>
      <w:r w:rsidRPr="00FE6A46">
        <w:t>As mentioned above in response to Q14, often we have seen information arise in relation to our clients, which may not be captured under the current definition of ‘inside information’, but where it would nonetheless be inadvisable for Directors and PDMRs to deal on the basis of being in possession of this information.</w:t>
      </w:r>
      <w:r>
        <w:t xml:space="preserve"> </w:t>
      </w:r>
      <w:r w:rsidRPr="00FE6A46">
        <w:t>Examples include:</w:t>
      </w:r>
    </w:p>
    <w:p w14:paraId="33AEFA7E" w14:textId="77777777" w:rsidR="006637D2" w:rsidRPr="00FE6A46" w:rsidRDefault="006637D2" w:rsidP="006637D2">
      <w:pPr>
        <w:jc w:val="both"/>
        <w:rPr>
          <w:color w:val="FF0000"/>
        </w:rPr>
      </w:pPr>
    </w:p>
    <w:p w14:paraId="5ACC8405" w14:textId="77777777" w:rsidR="006637D2" w:rsidRPr="00FE6A46" w:rsidRDefault="006637D2" w:rsidP="006637D2">
      <w:pPr>
        <w:pStyle w:val="ListParagraph"/>
        <w:numPr>
          <w:ilvl w:val="0"/>
          <w:numId w:val="37"/>
        </w:numPr>
      </w:pPr>
      <w:r w:rsidRPr="00FE6A46">
        <w:t>One investment company (“Company A”) was building a larger stake in a portfolio company (“Company B”). This was</w:t>
      </w:r>
      <w:r>
        <w:t xml:space="preserve"> not</w:t>
      </w:r>
      <w:r w:rsidRPr="00FE6A46">
        <w:t xml:space="preserve"> deemed to be inside information</w:t>
      </w:r>
      <w:r>
        <w:t xml:space="preserve"> in respect of Company A</w:t>
      </w:r>
      <w:r w:rsidRPr="00FE6A46">
        <w:t xml:space="preserve">, because it was </w:t>
      </w:r>
      <w:r>
        <w:t xml:space="preserve">considered on balance to be </w:t>
      </w:r>
      <w:r w:rsidRPr="00FE6A46">
        <w:t>unlikely to have a significant impact on the share price of Company A</w:t>
      </w:r>
      <w:r>
        <w:t xml:space="preserve">. However, the information </w:t>
      </w:r>
      <w:r w:rsidRPr="00FE6A46">
        <w:t xml:space="preserve">was </w:t>
      </w:r>
      <w:r>
        <w:t xml:space="preserve">nonetheless </w:t>
      </w:r>
      <w:r w:rsidRPr="00FE6A46">
        <w:t>clearly confidential. Therefore, when a director of Company A requested permission to purchase shares in Company A under the company’s (voluntarily adopted) dealing code for directors</w:t>
      </w:r>
      <w:r>
        <w:t xml:space="preserve"> and PDMRs</w:t>
      </w:r>
      <w:r w:rsidRPr="00FE6A46">
        <w:t xml:space="preserve">, the board concluded that it would not be appropriate to grant permission to deal when this confidential information was in existence, </w:t>
      </w:r>
      <w:r>
        <w:t>to avoid any</w:t>
      </w:r>
      <w:r w:rsidRPr="00FE6A46">
        <w:t xml:space="preserve"> </w:t>
      </w:r>
      <w:r>
        <w:t xml:space="preserve">potential </w:t>
      </w:r>
      <w:r w:rsidRPr="00FE6A46">
        <w:t>reputational issues.</w:t>
      </w:r>
      <w:r>
        <w:t xml:space="preserve"> </w:t>
      </w:r>
    </w:p>
    <w:p w14:paraId="72F1A242" w14:textId="77777777" w:rsidR="006637D2" w:rsidRPr="00FE6A46" w:rsidRDefault="006637D2" w:rsidP="006637D2">
      <w:pPr>
        <w:pStyle w:val="ListParagraph"/>
        <w:jc w:val="both"/>
        <w:rPr>
          <w:color w:val="FF0000"/>
        </w:rPr>
      </w:pPr>
    </w:p>
    <w:p w14:paraId="3AEAB424" w14:textId="4BD57A94" w:rsidR="006637D2" w:rsidRPr="00D5664D" w:rsidRDefault="006637D2" w:rsidP="006637D2">
      <w:pPr>
        <w:pStyle w:val="ListParagraph"/>
        <w:numPr>
          <w:ilvl w:val="0"/>
          <w:numId w:val="37"/>
        </w:numPr>
        <w:jc w:val="both"/>
      </w:pPr>
      <w:r w:rsidRPr="00FE6A46">
        <w:t xml:space="preserve">As noted in the response to Q13, where an investment company (in particular a real estate investment company) is considering the purchase or disposal of a material  asset that will affect the size of its portfolio and the decision as to whether this is inside information is finely balanced, the board and its advisers may lean towards taking the view that this is not inside information because it is </w:t>
      </w:r>
      <w:r>
        <w:t>”</w:t>
      </w:r>
      <w:r w:rsidRPr="00FE6A46">
        <w:t>in the ordinary course of business</w:t>
      </w:r>
      <w:r>
        <w:t>”</w:t>
      </w:r>
      <w:r w:rsidRPr="00FE6A46">
        <w:t>. However, because of the nature or size of the transaction, it could still be information that a reasonable investor would be likely to use as part of their investment decision making, if the information was made public. Therefore, in this scenario, the current definition of inside information potentially provides too much flexibility of interpretation.</w:t>
      </w:r>
      <w:r w:rsidR="008E5912">
        <w:t xml:space="preserve"> </w:t>
      </w:r>
    </w:p>
    <w:p w14:paraId="590D8DC9" w14:textId="77777777" w:rsidR="006637D2" w:rsidRDefault="006637D2" w:rsidP="006637D2">
      <w:pPr>
        <w:jc w:val="both"/>
      </w:pPr>
    </w:p>
    <w:p w14:paraId="3C3E0A72" w14:textId="7B19D63A" w:rsidR="00646C30" w:rsidRDefault="006637D2" w:rsidP="00646C30">
      <w:r>
        <w:t>As also mentioned in the response to Q14, situations can arise where a single item of information may not be inside information of itself but may fall into that category when fully considered in the wider context of the group. An example would include a situation where the managing director of one of the larger business units of a group had informed the board of his intention to resign, following a fundamental disagreement with the group CEO. As a result, it was considered best that the managing director resign with immediate effect and be replaced by an internal successor. A few months before, the group had announced a material decline in the performance of that managing director’s business unit, which had adversely affected the group’s share price and the outlook for the business unit remained challenging, in line with the company’s guidance. The initial internal assessment presented to the group’s disclosure committee was that this was not likely to be inside information because the managing director was not an executive director of the group. However, the disclosure committee deemed it appropriate to look beyond this and also consider how the market was likely to perceive the resignation in the context of e.g. the importance of the business unit to the success of the group, it</w:t>
      </w:r>
      <w:r w:rsidR="00792918">
        <w:t>s</w:t>
      </w:r>
      <w:r>
        <w:t xml:space="preserve"> recent poor performance and challenging outlook, the managing director’s track record as head of this business unit in contrast to a successor who was previously unknown to investors and the suddenness of the resignation.</w:t>
      </w:r>
      <w:permEnd w:id="831264800"/>
    </w:p>
    <w:p w14:paraId="3C3E0A73" w14:textId="77777777" w:rsidR="00646C30" w:rsidRDefault="00646C30" w:rsidP="00646C30">
      <w:r>
        <w:t>&lt;ESMA_QUESTION_CP_MAR_1</w:t>
      </w:r>
      <w:r w:rsidR="00101BF1">
        <w:t>5</w:t>
      </w:r>
      <w:r>
        <w:t>&gt;</w:t>
      </w:r>
    </w:p>
    <w:p w14:paraId="3C3E0A74" w14:textId="77777777" w:rsidR="002868FC" w:rsidRDefault="002868FC" w:rsidP="002E1760"/>
    <w:p w14:paraId="3C3E0A75" w14:textId="77777777" w:rsidR="00646C30" w:rsidRDefault="00C228C1" w:rsidP="00646C30">
      <w:pPr>
        <w:pStyle w:val="CPQuestions"/>
      </w:pPr>
      <w:r w:rsidRPr="00C228C1">
        <w:t>Have market participants identified inside information on commodity derivatives which is not included in the current definition of Article 7(1)(b) of MAR</w:t>
      </w:r>
      <w:r>
        <w:t>?</w:t>
      </w:r>
    </w:p>
    <w:p w14:paraId="3C3E0A76" w14:textId="77777777" w:rsidR="00646C30" w:rsidRDefault="00646C30" w:rsidP="00646C30">
      <w:r>
        <w:t>&lt;ESMA_QUESTION_CP_MAR_1</w:t>
      </w:r>
      <w:r w:rsidR="00101BF1">
        <w:t>6</w:t>
      </w:r>
      <w:r>
        <w:t>&gt;</w:t>
      </w:r>
    </w:p>
    <w:p w14:paraId="3C3E0A77" w14:textId="77777777" w:rsidR="00646C30" w:rsidRDefault="00646C30" w:rsidP="00646C30">
      <w:permStart w:id="2062680747" w:edGrp="everyone"/>
      <w:r>
        <w:t>TYPE YOUR TEXT HERE</w:t>
      </w:r>
      <w:permEnd w:id="2062680747"/>
    </w:p>
    <w:p w14:paraId="3C3E0A78" w14:textId="77777777" w:rsidR="00646C30" w:rsidRDefault="00646C30" w:rsidP="00646C30">
      <w:r>
        <w:t>&lt;ESMA_QUESTION_CP_MAR_1</w:t>
      </w:r>
      <w:r w:rsidR="00101BF1">
        <w:t>6</w:t>
      </w:r>
      <w:r>
        <w:t>&gt;</w:t>
      </w:r>
    </w:p>
    <w:p w14:paraId="3C3E0A79" w14:textId="77777777" w:rsidR="002868FC" w:rsidRDefault="002868FC" w:rsidP="002E1760"/>
    <w:p w14:paraId="3C3E0A7A" w14:textId="77777777" w:rsidR="00646C30" w:rsidRDefault="00C228C1" w:rsidP="00646C30">
      <w:pPr>
        <w:pStyle w:val="CPQuestions"/>
      </w:pPr>
      <w:r w:rsidRPr="00C228C1">
        <w:t>What is an appropriate balance between the scope of inside information relating to commodity derivatives and allowing commodity producers to undertake hedging transactions on the basis of that information, to enable them to carry out their commercial activities and to support the effective functioning of the market?</w:t>
      </w:r>
    </w:p>
    <w:p w14:paraId="3C3E0A7B" w14:textId="77777777" w:rsidR="00646C30" w:rsidRDefault="00646C30" w:rsidP="00646C30">
      <w:r>
        <w:t>&lt;ESMA_QUESTION_CP_MAR_1</w:t>
      </w:r>
      <w:r w:rsidR="00101BF1">
        <w:t>7</w:t>
      </w:r>
      <w:r>
        <w:t>&gt;</w:t>
      </w:r>
    </w:p>
    <w:p w14:paraId="3C3E0A7C" w14:textId="77777777" w:rsidR="00646C30" w:rsidRDefault="00646C30" w:rsidP="00646C30">
      <w:permStart w:id="436762959" w:edGrp="everyone"/>
      <w:r>
        <w:t>TYPE YOUR TEXT HERE</w:t>
      </w:r>
      <w:permEnd w:id="436762959"/>
    </w:p>
    <w:p w14:paraId="3C3E0A7D" w14:textId="77777777" w:rsidR="00646C30" w:rsidRDefault="00646C30" w:rsidP="00646C30">
      <w:r>
        <w:t>&lt;ESMA_QUESTION_CP_MAR_1</w:t>
      </w:r>
      <w:r w:rsidR="00101BF1">
        <w:t>7</w:t>
      </w:r>
      <w:r>
        <w:t>&gt;</w:t>
      </w:r>
    </w:p>
    <w:p w14:paraId="3C3E0A7E" w14:textId="77777777" w:rsidR="002868FC" w:rsidRDefault="002868FC" w:rsidP="002E1760"/>
    <w:p w14:paraId="3C3E0A7F" w14:textId="77777777" w:rsidR="00646C30" w:rsidRDefault="00C228C1" w:rsidP="00646C30">
      <w:pPr>
        <w:pStyle w:val="CPQuestions"/>
      </w:pPr>
      <w:r w:rsidRPr="00C228C1">
        <w:t>As of today, does the current definition of Article 7(1)(b) of MAR allow commodity producers to hedge their commercial activities? In this respect, please provide information on hedging difficulties encountered</w:t>
      </w:r>
      <w:r>
        <w:t>.</w:t>
      </w:r>
    </w:p>
    <w:p w14:paraId="3C3E0A80" w14:textId="77777777" w:rsidR="00646C30" w:rsidRDefault="00646C30" w:rsidP="00646C30">
      <w:r>
        <w:t>&lt;ESMA_QUESTION_CP_MAR_1</w:t>
      </w:r>
      <w:r w:rsidR="00101BF1">
        <w:t>8</w:t>
      </w:r>
      <w:r>
        <w:t>&gt;</w:t>
      </w:r>
    </w:p>
    <w:p w14:paraId="3C3E0A81" w14:textId="77777777" w:rsidR="00646C30" w:rsidRDefault="00646C30" w:rsidP="00646C30">
      <w:permStart w:id="1619285630" w:edGrp="everyone"/>
      <w:r>
        <w:t>TYPE YOUR TEXT HERE</w:t>
      </w:r>
      <w:permEnd w:id="1619285630"/>
    </w:p>
    <w:p w14:paraId="3C3E0A82" w14:textId="77777777" w:rsidR="00646C30" w:rsidRDefault="00646C30" w:rsidP="00646C30">
      <w:r>
        <w:t>&lt;ESMA_QUESTION_CP_MAR_1</w:t>
      </w:r>
      <w:r w:rsidR="00101BF1">
        <w:t>8</w:t>
      </w:r>
      <w:r>
        <w:t>&gt;</w:t>
      </w:r>
    </w:p>
    <w:p w14:paraId="3C3E0A83" w14:textId="77777777" w:rsidR="002868FC" w:rsidRDefault="002868FC" w:rsidP="002E1760"/>
    <w:p w14:paraId="3C3E0A84" w14:textId="77777777" w:rsidR="00646C30" w:rsidRDefault="000A0396" w:rsidP="00646C30">
      <w:pPr>
        <w:pStyle w:val="CPQuestions"/>
      </w:pPr>
      <w:r w:rsidRPr="000A0396">
        <w:t xml:space="preserve">Please provide your views on whether the general definition of inside information of Article 7(1)(a) of MAR could be used for commodity derivatives. In such case, would safeguards enabling commodity producers to undertake hedging transactions </w:t>
      </w:r>
      <w:r w:rsidRPr="000A0396">
        <w:lastRenderedPageBreak/>
        <w:t>based on proprietary inside information related to their commercial activities be needed? Which types of safeguards would you envisage</w:t>
      </w:r>
      <w:r w:rsidR="00C228C1">
        <w:t>?</w:t>
      </w:r>
    </w:p>
    <w:p w14:paraId="3C3E0A85" w14:textId="77777777" w:rsidR="00646C30" w:rsidRDefault="00646C30" w:rsidP="00646C30">
      <w:r>
        <w:t>&lt;ESMA_QUESTION_CP_MAR_1</w:t>
      </w:r>
      <w:r w:rsidR="00101BF1">
        <w:t>9</w:t>
      </w:r>
      <w:r>
        <w:t>&gt;</w:t>
      </w:r>
    </w:p>
    <w:p w14:paraId="3C3E0A86" w14:textId="77777777" w:rsidR="00646C30" w:rsidRDefault="00646C30" w:rsidP="00646C30">
      <w:permStart w:id="1674213556" w:edGrp="everyone"/>
      <w:r>
        <w:t>TYPE YOUR TEXT HERE</w:t>
      </w:r>
      <w:permEnd w:id="1674213556"/>
    </w:p>
    <w:p w14:paraId="3C3E0A87" w14:textId="77777777" w:rsidR="00646C30" w:rsidRDefault="00646C30" w:rsidP="00646C30">
      <w:r>
        <w:t>&lt;ESMA_QUESTION_CP_MAR_1</w:t>
      </w:r>
      <w:r w:rsidR="00101BF1">
        <w:t>9</w:t>
      </w:r>
      <w:r>
        <w:t>&gt;</w:t>
      </w:r>
    </w:p>
    <w:p w14:paraId="3C3E0A88" w14:textId="77777777" w:rsidR="002868FC" w:rsidRDefault="002868FC" w:rsidP="002E1760"/>
    <w:p w14:paraId="3C3E0A89" w14:textId="77777777" w:rsidR="00646C30" w:rsidRDefault="00C96CA4" w:rsidP="00646C30">
      <w:pPr>
        <w:pStyle w:val="CPQuestions"/>
      </w:pPr>
      <w:r w:rsidRPr="00C96CA4">
        <w:t>What changes could be made to include other cases of front running</w:t>
      </w:r>
      <w:r>
        <w:t>?</w:t>
      </w:r>
    </w:p>
    <w:p w14:paraId="3C3E0A8A" w14:textId="77777777" w:rsidR="00646C30" w:rsidRDefault="00646C30" w:rsidP="00646C30">
      <w:r>
        <w:t>&lt;ESMA_QUESTION_CP_MAR_</w:t>
      </w:r>
      <w:r w:rsidR="00101BF1">
        <w:t>20</w:t>
      </w:r>
      <w:r>
        <w:t>&gt;</w:t>
      </w:r>
    </w:p>
    <w:p w14:paraId="3C3E0A8B" w14:textId="77777777" w:rsidR="00646C30" w:rsidRDefault="00646C30" w:rsidP="00646C30">
      <w:permStart w:id="583142347" w:edGrp="everyone"/>
      <w:r>
        <w:t>TYPE YOUR TEXT HERE</w:t>
      </w:r>
      <w:permEnd w:id="583142347"/>
    </w:p>
    <w:p w14:paraId="3C3E0A8C" w14:textId="77777777" w:rsidR="00646C30" w:rsidRDefault="00646C30" w:rsidP="00646C30">
      <w:r>
        <w:t>&lt;ESMA_QUESTION_CP_MAR_</w:t>
      </w:r>
      <w:r w:rsidR="00101BF1">
        <w:t>20</w:t>
      </w:r>
      <w:r>
        <w:t>&gt;</w:t>
      </w:r>
    </w:p>
    <w:p w14:paraId="3C3E0A8D" w14:textId="77777777" w:rsidR="00646C30" w:rsidRDefault="00646C30" w:rsidP="002E1760"/>
    <w:p w14:paraId="3C3E0A8E" w14:textId="77777777" w:rsidR="00646C30" w:rsidRDefault="00C96CA4" w:rsidP="00646C30">
      <w:pPr>
        <w:pStyle w:val="CPQuestions"/>
      </w:pPr>
      <w:r w:rsidRPr="00C96CA4">
        <w:t>Do you consider that specific conditions should be added in MAR to cover front-running on financial instruments which have an illiquid market</w:t>
      </w:r>
      <w:r>
        <w:t>?</w:t>
      </w:r>
    </w:p>
    <w:p w14:paraId="3C3E0A8F" w14:textId="77777777" w:rsidR="00646C30" w:rsidRDefault="00646C30" w:rsidP="00646C30">
      <w:r>
        <w:t>&lt;ESMA_QUESTION_CP_MAR_</w:t>
      </w:r>
      <w:r w:rsidR="00101BF1">
        <w:t>21</w:t>
      </w:r>
      <w:r>
        <w:t>&gt;</w:t>
      </w:r>
    </w:p>
    <w:p w14:paraId="3C3E0A90" w14:textId="77777777" w:rsidR="00646C30" w:rsidRDefault="00646C30" w:rsidP="00646C30">
      <w:permStart w:id="1948856452" w:edGrp="everyone"/>
      <w:r>
        <w:t>TYPE YOUR TEXT HERE</w:t>
      </w:r>
      <w:permEnd w:id="1948856452"/>
    </w:p>
    <w:p w14:paraId="3C3E0A91" w14:textId="77777777" w:rsidR="00646C30" w:rsidRDefault="00646C30" w:rsidP="00646C30">
      <w:r>
        <w:t>&lt;ESMA_QUESTION_CP_MAR_</w:t>
      </w:r>
      <w:r w:rsidR="00101BF1">
        <w:t>21</w:t>
      </w:r>
      <w:r>
        <w:t>&gt;</w:t>
      </w:r>
    </w:p>
    <w:p w14:paraId="3C3E0A92" w14:textId="77777777" w:rsidR="00646C30" w:rsidRDefault="00646C30" w:rsidP="002E1760"/>
    <w:p w14:paraId="3C3E0A93" w14:textId="77777777" w:rsidR="00646C30" w:rsidRDefault="00674628" w:rsidP="00646C30">
      <w:pPr>
        <w:pStyle w:val="CPQuestions"/>
      </w:pPr>
      <w:r w:rsidRPr="00674628">
        <w:t>What market abuse and/or conduct risks could arise from pre-hedging behaviours and what systems and controls do firms have in place to address those risks? What measures could be used in MAR or other legislation to address those risks</w:t>
      </w:r>
      <w:r>
        <w:t>?</w:t>
      </w:r>
    </w:p>
    <w:p w14:paraId="3C3E0A94" w14:textId="77777777" w:rsidR="00646C30" w:rsidRDefault="00646C30" w:rsidP="00646C30">
      <w:r>
        <w:t>&lt;ESMA_QUESTION_CP_MAR_</w:t>
      </w:r>
      <w:r w:rsidR="00101BF1">
        <w:t>22</w:t>
      </w:r>
      <w:r>
        <w:t>&gt;</w:t>
      </w:r>
    </w:p>
    <w:p w14:paraId="3C3E0A95" w14:textId="77777777" w:rsidR="00646C30" w:rsidRDefault="00646C30" w:rsidP="00646C30">
      <w:permStart w:id="969017955" w:edGrp="everyone"/>
      <w:r>
        <w:t>TYPE YOUR TEXT HERE</w:t>
      </w:r>
      <w:permEnd w:id="969017955"/>
    </w:p>
    <w:p w14:paraId="3C3E0A96" w14:textId="77777777" w:rsidR="00646C30" w:rsidRDefault="00646C30" w:rsidP="00646C30">
      <w:r>
        <w:t>&lt;ESMA_QUESTION_CP_MAR_</w:t>
      </w:r>
      <w:r w:rsidR="00101BF1">
        <w:t>22</w:t>
      </w:r>
      <w:r>
        <w:t>&gt;</w:t>
      </w:r>
    </w:p>
    <w:p w14:paraId="3C3E0A97" w14:textId="77777777" w:rsidR="00646C30" w:rsidRDefault="00646C30" w:rsidP="002E1760"/>
    <w:p w14:paraId="3C3E0A98" w14:textId="77777777" w:rsidR="00646C30" w:rsidRDefault="00674628" w:rsidP="00646C30">
      <w:pPr>
        <w:pStyle w:val="CPQuestions"/>
      </w:pPr>
      <w:r w:rsidRPr="00674628">
        <w:t>What benefits do pre-hedging behaviours provide to firms, clients and to the functioning of the market</w:t>
      </w:r>
      <w:r>
        <w:t>?</w:t>
      </w:r>
    </w:p>
    <w:p w14:paraId="3C3E0A99" w14:textId="77777777" w:rsidR="00646C30" w:rsidRDefault="00646C30" w:rsidP="00646C30">
      <w:r>
        <w:t>&lt;ESMA_QUESTION_CP_MAR_</w:t>
      </w:r>
      <w:r w:rsidR="00101BF1">
        <w:t>23</w:t>
      </w:r>
      <w:r>
        <w:t>&gt;</w:t>
      </w:r>
    </w:p>
    <w:p w14:paraId="3C3E0A9A" w14:textId="77777777" w:rsidR="00646C30" w:rsidRDefault="00646C30" w:rsidP="00646C30">
      <w:permStart w:id="210436899" w:edGrp="everyone"/>
      <w:r>
        <w:t>TYPE YOUR TEXT HERE</w:t>
      </w:r>
      <w:permEnd w:id="210436899"/>
    </w:p>
    <w:p w14:paraId="3C3E0A9B" w14:textId="77777777" w:rsidR="00646C30" w:rsidRDefault="00646C30" w:rsidP="00646C30">
      <w:r>
        <w:t>&lt;ESMA_QUESTION_CP_MAR_</w:t>
      </w:r>
      <w:r w:rsidR="00101BF1">
        <w:t>23</w:t>
      </w:r>
      <w:r>
        <w:t>&gt;</w:t>
      </w:r>
    </w:p>
    <w:p w14:paraId="3C3E0A9C" w14:textId="77777777" w:rsidR="00646C30" w:rsidRDefault="00646C30" w:rsidP="002E1760"/>
    <w:p w14:paraId="3C3E0A9D" w14:textId="77777777" w:rsidR="00646C30" w:rsidRDefault="00674628" w:rsidP="00646C30">
      <w:pPr>
        <w:pStyle w:val="CPQuestions"/>
      </w:pPr>
      <w:r w:rsidRPr="00674628">
        <w:t>What financial instruments are subject to pre-hedging behaviours and why</w:t>
      </w:r>
      <w:r>
        <w:t>?</w:t>
      </w:r>
    </w:p>
    <w:p w14:paraId="3C3E0A9E" w14:textId="77777777" w:rsidR="00646C30" w:rsidRDefault="00646C30" w:rsidP="00646C30">
      <w:r>
        <w:t>&lt;ESMA_QUESTION_CP_MAR_</w:t>
      </w:r>
      <w:r w:rsidR="00101BF1">
        <w:t>24</w:t>
      </w:r>
      <w:r>
        <w:t>&gt;</w:t>
      </w:r>
    </w:p>
    <w:p w14:paraId="3C3E0A9F" w14:textId="77777777" w:rsidR="00646C30" w:rsidRDefault="00646C30" w:rsidP="00646C30">
      <w:permStart w:id="1807571479" w:edGrp="everyone"/>
      <w:r>
        <w:t>TYPE YOUR TEXT HERE</w:t>
      </w:r>
      <w:permEnd w:id="1807571479"/>
    </w:p>
    <w:p w14:paraId="3C3E0AA0" w14:textId="77777777" w:rsidR="00646C30" w:rsidRDefault="00646C30" w:rsidP="00646C30">
      <w:r>
        <w:t>&lt;ESMA_QUESTION_CP_MAR_</w:t>
      </w:r>
      <w:r w:rsidR="00101BF1">
        <w:t>24</w:t>
      </w:r>
      <w:r>
        <w:t>&gt;</w:t>
      </w:r>
    </w:p>
    <w:p w14:paraId="3C3E0AA1" w14:textId="77777777" w:rsidR="00646C30" w:rsidRDefault="00646C30" w:rsidP="002E1760"/>
    <w:p w14:paraId="3C3E0AA2" w14:textId="77777777" w:rsidR="00646C30" w:rsidRDefault="00907865" w:rsidP="00646C30">
      <w:pPr>
        <w:pStyle w:val="CPQuestions"/>
      </w:pPr>
      <w:r w:rsidRPr="00907865">
        <w:t>Please provide your views on the functioning of the conditions to delay disclosure of inside information and on whether they enable issuers to delay disclosure of inside information where necessary</w:t>
      </w:r>
      <w:r w:rsidR="00646C30">
        <w:t>.</w:t>
      </w:r>
    </w:p>
    <w:p w14:paraId="3C3E0AA3" w14:textId="77777777" w:rsidR="00646C30" w:rsidRDefault="00646C30" w:rsidP="00646C30">
      <w:r>
        <w:t>&lt;ESMA_QUESTION_CP_MAR_</w:t>
      </w:r>
      <w:r w:rsidR="00101BF1">
        <w:t>25</w:t>
      </w:r>
      <w:r>
        <w:t>&gt;</w:t>
      </w:r>
    </w:p>
    <w:p w14:paraId="6BB2E89A" w14:textId="77777777" w:rsidR="006637D2" w:rsidRPr="00FE6A46" w:rsidRDefault="006637D2" w:rsidP="00D563DF">
      <w:pPr>
        <w:jc w:val="both"/>
      </w:pPr>
      <w:permStart w:id="611875542" w:edGrp="everyone"/>
      <w:r w:rsidRPr="00FE6A46">
        <w:lastRenderedPageBreak/>
        <w:t xml:space="preserve">Based on our experience, in general, we have observed clients treating the ability to delay disclosure of inside information as an exception rather than the norm, in line with the narrow circumstances permitted by Art 17(4) and (5). Where it has been appropriate to delay the disclosure of inside information, clients have generally been able to meet and maintain the conditions to delay disclosure. </w:t>
      </w:r>
    </w:p>
    <w:p w14:paraId="49924166" w14:textId="77777777" w:rsidR="006637D2" w:rsidRPr="00FE6A46" w:rsidRDefault="006637D2" w:rsidP="00D563DF">
      <w:pPr>
        <w:jc w:val="both"/>
      </w:pPr>
    </w:p>
    <w:p w14:paraId="0AE3BDCD" w14:textId="77777777" w:rsidR="006637D2" w:rsidRPr="00FE6A46" w:rsidRDefault="006637D2" w:rsidP="00D563DF">
      <w:pPr>
        <w:jc w:val="both"/>
      </w:pPr>
      <w:r w:rsidRPr="00FE6A46">
        <w:t xml:space="preserve">We, our clients and their other advisers have found it helpful to refer to the guidance issued by ESMA on circumstances where disclosure of inside information is likely to prejudice an issuer’s legitimate interest and where delayed disclosure is likely to mislead the public. </w:t>
      </w:r>
    </w:p>
    <w:p w14:paraId="5DF5097C" w14:textId="77777777" w:rsidR="006637D2" w:rsidRPr="00FE6A46" w:rsidRDefault="006637D2" w:rsidP="00D563DF">
      <w:pPr>
        <w:jc w:val="both"/>
      </w:pPr>
    </w:p>
    <w:p w14:paraId="1C79B3BD" w14:textId="3A1F52EF" w:rsidR="006637D2" w:rsidRPr="00FE6A46" w:rsidRDefault="006637D2" w:rsidP="00D563DF">
      <w:pPr>
        <w:jc w:val="both"/>
      </w:pPr>
      <w:r>
        <w:t xml:space="preserve">As </w:t>
      </w:r>
      <w:r w:rsidRPr="00FE6A46">
        <w:t xml:space="preserve">ESMA’s guidance </w:t>
      </w:r>
      <w:r>
        <w:t xml:space="preserve">makes clear, the list of </w:t>
      </w:r>
      <w:r w:rsidRPr="00FE6A46">
        <w:t>circumstances where an issuer’s legitimate interests may be prejudiced by the disclosure of inside information is intended to be non-exhaustive</w:t>
      </w:r>
      <w:r>
        <w:t>. Nevertheless</w:t>
      </w:r>
      <w:r w:rsidRPr="00FE6A46">
        <w:t xml:space="preserve">, issuers and advisers appear to be generally cautious about delaying disclosure of inside information in circumstances other than those set out by ESMA. </w:t>
      </w:r>
      <w:r>
        <w:t>Although we have not had to formulate such a judgement to date,</w:t>
      </w:r>
      <w:r w:rsidRPr="00FE6A46">
        <w:t xml:space="preserve"> </w:t>
      </w:r>
      <w:r>
        <w:t xml:space="preserve">it appears that </w:t>
      </w:r>
      <w:r w:rsidRPr="00FE6A46">
        <w:t xml:space="preserve">in practice, </w:t>
      </w:r>
      <w:r>
        <w:t xml:space="preserve">issuers and their advisers may be viewing </w:t>
      </w:r>
      <w:r w:rsidRPr="00FE6A46">
        <w:t>ESMA’s guidance as exhaustive, which may be preventing companies from delaying the disclosure of inside information where it would be appropriate for them to do so under MAR.</w:t>
      </w:r>
      <w:r>
        <w:t xml:space="preserve"> </w:t>
      </w:r>
      <w:r w:rsidRPr="00FE6A46">
        <w:t xml:space="preserve">This may be peculiar to the UK, where under the previous market abuse regime, the FCA operated a shorter and exhaustive list of circumstances where an issuer’s legitimate interests could be prejudiced by the disclosure of inside information. Issuers and their advisers therefore have had concerns as to whether the FCA would be prepared to accept circumstances that were not included in </w:t>
      </w:r>
      <w:r w:rsidR="00792918">
        <w:t xml:space="preserve">either </w:t>
      </w:r>
      <w:r w:rsidRPr="00FE6A46">
        <w:t xml:space="preserve">ESMA’s </w:t>
      </w:r>
      <w:r w:rsidR="00792918">
        <w:t xml:space="preserve">guidance </w:t>
      </w:r>
      <w:r w:rsidRPr="00FE6A46">
        <w:t xml:space="preserve">or its own. </w:t>
      </w:r>
    </w:p>
    <w:p w14:paraId="03F11D66" w14:textId="77777777" w:rsidR="006637D2" w:rsidRPr="00FE6A46" w:rsidRDefault="006637D2" w:rsidP="00D563DF">
      <w:pPr>
        <w:jc w:val="both"/>
      </w:pPr>
    </w:p>
    <w:p w14:paraId="54018D52" w14:textId="722204D0" w:rsidR="006637D2" w:rsidRPr="00FE6A46" w:rsidRDefault="006637D2" w:rsidP="00D563DF">
      <w:pPr>
        <w:jc w:val="both"/>
      </w:pPr>
      <w:r w:rsidRPr="00FE6A46">
        <w:t xml:space="preserve">Issuers and advisers have therefore welcomed the introduction of additional guidance </w:t>
      </w:r>
      <w:r>
        <w:t>from</w:t>
      </w:r>
      <w:r w:rsidRPr="00FE6A46">
        <w:t xml:space="preserve"> the FCA on a new, additional legitimate interest – where an issuer is in the process of preparing a periodic financial report and immediate public disclosure of information to be included in the report would impact on the orderly production and release of the report and could result in the incorrect assessment of the information by the public. </w:t>
      </w:r>
      <w:r w:rsidR="00792918">
        <w:t xml:space="preserve">This has been welcomed </w:t>
      </w:r>
      <w:proofErr w:type="gramStart"/>
      <w:r w:rsidR="00792918">
        <w:t xml:space="preserve">in particular </w:t>
      </w:r>
      <w:r w:rsidRPr="00FE6A46">
        <w:t>since</w:t>
      </w:r>
      <w:proofErr w:type="gramEnd"/>
      <w:r w:rsidRPr="00FE6A46">
        <w:t xml:space="preserve"> it </w:t>
      </w:r>
      <w:r>
        <w:t xml:space="preserve">has </w:t>
      </w:r>
      <w:r w:rsidRPr="00FE6A46">
        <w:t xml:space="preserve">provided clarity on the treatment of financial results that are in line with </w:t>
      </w:r>
      <w:r>
        <w:t>expectations</w:t>
      </w:r>
      <w:r w:rsidRPr="00FE6A46">
        <w:t xml:space="preserve"> - an area where market practice in the UK had previously diverged.</w:t>
      </w:r>
      <w:r w:rsidRPr="006637D2">
        <w:t xml:space="preserve"> </w:t>
      </w:r>
      <w:r>
        <w:t xml:space="preserve">(Note: an update on the practical application of MAR’, April 2019, page 7: Almost 40% of respondents stated that they considered preliminary results in line with their forecast to be inside information. Survey available at: </w:t>
      </w:r>
      <w:hyperlink r:id="rId19" w:history="1">
        <w:r w:rsidRPr="00F85116">
          <w:rPr>
            <w:rStyle w:val="Hyperlink"/>
          </w:rPr>
          <w:t>https://www.linkassetservices.com/documents/mar-report/0474-mar-survey_v2_r7-web.pdf</w:t>
        </w:r>
      </w:hyperlink>
      <w:r>
        <w:rPr>
          <w:rStyle w:val="Hyperlink"/>
        </w:rPr>
        <w:t>)</w:t>
      </w:r>
    </w:p>
    <w:p w14:paraId="5A9776A0" w14:textId="77777777" w:rsidR="006637D2" w:rsidRPr="00FE6A46" w:rsidRDefault="006637D2" w:rsidP="00D563DF">
      <w:pPr>
        <w:jc w:val="both"/>
      </w:pPr>
    </w:p>
    <w:p w14:paraId="7FAED148" w14:textId="77777777" w:rsidR="006637D2" w:rsidRPr="00FE6A46" w:rsidRDefault="006637D2" w:rsidP="00D563DF">
      <w:pPr>
        <w:jc w:val="both"/>
      </w:pPr>
      <w:r w:rsidRPr="00FE6A46">
        <w:t xml:space="preserve">Issuers and advisers appear to have fewer concerns about determining whether delaying disclosure of inside information is likely to mislead the public. </w:t>
      </w:r>
      <w:r>
        <w:t>However,</w:t>
      </w:r>
      <w:r w:rsidRPr="00FE6A46">
        <w:t xml:space="preserve"> maintaining confidentiality after the decision to delay disclosure of inside information can sometimes be a challenge, as evidenced by </w:t>
      </w:r>
      <w:r>
        <w:t xml:space="preserve">the occasional media </w:t>
      </w:r>
      <w:r w:rsidRPr="00FE6A46">
        <w:t xml:space="preserve">speculation and formal leak announcements released by issuers, but it is right that in such circumstances, issuers be obliged to disclose the </w:t>
      </w:r>
      <w:r>
        <w:t xml:space="preserve">inside </w:t>
      </w:r>
      <w:r w:rsidRPr="00FE6A46">
        <w:t xml:space="preserve">information, to avoid the potential for market abuse. </w:t>
      </w:r>
    </w:p>
    <w:p w14:paraId="709FAC57" w14:textId="77777777" w:rsidR="006637D2" w:rsidRPr="00FE6A46" w:rsidRDefault="006637D2" w:rsidP="00D563DF">
      <w:pPr>
        <w:jc w:val="both"/>
      </w:pPr>
    </w:p>
    <w:p w14:paraId="3C3E0AA4" w14:textId="1CA819A4" w:rsidR="00646C30" w:rsidRDefault="006637D2" w:rsidP="00646C30">
      <w:r w:rsidRPr="00B74EAF">
        <w:rPr>
          <w:color w:val="000000" w:themeColor="text1"/>
        </w:rPr>
        <w:t>Overall, we consider that the conditions for delaying disclosure appear to be functioning effectively in the UK. As signalled by many parties before MAR became effective, in the case of Main Market companies</w:t>
      </w:r>
      <w:r w:rsidR="00B74EAF" w:rsidRPr="00B74EAF">
        <w:rPr>
          <w:color w:val="000000" w:themeColor="text1"/>
        </w:rPr>
        <w:t xml:space="preserve">, </w:t>
      </w:r>
      <w:r w:rsidRPr="00B74EAF">
        <w:rPr>
          <w:color w:val="000000" w:themeColor="text1"/>
        </w:rPr>
        <w:t>the UK’s continuous public disclosure regime went considerably beyond the minimum standards required under the Market Abuse Directive.</w:t>
      </w:r>
      <w:r w:rsidR="00B74EAF" w:rsidRPr="00B74EAF">
        <w:rPr>
          <w:color w:val="000000" w:themeColor="text1"/>
        </w:rPr>
        <w:t xml:space="preserve"> I</w:t>
      </w:r>
      <w:r w:rsidRPr="00B74EAF">
        <w:rPr>
          <w:color w:val="000000" w:themeColor="text1"/>
        </w:rPr>
        <w:t>ssuers and their advisers were already accustomed to operating within the standards subsequently introduced by MAR</w:t>
      </w:r>
      <w:r w:rsidRPr="00FE6A46">
        <w:t>.</w:t>
      </w:r>
      <w:permEnd w:id="611875542"/>
    </w:p>
    <w:p w14:paraId="3C3E0AA5" w14:textId="77777777" w:rsidR="00646C30" w:rsidRDefault="00646C30" w:rsidP="00646C30">
      <w:r>
        <w:t>&lt;ESMA_QUESTION_CP_MAR_</w:t>
      </w:r>
      <w:r w:rsidR="00101BF1">
        <w:t>25</w:t>
      </w:r>
      <w:r>
        <w:t>&gt;</w:t>
      </w:r>
    </w:p>
    <w:p w14:paraId="3C3E0AA6" w14:textId="77777777" w:rsidR="00646C30" w:rsidRDefault="00646C30" w:rsidP="002E1760"/>
    <w:p w14:paraId="3C3E0AA7" w14:textId="77777777" w:rsidR="00646C30" w:rsidRDefault="00907865" w:rsidP="00646C30">
      <w:pPr>
        <w:pStyle w:val="CPQuestions"/>
      </w:pPr>
      <w:r w:rsidRPr="00907865">
        <w:t>Please provide relevant examples of difficulties encountered in the assessment of the conditions for the delay or in the application of the procedure under Article 17(4) of MAR.</w:t>
      </w:r>
    </w:p>
    <w:p w14:paraId="3C3E0AA8" w14:textId="77777777" w:rsidR="00646C30" w:rsidRDefault="00646C30" w:rsidP="00646C30">
      <w:r>
        <w:t>&lt;ESMA_QUESTION_CP_MAR_</w:t>
      </w:r>
      <w:r w:rsidR="00101BF1">
        <w:t>26</w:t>
      </w:r>
      <w:r>
        <w:t>&gt;</w:t>
      </w:r>
    </w:p>
    <w:p w14:paraId="3C3E0AA9" w14:textId="77777777" w:rsidR="00646C30" w:rsidRDefault="00646C30" w:rsidP="00646C30">
      <w:permStart w:id="1829000557" w:edGrp="everyone"/>
      <w:r>
        <w:t>TYPE YOUR TEXT HERE</w:t>
      </w:r>
      <w:permEnd w:id="1829000557"/>
    </w:p>
    <w:p w14:paraId="3C3E0AAA" w14:textId="77777777" w:rsidR="00646C30" w:rsidRDefault="00646C30" w:rsidP="00646C30">
      <w:r>
        <w:t>&lt;ESMA_QUESTION_CP_MAR_</w:t>
      </w:r>
      <w:r w:rsidR="00101BF1">
        <w:t>26</w:t>
      </w:r>
      <w:r>
        <w:t>&gt;</w:t>
      </w:r>
    </w:p>
    <w:p w14:paraId="3C3E0AAB" w14:textId="77777777" w:rsidR="00646C30" w:rsidRDefault="00646C30" w:rsidP="002E1760"/>
    <w:p w14:paraId="3C3E0AAC" w14:textId="77777777" w:rsidR="00646C30" w:rsidRDefault="0079485D" w:rsidP="00646C30">
      <w:pPr>
        <w:pStyle w:val="CPQuestions"/>
      </w:pPr>
      <w:r w:rsidRPr="0079485D">
        <w:lastRenderedPageBreak/>
        <w:t>Please provide your view on the inclusion of a requirement in MAR for issuers to have systems and controls for identifying, handling, and disclosing inside information. What would the impact be of introducing a systems and controls requirement for issuers?</w:t>
      </w:r>
    </w:p>
    <w:p w14:paraId="3C3E0AAD" w14:textId="77777777" w:rsidR="00646C30" w:rsidRDefault="00646C30" w:rsidP="00646C30">
      <w:r>
        <w:t>&lt;ESMA_QUESTION_CP_MAR_</w:t>
      </w:r>
      <w:r w:rsidR="00101BF1">
        <w:t>27</w:t>
      </w:r>
      <w:r>
        <w:t>&gt;</w:t>
      </w:r>
    </w:p>
    <w:p w14:paraId="68941A68" w14:textId="65509CAC" w:rsidR="006637D2" w:rsidRPr="00FE6A46" w:rsidRDefault="006637D2" w:rsidP="006637D2">
      <w:pPr>
        <w:jc w:val="both"/>
      </w:pPr>
      <w:permStart w:id="1678079242" w:edGrp="everyone"/>
      <w:r w:rsidRPr="00FE6A46">
        <w:t>In the UK, under the FCA’s Listing Principle 1, listed companies “must take reasonable steps to establish and maintain adequate procedures, systems and controls to enable it to comply with its obligations.</w:t>
      </w:r>
      <w:r w:rsidR="00B74EAF">
        <w:t>”</w:t>
      </w:r>
      <w:r w:rsidRPr="00FE6A46">
        <w:t xml:space="preserve"> The recent fine imposed by the FCA on Cathay International Holdings Limited demonstrates the FCA’s ability to </w:t>
      </w:r>
      <w:proofErr w:type="gramStart"/>
      <w:r w:rsidRPr="00FE6A46">
        <w:t>take action</w:t>
      </w:r>
      <w:proofErr w:type="gramEnd"/>
      <w:r w:rsidRPr="00FE6A46">
        <w:t xml:space="preserve"> when </w:t>
      </w:r>
      <w:r>
        <w:t xml:space="preserve">non-compliance </w:t>
      </w:r>
      <w:r w:rsidRPr="00FE6A46">
        <w:t>with this principle was responsible in part for a failure to identify and disclose inside information on a timely basis.</w:t>
      </w:r>
    </w:p>
    <w:p w14:paraId="14C5E8AB" w14:textId="77777777" w:rsidR="006637D2" w:rsidRPr="00FE6A46" w:rsidRDefault="006637D2" w:rsidP="006637D2">
      <w:pPr>
        <w:jc w:val="both"/>
      </w:pPr>
    </w:p>
    <w:p w14:paraId="077B9648" w14:textId="4D19447E" w:rsidR="006637D2" w:rsidRPr="00FE6A46" w:rsidRDefault="006637D2" w:rsidP="006637D2">
      <w:pPr>
        <w:jc w:val="both"/>
      </w:pPr>
      <w:r w:rsidRPr="00FE6A46">
        <w:t>Similarly, the London Stock Exchange’s AIM Rules require</w:t>
      </w:r>
      <w:r>
        <w:t>s</w:t>
      </w:r>
      <w:r w:rsidRPr="00FE6A46">
        <w:t xml:space="preserve"> </w:t>
      </w:r>
      <w:r>
        <w:t xml:space="preserve">an </w:t>
      </w:r>
      <w:r w:rsidRPr="00FE6A46">
        <w:t>AIM compan</w:t>
      </w:r>
      <w:r>
        <w:t>y</w:t>
      </w:r>
      <w:r w:rsidRPr="00FE6A46">
        <w:t xml:space="preserve"> to have in place </w:t>
      </w:r>
      <w:proofErr w:type="gramStart"/>
      <w:r w:rsidRPr="00FE6A46">
        <w:t>sufficient</w:t>
      </w:r>
      <w:proofErr w:type="gramEnd"/>
      <w:r w:rsidRPr="00FE6A46">
        <w:t xml:space="preserve"> procedures, resources and controls to enable it to comply with those rules.</w:t>
      </w:r>
      <w:r>
        <w:t xml:space="preserve"> </w:t>
      </w:r>
      <w:r w:rsidRPr="00FE6A46">
        <w:t xml:space="preserve"> The AIM Rules include requirements regarding the</w:t>
      </w:r>
      <w:r>
        <w:t xml:space="preserve"> </w:t>
      </w:r>
      <w:r w:rsidRPr="00FE6A46">
        <w:t>disclosure of price sensitive information (very similar</w:t>
      </w:r>
      <w:r>
        <w:t>, but additional</w:t>
      </w:r>
      <w:r w:rsidRPr="00FE6A46">
        <w:t xml:space="preserve"> to </w:t>
      </w:r>
      <w:r>
        <w:t xml:space="preserve">the requirements under MAR regarding </w:t>
      </w:r>
      <w:r w:rsidRPr="00FE6A46">
        <w:t>inside information).</w:t>
      </w:r>
    </w:p>
    <w:p w14:paraId="2B40F770" w14:textId="77777777" w:rsidR="006637D2" w:rsidRPr="00FE6A46" w:rsidRDefault="006637D2" w:rsidP="006637D2">
      <w:pPr>
        <w:jc w:val="both"/>
      </w:pPr>
    </w:p>
    <w:p w14:paraId="76614EC3" w14:textId="1C4ADC09" w:rsidR="006637D2" w:rsidRPr="00FE6A46" w:rsidRDefault="006637D2" w:rsidP="006637D2">
      <w:pPr>
        <w:jc w:val="both"/>
      </w:pPr>
      <w:r w:rsidRPr="00FE6A46">
        <w:t xml:space="preserve">However, other exchanges may not have adopted a similar approach. </w:t>
      </w:r>
      <w:r>
        <w:t>T</w:t>
      </w:r>
      <w:r w:rsidRPr="00FE6A46">
        <w:t>here may</w:t>
      </w:r>
      <w:r>
        <w:t xml:space="preserve"> therefore</w:t>
      </w:r>
      <w:r w:rsidRPr="00FE6A46">
        <w:t xml:space="preserve"> be merit in ESMA’s suggestion of introducing a requirement for issuers to have systems and controls for identifying, handling, and disclosing inside information, provid</w:t>
      </w:r>
      <w:r>
        <w:t>ed</w:t>
      </w:r>
      <w:r w:rsidRPr="00FE6A46">
        <w:t xml:space="preserve"> this is structured as </w:t>
      </w:r>
      <w:r>
        <w:t xml:space="preserve">a </w:t>
      </w:r>
      <w:r w:rsidRPr="00FE6A46">
        <w:t>high-level principle</w:t>
      </w:r>
      <w:r>
        <w:t xml:space="preserve">. </w:t>
      </w:r>
      <w:r w:rsidRPr="00FE6A46">
        <w:t xml:space="preserve">Should ESMA choose to introduce </w:t>
      </w:r>
      <w:r>
        <w:t>such a principle</w:t>
      </w:r>
      <w:r w:rsidRPr="00FE6A46">
        <w:t xml:space="preserve">, we would </w:t>
      </w:r>
      <w:r>
        <w:t xml:space="preserve">recommend that it should be applied on a proportionate basis, </w:t>
      </w:r>
      <w:proofErr w:type="gramStart"/>
      <w:r>
        <w:t>so as to</w:t>
      </w:r>
      <w:proofErr w:type="gramEnd"/>
      <w:r>
        <w:t xml:space="preserve"> limit </w:t>
      </w:r>
      <w:r w:rsidRPr="00FE6A46">
        <w:t xml:space="preserve">the initial legal and ongoing administrative impact on issuers. </w:t>
      </w:r>
      <w:r>
        <w:t>Its application</w:t>
      </w:r>
      <w:r w:rsidRPr="00FE6A46">
        <w:t xml:space="preserve"> should reflect the market on which a company’s shares are listed or traded, instead of or at least as well as its scale, size and nature of its business. Setting specific requirements such as those set out for insider lists would not be appropriate and should be avoided and, as demonstrated by the Cathay fine, a short and simply</w:t>
      </w:r>
      <w:r w:rsidR="00023F2C">
        <w:t xml:space="preserve"> </w:t>
      </w:r>
      <w:bookmarkStart w:id="4" w:name="_GoBack"/>
      <w:bookmarkEnd w:id="4"/>
      <w:r w:rsidRPr="00FE6A46">
        <w:t xml:space="preserve">stated principle can suffice. </w:t>
      </w:r>
    </w:p>
    <w:p w14:paraId="0E178F32" w14:textId="77777777" w:rsidR="006637D2" w:rsidRPr="00FE6A46" w:rsidRDefault="006637D2" w:rsidP="006637D2">
      <w:pPr>
        <w:jc w:val="both"/>
      </w:pPr>
    </w:p>
    <w:p w14:paraId="3C3E0AAE" w14:textId="337D28D8" w:rsidR="00646C30" w:rsidRDefault="006637D2" w:rsidP="00646C30">
      <w:r w:rsidRPr="00FE6A46">
        <w:t>The burden of MAR is already quite high, particularly for companies with shares traded on SME Growth Markets. Recognising that the burden is meant to be lighter for companies trading on SME Growth Markets, any exemptions designed to apply to these companies should be capable of being applied in practice without creating regulatory risk for the company. For example, under Art 18(6)</w:t>
      </w:r>
      <w:r w:rsidR="00D563DF">
        <w:t>,</w:t>
      </w:r>
      <w:r w:rsidRPr="00FE6A46">
        <w:t xml:space="preserve"> SME Growth Companies are exempt from the requirement to draw up an insider list, provided certain conditions are met, including being able to provide an insider list to the competent authority in request. In our experience, AIM companies are not taking advantage of this exemption as it increases the risk of them not being able to provide a duly populated insider list to the FCA within the stipulated timeframe.</w:t>
      </w:r>
      <w:permEnd w:id="1678079242"/>
    </w:p>
    <w:p w14:paraId="3C3E0AAF" w14:textId="77777777" w:rsidR="00646C30" w:rsidRDefault="00646C30" w:rsidP="00646C30">
      <w:r>
        <w:t>&lt;ESMA_QUESTION_CP_MAR_</w:t>
      </w:r>
      <w:r w:rsidR="00101BF1">
        <w:t>27</w:t>
      </w:r>
      <w:r>
        <w:t>&gt;</w:t>
      </w:r>
    </w:p>
    <w:p w14:paraId="3C3E0AB0" w14:textId="77777777" w:rsidR="00646C30" w:rsidRDefault="00646C30" w:rsidP="002E1760"/>
    <w:p w14:paraId="3C3E0AB1" w14:textId="77777777" w:rsidR="00646C30" w:rsidRDefault="0079485D" w:rsidP="00646C30">
      <w:pPr>
        <w:pStyle w:val="CPQuestions"/>
      </w:pPr>
      <w:r w:rsidRPr="0079485D">
        <w:t>Please provide examples of cases in which the identification of when an information became “inside information” was problematic</w:t>
      </w:r>
      <w:r w:rsidR="00646C30">
        <w:t>.</w:t>
      </w:r>
    </w:p>
    <w:p w14:paraId="3C3E0AB2" w14:textId="77777777" w:rsidR="00646C30" w:rsidRDefault="00646C30" w:rsidP="00646C30">
      <w:r>
        <w:t>&lt;ESMA_QUESTION_CP_MAR_2</w:t>
      </w:r>
      <w:r w:rsidR="00101BF1">
        <w:t>8</w:t>
      </w:r>
      <w:r>
        <w:t>&gt;</w:t>
      </w:r>
    </w:p>
    <w:p w14:paraId="5381DC6A" w14:textId="77777777" w:rsidR="006637D2" w:rsidRPr="00FE6A46" w:rsidRDefault="006637D2" w:rsidP="006637D2">
      <w:pPr>
        <w:jc w:val="both"/>
      </w:pPr>
      <w:permStart w:id="266360711" w:edGrp="everyone"/>
      <w:r w:rsidRPr="00FE6A46">
        <w:t xml:space="preserve">In our experience, companies always find it challenging to determine on a case-by-case basis whether ‘confidential information’ about the company constitutes ‘inside information’. Determining </w:t>
      </w:r>
      <w:r w:rsidRPr="00FE6A46">
        <w:rPr>
          <w:i/>
        </w:rPr>
        <w:t xml:space="preserve">when </w:t>
      </w:r>
      <w:r w:rsidRPr="00FE6A46">
        <w:rPr>
          <w:iCs/>
        </w:rPr>
        <w:t xml:space="preserve">any ‘confidential information’ becomes ‘inside information’ is particularly difficult. </w:t>
      </w:r>
      <w:r w:rsidRPr="00FE6A46">
        <w:t>Please see some specific scenarios below:</w:t>
      </w:r>
    </w:p>
    <w:p w14:paraId="37F1B323" w14:textId="77777777" w:rsidR="006637D2" w:rsidRPr="00FE6A46" w:rsidRDefault="006637D2" w:rsidP="006637D2">
      <w:pPr>
        <w:jc w:val="both"/>
      </w:pPr>
    </w:p>
    <w:p w14:paraId="4E721D61" w14:textId="77777777" w:rsidR="006637D2" w:rsidRDefault="006637D2" w:rsidP="006637D2">
      <w:pPr>
        <w:pStyle w:val="ListParagraph"/>
        <w:numPr>
          <w:ilvl w:val="0"/>
          <w:numId w:val="38"/>
        </w:numPr>
        <w:jc w:val="both"/>
      </w:pPr>
      <w:r>
        <w:t>A company was considering consolidating its share capital. This involved a lengthy and complex process to determine whether and how the company should go about this. The board and its advisers had several discussions throughout the process as to whether the information about the consolidation constituted inside information, with differing views being taken by the company’s external legal adviser and broker. The board finally determined that the information had become inside information only once the process had progressed far enough that the shareholder circular had been substantially drafted and would shortly be presented to the Board for approval, together with the other board approvals required to proceed with the transaction. It was only at this point that the board was persuaded there was clearly a realistic prospect that the consolidation would go ahead. However, determining what is realistic involves subjective judgement, as reflected in the conflicting advice the board was receiving from its external legal adviser and broker.</w:t>
      </w:r>
    </w:p>
    <w:p w14:paraId="0ADE0003" w14:textId="77777777" w:rsidR="006637D2" w:rsidRDefault="006637D2" w:rsidP="006637D2">
      <w:pPr>
        <w:pStyle w:val="ListParagraph"/>
        <w:ind w:left="0" w:firstLine="60"/>
        <w:jc w:val="both"/>
      </w:pPr>
    </w:p>
    <w:p w14:paraId="01B32A8A" w14:textId="77777777" w:rsidR="006637D2" w:rsidRPr="00FE6A46" w:rsidRDefault="006637D2" w:rsidP="006637D2">
      <w:pPr>
        <w:pStyle w:val="ListParagraph"/>
        <w:numPr>
          <w:ilvl w:val="0"/>
          <w:numId w:val="38"/>
        </w:numPr>
        <w:jc w:val="both"/>
      </w:pPr>
      <w:r>
        <w:t xml:space="preserve">In another situation, where the board chose not to involve us in any aspect of the process or its decision making, an investment company announced that it was looking to replace its incumbent investment manager. As the search process progressed, it became evident that the board had decided on its preferred choice; however, the board believed that this was not inside information as the process to formally appoint this party as the new investment manager had not yet been completed. Considering the board’s decision once we became aware of it, when the appointment was announced, it was difficult to determine whether the board should have determined that the selection of the new investment manager had become inside information at an earlier point during the process, before the required formalities had been completed (regardless of whether the board was able to delay its disclosure under MAR).   </w:t>
      </w:r>
    </w:p>
    <w:p w14:paraId="5173B37E" w14:textId="77777777" w:rsidR="006637D2" w:rsidRDefault="006637D2" w:rsidP="006637D2">
      <w:pPr>
        <w:jc w:val="both"/>
      </w:pPr>
    </w:p>
    <w:p w14:paraId="3C3E0AB3" w14:textId="1E909CC7" w:rsidR="00646C30" w:rsidRDefault="006637D2" w:rsidP="00646C30">
      <w:r>
        <w:t xml:space="preserve">See </w:t>
      </w:r>
      <w:r w:rsidRPr="00FE6A46">
        <w:t>also to the example</w:t>
      </w:r>
      <w:r>
        <w:t>s</w:t>
      </w:r>
      <w:r w:rsidRPr="00FE6A46">
        <w:t xml:space="preserve"> referred to in Q13 </w:t>
      </w:r>
      <w:r>
        <w:t xml:space="preserve">and Q15 </w:t>
      </w:r>
      <w:r w:rsidRPr="00FE6A46">
        <w:t>above.</w:t>
      </w:r>
      <w:permEnd w:id="266360711"/>
    </w:p>
    <w:p w14:paraId="3C3E0AB4" w14:textId="77777777" w:rsidR="00646C30" w:rsidRDefault="00646C30" w:rsidP="00646C30">
      <w:r>
        <w:t>&lt;ESMA_QUESTION_CP_MAR_</w:t>
      </w:r>
      <w:r w:rsidR="00101BF1">
        <w:t>28</w:t>
      </w:r>
      <w:r>
        <w:t>&gt;</w:t>
      </w:r>
    </w:p>
    <w:p w14:paraId="3C3E0AB5" w14:textId="77777777" w:rsidR="00646C30" w:rsidRDefault="00646C30" w:rsidP="002E1760"/>
    <w:p w14:paraId="3C3E0AB6" w14:textId="77777777" w:rsidR="00646C30" w:rsidRDefault="00C551D2" w:rsidP="00646C30">
      <w:pPr>
        <w:pStyle w:val="CPQuestions"/>
      </w:pPr>
      <w:r w:rsidRPr="00C551D2">
        <w:t>Please provide your views on the notification to NCAs of the delay of disclosure of inside information, in those cases in which the relevant information loses its inside nature following the decision to delay the disclosure</w:t>
      </w:r>
      <w:r w:rsidR="00646C30">
        <w:t>.</w:t>
      </w:r>
    </w:p>
    <w:p w14:paraId="3C3E0AB7" w14:textId="77777777" w:rsidR="00646C30" w:rsidRDefault="00646C30" w:rsidP="00646C30">
      <w:r>
        <w:t>&lt;ESMA_QUESTION_CP_MAR_</w:t>
      </w:r>
      <w:r w:rsidR="00101BF1">
        <w:t>29</w:t>
      </w:r>
      <w:r>
        <w:t>&gt;</w:t>
      </w:r>
    </w:p>
    <w:p w14:paraId="168349AE" w14:textId="77777777" w:rsidR="008E5912" w:rsidRDefault="006637D2" w:rsidP="006637D2">
      <w:pPr>
        <w:jc w:val="both"/>
      </w:pPr>
      <w:permStart w:id="1420902335" w:edGrp="everyone"/>
      <w:r w:rsidRPr="00FE6A46">
        <w:t xml:space="preserve">There seems to be merit in ESMA’s view that despite the relevant information losing its inside nature, it would be useful if the issuers notified the delay of disclosure of inside information to the NCAs, as it could allow the NCAs to monitor more effectively any insider dealing or attempted insider dealing. However, this should be considered against the extent </w:t>
      </w:r>
      <w:r>
        <w:t>to which</w:t>
      </w:r>
      <w:r w:rsidRPr="00FE6A46">
        <w:t xml:space="preserve"> market abuse that has been identified</w:t>
      </w:r>
      <w:r>
        <w:t xml:space="preserve"> in each market</w:t>
      </w:r>
      <w:r w:rsidRPr="00FE6A46">
        <w:t xml:space="preserve">, to assess whether it would be appropriate and proportionate to impose an additional administrative burden on issuers and </w:t>
      </w:r>
      <w:r>
        <w:t>the NCA</w:t>
      </w:r>
      <w:r w:rsidRPr="00FE6A46">
        <w:t xml:space="preserve">. </w:t>
      </w:r>
    </w:p>
    <w:p w14:paraId="4BB43AF0" w14:textId="77777777" w:rsidR="008E5912" w:rsidRDefault="008E5912" w:rsidP="006637D2">
      <w:pPr>
        <w:jc w:val="both"/>
      </w:pPr>
    </w:p>
    <w:p w14:paraId="3C3E0AB8" w14:textId="5C45EBA4" w:rsidR="00646C30" w:rsidRDefault="006637D2" w:rsidP="00646C30">
      <w:r w:rsidRPr="00FE6A46">
        <w:t xml:space="preserve">Potentially, </w:t>
      </w:r>
      <w:r>
        <w:t xml:space="preserve">NCAs </w:t>
      </w:r>
      <w:r w:rsidRPr="00FE6A46">
        <w:t xml:space="preserve">could be given the choice </w:t>
      </w:r>
      <w:r>
        <w:t xml:space="preserve">of </w:t>
      </w:r>
      <w:r w:rsidRPr="00FE6A46">
        <w:t>implement</w:t>
      </w:r>
      <w:r>
        <w:t>ing</w:t>
      </w:r>
      <w:r w:rsidRPr="00FE6A46">
        <w:t xml:space="preserve"> this requirement if they considered those tests were met in the case of their market.</w:t>
      </w:r>
      <w:permEnd w:id="1420902335"/>
    </w:p>
    <w:p w14:paraId="3C3E0AB9" w14:textId="77777777" w:rsidR="00646C30" w:rsidRDefault="00646C30" w:rsidP="00646C30">
      <w:r>
        <w:t>&lt;ESMA_QUESTION_CP_MAR_</w:t>
      </w:r>
      <w:r w:rsidR="00101BF1">
        <w:t>29</w:t>
      </w:r>
      <w:r>
        <w:t>&gt;</w:t>
      </w:r>
    </w:p>
    <w:p w14:paraId="3C3E0ABA" w14:textId="77777777" w:rsidR="00646C30" w:rsidRDefault="00646C30" w:rsidP="002E1760"/>
    <w:p w14:paraId="3C3E0ABB" w14:textId="77777777" w:rsidR="00646C30" w:rsidRDefault="006F71FA" w:rsidP="00646C30">
      <w:pPr>
        <w:pStyle w:val="CPQuestions"/>
      </w:pPr>
      <w:r w:rsidRPr="006F71FA">
        <w:t>Please provide your views on whether Article 17(5) of MAR has to be made more explicit to include the case of a listed issuer, which is not a credit or financial institution, but which is controlling, directly or indirectly, a listed or non-listed credit or financial institution</w:t>
      </w:r>
      <w:r w:rsidR="00646C30">
        <w:t>.</w:t>
      </w:r>
    </w:p>
    <w:p w14:paraId="3C3E0ABC" w14:textId="77777777" w:rsidR="00646C30" w:rsidRDefault="00646C30" w:rsidP="00646C30">
      <w:r>
        <w:t>&lt;ESMA_QUESTION_CP_MAR_</w:t>
      </w:r>
      <w:r w:rsidR="00101BF1">
        <w:t>30</w:t>
      </w:r>
      <w:r>
        <w:t>&gt;</w:t>
      </w:r>
    </w:p>
    <w:p w14:paraId="3C3E0ABD" w14:textId="77777777" w:rsidR="00646C30" w:rsidRDefault="00646C30" w:rsidP="00646C30">
      <w:permStart w:id="385179280" w:edGrp="everyone"/>
      <w:r>
        <w:t>TYPE YOUR TEXT HERE</w:t>
      </w:r>
      <w:permEnd w:id="385179280"/>
    </w:p>
    <w:p w14:paraId="3C3E0ABE" w14:textId="77777777" w:rsidR="00646C30" w:rsidRDefault="00646C30" w:rsidP="00646C30">
      <w:r>
        <w:t>&lt;ESMA_QUESTION_CP_MAR_</w:t>
      </w:r>
      <w:r w:rsidR="00101BF1">
        <w:t>30</w:t>
      </w:r>
      <w:r>
        <w:t>&gt;</w:t>
      </w:r>
    </w:p>
    <w:p w14:paraId="3C3E0ABF" w14:textId="77777777" w:rsidR="00646C30" w:rsidRDefault="00646C30" w:rsidP="002E1760"/>
    <w:p w14:paraId="3C3E0AC0" w14:textId="77777777" w:rsidR="00646C30" w:rsidRDefault="006F71FA" w:rsidP="00646C30">
      <w:pPr>
        <w:pStyle w:val="CPQuestions"/>
      </w:pPr>
      <w:r w:rsidRPr="006F71FA">
        <w:t>Please provide relevant examples of difficulties encountered in the assessment of the conditions for the delay or in the application of Article 17(5) of MAR</w:t>
      </w:r>
      <w:r w:rsidR="00646C30">
        <w:t>.</w:t>
      </w:r>
    </w:p>
    <w:p w14:paraId="3C3E0AC1" w14:textId="77777777" w:rsidR="00646C30" w:rsidRDefault="00646C30" w:rsidP="00646C30">
      <w:r>
        <w:t>&lt;ESMA_QUESTION_CP_MAR_</w:t>
      </w:r>
      <w:r w:rsidR="00101BF1">
        <w:t>31</w:t>
      </w:r>
      <w:r>
        <w:t>&gt;</w:t>
      </w:r>
    </w:p>
    <w:p w14:paraId="3C3E0AC2" w14:textId="77777777" w:rsidR="00646C30" w:rsidRDefault="00646C30" w:rsidP="00646C30">
      <w:permStart w:id="1676897336" w:edGrp="everyone"/>
      <w:r>
        <w:t>TYPE YOUR TEXT HERE</w:t>
      </w:r>
      <w:permEnd w:id="1676897336"/>
    </w:p>
    <w:p w14:paraId="3C3E0AC3" w14:textId="77777777" w:rsidR="00646C30" w:rsidRDefault="00646C30" w:rsidP="00646C30">
      <w:r>
        <w:t>&lt;ESMA_QUESTION_CP_MAR_</w:t>
      </w:r>
      <w:r w:rsidR="00101BF1">
        <w:t>31</w:t>
      </w:r>
      <w:r>
        <w:t>&gt;</w:t>
      </w:r>
    </w:p>
    <w:p w14:paraId="3C3E0AC4" w14:textId="77777777" w:rsidR="00646C30" w:rsidRDefault="00646C30" w:rsidP="002E1760"/>
    <w:p w14:paraId="3C3E0AC5" w14:textId="77777777" w:rsidR="00646C30" w:rsidRDefault="00D60960" w:rsidP="00646C30">
      <w:pPr>
        <w:pStyle w:val="CPQuestions"/>
      </w:pPr>
      <w:r w:rsidRPr="00D60960">
        <w:t>Please indicate whether you have found difficulties in the assessment of the obligation to disclose a piece of inside information under Article 17 MAR when analysed together with other obligations arising from CRD, CRR or BRRD. Please provide specific examples.</w:t>
      </w:r>
    </w:p>
    <w:p w14:paraId="3C3E0AC6" w14:textId="77777777" w:rsidR="00646C30" w:rsidRDefault="00646C30" w:rsidP="00646C30">
      <w:r>
        <w:lastRenderedPageBreak/>
        <w:t>&lt;ESMA_QUESTION_CP_MAR_</w:t>
      </w:r>
      <w:r w:rsidR="00101BF1">
        <w:t>3</w:t>
      </w:r>
      <w:r>
        <w:t>2&gt;</w:t>
      </w:r>
    </w:p>
    <w:p w14:paraId="3C3E0AC7" w14:textId="77777777" w:rsidR="00646C30" w:rsidRDefault="00646C30" w:rsidP="00646C30">
      <w:permStart w:id="610084603" w:edGrp="everyone"/>
      <w:r>
        <w:t>TYPE YOUR TEXT HERE</w:t>
      </w:r>
      <w:permEnd w:id="610084603"/>
    </w:p>
    <w:p w14:paraId="3C3E0AC8" w14:textId="77777777" w:rsidR="00646C30" w:rsidRDefault="00646C30" w:rsidP="00646C30">
      <w:r>
        <w:t>&lt;ESMA_QUESTION_CP_MAR_</w:t>
      </w:r>
      <w:r w:rsidR="00101BF1">
        <w:t>3</w:t>
      </w:r>
      <w:r>
        <w:t>2&gt;</w:t>
      </w:r>
    </w:p>
    <w:p w14:paraId="3C3E0AC9" w14:textId="77777777" w:rsidR="00646C30" w:rsidRDefault="00646C30" w:rsidP="002E1760"/>
    <w:p w14:paraId="3C3E0ACA" w14:textId="77777777" w:rsidR="00646C30" w:rsidRDefault="00D60960" w:rsidP="00646C30">
      <w:pPr>
        <w:pStyle w:val="CPQuestions"/>
      </w:pPr>
      <w:r w:rsidRPr="00D60960">
        <w:t>Do you agree with the proposed amendments to Article 11 of MAR</w:t>
      </w:r>
      <w:r>
        <w:t>?</w:t>
      </w:r>
    </w:p>
    <w:p w14:paraId="3C3E0ACB" w14:textId="77777777" w:rsidR="00646C30" w:rsidRDefault="00646C30" w:rsidP="00646C30">
      <w:r>
        <w:t>&lt;ESMA_QUESTION_CP_MAR_</w:t>
      </w:r>
      <w:r w:rsidR="00101BF1">
        <w:t>33</w:t>
      </w:r>
      <w:r>
        <w:t>&gt;</w:t>
      </w:r>
    </w:p>
    <w:p w14:paraId="3C3E0ACC" w14:textId="77777777" w:rsidR="00646C30" w:rsidRDefault="00646C30" w:rsidP="00646C30">
      <w:permStart w:id="1371158119" w:edGrp="everyone"/>
      <w:r>
        <w:t>TYPE YOUR TEXT HERE</w:t>
      </w:r>
      <w:permEnd w:id="1371158119"/>
    </w:p>
    <w:p w14:paraId="3C3E0ACD" w14:textId="77777777" w:rsidR="00646C30" w:rsidRDefault="00646C30" w:rsidP="00646C30">
      <w:r>
        <w:t>&lt;ESMA_QUESTION_CP_MAR_</w:t>
      </w:r>
      <w:r w:rsidR="00101BF1">
        <w:t>33</w:t>
      </w:r>
      <w:r>
        <w:t>&gt;</w:t>
      </w:r>
    </w:p>
    <w:p w14:paraId="3C3E0ACE" w14:textId="77777777" w:rsidR="00646C30" w:rsidRDefault="00646C30" w:rsidP="002E1760"/>
    <w:p w14:paraId="3C3E0ACF" w14:textId="77777777" w:rsidR="00646C30" w:rsidRDefault="00BF409D" w:rsidP="00646C30">
      <w:pPr>
        <w:pStyle w:val="CPQuestions"/>
      </w:pPr>
      <w:r w:rsidRPr="00BF409D">
        <w:t>Do you think that some limitation to the definition of market sounding should be introduced (e.g. excluding certain categories of transactions) or that additional clarification on the scope of the definition of market sounding should be provided</w:t>
      </w:r>
      <w:r>
        <w:t>?</w:t>
      </w:r>
    </w:p>
    <w:p w14:paraId="3C3E0AD0" w14:textId="77777777" w:rsidR="00646C30" w:rsidRDefault="00646C30" w:rsidP="00646C30">
      <w:r>
        <w:t>&lt;ESMA_QUESTION_CP_MAR_</w:t>
      </w:r>
      <w:r w:rsidR="00101BF1">
        <w:t>34</w:t>
      </w:r>
      <w:r>
        <w:t>&gt;</w:t>
      </w:r>
    </w:p>
    <w:p w14:paraId="3C3E0AD1" w14:textId="77777777" w:rsidR="00646C30" w:rsidRDefault="00646C30" w:rsidP="00646C30">
      <w:permStart w:id="146477293" w:edGrp="everyone"/>
      <w:r>
        <w:t>TYPE YOUR TEXT HERE</w:t>
      </w:r>
      <w:permEnd w:id="146477293"/>
    </w:p>
    <w:p w14:paraId="3C3E0AD2" w14:textId="77777777" w:rsidR="00646C30" w:rsidRDefault="00646C30" w:rsidP="00646C30">
      <w:r>
        <w:t>&lt;ESMA_QUESTION_CP_MAR_</w:t>
      </w:r>
      <w:r w:rsidR="00101BF1">
        <w:t>34</w:t>
      </w:r>
      <w:r>
        <w:t>&gt;</w:t>
      </w:r>
    </w:p>
    <w:p w14:paraId="3C3E0AD3" w14:textId="77777777" w:rsidR="00646C30" w:rsidRDefault="00646C30" w:rsidP="002E1760"/>
    <w:p w14:paraId="3C3E0AD4" w14:textId="77777777" w:rsidR="00646C30" w:rsidRDefault="00BF409D" w:rsidP="00646C30">
      <w:pPr>
        <w:pStyle w:val="CPQuestions"/>
      </w:pPr>
      <w:r w:rsidRPr="00BF409D">
        <w:t>What are in your view the stages of the interaction between DMPs and potential investors, from the initial contact to the execution of the transaction, that should be covered by the definition of market soundings</w:t>
      </w:r>
      <w:r>
        <w:t>?</w:t>
      </w:r>
    </w:p>
    <w:p w14:paraId="3C3E0AD5" w14:textId="77777777" w:rsidR="00646C30" w:rsidRDefault="00646C30" w:rsidP="00646C30">
      <w:r>
        <w:t>&lt;ESMA_QUESTION_CP_MAR_</w:t>
      </w:r>
      <w:r w:rsidR="00101BF1">
        <w:t>35</w:t>
      </w:r>
      <w:r>
        <w:t>&gt;</w:t>
      </w:r>
    </w:p>
    <w:p w14:paraId="3C3E0AD6" w14:textId="77777777" w:rsidR="00646C30" w:rsidRDefault="00646C30" w:rsidP="00646C30">
      <w:permStart w:id="73213744" w:edGrp="everyone"/>
      <w:r>
        <w:t>TYPE YOUR TEXT HERE</w:t>
      </w:r>
      <w:permEnd w:id="73213744"/>
    </w:p>
    <w:p w14:paraId="3C3E0AD7" w14:textId="77777777" w:rsidR="00646C30" w:rsidRDefault="00646C30" w:rsidP="00646C30">
      <w:r>
        <w:t>&lt;ESMA_QUESTION_CP_MAR_</w:t>
      </w:r>
      <w:r w:rsidR="00101BF1">
        <w:t>35</w:t>
      </w:r>
      <w:r>
        <w:t>&gt;</w:t>
      </w:r>
    </w:p>
    <w:p w14:paraId="3C3E0AD8" w14:textId="77777777" w:rsidR="00646C30" w:rsidRDefault="00646C30" w:rsidP="002E1760"/>
    <w:p w14:paraId="3C3E0AD9" w14:textId="77777777" w:rsidR="00646C30" w:rsidRDefault="00BF409D" w:rsidP="00646C30">
      <w:pPr>
        <w:pStyle w:val="CPQuestions"/>
      </w:pPr>
      <w:r w:rsidRPr="00BF409D">
        <w:t>Do you think that the reference to “prior to the announcement of a transaction” in the definition of market sounding is appropriate or whether it should be amended to cover also those communications of information not followed by any specific announcement?</w:t>
      </w:r>
    </w:p>
    <w:p w14:paraId="3C3E0ADA" w14:textId="77777777" w:rsidR="00646C30" w:rsidRDefault="00646C30" w:rsidP="00646C30">
      <w:r>
        <w:t>&lt;ESMA_QUESTION_CP_MAR_</w:t>
      </w:r>
      <w:r w:rsidR="00B6351C">
        <w:t>36</w:t>
      </w:r>
      <w:r>
        <w:t>&gt;</w:t>
      </w:r>
    </w:p>
    <w:p w14:paraId="3C3E0ADB" w14:textId="77777777" w:rsidR="00646C30" w:rsidRDefault="00646C30" w:rsidP="00646C30">
      <w:permStart w:id="720899510" w:edGrp="everyone"/>
      <w:r>
        <w:t>TYPE YOUR TEXT HERE</w:t>
      </w:r>
      <w:permEnd w:id="720899510"/>
    </w:p>
    <w:p w14:paraId="3C3E0ADC" w14:textId="77777777" w:rsidR="00646C30" w:rsidRDefault="00646C30" w:rsidP="00646C30">
      <w:r>
        <w:t>&lt;ESMA_QUESTION_CP_MAR_</w:t>
      </w:r>
      <w:r w:rsidR="00B6351C">
        <w:t>36</w:t>
      </w:r>
      <w:r>
        <w:t>&gt;</w:t>
      </w:r>
    </w:p>
    <w:p w14:paraId="3C3E0ADD" w14:textId="77777777" w:rsidR="00646C30" w:rsidRDefault="00646C30" w:rsidP="002E1760"/>
    <w:p w14:paraId="3C3E0ADE" w14:textId="77777777" w:rsidR="00646C30" w:rsidRDefault="001B2FC9" w:rsidP="00646C30">
      <w:pPr>
        <w:pStyle w:val="CPQuestions"/>
      </w:pPr>
      <w:r w:rsidRPr="001B2FC9">
        <w:t>Can you provide information on situations where the market soundings regime has proven to be of difficult application by DMPs or persons receiving the market sounding? Could you please elaborate</w:t>
      </w:r>
      <w:r>
        <w:t>?</w:t>
      </w:r>
    </w:p>
    <w:p w14:paraId="3C3E0ADF" w14:textId="77777777" w:rsidR="00646C30" w:rsidRDefault="00646C30" w:rsidP="00646C30">
      <w:r>
        <w:t>&lt;ESMA_QUESTION_CP_MAR_</w:t>
      </w:r>
      <w:r w:rsidR="00B6351C">
        <w:t>37</w:t>
      </w:r>
      <w:r>
        <w:t>&gt;</w:t>
      </w:r>
    </w:p>
    <w:p w14:paraId="3C3E0AE0" w14:textId="77777777" w:rsidR="00646C30" w:rsidRDefault="00646C30" w:rsidP="00646C30">
      <w:permStart w:id="427762830" w:edGrp="everyone"/>
      <w:r>
        <w:t>TYPE YOUR TEXT HERE</w:t>
      </w:r>
      <w:permEnd w:id="427762830"/>
    </w:p>
    <w:p w14:paraId="3C3E0AE1" w14:textId="77777777" w:rsidR="00646C30" w:rsidRDefault="00646C30" w:rsidP="00646C30">
      <w:r>
        <w:t>&lt;ESMA_QUESTION_CP_MAR_</w:t>
      </w:r>
      <w:r w:rsidR="00B6351C">
        <w:t>37</w:t>
      </w:r>
      <w:r>
        <w:t>&gt;</w:t>
      </w:r>
    </w:p>
    <w:p w14:paraId="3C3E0AE2" w14:textId="77777777" w:rsidR="00646C30" w:rsidRDefault="00646C30" w:rsidP="002E1760"/>
    <w:p w14:paraId="3C3E0AE3" w14:textId="77777777" w:rsidR="00646C30" w:rsidRDefault="001B2FC9" w:rsidP="00646C30">
      <w:pPr>
        <w:pStyle w:val="CPQuestions"/>
      </w:pPr>
      <w:r w:rsidRPr="001B2FC9">
        <w:t xml:space="preserve">Can you provide your views on how to simplify or improve the market sounding procedure and requirements while ensuring an adequate level of audit trail of the </w:t>
      </w:r>
      <w:r w:rsidRPr="001B2FC9">
        <w:lastRenderedPageBreak/>
        <w:t>conveyed information (in relation to both the DMPs and the persons receiving the market sounding)?</w:t>
      </w:r>
    </w:p>
    <w:p w14:paraId="3C3E0AE4" w14:textId="77777777" w:rsidR="00646C30" w:rsidRDefault="00646C30" w:rsidP="00646C30">
      <w:r>
        <w:t>&lt;ESMA_QUESTION_CP_MAR_</w:t>
      </w:r>
      <w:r w:rsidR="00B6351C">
        <w:t>38</w:t>
      </w:r>
      <w:r>
        <w:t>&gt;</w:t>
      </w:r>
    </w:p>
    <w:p w14:paraId="3C3E0AE5" w14:textId="77777777" w:rsidR="00646C30" w:rsidRDefault="00646C30" w:rsidP="00646C30">
      <w:permStart w:id="2098217667" w:edGrp="everyone"/>
      <w:r>
        <w:t>TYPE YOUR TEXT HERE</w:t>
      </w:r>
      <w:permEnd w:id="2098217667"/>
    </w:p>
    <w:p w14:paraId="3C3E0AE6" w14:textId="77777777" w:rsidR="00646C30" w:rsidRDefault="00646C30" w:rsidP="00646C30">
      <w:r>
        <w:t>&lt;ESMA_QUESTION_CP_MAR_</w:t>
      </w:r>
      <w:r w:rsidR="00B6351C">
        <w:t>38</w:t>
      </w:r>
      <w:r>
        <w:t>&gt;</w:t>
      </w:r>
    </w:p>
    <w:p w14:paraId="3C3E0AE7" w14:textId="77777777" w:rsidR="00646C30" w:rsidRDefault="00646C30" w:rsidP="002E1760"/>
    <w:p w14:paraId="3C3E0AE8" w14:textId="77777777" w:rsidR="00646C30" w:rsidRDefault="001B2FC9" w:rsidP="00646C30">
      <w:pPr>
        <w:pStyle w:val="CPQuestions"/>
      </w:pPr>
      <w:r w:rsidRPr="001B2FC9">
        <w:t>Do you agree with ESMA’s preliminary view on the usefulness of insider list? If not, please elaborate</w:t>
      </w:r>
      <w:r w:rsidR="00646C30">
        <w:t>.</w:t>
      </w:r>
    </w:p>
    <w:p w14:paraId="3C3E0AE9" w14:textId="77777777" w:rsidR="00646C30" w:rsidRDefault="00646C30" w:rsidP="00646C30">
      <w:r>
        <w:t>&lt;ESMA_QUESTION_CP_MAR_</w:t>
      </w:r>
      <w:r w:rsidR="00B6351C">
        <w:t>39</w:t>
      </w:r>
      <w:r>
        <w:t>&gt;</w:t>
      </w:r>
    </w:p>
    <w:p w14:paraId="72CAA277" w14:textId="77777777" w:rsidR="006637D2" w:rsidRPr="001647A9" w:rsidRDefault="006637D2" w:rsidP="006637D2">
      <w:pPr>
        <w:rPr>
          <w:color w:val="000000" w:themeColor="text1"/>
        </w:rPr>
      </w:pPr>
      <w:permStart w:id="1933056180" w:edGrp="everyone"/>
      <w:r w:rsidRPr="00FE6A46">
        <w:t>Yes. From an issuer’s perspective, insider lists provide a centralised place to record the details of all parties with access to inside information and the reasons why, and any changes to those parties over time. They also enable easier management of communication with the relevant parties</w:t>
      </w:r>
      <w:r w:rsidRPr="00FE6A46">
        <w:rPr>
          <w:color w:val="FF0000"/>
        </w:rPr>
        <w:t xml:space="preserve">. </w:t>
      </w:r>
      <w:r w:rsidRPr="001647A9">
        <w:rPr>
          <w:color w:val="000000" w:themeColor="text1"/>
        </w:rPr>
        <w:t xml:space="preserve">However, it is difficult to ensure the accuracy of some of the information </w:t>
      </w:r>
      <w:r>
        <w:rPr>
          <w:color w:val="000000" w:themeColor="text1"/>
        </w:rPr>
        <w:t>after</w:t>
      </w:r>
      <w:r w:rsidRPr="001647A9">
        <w:rPr>
          <w:color w:val="000000" w:themeColor="text1"/>
        </w:rPr>
        <w:t xml:space="preserve"> an employee has left the business – the utility of that information may decline over time.  </w:t>
      </w:r>
    </w:p>
    <w:p w14:paraId="62C79D60" w14:textId="77777777" w:rsidR="006637D2" w:rsidRPr="001647A9" w:rsidRDefault="006637D2" w:rsidP="006637D2">
      <w:pPr>
        <w:rPr>
          <w:color w:val="000000" w:themeColor="text1"/>
        </w:rPr>
      </w:pPr>
    </w:p>
    <w:p w14:paraId="3C3E0AEA" w14:textId="2AF52A0F" w:rsidR="00646C30" w:rsidRDefault="006637D2" w:rsidP="00646C30">
      <w:r w:rsidRPr="001647A9">
        <w:rPr>
          <w:color w:val="000000" w:themeColor="text1"/>
        </w:rPr>
        <w:t xml:space="preserve">Another administratively burdensome aspect, which is challenging to record in practice, is identifying the precise time (in hours and minutes) when someone became aware of inside information. Perhaps this requirement should be assessed against the number of times competent authorities have had to rely on being able to establish the </w:t>
      </w:r>
      <w:r>
        <w:rPr>
          <w:color w:val="000000" w:themeColor="text1"/>
        </w:rPr>
        <w:t>exact</w:t>
      </w:r>
      <w:r w:rsidRPr="001647A9">
        <w:rPr>
          <w:color w:val="000000" w:themeColor="text1"/>
        </w:rPr>
        <w:t xml:space="preserve"> minute within an hour when a person ceased to have confidential information and had inside information instead</w:t>
      </w:r>
      <w:r w:rsidR="008E5912">
        <w:rPr>
          <w:color w:val="000000" w:themeColor="text1"/>
        </w:rPr>
        <w:t>.</w:t>
      </w:r>
      <w:permEnd w:id="1933056180"/>
    </w:p>
    <w:p w14:paraId="3C3E0AEB" w14:textId="77777777" w:rsidR="00646C30" w:rsidRDefault="00646C30" w:rsidP="00646C30">
      <w:r>
        <w:t>&lt;ESMA_QUESTION_CP_MAR_</w:t>
      </w:r>
      <w:r w:rsidR="00B6351C">
        <w:t>39</w:t>
      </w:r>
      <w:r>
        <w:t>&gt;</w:t>
      </w:r>
    </w:p>
    <w:p w14:paraId="3C3E0AEC" w14:textId="77777777" w:rsidR="00646C30" w:rsidRDefault="00646C30" w:rsidP="002E1760"/>
    <w:p w14:paraId="3C3E0AED" w14:textId="77777777" w:rsidR="00646C30" w:rsidRDefault="00263505" w:rsidP="00646C30">
      <w:pPr>
        <w:pStyle w:val="CPQuestions"/>
      </w:pPr>
      <w:r w:rsidRPr="00263505">
        <w:t>Do you consider that the insider list regime should be amended to make it more effective?  Please elaborate</w:t>
      </w:r>
      <w:r w:rsidR="00646C30">
        <w:t>.</w:t>
      </w:r>
    </w:p>
    <w:p w14:paraId="3C3E0AEE" w14:textId="77777777" w:rsidR="00646C30" w:rsidRDefault="00646C30" w:rsidP="00646C30">
      <w:r>
        <w:t>&lt;ESMA_QUESTION_CP_MAR_</w:t>
      </w:r>
      <w:r w:rsidR="00B6351C">
        <w:t>40</w:t>
      </w:r>
      <w:r>
        <w:t>&gt;</w:t>
      </w:r>
    </w:p>
    <w:p w14:paraId="402E1BD0" w14:textId="6A8A3F57" w:rsidR="008E5912" w:rsidRDefault="008E5912" w:rsidP="008E5912">
      <w:pPr>
        <w:jc w:val="both"/>
      </w:pPr>
      <w:bookmarkStart w:id="5" w:name="_Hlk25730648"/>
      <w:permStart w:id="1252881600" w:edGrp="everyone"/>
      <w:r>
        <w:t xml:space="preserve">Like ESMA, we have seen clients include (or want to include) in their insider lists all individuals who </w:t>
      </w:r>
      <w:r w:rsidRPr="004A5322">
        <w:t>could</w:t>
      </w:r>
      <w:r>
        <w:t xml:space="preserve"> have access to inside information, regardless of whether they had ever </w:t>
      </w:r>
      <w:r w:rsidRPr="004A5322">
        <w:t>actually accessed</w:t>
      </w:r>
      <w:r>
        <w:t xml:space="preserve"> the information in practice. We note that this is consistent with a strict, literal interpretation of Art 18(1), which requires insider lists to include “all persons who have access to inside information …”.  </w:t>
      </w:r>
      <w:r w:rsidR="00D563DF">
        <w:t>Further</w:t>
      </w:r>
      <w:r>
        <w:t>, as explained in the consultation paper, this approach may reduce the administrative burden on the issuer when maintaining the insider list. Another reason may be to ensure those persons are all captured by internal procedures that prohibit them from dealing in the company’s shares unless they seek and obtain specific prior approval each time they wish to do so, to help ensure they do not trade in the company’s shares when it would be illegal under MAR or otherwise inappropriate to do so</w:t>
      </w:r>
      <w:r w:rsidR="00D563DF">
        <w:t>.</w:t>
      </w:r>
      <w:r>
        <w:t xml:space="preserve"> </w:t>
      </w:r>
    </w:p>
    <w:p w14:paraId="43EDC651" w14:textId="77777777" w:rsidR="008E5912" w:rsidRDefault="008E5912" w:rsidP="008E5912">
      <w:pPr>
        <w:jc w:val="both"/>
      </w:pPr>
    </w:p>
    <w:p w14:paraId="13DDDD68" w14:textId="77777777" w:rsidR="008E5912" w:rsidRDefault="008E5912" w:rsidP="008E5912">
      <w:pPr>
        <w:jc w:val="both"/>
      </w:pPr>
      <w:r>
        <w:t xml:space="preserve">In our view, the approaches to insider lists described above can reflect a lack of appreciation of the “live” way in which insider lists are meant to operate under MAR, whereby individuals should only be added to an insider list if and when they are in possession of the inside information in question. </w:t>
      </w:r>
      <w:bookmarkEnd w:id="5"/>
    </w:p>
    <w:p w14:paraId="4183994D" w14:textId="77777777" w:rsidR="008E5912" w:rsidRPr="00FE6A46" w:rsidRDefault="008E5912" w:rsidP="008E5912">
      <w:pPr>
        <w:jc w:val="both"/>
      </w:pPr>
    </w:p>
    <w:p w14:paraId="709CF37D" w14:textId="77777777" w:rsidR="008E5912" w:rsidRPr="00DE63BD" w:rsidRDefault="008E5912" w:rsidP="008E5912">
      <w:pPr>
        <w:jc w:val="both"/>
      </w:pPr>
      <w:r w:rsidRPr="00DE63BD">
        <w:t xml:space="preserve">The above point also applies to the insider lists maintained by an issuer’s external advisors, who tend to add all their employees to their insider lists, irrespective of the fact whether those individuals </w:t>
      </w:r>
      <w:proofErr w:type="gramStart"/>
      <w:r w:rsidRPr="00DE63BD">
        <w:t>actually accessed</w:t>
      </w:r>
      <w:proofErr w:type="gramEnd"/>
      <w:r w:rsidRPr="00DE63BD">
        <w:t xml:space="preserve"> the inside information or not. This reduces the efficacy of insider lists, both for issuers and the NCAs. </w:t>
      </w:r>
    </w:p>
    <w:p w14:paraId="5035FE6A" w14:textId="77777777" w:rsidR="008E5912" w:rsidRPr="00DE63BD" w:rsidRDefault="008E5912" w:rsidP="008E5912">
      <w:pPr>
        <w:jc w:val="both"/>
      </w:pPr>
    </w:p>
    <w:p w14:paraId="426E1A06" w14:textId="77777777" w:rsidR="008E5912" w:rsidRPr="00DE63BD" w:rsidRDefault="008E5912" w:rsidP="008E5912">
      <w:pPr>
        <w:jc w:val="both"/>
      </w:pPr>
      <w:r w:rsidRPr="00DE63BD">
        <w:t xml:space="preserve">In addition, unless express consent has been obtained, it could be argued that issuers which include in their insider lists people who could have access to inside information but do not have that inside information in practice, have no legal basis to process that personal data under the EU GDPR.  </w:t>
      </w:r>
    </w:p>
    <w:p w14:paraId="14E93924" w14:textId="77777777" w:rsidR="008E5912" w:rsidRPr="00DE63BD" w:rsidRDefault="008E5912" w:rsidP="008E5912">
      <w:pPr>
        <w:jc w:val="both"/>
      </w:pPr>
    </w:p>
    <w:p w14:paraId="3C3E0AEF" w14:textId="1A5B4377" w:rsidR="00646C30" w:rsidRDefault="008E5912" w:rsidP="00646C30">
      <w:r w:rsidRPr="00DE63BD">
        <w:t xml:space="preserve">Ensuring that MAR is explicitly clear that insider lists should only include persons who </w:t>
      </w:r>
      <w:proofErr w:type="gramStart"/>
      <w:r w:rsidRPr="00DE63BD">
        <w:t>actually have</w:t>
      </w:r>
      <w:proofErr w:type="gramEnd"/>
      <w:r w:rsidRPr="00DE63BD">
        <w:t xml:space="preserve"> that inside information </w:t>
      </w:r>
      <w:r w:rsidRPr="00FE6A46">
        <w:t xml:space="preserve">would help to make the insider list regime more effective. Another </w:t>
      </w:r>
      <w:r>
        <w:t xml:space="preserve">helpful </w:t>
      </w:r>
      <w:r w:rsidRPr="00FE6A46">
        <w:t>measure would be to encourage issuers to use confidential or restricted persons lists to ensure relevant employees are captured by the issuer’s internal dealing procedures and can therefore be prohibited from dealing in the issuer’s shares if they were free to do so under MAR but it would be inappropriate for them to do so for other reasons.</w:t>
      </w:r>
      <w:permEnd w:id="1252881600"/>
    </w:p>
    <w:p w14:paraId="3C3E0AF0" w14:textId="77777777" w:rsidR="00646C30" w:rsidRDefault="00646C30" w:rsidP="00646C30">
      <w:r>
        <w:t>&lt;ESMA_QUESTION_CP_MAR_</w:t>
      </w:r>
      <w:r w:rsidR="00B6351C">
        <w:t>40</w:t>
      </w:r>
      <w:r>
        <w:t>&gt;</w:t>
      </w:r>
    </w:p>
    <w:p w14:paraId="3C3E0AF1" w14:textId="77777777" w:rsidR="00646C30" w:rsidRDefault="00646C30" w:rsidP="002E1760"/>
    <w:p w14:paraId="3C3E0AF2" w14:textId="77777777" w:rsidR="00646C30" w:rsidRDefault="00263505" w:rsidP="00646C30">
      <w:pPr>
        <w:pStyle w:val="CPQuestions"/>
      </w:pPr>
      <w:r w:rsidRPr="00263505">
        <w:t>What changes and what systems and controls would issuers need to put in place in order to be able to provide NCAs, at their request, the insider list with the individuals who had actually accessed the inside information within a short time period</w:t>
      </w:r>
      <w:r>
        <w:t>?</w:t>
      </w:r>
    </w:p>
    <w:p w14:paraId="3C3E0AF3" w14:textId="77777777" w:rsidR="00646C30" w:rsidRDefault="00646C30" w:rsidP="00646C30">
      <w:r>
        <w:t>&lt;ESMA_QUESTION_CP_MAR_</w:t>
      </w:r>
      <w:r w:rsidR="00B6351C">
        <w:t>41</w:t>
      </w:r>
      <w:r>
        <w:t>&gt;</w:t>
      </w:r>
    </w:p>
    <w:p w14:paraId="3DA12B65" w14:textId="77777777" w:rsidR="008E5912" w:rsidRPr="00FE6A46" w:rsidRDefault="008E5912" w:rsidP="00D563DF">
      <w:pPr>
        <w:jc w:val="both"/>
      </w:pPr>
      <w:bookmarkStart w:id="6" w:name="_Hlk25921835"/>
      <w:bookmarkStart w:id="7" w:name="_Hlk25921857"/>
      <w:permStart w:id="93392546" w:edGrp="everyone"/>
      <w:r w:rsidRPr="00FE6A46">
        <w:t>We agree with ESMA’s view that including individuals who have not actually accessed inside information on the insider list -</w:t>
      </w:r>
      <w:r>
        <w:t xml:space="preserve"> </w:t>
      </w:r>
      <w:r w:rsidRPr="00FE6A46">
        <w:t xml:space="preserve">with the aim to facilitate the task of the issuer and reduce the administration required at the outset - may result in issuers not having proper oversight of those who actually have accessed a piece of inside information and may reduce the effectiveness of the insider list to NCAs who conduct investigations. </w:t>
      </w:r>
    </w:p>
    <w:p w14:paraId="6B0A9A08" w14:textId="77777777" w:rsidR="008E5912" w:rsidRPr="00FE6A46" w:rsidRDefault="008E5912" w:rsidP="00D563DF">
      <w:pPr>
        <w:jc w:val="both"/>
      </w:pPr>
    </w:p>
    <w:p w14:paraId="10C404AB" w14:textId="77777777" w:rsidR="008E5912" w:rsidRPr="00FE6A46" w:rsidRDefault="008E5912" w:rsidP="00D563DF">
      <w:pPr>
        <w:jc w:val="both"/>
      </w:pPr>
      <w:r w:rsidRPr="00FE6A46">
        <w:t xml:space="preserve">Issuers adopting </w:t>
      </w:r>
      <w:r>
        <w:t>this</w:t>
      </w:r>
      <w:r w:rsidRPr="00FE6A46">
        <w:t xml:space="preserve"> approach </w:t>
      </w:r>
      <w:r>
        <w:t xml:space="preserve">are likely to </w:t>
      </w:r>
      <w:r w:rsidRPr="00FE6A46">
        <w:t xml:space="preserve">find it perhaps impossible to provide their NCA within a short timescale, an insider list identifying </w:t>
      </w:r>
      <w:r>
        <w:t xml:space="preserve">only </w:t>
      </w:r>
      <w:r w:rsidRPr="00FE6A46">
        <w:t xml:space="preserve">those individuals who have </w:t>
      </w:r>
      <w:r w:rsidRPr="00FE6A46">
        <w:rPr>
          <w:i/>
          <w:iCs/>
        </w:rPr>
        <w:t>actually been in possession of</w:t>
      </w:r>
      <w:r w:rsidRPr="00FE6A46">
        <w:t xml:space="preserve"> the inside information, unless they also recorded details of when individuals actually came into possession of the information, as opposed to when they were technically </w:t>
      </w:r>
      <w:r w:rsidRPr="00FE6A46">
        <w:rPr>
          <w:i/>
          <w:iCs/>
        </w:rPr>
        <w:t>able</w:t>
      </w:r>
      <w:r w:rsidRPr="00FE6A46">
        <w:t xml:space="preserve"> to access the information. This information could perhaps be obtained </w:t>
      </w:r>
      <w:proofErr w:type="gramStart"/>
      <w:r w:rsidRPr="00FE6A46">
        <w:t>through the use of</w:t>
      </w:r>
      <w:proofErr w:type="gramEnd"/>
      <w:r w:rsidRPr="00FE6A46">
        <w:t xml:space="preserve"> controls around access to inside information which ensure that the person or persons maintaining the insider list is/are notified as soon as practicable when any individuals on the list have accessed the inside information for the first time. In practice, this would result in two timelines being maintained for individuals on the list, i.e., when they were first added to the list and secondly, when they </w:t>
      </w:r>
      <w:proofErr w:type="gramStart"/>
      <w:r w:rsidRPr="00FE6A46">
        <w:t>actually access</w:t>
      </w:r>
      <w:proofErr w:type="gramEnd"/>
      <w:r w:rsidRPr="00FE6A46">
        <w:t xml:space="preserve"> the inside information for the first time. Such an approach is likely to result in excessive administrative burden and potential errors. </w:t>
      </w:r>
    </w:p>
    <w:p w14:paraId="4AF3CCFE" w14:textId="77777777" w:rsidR="008E5912" w:rsidRPr="00FE6A46" w:rsidRDefault="008E5912" w:rsidP="00D563DF">
      <w:pPr>
        <w:jc w:val="both"/>
      </w:pPr>
    </w:p>
    <w:p w14:paraId="3C3E0AF4" w14:textId="4C72E3B3" w:rsidR="00646C30" w:rsidRDefault="008E5912" w:rsidP="00646C30">
      <w:r w:rsidRPr="00FE6A46">
        <w:t xml:space="preserve">Therefore, the best course of action would be to have stricter guidelines prescribed in MAR which require issuers and their external advisors </w:t>
      </w:r>
      <w:bookmarkEnd w:id="7"/>
      <w:r w:rsidRPr="00FE6A46">
        <w:t xml:space="preserve">to </w:t>
      </w:r>
      <w:r w:rsidRPr="00FE6A46">
        <w:rPr>
          <w:i/>
          <w:iCs/>
        </w:rPr>
        <w:t xml:space="preserve">only </w:t>
      </w:r>
      <w:r w:rsidRPr="00FE6A46">
        <w:t xml:space="preserve">include on the insider list those individuals who have </w:t>
      </w:r>
      <w:proofErr w:type="gramStart"/>
      <w:r w:rsidRPr="00FE6A46">
        <w:t>actually accessed</w:t>
      </w:r>
      <w:proofErr w:type="gramEnd"/>
      <w:r w:rsidRPr="00FE6A46">
        <w:t xml:space="preserve"> inside information.</w:t>
      </w:r>
      <w:bookmarkEnd w:id="6"/>
      <w:permEnd w:id="93392546"/>
    </w:p>
    <w:p w14:paraId="3C3E0AF5" w14:textId="77777777" w:rsidR="00646C30" w:rsidRDefault="00646C30" w:rsidP="00646C30">
      <w:r>
        <w:t>&lt;ESMA_QUESTION_CP_MAR_</w:t>
      </w:r>
      <w:r w:rsidR="00B6351C">
        <w:t>41</w:t>
      </w:r>
      <w:r>
        <w:t>&gt;</w:t>
      </w:r>
    </w:p>
    <w:p w14:paraId="3C3E0AF6" w14:textId="77777777" w:rsidR="00646C30" w:rsidRDefault="00646C30" w:rsidP="002E1760"/>
    <w:p w14:paraId="3C3E0AF7" w14:textId="77777777" w:rsidR="00646C30" w:rsidRDefault="00A55D71" w:rsidP="00646C30">
      <w:pPr>
        <w:pStyle w:val="CPQuestions"/>
      </w:pPr>
      <w:r w:rsidRPr="00A55D71">
        <w:t>What are your views about expanding the scope of Article 18(1) of MAR (i.e. drawing up and maintain the insider list) to include any person performing tasks through which they have access to inside information, irrespective of the fact that they act on behalf or on account of the issuer? Please identify any other cases that you consider appropriate</w:t>
      </w:r>
      <w:r w:rsidR="00646C30">
        <w:t>.</w:t>
      </w:r>
    </w:p>
    <w:p w14:paraId="3C3E0AF8" w14:textId="77777777" w:rsidR="00646C30" w:rsidRDefault="00646C30" w:rsidP="00646C30">
      <w:r>
        <w:t>&lt;ESMA_QUESTION_CP_MAR_</w:t>
      </w:r>
      <w:r w:rsidR="00B6351C">
        <w:t>4</w:t>
      </w:r>
      <w:r>
        <w:t>2&gt;</w:t>
      </w:r>
    </w:p>
    <w:p w14:paraId="3C3E0AF9" w14:textId="77777777" w:rsidR="00646C30" w:rsidRDefault="00646C30" w:rsidP="00646C30">
      <w:permStart w:id="1148858332" w:edGrp="everyone"/>
      <w:r>
        <w:t>TYPE YOUR TEXT HERE</w:t>
      </w:r>
      <w:permEnd w:id="1148858332"/>
    </w:p>
    <w:p w14:paraId="3C3E0AFA" w14:textId="77777777" w:rsidR="00646C30" w:rsidRDefault="00646C30" w:rsidP="00646C30">
      <w:r>
        <w:t>&lt;ESMA_QUESTION_CP_MAR_</w:t>
      </w:r>
      <w:r w:rsidR="00B6351C">
        <w:t>4</w:t>
      </w:r>
      <w:r>
        <w:t>2&gt;</w:t>
      </w:r>
    </w:p>
    <w:p w14:paraId="3C3E0AFB" w14:textId="77777777" w:rsidR="00646C30" w:rsidRDefault="00646C30" w:rsidP="002E1760"/>
    <w:p w14:paraId="3C3E0AFC" w14:textId="77777777" w:rsidR="00646C30" w:rsidRDefault="004F728D" w:rsidP="00646C30">
      <w:pPr>
        <w:pStyle w:val="CPQuestions"/>
      </w:pPr>
      <w:r w:rsidRPr="004F728D">
        <w:t>Do you consider useful maintaining the permanent insider section? If yes, please elaborate on your reasons for using the permanent insider section and who should be included in that section in your opinion</w:t>
      </w:r>
      <w:r w:rsidR="00646C30">
        <w:t>.</w:t>
      </w:r>
    </w:p>
    <w:p w14:paraId="3C3E0AFD" w14:textId="77777777" w:rsidR="00646C30" w:rsidRDefault="00646C30" w:rsidP="00646C30">
      <w:r>
        <w:t>&lt;ESMA_QUESTION_CP_MAR_</w:t>
      </w:r>
      <w:r w:rsidR="00B6351C">
        <w:t>43</w:t>
      </w:r>
      <w:r>
        <w:t>&gt;</w:t>
      </w:r>
    </w:p>
    <w:p w14:paraId="0BCD6465" w14:textId="414EDB7E" w:rsidR="008E5912" w:rsidRDefault="008E5912" w:rsidP="00D563DF">
      <w:pPr>
        <w:jc w:val="both"/>
      </w:pPr>
      <w:permStart w:id="513950227" w:edGrp="everyone"/>
      <w:r w:rsidRPr="00FE6A46">
        <w:t xml:space="preserve">From our experience across our client base and </w:t>
      </w:r>
      <w:r>
        <w:t>feedback from others</w:t>
      </w:r>
      <w:r w:rsidR="00B30311">
        <w:t xml:space="preserve"> (see note below)</w:t>
      </w:r>
      <w:r>
        <w:t>,</w:t>
      </w:r>
      <w:r w:rsidRPr="00FE6A46">
        <w:t xml:space="preserve"> market practice in this area varies considerably, both in terms </w:t>
      </w:r>
      <w:r>
        <w:t xml:space="preserve">of </w:t>
      </w:r>
      <w:r w:rsidRPr="00FE6A46">
        <w:t xml:space="preserve">whether issuers elect </w:t>
      </w:r>
      <w:r>
        <w:t xml:space="preserve">to </w:t>
      </w:r>
      <w:r w:rsidRPr="00FE6A46">
        <w:t xml:space="preserve">maintain a permanent insider section and, if they do, who </w:t>
      </w:r>
      <w:r>
        <w:t>is</w:t>
      </w:r>
      <w:r w:rsidRPr="00FE6A46">
        <w:t xml:space="preserve"> included in that section. </w:t>
      </w:r>
    </w:p>
    <w:p w14:paraId="61913A6D" w14:textId="77777777" w:rsidR="008E5912" w:rsidRDefault="008E5912" w:rsidP="00D563DF">
      <w:pPr>
        <w:jc w:val="both"/>
      </w:pPr>
    </w:p>
    <w:p w14:paraId="1B7B493B" w14:textId="0E59F810" w:rsidR="008E5912" w:rsidRDefault="008E5912" w:rsidP="00D563DF">
      <w:pPr>
        <w:jc w:val="both"/>
      </w:pPr>
      <w:r>
        <w:t xml:space="preserve">Most companies still have a permanent insider list. However, few appear to genuinely use it as intended under MAR, to include only </w:t>
      </w:r>
      <w:r w:rsidRPr="00FE6A46">
        <w:t>includ</w:t>
      </w:r>
      <w:r>
        <w:t>e</w:t>
      </w:r>
      <w:r w:rsidRPr="00FE6A46">
        <w:t xml:space="preserve"> those </w:t>
      </w:r>
      <w:r>
        <w:t xml:space="preserve">persons who, due to the nature of their function or position, </w:t>
      </w:r>
      <w:proofErr w:type="gramStart"/>
      <w:r>
        <w:t xml:space="preserve">have access to </w:t>
      </w:r>
      <w:r w:rsidRPr="008C3B25">
        <w:rPr>
          <w:b/>
        </w:rPr>
        <w:t>all</w:t>
      </w:r>
      <w:r>
        <w:t xml:space="preserve"> </w:t>
      </w:r>
      <w:r w:rsidRPr="00FE6A46">
        <w:t xml:space="preserve">inside information </w:t>
      </w:r>
      <w:r>
        <w:t xml:space="preserve">at </w:t>
      </w:r>
      <w:r w:rsidRPr="008C3B25">
        <w:rPr>
          <w:b/>
        </w:rPr>
        <w:t>all</w:t>
      </w:r>
      <w:r w:rsidRPr="00FE6A46">
        <w:t xml:space="preserve"> time</w:t>
      </w:r>
      <w:r>
        <w:t>s</w:t>
      </w:r>
      <w:proofErr w:type="gramEnd"/>
      <w:r>
        <w:t xml:space="preserve">. In practice, few if any people will meet both these tests, given that inside information should only be disclosed to persons who require the information to perform their function. In addition, it is difficult to anticipate all the types of inside information that may arise over time and whether every person on that list </w:t>
      </w:r>
      <w:proofErr w:type="gramStart"/>
      <w:r>
        <w:t>would have access to it at all times</w:t>
      </w:r>
      <w:proofErr w:type="gramEnd"/>
      <w:r>
        <w:t xml:space="preserve">. For example, in a large group with different business units, the head of one will not necessarily need to be aware of inside information elsewhere in the group in order to perform his function. Or the CFO might not be amongst the first to know that the board is seeking to replace the CEO. It may therefore not be appropriate to treat them as an insider and preclude them from dealing in the company’s shares. </w:t>
      </w:r>
    </w:p>
    <w:p w14:paraId="63B529E8" w14:textId="77777777" w:rsidR="008E5912" w:rsidRDefault="008E5912" w:rsidP="00D563DF">
      <w:pPr>
        <w:jc w:val="both"/>
      </w:pPr>
    </w:p>
    <w:p w14:paraId="3815A271" w14:textId="65A6D9D2" w:rsidR="008E5912" w:rsidRPr="00FE6A46" w:rsidRDefault="008E5912" w:rsidP="00D563DF">
      <w:pPr>
        <w:jc w:val="both"/>
      </w:pPr>
      <w:r>
        <w:t>A small but growing number of</w:t>
      </w:r>
      <w:r w:rsidRPr="00FE6A46">
        <w:t xml:space="preserve"> companies </w:t>
      </w:r>
      <w:r>
        <w:t xml:space="preserve">have taken this on board and have therefore significantly reduced the number of people on their permanent insider list or </w:t>
      </w:r>
      <w:r w:rsidRPr="00FE6A46">
        <w:t>conclude</w:t>
      </w:r>
      <w:r>
        <w:t>d</w:t>
      </w:r>
      <w:r w:rsidRPr="00FE6A46">
        <w:t xml:space="preserve"> that </w:t>
      </w:r>
      <w:r>
        <w:t xml:space="preserve">is it not appropriate for them to have any permanent insiders </w:t>
      </w:r>
      <w:r w:rsidRPr="00FE6A46">
        <w:t>and instead</w:t>
      </w:r>
      <w:r>
        <w:t>,</w:t>
      </w:r>
      <w:r w:rsidRPr="00FE6A46">
        <w:t xml:space="preserve"> </w:t>
      </w:r>
      <w:r>
        <w:t xml:space="preserve">they only operate a </w:t>
      </w:r>
      <w:r w:rsidRPr="00FE6A46">
        <w:t xml:space="preserve">project insider section whenever inside information arises. </w:t>
      </w:r>
      <w:r>
        <w:t>C</w:t>
      </w:r>
      <w:r w:rsidRPr="00FE6A46">
        <w:t>learly this is a more administratively cumbersome approach</w:t>
      </w:r>
      <w:r w:rsidR="00B30311">
        <w:t>;</w:t>
      </w:r>
      <w:r w:rsidRPr="00FE6A46">
        <w:t xml:space="preserve"> </w:t>
      </w:r>
      <w:r>
        <w:t xml:space="preserve">however, it </w:t>
      </w:r>
      <w:r w:rsidRPr="00FE6A46">
        <w:t>more accurately reflect</w:t>
      </w:r>
      <w:r>
        <w:t>s</w:t>
      </w:r>
      <w:r w:rsidRPr="00FE6A46">
        <w:t xml:space="preserve"> the </w:t>
      </w:r>
      <w:r>
        <w:t xml:space="preserve">actual way in which </w:t>
      </w:r>
      <w:r w:rsidRPr="00FE6A46">
        <w:t xml:space="preserve">inside information </w:t>
      </w:r>
      <w:r>
        <w:t xml:space="preserve">is managed in practice and therefore the actual knowledge of each person. </w:t>
      </w:r>
    </w:p>
    <w:p w14:paraId="310597E0" w14:textId="77777777" w:rsidR="008E5912" w:rsidRPr="00FE6A46" w:rsidRDefault="008E5912" w:rsidP="00D563DF">
      <w:pPr>
        <w:jc w:val="both"/>
      </w:pPr>
    </w:p>
    <w:p w14:paraId="3EA04983" w14:textId="62076F3F" w:rsidR="008E5912" w:rsidRPr="00FE6A46" w:rsidRDefault="008E5912" w:rsidP="00D563DF">
      <w:pPr>
        <w:jc w:val="both"/>
      </w:pPr>
      <w:r>
        <w:t xml:space="preserve">Companies </w:t>
      </w:r>
      <w:r w:rsidRPr="00FE6A46">
        <w:t xml:space="preserve">that do maintain a permanent insider section usually </w:t>
      </w:r>
      <w:r>
        <w:t xml:space="preserve">do so </w:t>
      </w:r>
      <w:r w:rsidR="00B30311">
        <w:t xml:space="preserve">in order </w:t>
      </w:r>
      <w:r w:rsidRPr="00FE6A46">
        <w:t xml:space="preserve">to reduce the administrative burden whenever inside information </w:t>
      </w:r>
      <w:r>
        <w:t xml:space="preserve">is identified, </w:t>
      </w:r>
      <w:r w:rsidRPr="00FE6A46">
        <w:t xml:space="preserve">requiring the creation of a project </w:t>
      </w:r>
      <w:r>
        <w:t xml:space="preserve">insider </w:t>
      </w:r>
      <w:r w:rsidRPr="00FE6A46">
        <w:t>list</w:t>
      </w:r>
      <w:r>
        <w:t xml:space="preserve">. This is particularly the case with companies that insist on having </w:t>
      </w:r>
      <w:proofErr w:type="gramStart"/>
      <w:r>
        <w:t>a large number of</w:t>
      </w:r>
      <w:proofErr w:type="gramEnd"/>
      <w:r>
        <w:t xml:space="preserve"> permanent insiders, but less of an issue for those that have whittled their list down to less than a handful or so. </w:t>
      </w:r>
      <w:r w:rsidRPr="00FE6A46">
        <w:t xml:space="preserve"> </w:t>
      </w:r>
    </w:p>
    <w:p w14:paraId="2630F7F7" w14:textId="77777777" w:rsidR="008E5912" w:rsidRPr="00FE6A46" w:rsidRDefault="008E5912" w:rsidP="00D563DF">
      <w:pPr>
        <w:jc w:val="both"/>
      </w:pPr>
    </w:p>
    <w:p w14:paraId="75F6D81B" w14:textId="77777777" w:rsidR="008E5912" w:rsidRDefault="008E5912" w:rsidP="00646C30">
      <w:r w:rsidRPr="00FE6A46">
        <w:t xml:space="preserve">Based on our experience, beyond </w:t>
      </w:r>
      <w:r>
        <w:t xml:space="preserve">possibly </w:t>
      </w:r>
      <w:r w:rsidRPr="00FE6A46">
        <w:t xml:space="preserve">reducing the administrative burden when inside information arises, it is difficult to identify </w:t>
      </w:r>
      <w:r>
        <w:t>a compelling</w:t>
      </w:r>
      <w:r w:rsidRPr="00FE6A46">
        <w:t xml:space="preserve"> purpose for maintaining a permanent insider section</w:t>
      </w:r>
      <w:r>
        <w:t>, for the reasons outlined above</w:t>
      </w:r>
      <w:r w:rsidRPr="00FE6A46">
        <w:t>.</w:t>
      </w:r>
      <w:r>
        <w:t xml:space="preserve"> A permanent insider section seems to add little additional benefit, given the </w:t>
      </w:r>
      <w:proofErr w:type="gramStart"/>
      <w:r>
        <w:t>manner in which</w:t>
      </w:r>
      <w:proofErr w:type="gramEnd"/>
      <w:r>
        <w:t xml:space="preserve"> the market abuse regime operates</w:t>
      </w:r>
    </w:p>
    <w:p w14:paraId="7CF4F155" w14:textId="77777777" w:rsidR="008E5912" w:rsidRDefault="008E5912" w:rsidP="00646C30"/>
    <w:p w14:paraId="3C3E0AFE" w14:textId="79D02E8C" w:rsidR="00646C30" w:rsidRDefault="008E5912" w:rsidP="00646C30">
      <w:r>
        <w:t xml:space="preserve">Note: An update on the practical application of MAR’, April 2019, page 4: Of the respondents, 72% had a permanent insider list, with the number of permanent insiders varying from 3 individuals (6% of respondents) to more than 20 individuals (42% of respondents). 28% of respondents did not have any permanent insiders. Survey available at: </w:t>
      </w:r>
      <w:hyperlink r:id="rId20" w:history="1">
        <w:r w:rsidRPr="00F85116">
          <w:rPr>
            <w:rStyle w:val="Hyperlink"/>
          </w:rPr>
          <w:t>https://www.linkassetservices.com/documents/mar-report/0474-mar-survey_v2_r7-web.pdf</w:t>
        </w:r>
      </w:hyperlink>
      <w:permEnd w:id="513950227"/>
    </w:p>
    <w:p w14:paraId="3C3E0AFF" w14:textId="18549538" w:rsidR="00646C30" w:rsidRDefault="00646C30" w:rsidP="00646C30">
      <w:r>
        <w:t>&lt;ESMA_QUESTION_CP_MAR_</w:t>
      </w:r>
      <w:r w:rsidR="00B6351C">
        <w:t>43</w:t>
      </w:r>
      <w:r>
        <w:t>&gt;</w:t>
      </w:r>
    </w:p>
    <w:p w14:paraId="3C3E0B00" w14:textId="77777777" w:rsidR="00646C30" w:rsidRDefault="00646C30" w:rsidP="002E1760"/>
    <w:p w14:paraId="3C3E0B01" w14:textId="77777777" w:rsidR="00646C30" w:rsidRDefault="00074979" w:rsidP="00646C30">
      <w:pPr>
        <w:pStyle w:val="CPQuestions"/>
      </w:pPr>
      <w:r w:rsidRPr="00074979">
        <w:t>Do you agree with ESMA’s preliminary view</w:t>
      </w:r>
      <w:r>
        <w:t>?</w:t>
      </w:r>
    </w:p>
    <w:p w14:paraId="3C3E0B02" w14:textId="77777777" w:rsidR="00646C30" w:rsidRDefault="00646C30" w:rsidP="00646C30">
      <w:r>
        <w:t>&lt;ESMA_QUESTION_CP_MAR_</w:t>
      </w:r>
      <w:r w:rsidR="00B6351C">
        <w:t>44</w:t>
      </w:r>
      <w:r>
        <w:t>&gt;</w:t>
      </w:r>
    </w:p>
    <w:p w14:paraId="495C1076" w14:textId="77777777" w:rsidR="008E5912" w:rsidRPr="00FE6A46" w:rsidRDefault="008E5912" w:rsidP="00D563DF">
      <w:pPr>
        <w:jc w:val="both"/>
      </w:pPr>
      <w:permStart w:id="1908500529" w:edGrp="everyone"/>
      <w:r w:rsidRPr="00FE6A46">
        <w:t xml:space="preserve">Yes. In our experience, it is standard practice for our issuer clients to include one natural person </w:t>
      </w:r>
      <w:r>
        <w:t xml:space="preserve">as the contact </w:t>
      </w:r>
      <w:r w:rsidRPr="00FE6A46">
        <w:t>for each legal person acting on behalf or for the account of the issuer having access to inside information. This natural person is then asked to confirm that they are maintaining their own insider lists of those within their organisation who have access to the inside information in question, and that they will provide this list to the company on request. This approach is particularly prevalent among investment companies, which do not have any employees and outsource all their functions to external advisors.</w:t>
      </w:r>
    </w:p>
    <w:p w14:paraId="6BF06C7C" w14:textId="77777777" w:rsidR="008E5912" w:rsidRPr="00FE6A46" w:rsidRDefault="008E5912" w:rsidP="00D563DF">
      <w:pPr>
        <w:jc w:val="both"/>
      </w:pPr>
    </w:p>
    <w:p w14:paraId="3C3E0B03" w14:textId="32A94F73" w:rsidR="00646C30" w:rsidRDefault="008E5912" w:rsidP="00646C30">
      <w:r w:rsidRPr="00FE6A46">
        <w:t>In our view, this reflects more accurately the practical management of inside information</w:t>
      </w:r>
      <w:r>
        <w:t>.</w:t>
      </w:r>
      <w:permEnd w:id="1908500529"/>
    </w:p>
    <w:p w14:paraId="3C3E0B04" w14:textId="77777777" w:rsidR="00646C30" w:rsidRDefault="00646C30" w:rsidP="00646C30">
      <w:r>
        <w:t>&lt;ESMA_QUESTION_CP_MAR_</w:t>
      </w:r>
      <w:r w:rsidR="00B6351C">
        <w:t>44</w:t>
      </w:r>
      <w:r>
        <w:t>&gt;</w:t>
      </w:r>
    </w:p>
    <w:p w14:paraId="3C3E0B05" w14:textId="77777777" w:rsidR="00646C30" w:rsidRDefault="00646C30" w:rsidP="002E1760"/>
    <w:p w14:paraId="3C3E0B06" w14:textId="77777777" w:rsidR="00646C30" w:rsidRDefault="00074979" w:rsidP="00646C30">
      <w:pPr>
        <w:pStyle w:val="CPQuestions"/>
      </w:pPr>
      <w:r w:rsidRPr="00074979">
        <w:t>Do you have any other suggestion on the insider lists that would support more efficiently their objectives while reducing the administrative work they entail? If yes, please elaborate how those changes could contribute to that purpose</w:t>
      </w:r>
      <w:r w:rsidR="00646C30">
        <w:t>.</w:t>
      </w:r>
    </w:p>
    <w:p w14:paraId="3C3E0B07" w14:textId="77777777" w:rsidR="00646C30" w:rsidRDefault="00646C30" w:rsidP="00646C30">
      <w:r>
        <w:t>&lt;ESMA_QUESTION_CP_MAR_</w:t>
      </w:r>
      <w:r w:rsidR="00B6351C">
        <w:t>45</w:t>
      </w:r>
      <w:r>
        <w:t>&gt;</w:t>
      </w:r>
    </w:p>
    <w:p w14:paraId="2B483817" w14:textId="77777777" w:rsidR="008E5912" w:rsidRPr="00FE6A46" w:rsidRDefault="008E5912" w:rsidP="00D563DF">
      <w:pPr>
        <w:jc w:val="both"/>
      </w:pPr>
      <w:permStart w:id="673864140" w:edGrp="everyone"/>
      <w:r w:rsidRPr="00FE6A46">
        <w:t>Please see suggestions below:</w:t>
      </w:r>
    </w:p>
    <w:p w14:paraId="0C9CA15A" w14:textId="77777777" w:rsidR="008E5912" w:rsidRPr="00FE6A46" w:rsidRDefault="008E5912" w:rsidP="00D563DF">
      <w:pPr>
        <w:jc w:val="both"/>
      </w:pPr>
    </w:p>
    <w:p w14:paraId="6FE6A8BF" w14:textId="77777777" w:rsidR="008E5912" w:rsidRPr="00FE6A46" w:rsidRDefault="008E5912" w:rsidP="008E5912">
      <w:pPr>
        <w:pStyle w:val="ListParagraph"/>
        <w:numPr>
          <w:ilvl w:val="0"/>
          <w:numId w:val="37"/>
        </w:numPr>
        <w:jc w:val="both"/>
      </w:pPr>
      <w:r w:rsidRPr="00FE6A46">
        <w:t xml:space="preserve">The mandatory insider list template included in MAR </w:t>
      </w:r>
      <w:r>
        <w:t>sh</w:t>
      </w:r>
      <w:r w:rsidRPr="00FE6A46">
        <w:t xml:space="preserve">ould be updated to encompass situations where one contact natural person is being included for each external </w:t>
      </w:r>
      <w:r>
        <w:t xml:space="preserve">service </w:t>
      </w:r>
      <w:r w:rsidRPr="00FE6A46">
        <w:t xml:space="preserve">provider, who will then maintain their own insider list. </w:t>
      </w:r>
      <w:r>
        <w:t>In which case it</w:t>
      </w:r>
      <w:r w:rsidRPr="00FE6A46">
        <w:t xml:space="preserve"> should be clarified whether all personal information </w:t>
      </w:r>
      <w:r>
        <w:t xml:space="preserve">for that contact natural person </w:t>
      </w:r>
      <w:r w:rsidRPr="00FE6A46">
        <w:t xml:space="preserve">needs to be captured within the </w:t>
      </w:r>
      <w:r>
        <w:t xml:space="preserve">issuer’s </w:t>
      </w:r>
      <w:r w:rsidRPr="00FE6A46">
        <w:t>insider list</w:t>
      </w:r>
      <w:r>
        <w:t xml:space="preserve"> – this seems excessive and disproportionate under GDPR, given that those details will be included in the external service provider’s own insider list. Consideration could also be given to whether it would be beneficial to include any other information about the legal person on the insider the list, e.g. country of incorporation and registration number</w:t>
      </w:r>
      <w:r w:rsidRPr="00FE6A46">
        <w:t>.</w:t>
      </w:r>
    </w:p>
    <w:p w14:paraId="7EE4AA48" w14:textId="77777777" w:rsidR="008E5912" w:rsidRPr="00FE6A46" w:rsidRDefault="008E5912" w:rsidP="00D563DF">
      <w:pPr>
        <w:pStyle w:val="ListParagraph"/>
        <w:jc w:val="both"/>
      </w:pPr>
    </w:p>
    <w:p w14:paraId="256598F3" w14:textId="77777777" w:rsidR="008E5912" w:rsidRPr="00FE6A46" w:rsidRDefault="008E5912" w:rsidP="008E5912">
      <w:pPr>
        <w:pStyle w:val="ListParagraph"/>
        <w:numPr>
          <w:ilvl w:val="0"/>
          <w:numId w:val="37"/>
        </w:numPr>
        <w:jc w:val="both"/>
      </w:pPr>
      <w:r w:rsidRPr="00FE6A46">
        <w:t xml:space="preserve">In our experience, most companies maintain insider lists either in a Microsoft Excel or a Microsoft Word document. Whilst there are software solutions available in the market for the management of inside information and insider lists, and some larger companies have the resources to develop their own software, the cost of these software solutions may be </w:t>
      </w:r>
      <w:r>
        <w:t>regarded as unattractive</w:t>
      </w:r>
      <w:r w:rsidRPr="00FE6A46">
        <w:t xml:space="preserve"> for some issuers. However, while the approach of maintaining insider lists in Microsoft Excel or Word saves costs, it is administratively burdensome, manually intensive and therefore more prone to human errors. An online portal or software for the management of inside information and creation of insider lists, taking due consideration of any data protection issues, would reduce the administrative burden for issuers and ensure consistency in the presentation of insider lists across all issuers within the EU. </w:t>
      </w:r>
    </w:p>
    <w:p w14:paraId="45A96171" w14:textId="77777777" w:rsidR="008E5912" w:rsidRPr="00FE6A46" w:rsidRDefault="008E5912" w:rsidP="00D563DF">
      <w:pPr>
        <w:pStyle w:val="ListParagraph"/>
        <w:jc w:val="both"/>
      </w:pPr>
    </w:p>
    <w:p w14:paraId="0E0C0A9D" w14:textId="77777777" w:rsidR="008E5912" w:rsidRPr="00FE6A46" w:rsidRDefault="008E5912" w:rsidP="008E5912">
      <w:pPr>
        <w:pStyle w:val="ListParagraph"/>
        <w:numPr>
          <w:ilvl w:val="0"/>
          <w:numId w:val="37"/>
        </w:numPr>
        <w:jc w:val="both"/>
      </w:pPr>
      <w:r w:rsidRPr="00FE6A46">
        <w:t>Some external advisers refuse to confirm that they will provide their insider lists to the issuer following a request from the NCA, citing data protection reasons. This stems from their lack of understanding of issuers’ obligations under MAR as opposed to each external provider’s obligations</w:t>
      </w:r>
      <w:r>
        <w:t xml:space="preserve"> and concerns about the interaction of MAR and GDPR</w:t>
      </w:r>
      <w:r w:rsidRPr="00FE6A46">
        <w:t xml:space="preserve">. If a NCA were to request a copy of a company’s insider list, this could impact upon the company’s ability to provide their full insider list within a short time period, unless, as in the UK, the FCA is prepared to receive the external advisers’ insider list directly from the adviser. </w:t>
      </w:r>
    </w:p>
    <w:p w14:paraId="2C0DB944" w14:textId="77777777" w:rsidR="00B30311" w:rsidRDefault="00B30311" w:rsidP="00646C30"/>
    <w:p w14:paraId="3C3E0B08" w14:textId="33D3823A" w:rsidR="00646C30" w:rsidRDefault="00B30311" w:rsidP="00646C30">
      <w:r>
        <w:t>Further, s</w:t>
      </w:r>
      <w:r w:rsidR="008E5912" w:rsidRPr="00FE6A46">
        <w:t>ome external advisors refuse to acknowledge the communication sent by the issuer to them regarding their addition to the insider list despite multiple follow-ups. This can result in incomplete records should the NCA request these</w:t>
      </w:r>
      <w:r w:rsidR="008E5912">
        <w:t>.</w:t>
      </w:r>
      <w:permEnd w:id="673864140"/>
    </w:p>
    <w:p w14:paraId="3C3E0B09" w14:textId="77777777" w:rsidR="00646C30" w:rsidRDefault="00646C30" w:rsidP="00646C30">
      <w:r>
        <w:t>&lt;ESMA_QUESTION_CP_MAR_</w:t>
      </w:r>
      <w:r w:rsidR="00B6351C">
        <w:t>45</w:t>
      </w:r>
      <w:r>
        <w:t>&gt;</w:t>
      </w:r>
    </w:p>
    <w:p w14:paraId="3C3E0B0A" w14:textId="77777777" w:rsidR="00646C30" w:rsidRDefault="00646C30" w:rsidP="002E1760"/>
    <w:p w14:paraId="3C3E0B0B" w14:textId="77777777" w:rsidR="00646C30" w:rsidRDefault="00074979" w:rsidP="00646C30">
      <w:pPr>
        <w:pStyle w:val="CPQuestions"/>
      </w:pPr>
      <w:r w:rsidRPr="00074979">
        <w:t>Does the minimum reporting threshold have to be increased from Euro 5,000? If so, what threshold would ensure an appropriate balance between transparency to the market, preventing market abuse and the reporting burden on issuers, PDMRs, and closely associated persons</w:t>
      </w:r>
      <w:r>
        <w:t>?</w:t>
      </w:r>
    </w:p>
    <w:p w14:paraId="3C3E0B0C" w14:textId="77777777" w:rsidR="00646C30" w:rsidRDefault="00646C30" w:rsidP="00646C30">
      <w:r>
        <w:t>&lt;ESMA_QUESTION_CP_MAR_</w:t>
      </w:r>
      <w:r w:rsidR="00B6351C">
        <w:t>46</w:t>
      </w:r>
      <w:r>
        <w:t>&gt;</w:t>
      </w:r>
    </w:p>
    <w:p w14:paraId="7E6037C8" w14:textId="77777777" w:rsidR="008E5912" w:rsidRPr="00FE6A46" w:rsidRDefault="008E5912" w:rsidP="00D563DF">
      <w:pPr>
        <w:jc w:val="both"/>
      </w:pPr>
      <w:permStart w:id="274992488" w:edGrp="everyone"/>
      <w:r w:rsidRPr="00FE6A46">
        <w:t xml:space="preserve">We note the views expressed by some market participants that the Euro 5,000 threshold should be increased significantly to reduce the administrative burden and avoid overwhelming the market with information on transactions that do not give meaningful signals. </w:t>
      </w:r>
    </w:p>
    <w:p w14:paraId="4C48F2CF" w14:textId="77777777" w:rsidR="008E5912" w:rsidRPr="00FE6A46" w:rsidRDefault="008E5912" w:rsidP="00D563DF">
      <w:pPr>
        <w:jc w:val="both"/>
      </w:pPr>
    </w:p>
    <w:p w14:paraId="2597D27B" w14:textId="77777777" w:rsidR="008E5912" w:rsidRPr="00FE6A46" w:rsidRDefault="008E5912" w:rsidP="00D563DF">
      <w:pPr>
        <w:jc w:val="both"/>
      </w:pPr>
      <w:r w:rsidRPr="00FE6A46">
        <w:t xml:space="preserve">However, from direct </w:t>
      </w:r>
      <w:r w:rsidRPr="00FE6A46">
        <w:rPr>
          <w:szCs w:val="20"/>
        </w:rPr>
        <w:t xml:space="preserve">experience with our clients, as well as what we hear from other company secretaries, UK issuers have generally </w:t>
      </w:r>
      <w:r w:rsidRPr="00FE6A46">
        <w:rPr>
          <w:rFonts w:cs="Arial"/>
          <w:color w:val="000000"/>
          <w:szCs w:val="20"/>
          <w:lang w:eastAsia="en-GB"/>
        </w:rPr>
        <w:t>chosen to ignore the Euro 5,000 threshold and require disclosure of all transactions</w:t>
      </w:r>
      <w:r w:rsidRPr="00FE6A46">
        <w:rPr>
          <w:szCs w:val="20"/>
        </w:rPr>
        <w:t xml:space="preserve"> by PDMRs and their closely associated persons (“PCAs</w:t>
      </w:r>
      <w:r w:rsidRPr="00FE6A46">
        <w:t xml:space="preserve">”). The reason cited for this approach is to avoid the </w:t>
      </w:r>
      <w:r>
        <w:t xml:space="preserve">administrative </w:t>
      </w:r>
      <w:r w:rsidRPr="00FE6A46">
        <w:t xml:space="preserve">burden associated with monitoring the aggregate value of their transactions and to avoid missing a notification, which in the UK is complicated further by having to convert the value of any transaction from pounds sterling into euros. </w:t>
      </w:r>
    </w:p>
    <w:p w14:paraId="4C728602" w14:textId="77777777" w:rsidR="008E5912" w:rsidRPr="00FE6A46" w:rsidRDefault="008E5912" w:rsidP="00D563DF">
      <w:pPr>
        <w:jc w:val="both"/>
      </w:pPr>
    </w:p>
    <w:p w14:paraId="608BE5F3" w14:textId="77777777" w:rsidR="008E5912" w:rsidRPr="00FE6A46" w:rsidRDefault="008E5912" w:rsidP="00D563DF">
      <w:pPr>
        <w:jc w:val="both"/>
      </w:pPr>
      <w:r w:rsidRPr="00FE6A46">
        <w:t>In addition, disclosing all transactions would help investors and others keep track of the total aggregate holdings of PDMRs and their PCAs, thus promoting transparency.</w:t>
      </w:r>
    </w:p>
    <w:p w14:paraId="72017257" w14:textId="77777777" w:rsidR="008E5912" w:rsidRPr="00FE6A46" w:rsidRDefault="008E5912" w:rsidP="00D563DF">
      <w:pPr>
        <w:jc w:val="both"/>
      </w:pPr>
    </w:p>
    <w:p w14:paraId="3C3E0B0D" w14:textId="45805545" w:rsidR="00646C30" w:rsidRDefault="008E5912" w:rsidP="00646C30">
      <w:r w:rsidRPr="00FE6A46">
        <w:t xml:space="preserve">It would be useful to consider this question in the light of the number of transactions notified that exceed the Euro 5,000 and Euro 20,000 thresholds, as well as notifications made of transactions below the Euro 5,000 threshold, to understand the impact on the administrative burden and market transparency </w:t>
      </w:r>
      <w:r>
        <w:t xml:space="preserve">of </w:t>
      </w:r>
      <w:r w:rsidRPr="00FE6A46">
        <w:t>increasing the Euro 5,000 threshold.</w:t>
      </w:r>
      <w:permEnd w:id="274992488"/>
    </w:p>
    <w:p w14:paraId="3C3E0B0E" w14:textId="77777777" w:rsidR="00646C30" w:rsidRDefault="00646C30" w:rsidP="00646C30">
      <w:r>
        <w:t>&lt;ESMA_QUESTION_CP_MAR_</w:t>
      </w:r>
      <w:r w:rsidR="00B6351C">
        <w:t>46</w:t>
      </w:r>
      <w:r>
        <w:t>&gt;</w:t>
      </w:r>
    </w:p>
    <w:p w14:paraId="3C3E0B0F" w14:textId="77777777" w:rsidR="00646C30" w:rsidRDefault="00646C30" w:rsidP="002E1760"/>
    <w:p w14:paraId="3C3E0B10" w14:textId="77777777" w:rsidR="00646C30" w:rsidRDefault="00074979" w:rsidP="00646C30">
      <w:pPr>
        <w:pStyle w:val="CPQuestions"/>
      </w:pPr>
      <w:r w:rsidRPr="00074979">
        <w:t>Should NCAs still have the option to keep a higher threshold? In that case, should the optional threshold be higher than Euro 20,000? If so, please describe the criteria to be used to set the higher optional threshold (by way of example, the liquidity of the financial instrument, or the average compensation received by the managers).</w:t>
      </w:r>
    </w:p>
    <w:p w14:paraId="3C3E0B11" w14:textId="77777777" w:rsidR="00646C30" w:rsidRDefault="00646C30" w:rsidP="00646C30">
      <w:r>
        <w:t>&lt;ESMA_QUESTION_CP_MAR_</w:t>
      </w:r>
      <w:r w:rsidR="00DD7418">
        <w:t>47</w:t>
      </w:r>
      <w:r>
        <w:t>&gt;</w:t>
      </w:r>
    </w:p>
    <w:p w14:paraId="3C3E0B12" w14:textId="266FA96A" w:rsidR="00646C30" w:rsidRDefault="008E5912" w:rsidP="00646C30">
      <w:permStart w:id="1265633318" w:edGrp="everyone"/>
      <w:r w:rsidRPr="00FE6A46">
        <w:t xml:space="preserve">As above, it would be useful to consider this question in the light on the number of transactions notified that exceed the Euro 5,000 and Euro 20,000 thresholds, to understand whether the administrative burden and </w:t>
      </w:r>
      <w:r>
        <w:t xml:space="preserve">market </w:t>
      </w:r>
      <w:r w:rsidRPr="00FE6A46">
        <w:t>transparency would be reduced if the option to apply the higher threshold was implemented.</w:t>
      </w:r>
      <w:permEnd w:id="1265633318"/>
    </w:p>
    <w:p w14:paraId="3C3E0B13" w14:textId="77777777" w:rsidR="00646C30" w:rsidRDefault="00646C30" w:rsidP="00646C30">
      <w:r>
        <w:t>&lt;ESMA_QUESTION_CP_MAR_</w:t>
      </w:r>
      <w:r w:rsidR="00DD7418">
        <w:t>47</w:t>
      </w:r>
      <w:r>
        <w:t>&gt;</w:t>
      </w:r>
    </w:p>
    <w:p w14:paraId="3C3E0B14" w14:textId="77777777" w:rsidR="00646C30" w:rsidRDefault="00646C30" w:rsidP="002E1760"/>
    <w:p w14:paraId="3C3E0B15" w14:textId="77777777" w:rsidR="00646C30" w:rsidRDefault="00074979" w:rsidP="00646C30">
      <w:pPr>
        <w:pStyle w:val="CPQuestions"/>
      </w:pPr>
      <w:r w:rsidRPr="00074979">
        <w:t>Did you identify alternative criteria on which the reporting threshold could be based? Please explain why</w:t>
      </w:r>
      <w:r w:rsidR="00646C30">
        <w:t>.</w:t>
      </w:r>
    </w:p>
    <w:p w14:paraId="3C3E0B16" w14:textId="77777777" w:rsidR="00646C30" w:rsidRDefault="00646C30" w:rsidP="00646C30">
      <w:r>
        <w:t>&lt;ESMA_QUESTION_CP_MAR_</w:t>
      </w:r>
      <w:r w:rsidR="00DD7418">
        <w:t>48</w:t>
      </w:r>
      <w:r>
        <w:t>&gt;</w:t>
      </w:r>
    </w:p>
    <w:p w14:paraId="3C3E0B17" w14:textId="77777777" w:rsidR="00646C30" w:rsidRDefault="00646C30" w:rsidP="00646C30">
      <w:permStart w:id="234174884" w:edGrp="everyone"/>
      <w:r>
        <w:t>TYPE YOUR TEXT HERE</w:t>
      </w:r>
      <w:permEnd w:id="234174884"/>
    </w:p>
    <w:p w14:paraId="3C3E0B18" w14:textId="77777777" w:rsidR="00646C30" w:rsidRDefault="00646C30" w:rsidP="00646C30">
      <w:r>
        <w:t>&lt;ESMA_QUESTION_CP_MAR_</w:t>
      </w:r>
      <w:r w:rsidR="00DD7418">
        <w:t>48</w:t>
      </w:r>
      <w:r>
        <w:t>&gt;</w:t>
      </w:r>
    </w:p>
    <w:p w14:paraId="3C3E0B19" w14:textId="77777777" w:rsidR="00646C30" w:rsidRDefault="00646C30" w:rsidP="002E1760"/>
    <w:p w14:paraId="3C3E0B1A" w14:textId="77777777" w:rsidR="00646C30" w:rsidRDefault="00074979" w:rsidP="00646C30">
      <w:pPr>
        <w:pStyle w:val="CPQuestions"/>
      </w:pPr>
      <w:r w:rsidRPr="00074979">
        <w:t>On the application of this provision for EAMPs: have issues or difficulties been experienced</w:t>
      </w:r>
      <w:r>
        <w:t>?</w:t>
      </w:r>
    </w:p>
    <w:p w14:paraId="3C3E0B1B" w14:textId="77777777" w:rsidR="00646C30" w:rsidRDefault="00646C30" w:rsidP="00646C30">
      <w:r>
        <w:t>&lt;ESMA_QUESTION_CP_MAR_</w:t>
      </w:r>
      <w:r w:rsidR="00DD7418">
        <w:t>49</w:t>
      </w:r>
      <w:r>
        <w:t>&gt;</w:t>
      </w:r>
    </w:p>
    <w:p w14:paraId="3C3E0B1C" w14:textId="77777777" w:rsidR="00646C30" w:rsidRDefault="00646C30" w:rsidP="00646C30">
      <w:permStart w:id="1966610289" w:edGrp="everyone"/>
      <w:r>
        <w:t>TYPE YOUR TEXT HERE</w:t>
      </w:r>
      <w:permEnd w:id="1966610289"/>
    </w:p>
    <w:p w14:paraId="3C3E0B1D" w14:textId="77777777" w:rsidR="00646C30" w:rsidRDefault="00646C30" w:rsidP="00646C30">
      <w:r>
        <w:lastRenderedPageBreak/>
        <w:t>&lt;ESMA_QUESTION_CP_MAR_</w:t>
      </w:r>
      <w:r w:rsidR="00DD7418">
        <w:t>49</w:t>
      </w:r>
      <w:r>
        <w:t>&gt;</w:t>
      </w:r>
    </w:p>
    <w:p w14:paraId="3C3E0B1E" w14:textId="77777777" w:rsidR="00646C30" w:rsidRDefault="00646C30" w:rsidP="002E1760"/>
    <w:p w14:paraId="3C3E0B1F" w14:textId="77777777" w:rsidR="00646C30" w:rsidRDefault="00074979" w:rsidP="00646C30">
      <w:pPr>
        <w:pStyle w:val="CPQuestions"/>
      </w:pPr>
      <w:r w:rsidRPr="00074979">
        <w:t>Did you identify alternative criteria on which the subsequent notifications could be based? Please explain why</w:t>
      </w:r>
      <w:r w:rsidR="00646C30">
        <w:t>.</w:t>
      </w:r>
    </w:p>
    <w:p w14:paraId="3C3E0B20" w14:textId="77777777" w:rsidR="00646C30" w:rsidRDefault="00646C30" w:rsidP="00646C30">
      <w:r>
        <w:t>&lt;ESMA_QUESTION_CP_MAR_</w:t>
      </w:r>
      <w:r w:rsidR="00DD7418">
        <w:t>50</w:t>
      </w:r>
      <w:r>
        <w:t>&gt;</w:t>
      </w:r>
    </w:p>
    <w:p w14:paraId="3C3E0B21" w14:textId="77777777" w:rsidR="00646C30" w:rsidRDefault="00646C30" w:rsidP="00646C30">
      <w:permStart w:id="619659001" w:edGrp="everyone"/>
      <w:r>
        <w:t>TYPE YOUR TEXT HERE</w:t>
      </w:r>
      <w:permEnd w:id="619659001"/>
    </w:p>
    <w:p w14:paraId="3C3E0B22" w14:textId="77777777" w:rsidR="00646C30" w:rsidRDefault="00646C30" w:rsidP="00646C30">
      <w:r>
        <w:t>&lt;ESMA_QUESTION_CP_MAR_</w:t>
      </w:r>
      <w:r w:rsidR="00DD7418">
        <w:t>50</w:t>
      </w:r>
      <w:r>
        <w:t>&gt;</w:t>
      </w:r>
    </w:p>
    <w:p w14:paraId="3C3E0B23" w14:textId="77777777" w:rsidR="00646C30" w:rsidRDefault="00646C30" w:rsidP="002E1760"/>
    <w:p w14:paraId="3C3E0B24" w14:textId="77777777" w:rsidR="00646C30" w:rsidRDefault="0042739E" w:rsidP="00646C30">
      <w:pPr>
        <w:pStyle w:val="CPQuestions"/>
      </w:pPr>
      <w:r w:rsidRPr="0042739E">
        <w:t>Do you consider that the 20% threshold included in Article 19(1a)(a) and (b) is appropriate? If not, please explain the reason why and provide examples in which the 20% threshold is not effective</w:t>
      </w:r>
      <w:r w:rsidR="00646C30">
        <w:t>.</w:t>
      </w:r>
    </w:p>
    <w:p w14:paraId="3C3E0B25" w14:textId="77777777" w:rsidR="00646C30" w:rsidRDefault="00646C30" w:rsidP="00646C30">
      <w:r>
        <w:t>&lt;ESMA_QUESTION_CP_MAR_</w:t>
      </w:r>
      <w:r w:rsidR="00DD7418">
        <w:t>51</w:t>
      </w:r>
      <w:r>
        <w:t>&gt;</w:t>
      </w:r>
    </w:p>
    <w:p w14:paraId="3C3E0B26" w14:textId="77777777" w:rsidR="00646C30" w:rsidRDefault="00646C30" w:rsidP="00646C30">
      <w:permStart w:id="1580208711" w:edGrp="everyone"/>
      <w:r>
        <w:t>TYPE YOUR TEXT HERE</w:t>
      </w:r>
      <w:permEnd w:id="1580208711"/>
    </w:p>
    <w:p w14:paraId="3C3E0B27" w14:textId="77777777" w:rsidR="00646C30" w:rsidRDefault="00646C30" w:rsidP="00646C30">
      <w:r>
        <w:t>&lt;ESMA_QUESTION_CP_MAR_</w:t>
      </w:r>
      <w:r w:rsidR="00DD7418">
        <w:t>51</w:t>
      </w:r>
      <w:r>
        <w:t>&gt;</w:t>
      </w:r>
    </w:p>
    <w:p w14:paraId="3C3E0B28" w14:textId="77777777" w:rsidR="00646C30" w:rsidRDefault="00646C30" w:rsidP="002E1760"/>
    <w:p w14:paraId="3C3E0B29" w14:textId="77777777" w:rsidR="00646C30" w:rsidRDefault="0042739E" w:rsidP="00646C30">
      <w:pPr>
        <w:pStyle w:val="CPQuestions"/>
      </w:pPr>
      <w:r w:rsidRPr="0042739E">
        <w:t>Have you identified any possible alternative system to set the threshold in relation to managers' transactions where the issuer's shares or debt instruments form part of a collective investment undertaking or provide exposure to a portfolio of assets</w:t>
      </w:r>
      <w:r>
        <w:t>?</w:t>
      </w:r>
    </w:p>
    <w:p w14:paraId="3C3E0B2A" w14:textId="77777777" w:rsidR="00646C30" w:rsidRDefault="00646C30" w:rsidP="00646C30">
      <w:r>
        <w:t>&lt;ESMA_QUESTION_CP_MAR_</w:t>
      </w:r>
      <w:r w:rsidR="00DD7418">
        <w:t>5</w:t>
      </w:r>
      <w:r>
        <w:t>2&gt;</w:t>
      </w:r>
    </w:p>
    <w:p w14:paraId="3C3E0B2B" w14:textId="77777777" w:rsidR="00646C30" w:rsidRDefault="00646C30" w:rsidP="00646C30">
      <w:permStart w:id="1138307169" w:edGrp="everyone"/>
      <w:r>
        <w:t>TYPE YOUR TEXT HERE</w:t>
      </w:r>
      <w:permEnd w:id="1138307169"/>
    </w:p>
    <w:p w14:paraId="3C3E0B2C" w14:textId="77777777" w:rsidR="00646C30" w:rsidRDefault="00646C30" w:rsidP="00646C30">
      <w:r>
        <w:t>&lt;ESMA_QUESTION_CP_MAR_</w:t>
      </w:r>
      <w:r w:rsidR="00DD7418">
        <w:t>5</w:t>
      </w:r>
      <w:r>
        <w:t>2&gt;</w:t>
      </w:r>
    </w:p>
    <w:p w14:paraId="3C3E0B2D" w14:textId="77777777" w:rsidR="00646C30" w:rsidRDefault="00646C30" w:rsidP="002E1760"/>
    <w:p w14:paraId="3C3E0B2E" w14:textId="77777777" w:rsidR="00646C30" w:rsidRDefault="0042739E" w:rsidP="00646C30">
      <w:pPr>
        <w:pStyle w:val="CPQuestions"/>
      </w:pPr>
      <w:r w:rsidRPr="0042739E">
        <w:t>Did you identify elements of Article 19(11) of MAR which in your view could be amended? If yes, why? Have you identified alternatives to the closed period</w:t>
      </w:r>
      <w:r>
        <w:t>?</w:t>
      </w:r>
    </w:p>
    <w:p w14:paraId="3C3E0B2F" w14:textId="77777777" w:rsidR="00646C30" w:rsidRDefault="00646C30" w:rsidP="00646C30">
      <w:r>
        <w:t>&lt;ESMA_QUESTION_CP_MAR_</w:t>
      </w:r>
      <w:r w:rsidR="00DD7418">
        <w:t>53</w:t>
      </w:r>
      <w:r>
        <w:t>&gt;</w:t>
      </w:r>
    </w:p>
    <w:p w14:paraId="3C3E0B30" w14:textId="77777777" w:rsidR="00646C30" w:rsidRDefault="00646C30" w:rsidP="00646C30">
      <w:permStart w:id="439554279" w:edGrp="everyone"/>
      <w:r>
        <w:t>TYPE YOUR TEXT HERE</w:t>
      </w:r>
      <w:permEnd w:id="439554279"/>
    </w:p>
    <w:p w14:paraId="3C3E0B31" w14:textId="77777777" w:rsidR="00646C30" w:rsidRDefault="00646C30" w:rsidP="00646C30">
      <w:r>
        <w:t>&lt;ESMA_QUESTION_CP_MAR_</w:t>
      </w:r>
      <w:r w:rsidR="00DD7418">
        <w:t>53</w:t>
      </w:r>
      <w:r>
        <w:t>&gt;</w:t>
      </w:r>
    </w:p>
    <w:p w14:paraId="3C3E0B32" w14:textId="77777777" w:rsidR="00646C30" w:rsidRDefault="00646C30"/>
    <w:p w14:paraId="3C3E0B33" w14:textId="77777777" w:rsidR="00646C30" w:rsidRDefault="0042739E" w:rsidP="00646C30">
      <w:pPr>
        <w:pStyle w:val="CPQuestions"/>
      </w:pPr>
      <w:r w:rsidRPr="0042739E">
        <w:t>Market participants are requested to indicate if the current framework to identify the closed period is working well or if clarifications are sought</w:t>
      </w:r>
      <w:r w:rsidR="00646C30">
        <w:t>.</w:t>
      </w:r>
    </w:p>
    <w:p w14:paraId="3C3E0B34" w14:textId="77777777" w:rsidR="00646C30" w:rsidRDefault="00646C30" w:rsidP="00646C30">
      <w:r>
        <w:t>&lt;ESMA_QUESTION_CP_MAR_</w:t>
      </w:r>
      <w:r w:rsidR="00DD7418">
        <w:t>54</w:t>
      </w:r>
      <w:r>
        <w:t>&gt;</w:t>
      </w:r>
    </w:p>
    <w:p w14:paraId="3C3E0B35" w14:textId="77777777" w:rsidR="00646C30" w:rsidRDefault="00646C30" w:rsidP="00646C30">
      <w:permStart w:id="306464996" w:edGrp="everyone"/>
      <w:r>
        <w:t>TYPE YOUR TEXT HERE</w:t>
      </w:r>
      <w:permEnd w:id="306464996"/>
    </w:p>
    <w:p w14:paraId="3C3E0B36" w14:textId="77777777" w:rsidR="00646C30" w:rsidRDefault="00646C30" w:rsidP="00646C30">
      <w:r>
        <w:t>&lt;ESMA_QUESTION_CP_MAR_</w:t>
      </w:r>
      <w:r w:rsidR="00DD7418">
        <w:t>54</w:t>
      </w:r>
      <w:r>
        <w:t>&gt;</w:t>
      </w:r>
    </w:p>
    <w:p w14:paraId="3C3E0B37" w14:textId="77777777" w:rsidR="00646C30" w:rsidRDefault="00646C30"/>
    <w:p w14:paraId="3C3E0B38" w14:textId="77777777" w:rsidR="00646C30" w:rsidRDefault="0042739E" w:rsidP="00646C30">
      <w:pPr>
        <w:pStyle w:val="CPQuestions"/>
      </w:pPr>
      <w:r w:rsidRPr="0042739E">
        <w:t>Please provide your views on extending the requirement of Article 19(11) to (i) issuers, and to (ii) persons closely associated with PDMRs. Please indicate which would be the impact on issuers and persona closely associated with PDMRs, including any benefits and downsides</w:t>
      </w:r>
      <w:r w:rsidR="00646C30">
        <w:t>.</w:t>
      </w:r>
    </w:p>
    <w:p w14:paraId="3C3E0B39" w14:textId="77777777" w:rsidR="00646C30" w:rsidRDefault="00646C30" w:rsidP="00646C30">
      <w:r>
        <w:t>&lt;ESMA_QUESTION_CP_MAR_</w:t>
      </w:r>
      <w:r w:rsidR="00DD7418">
        <w:t>55</w:t>
      </w:r>
      <w:r>
        <w:t>&gt;</w:t>
      </w:r>
    </w:p>
    <w:p w14:paraId="6E31E2A4" w14:textId="77777777" w:rsidR="008E5912" w:rsidRDefault="008E5912" w:rsidP="00D563DF">
      <w:pPr>
        <w:jc w:val="both"/>
      </w:pPr>
      <w:permStart w:id="680881453" w:edGrp="everyone"/>
      <w:r w:rsidRPr="00FE6A46">
        <w:lastRenderedPageBreak/>
        <w:t>We support the rationale cited by ESMA in respect of extending the requirement of Article 19 (11) to persons closely associated with PDMRs. In our view, such a proposal will serve to further promote market integrity.</w:t>
      </w:r>
      <w:r>
        <w:t xml:space="preserve"> Consistent with the requirements of the market abuse regime that applied in the UK before MAR, most UK issuers operate a dealing code which applies to PDMRs as part of the terms and conditions of their employment. This obliges PDMRs to always obtain prior consent before dealing in the company’s shares, which allows the company to stop them from inadvertently dealing in shares during MAR’s closed periods. In many cases, again consistent with past practice, this requirement to obtain prior consent to deal also stretches to PDMRs’ PCAs. </w:t>
      </w:r>
    </w:p>
    <w:p w14:paraId="0AD08E3D" w14:textId="77777777" w:rsidR="008E5912" w:rsidRDefault="008E5912" w:rsidP="00D563DF">
      <w:pPr>
        <w:jc w:val="both"/>
      </w:pPr>
    </w:p>
    <w:p w14:paraId="7DED79EC" w14:textId="77777777" w:rsidR="008E5912" w:rsidRPr="00FE6A46" w:rsidRDefault="008E5912" w:rsidP="00D563DF">
      <w:pPr>
        <w:jc w:val="both"/>
      </w:pPr>
      <w:r>
        <w:t xml:space="preserve">However, many companies chose not to continue this practice following the introduction of MAR, as it was not a requirement under the new regime, and therefore represented a (small) opportunity to reduce an issuer’s administrative burden. ESMA’s proposal will re-impose this burden upon such issuers. Nonetheless, </w:t>
      </w:r>
      <w:r w:rsidRPr="00FE6A46">
        <w:t xml:space="preserve">we do not think that </w:t>
      </w:r>
      <w:r>
        <w:t xml:space="preserve">the </w:t>
      </w:r>
      <w:r w:rsidRPr="00FE6A46">
        <w:t xml:space="preserve">burden </w:t>
      </w:r>
      <w:r>
        <w:t>involved should</w:t>
      </w:r>
      <w:r w:rsidRPr="00FE6A46">
        <w:t xml:space="preserve"> outweigh the importance of </w:t>
      </w:r>
      <w:r>
        <w:t xml:space="preserve">further promoting </w:t>
      </w:r>
      <w:r w:rsidRPr="00FE6A46">
        <w:t>market integrity.</w:t>
      </w:r>
      <w:r>
        <w:t xml:space="preserve"> In addition, we note that there may well be software solutions that could help to reduce this burden and that w</w:t>
      </w:r>
      <w:r w:rsidRPr="00FE6A46">
        <w:t>e have seen significant progress over the last 12 – 18 months in respect of the software solutions available to issuers to maintain insider lists</w:t>
      </w:r>
      <w:r>
        <w:t xml:space="preserve">, which could perhaps be adapted for this purpose.  </w:t>
      </w:r>
    </w:p>
    <w:p w14:paraId="1A6B42AE" w14:textId="77777777" w:rsidR="008E5912" w:rsidRPr="00FE6A46" w:rsidRDefault="008E5912" w:rsidP="00D563DF">
      <w:pPr>
        <w:jc w:val="both"/>
      </w:pPr>
    </w:p>
    <w:p w14:paraId="3C3E0B3A" w14:textId="46F3478F" w:rsidR="00646C30" w:rsidRDefault="008E5912" w:rsidP="00646C30">
      <w:r w:rsidRPr="00FE6A46">
        <w:t xml:space="preserve">We have concerns about the proposal to extend the same requirement to issuers, largely </w:t>
      </w:r>
      <w:proofErr w:type="gramStart"/>
      <w:r w:rsidRPr="00FE6A46">
        <w:t>on the basis of</w:t>
      </w:r>
      <w:proofErr w:type="gramEnd"/>
      <w:r w:rsidRPr="00FE6A46">
        <w:t xml:space="preserve"> the rationale cited in the consultation paper. Should this extended requirement be introduced, we would strongly recommend that </w:t>
      </w:r>
      <w:r>
        <w:t>it</w:t>
      </w:r>
      <w:r w:rsidRPr="00FE6A46">
        <w:t xml:space="preserve"> be as ‘light touch’ as possible, so as not to impede </w:t>
      </w:r>
      <w:r>
        <w:t>the</w:t>
      </w:r>
      <w:r w:rsidRPr="00FE6A46">
        <w:t xml:space="preserve"> lawful commercial activities of issuers</w:t>
      </w:r>
      <w:r>
        <w:t>.</w:t>
      </w:r>
      <w:permEnd w:id="680881453"/>
    </w:p>
    <w:p w14:paraId="3C3E0B3B" w14:textId="77777777" w:rsidR="00646C30" w:rsidRDefault="00646C30" w:rsidP="00646C30">
      <w:r>
        <w:t>&lt;ESMA_QUESTION_CP_MAR_</w:t>
      </w:r>
      <w:r w:rsidR="00DD7418">
        <w:t>55</w:t>
      </w:r>
      <w:r>
        <w:t>&gt;</w:t>
      </w:r>
    </w:p>
    <w:p w14:paraId="3C3E0B3C" w14:textId="77777777" w:rsidR="00646C30" w:rsidRDefault="00646C30"/>
    <w:p w14:paraId="3C3E0B3D" w14:textId="77777777" w:rsidR="00646C30" w:rsidRDefault="0042739E" w:rsidP="00646C30">
      <w:pPr>
        <w:pStyle w:val="CPQuestions"/>
      </w:pPr>
      <w:r w:rsidRPr="0042739E">
        <w:t>Please provide your views on the extension of the immediate sale provided by Article 19(12)(a) to financial instruments other than shares. Please explain which financial instruments should be included and why</w:t>
      </w:r>
      <w:r w:rsidR="00646C30">
        <w:t>.</w:t>
      </w:r>
    </w:p>
    <w:p w14:paraId="3C3E0B3E" w14:textId="77777777" w:rsidR="00646C30" w:rsidRDefault="00646C30" w:rsidP="00646C30">
      <w:r>
        <w:t>&lt;ESMA_QUESTION_CP_MAR_</w:t>
      </w:r>
      <w:r w:rsidR="00DD7418">
        <w:t>56</w:t>
      </w:r>
      <w:r>
        <w:t>&gt;</w:t>
      </w:r>
    </w:p>
    <w:p w14:paraId="3C3E0B3F" w14:textId="77777777" w:rsidR="00646C30" w:rsidRDefault="00646C30" w:rsidP="00646C30">
      <w:permStart w:id="1771316849" w:edGrp="everyone"/>
      <w:r>
        <w:t>TYPE YOUR TEXT HERE</w:t>
      </w:r>
      <w:permEnd w:id="1771316849"/>
    </w:p>
    <w:p w14:paraId="3C3E0B40" w14:textId="77777777" w:rsidR="00646C30" w:rsidRDefault="00646C30" w:rsidP="00646C30">
      <w:r>
        <w:t>&lt;ESMA_QUESTION_CP_MAR_</w:t>
      </w:r>
      <w:r w:rsidR="00DD7418">
        <w:t>56</w:t>
      </w:r>
      <w:r>
        <w:t>&gt;</w:t>
      </w:r>
    </w:p>
    <w:p w14:paraId="3C3E0B41" w14:textId="77777777" w:rsidR="00646C30" w:rsidRDefault="00646C30" w:rsidP="002E1760"/>
    <w:p w14:paraId="3C3E0B42" w14:textId="77777777" w:rsidR="00646C30" w:rsidRDefault="0042739E" w:rsidP="00646C30">
      <w:pPr>
        <w:pStyle w:val="CPQuestions"/>
      </w:pPr>
      <w:r w:rsidRPr="0042739E">
        <w:t>Please provide your views on whether, in addition to the criteria in Article 19(12) (a) and (b), other criteria resulting in further cases of exemption from the closed period obligation could be considered</w:t>
      </w:r>
      <w:r w:rsidR="00646C30">
        <w:t>.</w:t>
      </w:r>
    </w:p>
    <w:p w14:paraId="3C3E0B43" w14:textId="77777777" w:rsidR="00646C30" w:rsidRDefault="00646C30" w:rsidP="00646C30">
      <w:r>
        <w:t>&lt;ESMA_QUESTION_CP_MAR_</w:t>
      </w:r>
      <w:r w:rsidR="00DD7418">
        <w:t>57</w:t>
      </w:r>
      <w:r>
        <w:t>&gt;</w:t>
      </w:r>
    </w:p>
    <w:p w14:paraId="3C3E0B44" w14:textId="77777777" w:rsidR="00646C30" w:rsidRDefault="00646C30" w:rsidP="00646C30">
      <w:permStart w:id="1172058443" w:edGrp="everyone"/>
      <w:r>
        <w:t>TYPE YOUR TEXT HERE</w:t>
      </w:r>
      <w:permEnd w:id="1172058443"/>
    </w:p>
    <w:p w14:paraId="3C3E0B45" w14:textId="77777777" w:rsidR="00646C30" w:rsidRDefault="00646C30" w:rsidP="00646C30">
      <w:r>
        <w:t>&lt;ESMA_QUESTION_CP_MAR_</w:t>
      </w:r>
      <w:r w:rsidR="00DD7418">
        <w:t>57</w:t>
      </w:r>
      <w:r>
        <w:t>&gt;</w:t>
      </w:r>
    </w:p>
    <w:p w14:paraId="3C3E0B46" w14:textId="77777777" w:rsidR="00646C30" w:rsidRDefault="00646C30"/>
    <w:p w14:paraId="3C3E0B47" w14:textId="77777777" w:rsidR="00646C30" w:rsidRDefault="0042739E" w:rsidP="00646C30">
      <w:pPr>
        <w:pStyle w:val="CPQuestions"/>
      </w:pPr>
      <w:r w:rsidRPr="0042739E">
        <w:t>Do you consider that CIUs admitted to trading or trading on a trading venue should be differentiated with respect to other issuers? Please elaborate your response specifically with respect to PDMR obligations, disclosure of inside information and insider lists. In this regard, please consider whether you could identify any articulation or consistency issues between MAR and the EU or national regulations for the different types of CIUs, with regards for example to transparency requirements under MAR vis-à-vis market timing or front running issues</w:t>
      </w:r>
      <w:r w:rsidR="00646C30">
        <w:t>.</w:t>
      </w:r>
    </w:p>
    <w:p w14:paraId="3C3E0B48" w14:textId="77777777" w:rsidR="00646C30" w:rsidRDefault="00646C30" w:rsidP="00646C30">
      <w:r>
        <w:t>&lt;ESMA_QUESTION_CP_MAR_</w:t>
      </w:r>
      <w:r w:rsidR="00DD7418">
        <w:t>58</w:t>
      </w:r>
      <w:r>
        <w:t>&gt;</w:t>
      </w:r>
    </w:p>
    <w:p w14:paraId="3C3E0B49" w14:textId="77777777" w:rsidR="00646C30" w:rsidRDefault="00646C30" w:rsidP="00646C30">
      <w:permStart w:id="1585398486" w:edGrp="everyone"/>
      <w:r>
        <w:t>TYPE YOUR TEXT HERE</w:t>
      </w:r>
      <w:permEnd w:id="1585398486"/>
    </w:p>
    <w:p w14:paraId="3C3E0B4A" w14:textId="77777777" w:rsidR="00646C30" w:rsidRDefault="00646C30" w:rsidP="00646C30">
      <w:r>
        <w:t>&lt;ESMA_QUESTION_CP_MAR_</w:t>
      </w:r>
      <w:r w:rsidR="00DD7418">
        <w:t>58</w:t>
      </w:r>
      <w:r>
        <w:t>&gt;</w:t>
      </w:r>
    </w:p>
    <w:p w14:paraId="3C3E0B4B" w14:textId="77777777" w:rsidR="00646C30" w:rsidRDefault="00646C30"/>
    <w:p w14:paraId="3C3E0B4C" w14:textId="77777777" w:rsidR="00646C30" w:rsidRDefault="0042739E" w:rsidP="00646C30">
      <w:pPr>
        <w:pStyle w:val="CPQuestions"/>
      </w:pPr>
      <w:r w:rsidRPr="0042739E">
        <w:t>Do you agree with ESMA’s preliminary view? Please indicate which transactions should be captured by PDMR obligations in the case of management companies of CIUs</w:t>
      </w:r>
      <w:r w:rsidR="00646C30">
        <w:t>.</w:t>
      </w:r>
    </w:p>
    <w:p w14:paraId="3C3E0B4D" w14:textId="77777777" w:rsidR="00646C30" w:rsidRDefault="00646C30" w:rsidP="00646C30">
      <w:r>
        <w:t>&lt;ESMA_QUESTION_CP_MAR_</w:t>
      </w:r>
      <w:r w:rsidR="00FA5524">
        <w:t>59</w:t>
      </w:r>
      <w:r>
        <w:t>&gt;</w:t>
      </w:r>
    </w:p>
    <w:p w14:paraId="3C3E0B4E" w14:textId="77777777" w:rsidR="00646C30" w:rsidRDefault="00646C30" w:rsidP="00646C30">
      <w:permStart w:id="1390705103" w:edGrp="everyone"/>
      <w:r>
        <w:t>TYPE YOUR TEXT HERE</w:t>
      </w:r>
      <w:permEnd w:id="1390705103"/>
    </w:p>
    <w:p w14:paraId="3C3E0B4F" w14:textId="77777777" w:rsidR="00646C30" w:rsidRDefault="00646C30" w:rsidP="00646C30">
      <w:r>
        <w:t>&lt;ESMA_QUESTION_CP_MAR_</w:t>
      </w:r>
      <w:r w:rsidR="00FA5524">
        <w:t>59</w:t>
      </w:r>
      <w:r>
        <w:t>&gt;</w:t>
      </w:r>
    </w:p>
    <w:p w14:paraId="3C3E0B50" w14:textId="77777777" w:rsidR="00646C30" w:rsidRDefault="00646C30" w:rsidP="002E1760"/>
    <w:p w14:paraId="3C3E0B51" w14:textId="77777777" w:rsidR="00646C30" w:rsidRDefault="0042739E" w:rsidP="00646C30">
      <w:pPr>
        <w:pStyle w:val="CPQuestions"/>
      </w:pPr>
      <w:r w:rsidRPr="0042739E">
        <w:t>Do you agree with ESMA’s preliminary view? If not, please elaborate</w:t>
      </w:r>
      <w:r w:rsidR="00646C30">
        <w:t>.</w:t>
      </w:r>
    </w:p>
    <w:p w14:paraId="3C3E0B52" w14:textId="77777777" w:rsidR="00646C30" w:rsidRDefault="00646C30" w:rsidP="00646C30">
      <w:r>
        <w:t>&lt;ESMA_QUESTION_CP_MAR_</w:t>
      </w:r>
      <w:r w:rsidR="00FA5524">
        <w:t>60</w:t>
      </w:r>
      <w:r>
        <w:t>&gt;</w:t>
      </w:r>
    </w:p>
    <w:p w14:paraId="3C3E0B53" w14:textId="77777777" w:rsidR="00646C30" w:rsidRDefault="00646C30" w:rsidP="00646C30">
      <w:permStart w:id="1861502119" w:edGrp="everyone"/>
      <w:r>
        <w:t>TYPE YOUR TEXT HERE</w:t>
      </w:r>
      <w:permEnd w:id="1861502119"/>
    </w:p>
    <w:p w14:paraId="3C3E0B54" w14:textId="77777777" w:rsidR="00646C30" w:rsidRDefault="00646C30" w:rsidP="00646C30">
      <w:r>
        <w:t>&lt;ESMA_QUESTION_CP_MAR_</w:t>
      </w:r>
      <w:r w:rsidR="00D53941">
        <w:t>60</w:t>
      </w:r>
      <w:r>
        <w:t>&gt;</w:t>
      </w:r>
    </w:p>
    <w:p w14:paraId="3C3E0B55" w14:textId="77777777" w:rsidR="00646C30" w:rsidRDefault="00646C30"/>
    <w:p w14:paraId="3C3E0B56" w14:textId="77777777" w:rsidR="00646C30" w:rsidRDefault="0042739E" w:rsidP="00646C30">
      <w:pPr>
        <w:pStyle w:val="CPQuestions"/>
      </w:pPr>
      <w:r w:rsidRPr="0042739E">
        <w:lastRenderedPageBreak/>
        <w:t>What persons should PDMR obligations apply to depending on the different structures of CIUs and why? In particular, please indicate whether the definition of “relevant persons” would be adequate for CIUs other than UCITs and AIFs</w:t>
      </w:r>
      <w:r w:rsidR="00646C30">
        <w:t>.</w:t>
      </w:r>
    </w:p>
    <w:p w14:paraId="3C3E0B57" w14:textId="77777777" w:rsidR="00646C30" w:rsidRDefault="00646C30" w:rsidP="00646C30">
      <w:r>
        <w:t>&lt;ESMA_QUESTION_CP_MAR_</w:t>
      </w:r>
      <w:r w:rsidR="00D53941">
        <w:t>61</w:t>
      </w:r>
      <w:r>
        <w:t>&gt;</w:t>
      </w:r>
    </w:p>
    <w:p w14:paraId="3C3E0B58" w14:textId="77777777" w:rsidR="00646C30" w:rsidRDefault="00646C30" w:rsidP="00646C30">
      <w:permStart w:id="518088190" w:edGrp="everyone"/>
      <w:r>
        <w:t>TYPE YOUR TEXT HERE</w:t>
      </w:r>
      <w:permEnd w:id="518088190"/>
    </w:p>
    <w:p w14:paraId="3C3E0B59" w14:textId="77777777" w:rsidR="00646C30" w:rsidRDefault="00646C30" w:rsidP="00646C30">
      <w:r>
        <w:t>&lt;ESMA_QUESTION_CP_MAR_</w:t>
      </w:r>
      <w:r w:rsidR="00D53941">
        <w:t>61</w:t>
      </w:r>
      <w:r>
        <w:t>&gt;</w:t>
      </w:r>
    </w:p>
    <w:p w14:paraId="3C3E0B5A" w14:textId="77777777" w:rsidR="00646C30" w:rsidRDefault="00646C30"/>
    <w:p w14:paraId="3C3E0B5B" w14:textId="77777777" w:rsidR="00646C30" w:rsidRDefault="0042739E" w:rsidP="00646C30">
      <w:pPr>
        <w:pStyle w:val="CPQuestions"/>
      </w:pPr>
      <w:r w:rsidRPr="0042739E">
        <w:t>ESMA would like to gather views from stakeholders on whether other entities than the asset management company (e.g. depository) and other entities on which the CIUs has delegated the execution of certain tasks should be captured by the PDMR regime</w:t>
      </w:r>
      <w:r w:rsidR="00646C30">
        <w:t>.</w:t>
      </w:r>
    </w:p>
    <w:p w14:paraId="3C3E0B5C" w14:textId="77777777" w:rsidR="00646C30" w:rsidRDefault="00646C30" w:rsidP="00646C30">
      <w:r>
        <w:t>&lt;ESMA_QUESTION_CP_MAR_</w:t>
      </w:r>
      <w:r w:rsidR="00D53941">
        <w:t>62</w:t>
      </w:r>
      <w:r>
        <w:t>&gt;</w:t>
      </w:r>
    </w:p>
    <w:p w14:paraId="3C3E0B5D" w14:textId="77777777" w:rsidR="00646C30" w:rsidRDefault="00646C30" w:rsidP="00646C30">
      <w:permStart w:id="1489983752" w:edGrp="everyone"/>
      <w:r>
        <w:t>TYPE YOUR TEXT HERE</w:t>
      </w:r>
      <w:permEnd w:id="1489983752"/>
    </w:p>
    <w:p w14:paraId="3C3E0B5E" w14:textId="77777777" w:rsidR="00646C30" w:rsidRDefault="00646C30" w:rsidP="00646C30">
      <w:r>
        <w:t>&lt;ESMA_QUESTION_CP_MAR_</w:t>
      </w:r>
      <w:r w:rsidR="00D53941">
        <w:t>62</w:t>
      </w:r>
      <w:r>
        <w:t>&gt;</w:t>
      </w:r>
    </w:p>
    <w:p w14:paraId="3C3E0B5F" w14:textId="77777777" w:rsidR="00646C30" w:rsidRDefault="00646C30"/>
    <w:p w14:paraId="3C3E0B60" w14:textId="77777777" w:rsidR="00646C30" w:rsidRDefault="0042739E" w:rsidP="00646C30">
      <w:pPr>
        <w:pStyle w:val="CPQuestions"/>
      </w:pPr>
      <w:r w:rsidRPr="0042739E">
        <w:t>Do you agree with ESMA’s conclusion? If not, please elaborate</w:t>
      </w:r>
      <w:r w:rsidR="00646C30">
        <w:t>.</w:t>
      </w:r>
    </w:p>
    <w:p w14:paraId="3C3E0B61" w14:textId="77777777" w:rsidR="00646C30" w:rsidRDefault="00646C30" w:rsidP="00646C30">
      <w:r>
        <w:t>&lt;ESMA_QUESTION_CP_MAR_</w:t>
      </w:r>
      <w:r w:rsidR="00D53941">
        <w:t>63</w:t>
      </w:r>
      <w:r>
        <w:t>&gt;</w:t>
      </w:r>
    </w:p>
    <w:p w14:paraId="3C3E0B62" w14:textId="77777777" w:rsidR="00646C30" w:rsidRDefault="00646C30" w:rsidP="00646C30">
      <w:permStart w:id="1272137283" w:edGrp="everyone"/>
      <w:r>
        <w:t>TYPE YOUR TEXT HERE</w:t>
      </w:r>
      <w:permEnd w:id="1272137283"/>
    </w:p>
    <w:p w14:paraId="3C3E0B63" w14:textId="77777777" w:rsidR="00646C30" w:rsidRDefault="00646C30" w:rsidP="00646C30">
      <w:r>
        <w:t>&lt;ESMA_QUESTION_CP_MAR_</w:t>
      </w:r>
      <w:r w:rsidR="00D53941">
        <w:t>63</w:t>
      </w:r>
      <w:r>
        <w:t>&gt;</w:t>
      </w:r>
    </w:p>
    <w:p w14:paraId="3C3E0B64" w14:textId="77777777" w:rsidR="00646C30" w:rsidRDefault="0042739E" w:rsidP="00646C30">
      <w:pPr>
        <w:pStyle w:val="CPQuestions"/>
      </w:pPr>
      <w:r w:rsidRPr="0042739E">
        <w:t>Do you agree with ESMA preliminary view? Please elaborate</w:t>
      </w:r>
      <w:r w:rsidR="00646C30">
        <w:t>.</w:t>
      </w:r>
    </w:p>
    <w:p w14:paraId="3C3E0B65" w14:textId="77777777" w:rsidR="00646C30" w:rsidRDefault="00646C30" w:rsidP="00646C30">
      <w:r>
        <w:t>&lt;ESMA_QUESTION_CP_MAR_</w:t>
      </w:r>
      <w:r w:rsidR="00D53941">
        <w:t>64</w:t>
      </w:r>
      <w:r>
        <w:t>&gt;</w:t>
      </w:r>
    </w:p>
    <w:p w14:paraId="3C3E0B66" w14:textId="77777777" w:rsidR="00646C30" w:rsidRDefault="00646C30" w:rsidP="00646C30">
      <w:permStart w:id="1364398990" w:edGrp="everyone"/>
      <w:r>
        <w:t>TYPE YOUR TEXT HERE</w:t>
      </w:r>
      <w:permEnd w:id="1364398990"/>
    </w:p>
    <w:p w14:paraId="3C3E0B67" w14:textId="77777777" w:rsidR="00646C30" w:rsidRDefault="00646C30" w:rsidP="00646C30">
      <w:r>
        <w:t>&lt;ESMA_QUESTION_CP_MAR_</w:t>
      </w:r>
      <w:r w:rsidR="00D53941">
        <w:t>64</w:t>
      </w:r>
      <w:r>
        <w:t>&gt;</w:t>
      </w:r>
    </w:p>
    <w:p w14:paraId="3C3E0B68" w14:textId="77777777" w:rsidR="00646C30" w:rsidRDefault="00646C30" w:rsidP="002E1760"/>
    <w:p w14:paraId="3C3E0B69" w14:textId="77777777" w:rsidR="00646C30" w:rsidRDefault="0042739E" w:rsidP="00646C30">
      <w:pPr>
        <w:pStyle w:val="CPQuestions"/>
      </w:pPr>
      <w:r w:rsidRPr="0042739E">
        <w:t>Do you agree with ESMA’s preliminary views? Do you consider that specific obligations are needed for elaborating insider lists related to CIUs admitted to traded or traded on a trading venue</w:t>
      </w:r>
      <w:r>
        <w:t>?</w:t>
      </w:r>
    </w:p>
    <w:p w14:paraId="3C3E0B6A" w14:textId="77777777" w:rsidR="00646C30" w:rsidRDefault="00646C30" w:rsidP="00646C30">
      <w:r>
        <w:t>&lt;ESMA_QUESTION_CP_MAR_</w:t>
      </w:r>
      <w:r w:rsidR="00D53941">
        <w:t>65</w:t>
      </w:r>
      <w:r>
        <w:t>&gt;</w:t>
      </w:r>
    </w:p>
    <w:p w14:paraId="3C3E0B6B" w14:textId="77777777" w:rsidR="00646C30" w:rsidRDefault="00646C30" w:rsidP="00646C30">
      <w:permStart w:id="1228214564" w:edGrp="everyone"/>
      <w:r>
        <w:t>TYPE YOUR TEXT HERE</w:t>
      </w:r>
      <w:permEnd w:id="1228214564"/>
    </w:p>
    <w:p w14:paraId="3C3E0B6C" w14:textId="77777777" w:rsidR="00646C30" w:rsidRDefault="00646C30" w:rsidP="00646C30">
      <w:r>
        <w:t>&lt;ESMA_QUESTION_CP_MAR_</w:t>
      </w:r>
      <w:r w:rsidR="00D53941">
        <w:t>65</w:t>
      </w:r>
      <w:r>
        <w:t>&gt;</w:t>
      </w:r>
    </w:p>
    <w:p w14:paraId="3C3E0B6D" w14:textId="77777777" w:rsidR="00646C30" w:rsidRDefault="00646C30" w:rsidP="002E1760"/>
    <w:p w14:paraId="3C3E0B6E" w14:textId="77777777" w:rsidR="00646C30" w:rsidRDefault="0042739E" w:rsidP="00646C30">
      <w:pPr>
        <w:pStyle w:val="CPQuestions"/>
      </w:pPr>
      <w:r w:rsidRPr="0042739E">
        <w:t>Please provide your views on the abovementioned harmonisation of reporting formats of order book data. In addition, please provide your views on the impact and cost linked to the implementation of new common standards to transmit order book data to NCAs upon request. Please provide your views on the consequences of using XML templates or other types of templates</w:t>
      </w:r>
      <w:r w:rsidR="00646C30">
        <w:t>.</w:t>
      </w:r>
    </w:p>
    <w:p w14:paraId="3C3E0B6F" w14:textId="77777777" w:rsidR="00646C30" w:rsidRDefault="00646C30" w:rsidP="00646C30">
      <w:r>
        <w:t>&lt;ESMA_QUESTION_CP_MAR_</w:t>
      </w:r>
      <w:r w:rsidR="00D53941">
        <w:t>66</w:t>
      </w:r>
      <w:r>
        <w:t>&gt;</w:t>
      </w:r>
    </w:p>
    <w:p w14:paraId="3C3E0B70" w14:textId="77777777" w:rsidR="00646C30" w:rsidRDefault="00646C30" w:rsidP="00646C30">
      <w:permStart w:id="2025406494" w:edGrp="everyone"/>
      <w:r>
        <w:t>TYPE YOUR TEXT HERE</w:t>
      </w:r>
      <w:permEnd w:id="2025406494"/>
    </w:p>
    <w:p w14:paraId="3C3E0B71" w14:textId="77777777" w:rsidR="00646C30" w:rsidRDefault="00646C30" w:rsidP="00646C30">
      <w:r>
        <w:t>&lt;ESMA_QUESTION_CP_MAR_</w:t>
      </w:r>
      <w:r w:rsidR="00D53941">
        <w:t>66</w:t>
      </w:r>
      <w:r>
        <w:t>&gt;</w:t>
      </w:r>
    </w:p>
    <w:p w14:paraId="3C3E0B72" w14:textId="77777777" w:rsidR="00646C30" w:rsidRDefault="00646C30" w:rsidP="002E1760"/>
    <w:p w14:paraId="3C3E0B73" w14:textId="77777777" w:rsidR="00646C30" w:rsidRDefault="0042739E" w:rsidP="00646C30">
      <w:pPr>
        <w:pStyle w:val="CPQuestions"/>
      </w:pPr>
      <w:r w:rsidRPr="0042739E">
        <w:lastRenderedPageBreak/>
        <w:t>Please provide your views on the impact and cost linked to the establishment of a regular reporting mechanism of order book data</w:t>
      </w:r>
      <w:r w:rsidR="00646C30">
        <w:t>.</w:t>
      </w:r>
    </w:p>
    <w:p w14:paraId="3C3E0B74" w14:textId="77777777" w:rsidR="00646C30" w:rsidRDefault="00646C30" w:rsidP="00646C30">
      <w:r>
        <w:t>&lt;ESMA_QUESTION_CP_MAR_</w:t>
      </w:r>
      <w:r w:rsidR="00D53941">
        <w:t>67</w:t>
      </w:r>
      <w:r>
        <w:t>&gt;</w:t>
      </w:r>
    </w:p>
    <w:p w14:paraId="3C3E0B75" w14:textId="77777777" w:rsidR="00646C30" w:rsidRDefault="00646C30" w:rsidP="00646C30">
      <w:permStart w:id="482090286" w:edGrp="everyone"/>
      <w:r>
        <w:t>TYPE YOUR TEXT HERE</w:t>
      </w:r>
      <w:permEnd w:id="482090286"/>
    </w:p>
    <w:p w14:paraId="3C3E0B76" w14:textId="77777777" w:rsidR="00646C30" w:rsidRDefault="00646C30" w:rsidP="00646C30">
      <w:r>
        <w:t>&lt;ESMA_QUESTION_CP_MAR_</w:t>
      </w:r>
      <w:r w:rsidR="00D53941">
        <w:t>67</w:t>
      </w:r>
      <w:r>
        <w:t>&gt;</w:t>
      </w:r>
    </w:p>
    <w:p w14:paraId="3C3E0B77" w14:textId="77777777" w:rsidR="00646C30" w:rsidRDefault="00646C30" w:rsidP="002E1760"/>
    <w:p w14:paraId="3C3E0B78" w14:textId="77777777" w:rsidR="00646C30" w:rsidRDefault="0042739E" w:rsidP="00646C30">
      <w:pPr>
        <w:pStyle w:val="CPQuestions"/>
      </w:pPr>
      <w:r w:rsidRPr="0042739E">
        <w:t>In particular, please: a) elaborate on the cost differences between a daily reporting system and a daily record keeping and ad-hoc transmission mechanism; b) explain if and how the impact would change by limiting the scope of a regular reporting mechanism of order book data to a subset of financial instruments. In that context, please provide detailed description of the criteria that you would use to define the appropriate scope of financial instruments for the order book reporting</w:t>
      </w:r>
      <w:r w:rsidR="00646C30">
        <w:t>.</w:t>
      </w:r>
    </w:p>
    <w:p w14:paraId="3C3E0B79" w14:textId="77777777" w:rsidR="00646C30" w:rsidRDefault="00646C30" w:rsidP="00646C30">
      <w:r>
        <w:t>&lt;ESMA_QUESTION_CP_MAR_</w:t>
      </w:r>
      <w:r w:rsidR="00D53941">
        <w:t>68</w:t>
      </w:r>
      <w:r>
        <w:t>&gt;</w:t>
      </w:r>
    </w:p>
    <w:p w14:paraId="3C3E0B7A" w14:textId="77777777" w:rsidR="00646C30" w:rsidRDefault="00646C30" w:rsidP="00646C30">
      <w:permStart w:id="81003916" w:edGrp="everyone"/>
      <w:r>
        <w:t>TYPE YOUR TEXT HERE</w:t>
      </w:r>
      <w:permEnd w:id="81003916"/>
    </w:p>
    <w:p w14:paraId="3C3E0B7B" w14:textId="77777777" w:rsidR="00646C30" w:rsidRDefault="00646C30" w:rsidP="00646C30">
      <w:r>
        <w:t>&lt;ESMA_QUESTION_CP_MAR_</w:t>
      </w:r>
      <w:r w:rsidR="00D53941">
        <w:t>68</w:t>
      </w:r>
      <w:r>
        <w:t>&gt;</w:t>
      </w:r>
    </w:p>
    <w:p w14:paraId="3C3E0B7C" w14:textId="77777777" w:rsidR="00646C30" w:rsidRDefault="00646C30" w:rsidP="002E1760"/>
    <w:p w14:paraId="3C3E0B7D" w14:textId="77777777" w:rsidR="00646C30" w:rsidRDefault="0042739E" w:rsidP="00646C30">
      <w:pPr>
        <w:pStyle w:val="CPQuestions"/>
      </w:pPr>
      <w:r>
        <w:t>W</w:t>
      </w:r>
      <w:r w:rsidRPr="0042739E">
        <w:t>hat are your views regarding those proposed amendments to MAR</w:t>
      </w:r>
      <w:r>
        <w:t>?</w:t>
      </w:r>
    </w:p>
    <w:p w14:paraId="3C3E0B7E" w14:textId="77777777" w:rsidR="00646C30" w:rsidRDefault="00646C30" w:rsidP="00646C30">
      <w:r>
        <w:t>&lt;ESMA_QUESTION_CP_MAR_</w:t>
      </w:r>
      <w:r w:rsidR="00D53941">
        <w:t>69</w:t>
      </w:r>
      <w:r>
        <w:t>&gt;</w:t>
      </w:r>
    </w:p>
    <w:p w14:paraId="3C3E0B7F" w14:textId="77777777" w:rsidR="00646C30" w:rsidRDefault="00646C30" w:rsidP="00646C30">
      <w:permStart w:id="59336310" w:edGrp="everyone"/>
      <w:r>
        <w:t>TYPE YOUR TEXT HERE</w:t>
      </w:r>
      <w:permEnd w:id="59336310"/>
    </w:p>
    <w:p w14:paraId="3C3E0B80" w14:textId="77777777" w:rsidR="00646C30" w:rsidRDefault="00646C30" w:rsidP="00646C30">
      <w:r>
        <w:t>&lt;ESMA_QUESTION_CP_MAR_</w:t>
      </w:r>
      <w:r w:rsidR="00D53941">
        <w:t>69</w:t>
      </w:r>
      <w:r>
        <w:t>&gt;</w:t>
      </w:r>
    </w:p>
    <w:p w14:paraId="3C3E0B81" w14:textId="77777777" w:rsidR="00646C30" w:rsidRDefault="00646C30" w:rsidP="002E1760"/>
    <w:p w14:paraId="3C3E0B82" w14:textId="77777777" w:rsidR="00646C30" w:rsidRDefault="0042739E" w:rsidP="00646C30">
      <w:pPr>
        <w:pStyle w:val="CPQuestions"/>
      </w:pPr>
      <w:r w:rsidRPr="0042739E">
        <w:t>Are you in favour of amending Article 30(1) second paragraph of MAR so that all NCAs in the EU have the capacity of imposing administrative sanctions? If yes, please elaborate</w:t>
      </w:r>
      <w:r w:rsidR="00646C30">
        <w:t>.</w:t>
      </w:r>
    </w:p>
    <w:p w14:paraId="3C3E0B83" w14:textId="77777777" w:rsidR="00646C30" w:rsidRDefault="00646C30" w:rsidP="00646C30">
      <w:r>
        <w:t>&lt;ESMA_QUESTION_CP_MAR_</w:t>
      </w:r>
      <w:r w:rsidR="00D53941">
        <w:t>70</w:t>
      </w:r>
      <w:r>
        <w:t>&gt;</w:t>
      </w:r>
    </w:p>
    <w:p w14:paraId="3C3E0B84" w14:textId="77777777" w:rsidR="00646C30" w:rsidRDefault="00646C30" w:rsidP="00646C30">
      <w:permStart w:id="889603544" w:edGrp="everyone"/>
      <w:r>
        <w:t>TYPE YOUR TEXT HERE</w:t>
      </w:r>
      <w:permEnd w:id="889603544"/>
    </w:p>
    <w:p w14:paraId="3C3E0B85" w14:textId="77777777" w:rsidR="00646C30" w:rsidRDefault="00646C30" w:rsidP="00646C30">
      <w:r>
        <w:t>&lt;ESMA_QUESTION_CP_MAR_</w:t>
      </w:r>
      <w:r w:rsidR="00D53941">
        <w:t>70</w:t>
      </w:r>
      <w:r>
        <w:t>&gt;</w:t>
      </w:r>
    </w:p>
    <w:p w14:paraId="3C3E0B86" w14:textId="77777777" w:rsidR="00646C30" w:rsidRDefault="00646C30" w:rsidP="002E1760"/>
    <w:p w14:paraId="3C3E0B87" w14:textId="77777777" w:rsidR="00646C30" w:rsidRDefault="0042739E" w:rsidP="00646C30">
      <w:pPr>
        <w:pStyle w:val="CPQuestions"/>
      </w:pPr>
      <w:r w:rsidRPr="0042739E">
        <w:t>Please share your views on the elements described above</w:t>
      </w:r>
      <w:r w:rsidR="00646C30">
        <w:t>.</w:t>
      </w:r>
    </w:p>
    <w:p w14:paraId="3C3E0B88" w14:textId="77777777" w:rsidR="00646C30" w:rsidRDefault="00646C30" w:rsidP="00646C30">
      <w:r>
        <w:t>&lt;ESMA_QUESTION_CP_MAR_</w:t>
      </w:r>
      <w:r w:rsidR="00D53941">
        <w:t>71</w:t>
      </w:r>
      <w:r>
        <w:t>&gt;</w:t>
      </w:r>
    </w:p>
    <w:p w14:paraId="3C3E0B89" w14:textId="77777777" w:rsidR="00646C30" w:rsidRDefault="00646C30" w:rsidP="00646C30">
      <w:permStart w:id="1714450615" w:edGrp="everyone"/>
      <w:r>
        <w:t>TYPE YOUR TEXT HERE</w:t>
      </w:r>
      <w:permEnd w:id="1714450615"/>
    </w:p>
    <w:p w14:paraId="3C3E0B8A" w14:textId="77777777" w:rsidR="00646C30" w:rsidRDefault="00646C30" w:rsidP="00646C30">
      <w:r>
        <w:t>&lt;ESMA_QUESTION_CP_MAR_</w:t>
      </w:r>
      <w:r w:rsidR="00D53941">
        <w:t>71</w:t>
      </w:r>
      <w:r>
        <w:t>&gt;</w:t>
      </w:r>
    </w:p>
    <w:p w14:paraId="3C3E0B8B" w14:textId="77777777" w:rsidR="00646C30" w:rsidRDefault="00646C30" w:rsidP="002E1760"/>
    <w:p w14:paraId="3C3E0B8C" w14:textId="77777777" w:rsidR="00646C30" w:rsidRDefault="00646C30" w:rsidP="002E1760"/>
    <w:p w14:paraId="3C3E0B8D" w14:textId="77777777" w:rsidR="00646C30" w:rsidRDefault="00646C30" w:rsidP="002E1760"/>
    <w:p w14:paraId="3C3E0B8E" w14:textId="77777777" w:rsidR="009003B8" w:rsidRDefault="009003B8" w:rsidP="002E1760"/>
    <w:sectPr w:rsidR="009003B8"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E0B94" w14:textId="77777777" w:rsidR="00D563DF" w:rsidRDefault="00D563DF">
      <w:r>
        <w:separator/>
      </w:r>
    </w:p>
    <w:p w14:paraId="3C3E0B95" w14:textId="77777777" w:rsidR="00D563DF" w:rsidRDefault="00D563DF"/>
  </w:endnote>
  <w:endnote w:type="continuationSeparator" w:id="0">
    <w:p w14:paraId="3C3E0B96" w14:textId="77777777" w:rsidR="00D563DF" w:rsidRDefault="00D563DF">
      <w:r>
        <w:continuationSeparator/>
      </w:r>
    </w:p>
    <w:p w14:paraId="3C3E0B97" w14:textId="77777777" w:rsidR="00D563DF" w:rsidRDefault="00D563DF"/>
  </w:endnote>
  <w:endnote w:type="continuationNotice" w:id="1">
    <w:p w14:paraId="3C3E0B98" w14:textId="77777777" w:rsidR="00D563DF" w:rsidRDefault="00D56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D563DF" w:rsidRPr="00616B9B" w14:paraId="3C3E0B9C" w14:textId="77777777" w:rsidTr="00315E96">
      <w:trPr>
        <w:trHeight w:val="284"/>
      </w:trPr>
      <w:tc>
        <w:tcPr>
          <w:tcW w:w="8460" w:type="dxa"/>
        </w:tcPr>
        <w:p w14:paraId="3C3E0B9A" w14:textId="77777777" w:rsidR="00D563DF" w:rsidRPr="00315E96" w:rsidRDefault="00D563DF" w:rsidP="00315E96">
          <w:pPr>
            <w:pStyle w:val="00Footer"/>
            <w:rPr>
              <w:lang w:val="fr-FR"/>
            </w:rPr>
          </w:pPr>
        </w:p>
      </w:tc>
      <w:tc>
        <w:tcPr>
          <w:tcW w:w="952" w:type="dxa"/>
        </w:tcPr>
        <w:p w14:paraId="3C3E0B9B" w14:textId="77777777" w:rsidR="00D563DF" w:rsidRPr="00616B9B" w:rsidRDefault="00D563DF"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3C3E0B9D" w14:textId="77777777" w:rsidR="00D563DF" w:rsidRDefault="00D56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AC" w14:textId="77777777" w:rsidR="00D563DF" w:rsidRDefault="00D56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E0B8F" w14:textId="77777777" w:rsidR="00D563DF" w:rsidRDefault="00D563DF">
      <w:r>
        <w:separator/>
      </w:r>
    </w:p>
    <w:p w14:paraId="3C3E0B90" w14:textId="77777777" w:rsidR="00D563DF" w:rsidRDefault="00D563DF"/>
  </w:footnote>
  <w:footnote w:type="continuationSeparator" w:id="0">
    <w:p w14:paraId="3C3E0B91" w14:textId="77777777" w:rsidR="00D563DF" w:rsidRDefault="00D563DF">
      <w:r>
        <w:continuationSeparator/>
      </w:r>
    </w:p>
    <w:p w14:paraId="3C3E0B92" w14:textId="77777777" w:rsidR="00D563DF" w:rsidRDefault="00D563DF"/>
  </w:footnote>
  <w:footnote w:type="continuationNotice" w:id="1">
    <w:p w14:paraId="3C3E0B93" w14:textId="77777777" w:rsidR="00D563DF" w:rsidRDefault="00D563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9" w14:textId="77777777" w:rsidR="00D563DF" w:rsidRDefault="00D563DF">
    <w:pPr>
      <w:pStyle w:val="Header"/>
    </w:pPr>
    <w:r>
      <w:rPr>
        <w:noProof/>
        <w:lang w:eastAsia="en-GB"/>
      </w:rPr>
      <w:drawing>
        <wp:anchor distT="0" distB="0" distL="114300" distR="114300" simplePos="0" relativeHeight="251658240" behindDoc="0" locked="0" layoutInCell="1" allowOverlap="1" wp14:anchorId="3C3E0BAD" wp14:editId="3C3E0BAE">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C3E0BAF" wp14:editId="3C3E0BB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11193"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E" w14:textId="77777777" w:rsidR="00D563DF" w:rsidRDefault="00D563DF" w:rsidP="00013CCE">
    <w:pPr>
      <w:pStyle w:val="Header"/>
      <w:jc w:val="right"/>
    </w:pPr>
    <w:r>
      <w:rPr>
        <w:noProof/>
        <w:lang w:eastAsia="en-GB"/>
      </w:rPr>
      <w:drawing>
        <wp:anchor distT="0" distB="0" distL="114300" distR="114300" simplePos="0" relativeHeight="251657216" behindDoc="0" locked="0" layoutInCell="1" allowOverlap="1" wp14:anchorId="3C3E0BB1" wp14:editId="3C3E0BB2">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3C3E0BB3" wp14:editId="3C3E0BB4">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F" w14:textId="77777777" w:rsidR="00D563DF" w:rsidRDefault="00D563D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D563DF" w:rsidRPr="002F4496" w14:paraId="3C3E0BA2" w14:textId="77777777" w:rsidTr="000C06C9">
      <w:trPr>
        <w:trHeight w:val="284"/>
      </w:trPr>
      <w:tc>
        <w:tcPr>
          <w:tcW w:w="8460" w:type="dxa"/>
        </w:tcPr>
        <w:p w14:paraId="3C3E0BA0" w14:textId="77777777" w:rsidR="00D563DF" w:rsidRPr="000C3B6D" w:rsidRDefault="00D563DF" w:rsidP="000C06C9">
          <w:pPr>
            <w:pStyle w:val="00Footer"/>
            <w:rPr>
              <w:lang w:val="fr-FR"/>
            </w:rPr>
          </w:pPr>
        </w:p>
      </w:tc>
      <w:tc>
        <w:tcPr>
          <w:tcW w:w="952" w:type="dxa"/>
        </w:tcPr>
        <w:p w14:paraId="3C3E0BA1" w14:textId="77777777" w:rsidR="00D563DF" w:rsidRPr="00146B34" w:rsidRDefault="00D563DF" w:rsidP="000C06C9">
          <w:pPr>
            <w:pStyle w:val="00aPagenumber"/>
            <w:rPr>
              <w:lang w:val="fr-FR"/>
            </w:rPr>
          </w:pPr>
        </w:p>
      </w:tc>
    </w:tr>
  </w:tbl>
  <w:p w14:paraId="3C3E0BA3" w14:textId="77777777" w:rsidR="00D563DF" w:rsidRPr="00DB46C3" w:rsidRDefault="00D563DF">
    <w:pPr>
      <w:rPr>
        <w:lang w:val="fr-FR"/>
      </w:rPr>
    </w:pPr>
  </w:p>
  <w:p w14:paraId="3C3E0BA4" w14:textId="77777777" w:rsidR="00D563DF" w:rsidRPr="002F4496" w:rsidRDefault="00D563DF">
    <w:pPr>
      <w:pStyle w:val="Header"/>
      <w:rPr>
        <w:lang w:val="fr-FR"/>
      </w:rPr>
    </w:pPr>
  </w:p>
  <w:p w14:paraId="3C3E0BA5" w14:textId="77777777" w:rsidR="00D563DF" w:rsidRPr="002F4496" w:rsidRDefault="00D563DF" w:rsidP="000C06C9">
    <w:pPr>
      <w:pStyle w:val="Header"/>
      <w:tabs>
        <w:tab w:val="clear" w:pos="4536"/>
        <w:tab w:val="clear" w:pos="9072"/>
        <w:tab w:val="left" w:pos="8227"/>
      </w:tabs>
      <w:rPr>
        <w:lang w:val="fr-FR"/>
      </w:rPr>
    </w:pPr>
  </w:p>
  <w:p w14:paraId="3C3E0BA6" w14:textId="77777777" w:rsidR="00D563DF" w:rsidRPr="002F4496" w:rsidRDefault="00D563DF" w:rsidP="00583885">
    <w:pPr>
      <w:pStyle w:val="Header"/>
      <w:jc w:val="right"/>
      <w:rPr>
        <w:lang w:val="fr-FR"/>
      </w:rPr>
    </w:pPr>
  </w:p>
  <w:p w14:paraId="3C3E0BA7" w14:textId="77777777" w:rsidR="00D563DF" w:rsidRPr="002F4496" w:rsidRDefault="00D563DF">
    <w:pPr>
      <w:pStyle w:val="Header"/>
      <w:rPr>
        <w:lang w:val="fr-FR"/>
      </w:rPr>
    </w:pPr>
  </w:p>
  <w:p w14:paraId="3C3E0BA8" w14:textId="77777777" w:rsidR="00D563DF" w:rsidRPr="002F4496" w:rsidRDefault="00D563DF">
    <w:pPr>
      <w:pStyle w:val="Header"/>
      <w:rPr>
        <w:lang w:val="fr-FR"/>
      </w:rPr>
    </w:pPr>
  </w:p>
  <w:p w14:paraId="3C3E0BA9" w14:textId="77777777" w:rsidR="00D563DF" w:rsidRPr="002F4496" w:rsidRDefault="00D563DF">
    <w:pPr>
      <w:pStyle w:val="Header"/>
      <w:rPr>
        <w:lang w:val="fr-FR"/>
      </w:rPr>
    </w:pPr>
  </w:p>
  <w:p w14:paraId="3C3E0BAA" w14:textId="77777777" w:rsidR="00D563DF" w:rsidRPr="002F4496" w:rsidRDefault="00D563DF">
    <w:pPr>
      <w:pStyle w:val="Header"/>
      <w:rPr>
        <w:highlight w:val="yellow"/>
        <w:lang w:val="fr-FR"/>
      </w:rPr>
    </w:pPr>
  </w:p>
  <w:p w14:paraId="3C3E0BAB" w14:textId="77777777" w:rsidR="00D563DF" w:rsidRDefault="00D563DF">
    <w:pPr>
      <w:pStyle w:val="Header"/>
    </w:pPr>
    <w:r>
      <w:rPr>
        <w:noProof/>
        <w:lang w:eastAsia="en-GB"/>
      </w:rPr>
      <mc:AlternateContent>
        <mc:Choice Requires="wps">
          <w:drawing>
            <wp:anchor distT="0" distB="0" distL="114299" distR="114299" simplePos="0" relativeHeight="251660288" behindDoc="0" locked="0" layoutInCell="1" allowOverlap="1" wp14:anchorId="3C3E0BB5" wp14:editId="3C3E0BB6">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7EF39"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3C3E0BB7" wp14:editId="3C3E0BB8">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F4E2D80"/>
    <w:multiLevelType w:val="hybridMultilevel"/>
    <w:tmpl w:val="C69CCB7C"/>
    <w:lvl w:ilvl="0" w:tplc="0044949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7DF7064"/>
    <w:multiLevelType w:val="hybridMultilevel"/>
    <w:tmpl w:val="0FFED02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5"/>
  </w:num>
  <w:num w:numId="21">
    <w:abstractNumId w:val="35"/>
  </w:num>
  <w:num w:numId="22">
    <w:abstractNumId w:val="23"/>
  </w:num>
  <w:num w:numId="23">
    <w:abstractNumId w:val="9"/>
  </w:num>
  <w:num w:numId="24">
    <w:abstractNumId w:val="28"/>
  </w:num>
  <w:num w:numId="25">
    <w:abstractNumId w:val="27"/>
  </w:num>
  <w:num w:numId="26">
    <w:abstractNumId w:val="18"/>
  </w:num>
  <w:num w:numId="27">
    <w:abstractNumId w:val="31"/>
  </w:num>
  <w:num w:numId="28">
    <w:abstractNumId w:val="38"/>
  </w:num>
  <w:num w:numId="29">
    <w:abstractNumId w:val="7"/>
  </w:num>
  <w:num w:numId="30">
    <w:abstractNumId w:val="2"/>
  </w:num>
  <w:num w:numId="31">
    <w:abstractNumId w:val="20"/>
  </w:num>
  <w:num w:numId="32">
    <w:abstractNumId w:val="19"/>
  </w:num>
  <w:num w:numId="33">
    <w:abstractNumId w:val="33"/>
  </w:num>
  <w:num w:numId="34">
    <w:abstractNumId w:val="32"/>
  </w:num>
  <w:num w:numId="35">
    <w:abstractNumId w:val="4"/>
  </w:num>
  <w:num w:numId="36">
    <w:abstractNumId w:val="34"/>
  </w:num>
  <w:num w:numId="37">
    <w:abstractNumId w:val="6"/>
  </w:num>
  <w:num w:numId="38">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iPoMOv/lL7Pe40Xszl/cHn0Sklkz3r/NXYsIj1cxGT/YpwS0Usl4nqklbwIaEd7/+NpbW2xVg3oIr1eH7uk1ZQ==" w:salt="Y31LDsLQoet5IQr8D6tVtA=="/>
  <w:defaultTabStop w:val="709"/>
  <w:autoHyphenation/>
  <w:hyphenationZone w:val="567"/>
  <w:characterSpacingControl w:val="doNotCompress"/>
  <w:hdrShapeDefaults>
    <o:shapedefaults v:ext="edit" spidmax="1024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3F2C"/>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27"/>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16D4"/>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7D2"/>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2918"/>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912"/>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3F"/>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311"/>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351C"/>
    <w:rsid w:val="00B6439A"/>
    <w:rsid w:val="00B6443B"/>
    <w:rsid w:val="00B6517B"/>
    <w:rsid w:val="00B65E71"/>
    <w:rsid w:val="00B66C26"/>
    <w:rsid w:val="00B67829"/>
    <w:rsid w:val="00B71FB3"/>
    <w:rsid w:val="00B73492"/>
    <w:rsid w:val="00B74EAF"/>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3DF"/>
    <w:rsid w:val="00D56AC0"/>
    <w:rsid w:val="00D6081B"/>
    <w:rsid w:val="00D60960"/>
    <w:rsid w:val="00D60C2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2d4491,#283583"/>
    </o:shapedefaults>
    <o:shapelayout v:ext="edit">
      <o:idmap v:ext="edit" data="1"/>
    </o:shapelayout>
  </w:shapeDefaults>
  <w:decimalSymbol w:val="."/>
  <w:listSeparator w:val=","/>
  <w14:docId w14:val="3C3E09EA"/>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lsdException w:name="Table Grid" w:locked="0" w:uiPriority="39"/>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linkassetservices.com/documents/mar-report/0474-mar-survey_v2_r7-web.pdf"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yperlink" Target="https://www.linkassetservices.com/documents/mar-report/0474-mar-survey_v2_r7-web.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linkassetservices.com/documents/mar-report/0474-mar-survey_v2_r7-web.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2016</Year>
    <TaxCatchAll xmlns="20fbe147-bbda-4e53-b6b1-7e8bbff3fe19">
      <Value>503</Value>
      <Value>1</Value>
      <Value>2</Value>
      <Value>484</Value>
      <Value>504</Value>
    </TaxCatchAll>
    <_dlc_DocId xmlns="20fbe147-bbda-4e53-b6b1-7e8bbff3fe19">ESMA70-156-1394</_dlc_DocId>
    <_dlc_DocIdUrl xmlns="20fbe147-bbda-4e53-b6b1-7e8bbff3fe19">
      <Url>https://sherpa.esma.europa.eu/sites/MKT/SMK/_layouts/15/DocIdRedir.aspx?ID=ESMA70-156-1394</Url>
      <Description>ESMA70-156-1394</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Market Abuse</TermName>
          <TermId xmlns="http://schemas.microsoft.com/office/infopath/2007/PartnerControls">c480dd12-5209-4ca4-80a5-d0e37753c09e</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Market Abuse - MAR Review</TermName>
          <TermId xmlns="http://schemas.microsoft.com/office/infopath/2007/PartnerControls">786475ed-b1e5-40bb-bf2b-734cb3546e7a</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2.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7C169-B082-42D7-95A8-39DCDC7C43D3}">
  <ds:schemaRefs>
    <ds:schemaRef ds:uri="http://purl.org/dc/terms/"/>
    <ds:schemaRef ds:uri="20fbe147-bbda-4e53-b6b1-7e8bbff3fe1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4"/>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7BADFFE-41E0-49BC-8A9B-46A2984C2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4.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5.xml><?xml version="1.0" encoding="utf-8"?>
<ds:datastoreItem xmlns:ds="http://schemas.openxmlformats.org/officeDocument/2006/customXml" ds:itemID="{EE9F870C-7F7C-4744-AF0D-A5D13544AE04}">
  <ds:schemaRefs>
    <ds:schemaRef ds:uri="http://schemas.openxmlformats.org/officeDocument/2006/bibliography"/>
  </ds:schemaRefs>
</ds:datastoreItem>
</file>

<file path=customXml/itemProps6.xml><?xml version="1.0" encoding="utf-8"?>
<ds:datastoreItem xmlns:ds="http://schemas.openxmlformats.org/officeDocument/2006/customXml" ds:itemID="{529D916A-92ED-483C-8E1A-84C4033D7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24</Pages>
  <Words>8446</Words>
  <Characters>47929</Characters>
  <Application>Microsoft Office Word</Application>
  <DocSecurity>8</DocSecurity>
  <Lines>399</Lines>
  <Paragraphs>112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56263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Johnston, Paul (Link Asset Services)</cp:lastModifiedBy>
  <cp:revision>7</cp:revision>
  <cp:lastPrinted>2015-02-18T11:01:00Z</cp:lastPrinted>
  <dcterms:created xsi:type="dcterms:W3CDTF">2019-11-29T11:58:00Z</dcterms:created>
  <dcterms:modified xsi:type="dcterms:W3CDTF">2019-11-29T12:35:00Z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2d5b60f3-5771-4094-9bd7-de24e244202d</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503;#Market Abuse|c480dd12-5209-4ca4-80a5-d0e37753c09e</vt:lpwstr>
  </property>
  <property fmtid="{D5CDD505-2E9C-101B-9397-08002B2CF9AE}" pid="7" name="ConfidentialityLevel">
    <vt:lpwstr>2;#Restricted|187aa7e6-627f-4951-b138-6ff841dc883d</vt:lpwstr>
  </property>
  <property fmtid="{D5CDD505-2E9C-101B-9397-08002B2CF9AE}" pid="8" name="DocumentType">
    <vt:lpwstr>1;#Note|b9e1c92e-303a-4555-86f0-5c711c65937e</vt:lpwstr>
  </property>
  <property fmtid="{D5CDD505-2E9C-101B-9397-08002B2CF9AE}" pid="9" name="SubTopic">
    <vt:lpwstr>504;#Market Abuse - MAR Review|786475ed-b1e5-40bb-bf2b-734cb3546e7a</vt:lpwstr>
  </property>
</Properties>
</file>