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bookmarkStart w:id="1" w:name="_GoBack"/>
      <w:r w:rsidRPr="00EF0769">
        <w:rPr>
          <w:rFonts w:cs="Arial"/>
        </w:rPr>
        <w:t>ESMA_</w:t>
      </w:r>
      <w:r w:rsidR="00227C1A">
        <w:rPr>
          <w:rFonts w:cs="Arial"/>
        </w:rPr>
        <w:t>CP_MAR_</w:t>
      </w:r>
      <w:r w:rsidRPr="00EF0769">
        <w:rPr>
          <w:rFonts w:cs="Arial"/>
        </w:rPr>
        <w:t xml:space="preserve">ESMA_REPLYFORM </w:t>
      </w:r>
      <w:bookmarkEnd w:id="1"/>
      <w:r w:rsidRPr="00EF0769">
        <w:rPr>
          <w:rFonts w:cs="Arial"/>
        </w:rPr>
        <w:t xml:space="preserve">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2" w:name="_Toc335141334"/>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PlaceholderText"/>
              <w:rFonts w:cs="Arial"/>
            </w:rPr>
            <w:id w:val="651570699"/>
            <w:text/>
          </w:sdtPr>
          <w:sdtContent>
            <w:tc>
              <w:tcPr>
                <w:tcW w:w="5595" w:type="dxa"/>
                <w:shd w:val="clear" w:color="auto" w:fill="auto"/>
              </w:tcPr>
              <w:p w14:paraId="3C3E0A16" w14:textId="40779D57" w:rsidR="00C2682A" w:rsidRPr="00AB6D88" w:rsidRDefault="00381A6B" w:rsidP="00FA5524">
                <w:pPr>
                  <w:rPr>
                    <w:rStyle w:val="PlaceholderText"/>
                    <w:rFonts w:cs="Arial"/>
                  </w:rPr>
                </w:pPr>
                <w:r>
                  <w:rPr>
                    <w:rStyle w:val="PlaceholderText"/>
                    <w:rFonts w:cs="Arial"/>
                  </w:rPr>
                  <w:t>Commodity Markets Council Europe</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35B75675" w:rsidR="00C2682A" w:rsidRPr="00AB6D88" w:rsidRDefault="00CD46AE"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381A6B">
                  <w:rPr>
                    <w:rFonts w:cs="Arial"/>
                  </w:rPr>
                  <w:t>Non-financial counterparty</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Content>
            <w:tc>
              <w:tcPr>
                <w:tcW w:w="5595" w:type="dxa"/>
                <w:shd w:val="clear" w:color="auto" w:fill="auto"/>
              </w:tcPr>
              <w:p w14:paraId="3C3E0A1C" w14:textId="57753BAE" w:rsidR="00C2682A" w:rsidRPr="00AB6D88" w:rsidRDefault="00381A6B"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3C3E0A1F" w14:textId="1098154C" w:rsidR="00C2682A" w:rsidRPr="00AB6D88" w:rsidRDefault="00381A6B" w:rsidP="00FA5524">
                <w:pPr>
                  <w:rPr>
                    <w:rFonts w:cs="Arial"/>
                  </w:rPr>
                </w:pPr>
                <w:r>
                  <w:rPr>
                    <w:rFonts w:cs="Arial"/>
                  </w:rPr>
                  <w:t>Europe</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Heading1"/>
        <w:numPr>
          <w:ilvl w:val="0"/>
          <w:numId w:val="0"/>
        </w:numPr>
        <w:ind w:left="431" w:hanging="431"/>
      </w:pPr>
      <w:r>
        <w:t>Introduction</w:t>
      </w:r>
    </w:p>
    <w:p w14:paraId="3C3E0A24" w14:textId="77777777" w:rsidR="00F87897" w:rsidRPr="001D47A5" w:rsidRDefault="00F87897" w:rsidP="00F87897">
      <w:pPr>
        <w:rPr>
          <w:rStyle w:val="IntenseEmphasis"/>
        </w:rPr>
      </w:pPr>
      <w:r w:rsidRPr="001D47A5">
        <w:rPr>
          <w:rStyle w:val="IntenseEmphasis"/>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1B9906E3" w14:textId="792636CC" w:rsidR="00B5711F" w:rsidRPr="004865E8" w:rsidRDefault="00B5711F" w:rsidP="00B5711F">
      <w:pPr>
        <w:spacing w:after="120"/>
        <w:ind w:right="-23"/>
        <w:jc w:val="both"/>
        <w:rPr>
          <w:rFonts w:ascii="Gill Sans MT" w:hAnsi="Gill Sans MT" w:cstheme="minorHAnsi"/>
          <w:sz w:val="22"/>
          <w:szCs w:val="22"/>
        </w:rPr>
      </w:pPr>
      <w:permStart w:id="1594194160" w:edGrp="everyone"/>
      <w:r>
        <w:rPr>
          <w:rFonts w:ascii="Gill Sans MT" w:hAnsi="Gill Sans MT" w:cstheme="minorHAnsi"/>
          <w:sz w:val="22"/>
          <w:szCs w:val="22"/>
        </w:rPr>
        <w:t>Commodity Markets Council Europe (</w:t>
      </w:r>
      <w:r w:rsidRPr="004865E8">
        <w:rPr>
          <w:rFonts w:ascii="Gill Sans MT" w:hAnsi="Gill Sans MT" w:cstheme="minorHAnsi"/>
          <w:sz w:val="22"/>
          <w:szCs w:val="22"/>
        </w:rPr>
        <w:t>CMC</w:t>
      </w:r>
      <w:r>
        <w:rPr>
          <w:rFonts w:ascii="Gill Sans MT" w:hAnsi="Gill Sans MT" w:cstheme="minorHAnsi"/>
          <w:sz w:val="22"/>
          <w:szCs w:val="22"/>
        </w:rPr>
        <w:t>E)</w:t>
      </w:r>
      <w:r w:rsidRPr="004865E8">
        <w:rPr>
          <w:rFonts w:ascii="Gill Sans MT" w:hAnsi="Gill Sans MT" w:cstheme="minorHAnsi"/>
          <w:sz w:val="22"/>
          <w:szCs w:val="22"/>
        </w:rPr>
        <w:t xml:space="preserve"> is the only association in Europe</w:t>
      </w:r>
      <w:r>
        <w:rPr>
          <w:rFonts w:ascii="Gill Sans MT" w:hAnsi="Gill Sans MT" w:cstheme="minorHAnsi"/>
          <w:sz w:val="22"/>
          <w:szCs w:val="22"/>
        </w:rPr>
        <w:t xml:space="preserve"> </w:t>
      </w:r>
      <w:r w:rsidRPr="004865E8">
        <w:rPr>
          <w:rFonts w:ascii="Gill Sans MT" w:hAnsi="Gill Sans MT" w:cstheme="minorHAnsi"/>
          <w:sz w:val="22"/>
          <w:szCs w:val="22"/>
        </w:rPr>
        <w:t>representing the range of commodity market</w:t>
      </w:r>
      <w:r>
        <w:rPr>
          <w:rFonts w:ascii="Gill Sans MT" w:hAnsi="Gill Sans MT" w:cstheme="minorHAnsi"/>
          <w:sz w:val="22"/>
          <w:szCs w:val="22"/>
        </w:rPr>
        <w:t xml:space="preserve"> </w:t>
      </w:r>
      <w:r w:rsidRPr="004865E8">
        <w:rPr>
          <w:rFonts w:ascii="Gill Sans MT" w:hAnsi="Gill Sans MT" w:cstheme="minorHAnsi"/>
          <w:sz w:val="22"/>
          <w:szCs w:val="22"/>
        </w:rPr>
        <w:t>participants - agriculture, energy, metals and</w:t>
      </w:r>
      <w:r>
        <w:rPr>
          <w:rFonts w:ascii="Gill Sans MT" w:hAnsi="Gill Sans MT" w:cstheme="minorHAnsi"/>
          <w:sz w:val="22"/>
          <w:szCs w:val="22"/>
        </w:rPr>
        <w:t xml:space="preserve"> </w:t>
      </w:r>
      <w:r w:rsidRPr="004865E8">
        <w:rPr>
          <w:rFonts w:ascii="Gill Sans MT" w:hAnsi="Gill Sans MT" w:cstheme="minorHAnsi"/>
          <w:sz w:val="22"/>
          <w:szCs w:val="22"/>
        </w:rPr>
        <w:t>other commodity market participants, benchmark</w:t>
      </w:r>
      <w:r>
        <w:rPr>
          <w:rFonts w:ascii="Gill Sans MT" w:hAnsi="Gill Sans MT" w:cstheme="minorHAnsi"/>
          <w:sz w:val="22"/>
          <w:szCs w:val="22"/>
        </w:rPr>
        <w:t xml:space="preserve"> </w:t>
      </w:r>
      <w:r w:rsidRPr="004865E8">
        <w:rPr>
          <w:rFonts w:ascii="Gill Sans MT" w:hAnsi="Gill Sans MT" w:cstheme="minorHAnsi"/>
          <w:sz w:val="22"/>
          <w:szCs w:val="22"/>
        </w:rPr>
        <w:t>providers, price reporting agencies, and trading</w:t>
      </w:r>
      <w:r>
        <w:rPr>
          <w:rFonts w:ascii="Gill Sans MT" w:hAnsi="Gill Sans MT" w:cstheme="minorHAnsi"/>
          <w:sz w:val="22"/>
          <w:szCs w:val="22"/>
        </w:rPr>
        <w:t xml:space="preserve"> </w:t>
      </w:r>
      <w:r w:rsidRPr="004865E8">
        <w:rPr>
          <w:rFonts w:ascii="Gill Sans MT" w:hAnsi="Gill Sans MT" w:cstheme="minorHAnsi"/>
          <w:sz w:val="22"/>
          <w:szCs w:val="22"/>
        </w:rPr>
        <w:t>venues operating in the EU, EEA, Switzerland</w:t>
      </w:r>
      <w:r>
        <w:rPr>
          <w:rFonts w:ascii="Gill Sans MT" w:hAnsi="Gill Sans MT" w:cstheme="minorHAnsi"/>
          <w:sz w:val="22"/>
          <w:szCs w:val="22"/>
        </w:rPr>
        <w:t xml:space="preserve"> </w:t>
      </w:r>
      <w:r w:rsidRPr="004865E8">
        <w:rPr>
          <w:rFonts w:ascii="Gill Sans MT" w:hAnsi="Gill Sans MT" w:cstheme="minorHAnsi"/>
          <w:sz w:val="22"/>
          <w:szCs w:val="22"/>
        </w:rPr>
        <w:t>and neighbouring countries.</w:t>
      </w:r>
    </w:p>
    <w:p w14:paraId="58A9F1B4" w14:textId="77777777" w:rsidR="00B5711F" w:rsidRPr="004865E8" w:rsidRDefault="00B5711F" w:rsidP="00B5711F">
      <w:pPr>
        <w:spacing w:after="120"/>
        <w:ind w:right="-23"/>
        <w:jc w:val="both"/>
        <w:rPr>
          <w:rFonts w:ascii="Gill Sans MT" w:hAnsi="Gill Sans MT" w:cstheme="minorHAnsi"/>
          <w:sz w:val="22"/>
          <w:szCs w:val="22"/>
        </w:rPr>
      </w:pPr>
      <w:r w:rsidRPr="004865E8">
        <w:rPr>
          <w:rFonts w:ascii="Gill Sans MT" w:hAnsi="Gill Sans MT" w:cstheme="minorHAnsi"/>
          <w:sz w:val="22"/>
          <w:szCs w:val="22"/>
        </w:rPr>
        <w:t xml:space="preserve">CMCE Members welcome the opportunity to respond to the consultation launched by ESMA on the review of the Market Abuse Regulation (MAR) in view of the future technical advice that ESMA will submit to the European Commission. </w:t>
      </w:r>
    </w:p>
    <w:p w14:paraId="0AAA6BEC" w14:textId="77777777" w:rsidR="00B5711F" w:rsidRPr="004865E8" w:rsidRDefault="00B5711F" w:rsidP="00B5711F">
      <w:pPr>
        <w:spacing w:after="120"/>
        <w:ind w:right="-23"/>
        <w:jc w:val="both"/>
        <w:rPr>
          <w:rFonts w:ascii="Gill Sans MT" w:hAnsi="Gill Sans MT" w:cstheme="minorHAnsi"/>
          <w:sz w:val="22"/>
          <w:szCs w:val="22"/>
        </w:rPr>
      </w:pPr>
      <w:r w:rsidRPr="004865E8">
        <w:rPr>
          <w:rFonts w:ascii="Gill Sans MT" w:hAnsi="Gill Sans MT" w:cstheme="minorHAnsi"/>
          <w:sz w:val="22"/>
          <w:szCs w:val="22"/>
        </w:rPr>
        <w:t>After two and a half years of application of the MAR regime CMCE Members are of the view that it has generally proved appropriate and proportionate in its approach to commodity and commodity derivatives markets.</w:t>
      </w:r>
    </w:p>
    <w:p w14:paraId="46FAF4EE" w14:textId="77777777" w:rsidR="00B5711F" w:rsidRPr="004865E8" w:rsidRDefault="00B5711F" w:rsidP="00B5711F">
      <w:pPr>
        <w:spacing w:after="120"/>
        <w:ind w:right="-23"/>
        <w:jc w:val="both"/>
        <w:rPr>
          <w:rFonts w:ascii="Gill Sans MT" w:hAnsi="Gill Sans MT" w:cstheme="minorHAnsi"/>
          <w:sz w:val="22"/>
          <w:szCs w:val="22"/>
        </w:rPr>
      </w:pPr>
      <w:r w:rsidRPr="004865E8">
        <w:rPr>
          <w:rFonts w:ascii="Gill Sans MT" w:hAnsi="Gill Sans MT" w:cstheme="minorHAnsi"/>
          <w:sz w:val="22"/>
          <w:szCs w:val="22"/>
        </w:rPr>
        <w:t xml:space="preserve">Under MAR EU legislators extended the scope of the insider dealing regime for commodity derivatives which had previously been set under MAD, to cover a wider range of products, and underlying spot commodities. CMCE Members support the framework established and consider that it is still appropriate. CMCE Members see no need to change this framework and are concerned at the potential risks to the commodity markets, if this regime were changed. </w:t>
      </w:r>
    </w:p>
    <w:p w14:paraId="24933125" w14:textId="77777777" w:rsidR="00B5711F" w:rsidRPr="004865E8" w:rsidRDefault="00B5711F" w:rsidP="00B5711F">
      <w:pPr>
        <w:spacing w:after="120"/>
        <w:ind w:right="-23"/>
        <w:jc w:val="both"/>
        <w:rPr>
          <w:rFonts w:ascii="Gill Sans MT" w:hAnsi="Gill Sans MT" w:cs="Calibri"/>
          <w:sz w:val="22"/>
          <w:szCs w:val="22"/>
          <w:lang w:val="en-US"/>
        </w:rPr>
      </w:pPr>
      <w:r w:rsidRPr="004865E8">
        <w:rPr>
          <w:rFonts w:ascii="Gill Sans MT" w:hAnsi="Gill Sans MT"/>
          <w:sz w:val="22"/>
          <w:szCs w:val="22"/>
        </w:rPr>
        <w:t>CMCE Members are of the view that the scope of MAR should not be extended to spot FX contracts.</w:t>
      </w:r>
    </w:p>
    <w:p w14:paraId="3DD11462" w14:textId="77777777" w:rsidR="00B5711F" w:rsidRPr="004865E8" w:rsidRDefault="00B5711F" w:rsidP="00B5711F">
      <w:pPr>
        <w:spacing w:after="120"/>
        <w:ind w:right="-23"/>
        <w:jc w:val="both"/>
        <w:rPr>
          <w:rFonts w:ascii="Gill Sans MT" w:hAnsi="Gill Sans MT" w:cs="Calibri"/>
          <w:sz w:val="22"/>
          <w:szCs w:val="22"/>
          <w:lang w:val="en-US"/>
        </w:rPr>
      </w:pPr>
      <w:r w:rsidRPr="004865E8">
        <w:rPr>
          <w:rFonts w:ascii="Gill Sans MT" w:hAnsi="Gill Sans MT" w:cs="Calibri"/>
          <w:sz w:val="22"/>
          <w:szCs w:val="22"/>
          <w:lang w:val="en-US"/>
        </w:rPr>
        <w:t xml:space="preserve">CMCE Members believe that the ESMA analysis related to the scope of application of the benchmarks provision needs to be interpreted in conformity with the BMR Annex II regime for commodity benchmarks and the applicable safeguards for journalism. </w:t>
      </w:r>
    </w:p>
    <w:p w14:paraId="1907D96F" w14:textId="77777777" w:rsidR="00B5711F" w:rsidRPr="004865E8" w:rsidRDefault="00B5711F" w:rsidP="00B5711F">
      <w:pPr>
        <w:spacing w:after="120"/>
        <w:ind w:right="-23"/>
        <w:jc w:val="both"/>
        <w:rPr>
          <w:rFonts w:ascii="Gill Sans MT" w:hAnsi="Gill Sans MT" w:cstheme="minorHAnsi"/>
          <w:sz w:val="22"/>
          <w:szCs w:val="22"/>
        </w:rPr>
      </w:pPr>
      <w:r w:rsidRPr="004865E8">
        <w:rPr>
          <w:rFonts w:ascii="Gill Sans MT" w:hAnsi="Gill Sans MT" w:cstheme="minorHAnsi"/>
          <w:sz w:val="22"/>
          <w:szCs w:val="22"/>
        </w:rPr>
        <w:t>CMCE Members understand that ESMA may seek simplification of the regime and contemplate further alignment between the regime applicable to securities markets and that for commodity derivatives markets. However, we strongly believe that such alignment is inappropriate and potentially dangerous, and that the reasons for distinct definitions of inside information are still valid and necessary.</w:t>
      </w:r>
    </w:p>
    <w:p w14:paraId="5D2D2507" w14:textId="77777777" w:rsidR="00B5711F" w:rsidRPr="004865E8" w:rsidRDefault="00B5711F" w:rsidP="00B5711F">
      <w:pPr>
        <w:spacing w:after="120"/>
        <w:ind w:right="-23"/>
        <w:jc w:val="both"/>
        <w:rPr>
          <w:rFonts w:ascii="Gill Sans MT" w:hAnsi="Gill Sans MT" w:cstheme="minorHAnsi"/>
          <w:sz w:val="22"/>
          <w:szCs w:val="22"/>
        </w:rPr>
      </w:pPr>
      <w:r w:rsidRPr="004865E8">
        <w:rPr>
          <w:rFonts w:ascii="Gill Sans MT" w:hAnsi="Gill Sans MT" w:cstheme="minorHAnsi"/>
          <w:sz w:val="22"/>
          <w:szCs w:val="22"/>
        </w:rPr>
        <w:t>CMCE Members do support the current regime applicable to front running and strongly believe that firms should continue to be able to implement their own plans and strategies for trading, production and hedging.</w:t>
      </w:r>
    </w:p>
    <w:p w14:paraId="3C3E0A27" w14:textId="292F00FF" w:rsidR="00F87897" w:rsidRDefault="00B5711F" w:rsidP="00F87897">
      <w:r w:rsidRPr="004865E8">
        <w:rPr>
          <w:rFonts w:ascii="Gill Sans MT" w:hAnsi="Gill Sans MT" w:cstheme="minorHAnsi"/>
          <w:sz w:val="22"/>
          <w:szCs w:val="22"/>
        </w:rPr>
        <w:t>CMCE Members strongly believe that the current framework functions well when enabling the industrial participants to use commodity markets for hedging purposes. Any changes need to respect the principles of better regulation and should be appropriate and proportionate, hence the balance needs to be maintained between the interest of market transparency, market integrity and the legitimate interest of market participants on the commodity trading market.</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AB2B74F" w14:textId="32F06822" w:rsidR="00B5711F" w:rsidRDefault="00B5711F" w:rsidP="00EF7F44">
      <w:pPr>
        <w:ind w:left="709"/>
        <w:jc w:val="both"/>
        <w:rPr>
          <w:rFonts w:ascii="Gill Sans MT" w:hAnsi="Gill Sans MT"/>
          <w:sz w:val="22"/>
          <w:szCs w:val="22"/>
        </w:rPr>
      </w:pPr>
      <w:permStart w:id="751114692" w:edGrp="everyone"/>
      <w:r w:rsidRPr="007A590F">
        <w:rPr>
          <w:rFonts w:ascii="Gill Sans MT" w:hAnsi="Gill Sans MT"/>
          <w:sz w:val="22"/>
          <w:szCs w:val="22"/>
        </w:rPr>
        <w:t xml:space="preserve">CMCE Members are convinced that the scope of MAR should not be extended to spot FX contracts. </w:t>
      </w:r>
      <w:r>
        <w:rPr>
          <w:rFonts w:ascii="Gill Sans MT" w:hAnsi="Gill Sans MT"/>
          <w:sz w:val="22"/>
          <w:szCs w:val="22"/>
        </w:rPr>
        <w:t xml:space="preserve">If </w:t>
      </w:r>
      <w:r w:rsidRPr="007A590F">
        <w:rPr>
          <w:rFonts w:ascii="Gill Sans MT" w:hAnsi="Gill Sans MT"/>
          <w:sz w:val="22"/>
          <w:szCs w:val="22"/>
        </w:rPr>
        <w:t xml:space="preserve">spot FX contracts </w:t>
      </w:r>
      <w:r>
        <w:rPr>
          <w:rFonts w:ascii="Gill Sans MT" w:hAnsi="Gill Sans MT"/>
          <w:sz w:val="22"/>
          <w:szCs w:val="22"/>
        </w:rPr>
        <w:t xml:space="preserve">were </w:t>
      </w:r>
      <w:r w:rsidRPr="007A590F">
        <w:rPr>
          <w:rFonts w:ascii="Gill Sans MT" w:hAnsi="Gill Sans MT"/>
          <w:sz w:val="22"/>
          <w:szCs w:val="22"/>
        </w:rPr>
        <w:t xml:space="preserve">brought </w:t>
      </w:r>
      <w:r>
        <w:rPr>
          <w:rFonts w:ascii="Gill Sans MT" w:hAnsi="Gill Sans MT"/>
          <w:sz w:val="22"/>
          <w:szCs w:val="22"/>
        </w:rPr>
        <w:t xml:space="preserve">directly within </w:t>
      </w:r>
      <w:r w:rsidRPr="007A590F">
        <w:rPr>
          <w:rFonts w:ascii="Gill Sans MT" w:hAnsi="Gill Sans MT"/>
          <w:sz w:val="22"/>
          <w:szCs w:val="22"/>
        </w:rPr>
        <w:t>the scope of MAR, this would create a disproportionate burden for all the market participants</w:t>
      </w:r>
      <w:r>
        <w:rPr>
          <w:rFonts w:ascii="Gill Sans MT" w:hAnsi="Gill Sans MT"/>
          <w:sz w:val="22"/>
          <w:szCs w:val="22"/>
        </w:rPr>
        <w:t xml:space="preserve">. </w:t>
      </w:r>
      <w:proofErr w:type="gramStart"/>
      <w:r>
        <w:rPr>
          <w:rFonts w:ascii="Gill Sans MT" w:hAnsi="Gill Sans MT"/>
          <w:sz w:val="22"/>
          <w:szCs w:val="22"/>
        </w:rPr>
        <w:t>In particular, all</w:t>
      </w:r>
      <w:proofErr w:type="gramEnd"/>
      <w:r>
        <w:rPr>
          <w:rFonts w:ascii="Gill Sans MT" w:hAnsi="Gill Sans MT"/>
          <w:sz w:val="22"/>
          <w:szCs w:val="22"/>
        </w:rPr>
        <w:t xml:space="preserve"> firms trading in spot FX (i.e. almost all businesses and certainly all with a treasury function) would be required to implement</w:t>
      </w:r>
      <w:r w:rsidRPr="007A590F">
        <w:rPr>
          <w:rFonts w:ascii="Gill Sans MT" w:hAnsi="Gill Sans MT"/>
          <w:sz w:val="22"/>
          <w:szCs w:val="22"/>
        </w:rPr>
        <w:t xml:space="preserve"> </w:t>
      </w:r>
      <w:r>
        <w:rPr>
          <w:rFonts w:ascii="Gill Sans MT" w:hAnsi="Gill Sans MT"/>
          <w:sz w:val="22"/>
          <w:szCs w:val="22"/>
        </w:rPr>
        <w:t xml:space="preserve">and maintain surveillance and monitoring systems and be subject to a suspicious transaction and order reporting regime under article 16 of MAR. </w:t>
      </w:r>
      <w:proofErr w:type="gramStart"/>
      <w:r>
        <w:rPr>
          <w:rFonts w:ascii="Gill Sans MT" w:hAnsi="Gill Sans MT"/>
          <w:sz w:val="22"/>
          <w:szCs w:val="22"/>
        </w:rPr>
        <w:t>In itself this</w:t>
      </w:r>
      <w:proofErr w:type="gramEnd"/>
      <w:r>
        <w:rPr>
          <w:rFonts w:ascii="Gill Sans MT" w:hAnsi="Gill Sans MT"/>
          <w:sz w:val="22"/>
          <w:szCs w:val="22"/>
        </w:rPr>
        <w:t xml:space="preserve"> would </w:t>
      </w:r>
      <w:r w:rsidRPr="007A590F">
        <w:rPr>
          <w:rFonts w:ascii="Gill Sans MT" w:hAnsi="Gill Sans MT"/>
          <w:sz w:val="22"/>
          <w:szCs w:val="22"/>
        </w:rPr>
        <w:t xml:space="preserve">entail significant </w:t>
      </w:r>
      <w:r>
        <w:rPr>
          <w:rFonts w:ascii="Gill Sans MT" w:hAnsi="Gill Sans MT"/>
          <w:sz w:val="22"/>
          <w:szCs w:val="22"/>
        </w:rPr>
        <w:t>system development and headcount costs for little or no obvious policy benefit.</w:t>
      </w:r>
    </w:p>
    <w:p w14:paraId="4BD7BAB7" w14:textId="1E268C1D" w:rsidR="00B5711F" w:rsidRPr="00B5711F" w:rsidRDefault="00B5711F" w:rsidP="00EF7F44">
      <w:pPr>
        <w:spacing w:before="120"/>
        <w:ind w:left="709"/>
        <w:jc w:val="both"/>
        <w:rPr>
          <w:rFonts w:ascii="Times New Roman" w:hAnsi="Times New Roman"/>
          <w:sz w:val="24"/>
          <w:lang w:eastAsia="en-GB"/>
        </w:rPr>
      </w:pPr>
      <w:r w:rsidRPr="00705E8C">
        <w:rPr>
          <w:rFonts w:ascii="Gill Sans MT" w:hAnsi="Gill Sans MT"/>
          <w:sz w:val="22"/>
          <w:szCs w:val="22"/>
        </w:rPr>
        <w:t>CMCE Members note, however, that the definition of “benchmark” at article 3(1)(29) of MAR is capable of covering published spot FX prices (where they are used to determine the value of one or more “financial instruments”) and that this, in practice, already brings a large portion of the spot FX market within the scope of market integrity protections provided by the “benchmark manipulation” limb of market manipulation at article 12(1)(d), which covers “any other behaviour which manipulates the calculation of a benchmark”.</w:t>
      </w:r>
    </w:p>
    <w:permEnd w:id="751114692"/>
    <w:p w14:paraId="3C3E0A2C" w14:textId="1E8A1911" w:rsidR="00A8728B" w:rsidRDefault="00A8728B" w:rsidP="00A8728B"/>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C3E0A31" w14:textId="77777777" w:rsidR="00A8728B" w:rsidRDefault="00A8728B" w:rsidP="00A8728B">
      <w:permStart w:id="1040662039" w:edGrp="everyone"/>
      <w:r>
        <w:t>TYPE YOUR TEXT HERE</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2E1545FC" w14:textId="77777777" w:rsidR="00EF7F44" w:rsidRPr="002B461E" w:rsidRDefault="00EF7F44" w:rsidP="00EF7F44">
      <w:pPr>
        <w:spacing w:after="120"/>
        <w:ind w:left="709" w:right="-23"/>
        <w:jc w:val="both"/>
        <w:rPr>
          <w:rFonts w:ascii="Gill Sans MT" w:hAnsi="Gill Sans MT"/>
          <w:sz w:val="22"/>
          <w:szCs w:val="22"/>
        </w:rPr>
      </w:pPr>
      <w:permStart w:id="1114596086" w:edGrp="everyone"/>
      <w:r w:rsidRPr="002B461E">
        <w:rPr>
          <w:rFonts w:ascii="Gill Sans MT" w:hAnsi="Gill Sans MT"/>
          <w:sz w:val="22"/>
          <w:szCs w:val="22"/>
        </w:rPr>
        <w:t>ESMA proposals as they relate to commodity markets will cover supervised entities and markets covered by Regulation No 1227/2011 on wholesale energy market integrity and transparency (REMIT).  CMCE Members believe that ESMA will need to consult with the Agency for the Cooperation of Energy Regulators (ACER) pursuant to BMR Recital 64, which says that “</w:t>
      </w:r>
      <w:r w:rsidRPr="002B461E">
        <w:rPr>
          <w:rFonts w:ascii="Gill Sans MT" w:hAnsi="Gill Sans MT"/>
          <w:i/>
          <w:iCs/>
          <w:sz w:val="22"/>
          <w:szCs w:val="22"/>
        </w:rPr>
        <w:t>In cases where this Regulation captures or potentially captures supervised entities and markets covered by Regulation (EU) No 1227/2011, the Agency for the Cooperation of Energy Regulators (ACER) would need to be consulted by ESMA in order to draw upon ACER’s expertise in energy markets and to mitigate any dual regulation</w:t>
      </w:r>
      <w:r w:rsidRPr="002B461E">
        <w:rPr>
          <w:rFonts w:ascii="Gill Sans MT" w:hAnsi="Gill Sans MT"/>
          <w:sz w:val="22"/>
          <w:szCs w:val="22"/>
        </w:rPr>
        <w:t>.”.</w:t>
      </w:r>
    </w:p>
    <w:p w14:paraId="012A9716" w14:textId="77777777" w:rsidR="00EF7F44" w:rsidRPr="002B461E" w:rsidRDefault="00EF7F44" w:rsidP="00EF7F44">
      <w:pPr>
        <w:spacing w:after="120"/>
        <w:ind w:left="709" w:right="-23"/>
        <w:jc w:val="both"/>
        <w:rPr>
          <w:rFonts w:ascii="Gill Sans MT" w:hAnsi="Gill Sans MT"/>
          <w:sz w:val="22"/>
          <w:szCs w:val="22"/>
        </w:rPr>
      </w:pPr>
      <w:r w:rsidRPr="009A67B9">
        <w:rPr>
          <w:rFonts w:ascii="Gill Sans MT" w:hAnsi="Gill Sans MT"/>
          <w:sz w:val="22"/>
          <w:szCs w:val="22"/>
        </w:rPr>
        <w:t>CMCE Members have no comments on ESMA’s analysis as regards benchmark administrators and supervised contributors who are covered by the BMR Title II governance regime for financial</w:t>
      </w:r>
      <w:r w:rsidRPr="009A67B9">
        <w:rPr>
          <w:rFonts w:ascii="Gill Sans MT" w:hAnsi="Gill Sans MT"/>
          <w:b/>
          <w:bCs/>
          <w:sz w:val="22"/>
          <w:szCs w:val="22"/>
        </w:rPr>
        <w:t xml:space="preserve"> </w:t>
      </w:r>
      <w:r w:rsidRPr="009A67B9">
        <w:rPr>
          <w:rFonts w:ascii="Gill Sans MT" w:hAnsi="Gill Sans MT"/>
          <w:sz w:val="22"/>
          <w:szCs w:val="22"/>
        </w:rPr>
        <w:t>benchmarks</w:t>
      </w:r>
      <w:r w:rsidRPr="00EA21AD">
        <w:rPr>
          <w:rFonts w:ascii="Gill Sans MT" w:hAnsi="Gill Sans MT"/>
          <w:sz w:val="22"/>
          <w:szCs w:val="22"/>
        </w:rPr>
        <w:t>.</w:t>
      </w:r>
    </w:p>
    <w:p w14:paraId="59F2E5DB" w14:textId="77777777" w:rsidR="00EF7F44" w:rsidRPr="002B461E" w:rsidRDefault="00EF7F44" w:rsidP="00EF7F44">
      <w:pPr>
        <w:spacing w:after="120"/>
        <w:ind w:left="709" w:right="-23"/>
        <w:jc w:val="both"/>
        <w:rPr>
          <w:rFonts w:ascii="Gill Sans MT" w:hAnsi="Gill Sans MT"/>
          <w:sz w:val="22"/>
          <w:szCs w:val="22"/>
        </w:rPr>
      </w:pPr>
      <w:r w:rsidRPr="002B461E">
        <w:rPr>
          <w:rFonts w:ascii="Gill Sans MT" w:hAnsi="Gill Sans MT"/>
          <w:sz w:val="22"/>
          <w:szCs w:val="22"/>
        </w:rPr>
        <w:t xml:space="preserve">CMCE Members have concerns regarding the ESMA analysis related to administrators of, and contributors to, commodity benchmarks covered by the provisions of Annex II of the Benchmark </w:t>
      </w:r>
      <w:r w:rsidRPr="002B461E">
        <w:rPr>
          <w:rFonts w:ascii="Gill Sans MT" w:hAnsi="Gill Sans MT"/>
          <w:sz w:val="22"/>
          <w:szCs w:val="22"/>
        </w:rPr>
        <w:lastRenderedPageBreak/>
        <w:t>Regulation. We emphasize that Section 3.2 needs to be read in conformity with (1) the BMR Annex II regime for commodity benchmarks and (2) the applicable safeguards for journalism.</w:t>
      </w:r>
    </w:p>
    <w:p w14:paraId="5668EB9C" w14:textId="77777777" w:rsidR="00EF7F44" w:rsidRPr="002B461E" w:rsidRDefault="00EF7F44" w:rsidP="00EF7F44">
      <w:pPr>
        <w:spacing w:after="120"/>
        <w:ind w:left="709" w:right="-23"/>
        <w:jc w:val="both"/>
        <w:rPr>
          <w:rFonts w:ascii="Gill Sans MT" w:hAnsi="Gill Sans MT"/>
          <w:sz w:val="22"/>
          <w:szCs w:val="22"/>
        </w:rPr>
      </w:pPr>
      <w:r w:rsidRPr="002B461E">
        <w:rPr>
          <w:rFonts w:ascii="Gill Sans MT" w:hAnsi="Gill Sans MT"/>
          <w:sz w:val="22"/>
          <w:szCs w:val="22"/>
        </w:rPr>
        <w:t>This is crucial to bear in mind when implementing the ESMA proposals to prevent any</w:t>
      </w:r>
      <w:r w:rsidRPr="002B461E">
        <w:rPr>
          <w:rFonts w:ascii="Gill Sans MT" w:hAnsi="Gill Sans MT"/>
          <w:iCs/>
          <w:sz w:val="22"/>
          <w:szCs w:val="22"/>
        </w:rPr>
        <w:t xml:space="preserve"> breakdown in the quality of the price assessment process, with negative consequences for the markets</w:t>
      </w:r>
      <w:r w:rsidRPr="002B461E">
        <w:rPr>
          <w:rFonts w:ascii="Gill Sans MT" w:hAnsi="Gill Sans MT"/>
          <w:sz w:val="22"/>
          <w:szCs w:val="22"/>
        </w:rPr>
        <w:t xml:space="preserve"> (see the details below).</w:t>
      </w:r>
    </w:p>
    <w:p w14:paraId="122397F1" w14:textId="77777777" w:rsidR="00EF7F44" w:rsidRPr="002B461E" w:rsidRDefault="00EF7F44" w:rsidP="00EF7F44">
      <w:pPr>
        <w:pStyle w:val="ListParagraph"/>
        <w:numPr>
          <w:ilvl w:val="0"/>
          <w:numId w:val="38"/>
        </w:numPr>
        <w:spacing w:after="120" w:line="259" w:lineRule="auto"/>
        <w:ind w:right="-23"/>
        <w:jc w:val="both"/>
        <w:rPr>
          <w:rFonts w:ascii="Gill Sans MT" w:hAnsi="Gill Sans MT"/>
          <w:bCs/>
          <w:sz w:val="22"/>
          <w:szCs w:val="22"/>
          <w:u w:val="single"/>
        </w:rPr>
      </w:pPr>
      <w:r w:rsidRPr="002B461E">
        <w:rPr>
          <w:rFonts w:ascii="Gill Sans MT" w:hAnsi="Gill Sans MT"/>
          <w:bCs/>
          <w:sz w:val="22"/>
          <w:szCs w:val="22"/>
          <w:u w:val="single"/>
        </w:rPr>
        <w:t xml:space="preserve">ESMA should take account of the BMR Annex II regime for commodity benchmarks </w:t>
      </w:r>
    </w:p>
    <w:p w14:paraId="7A88AAF9" w14:textId="77777777" w:rsidR="00EF7F44" w:rsidRPr="002B461E" w:rsidRDefault="00EF7F44" w:rsidP="00EF7F44">
      <w:pPr>
        <w:spacing w:after="120" w:line="259" w:lineRule="auto"/>
        <w:ind w:left="774" w:right="-23" w:firstLine="513"/>
        <w:jc w:val="both"/>
        <w:rPr>
          <w:rFonts w:ascii="Gill Sans MT" w:hAnsi="Gill Sans MT"/>
          <w:bCs/>
          <w:sz w:val="22"/>
          <w:szCs w:val="22"/>
          <w:u w:val="single"/>
        </w:rPr>
      </w:pPr>
      <w:bookmarkStart w:id="4" w:name="_Hlk24277790"/>
      <w:r w:rsidRPr="002B461E">
        <w:rPr>
          <w:rFonts w:ascii="Gill Sans MT" w:hAnsi="Gill Sans MT"/>
          <w:sz w:val="22"/>
          <w:szCs w:val="22"/>
        </w:rPr>
        <w:t>The BMR establishes two distinct governance regimes:</w:t>
      </w:r>
    </w:p>
    <w:bookmarkEnd w:id="4"/>
    <w:p w14:paraId="68141C06" w14:textId="77777777" w:rsidR="00EF7F44" w:rsidRPr="002B461E" w:rsidRDefault="00EF7F44" w:rsidP="00EF7F44">
      <w:pPr>
        <w:pStyle w:val="ListParagraph"/>
        <w:numPr>
          <w:ilvl w:val="0"/>
          <w:numId w:val="37"/>
        </w:numPr>
        <w:spacing w:after="120" w:line="259" w:lineRule="auto"/>
        <w:ind w:left="1276" w:right="-23" w:firstLine="426"/>
        <w:jc w:val="both"/>
        <w:rPr>
          <w:rFonts w:ascii="Gill Sans MT" w:hAnsi="Gill Sans MT"/>
          <w:sz w:val="22"/>
          <w:szCs w:val="22"/>
        </w:rPr>
      </w:pPr>
      <w:r w:rsidRPr="002B461E">
        <w:rPr>
          <w:rFonts w:ascii="Gill Sans MT" w:hAnsi="Gill Sans MT"/>
          <w:sz w:val="22"/>
          <w:szCs w:val="22"/>
        </w:rPr>
        <w:t>Title II: for financial benchmark administrators and their contributors; and</w:t>
      </w:r>
    </w:p>
    <w:p w14:paraId="6683FEE6" w14:textId="77777777" w:rsidR="00EF7F44" w:rsidRPr="002B461E" w:rsidRDefault="00EF7F44" w:rsidP="00EF7F44">
      <w:pPr>
        <w:pStyle w:val="ListParagraph"/>
        <w:numPr>
          <w:ilvl w:val="0"/>
          <w:numId w:val="37"/>
        </w:numPr>
        <w:spacing w:after="120" w:line="259" w:lineRule="auto"/>
        <w:ind w:left="1276" w:right="-23" w:firstLine="426"/>
        <w:jc w:val="both"/>
        <w:rPr>
          <w:rFonts w:ascii="Gill Sans MT" w:hAnsi="Gill Sans MT"/>
          <w:sz w:val="22"/>
          <w:szCs w:val="22"/>
        </w:rPr>
      </w:pPr>
      <w:r w:rsidRPr="002B461E">
        <w:rPr>
          <w:rFonts w:ascii="Gill Sans MT" w:hAnsi="Gill Sans MT"/>
          <w:sz w:val="22"/>
          <w:szCs w:val="22"/>
        </w:rPr>
        <w:t>Annex II: for</w:t>
      </w:r>
      <w:r>
        <w:rPr>
          <w:rFonts w:ascii="Gill Sans MT" w:hAnsi="Gill Sans MT"/>
          <w:sz w:val="22"/>
          <w:szCs w:val="22"/>
        </w:rPr>
        <w:t xml:space="preserve"> certain</w:t>
      </w:r>
      <w:r w:rsidRPr="002B461E">
        <w:rPr>
          <w:rFonts w:ascii="Gill Sans MT" w:hAnsi="Gill Sans MT"/>
          <w:sz w:val="22"/>
          <w:szCs w:val="22"/>
        </w:rPr>
        <w:t xml:space="preserve"> commodity benchmark administrators and their contributors.</w:t>
      </w:r>
    </w:p>
    <w:p w14:paraId="70D6ACE5" w14:textId="77777777" w:rsidR="00EF7F44" w:rsidRPr="002B461E" w:rsidRDefault="00EF7F44" w:rsidP="00EF7F44">
      <w:pPr>
        <w:spacing w:after="120"/>
        <w:ind w:left="1276" w:right="-23"/>
        <w:jc w:val="both"/>
        <w:rPr>
          <w:rFonts w:ascii="Gill Sans MT" w:hAnsi="Gill Sans MT"/>
          <w:sz w:val="22"/>
          <w:szCs w:val="22"/>
        </w:rPr>
      </w:pPr>
      <w:r w:rsidRPr="002B461E">
        <w:rPr>
          <w:rFonts w:ascii="Gill Sans MT" w:hAnsi="Gill Sans MT"/>
          <w:sz w:val="22"/>
          <w:szCs w:val="22"/>
        </w:rPr>
        <w:t xml:space="preserve">We believe it would be appropriate for ESMA to refer to the BMR Annex II regime for commodity benchmarks in its analysis. </w:t>
      </w:r>
      <w:r>
        <w:rPr>
          <w:rFonts w:ascii="Gill Sans MT" w:hAnsi="Gill Sans MT"/>
          <w:sz w:val="22"/>
          <w:szCs w:val="22"/>
        </w:rPr>
        <w:t xml:space="preserve">It is important for ESMA to reflect in its technical advice the fact that BMR expressly provides for different regimes, </w:t>
      </w:r>
      <w:proofErr w:type="gramStart"/>
      <w:r>
        <w:rPr>
          <w:rFonts w:ascii="Gill Sans MT" w:hAnsi="Gill Sans MT"/>
          <w:sz w:val="22"/>
          <w:szCs w:val="22"/>
        </w:rPr>
        <w:t>so as to</w:t>
      </w:r>
      <w:proofErr w:type="gramEnd"/>
      <w:r>
        <w:rPr>
          <w:rFonts w:ascii="Gill Sans MT" w:hAnsi="Gill Sans MT"/>
          <w:sz w:val="22"/>
          <w:szCs w:val="22"/>
        </w:rPr>
        <w:t xml:space="preserve"> ensure preservation of the important distinction between Title II and Annex II regimes, in particular. </w:t>
      </w:r>
    </w:p>
    <w:p w14:paraId="76B3CA3E" w14:textId="77777777" w:rsidR="00EF7F44" w:rsidRPr="002B461E" w:rsidRDefault="00EF7F44" w:rsidP="00EF7F44">
      <w:pPr>
        <w:spacing w:after="120"/>
        <w:ind w:left="1276" w:right="-23"/>
        <w:jc w:val="both"/>
        <w:rPr>
          <w:rFonts w:ascii="Gill Sans MT" w:hAnsi="Gill Sans MT"/>
          <w:sz w:val="22"/>
          <w:szCs w:val="22"/>
        </w:rPr>
      </w:pPr>
      <w:r w:rsidRPr="002B461E">
        <w:rPr>
          <w:rFonts w:ascii="Gill Sans MT" w:hAnsi="Gill Sans MT"/>
          <w:sz w:val="22"/>
          <w:szCs w:val="22"/>
        </w:rPr>
        <w:t>Some of the examples from the ESMA consultation paper:</w:t>
      </w:r>
    </w:p>
    <w:p w14:paraId="6A62B2DE" w14:textId="77777777" w:rsidR="00EF7F44" w:rsidRPr="002B461E" w:rsidRDefault="00EF7F44" w:rsidP="00EF7F44">
      <w:pPr>
        <w:pStyle w:val="ListParagraph"/>
        <w:numPr>
          <w:ilvl w:val="0"/>
          <w:numId w:val="39"/>
        </w:numPr>
        <w:spacing w:after="120" w:line="259" w:lineRule="auto"/>
        <w:ind w:left="1701" w:right="-23" w:hanging="425"/>
        <w:jc w:val="both"/>
        <w:rPr>
          <w:rFonts w:ascii="Gill Sans MT" w:hAnsi="Gill Sans MT"/>
          <w:sz w:val="22"/>
          <w:szCs w:val="22"/>
        </w:rPr>
      </w:pPr>
      <w:r w:rsidRPr="002B461E">
        <w:rPr>
          <w:rFonts w:ascii="Gill Sans MT" w:hAnsi="Gill Sans MT"/>
          <w:sz w:val="22"/>
          <w:szCs w:val="22"/>
        </w:rPr>
        <w:t>Paragraph 25 records that the Benchmark Regulation introduces “</w:t>
      </w:r>
      <w:r w:rsidRPr="002B461E">
        <w:rPr>
          <w:rFonts w:ascii="Gill Sans MT" w:hAnsi="Gill Sans MT"/>
          <w:i/>
          <w:iCs/>
          <w:sz w:val="22"/>
          <w:szCs w:val="22"/>
        </w:rPr>
        <w:t>new requirements for so-called supervised contributors”</w:t>
      </w:r>
      <w:r w:rsidRPr="002B461E">
        <w:rPr>
          <w:rFonts w:ascii="Gill Sans MT" w:hAnsi="Gill Sans MT"/>
          <w:sz w:val="22"/>
          <w:szCs w:val="22"/>
        </w:rPr>
        <w:t>. However, these requirements, which are contained in Title II article 16, do not apply to supervised contributors to Annex II commodity benchmarks</w:t>
      </w:r>
      <w:r>
        <w:rPr>
          <w:rFonts w:ascii="Gill Sans MT" w:hAnsi="Gill Sans MT"/>
          <w:sz w:val="22"/>
          <w:szCs w:val="22"/>
        </w:rPr>
        <w:t>.</w:t>
      </w:r>
    </w:p>
    <w:p w14:paraId="6774E2B6" w14:textId="77777777" w:rsidR="00EF7F44" w:rsidRPr="002B461E" w:rsidRDefault="00EF7F44" w:rsidP="00EF7F44">
      <w:pPr>
        <w:pStyle w:val="ListParagraph"/>
        <w:numPr>
          <w:ilvl w:val="0"/>
          <w:numId w:val="39"/>
        </w:numPr>
        <w:spacing w:after="120" w:line="259" w:lineRule="auto"/>
        <w:ind w:left="1701" w:right="-23" w:hanging="425"/>
        <w:jc w:val="both"/>
        <w:rPr>
          <w:rFonts w:ascii="Gill Sans MT" w:hAnsi="Gill Sans MT"/>
          <w:sz w:val="22"/>
          <w:szCs w:val="22"/>
        </w:rPr>
      </w:pPr>
      <w:r w:rsidRPr="002B461E">
        <w:rPr>
          <w:rFonts w:ascii="Gill Sans MT" w:hAnsi="Gill Sans MT"/>
          <w:sz w:val="22"/>
          <w:szCs w:val="22"/>
        </w:rPr>
        <w:t xml:space="preserve">Paragraph 25 refers to </w:t>
      </w:r>
      <w:r w:rsidRPr="002B461E">
        <w:rPr>
          <w:rFonts w:ascii="Gill Sans MT" w:hAnsi="Gill Sans MT"/>
          <w:i/>
          <w:iCs/>
          <w:sz w:val="22"/>
          <w:szCs w:val="22"/>
        </w:rPr>
        <w:t>codes of conduct</w:t>
      </w:r>
      <w:r w:rsidRPr="002B461E">
        <w:rPr>
          <w:rFonts w:ascii="Gill Sans MT" w:hAnsi="Gill Sans MT"/>
          <w:sz w:val="22"/>
          <w:szCs w:val="22"/>
        </w:rPr>
        <w:t xml:space="preserve"> for contributors. </w:t>
      </w:r>
      <w:r w:rsidRPr="002B461E">
        <w:rPr>
          <w:rFonts w:ascii="Gill Sans MT" w:hAnsi="Gill Sans MT"/>
          <w:i/>
          <w:iCs/>
          <w:sz w:val="22"/>
          <w:szCs w:val="22"/>
        </w:rPr>
        <w:t>Codes of conduct</w:t>
      </w:r>
      <w:r w:rsidRPr="002B461E">
        <w:rPr>
          <w:rFonts w:ascii="Gill Sans MT" w:hAnsi="Gill Sans MT"/>
          <w:sz w:val="22"/>
          <w:szCs w:val="22"/>
        </w:rPr>
        <w:t xml:space="preserve"> are provided for in Title II Article 15, which again means they do not apply to Annex II commodity benchmarks, it also refers to other Title II provisions such as </w:t>
      </w:r>
      <w:r w:rsidRPr="002B461E">
        <w:rPr>
          <w:rFonts w:ascii="Gill Sans MT" w:hAnsi="Gill Sans MT"/>
          <w:i/>
          <w:sz w:val="22"/>
          <w:szCs w:val="22"/>
        </w:rPr>
        <w:t>oversight function requirements</w:t>
      </w:r>
      <w:r w:rsidRPr="002B461E">
        <w:rPr>
          <w:rFonts w:ascii="Gill Sans MT" w:hAnsi="Gill Sans MT"/>
          <w:sz w:val="22"/>
          <w:szCs w:val="22"/>
        </w:rPr>
        <w:t xml:space="preserve"> </w:t>
      </w:r>
      <w:r w:rsidRPr="002B461E">
        <w:rPr>
          <w:rFonts w:ascii="Gill Sans MT" w:hAnsi="Gill Sans MT"/>
          <w:i/>
          <w:sz w:val="22"/>
          <w:szCs w:val="22"/>
        </w:rPr>
        <w:t>and record-keeping requirements</w:t>
      </w:r>
      <w:r w:rsidRPr="002B461E">
        <w:rPr>
          <w:rFonts w:ascii="Gill Sans MT" w:hAnsi="Gill Sans MT"/>
          <w:sz w:val="22"/>
          <w:szCs w:val="22"/>
        </w:rPr>
        <w:t xml:space="preserve"> which do not apply to Annex II</w:t>
      </w:r>
      <w:r>
        <w:rPr>
          <w:rFonts w:ascii="Gill Sans MT" w:hAnsi="Gill Sans MT"/>
          <w:sz w:val="22"/>
          <w:szCs w:val="22"/>
        </w:rPr>
        <w:t>.</w:t>
      </w:r>
    </w:p>
    <w:p w14:paraId="0A2A47D2" w14:textId="77777777" w:rsidR="00EF7F44" w:rsidRPr="002B461E" w:rsidRDefault="00EF7F44" w:rsidP="00EF7F44">
      <w:pPr>
        <w:pStyle w:val="ListParagraph"/>
        <w:numPr>
          <w:ilvl w:val="0"/>
          <w:numId w:val="39"/>
        </w:numPr>
        <w:spacing w:after="120" w:line="259" w:lineRule="auto"/>
        <w:ind w:left="1701" w:right="-23" w:hanging="425"/>
        <w:jc w:val="both"/>
        <w:rPr>
          <w:rFonts w:ascii="Gill Sans MT" w:hAnsi="Gill Sans MT"/>
          <w:sz w:val="22"/>
          <w:szCs w:val="22"/>
        </w:rPr>
      </w:pPr>
      <w:r w:rsidRPr="002B461E">
        <w:rPr>
          <w:rFonts w:ascii="Gill Sans MT" w:hAnsi="Gill Sans MT"/>
          <w:sz w:val="22"/>
          <w:szCs w:val="22"/>
        </w:rPr>
        <w:t>In Paragraphs 30 and 33, ESMA refers to Title II Article 14, which establishes the obligations of administrators to report infringements to the NCA. These obligations do not apply to Annex II benchmark administrators.</w:t>
      </w:r>
    </w:p>
    <w:p w14:paraId="131205C1" w14:textId="77777777" w:rsidR="00EF7F44" w:rsidRPr="009A67B9" w:rsidRDefault="00EF7F44" w:rsidP="00EF7F44">
      <w:pPr>
        <w:spacing w:after="120"/>
        <w:ind w:left="1276" w:right="-23"/>
        <w:jc w:val="both"/>
        <w:rPr>
          <w:rFonts w:ascii="Gill Sans MT" w:hAnsi="Gill Sans MT"/>
          <w:sz w:val="22"/>
          <w:szCs w:val="22"/>
        </w:rPr>
      </w:pPr>
      <w:r w:rsidRPr="009A67B9">
        <w:rPr>
          <w:rFonts w:ascii="Gill Sans MT" w:hAnsi="Gill Sans MT"/>
          <w:sz w:val="22"/>
          <w:szCs w:val="22"/>
        </w:rPr>
        <w:t xml:space="preserve">The differences between the Title II and Annex II regimes reflect well-established differences of policy approach between IOSCO’s </w:t>
      </w:r>
      <w:r w:rsidRPr="009A67B9">
        <w:rPr>
          <w:rFonts w:ascii="Gill Sans MT" w:hAnsi="Gill Sans MT"/>
          <w:i/>
          <w:iCs/>
          <w:sz w:val="22"/>
          <w:szCs w:val="22"/>
        </w:rPr>
        <w:t>Principles for Financial Benchmarks</w:t>
      </w:r>
      <w:r w:rsidRPr="009A67B9">
        <w:rPr>
          <w:rFonts w:ascii="Gill Sans MT" w:hAnsi="Gill Sans MT"/>
          <w:sz w:val="22"/>
          <w:szCs w:val="22"/>
        </w:rPr>
        <w:t xml:space="preserve"> and IOSCO’s </w:t>
      </w:r>
      <w:r w:rsidRPr="009A67B9">
        <w:rPr>
          <w:rFonts w:ascii="Gill Sans MT" w:hAnsi="Gill Sans MT"/>
          <w:i/>
          <w:iCs/>
          <w:sz w:val="22"/>
          <w:szCs w:val="22"/>
        </w:rPr>
        <w:t>Principles for Price Reporting Agencies (PRA)</w:t>
      </w:r>
      <w:r w:rsidRPr="009A67B9">
        <w:rPr>
          <w:rFonts w:ascii="Gill Sans MT" w:hAnsi="Gill Sans MT"/>
          <w:sz w:val="22"/>
          <w:szCs w:val="22"/>
        </w:rPr>
        <w:t>, which the BMR acknowledges “</w:t>
      </w:r>
      <w:r w:rsidRPr="009A67B9">
        <w:rPr>
          <w:rFonts w:ascii="Gill Sans MT" w:hAnsi="Gill Sans MT"/>
          <w:i/>
          <w:iCs/>
          <w:sz w:val="22"/>
          <w:szCs w:val="22"/>
        </w:rPr>
        <w:t>serve as global standards for regulatory requirements for benchmarks”</w:t>
      </w:r>
      <w:r w:rsidRPr="009A67B9">
        <w:rPr>
          <w:rFonts w:ascii="Gill Sans MT" w:hAnsi="Gill Sans MT"/>
          <w:sz w:val="22"/>
          <w:szCs w:val="22"/>
        </w:rPr>
        <w:t xml:space="preserve"> (Recital 44). </w:t>
      </w:r>
    </w:p>
    <w:p w14:paraId="35737503" w14:textId="77777777" w:rsidR="00EF7F44" w:rsidRPr="002B461E" w:rsidRDefault="00EF7F44" w:rsidP="00EF7F44">
      <w:pPr>
        <w:spacing w:after="120"/>
        <w:ind w:left="1276" w:right="-23"/>
        <w:jc w:val="both"/>
        <w:rPr>
          <w:rFonts w:ascii="Gill Sans MT" w:hAnsi="Gill Sans MT"/>
          <w:sz w:val="22"/>
          <w:szCs w:val="22"/>
        </w:rPr>
      </w:pPr>
      <w:r w:rsidRPr="009A67B9">
        <w:rPr>
          <w:rFonts w:ascii="Gill Sans MT" w:hAnsi="Gill Sans MT"/>
          <w:sz w:val="22"/>
          <w:szCs w:val="22"/>
        </w:rPr>
        <w:t xml:space="preserve">Example: ESMA’s proposals to impose new obligations on the (voluntary) contributors to PRA benchmarks could, as IOSCO (Principles for PRAs, page 8) has warned,” </w:t>
      </w:r>
      <w:r w:rsidRPr="009A67B9">
        <w:rPr>
          <w:rFonts w:ascii="Gill Sans MT" w:hAnsi="Gill Sans MT"/>
          <w:i/>
          <w:iCs/>
          <w:sz w:val="22"/>
          <w:szCs w:val="22"/>
        </w:rPr>
        <w:t>result in some market participants to decrease or even cease their submission of data to PRAs</w:t>
      </w:r>
      <w:r w:rsidRPr="009A67B9">
        <w:rPr>
          <w:rFonts w:ascii="Gill Sans MT" w:hAnsi="Gill Sans MT"/>
          <w:sz w:val="22"/>
          <w:szCs w:val="22"/>
        </w:rPr>
        <w:t>”. UK energy regulator Ofgem similarly highlighted this risk in its “</w:t>
      </w:r>
      <w:r w:rsidRPr="009A67B9">
        <w:rPr>
          <w:rFonts w:ascii="Gill Sans MT" w:hAnsi="Gill Sans MT"/>
          <w:i/>
          <w:iCs/>
          <w:sz w:val="22"/>
          <w:szCs w:val="22"/>
        </w:rPr>
        <w:t>Pricing benchmarks in gas and electricity markets – a call for evidence</w:t>
      </w:r>
      <w:r w:rsidRPr="009A67B9">
        <w:rPr>
          <w:rFonts w:ascii="Gill Sans MT" w:hAnsi="Gill Sans MT"/>
          <w:sz w:val="22"/>
          <w:szCs w:val="22"/>
        </w:rPr>
        <w:t xml:space="preserve">” (2013) by noting: </w:t>
      </w:r>
      <w:proofErr w:type="gramStart"/>
      <w:r w:rsidRPr="009A67B9">
        <w:rPr>
          <w:rFonts w:ascii="Gill Sans MT" w:hAnsi="Gill Sans MT"/>
          <w:i/>
          <w:iCs/>
          <w:sz w:val="22"/>
          <w:szCs w:val="22"/>
        </w:rPr>
        <w:t>“..</w:t>
      </w:r>
      <w:proofErr w:type="gramEnd"/>
      <w:r w:rsidRPr="009A67B9">
        <w:rPr>
          <w:rFonts w:ascii="Gill Sans MT" w:hAnsi="Gill Sans MT"/>
          <w:i/>
          <w:iCs/>
          <w:sz w:val="22"/>
          <w:szCs w:val="22"/>
        </w:rPr>
        <w:t xml:space="preserve">some types of regulation may introduce risks to the process. </w:t>
      </w:r>
      <w:proofErr w:type="gramStart"/>
      <w:r w:rsidRPr="009A67B9">
        <w:rPr>
          <w:rFonts w:ascii="Gill Sans MT" w:hAnsi="Gill Sans MT"/>
          <w:i/>
          <w:iCs/>
          <w:sz w:val="22"/>
          <w:szCs w:val="22"/>
        </w:rPr>
        <w:t>In particular, greater</w:t>
      </w:r>
      <w:proofErr w:type="gramEnd"/>
      <w:r w:rsidRPr="009A67B9">
        <w:rPr>
          <w:rFonts w:ascii="Gill Sans MT" w:hAnsi="Gill Sans MT"/>
          <w:i/>
          <w:iCs/>
          <w:sz w:val="22"/>
          <w:szCs w:val="22"/>
        </w:rPr>
        <w:t xml:space="preserve"> regulatory scrutiny of the information flows could introduce a perception of risk (irrespective of whether the risk is real) to those providing the information. Regulation should increase the quality of the information provided but could reduce the willingness of parties to provide it. Information is provided on a voluntary basis and the simplest way to mitigate this risk may be to withdraw cooperation and decline to provide it. This, in turn, can lead to a breakdown in the quality of the price assessment process, with negative consequences for the markets and consumers.”</w:t>
      </w:r>
      <w:r w:rsidRPr="009A67B9">
        <w:rPr>
          <w:rStyle w:val="FootnoteReference"/>
          <w:rFonts w:ascii="Gill Sans MT" w:hAnsi="Gill Sans MT"/>
          <w:i/>
          <w:iCs/>
          <w:sz w:val="22"/>
          <w:szCs w:val="22"/>
        </w:rPr>
        <w:footnoteReference w:id="2"/>
      </w:r>
    </w:p>
    <w:p w14:paraId="295CBAE6" w14:textId="77777777" w:rsidR="00EF7F44" w:rsidRPr="002B461E" w:rsidRDefault="00EF7F44" w:rsidP="00EF7F44">
      <w:pPr>
        <w:spacing w:after="120"/>
        <w:ind w:left="1276" w:right="-23"/>
        <w:jc w:val="both"/>
        <w:rPr>
          <w:rFonts w:ascii="Gill Sans MT" w:hAnsi="Gill Sans MT"/>
          <w:sz w:val="22"/>
          <w:szCs w:val="22"/>
        </w:rPr>
      </w:pPr>
      <w:r w:rsidRPr="002B461E">
        <w:rPr>
          <w:rFonts w:ascii="Gill Sans MT" w:hAnsi="Gill Sans MT"/>
          <w:sz w:val="22"/>
          <w:szCs w:val="22"/>
        </w:rPr>
        <w:t>To prevent negative consequences as described by IOSCO and Ofgem, ESMA proposals should not be applied to contributors to Annex II benchmarks.</w:t>
      </w:r>
    </w:p>
    <w:p w14:paraId="657AD5FB" w14:textId="77777777" w:rsidR="00EF7F44" w:rsidRPr="002B461E" w:rsidRDefault="00EF7F44" w:rsidP="00EF7F44">
      <w:pPr>
        <w:pStyle w:val="ListParagraph"/>
        <w:numPr>
          <w:ilvl w:val="0"/>
          <w:numId w:val="38"/>
        </w:numPr>
        <w:spacing w:after="120" w:line="259" w:lineRule="auto"/>
        <w:ind w:right="-23"/>
        <w:jc w:val="both"/>
        <w:rPr>
          <w:rFonts w:ascii="Gill Sans MT" w:hAnsi="Gill Sans MT"/>
          <w:bCs/>
          <w:sz w:val="22"/>
          <w:szCs w:val="22"/>
          <w:u w:val="single"/>
        </w:rPr>
      </w:pPr>
      <w:r w:rsidRPr="002B461E">
        <w:rPr>
          <w:rFonts w:ascii="Gill Sans MT" w:hAnsi="Gill Sans MT"/>
          <w:bCs/>
          <w:sz w:val="22"/>
          <w:szCs w:val="22"/>
          <w:u w:val="single"/>
        </w:rPr>
        <w:lastRenderedPageBreak/>
        <w:t>ESMA’s analysis should take account of the safeguards for journalism</w:t>
      </w:r>
    </w:p>
    <w:p w14:paraId="346FE283" w14:textId="77777777" w:rsidR="00EF7F44" w:rsidRPr="002B461E" w:rsidRDefault="00EF7F44" w:rsidP="00EF7F44">
      <w:pPr>
        <w:spacing w:after="120"/>
        <w:ind w:left="1276" w:right="-23"/>
        <w:jc w:val="both"/>
        <w:rPr>
          <w:rFonts w:ascii="Gill Sans MT" w:hAnsi="Gill Sans MT"/>
          <w:sz w:val="22"/>
          <w:szCs w:val="22"/>
        </w:rPr>
      </w:pPr>
      <w:r w:rsidRPr="002B461E">
        <w:rPr>
          <w:rFonts w:ascii="Gill Sans MT" w:hAnsi="Gill Sans MT"/>
          <w:sz w:val="22"/>
          <w:szCs w:val="22"/>
        </w:rPr>
        <w:t xml:space="preserve">PRAs are editorial operations. Those who produce price assessments, referred to by the BMR as </w:t>
      </w:r>
      <w:r w:rsidRPr="002B461E">
        <w:rPr>
          <w:rFonts w:ascii="Gill Sans MT" w:hAnsi="Gill Sans MT"/>
          <w:i/>
          <w:iCs/>
          <w:sz w:val="22"/>
          <w:szCs w:val="22"/>
        </w:rPr>
        <w:t>assessors,</w:t>
      </w:r>
      <w:r w:rsidRPr="002B461E">
        <w:rPr>
          <w:rFonts w:ascii="Gill Sans MT" w:hAnsi="Gill Sans MT"/>
          <w:sz w:val="22"/>
          <w:szCs w:val="22"/>
        </w:rPr>
        <w:t xml:space="preserve"> are journalists, who also produce news and analysis on commodity markets. Paragraph 16(a) of BMR Annex II refers to “</w:t>
      </w:r>
      <w:r w:rsidRPr="002B461E">
        <w:rPr>
          <w:rFonts w:ascii="Gill Sans MT" w:hAnsi="Gill Sans MT"/>
          <w:b/>
          <w:bCs/>
          <w:i/>
          <w:iCs/>
          <w:sz w:val="22"/>
          <w:szCs w:val="22"/>
        </w:rPr>
        <w:t>editorial</w:t>
      </w:r>
      <w:r w:rsidRPr="002B461E">
        <w:rPr>
          <w:rFonts w:ascii="Gill Sans MT" w:hAnsi="Gill Sans MT"/>
          <w:i/>
          <w:iCs/>
          <w:sz w:val="22"/>
          <w:szCs w:val="22"/>
        </w:rPr>
        <w:t xml:space="preserve"> decisions in relation to the benchmark calculation process.”</w:t>
      </w:r>
    </w:p>
    <w:p w14:paraId="43519DBF" w14:textId="77777777" w:rsidR="00EF7F44" w:rsidRPr="002B461E" w:rsidRDefault="00EF7F44" w:rsidP="00EF7F44">
      <w:pPr>
        <w:spacing w:after="120"/>
        <w:ind w:left="1276" w:right="-23"/>
        <w:jc w:val="both"/>
        <w:rPr>
          <w:rFonts w:ascii="Gill Sans MT" w:hAnsi="Gill Sans MT"/>
          <w:sz w:val="22"/>
          <w:szCs w:val="22"/>
        </w:rPr>
      </w:pPr>
      <w:r w:rsidRPr="002B461E">
        <w:rPr>
          <w:rFonts w:ascii="Gill Sans MT" w:hAnsi="Gill Sans MT"/>
          <w:sz w:val="22"/>
          <w:szCs w:val="22"/>
        </w:rPr>
        <w:t xml:space="preserve">ESMA should take account of and refer to the safeguards for journalism established under European and national laws and/or the examples of specific safeguards for journalism already provided for in MAR, REMIT and the BMR. </w:t>
      </w:r>
    </w:p>
    <w:p w14:paraId="2D1D8047" w14:textId="77777777" w:rsidR="00EF7F44" w:rsidRPr="002B461E" w:rsidRDefault="00EF7F44" w:rsidP="00EF7F44">
      <w:pPr>
        <w:spacing w:after="120"/>
        <w:ind w:left="1276" w:right="-23"/>
        <w:jc w:val="both"/>
        <w:rPr>
          <w:rFonts w:ascii="Gill Sans MT" w:hAnsi="Gill Sans MT"/>
          <w:sz w:val="22"/>
          <w:szCs w:val="22"/>
        </w:rPr>
      </w:pPr>
      <w:r w:rsidRPr="002B461E">
        <w:rPr>
          <w:rFonts w:ascii="Gill Sans MT" w:hAnsi="Gill Sans MT"/>
          <w:sz w:val="22"/>
          <w:szCs w:val="22"/>
        </w:rPr>
        <w:t>Some of its proposals, including broadening the powers of NCAs powers to require production of “</w:t>
      </w:r>
      <w:r w:rsidRPr="002B461E">
        <w:rPr>
          <w:rFonts w:ascii="Gill Sans MT" w:hAnsi="Gill Sans MT"/>
          <w:i/>
          <w:iCs/>
          <w:sz w:val="22"/>
          <w:szCs w:val="22"/>
        </w:rPr>
        <w:t>recordings of telephone conversations</w:t>
      </w:r>
      <w:r w:rsidRPr="002B461E">
        <w:rPr>
          <w:rFonts w:ascii="Gill Sans MT" w:hAnsi="Gill Sans MT"/>
          <w:sz w:val="22"/>
          <w:szCs w:val="22"/>
        </w:rPr>
        <w:t xml:space="preserve">”, as contemplated in paragraph 51, would directly conflict with these protections if they were ever applied to PRAs. For further details please see the answer to Question 4. </w:t>
      </w:r>
    </w:p>
    <w:permEnd w:id="1114596086"/>
    <w:p w14:paraId="3C3E0A36" w14:textId="6B19CD39" w:rsidR="002E1760" w:rsidRDefault="002E1760" w:rsidP="002E1760"/>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720B8E58" w14:textId="77777777" w:rsidR="00EF7F44" w:rsidRDefault="00EF7F44" w:rsidP="00EF7F44">
      <w:pPr>
        <w:spacing w:after="120"/>
        <w:ind w:left="709" w:right="-23"/>
        <w:jc w:val="both"/>
        <w:rPr>
          <w:rFonts w:ascii="Gill Sans MT" w:hAnsi="Gill Sans MT"/>
          <w:sz w:val="22"/>
          <w:szCs w:val="22"/>
        </w:rPr>
      </w:pPr>
      <w:permStart w:id="1507552575" w:edGrp="everyone"/>
      <w:r w:rsidRPr="002B461E">
        <w:rPr>
          <w:rFonts w:ascii="Gill Sans MT" w:hAnsi="Gill Sans MT"/>
          <w:sz w:val="22"/>
          <w:szCs w:val="22"/>
        </w:rPr>
        <w:t>For the reasons noted below and in response to Question 3, CMCE Members do not agree with ESMA</w:t>
      </w:r>
      <w:r>
        <w:rPr>
          <w:rFonts w:ascii="Gill Sans MT" w:hAnsi="Gill Sans MT"/>
          <w:sz w:val="22"/>
          <w:szCs w:val="22"/>
        </w:rPr>
        <w:t>’s</w:t>
      </w:r>
      <w:r w:rsidRPr="002B461E">
        <w:rPr>
          <w:rFonts w:ascii="Gill Sans MT" w:hAnsi="Gill Sans MT"/>
          <w:sz w:val="22"/>
          <w:szCs w:val="22"/>
        </w:rPr>
        <w:t xml:space="preserve"> proposal as it concerns administrators of, and contributors to, benchmarks covered by the provisions of Annex II of the BMR.</w:t>
      </w:r>
      <w:r>
        <w:rPr>
          <w:rFonts w:ascii="Gill Sans MT" w:hAnsi="Gill Sans MT"/>
          <w:sz w:val="22"/>
          <w:szCs w:val="22"/>
        </w:rPr>
        <w:t xml:space="preserve">  </w:t>
      </w:r>
    </w:p>
    <w:p w14:paraId="4060C280" w14:textId="77777777" w:rsidR="00EF7F44" w:rsidRPr="00F778A3" w:rsidRDefault="00EF7F44" w:rsidP="00EF7F44">
      <w:pPr>
        <w:spacing w:after="120"/>
        <w:ind w:left="709" w:right="-23"/>
        <w:jc w:val="both"/>
        <w:rPr>
          <w:rFonts w:ascii="Gill Sans MT" w:hAnsi="Gill Sans MT"/>
          <w:b/>
          <w:sz w:val="22"/>
          <w:szCs w:val="22"/>
          <w:u w:val="single"/>
        </w:rPr>
      </w:pPr>
      <w:r w:rsidRPr="00F778A3">
        <w:rPr>
          <w:rFonts w:ascii="Gill Sans MT" w:hAnsi="Gill Sans MT"/>
          <w:b/>
          <w:sz w:val="22"/>
          <w:szCs w:val="22"/>
          <w:u w:val="single"/>
        </w:rPr>
        <w:t>BMR</w:t>
      </w:r>
    </w:p>
    <w:p w14:paraId="5B127E24" w14:textId="77777777" w:rsidR="00EF7F44" w:rsidRDefault="00EF7F44" w:rsidP="00EF7F44">
      <w:pPr>
        <w:spacing w:after="120"/>
        <w:ind w:left="709" w:right="-23"/>
        <w:jc w:val="both"/>
        <w:rPr>
          <w:rFonts w:ascii="Gill Sans MT" w:hAnsi="Gill Sans MT"/>
          <w:sz w:val="22"/>
          <w:szCs w:val="22"/>
        </w:rPr>
      </w:pPr>
      <w:r>
        <w:rPr>
          <w:rFonts w:ascii="Gill Sans MT" w:hAnsi="Gill Sans MT"/>
          <w:sz w:val="22"/>
          <w:szCs w:val="22"/>
        </w:rPr>
        <w:t xml:space="preserve">CMCE members note that BMR imposes a regulatory regime, applicable across a wide spectrum of benchmarks, designed to enhance the integrity of those benchmarks. BMR therefore aims at the same policy objective as MAR, with respect to benchmarks.  BMR, however, has been carefully framed to reflect and consider the specific features of different types of benchmarks and administrators and is therefore applied in a proportionate manner, </w:t>
      </w:r>
      <w:proofErr w:type="gramStart"/>
      <w:r>
        <w:rPr>
          <w:rFonts w:ascii="Gill Sans MT" w:hAnsi="Gill Sans MT"/>
          <w:sz w:val="22"/>
          <w:szCs w:val="22"/>
        </w:rPr>
        <w:t>so as to</w:t>
      </w:r>
      <w:proofErr w:type="gramEnd"/>
      <w:r>
        <w:rPr>
          <w:rFonts w:ascii="Gill Sans MT" w:hAnsi="Gill Sans MT"/>
          <w:sz w:val="22"/>
          <w:szCs w:val="22"/>
        </w:rPr>
        <w:t xml:space="preserve"> ensure the continued availability of benchmarks while preserving their integrity.  BMR already applies sanctions aimed at persons when acting in the capacity of benchmark administrators and supervised contributors to benchmarks other than Annex II.  </w:t>
      </w:r>
    </w:p>
    <w:p w14:paraId="6F7E1C84" w14:textId="77777777" w:rsidR="00EF7F44" w:rsidRPr="002B461E" w:rsidRDefault="00EF7F44" w:rsidP="00EF7F44">
      <w:pPr>
        <w:spacing w:after="120"/>
        <w:ind w:left="709" w:right="-23"/>
        <w:jc w:val="both"/>
        <w:rPr>
          <w:rFonts w:ascii="Gill Sans MT" w:hAnsi="Gill Sans MT"/>
          <w:sz w:val="22"/>
          <w:szCs w:val="22"/>
        </w:rPr>
      </w:pPr>
      <w:r>
        <w:rPr>
          <w:rFonts w:ascii="Gill Sans MT" w:hAnsi="Gill Sans MT"/>
          <w:sz w:val="22"/>
          <w:szCs w:val="22"/>
        </w:rPr>
        <w:t>As a result, CMCE Members are of the view that no additional specific sanctions regime should be applied. This would be unnecessary, confusing and could lead to unintended consequences with respect to the continued availability of benchmarks.</w:t>
      </w:r>
    </w:p>
    <w:p w14:paraId="5418F44E" w14:textId="77777777" w:rsidR="00EF7F44" w:rsidRPr="00F778A3" w:rsidRDefault="00EF7F44" w:rsidP="00EF7F44">
      <w:pPr>
        <w:spacing w:after="120"/>
        <w:ind w:left="709" w:right="-23"/>
        <w:jc w:val="both"/>
        <w:rPr>
          <w:rFonts w:ascii="Gill Sans MT" w:hAnsi="Gill Sans MT"/>
          <w:b/>
          <w:sz w:val="22"/>
          <w:szCs w:val="22"/>
        </w:rPr>
      </w:pPr>
      <w:r w:rsidRPr="00F778A3">
        <w:rPr>
          <w:rFonts w:ascii="Gill Sans MT" w:hAnsi="Gill Sans MT"/>
          <w:b/>
          <w:sz w:val="22"/>
          <w:szCs w:val="22"/>
        </w:rPr>
        <w:t>Journalistic Status of PRAs</w:t>
      </w:r>
    </w:p>
    <w:p w14:paraId="5C613405" w14:textId="77777777" w:rsidR="00EF7F44" w:rsidRPr="002B461E" w:rsidRDefault="00EF7F44" w:rsidP="00EF7F44">
      <w:pPr>
        <w:spacing w:after="120"/>
        <w:ind w:left="709" w:right="-23"/>
        <w:jc w:val="both"/>
        <w:rPr>
          <w:rFonts w:ascii="Gill Sans MT" w:hAnsi="Gill Sans MT"/>
          <w:sz w:val="22"/>
          <w:szCs w:val="22"/>
        </w:rPr>
      </w:pPr>
      <w:r w:rsidRPr="002B461E">
        <w:rPr>
          <w:rFonts w:ascii="Gill Sans MT" w:hAnsi="Gill Sans MT"/>
          <w:sz w:val="22"/>
          <w:szCs w:val="22"/>
          <w:u w:val="single"/>
        </w:rPr>
        <w:t>Regarding administrators of Annex II benchmarks</w:t>
      </w:r>
      <w:r w:rsidRPr="002B461E">
        <w:rPr>
          <w:rFonts w:ascii="Gill Sans MT" w:hAnsi="Gill Sans MT"/>
          <w:sz w:val="22"/>
          <w:szCs w:val="22"/>
        </w:rPr>
        <w:t xml:space="preserve">, price reporting agencies are editorial entities whose journalists produce the commodity price assessments used as benchmarks.  Accordingly, any administrative sanctions and other administrative measures should be fully consistent with established safeguards for journalism. </w:t>
      </w:r>
    </w:p>
    <w:p w14:paraId="18157BEF" w14:textId="77777777" w:rsidR="00EF7F44" w:rsidRPr="00705E8C" w:rsidRDefault="00EF7F44" w:rsidP="00EF7F44">
      <w:pPr>
        <w:spacing w:after="120"/>
        <w:ind w:left="709" w:right="-23"/>
        <w:jc w:val="both"/>
        <w:rPr>
          <w:rFonts w:ascii="Gill Sans MT" w:hAnsi="Gill Sans MT"/>
          <w:sz w:val="22"/>
          <w:szCs w:val="22"/>
        </w:rPr>
      </w:pPr>
      <w:r w:rsidRPr="00705E8C">
        <w:rPr>
          <w:rFonts w:ascii="Gill Sans MT" w:hAnsi="Gill Sans MT"/>
          <w:sz w:val="22"/>
          <w:szCs w:val="22"/>
        </w:rPr>
        <w:t>For example, a safeguard for journalism is introduced in MAR Article 21 and Recital 77. A similar safeguard is also introduced in REMIT Article 2 relating to market manipulation, which provides as follows:</w:t>
      </w:r>
    </w:p>
    <w:p w14:paraId="0B404AAE" w14:textId="77777777" w:rsidR="00EF7F44" w:rsidRPr="00EF7F44" w:rsidRDefault="00EF7F44" w:rsidP="00EF7F44">
      <w:pPr>
        <w:pStyle w:val="CM4"/>
        <w:ind w:left="709" w:right="-23"/>
        <w:jc w:val="both"/>
        <w:rPr>
          <w:rFonts w:ascii="Gill Sans MT" w:hAnsi="Gill Sans MT" w:cs="EUAlbertina"/>
          <w:i/>
          <w:iCs/>
          <w:color w:val="000000"/>
          <w:sz w:val="22"/>
          <w:szCs w:val="22"/>
          <w:lang w:val="en-GB"/>
        </w:rPr>
      </w:pPr>
      <w:r w:rsidRPr="00EF7F44">
        <w:rPr>
          <w:rFonts w:ascii="Gill Sans MT" w:hAnsi="Gill Sans MT" w:cs="EUAlbertina"/>
          <w:i/>
          <w:iCs/>
          <w:color w:val="000000"/>
          <w:sz w:val="22"/>
          <w:szCs w:val="22"/>
          <w:lang w:val="en-GB"/>
        </w:rPr>
        <w:lastRenderedPageBreak/>
        <w:t xml:space="preserve">When information is disseminated for the purposes of journalism or artistic expression, such dissemination of information shall be assessed </w:t>
      </w:r>
      <w:proofErr w:type="gramStart"/>
      <w:r w:rsidRPr="00EF7F44">
        <w:rPr>
          <w:rFonts w:ascii="Gill Sans MT" w:hAnsi="Gill Sans MT" w:cs="EUAlbertina"/>
          <w:i/>
          <w:iCs/>
          <w:color w:val="000000"/>
          <w:sz w:val="22"/>
          <w:szCs w:val="22"/>
          <w:lang w:val="en-GB"/>
        </w:rPr>
        <w:t>taking into account</w:t>
      </w:r>
      <w:proofErr w:type="gramEnd"/>
      <w:r w:rsidRPr="00EF7F44">
        <w:rPr>
          <w:rFonts w:ascii="Gill Sans MT" w:hAnsi="Gill Sans MT" w:cs="EUAlbertina"/>
          <w:i/>
          <w:iCs/>
          <w:color w:val="000000"/>
          <w:sz w:val="22"/>
          <w:szCs w:val="22"/>
          <w:lang w:val="en-GB"/>
        </w:rPr>
        <w:t xml:space="preserve"> the rules governing the freedom of the press and freedom of expression in other media, unless: </w:t>
      </w:r>
    </w:p>
    <w:p w14:paraId="3C7DBA4C" w14:textId="77777777" w:rsidR="00EF7F44" w:rsidRPr="00EF7F44" w:rsidRDefault="00EF7F44" w:rsidP="00EF7F44">
      <w:pPr>
        <w:pStyle w:val="CM4"/>
        <w:ind w:left="709" w:right="-23"/>
        <w:jc w:val="both"/>
        <w:rPr>
          <w:rFonts w:ascii="Gill Sans MT" w:hAnsi="Gill Sans MT" w:cs="EUAlbertina"/>
          <w:i/>
          <w:iCs/>
          <w:color w:val="000000"/>
          <w:sz w:val="22"/>
          <w:szCs w:val="22"/>
          <w:lang w:val="en-GB"/>
        </w:rPr>
      </w:pPr>
      <w:r w:rsidRPr="00EF7F44">
        <w:rPr>
          <w:rFonts w:ascii="Gill Sans MT" w:hAnsi="Gill Sans MT" w:cs="EUAlbertina"/>
          <w:i/>
          <w:iCs/>
          <w:color w:val="000000"/>
          <w:sz w:val="22"/>
          <w:szCs w:val="22"/>
          <w:lang w:val="en-GB"/>
        </w:rPr>
        <w:t xml:space="preserve">(i) those persons derive, directly or indirectly, an advantage or profits from the dissemination of the information in question; or </w:t>
      </w:r>
    </w:p>
    <w:p w14:paraId="3E60BB38" w14:textId="77777777" w:rsidR="00EF7F44" w:rsidRPr="002B461E" w:rsidRDefault="00EF7F44" w:rsidP="00EF7F44">
      <w:pPr>
        <w:spacing w:after="120"/>
        <w:ind w:left="709" w:right="-23"/>
        <w:jc w:val="both"/>
        <w:rPr>
          <w:rFonts w:ascii="Gill Sans MT" w:hAnsi="Gill Sans MT" w:cs="EUAlbertina"/>
          <w:i/>
          <w:iCs/>
          <w:color w:val="000000"/>
          <w:sz w:val="22"/>
          <w:szCs w:val="22"/>
        </w:rPr>
      </w:pPr>
      <w:r w:rsidRPr="002B461E">
        <w:rPr>
          <w:rFonts w:ascii="Gill Sans MT" w:hAnsi="Gill Sans MT" w:cs="EUAlbertina"/>
          <w:i/>
          <w:iCs/>
          <w:color w:val="000000"/>
          <w:sz w:val="22"/>
          <w:szCs w:val="22"/>
        </w:rPr>
        <w:t>(ii) the disclosure or dissemination is made with the intention of misleading the market as to the supply of, demand for, or price of wholesale energy products;</w:t>
      </w:r>
    </w:p>
    <w:p w14:paraId="1FFB235F" w14:textId="77777777" w:rsidR="00EF7F44" w:rsidRPr="002B461E" w:rsidRDefault="00EF7F44" w:rsidP="00EF7F44">
      <w:pPr>
        <w:spacing w:after="120"/>
        <w:ind w:left="709" w:right="-23"/>
        <w:jc w:val="both"/>
        <w:rPr>
          <w:rFonts w:ascii="Gill Sans MT" w:hAnsi="Gill Sans MT" w:cs="EUAlbertina"/>
          <w:color w:val="000000"/>
          <w:sz w:val="22"/>
          <w:szCs w:val="22"/>
        </w:rPr>
      </w:pPr>
      <w:r w:rsidRPr="002B461E">
        <w:rPr>
          <w:rFonts w:ascii="Gill Sans MT" w:hAnsi="Gill Sans MT" w:cs="EUAlbertina"/>
          <w:color w:val="000000"/>
          <w:sz w:val="22"/>
          <w:szCs w:val="22"/>
          <w:u w:val="single"/>
        </w:rPr>
        <w:t>Regarding supervised contributors</w:t>
      </w:r>
      <w:r w:rsidRPr="002B461E">
        <w:rPr>
          <w:rFonts w:ascii="Gill Sans MT" w:hAnsi="Gill Sans MT" w:cs="EUAlbertina"/>
          <w:color w:val="000000"/>
          <w:sz w:val="22"/>
          <w:szCs w:val="22"/>
        </w:rPr>
        <w:t>, one of the most important differences between Title II and Annex II regimes is that Annex II does not impose obligations on supervised contributors.  Hence, BMR Title II article 15 (</w:t>
      </w:r>
      <w:r w:rsidRPr="002B461E">
        <w:rPr>
          <w:rFonts w:ascii="Gill Sans MT" w:hAnsi="Gill Sans MT" w:cs="EUAlbertina"/>
          <w:i/>
          <w:iCs/>
          <w:color w:val="000000"/>
          <w:sz w:val="22"/>
          <w:szCs w:val="22"/>
        </w:rPr>
        <w:t>Code of Conduct</w:t>
      </w:r>
      <w:r w:rsidRPr="002B461E">
        <w:rPr>
          <w:rFonts w:ascii="Gill Sans MT" w:hAnsi="Gill Sans MT" w:cs="EUAlbertina"/>
          <w:color w:val="000000"/>
          <w:sz w:val="22"/>
          <w:szCs w:val="22"/>
        </w:rPr>
        <w:t>) and Title II Article 16 (</w:t>
      </w:r>
      <w:r w:rsidRPr="002B461E">
        <w:rPr>
          <w:rFonts w:ascii="Gill Sans MT" w:hAnsi="Gill Sans MT" w:cs="EUAlbertina"/>
          <w:i/>
          <w:iCs/>
          <w:color w:val="000000"/>
          <w:sz w:val="22"/>
          <w:szCs w:val="22"/>
        </w:rPr>
        <w:t>governance and control requirements for supervised contributors</w:t>
      </w:r>
      <w:r w:rsidRPr="002B461E">
        <w:rPr>
          <w:rFonts w:ascii="Gill Sans MT" w:hAnsi="Gill Sans MT" w:cs="EUAlbertina"/>
          <w:color w:val="000000"/>
          <w:sz w:val="22"/>
          <w:szCs w:val="22"/>
        </w:rPr>
        <w:t>) do not apply to contributors to Annex II benchmarks.</w:t>
      </w:r>
    </w:p>
    <w:p w14:paraId="0088A6B1" w14:textId="77777777" w:rsidR="00EF7F44" w:rsidRPr="002B461E" w:rsidRDefault="00EF7F44" w:rsidP="00EF7F44">
      <w:pPr>
        <w:spacing w:after="120"/>
        <w:ind w:left="709" w:right="-23"/>
        <w:jc w:val="both"/>
        <w:rPr>
          <w:rFonts w:ascii="Gill Sans MT" w:hAnsi="Gill Sans MT" w:cs="EUAlbertina"/>
          <w:color w:val="000000"/>
          <w:sz w:val="22"/>
          <w:szCs w:val="22"/>
        </w:rPr>
      </w:pPr>
      <w:r w:rsidRPr="002B461E">
        <w:rPr>
          <w:rFonts w:ascii="Gill Sans MT" w:hAnsi="Gill Sans MT" w:cs="EUAlbertina"/>
          <w:color w:val="000000"/>
          <w:sz w:val="22"/>
          <w:szCs w:val="22"/>
        </w:rPr>
        <w:t>In conclusion, the BMR (in line with IOSCO’s recommendations) imposes no obligations over supervised contributors to Annex II benchmarks. As noted in response to Question 3, both IOSCO and Ofgem have cautioned that extending regulation to contributors to such benchmarks could introduce risks into benchmark processes and a chilling effect on submissions.</w:t>
      </w:r>
    </w:p>
    <w:p w14:paraId="156F8A1A" w14:textId="77777777" w:rsidR="00EF7F44" w:rsidRPr="002B461E" w:rsidRDefault="00EF7F44" w:rsidP="00EF7F44">
      <w:pPr>
        <w:spacing w:after="120"/>
        <w:ind w:left="709" w:right="-23"/>
        <w:jc w:val="both"/>
        <w:rPr>
          <w:rFonts w:ascii="Gill Sans MT" w:hAnsi="Gill Sans MT" w:cs="EUAlbertina"/>
          <w:color w:val="000000"/>
          <w:sz w:val="22"/>
          <w:szCs w:val="22"/>
        </w:rPr>
      </w:pPr>
      <w:r w:rsidRPr="002B461E">
        <w:rPr>
          <w:rFonts w:ascii="Gill Sans MT" w:hAnsi="Gill Sans MT" w:cs="EUAlbertina"/>
          <w:color w:val="000000"/>
          <w:sz w:val="22"/>
          <w:szCs w:val="22"/>
        </w:rPr>
        <w:t xml:space="preserve">Therefore, CMCE Members strongly believe that it would not be appropriate to extend </w:t>
      </w:r>
      <w:r w:rsidRPr="002B461E">
        <w:rPr>
          <w:rFonts w:ascii="Gill Sans MT" w:hAnsi="Gill Sans MT" w:cs="EUAlbertina"/>
          <w:i/>
          <w:iCs/>
          <w:color w:val="000000"/>
          <w:sz w:val="22"/>
          <w:szCs w:val="22"/>
        </w:rPr>
        <w:t>administrative sanctions and other administrative measures</w:t>
      </w:r>
      <w:r w:rsidRPr="002B461E">
        <w:rPr>
          <w:rFonts w:ascii="Gill Sans MT" w:hAnsi="Gill Sans MT" w:cs="EUAlbertina"/>
          <w:color w:val="000000"/>
          <w:sz w:val="22"/>
          <w:szCs w:val="22"/>
        </w:rPr>
        <w:t xml:space="preserve"> to </w:t>
      </w:r>
      <w:r>
        <w:rPr>
          <w:rFonts w:ascii="Gill Sans MT" w:hAnsi="Gill Sans MT" w:cs="EUAlbertina"/>
          <w:color w:val="000000"/>
          <w:sz w:val="22"/>
          <w:szCs w:val="22"/>
        </w:rPr>
        <w:t xml:space="preserve">administrators and </w:t>
      </w:r>
      <w:r w:rsidRPr="002B461E">
        <w:rPr>
          <w:rFonts w:ascii="Gill Sans MT" w:hAnsi="Gill Sans MT" w:cs="EUAlbertina"/>
          <w:color w:val="000000"/>
          <w:sz w:val="22"/>
          <w:szCs w:val="22"/>
        </w:rPr>
        <w:t>supervised contribut</w:t>
      </w:r>
      <w:r>
        <w:rPr>
          <w:rFonts w:ascii="Gill Sans MT" w:hAnsi="Gill Sans MT" w:cs="EUAlbertina"/>
          <w:color w:val="000000"/>
          <w:sz w:val="22"/>
          <w:szCs w:val="22"/>
        </w:rPr>
        <w:t>ors</w:t>
      </w:r>
      <w:r w:rsidRPr="002B461E">
        <w:rPr>
          <w:rFonts w:ascii="Gill Sans MT" w:hAnsi="Gill Sans MT" w:cs="EUAlbertina"/>
          <w:color w:val="000000"/>
          <w:sz w:val="22"/>
          <w:szCs w:val="22"/>
        </w:rPr>
        <w:t xml:space="preserve"> to Annex II benchmarks.</w:t>
      </w:r>
    </w:p>
    <w:permEnd w:id="1507552575"/>
    <w:p w14:paraId="3C3E0A3B" w14:textId="2DAD726D" w:rsidR="002E1760" w:rsidRDefault="002E1760" w:rsidP="002E1760"/>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5EE83C7B" w14:textId="77777777" w:rsidR="00EF7F44" w:rsidRPr="002B461E" w:rsidRDefault="00EF7F44" w:rsidP="00EF7F44">
      <w:pPr>
        <w:spacing w:after="120"/>
        <w:ind w:left="709" w:right="-23"/>
        <w:jc w:val="both"/>
        <w:rPr>
          <w:rFonts w:ascii="Gill Sans MT" w:hAnsi="Gill Sans MT"/>
          <w:sz w:val="22"/>
          <w:szCs w:val="22"/>
        </w:rPr>
      </w:pPr>
      <w:permStart w:id="325415610" w:edGrp="everyone"/>
      <w:r w:rsidRPr="002B461E">
        <w:rPr>
          <w:rFonts w:ascii="Gill Sans MT" w:hAnsi="Gill Sans MT"/>
          <w:sz w:val="22"/>
          <w:szCs w:val="22"/>
        </w:rPr>
        <w:t xml:space="preserve">CMCE Members have concerns regarding the ESMA proposal as it relates to administrators of, and contributors to, BMR Annex II benchmarks. </w:t>
      </w:r>
    </w:p>
    <w:p w14:paraId="0E651DD1" w14:textId="77777777" w:rsidR="00EF7F44" w:rsidRPr="002B461E" w:rsidRDefault="00EF7F44" w:rsidP="00EF7F44">
      <w:pPr>
        <w:spacing w:after="120"/>
        <w:ind w:left="709" w:right="-23"/>
        <w:jc w:val="both"/>
        <w:rPr>
          <w:rFonts w:ascii="Gill Sans MT" w:hAnsi="Gill Sans MT"/>
          <w:sz w:val="22"/>
          <w:szCs w:val="22"/>
        </w:rPr>
      </w:pPr>
      <w:r w:rsidRPr="002B461E">
        <w:rPr>
          <w:rFonts w:ascii="Gill Sans MT" w:hAnsi="Gill Sans MT"/>
          <w:sz w:val="22"/>
          <w:szCs w:val="22"/>
        </w:rPr>
        <w:t>As described in response to Question 3, The BMR establishes two distinct governance regimes, Title II (for financial benchmark administrators and their contributors) and Annex II (for commodity benchmark administrators and their contributors).</w:t>
      </w:r>
    </w:p>
    <w:p w14:paraId="58359A50" w14:textId="77777777" w:rsidR="00EF7F44" w:rsidRPr="002B461E" w:rsidRDefault="00EF7F44" w:rsidP="00EF7F44">
      <w:pPr>
        <w:spacing w:after="120"/>
        <w:ind w:left="709" w:right="-23"/>
        <w:jc w:val="both"/>
        <w:rPr>
          <w:rFonts w:ascii="Gill Sans MT" w:hAnsi="Gill Sans MT"/>
          <w:sz w:val="22"/>
          <w:szCs w:val="22"/>
        </w:rPr>
      </w:pPr>
      <w:r w:rsidRPr="002B461E">
        <w:rPr>
          <w:rFonts w:ascii="Gill Sans MT" w:hAnsi="Gill Sans MT"/>
          <w:sz w:val="22"/>
          <w:szCs w:val="22"/>
        </w:rPr>
        <w:t>In paragraph 50 of its analysis, ESMA refers to the powers in MAR 23 (2)(g) to: “</w:t>
      </w:r>
      <w:r w:rsidRPr="002B461E">
        <w:rPr>
          <w:rFonts w:ascii="Gill Sans MT" w:hAnsi="Gill Sans MT"/>
          <w:i/>
          <w:iCs/>
          <w:sz w:val="22"/>
          <w:szCs w:val="22"/>
        </w:rPr>
        <w:t>require existing recordings of telephone conversations, electronic communications or data traffic records held by investment firms, credit institutions or financial institutions”.</w:t>
      </w:r>
    </w:p>
    <w:p w14:paraId="1B6DE288" w14:textId="77777777" w:rsidR="00EF7F44" w:rsidRPr="002B461E" w:rsidRDefault="00EF7F44" w:rsidP="00EF7F44">
      <w:pPr>
        <w:spacing w:after="120"/>
        <w:ind w:left="709" w:right="-23"/>
        <w:jc w:val="both"/>
        <w:rPr>
          <w:rFonts w:ascii="Gill Sans MT" w:hAnsi="Gill Sans MT"/>
          <w:sz w:val="22"/>
          <w:szCs w:val="22"/>
        </w:rPr>
      </w:pPr>
      <w:r w:rsidRPr="002B461E">
        <w:rPr>
          <w:rFonts w:ascii="Gill Sans MT" w:hAnsi="Gill Sans MT"/>
          <w:sz w:val="22"/>
          <w:szCs w:val="22"/>
        </w:rPr>
        <w:t>In Footnote 21, ESMA additionally refers to the following and very similar provision in BMR Article 41(1)(f) of BMR as justification for its proposal (emphasis added): “</w:t>
      </w:r>
      <w:r w:rsidRPr="002B461E">
        <w:rPr>
          <w:rFonts w:ascii="Gill Sans MT" w:hAnsi="Gill Sans MT"/>
          <w:b/>
          <w:bCs/>
          <w:i/>
          <w:iCs/>
          <w:sz w:val="22"/>
          <w:szCs w:val="22"/>
        </w:rPr>
        <w:t xml:space="preserve">In order to fulfil their duties under this Regulation, </w:t>
      </w:r>
      <w:r w:rsidRPr="002B461E">
        <w:rPr>
          <w:rFonts w:ascii="Gill Sans MT" w:hAnsi="Gill Sans MT"/>
          <w:i/>
          <w:iCs/>
          <w:sz w:val="22"/>
          <w:szCs w:val="22"/>
        </w:rPr>
        <w:t>competent authorities shall have, in conformity with national law, at least the following supervisory and investigatory powers:</w:t>
      </w:r>
      <w:r w:rsidRPr="002B461E">
        <w:rPr>
          <w:rFonts w:ascii="Gill Sans MT" w:hAnsi="Gill Sans MT"/>
          <w:sz w:val="22"/>
          <w:szCs w:val="22"/>
        </w:rPr>
        <w:t xml:space="preserve"> </w:t>
      </w:r>
      <w:r w:rsidRPr="002B461E">
        <w:rPr>
          <w:rFonts w:ascii="Gill Sans MT" w:hAnsi="Gill Sans MT"/>
          <w:i/>
          <w:iCs/>
          <w:sz w:val="22"/>
          <w:szCs w:val="22"/>
        </w:rPr>
        <w:t>(f) require existing recordings of telephone conversations, electronic communications or other data traffic records held by supervised entities.”</w:t>
      </w:r>
    </w:p>
    <w:p w14:paraId="61982B5C" w14:textId="77777777" w:rsidR="00EF7F44" w:rsidRDefault="00EF7F44" w:rsidP="00EF7F44">
      <w:pPr>
        <w:spacing w:after="120"/>
        <w:ind w:left="709" w:right="-23"/>
        <w:jc w:val="both"/>
        <w:rPr>
          <w:rFonts w:ascii="Gill Sans MT" w:hAnsi="Gill Sans MT"/>
          <w:sz w:val="22"/>
          <w:szCs w:val="22"/>
        </w:rPr>
      </w:pPr>
      <w:r w:rsidRPr="002B461E">
        <w:rPr>
          <w:rFonts w:ascii="Gill Sans MT" w:hAnsi="Gill Sans MT"/>
          <w:sz w:val="22"/>
          <w:szCs w:val="22"/>
        </w:rPr>
        <w:t>As the highlighted text makes clear, BMR Article 41 expressly limits its scope to the powers that NCAs require to “</w:t>
      </w:r>
      <w:r w:rsidRPr="002B461E">
        <w:rPr>
          <w:rFonts w:ascii="Gill Sans MT" w:hAnsi="Gill Sans MT"/>
          <w:i/>
          <w:iCs/>
          <w:sz w:val="22"/>
          <w:szCs w:val="22"/>
        </w:rPr>
        <w:t xml:space="preserve">fulfil their duties under this Regulation.” </w:t>
      </w:r>
      <w:r w:rsidRPr="002B461E">
        <w:rPr>
          <w:rFonts w:ascii="Gill Sans MT" w:hAnsi="Gill Sans MT"/>
          <w:sz w:val="22"/>
          <w:szCs w:val="22"/>
        </w:rPr>
        <w:t xml:space="preserve"> The BMR’s provisions relating to the retention and disclosure of records are contained in BMR Title II only</w:t>
      </w:r>
      <w:r>
        <w:rPr>
          <w:rFonts w:ascii="Gill Sans MT" w:hAnsi="Gill Sans MT"/>
          <w:sz w:val="22"/>
          <w:szCs w:val="22"/>
        </w:rPr>
        <w:t xml:space="preserve"> (Article 8), hence the competent authorities only have these duties as regards the Title II benchmarks.</w:t>
      </w:r>
      <w:r w:rsidRPr="002B461E">
        <w:rPr>
          <w:rFonts w:ascii="Gill Sans MT" w:hAnsi="Gill Sans MT"/>
          <w:sz w:val="22"/>
          <w:szCs w:val="22"/>
        </w:rPr>
        <w:t xml:space="preserve"> </w:t>
      </w:r>
      <w:r w:rsidRPr="00157795">
        <w:rPr>
          <w:rFonts w:ascii="Gill Sans MT" w:hAnsi="Gill Sans MT"/>
          <w:sz w:val="22"/>
          <w:szCs w:val="22"/>
        </w:rPr>
        <w:t xml:space="preserve">This means that the national competent authorities have </w:t>
      </w:r>
      <w:r w:rsidRPr="00157795">
        <w:rPr>
          <w:rFonts w:ascii="Gill Sans MT" w:hAnsi="Gill Sans MT"/>
          <w:bCs/>
          <w:sz w:val="22"/>
          <w:szCs w:val="22"/>
        </w:rPr>
        <w:t>no</w:t>
      </w:r>
      <w:r w:rsidRPr="00157795">
        <w:rPr>
          <w:rFonts w:ascii="Gill Sans MT" w:hAnsi="Gill Sans MT"/>
          <w:sz w:val="22"/>
          <w:szCs w:val="22"/>
        </w:rPr>
        <w:t xml:space="preserve"> duties of this kind in respect of Annex II benchmarks.</w:t>
      </w:r>
      <w:r w:rsidRPr="002B461E">
        <w:rPr>
          <w:rFonts w:ascii="Gill Sans MT" w:hAnsi="Gill Sans MT"/>
          <w:sz w:val="22"/>
          <w:szCs w:val="22"/>
        </w:rPr>
        <w:t xml:space="preserve"> This is one of the key differences between the Title II and Annex II regimes.</w:t>
      </w:r>
      <w:r>
        <w:rPr>
          <w:rFonts w:ascii="Gill Sans MT" w:hAnsi="Gill Sans MT"/>
          <w:sz w:val="22"/>
          <w:szCs w:val="22"/>
        </w:rPr>
        <w:t xml:space="preserve"> Also, the </w:t>
      </w:r>
      <w:r w:rsidRPr="00D52816">
        <w:rPr>
          <w:rFonts w:ascii="Gill Sans MT" w:hAnsi="Gill Sans MT"/>
          <w:sz w:val="22"/>
          <w:szCs w:val="22"/>
        </w:rPr>
        <w:t xml:space="preserve">administrators of </w:t>
      </w:r>
      <w:r w:rsidRPr="00D52816">
        <w:rPr>
          <w:rFonts w:ascii="Gill Sans MT" w:hAnsi="Gill Sans MT"/>
          <w:sz w:val="22"/>
          <w:szCs w:val="22"/>
        </w:rPr>
        <w:lastRenderedPageBreak/>
        <w:t>Annex II benchmarks are required to appoint an independent external auditor to report each year on the administrator's adherence to its stated methodology criteria and with the requirements of the BMR.</w:t>
      </w:r>
    </w:p>
    <w:p w14:paraId="25C44BDB" w14:textId="77777777" w:rsidR="00EF7F44" w:rsidRPr="002B461E" w:rsidRDefault="00EF7F44" w:rsidP="00EF7F44">
      <w:pPr>
        <w:spacing w:after="120"/>
        <w:ind w:left="709" w:right="-23"/>
        <w:jc w:val="both"/>
        <w:rPr>
          <w:rFonts w:ascii="Gill Sans MT" w:hAnsi="Gill Sans MT"/>
          <w:sz w:val="22"/>
          <w:szCs w:val="22"/>
        </w:rPr>
      </w:pPr>
      <w:r w:rsidRPr="00705E8C">
        <w:rPr>
          <w:rFonts w:ascii="Gill Sans MT" w:hAnsi="Gill Sans MT"/>
          <w:sz w:val="22"/>
          <w:szCs w:val="22"/>
        </w:rPr>
        <w:t xml:space="preserve">Furthermore, if applied to price reporting agencies, the powers referred to in paragraph 50 of ESMA analysis would directly contravene established safeguards for journalism and have a chilling effect on voluntary submissions to commodity benchmark providers. These safeguards for journalism are recognized in Europe, see for instance the ECHR judgement from 15 December 2009 (Financial Times Ltd &amp; </w:t>
      </w:r>
      <w:proofErr w:type="spellStart"/>
      <w:r w:rsidRPr="00705E8C">
        <w:rPr>
          <w:rFonts w:ascii="Gill Sans MT" w:hAnsi="Gill Sans MT"/>
          <w:sz w:val="22"/>
          <w:szCs w:val="22"/>
        </w:rPr>
        <w:t>Ors</w:t>
      </w:r>
      <w:proofErr w:type="spellEnd"/>
      <w:r w:rsidRPr="00705E8C">
        <w:rPr>
          <w:rFonts w:ascii="Gill Sans MT" w:hAnsi="Gill Sans MT"/>
          <w:sz w:val="22"/>
          <w:szCs w:val="22"/>
        </w:rPr>
        <w:t xml:space="preserve"> v UK), in which the ECHR held unanimously that an order requiring various media organisations to disclose original leaked documents which might have led to the revelation of a journalistic source constituted an unjustified interference with Article 10 ECHR (the right to freedom of expression).</w:t>
      </w:r>
    </w:p>
    <w:permEnd w:id="325415610"/>
    <w:p w14:paraId="3C3E0A40" w14:textId="6E196297" w:rsidR="00227C1A" w:rsidRDefault="00227C1A" w:rsidP="00227C1A"/>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t>&lt;ESMA_QUESTION_CP_MAR_</w:t>
      </w:r>
      <w:r w:rsidR="00A263DF">
        <w:t>6</w:t>
      </w:r>
      <w:r>
        <w:t>&gt;</w:t>
      </w:r>
    </w:p>
    <w:p w14:paraId="28633B0F" w14:textId="77777777" w:rsidR="00EF7F44" w:rsidRDefault="00EF7F44" w:rsidP="00CD46AE">
      <w:pPr>
        <w:spacing w:after="120"/>
        <w:ind w:left="709" w:right="-23"/>
        <w:jc w:val="both"/>
        <w:rPr>
          <w:rFonts w:ascii="Gill Sans MT" w:hAnsi="Gill Sans MT"/>
          <w:sz w:val="22"/>
          <w:szCs w:val="22"/>
        </w:rPr>
      </w:pPr>
      <w:permStart w:id="970343703" w:edGrp="everyone"/>
      <w:r w:rsidRPr="002B461E">
        <w:rPr>
          <w:rFonts w:ascii="Gill Sans MT" w:hAnsi="Gill Sans MT"/>
          <w:sz w:val="22"/>
          <w:szCs w:val="22"/>
        </w:rPr>
        <w:t xml:space="preserve">CMCE Members do not agree with </w:t>
      </w:r>
      <w:proofErr w:type="gramStart"/>
      <w:r w:rsidRPr="002B461E">
        <w:rPr>
          <w:rFonts w:ascii="Gill Sans MT" w:hAnsi="Gill Sans MT"/>
          <w:sz w:val="22"/>
          <w:szCs w:val="22"/>
        </w:rPr>
        <w:t>this, and</w:t>
      </w:r>
      <w:proofErr w:type="gramEnd"/>
      <w:r w:rsidRPr="002B461E">
        <w:rPr>
          <w:rFonts w:ascii="Gill Sans MT" w:hAnsi="Gill Sans MT"/>
          <w:sz w:val="22"/>
          <w:szCs w:val="22"/>
        </w:rPr>
        <w:t xml:space="preserve"> are not clear that the proposed measures are proportionate to the specific risks that ESMA is seeking to mitigate.</w:t>
      </w:r>
      <w:r>
        <w:rPr>
          <w:rFonts w:ascii="Gill Sans MT" w:hAnsi="Gill Sans MT"/>
          <w:sz w:val="22"/>
          <w:szCs w:val="22"/>
        </w:rPr>
        <w:t xml:space="preserve">  </w:t>
      </w:r>
      <w:proofErr w:type="gramStart"/>
      <w:r>
        <w:rPr>
          <w:rFonts w:ascii="Gill Sans MT" w:hAnsi="Gill Sans MT"/>
          <w:sz w:val="22"/>
          <w:szCs w:val="22"/>
        </w:rPr>
        <w:t>In particular, CMCE</w:t>
      </w:r>
      <w:proofErr w:type="gramEnd"/>
      <w:r>
        <w:rPr>
          <w:rFonts w:ascii="Gill Sans MT" w:hAnsi="Gill Sans MT"/>
          <w:sz w:val="22"/>
          <w:szCs w:val="22"/>
        </w:rPr>
        <w:t xml:space="preserve"> Members note that it would not reflect the difference of approach taken under BMR to different types of benchmark – see below.</w:t>
      </w:r>
    </w:p>
    <w:p w14:paraId="01DD81D9" w14:textId="77777777" w:rsidR="00EF7F44" w:rsidRPr="002B461E" w:rsidRDefault="00EF7F44" w:rsidP="00CD46AE">
      <w:pPr>
        <w:spacing w:after="120"/>
        <w:ind w:left="709" w:right="-23"/>
        <w:jc w:val="both"/>
        <w:rPr>
          <w:rFonts w:ascii="Gill Sans MT" w:hAnsi="Gill Sans MT"/>
          <w:sz w:val="22"/>
          <w:szCs w:val="22"/>
        </w:rPr>
      </w:pPr>
      <w:r>
        <w:rPr>
          <w:rFonts w:ascii="Gill Sans MT" w:hAnsi="Gill Sans MT"/>
          <w:sz w:val="22"/>
          <w:szCs w:val="22"/>
        </w:rPr>
        <w:t>One of the key dangers to the integrity of commodity benchmarks is the reduction in levels of submission/contribution by market participants, who view merely participating in the process as a substantial regulatory risk. The submission/contribution is always voluntary in case of Annex II benchmarks, which means that the regulatory risk can result in a withdrawal of the contributor as the obligation to comply with the requirements could outweigh the benefit of contributing.</w:t>
      </w:r>
    </w:p>
    <w:p w14:paraId="29CB1BAE" w14:textId="77777777" w:rsidR="00EF7F44" w:rsidRPr="00F778A3" w:rsidRDefault="00EF7F44" w:rsidP="00CD46AE">
      <w:pPr>
        <w:spacing w:after="120"/>
        <w:ind w:left="709" w:right="-23"/>
        <w:jc w:val="both"/>
        <w:rPr>
          <w:rFonts w:ascii="Gill Sans MT" w:hAnsi="Gill Sans MT"/>
          <w:b/>
          <w:sz w:val="22"/>
          <w:szCs w:val="22"/>
          <w:u w:val="single"/>
        </w:rPr>
      </w:pPr>
      <w:r w:rsidRPr="00F778A3">
        <w:rPr>
          <w:rFonts w:ascii="Gill Sans MT" w:hAnsi="Gill Sans MT"/>
          <w:b/>
          <w:sz w:val="22"/>
          <w:szCs w:val="22"/>
          <w:u w:val="single"/>
        </w:rPr>
        <w:t>Key Features of Policy Approach under BMR</w:t>
      </w:r>
    </w:p>
    <w:p w14:paraId="6FF19E61" w14:textId="77777777" w:rsidR="00EF7F44" w:rsidRPr="002B461E" w:rsidRDefault="00EF7F44" w:rsidP="00CD46AE">
      <w:pPr>
        <w:spacing w:after="120"/>
        <w:ind w:left="709" w:right="-23"/>
        <w:jc w:val="both"/>
        <w:rPr>
          <w:rFonts w:ascii="Gill Sans MT" w:hAnsi="Gill Sans MT"/>
          <w:sz w:val="22"/>
          <w:szCs w:val="22"/>
        </w:rPr>
      </w:pPr>
      <w:r w:rsidRPr="002B461E">
        <w:rPr>
          <w:rFonts w:ascii="Gill Sans MT" w:hAnsi="Gill Sans MT"/>
          <w:sz w:val="22"/>
          <w:szCs w:val="22"/>
        </w:rPr>
        <w:t>As described in response to Question 3, The BMR establishes two distinct governance regimes, Title II (for financial benchmark administrators and their contributors) and Annex II (for commodity benchmark administrators and their contributors).</w:t>
      </w:r>
    </w:p>
    <w:p w14:paraId="2355DA9D" w14:textId="77777777" w:rsidR="00EF7F44" w:rsidRPr="002B461E" w:rsidRDefault="00EF7F44" w:rsidP="00CD46AE">
      <w:pPr>
        <w:spacing w:after="120"/>
        <w:ind w:left="709" w:right="-23"/>
        <w:jc w:val="both"/>
        <w:rPr>
          <w:rFonts w:ascii="Gill Sans MT" w:hAnsi="Gill Sans MT"/>
          <w:sz w:val="22"/>
          <w:szCs w:val="22"/>
        </w:rPr>
      </w:pPr>
      <w:r w:rsidRPr="002B461E">
        <w:rPr>
          <w:rFonts w:ascii="Gill Sans MT" w:hAnsi="Gill Sans MT"/>
          <w:sz w:val="22"/>
          <w:szCs w:val="22"/>
        </w:rPr>
        <w:t xml:space="preserve">In the case of </w:t>
      </w:r>
      <w:r w:rsidRPr="002B461E">
        <w:rPr>
          <w:rFonts w:ascii="Gill Sans MT" w:hAnsi="Gill Sans MT"/>
          <w:i/>
          <w:sz w:val="22"/>
          <w:szCs w:val="22"/>
        </w:rPr>
        <w:t>submitters</w:t>
      </w:r>
      <w:r w:rsidRPr="002B461E">
        <w:rPr>
          <w:rFonts w:ascii="Gill Sans MT" w:hAnsi="Gill Sans MT"/>
          <w:sz w:val="22"/>
          <w:szCs w:val="22"/>
        </w:rPr>
        <w:t>, this proposal would be inconsistent with the BMR’s Annex II for commodity benchmarks, which imposes no obligations on supervised contributors.</w:t>
      </w:r>
    </w:p>
    <w:p w14:paraId="2FB077C0" w14:textId="77777777" w:rsidR="00EF7F44" w:rsidRPr="002B461E" w:rsidRDefault="00EF7F44" w:rsidP="00CD46AE">
      <w:pPr>
        <w:spacing w:after="120"/>
        <w:ind w:left="709" w:right="-23"/>
        <w:jc w:val="both"/>
        <w:rPr>
          <w:rFonts w:ascii="Gill Sans MT" w:hAnsi="Gill Sans MT"/>
          <w:sz w:val="22"/>
          <w:szCs w:val="22"/>
        </w:rPr>
      </w:pPr>
      <w:r w:rsidRPr="002B461E">
        <w:rPr>
          <w:rFonts w:ascii="Gill Sans MT" w:hAnsi="Gill Sans MT"/>
          <w:i/>
          <w:sz w:val="22"/>
          <w:szCs w:val="22"/>
        </w:rPr>
        <w:t xml:space="preserve">Assessors </w:t>
      </w:r>
      <w:r w:rsidRPr="002B461E">
        <w:rPr>
          <w:rFonts w:ascii="Gill Sans MT" w:hAnsi="Gill Sans MT"/>
          <w:sz w:val="22"/>
          <w:szCs w:val="22"/>
        </w:rPr>
        <w:t xml:space="preserve">are journalists who make </w:t>
      </w:r>
      <w:r w:rsidRPr="002B461E">
        <w:rPr>
          <w:rFonts w:ascii="Gill Sans MT" w:hAnsi="Gill Sans MT"/>
          <w:b/>
          <w:sz w:val="22"/>
          <w:szCs w:val="22"/>
        </w:rPr>
        <w:t>editorial</w:t>
      </w:r>
      <w:r w:rsidRPr="002B461E">
        <w:rPr>
          <w:rFonts w:ascii="Gill Sans MT" w:hAnsi="Gill Sans MT"/>
          <w:sz w:val="22"/>
          <w:szCs w:val="22"/>
        </w:rPr>
        <w:t xml:space="preserve"> decisions in respect of the benchmark calculation process according to Paragraph 16 (a) of BMR Annex II.  </w:t>
      </w:r>
    </w:p>
    <w:p w14:paraId="1FEEDBDD" w14:textId="77777777" w:rsidR="00EF7F44" w:rsidRPr="002B461E" w:rsidRDefault="00EF7F44" w:rsidP="00CD46AE">
      <w:pPr>
        <w:spacing w:after="120"/>
        <w:ind w:left="709" w:right="-23"/>
        <w:jc w:val="both"/>
        <w:rPr>
          <w:rFonts w:ascii="Gill Sans MT" w:hAnsi="Gill Sans MT"/>
          <w:i/>
          <w:sz w:val="22"/>
          <w:szCs w:val="22"/>
        </w:rPr>
      </w:pPr>
      <w:r w:rsidRPr="002B461E">
        <w:rPr>
          <w:rFonts w:ascii="Gill Sans MT" w:hAnsi="Gill Sans MT"/>
          <w:sz w:val="22"/>
          <w:szCs w:val="22"/>
        </w:rPr>
        <w:t xml:space="preserve">Furthermore, BMR article 2(2)(e) provides the BMR does not apply to </w:t>
      </w:r>
      <w:r w:rsidRPr="002B461E">
        <w:rPr>
          <w:rFonts w:ascii="Gill Sans MT" w:hAnsi="Gill Sans MT"/>
          <w:i/>
          <w:sz w:val="22"/>
          <w:szCs w:val="22"/>
        </w:rPr>
        <w:t xml:space="preserve">(e) the press, other media and journalists where they merely publish or refer to a benchmark as part of their journalistic activities with </w:t>
      </w:r>
      <w:r w:rsidRPr="002B461E">
        <w:rPr>
          <w:rFonts w:ascii="Gill Sans MT" w:hAnsi="Gill Sans MT"/>
          <w:b/>
          <w:i/>
          <w:sz w:val="22"/>
          <w:szCs w:val="22"/>
        </w:rPr>
        <w:t>no control of the provision of that benchmark</w:t>
      </w:r>
      <w:r w:rsidRPr="002B461E">
        <w:rPr>
          <w:rFonts w:ascii="Gill Sans MT" w:hAnsi="Gill Sans MT"/>
          <w:i/>
          <w:sz w:val="22"/>
          <w:szCs w:val="22"/>
        </w:rPr>
        <w:t>.”</w:t>
      </w:r>
    </w:p>
    <w:p w14:paraId="29758255" w14:textId="77777777" w:rsidR="00EF7F44" w:rsidRPr="002B461E" w:rsidRDefault="00EF7F44" w:rsidP="00CD46AE">
      <w:pPr>
        <w:spacing w:after="120"/>
        <w:ind w:left="709" w:right="-23"/>
        <w:jc w:val="both"/>
        <w:rPr>
          <w:rFonts w:ascii="Gill Sans MT" w:hAnsi="Gill Sans MT"/>
          <w:sz w:val="22"/>
          <w:szCs w:val="22"/>
        </w:rPr>
      </w:pPr>
      <w:r w:rsidRPr="002B461E">
        <w:rPr>
          <w:rFonts w:ascii="Gill Sans MT" w:hAnsi="Gill Sans MT"/>
          <w:i/>
          <w:sz w:val="22"/>
          <w:szCs w:val="22"/>
        </w:rPr>
        <w:t>“Control of the provision of a benchmark”</w:t>
      </w:r>
      <w:r w:rsidRPr="002B461E">
        <w:rPr>
          <w:rFonts w:ascii="Gill Sans MT" w:hAnsi="Gill Sans MT"/>
          <w:sz w:val="22"/>
          <w:szCs w:val="22"/>
        </w:rPr>
        <w:t xml:space="preserve"> is the role of the benchmark administrator not that of an individual journalist fulfilling the role of assessor. </w:t>
      </w:r>
    </w:p>
    <w:p w14:paraId="1C15B094" w14:textId="77777777" w:rsidR="00EF7F44" w:rsidRPr="002B461E" w:rsidRDefault="00EF7F44" w:rsidP="00CD46AE">
      <w:pPr>
        <w:spacing w:after="120"/>
        <w:ind w:left="709" w:right="-23"/>
        <w:jc w:val="both"/>
        <w:rPr>
          <w:rFonts w:ascii="Gill Sans MT" w:hAnsi="Gill Sans MT"/>
          <w:sz w:val="22"/>
          <w:szCs w:val="22"/>
        </w:rPr>
      </w:pPr>
      <w:r w:rsidRPr="002B461E">
        <w:rPr>
          <w:rFonts w:ascii="Gill Sans MT" w:hAnsi="Gill Sans MT"/>
          <w:sz w:val="22"/>
          <w:szCs w:val="22"/>
        </w:rPr>
        <w:t>The role of an assessor is defined in Article 3(1)(12) as a person “</w:t>
      </w:r>
      <w:r w:rsidRPr="002B461E">
        <w:rPr>
          <w:rFonts w:ascii="Gill Sans MT" w:hAnsi="Gill Sans MT"/>
          <w:i/>
          <w:iCs/>
          <w:sz w:val="22"/>
          <w:szCs w:val="22"/>
        </w:rPr>
        <w:t>responsible for applying a methodology or judgement to input data and other information</w:t>
      </w:r>
      <w:r w:rsidRPr="002B461E">
        <w:rPr>
          <w:rFonts w:ascii="Gill Sans MT" w:hAnsi="Gill Sans MT"/>
          <w:sz w:val="22"/>
          <w:szCs w:val="22"/>
        </w:rPr>
        <w:t xml:space="preserve">….”. Such a person is clearly not a benchmark administrator having control over the provision of a benchmark, as that role is described in Recital </w:t>
      </w:r>
      <w:r w:rsidRPr="002B461E">
        <w:rPr>
          <w:rFonts w:ascii="Gill Sans MT" w:hAnsi="Gill Sans MT"/>
          <w:sz w:val="22"/>
          <w:szCs w:val="22"/>
        </w:rPr>
        <w:lastRenderedPageBreak/>
        <w:t>16: “</w:t>
      </w:r>
      <w:r w:rsidRPr="002B461E">
        <w:rPr>
          <w:rFonts w:ascii="Gill Sans MT" w:hAnsi="Gill Sans MT"/>
          <w:i/>
          <w:iCs/>
          <w:sz w:val="22"/>
          <w:szCs w:val="22"/>
        </w:rPr>
        <w:t>An administrator is the natural or legal person </w:t>
      </w:r>
      <w:r w:rsidRPr="002B461E">
        <w:rPr>
          <w:rFonts w:ascii="Gill Sans MT" w:hAnsi="Gill Sans MT"/>
          <w:b/>
          <w:bCs/>
          <w:i/>
          <w:iCs/>
          <w:sz w:val="22"/>
          <w:szCs w:val="22"/>
        </w:rPr>
        <w:t>that has control over the provision of a benchmark</w:t>
      </w:r>
      <w:r w:rsidRPr="002B461E">
        <w:rPr>
          <w:rFonts w:ascii="Gill Sans MT" w:hAnsi="Gill Sans MT"/>
          <w:i/>
          <w:iCs/>
          <w:sz w:val="22"/>
          <w:szCs w:val="22"/>
        </w:rPr>
        <w:t> and in particular administers the arrangements for determining the benchmark, collects and analyses the input data, determines the benchmark and publishes it.” </w:t>
      </w:r>
    </w:p>
    <w:p w14:paraId="0723CC00" w14:textId="77777777" w:rsidR="00EF7F44" w:rsidRPr="002B461E" w:rsidRDefault="00EF7F44" w:rsidP="00CD46AE">
      <w:pPr>
        <w:spacing w:after="120"/>
        <w:ind w:left="709" w:right="-23"/>
        <w:jc w:val="both"/>
        <w:rPr>
          <w:rFonts w:ascii="Gill Sans MT" w:hAnsi="Gill Sans MT"/>
          <w:sz w:val="22"/>
          <w:szCs w:val="22"/>
        </w:rPr>
      </w:pPr>
      <w:r w:rsidRPr="002B461E">
        <w:rPr>
          <w:rFonts w:ascii="Gill Sans MT" w:hAnsi="Gill Sans MT"/>
          <w:sz w:val="22"/>
          <w:szCs w:val="22"/>
        </w:rPr>
        <w:t xml:space="preserve">The </w:t>
      </w:r>
      <w:r w:rsidRPr="002B461E">
        <w:rPr>
          <w:rFonts w:ascii="Gill Sans MT" w:hAnsi="Gill Sans MT"/>
          <w:i/>
          <w:sz w:val="22"/>
          <w:szCs w:val="22"/>
        </w:rPr>
        <w:t>sanctions and measure in Article 30 of MAR points (e), (f) and (g)</w:t>
      </w:r>
      <w:r w:rsidRPr="002B461E">
        <w:rPr>
          <w:rFonts w:ascii="Gill Sans MT" w:hAnsi="Gill Sans MT"/>
          <w:sz w:val="22"/>
          <w:szCs w:val="22"/>
        </w:rPr>
        <w:t xml:space="preserve"> have been designed for investment firms. CMCE Members strongly believe it would not be appropriate and would contravene applicable safeguards for the media, to apply such sanctions to journalists</w:t>
      </w:r>
      <w:r>
        <w:rPr>
          <w:rFonts w:ascii="Gill Sans MT" w:hAnsi="Gill Sans MT"/>
          <w:sz w:val="22"/>
          <w:szCs w:val="22"/>
        </w:rPr>
        <w:t xml:space="preserve"> and their sources</w:t>
      </w:r>
      <w:r w:rsidRPr="002B461E">
        <w:rPr>
          <w:rFonts w:ascii="Gill Sans MT" w:hAnsi="Gill Sans MT"/>
          <w:sz w:val="22"/>
          <w:szCs w:val="22"/>
        </w:rPr>
        <w:t>.</w:t>
      </w:r>
    </w:p>
    <w:permEnd w:id="970343703"/>
    <w:p w14:paraId="3C3E0A45" w14:textId="18950811" w:rsidR="0062022D" w:rsidRDefault="0062022D" w:rsidP="0062022D"/>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C3E0A4A" w14:textId="77777777" w:rsidR="00A263DF" w:rsidRDefault="00A263DF" w:rsidP="00A263DF">
      <w:permStart w:id="707658946" w:edGrp="everyone"/>
      <w:r>
        <w:t>TYPE YOUR TEXT HERE</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3C3E0A4F" w14:textId="77777777" w:rsidR="00A263DF" w:rsidRDefault="00A263DF" w:rsidP="00A263DF">
      <w:permStart w:id="797404044" w:edGrp="everyone"/>
      <w:r>
        <w:t>TYPE YOUR TEXT HERE</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C3E0A54" w14:textId="77777777" w:rsidR="002E1760" w:rsidRDefault="002E1760" w:rsidP="002E1760">
      <w:permStart w:id="1572474776" w:edGrp="everyone"/>
      <w:r>
        <w:t>TYPE YOUR TEXT HERE</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3E0A59" w14:textId="77777777" w:rsidR="008418E3" w:rsidRDefault="008418E3" w:rsidP="008418E3">
      <w:permStart w:id="1766684248" w:edGrp="everyone"/>
      <w:r>
        <w:t>TYPE YOUR TEXT HERE</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3C3E0A5E" w14:textId="77777777" w:rsidR="00F469F8" w:rsidRDefault="00F469F8" w:rsidP="00F469F8">
      <w:permStart w:id="332164447" w:edGrp="everyone"/>
      <w:r>
        <w:t>TYPE YOUR TEXT HERE</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lastRenderedPageBreak/>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77777777" w:rsidR="00F469F8" w:rsidRDefault="00F469F8" w:rsidP="00F469F8">
      <w:permStart w:id="1943283503" w:edGrp="everyone"/>
      <w:r>
        <w:t>TYPE YOUR TEXT HERE</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36FD8093" w14:textId="77777777" w:rsidR="00CD46AE" w:rsidRDefault="00CD46AE" w:rsidP="00CD46AE">
      <w:pPr>
        <w:spacing w:after="120"/>
        <w:ind w:left="709" w:right="-23"/>
        <w:jc w:val="both"/>
        <w:rPr>
          <w:rFonts w:ascii="Gill Sans MT" w:hAnsi="Gill Sans MT"/>
          <w:sz w:val="22"/>
          <w:szCs w:val="22"/>
          <w:lang w:val="en-US"/>
        </w:rPr>
      </w:pPr>
      <w:permStart w:id="770132907" w:edGrp="everyone"/>
      <w:r>
        <w:rPr>
          <w:rFonts w:ascii="Gill Sans MT" w:hAnsi="Gill Sans MT"/>
          <w:sz w:val="22"/>
          <w:szCs w:val="22"/>
          <w:lang w:val="en-US"/>
        </w:rPr>
        <w:t xml:space="preserve">CMCE </w:t>
      </w:r>
      <w:r w:rsidRPr="00010987">
        <w:rPr>
          <w:rFonts w:ascii="Gill Sans MT" w:hAnsi="Gill Sans MT"/>
          <w:sz w:val="22"/>
          <w:szCs w:val="22"/>
          <w:lang w:val="en-US"/>
        </w:rPr>
        <w:t>understand</w:t>
      </w:r>
      <w:r>
        <w:rPr>
          <w:rFonts w:ascii="Gill Sans MT" w:hAnsi="Gill Sans MT"/>
          <w:sz w:val="22"/>
          <w:szCs w:val="22"/>
          <w:lang w:val="en-US"/>
        </w:rPr>
        <w:t>s</w:t>
      </w:r>
      <w:r w:rsidRPr="00010987">
        <w:rPr>
          <w:rFonts w:ascii="Gill Sans MT" w:hAnsi="Gill Sans MT"/>
          <w:sz w:val="22"/>
          <w:szCs w:val="22"/>
          <w:lang w:val="en-US"/>
        </w:rPr>
        <w:t xml:space="preserve"> that ESMA </w:t>
      </w:r>
      <w:r>
        <w:rPr>
          <w:rFonts w:ascii="Gill Sans MT" w:hAnsi="Gill Sans MT"/>
          <w:sz w:val="22"/>
          <w:szCs w:val="22"/>
          <w:lang w:val="en-US"/>
        </w:rPr>
        <w:t xml:space="preserve">is re-considering </w:t>
      </w:r>
      <w:r w:rsidRPr="00010987">
        <w:rPr>
          <w:rFonts w:ascii="Gill Sans MT" w:hAnsi="Gill Sans MT"/>
          <w:sz w:val="22"/>
          <w:szCs w:val="22"/>
          <w:lang w:val="en-US"/>
        </w:rPr>
        <w:t xml:space="preserve">the difference between the definition of inside information for commodity derivatives and the definition </w:t>
      </w:r>
      <w:r>
        <w:rPr>
          <w:rFonts w:ascii="Gill Sans MT" w:hAnsi="Gill Sans MT"/>
          <w:sz w:val="22"/>
          <w:szCs w:val="22"/>
          <w:lang w:val="en-US"/>
        </w:rPr>
        <w:t xml:space="preserve">for other </w:t>
      </w:r>
      <w:r w:rsidRPr="00010987">
        <w:rPr>
          <w:rFonts w:ascii="Gill Sans MT" w:hAnsi="Gill Sans MT"/>
          <w:sz w:val="22"/>
          <w:szCs w:val="22"/>
          <w:lang w:val="en-US"/>
        </w:rPr>
        <w:t xml:space="preserve">financial instruments. </w:t>
      </w:r>
    </w:p>
    <w:p w14:paraId="363A50C2" w14:textId="77777777" w:rsidR="00CD46AE" w:rsidRDefault="00CD46AE" w:rsidP="00CD46AE">
      <w:pPr>
        <w:spacing w:after="120"/>
        <w:ind w:left="709" w:right="-23"/>
        <w:jc w:val="both"/>
        <w:rPr>
          <w:rFonts w:ascii="Gill Sans MT" w:hAnsi="Gill Sans MT"/>
          <w:sz w:val="22"/>
          <w:szCs w:val="22"/>
          <w:lang w:val="en-US"/>
        </w:rPr>
      </w:pPr>
      <w:r>
        <w:rPr>
          <w:rFonts w:ascii="Gill Sans MT" w:hAnsi="Gill Sans MT"/>
          <w:sz w:val="22"/>
          <w:szCs w:val="22"/>
          <w:lang w:val="en-US"/>
        </w:rPr>
        <w:t xml:space="preserve">CMCE Members are concerned at the prospect of commodity markets becoming subject to equity market regulation. There is no reason in principle or in practice why these very different markets - which work </w:t>
      </w:r>
      <w:proofErr w:type="gramStart"/>
      <w:r>
        <w:rPr>
          <w:rFonts w:ascii="Gill Sans MT" w:hAnsi="Gill Sans MT"/>
          <w:sz w:val="22"/>
          <w:szCs w:val="22"/>
          <w:lang w:val="en-US"/>
        </w:rPr>
        <w:t>on the basis of</w:t>
      </w:r>
      <w:proofErr w:type="gramEnd"/>
      <w:r>
        <w:rPr>
          <w:rFonts w:ascii="Gill Sans MT" w:hAnsi="Gill Sans MT"/>
          <w:sz w:val="22"/>
          <w:szCs w:val="22"/>
          <w:lang w:val="en-US"/>
        </w:rPr>
        <w:t xml:space="preserve"> different information types – should be regulated on a uniform basis.  In fact, to do so would risk seriously damaging the main function of the commodity derivatives market, which is to provide an efficient tool for commodity producers and users to hedge their risks.</w:t>
      </w:r>
    </w:p>
    <w:p w14:paraId="7638F5A5" w14:textId="77777777" w:rsidR="00CD46AE" w:rsidRDefault="00CD46AE" w:rsidP="00CD46AE">
      <w:pPr>
        <w:spacing w:after="120"/>
        <w:ind w:left="709" w:right="-23"/>
        <w:jc w:val="both"/>
        <w:rPr>
          <w:rFonts w:ascii="Gill Sans MT" w:hAnsi="Gill Sans MT"/>
          <w:sz w:val="22"/>
          <w:szCs w:val="22"/>
          <w:lang w:val="en-US"/>
        </w:rPr>
      </w:pPr>
      <w:r>
        <w:rPr>
          <w:rFonts w:ascii="Gill Sans MT" w:hAnsi="Gill Sans MT"/>
          <w:sz w:val="22"/>
          <w:szCs w:val="22"/>
          <w:lang w:val="en-US"/>
        </w:rPr>
        <w:t>CMCE M</w:t>
      </w:r>
      <w:r w:rsidRPr="00010987">
        <w:rPr>
          <w:rFonts w:ascii="Gill Sans MT" w:hAnsi="Gill Sans MT"/>
          <w:sz w:val="22"/>
          <w:szCs w:val="22"/>
          <w:lang w:val="en-US"/>
        </w:rPr>
        <w:t xml:space="preserve">embers </w:t>
      </w:r>
      <w:r>
        <w:rPr>
          <w:rFonts w:ascii="Gill Sans MT" w:hAnsi="Gill Sans MT"/>
          <w:sz w:val="22"/>
          <w:szCs w:val="22"/>
          <w:lang w:val="en-US"/>
        </w:rPr>
        <w:t>are convinced</w:t>
      </w:r>
      <w:r w:rsidRPr="00010987">
        <w:rPr>
          <w:rFonts w:ascii="Gill Sans MT" w:hAnsi="Gill Sans MT"/>
          <w:sz w:val="22"/>
          <w:szCs w:val="22"/>
          <w:lang w:val="en-US"/>
        </w:rPr>
        <w:t xml:space="preserve"> that the definition of inside information applicable to commodity derivatives </w:t>
      </w:r>
      <w:r>
        <w:rPr>
          <w:rFonts w:ascii="Gill Sans MT" w:hAnsi="Gill Sans MT"/>
          <w:sz w:val="22"/>
          <w:szCs w:val="22"/>
          <w:lang w:val="en-US"/>
        </w:rPr>
        <w:t xml:space="preserve">under MAR </w:t>
      </w:r>
      <w:r w:rsidRPr="00010987">
        <w:rPr>
          <w:rFonts w:ascii="Gill Sans MT" w:hAnsi="Gill Sans MT"/>
          <w:sz w:val="22"/>
          <w:szCs w:val="22"/>
          <w:lang w:val="en-US"/>
        </w:rPr>
        <w:t>is appropriat</w:t>
      </w:r>
      <w:r>
        <w:rPr>
          <w:rFonts w:ascii="Gill Sans MT" w:hAnsi="Gill Sans MT"/>
          <w:sz w:val="22"/>
          <w:szCs w:val="22"/>
          <w:lang w:val="en-US"/>
        </w:rPr>
        <w:t>e and has been functioning well. There has been no material difficulty in applying the definition or in identifying information as “inside information”.</w:t>
      </w:r>
    </w:p>
    <w:p w14:paraId="0234AC9D" w14:textId="77777777" w:rsidR="00CD46AE" w:rsidRDefault="00CD46AE" w:rsidP="00CD46AE">
      <w:pPr>
        <w:spacing w:after="120"/>
        <w:ind w:left="709" w:right="-23"/>
        <w:jc w:val="both"/>
        <w:rPr>
          <w:rFonts w:ascii="Gill Sans MT" w:hAnsi="Gill Sans MT"/>
          <w:sz w:val="22"/>
          <w:szCs w:val="22"/>
          <w:lang w:val="en-US"/>
        </w:rPr>
      </w:pPr>
      <w:r>
        <w:rPr>
          <w:rFonts w:ascii="Gill Sans MT" w:hAnsi="Gill Sans MT"/>
          <w:sz w:val="22"/>
          <w:szCs w:val="22"/>
          <w:lang w:val="en-US"/>
        </w:rPr>
        <w:t xml:space="preserve">The distinct definition of “inside information” for commodity derivatives, recognizes the fundamental difference between securities markets and commodity markets.  In securities markets, information relating to an issuer of security is private information available to people by virtue of their relationship with that issuer (as officers, employees etc.) and that information is material to the price of the security.   </w:t>
      </w:r>
    </w:p>
    <w:p w14:paraId="39CEA547" w14:textId="77777777" w:rsidR="00CD46AE" w:rsidRDefault="00CD46AE" w:rsidP="00CD46AE">
      <w:pPr>
        <w:spacing w:after="120"/>
        <w:ind w:left="709" w:right="-23"/>
        <w:jc w:val="both"/>
        <w:rPr>
          <w:rFonts w:ascii="Gill Sans MT" w:hAnsi="Gill Sans MT"/>
          <w:sz w:val="22"/>
          <w:szCs w:val="22"/>
          <w:lang w:val="en-US"/>
        </w:rPr>
      </w:pPr>
      <w:r>
        <w:rPr>
          <w:rFonts w:ascii="Gill Sans MT" w:hAnsi="Gill Sans MT"/>
          <w:sz w:val="22"/>
          <w:szCs w:val="22"/>
          <w:lang w:val="en-US"/>
        </w:rPr>
        <w:t xml:space="preserve">In commodity markets, there is no “issuer” of a commodity, nor in the case of traded derivatives markets are participants typically “issuers” of commodity derivatives. Information relating to a commodity market participant is unlikely to be relevant to the price of a commodity or commodity derivative in the same way as information about a company is relevant to the price of its shares. Commodity prices are assessed on a more complex basis and </w:t>
      </w:r>
      <w:proofErr w:type="gramStart"/>
      <w:r>
        <w:rPr>
          <w:rFonts w:ascii="Gill Sans MT" w:hAnsi="Gill Sans MT"/>
          <w:sz w:val="22"/>
          <w:szCs w:val="22"/>
          <w:lang w:val="en-US"/>
        </w:rPr>
        <w:t>taking into account</w:t>
      </w:r>
      <w:proofErr w:type="gramEnd"/>
      <w:r>
        <w:rPr>
          <w:rFonts w:ascii="Gill Sans MT" w:hAnsi="Gill Sans MT"/>
          <w:sz w:val="22"/>
          <w:szCs w:val="22"/>
          <w:lang w:val="en-US"/>
        </w:rPr>
        <w:t xml:space="preserve"> multiple sources. Each participant gathers information through investing in analysis and research and, by virtue of investing in industrial plant, will acquire proprietary information. Each participant assesses supply and demand fundamentals by reference to a host of factors (including opinions as to, e.g. weather or other external factors). In this context, when MAD was first considered, and again when EU legislators devised MAR, careful consideration was given to this distinction to determine what kind of information market participants should be prohibited from using.  </w:t>
      </w:r>
    </w:p>
    <w:p w14:paraId="47A76F02" w14:textId="77777777" w:rsidR="00CD46AE" w:rsidRDefault="00CD46AE" w:rsidP="00CD46AE">
      <w:pPr>
        <w:spacing w:after="120"/>
        <w:ind w:left="709" w:right="-23"/>
        <w:jc w:val="both"/>
        <w:rPr>
          <w:rFonts w:ascii="Gill Sans MT" w:hAnsi="Gill Sans MT"/>
          <w:sz w:val="22"/>
          <w:szCs w:val="22"/>
          <w:lang w:val="en-US"/>
        </w:rPr>
      </w:pPr>
      <w:r>
        <w:rPr>
          <w:rFonts w:ascii="Gill Sans MT" w:hAnsi="Gill Sans MT"/>
          <w:sz w:val="22"/>
          <w:szCs w:val="22"/>
          <w:lang w:val="en-US"/>
        </w:rPr>
        <w:t>MAD and MAR were framed so as not to inhibit commodity producers and users from using derivatives to hedge their risks.</w:t>
      </w:r>
    </w:p>
    <w:p w14:paraId="7D5A84E0" w14:textId="77777777" w:rsidR="00CD46AE" w:rsidRDefault="00CD46AE" w:rsidP="00CD46AE">
      <w:pPr>
        <w:spacing w:after="120"/>
        <w:ind w:left="709" w:right="-23"/>
        <w:jc w:val="both"/>
        <w:rPr>
          <w:rFonts w:ascii="Gill Sans MT" w:hAnsi="Gill Sans MT"/>
          <w:sz w:val="22"/>
          <w:szCs w:val="22"/>
          <w:lang w:val="en-US"/>
        </w:rPr>
      </w:pPr>
      <w:r w:rsidRPr="003C341E">
        <w:rPr>
          <w:rFonts w:ascii="Gill Sans MT" w:hAnsi="Gill Sans MT"/>
          <w:sz w:val="22"/>
          <w:szCs w:val="22"/>
          <w:lang w:val="en-US"/>
        </w:rPr>
        <w:t>The change in</w:t>
      </w:r>
      <w:r>
        <w:rPr>
          <w:rFonts w:ascii="Gill Sans MT" w:hAnsi="Gill Sans MT"/>
          <w:sz w:val="22"/>
          <w:szCs w:val="22"/>
          <w:lang w:val="en-US"/>
        </w:rPr>
        <w:t xml:space="preserve"> the</w:t>
      </w:r>
      <w:r w:rsidRPr="003C341E">
        <w:rPr>
          <w:rFonts w:ascii="Gill Sans MT" w:hAnsi="Gill Sans MT"/>
          <w:sz w:val="22"/>
          <w:szCs w:val="22"/>
          <w:lang w:val="en-US"/>
        </w:rPr>
        <w:t xml:space="preserve"> definition of inside information could have significant unintended</w:t>
      </w:r>
      <w:r>
        <w:rPr>
          <w:rFonts w:ascii="Gill Sans MT" w:hAnsi="Gill Sans MT"/>
          <w:sz w:val="22"/>
          <w:szCs w:val="22"/>
          <w:lang w:val="en-US"/>
        </w:rPr>
        <w:t xml:space="preserve"> </w:t>
      </w:r>
      <w:r w:rsidRPr="003C341E">
        <w:rPr>
          <w:rFonts w:ascii="Gill Sans MT" w:hAnsi="Gill Sans MT"/>
          <w:sz w:val="22"/>
          <w:szCs w:val="22"/>
          <w:lang w:val="en-US"/>
        </w:rPr>
        <w:t xml:space="preserve">consequences – including in the physically traded </w:t>
      </w:r>
      <w:r>
        <w:rPr>
          <w:rFonts w:ascii="Gill Sans MT" w:hAnsi="Gill Sans MT"/>
          <w:sz w:val="22"/>
          <w:szCs w:val="22"/>
          <w:lang w:val="en-US"/>
        </w:rPr>
        <w:t xml:space="preserve">commodity </w:t>
      </w:r>
      <w:r w:rsidRPr="003C341E">
        <w:rPr>
          <w:rFonts w:ascii="Gill Sans MT" w:hAnsi="Gill Sans MT"/>
          <w:sz w:val="22"/>
          <w:szCs w:val="22"/>
          <w:lang w:val="en-US"/>
        </w:rPr>
        <w:t>markets – that would</w:t>
      </w:r>
      <w:r>
        <w:rPr>
          <w:rFonts w:ascii="Gill Sans MT" w:hAnsi="Gill Sans MT"/>
          <w:sz w:val="22"/>
          <w:szCs w:val="22"/>
          <w:lang w:val="en-US"/>
        </w:rPr>
        <w:t xml:space="preserve"> undermine</w:t>
      </w:r>
      <w:r w:rsidRPr="003C341E">
        <w:rPr>
          <w:rFonts w:ascii="Gill Sans MT" w:hAnsi="Gill Sans MT"/>
          <w:sz w:val="22"/>
          <w:szCs w:val="22"/>
          <w:lang w:val="en-US"/>
        </w:rPr>
        <w:t xml:space="preserve"> </w:t>
      </w:r>
      <w:r>
        <w:rPr>
          <w:rFonts w:ascii="Gill Sans MT" w:hAnsi="Gill Sans MT"/>
          <w:sz w:val="22"/>
          <w:szCs w:val="22"/>
          <w:lang w:val="en-US"/>
        </w:rPr>
        <w:t>market participants ability to buy or sell a commodity derivative contract to hedge risks to its spot market position. It</w:t>
      </w:r>
      <w:r w:rsidRPr="003C341E">
        <w:rPr>
          <w:rFonts w:ascii="Gill Sans MT" w:hAnsi="Gill Sans MT"/>
          <w:sz w:val="22"/>
          <w:szCs w:val="22"/>
          <w:lang w:val="en-US"/>
        </w:rPr>
        <w:t xml:space="preserve"> could effectively prohibit </w:t>
      </w:r>
      <w:r>
        <w:rPr>
          <w:rFonts w:ascii="Gill Sans MT" w:hAnsi="Gill Sans MT"/>
          <w:sz w:val="22"/>
          <w:szCs w:val="22"/>
          <w:lang w:val="en-US"/>
        </w:rPr>
        <w:t>firms</w:t>
      </w:r>
      <w:r w:rsidRPr="003C341E">
        <w:rPr>
          <w:rFonts w:ascii="Gill Sans MT" w:hAnsi="Gill Sans MT"/>
          <w:sz w:val="22"/>
          <w:szCs w:val="22"/>
          <w:lang w:val="en-US"/>
        </w:rPr>
        <w:t xml:space="preserve"> making use of any information associated with the</w:t>
      </w:r>
      <w:r>
        <w:rPr>
          <w:rFonts w:ascii="Gill Sans MT" w:hAnsi="Gill Sans MT"/>
          <w:sz w:val="22"/>
          <w:szCs w:val="22"/>
          <w:lang w:val="en-US"/>
        </w:rPr>
        <w:t xml:space="preserve"> commodity</w:t>
      </w:r>
      <w:r w:rsidRPr="003C341E">
        <w:rPr>
          <w:rFonts w:ascii="Gill Sans MT" w:hAnsi="Gill Sans MT"/>
          <w:sz w:val="22"/>
          <w:szCs w:val="22"/>
          <w:lang w:val="en-US"/>
        </w:rPr>
        <w:t xml:space="preserve"> that may have a</w:t>
      </w:r>
      <w:r>
        <w:rPr>
          <w:rFonts w:ascii="Gill Sans MT" w:hAnsi="Gill Sans MT"/>
          <w:sz w:val="22"/>
          <w:szCs w:val="22"/>
          <w:lang w:val="en-US"/>
        </w:rPr>
        <w:t xml:space="preserve"> </w:t>
      </w:r>
      <w:r w:rsidRPr="003C341E">
        <w:rPr>
          <w:rFonts w:ascii="Gill Sans MT" w:hAnsi="Gill Sans MT"/>
          <w:sz w:val="22"/>
          <w:szCs w:val="22"/>
          <w:lang w:val="en-US"/>
        </w:rPr>
        <w:t>significant impact on prices</w:t>
      </w:r>
      <w:r>
        <w:rPr>
          <w:rFonts w:ascii="Gill Sans MT" w:hAnsi="Gill Sans MT"/>
          <w:sz w:val="22"/>
          <w:szCs w:val="22"/>
          <w:lang w:val="en-US"/>
        </w:rPr>
        <w:t xml:space="preserve"> </w:t>
      </w:r>
      <w:r w:rsidRPr="003C341E">
        <w:rPr>
          <w:rFonts w:ascii="Gill Sans MT" w:hAnsi="Gill Sans MT"/>
          <w:sz w:val="22"/>
          <w:szCs w:val="22"/>
          <w:lang w:val="en-US"/>
        </w:rPr>
        <w:t>before it</w:t>
      </w:r>
      <w:r>
        <w:rPr>
          <w:rFonts w:ascii="Gill Sans MT" w:hAnsi="Gill Sans MT"/>
          <w:sz w:val="22"/>
          <w:szCs w:val="22"/>
          <w:lang w:val="en-US"/>
        </w:rPr>
        <w:t xml:space="preserve"> </w:t>
      </w:r>
      <w:r w:rsidRPr="003C341E">
        <w:rPr>
          <w:rFonts w:ascii="Gill Sans MT" w:hAnsi="Gill Sans MT"/>
          <w:sz w:val="22"/>
          <w:szCs w:val="22"/>
          <w:lang w:val="en-US"/>
        </w:rPr>
        <w:t xml:space="preserve">is released to the market. </w:t>
      </w:r>
      <w:r>
        <w:rPr>
          <w:rFonts w:ascii="Gill Sans MT" w:hAnsi="Gill Sans MT"/>
          <w:sz w:val="22"/>
          <w:szCs w:val="22"/>
          <w:lang w:val="en-US"/>
        </w:rPr>
        <w:t>This</w:t>
      </w:r>
      <w:r w:rsidRPr="00ED5D3E">
        <w:rPr>
          <w:rFonts w:ascii="Gill Sans MT" w:hAnsi="Gill Sans MT"/>
          <w:sz w:val="22"/>
          <w:szCs w:val="22"/>
          <w:lang w:val="en-US"/>
        </w:rPr>
        <w:t xml:space="preserve"> would weaken the principal function of commodity derivative markets, in which the commodity producers, traders </w:t>
      </w:r>
      <w:r w:rsidRPr="00ED5D3E">
        <w:rPr>
          <w:rFonts w:ascii="Gill Sans MT" w:hAnsi="Gill Sans MT"/>
          <w:sz w:val="22"/>
          <w:szCs w:val="22"/>
          <w:lang w:val="en-US"/>
        </w:rPr>
        <w:lastRenderedPageBreak/>
        <w:t xml:space="preserve">and consumers seeking to reduce risk relating directly to their commercial activities participate. </w:t>
      </w:r>
      <w:r w:rsidRPr="003C341E">
        <w:rPr>
          <w:rFonts w:ascii="Gill Sans MT" w:hAnsi="Gill Sans MT"/>
          <w:sz w:val="22"/>
          <w:szCs w:val="22"/>
          <w:lang w:val="en-US"/>
        </w:rPr>
        <w:t>If firms cannot use such information</w:t>
      </w:r>
      <w:r>
        <w:rPr>
          <w:rFonts w:ascii="Gill Sans MT" w:hAnsi="Gill Sans MT"/>
          <w:sz w:val="22"/>
          <w:szCs w:val="22"/>
          <w:lang w:val="en-US"/>
        </w:rPr>
        <w:t xml:space="preserve"> and hedge against the risks, this</w:t>
      </w:r>
      <w:r w:rsidRPr="003C341E">
        <w:rPr>
          <w:rFonts w:ascii="Gill Sans MT" w:hAnsi="Gill Sans MT"/>
          <w:sz w:val="22"/>
          <w:szCs w:val="22"/>
          <w:lang w:val="en-US"/>
        </w:rPr>
        <w:t xml:space="preserve"> would lead to inefficiency and ultimately</w:t>
      </w:r>
      <w:r>
        <w:rPr>
          <w:rFonts w:ascii="Gill Sans MT" w:hAnsi="Gill Sans MT"/>
          <w:sz w:val="22"/>
          <w:szCs w:val="22"/>
          <w:lang w:val="en-US"/>
        </w:rPr>
        <w:t xml:space="preserve"> </w:t>
      </w:r>
      <w:r w:rsidRPr="003C341E">
        <w:rPr>
          <w:rFonts w:ascii="Gill Sans MT" w:hAnsi="Gill Sans MT"/>
          <w:sz w:val="22"/>
          <w:szCs w:val="22"/>
          <w:lang w:val="en-US"/>
        </w:rPr>
        <w:t>higher prices to consumers.</w:t>
      </w:r>
    </w:p>
    <w:p w14:paraId="14A88DD3" w14:textId="77777777" w:rsidR="00CD46AE" w:rsidRDefault="00CD46AE" w:rsidP="00CD46AE">
      <w:pPr>
        <w:spacing w:after="120"/>
        <w:ind w:left="709" w:right="-23"/>
        <w:jc w:val="both"/>
        <w:rPr>
          <w:rFonts w:ascii="Gill Sans MT" w:hAnsi="Gill Sans MT"/>
          <w:sz w:val="22"/>
          <w:szCs w:val="22"/>
          <w:lang w:val="en-US"/>
        </w:rPr>
      </w:pPr>
      <w:r w:rsidRPr="00010987">
        <w:rPr>
          <w:rFonts w:ascii="Gill Sans MT" w:hAnsi="Gill Sans MT"/>
          <w:sz w:val="22"/>
          <w:szCs w:val="22"/>
          <w:lang w:val="en-US"/>
        </w:rPr>
        <w:t xml:space="preserve">We </w:t>
      </w:r>
      <w:r>
        <w:rPr>
          <w:rFonts w:ascii="Gill Sans MT" w:hAnsi="Gill Sans MT"/>
          <w:sz w:val="22"/>
          <w:szCs w:val="22"/>
          <w:lang w:val="en-US"/>
        </w:rPr>
        <w:t xml:space="preserve">note </w:t>
      </w:r>
      <w:r w:rsidRPr="00010987">
        <w:rPr>
          <w:rFonts w:ascii="Gill Sans MT" w:hAnsi="Gill Sans MT"/>
          <w:sz w:val="22"/>
          <w:szCs w:val="22"/>
          <w:lang w:val="en-US"/>
        </w:rPr>
        <w:t>however the statement made by ESMA in paragraph 91 of the consultation paper: “The different bar set for the inside information concerning commodity derivatives and financial instruments may lead to the following: a non-listed commodity producer may be able to disclose to other parties information that, if the same firm was listed, would be treated as inside information. Those other parties receiving the information from the non-listed firm may be able to trade on that information, which would be considered as insider dealing if the same information was received from a listed firm”.</w:t>
      </w:r>
    </w:p>
    <w:p w14:paraId="2155824A" w14:textId="77777777" w:rsidR="00CD46AE" w:rsidRDefault="00CD46AE" w:rsidP="00CD46AE">
      <w:pPr>
        <w:spacing w:after="120"/>
        <w:ind w:left="709" w:right="-23"/>
        <w:jc w:val="both"/>
        <w:rPr>
          <w:rFonts w:ascii="Gill Sans MT" w:hAnsi="Gill Sans MT"/>
          <w:sz w:val="22"/>
          <w:szCs w:val="22"/>
          <w:lang w:val="en-US"/>
        </w:rPr>
      </w:pPr>
      <w:r>
        <w:rPr>
          <w:rFonts w:ascii="Gill Sans MT" w:hAnsi="Gill Sans MT"/>
          <w:sz w:val="22"/>
          <w:szCs w:val="22"/>
          <w:lang w:val="en-US"/>
        </w:rPr>
        <w:t xml:space="preserve">CMCE Members (which include listed and unlisted market participants) have not experienced any anomalous outcomes as a result of this feature of the regime. This is, in part </w:t>
      </w:r>
      <w:proofErr w:type="gramStart"/>
      <w:r>
        <w:rPr>
          <w:rFonts w:ascii="Gill Sans MT" w:hAnsi="Gill Sans MT"/>
          <w:sz w:val="22"/>
          <w:szCs w:val="22"/>
          <w:lang w:val="en-US"/>
        </w:rPr>
        <w:t>due to the fact that</w:t>
      </w:r>
      <w:proofErr w:type="gramEnd"/>
      <w:r>
        <w:rPr>
          <w:rFonts w:ascii="Gill Sans MT" w:hAnsi="Gill Sans MT"/>
          <w:sz w:val="22"/>
          <w:szCs w:val="22"/>
          <w:lang w:val="en-US"/>
        </w:rPr>
        <w:t xml:space="preserve"> information relating to a company is rarely, if ever, material to the price of a commodity in a manner which would make it eligible to be regarded as inside information for commodity derivatives.</w:t>
      </w:r>
      <w:r w:rsidRPr="00010987">
        <w:rPr>
          <w:rFonts w:ascii="Gill Sans MT" w:hAnsi="Gill Sans MT"/>
          <w:sz w:val="22"/>
          <w:szCs w:val="22"/>
          <w:lang w:val="en-US"/>
        </w:rPr>
        <w:t xml:space="preserve"> </w:t>
      </w:r>
    </w:p>
    <w:permEnd w:id="770132907"/>
    <w:p w14:paraId="3C3E0A68" w14:textId="76F8846F" w:rsidR="00646C30" w:rsidRDefault="00646C30" w:rsidP="00646C30"/>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28358A0F" w14:textId="77777777" w:rsidR="00CD46AE" w:rsidRPr="00FE79F0" w:rsidRDefault="00CD46AE" w:rsidP="00CD46AE">
      <w:pPr>
        <w:spacing w:after="120"/>
        <w:ind w:left="709" w:right="-23"/>
        <w:jc w:val="both"/>
        <w:rPr>
          <w:rFonts w:ascii="Gill Sans MT" w:hAnsi="Gill Sans MT"/>
          <w:sz w:val="22"/>
          <w:szCs w:val="22"/>
          <w:lang w:val="en-US"/>
        </w:rPr>
      </w:pPr>
      <w:permStart w:id="416102086" w:edGrp="everyone"/>
      <w:r w:rsidRPr="00FE79F0">
        <w:rPr>
          <w:rFonts w:ascii="Gill Sans MT" w:hAnsi="Gill Sans MT"/>
          <w:sz w:val="22"/>
          <w:szCs w:val="22"/>
          <w:lang w:val="en-US"/>
        </w:rPr>
        <w:t xml:space="preserve">Yes, CMCE Members are </w:t>
      </w:r>
      <w:r>
        <w:rPr>
          <w:rFonts w:ascii="Gill Sans MT" w:hAnsi="Gill Sans MT"/>
          <w:sz w:val="22"/>
          <w:szCs w:val="22"/>
          <w:lang w:val="en-US"/>
        </w:rPr>
        <w:t>of the view</w:t>
      </w:r>
      <w:r w:rsidRPr="00FE79F0">
        <w:rPr>
          <w:rFonts w:ascii="Gill Sans MT" w:hAnsi="Gill Sans MT"/>
          <w:sz w:val="22"/>
          <w:szCs w:val="22"/>
          <w:lang w:val="en-US"/>
        </w:rPr>
        <w:t xml:space="preserve"> that the current definition of inside information is effective when combatting market abuse, especially when preventing insider trading</w:t>
      </w:r>
      <w:r>
        <w:rPr>
          <w:rFonts w:ascii="Gill Sans MT" w:hAnsi="Gill Sans MT"/>
          <w:sz w:val="22"/>
          <w:szCs w:val="22"/>
          <w:lang w:val="en-US"/>
        </w:rPr>
        <w:t xml:space="preserve"> or improper disclosure</w:t>
      </w:r>
      <w:r w:rsidRPr="00FE79F0">
        <w:rPr>
          <w:rFonts w:ascii="Gill Sans MT" w:hAnsi="Gill Sans MT"/>
          <w:sz w:val="22"/>
          <w:szCs w:val="22"/>
          <w:lang w:val="en-US"/>
        </w:rPr>
        <w:t>.</w:t>
      </w:r>
    </w:p>
    <w:permEnd w:id="416102086"/>
    <w:p w14:paraId="3C3E0A6D" w14:textId="1B690D72" w:rsidR="00646C30" w:rsidRDefault="00646C30" w:rsidP="00646C30"/>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79D86C74" w14:textId="77777777" w:rsidR="00CD46AE" w:rsidRPr="007355D1" w:rsidRDefault="00CD46AE" w:rsidP="00CD46AE">
      <w:pPr>
        <w:spacing w:after="120"/>
        <w:ind w:left="709" w:right="-23"/>
        <w:jc w:val="both"/>
        <w:rPr>
          <w:rFonts w:ascii="Gill Sans MT" w:hAnsi="Gill Sans MT"/>
          <w:b/>
          <w:sz w:val="22"/>
          <w:szCs w:val="22"/>
        </w:rPr>
      </w:pPr>
      <w:permStart w:id="831264800" w:edGrp="everyone"/>
      <w:r w:rsidRPr="007355D1">
        <w:rPr>
          <w:rFonts w:ascii="Gill Sans MT" w:hAnsi="Gill Sans MT" w:cstheme="minorHAnsi"/>
          <w:sz w:val="22"/>
          <w:szCs w:val="22"/>
        </w:rPr>
        <w:t xml:space="preserve">No price sensitive information which is not be covered by the current definition of inside information </w:t>
      </w:r>
      <w:r>
        <w:rPr>
          <w:rFonts w:ascii="Gill Sans MT" w:hAnsi="Gill Sans MT" w:cstheme="minorHAnsi"/>
          <w:sz w:val="22"/>
          <w:szCs w:val="22"/>
        </w:rPr>
        <w:t xml:space="preserve">and which should be treated as inside information </w:t>
      </w:r>
      <w:r w:rsidRPr="007355D1">
        <w:rPr>
          <w:rFonts w:ascii="Gill Sans MT" w:hAnsi="Gill Sans MT" w:cstheme="minorHAnsi"/>
          <w:sz w:val="22"/>
          <w:szCs w:val="22"/>
        </w:rPr>
        <w:t>has been identified by CMCE Members.</w:t>
      </w:r>
    </w:p>
    <w:permEnd w:id="831264800"/>
    <w:p w14:paraId="3C3E0A72" w14:textId="15946AF8" w:rsidR="00646C30" w:rsidRDefault="00646C30" w:rsidP="00646C30"/>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53CC18DB" w14:textId="77777777" w:rsidR="00CD46AE" w:rsidRDefault="00CD46AE" w:rsidP="00CD46AE">
      <w:pPr>
        <w:spacing w:after="120"/>
        <w:ind w:left="709" w:right="-23"/>
        <w:jc w:val="both"/>
        <w:rPr>
          <w:rFonts w:ascii="Gill Sans MT" w:hAnsi="Gill Sans MT" w:cstheme="minorHAnsi"/>
          <w:sz w:val="22"/>
          <w:szCs w:val="22"/>
        </w:rPr>
      </w:pPr>
      <w:permStart w:id="2062680747" w:edGrp="everyone"/>
      <w:r w:rsidRPr="007355D1">
        <w:rPr>
          <w:rFonts w:ascii="Gill Sans MT" w:hAnsi="Gill Sans MT" w:cstheme="minorHAnsi"/>
          <w:sz w:val="22"/>
          <w:szCs w:val="22"/>
        </w:rPr>
        <w:t xml:space="preserve">No price sensitive information which is not be covered by the current definition of inside information in relation to commodity derivatives </w:t>
      </w:r>
      <w:r>
        <w:rPr>
          <w:rFonts w:ascii="Gill Sans MT" w:hAnsi="Gill Sans MT" w:cstheme="minorHAnsi"/>
          <w:sz w:val="22"/>
          <w:szCs w:val="22"/>
        </w:rPr>
        <w:t xml:space="preserve">and which should be treated as inside information </w:t>
      </w:r>
      <w:r w:rsidRPr="007355D1">
        <w:rPr>
          <w:rFonts w:ascii="Gill Sans MT" w:hAnsi="Gill Sans MT" w:cstheme="minorHAnsi"/>
          <w:sz w:val="22"/>
          <w:szCs w:val="22"/>
        </w:rPr>
        <w:t>has been identified by CMCE Members.</w:t>
      </w:r>
    </w:p>
    <w:permEnd w:id="2062680747"/>
    <w:p w14:paraId="3C3E0A77" w14:textId="3CA2FCE1" w:rsidR="00646C30" w:rsidRDefault="00646C30" w:rsidP="00646C30"/>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2F945CF" w14:textId="77777777" w:rsidR="00CD46AE" w:rsidRPr="00075E08" w:rsidRDefault="00CD46AE" w:rsidP="00CD46AE">
      <w:pPr>
        <w:spacing w:after="120"/>
        <w:ind w:left="709" w:right="-23"/>
        <w:jc w:val="both"/>
        <w:rPr>
          <w:rFonts w:ascii="Gill Sans MT" w:hAnsi="Gill Sans MT"/>
          <w:sz w:val="22"/>
          <w:szCs w:val="22"/>
        </w:rPr>
      </w:pPr>
      <w:permStart w:id="436762959" w:edGrp="everyone"/>
      <w:r>
        <w:rPr>
          <w:rFonts w:ascii="Gill Sans MT" w:hAnsi="Gill Sans MT"/>
          <w:sz w:val="22"/>
          <w:szCs w:val="22"/>
        </w:rPr>
        <w:t xml:space="preserve">CMCE Members consider </w:t>
      </w:r>
      <w:r w:rsidRPr="00075E08">
        <w:rPr>
          <w:rFonts w:ascii="Gill Sans MT" w:hAnsi="Gill Sans MT"/>
          <w:sz w:val="22"/>
          <w:szCs w:val="22"/>
        </w:rPr>
        <w:t>that the fourth element of the definition of inside information in relation to commodity derivatives, namely that relevant information must be</w:t>
      </w:r>
      <w:r>
        <w:rPr>
          <w:rFonts w:ascii="Gill Sans MT" w:hAnsi="Gill Sans MT"/>
          <w:sz w:val="22"/>
          <w:szCs w:val="22"/>
        </w:rPr>
        <w:t xml:space="preserve"> required or reasonably expected to be</w:t>
      </w:r>
      <w:r w:rsidRPr="00075E08">
        <w:rPr>
          <w:rFonts w:ascii="Gill Sans MT" w:hAnsi="Gill Sans MT"/>
          <w:sz w:val="22"/>
          <w:szCs w:val="22"/>
        </w:rPr>
        <w:t xml:space="preserve"> disclos</w:t>
      </w:r>
      <w:r>
        <w:rPr>
          <w:rFonts w:ascii="Gill Sans MT" w:hAnsi="Gill Sans MT"/>
          <w:sz w:val="22"/>
          <w:szCs w:val="22"/>
        </w:rPr>
        <w:t xml:space="preserve">ed must be </w:t>
      </w:r>
      <w:r w:rsidRPr="00075E08">
        <w:rPr>
          <w:rFonts w:ascii="Gill Sans MT" w:hAnsi="Gill Sans MT"/>
          <w:sz w:val="22"/>
          <w:szCs w:val="22"/>
        </w:rPr>
        <w:t>retained.</w:t>
      </w:r>
    </w:p>
    <w:p w14:paraId="1FF7DEA8" w14:textId="77777777" w:rsidR="00CD46AE" w:rsidRPr="00075E08" w:rsidRDefault="00CD46AE" w:rsidP="00CD46AE">
      <w:pPr>
        <w:spacing w:after="120"/>
        <w:ind w:left="709" w:right="-23"/>
        <w:jc w:val="both"/>
        <w:rPr>
          <w:rFonts w:ascii="Gill Sans MT" w:hAnsi="Gill Sans MT"/>
          <w:sz w:val="22"/>
          <w:szCs w:val="22"/>
        </w:rPr>
      </w:pPr>
      <w:r w:rsidRPr="00075E08">
        <w:rPr>
          <w:rFonts w:ascii="Gill Sans MT" w:hAnsi="Gill Sans MT"/>
          <w:sz w:val="22"/>
          <w:szCs w:val="22"/>
        </w:rPr>
        <w:t xml:space="preserve">EU legislators have agreed for specific reasons to retain the additional condition </w:t>
      </w:r>
      <w:r>
        <w:rPr>
          <w:rFonts w:ascii="Gill Sans MT" w:hAnsi="Gill Sans MT"/>
          <w:sz w:val="22"/>
          <w:szCs w:val="22"/>
        </w:rPr>
        <w:t>(</w:t>
      </w:r>
      <w:r w:rsidRPr="00075E08">
        <w:rPr>
          <w:rFonts w:ascii="Gill Sans MT" w:hAnsi="Gill Sans MT"/>
          <w:sz w:val="22"/>
          <w:szCs w:val="22"/>
        </w:rPr>
        <w:t xml:space="preserve">already mentioned in the </w:t>
      </w:r>
      <w:r>
        <w:rPr>
          <w:rFonts w:ascii="Gill Sans MT" w:hAnsi="Gill Sans MT"/>
          <w:sz w:val="22"/>
          <w:szCs w:val="22"/>
        </w:rPr>
        <w:t>text of previous</w:t>
      </w:r>
      <w:r w:rsidRPr="00075E08">
        <w:rPr>
          <w:rFonts w:ascii="Gill Sans MT" w:hAnsi="Gill Sans MT"/>
          <w:sz w:val="22"/>
          <w:szCs w:val="22"/>
        </w:rPr>
        <w:t xml:space="preserve"> MAD</w:t>
      </w:r>
      <w:r>
        <w:rPr>
          <w:rFonts w:ascii="Gill Sans MT" w:hAnsi="Gill Sans MT"/>
          <w:sz w:val="22"/>
          <w:szCs w:val="22"/>
        </w:rPr>
        <w:t xml:space="preserve"> enacted in 2003)</w:t>
      </w:r>
      <w:r w:rsidRPr="00075E08">
        <w:rPr>
          <w:rFonts w:ascii="Gill Sans MT" w:hAnsi="Gill Sans MT"/>
          <w:sz w:val="22"/>
          <w:szCs w:val="22"/>
        </w:rPr>
        <w:t xml:space="preserve"> that the inside information has to be reasonably expected to be disclosed or required to be disclosed in accordance with legal or regulatory provisions at the Union or national level, market rules, contract, practice or custom, on the relevant commodity derivatives markets or spot markets (hereinafter “the disclosability criterion”). These specific reasons are still valid.</w:t>
      </w:r>
    </w:p>
    <w:p w14:paraId="03259F50" w14:textId="77777777" w:rsidR="00CD46AE" w:rsidRDefault="00CD46AE" w:rsidP="00CD46AE">
      <w:pPr>
        <w:spacing w:after="120"/>
        <w:ind w:left="709" w:right="-23"/>
        <w:jc w:val="both"/>
        <w:rPr>
          <w:rFonts w:ascii="Gill Sans MT" w:hAnsi="Gill Sans MT"/>
          <w:sz w:val="22"/>
          <w:szCs w:val="22"/>
        </w:rPr>
      </w:pPr>
      <w:r w:rsidRPr="00075E08">
        <w:rPr>
          <w:rFonts w:ascii="Gill Sans MT" w:hAnsi="Gill Sans MT"/>
          <w:sz w:val="22"/>
          <w:szCs w:val="22"/>
        </w:rPr>
        <w:t xml:space="preserve">The main reason is that there are structural differences between commodity derivatives and securities markets that justify different approaches to the regulation of (mis)use of inside information. The main difference is that commodity market participants must be able to hedge their production needs and commodity price risks. It is therefore critical, that </w:t>
      </w:r>
      <w:r>
        <w:rPr>
          <w:rFonts w:ascii="Gill Sans MT" w:hAnsi="Gill Sans MT"/>
          <w:sz w:val="22"/>
          <w:szCs w:val="22"/>
        </w:rPr>
        <w:t xml:space="preserve">there is </w:t>
      </w:r>
      <w:r w:rsidRPr="00075E08">
        <w:rPr>
          <w:rFonts w:ascii="Gill Sans MT" w:hAnsi="Gill Sans MT"/>
          <w:sz w:val="22"/>
          <w:szCs w:val="22"/>
        </w:rPr>
        <w:t xml:space="preserve">no general disclosure obligation (i.e., requiring the disclosure of all inside information relating to commodity markets irrespective of the disclosability criterion) </w:t>
      </w:r>
      <w:r>
        <w:rPr>
          <w:rFonts w:ascii="Gill Sans MT" w:hAnsi="Gill Sans MT"/>
          <w:sz w:val="22"/>
          <w:szCs w:val="22"/>
        </w:rPr>
        <w:t>and no restriction on the use of that information by firms needing to trade</w:t>
      </w:r>
      <w:r w:rsidRPr="00075E08">
        <w:rPr>
          <w:rFonts w:ascii="Gill Sans MT" w:hAnsi="Gill Sans MT"/>
          <w:sz w:val="22"/>
          <w:szCs w:val="22"/>
        </w:rPr>
        <w:t xml:space="preserve">. </w:t>
      </w:r>
    </w:p>
    <w:p w14:paraId="555D7017" w14:textId="77777777" w:rsidR="00CD46AE" w:rsidRPr="00075E08" w:rsidRDefault="00CD46AE" w:rsidP="00CD46AE">
      <w:pPr>
        <w:spacing w:after="120"/>
        <w:ind w:left="709" w:right="-23"/>
        <w:jc w:val="both"/>
        <w:rPr>
          <w:rFonts w:ascii="Gill Sans MT" w:hAnsi="Gill Sans MT"/>
          <w:sz w:val="22"/>
          <w:szCs w:val="22"/>
        </w:rPr>
      </w:pPr>
      <w:r w:rsidRPr="00075E08">
        <w:rPr>
          <w:rFonts w:ascii="Gill Sans MT" w:hAnsi="Gill Sans MT"/>
          <w:sz w:val="22"/>
          <w:szCs w:val="22"/>
        </w:rPr>
        <w:t xml:space="preserve">In particular, the </w:t>
      </w:r>
      <w:r>
        <w:rPr>
          <w:rFonts w:ascii="Gill Sans MT" w:hAnsi="Gill Sans MT"/>
          <w:sz w:val="22"/>
          <w:szCs w:val="22"/>
        </w:rPr>
        <w:t xml:space="preserve">current definition of inside information on commodity derivatives is framed to strike the appropriate balance between unfair information asymmetry (where one party has information which </w:t>
      </w:r>
      <w:r w:rsidRPr="00406C1A">
        <w:rPr>
          <w:rFonts w:ascii="Gill Sans MT" w:hAnsi="Gill Sans MT"/>
          <w:b/>
          <w:sz w:val="22"/>
          <w:szCs w:val="22"/>
        </w:rPr>
        <w:t>is</w:t>
      </w:r>
      <w:r>
        <w:rPr>
          <w:rFonts w:ascii="Gill Sans MT" w:hAnsi="Gill Sans MT"/>
          <w:sz w:val="22"/>
          <w:szCs w:val="22"/>
        </w:rPr>
        <w:t xml:space="preserve"> required or reasonably expected to be disclosed under other rules, customs or practices) and the need to enable market participants to use information legitimately available to them to fulfil their hedging and trading needs. </w:t>
      </w:r>
    </w:p>
    <w:p w14:paraId="7CA20CC1" w14:textId="77777777" w:rsidR="00CD46AE" w:rsidRPr="00075E08" w:rsidRDefault="00CD46AE" w:rsidP="00CD46AE">
      <w:pPr>
        <w:spacing w:after="120"/>
        <w:ind w:left="709" w:right="-23"/>
        <w:jc w:val="both"/>
        <w:rPr>
          <w:rFonts w:ascii="Gill Sans MT" w:hAnsi="Gill Sans MT"/>
          <w:sz w:val="22"/>
          <w:szCs w:val="22"/>
        </w:rPr>
      </w:pPr>
      <w:r>
        <w:rPr>
          <w:rFonts w:ascii="Gill Sans MT" w:hAnsi="Gill Sans MT"/>
          <w:sz w:val="22"/>
          <w:szCs w:val="22"/>
        </w:rPr>
        <w:t xml:space="preserve">The consequences of re-defining “inside information” for commodity derivatives without reference to the “disclosability” element would be adverse, significant and far-reaching, </w:t>
      </w:r>
      <w:r w:rsidRPr="00075E08">
        <w:rPr>
          <w:rFonts w:ascii="Gill Sans MT" w:hAnsi="Gill Sans MT"/>
          <w:sz w:val="22"/>
          <w:szCs w:val="22"/>
        </w:rPr>
        <w:t xml:space="preserve">given the variety of possible underlying commodities and the global nature of </w:t>
      </w:r>
      <w:r>
        <w:rPr>
          <w:rFonts w:ascii="Gill Sans MT" w:hAnsi="Gill Sans MT"/>
          <w:sz w:val="22"/>
          <w:szCs w:val="22"/>
        </w:rPr>
        <w:t xml:space="preserve">commodities </w:t>
      </w:r>
      <w:r w:rsidRPr="00075E08">
        <w:rPr>
          <w:rFonts w:ascii="Gill Sans MT" w:hAnsi="Gill Sans MT"/>
          <w:sz w:val="22"/>
          <w:szCs w:val="22"/>
        </w:rPr>
        <w:t>markets. Commodities firms, including energy utilities, oil and gas producers</w:t>
      </w:r>
      <w:r>
        <w:rPr>
          <w:rFonts w:ascii="Gill Sans MT" w:hAnsi="Gill Sans MT"/>
          <w:sz w:val="22"/>
          <w:szCs w:val="22"/>
        </w:rPr>
        <w:t xml:space="preserve"> and suppliers</w:t>
      </w:r>
      <w:r w:rsidRPr="00075E08">
        <w:rPr>
          <w:rFonts w:ascii="Gill Sans MT" w:hAnsi="Gill Sans MT"/>
          <w:sz w:val="22"/>
          <w:szCs w:val="22"/>
        </w:rPr>
        <w:t>, farmers</w:t>
      </w:r>
      <w:r>
        <w:rPr>
          <w:rFonts w:ascii="Gill Sans MT" w:hAnsi="Gill Sans MT"/>
          <w:sz w:val="22"/>
          <w:szCs w:val="22"/>
        </w:rPr>
        <w:t xml:space="preserve"> and food producers</w:t>
      </w:r>
      <w:r w:rsidRPr="00075E08">
        <w:rPr>
          <w:rFonts w:ascii="Gill Sans MT" w:hAnsi="Gill Sans MT"/>
          <w:sz w:val="22"/>
          <w:szCs w:val="22"/>
        </w:rPr>
        <w:t xml:space="preserve">, </w:t>
      </w:r>
      <w:r>
        <w:rPr>
          <w:rFonts w:ascii="Gill Sans MT" w:hAnsi="Gill Sans MT"/>
          <w:sz w:val="22"/>
          <w:szCs w:val="22"/>
        </w:rPr>
        <w:t xml:space="preserve">miners, refiners, and industrial users of commodities </w:t>
      </w:r>
      <w:r w:rsidRPr="00075E08">
        <w:rPr>
          <w:rFonts w:ascii="Gill Sans MT" w:hAnsi="Gill Sans MT"/>
          <w:sz w:val="22"/>
          <w:szCs w:val="22"/>
        </w:rPr>
        <w:t xml:space="preserve">etc., are all engaged in commerce and trade, which essentially involves holding information which is relevant to existing or anticipated production, and to quality, storage and supply levels, and these parties will </w:t>
      </w:r>
      <w:r>
        <w:rPr>
          <w:rFonts w:ascii="Gill Sans MT" w:hAnsi="Gill Sans MT"/>
          <w:sz w:val="22"/>
          <w:szCs w:val="22"/>
        </w:rPr>
        <w:t xml:space="preserve">and must </w:t>
      </w:r>
      <w:r w:rsidRPr="00075E08">
        <w:rPr>
          <w:rFonts w:ascii="Gill Sans MT" w:hAnsi="Gill Sans MT"/>
          <w:sz w:val="22"/>
          <w:szCs w:val="22"/>
        </w:rPr>
        <w:t>use that information in order to determine their trading and risk management needs and to fulfil their deliverie</w:t>
      </w:r>
      <w:r>
        <w:rPr>
          <w:rFonts w:ascii="Gill Sans MT" w:hAnsi="Gill Sans MT"/>
          <w:sz w:val="22"/>
          <w:szCs w:val="22"/>
        </w:rPr>
        <w:t>s</w:t>
      </w:r>
      <w:r w:rsidRPr="00075E08">
        <w:rPr>
          <w:rFonts w:ascii="Gill Sans MT" w:hAnsi="Gill Sans MT"/>
          <w:sz w:val="22"/>
          <w:szCs w:val="22"/>
        </w:rPr>
        <w:t>.</w:t>
      </w:r>
      <w:r>
        <w:rPr>
          <w:rFonts w:ascii="Gill Sans MT" w:hAnsi="Gill Sans MT"/>
          <w:sz w:val="22"/>
          <w:szCs w:val="22"/>
        </w:rPr>
        <w:t xml:space="preserve">  If they were unable to use that information for trading in commodity derivatives or underlying spot commodities, they would be, at worst, unable to function as businesses and, at best, unable to use the commodity derivatives to hedge their risks. </w:t>
      </w:r>
    </w:p>
    <w:p w14:paraId="6FD03641" w14:textId="77777777" w:rsidR="00CD46AE" w:rsidRPr="00075E08" w:rsidRDefault="00CD46AE" w:rsidP="00CD46AE">
      <w:pPr>
        <w:spacing w:after="120"/>
        <w:ind w:left="709" w:right="-23"/>
        <w:jc w:val="both"/>
        <w:rPr>
          <w:rFonts w:ascii="Gill Sans MT" w:hAnsi="Gill Sans MT"/>
          <w:sz w:val="22"/>
          <w:szCs w:val="22"/>
        </w:rPr>
      </w:pPr>
      <w:r>
        <w:rPr>
          <w:rFonts w:ascii="Gill Sans MT" w:hAnsi="Gill Sans MT"/>
          <w:sz w:val="22"/>
          <w:szCs w:val="22"/>
        </w:rPr>
        <w:t xml:space="preserve">If such firms were required to disclose all such information in their possession in order to cleanse it, so that they could trade, this would have equally damaging consequences.  First, it would mean they could not </w:t>
      </w:r>
      <w:r w:rsidRPr="00075E08">
        <w:rPr>
          <w:rFonts w:ascii="Gill Sans MT" w:hAnsi="Gill Sans MT"/>
          <w:sz w:val="22"/>
          <w:szCs w:val="22"/>
        </w:rPr>
        <w:t>hedge, other than from a distressed position, lead</w:t>
      </w:r>
      <w:r>
        <w:rPr>
          <w:rFonts w:ascii="Gill Sans MT" w:hAnsi="Gill Sans MT"/>
          <w:sz w:val="22"/>
          <w:szCs w:val="22"/>
        </w:rPr>
        <w:t>ing</w:t>
      </w:r>
      <w:r w:rsidRPr="00075E08">
        <w:rPr>
          <w:rFonts w:ascii="Gill Sans MT" w:hAnsi="Gill Sans MT"/>
          <w:sz w:val="22"/>
          <w:szCs w:val="22"/>
        </w:rPr>
        <w:t xml:space="preserve"> to increased overall costs of trading and production and therefore increased costs for consumers.</w:t>
      </w:r>
      <w:r>
        <w:rPr>
          <w:rFonts w:ascii="Gill Sans MT" w:hAnsi="Gill Sans MT"/>
          <w:sz w:val="22"/>
          <w:szCs w:val="22"/>
        </w:rPr>
        <w:t xml:space="preserve">  Second, it would often be impossible for them legitimately to disclose all such information in their possession.  Many firms will hold information subject to contractual confidentiality restrictions (e.g. under joint venture arrangements, which are particularly common in commodity markets).  In other cases, the information held by a firm may – viewed on its own – give a misleading impression as to the overall </w:t>
      </w:r>
      <w:r>
        <w:rPr>
          <w:rFonts w:ascii="Gill Sans MT" w:hAnsi="Gill Sans MT"/>
          <w:sz w:val="22"/>
          <w:szCs w:val="22"/>
        </w:rPr>
        <w:lastRenderedPageBreak/>
        <w:t xml:space="preserve">supply and demand in the market (not every firm has all the information to hand necessary to form a correct objective view, by definition).  Each firm’s information gives it a subjective perspective on supply and demand.  Requiring disclosure of some or all of that would likely lead to unhelpful and potentially misleading disclosures.   Further, it would disincentivise firms from investing in research and analytic functions and would reduce the value of investment in some industrial plant (plant can provide information value to their owners), potentially impacting the level of investment in the real economy. </w:t>
      </w:r>
    </w:p>
    <w:permEnd w:id="436762959"/>
    <w:p w14:paraId="3C3E0A7C" w14:textId="6649A985" w:rsidR="00646C30" w:rsidRDefault="00646C30" w:rsidP="00646C30"/>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7ACCCA9F" w14:textId="77777777" w:rsidR="00CD46AE" w:rsidRPr="007355D1" w:rsidRDefault="00CD46AE" w:rsidP="00CD46AE">
      <w:pPr>
        <w:spacing w:after="120"/>
        <w:ind w:left="709" w:right="-23"/>
        <w:jc w:val="both"/>
        <w:rPr>
          <w:rFonts w:ascii="Gill Sans MT" w:hAnsi="Gill Sans MT"/>
          <w:sz w:val="22"/>
          <w:szCs w:val="22"/>
        </w:rPr>
      </w:pPr>
      <w:permStart w:id="1619285630" w:edGrp="everyone"/>
      <w:r w:rsidRPr="007355D1">
        <w:rPr>
          <w:rFonts w:ascii="Gill Sans MT" w:hAnsi="Gill Sans MT"/>
          <w:sz w:val="22"/>
          <w:szCs w:val="22"/>
        </w:rPr>
        <w:t>CMCE Members are not aware of material hedging difficulties</w:t>
      </w:r>
      <w:r>
        <w:rPr>
          <w:rFonts w:ascii="Gill Sans MT" w:hAnsi="Gill Sans MT"/>
          <w:sz w:val="22"/>
          <w:szCs w:val="22"/>
        </w:rPr>
        <w:t xml:space="preserve"> under MAR</w:t>
      </w:r>
      <w:r w:rsidRPr="007355D1">
        <w:rPr>
          <w:rFonts w:ascii="Gill Sans MT" w:hAnsi="Gill Sans MT"/>
          <w:sz w:val="22"/>
          <w:szCs w:val="22"/>
        </w:rPr>
        <w:t>, therefore do not see a need to change the current definition of Article 7(1)(b) of MAR.</w:t>
      </w:r>
    </w:p>
    <w:permEnd w:id="1619285630"/>
    <w:p w14:paraId="3C3E0A81" w14:textId="5675A877" w:rsidR="00646C30" w:rsidRDefault="00646C30" w:rsidP="00646C30"/>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4F18F2D9" w14:textId="77777777" w:rsidR="00CD46AE" w:rsidRPr="00075E08" w:rsidRDefault="00CD46AE" w:rsidP="00CD46AE">
      <w:pPr>
        <w:spacing w:after="120"/>
        <w:ind w:left="709" w:right="-23"/>
        <w:jc w:val="both"/>
        <w:rPr>
          <w:rFonts w:ascii="Gill Sans MT" w:hAnsi="Gill Sans MT"/>
          <w:sz w:val="22"/>
          <w:szCs w:val="22"/>
        </w:rPr>
      </w:pPr>
      <w:permStart w:id="1674213556" w:edGrp="everyone"/>
      <w:r>
        <w:rPr>
          <w:rFonts w:ascii="Gill Sans MT" w:hAnsi="Gill Sans MT"/>
          <w:sz w:val="22"/>
          <w:szCs w:val="22"/>
        </w:rPr>
        <w:t>CMCE Members do not agree</w:t>
      </w:r>
      <w:r w:rsidRPr="00075E08">
        <w:rPr>
          <w:rFonts w:ascii="Gill Sans MT" w:hAnsi="Gill Sans MT"/>
          <w:sz w:val="22"/>
          <w:szCs w:val="22"/>
        </w:rPr>
        <w:t xml:space="preserve"> that the general definition of inside information of Article 7(1)(a) of MAR should be used for commodity derivatives for the same reasons as explained in our</w:t>
      </w:r>
      <w:r>
        <w:rPr>
          <w:rFonts w:ascii="Gill Sans MT" w:hAnsi="Gill Sans MT"/>
          <w:sz w:val="22"/>
          <w:szCs w:val="22"/>
        </w:rPr>
        <w:t xml:space="preserve"> r</w:t>
      </w:r>
      <w:r w:rsidRPr="00075E08">
        <w:rPr>
          <w:rFonts w:ascii="Gill Sans MT" w:hAnsi="Gill Sans MT"/>
          <w:sz w:val="22"/>
          <w:szCs w:val="22"/>
        </w:rPr>
        <w:t>esponse to Q</w:t>
      </w:r>
      <w:r>
        <w:rPr>
          <w:rFonts w:ascii="Gill Sans MT" w:hAnsi="Gill Sans MT"/>
          <w:sz w:val="22"/>
          <w:szCs w:val="22"/>
        </w:rPr>
        <w:t xml:space="preserve">uestion </w:t>
      </w:r>
      <w:r w:rsidRPr="00075E08">
        <w:rPr>
          <w:rFonts w:ascii="Gill Sans MT" w:hAnsi="Gill Sans MT"/>
          <w:sz w:val="22"/>
          <w:szCs w:val="22"/>
        </w:rPr>
        <w:t>17.</w:t>
      </w:r>
      <w:r>
        <w:rPr>
          <w:rFonts w:ascii="Gill Sans MT" w:hAnsi="Gill Sans MT"/>
          <w:sz w:val="22"/>
          <w:szCs w:val="22"/>
        </w:rPr>
        <w:t xml:space="preserve"> We believe</w:t>
      </w:r>
      <w:r w:rsidRPr="00075E08">
        <w:rPr>
          <w:rFonts w:ascii="Gill Sans MT" w:hAnsi="Gill Sans MT"/>
          <w:sz w:val="22"/>
          <w:szCs w:val="22"/>
        </w:rPr>
        <w:t xml:space="preserve"> that there are structural differences between securities markets and commodity derivatives markets that justify the specific definition of inside information for</w:t>
      </w:r>
      <w:r>
        <w:rPr>
          <w:rFonts w:ascii="Gill Sans MT" w:hAnsi="Gill Sans MT"/>
          <w:sz w:val="22"/>
          <w:szCs w:val="22"/>
        </w:rPr>
        <w:t xml:space="preserve"> c</w:t>
      </w:r>
      <w:r w:rsidRPr="00075E08">
        <w:rPr>
          <w:rFonts w:ascii="Gill Sans MT" w:hAnsi="Gill Sans MT"/>
          <w:sz w:val="22"/>
          <w:szCs w:val="22"/>
        </w:rPr>
        <w:t>ommodity derivatives. EU legislators decided to have separate definitions of inside information for those reasons, which are still valid. As a result, we strongly believe that the general definition of inside information of Article 7(1)(a) of MAR should not be used for commodity derivatives.</w:t>
      </w:r>
    </w:p>
    <w:p w14:paraId="0B294F1E" w14:textId="77777777" w:rsidR="00CD46AE" w:rsidRPr="00075E08" w:rsidRDefault="00CD46AE" w:rsidP="00CD46AE">
      <w:pPr>
        <w:spacing w:after="120"/>
        <w:ind w:left="709" w:right="-23"/>
        <w:jc w:val="both"/>
        <w:rPr>
          <w:rFonts w:ascii="Gill Sans MT" w:hAnsi="Gill Sans MT"/>
          <w:sz w:val="22"/>
          <w:szCs w:val="22"/>
        </w:rPr>
      </w:pPr>
      <w:r w:rsidRPr="00075E08">
        <w:rPr>
          <w:rFonts w:ascii="Gill Sans MT" w:hAnsi="Gill Sans MT"/>
          <w:sz w:val="22"/>
          <w:szCs w:val="22"/>
        </w:rPr>
        <w:t xml:space="preserve">Since the Market Abuse Directive (2003/6/EC), separate definitions were used for inside information for issuers of financial instruments and for commodity derivatives. Art. 1 of MAD established that inside information for commodities would need to be information that “users of markets on which such derivatives are traded would expect to receive in accordance with accepted market practices on those markets”. During the ESMA public hearing on the MAR Review on 5 November 2019, ESMA acknowledged that one of the biggest challenges in relation to the definition of inside information under Article 7(1)(a) of MAR, is to ascertain the point in time when inside information comes into existence. Market participants raised concerns that the definition in Article 7(1)(a) may be too wide or vague, and that safeguards are required to avoid information being identified as potentially being inside information very early on in a transaction, thus unnecessarily blocking or restricting capital market transactions, which has a detrimental effect on market participants and liquidity. </w:t>
      </w:r>
    </w:p>
    <w:p w14:paraId="4ACCF509" w14:textId="77777777" w:rsidR="00CD46AE" w:rsidRPr="00075E08" w:rsidRDefault="00CD46AE" w:rsidP="00CD46AE">
      <w:pPr>
        <w:spacing w:after="120"/>
        <w:ind w:left="709" w:right="-23"/>
        <w:jc w:val="both"/>
        <w:rPr>
          <w:rFonts w:ascii="Gill Sans MT" w:hAnsi="Gill Sans MT"/>
          <w:sz w:val="22"/>
          <w:szCs w:val="22"/>
        </w:rPr>
      </w:pPr>
      <w:r w:rsidRPr="00075E08">
        <w:rPr>
          <w:rFonts w:ascii="Gill Sans MT" w:hAnsi="Gill Sans MT"/>
          <w:sz w:val="22"/>
          <w:szCs w:val="22"/>
        </w:rPr>
        <w:lastRenderedPageBreak/>
        <w:t xml:space="preserve">The definition of inside information for commodities in Article 7(1)(b) avoids such risk by being more prescriptive, allowing market participants to better assess what constitutes inside information. The removal of the fourth </w:t>
      </w:r>
      <w:r>
        <w:rPr>
          <w:rFonts w:ascii="Gill Sans MT" w:hAnsi="Gill Sans MT"/>
          <w:sz w:val="22"/>
          <w:szCs w:val="22"/>
        </w:rPr>
        <w:t>element (the “disclosability” element)</w:t>
      </w:r>
      <w:r w:rsidRPr="00075E08">
        <w:rPr>
          <w:rFonts w:ascii="Gill Sans MT" w:hAnsi="Gill Sans MT"/>
          <w:sz w:val="22"/>
          <w:szCs w:val="22"/>
        </w:rPr>
        <w:t xml:space="preserve"> of the definition would expand the scope of information falling under this definition significantly and lead to the definition becoming unmanageable for commodity derivatives, given that it includes information that relates to either the commodity derivatives themselves, directly or indirectly, or directly to related spot commodity markets. </w:t>
      </w:r>
    </w:p>
    <w:p w14:paraId="33E12A85" w14:textId="77777777" w:rsidR="00CD46AE" w:rsidRDefault="00CD46AE" w:rsidP="00CD46AE">
      <w:pPr>
        <w:spacing w:after="120"/>
        <w:ind w:left="709" w:right="-23"/>
        <w:jc w:val="both"/>
        <w:rPr>
          <w:rFonts w:ascii="Gill Sans MT" w:hAnsi="Gill Sans MT"/>
          <w:sz w:val="22"/>
          <w:szCs w:val="22"/>
        </w:rPr>
      </w:pPr>
      <w:r w:rsidRPr="00075E08">
        <w:rPr>
          <w:rFonts w:ascii="Gill Sans MT" w:hAnsi="Gill Sans MT"/>
          <w:sz w:val="22"/>
          <w:szCs w:val="22"/>
        </w:rPr>
        <w:t xml:space="preserve">Unless there is an obligation to disclose or market expectation of disclosure of a certain type of information, there may be no specific forum or timeline for disclosure and so often no way for market participants to check </w:t>
      </w:r>
      <w:r>
        <w:rPr>
          <w:rFonts w:ascii="Gill Sans MT" w:hAnsi="Gill Sans MT"/>
          <w:sz w:val="22"/>
          <w:szCs w:val="22"/>
        </w:rPr>
        <w:t>whether information could be inside</w:t>
      </w:r>
      <w:r w:rsidRPr="00075E08">
        <w:rPr>
          <w:rFonts w:ascii="Gill Sans MT" w:hAnsi="Gill Sans MT"/>
          <w:sz w:val="22"/>
          <w:szCs w:val="22"/>
        </w:rPr>
        <w:t xml:space="preserve">.  </w:t>
      </w:r>
    </w:p>
    <w:p w14:paraId="6028F865" w14:textId="77777777" w:rsidR="00CD46AE" w:rsidRPr="00075E08" w:rsidRDefault="00CD46AE" w:rsidP="00CD46AE">
      <w:pPr>
        <w:spacing w:after="120"/>
        <w:ind w:left="709" w:right="-23"/>
        <w:jc w:val="both"/>
        <w:rPr>
          <w:rFonts w:ascii="Gill Sans MT" w:hAnsi="Gill Sans MT"/>
          <w:sz w:val="22"/>
          <w:szCs w:val="22"/>
        </w:rPr>
      </w:pPr>
      <w:r w:rsidRPr="00075E08">
        <w:rPr>
          <w:rFonts w:ascii="Gill Sans MT" w:hAnsi="Gill Sans MT"/>
          <w:sz w:val="22"/>
          <w:szCs w:val="22"/>
        </w:rPr>
        <w:t>Also, if information is of a type that</w:t>
      </w:r>
      <w:r>
        <w:rPr>
          <w:rFonts w:ascii="Gill Sans MT" w:hAnsi="Gill Sans MT"/>
          <w:sz w:val="22"/>
          <w:szCs w:val="22"/>
        </w:rPr>
        <w:t xml:space="preserve"> </w:t>
      </w:r>
      <w:r w:rsidRPr="00075E08">
        <w:rPr>
          <w:rFonts w:ascii="Gill Sans MT" w:hAnsi="Gill Sans MT"/>
          <w:sz w:val="22"/>
          <w:szCs w:val="22"/>
        </w:rPr>
        <w:t xml:space="preserve">is </w:t>
      </w:r>
      <w:r>
        <w:rPr>
          <w:rFonts w:ascii="Gill Sans MT" w:hAnsi="Gill Sans MT"/>
          <w:sz w:val="22"/>
          <w:szCs w:val="22"/>
        </w:rPr>
        <w:t>“</w:t>
      </w:r>
      <w:r w:rsidRPr="00075E08">
        <w:rPr>
          <w:rFonts w:ascii="Gill Sans MT" w:hAnsi="Gill Sans MT"/>
          <w:sz w:val="22"/>
          <w:szCs w:val="22"/>
        </w:rPr>
        <w:t>disclosable</w:t>
      </w:r>
      <w:r>
        <w:rPr>
          <w:rFonts w:ascii="Gill Sans MT" w:hAnsi="Gill Sans MT"/>
          <w:sz w:val="22"/>
          <w:szCs w:val="22"/>
        </w:rPr>
        <w:t>”</w:t>
      </w:r>
      <w:r w:rsidRPr="00075E08">
        <w:rPr>
          <w:rFonts w:ascii="Gill Sans MT" w:hAnsi="Gill Sans MT"/>
          <w:sz w:val="22"/>
          <w:szCs w:val="22"/>
        </w:rPr>
        <w:t xml:space="preserve"> to the rest of the market, market participants would expect to be able to price trades based on that information, - so </w:t>
      </w:r>
      <w:r>
        <w:rPr>
          <w:rFonts w:ascii="Gill Sans MT" w:hAnsi="Gill Sans MT"/>
          <w:sz w:val="22"/>
          <w:szCs w:val="22"/>
        </w:rPr>
        <w:t xml:space="preserve">that using </w:t>
      </w:r>
      <w:r w:rsidRPr="00075E08">
        <w:rPr>
          <w:rFonts w:ascii="Gill Sans MT" w:hAnsi="Gill Sans MT"/>
          <w:sz w:val="22"/>
          <w:szCs w:val="22"/>
        </w:rPr>
        <w:t xml:space="preserve">it ahead of the market in those circumstances would amount to an </w:t>
      </w:r>
      <w:r>
        <w:rPr>
          <w:rFonts w:ascii="Gill Sans MT" w:hAnsi="Gill Sans MT"/>
          <w:sz w:val="22"/>
          <w:szCs w:val="22"/>
        </w:rPr>
        <w:t xml:space="preserve">unfair </w:t>
      </w:r>
      <w:r w:rsidRPr="00075E08">
        <w:rPr>
          <w:rFonts w:ascii="Gill Sans MT" w:hAnsi="Gill Sans MT"/>
          <w:sz w:val="22"/>
          <w:szCs w:val="22"/>
        </w:rPr>
        <w:t>advantage.</w:t>
      </w:r>
      <w:r>
        <w:rPr>
          <w:rFonts w:ascii="Gill Sans MT" w:hAnsi="Gill Sans MT"/>
          <w:sz w:val="22"/>
          <w:szCs w:val="22"/>
        </w:rPr>
        <w:t xml:space="preserve"> This level of information asymmetry would be </w:t>
      </w:r>
      <w:proofErr w:type="gramStart"/>
      <w:r>
        <w:rPr>
          <w:rFonts w:ascii="Gill Sans MT" w:hAnsi="Gill Sans MT"/>
          <w:sz w:val="22"/>
          <w:szCs w:val="22"/>
        </w:rPr>
        <w:t>unfair</w:t>
      </w:r>
      <w:proofErr w:type="gramEnd"/>
      <w:r>
        <w:rPr>
          <w:rFonts w:ascii="Gill Sans MT" w:hAnsi="Gill Sans MT"/>
          <w:sz w:val="22"/>
          <w:szCs w:val="22"/>
        </w:rPr>
        <w:t xml:space="preserve"> and MAR adequately and precisely addresses that in the definition.</w:t>
      </w:r>
    </w:p>
    <w:permEnd w:id="1674213556"/>
    <w:p w14:paraId="3C3E0A86" w14:textId="2ADF2EF3" w:rsidR="00646C30" w:rsidRDefault="00646C30" w:rsidP="00646C30"/>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11A29234" w14:textId="77777777" w:rsidR="00CD46AE" w:rsidRPr="00075E08" w:rsidRDefault="00CD46AE" w:rsidP="00CD46AE">
      <w:pPr>
        <w:spacing w:after="120"/>
        <w:ind w:left="709" w:right="-23"/>
        <w:jc w:val="both"/>
        <w:rPr>
          <w:rFonts w:ascii="Gill Sans MT" w:hAnsi="Gill Sans MT"/>
          <w:sz w:val="22"/>
          <w:szCs w:val="22"/>
        </w:rPr>
      </w:pPr>
      <w:permStart w:id="583142347" w:edGrp="everyone"/>
      <w:r>
        <w:rPr>
          <w:rFonts w:ascii="Gill Sans MT" w:hAnsi="Gill Sans MT"/>
          <w:sz w:val="22"/>
          <w:szCs w:val="22"/>
        </w:rPr>
        <w:t>CMCE Members</w:t>
      </w:r>
      <w:r w:rsidRPr="00075E08">
        <w:rPr>
          <w:rFonts w:ascii="Gill Sans MT" w:hAnsi="Gill Sans MT"/>
          <w:sz w:val="22"/>
          <w:szCs w:val="22"/>
        </w:rPr>
        <w:t xml:space="preserve"> understand that ESMA suggests clarifying that knowledge of pending orders should be inside information not just for persons charged with the execution of orders (as is the framework today) but also for other categories of person (including directors of an issuer, the issuer itself, institutional investors etc.).</w:t>
      </w:r>
    </w:p>
    <w:p w14:paraId="24CF97E1" w14:textId="77777777" w:rsidR="00CD46AE" w:rsidRPr="00075E08" w:rsidRDefault="00CD46AE" w:rsidP="00CD46AE">
      <w:pPr>
        <w:spacing w:after="120"/>
        <w:ind w:left="709" w:right="-23"/>
        <w:jc w:val="both"/>
        <w:rPr>
          <w:rFonts w:ascii="Gill Sans MT" w:hAnsi="Gill Sans MT"/>
          <w:sz w:val="22"/>
          <w:szCs w:val="22"/>
        </w:rPr>
      </w:pPr>
      <w:r w:rsidRPr="00075E08">
        <w:rPr>
          <w:rFonts w:ascii="Gill Sans MT" w:hAnsi="Gill Sans MT"/>
          <w:sz w:val="22"/>
          <w:szCs w:val="22"/>
        </w:rPr>
        <w:t>We consider that the current scope is aimed at the knowledge of other market participants' orders. A person charged with execution of orders is highly likely to have knowledge of other market participants' trading intentions, and so their ability to trade on this information should be limited. A director of an issuer would not come into possession of knowledge about other market participants' trading intentions regarding the issuer as a result of his role as director.</w:t>
      </w:r>
    </w:p>
    <w:p w14:paraId="4B026C0D" w14:textId="77777777" w:rsidR="00CD46AE" w:rsidRPr="00075E08" w:rsidRDefault="00CD46AE" w:rsidP="00CD46AE">
      <w:pPr>
        <w:spacing w:after="120"/>
        <w:ind w:left="709" w:right="-23"/>
        <w:jc w:val="both"/>
        <w:rPr>
          <w:rFonts w:ascii="Gill Sans MT" w:hAnsi="Gill Sans MT"/>
          <w:sz w:val="22"/>
          <w:szCs w:val="22"/>
        </w:rPr>
      </w:pPr>
      <w:r>
        <w:rPr>
          <w:rFonts w:ascii="Gill Sans MT" w:hAnsi="Gill Sans MT"/>
          <w:sz w:val="22"/>
          <w:szCs w:val="22"/>
        </w:rPr>
        <w:t>CMCE Members</w:t>
      </w:r>
      <w:r w:rsidRPr="00075E08">
        <w:rPr>
          <w:rFonts w:ascii="Gill Sans MT" w:hAnsi="Gill Sans MT"/>
          <w:sz w:val="22"/>
          <w:szCs w:val="22"/>
        </w:rPr>
        <w:t xml:space="preserve"> therefore do not see any need to change the scope of the current framework.</w:t>
      </w:r>
    </w:p>
    <w:permEnd w:id="583142347"/>
    <w:p w14:paraId="3C3E0A8B" w14:textId="0212430A" w:rsidR="00646C30" w:rsidRDefault="00646C30" w:rsidP="00646C30"/>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D3DD2B4" w14:textId="77777777" w:rsidR="00CD46AE" w:rsidRPr="00705E8C" w:rsidRDefault="00CD46AE" w:rsidP="00CD46AE">
      <w:pPr>
        <w:spacing w:after="120"/>
        <w:ind w:left="709" w:right="-23"/>
        <w:jc w:val="both"/>
        <w:rPr>
          <w:rFonts w:ascii="Gill Sans MT" w:hAnsi="Gill Sans MT"/>
          <w:sz w:val="22"/>
          <w:szCs w:val="22"/>
        </w:rPr>
      </w:pPr>
      <w:permStart w:id="1948856452" w:edGrp="everyone"/>
      <w:r w:rsidRPr="00705E8C">
        <w:rPr>
          <w:rFonts w:ascii="Gill Sans MT" w:hAnsi="Gill Sans MT"/>
          <w:sz w:val="22"/>
          <w:szCs w:val="22"/>
        </w:rPr>
        <w:t>No, CMCE Members consider that the current regime generally prohibiting front running client orders works well.</w:t>
      </w:r>
    </w:p>
    <w:p w14:paraId="07C9295F" w14:textId="77777777" w:rsidR="00CD46AE" w:rsidRPr="00705E8C" w:rsidRDefault="00CD46AE" w:rsidP="00CD46AE">
      <w:pPr>
        <w:spacing w:after="120"/>
        <w:ind w:left="709" w:right="-23"/>
        <w:jc w:val="both"/>
        <w:rPr>
          <w:rFonts w:ascii="Gill Sans MT" w:hAnsi="Gill Sans MT"/>
          <w:sz w:val="22"/>
          <w:szCs w:val="22"/>
        </w:rPr>
      </w:pPr>
      <w:r w:rsidRPr="00705E8C">
        <w:rPr>
          <w:rFonts w:ascii="Gill Sans MT" w:hAnsi="Gill Sans MT"/>
          <w:sz w:val="22"/>
          <w:szCs w:val="22"/>
        </w:rPr>
        <w:t>It is clear that front-running could have a greater adverse effect on a customer in an illiquid market (although each case will depend on its own facts), but this is relevant only to an assessment of the impact of the offence; it does not – and, in our view, should not – affect an assessment of whether or not the offence has been committed.</w:t>
      </w:r>
    </w:p>
    <w:p w14:paraId="4B44DD27" w14:textId="77777777" w:rsidR="00CD46AE" w:rsidRPr="00157795" w:rsidRDefault="00CD46AE" w:rsidP="00CD46AE">
      <w:pPr>
        <w:spacing w:after="120"/>
        <w:ind w:left="709" w:right="-23"/>
        <w:jc w:val="both"/>
        <w:rPr>
          <w:rFonts w:ascii="Gill Sans MT" w:hAnsi="Gill Sans MT" w:cstheme="minorHAnsi"/>
          <w:sz w:val="22"/>
          <w:szCs w:val="22"/>
          <w:u w:val="single"/>
        </w:rPr>
      </w:pPr>
      <w:r w:rsidRPr="00705E8C">
        <w:rPr>
          <w:rFonts w:ascii="Gill Sans MT" w:hAnsi="Gill Sans MT"/>
          <w:sz w:val="22"/>
          <w:szCs w:val="22"/>
        </w:rPr>
        <w:t xml:space="preserve">Front-running should be defined simply and clearly (as it currently stands), without variations for different market conditions.  </w:t>
      </w:r>
    </w:p>
    <w:permEnd w:id="1948856452"/>
    <w:p w14:paraId="3C3E0A90" w14:textId="1A58017D" w:rsidR="00646C30" w:rsidRDefault="00646C30" w:rsidP="00646C30"/>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98D3F29" w14:textId="77777777" w:rsidR="00CD46AE" w:rsidRDefault="00CD46AE" w:rsidP="00CD46AE">
      <w:pPr>
        <w:spacing w:after="120"/>
        <w:ind w:left="709" w:right="-23"/>
        <w:jc w:val="both"/>
        <w:rPr>
          <w:rFonts w:ascii="Gill Sans MT" w:hAnsi="Gill Sans MT"/>
          <w:sz w:val="22"/>
          <w:szCs w:val="22"/>
        </w:rPr>
      </w:pPr>
      <w:permStart w:id="969017955" w:edGrp="everyone"/>
      <w:r>
        <w:rPr>
          <w:rFonts w:ascii="Gill Sans MT" w:hAnsi="Gill Sans MT"/>
          <w:sz w:val="22"/>
          <w:szCs w:val="22"/>
        </w:rPr>
        <w:t xml:space="preserve">CMCE Members consider the key risk to be that of brokers front-running their clients. The risk is that the person who placed the order may be disadvantaged as a result of the broker using that information to trade or facilitates trades which will disadvantage that customer.  </w:t>
      </w:r>
    </w:p>
    <w:p w14:paraId="7ABCD092" w14:textId="77777777" w:rsidR="00CD46AE" w:rsidRDefault="00CD46AE" w:rsidP="00CD46AE">
      <w:pPr>
        <w:spacing w:after="120"/>
        <w:ind w:left="709" w:right="-23"/>
        <w:jc w:val="both"/>
        <w:rPr>
          <w:rFonts w:ascii="Gill Sans MT" w:hAnsi="Gill Sans MT"/>
          <w:sz w:val="22"/>
          <w:szCs w:val="22"/>
        </w:rPr>
      </w:pPr>
      <w:r>
        <w:rPr>
          <w:rFonts w:ascii="Gill Sans MT" w:hAnsi="Gill Sans MT"/>
          <w:sz w:val="22"/>
          <w:szCs w:val="22"/>
        </w:rPr>
        <w:t>In other context, pre-hedging can be necessary and can work to the advantage of customers.  For example, a firm may need to pre-hedge in order to establish whether and at what price it can accept an order.  Without that ability, some orders would not be filled.</w:t>
      </w:r>
    </w:p>
    <w:p w14:paraId="389A7896" w14:textId="77777777" w:rsidR="00CD46AE" w:rsidRDefault="00CD46AE" w:rsidP="00CD46AE">
      <w:pPr>
        <w:spacing w:after="120"/>
        <w:ind w:left="709" w:right="-23"/>
        <w:jc w:val="both"/>
        <w:rPr>
          <w:rFonts w:ascii="Gill Sans MT" w:hAnsi="Gill Sans MT"/>
          <w:sz w:val="22"/>
          <w:szCs w:val="22"/>
        </w:rPr>
      </w:pPr>
      <w:r>
        <w:rPr>
          <w:rFonts w:ascii="Gill Sans MT" w:hAnsi="Gill Sans MT"/>
          <w:sz w:val="22"/>
          <w:szCs w:val="22"/>
        </w:rPr>
        <w:t xml:space="preserve">A balance in the legislation is therefore required. The current MAR regime is appropriately tailored to address the risks and balanced to enable the market to fill customer orders when required. </w:t>
      </w:r>
    </w:p>
    <w:permEnd w:id="969017955"/>
    <w:p w14:paraId="3C3E0A95" w14:textId="2FC1D175" w:rsidR="00646C30" w:rsidRDefault="00646C30" w:rsidP="00646C30"/>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7E442CCE" w14:textId="77777777" w:rsidR="00CD46AE" w:rsidRDefault="00CD46AE" w:rsidP="00CD46AE">
      <w:pPr>
        <w:pStyle w:val="CPQuestions"/>
        <w:numPr>
          <w:ilvl w:val="0"/>
          <w:numId w:val="0"/>
        </w:numPr>
        <w:spacing w:before="0" w:after="120" w:line="240" w:lineRule="auto"/>
        <w:ind w:left="709" w:right="-23"/>
        <w:rPr>
          <w:rFonts w:ascii="Gill Sans MT" w:hAnsi="Gill Sans MT" w:cstheme="minorHAnsi"/>
          <w:b w:val="0"/>
          <w:szCs w:val="22"/>
        </w:rPr>
      </w:pPr>
      <w:permStart w:id="210436899" w:edGrp="everyone"/>
      <w:r w:rsidRPr="0002747D">
        <w:rPr>
          <w:rFonts w:ascii="Gill Sans MT" w:hAnsi="Gill Sans MT" w:cstheme="minorHAnsi"/>
          <w:b w:val="0"/>
          <w:szCs w:val="22"/>
        </w:rPr>
        <w:t>See our response to Question 22.</w:t>
      </w:r>
    </w:p>
    <w:permEnd w:id="210436899"/>
    <w:p w14:paraId="3C3E0A9A" w14:textId="49D15204" w:rsidR="00646C30" w:rsidRDefault="00646C30" w:rsidP="00646C30"/>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092FD05F" w14:textId="77777777" w:rsidR="00CD46AE" w:rsidRDefault="00CD46AE" w:rsidP="00CD46AE">
      <w:pPr>
        <w:pStyle w:val="CPQuestions"/>
        <w:numPr>
          <w:ilvl w:val="0"/>
          <w:numId w:val="0"/>
        </w:numPr>
        <w:spacing w:before="0" w:after="120" w:line="240" w:lineRule="auto"/>
        <w:ind w:left="709" w:right="-23"/>
        <w:rPr>
          <w:rFonts w:ascii="Gill Sans MT" w:hAnsi="Gill Sans MT" w:cstheme="minorHAnsi"/>
          <w:szCs w:val="22"/>
        </w:rPr>
      </w:pPr>
      <w:permStart w:id="1807571479" w:edGrp="everyone"/>
      <w:r w:rsidRPr="00406C1A">
        <w:rPr>
          <w:rFonts w:ascii="Gill Sans MT" w:hAnsi="Gill Sans MT" w:cstheme="minorHAnsi"/>
          <w:b w:val="0"/>
          <w:szCs w:val="22"/>
        </w:rPr>
        <w:t>Pre-hedging is a feature of any commodity derivative market and not specific to any one instrument.</w:t>
      </w:r>
      <w:r>
        <w:rPr>
          <w:rFonts w:ascii="Gill Sans MT" w:hAnsi="Gill Sans MT" w:cstheme="minorHAnsi"/>
          <w:szCs w:val="22"/>
        </w:rPr>
        <w:t xml:space="preserve"> </w:t>
      </w:r>
    </w:p>
    <w:permEnd w:id="1807571479"/>
    <w:p w14:paraId="3C3E0A9F" w14:textId="5A8DB399" w:rsidR="00646C30" w:rsidRDefault="00646C30" w:rsidP="00646C30"/>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3C3E0AA4" w14:textId="77777777" w:rsidR="00646C30" w:rsidRDefault="00646C30" w:rsidP="00646C30">
      <w:permStart w:id="611875542" w:edGrp="everyone"/>
      <w:r>
        <w:t>TYPE YOUR TEXT HERE</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lastRenderedPageBreak/>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77777777" w:rsidR="00646C30" w:rsidRDefault="00646C30" w:rsidP="00646C30">
      <w:permStart w:id="1829000557" w:edGrp="everyone"/>
      <w:r>
        <w:t>TYPE YOUR TEXT HERE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3C3E0AAE" w14:textId="77777777" w:rsidR="00646C30" w:rsidRDefault="00646C30" w:rsidP="00646C30">
      <w:permStart w:id="1678079242" w:edGrp="everyone"/>
      <w:r>
        <w:t>TYPE YOUR TEXT HERE</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77777777" w:rsidR="00646C30" w:rsidRDefault="00646C30" w:rsidP="00646C30">
      <w:permStart w:id="266360711" w:edGrp="everyone"/>
      <w:r>
        <w:t>TYPE YOUR TEXT HERE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77777777" w:rsidR="00646C30" w:rsidRDefault="00646C30" w:rsidP="00646C30">
      <w:permStart w:id="1420902335" w:edGrp="everyone"/>
      <w:r>
        <w:t>TYPE YOUR TEXT HERE</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lastRenderedPageBreak/>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77777777" w:rsidR="00646C30" w:rsidRDefault="00646C30" w:rsidP="00646C30">
      <w:permStart w:id="1371158119" w:edGrp="everyone"/>
      <w:r>
        <w:t>TYPE YOUR TEXT HERE</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77777777" w:rsidR="00646C30" w:rsidRDefault="00646C30" w:rsidP="00646C30">
      <w:permStart w:id="146477293" w:edGrp="everyone"/>
      <w:r>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7777777" w:rsidR="00646C30" w:rsidRDefault="00646C30" w:rsidP="00646C30">
      <w:permStart w:id="73213744" w:edGrp="everyone"/>
      <w:r>
        <w:t>TYPE YOUR TEXT HERE</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77777777" w:rsidR="00646C30" w:rsidRDefault="00646C30" w:rsidP="00646C30">
      <w:permStart w:id="720899510" w:edGrp="everyone"/>
      <w:r>
        <w:t>TYPE YOUR TEXT HERE</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lastRenderedPageBreak/>
        <w:t>&lt;ESMA_QUESTION_CP_MAR_</w:t>
      </w:r>
      <w:r w:rsidR="00B6351C">
        <w:t>37</w:t>
      </w:r>
      <w:r>
        <w:t>&gt;</w:t>
      </w:r>
    </w:p>
    <w:p w14:paraId="3C3E0AE0" w14:textId="77777777" w:rsidR="00646C30" w:rsidRDefault="00646C30" w:rsidP="00646C30">
      <w:permStart w:id="427762830" w:edGrp="everyone"/>
      <w:r>
        <w:t>TYPE YOUR TEXT HERE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77777777" w:rsidR="00646C30" w:rsidRDefault="00646C30" w:rsidP="00646C30">
      <w:permStart w:id="2098217667" w:edGrp="everyone"/>
      <w:r>
        <w:t>TYPE YOUR TEXT HERE</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3C3E0AEA" w14:textId="77777777" w:rsidR="00646C30" w:rsidRDefault="00646C30" w:rsidP="00646C30">
      <w:permStart w:id="1933056180" w:edGrp="everyone"/>
      <w:r>
        <w:t>TYPE YOUR TEXT HERE</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3C3E0AEF" w14:textId="77777777" w:rsidR="00646C30" w:rsidRDefault="00646C30" w:rsidP="00646C30">
      <w:permStart w:id="1252881600" w:edGrp="everyone"/>
      <w:r>
        <w:t>TYPE YOUR TEXT HERE</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C3E0AF4" w14:textId="77777777" w:rsidR="00646C30" w:rsidRDefault="00646C30" w:rsidP="00646C30">
      <w:permStart w:id="93392546" w:edGrp="everyone"/>
      <w:r>
        <w:t>TYPE YOUR TEXT HERE</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3C3E0AF9" w14:textId="77777777" w:rsidR="00646C30" w:rsidRDefault="00646C30" w:rsidP="00646C30">
      <w:permStart w:id="1148858332" w:edGrp="everyone"/>
      <w:r>
        <w:t>TYPE YOUR TEXT HERE</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lastRenderedPageBreak/>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3C3E0AFE" w14:textId="77777777" w:rsidR="00646C30" w:rsidRDefault="00646C30" w:rsidP="00646C30">
      <w:permStart w:id="513950227" w:edGrp="everyone"/>
      <w:r>
        <w:t>TYPE YOUR TEXT HERE</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3C3E0B03" w14:textId="77777777" w:rsidR="00646C30" w:rsidRDefault="00646C30" w:rsidP="00646C30">
      <w:permStart w:id="1908500529" w:edGrp="everyone"/>
      <w:r>
        <w:t>TYPE YOUR TEXT HERE</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77777777" w:rsidR="00646C30" w:rsidRDefault="00646C30" w:rsidP="00646C30">
      <w:permStart w:id="673864140" w:edGrp="everyone"/>
      <w:r>
        <w:t>TYPE YOUR TEXT HERE</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3C3E0B0D" w14:textId="77777777" w:rsidR="00646C30" w:rsidRDefault="00646C30" w:rsidP="00646C30">
      <w:permStart w:id="274992488" w:edGrp="everyone"/>
      <w:r>
        <w:t>TYPE YOUR TEXT HERE</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77777777" w:rsidR="00646C30" w:rsidRDefault="00646C30" w:rsidP="00646C30">
      <w:permStart w:id="1265633318" w:edGrp="everyone"/>
      <w:r>
        <w:t>TYPE YOUR TEXT HERE</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77777777" w:rsidR="00646C30" w:rsidRDefault="00646C30" w:rsidP="00646C30">
      <w:permStart w:id="234174884" w:edGrp="everyone"/>
      <w:r>
        <w:t>TYPE YOUR TEXT HERE</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77777777" w:rsidR="00646C30" w:rsidRDefault="00646C30" w:rsidP="00646C30">
      <w:permStart w:id="619659001" w:edGrp="everyone"/>
      <w:r>
        <w:t>TYPE YOUR TEXT HERE</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lastRenderedPageBreak/>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C3E0B3A" w14:textId="77777777" w:rsidR="00646C30" w:rsidRDefault="00646C30" w:rsidP="00646C30">
      <w:permStart w:id="680881453" w:edGrp="everyone"/>
      <w:r>
        <w:t>TYPE YOUR TEXT HERE</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77777777" w:rsidR="00646C30" w:rsidRDefault="00646C30" w:rsidP="00646C30">
      <w:permStart w:id="1771316849" w:edGrp="everyone"/>
      <w:r>
        <w:t>TYPE YOUR TEXT HERE</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lastRenderedPageBreak/>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 xml:space="preserve">Please provide your views on the abovementioned harmonisation of reporting formats of order book data. In addition, please provide your views on the impact and cost linked to the implementation of new common standards to transmit order book </w:t>
      </w:r>
      <w:r w:rsidRPr="0042739E">
        <w:lastRenderedPageBreak/>
        <w:t>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425FC7B3" w14:textId="77777777" w:rsidR="00CD46AE" w:rsidRPr="00705E8C" w:rsidRDefault="00CD46AE" w:rsidP="00CD46AE">
      <w:pPr>
        <w:spacing w:after="120"/>
        <w:ind w:left="709" w:right="-23"/>
        <w:jc w:val="both"/>
        <w:rPr>
          <w:rFonts w:ascii="Gill Sans MT" w:hAnsi="Gill Sans MT"/>
          <w:sz w:val="22"/>
          <w:szCs w:val="22"/>
        </w:rPr>
      </w:pPr>
      <w:permStart w:id="2025406494" w:edGrp="everyone"/>
      <w:r w:rsidRPr="00705E8C">
        <w:rPr>
          <w:rFonts w:ascii="Gill Sans MT" w:hAnsi="Gill Sans MT"/>
          <w:sz w:val="22"/>
          <w:szCs w:val="22"/>
        </w:rPr>
        <w:t>CMCE is concerned about the implication of reporting order book data, as this would entail reporting an order of magnitude more information than transaction reporting. Order book information is highly time sensitive and adding in reporting formats may reduce the performance of otherwise low latency environments.</w:t>
      </w:r>
    </w:p>
    <w:p w14:paraId="6F7CEB93" w14:textId="77777777" w:rsidR="00CD46AE" w:rsidRPr="00705E8C" w:rsidRDefault="00CD46AE" w:rsidP="00CD46AE">
      <w:pPr>
        <w:spacing w:after="120"/>
        <w:ind w:left="709" w:right="-23"/>
        <w:jc w:val="both"/>
        <w:rPr>
          <w:rFonts w:ascii="Gill Sans MT" w:hAnsi="Gill Sans MT"/>
          <w:sz w:val="22"/>
          <w:szCs w:val="22"/>
        </w:rPr>
      </w:pPr>
      <w:r w:rsidRPr="00705E8C">
        <w:rPr>
          <w:rFonts w:ascii="Gill Sans MT" w:hAnsi="Gill Sans MT"/>
          <w:sz w:val="22"/>
          <w:szCs w:val="22"/>
        </w:rPr>
        <w:t>The reportable information may also extend to include personal information, such as trader IDs. This would be a significant change in the reporting approach akin to that associated with MiFID II. That would potentially have a chilling effect on trading in the EEA as market participants may choose instead to trade under regimes which do not have the same reporting requirements. This impact was seen in the implementation of MiFID II on FX derivatives.</w:t>
      </w:r>
    </w:p>
    <w:p w14:paraId="26666688" w14:textId="77777777" w:rsidR="00CD46AE" w:rsidRPr="00705E8C" w:rsidRDefault="00CD46AE" w:rsidP="00CD46AE">
      <w:pPr>
        <w:spacing w:after="120"/>
        <w:ind w:left="709" w:right="-23"/>
        <w:jc w:val="both"/>
        <w:rPr>
          <w:rFonts w:ascii="Gill Sans MT" w:hAnsi="Gill Sans MT"/>
          <w:sz w:val="22"/>
          <w:szCs w:val="22"/>
        </w:rPr>
      </w:pPr>
      <w:r w:rsidRPr="00705E8C">
        <w:rPr>
          <w:rFonts w:ascii="Gill Sans MT" w:hAnsi="Gill Sans MT"/>
          <w:sz w:val="22"/>
          <w:szCs w:val="22"/>
        </w:rPr>
        <w:t>At this stage venues only register an order at the point of the final instruction leading to the order. Full order capture would be extremely costly or practically unworkable.</w:t>
      </w:r>
    </w:p>
    <w:permEnd w:id="2025406494"/>
    <w:p w14:paraId="3C3E0B70" w14:textId="6AE3DB45" w:rsidR="00646C30" w:rsidRDefault="00646C30" w:rsidP="00646C30"/>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6BAAFB0" w14:textId="77777777" w:rsidR="00CD46AE" w:rsidRDefault="00CD46AE" w:rsidP="00CD46AE">
      <w:pPr>
        <w:spacing w:before="360" w:after="240"/>
        <w:ind w:left="709" w:right="-23"/>
        <w:jc w:val="both"/>
        <w:rPr>
          <w:rFonts w:ascii="Gill Sans MT" w:hAnsi="Gill Sans MT"/>
          <w:sz w:val="22"/>
          <w:szCs w:val="22"/>
        </w:rPr>
      </w:pPr>
      <w:permStart w:id="482090286" w:edGrp="everyone"/>
      <w:r w:rsidRPr="00705E8C">
        <w:rPr>
          <w:rFonts w:ascii="Gill Sans MT" w:hAnsi="Gill Sans MT"/>
          <w:sz w:val="22"/>
          <w:szCs w:val="22"/>
        </w:rPr>
        <w:t>Trading venues already have record keeping requirements and obligation to make available on request. The incremental cost between recording as current and transmitting would be orders of magnitude more significant than the current volumes of transactions reported. ESMA’s concerns regarding the sheer number of orders and transactions generated in the spot FX market (in the context of the questions regarding extension of MAR to spot FX) are relevant here.</w:t>
      </w:r>
    </w:p>
    <w:permEnd w:id="482090286"/>
    <w:p w14:paraId="3C3E0B75" w14:textId="6FDE1AE5" w:rsidR="00646C30" w:rsidRDefault="00646C30" w:rsidP="00646C30"/>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lastRenderedPageBreak/>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3FCDA" w14:textId="77777777" w:rsidR="00976BAB" w:rsidRDefault="00976BAB">
      <w:r>
        <w:separator/>
      </w:r>
    </w:p>
    <w:p w14:paraId="04B8117D" w14:textId="77777777" w:rsidR="00976BAB" w:rsidRDefault="00976BAB"/>
  </w:endnote>
  <w:endnote w:type="continuationSeparator" w:id="0">
    <w:p w14:paraId="674B0D48" w14:textId="77777777" w:rsidR="00976BAB" w:rsidRDefault="00976BAB">
      <w:r>
        <w:continuationSeparator/>
      </w:r>
    </w:p>
    <w:p w14:paraId="454979FE" w14:textId="77777777" w:rsidR="00976BAB" w:rsidRDefault="00976BAB"/>
  </w:endnote>
  <w:endnote w:type="continuationNotice" w:id="1">
    <w:p w14:paraId="77C9E7C6" w14:textId="77777777" w:rsidR="00976BAB" w:rsidRDefault="00976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D46AE" w:rsidRPr="00616B9B" w14:paraId="3C3E0B9C" w14:textId="77777777" w:rsidTr="00315E96">
      <w:trPr>
        <w:trHeight w:val="284"/>
      </w:trPr>
      <w:tc>
        <w:tcPr>
          <w:tcW w:w="8460" w:type="dxa"/>
        </w:tcPr>
        <w:p w14:paraId="3C3E0B9A" w14:textId="77777777" w:rsidR="00CD46AE" w:rsidRPr="00315E96" w:rsidRDefault="00CD46AE" w:rsidP="00315E96">
          <w:pPr>
            <w:pStyle w:val="00Footer"/>
            <w:rPr>
              <w:lang w:val="fr-FR"/>
            </w:rPr>
          </w:pPr>
        </w:p>
      </w:tc>
      <w:tc>
        <w:tcPr>
          <w:tcW w:w="952" w:type="dxa"/>
        </w:tcPr>
        <w:p w14:paraId="3C3E0B9B" w14:textId="77777777" w:rsidR="00CD46AE" w:rsidRPr="00616B9B" w:rsidRDefault="00CD46AE"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C3E0B9D" w14:textId="77777777" w:rsidR="00CD46AE" w:rsidRDefault="00CD4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CD46AE" w:rsidRDefault="00CD4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56909" w14:textId="77777777" w:rsidR="00976BAB" w:rsidRDefault="00976BAB">
      <w:r>
        <w:separator/>
      </w:r>
    </w:p>
    <w:p w14:paraId="154B6081" w14:textId="77777777" w:rsidR="00976BAB" w:rsidRDefault="00976BAB"/>
  </w:footnote>
  <w:footnote w:type="continuationSeparator" w:id="0">
    <w:p w14:paraId="35BBBA9D" w14:textId="77777777" w:rsidR="00976BAB" w:rsidRDefault="00976BAB">
      <w:r>
        <w:continuationSeparator/>
      </w:r>
    </w:p>
    <w:p w14:paraId="7DF2EADA" w14:textId="77777777" w:rsidR="00976BAB" w:rsidRDefault="00976BAB"/>
  </w:footnote>
  <w:footnote w:type="continuationNotice" w:id="1">
    <w:p w14:paraId="14965C87" w14:textId="77777777" w:rsidR="00976BAB" w:rsidRDefault="00976BAB"/>
  </w:footnote>
  <w:footnote w:id="2">
    <w:p w14:paraId="5FCF001A" w14:textId="77777777" w:rsidR="00CD46AE" w:rsidRDefault="00CD46AE" w:rsidP="00EF7F44">
      <w:pPr>
        <w:pStyle w:val="FootnoteText"/>
      </w:pPr>
      <w:r>
        <w:rPr>
          <w:rStyle w:val="FootnoteReference"/>
        </w:rPr>
        <w:footnoteRef/>
      </w:r>
      <w:r>
        <w:t xml:space="preserve"> </w:t>
      </w:r>
      <w:hyperlink r:id="rId1" w:history="1">
        <w:r w:rsidRPr="00BE309B">
          <w:rPr>
            <w:rStyle w:val="Hyperlink"/>
          </w:rPr>
          <w:t>https://www.ofgem.gov.uk/publications-and-updates/pricing-benchmarks-gas-and-electricity-markets-call-evidence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CD46AE" w:rsidRDefault="00CD46AE">
    <w:pPr>
      <w:pStyle w:val="Header"/>
    </w:pPr>
    <w:r>
      <w:rPr>
        <w:noProof/>
        <w:lang w:eastAsia="en-GB"/>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CD46AE" w:rsidRDefault="00CD46AE" w:rsidP="00013CCE">
    <w:pPr>
      <w:pStyle w:val="Header"/>
      <w:jc w:val="right"/>
    </w:pPr>
    <w:r>
      <w:rPr>
        <w:noProof/>
        <w:lang w:eastAsia="en-GB"/>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CD46AE" w:rsidRDefault="00CD46A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D46AE" w:rsidRPr="002F4496" w14:paraId="3C3E0BA2" w14:textId="77777777" w:rsidTr="000C06C9">
      <w:trPr>
        <w:trHeight w:val="284"/>
      </w:trPr>
      <w:tc>
        <w:tcPr>
          <w:tcW w:w="8460" w:type="dxa"/>
        </w:tcPr>
        <w:p w14:paraId="3C3E0BA0" w14:textId="77777777" w:rsidR="00CD46AE" w:rsidRPr="000C3B6D" w:rsidRDefault="00CD46AE" w:rsidP="000C06C9">
          <w:pPr>
            <w:pStyle w:val="00Footer"/>
            <w:rPr>
              <w:lang w:val="fr-FR"/>
            </w:rPr>
          </w:pPr>
        </w:p>
      </w:tc>
      <w:tc>
        <w:tcPr>
          <w:tcW w:w="952" w:type="dxa"/>
        </w:tcPr>
        <w:p w14:paraId="3C3E0BA1" w14:textId="77777777" w:rsidR="00CD46AE" w:rsidRPr="00146B34" w:rsidRDefault="00CD46AE" w:rsidP="000C06C9">
          <w:pPr>
            <w:pStyle w:val="00aPagenumber"/>
            <w:rPr>
              <w:lang w:val="fr-FR"/>
            </w:rPr>
          </w:pPr>
        </w:p>
      </w:tc>
    </w:tr>
  </w:tbl>
  <w:p w14:paraId="3C3E0BA3" w14:textId="77777777" w:rsidR="00CD46AE" w:rsidRPr="00DB46C3" w:rsidRDefault="00CD46AE">
    <w:pPr>
      <w:rPr>
        <w:lang w:val="fr-FR"/>
      </w:rPr>
    </w:pPr>
  </w:p>
  <w:p w14:paraId="3C3E0BA4" w14:textId="77777777" w:rsidR="00CD46AE" w:rsidRPr="002F4496" w:rsidRDefault="00CD46AE">
    <w:pPr>
      <w:pStyle w:val="Header"/>
      <w:rPr>
        <w:lang w:val="fr-FR"/>
      </w:rPr>
    </w:pPr>
  </w:p>
  <w:p w14:paraId="3C3E0BA5" w14:textId="77777777" w:rsidR="00CD46AE" w:rsidRPr="002F4496" w:rsidRDefault="00CD46AE" w:rsidP="000C06C9">
    <w:pPr>
      <w:pStyle w:val="Header"/>
      <w:tabs>
        <w:tab w:val="clear" w:pos="4536"/>
        <w:tab w:val="clear" w:pos="9072"/>
        <w:tab w:val="left" w:pos="8227"/>
      </w:tabs>
      <w:rPr>
        <w:lang w:val="fr-FR"/>
      </w:rPr>
    </w:pPr>
  </w:p>
  <w:p w14:paraId="3C3E0BA6" w14:textId="77777777" w:rsidR="00CD46AE" w:rsidRPr="002F4496" w:rsidRDefault="00CD46AE" w:rsidP="00583885">
    <w:pPr>
      <w:pStyle w:val="Header"/>
      <w:jc w:val="right"/>
      <w:rPr>
        <w:lang w:val="fr-FR"/>
      </w:rPr>
    </w:pPr>
  </w:p>
  <w:p w14:paraId="3C3E0BA7" w14:textId="77777777" w:rsidR="00CD46AE" w:rsidRPr="002F4496" w:rsidRDefault="00CD46AE">
    <w:pPr>
      <w:pStyle w:val="Header"/>
      <w:rPr>
        <w:lang w:val="fr-FR"/>
      </w:rPr>
    </w:pPr>
  </w:p>
  <w:p w14:paraId="3C3E0BA8" w14:textId="77777777" w:rsidR="00CD46AE" w:rsidRPr="002F4496" w:rsidRDefault="00CD46AE">
    <w:pPr>
      <w:pStyle w:val="Header"/>
      <w:rPr>
        <w:lang w:val="fr-FR"/>
      </w:rPr>
    </w:pPr>
  </w:p>
  <w:p w14:paraId="3C3E0BA9" w14:textId="77777777" w:rsidR="00CD46AE" w:rsidRPr="002F4496" w:rsidRDefault="00CD46AE">
    <w:pPr>
      <w:pStyle w:val="Header"/>
      <w:rPr>
        <w:lang w:val="fr-FR"/>
      </w:rPr>
    </w:pPr>
  </w:p>
  <w:p w14:paraId="3C3E0BAA" w14:textId="77777777" w:rsidR="00CD46AE" w:rsidRPr="002F4496" w:rsidRDefault="00CD46AE">
    <w:pPr>
      <w:pStyle w:val="Header"/>
      <w:rPr>
        <w:highlight w:val="yellow"/>
        <w:lang w:val="fr-FR"/>
      </w:rPr>
    </w:pPr>
  </w:p>
  <w:p w14:paraId="3C3E0BAB" w14:textId="77777777" w:rsidR="00CD46AE" w:rsidRDefault="00CD46AE">
    <w:pPr>
      <w:pStyle w:val="Header"/>
    </w:pPr>
    <w:r>
      <w:rPr>
        <w:noProof/>
        <w:lang w:eastAsia="en-GB"/>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7701B2"/>
    <w:multiLevelType w:val="hybridMultilevel"/>
    <w:tmpl w:val="62EEE282"/>
    <w:lvl w:ilvl="0" w:tplc="8CD2E096">
      <w:start w:val="1"/>
      <w:numFmt w:val="decimal"/>
      <w:lvlText w:val="(%1)"/>
      <w:lvlJc w:val="left"/>
      <w:pPr>
        <w:ind w:left="1440" w:hanging="360"/>
      </w:pPr>
      <w:rPr>
        <w:rFonts w:hint="default"/>
      </w:rPr>
    </w:lvl>
    <w:lvl w:ilvl="1" w:tplc="5BAAE692" w:tentative="1">
      <w:start w:val="1"/>
      <w:numFmt w:val="lowerLetter"/>
      <w:lvlText w:val="%2."/>
      <w:lvlJc w:val="left"/>
      <w:pPr>
        <w:ind w:left="2160" w:hanging="360"/>
      </w:pPr>
    </w:lvl>
    <w:lvl w:ilvl="2" w:tplc="2BDCE7B8" w:tentative="1">
      <w:start w:val="1"/>
      <w:numFmt w:val="lowerRoman"/>
      <w:lvlText w:val="%3."/>
      <w:lvlJc w:val="right"/>
      <w:pPr>
        <w:ind w:left="2880" w:hanging="180"/>
      </w:pPr>
    </w:lvl>
    <w:lvl w:ilvl="3" w:tplc="2CBEDE7A" w:tentative="1">
      <w:start w:val="1"/>
      <w:numFmt w:val="decimal"/>
      <w:lvlText w:val="%4."/>
      <w:lvlJc w:val="left"/>
      <w:pPr>
        <w:ind w:left="3600" w:hanging="360"/>
      </w:pPr>
    </w:lvl>
    <w:lvl w:ilvl="4" w:tplc="83D2B86C" w:tentative="1">
      <w:start w:val="1"/>
      <w:numFmt w:val="lowerLetter"/>
      <w:lvlText w:val="%5."/>
      <w:lvlJc w:val="left"/>
      <w:pPr>
        <w:ind w:left="4320" w:hanging="360"/>
      </w:pPr>
    </w:lvl>
    <w:lvl w:ilvl="5" w:tplc="B216738C" w:tentative="1">
      <w:start w:val="1"/>
      <w:numFmt w:val="lowerRoman"/>
      <w:lvlText w:val="%6."/>
      <w:lvlJc w:val="right"/>
      <w:pPr>
        <w:ind w:left="5040" w:hanging="180"/>
      </w:pPr>
    </w:lvl>
    <w:lvl w:ilvl="6" w:tplc="39AA85F8" w:tentative="1">
      <w:start w:val="1"/>
      <w:numFmt w:val="decimal"/>
      <w:lvlText w:val="%7."/>
      <w:lvlJc w:val="left"/>
      <w:pPr>
        <w:ind w:left="5760" w:hanging="360"/>
      </w:pPr>
    </w:lvl>
    <w:lvl w:ilvl="7" w:tplc="074C6A5A" w:tentative="1">
      <w:start w:val="1"/>
      <w:numFmt w:val="lowerLetter"/>
      <w:lvlText w:val="%8."/>
      <w:lvlJc w:val="left"/>
      <w:pPr>
        <w:ind w:left="6480" w:hanging="360"/>
      </w:pPr>
    </w:lvl>
    <w:lvl w:ilvl="8" w:tplc="59603C0C" w:tentative="1">
      <w:start w:val="1"/>
      <w:numFmt w:val="lowerRoman"/>
      <w:lvlText w:val="%9."/>
      <w:lvlJc w:val="right"/>
      <w:pPr>
        <w:ind w:left="7200" w:hanging="18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60796A"/>
    <w:multiLevelType w:val="hybridMultilevel"/>
    <w:tmpl w:val="4516CB12"/>
    <w:lvl w:ilvl="0" w:tplc="1A08F2B4">
      <w:start w:val="15"/>
      <w:numFmt w:val="bullet"/>
      <w:lvlText w:val="-"/>
      <w:lvlJc w:val="left"/>
      <w:pPr>
        <w:ind w:left="765" w:hanging="360"/>
      </w:pPr>
      <w:rPr>
        <w:rFonts w:ascii="Calibri" w:eastAsiaTheme="minorHAnsi" w:hAnsi="Calibri" w:cs="Calibri" w:hint="default"/>
      </w:rPr>
    </w:lvl>
    <w:lvl w:ilvl="1" w:tplc="9DC63CFC">
      <w:start w:val="1"/>
      <w:numFmt w:val="lowerLetter"/>
      <w:lvlText w:val="%2."/>
      <w:lvlJc w:val="left"/>
      <w:pPr>
        <w:ind w:left="1485" w:hanging="360"/>
      </w:pPr>
    </w:lvl>
    <w:lvl w:ilvl="2" w:tplc="FCA28A38" w:tentative="1">
      <w:start w:val="1"/>
      <w:numFmt w:val="lowerRoman"/>
      <w:lvlText w:val="%3."/>
      <w:lvlJc w:val="right"/>
      <w:pPr>
        <w:ind w:left="2205" w:hanging="180"/>
      </w:pPr>
    </w:lvl>
    <w:lvl w:ilvl="3" w:tplc="F7E25232" w:tentative="1">
      <w:start w:val="1"/>
      <w:numFmt w:val="decimal"/>
      <w:lvlText w:val="%4."/>
      <w:lvlJc w:val="left"/>
      <w:pPr>
        <w:ind w:left="2925" w:hanging="360"/>
      </w:pPr>
    </w:lvl>
    <w:lvl w:ilvl="4" w:tplc="A7FA9438" w:tentative="1">
      <w:start w:val="1"/>
      <w:numFmt w:val="lowerLetter"/>
      <w:lvlText w:val="%5."/>
      <w:lvlJc w:val="left"/>
      <w:pPr>
        <w:ind w:left="3645" w:hanging="360"/>
      </w:pPr>
    </w:lvl>
    <w:lvl w:ilvl="5" w:tplc="B8005A28" w:tentative="1">
      <w:start w:val="1"/>
      <w:numFmt w:val="lowerRoman"/>
      <w:lvlText w:val="%6."/>
      <w:lvlJc w:val="right"/>
      <w:pPr>
        <w:ind w:left="4365" w:hanging="180"/>
      </w:pPr>
    </w:lvl>
    <w:lvl w:ilvl="6" w:tplc="122EC6DA" w:tentative="1">
      <w:start w:val="1"/>
      <w:numFmt w:val="decimal"/>
      <w:lvlText w:val="%7."/>
      <w:lvlJc w:val="left"/>
      <w:pPr>
        <w:ind w:left="5085" w:hanging="360"/>
      </w:pPr>
    </w:lvl>
    <w:lvl w:ilvl="7" w:tplc="4DD092AE" w:tentative="1">
      <w:start w:val="1"/>
      <w:numFmt w:val="lowerLetter"/>
      <w:lvlText w:val="%8."/>
      <w:lvlJc w:val="left"/>
      <w:pPr>
        <w:ind w:left="5805" w:hanging="360"/>
      </w:pPr>
    </w:lvl>
    <w:lvl w:ilvl="8" w:tplc="9356B310" w:tentative="1">
      <w:start w:val="1"/>
      <w:numFmt w:val="lowerRoman"/>
      <w:lvlText w:val="%9."/>
      <w:lvlJc w:val="right"/>
      <w:pPr>
        <w:ind w:left="6525" w:hanging="180"/>
      </w:p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720CE"/>
    <w:multiLevelType w:val="hybridMultilevel"/>
    <w:tmpl w:val="5114C594"/>
    <w:lvl w:ilvl="0" w:tplc="4EFEC362">
      <w:start w:val="1"/>
      <w:numFmt w:val="bullet"/>
      <w:lvlText w:val=""/>
      <w:lvlJc w:val="left"/>
      <w:pPr>
        <w:ind w:left="1287" w:hanging="360"/>
      </w:pPr>
      <w:rPr>
        <w:rFonts w:ascii="Symbol" w:hAnsi="Symbol" w:hint="default"/>
      </w:rPr>
    </w:lvl>
    <w:lvl w:ilvl="1" w:tplc="0F800610" w:tentative="1">
      <w:start w:val="1"/>
      <w:numFmt w:val="bullet"/>
      <w:lvlText w:val="o"/>
      <w:lvlJc w:val="left"/>
      <w:pPr>
        <w:ind w:left="2007" w:hanging="360"/>
      </w:pPr>
      <w:rPr>
        <w:rFonts w:ascii="Courier New" w:hAnsi="Courier New" w:cs="Courier New" w:hint="default"/>
      </w:rPr>
    </w:lvl>
    <w:lvl w:ilvl="2" w:tplc="0AB0446E" w:tentative="1">
      <w:start w:val="1"/>
      <w:numFmt w:val="bullet"/>
      <w:lvlText w:val=""/>
      <w:lvlJc w:val="left"/>
      <w:pPr>
        <w:ind w:left="2727" w:hanging="360"/>
      </w:pPr>
      <w:rPr>
        <w:rFonts w:ascii="Wingdings" w:hAnsi="Wingdings" w:hint="default"/>
      </w:rPr>
    </w:lvl>
    <w:lvl w:ilvl="3" w:tplc="C49069AE" w:tentative="1">
      <w:start w:val="1"/>
      <w:numFmt w:val="bullet"/>
      <w:lvlText w:val=""/>
      <w:lvlJc w:val="left"/>
      <w:pPr>
        <w:ind w:left="3447" w:hanging="360"/>
      </w:pPr>
      <w:rPr>
        <w:rFonts w:ascii="Symbol" w:hAnsi="Symbol" w:hint="default"/>
      </w:rPr>
    </w:lvl>
    <w:lvl w:ilvl="4" w:tplc="A418D9B8" w:tentative="1">
      <w:start w:val="1"/>
      <w:numFmt w:val="bullet"/>
      <w:lvlText w:val="o"/>
      <w:lvlJc w:val="left"/>
      <w:pPr>
        <w:ind w:left="4167" w:hanging="360"/>
      </w:pPr>
      <w:rPr>
        <w:rFonts w:ascii="Courier New" w:hAnsi="Courier New" w:cs="Courier New" w:hint="default"/>
      </w:rPr>
    </w:lvl>
    <w:lvl w:ilvl="5" w:tplc="EF5C611C" w:tentative="1">
      <w:start w:val="1"/>
      <w:numFmt w:val="bullet"/>
      <w:lvlText w:val=""/>
      <w:lvlJc w:val="left"/>
      <w:pPr>
        <w:ind w:left="4887" w:hanging="360"/>
      </w:pPr>
      <w:rPr>
        <w:rFonts w:ascii="Wingdings" w:hAnsi="Wingdings" w:hint="default"/>
      </w:rPr>
    </w:lvl>
    <w:lvl w:ilvl="6" w:tplc="C68A3028" w:tentative="1">
      <w:start w:val="1"/>
      <w:numFmt w:val="bullet"/>
      <w:lvlText w:val=""/>
      <w:lvlJc w:val="left"/>
      <w:pPr>
        <w:ind w:left="5607" w:hanging="360"/>
      </w:pPr>
      <w:rPr>
        <w:rFonts w:ascii="Symbol" w:hAnsi="Symbol" w:hint="default"/>
      </w:rPr>
    </w:lvl>
    <w:lvl w:ilvl="7" w:tplc="B4E40E4C" w:tentative="1">
      <w:start w:val="1"/>
      <w:numFmt w:val="bullet"/>
      <w:lvlText w:val="o"/>
      <w:lvlJc w:val="left"/>
      <w:pPr>
        <w:ind w:left="6327" w:hanging="360"/>
      </w:pPr>
      <w:rPr>
        <w:rFonts w:ascii="Courier New" w:hAnsi="Courier New" w:cs="Courier New" w:hint="default"/>
      </w:rPr>
    </w:lvl>
    <w:lvl w:ilvl="8" w:tplc="F5FC743C" w:tentative="1">
      <w:start w:val="1"/>
      <w:numFmt w:val="bullet"/>
      <w:lvlText w:val=""/>
      <w:lvlJc w:val="left"/>
      <w:pPr>
        <w:ind w:left="7047" w:hanging="360"/>
      </w:pPr>
      <w:rPr>
        <w:rFonts w:ascii="Wingdings" w:hAnsi="Wingdings" w:hint="default"/>
      </w:r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5"/>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6"/>
  </w:num>
  <w:num w:numId="21">
    <w:abstractNumId w:val="37"/>
  </w:num>
  <w:num w:numId="22">
    <w:abstractNumId w:val="23"/>
  </w:num>
  <w:num w:numId="23">
    <w:abstractNumId w:val="9"/>
  </w:num>
  <w:num w:numId="24">
    <w:abstractNumId w:val="29"/>
  </w:num>
  <w:num w:numId="25">
    <w:abstractNumId w:val="28"/>
  </w:num>
  <w:num w:numId="26">
    <w:abstractNumId w:val="18"/>
  </w:num>
  <w:num w:numId="27">
    <w:abstractNumId w:val="33"/>
  </w:num>
  <w:num w:numId="28">
    <w:abstractNumId w:val="39"/>
  </w:num>
  <w:num w:numId="29">
    <w:abstractNumId w:val="7"/>
  </w:num>
  <w:num w:numId="30">
    <w:abstractNumId w:val="2"/>
  </w:num>
  <w:num w:numId="31">
    <w:abstractNumId w:val="20"/>
  </w:num>
  <w:num w:numId="32">
    <w:abstractNumId w:val="19"/>
  </w:num>
  <w:num w:numId="33">
    <w:abstractNumId w:val="35"/>
  </w:num>
  <w:num w:numId="34">
    <w:abstractNumId w:val="34"/>
  </w:num>
  <w:num w:numId="35">
    <w:abstractNumId w:val="4"/>
  </w:num>
  <w:num w:numId="36">
    <w:abstractNumId w:val="36"/>
  </w:num>
  <w:num w:numId="37">
    <w:abstractNumId w:val="6"/>
  </w:num>
  <w:num w:numId="38">
    <w:abstractNumId w:val="31"/>
  </w:num>
  <w:num w:numId="39">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A6B"/>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6BAB"/>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11F"/>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6AE"/>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EF7F44"/>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00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Car,FT,ft"/>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Bullet List,Bullet list,Bulletr List Paragraph,Catch All,Foot,FooterText,Heading III,List Paragraph21,Listeafsnit1,Parágrafo da Lista1,Párrafo de lista1,numbered,リスト段落,リスト段落1,列出段落"/>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Car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Bullet List Char,Bullet list Char,Bulletr List Paragraph Char,Catch All Char,Foot Char,FooterText Char,Heading III Char,List Paragraph1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fgem.gov.uk/publications-and-updates/pricing-benchmarks-gas-and-electricity-markets-call-evid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FF5DD6-CC6D-4C97-B30C-DD88B1A0F26A}">
  <ds:schemaRefs>
    <ds:schemaRef ds:uri="http://schemas.openxmlformats.org/officeDocument/2006/bibliography"/>
  </ds:schemaRefs>
</ds:datastoreItem>
</file>

<file path=customXml/itemProps6.xml><?xml version="1.0" encoding="utf-8"?>
<ds:datastoreItem xmlns:ds="http://schemas.openxmlformats.org/officeDocument/2006/customXml" ds:itemID="{6ABC176C-3E27-481C-A79A-DA4FAA45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8260</Words>
  <Characters>47083</Characters>
  <Application>Microsoft Office Word</Application>
  <DocSecurity>8</DocSecurity>
  <Lines>392</Lines>
  <Paragraphs>110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55233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Lucie Binova</cp:lastModifiedBy>
  <cp:revision>2</cp:revision>
  <cp:lastPrinted>2015-02-18T11:01:00Z</cp:lastPrinted>
  <dcterms:created xsi:type="dcterms:W3CDTF">2019-11-29T09:41:00Z</dcterms:created>
  <dcterms:modified xsi:type="dcterms:W3CDTF">2019-11-29T09:41:00Z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