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Pidipagina"/>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w:t>
      </w:r>
      <w:r w:rsidR="00955F48" w:rsidRPr="00293D78">
        <w:rPr>
          <w:rFonts w:cs="Arial"/>
        </w:rPr>
        <w:t>x</w:t>
      </w:r>
      <w:r w:rsidR="00955F48" w:rsidRPr="00293D78">
        <w:rPr>
          <w:rFonts w:cs="Arial"/>
        </w:rPr>
        <w:t>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t>
      </w:r>
      <w:r w:rsidRPr="00EF0769">
        <w:rPr>
          <w:rFonts w:cs="Arial"/>
        </w:rPr>
        <w:t>w</w:t>
      </w:r>
      <w:r w:rsidRPr="00EF0769">
        <w:rPr>
          <w:rFonts w:cs="Arial"/>
        </w:rPr>
        <w:t>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Collegamentoipertestuale"/>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Collegamentoipertestual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Tito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Testosegnaposto"/>
              <w:rFonts w:cs="Arial"/>
            </w:rPr>
            <w:id w:val="651570699"/>
            <w:text/>
          </w:sdtPr>
          <w:sdtEndPr>
            <w:rPr>
              <w:rStyle w:val="Testosegnaposto"/>
            </w:rPr>
          </w:sdtEndPr>
          <w:sdtContent>
            <w:tc>
              <w:tcPr>
                <w:tcW w:w="5595" w:type="dxa"/>
                <w:shd w:val="clear" w:color="auto" w:fill="auto"/>
              </w:tcPr>
              <w:p w14:paraId="3C3E0A16" w14:textId="0C60878B" w:rsidR="00C2682A" w:rsidRPr="00AB6D88" w:rsidRDefault="00045EFE" w:rsidP="00225C6E">
                <w:pPr>
                  <w:rPr>
                    <w:rStyle w:val="Testosegnaposto"/>
                    <w:rFonts w:cs="Arial"/>
                  </w:rPr>
                </w:pPr>
                <w:r>
                  <w:rPr>
                    <w:rStyle w:val="Testosegnaposto"/>
                    <w:rFonts w:cs="Arial"/>
                  </w:rPr>
                  <w:t>A</w:t>
                </w:r>
                <w:r w:rsidR="00225C6E">
                  <w:rPr>
                    <w:rStyle w:val="Testosegnaposto"/>
                    <w:rFonts w:cs="Arial"/>
                  </w:rPr>
                  <w:t>SSIREVI</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6B784E60" w:rsidR="00C2682A" w:rsidRPr="00AB6D88" w:rsidRDefault="004F3ED4"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45EFE">
                  <w:rPr>
                    <w:rFonts w:cs="Arial"/>
                  </w:rPr>
                  <w:t>Audit/Legal/Individual</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C3E0A1C" w14:textId="70F232AC" w:rsidR="00C2682A" w:rsidRPr="00AB6D88" w:rsidRDefault="00045EFE"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5456AEC1" w:rsidR="00C2682A" w:rsidRPr="00AB6D88" w:rsidRDefault="00045EFE" w:rsidP="00FA5524">
                <w:pPr>
                  <w:rPr>
                    <w:rFonts w:cs="Arial"/>
                  </w:rPr>
                </w:pPr>
                <w:r>
                  <w:rPr>
                    <w:rFonts w:cs="Arial"/>
                  </w:rPr>
                  <w:t>Italy</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Titolo1"/>
        <w:numPr>
          <w:ilvl w:val="0"/>
          <w:numId w:val="0"/>
        </w:numPr>
        <w:ind w:left="431" w:hanging="431"/>
      </w:pPr>
      <w:r>
        <w:t>Introduction</w:t>
      </w:r>
    </w:p>
    <w:p w14:paraId="3C3E0A24" w14:textId="77777777" w:rsidR="00F87897" w:rsidRPr="001D47A5" w:rsidRDefault="00F87897" w:rsidP="00F87897">
      <w:pPr>
        <w:rPr>
          <w:rStyle w:val="Enfasiintensa"/>
        </w:rPr>
      </w:pPr>
      <w:r w:rsidRPr="001D47A5">
        <w:rPr>
          <w:rStyle w:val="Enfasiintensa"/>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22F15CC9" w14:textId="12D3EF8A" w:rsidR="00F87897" w:rsidRDefault="00D133B0" w:rsidP="00F87897">
      <w:permStart w:id="1594194160" w:edGrp="everyone"/>
      <w:r>
        <w:t>TYPE YOUR TEXT HERE</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3C3E0A2C" w14:textId="77777777" w:rsidR="00A8728B" w:rsidRDefault="00A8728B" w:rsidP="00A8728B">
      <w:permStart w:id="751114692" w:edGrp="everyone"/>
      <w:r>
        <w:t>TYPE YOUR TEXT HERE</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w:t>
      </w:r>
      <w:r w:rsidRPr="00227C1A">
        <w:t>n</w:t>
      </w:r>
      <w:r w:rsidRPr="00227C1A">
        <w:t>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3C3E0A31" w14:textId="77777777" w:rsidR="00A8728B" w:rsidRDefault="00A8728B" w:rsidP="00A8728B">
      <w:permStart w:id="1040662039" w:edGrp="everyone"/>
      <w:r>
        <w:t>TYPE YOUR TEXT HERE</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77777777" w:rsidR="002E1760" w:rsidRDefault="002E1760" w:rsidP="002E1760">
      <w:permStart w:id="1114596086" w:edGrp="everyone"/>
      <w:r>
        <w:t>TYPE YOUR TEXT HERE</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w:t>
      </w:r>
      <w:r w:rsidRPr="00227C1A">
        <w:t>d</w:t>
      </w:r>
      <w:r w:rsidRPr="00227C1A">
        <w:t>ministrative measures” should also make reference to administrators of benc</w:t>
      </w:r>
      <w:r w:rsidRPr="00227C1A">
        <w:t>h</w:t>
      </w:r>
      <w:r w:rsidRPr="00227C1A">
        <w:t>marks and supervised contributors</w:t>
      </w:r>
      <w:r>
        <w:t>?</w:t>
      </w:r>
    </w:p>
    <w:p w14:paraId="3C3E0A3A" w14:textId="77777777" w:rsidR="002E1760" w:rsidRDefault="002E1760" w:rsidP="002E1760">
      <w:r>
        <w:t>&lt;ESMA_QUESTION_</w:t>
      </w:r>
      <w:r w:rsidR="00227C1A">
        <w:t>CP_MAR_</w:t>
      </w:r>
      <w:r>
        <w:t>4&gt;</w:t>
      </w:r>
    </w:p>
    <w:p w14:paraId="3C3E0A3B" w14:textId="77777777" w:rsidR="002E1760" w:rsidRDefault="002E1760" w:rsidP="002E1760">
      <w:permStart w:id="1507552575" w:edGrp="everyone"/>
      <w:r>
        <w:t>TYPE YOUR TEXT HERE</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77777777" w:rsidR="00227C1A" w:rsidRDefault="00227C1A" w:rsidP="00227C1A">
      <w:permStart w:id="325415610" w:edGrp="everyone"/>
      <w:r>
        <w:t>TYPE YOUR TEXT HERE</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w:t>
      </w:r>
      <w:r w:rsidRPr="0062022D">
        <w:t>r</w:t>
      </w:r>
      <w:r w:rsidRPr="0062022D">
        <w:t>ence to submitters within supervised contributors and assessors within admini</w:t>
      </w:r>
      <w:r w:rsidRPr="0062022D">
        <w:t>s</w:t>
      </w:r>
      <w:r w:rsidRPr="0062022D">
        <w:t>trators of commodity benchmarks</w:t>
      </w:r>
      <w:r>
        <w:t>?</w:t>
      </w:r>
    </w:p>
    <w:p w14:paraId="3C3E0A44" w14:textId="77777777" w:rsidR="0062022D" w:rsidRDefault="0062022D" w:rsidP="0062022D">
      <w:r>
        <w:lastRenderedPageBreak/>
        <w:t>&lt;ESMA_QUESTION_CP_MAR_</w:t>
      </w:r>
      <w:r w:rsidR="00A263DF">
        <w:t>6</w:t>
      </w:r>
      <w:r>
        <w:t>&gt;</w:t>
      </w:r>
    </w:p>
    <w:p w14:paraId="3C3E0A45" w14:textId="77777777" w:rsidR="0062022D" w:rsidRDefault="0062022D" w:rsidP="0062022D">
      <w:permStart w:id="970343703" w:edGrp="everyone"/>
      <w:r>
        <w:t>TYPE YOUR TEXT HERE</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3C3E0A4A" w14:textId="77777777" w:rsidR="00A263DF" w:rsidRDefault="00A263DF" w:rsidP="00A263DF">
      <w:permStart w:id="707658946" w:edGrp="everyone"/>
      <w:r>
        <w:t>TYPE YOUR TEXT HERE</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3C3E0A4F" w14:textId="77777777" w:rsidR="00A263DF" w:rsidRDefault="00A263DF" w:rsidP="00A263DF">
      <w:permStart w:id="797404044" w:edGrp="everyone"/>
      <w:r>
        <w:t>TYPE YOUR TEXT HERE</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C3E0A54" w14:textId="77777777" w:rsidR="002E1760" w:rsidRDefault="002E1760" w:rsidP="002E1760">
      <w:permStart w:id="1572474776" w:edGrp="everyone"/>
      <w:r>
        <w:t>TYPE YOUR TEXT HERE</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3C3E0A59" w14:textId="77777777" w:rsidR="008418E3" w:rsidRDefault="008418E3" w:rsidP="008418E3">
      <w:permStart w:id="1766684248" w:edGrp="everyone"/>
      <w:r>
        <w:t>TYPE YOUR TEXT HERE</w:t>
      </w:r>
      <w:permEnd w:id="1766684248"/>
    </w:p>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3C3E0A5E" w14:textId="77777777" w:rsidR="00F469F8" w:rsidRDefault="00F469F8" w:rsidP="00F469F8">
      <w:permStart w:id="332164447" w:edGrp="everyone"/>
      <w:r>
        <w:t>TYPE YOUR TEXT HERE</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77777777" w:rsidR="00F469F8" w:rsidRDefault="00F469F8" w:rsidP="00F469F8">
      <w:permStart w:id="1943283503" w:edGrp="everyone"/>
      <w:r>
        <w:t>TYPE YOUR TEXT HERE</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lastRenderedPageBreak/>
        <w:t>Have market participants experienced any difficulties with identifying what info</w:t>
      </w:r>
      <w:r w:rsidRPr="00C228C1">
        <w:t>r</w:t>
      </w:r>
      <w:r w:rsidRPr="00C228C1">
        <w:t>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3C3E0A68" w14:textId="77777777" w:rsidR="00646C30" w:rsidRDefault="00646C30" w:rsidP="00646C30">
      <w:permStart w:id="770132907" w:edGrp="everyone"/>
      <w:r>
        <w:t>TYPE YOUR TEXT HERE</w:t>
      </w:r>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w:t>
      </w:r>
      <w:r w:rsidRPr="00C228C1">
        <w:t>i</w:t>
      </w:r>
      <w:r w:rsidRPr="00C228C1">
        <w:t>cient for combatting market abuse</w:t>
      </w:r>
      <w:r>
        <w:t>?</w:t>
      </w:r>
    </w:p>
    <w:p w14:paraId="3C3E0A6C" w14:textId="77777777" w:rsidR="00646C30" w:rsidRDefault="00646C30" w:rsidP="00646C30">
      <w:r>
        <w:t>&lt;ESMA_QUESTION_CP_MAR_1</w:t>
      </w:r>
      <w:r w:rsidR="00101BF1">
        <w:t>4</w:t>
      </w:r>
      <w:r>
        <w:t>&gt;</w:t>
      </w:r>
    </w:p>
    <w:p w14:paraId="3C3E0A6D" w14:textId="77777777" w:rsidR="00646C30" w:rsidRDefault="00646C30" w:rsidP="00646C30">
      <w:permStart w:id="416102086" w:edGrp="everyone"/>
      <w:r>
        <w:t>TYPE YOUR TEXT HERE</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w:t>
      </w:r>
      <w:r w:rsidRPr="00C228C1">
        <w:t>n</w:t>
      </w:r>
      <w:r w:rsidRPr="00C228C1">
        <w:t>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C3E0A72" w14:textId="77777777" w:rsidR="00646C30" w:rsidRDefault="00646C30" w:rsidP="00646C30">
      <w:permStart w:id="831264800" w:edGrp="everyone"/>
      <w:r>
        <w:t>TYPE YOUR TEXT HERE</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w:t>
      </w:r>
      <w:r w:rsidRPr="00C228C1">
        <w:t>n</w:t>
      </w:r>
      <w:r w:rsidRPr="00C228C1">
        <w:t>formation on hedging difficulties encountered</w:t>
      </w:r>
      <w:r>
        <w:t>.</w:t>
      </w:r>
    </w:p>
    <w:p w14:paraId="3C3E0A80" w14:textId="77777777" w:rsidR="00646C30" w:rsidRDefault="00646C30" w:rsidP="00646C30">
      <w:r>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lastRenderedPageBreak/>
        <w:t>Please provide your views on whether the general definition of inside information of Article 7(1)(a) of MAR could be used for commodity derivatives. In such case, would safeguards enabling commodity producers to undertake hedging transa</w:t>
      </w:r>
      <w:r w:rsidRPr="000A0396">
        <w:t>c</w:t>
      </w:r>
      <w:r w:rsidRPr="000A0396">
        <w:t>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77777777" w:rsidR="00646C30" w:rsidRDefault="00646C30" w:rsidP="00646C30">
      <w:permStart w:id="969017955" w:edGrp="everyone"/>
      <w:r>
        <w:t>TYPE YOUR TEXT HERE</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w:t>
      </w:r>
      <w:r w:rsidRPr="00674628">
        <w:t>c</w:t>
      </w:r>
      <w:r w:rsidRPr="00674628">
        <w:t>tioning of the market</w:t>
      </w:r>
      <w:r>
        <w:t>?</w:t>
      </w:r>
    </w:p>
    <w:p w14:paraId="3C3E0A99" w14:textId="77777777" w:rsidR="00646C30" w:rsidRDefault="00646C30" w:rsidP="00646C30">
      <w:r>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lastRenderedPageBreak/>
        <w:t>Please provide your views on the functioning of the conditions to delay disclosure of inside information and on whether they enable issuers to delay disclosure of i</w:t>
      </w:r>
      <w:r w:rsidRPr="00907865">
        <w:t>n</w:t>
      </w:r>
      <w:r w:rsidRPr="00907865">
        <w:t>side information where necessary</w:t>
      </w:r>
      <w:r w:rsidR="00646C30">
        <w:t>.</w:t>
      </w:r>
    </w:p>
    <w:p w14:paraId="3C3E0AA3" w14:textId="77777777" w:rsidR="00646C30" w:rsidRDefault="00646C30" w:rsidP="00646C30">
      <w:r>
        <w:t>&lt;ESMA_QUESTION_CP_MAR_</w:t>
      </w:r>
      <w:r w:rsidR="00101BF1">
        <w:t>25</w:t>
      </w:r>
      <w:r>
        <w:t>&gt;</w:t>
      </w:r>
    </w:p>
    <w:p w14:paraId="3C3E0AA4" w14:textId="77777777" w:rsidR="00646C30" w:rsidRDefault="00646C30" w:rsidP="00646C30">
      <w:permStart w:id="611875542" w:edGrp="everyone"/>
      <w:r>
        <w:t>TYPE YOUR TEXT HERE</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77777777" w:rsidR="00646C30" w:rsidRDefault="00646C30" w:rsidP="00646C30">
      <w:permStart w:id="1829000557" w:edGrp="everyone"/>
      <w:r>
        <w:t>TYPE YOUR TEXT HERE</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w:t>
      </w:r>
      <w:r w:rsidRPr="0079485D">
        <w:t>r</w:t>
      </w:r>
      <w:r w:rsidRPr="0079485D">
        <w:t>mation. What would the impact be of introducing a systems and controls requir</w:t>
      </w:r>
      <w:r w:rsidRPr="0079485D">
        <w:t>e</w:t>
      </w:r>
      <w:r w:rsidRPr="0079485D">
        <w:t>ment for issuers?</w:t>
      </w:r>
    </w:p>
    <w:p w14:paraId="3C3E0AAD" w14:textId="77777777" w:rsidR="00646C30" w:rsidRDefault="00646C30" w:rsidP="00646C30">
      <w:r>
        <w:t>&lt;ESMA_QUESTION_CP_MAR_</w:t>
      </w:r>
      <w:r w:rsidR="00101BF1">
        <w:t>27</w:t>
      </w:r>
      <w:r>
        <w:t>&gt;</w:t>
      </w:r>
    </w:p>
    <w:p w14:paraId="3C3E0AAE" w14:textId="77777777" w:rsidR="00646C30" w:rsidRDefault="00646C30" w:rsidP="00646C30">
      <w:permStart w:id="1678079242" w:edGrp="everyone"/>
      <w:r>
        <w:t>TYPE YOUR TEXT HERE</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w:t>
      </w:r>
      <w:r w:rsidRPr="0079485D">
        <w:t>r</w:t>
      </w:r>
      <w:r w:rsidRPr="0079485D">
        <w:t>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77777777" w:rsidR="00646C30" w:rsidRDefault="00646C30" w:rsidP="00646C30">
      <w:permStart w:id="266360711" w:edGrp="everyone"/>
      <w:r>
        <w:t>TYPE YOUR TEXT HERE</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C3E0AB8" w14:textId="77777777" w:rsidR="00646C30" w:rsidRDefault="00646C30" w:rsidP="00646C30">
      <w:permStart w:id="1420902335" w:edGrp="everyone"/>
      <w:r>
        <w:t>TYPE YOUR TEXT HERE</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w:t>
      </w:r>
      <w:r w:rsidRPr="006F71FA">
        <w:t>i</w:t>
      </w:r>
      <w:r w:rsidRPr="006F71FA">
        <w:t>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7777777" w:rsidR="00646C30" w:rsidRDefault="00646C30" w:rsidP="00646C30">
      <w:permStart w:id="385179280" w:edGrp="everyone"/>
      <w:r>
        <w:lastRenderedPageBreak/>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w:t>
      </w:r>
      <w:r w:rsidRPr="00D60960">
        <w:t>i</w:t>
      </w:r>
      <w:r w:rsidRPr="00D60960">
        <w:t>gation to disclose a piece of inside information under Article 17 MAR when an</w:t>
      </w:r>
      <w:r w:rsidRPr="00D60960">
        <w:t>a</w:t>
      </w:r>
      <w:r w:rsidRPr="00D60960">
        <w:t>lysed together with other obligations arising from CRD, CRR or BRRD. Please pr</w:t>
      </w:r>
      <w:r w:rsidRPr="00D60960">
        <w:t>o</w:t>
      </w:r>
      <w:r w:rsidRPr="00D60960">
        <w:t>vide specific examples.</w:t>
      </w:r>
    </w:p>
    <w:p w14:paraId="3C3E0AC6" w14:textId="77777777" w:rsidR="00646C30" w:rsidRDefault="00646C30" w:rsidP="00646C30">
      <w:r>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3C3E0ACC" w14:textId="77777777" w:rsidR="00646C30" w:rsidRDefault="00646C30" w:rsidP="00646C30">
      <w:permStart w:id="1371158119" w:edGrp="everyone"/>
      <w:r>
        <w:t>TYPE YOUR TEXT HERE</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77777777" w:rsidR="00646C30" w:rsidRDefault="00646C30" w:rsidP="00646C30">
      <w:permStart w:id="146477293" w:edGrp="everyone"/>
      <w:r>
        <w:t>TYPE YOUR TEXT HERE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w:t>
      </w:r>
      <w:r w:rsidRPr="00BF409D">
        <w:t>n</w:t>
      </w:r>
      <w:r w:rsidRPr="00BF409D">
        <w:t>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77777777" w:rsidR="00646C30" w:rsidRDefault="00646C30" w:rsidP="00646C30">
      <w:permStart w:id="73213744" w:edGrp="everyone"/>
      <w:r>
        <w:t>TYPE YOUR TEXT HERE</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lastRenderedPageBreak/>
        <w:t>&lt;ESMA_QUESTION_CP_MAR_</w:t>
      </w:r>
      <w:r w:rsidR="00B6351C">
        <w:t>36</w:t>
      </w:r>
      <w:r>
        <w:t>&gt;</w:t>
      </w:r>
    </w:p>
    <w:p w14:paraId="3C3E0ADB" w14:textId="77777777" w:rsidR="00646C30" w:rsidRDefault="00646C30" w:rsidP="00646C30">
      <w:permStart w:id="720899510" w:edGrp="everyone"/>
      <w:r>
        <w:t>TYPE YOUR TEXT HERE</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3C3E0AE0" w14:textId="77777777" w:rsidR="00646C30" w:rsidRDefault="00646C30" w:rsidP="00646C30">
      <w:permStart w:id="427762830" w:edGrp="everyone"/>
      <w:r>
        <w:t>TYPE YOUR TEXT HERE</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3C3E0AE5" w14:textId="77777777" w:rsidR="00646C30" w:rsidRDefault="00646C30" w:rsidP="00646C30">
      <w:permStart w:id="2098217667" w:edGrp="everyone"/>
      <w:r>
        <w:t>TYPE YOUR TEXT HERE</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5C91CB82" w14:textId="70D6C087" w:rsidR="003F082D" w:rsidRDefault="003F082D" w:rsidP="003F082D">
      <w:permStart w:id="1933056180" w:edGrp="everyone"/>
      <w:r>
        <w:t>A</w:t>
      </w:r>
      <w:r w:rsidR="00225C6E">
        <w:t>SSIREVI</w:t>
      </w:r>
      <w:r>
        <w:t xml:space="preserve"> agrees in principle with ESMA in considering the insider</w:t>
      </w:r>
      <w:r w:rsidR="00F329F4">
        <w:t xml:space="preserve"> list a useful tool both to </w:t>
      </w:r>
      <w:r w:rsidR="00A64A80">
        <w:t xml:space="preserve">support the supervisory </w:t>
      </w:r>
      <w:r>
        <w:t xml:space="preserve">activities of the NCA(s) </w:t>
      </w:r>
      <w:r w:rsidR="00F329F4">
        <w:t>and facilitate the issuers to</w:t>
      </w:r>
      <w:r>
        <w:t xml:space="preserve"> efficiently manage the info</w:t>
      </w:r>
      <w:r>
        <w:t>r</w:t>
      </w:r>
      <w:r>
        <w:t xml:space="preserve">mation flows relating to inside information. </w:t>
      </w:r>
    </w:p>
    <w:p w14:paraId="603915A3" w14:textId="77777777" w:rsidR="003F082D" w:rsidRDefault="003F082D" w:rsidP="003F082D"/>
    <w:p w14:paraId="08FFFF23" w14:textId="373CF17F" w:rsidR="003F082D" w:rsidRDefault="003F082D" w:rsidP="003F082D">
      <w:r w:rsidRPr="00256B50">
        <w:t>Obviously</w:t>
      </w:r>
      <w:r>
        <w:t xml:space="preserve">, </w:t>
      </w:r>
      <w:r w:rsidR="00225C6E">
        <w:t>ASSIREVI</w:t>
      </w:r>
      <w:r w:rsidR="00D33490">
        <w:t xml:space="preserve"> </w:t>
      </w:r>
      <w:r>
        <w:t>is not in a position to assess the concrete use of insider lists in the context of the supervisory activities of the NCA(s) aimed at ascertaining possible cases of market abuse. This info</w:t>
      </w:r>
      <w:r>
        <w:t>r</w:t>
      </w:r>
      <w:r>
        <w:t>mation, although specifically requested from ESMA by the Commission, was not available in the Consult</w:t>
      </w:r>
      <w:r>
        <w:t>a</w:t>
      </w:r>
      <w:r>
        <w:t xml:space="preserve">tion Paper. </w:t>
      </w:r>
      <w:r w:rsidR="00E471B9">
        <w:t>T</w:t>
      </w:r>
      <w:r>
        <w:t>he actual use of the insider lists by the NCA(s) and their actual contribution to the investig</w:t>
      </w:r>
      <w:r>
        <w:t>a</w:t>
      </w:r>
      <w:r>
        <w:t xml:space="preserve">tions </w:t>
      </w:r>
      <w:r w:rsidR="00A64A80">
        <w:t xml:space="preserve">are </w:t>
      </w:r>
      <w:r>
        <w:t>essential element</w:t>
      </w:r>
      <w:r w:rsidR="00F329F4">
        <w:t>s to give a complete answer to</w:t>
      </w:r>
      <w:r>
        <w:t xml:space="preserve"> Q39 question.</w:t>
      </w:r>
    </w:p>
    <w:p w14:paraId="5FEB8AEC" w14:textId="77777777" w:rsidR="003F082D" w:rsidRDefault="003F082D" w:rsidP="003F082D"/>
    <w:p w14:paraId="6A3D7C30" w14:textId="0EA2539A" w:rsidR="003F082D" w:rsidRDefault="003F082D" w:rsidP="003F082D">
      <w:r>
        <w:t xml:space="preserve">In fact, </w:t>
      </w:r>
      <w:r w:rsidR="00225C6E">
        <w:t>ASSIREVI</w:t>
      </w:r>
      <w:r>
        <w:t xml:space="preserve"> considers that, in order to be efficient, the system outlined in MAR must allow the identification of the individuals who have received inside information and the time it became known. </w:t>
      </w:r>
      <w:r w:rsidR="00225C6E">
        <w:t>A</w:t>
      </w:r>
      <w:r w:rsidR="00225C6E">
        <w:t>S</w:t>
      </w:r>
      <w:r w:rsidR="00225C6E">
        <w:t>SIREVI</w:t>
      </w:r>
      <w:r>
        <w:t xml:space="preserve"> considers that, at the same time, the system must avoid attributing to the issuers, those acting in their name and on their behalf, and to other persons included in the scope of application of MAR, burdens that are too onerous or that could result in unnecessary duplication of </w:t>
      </w:r>
      <w:r w:rsidR="00A2109F">
        <w:t xml:space="preserve">lists </w:t>
      </w:r>
      <w:r>
        <w:t xml:space="preserve">and costs. </w:t>
      </w:r>
    </w:p>
    <w:p w14:paraId="53D23253" w14:textId="77777777" w:rsidR="003F082D" w:rsidRDefault="003F082D" w:rsidP="003F082D"/>
    <w:p w14:paraId="3C3E0AEA" w14:textId="24B2E553" w:rsidR="00646C30" w:rsidRDefault="003F082D" w:rsidP="00646C30">
      <w:r>
        <w:t>An example of such possible duplication concerns the audit firms in the performance of their audit activ</w:t>
      </w:r>
      <w:r>
        <w:t>i</w:t>
      </w:r>
      <w:r>
        <w:t xml:space="preserve">ties. The </w:t>
      </w:r>
      <w:r w:rsidR="00A64A80">
        <w:t>auditor</w:t>
      </w:r>
      <w:r>
        <w:t xml:space="preserve">, in fact, would be required, in relation to a single issuer, to </w:t>
      </w:r>
      <w:r w:rsidR="00A2109F">
        <w:t xml:space="preserve">open an insider list </w:t>
      </w:r>
      <w:r>
        <w:t xml:space="preserve">for each inside information. However, the audit firm’s </w:t>
      </w:r>
      <w:r w:rsidR="00A2109F">
        <w:t>list</w:t>
      </w:r>
      <w:r w:rsidR="00A2109F">
        <w:rPr>
          <w:b/>
        </w:rPr>
        <w:t xml:space="preserve"> </w:t>
      </w:r>
      <w:r w:rsidR="00E471B9">
        <w:t>for each inside information would always</w:t>
      </w:r>
      <w:r>
        <w:t xml:space="preserve"> reasonably </w:t>
      </w:r>
      <w:r w:rsidR="00E471B9">
        <w:t xml:space="preserve">include </w:t>
      </w:r>
      <w:r>
        <w:t>the same individuals, i.e.</w:t>
      </w:r>
      <w:r w:rsidR="00F329F4">
        <w:t>,</w:t>
      </w:r>
      <w:r>
        <w:t xml:space="preserve"> the members of the </w:t>
      </w:r>
      <w:r w:rsidR="00431F62">
        <w:t xml:space="preserve">engagement </w:t>
      </w:r>
      <w:r>
        <w:t>team involved in the audit activity. The subject matter, debated in the reply to Q42, highlights the necessity to simplify the requirements concer</w:t>
      </w:r>
      <w:r>
        <w:t>n</w:t>
      </w:r>
      <w:r>
        <w:t>ing MAR in relation to those individuals, other than the issuer, who are in any case required to comply with the obligation to implement their own insider lists.</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lastRenderedPageBreak/>
        <w:t>Do you consider that the insider list regime should be amended to make it more e</w:t>
      </w:r>
      <w:r w:rsidRPr="00263505">
        <w:t>f</w:t>
      </w:r>
      <w:r w:rsidRPr="00263505">
        <w:t>fective?  Please elaborate</w:t>
      </w:r>
      <w:r w:rsidR="00646C30">
        <w:t>.</w:t>
      </w:r>
    </w:p>
    <w:p w14:paraId="3C3E0AEE" w14:textId="77777777" w:rsidR="00646C30" w:rsidRDefault="00646C30" w:rsidP="00646C30">
      <w:r>
        <w:t>&lt;ESMA_QUESTION_CP_MAR_</w:t>
      </w:r>
      <w:r w:rsidR="00B6351C">
        <w:t>40</w:t>
      </w:r>
      <w:r>
        <w:t>&gt;</w:t>
      </w:r>
    </w:p>
    <w:p w14:paraId="09147AD8" w14:textId="0339DA1A" w:rsidR="00A22BF4" w:rsidRDefault="00A22BF4" w:rsidP="00A22BF4">
      <w:permStart w:id="1252881600" w:edGrp="everyone"/>
      <w:r>
        <w:t xml:space="preserve">As pointed out by ESMA in its Consultation Paper, in order to achieve the maximum usefulness and effectiveness of the insider list, it would be necessary to </w:t>
      </w:r>
      <w:r w:rsidRPr="00C16C6F">
        <w:rPr>
          <w:i/>
        </w:rPr>
        <w:t>(</w:t>
      </w:r>
      <w:proofErr w:type="spellStart"/>
      <w:r w:rsidRPr="00C16C6F">
        <w:rPr>
          <w:i/>
        </w:rPr>
        <w:t>i</w:t>
      </w:r>
      <w:proofErr w:type="spellEnd"/>
      <w:r w:rsidRPr="00C16C6F">
        <w:rPr>
          <w:i/>
        </w:rPr>
        <w:t>)</w:t>
      </w:r>
      <w:r w:rsidR="00F329F4">
        <w:t xml:space="preserve"> include o</w:t>
      </w:r>
      <w:r>
        <w:t xml:space="preserve">n the list only the individuals who are actually aware of the </w:t>
      </w:r>
      <w:r w:rsidR="005B6AF9">
        <w:t>inside</w:t>
      </w:r>
      <w:r>
        <w:t xml:space="preserve"> information, </w:t>
      </w:r>
      <w:r w:rsidRPr="00C16C6F">
        <w:rPr>
          <w:i/>
        </w:rPr>
        <w:t>(ii)</w:t>
      </w:r>
      <w:r>
        <w:t xml:space="preserve"> precisely indicate the date and time of inclusion in the list and </w:t>
      </w:r>
      <w:r w:rsidRPr="00D532E8">
        <w:rPr>
          <w:i/>
        </w:rPr>
        <w:t>(iii)</w:t>
      </w:r>
      <w:r>
        <w:t xml:space="preserve"> correctly report all the data required by the delegated acts.</w:t>
      </w:r>
    </w:p>
    <w:p w14:paraId="71B9642B" w14:textId="77777777" w:rsidR="00A22BF4" w:rsidRDefault="00A22BF4" w:rsidP="00A22BF4"/>
    <w:p w14:paraId="7044AC32" w14:textId="53E87B75" w:rsidR="00A22BF4" w:rsidRDefault="00A22BF4" w:rsidP="00A22BF4">
      <w:r>
        <w:t xml:space="preserve">If, as said, the purpose of the discipline is this, it must be noted, however, that sometimes, in practice, such objective does not appear immediately achievable. For example, the interpretation provided by the Italian NCA on the relationship between the time of mandatory creation of the insider list and the time of publication of </w:t>
      </w:r>
      <w:r w:rsidR="005B6AF9">
        <w:t>inside</w:t>
      </w:r>
      <w:r>
        <w:t xml:space="preserve"> information requires that such publication, even in case of </w:t>
      </w:r>
      <w:r w:rsidR="00F329F4">
        <w:t xml:space="preserve">the </w:t>
      </w:r>
      <w:r>
        <w:t>option for its imm</w:t>
      </w:r>
      <w:r>
        <w:t>e</w:t>
      </w:r>
      <w:r>
        <w:t xml:space="preserve">diate discovery (i.e. without the activation of the institution of delay), could only occur after the compilation of the insider list. </w:t>
      </w:r>
    </w:p>
    <w:p w14:paraId="158EEDA2" w14:textId="77777777" w:rsidR="00A22BF4" w:rsidRDefault="00A22BF4" w:rsidP="00A22BF4"/>
    <w:p w14:paraId="273F0FE2" w14:textId="36BF4681" w:rsidR="00A22BF4" w:rsidRDefault="00A22BF4" w:rsidP="00A22BF4">
      <w:r>
        <w:t xml:space="preserve">The above described approach necessarily implies a possible time gap (potentially unrestricted) in the publication of </w:t>
      </w:r>
      <w:r w:rsidR="00355EB3">
        <w:t>inside</w:t>
      </w:r>
      <w:r w:rsidR="00355EB3">
        <w:t xml:space="preserve"> </w:t>
      </w:r>
      <w:r>
        <w:t>information for the time necessary to complete the insider list. This is, substantia</w:t>
      </w:r>
      <w:r>
        <w:t>l</w:t>
      </w:r>
      <w:r>
        <w:t xml:space="preserve">ly, the time required to collect any missing data of the individuals who are in possession of the </w:t>
      </w:r>
      <w:r w:rsidR="00355EB3">
        <w:t>inside</w:t>
      </w:r>
      <w:r>
        <w:t xml:space="preserve"> info</w:t>
      </w:r>
      <w:r>
        <w:t>r</w:t>
      </w:r>
      <w:r>
        <w:t xml:space="preserve">mation. </w:t>
      </w:r>
    </w:p>
    <w:p w14:paraId="39511523" w14:textId="77777777" w:rsidR="00A22BF4" w:rsidRDefault="00A22BF4" w:rsidP="00A22BF4"/>
    <w:p w14:paraId="76A4B6DA" w14:textId="43E42DAA" w:rsidR="00A22BF4" w:rsidRDefault="00A22BF4" w:rsidP="00A22BF4">
      <w:r>
        <w:t xml:space="preserve">In the end, the relationship between </w:t>
      </w:r>
      <w:r w:rsidRPr="00C16C6F">
        <w:rPr>
          <w:i/>
        </w:rPr>
        <w:t>(</w:t>
      </w:r>
      <w:proofErr w:type="spellStart"/>
      <w:r w:rsidRPr="00C16C6F">
        <w:rPr>
          <w:i/>
        </w:rPr>
        <w:t>i</w:t>
      </w:r>
      <w:proofErr w:type="spellEnd"/>
      <w:r w:rsidRPr="00C16C6F">
        <w:rPr>
          <w:i/>
        </w:rPr>
        <w:t>)</w:t>
      </w:r>
      <w:r>
        <w:t xml:space="preserve"> the publication of the </w:t>
      </w:r>
      <w:r w:rsidR="005B6AF9">
        <w:t>inside</w:t>
      </w:r>
      <w:r>
        <w:t xml:space="preserve"> information </w:t>
      </w:r>
      <w:r w:rsidR="005E0DFA">
        <w:t>timeliness</w:t>
      </w:r>
      <w:r>
        <w:t xml:space="preserve">, </w:t>
      </w:r>
      <w:r w:rsidRPr="00C16C6F">
        <w:rPr>
          <w:i/>
        </w:rPr>
        <w:t>(ii)</w:t>
      </w:r>
      <w:r>
        <w:t xml:space="preserve"> the prior compilation of the insider list and </w:t>
      </w:r>
      <w:r w:rsidRPr="00C16C6F">
        <w:rPr>
          <w:i/>
        </w:rPr>
        <w:t>(iii)</w:t>
      </w:r>
      <w:r>
        <w:t xml:space="preserve"> the exact indication of </w:t>
      </w:r>
      <w:r w:rsidR="00F329F4">
        <w:t>the registration date and time o</w:t>
      </w:r>
      <w:r>
        <w:t xml:space="preserve">n the same insider list should be, in </w:t>
      </w:r>
      <w:r w:rsidR="00225C6E">
        <w:t>ASSIREVI</w:t>
      </w:r>
      <w:r>
        <w:t>’s opinion, subject to further consideration by ESMA and more precise indications by the European legislator.</w:t>
      </w:r>
    </w:p>
    <w:p w14:paraId="2807D2EA" w14:textId="77777777" w:rsidR="00A22BF4" w:rsidRDefault="00A22BF4" w:rsidP="00A22BF4"/>
    <w:p w14:paraId="4F332F74" w14:textId="7A6DC1F0" w:rsidR="00A22BF4" w:rsidRDefault="00A22BF4" w:rsidP="00A22BF4">
      <w:r>
        <w:t>Moreover, this problem is even made worse in light of the type of data that, according to MAR (see Exec</w:t>
      </w:r>
      <w:r>
        <w:t>u</w:t>
      </w:r>
      <w:r>
        <w:t xml:space="preserve">tion Regulation (EU) 2016/347), must be requested from those who are in possession of </w:t>
      </w:r>
      <w:r w:rsidR="005B6AF9">
        <w:t>inside</w:t>
      </w:r>
      <w:r>
        <w:t xml:space="preserve"> info</w:t>
      </w:r>
      <w:r>
        <w:t>r</w:t>
      </w:r>
      <w:r w:rsidR="00F329F4">
        <w:t xml:space="preserve">mation both by issuers and </w:t>
      </w:r>
      <w:r>
        <w:t xml:space="preserve">other individuals required to establish their own insider list. In this regard, </w:t>
      </w:r>
      <w:r w:rsidR="00225C6E">
        <w:t>ASSIREVI</w:t>
      </w:r>
      <w:r>
        <w:t xml:space="preserve"> takes the opportunity of the consultation to point out that there is a specific need to amend MAR Regul</w:t>
      </w:r>
      <w:r>
        <w:t>a</w:t>
      </w:r>
      <w:r>
        <w:t>tion (also in relation to the EU rules on privacy). In fact, it would be necessary to expressly set a regulatory obligation for individuals who are holders (even if only potenti</w:t>
      </w:r>
      <w:r w:rsidR="00F329F4">
        <w:t xml:space="preserve">ally) of </w:t>
      </w:r>
      <w:r w:rsidR="005B6AF9">
        <w:t>inside</w:t>
      </w:r>
      <w:r w:rsidR="00F329F4">
        <w:t xml:space="preserve"> information</w:t>
      </w:r>
      <w:r>
        <w:t xml:space="preserve"> to commun</w:t>
      </w:r>
      <w:r>
        <w:t>i</w:t>
      </w:r>
      <w:r>
        <w:t xml:space="preserve">cate their data </w:t>
      </w:r>
      <w:r w:rsidR="005B6AF9">
        <w:t xml:space="preserve">as </w:t>
      </w:r>
      <w:r>
        <w:t xml:space="preserve">required </w:t>
      </w:r>
      <w:r w:rsidR="005B6AF9">
        <w:t>to fulfil</w:t>
      </w:r>
      <w:r w:rsidR="0081372D">
        <w:t>l</w:t>
      </w:r>
      <w:bookmarkStart w:id="3" w:name="_GoBack"/>
      <w:bookmarkEnd w:id="3"/>
      <w:r w:rsidR="005B6AF9">
        <w:t xml:space="preserve"> MAR requirements</w:t>
      </w:r>
      <w:r>
        <w:t>. In fact, such data may also include personal information go</w:t>
      </w:r>
      <w:r>
        <w:t>v</w:t>
      </w:r>
      <w:r>
        <w:t>erned by European Regulation 679/2016 (GDPR). In the absence of any specific provision, such data transfer requires the prior authorization from each concerned employee of the</w:t>
      </w:r>
      <w:r w:rsidR="005E0DFA">
        <w:t xml:space="preserve"> interested</w:t>
      </w:r>
      <w:r>
        <w:t xml:space="preserve"> audi</w:t>
      </w:r>
      <w:r w:rsidR="00E471B9">
        <w:t>t firm</w:t>
      </w:r>
      <w:r>
        <w:t>.</w:t>
      </w:r>
    </w:p>
    <w:p w14:paraId="79B043D0" w14:textId="77777777" w:rsidR="00A22BF4" w:rsidRDefault="00A22BF4" w:rsidP="00A22BF4"/>
    <w:p w14:paraId="7A26781F" w14:textId="5D05B6A0" w:rsidR="00A22BF4" w:rsidRDefault="00A22BF4" w:rsidP="00A22BF4">
      <w:r>
        <w:t xml:space="preserve">From a different point of view, as already mentioned, if the </w:t>
      </w:r>
      <w:r w:rsidR="005E0DFA">
        <w:t>timeliness</w:t>
      </w:r>
      <w:r>
        <w:t xml:space="preserve"> to draft the insider list represents the priority, then, it must be considered the possibility of introducing, for individuals other than the issuer, some procedural simplifications that would, in our opinion, make the “</w:t>
      </w:r>
      <w:r w:rsidRPr="00C16C6F">
        <w:rPr>
          <w:i/>
        </w:rPr>
        <w:t>insider list regime</w:t>
      </w:r>
      <w:r>
        <w:t>” “</w:t>
      </w:r>
      <w:r w:rsidRPr="00C16C6F">
        <w:rPr>
          <w:i/>
        </w:rPr>
        <w:t>more effective</w:t>
      </w:r>
      <w:r>
        <w:t xml:space="preserve">”. </w:t>
      </w:r>
    </w:p>
    <w:p w14:paraId="30DB3D51" w14:textId="77777777" w:rsidR="00A22BF4" w:rsidRDefault="00A22BF4" w:rsidP="00A22BF4"/>
    <w:p w14:paraId="65CC103C" w14:textId="3D296777" w:rsidR="00A22BF4" w:rsidRDefault="005E0DFA" w:rsidP="00A22BF4">
      <w:r>
        <w:t>For</w:t>
      </w:r>
      <w:r w:rsidR="00A22BF4">
        <w:t xml:space="preserve"> these individuals, including the audit </w:t>
      </w:r>
      <w:r w:rsidR="00431F62">
        <w:t>firms</w:t>
      </w:r>
      <w:r w:rsidR="00A22BF4">
        <w:t>, the creation of the insider lists should occur at the time the auditing activ</w:t>
      </w:r>
      <w:r w:rsidR="00431F62">
        <w:t>ities relating to the engagement</w:t>
      </w:r>
      <w:r w:rsidR="00A22BF4">
        <w:t xml:space="preserve"> </w:t>
      </w:r>
      <w:r>
        <w:t>assigned</w:t>
      </w:r>
      <w:r w:rsidR="00A22BF4">
        <w:t xml:space="preserve"> begin. In </w:t>
      </w:r>
      <w:r w:rsidR="00225C6E">
        <w:t>ASSIREVI</w:t>
      </w:r>
      <w:r w:rsidR="00A22BF4">
        <w:t xml:space="preserve">’s opinion, such a solution would in fact represent the most efficient way to practically comply with the requirements of the MAR. </w:t>
      </w:r>
    </w:p>
    <w:p w14:paraId="6097B665" w14:textId="77777777" w:rsidR="00A22BF4" w:rsidRDefault="00A22BF4" w:rsidP="00A22BF4"/>
    <w:p w14:paraId="373D3069" w14:textId="2849656B" w:rsidR="00A22BF4" w:rsidRDefault="00F329F4" w:rsidP="00A22BF4">
      <w:r>
        <w:t>In particular</w:t>
      </w:r>
      <w:r w:rsidR="00A22BF4">
        <w:t xml:space="preserve"> from a</w:t>
      </w:r>
      <w:r w:rsidR="005E0DFA">
        <w:t xml:space="preserve"> practical </w:t>
      </w:r>
      <w:r w:rsidR="00C16C6F">
        <w:t>point of view, the audit</w:t>
      </w:r>
      <w:r w:rsidR="00A22BF4">
        <w:t xml:space="preserve"> </w:t>
      </w:r>
      <w:r w:rsidR="00C16C6F">
        <w:t>firm</w:t>
      </w:r>
      <w:r w:rsidR="00A22BF4">
        <w:t xml:space="preserve"> could maintain its insider list implementing se</w:t>
      </w:r>
      <w:r w:rsidR="00A22BF4">
        <w:t>c</w:t>
      </w:r>
      <w:r w:rsidR="00A22BF4">
        <w:t>tions dedicated to each auditing</w:t>
      </w:r>
      <w:r w:rsidR="00431F62">
        <w:t xml:space="preserve"> engagement</w:t>
      </w:r>
      <w:r w:rsidR="00A22BF4">
        <w:t xml:space="preserve">, to be added when the activities planned for the </w:t>
      </w:r>
      <w:r w:rsidR="005E0DFA">
        <w:t>audit e</w:t>
      </w:r>
      <w:r w:rsidR="005E0DFA">
        <w:t>n</w:t>
      </w:r>
      <w:r w:rsidR="005E0DFA">
        <w:t xml:space="preserve">gagement </w:t>
      </w:r>
      <w:r w:rsidR="00A22BF4">
        <w:t xml:space="preserve">begin. It is from that moment, in fact, that the auditing company </w:t>
      </w:r>
      <w:r w:rsidR="005E0DFA">
        <w:t>starts</w:t>
      </w:r>
      <w:r w:rsidR="00A22BF4">
        <w:t xml:space="preserve"> to receive information, including pot</w:t>
      </w:r>
      <w:r>
        <w:t xml:space="preserve">entially </w:t>
      </w:r>
      <w:r w:rsidR="00355EB3">
        <w:t>inside</w:t>
      </w:r>
      <w:r>
        <w:t xml:space="preserve"> information</w:t>
      </w:r>
      <w:r w:rsidR="00A22BF4">
        <w:t xml:space="preserve"> relating to the audited company. Each section should then be divided into individual sub-sections for each year of the </w:t>
      </w:r>
      <w:r w:rsidR="005E0DFA">
        <w:t>engagement</w:t>
      </w:r>
      <w:r w:rsidR="00A22BF4">
        <w:t xml:space="preserve">, kept updated during the course of the </w:t>
      </w:r>
      <w:r w:rsidR="005E0DFA">
        <w:t>engagement</w:t>
      </w:r>
      <w:r w:rsidR="00A22BF4">
        <w:t xml:space="preserve"> and closed at its end. This would make </w:t>
      </w:r>
      <w:r w:rsidR="002E6166">
        <w:t xml:space="preserve">it </w:t>
      </w:r>
      <w:r w:rsidR="00A22BF4">
        <w:t>possible to map all the informed parties (the members of the team carrying out the audit activity and any experts involved in the activity), while avoid</w:t>
      </w:r>
      <w:r>
        <w:t>ing at the same time</w:t>
      </w:r>
      <w:r w:rsidR="00A22BF4">
        <w:t xml:space="preserve"> </w:t>
      </w:r>
      <w:r w:rsidR="002E6166">
        <w:t>an</w:t>
      </w:r>
      <w:r w:rsidR="00A22BF4">
        <w:t xml:space="preserve"> u</w:t>
      </w:r>
      <w:r w:rsidR="002E6166">
        <w:t>nnecessary multiplication of</w:t>
      </w:r>
      <w:r w:rsidR="00A22BF4">
        <w:t xml:space="preserve"> insider list sections with identical content. More</w:t>
      </w:r>
      <w:r w:rsidR="00A22BF4">
        <w:t>o</w:t>
      </w:r>
      <w:r w:rsidR="00A22BF4">
        <w:t>ver, this approach would also overcome a further significant difficulty for the audit firms: i.e.</w:t>
      </w:r>
      <w:r>
        <w:t>,</w:t>
      </w:r>
      <w:r w:rsidR="00A22BF4">
        <w:t xml:space="preserve"> the determ</w:t>
      </w:r>
      <w:r w:rsidR="00A22BF4">
        <w:t>i</w:t>
      </w:r>
      <w:r w:rsidR="00A22BF4">
        <w:t xml:space="preserve">nation of the exact moment when the information received during the performance of the audit activity becomes </w:t>
      </w:r>
      <w:r w:rsidR="002E6166">
        <w:t>inside</w:t>
      </w:r>
      <w:r w:rsidR="00A22BF4">
        <w:t xml:space="preserve"> for MAR purposes. This determination, in fact, is </w:t>
      </w:r>
      <w:r>
        <w:t>the result of evaluations which</w:t>
      </w:r>
      <w:r w:rsidR="00A22BF4">
        <w:t xml:space="preserve"> in concrete t</w:t>
      </w:r>
      <w:r>
        <w:t>erms and in accordance with law</w:t>
      </w:r>
      <w:r w:rsidR="00A22BF4">
        <w:t xml:space="preserve"> can only be carried out by the issuer.</w:t>
      </w:r>
    </w:p>
    <w:p w14:paraId="4176FF51" w14:textId="77777777" w:rsidR="00A22BF4" w:rsidRDefault="00A22BF4" w:rsidP="00A22BF4"/>
    <w:p w14:paraId="0D2D91BB" w14:textId="1F3C5427" w:rsidR="00A22BF4" w:rsidRDefault="00A22BF4" w:rsidP="00A22BF4">
      <w:r>
        <w:lastRenderedPageBreak/>
        <w:t>A further question concerns the management of the “</w:t>
      </w:r>
      <w:r w:rsidRPr="00D532E8">
        <w:rPr>
          <w:i/>
        </w:rPr>
        <w:t>permanent access</w:t>
      </w:r>
      <w:r>
        <w:t xml:space="preserve">” section of the insider list held by the audit </w:t>
      </w:r>
      <w:r w:rsidR="00431F62">
        <w:t>firm</w:t>
      </w:r>
      <w:r>
        <w:t xml:space="preserve">. This specifically refers to the central functions that the </w:t>
      </w:r>
      <w:r w:rsidR="00431F62">
        <w:t xml:space="preserve">engagement </w:t>
      </w:r>
      <w:r>
        <w:t xml:space="preserve">team can use to resolve specific </w:t>
      </w:r>
      <w:r w:rsidR="00B258F2">
        <w:t xml:space="preserve">engagement </w:t>
      </w:r>
      <w:r>
        <w:t xml:space="preserve">issues (e.g. risk management, technical functions relating to auditing standards application and/or accounting standards). In performing their role, it is not excluded that these central functions may </w:t>
      </w:r>
      <w:r w:rsidR="005E0DFA">
        <w:t>encounter</w:t>
      </w:r>
      <w:r>
        <w:t xml:space="preserve"> issuer’s “</w:t>
      </w:r>
      <w:r w:rsidRPr="00D532E8">
        <w:rPr>
          <w:i/>
        </w:rPr>
        <w:t>piece of relevant information</w:t>
      </w:r>
      <w:r>
        <w:t>”.</w:t>
      </w:r>
    </w:p>
    <w:p w14:paraId="283C7B77" w14:textId="77777777" w:rsidR="00A22BF4" w:rsidRDefault="00A22BF4" w:rsidP="00A22BF4"/>
    <w:p w14:paraId="3C3E0AEF" w14:textId="6F663C9E" w:rsidR="00646C30" w:rsidRDefault="00A22BF4" w:rsidP="00646C30">
      <w:r>
        <w:t xml:space="preserve">Without prejudice to the answers given below in response to Q42 and Q43, for the specific case of audit firms and taking into account their organization, </w:t>
      </w:r>
      <w:r w:rsidR="00225C6E">
        <w:t>ASSIREVI</w:t>
      </w:r>
      <w:r>
        <w:t xml:space="preserve"> believes that the professionals who are part of the central functions should be in the position to be registered in the permanent access section of the insider list. In other words, while respecting the principle of minimizing the number of individuals enrolled in the permanent section, the audit firms should be able to evaluate which central functions are most commonly called to support the </w:t>
      </w:r>
      <w:r w:rsidR="00B258F2">
        <w:t xml:space="preserve">engagement </w:t>
      </w:r>
      <w:r w:rsidR="00D52CA6">
        <w:t>teams and then to identify</w:t>
      </w:r>
      <w:r>
        <w:t xml:space="preserve"> the professionals </w:t>
      </w:r>
      <w:r w:rsidR="00D52CA6">
        <w:t xml:space="preserve">among them </w:t>
      </w:r>
      <w:r>
        <w:t xml:space="preserve">who, due to their role and skills, should be included in the permanent access section of </w:t>
      </w:r>
      <w:r w:rsidR="00D52CA6">
        <w:t>the insider list. In particular</w:t>
      </w:r>
      <w:r>
        <w:t xml:space="preserve"> in order to understand whether or not it is appropriate for each professional to be included in the permanent access section of the insider list, both the technical skills of each professional and the doc</w:t>
      </w:r>
      <w:r>
        <w:t>u</w:t>
      </w:r>
      <w:r>
        <w:t>mentation to which he or she may or should have access should be taken into account.</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w:t>
      </w:r>
      <w:r w:rsidRPr="00263505">
        <w:t>i</w:t>
      </w:r>
      <w:r w:rsidRPr="00263505">
        <w:t>viduals who had actually accessed the inside information within a short time per</w:t>
      </w:r>
      <w:r w:rsidRPr="00263505">
        <w:t>i</w:t>
      </w:r>
      <w:r w:rsidRPr="00263505">
        <w:t>od</w:t>
      </w:r>
      <w:r>
        <w:t>?</w:t>
      </w:r>
    </w:p>
    <w:p w14:paraId="3C3E0AF3" w14:textId="77777777" w:rsidR="00646C30" w:rsidRDefault="00646C30" w:rsidP="00646C30">
      <w:r>
        <w:t>&lt;ESMA_QUESTION_CP_MAR_</w:t>
      </w:r>
      <w:r w:rsidR="00B6351C">
        <w:t>41</w:t>
      </w:r>
      <w:r>
        <w:t>&gt;</w:t>
      </w:r>
    </w:p>
    <w:p w14:paraId="3C3E0AF4" w14:textId="0C440EE6" w:rsidR="00646C30" w:rsidRDefault="00045EFE" w:rsidP="00646C30">
      <w:permStart w:id="93392546" w:edGrp="everyone"/>
      <w:r w:rsidRPr="00E54D64">
        <w:t>With regard to the audit firm</w:t>
      </w:r>
      <w:r>
        <w:t xml:space="preserve"> perspective</w:t>
      </w:r>
      <w:r w:rsidRPr="00E54D64">
        <w:t xml:space="preserve">, reference should be made to the </w:t>
      </w:r>
      <w:r>
        <w:t xml:space="preserve">position taken </w:t>
      </w:r>
      <w:r w:rsidRPr="00E54D64">
        <w:t xml:space="preserve">in </w:t>
      </w:r>
      <w:r>
        <w:t xml:space="preserve">answering </w:t>
      </w:r>
      <w:r w:rsidRPr="00E54D64">
        <w:t>previous Q40 and subsequent Q42.</w:t>
      </w:r>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t>
      </w:r>
      <w:r w:rsidRPr="00A55D71">
        <w:t>w</w:t>
      </w:r>
      <w:r w:rsidRPr="00A55D71">
        <w:t>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4BD3BAAF" w14:textId="391368E9" w:rsidR="00894842" w:rsidRDefault="00894842" w:rsidP="00894842">
      <w:permStart w:id="1148858332" w:edGrp="everyone"/>
      <w:r>
        <w:t xml:space="preserve">The answer to Q42, as far as </w:t>
      </w:r>
      <w:r w:rsidR="00225C6E">
        <w:t>ASSIREVI</w:t>
      </w:r>
      <w:r>
        <w:t xml:space="preserve"> is concerned, requires a preliminary consideration o</w:t>
      </w:r>
      <w:r w:rsidR="00D52CA6">
        <w:t xml:space="preserve">n </w:t>
      </w:r>
      <w:r w:rsidR="00EB4ABE">
        <w:t>the</w:t>
      </w:r>
      <w:r w:rsidR="00D52CA6">
        <w:t xml:space="preserve"> speci</w:t>
      </w:r>
      <w:r w:rsidR="00D52CA6">
        <w:t>f</w:t>
      </w:r>
      <w:r w:rsidR="00D52CA6">
        <w:t>ic situation</w:t>
      </w:r>
      <w:r>
        <w:t xml:space="preserve"> </w:t>
      </w:r>
      <w:r w:rsidR="00EB4ABE">
        <w:t xml:space="preserve">of the audit firm </w:t>
      </w:r>
      <w:r>
        <w:t>in order to allow some general scope statements.</w:t>
      </w:r>
    </w:p>
    <w:p w14:paraId="14ADA99D" w14:textId="77777777" w:rsidR="00894842" w:rsidRDefault="00894842" w:rsidP="00894842"/>
    <w:p w14:paraId="65509DEF" w14:textId="243B6A8D" w:rsidR="00894842" w:rsidRDefault="00894842" w:rsidP="00894842">
      <w:r>
        <w:t xml:space="preserve">With regard to the first question, </w:t>
      </w:r>
      <w:r w:rsidR="00225C6E">
        <w:t>ASSIREVI</w:t>
      </w:r>
      <w:r>
        <w:t xml:space="preserve"> agrees with ESMA clarification according to which it does not consider the audit firm to be a “</w:t>
      </w:r>
      <w:r w:rsidRPr="00D532E8">
        <w:rPr>
          <w:i/>
        </w:rPr>
        <w:t>person acting on … behalf</w:t>
      </w:r>
      <w:r>
        <w:t>” of an issuer “</w:t>
      </w:r>
      <w:r w:rsidRPr="00D532E8">
        <w:rPr>
          <w:i/>
        </w:rPr>
        <w:t>or on their account</w:t>
      </w:r>
      <w:r>
        <w:t>” (see CP, 177, “</w:t>
      </w:r>
      <w:r w:rsidRPr="00D532E8">
        <w:rPr>
          <w:i/>
        </w:rPr>
        <w:t xml:space="preserve">ESMA is considering whether the obligation to draw up and maintain insider lists </w:t>
      </w:r>
      <w:r w:rsidRPr="00D532E8">
        <w:rPr>
          <w:i/>
          <w:u w:val="single"/>
        </w:rPr>
        <w:t>should be explicitly expanded to other persons</w:t>
      </w:r>
      <w:r w:rsidRPr="00D532E8">
        <w:rPr>
          <w:i/>
        </w:rPr>
        <w:t xml:space="preserve"> performing tasks through which they have access to inside information, </w:t>
      </w:r>
      <w:r w:rsidRPr="00D532E8">
        <w:rPr>
          <w:i/>
          <w:u w:val="single"/>
        </w:rPr>
        <w:t>even if they do not act on behalf or on the account of the issuer</w:t>
      </w:r>
      <w:r w:rsidRPr="00D532E8">
        <w:rPr>
          <w:i/>
        </w:rPr>
        <w:t xml:space="preserve">. </w:t>
      </w:r>
      <w:r w:rsidRPr="00D532E8">
        <w:rPr>
          <w:i/>
          <w:u w:val="single"/>
        </w:rPr>
        <w:t>The two examples identified by ESMA at this stage are auditors</w:t>
      </w:r>
      <w:r w:rsidRPr="00D532E8">
        <w:rPr>
          <w:i/>
        </w:rPr>
        <w:t xml:space="preserve"> and notaries, but there might be other cases</w:t>
      </w:r>
      <w:r>
        <w:t>” (emphasis added).</w:t>
      </w:r>
    </w:p>
    <w:p w14:paraId="55A5E52B" w14:textId="77777777" w:rsidR="006976B7" w:rsidRDefault="006976B7" w:rsidP="00894842"/>
    <w:p w14:paraId="6DDBD206" w14:textId="79932398" w:rsidR="00894842" w:rsidRDefault="00894842" w:rsidP="00894842">
      <w:r>
        <w:t>In fact, on</w:t>
      </w:r>
      <w:r w:rsidR="00D52CA6">
        <w:t>e of the fundamental audit firm</w:t>
      </w:r>
      <w:r>
        <w:t xml:space="preserve"> characteristics is that they operate in full and absolute indepen</w:t>
      </w:r>
      <w:r>
        <w:t>d</w:t>
      </w:r>
      <w:r>
        <w:t xml:space="preserve">ence from the company that </w:t>
      </w:r>
      <w:r w:rsidR="00B258F2">
        <w:t>engag</w:t>
      </w:r>
      <w:r>
        <w:t xml:space="preserve">ed them and may certainly not be considered as falling within </w:t>
      </w:r>
      <w:r w:rsidR="006976B7">
        <w:t>“</w:t>
      </w:r>
      <w:r w:rsidRPr="006976B7">
        <w:rPr>
          <w:i/>
          <w:iCs/>
        </w:rPr>
        <w:t>those acting on behalf or on the account of the issuer</w:t>
      </w:r>
      <w:r w:rsidR="006976B7">
        <w:t>”</w:t>
      </w:r>
      <w:r>
        <w:t>.</w:t>
      </w:r>
    </w:p>
    <w:p w14:paraId="360292F9" w14:textId="1CC96CD1" w:rsidR="00894842" w:rsidRDefault="00894842" w:rsidP="00894842">
      <w:r>
        <w:t>The founding principle of auditors</w:t>
      </w:r>
      <w:r w:rsidR="006976B7">
        <w:t>’</w:t>
      </w:r>
      <w:r>
        <w:t xml:space="preserve"> independence, as clearly stated in Directive 2014/56/EU and Regul</w:t>
      </w:r>
      <w:r>
        <w:t>a</w:t>
      </w:r>
      <w:r>
        <w:t>tion 537/2016/EU, is represented by the auditor objectivity</w:t>
      </w:r>
      <w:r w:rsidR="00D52CA6">
        <w:t>,</w:t>
      </w:r>
      <w:r>
        <w:t xml:space="preserve"> and the fact that the latter is not involved in the decision-making process of the audited company.</w:t>
      </w:r>
    </w:p>
    <w:p w14:paraId="20543AAA" w14:textId="5A5B54BD" w:rsidR="006976B7" w:rsidRDefault="006976B7" w:rsidP="00894842"/>
    <w:p w14:paraId="1FDD359B" w14:textId="77777777" w:rsidR="006976B7" w:rsidRDefault="006976B7" w:rsidP="006976B7"/>
    <w:p w14:paraId="045E41F8" w14:textId="7660454B" w:rsidR="006976B7" w:rsidRDefault="006976B7" w:rsidP="006976B7">
      <w:r w:rsidRPr="009156B7">
        <w:lastRenderedPageBreak/>
        <w:t xml:space="preserve">From </w:t>
      </w:r>
      <w:r>
        <w:t>the above mentioned ESMA clarification</w:t>
      </w:r>
      <w:r w:rsidR="00D52CA6">
        <w:t>,</w:t>
      </w:r>
      <w:r w:rsidRPr="009156B7">
        <w:t xml:space="preserve"> it would therefore seem to be inferred that </w:t>
      </w:r>
      <w:r>
        <w:t>under</w:t>
      </w:r>
      <w:r w:rsidRPr="009156B7">
        <w:t xml:space="preserve"> the reg</w:t>
      </w:r>
      <w:r w:rsidRPr="009156B7">
        <w:t>u</w:t>
      </w:r>
      <w:r w:rsidRPr="009156B7">
        <w:t>lation currently in force auditor</w:t>
      </w:r>
      <w:r>
        <w:t>s</w:t>
      </w:r>
      <w:r w:rsidRPr="009156B7">
        <w:t xml:space="preserve"> would not be among the subjects obliged to keep an insider list of their own</w:t>
      </w:r>
      <w:r>
        <w:t>.</w:t>
      </w:r>
    </w:p>
    <w:p w14:paraId="2F158596" w14:textId="77777777" w:rsidR="006976B7" w:rsidRDefault="006976B7" w:rsidP="006976B7"/>
    <w:p w14:paraId="2249D0F9" w14:textId="57D80A0B" w:rsidR="00894842" w:rsidRDefault="00894842" w:rsidP="00894842">
      <w:r>
        <w:t xml:space="preserve">The fundamental question, which </w:t>
      </w:r>
      <w:r w:rsidR="00225C6E">
        <w:t>ASSIREVI</w:t>
      </w:r>
      <w:r>
        <w:t xml:space="preserve"> submits to ESMA's thoughts, is that a subject other than the issuer is not actually in a position to make the assessme</w:t>
      </w:r>
      <w:r w:rsidR="00B349CE">
        <w:t>nts and reflections that Art</w:t>
      </w:r>
      <w:r w:rsidR="00B258F2">
        <w:t>icle</w:t>
      </w:r>
      <w:r>
        <w:t xml:space="preserve"> 7 MAR requires for the effective identification and qualification of information as </w:t>
      </w:r>
      <w:r w:rsidR="00EB4ABE">
        <w:t>inside</w:t>
      </w:r>
      <w:r>
        <w:t xml:space="preserve"> for MAR purposes. In other words,</w:t>
      </w:r>
      <w:r w:rsidR="009E0F8A">
        <w:t xml:space="preserve"> </w:t>
      </w:r>
      <w:r w:rsidR="006976B7">
        <w:t>the audit firm, like other subjects, may be addressed with a variety of data from the issuer, among which "</w:t>
      </w:r>
      <w:r w:rsidR="006976B7" w:rsidRPr="00B349CE">
        <w:rPr>
          <w:i/>
        </w:rPr>
        <w:t>potentially</w:t>
      </w:r>
      <w:r w:rsidR="006976B7">
        <w:t xml:space="preserve">" </w:t>
      </w:r>
      <w:r w:rsidR="00EB4ABE">
        <w:t>inside</w:t>
      </w:r>
      <w:r w:rsidR="006976B7">
        <w:t xml:space="preserve"> information under MAR</w:t>
      </w:r>
      <w:r w:rsidR="002A0E6D">
        <w:t xml:space="preserve"> </w:t>
      </w:r>
      <w:r w:rsidR="002A0E6D">
        <w:t>could also exist</w:t>
      </w:r>
      <w:r w:rsidR="006976B7">
        <w:t>. However,</w:t>
      </w:r>
      <w:r>
        <w:t xml:space="preserve"> the auditing company does not have the means to verify the existence o</w:t>
      </w:r>
      <w:r w:rsidR="00D52CA6">
        <w:t>f essential conditions, such as</w:t>
      </w:r>
      <w:r>
        <w:t xml:space="preserve"> for example, the </w:t>
      </w:r>
      <w:r w:rsidR="00B349CE">
        <w:t xml:space="preserve">precise </w:t>
      </w:r>
      <w:r>
        <w:t xml:space="preserve">nature and materiality, which are </w:t>
      </w:r>
      <w:r w:rsidR="009E0F8A">
        <w:t>crucial</w:t>
      </w:r>
      <w:r>
        <w:t xml:space="preserve"> to consider the information it has become aware of as </w:t>
      </w:r>
      <w:r w:rsidR="00EB4ABE">
        <w:t>inside</w:t>
      </w:r>
      <w:r>
        <w:t xml:space="preserve"> </w:t>
      </w:r>
      <w:r w:rsidR="009E0F8A">
        <w:t>info</w:t>
      </w:r>
      <w:r w:rsidR="009E0F8A">
        <w:t>r</w:t>
      </w:r>
      <w:r w:rsidR="009E0F8A">
        <w:t xml:space="preserve">mation </w:t>
      </w:r>
      <w:r w:rsidR="00B349CE">
        <w:t>under Art</w:t>
      </w:r>
      <w:r w:rsidR="00B258F2">
        <w:t>icle</w:t>
      </w:r>
      <w:r>
        <w:t xml:space="preserve"> 7 MAR.</w:t>
      </w:r>
    </w:p>
    <w:p w14:paraId="04E29B6E" w14:textId="77777777" w:rsidR="00894842" w:rsidRDefault="00894842" w:rsidP="00894842"/>
    <w:p w14:paraId="04717C91" w14:textId="7065DAC2" w:rsidR="00894842" w:rsidRDefault="00894842" w:rsidP="00894842">
      <w:r>
        <w:t>This principle seems to be subject only to one exception</w:t>
      </w:r>
      <w:r w:rsidR="00D52CA6">
        <w:t xml:space="preserve"> at first glance</w:t>
      </w:r>
      <w:r>
        <w:t xml:space="preserve">. That is the case in which the possible </w:t>
      </w:r>
      <w:r w:rsidR="002A0E6D">
        <w:t>inside</w:t>
      </w:r>
      <w:r w:rsidR="002A0E6D">
        <w:t xml:space="preserve"> </w:t>
      </w:r>
      <w:r>
        <w:t>information is triggered by the auditor activity itself and, that is, by the opinion that the auditor is required to issue in his report on the financial statements of the issuer. Also in this case, howe</w:t>
      </w:r>
      <w:r>
        <w:t>v</w:t>
      </w:r>
      <w:r>
        <w:t xml:space="preserve">er, </w:t>
      </w:r>
      <w:r w:rsidR="00225C6E">
        <w:t>ASSIREVI</w:t>
      </w:r>
      <w:r>
        <w:t xml:space="preserve"> believes that the </w:t>
      </w:r>
      <w:r w:rsidR="009E0F8A">
        <w:t xml:space="preserve">assessment </w:t>
      </w:r>
      <w:r>
        <w:t xml:space="preserve">to qualify, for example, a disclaimer or an adverse opinion as </w:t>
      </w:r>
      <w:r w:rsidR="002A0E6D">
        <w:t>inside</w:t>
      </w:r>
      <w:r>
        <w:t xml:space="preserve"> information for MAR purposes requires a</w:t>
      </w:r>
      <w:r w:rsidR="00773F86">
        <w:t>n evaluation</w:t>
      </w:r>
      <w:r>
        <w:t xml:space="preserve"> that appears outside the auditor sphere. In fact, the decision to issue a disclaimer may concretely be deemed a decision expected by the market without any major concerns, since it is for example in line with previous opinions and in the absence of new facts. Th</w:t>
      </w:r>
      <w:r w:rsidR="006578B8">
        <w:t xml:space="preserve">erefore, this conclusion could </w:t>
      </w:r>
      <w:r>
        <w:t>not be considered as inside information</w:t>
      </w:r>
      <w:r w:rsidR="006578B8" w:rsidRPr="006578B8">
        <w:t xml:space="preserve"> </w:t>
      </w:r>
      <w:r w:rsidR="006578B8">
        <w:t>in principle</w:t>
      </w:r>
      <w:r>
        <w:t>.</w:t>
      </w:r>
    </w:p>
    <w:p w14:paraId="10C48398" w14:textId="77777777" w:rsidR="00894842" w:rsidRDefault="00894842" w:rsidP="00894842"/>
    <w:p w14:paraId="5DF92B8B" w14:textId="565C4F17" w:rsidR="00894842" w:rsidRDefault="006578B8" w:rsidP="00894842">
      <w:r>
        <w:t>In our opinion, even in these cases it is always up to the issuer</w:t>
      </w:r>
      <w:r w:rsidR="00894842">
        <w:t xml:space="preserve"> in the final </w:t>
      </w:r>
      <w:r>
        <w:t>analysis</w:t>
      </w:r>
      <w:r w:rsidR="00894842">
        <w:t xml:space="preserve"> to assess whether the auditor's conclusion is material and, therefore, to assess the need for its prompt communication to the market. </w:t>
      </w:r>
    </w:p>
    <w:p w14:paraId="3B085EB8" w14:textId="77777777" w:rsidR="00894842" w:rsidRDefault="00894842" w:rsidP="00894842"/>
    <w:p w14:paraId="4B268FE9" w14:textId="684EA552" w:rsidR="00894842" w:rsidRDefault="00894842" w:rsidP="00894842">
      <w:r>
        <w:t xml:space="preserve">In such a context, </w:t>
      </w:r>
      <w:r w:rsidR="00225C6E">
        <w:t>ASSIREVI</w:t>
      </w:r>
      <w:r>
        <w:t xml:space="preserve"> believes that, as illustrated above, the audit firm may, at most, only be the recipient of "</w:t>
      </w:r>
      <w:r w:rsidRPr="00B349CE">
        <w:rPr>
          <w:i/>
        </w:rPr>
        <w:t>potentially</w:t>
      </w:r>
      <w:r>
        <w:t xml:space="preserve">" </w:t>
      </w:r>
      <w:r w:rsidR="00046B30">
        <w:t>inside</w:t>
      </w:r>
      <w:r>
        <w:t xml:space="preserve"> information like other persons appointed by the issuer to carry out specific activities.</w:t>
      </w:r>
      <w:r w:rsidR="00193444">
        <w:t xml:space="preserve"> </w:t>
      </w:r>
      <w:r>
        <w:t xml:space="preserve">Moreover, given that the decision on the nature and classification of information as </w:t>
      </w:r>
      <w:r w:rsidR="00046B30">
        <w:t>inside</w:t>
      </w:r>
      <w:r>
        <w:t xml:space="preserve"> is in any case under the issuer judgment, the opening of the insider list by the auditor at the time of any poss</w:t>
      </w:r>
      <w:r>
        <w:t>i</w:t>
      </w:r>
      <w:r>
        <w:t xml:space="preserve">ble </w:t>
      </w:r>
      <w:r w:rsidR="00046B30">
        <w:t>inside</w:t>
      </w:r>
      <w:r>
        <w:t xml:space="preserve"> information could in any case result</w:t>
      </w:r>
      <w:r w:rsidR="00193444">
        <w:t xml:space="preserve"> to be</w:t>
      </w:r>
      <w:r>
        <w:t xml:space="preserve"> late.</w:t>
      </w:r>
      <w:r w:rsidR="00193444">
        <w:t xml:space="preserve"> The advanced protection of eventual inside information possession must then take into account the characteristics of the auditor's activity.</w:t>
      </w:r>
    </w:p>
    <w:p w14:paraId="216BBA09" w14:textId="77777777" w:rsidR="00894842" w:rsidRDefault="00894842" w:rsidP="00894842"/>
    <w:p w14:paraId="3CCC9D52" w14:textId="40616672" w:rsidR="00894842" w:rsidRDefault="00894842" w:rsidP="00894842">
      <w:r>
        <w:t xml:space="preserve">The solution proposed in previous </w:t>
      </w:r>
      <w:r w:rsidR="005E517D">
        <w:t>Q40</w:t>
      </w:r>
      <w:r>
        <w:t xml:space="preserve"> </w:t>
      </w:r>
      <w:r w:rsidR="005E517D">
        <w:t>(</w:t>
      </w:r>
      <w:r>
        <w:t>i.e.</w:t>
      </w:r>
      <w:r w:rsidR="005E517D">
        <w:t>,</w:t>
      </w:r>
      <w:r>
        <w:t xml:space="preserve"> opening a section of the insider list while starting the activities to perform each audit </w:t>
      </w:r>
      <w:r w:rsidR="00193444">
        <w:t>engagement</w:t>
      </w:r>
      <w:r>
        <w:t xml:space="preserve"> with an indication of all the team members</w:t>
      </w:r>
      <w:r w:rsidR="005E517D">
        <w:t>), would on the other hand</w:t>
      </w:r>
      <w:r>
        <w:t xml:space="preserve"> resolve the interpretation issues ar</w:t>
      </w:r>
      <w:r w:rsidR="00B258F2">
        <w:t>ising from Article 18(1) MAR in relation to Article</w:t>
      </w:r>
      <w:r>
        <w:t xml:space="preserve"> 17 MAR contents. In particular, the envisaged solution would ensure </w:t>
      </w:r>
      <w:r w:rsidRPr="00B349CE">
        <w:rPr>
          <w:i/>
        </w:rPr>
        <w:t>(</w:t>
      </w:r>
      <w:proofErr w:type="spellStart"/>
      <w:r w:rsidRPr="00B349CE">
        <w:rPr>
          <w:i/>
        </w:rPr>
        <w:t>i</w:t>
      </w:r>
      <w:proofErr w:type="spellEnd"/>
      <w:r w:rsidRPr="00B349CE">
        <w:rPr>
          <w:i/>
        </w:rPr>
        <w:t>)</w:t>
      </w:r>
      <w:r>
        <w:t xml:space="preserve"> a prompt response to any NCA(s) requests, </w:t>
      </w:r>
      <w:r w:rsidRPr="00B349CE">
        <w:rPr>
          <w:i/>
        </w:rPr>
        <w:t>(ii)</w:t>
      </w:r>
      <w:r>
        <w:t xml:space="preserve"> a pun</w:t>
      </w:r>
      <w:r>
        <w:t>c</w:t>
      </w:r>
      <w:r>
        <w:t xml:space="preserve">tual and essential list and </w:t>
      </w:r>
      <w:r w:rsidRPr="00B349CE">
        <w:rPr>
          <w:i/>
        </w:rPr>
        <w:t>(iii)</w:t>
      </w:r>
      <w:r>
        <w:t xml:space="preserve"> a cost reduction for audit firms to maintain the insider list.</w:t>
      </w:r>
    </w:p>
    <w:p w14:paraId="10BC3985" w14:textId="77777777" w:rsidR="00894842" w:rsidRDefault="00894842" w:rsidP="00894842"/>
    <w:p w14:paraId="1FF757EB" w14:textId="1C839368" w:rsidR="00894842" w:rsidRDefault="00894842" w:rsidP="00894842">
      <w:r>
        <w:t>Considering the above, we deem helpful adding a</w:t>
      </w:r>
      <w:r w:rsidR="00193444">
        <w:t>n</w:t>
      </w:r>
      <w:r>
        <w:t xml:space="preserve"> </w:t>
      </w:r>
      <w:r w:rsidR="00193444">
        <w:t>input</w:t>
      </w:r>
      <w:r>
        <w:t xml:space="preserve"> also on the more general theme of the "</w:t>
      </w:r>
      <w:r w:rsidRPr="00B349CE">
        <w:rPr>
          <w:i/>
        </w:rPr>
        <w:t>other cases that you consider appropriate</w:t>
      </w:r>
      <w:r>
        <w:t xml:space="preserve">" under Q42. In </w:t>
      </w:r>
      <w:r w:rsidR="00225C6E">
        <w:t>ASSIREVI</w:t>
      </w:r>
      <w:r>
        <w:t xml:space="preserve">'s </w:t>
      </w:r>
      <w:r w:rsidR="00193444">
        <w:t>view</w:t>
      </w:r>
      <w:r>
        <w:t xml:space="preserve">, </w:t>
      </w:r>
      <w:r w:rsidR="00193444">
        <w:t xml:space="preserve">the issue related to the expansion of art. 18(1) MAR scope to </w:t>
      </w:r>
      <w:r>
        <w:t xml:space="preserve">homogeneous categories </w:t>
      </w:r>
      <w:r w:rsidR="00193444">
        <w:t xml:space="preserve">of </w:t>
      </w:r>
      <w:r>
        <w:t>subjects carrying out different activities in favo</w:t>
      </w:r>
      <w:r w:rsidR="00193444">
        <w:t>u</w:t>
      </w:r>
      <w:r>
        <w:t>r of the issuers, in principle, could lead to systematic inconsistencies.</w:t>
      </w:r>
    </w:p>
    <w:p w14:paraId="6EF4997A" w14:textId="77777777" w:rsidR="00894842" w:rsidRDefault="00894842" w:rsidP="00894842"/>
    <w:p w14:paraId="38B0C59F" w14:textId="5F4CF481" w:rsidR="00894842" w:rsidRDefault="00894842" w:rsidP="00894842">
      <w:r>
        <w:t>The proper basis to determine the need of protection under MAR, in fact, does not seem to be the qualif</w:t>
      </w:r>
      <w:r>
        <w:t>i</w:t>
      </w:r>
      <w:r>
        <w:t xml:space="preserve">cation of the entities working with the issuer. As far as </w:t>
      </w:r>
      <w:r w:rsidR="00225C6E">
        <w:t>ASSIREVI</w:t>
      </w:r>
      <w:r>
        <w:t xml:space="preserve"> is concerned, the appropriate key factor determining the protection need should be the subject matter of the activity requested </w:t>
      </w:r>
      <w:r w:rsidR="00633D9F">
        <w:t>to</w:t>
      </w:r>
      <w:r>
        <w:t xml:space="preserve"> the consultant.</w:t>
      </w:r>
    </w:p>
    <w:p w14:paraId="709A389B" w14:textId="77777777" w:rsidR="00894842" w:rsidRDefault="00894842" w:rsidP="00894842"/>
    <w:p w14:paraId="677A75F6" w14:textId="74D5BCAE" w:rsidR="00894842" w:rsidRDefault="00894842" w:rsidP="00894842">
      <w:r>
        <w:t xml:space="preserve">The following examples may help to clarify the </w:t>
      </w:r>
      <w:r w:rsidR="005E517D">
        <w:t xml:space="preserve">above </w:t>
      </w:r>
      <w:r>
        <w:t>statement.</w:t>
      </w:r>
    </w:p>
    <w:p w14:paraId="600C4EAF" w14:textId="77777777" w:rsidR="00894842" w:rsidRDefault="00894842" w:rsidP="00894842"/>
    <w:p w14:paraId="53337421" w14:textId="7CDEC463" w:rsidR="00894842" w:rsidRDefault="00894842" w:rsidP="00894842">
      <w:r>
        <w:t>Not all legal advisors</w:t>
      </w:r>
      <w:r w:rsidR="00633D9F">
        <w:t>’</w:t>
      </w:r>
      <w:r>
        <w:t xml:space="preserve"> assignments can determine, </w:t>
      </w:r>
      <w:r w:rsidR="005E517D">
        <w:t xml:space="preserve">only </w:t>
      </w:r>
      <w:r>
        <w:t xml:space="preserve">even potentially, the possibility for the consultant to get </w:t>
      </w:r>
      <w:r w:rsidR="00046B30">
        <w:t>inside</w:t>
      </w:r>
      <w:r>
        <w:t xml:space="preserve"> information in </w:t>
      </w:r>
      <w:r w:rsidR="00046B30">
        <w:t>performing his task</w:t>
      </w:r>
      <w:r>
        <w:t>. In fact, there may be assignments covering minimal i</w:t>
      </w:r>
      <w:r>
        <w:t>s</w:t>
      </w:r>
      <w:r>
        <w:t>sues</w:t>
      </w:r>
      <w:r w:rsidR="00633D9F">
        <w:t>,</w:t>
      </w:r>
      <w:r>
        <w:t xml:space="preserve"> </w:t>
      </w:r>
      <w:r w:rsidR="00633D9F">
        <w:t>whose procedure and outcome</w:t>
      </w:r>
      <w:r>
        <w:t xml:space="preserve"> obviously may not concern "</w:t>
      </w:r>
      <w:r w:rsidRPr="00B349CE">
        <w:rPr>
          <w:i/>
        </w:rPr>
        <w:t>material</w:t>
      </w:r>
      <w:r>
        <w:t>" events for the issuer and that do not require sharing particular information (such as a dispute relating to a tender award of minimum value). Conversely, there may be assignments for significant projects, such as legal assistance to be provided within a recapitalization required for the issuer going concern.</w:t>
      </w:r>
    </w:p>
    <w:p w14:paraId="77FAE6AF" w14:textId="3DEB5E8B" w:rsidR="00894842" w:rsidRDefault="00894842" w:rsidP="00894842">
      <w:r>
        <w:lastRenderedPageBreak/>
        <w:t>Similarly, appointments may be made by professional accountants who, by their nature and characteri</w:t>
      </w:r>
      <w:r>
        <w:t>s</w:t>
      </w:r>
      <w:r>
        <w:t>tics, do not necessarily bring the consultant into contact with inside information for MAR purposes (e.g.</w:t>
      </w:r>
      <w:r w:rsidR="005E517D">
        <w:t>,</w:t>
      </w:r>
      <w:r>
        <w:t xml:space="preserve"> where a consultant is called to provide an interpretation of an amendment to an accounting standard or the introduction of a new accounting standard that has no material impact on the issuer's results). Othe</w:t>
      </w:r>
      <w:r>
        <w:t>r</w:t>
      </w:r>
      <w:r>
        <w:t>wise, there may be cases in which, during the course or at the end of the activity, the consultant becomes aware of inside information (for example, an assignment to analy</w:t>
      </w:r>
      <w:r w:rsidR="009156B7">
        <w:t>s</w:t>
      </w:r>
      <w:r>
        <w:t xml:space="preserve">e the accounting impact that a </w:t>
      </w:r>
      <w:r w:rsidR="00633D9F">
        <w:t xml:space="preserve">potential </w:t>
      </w:r>
      <w:r>
        <w:t xml:space="preserve">transaction </w:t>
      </w:r>
      <w:r w:rsidR="00633D9F">
        <w:t>under consideration</w:t>
      </w:r>
      <w:r>
        <w:t xml:space="preserve"> may have on the issuer economic</w:t>
      </w:r>
      <w:r w:rsidR="00252EBF">
        <w:t xml:space="preserve"> and</w:t>
      </w:r>
      <w:r>
        <w:t xml:space="preserve"> financial situation).</w:t>
      </w:r>
    </w:p>
    <w:p w14:paraId="6F70B976" w14:textId="77777777" w:rsidR="00894842" w:rsidRDefault="00894842" w:rsidP="00894842"/>
    <w:p w14:paraId="5287E7AA" w14:textId="69E2249B" w:rsidR="00894842" w:rsidRDefault="00894842" w:rsidP="00894842">
      <w:r>
        <w:t xml:space="preserve">In such scenarios, it does not seem feasible at present to </w:t>
      </w:r>
      <w:r w:rsidR="00252EBF">
        <w:t>expand Article 18(1) MAR to</w:t>
      </w:r>
      <w:r>
        <w:t xml:space="preserve"> individual categ</w:t>
      </w:r>
      <w:r>
        <w:t>o</w:t>
      </w:r>
      <w:r>
        <w:t>ries of persons. Such an exte</w:t>
      </w:r>
      <w:r w:rsidR="00B258F2">
        <w:t xml:space="preserve">nsion </w:t>
      </w:r>
      <w:r>
        <w:t>would ultimately impose the burden of keeping insider lists on a signif</w:t>
      </w:r>
      <w:r>
        <w:t>i</w:t>
      </w:r>
      <w:r>
        <w:t xml:space="preserve">cant number of persons who, according to </w:t>
      </w:r>
      <w:r w:rsidR="005E517D">
        <w:t xml:space="preserve">the nature of </w:t>
      </w:r>
      <w:r>
        <w:t xml:space="preserve">their duties, would </w:t>
      </w:r>
      <w:r w:rsidR="00252EBF">
        <w:t>not</w:t>
      </w:r>
      <w:r>
        <w:t xml:space="preserve"> be reasonably in posse</w:t>
      </w:r>
      <w:r>
        <w:t>s</w:t>
      </w:r>
      <w:r>
        <w:t xml:space="preserve">sion of </w:t>
      </w:r>
      <w:r w:rsidR="00355EB3">
        <w:t>inside</w:t>
      </w:r>
      <w:r>
        <w:t xml:space="preserve"> information in the performance or at the end of their activities.</w:t>
      </w:r>
    </w:p>
    <w:p w14:paraId="3C3E0AF9" w14:textId="034DD19F" w:rsidR="00646C30" w:rsidRDefault="00894842" w:rsidP="00646C30">
      <w:r>
        <w:t>In fact, only the issuer may know, at the time of the appointment, the possible relevance of the information to be made available to the consultant or the possible impact</w:t>
      </w:r>
      <w:r w:rsidR="00252EBF">
        <w:t xml:space="preserve"> of the engagememt</w:t>
      </w:r>
      <w:r>
        <w:t xml:space="preserve"> under a MAR perspe</w:t>
      </w:r>
      <w:r>
        <w:t>c</w:t>
      </w:r>
      <w:r>
        <w:t>tive. Therefore, it could be more reasonable to expect only the issuer to manage the insider list in such situations.</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720ACD45" w14:textId="6D3349F0" w:rsidR="00A22BF4" w:rsidRDefault="00A22BF4" w:rsidP="00A22BF4">
      <w:permStart w:id="513950227" w:edGrp="everyone"/>
      <w:r>
        <w:t xml:space="preserve">In </w:t>
      </w:r>
      <w:r w:rsidR="00225C6E">
        <w:t>ASSIREVI</w:t>
      </w:r>
      <w:r>
        <w:t>’s opinion, the permanent insider section plays, in general</w:t>
      </w:r>
      <w:r w:rsidR="006C2C84">
        <w:t>,</w:t>
      </w:r>
      <w:r>
        <w:t xml:space="preserve"> and even more with reference to the </w:t>
      </w:r>
      <w:r w:rsidR="006C2C84">
        <w:t>a</w:t>
      </w:r>
      <w:r>
        <w:t>uditor’s specific case</w:t>
      </w:r>
      <w:r w:rsidR="006C2C84">
        <w:t>,</w:t>
      </w:r>
      <w:r>
        <w:t xml:space="preserve"> an important role in the insider list’s organizational structure </w:t>
      </w:r>
    </w:p>
    <w:p w14:paraId="2371D477" w14:textId="77777777" w:rsidR="00A22BF4" w:rsidRDefault="00A22BF4" w:rsidP="00A22BF4"/>
    <w:p w14:paraId="60F0B192" w14:textId="24AD5C8D" w:rsidR="00A22BF4" w:rsidRDefault="00A22BF4" w:rsidP="00A22BF4">
      <w:r>
        <w:t>It has already been highlighted in the answer to Q40 how thi</w:t>
      </w:r>
      <w:r w:rsidR="00DB0A38">
        <w:t>s specific section could allow a</w:t>
      </w:r>
      <w:r>
        <w:t xml:space="preserve">udit </w:t>
      </w:r>
      <w:r w:rsidR="00DB0A38">
        <w:t>firms</w:t>
      </w:r>
      <w:r w:rsidR="00397D2B">
        <w:t xml:space="preserve"> not</w:t>
      </w:r>
      <w:r>
        <w:t xml:space="preserve"> to </w:t>
      </w:r>
      <w:r w:rsidR="00397D2B">
        <w:t>burden the whole</w:t>
      </w:r>
      <w:r w:rsidR="005E517D">
        <w:t xml:space="preserve"> insider list</w:t>
      </w:r>
      <w:r>
        <w:t xml:space="preserve"> by mentioning in the permanent section those subjects which, given their role in </w:t>
      </w:r>
      <w:r w:rsidR="00D53B63">
        <w:t xml:space="preserve">the </w:t>
      </w:r>
      <w:r>
        <w:t>audit company’s core function</w:t>
      </w:r>
      <w:r w:rsidR="00D53B63">
        <w:t>s</w:t>
      </w:r>
      <w:r>
        <w:t xml:space="preserve"> (e.g., risk management function, technical functions relating to Audit Principles and/</w:t>
      </w:r>
      <w:r w:rsidR="005E517D">
        <w:t>or Accounting Principles), have or could have</w:t>
      </w:r>
      <w:r>
        <w:t xml:space="preserve"> access to inside information pertaining to </w:t>
      </w:r>
      <w:r w:rsidR="00397D2B">
        <w:t xml:space="preserve">all </w:t>
      </w:r>
      <w:r>
        <w:t xml:space="preserve">issuers which </w:t>
      </w:r>
      <w:r w:rsidR="00397D2B">
        <w:t>assigned</w:t>
      </w:r>
      <w:r>
        <w:t xml:space="preserve"> audit engagements to a spe</w:t>
      </w:r>
      <w:r w:rsidR="00DB0A38">
        <w:t>cific audit firm</w:t>
      </w:r>
      <w:r>
        <w:t xml:space="preserve">. </w:t>
      </w:r>
    </w:p>
    <w:p w14:paraId="0CD90DCD" w14:textId="77777777" w:rsidR="00A22BF4" w:rsidRDefault="00A22BF4" w:rsidP="00A22BF4"/>
    <w:p w14:paraId="3C3E0AFE" w14:textId="325F36FF" w:rsidR="00646C30" w:rsidRDefault="00A22BF4" w:rsidP="00646C30">
      <w:r>
        <w:t>The permanent insider section, therefor</w:t>
      </w:r>
      <w:r w:rsidR="00397D2B">
        <w:t>e</w:t>
      </w:r>
      <w:r>
        <w:t>, should undoubtedly be maintained.</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0F87A6E3" w14:textId="5048EAA1" w:rsidR="00A22BF4" w:rsidRDefault="006C2C84" w:rsidP="00A22BF4">
      <w:permStart w:id="1908500529" w:edGrp="everyone"/>
      <w:r>
        <w:t>F</w:t>
      </w:r>
      <w:r w:rsidR="00A22BF4">
        <w:t xml:space="preserve">or the reasons specifically referred to in answer to Q42, </w:t>
      </w:r>
      <w:r w:rsidR="00225C6E">
        <w:t>ASSIREVI</w:t>
      </w:r>
      <w:r>
        <w:t xml:space="preserve"> </w:t>
      </w:r>
      <w:r w:rsidR="00A22BF4">
        <w:t xml:space="preserve">considers that, at the present stage, expanding the single categories of subjects external to the issuer </w:t>
      </w:r>
      <w:r w:rsidR="00397D2B">
        <w:t>obliged</w:t>
      </w:r>
      <w:r w:rsidR="00A22BF4">
        <w:t xml:space="preserve"> to keep an insider list is not feasible. </w:t>
      </w:r>
    </w:p>
    <w:p w14:paraId="621A0125" w14:textId="77777777" w:rsidR="00A22BF4" w:rsidRDefault="00A22BF4" w:rsidP="00A22BF4"/>
    <w:p w14:paraId="73E29454" w14:textId="6830197D" w:rsidR="00A22BF4" w:rsidRDefault="00A22BF4" w:rsidP="00A22BF4">
      <w:r>
        <w:t xml:space="preserve">In </w:t>
      </w:r>
      <w:r w:rsidR="00225C6E">
        <w:t>ASSIREVI</w:t>
      </w:r>
      <w:r>
        <w:t>’s opinion, a review of the provisions of Article 18(1) of MAR aimed at better clarifying oper</w:t>
      </w:r>
      <w:r>
        <w:t>a</w:t>
      </w:r>
      <w:r>
        <w:t xml:space="preserve">tional activities, would be advisable. </w:t>
      </w:r>
      <w:r w:rsidR="00CF6ADA">
        <w:t>T</w:t>
      </w:r>
      <w:r>
        <w:t>he list of subjects required to maintain an insider list while interac</w:t>
      </w:r>
      <w:r>
        <w:t>t</w:t>
      </w:r>
      <w:r>
        <w:t xml:space="preserve">ing with an issuer, should substantially be unambiguous. This could be achieved necessarily trough a proper rewording of Article 18(1) and/or its implementing acts. </w:t>
      </w:r>
    </w:p>
    <w:p w14:paraId="566147D6" w14:textId="77777777" w:rsidR="00A22BF4" w:rsidRDefault="00A22BF4" w:rsidP="00A22BF4"/>
    <w:p w14:paraId="6D0DB72E" w14:textId="1F27F0EE" w:rsidR="00A22BF4" w:rsidRDefault="00A22BF4" w:rsidP="00A22BF4">
      <w:r>
        <w:t xml:space="preserve">Once the subjects required to maintain an insider list </w:t>
      </w:r>
      <w:r w:rsidR="005E517D">
        <w:t xml:space="preserve">are </w:t>
      </w:r>
      <w:r>
        <w:t xml:space="preserve">clarified, </w:t>
      </w:r>
      <w:r w:rsidR="00225C6E">
        <w:t>ASSIREVI</w:t>
      </w:r>
      <w:r>
        <w:t xml:space="preserve"> agrees that, in relation to those subjects, the issuer could only include in his insider list the legal entity engaged and one natural person. In the case of statutory audit engagement, the audit firm and the audit engagement partner should be included. </w:t>
      </w:r>
    </w:p>
    <w:p w14:paraId="423942C4" w14:textId="77777777" w:rsidR="00A22BF4" w:rsidRDefault="00A22BF4" w:rsidP="00A22BF4"/>
    <w:p w14:paraId="3C3E0B03" w14:textId="6B430A0E" w:rsidR="00646C30" w:rsidRDefault="00A22BF4" w:rsidP="00646C30">
      <w:r>
        <w:t xml:space="preserve">Conversely, in all cases whereby the issuer’s external consultant is not required to keep its insider list, the obligation to record in the insider list the persons who came in possession of </w:t>
      </w:r>
      <w:r w:rsidR="00D53B63">
        <w:t>inside</w:t>
      </w:r>
      <w:r>
        <w:t xml:space="preserve"> information shall be </w:t>
      </w:r>
      <w:r>
        <w:lastRenderedPageBreak/>
        <w:t xml:space="preserve">borne by the issuer itself. </w:t>
      </w:r>
      <w:r w:rsidR="00CF6ADA">
        <w:t>A</w:t>
      </w:r>
      <w:r w:rsidR="00DB0A38">
        <w:t>s already mentioned, the i</w:t>
      </w:r>
      <w:r>
        <w:t>ssuer is the only one that at the time of the engag</w:t>
      </w:r>
      <w:r>
        <w:t>e</w:t>
      </w:r>
      <w:r>
        <w:t>ment assignment may appreciate the possible relevance of the information to be made available to the consultant or the impact of the engagement under a MAR’s perspective. Therefore, it is more than re</w:t>
      </w:r>
      <w:r>
        <w:t>a</w:t>
      </w:r>
      <w:r>
        <w:t>sonable to expect the issu</w:t>
      </w:r>
      <w:r w:rsidR="005E517D">
        <w:t>er to activate the insider list</w:t>
      </w:r>
      <w:r>
        <w:t xml:space="preserve"> if t</w:t>
      </w:r>
      <w:r w:rsidR="00B258F2">
        <w:t>he necessary conditions are met</w:t>
      </w:r>
      <w:r w:rsidR="001977E5">
        <w:t>.</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w:t>
      </w:r>
      <w:r w:rsidRPr="00074979">
        <w:t>f</w:t>
      </w:r>
      <w:r w:rsidRPr="00074979">
        <w:t>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0C9A0AF9" w:rsidR="00646C30" w:rsidRDefault="001977E5" w:rsidP="00646C30">
      <w:permStart w:id="673864140" w:edGrp="everyone"/>
      <w:r w:rsidRPr="001977E5">
        <w:t>On this point, with particular reference to the Audit companies’ position, please see answer to Q40</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3C3E0B0D" w14:textId="77777777" w:rsidR="00646C30" w:rsidRDefault="00646C30" w:rsidP="00646C30">
      <w:permStart w:id="274992488" w:edGrp="everyone"/>
      <w:r>
        <w:t>TYPE YOUR TEXT HERE</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w:t>
      </w:r>
      <w:r w:rsidRPr="00074979">
        <w:t>e</w:t>
      </w:r>
      <w:r w:rsidRPr="00074979">
        <w:t>ria to be used to set the higher optional threshold (by way of example, the liquidity of the financial instrument, or the average compensation received by the mana</w:t>
      </w:r>
      <w:r w:rsidRPr="00074979">
        <w:t>g</w:t>
      </w:r>
      <w:r w:rsidRPr="00074979">
        <w:t>ers).</w:t>
      </w:r>
    </w:p>
    <w:p w14:paraId="3C3E0B11" w14:textId="77777777" w:rsidR="00646C30" w:rsidRDefault="00646C30" w:rsidP="00646C30">
      <w:r>
        <w:t>&lt;ESMA_QUESTION_CP_MAR_</w:t>
      </w:r>
      <w:r w:rsidR="00DD7418">
        <w:t>47</w:t>
      </w:r>
      <w:r>
        <w:t>&gt;</w:t>
      </w:r>
    </w:p>
    <w:p w14:paraId="3C3E0B12" w14:textId="77777777" w:rsidR="00646C30" w:rsidRDefault="00646C30" w:rsidP="00646C30">
      <w:permStart w:id="1265633318" w:edGrp="everyone"/>
      <w:r>
        <w:t>TYPE YOUR TEXT HERE</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77777777" w:rsidR="00646C30" w:rsidRDefault="00646C30" w:rsidP="00646C30">
      <w:permStart w:id="234174884" w:edGrp="everyone"/>
      <w:r>
        <w:t>TYPE YOUR TEXT HERE</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lastRenderedPageBreak/>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77777777" w:rsidR="00646C30" w:rsidRDefault="00646C30" w:rsidP="00646C30">
      <w:permStart w:id="619659001" w:edGrp="everyone"/>
      <w:r>
        <w:t>TYPE YOUR TEXT HERE</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w:t>
      </w:r>
      <w:r w:rsidRPr="0042739E">
        <w:t>p</w:t>
      </w:r>
      <w:r w:rsidRPr="0042739E">
        <w:t>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w:t>
      </w:r>
      <w:r w:rsidRPr="0042739E">
        <w:t>s</w:t>
      </w:r>
      <w:r w:rsidRPr="0042739E">
        <w:t>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77777777" w:rsidR="00646C30" w:rsidRDefault="00646C30" w:rsidP="00646C30">
      <w:permStart w:id="306464996" w:edGrp="everyone"/>
      <w:r>
        <w:t>TYPE YOUR TEXT HERE</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w:t>
      </w:r>
      <w:r w:rsidRPr="0042739E">
        <w:t>s</w:t>
      </w:r>
      <w:r w:rsidRPr="0042739E">
        <w:t>suers, and to (ii) persons closely associated with PDMRs. Please indicate which would be the impact on issuers and persona closely associated with PDMRs, i</w:t>
      </w:r>
      <w:r w:rsidRPr="0042739E">
        <w:t>n</w:t>
      </w:r>
      <w:r w:rsidRPr="0042739E">
        <w:t>cluding any benefits and downsides</w:t>
      </w:r>
      <w:r w:rsidR="00646C30">
        <w:t>.</w:t>
      </w:r>
    </w:p>
    <w:p w14:paraId="3C3E0B39" w14:textId="77777777" w:rsidR="00646C30" w:rsidRDefault="00646C30" w:rsidP="00646C30">
      <w:r>
        <w:t>&lt;ESMA_QUESTION_CP_MAR_</w:t>
      </w:r>
      <w:r w:rsidR="00DD7418">
        <w:t>55</w:t>
      </w:r>
      <w:r>
        <w:t>&gt;</w:t>
      </w:r>
    </w:p>
    <w:p w14:paraId="3C3E0B3A" w14:textId="77777777" w:rsidR="00646C30" w:rsidRDefault="00646C30" w:rsidP="00646C30">
      <w:permStart w:id="680881453" w:edGrp="everyone"/>
      <w:r>
        <w:t>TYPE YOUR TEXT HERE</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lastRenderedPageBreak/>
        <w:t>Please provide your views on the extension of the immediate sale provided by A</w:t>
      </w:r>
      <w:r w:rsidRPr="0042739E">
        <w:t>r</w:t>
      </w:r>
      <w:r w:rsidRPr="0042739E">
        <w:t>ticle 19(12)(a) to financial instruments other than shares. Please explain which f</w:t>
      </w:r>
      <w:r w:rsidRPr="0042739E">
        <w:t>i</w:t>
      </w:r>
      <w:r w:rsidRPr="0042739E">
        <w:t>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77777777" w:rsidR="00646C30" w:rsidRDefault="00646C30" w:rsidP="00646C30">
      <w:permStart w:id="1771316849" w:edGrp="everyone"/>
      <w:r>
        <w:t>TYPE YOUR TEXT HERE</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w:t>
      </w:r>
      <w:r w:rsidRPr="0042739E">
        <w:t>u</w:t>
      </w:r>
      <w:r w:rsidRPr="0042739E">
        <w:t>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w:t>
      </w:r>
      <w:r w:rsidRPr="0042739E">
        <w:t>c</w:t>
      </w:r>
      <w:r w:rsidRPr="0042739E">
        <w:t>tures of CIUs and why? In particular, please indicate whether the definition of “re</w:t>
      </w:r>
      <w:r w:rsidRPr="0042739E">
        <w:t>l</w:t>
      </w:r>
      <w:r w:rsidRPr="0042739E">
        <w:t>evant persons” would be adequate for CIUs other than UCITs and AIFs</w:t>
      </w:r>
      <w:r w:rsidR="00646C30">
        <w:t>.</w:t>
      </w:r>
    </w:p>
    <w:p w14:paraId="3C3E0B57" w14:textId="77777777" w:rsidR="00646C30" w:rsidRDefault="00646C30" w:rsidP="00646C30">
      <w:r>
        <w:lastRenderedPageBreak/>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w:t>
      </w:r>
      <w:r w:rsidRPr="0042739E">
        <w:t>i</w:t>
      </w:r>
      <w:r w:rsidRPr="0042739E">
        <w:t>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3C3E0B70" w14:textId="77777777" w:rsidR="00646C30" w:rsidRDefault="00646C30" w:rsidP="00646C30">
      <w:permStart w:id="2025406494" w:edGrp="everyone"/>
      <w:r>
        <w:t>TYPE YOUR TEXT HERE</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77777777" w:rsidR="00646C30" w:rsidRDefault="00646C30" w:rsidP="00646C30">
      <w:permStart w:id="482090286" w:edGrp="everyone"/>
      <w:r>
        <w:lastRenderedPageBreak/>
        <w:t>TYPE YOUR TEXT HERE</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w:t>
      </w:r>
      <w:r w:rsidRPr="0042739E">
        <w:t>x</w:t>
      </w:r>
      <w:r w:rsidRPr="0042739E">
        <w:t>plain if and how the impact would change by limiting the scope of a regular repor</w:t>
      </w:r>
      <w:r w:rsidRPr="0042739E">
        <w:t>t</w:t>
      </w:r>
      <w:r w:rsidRPr="0042739E">
        <w:t>ing mechanism of order book data to a subset of financial instruments. In that co</w:t>
      </w:r>
      <w:r w:rsidRPr="0042739E">
        <w:t>n</w:t>
      </w:r>
      <w:r w:rsidRPr="0042739E">
        <w:t>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77777777" w:rsidR="00646C30" w:rsidRDefault="00646C30" w:rsidP="00646C30">
      <w:permStart w:id="889603544" w:edGrp="everyone"/>
      <w:r>
        <w:t>TYPE YOUR TEXT HERE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556B1" w14:textId="77777777" w:rsidR="004F3ED4" w:rsidRDefault="004F3ED4">
      <w:r>
        <w:separator/>
      </w:r>
    </w:p>
    <w:p w14:paraId="18ABACC1" w14:textId="77777777" w:rsidR="004F3ED4" w:rsidRDefault="004F3ED4"/>
  </w:endnote>
  <w:endnote w:type="continuationSeparator" w:id="0">
    <w:p w14:paraId="18D2F3D2" w14:textId="77777777" w:rsidR="004F3ED4" w:rsidRDefault="004F3ED4">
      <w:r>
        <w:continuationSeparator/>
      </w:r>
    </w:p>
    <w:p w14:paraId="6FE089D7" w14:textId="77777777" w:rsidR="004F3ED4" w:rsidRDefault="004F3ED4"/>
  </w:endnote>
  <w:endnote w:type="continuationNotice" w:id="1">
    <w:p w14:paraId="02BCC318" w14:textId="77777777" w:rsidR="004F3ED4" w:rsidRDefault="004F3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C374E" w:rsidRPr="00616B9B" w14:paraId="3C3E0B9C" w14:textId="77777777" w:rsidTr="00315E96">
      <w:trPr>
        <w:trHeight w:val="284"/>
      </w:trPr>
      <w:tc>
        <w:tcPr>
          <w:tcW w:w="8460" w:type="dxa"/>
        </w:tcPr>
        <w:p w14:paraId="3C3E0B9A" w14:textId="77777777" w:rsidR="009C374E" w:rsidRPr="00315E96" w:rsidRDefault="009C374E" w:rsidP="00315E96">
          <w:pPr>
            <w:pStyle w:val="00Footer"/>
            <w:rPr>
              <w:lang w:val="fr-FR"/>
            </w:rPr>
          </w:pPr>
        </w:p>
      </w:tc>
      <w:tc>
        <w:tcPr>
          <w:tcW w:w="952" w:type="dxa"/>
        </w:tcPr>
        <w:p w14:paraId="3C3E0B9B" w14:textId="77777777" w:rsidR="009C374E" w:rsidRPr="00616B9B" w:rsidRDefault="009C374E"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1372D">
            <w:rPr>
              <w:rFonts w:cs="Arial"/>
              <w:noProof/>
              <w:sz w:val="22"/>
              <w:szCs w:val="22"/>
            </w:rPr>
            <w:t>12</w:t>
          </w:r>
          <w:r w:rsidRPr="00616B9B">
            <w:rPr>
              <w:rFonts w:cs="Arial"/>
              <w:noProof/>
              <w:sz w:val="22"/>
              <w:szCs w:val="22"/>
            </w:rPr>
            <w:fldChar w:fldCharType="end"/>
          </w:r>
        </w:p>
      </w:tc>
    </w:tr>
  </w:tbl>
  <w:p w14:paraId="3C3E0B9D" w14:textId="77777777" w:rsidR="009C374E" w:rsidRDefault="009C374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E0BAC" w14:textId="77777777" w:rsidR="009C374E" w:rsidRDefault="009C374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0D737" w14:textId="77777777" w:rsidR="004F3ED4" w:rsidRDefault="004F3ED4">
      <w:r>
        <w:separator/>
      </w:r>
    </w:p>
    <w:p w14:paraId="429D09E9" w14:textId="77777777" w:rsidR="004F3ED4" w:rsidRDefault="004F3ED4"/>
  </w:footnote>
  <w:footnote w:type="continuationSeparator" w:id="0">
    <w:p w14:paraId="0446A575" w14:textId="77777777" w:rsidR="004F3ED4" w:rsidRDefault="004F3ED4">
      <w:r>
        <w:continuationSeparator/>
      </w:r>
    </w:p>
    <w:p w14:paraId="25463AFE" w14:textId="77777777" w:rsidR="004F3ED4" w:rsidRDefault="004F3ED4"/>
  </w:footnote>
  <w:footnote w:type="continuationNotice" w:id="1">
    <w:p w14:paraId="6CD78680" w14:textId="77777777" w:rsidR="004F3ED4" w:rsidRDefault="004F3E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E0B99" w14:textId="77777777" w:rsidR="009C374E" w:rsidRDefault="009C374E">
    <w:pPr>
      <w:pStyle w:val="Intestazione"/>
    </w:pPr>
    <w:r>
      <w:rPr>
        <w:noProof/>
        <w:lang w:val="it-IT" w:eastAsia="it-IT"/>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42F423D"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E0B9E" w14:textId="77777777" w:rsidR="009C374E" w:rsidRDefault="009C374E" w:rsidP="00013CCE">
    <w:pPr>
      <w:pStyle w:val="Intestazione"/>
      <w:jc w:val="right"/>
    </w:pPr>
    <w:r>
      <w:rPr>
        <w:noProof/>
        <w:lang w:val="it-IT" w:eastAsia="it-IT"/>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E0B9F" w14:textId="77777777" w:rsidR="009C374E" w:rsidRDefault="009C374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C374E" w:rsidRPr="002F4496" w14:paraId="3C3E0BA2" w14:textId="77777777" w:rsidTr="000C06C9">
      <w:trPr>
        <w:trHeight w:val="284"/>
      </w:trPr>
      <w:tc>
        <w:tcPr>
          <w:tcW w:w="8460" w:type="dxa"/>
        </w:tcPr>
        <w:p w14:paraId="3C3E0BA0" w14:textId="77777777" w:rsidR="009C374E" w:rsidRPr="000C3B6D" w:rsidRDefault="009C374E" w:rsidP="000C06C9">
          <w:pPr>
            <w:pStyle w:val="00Footer"/>
            <w:rPr>
              <w:lang w:val="fr-FR"/>
            </w:rPr>
          </w:pPr>
        </w:p>
      </w:tc>
      <w:tc>
        <w:tcPr>
          <w:tcW w:w="952" w:type="dxa"/>
        </w:tcPr>
        <w:p w14:paraId="3C3E0BA1" w14:textId="77777777" w:rsidR="009C374E" w:rsidRPr="00146B34" w:rsidRDefault="009C374E" w:rsidP="000C06C9">
          <w:pPr>
            <w:pStyle w:val="00aPagenumber"/>
            <w:rPr>
              <w:lang w:val="fr-FR"/>
            </w:rPr>
          </w:pPr>
        </w:p>
      </w:tc>
    </w:tr>
  </w:tbl>
  <w:p w14:paraId="3C3E0BA3" w14:textId="77777777" w:rsidR="009C374E" w:rsidRPr="00DB46C3" w:rsidRDefault="009C374E">
    <w:pPr>
      <w:rPr>
        <w:lang w:val="fr-FR"/>
      </w:rPr>
    </w:pPr>
  </w:p>
  <w:p w14:paraId="3C3E0BA4" w14:textId="77777777" w:rsidR="009C374E" w:rsidRPr="002F4496" w:rsidRDefault="009C374E">
    <w:pPr>
      <w:pStyle w:val="Intestazione"/>
      <w:rPr>
        <w:lang w:val="fr-FR"/>
      </w:rPr>
    </w:pPr>
  </w:p>
  <w:p w14:paraId="3C3E0BA5" w14:textId="77777777" w:rsidR="009C374E" w:rsidRPr="002F4496" w:rsidRDefault="009C374E" w:rsidP="000C06C9">
    <w:pPr>
      <w:pStyle w:val="Intestazione"/>
      <w:tabs>
        <w:tab w:val="clear" w:pos="4536"/>
        <w:tab w:val="clear" w:pos="9072"/>
        <w:tab w:val="left" w:pos="8227"/>
      </w:tabs>
      <w:rPr>
        <w:lang w:val="fr-FR"/>
      </w:rPr>
    </w:pPr>
  </w:p>
  <w:p w14:paraId="3C3E0BA6" w14:textId="77777777" w:rsidR="009C374E" w:rsidRPr="002F4496" w:rsidRDefault="009C374E" w:rsidP="00583885">
    <w:pPr>
      <w:pStyle w:val="Intestazione"/>
      <w:jc w:val="right"/>
      <w:rPr>
        <w:lang w:val="fr-FR"/>
      </w:rPr>
    </w:pPr>
  </w:p>
  <w:p w14:paraId="3C3E0BA7" w14:textId="77777777" w:rsidR="009C374E" w:rsidRPr="002F4496" w:rsidRDefault="009C374E">
    <w:pPr>
      <w:pStyle w:val="Intestazione"/>
      <w:rPr>
        <w:lang w:val="fr-FR"/>
      </w:rPr>
    </w:pPr>
  </w:p>
  <w:p w14:paraId="3C3E0BA8" w14:textId="77777777" w:rsidR="009C374E" w:rsidRPr="002F4496" w:rsidRDefault="009C374E">
    <w:pPr>
      <w:pStyle w:val="Intestazione"/>
      <w:rPr>
        <w:lang w:val="fr-FR"/>
      </w:rPr>
    </w:pPr>
  </w:p>
  <w:p w14:paraId="3C3E0BA9" w14:textId="77777777" w:rsidR="009C374E" w:rsidRPr="002F4496" w:rsidRDefault="009C374E">
    <w:pPr>
      <w:pStyle w:val="Intestazione"/>
      <w:rPr>
        <w:lang w:val="fr-FR"/>
      </w:rPr>
    </w:pPr>
  </w:p>
  <w:p w14:paraId="3C3E0BAA" w14:textId="77777777" w:rsidR="009C374E" w:rsidRPr="002F4496" w:rsidRDefault="009C374E">
    <w:pPr>
      <w:pStyle w:val="Intestazione"/>
      <w:rPr>
        <w:highlight w:val="yellow"/>
        <w:lang w:val="fr-FR"/>
      </w:rPr>
    </w:pPr>
  </w:p>
  <w:p w14:paraId="3C3E0BAB" w14:textId="77777777" w:rsidR="009C374E" w:rsidRDefault="009C374E">
    <w:pPr>
      <w:pStyle w:val="Intestazione"/>
    </w:pPr>
    <w:r>
      <w:rPr>
        <w:noProof/>
        <w:lang w:val="it-IT" w:eastAsia="it-IT"/>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8E557E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val="it-IT" w:eastAsia="it-IT"/>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5EFE"/>
    <w:rsid w:val="000463A6"/>
    <w:rsid w:val="00046B30"/>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EA7"/>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5A06"/>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3E5"/>
    <w:rsid w:val="00186829"/>
    <w:rsid w:val="001868CA"/>
    <w:rsid w:val="00187304"/>
    <w:rsid w:val="001875BE"/>
    <w:rsid w:val="0019017A"/>
    <w:rsid w:val="00190B8C"/>
    <w:rsid w:val="00190FF8"/>
    <w:rsid w:val="0019311A"/>
    <w:rsid w:val="00193444"/>
    <w:rsid w:val="0019508A"/>
    <w:rsid w:val="001960D8"/>
    <w:rsid w:val="001977E5"/>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06DD9"/>
    <w:rsid w:val="0021058D"/>
    <w:rsid w:val="00211E2F"/>
    <w:rsid w:val="00211E9E"/>
    <w:rsid w:val="00214FB4"/>
    <w:rsid w:val="00215940"/>
    <w:rsid w:val="00217C23"/>
    <w:rsid w:val="00220561"/>
    <w:rsid w:val="00220CE4"/>
    <w:rsid w:val="00222D9B"/>
    <w:rsid w:val="00223788"/>
    <w:rsid w:val="00223D11"/>
    <w:rsid w:val="002242D3"/>
    <w:rsid w:val="00225C6E"/>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2EBF"/>
    <w:rsid w:val="002543F8"/>
    <w:rsid w:val="002551A4"/>
    <w:rsid w:val="002559F3"/>
    <w:rsid w:val="00256B50"/>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0E6D"/>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6166"/>
    <w:rsid w:val="002E76FC"/>
    <w:rsid w:val="002E7F4B"/>
    <w:rsid w:val="002F0C91"/>
    <w:rsid w:val="002F0E3E"/>
    <w:rsid w:val="002F1683"/>
    <w:rsid w:val="002F1B19"/>
    <w:rsid w:val="002F1FBF"/>
    <w:rsid w:val="002F4139"/>
    <w:rsid w:val="00300624"/>
    <w:rsid w:val="00300F56"/>
    <w:rsid w:val="00301006"/>
    <w:rsid w:val="003018EB"/>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55EB3"/>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97D2B"/>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082D"/>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1F62"/>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3ED4"/>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6AF9"/>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0DFA"/>
    <w:rsid w:val="005E10BF"/>
    <w:rsid w:val="005E1834"/>
    <w:rsid w:val="005E49E5"/>
    <w:rsid w:val="005E517D"/>
    <w:rsid w:val="005E5481"/>
    <w:rsid w:val="005E55E4"/>
    <w:rsid w:val="005E6288"/>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D9F"/>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578B8"/>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6B7"/>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84"/>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3F86"/>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07F5E"/>
    <w:rsid w:val="008103DC"/>
    <w:rsid w:val="0081119F"/>
    <w:rsid w:val="0081134D"/>
    <w:rsid w:val="00811EDA"/>
    <w:rsid w:val="00812403"/>
    <w:rsid w:val="00812FD7"/>
    <w:rsid w:val="00813477"/>
    <w:rsid w:val="0081372D"/>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4842"/>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6B7"/>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374E"/>
    <w:rsid w:val="009C6091"/>
    <w:rsid w:val="009C634F"/>
    <w:rsid w:val="009D0219"/>
    <w:rsid w:val="009D0D55"/>
    <w:rsid w:val="009D2295"/>
    <w:rsid w:val="009D2511"/>
    <w:rsid w:val="009D3E7C"/>
    <w:rsid w:val="009D55CA"/>
    <w:rsid w:val="009D5EF0"/>
    <w:rsid w:val="009D6401"/>
    <w:rsid w:val="009E0711"/>
    <w:rsid w:val="009E0F8A"/>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109F"/>
    <w:rsid w:val="00A22BF4"/>
    <w:rsid w:val="00A24269"/>
    <w:rsid w:val="00A243E4"/>
    <w:rsid w:val="00A25392"/>
    <w:rsid w:val="00A25ED4"/>
    <w:rsid w:val="00A263DF"/>
    <w:rsid w:val="00A26C5C"/>
    <w:rsid w:val="00A3026E"/>
    <w:rsid w:val="00A30BDE"/>
    <w:rsid w:val="00A3131C"/>
    <w:rsid w:val="00A31F14"/>
    <w:rsid w:val="00A324DC"/>
    <w:rsid w:val="00A32B5A"/>
    <w:rsid w:val="00A33CCC"/>
    <w:rsid w:val="00A33E57"/>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4A80"/>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2"/>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9CE"/>
    <w:rsid w:val="00B34D68"/>
    <w:rsid w:val="00B36117"/>
    <w:rsid w:val="00B362E3"/>
    <w:rsid w:val="00B37AAE"/>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072EC"/>
    <w:rsid w:val="00C10BE6"/>
    <w:rsid w:val="00C11296"/>
    <w:rsid w:val="00C11905"/>
    <w:rsid w:val="00C1234A"/>
    <w:rsid w:val="00C12661"/>
    <w:rsid w:val="00C126E3"/>
    <w:rsid w:val="00C1330F"/>
    <w:rsid w:val="00C13ED7"/>
    <w:rsid w:val="00C14615"/>
    <w:rsid w:val="00C14F48"/>
    <w:rsid w:val="00C15296"/>
    <w:rsid w:val="00C16C6F"/>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3E61"/>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6ADA"/>
    <w:rsid w:val="00CF70E5"/>
    <w:rsid w:val="00CF7CEC"/>
    <w:rsid w:val="00D00B0F"/>
    <w:rsid w:val="00D01BF4"/>
    <w:rsid w:val="00D0272C"/>
    <w:rsid w:val="00D045CE"/>
    <w:rsid w:val="00D05082"/>
    <w:rsid w:val="00D06163"/>
    <w:rsid w:val="00D06937"/>
    <w:rsid w:val="00D07AFD"/>
    <w:rsid w:val="00D11749"/>
    <w:rsid w:val="00D12A7D"/>
    <w:rsid w:val="00D133B0"/>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490"/>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2CA6"/>
    <w:rsid w:val="00D532E8"/>
    <w:rsid w:val="00D53941"/>
    <w:rsid w:val="00D53B63"/>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A38"/>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4E6F"/>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1B9"/>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4ABE"/>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9F4"/>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3C3E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iPriority="9" w:unhideWhenUsed="0" w:qFormat="1"/>
    <w:lsdException w:name="heading 6" w:locked="0" w:semiHidden="0" w:unhideWhenUsed="0" w:qFormat="1"/>
    <w:lsdException w:name="heading 7" w:locked="0" w:qFormat="1"/>
    <w:lsdException w:name="heading 8" w:locked="0" w:qFormat="1"/>
    <w:lsdException w:name="heading 9" w:locked="0"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qFormat="1"/>
    <w:lsdException w:name="annotation text" w:locked="0"/>
    <w:lsdException w:name="header" w:locked="0"/>
    <w:lsdException w:name="footer" w:locked="0" w:uiPriority="99"/>
    <w:lsdException w:name="caption" w:locked="0" w:qFormat="1"/>
    <w:lsdException w:name="table of figures" w:locked="0"/>
    <w:lsdException w:name="footnote reference" w:locked="0" w:uiPriority="99" w:qFormat="1"/>
    <w:lsdException w:name="annotation reference" w:locked="0"/>
    <w:lsdException w:name="line number" w:locked="0" w:uiPriority="99"/>
    <w:lsdException w:name="page number" w:locked="0"/>
    <w:lsdException w:name="endnote reference" w:locked="0"/>
    <w:lsdException w:name="endnote text" w:locked="0"/>
    <w:lsdException w:name="List Bullet" w:locked="0"/>
    <w:lsdException w:name="List Number" w:locked="0" w:semiHidden="0" w:unhideWhenUsed="0"/>
    <w:lsdException w:name="List 4" w:semiHidden="0" w:unhideWhenUsed="0"/>
    <w:lsdException w:name="List 5" w:semiHidden="0" w:unhideWhenUsed="0"/>
    <w:lsdException w:name="List Bullet 2" w:locked="0"/>
    <w:lsdException w:name="List Bullet 3" w:locked="0"/>
    <w:lsdException w:name="List Bullet 4" w:locked="0"/>
    <w:lsdException w:name="List Number 2" w:locked="0"/>
    <w:lsdException w:name="List Number 3" w:locked="0"/>
    <w:lsdException w:name="List Number 4" w:locked="0"/>
    <w:lsdException w:name="Title" w:locked="0" w:semiHidden="0" w:uiPriority="10" w:unhideWhenUsed="0" w:qFormat="1"/>
    <w:lsdException w:name="Default Paragraph Font" w:locked="0" w:uiPriority="1"/>
    <w:lsdException w:name="Body Tex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uiPriority="99"/>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HTML Top of Form" w:locked="0"/>
    <w:lsdException w:name="HTML Bottom of Form" w:locked="0"/>
    <w:lsdException w:name="Normal (Web)" w:locked="0"/>
    <w:lsdException w:name="Normal Table" w:locked="0"/>
    <w:lsdException w:name="annotation subject" w:locked="0"/>
    <w:lsdException w:name="No List" w:locked="0" w:uiPriority="99"/>
    <w:lsdException w:name="Balloon Text" w:locked="0"/>
    <w:lsdException w:name="Table Grid" w:locked="0" w:uiPriority="39"/>
    <w:lsdException w:name="Placeholder Text" w:locked="0"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locked="0"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e">
    <w:name w:val="Normal"/>
    <w:qFormat/>
    <w:rsid w:val="00646C30"/>
    <w:rPr>
      <w:rFonts w:ascii="Arial" w:hAnsi="Arial"/>
      <w:szCs w:val="24"/>
      <w:lang w:eastAsia="de-DE"/>
    </w:rPr>
  </w:style>
  <w:style w:type="paragraph" w:styleId="Titolo1">
    <w:name w:val="heading 1"/>
    <w:basedOn w:val="Normale"/>
    <w:next w:val="Normale"/>
    <w:link w:val="Titolo1Carattere"/>
    <w:qFormat/>
    <w:locked/>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locked/>
    <w:rsid w:val="00886A60"/>
    <w:pPr>
      <w:keepNext/>
      <w:keepLines/>
      <w:spacing w:before="200" w:after="120"/>
      <w:outlineLvl w:val="1"/>
    </w:pPr>
    <w:rPr>
      <w:b/>
      <w:bCs/>
      <w:szCs w:val="26"/>
    </w:rPr>
  </w:style>
  <w:style w:type="paragraph" w:styleId="Titolo3">
    <w:name w:val="heading 3"/>
    <w:basedOn w:val="Normale"/>
    <w:next w:val="Normale"/>
    <w:link w:val="Titolo3Carattere"/>
    <w:qFormat/>
    <w:locked/>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uiPriority w:val="9"/>
    <w:qFormat/>
    <w:locked/>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locked/>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locked/>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locked/>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locked/>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locked/>
    <w:rsid w:val="005B64CB"/>
    <w:pPr>
      <w:tabs>
        <w:tab w:val="center" w:pos="4536"/>
        <w:tab w:val="right" w:pos="9072"/>
      </w:tabs>
    </w:pPr>
  </w:style>
  <w:style w:type="paragraph" w:styleId="Pidipagina">
    <w:name w:val="footer"/>
    <w:basedOn w:val="Normale"/>
    <w:link w:val="PidipaginaCarattere"/>
    <w:uiPriority w:val="99"/>
    <w:locked/>
    <w:rsid w:val="005B64CB"/>
    <w:pPr>
      <w:tabs>
        <w:tab w:val="center" w:pos="4536"/>
        <w:tab w:val="right" w:pos="9072"/>
      </w:tabs>
    </w:pPr>
  </w:style>
  <w:style w:type="table" w:styleId="Grigliatabella">
    <w:name w:val="Table Grid"/>
    <w:basedOn w:val="Tabellanorma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locked/>
    <w:rsid w:val="003E3ACA"/>
    <w:pPr>
      <w:spacing w:line="200" w:lineRule="exact"/>
    </w:pPr>
    <w:rPr>
      <w:color w:val="2D4190"/>
      <w:sz w:val="16"/>
    </w:rPr>
  </w:style>
  <w:style w:type="paragraph" w:customStyle="1" w:styleId="05aTitle">
    <w:name w:val="05a_Title"/>
    <w:basedOn w:val="Normale"/>
    <w:locked/>
    <w:rsid w:val="00791EB4"/>
    <w:pPr>
      <w:spacing w:line="340" w:lineRule="exact"/>
    </w:pPr>
    <w:rPr>
      <w:b/>
      <w:color w:val="000000"/>
      <w:sz w:val="28"/>
    </w:rPr>
  </w:style>
  <w:style w:type="paragraph" w:customStyle="1" w:styleId="02Date">
    <w:name w:val="02_Date"/>
    <w:basedOn w:val="Normale"/>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e"/>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opagina">
    <w:name w:val="page number"/>
    <w:basedOn w:val="Carpredefinitopara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Collegamentoipertestual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locked/>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ommario2">
    <w:name w:val="toc 2"/>
    <w:basedOn w:val="Normale"/>
    <w:next w:val="Normale"/>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e"/>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imandocommento">
    <w:name w:val="annotation reference"/>
    <w:locked/>
    <w:rsid w:val="004B1E61"/>
    <w:rPr>
      <w:sz w:val="16"/>
      <w:szCs w:val="16"/>
    </w:rPr>
  </w:style>
  <w:style w:type="paragraph" w:styleId="Testocommento">
    <w:name w:val="annotation text"/>
    <w:basedOn w:val="Normale"/>
    <w:link w:val="TestocommentoCarattere"/>
    <w:locked/>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locked/>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locked/>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Paragraphe de liste"/>
    <w:basedOn w:val="Normale"/>
    <w:link w:val="ParagrafoelencoCarattere"/>
    <w:uiPriority w:val="34"/>
    <w:qFormat/>
    <w:locked/>
    <w:rsid w:val="002A0C82"/>
    <w:pPr>
      <w:ind w:left="720"/>
      <w:contextualSpacing/>
    </w:pPr>
  </w:style>
  <w:style w:type="paragraph" w:styleId="Titolosommario">
    <w:name w:val="TOC Heading"/>
    <w:basedOn w:val="Titolo1"/>
    <w:next w:val="Normale"/>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locked/>
    <w:rsid w:val="008E1B6A"/>
  </w:style>
  <w:style w:type="paragraph" w:customStyle="1" w:styleId="ManualNumPar1">
    <w:name w:val="Manual NumPar 1"/>
    <w:basedOn w:val="Normale"/>
    <w:next w:val="Normale"/>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nfasicorsivo">
    <w:name w:val="Emphasis"/>
    <w:uiPriority w:val="20"/>
    <w:qFormat/>
    <w:locked/>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lock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lock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lock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lock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lock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idascalia">
    <w:name w:val="caption"/>
    <w:basedOn w:val="Normale"/>
    <w:next w:val="Normale"/>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padocumento">
    <w:name w:val="Document Map"/>
    <w:basedOn w:val="Normale"/>
    <w:link w:val="MappadocumentoCarattere"/>
    <w:locked/>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lock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lock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Enfasigrassetto">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e"/>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locked/>
    <w:rsid w:val="002D6E1A"/>
  </w:style>
  <w:style w:type="character" w:styleId="Collegamentovisitato">
    <w:name w:val="FollowedHyperlink"/>
    <w:unhideWhenUsed/>
    <w:lock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lock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Paragraphe de liste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locked/>
    <w:rsid w:val="002D6E1A"/>
    <w:pPr>
      <w:ind w:left="708"/>
      <w:contextualSpacing w:val="0"/>
      <w:jc w:val="both"/>
    </w:pPr>
    <w:rPr>
      <w:b/>
      <w:szCs w:val="20"/>
      <w:u w:val="single"/>
    </w:rPr>
  </w:style>
  <w:style w:type="paragraph" w:customStyle="1" w:styleId="Bullet">
    <w:name w:val="Bullet"/>
    <w:basedOn w:val="Normale"/>
    <w:locked/>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locked/>
    <w:rsid w:val="002D6E1A"/>
    <w:rPr>
      <w:vertAlign w:val="superscript"/>
    </w:rPr>
  </w:style>
  <w:style w:type="character" w:styleId="Testosegnapost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lanorma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locked/>
    <w:rsid w:val="00952F2C"/>
  </w:style>
  <w:style w:type="paragraph" w:customStyle="1" w:styleId="aStyle">
    <w:name w:val="a) Style"/>
    <w:basedOn w:val="Normale"/>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olo5Carattere">
    <w:name w:val="Titolo 5 Carattere"/>
    <w:aliases w:val="Questions Carattere"/>
    <w:link w:val="Titolo5"/>
    <w:uiPriority w:val="9"/>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e"/>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o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olo1"/>
    <w:next w:val="Normale"/>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e"/>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e"/>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e"/>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e"/>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e"/>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e"/>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e"/>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locked/>
    <w:rsid w:val="000D2D0B"/>
    <w:pPr>
      <w:spacing w:after="240"/>
    </w:pPr>
    <w:rPr>
      <w:rFonts w:ascii="Times New Roman" w:hAnsi="Times New Roman"/>
      <w:sz w:val="24"/>
      <w:lang w:eastAsia="en-US"/>
    </w:rPr>
  </w:style>
  <w:style w:type="paragraph" w:customStyle="1" w:styleId="Datedadoption">
    <w:name w:val="Date d'adoption"/>
    <w:basedOn w:val="Normale"/>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locked/>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locked/>
    <w:rsid w:val="000D2D0B"/>
    <w:rPr>
      <w:rFonts w:cs="Arial"/>
      <w:sz w:val="24"/>
      <w:lang w:eastAsia="en-US"/>
    </w:rPr>
  </w:style>
  <w:style w:type="paragraph" w:customStyle="1" w:styleId="Rfrenceinstitutionnelle">
    <w:name w:val="Référence institutionnelle"/>
    <w:basedOn w:val="Normale"/>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locked/>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e"/>
    <w:locked/>
    <w:rsid w:val="000D2D0B"/>
    <w:pPr>
      <w:jc w:val="center"/>
    </w:pPr>
    <w:rPr>
      <w:rFonts w:ascii="Times New Roman" w:hAnsi="Times New Roman"/>
      <w:b/>
      <w:sz w:val="24"/>
      <w:lang w:eastAsia="en-US"/>
    </w:rPr>
  </w:style>
  <w:style w:type="paragraph" w:customStyle="1" w:styleId="Statut">
    <w:name w:val="Statut"/>
    <w:basedOn w:val="Normale"/>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e"/>
    <w:next w:val="Normale"/>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locked/>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e"/>
    <w:locked/>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e"/>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locked/>
    <w:rsid w:val="000D2D0B"/>
    <w:pPr>
      <w:spacing w:after="240"/>
    </w:pPr>
  </w:style>
  <w:style w:type="paragraph" w:customStyle="1" w:styleId="Accompagnant">
    <w:name w:val="Accompagnant"/>
    <w:basedOn w:val="Normale"/>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e"/>
    <w:next w:val="Normale"/>
    <w:locked/>
    <w:rsid w:val="000D2D0B"/>
    <w:pPr>
      <w:spacing w:before="360"/>
      <w:jc w:val="center"/>
    </w:pPr>
    <w:rPr>
      <w:rFonts w:ascii="Times New Roman" w:hAnsi="Times New Roman"/>
      <w:sz w:val="24"/>
      <w:lang w:eastAsia="en-US"/>
    </w:rPr>
  </w:style>
  <w:style w:type="paragraph" w:styleId="Numeroelenco2">
    <w:name w:val="List Number 2"/>
    <w:basedOn w:val="Normale"/>
    <w:locked/>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locked/>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locked/>
    <w:rsid w:val="000D2D0B"/>
    <w:pPr>
      <w:ind w:left="720"/>
      <w:contextualSpacing/>
    </w:pPr>
    <w:rPr>
      <w:rFonts w:ascii="Cambria" w:hAnsi="Cambria"/>
      <w:sz w:val="24"/>
      <w:lang w:val="en-US" w:eastAsia="en-US"/>
    </w:rPr>
  </w:style>
  <w:style w:type="paragraph" w:customStyle="1" w:styleId="Listeavsnitt1">
    <w:name w:val="Listeavsnitt1"/>
    <w:basedOn w:val="Normale"/>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e"/>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e"/>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e"/>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e"/>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locked/>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locked/>
    <w:rsid w:val="003A6E9A"/>
    <w:rPr>
      <w:b/>
      <w:i w:val="0"/>
      <w:iCs/>
      <w:sz w:val="20"/>
    </w:rPr>
  </w:style>
  <w:style w:type="paragraph" w:customStyle="1" w:styleId="NEW-Paragraph-Level1">
    <w:name w:val="NEW-Paragraph-Level1"/>
    <w:basedOn w:val="Normale"/>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e"/>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locked/>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tlid-translation">
    <w:name w:val="tlid-translation"/>
    <w:basedOn w:val="Carpredefinitoparagrafo"/>
    <w:rsid w:val="00915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iPriority="9" w:unhideWhenUsed="0" w:qFormat="1"/>
    <w:lsdException w:name="heading 6" w:locked="0" w:semiHidden="0" w:unhideWhenUsed="0" w:qFormat="1"/>
    <w:lsdException w:name="heading 7" w:locked="0" w:qFormat="1"/>
    <w:lsdException w:name="heading 8" w:locked="0" w:qFormat="1"/>
    <w:lsdException w:name="heading 9" w:locked="0"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qFormat="1"/>
    <w:lsdException w:name="annotation text" w:locked="0"/>
    <w:lsdException w:name="header" w:locked="0"/>
    <w:lsdException w:name="footer" w:locked="0" w:uiPriority="99"/>
    <w:lsdException w:name="caption" w:locked="0" w:qFormat="1"/>
    <w:lsdException w:name="table of figures" w:locked="0"/>
    <w:lsdException w:name="footnote reference" w:locked="0" w:uiPriority="99" w:qFormat="1"/>
    <w:lsdException w:name="annotation reference" w:locked="0"/>
    <w:lsdException w:name="line number" w:locked="0" w:uiPriority="99"/>
    <w:lsdException w:name="page number" w:locked="0"/>
    <w:lsdException w:name="endnote reference" w:locked="0"/>
    <w:lsdException w:name="endnote text" w:locked="0"/>
    <w:lsdException w:name="List Bullet" w:locked="0"/>
    <w:lsdException w:name="List Number" w:locked="0" w:semiHidden="0" w:unhideWhenUsed="0"/>
    <w:lsdException w:name="List 4" w:semiHidden="0" w:unhideWhenUsed="0"/>
    <w:lsdException w:name="List 5" w:semiHidden="0" w:unhideWhenUsed="0"/>
    <w:lsdException w:name="List Bullet 2" w:locked="0"/>
    <w:lsdException w:name="List Bullet 3" w:locked="0"/>
    <w:lsdException w:name="List Bullet 4" w:locked="0"/>
    <w:lsdException w:name="List Number 2" w:locked="0"/>
    <w:lsdException w:name="List Number 3" w:locked="0"/>
    <w:lsdException w:name="List Number 4" w:locked="0"/>
    <w:lsdException w:name="Title" w:locked="0" w:semiHidden="0" w:uiPriority="10" w:unhideWhenUsed="0" w:qFormat="1"/>
    <w:lsdException w:name="Default Paragraph Font" w:locked="0" w:uiPriority="1"/>
    <w:lsdException w:name="Body Tex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uiPriority="99"/>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HTML Top of Form" w:locked="0"/>
    <w:lsdException w:name="HTML Bottom of Form" w:locked="0"/>
    <w:lsdException w:name="Normal (Web)" w:locked="0"/>
    <w:lsdException w:name="Normal Table" w:locked="0"/>
    <w:lsdException w:name="annotation subject" w:locked="0"/>
    <w:lsdException w:name="No List" w:locked="0" w:uiPriority="99"/>
    <w:lsdException w:name="Balloon Text" w:locked="0"/>
    <w:lsdException w:name="Table Grid" w:locked="0" w:uiPriority="39"/>
    <w:lsdException w:name="Placeholder Text" w:locked="0"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locked="0"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e">
    <w:name w:val="Normal"/>
    <w:qFormat/>
    <w:rsid w:val="00646C30"/>
    <w:rPr>
      <w:rFonts w:ascii="Arial" w:hAnsi="Arial"/>
      <w:szCs w:val="24"/>
      <w:lang w:eastAsia="de-DE"/>
    </w:rPr>
  </w:style>
  <w:style w:type="paragraph" w:styleId="Titolo1">
    <w:name w:val="heading 1"/>
    <w:basedOn w:val="Normale"/>
    <w:next w:val="Normale"/>
    <w:link w:val="Titolo1Carattere"/>
    <w:qFormat/>
    <w:locked/>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locked/>
    <w:rsid w:val="00886A60"/>
    <w:pPr>
      <w:keepNext/>
      <w:keepLines/>
      <w:spacing w:before="200" w:after="120"/>
      <w:outlineLvl w:val="1"/>
    </w:pPr>
    <w:rPr>
      <w:b/>
      <w:bCs/>
      <w:szCs w:val="26"/>
    </w:rPr>
  </w:style>
  <w:style w:type="paragraph" w:styleId="Titolo3">
    <w:name w:val="heading 3"/>
    <w:basedOn w:val="Normale"/>
    <w:next w:val="Normale"/>
    <w:link w:val="Titolo3Carattere"/>
    <w:qFormat/>
    <w:locked/>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uiPriority w:val="9"/>
    <w:qFormat/>
    <w:locked/>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locked/>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locked/>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locked/>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locked/>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locked/>
    <w:rsid w:val="005B64CB"/>
    <w:pPr>
      <w:tabs>
        <w:tab w:val="center" w:pos="4536"/>
        <w:tab w:val="right" w:pos="9072"/>
      </w:tabs>
    </w:pPr>
  </w:style>
  <w:style w:type="paragraph" w:styleId="Pidipagina">
    <w:name w:val="footer"/>
    <w:basedOn w:val="Normale"/>
    <w:link w:val="PidipaginaCarattere"/>
    <w:uiPriority w:val="99"/>
    <w:locked/>
    <w:rsid w:val="005B64CB"/>
    <w:pPr>
      <w:tabs>
        <w:tab w:val="center" w:pos="4536"/>
        <w:tab w:val="right" w:pos="9072"/>
      </w:tabs>
    </w:pPr>
  </w:style>
  <w:style w:type="table" w:styleId="Grigliatabella">
    <w:name w:val="Table Grid"/>
    <w:basedOn w:val="Tabellanorma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locked/>
    <w:rsid w:val="003E3ACA"/>
    <w:pPr>
      <w:spacing w:line="200" w:lineRule="exact"/>
    </w:pPr>
    <w:rPr>
      <w:color w:val="2D4190"/>
      <w:sz w:val="16"/>
    </w:rPr>
  </w:style>
  <w:style w:type="paragraph" w:customStyle="1" w:styleId="05aTitle">
    <w:name w:val="05a_Title"/>
    <w:basedOn w:val="Normale"/>
    <w:locked/>
    <w:rsid w:val="00791EB4"/>
    <w:pPr>
      <w:spacing w:line="340" w:lineRule="exact"/>
    </w:pPr>
    <w:rPr>
      <w:b/>
      <w:color w:val="000000"/>
      <w:sz w:val="28"/>
    </w:rPr>
  </w:style>
  <w:style w:type="paragraph" w:customStyle="1" w:styleId="02Date">
    <w:name w:val="02_Date"/>
    <w:basedOn w:val="Normale"/>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e"/>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opagina">
    <w:name w:val="page number"/>
    <w:basedOn w:val="Carpredefinitopara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Collegamentoipertestual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locked/>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ommario2">
    <w:name w:val="toc 2"/>
    <w:basedOn w:val="Normale"/>
    <w:next w:val="Normale"/>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e"/>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imandocommento">
    <w:name w:val="annotation reference"/>
    <w:locked/>
    <w:rsid w:val="004B1E61"/>
    <w:rPr>
      <w:sz w:val="16"/>
      <w:szCs w:val="16"/>
    </w:rPr>
  </w:style>
  <w:style w:type="paragraph" w:styleId="Testocommento">
    <w:name w:val="annotation text"/>
    <w:basedOn w:val="Normale"/>
    <w:link w:val="TestocommentoCarattere"/>
    <w:locked/>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locked/>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locked/>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Paragraphe de liste"/>
    <w:basedOn w:val="Normale"/>
    <w:link w:val="ParagrafoelencoCarattere"/>
    <w:uiPriority w:val="34"/>
    <w:qFormat/>
    <w:locked/>
    <w:rsid w:val="002A0C82"/>
    <w:pPr>
      <w:ind w:left="720"/>
      <w:contextualSpacing/>
    </w:pPr>
  </w:style>
  <w:style w:type="paragraph" w:styleId="Titolosommario">
    <w:name w:val="TOC Heading"/>
    <w:basedOn w:val="Titolo1"/>
    <w:next w:val="Normale"/>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locked/>
    <w:rsid w:val="008E1B6A"/>
  </w:style>
  <w:style w:type="paragraph" w:customStyle="1" w:styleId="ManualNumPar1">
    <w:name w:val="Manual NumPar 1"/>
    <w:basedOn w:val="Normale"/>
    <w:next w:val="Normale"/>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nfasicorsivo">
    <w:name w:val="Emphasis"/>
    <w:uiPriority w:val="20"/>
    <w:qFormat/>
    <w:locked/>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lock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lock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lock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lock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lock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idascalia">
    <w:name w:val="caption"/>
    <w:basedOn w:val="Normale"/>
    <w:next w:val="Normale"/>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padocumento">
    <w:name w:val="Document Map"/>
    <w:basedOn w:val="Normale"/>
    <w:link w:val="MappadocumentoCarattere"/>
    <w:locked/>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lock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lock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Enfasigrassetto">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e"/>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locked/>
    <w:rsid w:val="002D6E1A"/>
  </w:style>
  <w:style w:type="character" w:styleId="Collegamentovisitato">
    <w:name w:val="FollowedHyperlink"/>
    <w:unhideWhenUsed/>
    <w:lock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lock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Paragraphe de liste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locked/>
    <w:rsid w:val="002D6E1A"/>
    <w:pPr>
      <w:ind w:left="708"/>
      <w:contextualSpacing w:val="0"/>
      <w:jc w:val="both"/>
    </w:pPr>
    <w:rPr>
      <w:b/>
      <w:szCs w:val="20"/>
      <w:u w:val="single"/>
    </w:rPr>
  </w:style>
  <w:style w:type="paragraph" w:customStyle="1" w:styleId="Bullet">
    <w:name w:val="Bullet"/>
    <w:basedOn w:val="Normale"/>
    <w:locked/>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locked/>
    <w:rsid w:val="002D6E1A"/>
    <w:rPr>
      <w:vertAlign w:val="superscript"/>
    </w:rPr>
  </w:style>
  <w:style w:type="character" w:styleId="Testosegnapost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lanorma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locked/>
    <w:rsid w:val="00952F2C"/>
  </w:style>
  <w:style w:type="paragraph" w:customStyle="1" w:styleId="aStyle">
    <w:name w:val="a) Style"/>
    <w:basedOn w:val="Normale"/>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olo5Carattere">
    <w:name w:val="Titolo 5 Carattere"/>
    <w:aliases w:val="Questions Carattere"/>
    <w:link w:val="Titolo5"/>
    <w:uiPriority w:val="9"/>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e"/>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o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olo1"/>
    <w:next w:val="Normale"/>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e"/>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e"/>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e"/>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e"/>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e"/>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e"/>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e"/>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locked/>
    <w:rsid w:val="000D2D0B"/>
    <w:pPr>
      <w:spacing w:after="240"/>
    </w:pPr>
    <w:rPr>
      <w:rFonts w:ascii="Times New Roman" w:hAnsi="Times New Roman"/>
      <w:sz w:val="24"/>
      <w:lang w:eastAsia="en-US"/>
    </w:rPr>
  </w:style>
  <w:style w:type="paragraph" w:customStyle="1" w:styleId="Datedadoption">
    <w:name w:val="Date d'adoption"/>
    <w:basedOn w:val="Normale"/>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locked/>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locked/>
    <w:rsid w:val="000D2D0B"/>
    <w:rPr>
      <w:rFonts w:cs="Arial"/>
      <w:sz w:val="24"/>
      <w:lang w:eastAsia="en-US"/>
    </w:rPr>
  </w:style>
  <w:style w:type="paragraph" w:customStyle="1" w:styleId="Rfrenceinstitutionnelle">
    <w:name w:val="Référence institutionnelle"/>
    <w:basedOn w:val="Normale"/>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locked/>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e"/>
    <w:locked/>
    <w:rsid w:val="000D2D0B"/>
    <w:pPr>
      <w:jc w:val="center"/>
    </w:pPr>
    <w:rPr>
      <w:rFonts w:ascii="Times New Roman" w:hAnsi="Times New Roman"/>
      <w:b/>
      <w:sz w:val="24"/>
      <w:lang w:eastAsia="en-US"/>
    </w:rPr>
  </w:style>
  <w:style w:type="paragraph" w:customStyle="1" w:styleId="Statut">
    <w:name w:val="Statut"/>
    <w:basedOn w:val="Normale"/>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e"/>
    <w:next w:val="Normale"/>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locked/>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e"/>
    <w:locked/>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e"/>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locked/>
    <w:rsid w:val="000D2D0B"/>
    <w:pPr>
      <w:spacing w:after="240"/>
    </w:pPr>
  </w:style>
  <w:style w:type="paragraph" w:customStyle="1" w:styleId="Accompagnant">
    <w:name w:val="Accompagnant"/>
    <w:basedOn w:val="Normale"/>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e"/>
    <w:next w:val="Normale"/>
    <w:locked/>
    <w:rsid w:val="000D2D0B"/>
    <w:pPr>
      <w:spacing w:before="360"/>
      <w:jc w:val="center"/>
    </w:pPr>
    <w:rPr>
      <w:rFonts w:ascii="Times New Roman" w:hAnsi="Times New Roman"/>
      <w:sz w:val="24"/>
      <w:lang w:eastAsia="en-US"/>
    </w:rPr>
  </w:style>
  <w:style w:type="paragraph" w:styleId="Numeroelenco2">
    <w:name w:val="List Number 2"/>
    <w:basedOn w:val="Normale"/>
    <w:locked/>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locked/>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locked/>
    <w:rsid w:val="000D2D0B"/>
    <w:pPr>
      <w:ind w:left="720"/>
      <w:contextualSpacing/>
    </w:pPr>
    <w:rPr>
      <w:rFonts w:ascii="Cambria" w:hAnsi="Cambria"/>
      <w:sz w:val="24"/>
      <w:lang w:val="en-US" w:eastAsia="en-US"/>
    </w:rPr>
  </w:style>
  <w:style w:type="paragraph" w:customStyle="1" w:styleId="Listeavsnitt1">
    <w:name w:val="Listeavsnitt1"/>
    <w:basedOn w:val="Normale"/>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e"/>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e"/>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e"/>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e"/>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locked/>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locked/>
    <w:rsid w:val="003A6E9A"/>
    <w:rPr>
      <w:b/>
      <w:i w:val="0"/>
      <w:iCs/>
      <w:sz w:val="20"/>
    </w:rPr>
  </w:style>
  <w:style w:type="paragraph" w:customStyle="1" w:styleId="NEW-Paragraph-Level1">
    <w:name w:val="NEW-Paragraph-Level1"/>
    <w:basedOn w:val="Normale"/>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e"/>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locked/>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tlid-translation">
    <w:name w:val="tlid-translation"/>
    <w:basedOn w:val="Carpredefinitoparagrafo"/>
    <w:rsid w:val="00915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6123688">
      <w:bodyDiv w:val="1"/>
      <w:marLeft w:val="0"/>
      <w:marRight w:val="0"/>
      <w:marTop w:val="0"/>
      <w:marBottom w:val="0"/>
      <w:divBdr>
        <w:top w:val="none" w:sz="0" w:space="0" w:color="auto"/>
        <w:left w:val="none" w:sz="0" w:space="0" w:color="auto"/>
        <w:bottom w:val="none" w:sz="0" w:space="0" w:color="auto"/>
        <w:right w:val="none" w:sz="0" w:space="0" w:color="auto"/>
      </w:divBdr>
      <w:divsChild>
        <w:div w:id="971591758">
          <w:marLeft w:val="0"/>
          <w:marRight w:val="0"/>
          <w:marTop w:val="0"/>
          <w:marBottom w:val="0"/>
          <w:divBdr>
            <w:top w:val="none" w:sz="0" w:space="0" w:color="auto"/>
            <w:left w:val="none" w:sz="0" w:space="0" w:color="auto"/>
            <w:bottom w:val="none" w:sz="0" w:space="0" w:color="auto"/>
            <w:right w:val="none" w:sz="0" w:space="0" w:color="auto"/>
          </w:divBdr>
          <w:divsChild>
            <w:div w:id="714159823">
              <w:marLeft w:val="0"/>
              <w:marRight w:val="0"/>
              <w:marTop w:val="0"/>
              <w:marBottom w:val="0"/>
              <w:divBdr>
                <w:top w:val="none" w:sz="0" w:space="0" w:color="auto"/>
                <w:left w:val="none" w:sz="0" w:space="0" w:color="auto"/>
                <w:bottom w:val="none" w:sz="0" w:space="0" w:color="auto"/>
                <w:right w:val="none" w:sz="0" w:space="0" w:color="auto"/>
              </w:divBdr>
              <w:divsChild>
                <w:div w:id="860820336">
                  <w:marLeft w:val="0"/>
                  <w:marRight w:val="0"/>
                  <w:marTop w:val="0"/>
                  <w:marBottom w:val="0"/>
                  <w:divBdr>
                    <w:top w:val="none" w:sz="0" w:space="0" w:color="auto"/>
                    <w:left w:val="none" w:sz="0" w:space="0" w:color="auto"/>
                    <w:bottom w:val="none" w:sz="0" w:space="0" w:color="auto"/>
                    <w:right w:val="none" w:sz="0" w:space="0" w:color="auto"/>
                  </w:divBdr>
                  <w:divsChild>
                    <w:div w:id="187640793">
                      <w:marLeft w:val="0"/>
                      <w:marRight w:val="0"/>
                      <w:marTop w:val="0"/>
                      <w:marBottom w:val="0"/>
                      <w:divBdr>
                        <w:top w:val="none" w:sz="0" w:space="0" w:color="auto"/>
                        <w:left w:val="none" w:sz="0" w:space="0" w:color="auto"/>
                        <w:bottom w:val="none" w:sz="0" w:space="0" w:color="auto"/>
                        <w:right w:val="none" w:sz="0" w:space="0" w:color="auto"/>
                      </w:divBdr>
                      <w:divsChild>
                        <w:div w:id="1596985035">
                          <w:marLeft w:val="0"/>
                          <w:marRight w:val="0"/>
                          <w:marTop w:val="0"/>
                          <w:marBottom w:val="0"/>
                          <w:divBdr>
                            <w:top w:val="none" w:sz="0" w:space="0" w:color="auto"/>
                            <w:left w:val="none" w:sz="0" w:space="0" w:color="auto"/>
                            <w:bottom w:val="none" w:sz="0" w:space="0" w:color="auto"/>
                            <w:right w:val="none" w:sz="0" w:space="0" w:color="auto"/>
                          </w:divBdr>
                          <w:divsChild>
                            <w:div w:id="1272007945">
                              <w:marLeft w:val="0"/>
                              <w:marRight w:val="0"/>
                              <w:marTop w:val="0"/>
                              <w:marBottom w:val="0"/>
                              <w:divBdr>
                                <w:top w:val="none" w:sz="0" w:space="0" w:color="auto"/>
                                <w:left w:val="none" w:sz="0" w:space="0" w:color="auto"/>
                                <w:bottom w:val="none" w:sz="0" w:space="0" w:color="auto"/>
                                <w:right w:val="none" w:sz="0" w:space="0" w:color="auto"/>
                              </w:divBdr>
                              <w:divsChild>
                                <w:div w:id="1646230902">
                                  <w:marLeft w:val="0"/>
                                  <w:marRight w:val="0"/>
                                  <w:marTop w:val="0"/>
                                  <w:marBottom w:val="0"/>
                                  <w:divBdr>
                                    <w:top w:val="none" w:sz="0" w:space="0" w:color="auto"/>
                                    <w:left w:val="none" w:sz="0" w:space="0" w:color="auto"/>
                                    <w:bottom w:val="none" w:sz="0" w:space="0" w:color="auto"/>
                                    <w:right w:val="none" w:sz="0" w:space="0" w:color="auto"/>
                                  </w:divBdr>
                                  <w:divsChild>
                                    <w:div w:id="310716995">
                                      <w:marLeft w:val="0"/>
                                      <w:marRight w:val="0"/>
                                      <w:marTop w:val="0"/>
                                      <w:marBottom w:val="0"/>
                                      <w:divBdr>
                                        <w:top w:val="none" w:sz="0" w:space="0" w:color="auto"/>
                                        <w:left w:val="none" w:sz="0" w:space="0" w:color="auto"/>
                                        <w:bottom w:val="none" w:sz="0" w:space="0" w:color="auto"/>
                                        <w:right w:val="none" w:sz="0" w:space="0" w:color="auto"/>
                                      </w:divBdr>
                                      <w:divsChild>
                                        <w:div w:id="866867787">
                                          <w:marLeft w:val="0"/>
                                          <w:marRight w:val="0"/>
                                          <w:marTop w:val="0"/>
                                          <w:marBottom w:val="495"/>
                                          <w:divBdr>
                                            <w:top w:val="none" w:sz="0" w:space="0" w:color="auto"/>
                                            <w:left w:val="none" w:sz="0" w:space="0" w:color="auto"/>
                                            <w:bottom w:val="none" w:sz="0" w:space="0" w:color="auto"/>
                                            <w:right w:val="none" w:sz="0" w:space="0" w:color="auto"/>
                                          </w:divBdr>
                                          <w:divsChild>
                                            <w:div w:id="8435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38001901">
      <w:bodyDiv w:val="1"/>
      <w:marLeft w:val="0"/>
      <w:marRight w:val="0"/>
      <w:marTop w:val="0"/>
      <w:marBottom w:val="0"/>
      <w:divBdr>
        <w:top w:val="none" w:sz="0" w:space="0" w:color="auto"/>
        <w:left w:val="none" w:sz="0" w:space="0" w:color="auto"/>
        <w:bottom w:val="none" w:sz="0" w:space="0" w:color="auto"/>
        <w:right w:val="none" w:sz="0" w:space="0" w:color="auto"/>
      </w:divBdr>
      <w:divsChild>
        <w:div w:id="1160121271">
          <w:marLeft w:val="0"/>
          <w:marRight w:val="0"/>
          <w:marTop w:val="0"/>
          <w:marBottom w:val="0"/>
          <w:divBdr>
            <w:top w:val="none" w:sz="0" w:space="0" w:color="auto"/>
            <w:left w:val="none" w:sz="0" w:space="0" w:color="auto"/>
            <w:bottom w:val="none" w:sz="0" w:space="0" w:color="auto"/>
            <w:right w:val="none" w:sz="0" w:space="0" w:color="auto"/>
          </w:divBdr>
          <w:divsChild>
            <w:div w:id="411198242">
              <w:marLeft w:val="0"/>
              <w:marRight w:val="0"/>
              <w:marTop w:val="0"/>
              <w:marBottom w:val="0"/>
              <w:divBdr>
                <w:top w:val="none" w:sz="0" w:space="0" w:color="auto"/>
                <w:left w:val="none" w:sz="0" w:space="0" w:color="auto"/>
                <w:bottom w:val="none" w:sz="0" w:space="0" w:color="auto"/>
                <w:right w:val="none" w:sz="0" w:space="0" w:color="auto"/>
              </w:divBdr>
              <w:divsChild>
                <w:div w:id="1541939660">
                  <w:marLeft w:val="0"/>
                  <w:marRight w:val="0"/>
                  <w:marTop w:val="0"/>
                  <w:marBottom w:val="0"/>
                  <w:divBdr>
                    <w:top w:val="none" w:sz="0" w:space="0" w:color="auto"/>
                    <w:left w:val="none" w:sz="0" w:space="0" w:color="auto"/>
                    <w:bottom w:val="none" w:sz="0" w:space="0" w:color="auto"/>
                    <w:right w:val="none" w:sz="0" w:space="0" w:color="auto"/>
                  </w:divBdr>
                  <w:divsChild>
                    <w:div w:id="1457598393">
                      <w:marLeft w:val="0"/>
                      <w:marRight w:val="0"/>
                      <w:marTop w:val="0"/>
                      <w:marBottom w:val="0"/>
                      <w:divBdr>
                        <w:top w:val="none" w:sz="0" w:space="0" w:color="auto"/>
                        <w:left w:val="none" w:sz="0" w:space="0" w:color="auto"/>
                        <w:bottom w:val="none" w:sz="0" w:space="0" w:color="auto"/>
                        <w:right w:val="none" w:sz="0" w:space="0" w:color="auto"/>
                      </w:divBdr>
                      <w:divsChild>
                        <w:div w:id="1861773879">
                          <w:marLeft w:val="0"/>
                          <w:marRight w:val="0"/>
                          <w:marTop w:val="0"/>
                          <w:marBottom w:val="0"/>
                          <w:divBdr>
                            <w:top w:val="none" w:sz="0" w:space="0" w:color="auto"/>
                            <w:left w:val="none" w:sz="0" w:space="0" w:color="auto"/>
                            <w:bottom w:val="none" w:sz="0" w:space="0" w:color="auto"/>
                            <w:right w:val="none" w:sz="0" w:space="0" w:color="auto"/>
                          </w:divBdr>
                          <w:divsChild>
                            <w:div w:id="1049914755">
                              <w:marLeft w:val="0"/>
                              <w:marRight w:val="0"/>
                              <w:marTop w:val="0"/>
                              <w:marBottom w:val="0"/>
                              <w:divBdr>
                                <w:top w:val="none" w:sz="0" w:space="0" w:color="auto"/>
                                <w:left w:val="none" w:sz="0" w:space="0" w:color="auto"/>
                                <w:bottom w:val="none" w:sz="0" w:space="0" w:color="auto"/>
                                <w:right w:val="none" w:sz="0" w:space="0" w:color="auto"/>
                              </w:divBdr>
                              <w:divsChild>
                                <w:div w:id="153032684">
                                  <w:marLeft w:val="0"/>
                                  <w:marRight w:val="0"/>
                                  <w:marTop w:val="0"/>
                                  <w:marBottom w:val="0"/>
                                  <w:divBdr>
                                    <w:top w:val="none" w:sz="0" w:space="0" w:color="auto"/>
                                    <w:left w:val="none" w:sz="0" w:space="0" w:color="auto"/>
                                    <w:bottom w:val="none" w:sz="0" w:space="0" w:color="auto"/>
                                    <w:right w:val="none" w:sz="0" w:space="0" w:color="auto"/>
                                  </w:divBdr>
                                  <w:divsChild>
                                    <w:div w:id="374039756">
                                      <w:marLeft w:val="0"/>
                                      <w:marRight w:val="0"/>
                                      <w:marTop w:val="0"/>
                                      <w:marBottom w:val="0"/>
                                      <w:divBdr>
                                        <w:top w:val="none" w:sz="0" w:space="0" w:color="auto"/>
                                        <w:left w:val="none" w:sz="0" w:space="0" w:color="auto"/>
                                        <w:bottom w:val="none" w:sz="0" w:space="0" w:color="auto"/>
                                        <w:right w:val="none" w:sz="0" w:space="0" w:color="auto"/>
                                      </w:divBdr>
                                      <w:divsChild>
                                        <w:div w:id="1120032234">
                                          <w:marLeft w:val="0"/>
                                          <w:marRight w:val="0"/>
                                          <w:marTop w:val="0"/>
                                          <w:marBottom w:val="495"/>
                                          <w:divBdr>
                                            <w:top w:val="none" w:sz="0" w:space="0" w:color="auto"/>
                                            <w:left w:val="none" w:sz="0" w:space="0" w:color="auto"/>
                                            <w:bottom w:val="none" w:sz="0" w:space="0" w:color="auto"/>
                                            <w:right w:val="none" w:sz="0" w:space="0" w:color="auto"/>
                                          </w:divBdr>
                                          <w:divsChild>
                                            <w:div w:id="16325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6C7F69-5E41-4081-A1D9-9C0921DA5884}">
  <ds:schemaRefs>
    <ds:schemaRef ds:uri="http://schemas.openxmlformats.org/officeDocument/2006/bibliography"/>
  </ds:schemaRefs>
</ds:datastoreItem>
</file>

<file path=customXml/itemProps6.xml><?xml version="1.0" encoding="utf-8"?>
<ds:datastoreItem xmlns:ds="http://schemas.openxmlformats.org/officeDocument/2006/customXml" ds:itemID="{A9582015-7FBC-412D-97E2-1419EB21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20</Pages>
  <Words>5903</Words>
  <Characters>33652</Characters>
  <Application>Microsoft Office Word</Application>
  <DocSecurity>8</DocSecurity>
  <Lines>280</Lines>
  <Paragraphs>78</Paragraphs>
  <ScaleCrop>false</ScaleCrop>
  <HeadingPairs>
    <vt:vector size="10" baseType="variant">
      <vt:variant>
        <vt:lpstr>Titolo</vt:lpstr>
      </vt:variant>
      <vt:variant>
        <vt:i4>1</vt:i4>
      </vt: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39477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Segreteria Assirevi</cp:lastModifiedBy>
  <cp:revision>22</cp:revision>
  <cp:lastPrinted>2019-11-29T17:27:00Z</cp:lastPrinted>
  <dcterms:created xsi:type="dcterms:W3CDTF">2019-11-29T09:05:00Z</dcterms:created>
  <dcterms:modified xsi:type="dcterms:W3CDTF">2019-11-29T17:35:00Z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