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833267" w:rsidRPr="00A52EBB" w14:paraId="7569F233" w14:textId="77777777" w:rsidTr="00607E48">
        <w:trPr>
          <w:trHeight w:val="284"/>
        </w:trPr>
        <w:tc>
          <w:tcPr>
            <w:tcW w:w="9412" w:type="dxa"/>
          </w:tcPr>
          <w:p w14:paraId="57C9D7D5" w14:textId="77777777" w:rsidR="00833267" w:rsidRPr="00583885" w:rsidRDefault="00833267" w:rsidP="00607E48">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Pr>
                <w:rFonts w:cs="Arial"/>
                <w:color w:val="FFFFFF" w:themeColor="background1"/>
                <w:sz w:val="22"/>
                <w:szCs w:val="22"/>
              </w:rPr>
              <w:t>3</w:t>
            </w:r>
            <w:r w:rsidRPr="00583885">
              <w:rPr>
                <w:rFonts w:cs="Arial"/>
                <w:color w:val="FFFFFF" w:themeColor="background1"/>
                <w:sz w:val="22"/>
                <w:szCs w:val="22"/>
              </w:rPr>
              <w:t xml:space="preserve"> </w:t>
            </w:r>
            <w:r>
              <w:rPr>
                <w:rFonts w:cs="Arial"/>
                <w:color w:val="FFFFFF" w:themeColor="background1"/>
                <w:sz w:val="22"/>
                <w:szCs w:val="22"/>
              </w:rPr>
              <w:t>October 2019</w:t>
            </w:r>
          </w:p>
        </w:tc>
      </w:tr>
    </w:tbl>
    <w:p w14:paraId="7C7D76F9" w14:textId="77777777" w:rsidR="00833267" w:rsidRPr="00616B9B" w:rsidRDefault="00833267" w:rsidP="00833267">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833267" w:rsidRPr="00616B9B" w14:paraId="5E234D2C" w14:textId="77777777" w:rsidTr="00607E48">
        <w:trPr>
          <w:trHeight w:hRule="exact" w:val="1209"/>
        </w:trPr>
        <w:tc>
          <w:tcPr>
            <w:tcW w:w="9397" w:type="dxa"/>
            <w:vAlign w:val="bottom"/>
          </w:tcPr>
          <w:p w14:paraId="744A36C0" w14:textId="77777777" w:rsidR="00833267" w:rsidRPr="00616B9B" w:rsidRDefault="00833267" w:rsidP="00607E48">
            <w:pPr>
              <w:pStyle w:val="01aDBTitle"/>
              <w:jc w:val="left"/>
              <w:rPr>
                <w:rFonts w:cs="Arial"/>
              </w:rPr>
            </w:pPr>
            <w:r w:rsidRPr="00616B9B">
              <w:rPr>
                <w:rFonts w:cs="Arial"/>
              </w:rPr>
              <w:t>Reply form for the</w:t>
            </w:r>
            <w:r>
              <w:t xml:space="preserve"> </w:t>
            </w:r>
            <w:r w:rsidRPr="00DD2CDA">
              <w:rPr>
                <w:rFonts w:cs="Arial"/>
              </w:rPr>
              <w:t>Consultation Paper on</w:t>
            </w:r>
            <w:r w:rsidRPr="000E49B7">
              <w:rPr>
                <w:rFonts w:cs="Arial"/>
              </w:rPr>
              <w:t xml:space="preserve"> </w:t>
            </w:r>
            <w:r>
              <w:rPr>
                <w:rFonts w:cs="Arial"/>
              </w:rPr>
              <w:t>MAR review report</w:t>
            </w:r>
          </w:p>
        </w:tc>
      </w:tr>
      <w:tr w:rsidR="00833267" w:rsidRPr="00616B9B" w14:paraId="43DA4C90" w14:textId="77777777" w:rsidTr="00607E48">
        <w:trPr>
          <w:trHeight w:hRule="exact" w:val="605"/>
        </w:trPr>
        <w:tc>
          <w:tcPr>
            <w:tcW w:w="9397" w:type="dxa"/>
            <w:tcMar>
              <w:top w:w="142" w:type="dxa"/>
            </w:tcMar>
          </w:tcPr>
          <w:p w14:paraId="0B5480B5" w14:textId="77777777" w:rsidR="00833267" w:rsidRPr="00616B9B" w:rsidRDefault="00833267" w:rsidP="00607E48">
            <w:pPr>
              <w:pStyle w:val="01bDBSubtitle"/>
              <w:rPr>
                <w:rFonts w:ascii="Arial" w:hAnsi="Arial" w:cs="Arial"/>
              </w:rPr>
            </w:pPr>
            <w:r w:rsidRPr="00616B9B">
              <w:rPr>
                <w:rFonts w:ascii="Arial" w:hAnsi="Arial" w:cs="Arial"/>
              </w:rPr>
              <w:t xml:space="preserve"> </w:t>
            </w:r>
          </w:p>
        </w:tc>
      </w:tr>
    </w:tbl>
    <w:p w14:paraId="28B7FB9E" w14:textId="77777777" w:rsidR="00833267" w:rsidRPr="00616B9B" w:rsidRDefault="00833267" w:rsidP="00833267">
      <w:pPr>
        <w:pStyle w:val="05HeadlinenoIndex"/>
        <w:rPr>
          <w:rFonts w:cs="Arial"/>
        </w:rPr>
        <w:sectPr w:rsidR="00833267" w:rsidRPr="00616B9B" w:rsidSect="00607E48">
          <w:headerReference w:type="default" r:id="rId7"/>
          <w:footerReference w:type="default" r:id="rId8"/>
          <w:headerReference w:type="first" r:id="rId9"/>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833267" w:rsidRPr="00A52EBB" w14:paraId="729011B4" w14:textId="77777777" w:rsidTr="00607E48">
        <w:trPr>
          <w:trHeight w:hRule="exact" w:val="964"/>
        </w:trPr>
        <w:tc>
          <w:tcPr>
            <w:tcW w:w="2325" w:type="dxa"/>
          </w:tcPr>
          <w:p w14:paraId="353CA4EE" w14:textId="77777777" w:rsidR="00833267" w:rsidRPr="00A52EBB" w:rsidRDefault="00833267" w:rsidP="00607E48">
            <w:pPr>
              <w:pStyle w:val="02Date"/>
              <w:rPr>
                <w:rFonts w:cs="Arial"/>
              </w:rPr>
            </w:pPr>
            <w:r w:rsidRPr="00A52EBB">
              <w:rPr>
                <w:rFonts w:cs="Arial"/>
              </w:rPr>
              <w:lastRenderedPageBreak/>
              <w:t xml:space="preserve">Date: </w:t>
            </w:r>
            <w:r>
              <w:rPr>
                <w:rFonts w:cs="Arial"/>
              </w:rPr>
              <w:t>3 October</w:t>
            </w:r>
            <w:r w:rsidRPr="00583885">
              <w:rPr>
                <w:rFonts w:cs="Arial"/>
              </w:rPr>
              <w:t xml:space="preserve"> 201</w:t>
            </w:r>
            <w:r>
              <w:rPr>
                <w:rFonts w:cs="Arial"/>
              </w:rPr>
              <w:t>9</w:t>
            </w:r>
          </w:p>
        </w:tc>
      </w:tr>
    </w:tbl>
    <w:p w14:paraId="1C041F07" w14:textId="77777777" w:rsidR="00833267" w:rsidRPr="00616B9B" w:rsidRDefault="00833267" w:rsidP="00833267">
      <w:pPr>
        <w:pStyle w:val="05HeadlinenoIndex"/>
        <w:rPr>
          <w:rFonts w:cs="Arial"/>
        </w:rPr>
      </w:pPr>
      <w:bookmarkStart w:id="0" w:name="_Toc280628648"/>
      <w:r w:rsidRPr="00616B9B">
        <w:rPr>
          <w:rFonts w:cs="Arial"/>
        </w:rPr>
        <w:t xml:space="preserve">Responding to this paper </w:t>
      </w:r>
    </w:p>
    <w:p w14:paraId="6527141A" w14:textId="77777777" w:rsidR="00833267" w:rsidRPr="00EF0769" w:rsidRDefault="00833267" w:rsidP="00833267">
      <w:pPr>
        <w:pStyle w:val="04BodyText"/>
        <w:spacing w:before="120" w:after="120"/>
        <w:rPr>
          <w:rFonts w:cs="Arial"/>
        </w:rPr>
      </w:pPr>
      <w:r w:rsidRPr="00EF0769">
        <w:rPr>
          <w:rFonts w:cs="Arial"/>
        </w:rPr>
        <w:t xml:space="preserve">The European Securities and Markets Authority (ESMA) invites responses to the specific questions listed in the </w:t>
      </w:r>
      <w:r>
        <w:rPr>
          <w:rFonts w:cs="Arial"/>
        </w:rPr>
        <w:t>Consultation Paper on the MAR review report</w:t>
      </w:r>
      <w:r w:rsidRPr="000E49B7">
        <w:rPr>
          <w:rFonts w:cs="Arial"/>
        </w:rPr>
        <w:t xml:space="preserve"> </w:t>
      </w:r>
      <w:r w:rsidRPr="00EF0769">
        <w:rPr>
          <w:rFonts w:cs="Arial"/>
        </w:rPr>
        <w:t>published on the ESMA website.</w:t>
      </w:r>
    </w:p>
    <w:p w14:paraId="273B0B01" w14:textId="77777777" w:rsidR="00833267" w:rsidRDefault="00833267" w:rsidP="00833267">
      <w:pPr>
        <w:autoSpaceDE w:val="0"/>
        <w:autoSpaceDN w:val="0"/>
        <w:adjustRightInd w:val="0"/>
        <w:spacing w:before="120" w:after="120" w:line="276" w:lineRule="auto"/>
        <w:jc w:val="both"/>
        <w:rPr>
          <w:rStyle w:val="Strong4"/>
          <w:rFonts w:cs="Arial"/>
          <w:i/>
        </w:rPr>
      </w:pPr>
    </w:p>
    <w:p w14:paraId="1F21EBE0" w14:textId="77777777" w:rsidR="00833267" w:rsidRPr="00EF0769" w:rsidRDefault="00833267" w:rsidP="00833267">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7362A0ED" w14:textId="77777777" w:rsidR="00833267" w:rsidRPr="00EF0769" w:rsidRDefault="00833267" w:rsidP="00833267">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Pr>
          <w:rFonts w:cs="Arial"/>
        </w:rPr>
        <w:t xml:space="preserve">ESMA will only be able to consider responses which follow the instructions described </w:t>
      </w:r>
      <w:r w:rsidRPr="00EF0769">
        <w:rPr>
          <w:rFonts w:cs="Arial"/>
        </w:rPr>
        <w:t>below:</w:t>
      </w:r>
    </w:p>
    <w:p w14:paraId="29C498EA" w14:textId="77777777" w:rsidR="00833267" w:rsidRPr="00293D78" w:rsidRDefault="00833267" w:rsidP="00833267">
      <w:pPr>
        <w:pStyle w:val="04BodyText"/>
        <w:numPr>
          <w:ilvl w:val="0"/>
          <w:numId w:val="4"/>
        </w:numPr>
        <w:spacing w:before="120" w:after="120"/>
        <w:rPr>
          <w:rFonts w:cs="Arial"/>
        </w:rPr>
      </w:pPr>
      <w:r w:rsidRPr="00293D78">
        <w:rPr>
          <w:rFonts w:cs="Arial"/>
        </w:rPr>
        <w:t>use this form and send your responses in Word format (pdf documents will not be considered except for annexes);</w:t>
      </w:r>
    </w:p>
    <w:p w14:paraId="762B0360" w14:textId="77777777" w:rsidR="00833267" w:rsidRPr="00293D78" w:rsidRDefault="00833267" w:rsidP="00833267">
      <w:pPr>
        <w:pStyle w:val="04BodyText"/>
        <w:numPr>
          <w:ilvl w:val="0"/>
          <w:numId w:val="4"/>
        </w:numPr>
        <w:spacing w:before="120" w:after="120"/>
        <w:rPr>
          <w:rFonts w:cs="Arial"/>
        </w:rPr>
      </w:pPr>
      <w:r w:rsidRPr="00293D78">
        <w:rPr>
          <w:rFonts w:cs="Arial"/>
        </w:rPr>
        <w:t>do not remove the tags of type &lt;ESMA_QUESTION_</w:t>
      </w:r>
      <w:r>
        <w:rPr>
          <w:rFonts w:cs="Arial"/>
        </w:rPr>
        <w:t>CP_MAR_1</w:t>
      </w:r>
      <w:r w:rsidRPr="00293D78">
        <w:rPr>
          <w:rFonts w:cs="Arial"/>
        </w:rPr>
        <w:t>&gt; - i.e. the response to one question has to be framed by the 2 tags corresponding to the question; and</w:t>
      </w:r>
    </w:p>
    <w:p w14:paraId="6B2D66D2" w14:textId="77777777" w:rsidR="00833267" w:rsidRPr="00293D78" w:rsidRDefault="00833267" w:rsidP="00833267">
      <w:pPr>
        <w:pStyle w:val="04BodyText"/>
        <w:numPr>
          <w:ilvl w:val="0"/>
          <w:numId w:val="4"/>
        </w:numPr>
        <w:spacing w:before="120" w:after="120"/>
        <w:rPr>
          <w:rFonts w:cs="Arial"/>
        </w:rPr>
      </w:pPr>
      <w:r w:rsidRPr="00293D78">
        <w:rPr>
          <w:rFonts w:cs="Arial"/>
        </w:rPr>
        <w:t>if you do not have a response to a question, do not delete it and leave the text “TYPE YOUR TEXT HERE” between the tags.</w:t>
      </w:r>
    </w:p>
    <w:p w14:paraId="47CE6453" w14:textId="77777777" w:rsidR="00833267" w:rsidRPr="00EF0769" w:rsidRDefault="00833267" w:rsidP="00833267">
      <w:pPr>
        <w:pStyle w:val="04bList"/>
        <w:numPr>
          <w:ilvl w:val="0"/>
          <w:numId w:val="0"/>
        </w:numPr>
        <w:spacing w:before="120" w:after="120"/>
        <w:rPr>
          <w:rFonts w:cs="Arial"/>
        </w:rPr>
      </w:pPr>
      <w:r w:rsidRPr="00EF0769">
        <w:rPr>
          <w:rFonts w:cs="Arial"/>
        </w:rPr>
        <w:t>Responses are most helpful:</w:t>
      </w:r>
    </w:p>
    <w:p w14:paraId="53EB9C7E" w14:textId="77777777" w:rsidR="00833267" w:rsidRPr="00293D78" w:rsidRDefault="00833267" w:rsidP="00833267">
      <w:pPr>
        <w:pStyle w:val="04BodyText"/>
        <w:numPr>
          <w:ilvl w:val="0"/>
          <w:numId w:val="5"/>
        </w:numPr>
        <w:spacing w:before="120" w:after="120"/>
        <w:rPr>
          <w:rFonts w:cs="Arial"/>
        </w:rPr>
      </w:pPr>
      <w:r w:rsidRPr="00293D78">
        <w:rPr>
          <w:rFonts w:cs="Arial"/>
        </w:rPr>
        <w:t>if they respond to the question stated;</w:t>
      </w:r>
    </w:p>
    <w:p w14:paraId="10DF6D89" w14:textId="77777777" w:rsidR="00833267" w:rsidRPr="00293D78" w:rsidRDefault="00833267" w:rsidP="00833267">
      <w:pPr>
        <w:pStyle w:val="04BodyText"/>
        <w:numPr>
          <w:ilvl w:val="0"/>
          <w:numId w:val="5"/>
        </w:numPr>
        <w:spacing w:before="120" w:after="120"/>
        <w:rPr>
          <w:rFonts w:cs="Arial"/>
        </w:rPr>
      </w:pPr>
      <w:r w:rsidRPr="00293D78">
        <w:rPr>
          <w:rFonts w:cs="Arial"/>
        </w:rPr>
        <w:t>indicate the specific question to which the comment relates;</w:t>
      </w:r>
    </w:p>
    <w:p w14:paraId="6679D97D" w14:textId="77777777" w:rsidR="00833267" w:rsidRPr="00293D78" w:rsidRDefault="00833267" w:rsidP="00833267">
      <w:pPr>
        <w:pStyle w:val="04BodyText"/>
        <w:numPr>
          <w:ilvl w:val="0"/>
          <w:numId w:val="5"/>
        </w:numPr>
        <w:spacing w:before="120" w:after="120"/>
        <w:rPr>
          <w:rFonts w:cs="Arial"/>
        </w:rPr>
      </w:pPr>
      <w:r w:rsidRPr="00293D78">
        <w:rPr>
          <w:rFonts w:cs="Arial"/>
        </w:rPr>
        <w:t>contain a clear rationale; and</w:t>
      </w:r>
    </w:p>
    <w:p w14:paraId="6B997D81" w14:textId="77777777" w:rsidR="00833267" w:rsidRPr="00293D78" w:rsidRDefault="00833267" w:rsidP="00833267">
      <w:pPr>
        <w:pStyle w:val="04BodyText"/>
        <w:numPr>
          <w:ilvl w:val="0"/>
          <w:numId w:val="5"/>
        </w:numPr>
        <w:spacing w:before="120" w:after="120"/>
        <w:rPr>
          <w:rFonts w:cs="Arial"/>
        </w:rPr>
      </w:pPr>
      <w:r w:rsidRPr="00293D78">
        <w:rPr>
          <w:rFonts w:cs="Arial"/>
        </w:rPr>
        <w:t>describe any alternatives ESMA should consider.</w:t>
      </w:r>
    </w:p>
    <w:p w14:paraId="7A70A9AF" w14:textId="77777777" w:rsidR="00833267" w:rsidRDefault="00833267" w:rsidP="00833267">
      <w:pPr>
        <w:pStyle w:val="04BodyText"/>
        <w:spacing w:before="120" w:after="120"/>
        <w:jc w:val="left"/>
        <w:rPr>
          <w:rFonts w:cs="Arial"/>
          <w:b/>
        </w:rPr>
      </w:pPr>
    </w:p>
    <w:p w14:paraId="4F2A8719" w14:textId="77777777" w:rsidR="00833267" w:rsidRPr="00EF0769" w:rsidRDefault="00833267" w:rsidP="00833267">
      <w:pPr>
        <w:pStyle w:val="04BodyText"/>
        <w:spacing w:before="120" w:after="120"/>
        <w:jc w:val="left"/>
        <w:rPr>
          <w:rFonts w:cs="Arial"/>
          <w:b/>
        </w:rPr>
      </w:pPr>
      <w:r>
        <w:rPr>
          <w:rFonts w:cs="Arial"/>
          <w:b/>
        </w:rPr>
        <w:t>Naming protocol</w:t>
      </w:r>
    </w:p>
    <w:p w14:paraId="2D8DB2E8" w14:textId="77777777" w:rsidR="00833267" w:rsidRPr="00EF0769" w:rsidRDefault="00833267" w:rsidP="00833267">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30154C8B" w14:textId="77777777" w:rsidR="00833267" w:rsidRPr="00EF0769" w:rsidRDefault="00833267" w:rsidP="00833267">
      <w:pPr>
        <w:pStyle w:val="04BodyText"/>
        <w:spacing w:before="120" w:after="120"/>
        <w:jc w:val="left"/>
        <w:rPr>
          <w:rFonts w:cs="Arial"/>
        </w:rPr>
      </w:pPr>
      <w:r w:rsidRPr="00EF0769">
        <w:rPr>
          <w:rFonts w:cs="Arial"/>
        </w:rPr>
        <w:t>ESMA_</w:t>
      </w:r>
      <w:r>
        <w:rPr>
          <w:rFonts w:cs="Arial"/>
        </w:rPr>
        <w:t>CP_MAR_</w:t>
      </w:r>
      <w:r w:rsidRPr="00EF0769">
        <w:rPr>
          <w:rFonts w:cs="Arial"/>
        </w:rPr>
        <w:t>NAMEOFCOMPANY_NAMEOFDOCUMENT.</w:t>
      </w:r>
    </w:p>
    <w:p w14:paraId="3C26374E" w14:textId="77777777" w:rsidR="00833267" w:rsidRPr="00EF0769" w:rsidRDefault="00833267" w:rsidP="00833267">
      <w:pPr>
        <w:pStyle w:val="04BodyText"/>
        <w:spacing w:before="120" w:after="120"/>
        <w:jc w:val="left"/>
        <w:rPr>
          <w:rFonts w:cs="Arial"/>
        </w:rPr>
      </w:pPr>
      <w:r>
        <w:rPr>
          <w:rFonts w:cs="Arial"/>
        </w:rPr>
        <w:t>e</w:t>
      </w:r>
      <w:r w:rsidRPr="00EF0769">
        <w:rPr>
          <w:rFonts w:cs="Arial"/>
        </w:rPr>
        <w:t>.g. if the respondent were ESMA, the name of the reply form would be:</w:t>
      </w:r>
    </w:p>
    <w:p w14:paraId="212477C4" w14:textId="77777777" w:rsidR="00833267" w:rsidRPr="00EF0769" w:rsidRDefault="00833267" w:rsidP="00833267">
      <w:pPr>
        <w:pStyle w:val="04BodyText"/>
        <w:spacing w:before="120" w:after="120"/>
        <w:jc w:val="left"/>
        <w:rPr>
          <w:rFonts w:cs="Arial"/>
        </w:rPr>
      </w:pPr>
      <w:r w:rsidRPr="00EF0769">
        <w:rPr>
          <w:rFonts w:cs="Arial"/>
        </w:rPr>
        <w:t>ESMA_</w:t>
      </w:r>
      <w:r>
        <w:rPr>
          <w:rFonts w:cs="Arial"/>
        </w:rPr>
        <w:t>CP_MAR_</w:t>
      </w:r>
      <w:r w:rsidRPr="00EF0769">
        <w:rPr>
          <w:rFonts w:cs="Arial"/>
        </w:rPr>
        <w:t xml:space="preserve">ESMA_REPLYFORM or </w:t>
      </w:r>
    </w:p>
    <w:p w14:paraId="0F13582C" w14:textId="77777777" w:rsidR="00833267" w:rsidRPr="00EF0769" w:rsidRDefault="00833267" w:rsidP="00833267">
      <w:pPr>
        <w:pStyle w:val="04BodyText"/>
        <w:spacing w:before="120" w:after="120"/>
        <w:jc w:val="left"/>
        <w:rPr>
          <w:rFonts w:cs="Arial"/>
        </w:rPr>
      </w:pPr>
      <w:r w:rsidRPr="00EF0769">
        <w:rPr>
          <w:rFonts w:cs="Arial"/>
        </w:rPr>
        <w:t>ESMA_</w:t>
      </w:r>
      <w:r>
        <w:rPr>
          <w:rFonts w:cs="Arial"/>
        </w:rPr>
        <w:t>CP_MAR_</w:t>
      </w:r>
      <w:r w:rsidRPr="00EF0769">
        <w:rPr>
          <w:rFonts w:cs="Arial"/>
        </w:rPr>
        <w:t>ANNEX1</w:t>
      </w:r>
    </w:p>
    <w:p w14:paraId="742A4BC6" w14:textId="77777777" w:rsidR="00833267" w:rsidRDefault="00833267" w:rsidP="00833267">
      <w:pPr>
        <w:autoSpaceDE w:val="0"/>
        <w:autoSpaceDN w:val="0"/>
        <w:adjustRightInd w:val="0"/>
        <w:spacing w:before="120" w:after="120" w:line="276" w:lineRule="auto"/>
        <w:jc w:val="both"/>
        <w:rPr>
          <w:rFonts w:cs="Arial"/>
          <w:b/>
          <w:bCs/>
          <w:i/>
          <w:color w:val="000000"/>
          <w:szCs w:val="20"/>
          <w:lang w:eastAsia="en-GB"/>
        </w:rPr>
      </w:pPr>
    </w:p>
    <w:p w14:paraId="15A9E930" w14:textId="77777777" w:rsidR="00833267" w:rsidRPr="00EF0769" w:rsidRDefault="00833267" w:rsidP="00833267">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2638C76" w14:textId="77777777" w:rsidR="00833267" w:rsidRPr="00EF0769" w:rsidRDefault="00833267" w:rsidP="00833267">
      <w:pPr>
        <w:pStyle w:val="04BodyText"/>
        <w:spacing w:before="120" w:after="120"/>
        <w:rPr>
          <w:rFonts w:cs="Arial"/>
        </w:rPr>
      </w:pPr>
      <w:r w:rsidRPr="00EF0769">
        <w:rPr>
          <w:rFonts w:cs="Arial"/>
        </w:rPr>
        <w:t xml:space="preserve">Responses must reach us by </w:t>
      </w:r>
      <w:r>
        <w:rPr>
          <w:rFonts w:cs="Arial"/>
          <w:b/>
        </w:rPr>
        <w:t>29 November</w:t>
      </w:r>
      <w:r w:rsidRPr="00583885">
        <w:rPr>
          <w:rFonts w:cs="Arial"/>
          <w:b/>
        </w:rPr>
        <w:t xml:space="preserve"> 201</w:t>
      </w:r>
      <w:r>
        <w:rPr>
          <w:rFonts w:cs="Arial"/>
          <w:b/>
        </w:rPr>
        <w:t>9</w:t>
      </w:r>
      <w:r w:rsidRPr="00EF0769">
        <w:rPr>
          <w:rFonts w:cs="Arial"/>
          <w:b/>
        </w:rPr>
        <w:t>.</w:t>
      </w:r>
    </w:p>
    <w:p w14:paraId="30106349" w14:textId="77777777" w:rsidR="00833267" w:rsidRDefault="00833267" w:rsidP="00833267">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0" w:history="1">
        <w:r w:rsidRPr="005B6B12">
          <w:rPr>
            <w:rStyle w:val="Hyperlink"/>
          </w:rPr>
          <w:t>www.esma.europa.eu</w:t>
        </w:r>
      </w:hyperlink>
      <w:r w:rsidRPr="005B6B12">
        <w:t xml:space="preserve"> under the heading ‘Your input - Consultations’.</w:t>
      </w:r>
    </w:p>
    <w:p w14:paraId="7FBDA7E1" w14:textId="77777777" w:rsidR="00833267" w:rsidRDefault="00833267" w:rsidP="00833267">
      <w:pPr>
        <w:autoSpaceDE w:val="0"/>
        <w:autoSpaceDN w:val="0"/>
        <w:adjustRightInd w:val="0"/>
        <w:spacing w:before="120" w:after="120" w:line="276" w:lineRule="auto"/>
        <w:jc w:val="both"/>
        <w:rPr>
          <w:rFonts w:cs="Arial"/>
          <w:b/>
          <w:bCs/>
          <w:i/>
          <w:color w:val="000000"/>
          <w:szCs w:val="20"/>
          <w:lang w:eastAsia="en-GB"/>
        </w:rPr>
      </w:pPr>
    </w:p>
    <w:p w14:paraId="29DE6411" w14:textId="77777777" w:rsidR="00833267" w:rsidRPr="00EF0769" w:rsidRDefault="00833267" w:rsidP="00833267">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53B1A76F" w14:textId="77777777" w:rsidR="00833267" w:rsidRPr="00EF0769" w:rsidRDefault="00833267" w:rsidP="00833267">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61711D32" w14:textId="77777777" w:rsidR="00833267" w:rsidRDefault="00833267" w:rsidP="00833267">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4B79F921" w14:textId="77777777" w:rsidR="00833267" w:rsidRPr="00EF0769" w:rsidRDefault="00833267" w:rsidP="00833267">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21574B65" w14:textId="77777777" w:rsidR="00833267" w:rsidRDefault="00833267" w:rsidP="00833267">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1" w:history="1">
        <w:r w:rsidRPr="00EF0769">
          <w:rPr>
            <w:rStyle w:val="Hyperlink"/>
            <w:rFonts w:cs="Arial"/>
            <w:szCs w:val="20"/>
          </w:rPr>
          <w:t>www.esma.europa.eu</w:t>
        </w:r>
      </w:hyperlink>
      <w:r w:rsidRPr="00EF0769">
        <w:rPr>
          <w:rFonts w:cs="Arial"/>
          <w:szCs w:val="20"/>
        </w:rPr>
        <w:t xml:space="preserve"> under the </w:t>
      </w:r>
      <w:r w:rsidRPr="00440AB1">
        <w:rPr>
          <w:rFonts w:cs="Arial"/>
          <w:lang w:eastAsia="en-GB"/>
        </w:rPr>
        <w:t>heading</w:t>
      </w:r>
      <w:r>
        <w:rPr>
          <w:rFonts w:cs="Arial"/>
          <w:lang w:eastAsia="en-GB"/>
        </w:rPr>
        <w:t>s</w:t>
      </w:r>
      <w:r w:rsidRPr="00440AB1">
        <w:rPr>
          <w:rFonts w:cs="Arial"/>
          <w:lang w:eastAsia="en-GB"/>
        </w:rPr>
        <w:t xml:space="preserve"> ‘Legal notice’</w:t>
      </w:r>
      <w:r>
        <w:rPr>
          <w:rFonts w:cs="Arial"/>
          <w:lang w:eastAsia="en-GB"/>
        </w:rPr>
        <w:t xml:space="preserve"> </w:t>
      </w:r>
      <w:r w:rsidRPr="00AD0C8A">
        <w:rPr>
          <w:rFonts w:cs="Arial"/>
          <w:lang w:eastAsia="en-GB"/>
        </w:rPr>
        <w:t>and ‘Data protection’.</w:t>
      </w:r>
    </w:p>
    <w:p w14:paraId="2CF42474" w14:textId="77777777" w:rsidR="00833267" w:rsidRDefault="00833267" w:rsidP="00833267">
      <w:pPr>
        <w:autoSpaceDE w:val="0"/>
        <w:autoSpaceDN w:val="0"/>
        <w:adjustRightInd w:val="0"/>
        <w:spacing w:before="120" w:after="120" w:line="276" w:lineRule="auto"/>
        <w:jc w:val="both"/>
        <w:rPr>
          <w:rFonts w:cs="Arial"/>
          <w:szCs w:val="20"/>
        </w:rPr>
      </w:pPr>
    </w:p>
    <w:bookmarkEnd w:id="0"/>
    <w:p w14:paraId="2D2749E9" w14:textId="77777777" w:rsidR="00833267" w:rsidRDefault="00833267" w:rsidP="00833267">
      <w:pPr>
        <w:rPr>
          <w:rFonts w:cs="Arial"/>
          <w:b/>
          <w:bCs/>
          <w:kern w:val="32"/>
          <w:sz w:val="24"/>
          <w:szCs w:val="32"/>
        </w:rPr>
      </w:pPr>
      <w:r>
        <w:br w:type="page"/>
      </w:r>
    </w:p>
    <w:p w14:paraId="574B4C54" w14:textId="77777777" w:rsidR="00833267" w:rsidRPr="00AB6D88" w:rsidRDefault="00833267" w:rsidP="0083326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833267" w:rsidRPr="00AB6D88" w14:paraId="3A9672CD" w14:textId="77777777" w:rsidTr="00607E48">
        <w:tc>
          <w:tcPr>
            <w:tcW w:w="3929" w:type="dxa"/>
            <w:shd w:val="clear" w:color="auto" w:fill="auto"/>
          </w:tcPr>
          <w:p w14:paraId="7EBC26CD" w14:textId="77777777" w:rsidR="00833267" w:rsidRPr="00E40A5C" w:rsidRDefault="00833267" w:rsidP="00607E48">
            <w:pPr>
              <w:rPr>
                <w:rFonts w:cs="Arial"/>
              </w:rPr>
            </w:pPr>
            <w:r w:rsidRPr="00E40A5C">
              <w:rPr>
                <w:rFonts w:cs="Arial"/>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13298315" w14:textId="77777777" w:rsidR="00833267" w:rsidRPr="00AB6D88" w:rsidRDefault="00833267" w:rsidP="00607E48">
                <w:pPr>
                  <w:rPr>
                    <w:rStyle w:val="PlaceholderText"/>
                    <w:rFonts w:cs="Arial"/>
                  </w:rPr>
                </w:pPr>
                <w:r>
                  <w:rPr>
                    <w:rStyle w:val="PlaceholderText"/>
                    <w:rFonts w:cs="Arial"/>
                  </w:rPr>
                  <w:t>Association of the Luxembourg Fund Industry (ALFI)</w:t>
                </w:r>
              </w:p>
            </w:tc>
          </w:sdtContent>
        </w:sdt>
      </w:tr>
      <w:tr w:rsidR="00833267" w:rsidRPr="00AB6D88" w14:paraId="23AECB6E" w14:textId="77777777" w:rsidTr="00607E48">
        <w:tc>
          <w:tcPr>
            <w:tcW w:w="3929" w:type="dxa"/>
            <w:shd w:val="clear" w:color="auto" w:fill="auto"/>
          </w:tcPr>
          <w:p w14:paraId="38BF08D3" w14:textId="77777777" w:rsidR="00833267" w:rsidRPr="00E40A5C" w:rsidRDefault="00833267" w:rsidP="00607E48">
            <w:pPr>
              <w:rPr>
                <w:rFonts w:cs="Arial"/>
              </w:rPr>
            </w:pPr>
            <w:r w:rsidRPr="00E40A5C">
              <w:rPr>
                <w:rFonts w:cs="Arial"/>
              </w:rPr>
              <w:t>Activity</w:t>
            </w:r>
          </w:p>
        </w:tc>
        <w:tc>
          <w:tcPr>
            <w:tcW w:w="5595" w:type="dxa"/>
            <w:shd w:val="clear" w:color="auto" w:fill="auto"/>
          </w:tcPr>
          <w:p w14:paraId="13C26524" w14:textId="77777777" w:rsidR="00833267" w:rsidRPr="00AB6D88" w:rsidRDefault="007023C7" w:rsidP="00607E48">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33267">
                  <w:rPr>
                    <w:rFonts w:cs="Arial"/>
                  </w:rPr>
                  <w:t>Other Financial service providers</w:t>
                </w:r>
              </w:sdtContent>
            </w:sdt>
          </w:p>
        </w:tc>
      </w:tr>
      <w:tr w:rsidR="00833267" w:rsidRPr="00AB6D88" w14:paraId="308BF072" w14:textId="77777777" w:rsidTr="00607E48">
        <w:tc>
          <w:tcPr>
            <w:tcW w:w="3929" w:type="dxa"/>
            <w:shd w:val="clear" w:color="auto" w:fill="auto"/>
          </w:tcPr>
          <w:p w14:paraId="03BEFB07" w14:textId="77777777" w:rsidR="00833267" w:rsidRPr="00E40A5C" w:rsidRDefault="00833267" w:rsidP="00607E48">
            <w:pPr>
              <w:rPr>
                <w:rFonts w:cs="Arial"/>
              </w:rPr>
            </w:pPr>
            <w:r w:rsidRPr="00E40A5C">
              <w:rPr>
                <w:rFonts w:cs="Arial"/>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50B0FAA2" w14:textId="77777777" w:rsidR="00833267" w:rsidRPr="00AB6D88" w:rsidRDefault="00833267" w:rsidP="00607E48">
                <w:pPr>
                  <w:rPr>
                    <w:rFonts w:cs="Arial"/>
                  </w:rPr>
                </w:pPr>
                <w:r>
                  <w:rPr>
                    <w:rFonts w:ascii="MS Gothic" w:eastAsia="MS Gothic" w:hAnsi="MS Gothic" w:cs="Arial" w:hint="eastAsia"/>
                  </w:rPr>
                  <w:t>☒</w:t>
                </w:r>
              </w:p>
            </w:tc>
          </w:sdtContent>
        </w:sdt>
      </w:tr>
      <w:tr w:rsidR="00833267" w:rsidRPr="00AB6D88" w14:paraId="0F74DAFA" w14:textId="77777777" w:rsidTr="00607E48">
        <w:tc>
          <w:tcPr>
            <w:tcW w:w="3929" w:type="dxa"/>
            <w:shd w:val="clear" w:color="auto" w:fill="auto"/>
          </w:tcPr>
          <w:p w14:paraId="039405DB" w14:textId="77777777" w:rsidR="00833267" w:rsidRPr="00E40A5C" w:rsidRDefault="00833267" w:rsidP="00607E48">
            <w:pPr>
              <w:rPr>
                <w:rFonts w:cs="Arial"/>
              </w:rPr>
            </w:pPr>
            <w:r w:rsidRPr="00E40A5C">
              <w:rPr>
                <w:rFonts w:cs="Arial"/>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0B15E20" w14:textId="77777777" w:rsidR="00833267" w:rsidRPr="00AB6D88" w:rsidRDefault="00833267" w:rsidP="00607E48">
                <w:pPr>
                  <w:rPr>
                    <w:rFonts w:cs="Arial"/>
                  </w:rPr>
                </w:pPr>
                <w:r>
                  <w:rPr>
                    <w:rFonts w:cs="Arial"/>
                  </w:rPr>
                  <w:t>Luxembourg</w:t>
                </w:r>
              </w:p>
            </w:tc>
          </w:sdtContent>
        </w:sdt>
      </w:tr>
    </w:tbl>
    <w:p w14:paraId="11016B23" w14:textId="77777777" w:rsidR="00833267" w:rsidRDefault="00833267" w:rsidP="00833267">
      <w:pPr>
        <w:spacing w:after="120" w:line="264" w:lineRule="auto"/>
      </w:pPr>
    </w:p>
    <w:p w14:paraId="7E77C7AC" w14:textId="77777777" w:rsidR="00833267" w:rsidRDefault="00833267" w:rsidP="00833267">
      <w:pPr>
        <w:spacing w:after="120" w:line="264" w:lineRule="auto"/>
      </w:pPr>
    </w:p>
    <w:p w14:paraId="543406E5" w14:textId="77777777" w:rsidR="00833267" w:rsidRDefault="00833267" w:rsidP="00833267">
      <w:pPr>
        <w:pStyle w:val="Heading1"/>
        <w:numPr>
          <w:ilvl w:val="0"/>
          <w:numId w:val="0"/>
        </w:numPr>
        <w:ind w:left="431" w:hanging="431"/>
      </w:pPr>
      <w:r>
        <w:t>Introduction</w:t>
      </w:r>
    </w:p>
    <w:p w14:paraId="6AF9714E" w14:textId="77777777" w:rsidR="00833267" w:rsidRPr="001D47A5" w:rsidRDefault="00833267" w:rsidP="00833267">
      <w:pPr>
        <w:rPr>
          <w:rStyle w:val="IntenseEmphasis"/>
        </w:rPr>
      </w:pPr>
      <w:r w:rsidRPr="001D47A5">
        <w:rPr>
          <w:rStyle w:val="IntenseEmphasis"/>
        </w:rPr>
        <w:t>Please make your introductory comments below, if any:</w:t>
      </w:r>
    </w:p>
    <w:p w14:paraId="7E7CAFAC" w14:textId="77777777" w:rsidR="00833267" w:rsidRPr="00BF28DA" w:rsidRDefault="00833267" w:rsidP="00833267"/>
    <w:p w14:paraId="106C60E2" w14:textId="77777777" w:rsidR="00833267" w:rsidRPr="006F4535" w:rsidRDefault="00833267" w:rsidP="00833267">
      <w:r w:rsidRPr="006F4535">
        <w:t>&lt;ESMA_COMMENT_</w:t>
      </w:r>
      <w:r>
        <w:t>CP_MAR_</w:t>
      </w:r>
      <w:r w:rsidRPr="006F4535">
        <w:t>1&gt;</w:t>
      </w:r>
    </w:p>
    <w:p w14:paraId="28CD7A45" w14:textId="77777777" w:rsidR="00833267" w:rsidRPr="007023C7" w:rsidRDefault="00833267" w:rsidP="00833267">
      <w:pPr>
        <w:pStyle w:val="NormalWeb"/>
        <w:rPr>
          <w:rFonts w:ascii="Calibri" w:eastAsiaTheme="minorHAnsi" w:hAnsi="Calibri" w:cs="Arial"/>
          <w:color w:val="1F497D"/>
          <w:sz w:val="22"/>
          <w:szCs w:val="22"/>
          <w:lang w:val="en-GB" w:eastAsia="en-US"/>
        </w:rPr>
      </w:pPr>
      <w:r w:rsidRPr="007023C7">
        <w:rPr>
          <w:rFonts w:ascii="Calibri" w:eastAsiaTheme="minorHAnsi" w:hAnsi="Calibri" w:cs="Arial"/>
          <w:color w:val="1F497D"/>
          <w:sz w:val="22"/>
          <w:szCs w:val="22"/>
          <w:lang w:val="en-GB" w:eastAsia="en-US"/>
        </w:rPr>
        <w:t>The</w:t>
      </w:r>
      <w:r w:rsidRPr="007023C7">
        <w:rPr>
          <w:rFonts w:eastAsiaTheme="minorHAnsi"/>
          <w:b/>
          <w:bCs/>
          <w:color w:val="1F497D"/>
          <w:szCs w:val="22"/>
          <w:lang w:eastAsia="en-US"/>
        </w:rPr>
        <w:t xml:space="preserve"> Association of the Luxembourg Fund Industry (ALFI) </w:t>
      </w:r>
      <w:r w:rsidRPr="007023C7">
        <w:rPr>
          <w:rFonts w:ascii="Calibri" w:eastAsiaTheme="minorHAnsi" w:hAnsi="Calibri" w:cs="Arial"/>
          <w:color w:val="1F497D"/>
          <w:sz w:val="22"/>
          <w:szCs w:val="22"/>
          <w:lang w:val="en-GB" w:eastAsia="en-US"/>
        </w:rPr>
        <w:t>represents the face and voice of the Luxembourg asset man</w:t>
      </w:r>
      <w:bookmarkStart w:id="3" w:name="_GoBack"/>
      <w:bookmarkEnd w:id="3"/>
      <w:r w:rsidRPr="007023C7">
        <w:rPr>
          <w:rFonts w:ascii="Calibri" w:eastAsiaTheme="minorHAnsi" w:hAnsi="Calibri" w:cs="Arial"/>
          <w:color w:val="1F497D"/>
          <w:sz w:val="22"/>
          <w:szCs w:val="22"/>
          <w:lang w:val="en-GB" w:eastAsia="en-US"/>
        </w:rPr>
        <w:t>agement and investment fund community. The Association is committed to the development of the Luxembourg fund industry by striving to create new business opportunities, and through the exchange of information and knowledge.</w:t>
      </w:r>
    </w:p>
    <w:p w14:paraId="6DD87D6F" w14:textId="77777777" w:rsidR="00833267" w:rsidRPr="007023C7" w:rsidRDefault="00833267" w:rsidP="00833267">
      <w:pPr>
        <w:pStyle w:val="NormalWeb"/>
        <w:rPr>
          <w:rFonts w:ascii="Calibri" w:eastAsiaTheme="minorHAnsi" w:hAnsi="Calibri" w:cs="Arial"/>
          <w:color w:val="1F497D"/>
          <w:sz w:val="22"/>
          <w:szCs w:val="22"/>
          <w:lang w:val="en-GB" w:eastAsia="en-US"/>
        </w:rPr>
      </w:pPr>
      <w:r w:rsidRPr="007023C7">
        <w:rPr>
          <w:rFonts w:ascii="Calibri" w:eastAsiaTheme="minorHAnsi" w:hAnsi="Calibri" w:cs="Arial"/>
          <w:color w:val="1F497D"/>
          <w:sz w:val="22"/>
          <w:szCs w:val="22"/>
          <w:lang w:val="en-GB" w:eastAsia="en-US"/>
        </w:rPr>
        <w:t>Created in 1988, the Association today represents over 1,500 Luxembourg-domiciled investment funds, asset management companies and a wide range of businesses that serve the sector. These include depositary banks, fund administrators, transfer agents, distributors, law firms, consultants, tax advisory firms, auditors and accountants as well as specialist IT and communication companies. Luxembourg is the largest fund domicile in Europe and a worldwide leader in cross-border distribution of funds. Luxembourg-domiciled investment funds are distributed in more than 70 countries around the world.</w:t>
      </w:r>
    </w:p>
    <w:p w14:paraId="2550F965" w14:textId="77777777" w:rsidR="00833267" w:rsidRDefault="00833267" w:rsidP="00833267">
      <w:pPr>
        <w:rPr>
          <w:rFonts w:ascii="Calibri" w:hAnsi="Calibri" w:cs="Arial"/>
        </w:rPr>
      </w:pPr>
      <w:r>
        <w:rPr>
          <w:rFonts w:ascii="Calibri" w:hAnsi="Calibri" w:cs="Arial"/>
        </w:rPr>
        <w:t>ALFI being primarily representing the interests of the funds industry we are going to develop our arguments with an asset management perspective differing from the</w:t>
      </w:r>
      <w:r w:rsidRPr="007A141C">
        <w:rPr>
          <w:rFonts w:ascii="Calibri" w:hAnsi="Calibri" w:cs="Arial"/>
        </w:rPr>
        <w:t xml:space="preserve"> sectors primarily exposed to market manipulations.</w:t>
      </w:r>
    </w:p>
    <w:p w14:paraId="76250B32" w14:textId="77777777" w:rsidR="00833267" w:rsidRDefault="00833267" w:rsidP="00833267">
      <w:r w:rsidRPr="0012239D">
        <w:rPr>
          <w:rFonts w:ascii="Calibri" w:hAnsi="Calibri" w:cs="Arial"/>
        </w:rPr>
        <w:t>We thank the ESMA for the opportunity to participate in this consultation.</w:t>
      </w:r>
    </w:p>
    <w:p w14:paraId="062B8610" w14:textId="77777777" w:rsidR="00833267" w:rsidRPr="00BF28DA" w:rsidRDefault="00833267" w:rsidP="00833267">
      <w:r w:rsidRPr="00BF28DA">
        <w:t>&lt;ESMA_COMMENT_</w:t>
      </w:r>
      <w:r>
        <w:t>CP_MAR_</w:t>
      </w:r>
      <w:r w:rsidRPr="00BF28DA">
        <w:t>1&gt;</w:t>
      </w:r>
    </w:p>
    <w:p w14:paraId="4EC2C1E5" w14:textId="77777777" w:rsidR="00833267" w:rsidRDefault="00833267" w:rsidP="00833267">
      <w:pPr>
        <w:rPr>
          <w:rFonts w:eastAsiaTheme="minorEastAsia"/>
          <w:b/>
          <w:szCs w:val="20"/>
        </w:rPr>
      </w:pPr>
      <w:r>
        <w:br w:type="page"/>
      </w:r>
    </w:p>
    <w:p w14:paraId="20953CDE" w14:textId="77777777" w:rsidR="00833267" w:rsidRPr="00070630" w:rsidRDefault="00833267" w:rsidP="00833267">
      <w:pPr>
        <w:pStyle w:val="CPQuestions"/>
      </w:pPr>
      <w:r w:rsidRPr="00227C1A">
        <w:t>Do you consider necessary to extend the scope of MAR to spot FX contracts? Please explain the reasons why the scope should or should not be extended, and whether the same goals could be achieved by changing any other piece of the EU regulatory framework</w:t>
      </w:r>
      <w:r>
        <w:t>.</w:t>
      </w:r>
    </w:p>
    <w:p w14:paraId="184CDFDA" w14:textId="77777777" w:rsidR="00833267" w:rsidRDefault="00833267" w:rsidP="00833267">
      <w:r>
        <w:t>&lt;ESMA_QUESTION_CP_MAR_1&gt;</w:t>
      </w:r>
    </w:p>
    <w:p w14:paraId="6C8B358B" w14:textId="58A8CF77" w:rsidR="00833267" w:rsidRPr="00EE454D" w:rsidRDefault="00833267" w:rsidP="00833267">
      <w:r w:rsidRPr="00EE454D">
        <w:t>We welcome this opportunity to clarify that the scope of potential suspicious transactions in the investment fund industry is far less important than for actors like credit institutions and other financing institutions.</w:t>
      </w:r>
    </w:p>
    <w:p w14:paraId="02609381" w14:textId="5F2BE105" w:rsidR="00833267" w:rsidRDefault="00833267" w:rsidP="00833267">
      <w:r w:rsidRPr="00EE454D">
        <w:t xml:space="preserve">Indeed as a general rule, trading possibilities on securities and derivatives instruments by investment funds are defined by investment policies and limited by risk management procedures implemented at fund level. As a matter of fact, buying and selling transactions are correlated respectively with subscriptions and redemption orders of end investors. FX Contracts are crucial to hedge currency mismatches in investment strategies when an investor’s home currency is different from the currency of the portfolio’s investments. </w:t>
      </w:r>
    </w:p>
    <w:p w14:paraId="19915661" w14:textId="77777777" w:rsidR="000C2921" w:rsidRPr="00C70680" w:rsidRDefault="000C2921" w:rsidP="000C2921">
      <w:pPr>
        <w:rPr>
          <w:rFonts w:cs="Arial"/>
        </w:rPr>
      </w:pPr>
      <w:r w:rsidRPr="00C70680">
        <w:rPr>
          <w:rFonts w:cs="Arial"/>
        </w:rPr>
        <w:t>Moreover, transactions in derivative instruments have a somewhat permanent character in the sense that they are driven by a decision of the investment fund manager to use derivative instruments as an asset class or for hedging purposes.</w:t>
      </w:r>
    </w:p>
    <w:p w14:paraId="77AB8ECB" w14:textId="77777777" w:rsidR="000C2921" w:rsidRDefault="000C2921" w:rsidP="000C2921">
      <w:r w:rsidRPr="00C70680">
        <w:rPr>
          <w:rFonts w:cs="Arial"/>
        </w:rPr>
        <w:t xml:space="preserve">This </w:t>
      </w:r>
      <w:r>
        <w:rPr>
          <w:rFonts w:cs="Arial"/>
        </w:rPr>
        <w:t xml:space="preserve">procedural </w:t>
      </w:r>
      <w:r w:rsidRPr="00C70680">
        <w:rPr>
          <w:rFonts w:cs="Arial"/>
        </w:rPr>
        <w:t>framework also prevents to observe positions</w:t>
      </w:r>
      <w:r>
        <w:rPr>
          <w:rFonts w:cs="Arial"/>
        </w:rPr>
        <w:t xml:space="preserve"> of</w:t>
      </w:r>
      <w:r w:rsidRPr="00C70680">
        <w:rPr>
          <w:rFonts w:cs="Arial"/>
        </w:rPr>
        <w:t xml:space="preserve"> window-dressing schemes in the records of investment funds</w:t>
      </w:r>
      <w:r>
        <w:t>.</w:t>
      </w:r>
    </w:p>
    <w:p w14:paraId="7850DC67" w14:textId="77777777" w:rsidR="000C2921" w:rsidRDefault="000C2921" w:rsidP="00833267"/>
    <w:p w14:paraId="4E0779C1" w14:textId="45E9E4F6" w:rsidR="00833267" w:rsidRDefault="00833267" w:rsidP="00833267">
      <w:r>
        <w:t>For the following reasons, we</w:t>
      </w:r>
      <w:r w:rsidR="001748B8">
        <w:t xml:space="preserve"> highly</w:t>
      </w:r>
      <w:r>
        <w:t xml:space="preserve"> recommend not to extend the scope of MAR to spot FX contracts.</w:t>
      </w:r>
    </w:p>
    <w:p w14:paraId="0FD6BC4E" w14:textId="77777777" w:rsidR="00833267" w:rsidRDefault="00833267" w:rsidP="00833267">
      <w:r>
        <w:t>Having read this long consultation we understand ESMA might have some suspicions, but these ones are not sufficiently calibrated and do not concern investment funds primarily.</w:t>
      </w:r>
    </w:p>
    <w:p w14:paraId="3C02C8FD" w14:textId="77777777" w:rsidR="00833267" w:rsidRDefault="00833267" w:rsidP="00833267">
      <w:r>
        <w:t>Firstly, in terms of counterparty types, the entities concerned by the press release referenced in §12 are 5 credit institutions, none of them being part of the investment fund sector.</w:t>
      </w:r>
    </w:p>
    <w:p w14:paraId="51E564C8" w14:textId="12EB3A26" w:rsidR="00833267" w:rsidRDefault="00833267" w:rsidP="00833267">
      <w:r>
        <w:t>Secondly, in terms of currencies, the concerns shared in §14 relate to the specific pivot role of one single currency, the USD and should not be enlarged to the rest of the FX market as the CP suggests.</w:t>
      </w:r>
    </w:p>
    <w:p w14:paraId="65227BED" w14:textId="5D29EFE6" w:rsidR="00833267" w:rsidRDefault="00833267" w:rsidP="00833267">
      <w:r>
        <w:t>Generally, we believe that including FX sport rates under the MAR would provide little or no gain in terms of actually preventing market abuse, but it would create burdensome and costly processes.</w:t>
      </w:r>
    </w:p>
    <w:p w14:paraId="68582272" w14:textId="46495F7F" w:rsidR="00833267" w:rsidRDefault="00833267" w:rsidP="00833267">
      <w:r w:rsidRPr="000C2921">
        <w:t xml:space="preserve">Thirdly, foreign currencies do not represent an investment underlying for the fund industry. </w:t>
      </w:r>
    </w:p>
    <w:p w14:paraId="182E6ECB" w14:textId="77777777" w:rsidR="00833267" w:rsidRDefault="00833267" w:rsidP="00833267">
      <w:r>
        <w:t>&lt;ESMA_QUESTION_CP_MAR_1&gt;</w:t>
      </w:r>
    </w:p>
    <w:p w14:paraId="485D337E" w14:textId="77777777" w:rsidR="00833267" w:rsidRDefault="00833267" w:rsidP="00833267"/>
    <w:p w14:paraId="3A8D4922" w14:textId="77777777" w:rsidR="00833267" w:rsidRPr="00431DA4" w:rsidRDefault="00833267" w:rsidP="00833267">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t>.</w:t>
      </w:r>
    </w:p>
    <w:p w14:paraId="593B6774" w14:textId="77777777" w:rsidR="00833267" w:rsidRDefault="00833267" w:rsidP="00833267">
      <w:r>
        <w:t>&lt;ESMA_QUESTION_CP_MAR_2&gt;</w:t>
      </w:r>
    </w:p>
    <w:p w14:paraId="56FCBFA1" w14:textId="07E1602F" w:rsidR="00833267" w:rsidRDefault="00833267" w:rsidP="00833267">
      <w:r>
        <w:t>We agree in principle with ESMA’s preliminary views, but would like to share the following comments</w:t>
      </w:r>
      <w:r w:rsidR="000C2921">
        <w:t>.</w:t>
      </w:r>
    </w:p>
    <w:p w14:paraId="3950724F" w14:textId="77777777" w:rsidR="00833267" w:rsidRDefault="00833267" w:rsidP="00833267">
      <w:r>
        <w:t>Firstly, as rightly explained in §19, the FX spot market being predominantly an OTC market, the price determination may rely on the relationship and credit worthiness of the counterparties.</w:t>
      </w:r>
    </w:p>
    <w:p w14:paraId="5E3E0CFA" w14:textId="77777777" w:rsidR="00833267" w:rsidRDefault="00833267" w:rsidP="00833267">
      <w:r>
        <w:t>Secondly, the FX Global Code of Conduct (authored by the UK based Investment Association and the US based CLS) still needs to be fully declined for the fund industry, and this process is not finalised yet as this code was initially designed for banks and brokers like entities without taking into account the specific constraints of the asset management industry.</w:t>
      </w:r>
    </w:p>
    <w:p w14:paraId="0D84A937" w14:textId="77777777" w:rsidR="00833267" w:rsidRDefault="00833267" w:rsidP="00833267">
      <w:r>
        <w:t>Thirdly and as rightly presented in §22, if MAR were expanded to spot FX contracts, NCAs would need to receive the FX spot transactions. In light of the numerous and heavy issues encountered in the production and exploitation of trade and transaction reporting, we do not see any serious and viable opportunity to extend the scope of transactions to be reported.</w:t>
      </w:r>
    </w:p>
    <w:p w14:paraId="355C6704" w14:textId="6692CDF7" w:rsidR="00833267" w:rsidRDefault="00833267" w:rsidP="00833267">
      <w:r>
        <w:t>We strongly recommend not to amend any of the EMIR or MiFIR reporting frameworks to include FX spots. Such initiative would be operationally inapplicable.</w:t>
      </w:r>
    </w:p>
    <w:p w14:paraId="34E8DB99" w14:textId="77777777" w:rsidR="00833267" w:rsidRDefault="00833267" w:rsidP="00833267">
      <w:r>
        <w:t>&lt;ESMA_QUESTION_CP_MAR_2&gt;</w:t>
      </w:r>
    </w:p>
    <w:p w14:paraId="643D3992" w14:textId="77777777" w:rsidR="00833267" w:rsidRDefault="00833267" w:rsidP="00833267"/>
    <w:p w14:paraId="1BD690B3" w14:textId="77777777" w:rsidR="00833267" w:rsidRPr="00431DA4" w:rsidRDefault="00833267" w:rsidP="00833267">
      <w:pPr>
        <w:pStyle w:val="CPQuestions"/>
      </w:pPr>
      <w:r w:rsidRPr="00227C1A">
        <w:t>Do you agree with this analysis? Do you think that the difference between the MAR and BMR definitions raises any market abuse risks and if so what changes might be necessary</w:t>
      </w:r>
      <w:r>
        <w:t>?</w:t>
      </w:r>
    </w:p>
    <w:p w14:paraId="1179E3C5" w14:textId="77777777" w:rsidR="00833267" w:rsidRDefault="00833267" w:rsidP="00833267">
      <w:r>
        <w:t>&lt;ESMA_QUESTION_CP_MAR_3&gt;</w:t>
      </w:r>
    </w:p>
    <w:p w14:paraId="0C23ADA6" w14:textId="77777777" w:rsidR="00833267" w:rsidRDefault="00833267" w:rsidP="00833267">
      <w:r>
        <w:t>TYPE YOUR TEXT HERE</w:t>
      </w:r>
    </w:p>
    <w:p w14:paraId="4FC96BCE" w14:textId="77777777" w:rsidR="00833267" w:rsidRDefault="00833267" w:rsidP="00833267">
      <w:r>
        <w:t>&lt;ESMA_QUESTION_CP_MAR_3&gt;</w:t>
      </w:r>
    </w:p>
    <w:p w14:paraId="7D39A802" w14:textId="77777777" w:rsidR="00833267" w:rsidRDefault="00833267" w:rsidP="00833267"/>
    <w:p w14:paraId="27EF3D54" w14:textId="77777777" w:rsidR="00833267" w:rsidRPr="00431DA4" w:rsidRDefault="00833267" w:rsidP="00833267">
      <w:pPr>
        <w:pStyle w:val="CPQuestions"/>
      </w:pPr>
      <w:r w:rsidRPr="00227C1A">
        <w:t>Do you agree that the Article 30 of MAR “Administrative sanctions and other administrative measures” should also make reference to administrators of benchmarks and supervised contributors</w:t>
      </w:r>
      <w:r>
        <w:t>?</w:t>
      </w:r>
    </w:p>
    <w:p w14:paraId="201088DF" w14:textId="77777777" w:rsidR="00833267" w:rsidRDefault="00833267" w:rsidP="00833267">
      <w:r>
        <w:t>&lt;ESMA_QUESTION_CP_MAR_4&gt;</w:t>
      </w:r>
    </w:p>
    <w:p w14:paraId="355FA62F" w14:textId="77777777" w:rsidR="00833267" w:rsidRDefault="00833267" w:rsidP="00833267">
      <w:r>
        <w:t>TYPE YOUR TEXT HERE</w:t>
      </w:r>
    </w:p>
    <w:p w14:paraId="31772461" w14:textId="77777777" w:rsidR="00833267" w:rsidRDefault="00833267" w:rsidP="00833267">
      <w:r>
        <w:t>&lt;ESMA_QUESTION_CP_MAR_4&gt;</w:t>
      </w:r>
    </w:p>
    <w:p w14:paraId="42BB65C5" w14:textId="77777777" w:rsidR="00833267" w:rsidRDefault="00833267" w:rsidP="00833267"/>
    <w:p w14:paraId="2A3C09D0" w14:textId="77777777" w:rsidR="00833267" w:rsidRPr="00431DA4" w:rsidRDefault="00833267" w:rsidP="00833267">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5C5142D5" w14:textId="77777777" w:rsidR="00833267" w:rsidRDefault="00833267" w:rsidP="00833267">
      <w:r>
        <w:t>&lt;ESMA_QUESTION_CP_MAR_5&gt;</w:t>
      </w:r>
    </w:p>
    <w:p w14:paraId="347DD027" w14:textId="77777777" w:rsidR="00833267" w:rsidRDefault="00833267" w:rsidP="00833267">
      <w:r>
        <w:t>TYPE YOUR TEXT HERE</w:t>
      </w:r>
    </w:p>
    <w:p w14:paraId="59A73BC9" w14:textId="77777777" w:rsidR="00833267" w:rsidRDefault="00833267" w:rsidP="00833267">
      <w:r>
        <w:t>&lt;ESMA_QUESTION_CP_MAR_5&gt;</w:t>
      </w:r>
    </w:p>
    <w:p w14:paraId="7FAD8321" w14:textId="77777777" w:rsidR="00833267" w:rsidRDefault="00833267" w:rsidP="00833267"/>
    <w:p w14:paraId="3E8C8585" w14:textId="77777777" w:rsidR="00833267" w:rsidRPr="00431DA4" w:rsidRDefault="00833267" w:rsidP="00833267">
      <w:pPr>
        <w:pStyle w:val="CPQuestions"/>
      </w:pPr>
      <w:r w:rsidRPr="0062022D">
        <w:t>Do you agree that Article 30 of MAR points (e), (f) and (g) should also make reference to submitters within supervised contributors and assessors within administrators of commodity benchmarks</w:t>
      </w:r>
      <w:r>
        <w:t>?</w:t>
      </w:r>
    </w:p>
    <w:p w14:paraId="2FEB14F6" w14:textId="77777777" w:rsidR="00833267" w:rsidRDefault="00833267" w:rsidP="00833267">
      <w:r>
        <w:t>&lt;ESMA_QUESTION_CP_MAR_6&gt;</w:t>
      </w:r>
    </w:p>
    <w:p w14:paraId="688FEC71" w14:textId="77777777" w:rsidR="00833267" w:rsidRDefault="00833267" w:rsidP="00833267">
      <w:r>
        <w:t>TYPE YOUR TEXT HERE</w:t>
      </w:r>
    </w:p>
    <w:p w14:paraId="746EAB66" w14:textId="77777777" w:rsidR="00833267" w:rsidRDefault="00833267" w:rsidP="00833267">
      <w:r>
        <w:t>&lt;ESMA_QUESTION_CP_MAR_6&gt;</w:t>
      </w:r>
    </w:p>
    <w:p w14:paraId="54B26E07" w14:textId="77777777" w:rsidR="00833267" w:rsidRDefault="00833267" w:rsidP="00833267">
      <w:pPr>
        <w:jc w:val="both"/>
        <w:rPr>
          <w:i/>
        </w:rPr>
      </w:pPr>
    </w:p>
    <w:p w14:paraId="5C33D3B0" w14:textId="77777777" w:rsidR="00833267" w:rsidRPr="00431DA4" w:rsidRDefault="00833267" w:rsidP="00833267">
      <w:pPr>
        <w:pStyle w:val="CPQuestions"/>
      </w:pPr>
      <w:r w:rsidRPr="00A263DF">
        <w:t>Do you agree that there is a need to modify the reporting mechanism under Article 5(3) of MAR? Please justify your position</w:t>
      </w:r>
      <w:r>
        <w:t>.</w:t>
      </w:r>
    </w:p>
    <w:p w14:paraId="4B4CFC46" w14:textId="77777777" w:rsidR="00833267" w:rsidRDefault="00833267" w:rsidP="00833267">
      <w:r>
        <w:t>&lt;ESMA_QUESTION_CP_MAR_7&gt;</w:t>
      </w:r>
    </w:p>
    <w:p w14:paraId="6376F480" w14:textId="77777777" w:rsidR="00833267" w:rsidRDefault="00833267" w:rsidP="00833267">
      <w:r>
        <w:t>TYPE YOUR TEXT HERE</w:t>
      </w:r>
    </w:p>
    <w:p w14:paraId="658EC1FE" w14:textId="77777777" w:rsidR="00833267" w:rsidRDefault="00833267" w:rsidP="00833267">
      <w:r>
        <w:t>&lt;ESMA_QUESTION_CP_MAR_7&gt;</w:t>
      </w:r>
    </w:p>
    <w:p w14:paraId="30B511E7" w14:textId="77777777" w:rsidR="00833267" w:rsidRDefault="00833267" w:rsidP="00833267"/>
    <w:p w14:paraId="2D7CA296" w14:textId="77777777" w:rsidR="00833267" w:rsidRPr="00431DA4" w:rsidRDefault="00833267" w:rsidP="00833267">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21761BE7" w14:textId="77777777" w:rsidR="00833267" w:rsidRDefault="00833267" w:rsidP="00833267">
      <w:r>
        <w:t>&lt;ESMA_QUESTION_CP_MAR_8&gt;</w:t>
      </w:r>
    </w:p>
    <w:p w14:paraId="4B19245D" w14:textId="77777777" w:rsidR="00833267" w:rsidRDefault="00833267" w:rsidP="00833267">
      <w:r>
        <w:t>TYPE YOUR TEXT HERE</w:t>
      </w:r>
    </w:p>
    <w:p w14:paraId="1E94ED83" w14:textId="77777777" w:rsidR="00833267" w:rsidRDefault="00833267" w:rsidP="00833267">
      <w:r>
        <w:t>&lt;ESMA_QUESTION_CP_MAR_8&gt;</w:t>
      </w:r>
    </w:p>
    <w:p w14:paraId="52687961" w14:textId="77777777" w:rsidR="00833267" w:rsidRDefault="00833267" w:rsidP="00833267"/>
    <w:p w14:paraId="0D056053" w14:textId="77777777" w:rsidR="00833267" w:rsidRPr="00431DA4" w:rsidRDefault="00833267" w:rsidP="00833267">
      <w:pPr>
        <w:pStyle w:val="CPQuestions"/>
      </w:pPr>
      <w:r w:rsidRPr="008418E3">
        <w:t>Do you agree to remove the obligation for issuers to report under Article 5(3) of MAR information specified in Article 25(1) and (2) of MiFIR? If not, please explain</w:t>
      </w:r>
      <w:r>
        <w:t>.</w:t>
      </w:r>
    </w:p>
    <w:p w14:paraId="224CFAB7" w14:textId="77777777" w:rsidR="00833267" w:rsidRDefault="00833267" w:rsidP="00833267">
      <w:r>
        <w:t>&lt;ESMA_QUESTION_CP_MAR_9&gt;</w:t>
      </w:r>
    </w:p>
    <w:p w14:paraId="7E3AF88C" w14:textId="77777777" w:rsidR="00833267" w:rsidRDefault="00833267" w:rsidP="00833267">
      <w:r>
        <w:t>TYPE YOUR TEXT HERE</w:t>
      </w:r>
    </w:p>
    <w:p w14:paraId="375E0A4C" w14:textId="77777777" w:rsidR="00833267" w:rsidRDefault="00833267" w:rsidP="00833267">
      <w:r>
        <w:t>&lt;ESMA_QUESTION_CP_MAR_9&gt;</w:t>
      </w:r>
    </w:p>
    <w:p w14:paraId="2DBDCDC4" w14:textId="77777777" w:rsidR="00833267" w:rsidRDefault="00833267" w:rsidP="00833267"/>
    <w:p w14:paraId="658BAEF8" w14:textId="77777777" w:rsidR="00833267" w:rsidRPr="00431DA4" w:rsidRDefault="00833267" w:rsidP="00833267">
      <w:pPr>
        <w:pStyle w:val="CPQuestions"/>
      </w:pPr>
      <w:r w:rsidRPr="008418E3">
        <w:t>Do you agree with the list of fields to be reported by the issuers to the NCA? If not, please elaborate</w:t>
      </w:r>
      <w:r>
        <w:t>.</w:t>
      </w:r>
    </w:p>
    <w:p w14:paraId="3AC446F9" w14:textId="77777777" w:rsidR="00833267" w:rsidRDefault="00833267" w:rsidP="00833267">
      <w:r>
        <w:t>&lt;ESMA_QUESTION_CP_MAR_10&gt;</w:t>
      </w:r>
    </w:p>
    <w:p w14:paraId="16E380FF" w14:textId="77777777" w:rsidR="00833267" w:rsidRDefault="00833267" w:rsidP="00833267">
      <w:r>
        <w:t>TYPE YOUR TEXT HERE</w:t>
      </w:r>
    </w:p>
    <w:p w14:paraId="30D87581" w14:textId="77777777" w:rsidR="00833267" w:rsidRDefault="00833267" w:rsidP="00833267">
      <w:r>
        <w:t>&lt;ESMA_QUESTION_CP_MAR_10&gt;</w:t>
      </w:r>
    </w:p>
    <w:p w14:paraId="7B20988C" w14:textId="77777777" w:rsidR="00833267" w:rsidRDefault="00833267" w:rsidP="00833267"/>
    <w:p w14:paraId="2C892607" w14:textId="77777777" w:rsidR="00833267" w:rsidRDefault="00833267" w:rsidP="00833267">
      <w:pPr>
        <w:pStyle w:val="CPQuestions"/>
      </w:pPr>
      <w:r w:rsidRPr="00F469F8">
        <w:t>Do you agree with ESMA’s preliminary view</w:t>
      </w:r>
      <w:r>
        <w:t>?</w:t>
      </w:r>
    </w:p>
    <w:p w14:paraId="24849510" w14:textId="77777777" w:rsidR="00833267" w:rsidRDefault="00833267" w:rsidP="00833267">
      <w:r>
        <w:t>&lt;ESMA_QUESTION_CP_MAR_11&gt;</w:t>
      </w:r>
    </w:p>
    <w:p w14:paraId="0D575B56" w14:textId="77777777" w:rsidR="00833267" w:rsidRDefault="00833267" w:rsidP="00833267">
      <w:r>
        <w:t>TYPE YOUR TEXT HERE</w:t>
      </w:r>
    </w:p>
    <w:p w14:paraId="6B57A185" w14:textId="77777777" w:rsidR="00833267" w:rsidRDefault="00833267" w:rsidP="00833267">
      <w:r>
        <w:t>&lt;ESMA_QUESTION_CP_MAR_11&gt;</w:t>
      </w:r>
    </w:p>
    <w:p w14:paraId="1BDC5CC3" w14:textId="77777777" w:rsidR="00833267" w:rsidRDefault="00833267" w:rsidP="00833267"/>
    <w:p w14:paraId="6FDF589D" w14:textId="77777777" w:rsidR="00833267" w:rsidRDefault="00833267" w:rsidP="00833267">
      <w:pPr>
        <w:pStyle w:val="CPQuestions"/>
      </w:pPr>
      <w:r w:rsidRPr="00F469F8">
        <w:t>Would you find more useful other aggregated data related to the BBP and if so what aggregated data? Please elaborate</w:t>
      </w:r>
      <w:r>
        <w:t>.</w:t>
      </w:r>
    </w:p>
    <w:p w14:paraId="66576C94" w14:textId="77777777" w:rsidR="00833267" w:rsidRDefault="00833267" w:rsidP="00833267">
      <w:r>
        <w:t>&lt;ESMA_QUESTION_CP_MAR_12&gt;</w:t>
      </w:r>
    </w:p>
    <w:p w14:paraId="42ED592F" w14:textId="77777777" w:rsidR="00833267" w:rsidRDefault="00833267" w:rsidP="00833267">
      <w:r>
        <w:t>TYPE YOUR TEXT HERE</w:t>
      </w:r>
    </w:p>
    <w:p w14:paraId="26833DBD" w14:textId="77777777" w:rsidR="00833267" w:rsidRDefault="00833267" w:rsidP="00833267">
      <w:r>
        <w:t>&lt;ESMA_QUESTION_CP_MAR_12&gt;</w:t>
      </w:r>
    </w:p>
    <w:p w14:paraId="13E43116" w14:textId="77777777" w:rsidR="00833267" w:rsidRDefault="00833267" w:rsidP="00833267"/>
    <w:p w14:paraId="343BE006" w14:textId="77777777" w:rsidR="00833267" w:rsidRDefault="00833267" w:rsidP="00833267">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780E2782" w14:textId="77777777" w:rsidR="00833267" w:rsidRDefault="00833267" w:rsidP="00833267">
      <w:r>
        <w:t>&lt;ESMA_QUESTION_CP_MAR_13&gt;</w:t>
      </w:r>
    </w:p>
    <w:p w14:paraId="520EA48E" w14:textId="6DC401CF" w:rsidR="00833267" w:rsidRDefault="00833267" w:rsidP="00833267">
      <w:r>
        <w:t>In our view, the current definition is sufficient</w:t>
      </w:r>
      <w:r w:rsidR="0052454D">
        <w:t>.</w:t>
      </w:r>
    </w:p>
    <w:p w14:paraId="16CBBF05" w14:textId="77777777" w:rsidR="00833267" w:rsidRDefault="00833267" w:rsidP="00833267">
      <w:r>
        <w:t>&lt;ESMA_QUESTION_CP_MAR_13&gt;</w:t>
      </w:r>
    </w:p>
    <w:p w14:paraId="216BD7B8" w14:textId="77777777" w:rsidR="00833267" w:rsidRDefault="00833267" w:rsidP="00833267"/>
    <w:p w14:paraId="413F6A76" w14:textId="77777777" w:rsidR="00833267" w:rsidRDefault="00833267" w:rsidP="00833267">
      <w:pPr>
        <w:pStyle w:val="CPQuestions"/>
      </w:pPr>
      <w:r w:rsidRPr="00C228C1">
        <w:t>Do market participants consider that the definition of inside information is sufficient for combatting market abuse</w:t>
      </w:r>
      <w:r>
        <w:t>?</w:t>
      </w:r>
    </w:p>
    <w:p w14:paraId="38E408AF" w14:textId="77777777" w:rsidR="00833267" w:rsidRDefault="00833267" w:rsidP="00833267">
      <w:r>
        <w:t>&lt;ESMA_QUESTION_CP_MAR_14&gt;</w:t>
      </w:r>
    </w:p>
    <w:p w14:paraId="1F2DF6EB" w14:textId="77777777" w:rsidR="00833267" w:rsidRDefault="00833267" w:rsidP="00833267">
      <w:r>
        <w:t>TYPE YOUR TEXT HERE</w:t>
      </w:r>
    </w:p>
    <w:p w14:paraId="41666AF0" w14:textId="77777777" w:rsidR="00833267" w:rsidRDefault="00833267" w:rsidP="00833267">
      <w:r>
        <w:t>&lt;ESMA_QUESTION_CP_MAR_14&gt;</w:t>
      </w:r>
    </w:p>
    <w:p w14:paraId="112163AA" w14:textId="77777777" w:rsidR="00833267" w:rsidRDefault="00833267" w:rsidP="00833267"/>
    <w:p w14:paraId="48F92881" w14:textId="77777777" w:rsidR="00833267" w:rsidRDefault="00833267" w:rsidP="00833267">
      <w:pPr>
        <w:pStyle w:val="CPQuestions"/>
      </w:pPr>
      <w:r w:rsidRPr="00C228C1">
        <w:t>In particular, have market participants identified information that they would consider as inside information, but which is not covered by the current definition of inside information</w:t>
      </w:r>
      <w:r>
        <w:t>?</w:t>
      </w:r>
    </w:p>
    <w:p w14:paraId="1993BC1A" w14:textId="77777777" w:rsidR="00833267" w:rsidRDefault="00833267" w:rsidP="00833267">
      <w:r>
        <w:t>&lt;ESMA_QUESTION_CP_MAR_15&gt;</w:t>
      </w:r>
    </w:p>
    <w:p w14:paraId="53A3DFC0" w14:textId="77777777" w:rsidR="00833267" w:rsidRDefault="00833267" w:rsidP="00833267">
      <w:r>
        <w:t>TYPE YOUR TEXT HERE</w:t>
      </w:r>
    </w:p>
    <w:p w14:paraId="50CBAC54" w14:textId="77777777" w:rsidR="00833267" w:rsidRDefault="00833267" w:rsidP="00833267">
      <w:r>
        <w:t>&lt;ESMA_QUESTION_CP_MAR_15&gt;</w:t>
      </w:r>
    </w:p>
    <w:p w14:paraId="309EFBB7" w14:textId="77777777" w:rsidR="00833267" w:rsidRDefault="00833267" w:rsidP="00833267"/>
    <w:p w14:paraId="5E2B7638" w14:textId="77777777" w:rsidR="00833267" w:rsidRDefault="00833267" w:rsidP="00833267">
      <w:pPr>
        <w:pStyle w:val="CPQuestions"/>
      </w:pPr>
      <w:r w:rsidRPr="00C228C1">
        <w:t>Have market participants identified inside information on commodity derivatives which is not included in the current definition of Article 7(1)(b) of MAR</w:t>
      </w:r>
      <w:r>
        <w:t>?</w:t>
      </w:r>
    </w:p>
    <w:p w14:paraId="44631AE9" w14:textId="77777777" w:rsidR="00833267" w:rsidRDefault="00833267" w:rsidP="00833267">
      <w:r>
        <w:t>&lt;ESMA_QUESTION_CP_MAR_16&gt;</w:t>
      </w:r>
    </w:p>
    <w:p w14:paraId="290C2AF2" w14:textId="77777777" w:rsidR="00833267" w:rsidRDefault="00833267" w:rsidP="00833267">
      <w:r>
        <w:t>TYPE YOUR TEXT HERE</w:t>
      </w:r>
    </w:p>
    <w:p w14:paraId="52D858A2" w14:textId="77777777" w:rsidR="00833267" w:rsidRDefault="00833267" w:rsidP="00833267">
      <w:r>
        <w:t>&lt;ESMA_QUESTION_CP_MAR_16&gt;</w:t>
      </w:r>
    </w:p>
    <w:p w14:paraId="50CD2D12" w14:textId="77777777" w:rsidR="00833267" w:rsidRDefault="00833267" w:rsidP="00833267"/>
    <w:p w14:paraId="6A46ECCB" w14:textId="77777777" w:rsidR="00833267" w:rsidRDefault="00833267" w:rsidP="00833267">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DF71F1B" w14:textId="77777777" w:rsidR="00833267" w:rsidRDefault="00833267" w:rsidP="00833267">
      <w:r>
        <w:t>&lt;ESMA_QUESTION_CP_MAR_17&gt;</w:t>
      </w:r>
    </w:p>
    <w:p w14:paraId="4C713636" w14:textId="77777777" w:rsidR="00833267" w:rsidRDefault="00833267" w:rsidP="00833267">
      <w:r>
        <w:t>TYPE YOUR TEXT HERE</w:t>
      </w:r>
    </w:p>
    <w:p w14:paraId="2E398292" w14:textId="77777777" w:rsidR="00833267" w:rsidRDefault="00833267" w:rsidP="00833267">
      <w:r>
        <w:t>&lt;ESMA_QUESTION_CP_MAR_17&gt;</w:t>
      </w:r>
    </w:p>
    <w:p w14:paraId="6F52E36B" w14:textId="77777777" w:rsidR="00833267" w:rsidRDefault="00833267" w:rsidP="00833267"/>
    <w:p w14:paraId="59EB6B8B" w14:textId="77777777" w:rsidR="00833267" w:rsidRDefault="00833267" w:rsidP="00833267">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7898E16" w14:textId="77777777" w:rsidR="00833267" w:rsidRDefault="00833267" w:rsidP="00833267">
      <w:r>
        <w:t>&lt;ESMA_QUESTION_CP_MAR_18&gt;</w:t>
      </w:r>
    </w:p>
    <w:p w14:paraId="331CAC9F" w14:textId="77777777" w:rsidR="00833267" w:rsidRDefault="00833267" w:rsidP="00833267">
      <w:r>
        <w:t>TYPE YOUR TEXT HERE</w:t>
      </w:r>
    </w:p>
    <w:p w14:paraId="6E17264D" w14:textId="77777777" w:rsidR="00833267" w:rsidRDefault="00833267" w:rsidP="00833267">
      <w:r>
        <w:t>&lt;ESMA_QUESTION_CP_MAR_18&gt;</w:t>
      </w:r>
    </w:p>
    <w:p w14:paraId="09255050" w14:textId="77777777" w:rsidR="00833267" w:rsidRDefault="00833267" w:rsidP="00833267"/>
    <w:p w14:paraId="7786B5BF" w14:textId="77777777" w:rsidR="00833267" w:rsidRDefault="00833267" w:rsidP="00833267">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t>?</w:t>
      </w:r>
    </w:p>
    <w:p w14:paraId="05F7526E" w14:textId="77777777" w:rsidR="00833267" w:rsidRDefault="00833267" w:rsidP="00833267">
      <w:r>
        <w:t>&lt;ESMA_QUESTION_CP_MAR_19&gt;</w:t>
      </w:r>
    </w:p>
    <w:p w14:paraId="7C220B1E" w14:textId="77777777" w:rsidR="00833267" w:rsidRDefault="00833267" w:rsidP="00833267">
      <w:r>
        <w:t>TYPE YOUR TEXT HERE</w:t>
      </w:r>
    </w:p>
    <w:p w14:paraId="411170D7" w14:textId="77777777" w:rsidR="00833267" w:rsidRDefault="00833267" w:rsidP="00833267">
      <w:r>
        <w:t>&lt;ESMA_QUESTION_CP_MAR_19&gt;</w:t>
      </w:r>
    </w:p>
    <w:p w14:paraId="5522B428" w14:textId="77777777" w:rsidR="00833267" w:rsidRDefault="00833267" w:rsidP="00833267"/>
    <w:p w14:paraId="2F664A62" w14:textId="77777777" w:rsidR="00833267" w:rsidRDefault="00833267" w:rsidP="00833267">
      <w:pPr>
        <w:pStyle w:val="CPQuestions"/>
      </w:pPr>
      <w:r w:rsidRPr="00C96CA4">
        <w:t>What changes could be made to include other cases of front running</w:t>
      </w:r>
      <w:r>
        <w:t>?</w:t>
      </w:r>
    </w:p>
    <w:p w14:paraId="02406201" w14:textId="77777777" w:rsidR="00833267" w:rsidRDefault="00833267" w:rsidP="00833267">
      <w:r>
        <w:t>&lt;ESMA_QUESTION_CP_MAR_20&gt;</w:t>
      </w:r>
    </w:p>
    <w:p w14:paraId="7AFC7004" w14:textId="77777777" w:rsidR="00833267" w:rsidRDefault="00833267" w:rsidP="00833267">
      <w:r>
        <w:t>TYPE YOUR TEXT HERE</w:t>
      </w:r>
    </w:p>
    <w:p w14:paraId="41623760" w14:textId="77777777" w:rsidR="00833267" w:rsidRDefault="00833267" w:rsidP="00833267">
      <w:r>
        <w:t>&lt;ESMA_QUESTION_CP_MAR_20&gt;</w:t>
      </w:r>
    </w:p>
    <w:p w14:paraId="6FF33A42" w14:textId="77777777" w:rsidR="00833267" w:rsidRDefault="00833267" w:rsidP="00833267"/>
    <w:p w14:paraId="610EF4C1" w14:textId="77777777" w:rsidR="00833267" w:rsidRDefault="00833267" w:rsidP="00833267">
      <w:pPr>
        <w:pStyle w:val="CPQuestions"/>
      </w:pPr>
      <w:r w:rsidRPr="00C96CA4">
        <w:t>Do you consider that specific conditions should be added in MAR to cover front-running on financial instruments which have an illiquid market</w:t>
      </w:r>
      <w:r>
        <w:t>?</w:t>
      </w:r>
    </w:p>
    <w:p w14:paraId="15D076D8" w14:textId="77777777" w:rsidR="00833267" w:rsidRDefault="00833267" w:rsidP="00833267">
      <w:r>
        <w:t>&lt;ESMA_QUESTION_CP_MAR_21&gt;</w:t>
      </w:r>
    </w:p>
    <w:p w14:paraId="796BF111" w14:textId="77777777" w:rsidR="00833267" w:rsidRDefault="00833267" w:rsidP="00833267">
      <w:r>
        <w:t>TYPE YOUR TEXT HERE</w:t>
      </w:r>
    </w:p>
    <w:p w14:paraId="3D0C06A6" w14:textId="77777777" w:rsidR="00833267" w:rsidRDefault="00833267" w:rsidP="00833267">
      <w:r>
        <w:t>&lt;ESMA_QUESTION_CP_MAR_21&gt;</w:t>
      </w:r>
    </w:p>
    <w:p w14:paraId="1167D052" w14:textId="77777777" w:rsidR="00833267" w:rsidRDefault="00833267" w:rsidP="00833267"/>
    <w:p w14:paraId="56AF8E3D" w14:textId="77777777" w:rsidR="00833267" w:rsidRDefault="00833267" w:rsidP="00833267">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27F099B2" w14:textId="77777777" w:rsidR="00833267" w:rsidRDefault="00833267" w:rsidP="00833267">
      <w:r>
        <w:t>&lt;ESMA_QUESTION_CP_MAR_22&gt;</w:t>
      </w:r>
    </w:p>
    <w:p w14:paraId="54450BD8" w14:textId="77777777" w:rsidR="00833267" w:rsidRDefault="00833267" w:rsidP="00833267">
      <w:r>
        <w:t>TYPE YOUR TEXT HERE</w:t>
      </w:r>
    </w:p>
    <w:p w14:paraId="77E43090" w14:textId="77777777" w:rsidR="00833267" w:rsidRDefault="00833267" w:rsidP="00833267">
      <w:r>
        <w:t>&lt;ESMA_QUESTION_CP_MAR_22&gt;</w:t>
      </w:r>
    </w:p>
    <w:p w14:paraId="0827EF04" w14:textId="77777777" w:rsidR="00833267" w:rsidRDefault="00833267" w:rsidP="00833267"/>
    <w:p w14:paraId="7F0912BD" w14:textId="77777777" w:rsidR="00833267" w:rsidRDefault="00833267" w:rsidP="00833267">
      <w:pPr>
        <w:pStyle w:val="CPQuestions"/>
      </w:pPr>
      <w:r w:rsidRPr="00674628">
        <w:t>What benefits do pre-hedging behaviours provide to firms, clients and to the functioning of the market</w:t>
      </w:r>
      <w:r>
        <w:t>?</w:t>
      </w:r>
    </w:p>
    <w:p w14:paraId="1A20D5E6" w14:textId="77777777" w:rsidR="00833267" w:rsidRDefault="00833267" w:rsidP="00833267">
      <w:r>
        <w:t>&lt;ESMA_QUESTION_CP_MAR_23&gt;</w:t>
      </w:r>
    </w:p>
    <w:p w14:paraId="78BA8822" w14:textId="77777777" w:rsidR="00833267" w:rsidRDefault="00833267" w:rsidP="00833267">
      <w:r>
        <w:t>TYPE YOUR TEXT HERE</w:t>
      </w:r>
    </w:p>
    <w:p w14:paraId="2705674E" w14:textId="77777777" w:rsidR="00833267" w:rsidRDefault="00833267" w:rsidP="00833267">
      <w:r>
        <w:t>&lt;ESMA_QUESTION_CP_MAR_23&gt;</w:t>
      </w:r>
    </w:p>
    <w:p w14:paraId="1558E4FE" w14:textId="77777777" w:rsidR="00833267" w:rsidRDefault="00833267" w:rsidP="00833267"/>
    <w:p w14:paraId="0E55ACF5" w14:textId="77777777" w:rsidR="00833267" w:rsidRDefault="00833267" w:rsidP="00833267">
      <w:pPr>
        <w:pStyle w:val="CPQuestions"/>
      </w:pPr>
      <w:r w:rsidRPr="00674628">
        <w:t>What financial instruments are subject to pre-hedging behaviours and why</w:t>
      </w:r>
      <w:r>
        <w:t>?</w:t>
      </w:r>
    </w:p>
    <w:p w14:paraId="07D8EDD4" w14:textId="77777777" w:rsidR="00833267" w:rsidRDefault="00833267" w:rsidP="00833267">
      <w:r>
        <w:t>&lt;ESMA_QUESTION_CP_MAR_24&gt;</w:t>
      </w:r>
    </w:p>
    <w:p w14:paraId="282881AF" w14:textId="77777777" w:rsidR="00833267" w:rsidRDefault="00833267" w:rsidP="00833267">
      <w:r>
        <w:t>TYPE YOUR TEXT HERE</w:t>
      </w:r>
    </w:p>
    <w:p w14:paraId="3503DBBC" w14:textId="77777777" w:rsidR="00833267" w:rsidRDefault="00833267" w:rsidP="00833267">
      <w:r>
        <w:t>&lt;ESMA_QUESTION_CP_MAR_24&gt;</w:t>
      </w:r>
    </w:p>
    <w:p w14:paraId="701187DF" w14:textId="77777777" w:rsidR="00833267" w:rsidRDefault="00833267" w:rsidP="00833267"/>
    <w:p w14:paraId="6B966846" w14:textId="77777777" w:rsidR="00833267" w:rsidRDefault="00833267" w:rsidP="00833267">
      <w:pPr>
        <w:pStyle w:val="CPQuestions"/>
      </w:pPr>
      <w:r w:rsidRPr="00907865">
        <w:t>Please provide your views on the functioning of the conditions to delay disclosure of inside information and on whether they enable issuers to delay disclosure of inside information where necessary</w:t>
      </w:r>
      <w:r>
        <w:t>.</w:t>
      </w:r>
    </w:p>
    <w:p w14:paraId="042B45C9" w14:textId="77777777" w:rsidR="00833267" w:rsidRDefault="00833267" w:rsidP="00833267">
      <w:r>
        <w:t>&lt;ESMA_QUESTION_CP_MAR_25&gt;</w:t>
      </w:r>
    </w:p>
    <w:p w14:paraId="0B20E958" w14:textId="77777777" w:rsidR="00833267" w:rsidRDefault="00833267" w:rsidP="00833267">
      <w:r>
        <w:t>TYPE YOUR TEXT HERE</w:t>
      </w:r>
    </w:p>
    <w:p w14:paraId="08A486BA" w14:textId="77777777" w:rsidR="00833267" w:rsidRDefault="00833267" w:rsidP="00833267">
      <w:r>
        <w:t>&lt;ESMA_QUESTION_CP_MAR_25&gt;</w:t>
      </w:r>
    </w:p>
    <w:p w14:paraId="2AD13210" w14:textId="77777777" w:rsidR="00833267" w:rsidRDefault="00833267" w:rsidP="00833267"/>
    <w:p w14:paraId="367A54E6" w14:textId="77777777" w:rsidR="00833267" w:rsidRDefault="00833267" w:rsidP="00833267">
      <w:pPr>
        <w:pStyle w:val="CPQuestions"/>
      </w:pPr>
      <w:r w:rsidRPr="00907865">
        <w:t>Please provide relevant examples of difficulties encountered in the assessment of the conditions for the delay or in the application of the procedure under Article 17(4) of MAR.</w:t>
      </w:r>
    </w:p>
    <w:p w14:paraId="0E17C12B" w14:textId="77777777" w:rsidR="00833267" w:rsidRDefault="00833267" w:rsidP="00833267">
      <w:r>
        <w:t>&lt;ESMA_QUESTION_CP_MAR_26&gt;</w:t>
      </w:r>
    </w:p>
    <w:p w14:paraId="405A3848" w14:textId="77777777" w:rsidR="00833267" w:rsidRDefault="00833267" w:rsidP="00833267">
      <w:r>
        <w:t>TYPE YOUR TEXT HERE</w:t>
      </w:r>
    </w:p>
    <w:p w14:paraId="602DFBB2" w14:textId="77777777" w:rsidR="00833267" w:rsidRDefault="00833267" w:rsidP="00833267">
      <w:r>
        <w:t>&lt;ESMA_QUESTION_CP_MAR_26&gt;</w:t>
      </w:r>
    </w:p>
    <w:p w14:paraId="5F1DB7D3" w14:textId="77777777" w:rsidR="00833267" w:rsidRDefault="00833267" w:rsidP="00833267"/>
    <w:p w14:paraId="12220387" w14:textId="77777777" w:rsidR="00833267" w:rsidRDefault="00833267" w:rsidP="00833267">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DEE1EC5" w14:textId="77777777" w:rsidR="00833267" w:rsidRDefault="00833267" w:rsidP="00833267">
      <w:r>
        <w:t>&lt;ESMA_QUESTION_CP_MAR_27&gt;</w:t>
      </w:r>
    </w:p>
    <w:p w14:paraId="731F4567" w14:textId="77777777" w:rsidR="00833267" w:rsidRDefault="00833267" w:rsidP="00833267">
      <w:r>
        <w:t>TYPE YOUR TEXT HERE</w:t>
      </w:r>
    </w:p>
    <w:p w14:paraId="11B67875" w14:textId="77777777" w:rsidR="00833267" w:rsidRDefault="00833267" w:rsidP="00833267">
      <w:r>
        <w:t>&lt;ESMA_QUESTION_CP_MAR_27&gt;</w:t>
      </w:r>
    </w:p>
    <w:p w14:paraId="2037D3AF" w14:textId="77777777" w:rsidR="00833267" w:rsidRDefault="00833267" w:rsidP="00833267"/>
    <w:p w14:paraId="18C09660" w14:textId="77777777" w:rsidR="00833267" w:rsidRDefault="00833267" w:rsidP="00833267">
      <w:pPr>
        <w:pStyle w:val="CPQuestions"/>
      </w:pPr>
      <w:r w:rsidRPr="0079485D">
        <w:t>Please provide examples of cases in which the identification of when an information became “inside information” was problematic</w:t>
      </w:r>
      <w:r>
        <w:t>.</w:t>
      </w:r>
    </w:p>
    <w:p w14:paraId="2F55A463" w14:textId="77777777" w:rsidR="00833267" w:rsidRDefault="00833267" w:rsidP="00833267">
      <w:r>
        <w:t>&lt;ESMA_QUESTION_CP_MAR_28&gt;</w:t>
      </w:r>
    </w:p>
    <w:p w14:paraId="039036B2" w14:textId="77777777" w:rsidR="00833267" w:rsidRDefault="00833267" w:rsidP="00833267">
      <w:r>
        <w:t>TYPE YOUR TEXT HERE</w:t>
      </w:r>
    </w:p>
    <w:p w14:paraId="4E8EFE24" w14:textId="77777777" w:rsidR="00833267" w:rsidRDefault="00833267" w:rsidP="00833267">
      <w:r>
        <w:t>&lt;ESMA_QUESTION_CP_MAR_28&gt;</w:t>
      </w:r>
    </w:p>
    <w:p w14:paraId="5EB87CC0" w14:textId="77777777" w:rsidR="00833267" w:rsidRDefault="00833267" w:rsidP="00833267"/>
    <w:p w14:paraId="6696AB23" w14:textId="77777777" w:rsidR="00833267" w:rsidRDefault="00833267" w:rsidP="00833267">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t>.</w:t>
      </w:r>
    </w:p>
    <w:p w14:paraId="3D30524E" w14:textId="77777777" w:rsidR="00833267" w:rsidRDefault="00833267" w:rsidP="00833267">
      <w:r>
        <w:t>&lt;ESMA_QUESTION_CP_MAR_29&gt;</w:t>
      </w:r>
    </w:p>
    <w:p w14:paraId="01D24618" w14:textId="77777777" w:rsidR="00833267" w:rsidRDefault="00833267" w:rsidP="00833267">
      <w:r>
        <w:t>TYPE YOUR TEXT HERE</w:t>
      </w:r>
    </w:p>
    <w:p w14:paraId="7AD7AC54" w14:textId="77777777" w:rsidR="00833267" w:rsidRDefault="00833267" w:rsidP="00833267">
      <w:r>
        <w:t>&lt;ESMA_QUESTION_CP_MAR_29&gt;</w:t>
      </w:r>
    </w:p>
    <w:p w14:paraId="3EFB19C4" w14:textId="77777777" w:rsidR="00833267" w:rsidRDefault="00833267" w:rsidP="00833267"/>
    <w:p w14:paraId="4218395D" w14:textId="77777777" w:rsidR="00833267" w:rsidRDefault="00833267" w:rsidP="00833267">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t>.</w:t>
      </w:r>
    </w:p>
    <w:p w14:paraId="365D715D" w14:textId="77777777" w:rsidR="00833267" w:rsidRDefault="00833267" w:rsidP="00833267">
      <w:r>
        <w:t>&lt;ESMA_QUESTION_CP_MAR_30&gt;</w:t>
      </w:r>
    </w:p>
    <w:p w14:paraId="39D2C8B0" w14:textId="77777777" w:rsidR="00833267" w:rsidRDefault="00833267" w:rsidP="00833267">
      <w:r>
        <w:t>TYPE YOUR TEXT HERE</w:t>
      </w:r>
    </w:p>
    <w:p w14:paraId="6669E1D9" w14:textId="77777777" w:rsidR="00833267" w:rsidRDefault="00833267" w:rsidP="00833267">
      <w:r>
        <w:t>&lt;ESMA_QUESTION_CP_MAR_30&gt;</w:t>
      </w:r>
    </w:p>
    <w:p w14:paraId="070A40D7" w14:textId="77777777" w:rsidR="00833267" w:rsidRDefault="00833267" w:rsidP="00833267"/>
    <w:p w14:paraId="2F662703" w14:textId="77777777" w:rsidR="00833267" w:rsidRDefault="00833267" w:rsidP="00833267">
      <w:pPr>
        <w:pStyle w:val="CPQuestions"/>
      </w:pPr>
      <w:r w:rsidRPr="006F71FA">
        <w:t>Please provide relevant examples of difficulties encountered in the assessment of the conditions for the delay or in the application of Article 17(5) of MAR</w:t>
      </w:r>
      <w:r>
        <w:t>.</w:t>
      </w:r>
    </w:p>
    <w:p w14:paraId="7CF36CB0" w14:textId="77777777" w:rsidR="00833267" w:rsidRDefault="00833267" w:rsidP="00833267">
      <w:r>
        <w:t>&lt;ESMA_QUESTION_CP_MAR_31&gt;</w:t>
      </w:r>
    </w:p>
    <w:p w14:paraId="219D8A89" w14:textId="77777777" w:rsidR="00833267" w:rsidRDefault="00833267" w:rsidP="00833267">
      <w:r>
        <w:t>TYPE YOUR TEXT HERE</w:t>
      </w:r>
    </w:p>
    <w:p w14:paraId="33D86125" w14:textId="77777777" w:rsidR="00833267" w:rsidRDefault="00833267" w:rsidP="00833267">
      <w:r>
        <w:t>&lt;ESMA_QUESTION_CP_MAR_31&gt;</w:t>
      </w:r>
    </w:p>
    <w:p w14:paraId="0F1384D6" w14:textId="77777777" w:rsidR="00833267" w:rsidRDefault="00833267" w:rsidP="00833267"/>
    <w:p w14:paraId="7ADBC8A6" w14:textId="77777777" w:rsidR="00833267" w:rsidRDefault="00833267" w:rsidP="00833267">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5CAD905F" w14:textId="77777777" w:rsidR="00833267" w:rsidRDefault="00833267" w:rsidP="00833267">
      <w:r>
        <w:t>&lt;ESMA_QUESTION_CP_MAR_32&gt;</w:t>
      </w:r>
    </w:p>
    <w:p w14:paraId="09888753" w14:textId="77777777" w:rsidR="00833267" w:rsidRDefault="00833267" w:rsidP="00833267">
      <w:r>
        <w:t>TYPE YOUR TEXT HERE</w:t>
      </w:r>
    </w:p>
    <w:p w14:paraId="55BC2376" w14:textId="77777777" w:rsidR="00833267" w:rsidRDefault="00833267" w:rsidP="00833267">
      <w:r>
        <w:t>&lt;ESMA_QUESTION_CP_MAR_32&gt;</w:t>
      </w:r>
    </w:p>
    <w:p w14:paraId="2DA95B6E" w14:textId="77777777" w:rsidR="00833267" w:rsidRDefault="00833267" w:rsidP="00833267"/>
    <w:p w14:paraId="55256493" w14:textId="77777777" w:rsidR="00833267" w:rsidRDefault="00833267" w:rsidP="00833267">
      <w:pPr>
        <w:pStyle w:val="CPQuestions"/>
      </w:pPr>
      <w:r w:rsidRPr="00D60960">
        <w:t>Do you agree with the proposed amendments to Article 11 of MAR</w:t>
      </w:r>
      <w:r>
        <w:t>?</w:t>
      </w:r>
    </w:p>
    <w:p w14:paraId="16903E89" w14:textId="77777777" w:rsidR="00833267" w:rsidRDefault="00833267" w:rsidP="00833267">
      <w:r>
        <w:t>&lt;ESMA_QUESTION_CP_MAR_33&gt;</w:t>
      </w:r>
    </w:p>
    <w:p w14:paraId="36BBCD29" w14:textId="77777777" w:rsidR="00833267" w:rsidRDefault="00833267" w:rsidP="00833267">
      <w:r>
        <w:t>TYPE YOUR TEXT HERE</w:t>
      </w:r>
    </w:p>
    <w:p w14:paraId="5DBA6AFF" w14:textId="77777777" w:rsidR="00833267" w:rsidRDefault="00833267" w:rsidP="00833267">
      <w:r>
        <w:t>&lt;ESMA_QUESTION_CP_MAR_33&gt;</w:t>
      </w:r>
    </w:p>
    <w:p w14:paraId="53A78EF4" w14:textId="77777777" w:rsidR="00833267" w:rsidRDefault="00833267" w:rsidP="00833267"/>
    <w:p w14:paraId="5E240A12" w14:textId="77777777" w:rsidR="00833267" w:rsidRDefault="00833267" w:rsidP="00833267">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27A32FCE" w14:textId="77777777" w:rsidR="00833267" w:rsidRDefault="00833267" w:rsidP="00833267">
      <w:r>
        <w:t>&lt;ESMA_QUESTION_CP_MAR_34&gt;</w:t>
      </w:r>
    </w:p>
    <w:p w14:paraId="3A6DAE74" w14:textId="77777777" w:rsidR="00833267" w:rsidRDefault="00833267" w:rsidP="00833267">
      <w:r>
        <w:t>TYPE YOUR TEXT HERE</w:t>
      </w:r>
    </w:p>
    <w:p w14:paraId="1CCA6FF6" w14:textId="77777777" w:rsidR="00833267" w:rsidRDefault="00833267" w:rsidP="00833267">
      <w:r>
        <w:t>&lt;ESMA_QUESTION_CP_MAR_34&gt;</w:t>
      </w:r>
    </w:p>
    <w:p w14:paraId="1D35DF5A" w14:textId="77777777" w:rsidR="00833267" w:rsidRDefault="00833267" w:rsidP="00833267"/>
    <w:p w14:paraId="36C62EE7" w14:textId="77777777" w:rsidR="00833267" w:rsidRDefault="00833267" w:rsidP="00833267">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6C021807" w14:textId="77777777" w:rsidR="00833267" w:rsidRDefault="00833267" w:rsidP="00833267">
      <w:r>
        <w:t>&lt;ESMA_QUESTION_CP_MAR_35&gt;</w:t>
      </w:r>
    </w:p>
    <w:p w14:paraId="2760A2A8" w14:textId="1386675A" w:rsidR="00833267" w:rsidRDefault="0052454D" w:rsidP="00833267">
      <w:r>
        <w:t>In our view the current framework is appropriate. The industry went through a lot of effort to implement the MAR rules in 2016 and to adjust processes. Those processes are working effectively. We feel that it would not make sense to require new costly adjustments with potential minor benefits.</w:t>
      </w:r>
    </w:p>
    <w:p w14:paraId="414CBFE7" w14:textId="77777777" w:rsidR="00833267" w:rsidRDefault="00833267" w:rsidP="00833267">
      <w:r>
        <w:t>&lt;ESMA_QUESTION_CP_MAR_35&gt;</w:t>
      </w:r>
    </w:p>
    <w:p w14:paraId="386AD596" w14:textId="77777777" w:rsidR="00833267" w:rsidRDefault="00833267" w:rsidP="00833267"/>
    <w:p w14:paraId="7590BF12" w14:textId="77777777" w:rsidR="00833267" w:rsidRDefault="00833267" w:rsidP="00833267">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4CFEFEBD" w14:textId="77777777" w:rsidR="00833267" w:rsidRDefault="00833267" w:rsidP="00833267">
      <w:r>
        <w:t>&lt;ESMA_QUESTION_CP_MAR_36&gt;</w:t>
      </w:r>
    </w:p>
    <w:p w14:paraId="6D7F7365" w14:textId="77777777" w:rsidR="00833267" w:rsidRDefault="00833267" w:rsidP="00833267">
      <w:r>
        <w:t>TYPE YOUR TEXT HERE</w:t>
      </w:r>
    </w:p>
    <w:p w14:paraId="4D7AE89F" w14:textId="77777777" w:rsidR="00833267" w:rsidRDefault="00833267" w:rsidP="00833267">
      <w:r>
        <w:t>&lt;ESMA_QUESTION_CP_MAR_36&gt;</w:t>
      </w:r>
    </w:p>
    <w:p w14:paraId="7F3AEA35" w14:textId="77777777" w:rsidR="00833267" w:rsidRDefault="00833267" w:rsidP="00833267"/>
    <w:p w14:paraId="1237FA47" w14:textId="77777777" w:rsidR="00833267" w:rsidRDefault="00833267" w:rsidP="00833267">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08893590" w14:textId="77777777" w:rsidR="00833267" w:rsidRDefault="00833267" w:rsidP="00833267">
      <w:r>
        <w:t>&lt;ESMA_QUESTION_CP_MAR_37&gt;</w:t>
      </w:r>
    </w:p>
    <w:p w14:paraId="12D87888" w14:textId="263792A2" w:rsidR="00833267" w:rsidRDefault="009265E9" w:rsidP="00833267">
      <w:r>
        <w:t>An improvement could be that it is acceptable to solely rely on a broker e-mail to confirm cleansing.</w:t>
      </w:r>
    </w:p>
    <w:p w14:paraId="1594BB1F" w14:textId="77777777" w:rsidR="00833267" w:rsidRDefault="00833267" w:rsidP="00833267">
      <w:r>
        <w:t>&lt;ESMA_QUESTION_CP_MAR_37&gt;</w:t>
      </w:r>
    </w:p>
    <w:p w14:paraId="05DB5335" w14:textId="77777777" w:rsidR="00833267" w:rsidRDefault="00833267" w:rsidP="00833267"/>
    <w:p w14:paraId="4A13BB8B" w14:textId="77777777" w:rsidR="00833267" w:rsidRDefault="00833267" w:rsidP="00833267">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720EB289" w14:textId="77777777" w:rsidR="00833267" w:rsidRDefault="00833267" w:rsidP="00833267">
      <w:r>
        <w:t>&lt;ESMA_QUESTION_CP_MAR_38&gt;</w:t>
      </w:r>
    </w:p>
    <w:p w14:paraId="38E43951" w14:textId="77777777" w:rsidR="00833267" w:rsidRDefault="00833267" w:rsidP="00833267">
      <w:r>
        <w:t>TYPE YOUR TEXT HERE</w:t>
      </w:r>
    </w:p>
    <w:p w14:paraId="2677A288" w14:textId="77777777" w:rsidR="00833267" w:rsidRDefault="00833267" w:rsidP="00833267">
      <w:r>
        <w:t>&lt;ESMA_QUESTION_CP_MAR_38&gt;</w:t>
      </w:r>
    </w:p>
    <w:p w14:paraId="56A30788" w14:textId="77777777" w:rsidR="00833267" w:rsidRDefault="00833267" w:rsidP="00833267"/>
    <w:p w14:paraId="4764DB3A" w14:textId="77777777" w:rsidR="00833267" w:rsidRDefault="00833267" w:rsidP="00833267">
      <w:pPr>
        <w:pStyle w:val="CPQuestions"/>
      </w:pPr>
      <w:r w:rsidRPr="001B2FC9">
        <w:t>Do you agree with ESMA’s preliminary view on the usefulness of insider list? If not, please elaborate</w:t>
      </w:r>
      <w:r>
        <w:t>.</w:t>
      </w:r>
    </w:p>
    <w:p w14:paraId="033B0C5A" w14:textId="77777777" w:rsidR="00833267" w:rsidRDefault="00833267" w:rsidP="00833267">
      <w:r>
        <w:t>&lt;ESMA_QUESTION_CP_MAR_39&gt;</w:t>
      </w:r>
    </w:p>
    <w:p w14:paraId="0B5588BA" w14:textId="77777777" w:rsidR="00833267" w:rsidRDefault="00833267" w:rsidP="00833267">
      <w:r>
        <w:t>TYPE YOUR TEXT HERE</w:t>
      </w:r>
    </w:p>
    <w:p w14:paraId="6B6B0B9B" w14:textId="77777777" w:rsidR="00833267" w:rsidRDefault="00833267" w:rsidP="00833267">
      <w:r>
        <w:t>&lt;ESMA_QUESTION_CP_MAR_39&gt;</w:t>
      </w:r>
    </w:p>
    <w:p w14:paraId="04A92773" w14:textId="77777777" w:rsidR="00833267" w:rsidRDefault="00833267" w:rsidP="00833267"/>
    <w:p w14:paraId="685B0B91" w14:textId="77777777" w:rsidR="00833267" w:rsidRDefault="00833267" w:rsidP="00833267">
      <w:pPr>
        <w:pStyle w:val="CPQuestions"/>
      </w:pPr>
      <w:r w:rsidRPr="00263505">
        <w:t>Do you consider that the insider list regime should be amended to make it more effective?  Please elaborate</w:t>
      </w:r>
      <w:r>
        <w:t>.</w:t>
      </w:r>
    </w:p>
    <w:p w14:paraId="07D79AA3" w14:textId="77777777" w:rsidR="00833267" w:rsidRDefault="00833267" w:rsidP="00833267">
      <w:r>
        <w:t>&lt;ESMA_QUESTION_CP_MAR_40&gt;</w:t>
      </w:r>
    </w:p>
    <w:p w14:paraId="75541456" w14:textId="3D010766" w:rsidR="00833267" w:rsidRDefault="009265E9" w:rsidP="00833267">
      <w:r>
        <w:t>The list should only include individuals who are actually aware of the insider information</w:t>
      </w:r>
      <w:r w:rsidR="00F204DA">
        <w:t>, or who could access the inside information and so become aware.</w:t>
      </w:r>
    </w:p>
    <w:p w14:paraId="359D1F21" w14:textId="77777777" w:rsidR="00833267" w:rsidRDefault="00833267" w:rsidP="00833267">
      <w:r>
        <w:t>&lt;ESMA_QUESTION_CP_MAR_40&gt;</w:t>
      </w:r>
    </w:p>
    <w:p w14:paraId="67C00070" w14:textId="77777777" w:rsidR="00833267" w:rsidRDefault="00833267" w:rsidP="00833267"/>
    <w:p w14:paraId="4BDDC585" w14:textId="77777777" w:rsidR="00833267" w:rsidRDefault="00833267" w:rsidP="00833267">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15EF4A53" w14:textId="77777777" w:rsidR="00833267" w:rsidRDefault="00833267" w:rsidP="00833267">
      <w:r>
        <w:t>&lt;ESMA_QUESTION_CP_MAR_41&gt;</w:t>
      </w:r>
    </w:p>
    <w:p w14:paraId="1802FED0" w14:textId="77777777" w:rsidR="00833267" w:rsidRDefault="00833267" w:rsidP="00833267">
      <w:r>
        <w:t>TYPE YOUR TEXT HERE</w:t>
      </w:r>
    </w:p>
    <w:p w14:paraId="45F62EEE" w14:textId="77777777" w:rsidR="00833267" w:rsidRDefault="00833267" w:rsidP="00833267">
      <w:r>
        <w:t>&lt;ESMA_QUESTION_CP_MAR_41&gt;</w:t>
      </w:r>
    </w:p>
    <w:p w14:paraId="1073313D" w14:textId="77777777" w:rsidR="00833267" w:rsidRDefault="00833267" w:rsidP="00833267"/>
    <w:p w14:paraId="2E349D4B" w14:textId="77777777" w:rsidR="00833267" w:rsidRDefault="00833267" w:rsidP="00833267">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t>.</w:t>
      </w:r>
    </w:p>
    <w:p w14:paraId="33831F90" w14:textId="77777777" w:rsidR="00833267" w:rsidRDefault="00833267" w:rsidP="00833267">
      <w:r>
        <w:t>&lt;ESMA_QUESTION_CP_MAR_42&gt;</w:t>
      </w:r>
    </w:p>
    <w:p w14:paraId="485E9E92" w14:textId="77777777" w:rsidR="00833267" w:rsidRDefault="00833267" w:rsidP="00833267">
      <w:r>
        <w:t>TYPE YOUR TEXT HERE</w:t>
      </w:r>
    </w:p>
    <w:p w14:paraId="70F616E9" w14:textId="77777777" w:rsidR="00833267" w:rsidRDefault="00833267" w:rsidP="00833267">
      <w:r>
        <w:t>&lt;ESMA_QUESTION_CP_MAR_42&gt;</w:t>
      </w:r>
    </w:p>
    <w:p w14:paraId="2BD9DA9D" w14:textId="77777777" w:rsidR="00833267" w:rsidRDefault="00833267" w:rsidP="00833267"/>
    <w:p w14:paraId="5FA47726" w14:textId="77777777" w:rsidR="00833267" w:rsidRDefault="00833267" w:rsidP="00833267">
      <w:pPr>
        <w:pStyle w:val="CPQuestions"/>
      </w:pPr>
      <w:r w:rsidRPr="004F728D">
        <w:t>Do you consider useful maintaining the permanent insider section? If yes, please elaborate on your reasons for using the permanent insider section and who should be included in that section in your opinion</w:t>
      </w:r>
      <w:r>
        <w:t>.</w:t>
      </w:r>
    </w:p>
    <w:p w14:paraId="437BDCE6" w14:textId="77777777" w:rsidR="00833267" w:rsidRDefault="00833267" w:rsidP="00833267">
      <w:r>
        <w:t>&lt;ESMA_QUESTION_CP_MAR_43&gt;</w:t>
      </w:r>
    </w:p>
    <w:p w14:paraId="01D63335" w14:textId="77777777" w:rsidR="00833267" w:rsidRDefault="00833267" w:rsidP="00833267">
      <w:r>
        <w:t>TYPE YOUR TEXT HERE</w:t>
      </w:r>
    </w:p>
    <w:p w14:paraId="11772EF4" w14:textId="77777777" w:rsidR="00833267" w:rsidRDefault="00833267" w:rsidP="00833267">
      <w:r>
        <w:t>&lt;ESMA_QUESTION_CP_MAR_43&gt;</w:t>
      </w:r>
    </w:p>
    <w:p w14:paraId="2451110C" w14:textId="77777777" w:rsidR="00833267" w:rsidRDefault="00833267" w:rsidP="00833267"/>
    <w:p w14:paraId="5507D200" w14:textId="77777777" w:rsidR="00833267" w:rsidRDefault="00833267" w:rsidP="00833267">
      <w:pPr>
        <w:pStyle w:val="CPQuestions"/>
      </w:pPr>
      <w:r w:rsidRPr="00074979">
        <w:t>Do you agree with ESMA’s preliminary view</w:t>
      </w:r>
      <w:r>
        <w:t>?</w:t>
      </w:r>
    </w:p>
    <w:p w14:paraId="28101F45" w14:textId="77777777" w:rsidR="00833267" w:rsidRDefault="00833267" w:rsidP="00833267">
      <w:r>
        <w:t>&lt;ESMA_QUESTION_CP_MAR_44&gt;</w:t>
      </w:r>
    </w:p>
    <w:p w14:paraId="0D8C68AB" w14:textId="77777777" w:rsidR="00833267" w:rsidRDefault="00833267" w:rsidP="00833267">
      <w:r>
        <w:t>TYPE YOUR TEXT HERE</w:t>
      </w:r>
    </w:p>
    <w:p w14:paraId="5E98305A" w14:textId="77777777" w:rsidR="00833267" w:rsidRDefault="00833267" w:rsidP="00833267">
      <w:r>
        <w:t>&lt;ESMA_QUESTION_CP_MAR_44&gt;</w:t>
      </w:r>
    </w:p>
    <w:p w14:paraId="0F83CA6F" w14:textId="77777777" w:rsidR="00833267" w:rsidRDefault="00833267" w:rsidP="00833267"/>
    <w:p w14:paraId="4DF9C0B7" w14:textId="77777777" w:rsidR="00833267" w:rsidRDefault="00833267" w:rsidP="00833267">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t>.</w:t>
      </w:r>
    </w:p>
    <w:p w14:paraId="016315C2" w14:textId="77777777" w:rsidR="00833267" w:rsidRDefault="00833267" w:rsidP="00833267">
      <w:r>
        <w:t>&lt;ESMA_QUESTION_CP_MAR_45&gt;</w:t>
      </w:r>
    </w:p>
    <w:p w14:paraId="51466ED2" w14:textId="77777777" w:rsidR="00833267" w:rsidRDefault="00833267" w:rsidP="00833267">
      <w:r>
        <w:t>TYPE YOUR TEXT HERE</w:t>
      </w:r>
    </w:p>
    <w:p w14:paraId="161642BD" w14:textId="77777777" w:rsidR="00833267" w:rsidRDefault="00833267" w:rsidP="00833267">
      <w:r>
        <w:t>&lt;ESMA_QUESTION_CP_MAR_45&gt;</w:t>
      </w:r>
    </w:p>
    <w:p w14:paraId="6F0B006F" w14:textId="77777777" w:rsidR="00833267" w:rsidRDefault="00833267" w:rsidP="00833267"/>
    <w:p w14:paraId="141C8FDF" w14:textId="77777777" w:rsidR="00833267" w:rsidRDefault="00833267" w:rsidP="00833267">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26C82712" w14:textId="77777777" w:rsidR="00833267" w:rsidRDefault="00833267" w:rsidP="00833267">
      <w:r>
        <w:t>&lt;ESMA_QUESTION_CP_MAR_46&gt;</w:t>
      </w:r>
    </w:p>
    <w:p w14:paraId="678F94D6" w14:textId="77777777" w:rsidR="00833267" w:rsidRDefault="00833267" w:rsidP="00833267">
      <w:r>
        <w:rPr>
          <w:lang w:val="en-US"/>
        </w:rPr>
        <w:t>We are of the view that the EUR 5.000 amount is too low and should be increased. The level of EUR 20.000 appears to be a consensus.</w:t>
      </w:r>
    </w:p>
    <w:p w14:paraId="0A4DB188" w14:textId="77777777" w:rsidR="00833267" w:rsidRDefault="00833267" w:rsidP="00833267">
      <w:r>
        <w:t>&lt;ESMA_QUESTION_CP_MAR_46&gt;</w:t>
      </w:r>
    </w:p>
    <w:p w14:paraId="61A07570" w14:textId="77777777" w:rsidR="00833267" w:rsidRDefault="00833267" w:rsidP="00833267"/>
    <w:p w14:paraId="63C62B04" w14:textId="77777777" w:rsidR="00833267" w:rsidRDefault="00833267" w:rsidP="00833267">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446D36C8" w14:textId="77777777" w:rsidR="00833267" w:rsidRDefault="00833267" w:rsidP="00833267">
      <w:r>
        <w:t>&lt;ESMA_QUESTION_CP_MAR_47&gt;</w:t>
      </w:r>
    </w:p>
    <w:p w14:paraId="2CDB79F0" w14:textId="77777777" w:rsidR="00833267" w:rsidRDefault="00833267" w:rsidP="00833267">
      <w:r>
        <w:t>TYPE YOUR TEXT HERE</w:t>
      </w:r>
    </w:p>
    <w:p w14:paraId="7AE1B983" w14:textId="77777777" w:rsidR="00833267" w:rsidRDefault="00833267" w:rsidP="00833267">
      <w:r>
        <w:t>&lt;ESMA_QUESTION_CP_MAR_47&gt;</w:t>
      </w:r>
    </w:p>
    <w:p w14:paraId="4096C1D0" w14:textId="77777777" w:rsidR="00833267" w:rsidRDefault="00833267" w:rsidP="00833267"/>
    <w:p w14:paraId="72961FB4" w14:textId="77777777" w:rsidR="00833267" w:rsidRDefault="00833267" w:rsidP="00833267">
      <w:pPr>
        <w:pStyle w:val="CPQuestions"/>
      </w:pPr>
      <w:r w:rsidRPr="00074979">
        <w:t>Did you identify alternative criteria on which the reporting threshold could be based? Please explain why</w:t>
      </w:r>
      <w:r>
        <w:t>.</w:t>
      </w:r>
    </w:p>
    <w:p w14:paraId="044B1FC0" w14:textId="77777777" w:rsidR="00833267" w:rsidRDefault="00833267" w:rsidP="00833267">
      <w:r>
        <w:t>&lt;ESMA_QUESTION_CP_MAR_48&gt;</w:t>
      </w:r>
    </w:p>
    <w:p w14:paraId="510DB6D5" w14:textId="77777777" w:rsidR="00833267" w:rsidRDefault="00833267" w:rsidP="00833267">
      <w:r>
        <w:t>As a facilitator to report the transaction, we recommend to introduce a tranching scheme, where the transactions would have to be reported only by tranches of EUR 5.000, or at every end of year at the latest. This scheme would reduce the number of reporting occurrences.</w:t>
      </w:r>
    </w:p>
    <w:p w14:paraId="162BD80E" w14:textId="77777777" w:rsidR="00833267" w:rsidRDefault="00833267" w:rsidP="00833267">
      <w:r>
        <w:t>&lt;ESMA_QUESTION_CP_MAR_48&gt;</w:t>
      </w:r>
    </w:p>
    <w:p w14:paraId="2B0C6049" w14:textId="77777777" w:rsidR="00833267" w:rsidRDefault="00833267" w:rsidP="00833267"/>
    <w:p w14:paraId="14D6AA23" w14:textId="77777777" w:rsidR="00833267" w:rsidRDefault="00833267" w:rsidP="00833267">
      <w:pPr>
        <w:pStyle w:val="CPQuestions"/>
      </w:pPr>
      <w:r w:rsidRPr="00074979">
        <w:t>On the application of this provision for EAMPs: have issues or difficulties been experienced</w:t>
      </w:r>
      <w:r>
        <w:t>?</w:t>
      </w:r>
    </w:p>
    <w:p w14:paraId="0A49BD7C" w14:textId="77777777" w:rsidR="00833267" w:rsidRDefault="00833267" w:rsidP="00833267">
      <w:r>
        <w:t>&lt;ESMA_QUESTION_CP_MAR_49&gt;</w:t>
      </w:r>
    </w:p>
    <w:p w14:paraId="49F6FD70" w14:textId="77777777" w:rsidR="00833267" w:rsidRDefault="00833267" w:rsidP="00833267">
      <w:r>
        <w:t>TYPE YOUR TEXT HERE</w:t>
      </w:r>
    </w:p>
    <w:p w14:paraId="23657ECA" w14:textId="77777777" w:rsidR="00833267" w:rsidRDefault="00833267" w:rsidP="00833267">
      <w:r>
        <w:t>&lt;ESMA_QUESTION_CP_MAR_49&gt;</w:t>
      </w:r>
    </w:p>
    <w:p w14:paraId="07BDE1B4" w14:textId="77777777" w:rsidR="00833267" w:rsidRDefault="00833267" w:rsidP="00833267"/>
    <w:p w14:paraId="1A887376" w14:textId="77777777" w:rsidR="00833267" w:rsidRDefault="00833267" w:rsidP="00833267">
      <w:pPr>
        <w:pStyle w:val="CPQuestions"/>
      </w:pPr>
      <w:r w:rsidRPr="00074979">
        <w:t>Did you identify alternative criteria on which the subsequent notifications could be based? Please explain why</w:t>
      </w:r>
      <w:r>
        <w:t>.</w:t>
      </w:r>
    </w:p>
    <w:p w14:paraId="7FC22AC3" w14:textId="77777777" w:rsidR="00833267" w:rsidRDefault="00833267" w:rsidP="00833267">
      <w:r>
        <w:t>&lt;ESMA_QUESTION_CP_MAR_50&gt;</w:t>
      </w:r>
    </w:p>
    <w:p w14:paraId="56EF842F" w14:textId="77777777" w:rsidR="00833267" w:rsidRPr="000C2921" w:rsidRDefault="00833267" w:rsidP="000C2921">
      <w:pPr>
        <w:spacing w:after="200" w:line="276" w:lineRule="auto"/>
      </w:pPr>
      <w:r w:rsidRPr="000C2921">
        <w:t>We are of the views that some specific additional thresholds (of EUR 10.000 each) should be defined for the 2 following additional dimensions:</w:t>
      </w:r>
    </w:p>
    <w:p w14:paraId="3DAED6F7" w14:textId="77777777" w:rsidR="00833267" w:rsidRPr="000C2921" w:rsidRDefault="00833267" w:rsidP="000C2921">
      <w:pPr>
        <w:pStyle w:val="ListParagraph"/>
        <w:numPr>
          <w:ilvl w:val="0"/>
          <w:numId w:val="6"/>
        </w:numPr>
        <w:rPr>
          <w:rFonts w:asciiTheme="minorHAnsi" w:eastAsiaTheme="minorHAnsi" w:hAnsiTheme="minorHAnsi" w:cstheme="minorBidi"/>
          <w:color w:val="1F497D"/>
          <w:sz w:val="22"/>
          <w:szCs w:val="22"/>
          <w:lang w:eastAsia="en-US"/>
        </w:rPr>
      </w:pPr>
      <w:r w:rsidRPr="000C2921">
        <w:rPr>
          <w:rFonts w:asciiTheme="minorHAnsi" w:eastAsiaTheme="minorHAnsi" w:hAnsiTheme="minorHAnsi" w:cstheme="minorBidi"/>
          <w:color w:val="1F497D"/>
          <w:sz w:val="22"/>
          <w:szCs w:val="22"/>
          <w:lang w:eastAsia="en-US"/>
        </w:rPr>
        <w:t>The amount of personal money invested by PDMR in order to comply with investment policies encouraging portfolio managers to invest in the funds they manage.</w:t>
      </w:r>
    </w:p>
    <w:p w14:paraId="77799E0A" w14:textId="77777777" w:rsidR="00833267" w:rsidRPr="000C2921" w:rsidRDefault="00833267" w:rsidP="000C2921">
      <w:pPr>
        <w:pStyle w:val="ListParagraph"/>
        <w:numPr>
          <w:ilvl w:val="0"/>
          <w:numId w:val="6"/>
        </w:numPr>
        <w:rPr>
          <w:rFonts w:asciiTheme="minorHAnsi" w:eastAsiaTheme="minorHAnsi" w:hAnsiTheme="minorHAnsi" w:cstheme="minorBidi"/>
          <w:color w:val="1F497D"/>
          <w:sz w:val="22"/>
          <w:szCs w:val="22"/>
          <w:lang w:eastAsia="en-US"/>
        </w:rPr>
      </w:pPr>
      <w:r w:rsidRPr="000C2921">
        <w:rPr>
          <w:rFonts w:asciiTheme="minorHAnsi" w:eastAsiaTheme="minorHAnsi" w:hAnsiTheme="minorHAnsi" w:cstheme="minorBidi"/>
          <w:color w:val="1F497D"/>
          <w:sz w:val="22"/>
          <w:szCs w:val="22"/>
          <w:lang w:eastAsia="en-US"/>
        </w:rPr>
        <w:t>The amount of personal money invested in the fund as support for pension scheme purpose</w:t>
      </w:r>
    </w:p>
    <w:p w14:paraId="0FB0DD72" w14:textId="77777777" w:rsidR="00833267" w:rsidRDefault="00833267" w:rsidP="00833267"/>
    <w:p w14:paraId="0F2C22FA" w14:textId="77777777" w:rsidR="00833267" w:rsidRDefault="00833267" w:rsidP="00833267">
      <w:r>
        <w:t>&lt;ESMA_QUESTION_CP_MAR_50&gt;</w:t>
      </w:r>
    </w:p>
    <w:p w14:paraId="2B468C04" w14:textId="77777777" w:rsidR="00833267" w:rsidRDefault="00833267" w:rsidP="00833267"/>
    <w:p w14:paraId="4C763BF6" w14:textId="77777777" w:rsidR="00833267" w:rsidRDefault="00833267" w:rsidP="00833267">
      <w:pPr>
        <w:pStyle w:val="CPQuestions"/>
      </w:pPr>
      <w:r w:rsidRPr="0042739E">
        <w:t>Do you consider that the 20% threshold included in Article 19(1a)(a) and (b) is appropriate? If not, please explain the reason why and provide examples in which the 20% threshold is not effective</w:t>
      </w:r>
      <w:r>
        <w:t>.</w:t>
      </w:r>
    </w:p>
    <w:p w14:paraId="6EE72348" w14:textId="77777777" w:rsidR="00833267" w:rsidRDefault="00833267" w:rsidP="00833267">
      <w:r>
        <w:t>&lt;ESMA_QUESTION_CP_MAR_51&gt;</w:t>
      </w:r>
    </w:p>
    <w:p w14:paraId="344175F8" w14:textId="77777777" w:rsidR="00833267" w:rsidRDefault="00833267" w:rsidP="00833267">
      <w:r>
        <w:t>TYPE YOUR TEXT HERE</w:t>
      </w:r>
    </w:p>
    <w:p w14:paraId="4E578BD3" w14:textId="77777777" w:rsidR="00833267" w:rsidRDefault="00833267" w:rsidP="00833267">
      <w:r>
        <w:t>&lt;ESMA_QUESTION_CP_MAR_51&gt;</w:t>
      </w:r>
    </w:p>
    <w:p w14:paraId="0F9C0A9A" w14:textId="77777777" w:rsidR="00833267" w:rsidRDefault="00833267" w:rsidP="00833267"/>
    <w:p w14:paraId="704F6D77" w14:textId="77777777" w:rsidR="00833267" w:rsidRDefault="00833267" w:rsidP="00833267">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2275EEC" w14:textId="77777777" w:rsidR="00833267" w:rsidRDefault="00833267" w:rsidP="00833267">
      <w:r>
        <w:t>&lt;ESMA_QUESTION_CP_MAR_52&gt;</w:t>
      </w:r>
    </w:p>
    <w:p w14:paraId="2B7164C5" w14:textId="77777777" w:rsidR="00833267" w:rsidRDefault="00833267" w:rsidP="00833267">
      <w:r>
        <w:t>TYPE YOUR TEXT HERE</w:t>
      </w:r>
    </w:p>
    <w:p w14:paraId="383395A9" w14:textId="77777777" w:rsidR="00833267" w:rsidRDefault="00833267" w:rsidP="00833267">
      <w:r>
        <w:t>&lt;ESMA_QUESTION_CP_MAR_52&gt;</w:t>
      </w:r>
    </w:p>
    <w:p w14:paraId="2E0141CC" w14:textId="77777777" w:rsidR="00833267" w:rsidRDefault="00833267" w:rsidP="00833267"/>
    <w:p w14:paraId="0145FAF1" w14:textId="77777777" w:rsidR="00833267" w:rsidRDefault="00833267" w:rsidP="00833267">
      <w:pPr>
        <w:pStyle w:val="CPQuestions"/>
      </w:pPr>
      <w:r w:rsidRPr="0042739E">
        <w:t>Did you identify elements of Article 19(11) of MAR which in your view could be amended? If yes, why? Have you identified alternatives to the closed period</w:t>
      </w:r>
      <w:r>
        <w:t>?</w:t>
      </w:r>
    </w:p>
    <w:p w14:paraId="74B89C21" w14:textId="77777777" w:rsidR="00833267" w:rsidRDefault="00833267" w:rsidP="00833267">
      <w:r>
        <w:t>&lt;ESMA_QUESTION_CP_MAR_53&gt;</w:t>
      </w:r>
    </w:p>
    <w:p w14:paraId="694AA11D" w14:textId="77777777" w:rsidR="00833267" w:rsidRDefault="00833267" w:rsidP="00833267">
      <w:r>
        <w:t>TYPE YOUR TEXT HERE</w:t>
      </w:r>
    </w:p>
    <w:p w14:paraId="6F13B5F7" w14:textId="77777777" w:rsidR="00833267" w:rsidRDefault="00833267" w:rsidP="00833267">
      <w:r>
        <w:t>&lt;ESMA_QUESTION_CP_MAR_53&gt;</w:t>
      </w:r>
    </w:p>
    <w:p w14:paraId="6238BC2A" w14:textId="77777777" w:rsidR="00833267" w:rsidRDefault="00833267" w:rsidP="00833267"/>
    <w:p w14:paraId="359785C7" w14:textId="77777777" w:rsidR="00833267" w:rsidRDefault="00833267" w:rsidP="00833267">
      <w:pPr>
        <w:pStyle w:val="CPQuestions"/>
      </w:pPr>
      <w:r w:rsidRPr="0042739E">
        <w:t>Market participants are requested to indicate if the current framework to identify the closed period is working well or if clarifications are sought</w:t>
      </w:r>
      <w:r>
        <w:t>.</w:t>
      </w:r>
    </w:p>
    <w:p w14:paraId="10F3FA10" w14:textId="77777777" w:rsidR="00833267" w:rsidRDefault="00833267" w:rsidP="00833267">
      <w:r>
        <w:t>&lt;ESMA_QUESTION_CP_MAR_54&gt;</w:t>
      </w:r>
    </w:p>
    <w:p w14:paraId="7ACCF853" w14:textId="77777777" w:rsidR="00833267" w:rsidRDefault="00833267" w:rsidP="00833267">
      <w:r>
        <w:t>TYPE YOUR TEXT HERE</w:t>
      </w:r>
    </w:p>
    <w:p w14:paraId="245F710E" w14:textId="77777777" w:rsidR="00833267" w:rsidRDefault="00833267" w:rsidP="00833267">
      <w:r>
        <w:t>&lt;ESMA_QUESTION_CP_MAR_54&gt;</w:t>
      </w:r>
    </w:p>
    <w:p w14:paraId="7C80E4F3" w14:textId="77777777" w:rsidR="00833267" w:rsidRDefault="00833267" w:rsidP="00833267"/>
    <w:p w14:paraId="77DC2753" w14:textId="77777777" w:rsidR="00833267" w:rsidRDefault="00833267" w:rsidP="00833267">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t>.</w:t>
      </w:r>
    </w:p>
    <w:p w14:paraId="53DD8E77" w14:textId="77777777" w:rsidR="00833267" w:rsidRDefault="00833267" w:rsidP="00833267">
      <w:r>
        <w:t>&lt;ESMA_QUESTION_CP_MAR_55&gt;</w:t>
      </w:r>
    </w:p>
    <w:p w14:paraId="75AF5A0C" w14:textId="77777777" w:rsidR="00833267" w:rsidRDefault="00833267" w:rsidP="00833267">
      <w:r>
        <w:t>TYPE YOUR TEXT HERE</w:t>
      </w:r>
    </w:p>
    <w:p w14:paraId="631E70FF" w14:textId="77777777" w:rsidR="00833267" w:rsidRDefault="00833267" w:rsidP="00833267">
      <w:r>
        <w:t>&lt;ESMA_QUESTION_CP_MAR_55&gt;</w:t>
      </w:r>
    </w:p>
    <w:p w14:paraId="21E1E38B" w14:textId="77777777" w:rsidR="00833267" w:rsidRDefault="00833267" w:rsidP="00833267"/>
    <w:p w14:paraId="71E31D77" w14:textId="77777777" w:rsidR="00833267" w:rsidRDefault="00833267" w:rsidP="00833267">
      <w:pPr>
        <w:pStyle w:val="CPQuestions"/>
      </w:pPr>
      <w:r w:rsidRPr="0042739E">
        <w:t>Please provide your views on the extension of the immediate sale provided by Article 19(12)(a) to financial instruments other than shares. Please explain which financial instruments should be included and why</w:t>
      </w:r>
      <w:r>
        <w:t>.</w:t>
      </w:r>
    </w:p>
    <w:p w14:paraId="30EE537F" w14:textId="77777777" w:rsidR="00833267" w:rsidRDefault="00833267" w:rsidP="00833267">
      <w:r>
        <w:t>&lt;ESMA_QUESTION_CP_MAR_56&gt;</w:t>
      </w:r>
    </w:p>
    <w:p w14:paraId="4205ECF4" w14:textId="77777777" w:rsidR="00833267" w:rsidRDefault="00833267" w:rsidP="00833267">
      <w:r>
        <w:t>TYPE YOUR TEXT HERE</w:t>
      </w:r>
    </w:p>
    <w:p w14:paraId="786020DB" w14:textId="77777777" w:rsidR="00833267" w:rsidRDefault="00833267" w:rsidP="00833267">
      <w:r>
        <w:t>&lt;ESMA_QUESTION_CP_MAR_56&gt;</w:t>
      </w:r>
    </w:p>
    <w:p w14:paraId="1AD9780F" w14:textId="77777777" w:rsidR="00833267" w:rsidRDefault="00833267" w:rsidP="00833267"/>
    <w:p w14:paraId="23DF8CBA" w14:textId="77777777" w:rsidR="00833267" w:rsidRDefault="00833267" w:rsidP="00833267">
      <w:pPr>
        <w:pStyle w:val="CPQuestions"/>
      </w:pPr>
      <w:r w:rsidRPr="0042739E">
        <w:t>Please provide your views on whether, in addition to the criteria in Article 19(12) (a) and (b), other criteria resulting in further cases of exemption from the closed period obligation could be considered</w:t>
      </w:r>
      <w:r>
        <w:t>.</w:t>
      </w:r>
    </w:p>
    <w:p w14:paraId="522674AA" w14:textId="77777777" w:rsidR="00833267" w:rsidRDefault="00833267" w:rsidP="00833267">
      <w:r>
        <w:t>&lt;ESMA_QUESTION_CP_MAR_57&gt;</w:t>
      </w:r>
    </w:p>
    <w:p w14:paraId="28568755" w14:textId="77777777" w:rsidR="00833267" w:rsidRDefault="00833267" w:rsidP="00833267">
      <w:r>
        <w:t>TYPE YOUR TEXT HERE</w:t>
      </w:r>
    </w:p>
    <w:p w14:paraId="1A929F19" w14:textId="77777777" w:rsidR="00833267" w:rsidRDefault="00833267" w:rsidP="00833267">
      <w:r>
        <w:t>&lt;ESMA_QUESTION_CP_MAR_57&gt;</w:t>
      </w:r>
    </w:p>
    <w:p w14:paraId="05EE460C" w14:textId="77777777" w:rsidR="00833267" w:rsidRDefault="00833267" w:rsidP="00833267"/>
    <w:p w14:paraId="2101E42C" w14:textId="77777777" w:rsidR="00833267" w:rsidRDefault="00833267" w:rsidP="00833267">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t>.</w:t>
      </w:r>
    </w:p>
    <w:p w14:paraId="609B2D18" w14:textId="77777777" w:rsidR="00833267" w:rsidRDefault="00833267" w:rsidP="00833267">
      <w:r>
        <w:t>&lt;ESMA_QUESTION_CP_MAR_58&gt;</w:t>
      </w:r>
    </w:p>
    <w:p w14:paraId="7069D7B2" w14:textId="3978ABE5" w:rsidR="00B10CBB" w:rsidRPr="000C2921" w:rsidRDefault="00B10CBB" w:rsidP="00B10CBB">
      <w:pPr>
        <w:ind w:left="720"/>
        <w:jc w:val="both"/>
        <w:rPr>
          <w:rFonts w:cstheme="minorHAnsi"/>
        </w:rPr>
      </w:pPr>
      <w:r w:rsidRPr="000C2921">
        <w:rPr>
          <w:rFonts w:cstheme="minorHAnsi"/>
        </w:rPr>
        <w:t>Our main focus is on listed UCITS funds and AIFs with liquid strategies offering daily / frequent liquidity. Taking each question in turn:</w:t>
      </w:r>
    </w:p>
    <w:p w14:paraId="2784B8E2" w14:textId="77777777" w:rsidR="00B10CBB" w:rsidRPr="00223C80" w:rsidRDefault="00B10CBB" w:rsidP="00B10CBB">
      <w:pPr>
        <w:ind w:left="720"/>
        <w:jc w:val="both"/>
        <w:rPr>
          <w:rFonts w:ascii="Times New Roman" w:hAnsi="Times New Roman"/>
          <w:b/>
        </w:rPr>
      </w:pPr>
      <w:r w:rsidRPr="00223C80">
        <w:rPr>
          <w:rFonts w:ascii="Times New Roman" w:hAnsi="Times New Roman"/>
          <w:b/>
        </w:rPr>
        <w:t>Do you consider that CIUs admitted to trading or trading on a trading venue should be differentiated with respect to other issuers?</w:t>
      </w:r>
    </w:p>
    <w:p w14:paraId="29B57B43" w14:textId="77777777" w:rsidR="00B10CBB" w:rsidRPr="000C2921" w:rsidRDefault="00B10CBB" w:rsidP="00B10CBB">
      <w:pPr>
        <w:ind w:left="720"/>
        <w:jc w:val="both"/>
        <w:rPr>
          <w:rFonts w:cstheme="minorHAnsi"/>
        </w:rPr>
      </w:pPr>
      <w:r w:rsidRPr="000C2921">
        <w:rPr>
          <w:rFonts w:cstheme="minorHAnsi"/>
        </w:rPr>
        <w:t>Yes CIUs should be differentiated from other issuers and before going into further detail it is necessary to briefly recall the main purpose of MAR which is to prevent market abuse and in particular insider dealing.</w:t>
      </w:r>
    </w:p>
    <w:p w14:paraId="324685EB" w14:textId="77777777" w:rsidR="00B10CBB" w:rsidRPr="000C2921" w:rsidRDefault="00B10CBB" w:rsidP="00B10CBB">
      <w:pPr>
        <w:ind w:left="720"/>
        <w:jc w:val="both"/>
        <w:rPr>
          <w:rFonts w:cstheme="minorHAnsi"/>
        </w:rPr>
      </w:pPr>
      <w:r w:rsidRPr="000C2921">
        <w:rPr>
          <w:rFonts w:cstheme="minorHAnsi"/>
        </w:rPr>
        <w:t>According to article 7 of MAR, inside information is:</w:t>
      </w:r>
    </w:p>
    <w:p w14:paraId="568C5446" w14:textId="77777777" w:rsidR="00B10CBB" w:rsidRPr="000C2921" w:rsidRDefault="00B10CBB" w:rsidP="00B10CBB">
      <w:pPr>
        <w:ind w:left="720"/>
        <w:jc w:val="both"/>
        <w:rPr>
          <w:rFonts w:cstheme="minorHAnsi"/>
          <w:i/>
        </w:rPr>
      </w:pPr>
      <w:r w:rsidRPr="000C2921">
        <w:rPr>
          <w:rFonts w:cstheme="minorHAnsi"/>
          <w:i/>
        </w:rPr>
        <w:t xml:space="preserve">“information of a precise nature, which has not been made public, </w:t>
      </w:r>
      <w:r w:rsidRPr="000C2921">
        <w:rPr>
          <w:rFonts w:cstheme="minorHAnsi"/>
          <w:b/>
          <w:i/>
        </w:rPr>
        <w:t>relating, directly or indirectly, to one or more issuers or to one or more financial instruments</w:t>
      </w:r>
      <w:r w:rsidRPr="000C2921">
        <w:rPr>
          <w:rFonts w:cstheme="minorHAnsi"/>
          <w:i/>
        </w:rPr>
        <w:t xml:space="preserve">, and which, if it were made public, would be likely to have </w:t>
      </w:r>
      <w:r w:rsidRPr="000C2921">
        <w:rPr>
          <w:rFonts w:cstheme="minorHAnsi"/>
          <w:b/>
          <w:i/>
        </w:rPr>
        <w:t>a significant effect on the prices</w:t>
      </w:r>
      <w:r w:rsidRPr="000C2921">
        <w:rPr>
          <w:rFonts w:cstheme="minorHAnsi"/>
          <w:i/>
        </w:rPr>
        <w:t xml:space="preserve"> of </w:t>
      </w:r>
      <w:r w:rsidRPr="000C2921">
        <w:rPr>
          <w:rFonts w:cstheme="minorHAnsi"/>
          <w:b/>
          <w:i/>
        </w:rPr>
        <w:t xml:space="preserve">those financial instruments </w:t>
      </w:r>
      <w:r w:rsidRPr="000C2921">
        <w:rPr>
          <w:rFonts w:cstheme="minorHAnsi"/>
          <w:i/>
        </w:rPr>
        <w:t>or on the price of related derivative financial instruments.”</w:t>
      </w:r>
    </w:p>
    <w:p w14:paraId="6089DB58" w14:textId="77777777" w:rsidR="00B10CBB" w:rsidRPr="000C2921" w:rsidRDefault="00B10CBB" w:rsidP="00B10CBB">
      <w:pPr>
        <w:ind w:left="720"/>
        <w:jc w:val="both"/>
        <w:rPr>
          <w:rFonts w:cstheme="minorHAnsi"/>
          <w:lang w:val="en-US"/>
        </w:rPr>
      </w:pPr>
      <w:r w:rsidRPr="000C2921">
        <w:rPr>
          <w:rFonts w:cstheme="minorHAnsi"/>
        </w:rPr>
        <w:t xml:space="preserve">However, as ESMA rightly states in paragraph 230 of its MAR consultation, </w:t>
      </w:r>
      <w:r w:rsidRPr="000C2921">
        <w:rPr>
          <w:rFonts w:cstheme="minorHAnsi"/>
          <w:lang w:val="en-US"/>
        </w:rPr>
        <w:t>“</w:t>
      </w:r>
      <w:r w:rsidRPr="000C2921">
        <w:rPr>
          <w:rFonts w:cstheme="minorHAnsi"/>
          <w:i/>
          <w:lang w:val="en-US"/>
        </w:rPr>
        <w:t>the secondary market price of the CIU’s units or shares is closely tied to its Net Asset Value. This seems particularly clear for UCITS ETF . Therefore, one could argue that managerial decisions in relation to the CIU have less significant impact on the share price/unit price than in non-CIU companies as the value of each single asset is not influenced by the CIU or its management company.</w:t>
      </w:r>
      <w:r w:rsidRPr="000C2921">
        <w:rPr>
          <w:rFonts w:cstheme="minorHAnsi"/>
          <w:lang w:val="en-US"/>
        </w:rPr>
        <w:t xml:space="preserve">” </w:t>
      </w:r>
    </w:p>
    <w:p w14:paraId="23B0979C" w14:textId="77777777" w:rsidR="00B10CBB" w:rsidRPr="000C2921" w:rsidRDefault="00B10CBB" w:rsidP="00B10CBB">
      <w:pPr>
        <w:ind w:left="720"/>
        <w:jc w:val="both"/>
        <w:rPr>
          <w:rFonts w:cstheme="minorHAnsi"/>
        </w:rPr>
      </w:pPr>
      <w:r w:rsidRPr="000C2921">
        <w:rPr>
          <w:rFonts w:cstheme="minorHAnsi"/>
          <w:lang w:val="en-US"/>
        </w:rPr>
        <w:t xml:space="preserve">In respect of </w:t>
      </w:r>
      <w:r w:rsidRPr="000C2921">
        <w:rPr>
          <w:rFonts w:cstheme="minorHAnsi"/>
        </w:rPr>
        <w:t xml:space="preserve">UCITS, which mainly invest in transferable securities and which are subject to the UCITS directive’s investment diversification rules and which predominantly calculate their NAV on a daily basis (as well as AIFs with liquid strategies and diversification rules similar to those of UCITS and which also publish their NAV daily or at close dates), the secondary market price is indeed closely linked to the applicable NAV, which renders the risk of inside information having a </w:t>
      </w:r>
      <w:r w:rsidRPr="000C2921">
        <w:rPr>
          <w:rFonts w:cstheme="minorHAnsi"/>
          <w:u w:val="single"/>
        </w:rPr>
        <w:t>significant effect</w:t>
      </w:r>
      <w:r w:rsidRPr="000C2921">
        <w:rPr>
          <w:rFonts w:cstheme="minorHAnsi"/>
        </w:rPr>
        <w:t xml:space="preserve"> on the share price of the relevant fund remote. To be clear, the value of the underlying assets that UCITS invest in cannot be influenced by the fund or its management company.</w:t>
      </w:r>
    </w:p>
    <w:p w14:paraId="48B510F1" w14:textId="77777777" w:rsidR="00B10CBB" w:rsidRPr="000C2921" w:rsidRDefault="00B10CBB" w:rsidP="00B10CBB">
      <w:pPr>
        <w:ind w:left="720"/>
        <w:jc w:val="both"/>
        <w:rPr>
          <w:rFonts w:cstheme="minorHAnsi"/>
        </w:rPr>
      </w:pPr>
      <w:r w:rsidRPr="000C2921">
        <w:rPr>
          <w:rFonts w:cstheme="minorHAnsi"/>
        </w:rPr>
        <w:t>In paragraph 229 of its consultation ESMA states that one of the rationales of the PDMR obligations is transparency towards investors and that such transparency towards the market might be particularly useful where the CIU’s portfolio is based on non-liquid assets. It should be pointed out that UCITS are generally not permitted to invest in non-liquid assets providing further proof that differentiation is required.</w:t>
      </w:r>
    </w:p>
    <w:p w14:paraId="6557BC26" w14:textId="77777777" w:rsidR="00B10CBB" w:rsidRPr="000C2921" w:rsidRDefault="00B10CBB" w:rsidP="00B10CBB">
      <w:pPr>
        <w:ind w:left="720"/>
        <w:jc w:val="both"/>
        <w:rPr>
          <w:rFonts w:cstheme="minorHAnsi"/>
        </w:rPr>
      </w:pPr>
      <w:r w:rsidRPr="000C2921">
        <w:rPr>
          <w:rFonts w:cstheme="minorHAnsi"/>
        </w:rPr>
        <w:t>Moreover, the economic purpose of CIUs, i.e. the collective portfolio management on behalf of its investors, needs to be differentiated from that of other issuers. The interests of the management company and the relevant UCITS’ investors are in principal aligned which is reflected by the UCITS remuneration rules on variable remuneration which expressly require a substantial portion of any variable remuneration component to consist of units of the UCITS concerned.</w:t>
      </w:r>
    </w:p>
    <w:p w14:paraId="71D9EC65" w14:textId="77777777" w:rsidR="00B10CBB" w:rsidRPr="000C2921" w:rsidRDefault="00B10CBB" w:rsidP="00B10CBB">
      <w:pPr>
        <w:ind w:left="720"/>
        <w:jc w:val="both"/>
        <w:rPr>
          <w:rFonts w:cstheme="minorHAnsi"/>
        </w:rPr>
      </w:pPr>
      <w:r w:rsidRPr="000C2921">
        <w:rPr>
          <w:rFonts w:cstheme="minorHAnsi"/>
        </w:rPr>
        <w:t>In our view, it is therefore necessary to differentiate the abovementioned funds from other issuers. There are many different types of listed funds and subjecting all of them indiscriminately to all the requirements of the MAR regime does not achieve MAR’s objective of preventing market abuse and may even be counterproductive in view of the specific economic purpose that CIUs are meant to have.</w:t>
      </w:r>
    </w:p>
    <w:p w14:paraId="504EE2CA" w14:textId="77777777" w:rsidR="00B10CBB" w:rsidRDefault="00B10CBB" w:rsidP="00B10CBB">
      <w:pPr>
        <w:ind w:left="720"/>
        <w:jc w:val="both"/>
        <w:rPr>
          <w:rFonts w:ascii="Times New Roman" w:hAnsi="Times New Roman"/>
        </w:rPr>
      </w:pPr>
      <w:r w:rsidRPr="00223C80">
        <w:rPr>
          <w:rFonts w:ascii="Times New Roman" w:hAnsi="Times New Roman"/>
        </w:rPr>
        <w:t xml:space="preserve"> </w:t>
      </w:r>
    </w:p>
    <w:p w14:paraId="7D5F4236" w14:textId="77777777" w:rsidR="00B10CBB" w:rsidRPr="00223C80" w:rsidRDefault="00B10CBB" w:rsidP="00B10CBB">
      <w:pPr>
        <w:ind w:left="720"/>
        <w:jc w:val="both"/>
        <w:rPr>
          <w:rFonts w:ascii="Times New Roman" w:hAnsi="Times New Roman"/>
          <w:b/>
        </w:rPr>
      </w:pPr>
      <w:r w:rsidRPr="00223C80">
        <w:rPr>
          <w:rFonts w:ascii="Times New Roman" w:hAnsi="Times New Roman"/>
          <w:b/>
        </w:rPr>
        <w:t>Please elaborate your response specifically with respect to PDMR obligations, disclosure of inside information and insider lists.</w:t>
      </w:r>
    </w:p>
    <w:p w14:paraId="4A7C01DC" w14:textId="77777777" w:rsidR="00B10CBB" w:rsidRPr="00A13482" w:rsidRDefault="00B10CBB" w:rsidP="00B10CBB">
      <w:pPr>
        <w:ind w:left="720"/>
        <w:jc w:val="both"/>
        <w:rPr>
          <w:rFonts w:cstheme="minorHAnsi"/>
          <w:lang w:val="en-US"/>
        </w:rPr>
      </w:pPr>
      <w:r w:rsidRPr="00A13482">
        <w:rPr>
          <w:rFonts w:cstheme="minorHAnsi"/>
        </w:rPr>
        <w:t xml:space="preserve">The principal objective of the PDMR obligations is: </w:t>
      </w:r>
    </w:p>
    <w:p w14:paraId="126032A9" w14:textId="77777777" w:rsidR="00B10CBB" w:rsidRPr="00A13482" w:rsidRDefault="00B10CBB" w:rsidP="00B10CBB">
      <w:pPr>
        <w:ind w:left="720"/>
        <w:jc w:val="both"/>
        <w:rPr>
          <w:rFonts w:cstheme="minorHAnsi"/>
        </w:rPr>
      </w:pPr>
      <w:r w:rsidRPr="00A13482">
        <w:rPr>
          <w:rFonts w:cstheme="minorHAnsi"/>
          <w:i/>
        </w:rPr>
        <w:t xml:space="preserve">“Greater transparency of transactions conducted by persons discharging managerial responsibilities at the issuer level and, where applicable, persons closely associated with them, constitutes a preventive measure against </w:t>
      </w:r>
      <w:r w:rsidRPr="00A13482">
        <w:rPr>
          <w:rFonts w:cstheme="minorHAnsi"/>
          <w:b/>
          <w:i/>
        </w:rPr>
        <w:t>market abuse, particularly insider dealing</w:t>
      </w:r>
      <w:r w:rsidRPr="00A13482">
        <w:rPr>
          <w:rFonts w:cstheme="minorHAnsi"/>
          <w:i/>
        </w:rPr>
        <w:t xml:space="preserve">. The publication of those transactions on at least an individual basis can also be a highly valuable source of information to investors.” </w:t>
      </w:r>
      <w:r w:rsidRPr="00A13482">
        <w:rPr>
          <w:rFonts w:cstheme="minorHAnsi"/>
        </w:rPr>
        <w:t>(Whereas (58) of MAR).</w:t>
      </w:r>
    </w:p>
    <w:p w14:paraId="0F8439CA" w14:textId="77777777" w:rsidR="00B10CBB" w:rsidRPr="00A13482" w:rsidRDefault="00B10CBB" w:rsidP="00B10CBB">
      <w:pPr>
        <w:ind w:left="720"/>
        <w:jc w:val="both"/>
        <w:rPr>
          <w:rFonts w:cstheme="minorHAnsi"/>
        </w:rPr>
      </w:pPr>
      <w:r w:rsidRPr="00A13482">
        <w:rPr>
          <w:rFonts w:cstheme="minorHAnsi"/>
        </w:rPr>
        <w:t>For the reasons outlined above, we do not believe that imposing the PDMR obligations on daily traded UCITS / liquid AIFs with comparable diversification rules as UCITS is in line with MAR’s objective which is to prevent market abuse and in particular insider dealing. It is difficult to see how any PDMR notification regarding transactions conducted in shares of a UCITS could be a highly valuable source of information for the public.</w:t>
      </w:r>
    </w:p>
    <w:p w14:paraId="5EA9BD4B" w14:textId="77777777" w:rsidR="00B10CBB" w:rsidRPr="00A13482" w:rsidRDefault="00B10CBB" w:rsidP="00B10CBB">
      <w:pPr>
        <w:ind w:left="720"/>
        <w:jc w:val="both"/>
        <w:rPr>
          <w:rFonts w:cstheme="minorHAnsi"/>
        </w:rPr>
      </w:pPr>
      <w:r w:rsidRPr="00A13482">
        <w:rPr>
          <w:rFonts w:cstheme="minorHAnsi"/>
        </w:rPr>
        <w:t>As outlined above, in view of the close correlation between the secondary market price and the NAV, which in turn is calculated based on the valuations of the underlying assets, instances of inside information should seldom occur. We agree that a case-by-case assessment must be made but in view of the foregoing, we are of the view that ESMA’s list of cases when inside information may arise (ESMA Q&amp;A on MAR dated 29 March 2019) is not helpful.</w:t>
      </w:r>
    </w:p>
    <w:p w14:paraId="30CFC7F4" w14:textId="77777777" w:rsidR="00B10CBB" w:rsidRPr="00223C80" w:rsidRDefault="00B10CBB" w:rsidP="00B10CBB">
      <w:pPr>
        <w:ind w:left="720"/>
        <w:jc w:val="both"/>
        <w:rPr>
          <w:rFonts w:ascii="Times New Roman" w:hAnsi="Times New Roman"/>
          <w:b/>
        </w:rPr>
      </w:pPr>
      <w:r w:rsidRPr="00223C80">
        <w:rPr>
          <w:rFonts w:ascii="Times New Roman" w:hAnsi="Times New Roman"/>
          <w:b/>
        </w:rPr>
        <w:t>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p>
    <w:p w14:paraId="2E36B016" w14:textId="77777777" w:rsidR="00B10CBB" w:rsidRPr="00A13482" w:rsidRDefault="00B10CBB" w:rsidP="00B10CBB">
      <w:pPr>
        <w:ind w:left="720"/>
        <w:jc w:val="both"/>
        <w:rPr>
          <w:rFonts w:cstheme="minorHAnsi"/>
        </w:rPr>
      </w:pPr>
      <w:r w:rsidRPr="00A13482">
        <w:rPr>
          <w:rFonts w:cstheme="minorHAnsi"/>
        </w:rPr>
        <w:t xml:space="preserve">For the reasons set out above, the specific transparency requirements of MAR, such as for example the PDMR notifications to the public, do not serve any meaningful purpose in the context of UCITS. </w:t>
      </w:r>
    </w:p>
    <w:p w14:paraId="030E0AAC" w14:textId="77777777" w:rsidR="00B10CBB" w:rsidRPr="00223C80" w:rsidRDefault="00B10CBB" w:rsidP="00B10CBB">
      <w:pPr>
        <w:ind w:left="720"/>
        <w:jc w:val="both"/>
        <w:rPr>
          <w:rFonts w:ascii="Times New Roman" w:hAnsi="Times New Roman"/>
        </w:rPr>
      </w:pPr>
      <w:r w:rsidRPr="00A13482">
        <w:rPr>
          <w:rFonts w:cstheme="minorHAnsi"/>
        </w:rPr>
        <w:t>It should be pointed out that marketing timing is not permitted for Luxembourg undertakings for collective investment (CSSF circular 04/146).</w:t>
      </w:r>
    </w:p>
    <w:p w14:paraId="2B601FD2" w14:textId="77777777" w:rsidR="00833267" w:rsidRDefault="00833267" w:rsidP="00833267">
      <w:r>
        <w:t>&lt;ESMA_QUESTION_CP_MAR_58&gt;</w:t>
      </w:r>
    </w:p>
    <w:p w14:paraId="21B17B5B" w14:textId="77777777" w:rsidR="00833267" w:rsidRDefault="00833267" w:rsidP="00833267"/>
    <w:p w14:paraId="30D61126" w14:textId="77777777" w:rsidR="00833267" w:rsidRDefault="00833267" w:rsidP="00833267">
      <w:pPr>
        <w:pStyle w:val="CPQuestions"/>
      </w:pPr>
      <w:r w:rsidRPr="0042739E">
        <w:t>Do you agree with ESMA’s preliminary view? Please indicate which transactions should be captured by PDMR obligations in the case of management companies of CIUs</w:t>
      </w:r>
      <w:r>
        <w:t>.</w:t>
      </w:r>
    </w:p>
    <w:p w14:paraId="1F5CB666" w14:textId="77777777" w:rsidR="00833267" w:rsidRDefault="00833267" w:rsidP="00833267">
      <w:r>
        <w:t>&lt;ESMA_QUESTION_CP_MAR_59&gt;</w:t>
      </w:r>
    </w:p>
    <w:p w14:paraId="2F68E93E" w14:textId="77777777" w:rsidR="008D30F0" w:rsidRPr="00A13482" w:rsidRDefault="008D30F0" w:rsidP="008D30F0">
      <w:pPr>
        <w:ind w:left="720"/>
        <w:jc w:val="both"/>
        <w:rPr>
          <w:rFonts w:cstheme="minorHAnsi"/>
        </w:rPr>
      </w:pPr>
      <w:r w:rsidRPr="00A13482">
        <w:rPr>
          <w:rFonts w:cstheme="minorHAnsi"/>
        </w:rPr>
        <w:t>While we share ESMA’s view that management companies /AIFM do play an important role in the management of CIUs and may have access to confidential information, and in some case inside information within the meaning of article 7 of MAR, relating to the CIUs, we are of the view that given the many different forms of CIU, both in terms of their legal form and their prudential supervision or lack of it, it would not be advisable to amend MAR to expressly extend the PDMR obligations to management companies without taking into account the many different forms that CIUs can take.</w:t>
      </w:r>
    </w:p>
    <w:p w14:paraId="66C8B0EF" w14:textId="77777777" w:rsidR="008D30F0" w:rsidRPr="00A13482" w:rsidRDefault="008D30F0" w:rsidP="008D30F0">
      <w:pPr>
        <w:ind w:left="720"/>
        <w:jc w:val="both"/>
        <w:rPr>
          <w:rFonts w:cstheme="minorHAnsi"/>
        </w:rPr>
      </w:pPr>
      <w:r w:rsidRPr="00A13482">
        <w:rPr>
          <w:rFonts w:cstheme="minorHAnsi"/>
        </w:rPr>
        <w:t>For UCITS and AIF, instead of amending MAR, any clarifications to the personal transactions regime should be made within the existing UCITS/AIFMD framework, i.e. by amending the relevant implementing legislation, i.e. Commission Directive 2010/43/EU (“UCITS Level 2 Directive”) and Commission Delegated Regulation (EU) 231/2013/EU (“AIFMD Level 2 Regulation”). An update of both the UCITS Level 2 Directive and the AIFMD Level 2 Regulation is in any case advisable as both still contain references to the repealed Market Abuse Directive 2006/73/EC.</w:t>
      </w:r>
    </w:p>
    <w:p w14:paraId="3C38B09E" w14:textId="77777777" w:rsidR="008D30F0" w:rsidRPr="00A13482" w:rsidRDefault="008D30F0" w:rsidP="008D30F0">
      <w:pPr>
        <w:ind w:left="720"/>
        <w:jc w:val="both"/>
        <w:rPr>
          <w:rFonts w:cstheme="minorHAnsi"/>
        </w:rPr>
      </w:pPr>
      <w:r w:rsidRPr="00A13482">
        <w:rPr>
          <w:rFonts w:cstheme="minorHAnsi"/>
        </w:rPr>
        <w:t>Regarding ESMA’s gap analysis, we would like to stress once again that the PDMR obligations in relation to UCITS and certain AIFs should not be exactly the same as under MAR and for the reasons stated above, i.e. instances of market abuse are unlikely to occur in view of the fact that managerial decisions at the level of the CIU as well as the management company are unlikely to have a significant impact on the CIU’s NAV and secondary market price, different economic purpose of CIUs compared to other issuers etc.</w:t>
      </w:r>
    </w:p>
    <w:p w14:paraId="65DC7789" w14:textId="77777777" w:rsidR="008D30F0" w:rsidRPr="00A13482" w:rsidRDefault="008D30F0" w:rsidP="008D30F0">
      <w:pPr>
        <w:ind w:left="720"/>
        <w:jc w:val="both"/>
        <w:rPr>
          <w:rFonts w:cstheme="minorHAnsi"/>
        </w:rPr>
      </w:pPr>
      <w:r w:rsidRPr="00A13482">
        <w:rPr>
          <w:rFonts w:cstheme="minorHAnsi"/>
        </w:rPr>
        <w:t>We would like to clarify it is not entirely correct that “closely associated persons” are not covered by the AIFMD personal transaction rules. Please refer to article 63 (4) (b) of the AIFMD Level 2 Regulation.</w:t>
      </w:r>
    </w:p>
    <w:p w14:paraId="55E2B050" w14:textId="77777777" w:rsidR="008D30F0" w:rsidRPr="00A13482" w:rsidRDefault="008D30F0" w:rsidP="008D30F0">
      <w:pPr>
        <w:ind w:left="720"/>
        <w:jc w:val="both"/>
        <w:rPr>
          <w:rFonts w:cstheme="minorHAnsi"/>
        </w:rPr>
      </w:pPr>
      <w:r w:rsidRPr="00A13482">
        <w:rPr>
          <w:rFonts w:cstheme="minorHAnsi"/>
        </w:rPr>
        <w:t>In case the PDMR obligations were to be expressly extended to management companies of CIUs we do not believe that the transactions captured by the PDMR obligations should differ from those of other issuers in order to ensure that management companies are not disadvantaged and to maintain a level playing field.</w:t>
      </w:r>
    </w:p>
    <w:p w14:paraId="66BC444D" w14:textId="77777777" w:rsidR="00833267" w:rsidRDefault="00833267" w:rsidP="00833267">
      <w:r>
        <w:t>&lt;ESMA_QUESTION_CP_MAR_59&gt;</w:t>
      </w:r>
    </w:p>
    <w:p w14:paraId="7B9614FB" w14:textId="77777777" w:rsidR="00833267" w:rsidRDefault="00833267" w:rsidP="00833267">
      <w:pPr>
        <w:pStyle w:val="CPQuestions"/>
      </w:pPr>
      <w:r w:rsidRPr="0042739E">
        <w:t>Do you agree with ESMA’s preliminary view? If not, please elaborate</w:t>
      </w:r>
      <w:r>
        <w:t>.</w:t>
      </w:r>
    </w:p>
    <w:p w14:paraId="47AFE655" w14:textId="77777777" w:rsidR="00833267" w:rsidRDefault="00833267" w:rsidP="00833267">
      <w:r>
        <w:t>&lt;ESMA_QUESTION_CP_MAR_60&gt;</w:t>
      </w:r>
    </w:p>
    <w:p w14:paraId="42241C2D" w14:textId="660930A0" w:rsidR="00833267" w:rsidRDefault="00833267" w:rsidP="00833267">
      <w:r>
        <w:t>.</w:t>
      </w:r>
    </w:p>
    <w:p w14:paraId="6D447DE1" w14:textId="77777777" w:rsidR="008D30F0" w:rsidRPr="00A13482" w:rsidRDefault="008D30F0" w:rsidP="008D30F0">
      <w:pPr>
        <w:ind w:left="720"/>
        <w:jc w:val="both"/>
        <w:rPr>
          <w:rFonts w:cstheme="minorHAnsi"/>
        </w:rPr>
      </w:pPr>
      <w:r w:rsidRPr="00A13482">
        <w:rPr>
          <w:rFonts w:cstheme="minorHAnsi"/>
        </w:rPr>
        <w:t>We understand that ESMA’s preliminary view is that, if the PDMR obligations were to be expressly extended to management companies, the PDMR definition should mirror the definition of “relevant persons” in article 3(3) of the UCITS Level 2 Directive and that two cases would need to be identified, in the case of a) CIUs without legal personality, the “relevant persons” of the management company should be considered as PDMRs and in case of b) CIUs with legal personality there would be two types of PDMRs i) the persons currently meeting the PDMR definition within the issuer (i.e. the fund itself) and ii) the “relevant persons” of the management company or external service providers.</w:t>
      </w:r>
    </w:p>
    <w:p w14:paraId="779E0B6F" w14:textId="77777777" w:rsidR="008D30F0" w:rsidRPr="00A13482" w:rsidRDefault="008D30F0" w:rsidP="008D30F0">
      <w:pPr>
        <w:ind w:left="720"/>
        <w:jc w:val="both"/>
        <w:rPr>
          <w:rFonts w:cstheme="minorHAnsi"/>
        </w:rPr>
      </w:pPr>
      <w:r w:rsidRPr="00A13482">
        <w:rPr>
          <w:rFonts w:cstheme="minorHAnsi"/>
        </w:rPr>
        <w:t xml:space="preserve">While we in principle agree that in the case of a management company acting for and on behalf of a CIU without legal personality, the PDMR obligations would need to apply at the level of the management company, it should be pointed out that there are Luxembourg funds without legal personality that are managed by a general partner, which has a role comparable to that of a board of directors (e.g. </w:t>
      </w:r>
      <w:r w:rsidRPr="00A13482">
        <w:rPr>
          <w:rFonts w:cstheme="minorHAnsi"/>
          <w:i/>
        </w:rPr>
        <w:t>Sociétés en Commandite Spéciale</w:t>
      </w:r>
      <w:r w:rsidRPr="00A13482">
        <w:rPr>
          <w:rFonts w:cstheme="minorHAnsi"/>
        </w:rPr>
        <w:t>).</w:t>
      </w:r>
    </w:p>
    <w:p w14:paraId="05299458" w14:textId="77777777" w:rsidR="008D30F0" w:rsidRPr="00A13482" w:rsidRDefault="008D30F0" w:rsidP="008D30F0">
      <w:pPr>
        <w:ind w:left="720"/>
        <w:jc w:val="both"/>
        <w:rPr>
          <w:rFonts w:cstheme="minorHAnsi"/>
        </w:rPr>
      </w:pPr>
      <w:r w:rsidRPr="00A13482">
        <w:rPr>
          <w:rFonts w:cstheme="minorHAnsi"/>
        </w:rPr>
        <w:t>If management companies were expressly to be included in the scope of the PDMR obligations, having two different types of PDMR, i.e. the current definition of PDMR for issuers (article 3(25) of MAR) and the “relevant persons” definition of the UCITS Level 2 Directive/AIFMD Level 2 Regulation could lead to a heavier regulatory burden being placed on management companies to ensure compliance with the PDMR obligations.</w:t>
      </w:r>
    </w:p>
    <w:p w14:paraId="7E59C741" w14:textId="77777777" w:rsidR="00833267" w:rsidRDefault="00833267" w:rsidP="00833267">
      <w:r>
        <w:t>&lt;ESMA_QUESTION_CP_MAR_60&gt;</w:t>
      </w:r>
    </w:p>
    <w:p w14:paraId="553E11CE" w14:textId="77777777" w:rsidR="00833267" w:rsidRDefault="00833267" w:rsidP="00833267"/>
    <w:p w14:paraId="493DFC27" w14:textId="77777777" w:rsidR="00833267" w:rsidRDefault="00833267" w:rsidP="00833267">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t>.</w:t>
      </w:r>
    </w:p>
    <w:p w14:paraId="69FF48B8" w14:textId="77777777" w:rsidR="00833267" w:rsidRDefault="00833267" w:rsidP="00833267">
      <w:r>
        <w:t>&lt;ESMA_QUESTION_CP_MAR_61&gt;</w:t>
      </w:r>
    </w:p>
    <w:p w14:paraId="0195B1E9" w14:textId="77777777" w:rsidR="00833267" w:rsidRDefault="00833267" w:rsidP="00833267">
      <w:r>
        <w:t>TYPE YOUR TEXT HERE</w:t>
      </w:r>
    </w:p>
    <w:p w14:paraId="66D6DCCF" w14:textId="77777777" w:rsidR="00833267" w:rsidRDefault="00833267" w:rsidP="00833267">
      <w:r>
        <w:t>&lt;ESMA_QUESTION_CP_MAR_61&gt;</w:t>
      </w:r>
    </w:p>
    <w:p w14:paraId="5BE1CEA2" w14:textId="77777777" w:rsidR="00833267" w:rsidRDefault="00833267" w:rsidP="00833267"/>
    <w:p w14:paraId="00C11591" w14:textId="77777777" w:rsidR="00833267" w:rsidRDefault="00833267" w:rsidP="00833267">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t>.</w:t>
      </w:r>
    </w:p>
    <w:p w14:paraId="0A6500B2" w14:textId="77777777" w:rsidR="00833267" w:rsidRDefault="00833267" w:rsidP="00833267">
      <w:r>
        <w:t>&lt;ESMA_QUESTION_CP_MAR_62&gt;</w:t>
      </w:r>
    </w:p>
    <w:p w14:paraId="17AD100B" w14:textId="77777777" w:rsidR="008D30F0" w:rsidRDefault="008D30F0" w:rsidP="00833267"/>
    <w:p w14:paraId="4A0DF0A0" w14:textId="77777777" w:rsidR="008D30F0" w:rsidRPr="00A13482" w:rsidRDefault="008D30F0" w:rsidP="008D30F0">
      <w:pPr>
        <w:ind w:left="720"/>
        <w:jc w:val="both"/>
        <w:rPr>
          <w:rFonts w:cstheme="minorHAnsi"/>
          <w:bCs/>
        </w:rPr>
      </w:pPr>
      <w:r w:rsidRPr="00A13482">
        <w:rPr>
          <w:rFonts w:cstheme="minorHAnsi"/>
          <w:bCs/>
        </w:rPr>
        <w:t>If the PDMR regime were to be expressly extended to management companies, then any entity to which the portfolio management has been delegated (i.e. the investment manager) should also be captured by the requirements.</w:t>
      </w:r>
    </w:p>
    <w:p w14:paraId="1B9689CB" w14:textId="77777777" w:rsidR="00C0525A" w:rsidRPr="00A13482" w:rsidRDefault="00C0525A" w:rsidP="00DF68BD">
      <w:pPr>
        <w:ind w:left="720"/>
        <w:rPr>
          <w:rFonts w:cstheme="minorHAnsi"/>
        </w:rPr>
      </w:pPr>
      <w:r w:rsidRPr="00A13482">
        <w:rPr>
          <w:rFonts w:cstheme="minorHAnsi"/>
        </w:rPr>
        <w:t xml:space="preserve">Depositaries of funds being primarily in charge of safekeeping, record keeping and ownership verification of the fund’s assets, we do not see any need to include this type of entity in the PDMR regime. </w:t>
      </w:r>
    </w:p>
    <w:p w14:paraId="13D50BC2" w14:textId="122906EA" w:rsidR="008D30F0" w:rsidRPr="00A13482" w:rsidRDefault="008D30F0" w:rsidP="008D30F0">
      <w:pPr>
        <w:ind w:left="720"/>
        <w:jc w:val="both"/>
        <w:rPr>
          <w:rFonts w:cstheme="minorHAnsi"/>
          <w:bCs/>
        </w:rPr>
      </w:pPr>
      <w:r w:rsidRPr="00A13482">
        <w:rPr>
          <w:rFonts w:cstheme="minorHAnsi"/>
          <w:bCs/>
        </w:rPr>
        <w:t>In Luxembourg, banks are subject to banking secrecy requirements.</w:t>
      </w:r>
    </w:p>
    <w:p w14:paraId="6F30DEF3" w14:textId="77777777" w:rsidR="008D30F0" w:rsidRPr="00A13482" w:rsidRDefault="008D30F0" w:rsidP="008D30F0">
      <w:pPr>
        <w:ind w:left="720"/>
        <w:jc w:val="both"/>
        <w:rPr>
          <w:rFonts w:cstheme="minorHAnsi"/>
          <w:bCs/>
        </w:rPr>
      </w:pPr>
      <w:r w:rsidRPr="00A13482">
        <w:rPr>
          <w:rFonts w:cstheme="minorHAnsi"/>
          <w:bCs/>
        </w:rPr>
        <w:t>As stated above, for regulated funds, we believe the relevant clarifications/amendments should be made within the UCITS/AIFMD framework instead of directly in MAR.</w:t>
      </w:r>
    </w:p>
    <w:p w14:paraId="0960741A" w14:textId="77777777" w:rsidR="00833267" w:rsidRDefault="00833267" w:rsidP="00833267">
      <w:r>
        <w:t>&lt;ESMA_QUESTION_CP_MAR_62&gt;</w:t>
      </w:r>
    </w:p>
    <w:p w14:paraId="5452C457" w14:textId="77777777" w:rsidR="00833267" w:rsidRDefault="00833267" w:rsidP="00833267"/>
    <w:p w14:paraId="06430E9B" w14:textId="77777777" w:rsidR="00833267" w:rsidRDefault="00833267" w:rsidP="00833267">
      <w:pPr>
        <w:pStyle w:val="CPQuestions"/>
      </w:pPr>
      <w:r w:rsidRPr="0042739E">
        <w:t>Do you agree with ESMA’s conclusion? If not, please elaborate</w:t>
      </w:r>
      <w:r>
        <w:t>.</w:t>
      </w:r>
    </w:p>
    <w:p w14:paraId="55941158" w14:textId="77777777" w:rsidR="00833267" w:rsidRDefault="00833267" w:rsidP="00833267">
      <w:r>
        <w:t>&lt;ESMA_QUESTION_CP_MAR_63&gt;</w:t>
      </w:r>
    </w:p>
    <w:p w14:paraId="0F10731F" w14:textId="77777777" w:rsidR="00607E48" w:rsidRPr="00A13482" w:rsidRDefault="00607E48" w:rsidP="00607E48">
      <w:pPr>
        <w:ind w:left="720"/>
        <w:jc w:val="both"/>
        <w:rPr>
          <w:rFonts w:cstheme="minorHAnsi"/>
          <w:bCs/>
        </w:rPr>
      </w:pPr>
      <w:r w:rsidRPr="00A13482">
        <w:rPr>
          <w:rFonts w:cstheme="minorHAnsi"/>
          <w:bCs/>
        </w:rPr>
        <w:t>We do not share ESMA’s conclusion that it is necessary to amend article 19(1) of  MAR to expressly mention “units” of CIUs given that article 10(2)(m) of Commission Delegated Regulation (EU) 2016/522 expressly refers to units: “</w:t>
      </w:r>
      <w:r w:rsidRPr="00A13482">
        <w:rPr>
          <w:rFonts w:cstheme="minorHAnsi"/>
          <w:bCs/>
          <w:i/>
        </w:rPr>
        <w:t>transactions executed in shares or units of investment funds, including alternative investment funds (AIFs) referred to in Article 1 of Directive 2011/61/EU of the European Parliament and of the Council ( 1 ), insofar as required by Article 19 of Regulation (EU) No 596/2014</w:t>
      </w:r>
      <w:r w:rsidRPr="00A13482">
        <w:rPr>
          <w:rFonts w:cstheme="minorHAnsi"/>
          <w:bCs/>
        </w:rPr>
        <w:t>”.</w:t>
      </w:r>
    </w:p>
    <w:p w14:paraId="051D2AE8" w14:textId="77777777" w:rsidR="00607E48" w:rsidRPr="00A13482" w:rsidRDefault="00607E48" w:rsidP="00607E48">
      <w:pPr>
        <w:ind w:left="720"/>
        <w:jc w:val="both"/>
        <w:rPr>
          <w:rFonts w:cstheme="minorHAnsi"/>
          <w:bCs/>
        </w:rPr>
      </w:pPr>
      <w:r w:rsidRPr="00A13482">
        <w:rPr>
          <w:rFonts w:cstheme="minorHAnsi"/>
          <w:bCs/>
        </w:rPr>
        <w:t>Please be reminded that Whereas (28) of abovementioned delegated regulation states that “</w:t>
      </w:r>
      <w:r w:rsidRPr="00A13482">
        <w:rPr>
          <w:rFonts w:cstheme="minorHAnsi"/>
          <w:bCs/>
          <w:i/>
        </w:rPr>
        <w:t>Since the scope of the transactions to be covered under the empowerment of Article 19(14) of Regulation (EU) No 596/2014 is broad and cannot be limited to only the three types of transactions explicitly listed in Article 19(7) of that Regulation, it is appropriate to identify a broad non-exhaustive list of particular types of transactions that should be notified</w:t>
      </w:r>
      <w:r w:rsidRPr="00A13482">
        <w:rPr>
          <w:rFonts w:cstheme="minorHAnsi"/>
          <w:bCs/>
        </w:rPr>
        <w:t>.”</w:t>
      </w:r>
    </w:p>
    <w:p w14:paraId="0596C8E7" w14:textId="77777777" w:rsidR="00833267" w:rsidRDefault="00833267" w:rsidP="00833267">
      <w:r>
        <w:t>&lt;ESMA_QUESTION_CP_MAR_63&gt;</w:t>
      </w:r>
    </w:p>
    <w:p w14:paraId="04A60B3B" w14:textId="77777777" w:rsidR="00833267" w:rsidRDefault="00833267" w:rsidP="00833267">
      <w:pPr>
        <w:pStyle w:val="CPQuestions"/>
      </w:pPr>
      <w:r w:rsidRPr="0042739E">
        <w:t>Do you agree with ESMA preliminary view? Please elaborate</w:t>
      </w:r>
      <w:r>
        <w:t>.</w:t>
      </w:r>
    </w:p>
    <w:p w14:paraId="71098A95" w14:textId="77777777" w:rsidR="00833267" w:rsidRDefault="00833267" w:rsidP="00833267">
      <w:r>
        <w:t>&lt;ESMA_QUESTION_CP_MAR_64&gt;</w:t>
      </w:r>
    </w:p>
    <w:p w14:paraId="681FA2FA" w14:textId="083D88AB" w:rsidR="00607E48" w:rsidRDefault="00607E48" w:rsidP="00A13482">
      <w:pPr>
        <w:ind w:left="720"/>
        <w:jc w:val="both"/>
      </w:pPr>
      <w:r w:rsidRPr="00A13482">
        <w:rPr>
          <w:rFonts w:cstheme="minorHAnsi"/>
          <w:bCs/>
        </w:rPr>
        <w:t>We do not see any need to expressly amend article 17 of MAR to make it clear that the obligations of article 17 of MAR also apply to management companies acting for and on behalf of CIUs without legal personality. ESMA has already clarified this point in its recent Q&amp;A, which should be sufficient.</w:t>
      </w:r>
    </w:p>
    <w:p w14:paraId="737392E7" w14:textId="77777777" w:rsidR="00833267" w:rsidRDefault="00833267" w:rsidP="00833267">
      <w:r>
        <w:t>&lt;ESMA_QUESTION_CP_MAR_64&gt;</w:t>
      </w:r>
    </w:p>
    <w:p w14:paraId="33D7A6D9" w14:textId="77777777" w:rsidR="00833267" w:rsidRDefault="00833267" w:rsidP="00833267"/>
    <w:p w14:paraId="7328A147" w14:textId="77777777" w:rsidR="00833267" w:rsidRDefault="00833267" w:rsidP="00833267">
      <w:pPr>
        <w:pStyle w:val="CPQuestions"/>
      </w:pPr>
      <w:r w:rsidRPr="0042739E">
        <w:t>Do you agree with ESMA’s preliminary views? Do you consider that specific obligations are needed for elaborating insider lists related to CIUs admitted to traded or traded on a trading venue</w:t>
      </w:r>
      <w:r>
        <w:t>?</w:t>
      </w:r>
    </w:p>
    <w:p w14:paraId="78C027D0" w14:textId="77777777" w:rsidR="00833267" w:rsidRDefault="00833267" w:rsidP="00833267">
      <w:r>
        <w:t>&lt;ESMA_QUESTION_CP_MAR_65&gt;</w:t>
      </w:r>
    </w:p>
    <w:p w14:paraId="7EC43CB0" w14:textId="77777777" w:rsidR="00833267" w:rsidRDefault="00833267" w:rsidP="00833267">
      <w:r>
        <w:t>TYPE YOUR TEXT HERE</w:t>
      </w:r>
    </w:p>
    <w:p w14:paraId="49591BF4" w14:textId="77777777" w:rsidR="00833267" w:rsidRDefault="00833267" w:rsidP="00833267">
      <w:r>
        <w:t>&lt;ESMA_QUESTION_CP_MAR_65&gt;</w:t>
      </w:r>
    </w:p>
    <w:p w14:paraId="7A924EC2" w14:textId="77777777" w:rsidR="00833267" w:rsidRDefault="00833267" w:rsidP="00833267"/>
    <w:p w14:paraId="59E450A0" w14:textId="77777777" w:rsidR="00833267" w:rsidRDefault="00833267" w:rsidP="00833267">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t>.</w:t>
      </w:r>
    </w:p>
    <w:p w14:paraId="26F5F68C" w14:textId="77777777" w:rsidR="00833267" w:rsidRDefault="00833267" w:rsidP="00833267">
      <w:r>
        <w:t>&lt;ESMA_QUESTION_CP_MAR_66&gt;</w:t>
      </w:r>
    </w:p>
    <w:p w14:paraId="45002C54" w14:textId="1A485F01" w:rsidR="00833267" w:rsidRPr="00A13482" w:rsidRDefault="00361B8C" w:rsidP="00833267">
      <w:pPr>
        <w:rPr>
          <w:rFonts w:cstheme="minorHAnsi"/>
          <w:bCs/>
        </w:rPr>
      </w:pPr>
      <w:r w:rsidRPr="00A13482">
        <w:rPr>
          <w:rFonts w:cstheme="minorHAnsi"/>
          <w:bCs/>
        </w:rPr>
        <w:t>In line with §286, we agree that ISO 20022 would be the appropriate standard, and that XML templates should be used. This would provide a significantly higher degree of data st</w:t>
      </w:r>
      <w:r w:rsidR="00B915C1" w:rsidRPr="00A13482">
        <w:rPr>
          <w:rFonts w:cstheme="minorHAnsi"/>
          <w:bCs/>
        </w:rPr>
        <w:t>andardisation with regard to the other regulations (EMIR, MiFIR, SFTR).</w:t>
      </w:r>
    </w:p>
    <w:p w14:paraId="32B179B1" w14:textId="77777777" w:rsidR="00833267" w:rsidRDefault="00833267" w:rsidP="00833267">
      <w:r>
        <w:t>&lt;ESMA_QUESTION_CP_MAR_66&gt;</w:t>
      </w:r>
    </w:p>
    <w:p w14:paraId="5D9659B5" w14:textId="77777777" w:rsidR="00833267" w:rsidRDefault="00833267" w:rsidP="00833267"/>
    <w:p w14:paraId="6BFC6FDC" w14:textId="77777777" w:rsidR="00833267" w:rsidRDefault="00833267" w:rsidP="00833267">
      <w:pPr>
        <w:pStyle w:val="CPQuestions"/>
      </w:pPr>
      <w:r w:rsidRPr="0042739E">
        <w:t>Please provide your views on the impact and cost linked to the establishment of a regular reporting mechanism of order book data</w:t>
      </w:r>
      <w:r>
        <w:t>.</w:t>
      </w:r>
    </w:p>
    <w:p w14:paraId="4E5C3578" w14:textId="77777777" w:rsidR="00833267" w:rsidRDefault="00833267" w:rsidP="00833267">
      <w:r>
        <w:t>&lt;ESMA_QUESTION_CP_MAR_67&gt;</w:t>
      </w:r>
    </w:p>
    <w:p w14:paraId="427C21D2" w14:textId="77777777" w:rsidR="00833267" w:rsidRDefault="00833267" w:rsidP="00833267">
      <w:r>
        <w:t>TYPE YOUR TEXT HERE</w:t>
      </w:r>
    </w:p>
    <w:p w14:paraId="2F2A5E57" w14:textId="77777777" w:rsidR="00833267" w:rsidRDefault="00833267" w:rsidP="00833267">
      <w:r>
        <w:t>&lt;ESMA_QUESTION_CP_MAR_67&gt;</w:t>
      </w:r>
    </w:p>
    <w:p w14:paraId="0771FC69" w14:textId="77777777" w:rsidR="00833267" w:rsidRDefault="00833267" w:rsidP="00833267"/>
    <w:p w14:paraId="3AED0297" w14:textId="77777777" w:rsidR="00833267" w:rsidRDefault="00833267" w:rsidP="00833267">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t>.</w:t>
      </w:r>
    </w:p>
    <w:p w14:paraId="31892868" w14:textId="77777777" w:rsidR="00833267" w:rsidRDefault="00833267" w:rsidP="00833267">
      <w:r>
        <w:t>&lt;ESMA_QUESTION_CP_MAR_68&gt;</w:t>
      </w:r>
    </w:p>
    <w:p w14:paraId="75DFF78B" w14:textId="77777777" w:rsidR="00833267" w:rsidRDefault="00833267" w:rsidP="00833267">
      <w:r>
        <w:t>TYPE YOUR TEXT HERE</w:t>
      </w:r>
    </w:p>
    <w:p w14:paraId="2C288090" w14:textId="77777777" w:rsidR="00833267" w:rsidRDefault="00833267" w:rsidP="00833267">
      <w:r>
        <w:t>&lt;ESMA_QUESTION_CP_MAR_68&gt;</w:t>
      </w:r>
    </w:p>
    <w:p w14:paraId="28D8F1E6" w14:textId="77777777" w:rsidR="00833267" w:rsidRDefault="00833267" w:rsidP="00833267"/>
    <w:p w14:paraId="25C4D960" w14:textId="77777777" w:rsidR="00833267" w:rsidRDefault="00833267" w:rsidP="00833267">
      <w:pPr>
        <w:pStyle w:val="CPQuestions"/>
      </w:pPr>
      <w:r>
        <w:t>W</w:t>
      </w:r>
      <w:r w:rsidRPr="0042739E">
        <w:t>hat are your views regarding those proposed amendments to MAR</w:t>
      </w:r>
      <w:r>
        <w:t>?</w:t>
      </w:r>
    </w:p>
    <w:p w14:paraId="0BD40308" w14:textId="77777777" w:rsidR="00833267" w:rsidRDefault="00833267" w:rsidP="00833267">
      <w:r>
        <w:t>&lt;ESMA_QUESTION_CP_MAR_69&gt;</w:t>
      </w:r>
    </w:p>
    <w:p w14:paraId="5F850480" w14:textId="77777777" w:rsidR="00833267" w:rsidRDefault="00833267" w:rsidP="00833267">
      <w:r>
        <w:t xml:space="preserve">This section covering dividend arbitrage and multiple WHT reclaim schemes relates much more about pure fraud schemes than an abuse in market activities. </w:t>
      </w:r>
      <w:r w:rsidRPr="00A13482">
        <w:t>Indeed, they represent neither the intent nor the consequence of a market abuse</w:t>
      </w:r>
      <w:r>
        <w:t>.  Moreover, these fraudulent practices do not have obvious correlation on the prices of the financial instruments manipulated. MAR is already very consistent and does not need to be completed with non-essential provisions.</w:t>
      </w:r>
    </w:p>
    <w:p w14:paraId="0D0A7DFE" w14:textId="77777777" w:rsidR="00833267" w:rsidRDefault="00833267" w:rsidP="00833267">
      <w:r>
        <w:t>For these reasons we recommend not to include the proposals of the section 11.2 in the final report to the EC.</w:t>
      </w:r>
    </w:p>
    <w:p w14:paraId="6690246E" w14:textId="77777777" w:rsidR="00833267" w:rsidRPr="00A13482" w:rsidRDefault="00833267" w:rsidP="00833267">
      <w:r>
        <w:t>Besides, further to the open hearing held on 5 November, we understand better the reasons why this scope has been included in this CP (knowing that t</w:t>
      </w:r>
      <w:r w:rsidRPr="00A13482">
        <w:t>ax authorities do not have the same data toolkit as an NCA, the European Parliament made the request to include Cum/Ex treatment into MAR).</w:t>
      </w:r>
    </w:p>
    <w:p w14:paraId="20C985C3" w14:textId="77777777" w:rsidR="00833267" w:rsidRDefault="00833267" w:rsidP="00833267">
      <w:r>
        <w:t>&lt;ESMA_QUESTION_CP_MAR_69&gt;</w:t>
      </w:r>
    </w:p>
    <w:p w14:paraId="6E1D54D7" w14:textId="77777777" w:rsidR="00833267" w:rsidRDefault="00833267" w:rsidP="00833267"/>
    <w:p w14:paraId="764CB57C" w14:textId="77777777" w:rsidR="00833267" w:rsidRDefault="00833267" w:rsidP="00833267">
      <w:pPr>
        <w:pStyle w:val="CPQuestions"/>
      </w:pPr>
      <w:r w:rsidRPr="0042739E">
        <w:t>Are you in favour of amending Article 30(1) second paragraph of MAR so that all NCAs in the EU have the capacity of imposing administrative sanctions? If yes, please elaborate</w:t>
      </w:r>
      <w:r>
        <w:t>.</w:t>
      </w:r>
    </w:p>
    <w:p w14:paraId="77DB6023" w14:textId="77777777" w:rsidR="00833267" w:rsidRDefault="00833267" w:rsidP="00833267">
      <w:r>
        <w:t>&lt;ESMA_QUESTION_CP_MAR_70&gt;</w:t>
      </w:r>
    </w:p>
    <w:p w14:paraId="360415ED" w14:textId="77777777" w:rsidR="00833267" w:rsidRDefault="00833267" w:rsidP="00833267">
      <w:r>
        <w:t>TYPE YOUR TEXT HERE</w:t>
      </w:r>
    </w:p>
    <w:p w14:paraId="55C9FEA3" w14:textId="77777777" w:rsidR="00833267" w:rsidRDefault="00833267" w:rsidP="00833267">
      <w:r>
        <w:t>&lt;ESMA_QUESTION_CP_MAR_70&gt;</w:t>
      </w:r>
    </w:p>
    <w:p w14:paraId="413A8F60" w14:textId="77777777" w:rsidR="00833267" w:rsidRDefault="00833267" w:rsidP="00833267"/>
    <w:p w14:paraId="7E9B3FBF" w14:textId="77777777" w:rsidR="00833267" w:rsidRDefault="00833267" w:rsidP="00833267">
      <w:pPr>
        <w:pStyle w:val="CPQuestions"/>
      </w:pPr>
      <w:r w:rsidRPr="0042739E">
        <w:t>Please share your views on the elements described above</w:t>
      </w:r>
      <w:r>
        <w:t>.</w:t>
      </w:r>
    </w:p>
    <w:p w14:paraId="24E9757B" w14:textId="77777777" w:rsidR="00833267" w:rsidRDefault="00833267" w:rsidP="00833267">
      <w:r>
        <w:t>&lt;ESMA_QUESTION_CP_MAR_71&gt;</w:t>
      </w:r>
    </w:p>
    <w:p w14:paraId="2B4CA329" w14:textId="77777777" w:rsidR="00833267" w:rsidRDefault="00833267" w:rsidP="00833267">
      <w:r>
        <w:t>TYPE YOUR TEXT HERE</w:t>
      </w:r>
    </w:p>
    <w:p w14:paraId="361C2D91" w14:textId="77777777" w:rsidR="00833267" w:rsidRDefault="00833267" w:rsidP="00833267">
      <w:r>
        <w:t>&lt;ESMA_QUESTION_CP_MAR_71&gt;</w:t>
      </w:r>
    </w:p>
    <w:p w14:paraId="720CED10" w14:textId="77777777" w:rsidR="00833267" w:rsidRDefault="00833267" w:rsidP="00833267"/>
    <w:p w14:paraId="74EF7366" w14:textId="77777777" w:rsidR="00833267" w:rsidRDefault="00833267" w:rsidP="00833267"/>
    <w:p w14:paraId="212B022C" w14:textId="77777777" w:rsidR="00833267" w:rsidRDefault="00833267" w:rsidP="00833267"/>
    <w:p w14:paraId="09FF1E0A" w14:textId="77777777" w:rsidR="00833267" w:rsidRDefault="00833267" w:rsidP="00833267"/>
    <w:p w14:paraId="6B0F5970" w14:textId="77777777" w:rsidR="00607E48" w:rsidRDefault="00607E48"/>
    <w:sectPr w:rsidR="00607E48" w:rsidSect="00607E48">
      <w:headerReference w:type="even" r:id="rId12"/>
      <w:headerReference w:type="first" r:id="rId13"/>
      <w:footerReference w:type="first" r:id="rId14"/>
      <w:pgSz w:w="11906" w:h="16838" w:code="9"/>
      <w:pgMar w:top="2410" w:right="1247" w:bottom="1135" w:left="124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DF1F1" w16cid:durableId="218963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8CEB4" w14:textId="77777777" w:rsidR="00607E48" w:rsidRDefault="00607E48">
      <w:pPr>
        <w:spacing w:after="0" w:line="240" w:lineRule="auto"/>
      </w:pPr>
      <w:r>
        <w:separator/>
      </w:r>
    </w:p>
  </w:endnote>
  <w:endnote w:type="continuationSeparator" w:id="0">
    <w:p w14:paraId="2F9125A4" w14:textId="77777777" w:rsidR="00607E48" w:rsidRDefault="00607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07E48" w:rsidRPr="00616B9B" w14:paraId="55B0648F" w14:textId="77777777" w:rsidTr="00607E48">
      <w:trPr>
        <w:trHeight w:val="284"/>
      </w:trPr>
      <w:tc>
        <w:tcPr>
          <w:tcW w:w="8460" w:type="dxa"/>
        </w:tcPr>
        <w:p w14:paraId="0675496B" w14:textId="77777777" w:rsidR="00607E48" w:rsidRPr="00315E96" w:rsidRDefault="00607E48" w:rsidP="00607E48">
          <w:pPr>
            <w:pStyle w:val="00Footer"/>
            <w:rPr>
              <w:lang w:val="fr-FR"/>
            </w:rPr>
          </w:pPr>
        </w:p>
      </w:tc>
      <w:tc>
        <w:tcPr>
          <w:tcW w:w="952" w:type="dxa"/>
        </w:tcPr>
        <w:p w14:paraId="5C8E2F10" w14:textId="77777777" w:rsidR="00607E48" w:rsidRPr="00616B9B" w:rsidRDefault="00607E48" w:rsidP="00607E48">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023C7">
            <w:rPr>
              <w:rFonts w:cs="Arial"/>
              <w:noProof/>
              <w:sz w:val="22"/>
              <w:szCs w:val="22"/>
            </w:rPr>
            <w:t>5</w:t>
          </w:r>
          <w:r w:rsidRPr="00616B9B">
            <w:rPr>
              <w:rFonts w:cs="Arial"/>
              <w:noProof/>
              <w:sz w:val="22"/>
              <w:szCs w:val="22"/>
            </w:rPr>
            <w:fldChar w:fldCharType="end"/>
          </w:r>
        </w:p>
      </w:tc>
    </w:tr>
  </w:tbl>
  <w:p w14:paraId="6B0EA36E" w14:textId="77777777" w:rsidR="00607E48" w:rsidRDefault="00607E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779D8" w14:textId="77777777" w:rsidR="00607E48" w:rsidRDefault="00607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F3632" w14:textId="77777777" w:rsidR="00607E48" w:rsidRDefault="00607E48">
      <w:pPr>
        <w:spacing w:after="0" w:line="240" w:lineRule="auto"/>
      </w:pPr>
      <w:r>
        <w:separator/>
      </w:r>
    </w:p>
  </w:footnote>
  <w:footnote w:type="continuationSeparator" w:id="0">
    <w:p w14:paraId="78EF89F3" w14:textId="77777777" w:rsidR="00607E48" w:rsidRDefault="00607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0271F" w14:textId="77777777" w:rsidR="00607E48" w:rsidRDefault="00607E48">
    <w:pPr>
      <w:pStyle w:val="Header"/>
    </w:pPr>
    <w:r>
      <w:rPr>
        <w:noProof/>
        <w:lang w:eastAsia="en-GB"/>
      </w:rPr>
      <w:drawing>
        <wp:anchor distT="0" distB="0" distL="114300" distR="114300" simplePos="0" relativeHeight="251660288" behindDoc="0" locked="0" layoutInCell="1" allowOverlap="1" wp14:anchorId="5A459440" wp14:editId="3A552F7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7216" behindDoc="0" locked="0" layoutInCell="1" allowOverlap="1" wp14:anchorId="710AEEB9" wp14:editId="4B753122">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72F651" id="Line 16" o:spid="_x0000_s1026" style="position:absolute;z-index:251660288;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53153" w14:textId="77777777" w:rsidR="00607E48" w:rsidRDefault="00607E48" w:rsidP="00607E48">
    <w:pPr>
      <w:pStyle w:val="Header"/>
      <w:jc w:val="right"/>
    </w:pPr>
    <w:r>
      <w:rPr>
        <w:noProof/>
        <w:lang w:eastAsia="en-GB"/>
      </w:rPr>
      <w:drawing>
        <wp:anchor distT="0" distB="0" distL="114300" distR="114300" simplePos="0" relativeHeight="251659264" behindDoc="0" locked="0" layoutInCell="1" allowOverlap="1" wp14:anchorId="69EABDFD" wp14:editId="6D878E8A">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0474391A" wp14:editId="79BF3C6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C86AB" w14:textId="77777777" w:rsidR="00607E48" w:rsidRDefault="00607E4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07E48" w:rsidRPr="002F4496" w14:paraId="459F4075" w14:textId="77777777" w:rsidTr="00607E48">
      <w:trPr>
        <w:trHeight w:val="284"/>
      </w:trPr>
      <w:tc>
        <w:tcPr>
          <w:tcW w:w="8460" w:type="dxa"/>
        </w:tcPr>
        <w:p w14:paraId="718CD1C2" w14:textId="77777777" w:rsidR="00607E48" w:rsidRPr="000C3B6D" w:rsidRDefault="00607E48" w:rsidP="00607E48">
          <w:pPr>
            <w:pStyle w:val="00Footer"/>
            <w:rPr>
              <w:lang w:val="fr-FR"/>
            </w:rPr>
          </w:pPr>
        </w:p>
      </w:tc>
      <w:tc>
        <w:tcPr>
          <w:tcW w:w="952" w:type="dxa"/>
        </w:tcPr>
        <w:p w14:paraId="42580406" w14:textId="77777777" w:rsidR="00607E48" w:rsidRPr="00146B34" w:rsidRDefault="00607E48" w:rsidP="00607E48">
          <w:pPr>
            <w:pStyle w:val="00aPagenumber"/>
            <w:rPr>
              <w:lang w:val="fr-FR"/>
            </w:rPr>
          </w:pPr>
        </w:p>
      </w:tc>
    </w:tr>
  </w:tbl>
  <w:p w14:paraId="0978A006" w14:textId="77777777" w:rsidR="00607E48" w:rsidRPr="00DB46C3" w:rsidRDefault="00607E48">
    <w:pPr>
      <w:rPr>
        <w:lang w:val="fr-FR"/>
      </w:rPr>
    </w:pPr>
  </w:p>
  <w:p w14:paraId="739FBFA6" w14:textId="77777777" w:rsidR="00607E48" w:rsidRPr="002F4496" w:rsidRDefault="00607E48">
    <w:pPr>
      <w:pStyle w:val="Header"/>
      <w:rPr>
        <w:lang w:val="fr-FR"/>
      </w:rPr>
    </w:pPr>
  </w:p>
  <w:p w14:paraId="5288295B" w14:textId="77777777" w:rsidR="00607E48" w:rsidRPr="002F4496" w:rsidRDefault="00607E48" w:rsidP="00607E48">
    <w:pPr>
      <w:pStyle w:val="Header"/>
      <w:tabs>
        <w:tab w:val="clear" w:pos="4536"/>
        <w:tab w:val="clear" w:pos="9072"/>
        <w:tab w:val="left" w:pos="8227"/>
      </w:tabs>
      <w:rPr>
        <w:lang w:val="fr-FR"/>
      </w:rPr>
    </w:pPr>
  </w:p>
  <w:p w14:paraId="4CA7712F" w14:textId="77777777" w:rsidR="00607E48" w:rsidRPr="002F4496" w:rsidRDefault="00607E48" w:rsidP="00607E48">
    <w:pPr>
      <w:pStyle w:val="Header"/>
      <w:jc w:val="right"/>
      <w:rPr>
        <w:lang w:val="fr-FR"/>
      </w:rPr>
    </w:pPr>
  </w:p>
  <w:p w14:paraId="4EADEBD8" w14:textId="77777777" w:rsidR="00607E48" w:rsidRPr="002F4496" w:rsidRDefault="00607E48">
    <w:pPr>
      <w:pStyle w:val="Header"/>
      <w:rPr>
        <w:lang w:val="fr-FR"/>
      </w:rPr>
    </w:pPr>
  </w:p>
  <w:p w14:paraId="013D9A29" w14:textId="77777777" w:rsidR="00607E48" w:rsidRPr="002F4496" w:rsidRDefault="00607E48">
    <w:pPr>
      <w:pStyle w:val="Header"/>
      <w:rPr>
        <w:lang w:val="fr-FR"/>
      </w:rPr>
    </w:pPr>
  </w:p>
  <w:p w14:paraId="334FBE75" w14:textId="77777777" w:rsidR="00607E48" w:rsidRPr="002F4496" w:rsidRDefault="00607E48">
    <w:pPr>
      <w:pStyle w:val="Header"/>
      <w:rPr>
        <w:lang w:val="fr-FR"/>
      </w:rPr>
    </w:pPr>
  </w:p>
  <w:p w14:paraId="154A64C0" w14:textId="77777777" w:rsidR="00607E48" w:rsidRPr="002F4496" w:rsidRDefault="00607E48">
    <w:pPr>
      <w:pStyle w:val="Header"/>
      <w:rPr>
        <w:highlight w:val="yellow"/>
        <w:lang w:val="fr-FR"/>
      </w:rPr>
    </w:pPr>
  </w:p>
  <w:p w14:paraId="6207DB59" w14:textId="77777777" w:rsidR="00607E48" w:rsidRDefault="00607E48">
    <w:pPr>
      <w:pStyle w:val="Header"/>
    </w:pPr>
    <w:r>
      <w:rPr>
        <w:noProof/>
        <w:lang w:eastAsia="en-GB"/>
      </w:rPr>
      <mc:AlternateContent>
        <mc:Choice Requires="wps">
          <w:drawing>
            <wp:anchor distT="0" distB="0" distL="114299" distR="114299" simplePos="0" relativeHeight="251658240" behindDoc="0" locked="0" layoutInCell="1" allowOverlap="1" wp14:anchorId="1916FB0E" wp14:editId="21A9F7AB">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F19D4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6192" behindDoc="0" locked="0" layoutInCell="1" allowOverlap="1" wp14:anchorId="108F1BB6" wp14:editId="5D26DE9F">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0DB3"/>
    <w:multiLevelType w:val="hybridMultilevel"/>
    <w:tmpl w:val="2F2C158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19"/>
    <w:rsid w:val="000C2921"/>
    <w:rsid w:val="00104F89"/>
    <w:rsid w:val="00104FD8"/>
    <w:rsid w:val="0015376A"/>
    <w:rsid w:val="00166C98"/>
    <w:rsid w:val="001748B8"/>
    <w:rsid w:val="00361B8C"/>
    <w:rsid w:val="0052454D"/>
    <w:rsid w:val="005C0672"/>
    <w:rsid w:val="00607E48"/>
    <w:rsid w:val="006D32A3"/>
    <w:rsid w:val="007023C7"/>
    <w:rsid w:val="00833267"/>
    <w:rsid w:val="008D30F0"/>
    <w:rsid w:val="009265E9"/>
    <w:rsid w:val="00A13482"/>
    <w:rsid w:val="00A64759"/>
    <w:rsid w:val="00B10CBB"/>
    <w:rsid w:val="00B915C1"/>
    <w:rsid w:val="00BB2474"/>
    <w:rsid w:val="00BF0A96"/>
    <w:rsid w:val="00C0525A"/>
    <w:rsid w:val="00C5542A"/>
    <w:rsid w:val="00DF68BD"/>
    <w:rsid w:val="00E62819"/>
    <w:rsid w:val="00F20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63E1"/>
  <w15:chartTrackingRefBased/>
  <w15:docId w15:val="{EC188AE8-5544-44AB-A25D-5E2816AE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1F497D"/>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3267"/>
    <w:pPr>
      <w:keepNext/>
      <w:numPr>
        <w:numId w:val="2"/>
      </w:numPr>
      <w:spacing w:before="240" w:after="60" w:line="240" w:lineRule="auto"/>
      <w:outlineLvl w:val="0"/>
    </w:pPr>
    <w:rPr>
      <w:rFonts w:ascii="Arial" w:eastAsia="Times New Roman" w:hAnsi="Arial" w:cs="Arial"/>
      <w:b/>
      <w:bCs/>
      <w:color w:val="auto"/>
      <w:kern w:val="32"/>
      <w:sz w:val="24"/>
      <w:szCs w:val="3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267"/>
    <w:rPr>
      <w:rFonts w:ascii="Arial" w:eastAsia="Times New Roman" w:hAnsi="Arial" w:cs="Arial"/>
      <w:b/>
      <w:bCs/>
      <w:color w:val="auto"/>
      <w:kern w:val="32"/>
      <w:sz w:val="24"/>
      <w:szCs w:val="32"/>
      <w:lang w:eastAsia="de-DE"/>
    </w:rPr>
  </w:style>
  <w:style w:type="paragraph" w:styleId="Header">
    <w:name w:val="header"/>
    <w:basedOn w:val="Normal"/>
    <w:link w:val="HeaderChar"/>
    <w:rsid w:val="00833267"/>
    <w:pPr>
      <w:tabs>
        <w:tab w:val="center" w:pos="4536"/>
        <w:tab w:val="right" w:pos="9072"/>
      </w:tabs>
      <w:spacing w:after="0" w:line="240" w:lineRule="auto"/>
    </w:pPr>
    <w:rPr>
      <w:rFonts w:ascii="Arial" w:eastAsia="Times New Roman" w:hAnsi="Arial" w:cs="Times New Roman"/>
      <w:color w:val="auto"/>
      <w:sz w:val="20"/>
      <w:szCs w:val="24"/>
      <w:lang w:eastAsia="de-DE"/>
    </w:rPr>
  </w:style>
  <w:style w:type="character" w:customStyle="1" w:styleId="HeaderChar">
    <w:name w:val="Header Char"/>
    <w:basedOn w:val="DefaultParagraphFont"/>
    <w:link w:val="Header"/>
    <w:rsid w:val="00833267"/>
    <w:rPr>
      <w:rFonts w:ascii="Arial" w:eastAsia="Times New Roman" w:hAnsi="Arial" w:cs="Times New Roman"/>
      <w:color w:val="auto"/>
      <w:sz w:val="20"/>
      <w:szCs w:val="24"/>
      <w:lang w:eastAsia="de-DE"/>
    </w:rPr>
  </w:style>
  <w:style w:type="paragraph" w:styleId="Footer">
    <w:name w:val="footer"/>
    <w:basedOn w:val="Normal"/>
    <w:link w:val="FooterChar"/>
    <w:uiPriority w:val="99"/>
    <w:rsid w:val="00833267"/>
    <w:pPr>
      <w:tabs>
        <w:tab w:val="center" w:pos="4536"/>
        <w:tab w:val="right" w:pos="9072"/>
      </w:tabs>
      <w:spacing w:after="0" w:line="240" w:lineRule="auto"/>
    </w:pPr>
    <w:rPr>
      <w:rFonts w:ascii="Arial" w:eastAsia="Times New Roman" w:hAnsi="Arial" w:cs="Times New Roman"/>
      <w:color w:val="auto"/>
      <w:sz w:val="20"/>
      <w:szCs w:val="24"/>
      <w:lang w:eastAsia="de-DE"/>
    </w:rPr>
  </w:style>
  <w:style w:type="character" w:customStyle="1" w:styleId="FooterChar">
    <w:name w:val="Footer Char"/>
    <w:basedOn w:val="DefaultParagraphFont"/>
    <w:link w:val="Footer"/>
    <w:uiPriority w:val="99"/>
    <w:rsid w:val="00833267"/>
    <w:rPr>
      <w:rFonts w:ascii="Arial" w:eastAsia="Times New Roman" w:hAnsi="Arial" w:cs="Times New Roman"/>
      <w:color w:val="auto"/>
      <w:sz w:val="20"/>
      <w:szCs w:val="24"/>
      <w:lang w:eastAsia="de-DE"/>
    </w:rPr>
  </w:style>
  <w:style w:type="paragraph" w:customStyle="1" w:styleId="00Footer">
    <w:name w:val="00_Footer"/>
    <w:basedOn w:val="Normal"/>
    <w:locked/>
    <w:rsid w:val="00833267"/>
    <w:pPr>
      <w:spacing w:after="0" w:line="200" w:lineRule="exact"/>
    </w:pPr>
    <w:rPr>
      <w:rFonts w:ascii="Arial" w:eastAsia="Times New Roman" w:hAnsi="Arial" w:cs="Times New Roman"/>
      <w:color w:val="2D4190"/>
      <w:sz w:val="16"/>
      <w:szCs w:val="24"/>
      <w:lang w:eastAsia="de-DE"/>
    </w:rPr>
  </w:style>
  <w:style w:type="paragraph" w:customStyle="1" w:styleId="02Date">
    <w:name w:val="02_Date"/>
    <w:basedOn w:val="Normal"/>
    <w:locked/>
    <w:rsid w:val="00833267"/>
    <w:pPr>
      <w:spacing w:after="0" w:line="220" w:lineRule="exact"/>
    </w:pPr>
    <w:rPr>
      <w:rFonts w:ascii="Arial" w:eastAsia="Times New Roman" w:hAnsi="Arial" w:cs="Times New Roman"/>
      <w:color w:val="auto"/>
      <w:sz w:val="17"/>
      <w:szCs w:val="24"/>
      <w:lang w:eastAsia="de-DE"/>
    </w:rPr>
  </w:style>
  <w:style w:type="paragraph" w:customStyle="1" w:styleId="00aPagenumber">
    <w:name w:val="00a_Page number"/>
    <w:basedOn w:val="00Footer"/>
    <w:locked/>
    <w:rsid w:val="00833267"/>
    <w:pPr>
      <w:spacing w:line="280" w:lineRule="atLeast"/>
      <w:jc w:val="right"/>
    </w:pPr>
    <w:rPr>
      <w:color w:val="000000"/>
      <w:sz w:val="20"/>
    </w:rPr>
  </w:style>
  <w:style w:type="paragraph" w:customStyle="1" w:styleId="04BodyText">
    <w:name w:val="04_Body Text"/>
    <w:basedOn w:val="Normal"/>
    <w:link w:val="04BodyTextChar"/>
    <w:locked/>
    <w:rsid w:val="00833267"/>
    <w:pPr>
      <w:spacing w:after="250" w:line="276" w:lineRule="auto"/>
      <w:jc w:val="both"/>
    </w:pPr>
    <w:rPr>
      <w:rFonts w:ascii="Arial" w:eastAsia="Times New Roman" w:hAnsi="Arial" w:cs="Times New Roman"/>
      <w:color w:val="auto"/>
      <w:sz w:val="20"/>
      <w:szCs w:val="24"/>
      <w:lang w:eastAsia="de-DE"/>
    </w:rPr>
  </w:style>
  <w:style w:type="paragraph" w:customStyle="1" w:styleId="05HeadlinenoIndex">
    <w:name w:val="05_Headline no Index"/>
    <w:basedOn w:val="04BodyText"/>
    <w:locked/>
    <w:rsid w:val="00833267"/>
    <w:pPr>
      <w:spacing w:line="300" w:lineRule="exact"/>
    </w:pPr>
    <w:rPr>
      <w:b/>
      <w:sz w:val="24"/>
    </w:rPr>
  </w:style>
  <w:style w:type="paragraph" w:customStyle="1" w:styleId="01aDBTitle">
    <w:name w:val="01a_DB_Title"/>
    <w:basedOn w:val="Normal"/>
    <w:locked/>
    <w:rsid w:val="00833267"/>
    <w:pPr>
      <w:spacing w:after="0" w:line="400" w:lineRule="exact"/>
      <w:jc w:val="right"/>
    </w:pPr>
    <w:rPr>
      <w:rFonts w:ascii="Arial" w:eastAsia="Times New Roman" w:hAnsi="Arial" w:cs="Times New Roman"/>
      <w:b/>
      <w:color w:val="2D4190"/>
      <w:sz w:val="40"/>
      <w:szCs w:val="24"/>
      <w:lang w:eastAsia="de-DE"/>
    </w:rPr>
  </w:style>
  <w:style w:type="paragraph" w:customStyle="1" w:styleId="01bDBSubtitle">
    <w:name w:val="01b_DB_Subtitle"/>
    <w:locked/>
    <w:rsid w:val="00833267"/>
    <w:pPr>
      <w:spacing w:after="0" w:line="240" w:lineRule="auto"/>
      <w:jc w:val="right"/>
    </w:pPr>
    <w:rPr>
      <w:rFonts w:ascii="Georgia" w:eastAsia="Times New Roman" w:hAnsi="Georgia" w:cs="Times New Roman"/>
      <w:color w:val="000000"/>
      <w:sz w:val="24"/>
      <w:szCs w:val="24"/>
      <w:lang w:eastAsia="de-DE"/>
    </w:rPr>
  </w:style>
  <w:style w:type="character" w:styleId="Hyperlink">
    <w:name w:val="Hyperlink"/>
    <w:uiPriority w:val="99"/>
    <w:rsid w:val="00833267"/>
    <w:rPr>
      <w:color w:val="0000FF"/>
      <w:u w:val="single"/>
    </w:rPr>
  </w:style>
  <w:style w:type="paragraph" w:customStyle="1" w:styleId="04bList">
    <w:name w:val="04b_List"/>
    <w:basedOn w:val="04BodyText"/>
    <w:uiPriority w:val="99"/>
    <w:locked/>
    <w:rsid w:val="00833267"/>
    <w:pPr>
      <w:numPr>
        <w:numId w:val="1"/>
      </w:numPr>
      <w:tabs>
        <w:tab w:val="clear" w:pos="568"/>
        <w:tab w:val="num" w:pos="360"/>
      </w:tabs>
      <w:ind w:left="0" w:firstLine="0"/>
    </w:pPr>
  </w:style>
  <w:style w:type="paragraph" w:styleId="ListParagraph">
    <w:name w:val="List Paragraph"/>
    <w:aliases w:val="Paragraphe EI,Paragraphe de liste1,EC"/>
    <w:basedOn w:val="Normal"/>
    <w:link w:val="ListParagraphChar"/>
    <w:uiPriority w:val="34"/>
    <w:qFormat/>
    <w:rsid w:val="00833267"/>
    <w:pPr>
      <w:spacing w:after="0" w:line="240" w:lineRule="auto"/>
      <w:ind w:left="720"/>
      <w:contextualSpacing/>
    </w:pPr>
    <w:rPr>
      <w:rFonts w:ascii="Arial" w:eastAsia="Times New Roman" w:hAnsi="Arial" w:cs="Times New Roman"/>
      <w:color w:val="auto"/>
      <w:sz w:val="20"/>
      <w:szCs w:val="24"/>
      <w:lang w:eastAsia="de-DE"/>
    </w:rPr>
  </w:style>
  <w:style w:type="paragraph" w:styleId="NormalWeb">
    <w:name w:val="Normal (Web)"/>
    <w:basedOn w:val="Normal"/>
    <w:uiPriority w:val="99"/>
    <w:rsid w:val="00833267"/>
    <w:pPr>
      <w:spacing w:before="100" w:beforeAutospacing="1" w:after="100" w:afterAutospacing="1" w:line="240" w:lineRule="auto"/>
    </w:pPr>
    <w:rPr>
      <w:rFonts w:ascii="Times New Roman" w:eastAsia="Times New Roman" w:hAnsi="Times New Roman" w:cs="Times New Roman"/>
      <w:color w:val="auto"/>
      <w:sz w:val="24"/>
      <w:szCs w:val="24"/>
      <w:lang w:val="fr-FR" w:eastAsia="fr-FR"/>
    </w:rPr>
  </w:style>
  <w:style w:type="character" w:styleId="Strong">
    <w:name w:val="Strong"/>
    <w:aliases w:val="Bolded"/>
    <w:uiPriority w:val="22"/>
    <w:qFormat/>
    <w:rsid w:val="00833267"/>
    <w:rPr>
      <w:b/>
      <w:bCs/>
    </w:rPr>
  </w:style>
  <w:style w:type="character" w:customStyle="1" w:styleId="ListParagraphChar">
    <w:name w:val="List Paragraph Char"/>
    <w:aliases w:val="Paragraphe EI Char,Paragraphe de liste1 Char,EC Char"/>
    <w:link w:val="ListParagraph"/>
    <w:uiPriority w:val="34"/>
    <w:locked/>
    <w:rsid w:val="00833267"/>
    <w:rPr>
      <w:rFonts w:ascii="Arial" w:eastAsia="Times New Roman" w:hAnsi="Arial" w:cs="Times New Roman"/>
      <w:color w:val="auto"/>
      <w:sz w:val="20"/>
      <w:szCs w:val="24"/>
      <w:lang w:eastAsia="de-DE"/>
    </w:rPr>
  </w:style>
  <w:style w:type="character" w:styleId="PlaceholderText">
    <w:name w:val="Placeholder Text"/>
    <w:uiPriority w:val="99"/>
    <w:semiHidden/>
    <w:rsid w:val="00833267"/>
    <w:rPr>
      <w:color w:val="808080"/>
    </w:rPr>
  </w:style>
  <w:style w:type="character" w:customStyle="1" w:styleId="Strong4">
    <w:name w:val="Strong4"/>
    <w:uiPriority w:val="22"/>
    <w:qFormat/>
    <w:locked/>
    <w:rsid w:val="00833267"/>
    <w:rPr>
      <w:b/>
      <w:bCs/>
    </w:rPr>
  </w:style>
  <w:style w:type="character" w:customStyle="1" w:styleId="04BodyTextChar">
    <w:name w:val="04_Body Text Char"/>
    <w:link w:val="04BodyText"/>
    <w:rsid w:val="00833267"/>
    <w:rPr>
      <w:rFonts w:ascii="Arial" w:eastAsia="Times New Roman" w:hAnsi="Arial" w:cs="Times New Roman"/>
      <w:color w:val="auto"/>
      <w:sz w:val="20"/>
      <w:szCs w:val="24"/>
      <w:lang w:eastAsia="de-DE"/>
    </w:rPr>
  </w:style>
  <w:style w:type="paragraph" w:customStyle="1" w:styleId="CPQuestions">
    <w:name w:val="CP_Questions"/>
    <w:basedOn w:val="Normal"/>
    <w:link w:val="CPQuestionsChar"/>
    <w:qFormat/>
    <w:locked/>
    <w:rsid w:val="00833267"/>
    <w:pPr>
      <w:numPr>
        <w:numId w:val="3"/>
      </w:numPr>
      <w:spacing w:before="250" w:after="250" w:line="276" w:lineRule="auto"/>
      <w:jc w:val="both"/>
    </w:pPr>
    <w:rPr>
      <w:rFonts w:ascii="Arial" w:eastAsiaTheme="minorEastAsia" w:hAnsi="Arial"/>
      <w:b/>
      <w:color w:val="auto"/>
      <w:szCs w:val="20"/>
    </w:rPr>
  </w:style>
  <w:style w:type="character" w:customStyle="1" w:styleId="CPQuestionsChar">
    <w:name w:val="CP_Questions Char"/>
    <w:basedOn w:val="DefaultParagraphFont"/>
    <w:link w:val="CPQuestions"/>
    <w:rsid w:val="00833267"/>
    <w:rPr>
      <w:rFonts w:ascii="Arial" w:eastAsiaTheme="minorEastAsia" w:hAnsi="Arial"/>
      <w:b/>
      <w:color w:val="auto"/>
      <w:szCs w:val="20"/>
    </w:rPr>
  </w:style>
  <w:style w:type="character" w:styleId="IntenseEmphasis">
    <w:name w:val="Intense Emphasis"/>
    <w:basedOn w:val="DefaultParagraphFont"/>
    <w:uiPriority w:val="21"/>
    <w:qFormat/>
    <w:rsid w:val="00833267"/>
    <w:rPr>
      <w:b/>
      <w:bCs/>
      <w:i/>
      <w:iCs/>
    </w:rPr>
  </w:style>
  <w:style w:type="character" w:styleId="CommentReference">
    <w:name w:val="annotation reference"/>
    <w:basedOn w:val="DefaultParagraphFont"/>
    <w:uiPriority w:val="99"/>
    <w:semiHidden/>
    <w:unhideWhenUsed/>
    <w:rsid w:val="00833267"/>
    <w:rPr>
      <w:sz w:val="16"/>
      <w:szCs w:val="16"/>
    </w:rPr>
  </w:style>
  <w:style w:type="paragraph" w:styleId="CommentText">
    <w:name w:val="annotation text"/>
    <w:basedOn w:val="Normal"/>
    <w:link w:val="CommentTextChar"/>
    <w:uiPriority w:val="99"/>
    <w:semiHidden/>
    <w:unhideWhenUsed/>
    <w:rsid w:val="00833267"/>
    <w:pPr>
      <w:spacing w:line="240" w:lineRule="auto"/>
    </w:pPr>
    <w:rPr>
      <w:sz w:val="20"/>
      <w:szCs w:val="20"/>
    </w:rPr>
  </w:style>
  <w:style w:type="character" w:customStyle="1" w:styleId="CommentTextChar">
    <w:name w:val="Comment Text Char"/>
    <w:basedOn w:val="DefaultParagraphFont"/>
    <w:link w:val="CommentText"/>
    <w:uiPriority w:val="99"/>
    <w:semiHidden/>
    <w:rsid w:val="00833267"/>
    <w:rPr>
      <w:sz w:val="20"/>
      <w:szCs w:val="20"/>
    </w:rPr>
  </w:style>
  <w:style w:type="paragraph" w:styleId="CommentSubject">
    <w:name w:val="annotation subject"/>
    <w:basedOn w:val="CommentText"/>
    <w:next w:val="CommentText"/>
    <w:link w:val="CommentSubjectChar"/>
    <w:uiPriority w:val="99"/>
    <w:semiHidden/>
    <w:unhideWhenUsed/>
    <w:rsid w:val="00833267"/>
    <w:rPr>
      <w:b/>
      <w:bCs/>
    </w:rPr>
  </w:style>
  <w:style w:type="character" w:customStyle="1" w:styleId="CommentSubjectChar">
    <w:name w:val="Comment Subject Char"/>
    <w:basedOn w:val="CommentTextChar"/>
    <w:link w:val="CommentSubject"/>
    <w:uiPriority w:val="99"/>
    <w:semiHidden/>
    <w:rsid w:val="00833267"/>
    <w:rPr>
      <w:b/>
      <w:bCs/>
      <w:sz w:val="20"/>
      <w:szCs w:val="20"/>
    </w:rPr>
  </w:style>
  <w:style w:type="paragraph" w:styleId="BalloonText">
    <w:name w:val="Balloon Text"/>
    <w:basedOn w:val="Normal"/>
    <w:link w:val="BalloonTextChar"/>
    <w:uiPriority w:val="99"/>
    <w:semiHidden/>
    <w:unhideWhenUsed/>
    <w:rsid w:val="00833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2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ma.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sma.europa.e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25</Pages>
  <Words>5909</Words>
  <Characters>33684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Goy (JMXG)</dc:creator>
  <cp:keywords/>
  <dc:description/>
  <cp:lastModifiedBy>François Baratte</cp:lastModifiedBy>
  <cp:revision>15</cp:revision>
  <cp:lastPrinted>2019-11-29T15:26:00Z</cp:lastPrinted>
  <dcterms:created xsi:type="dcterms:W3CDTF">2019-11-27T15:48:00Z</dcterms:created>
  <dcterms:modified xsi:type="dcterms:W3CDTF">2019-11-29T17:14:00Z</dcterms:modified>
</cp:coreProperties>
</file>