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Pidipagina"/>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Collegamentoipertestuale"/>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Tito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tc>
          <w:tcPr>
            <w:tcW w:w="5595" w:type="dxa"/>
            <w:shd w:val="clear" w:color="auto" w:fill="auto"/>
          </w:tcPr>
          <w:p w14:paraId="3C3E0A16" w14:textId="7D5487FF" w:rsidR="00C2682A" w:rsidRPr="00AB6D88" w:rsidRDefault="00324077" w:rsidP="00FA5524">
            <w:pPr>
              <w:rPr>
                <w:rStyle w:val="Testosegnaposto"/>
                <w:rFonts w:cs="Arial"/>
              </w:rPr>
            </w:pPr>
            <w:r>
              <w:rPr>
                <w:rStyle w:val="Testosegnaposto"/>
                <w:rFonts w:cs="Arial"/>
              </w:rPr>
              <w:t>Italian Banking Association (ABI)</w:t>
            </w:r>
          </w:p>
        </w:tc>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2F619D31" w:rsidR="00C2682A" w:rsidRPr="00AB6D88" w:rsidRDefault="003D7491"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24077">
                  <w:rPr>
                    <w:rFonts w:cs="Arial"/>
                  </w:rPr>
                  <w:t>Banking sector</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C3E0A1C" w14:textId="0776E2CA" w:rsidR="00C2682A" w:rsidRPr="00AB6D88" w:rsidRDefault="00324077"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289D6442" w:rsidR="00C2682A" w:rsidRPr="00AB6D88" w:rsidRDefault="00324077" w:rsidP="00FA5524">
                <w:pPr>
                  <w:rPr>
                    <w:rFonts w:cs="Arial"/>
                  </w:rPr>
                </w:pPr>
                <w:r>
                  <w:rPr>
                    <w:rFonts w:cs="Arial"/>
                  </w:rPr>
                  <w:t>Italy</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Titolo1"/>
        <w:numPr>
          <w:ilvl w:val="0"/>
          <w:numId w:val="0"/>
        </w:numPr>
        <w:ind w:left="431" w:hanging="431"/>
      </w:pPr>
      <w:r>
        <w:t>Introduction</w:t>
      </w:r>
    </w:p>
    <w:p w14:paraId="3C3E0A24" w14:textId="77777777" w:rsidR="00F87897" w:rsidRPr="001D47A5" w:rsidRDefault="00F87897" w:rsidP="00F87897">
      <w:pPr>
        <w:rPr>
          <w:rStyle w:val="Enfasiintensa"/>
        </w:rPr>
      </w:pPr>
      <w:r w:rsidRPr="001D47A5">
        <w:rPr>
          <w:rStyle w:val="Enfasiintensa"/>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3C3E0A27" w14:textId="77777777" w:rsidR="00F87897" w:rsidRDefault="00F87897" w:rsidP="00F87897">
      <w:permStart w:id="1594194160" w:edGrp="everyone"/>
      <w:r>
        <w:t>TYPE YOUR TEXT HERE</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1F5010D4" w14:textId="77777777" w:rsidR="00FB5ADE" w:rsidRDefault="00FB5ADE" w:rsidP="00FB5ADE">
      <w:permStart w:id="751114692" w:edGrp="everyone"/>
      <w:r>
        <w:t xml:space="preserve">The application of market abuse regulations to FX spot contracts does raise some concerns. We in fact agree with the issues highlighted by ESMA in that the principles set out in the MAR are not automatically and effectively applied in instances of manipulation of extremely liquid markets nor is consideration given to the difficulties each operator would have in assessing the sensitivity of the information in a real case where a market operator may have knowledge. </w:t>
      </w:r>
    </w:p>
    <w:p w14:paraId="5DA2584D" w14:textId="77777777" w:rsidR="00FB5ADE" w:rsidRDefault="00FB5ADE" w:rsidP="00FB5ADE">
      <w:r>
        <w:t>Therefore, ESMA’s proposal to expand the scope of application can only be made after a review of the Investment Services regulations (MiFID) and having pinpointed the circumstances and the evaluation methods of any unusual operations. This would have a consequent impact in terms of costs for "infrastructure" changes (e.g. record keeping and monitoring systems to detect any abnormalities) to be implemented.</w:t>
      </w:r>
    </w:p>
    <w:p w14:paraId="38226029" w14:textId="77777777" w:rsidR="00FB5ADE" w:rsidRDefault="00FB5ADE" w:rsidP="00FB5ADE">
      <w:r>
        <w:t xml:space="preserve">It is noted that the financial community has already identified the principles – recognised internationally as good practices – with which exchange market operators must comply. The FX Global Code (FXGC) aims to promote the integrity, transparency and liquidity of the market. </w:t>
      </w:r>
    </w:p>
    <w:p w14:paraId="19CFC4BC" w14:textId="77777777" w:rsidR="00FB5ADE" w:rsidRDefault="00FB5ADE" w:rsidP="00FB5ADE">
      <w:r>
        <w:t>We believe it appropriate to promote widespread adoption of the FX Global Code across the diverse and broad spectrum of market participants in order to foster the integrity and effective functioning of the foreign exchange market. It may also be appropriate to introduce forms of monitoring the actual adption of the code by market participants.</w:t>
      </w:r>
    </w:p>
    <w:p w14:paraId="3C3E0A2C" w14:textId="52BB30D8" w:rsidR="00A8728B" w:rsidRDefault="00FB5ADE" w:rsidP="00A8728B">
      <w:r>
        <w:t>On the occasion of the next revision of the FX Global Code, which is expected to start in 2020, greater attention can therefore be given to preventive measures and to the monitoring and identification of anomalous operations.</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6F0B637B" w:rsidR="00A8728B" w:rsidRDefault="00FB5ADE" w:rsidP="00A8728B">
      <w:permStart w:id="1040662039" w:edGrp="everyone"/>
      <w:r w:rsidRPr="00FB5ADE">
        <w:rPr>
          <w:lang w:val="en-US"/>
        </w:rPr>
        <w:t>Please</w:t>
      </w:r>
      <w:r>
        <w:rPr>
          <w:lang w:val="en-US"/>
        </w:rPr>
        <w:t xml:space="preserve">, refer to answer </w:t>
      </w:r>
      <w:r w:rsidR="00D51695">
        <w:rPr>
          <w:lang w:val="en-US"/>
        </w:rPr>
        <w:t>to Q1</w:t>
      </w:r>
      <w:r w:rsidR="005603F4">
        <w:rPr>
          <w:lang w:val="en-US"/>
        </w:rPr>
        <w:t>.</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77777777" w:rsidR="002E1760" w:rsidRDefault="002E1760" w:rsidP="002E1760">
      <w:permStart w:id="1114596086" w:edGrp="everyone"/>
      <w:r>
        <w:t>TYPE YOUR TEXT HERE</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lastRenderedPageBreak/>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6A595BEC" w14:textId="77777777" w:rsidR="00D51695" w:rsidRDefault="00D51695" w:rsidP="00D51695">
      <w:permStart w:id="707658946" w:edGrp="everyone"/>
      <w:r>
        <w:t xml:space="preserve">The ESMA proposal as stated in the paper raises some doubts about the actual simplification that may ensue for the issuer. The latter might encounter greater complexity as a result of the difficulty of identifying the so-called "most relevant market in terms of liquidity"; it should also be remembered that the issuer may not have requested admission in that market. </w:t>
      </w:r>
    </w:p>
    <w:p w14:paraId="0128612D" w14:textId="77777777" w:rsidR="00D51695" w:rsidRDefault="00D51695" w:rsidP="00D51695">
      <w:r>
        <w:t>So, while the ESMA proposal appears to simplify the issuer’s burden, since it identifies just one authority with whom to communicate, it also poses a problem because the “most relevant market in terms of liquidity” may not be immediately identifiable and would require continuous monitoring; it would also introduce greater complexity arising from the possibility that the competent authority might change from year to year.</w:t>
      </w:r>
    </w:p>
    <w:p w14:paraId="3C3E0A4A" w14:textId="0524B92B" w:rsidR="00A263DF" w:rsidRDefault="00D51695" w:rsidP="00A263DF">
      <w:r>
        <w:t>In reaffirming the need to amend the reporting mechanism under Article 5(3) of the MAR, we suggest, as an alternative to the options suggested by ESMA, that the competent authority who receives information about BBPs should be the authority already identified to fulfil the regulatory information communications requirements pursuant to the transparency rules, as implemented in Italy by the Consolidated Law of Finance (articles 1 w-quater and 113-ter).</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3C3E0A4F" w14:textId="08CE57CF" w:rsidR="00A263DF" w:rsidRDefault="00923060" w:rsidP="00A263DF">
      <w:permStart w:id="797404044" w:edGrp="everyone"/>
      <w:r w:rsidRPr="00923060">
        <w:rPr>
          <w:lang w:val="en-US"/>
        </w:rPr>
        <w:t>Please, refer to answer t</w:t>
      </w:r>
      <w:r>
        <w:rPr>
          <w:lang w:val="en-US"/>
        </w:rPr>
        <w:t>o Q7</w:t>
      </w:r>
      <w:r w:rsidR="005603F4">
        <w:rPr>
          <w:lang w:val="en-US"/>
        </w:rPr>
        <w:t>.</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lastRenderedPageBreak/>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4F92D3B5" w14:textId="77777777" w:rsidR="00566302" w:rsidRDefault="00566302" w:rsidP="00566302">
      <w:permStart w:id="1572474776" w:edGrp="everyone"/>
      <w:r>
        <w:t>We welcome the proposal to:</w:t>
      </w:r>
    </w:p>
    <w:p w14:paraId="4ED0B100" w14:textId="393B7E3C" w:rsidR="00566302" w:rsidRDefault="00566302" w:rsidP="00566302">
      <w:r>
        <w:t>- remove the references to the information specified by Article 25 (1) and (2) of the MiFIR and by Article 5 (3) of the MAR;</w:t>
      </w:r>
    </w:p>
    <w:p w14:paraId="3C3E0A54" w14:textId="2D47BAFA" w:rsidR="002E1760" w:rsidRDefault="00566302" w:rsidP="002E1760">
      <w:r>
        <w:t>- harmonise the information in the communications pursuant to the MAR and MiFIR and to restrict it to the 10 elements identified by ESMA.</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536FF31C" w:rsidR="008418E3" w:rsidRDefault="00566302" w:rsidP="008418E3">
      <w:permStart w:id="1766684248" w:edGrp="everyone"/>
      <w:r>
        <w:t>Please, refer to answer to Q9</w:t>
      </w:r>
      <w:r w:rsidR="005603F4">
        <w:t>.</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77777777" w:rsidR="00F469F8" w:rsidRDefault="00F469F8" w:rsidP="00F469F8">
      <w:permStart w:id="332164447" w:edGrp="everyone"/>
      <w:r>
        <w:t>TYPE YOUR TEXT HERE</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77777777" w:rsidR="00F469F8" w:rsidRDefault="00F469F8" w:rsidP="00F469F8">
      <w:permStart w:id="1943283503" w:edGrp="everyone"/>
      <w:r>
        <w:t>TYPE YOUR TEXT HERE</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5B2D6E49" w14:textId="3556A012" w:rsidR="008041A2" w:rsidRPr="008041A2" w:rsidRDefault="008041A2" w:rsidP="008041A2">
      <w:pPr>
        <w:rPr>
          <w:b/>
          <w:bCs/>
        </w:rPr>
      </w:pPr>
      <w:permStart w:id="770132907" w:edGrp="everyone"/>
      <w:r w:rsidRPr="008041A2">
        <w:rPr>
          <w:b/>
          <w:bCs/>
        </w:rPr>
        <w:t>1. General comments</w:t>
      </w:r>
    </w:p>
    <w:p w14:paraId="78ECD616" w14:textId="77777777" w:rsidR="008041A2" w:rsidRDefault="008041A2" w:rsidP="008041A2">
      <w:r>
        <w:t xml:space="preserve">In general, it can be said that the current definition of inside information provided by Article 7 of the MAR may lead to application difficulties particularly with the identification of the intermediate steps of a protracted process that, under the above article, can be considered as information of a precise nature. </w:t>
      </w:r>
    </w:p>
    <w:p w14:paraId="30DDF597" w14:textId="77777777" w:rsidR="008041A2" w:rsidRDefault="008041A2" w:rsidP="008041A2">
      <w:r>
        <w:t>We believe that a step in a protracted process can qualify as “precise” only if there can be reasonable certainty that the circumstance or the event that the process intends to carry out will actually materialise.</w:t>
      </w:r>
    </w:p>
    <w:p w14:paraId="4E237566" w14:textId="77777777" w:rsidR="008041A2" w:rsidRDefault="008041A2" w:rsidP="008041A2">
      <w:r>
        <w:t>Steps that are part of a protracted process whose completion is uncertain should therefore be excluded from the concept of intermediate steps.</w:t>
      </w:r>
    </w:p>
    <w:p w14:paraId="415BB833" w14:textId="77777777" w:rsidR="008041A2" w:rsidRDefault="008041A2" w:rsidP="008041A2">
      <w:r>
        <w:t>Again with regard to the precision requirement, we would argue that the notion of an intermediate step in a protracted process involves postponement of the moment when the information becomes inside information and of its disclosure, resulting in the disclosure of information not yet at maturity for release to the market. This creates disorienting conditions and possible misleading effects regarding potential developments in the project that were not foreseen at the time of disclosure of the intermediate step.</w:t>
      </w:r>
    </w:p>
    <w:p w14:paraId="76B656D0" w14:textId="77777777" w:rsidR="008041A2" w:rsidRDefault="008041A2" w:rsidP="008041A2">
      <w:r>
        <w:lastRenderedPageBreak/>
        <w:t xml:space="preserve">In view of the above, we suggest more clarification that the intermediate steps can meet the precision requirement only insofar it is extremely likely that the circumstance or the event that the process aims to effect will materialise. </w:t>
      </w:r>
    </w:p>
    <w:p w14:paraId="4C2D650B" w14:textId="77777777" w:rsidR="008041A2" w:rsidRDefault="008041A2" w:rsidP="008041A2">
      <w:r>
        <w:t xml:space="preserve">Finally, there is a need to clarify, within the primary legislation, that: </w:t>
      </w:r>
    </w:p>
    <w:p w14:paraId="048A3E07" w14:textId="77777777" w:rsidR="008041A2" w:rsidRDefault="008041A2" w:rsidP="008041A2">
      <w:r>
        <w:t>-</w:t>
      </w:r>
      <w:r>
        <w:tab/>
        <w:t>inside information (internal to the issuer) concerning operations subject to resolutions/final decisions by the competent body, should not be disclosed to the market before the adoption of the resolution/final decision by the competent body, performed in any case without prejudice to the issuer's obligation to protect inside information by opening up insider lists;</w:t>
      </w:r>
    </w:p>
    <w:p w14:paraId="467A3CA7" w14:textId="353C24F8" w:rsidR="008041A2" w:rsidRDefault="008041A2" w:rsidP="008041A2">
      <w:r>
        <w:t>-</w:t>
      </w:r>
      <w:r>
        <w:tab/>
        <w:t>inside information (external to the issuer) concerning non-final decisions, taken by the authorities, for measures previously communicated in draft form to the banks, should not be disclosed to the market before the adoption of the final measure by the authority, without prejudice to the issuer's obligation to protect inside information by opening up insider lists. (On the need for coordination between the authorities see below. See response to Q32).</w:t>
      </w:r>
    </w:p>
    <w:p w14:paraId="5F630D4B" w14:textId="77777777" w:rsidR="008041A2" w:rsidRDefault="008041A2" w:rsidP="008041A2"/>
    <w:p w14:paraId="5A75AFA7" w14:textId="728D63D7" w:rsidR="008041A2" w:rsidRPr="008041A2" w:rsidRDefault="008041A2" w:rsidP="008041A2">
      <w:pPr>
        <w:rPr>
          <w:b/>
          <w:bCs/>
        </w:rPr>
      </w:pPr>
      <w:r w:rsidRPr="008041A2">
        <w:rPr>
          <w:b/>
          <w:bCs/>
        </w:rPr>
        <w:t>2. Disclosure of inside information related to Pillar II requirements and MREL</w:t>
      </w:r>
    </w:p>
    <w:p w14:paraId="6FE08377" w14:textId="77777777" w:rsidR="008041A2" w:rsidRDefault="008041A2" w:rsidP="008041A2">
      <w:r>
        <w:t>Issuer banks have expressed concerns about the assessment of the requirements that qualify certain types of information as "inside information. These types of information undoubtedly include those relating to the results of the “Pillar II Assessment”, as well as information received in connection with the exercise of the Minimum Requirements for own funds and Eligible Liabilities (MREL).</w:t>
      </w:r>
    </w:p>
    <w:p w14:paraId="1320585B" w14:textId="77777777" w:rsidR="008041A2" w:rsidRDefault="008041A2" w:rsidP="008041A2">
      <w:r>
        <w:t>In the Q&amp;A on the MAR, ESMA has explained that, in the context of the Supervisory Review and Evaluation Process (SREP) to be carried out in accordance with Article 97 of EU Directive 2013/36 (CRD IV), “whenever a credit institution subject to the market abuse regime is made aware of information, notably the results of the exercise, it is expected to evaluate whether that information meets the criteria of inside information”. This suggests that it is primarily the result of the process that can arrange inside information to be treated in accordance with the MAR.</w:t>
      </w:r>
    </w:p>
    <w:p w14:paraId="5AEA52BB" w14:textId="77777777" w:rsidR="008041A2" w:rsidRDefault="008041A2" w:rsidP="008041A2">
      <w:r>
        <w:t xml:space="preserve">Therefore it is the result of the SREP process that can configure an inside information to be treated according to the MAR. </w:t>
      </w:r>
    </w:p>
    <w:p w14:paraId="6A74A832" w14:textId="77777777" w:rsidR="008041A2" w:rsidRDefault="008041A2" w:rsidP="008041A2">
      <w:r>
        <w:t xml:space="preserve">In Italy, with the publication of Consob Communication No. 5 of 15 March 2019, it was established that the evaluation of the inside nature of the information concerning the SREP outcome, and in particular the precision and materiality requirements provided by Article 7 of the MAR, should be conducted throughout the execution of the SREP also with reference to the information contained in the draft SREP letter. </w:t>
      </w:r>
    </w:p>
    <w:p w14:paraId="18658552" w14:textId="77777777" w:rsidR="008041A2" w:rsidRDefault="008041A2" w:rsidP="008041A2">
      <w:r>
        <w:t>In this regard we have misgivings about the arrangement of inside information in view of the SREP draft letter, by reason of the non-definitive nature of the document and its content, which is formed only as the outcome of a structured comparison process between the Authority and the issuer. There is thus a possibility, which cannot be excluded a priori, that the initial content may undergo significant changes. More generally, the draft nature of the preliminary document received by the issuer is not suitable for disclosure to the public and, where it is amended in the ECB’s final SREP letter, it could even be misleading for the market. This is also because of the confidentiality constraints imposed by the Authority and the possibility that relations with the latter and the successful outcome of the ongoing discussion could be adversely affected.</w:t>
      </w:r>
    </w:p>
    <w:p w14:paraId="09B857A2" w14:textId="77777777" w:rsidR="008041A2" w:rsidRDefault="008041A2" w:rsidP="008041A2">
      <w:r>
        <w:t>Given that the results of the SREP process – with which the banks must comply – are those indicated only in the final SREP letter and that is the SSM Council that precisely defines them, we believe that it is only the final communication, released formally by the ECB, that shall determine the precision of the information with its related reporting obligations to the market, i.e. the activation of the delay operation under the appropriate conditions.</w:t>
      </w:r>
    </w:p>
    <w:p w14:paraId="0006A837" w14:textId="77777777" w:rsidR="008041A2" w:rsidRDefault="008041A2" w:rsidP="008041A2">
      <w:r>
        <w:t>Therefore, we can say that the information in the draft SREP letter cannot by definition represent the character of the precision examined in terms of privileged nature pursuant to Article 7 of the MAR. This is in view of the ECB's power to adopt a different decision until the final communication of the measure, considering also that a dialogue phase between the issuer and the ECB is foreseen and, in some respects, expected, which may change the information advanced by the latter.</w:t>
      </w:r>
    </w:p>
    <w:p w14:paraId="1A6FE89A" w14:textId="77777777" w:rsidR="008041A2" w:rsidRDefault="008041A2" w:rsidP="008041A2">
      <w:r>
        <w:t>On the basis of these considerations it would be appropriate that the Level 1 regulations should clarify that the information from the supervisory activities performed on the banks be analysed in order to verify the existence of requirements that make that information inside information, only at the end of the supervisory process. This is to ensure the equal treatment of banks at European level.</w:t>
      </w:r>
    </w:p>
    <w:p w14:paraId="0F076B4C" w14:textId="77777777" w:rsidR="008041A2" w:rsidRDefault="008041A2" w:rsidP="008041A2"/>
    <w:p w14:paraId="523B0C46" w14:textId="3777EE8D" w:rsidR="008041A2" w:rsidRPr="008041A2" w:rsidRDefault="008041A2" w:rsidP="008041A2">
      <w:pPr>
        <w:rPr>
          <w:b/>
          <w:bCs/>
        </w:rPr>
      </w:pPr>
      <w:r w:rsidRPr="008041A2">
        <w:rPr>
          <w:b/>
          <w:bCs/>
        </w:rPr>
        <w:t>3. Inside Information connected to legal and regulatory proceedings</w:t>
      </w:r>
    </w:p>
    <w:p w14:paraId="3E52C6FE" w14:textId="77777777" w:rsidR="008041A2" w:rsidRDefault="008041A2" w:rsidP="008041A2">
      <w:r>
        <w:lastRenderedPageBreak/>
        <w:t xml:space="preserve">A listed issuer may experience difficulties in the assessment of the inside nature of information and the moment in which this nature is acquired, especially in situations where there is a protracted process and the separate steps are not in the domain of the issuer but are determined by an external party. This is often the case for any relevant litigation where the issuer stands as defendant or in investigations or sanction proceedings by National or foreign Regulatory Authorities. It must be noted that the above mentioned situations may protract for years and the initial notices received by the issuer usually do not allow to assess the potential outcome of the proceeding; even at further stages there is usually a high degree of uncertainty on the outcome, until the final decisions by a Court or a Regulator are communicated. </w:t>
      </w:r>
    </w:p>
    <w:p w14:paraId="08A8E5AE" w14:textId="1729EC2F" w:rsidR="008041A2" w:rsidRDefault="008041A2" w:rsidP="008041A2">
      <w:r>
        <w:t xml:space="preserve">Although the start of such proceedings may be deemed as a potential inside information, the likelihood and the economic impact of the final outcome of them are usually difficult to assess and in such cases any communication to the market by the issuer of the information regarding the starting of the proceeding is likely to generate confusion and potentially a negative overreaction by the market for an event whose definitive results will be known only a long time after. In some </w:t>
      </w:r>
      <w:r w:rsidR="003D7491">
        <w:t>situations,</w:t>
      </w:r>
      <w:r>
        <w:t xml:space="preserve"> a public announcement by the issuer could also impair its ability to defend itself from the allegations and/or to negotiate with Authorities. With reference also to Q26, the considerations above should be at least taken into account as reasons for delay. It is worth noting that the ESMA MAR Guidelines on delay do not mention the legal or regulatory proceedings as contexts in which a </w:t>
      </w:r>
      <w:r w:rsidR="003D7491">
        <w:t>legitimate interest</w:t>
      </w:r>
      <w:r>
        <w:t xml:space="preserve"> for delay may arise.</w:t>
      </w:r>
    </w:p>
    <w:p w14:paraId="527FEACC" w14:textId="77777777" w:rsidR="008041A2" w:rsidRDefault="008041A2" w:rsidP="008041A2">
      <w:r>
        <w:t>The above type of events are also widely disclosed as risks in the offering documentations and the potential outcomes are covered with specific provisions in the financial reports; those type of disclosures should be considered in order to exclude the additional disclosure of the inside information at the starting of the proceeding and in the following steps before the final outcome is known by the issuer.</w:t>
      </w:r>
    </w:p>
    <w:p w14:paraId="20E748DC" w14:textId="77777777" w:rsidR="008041A2" w:rsidRDefault="008041A2" w:rsidP="008041A2"/>
    <w:p w14:paraId="105F82DB" w14:textId="0F84455A" w:rsidR="008041A2" w:rsidRPr="008041A2" w:rsidRDefault="008041A2" w:rsidP="008041A2">
      <w:pPr>
        <w:rPr>
          <w:b/>
          <w:bCs/>
        </w:rPr>
      </w:pPr>
      <w:r w:rsidRPr="008041A2">
        <w:rPr>
          <w:b/>
          <w:bCs/>
        </w:rPr>
        <w:t>4. Separate assessment of inside information for disclosure vs monitoring purposes</w:t>
      </w:r>
    </w:p>
    <w:p w14:paraId="3B2BD0DE" w14:textId="67069211" w:rsidR="008041A2" w:rsidRDefault="008041A2" w:rsidP="008041A2">
      <w:r>
        <w:t xml:space="preserve">The assessment of the moment in which information becomes inside information for the purpose of immediate or delayed disclosure by the issuer is of a complex nature and it must be clarified if the assessment from the issuer side  is to be considered relevant also for the parallel assessment for monitoring purposes regarding the moment when a person may be deemed in possession of inside information and has become insider. In fact, if both </w:t>
      </w:r>
      <w:r w:rsidR="003D7491">
        <w:t>assessments</w:t>
      </w:r>
      <w:r>
        <w:t xml:space="preserve"> must be aligned, there is an objective risk that the monitoring of insiders would start too late in time, respect the normal preparatory work in which insiders will be involved. In theory, in the normal condition in which the issuer disclose the inside information without delay, the monitoring of insiders would not start at all.</w:t>
      </w:r>
    </w:p>
    <w:p w14:paraId="1989E666" w14:textId="77777777" w:rsidR="003D7491" w:rsidRDefault="008041A2" w:rsidP="00646C30">
      <w:r>
        <w:t>There should be a dual regime for monitoring and disclosure purpose, differentiating the time in which the progressive formation of an information is checked through the insider list from the subsequent moment in which the conditions for the immediate disclosure or delaying occur</w:t>
      </w:r>
      <w:r w:rsidR="003D7491">
        <w:t>.</w:t>
      </w:r>
    </w:p>
    <w:p w14:paraId="3C3E0A68" w14:textId="48C70944" w:rsidR="00646C30" w:rsidRDefault="003D7491" w:rsidP="00646C30">
      <w:r>
        <w:t>Please refer also to answer to Q14</w:t>
      </w:r>
      <w:r w:rsidR="008041A2">
        <w:t>.</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3C3E0A6D" w14:textId="14A9E5FA" w:rsidR="00646C30" w:rsidRDefault="003D7491" w:rsidP="00646C30">
      <w:permStart w:id="416102086" w:edGrp="everyone"/>
      <w:r>
        <w:t xml:space="preserve"> W</w:t>
      </w:r>
      <w:r w:rsidRPr="003D7491">
        <w:t>e think that</w:t>
      </w:r>
      <w:r>
        <w:t xml:space="preserve"> ESMA should asses the usefulness of </w:t>
      </w:r>
      <w:r w:rsidRPr="003D7491">
        <w:t>a distinction between the definition of inside information for the purpose of market abuse prohibition and for the disclosure obligations, as the use of a single definition forces a disclosure at an early stage, creating uncertainty on when an information becomes “inside information”; therefore, increasing the risk that issuers will be in breach of disclosure obligation and of market abuse prohibitions.</w:t>
      </w:r>
      <w:r>
        <w:t xml:space="preserve"> See also answer to Q13</w:t>
      </w:r>
      <w:bookmarkStart w:id="3" w:name="_GoBack"/>
      <w:bookmarkEnd w:id="3"/>
      <w:r>
        <w:t xml:space="preserve"> </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77777777" w:rsidR="00646C30" w:rsidRDefault="00646C30" w:rsidP="00646C30">
      <w:permStart w:id="831264800" w:edGrp="everyone"/>
      <w:r>
        <w:lastRenderedPageBreak/>
        <w:t>TYPE YOUR TEXT HERE</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lastRenderedPageBreak/>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47494782" w14:textId="77777777" w:rsidR="00D06054" w:rsidRDefault="00D06054" w:rsidP="00D06054">
      <w:permStart w:id="611875542" w:edGrp="everyone"/>
      <w:r>
        <w:t xml:space="preserve">Under Article 17 of the MAR, the disclosure of inside information that directly concerns the issuer must take place as soon as possible, subject to the issuer's right to delay notification given the following conditions: i) immediate disclosure will prejudice the legitimate interests of the issuer; ii) the delay of the disclosure is not misleading to the public; iii) the issuer is able to ensure the confidentiality of this information. </w:t>
      </w:r>
    </w:p>
    <w:p w14:paraId="61491F17" w14:textId="77777777" w:rsidR="00D06054" w:rsidRDefault="00D06054" w:rsidP="00D06054">
      <w:r>
        <w:t xml:space="preserve">With regard to legitimate interests, those encompassed by recital 50 of the MAR include decisions that require approval by a body other than the one that took the decision, on condition that the disclosure of the information before such approval, together with the simultaneous announcement that this approval is still pending, could compromise the public’s proper evaluation of the information.  </w:t>
      </w:r>
    </w:p>
    <w:p w14:paraId="4D3A9F87" w14:textId="77777777" w:rsidR="00D06054" w:rsidRDefault="00D06054" w:rsidP="00D06054">
      <w:r>
        <w:t xml:space="preserve">In its implementation of the mandate attributed by the MAR, ESMA included within the Guidelines an indicative list of legitimate interests and situations in which delay is considered misleading to the public. </w:t>
      </w:r>
    </w:p>
    <w:p w14:paraId="5D06E6A4" w14:textId="77777777" w:rsidR="00D06054" w:rsidRDefault="00D06054" w:rsidP="00D06054">
      <w:r>
        <w:t>In this regard there is an objective difficulty in meeting the condition of “non-misleadingness”, given that information is in fact inside information if it can influence the decisions of a reasonable investor; so any delay in the disclosure of inside information would itself risk being misleading for the market as it would deprive investors of information relevant to their decisions.</w:t>
      </w:r>
    </w:p>
    <w:p w14:paraId="6CCB114B" w14:textId="77777777" w:rsidR="00D06054" w:rsidRDefault="00D06054" w:rsidP="00D06054">
      <w:r>
        <w:t xml:space="preserve">However, there are conflicting views of the use of delay. </w:t>
      </w:r>
    </w:p>
    <w:p w14:paraId="456363C8" w14:textId="77777777" w:rsidR="00D06054" w:rsidRDefault="00D06054" w:rsidP="00D06054">
      <w:r>
        <w:t xml:space="preserve">While the Italian authority has declared itself in favour of use of the delay including physiologically, ESMA has instead sanctioned the contrasting principle, i.e. the exceptional use of delay. </w:t>
      </w:r>
    </w:p>
    <w:p w14:paraId="10F7BB1D" w14:textId="77777777" w:rsidR="00D06054" w:rsidRDefault="00D06054" w:rsidP="00D06054">
      <w:r>
        <w:t>Taking account of the foregoing, we propose, at primary legislation level, the amendment of the delay conditions and provision for the following changes:</w:t>
      </w:r>
    </w:p>
    <w:p w14:paraId="0AD1F7A5" w14:textId="0B70618A" w:rsidR="00D06054" w:rsidRDefault="00D06054" w:rsidP="00D06054">
      <w:r>
        <w:lastRenderedPageBreak/>
        <w:t xml:space="preserve">- abolish the “non-misleadingness” condition for the public; </w:t>
      </w:r>
    </w:p>
    <w:p w14:paraId="3C3E0AA4" w14:textId="003034AB" w:rsidR="00646C30" w:rsidRDefault="00D06054" w:rsidP="00646C30">
      <w:r>
        <w:t>- clarify that the duty to disclose information related to instances that require the formal approval of a body arises only after the final approval by the competent body. This clarification would allow the issuer to defer disclosure to the market without having to apply the delay. However, the issuer would still be obliged to protect inside information by opening up insider lists and the conduct of anyone taking advantage of such information to commit market abuse would be punishable.</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5BA49188" w:rsidR="00646C30" w:rsidRDefault="00D06054" w:rsidP="00646C30">
      <w:permStart w:id="1829000557" w:edGrp="everyone"/>
      <w:r w:rsidRPr="00D06054">
        <w:rPr>
          <w:lang w:val="en-US"/>
        </w:rPr>
        <w:t>Please, refer to</w:t>
      </w:r>
      <w:r>
        <w:rPr>
          <w:lang w:val="en-US"/>
        </w:rPr>
        <w:t xml:space="preserve"> answer to Q25</w:t>
      </w:r>
      <w:r w:rsidR="005603F4">
        <w:rPr>
          <w:lang w:val="en-US"/>
        </w:rPr>
        <w:t>.</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7048D8C5" w14:textId="77777777" w:rsidR="00444035" w:rsidRDefault="00444035" w:rsidP="00444035">
      <w:permStart w:id="1678079242" w:edGrp="everyone"/>
      <w:r>
        <w:t>The ESMA proposal is acceptable as long as care is taken not to bring detailed indications about the procedures to be adopted into European primary legislation. It indeed remains the issuer’s responsibility to adopt safeguards, as well as organisational and procedural systems and mechanisms that are more consistent with their systems of governance.</w:t>
      </w:r>
    </w:p>
    <w:p w14:paraId="3C3E0AAE" w14:textId="35B1020A" w:rsidR="00646C30" w:rsidRDefault="00444035" w:rsidP="00646C30">
      <w:r>
        <w:t>Furthermore, we note that in Italy, these recommendations have already been provided by Consob in the “Guidelines on the management of inside information” of 13 October 2017. Similar recommendations have also been published by other Member States. These guidelines provided by national authorities assist in the definition of the inside information management process, giving issuers the freedom to define internal organisational criteria or remedies that may differ from those described here.</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5BBD3ABB" w:rsidR="00646C30" w:rsidRDefault="00444035" w:rsidP="00646C30">
      <w:permStart w:id="266360711" w:edGrp="everyone"/>
      <w:r w:rsidRPr="00444035">
        <w:rPr>
          <w:lang w:val="en-US"/>
        </w:rPr>
        <w:t>Please, refer to a</w:t>
      </w:r>
      <w:r>
        <w:rPr>
          <w:lang w:val="en-US"/>
        </w:rPr>
        <w:t>nswer to Q27.</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1F1AF476" w:rsidR="00646C30" w:rsidRDefault="00F761DA" w:rsidP="00646C30">
      <w:permStart w:id="1420902335" w:edGrp="everyone"/>
      <w:r w:rsidRPr="00F761DA">
        <w:t>The proposal to notify the authority of information that the issuer has decided to use delay on and which later loses its inside nature is not welcomed because the authority still has the right, in accordance with Article 18(1)(c) of the MAR, to ask the issuer to send it the lists of persons with access to inside information.</w:t>
      </w:r>
      <w:permEnd w:id="1420902335"/>
    </w:p>
    <w:p w14:paraId="3C3E0AB9" w14:textId="77777777" w:rsidR="00646C30" w:rsidRDefault="00646C30" w:rsidP="00646C30">
      <w:r>
        <w:lastRenderedPageBreak/>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277BB086" w:rsidR="00646C30" w:rsidRDefault="00F761DA" w:rsidP="00646C30">
      <w:permStart w:id="610084603" w:edGrp="everyone"/>
      <w:r w:rsidRPr="00F761DA">
        <w:t>Further to what mentioned in</w:t>
      </w:r>
      <w:r>
        <w:t xml:space="preserve"> Q13</w:t>
      </w:r>
      <w:r w:rsidRPr="00F761DA">
        <w:t xml:space="preserve"> on disclosure of inside information related to Pillar II requirements and MREL,  it would be desirable also to introduce a legal provision that obliges the EU supervisory and market authorities to share jointly and in advance the rules on information to be published and the terms of publication</w:t>
      </w:r>
      <w:r w:rsidR="00473533">
        <w:t>.</w:t>
      </w:r>
      <w:r w:rsidRPr="00F761DA">
        <w:t>.</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1BB600C1" w14:textId="77777777" w:rsidR="003A0858" w:rsidRDefault="003A0858" w:rsidP="003A0858">
      <w:permStart w:id="1371158119" w:edGrp="everyone"/>
      <w:r>
        <w:t>In line with the approach taken by other international industry groups (i.e.. ICMA, AFME), we do not agree with a proposal to make MAR Art.11 mandatory. We agree that clarity in the Regulation regarding the mandatory or voluntary nature of Art. 11 and related regulations and guidance would be welcomed. However, in our opinion, it would be a better solution to consider the rules as a voluntary “safe harbour” which we understand was always the intention of the regulator. Therefore, considering:</w:t>
      </w:r>
    </w:p>
    <w:p w14:paraId="3047ADE7" w14:textId="2B8BFDC7" w:rsidR="003A0858" w:rsidRDefault="003A0858" w:rsidP="003A0858">
      <w:r>
        <w:t>a) The already heavy record keeping requirements European financial institutions are subject to;</w:t>
      </w:r>
    </w:p>
    <w:p w14:paraId="48E73CD3" w14:textId="548D0106" w:rsidR="003A0858" w:rsidRDefault="003A0858" w:rsidP="003A0858">
      <w:r>
        <w:t xml:space="preserve">b) The rules regarding the prohibition of unlawful disclosure of inside information; </w:t>
      </w:r>
    </w:p>
    <w:p w14:paraId="6A15568C" w14:textId="3386C6FF" w:rsidR="003A0858" w:rsidRDefault="003A0858" w:rsidP="003A0858">
      <w:r>
        <w:t>c) The fact that, in our experience, most financial institutions already take a cautious approach and treat article 11 as mandatory anyway and have the market soundings process in Art. 11 MAR fully mirrored in their internal policies and procedures.</w:t>
      </w:r>
    </w:p>
    <w:p w14:paraId="4FA62847" w14:textId="77777777" w:rsidR="003A0858" w:rsidRDefault="003A0858" w:rsidP="003A0858">
      <w:r>
        <w:t>We believe that there is benefit in a voluntary “safe harbour” approach which will allow market participants the needed flexibility and adaptability without compromising the aims of the Regulation and Art. 11.</w:t>
      </w:r>
    </w:p>
    <w:p w14:paraId="34640974" w14:textId="77777777" w:rsidR="003A0858" w:rsidRDefault="003A0858" w:rsidP="003A0858">
      <w:r>
        <w:t xml:space="preserve">Another point to note is the due consideration required to the consequences of making Art.11 mandatory. In particular, how it may accelerate the trend started since MAR was implemented and which has consisted in a large increase of investors who are not willing to receive market soundings, either in general or for specific transactions and consequently making more difficult, for smaller companies, to access the </w:t>
      </w:r>
      <w:r>
        <w:lastRenderedPageBreak/>
        <w:t>market and find demand for their financing. In that sense, we share the views in the industry that market soundings rules are generally a disproportionate burden for primary market players, especially in the Emerging Markets and High Yield segments and may discourage issuances.</w:t>
      </w:r>
    </w:p>
    <w:p w14:paraId="7CCB82ED" w14:textId="77777777" w:rsidR="003A0858" w:rsidRDefault="003A0858" w:rsidP="003A0858">
      <w:r>
        <w:t>In our opinion, the obligation to comply with Market Soundings rules, even when the information disclosed does not constitute inside information, is a disproportionate burden for the benefits it may achieve and should, therefore, not be regulated by MAR. In particular we note the undue burden it has already created in the European Private Placement market which is essential to European companies.</w:t>
      </w:r>
    </w:p>
    <w:p w14:paraId="3C3E0ACC" w14:textId="0A6E2AE1" w:rsidR="00646C30" w:rsidRDefault="003A0858" w:rsidP="00646C30">
      <w:r>
        <w:t>Therefore, if the precepts of Art.11 MAR are nevertheless made explicitly mandatory in an eventual EU review of MAR, we believe they should be made mandatory only for situations when inside information is disclosed and left as a voluntary safe harbour for other situations (i.e. when no inside information is disclosed).</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29F9DF44" w14:textId="77777777" w:rsidR="001E56AA" w:rsidRDefault="001E56AA" w:rsidP="001E56AA">
      <w:permStart w:id="146477293" w:edGrp="everyone"/>
      <w:r>
        <w:t>In line with the proposed amendments in the SME listing package referenced in footnote 47 of the CP, we agree that communications “…for the purposes of negotiating the contractual terms and conditions…” should not be considered a Market Sounding for the purposes of Art.11 MAR. We believe this is already understood by the market and not only for the SME sector. Therefore:</w:t>
      </w:r>
    </w:p>
    <w:p w14:paraId="71F6F88F" w14:textId="233F054B" w:rsidR="001E56AA" w:rsidRDefault="001E56AA" w:rsidP="001E56AA">
      <w:r>
        <w:t>• Any changes to MAR should aim to extend the SME explicit clarification to all markets soundings. In any case, we do not think this would be a change to existing rules but rather a clarification since exclusion of “negotiations” from market sounding rules is already understood.</w:t>
      </w:r>
    </w:p>
    <w:p w14:paraId="2AAA8361" w14:textId="70899226" w:rsidR="001E56AA" w:rsidRDefault="001E56AA" w:rsidP="001E56AA">
      <w:r>
        <w:t>• Besides, and more importantly, further clarification is required for the more pressing issue of what “negotiating” exactly means and when a communication can be considered to be “for the purpose of negotiating”.</w:t>
      </w:r>
    </w:p>
    <w:p w14:paraId="6A7EFCC6" w14:textId="77777777" w:rsidR="001E56AA" w:rsidRDefault="001E56AA" w:rsidP="001E56AA">
      <w:r>
        <w:t>More generally, we are of the opinion that market sounding where inside information is not communicated should be removed from the scope of the rules. As an example of the disproportionate complications this type of soundings create, we would highlight the common cases of bond issuances where the issuers are private companies not listed in a stock exchange but who might have some debt instrument listed although usually not traded. See also answer to Q33.</w:t>
      </w:r>
    </w:p>
    <w:p w14:paraId="3C3E0AD1" w14:textId="24B41E49" w:rsidR="00646C30" w:rsidRDefault="001E56AA" w:rsidP="00646C30">
      <w:r>
        <w:t>These situations are technically in scope of MAR and its Art.11. However, considering that there is no price or market for the listed instruments, it is very unlikely that such information would have an impact on the market and involve inside information. Therefore, subjecting these situations to market soundings just because of a single technical listing when the likelihood of inside information occurring is so low, constitute a disproportionate burden. If the purpose of including market sounding without inside information in scope of the rules was to capture situations where inside information may have been mistakenly not categorised as such, as we explained with this example, the likelihood of inside information even arising in first place is so low that they should not be in scope of Art.11 MAR.</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63B5F6BB" w14:textId="77777777" w:rsidR="00ED4DA4" w:rsidRDefault="00ED4DA4" w:rsidP="00ED4DA4">
      <w:permStart w:id="73213744" w:edGrp="everyone"/>
      <w:r>
        <w:t xml:space="preserve">We are not aware or can think of any other scenario that should be covered by the market sounding rules beyond what is already covered. </w:t>
      </w:r>
    </w:p>
    <w:p w14:paraId="3C3E0AD6" w14:textId="56C749E9" w:rsidR="00646C30" w:rsidRDefault="00ED4DA4" w:rsidP="00646C30">
      <w:r>
        <w:t xml:space="preserve">However, we believe ESMA should provide further guidance or views regarding situations where confidential (inside or not) information in relation to a possible transaction is disclosed to potential investors but a </w:t>
      </w:r>
      <w:r>
        <w:lastRenderedPageBreak/>
        <w:t>market sounding does not happen because, for example, there is no intention to “gauge” the market. This could involve situations where, for example, the issuer has already agreed the terms of a transaction with a financial institution or an advisor or on their own and they scout the market looking for buyers rather than to gather information from investors in order to define the terms and conditions of a future transaction.</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60FD59CF" w14:textId="77777777" w:rsidR="00ED4DA4" w:rsidRDefault="00ED4DA4" w:rsidP="00ED4DA4">
      <w:permStart w:id="720899510" w:edGrp="everyone"/>
      <w:r>
        <w:t xml:space="preserve">Based on the information collected by our member banks, the reference to the announcement is not very fortunate and creates confusion. For example, would a public announcement that does not disclose the full confidential information provided to investors be enough to categorise further conversations with investors as not falling in scope of market sounding rules even if they meet all the other elements of the market sounding definition? If the “announcement” is indeed a clear boundary, after which, no market sounding can occur, regardless of circumstances, this should be clearly stated. In our view, this section of the Regulation makes an assumption that is mostly true, but not always, i.e. that “the announcement” of a transaction will make public all confidential information and that conversations after that moment are no longer to “gauge” the market. </w:t>
      </w:r>
    </w:p>
    <w:p w14:paraId="3C3E0ADB" w14:textId="726B3DDA" w:rsidR="00646C30" w:rsidRDefault="00ED4DA4" w:rsidP="00646C30">
      <w:r>
        <w:t>In our opinion, the announcement is not really the relevant element since many transactions currently captured by the rules do not have an “announcement” (see private placement market). Therefore, it would make more sense to clarify if the important element of any sounding is that there is a “communication of information”. And in this sense, we would welcome clarity regarding the definition of such concept and whether it captures only situations where non-public information is communicated to investors. In our opinion, if market sounding communications do not disclose any private information, then there is no reason to subject such conversations to such burdensome record keeping requirements.</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7AF9CC15" w14:textId="77777777" w:rsidR="003A749D" w:rsidRDefault="003A749D" w:rsidP="003A749D">
      <w:permStart w:id="427762830" w:edGrp="everyone"/>
      <w:r>
        <w:t xml:space="preserve">Please see our responses to other questions, including to Q.33 and our reference to the increase in investors who do not want to receive Market Soundings. </w:t>
      </w:r>
    </w:p>
    <w:p w14:paraId="5C1735EB" w14:textId="77777777" w:rsidR="003A749D" w:rsidRDefault="003A749D" w:rsidP="003A749D">
      <w:r>
        <w:t>This increase, although slightly modulated over time due to different adaptive practices arising in the market since the implementation of MAR, has been especially significant with smaller investors who may not be as sophisticated as the large one or may not have the resources to manage the Market Soundings received. These types of smaller investors are actually key players in supporting transactions by first time/lower rated/less known issuers. In particular, we would mention that this trend has been more exacerbated in the Private Placement market where most Market Soundings tend to be without inside information but investors are anyway not keen to receive market soundings. See also our answer to Q.38.</w:t>
      </w:r>
    </w:p>
    <w:p w14:paraId="3C3E0AE0" w14:textId="017C4E9E" w:rsidR="00646C30" w:rsidRDefault="003A749D" w:rsidP="00646C30">
      <w:r>
        <w:t>We note positively, here the current work regarding amendments to the SME listing package regulatory regime.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 xml:space="preserve">Can you provide your views on how to simplify or improve the market sounding procedure and requirements while ensuring an adequate level of audit trail of the </w:t>
      </w:r>
      <w:r w:rsidRPr="001B2FC9">
        <w:lastRenderedPageBreak/>
        <w:t>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0D434AA3" w14:textId="77777777" w:rsidR="003A749D" w:rsidRDefault="003A749D" w:rsidP="003A749D">
      <w:permStart w:id="2098217667" w:edGrp="everyone"/>
      <w:r>
        <w:t>We believe that the ESMA proposal to simplify the procedures for the conduct of market soundings should be welcomed. This could also result in an increase in the number of people willing to receive a market sounding.</w:t>
      </w:r>
    </w:p>
    <w:p w14:paraId="69930682" w14:textId="77777777" w:rsidR="003A749D" w:rsidRDefault="003A749D" w:rsidP="003A749D">
      <w:r>
        <w:t>Considering the robust regime MAR has implemented regarding market soundings which forces market practitioners to conduct a comprehensive process of analysis, review and internal consultation before doing/receiving a market sounding, we believe (and we have observed it in practice) that phone calls are not always an optimal method to approach investors. Also, in our experience, investors may not be willing to be sounded on the phone and, at least for certain debt transactions, email is also an important method to conduct market soundings.</w:t>
      </w:r>
    </w:p>
    <w:p w14:paraId="486DAB60" w14:textId="77777777" w:rsidR="003A749D" w:rsidRDefault="003A749D" w:rsidP="003A749D">
      <w:r>
        <w:t>More importantly, clarification might be needed regarding what “communications of information” need to be recorded (in recorded telephone lines or by other means). In particular, and to avoid unnecessary record keeping burden, we would welcome a clarification of this point explaining if a) all communications (from the initial conversation until the time of announcement) should be recorded; b) only those conversations where any kind of information is communicated to potential investors or c) only those conversations where non-public information is disclosed to potential investors. See also our answer to Q.36.</w:t>
      </w:r>
    </w:p>
    <w:p w14:paraId="32546F45" w14:textId="77777777" w:rsidR="003A749D" w:rsidRDefault="003A749D" w:rsidP="003A749D">
      <w:r>
        <w:t>In parallel, the EU Council’s recent approval of a proposal for a Regulation containing amendments to the MAR and the Prospectus Regulation, intended to bring greater proportionality to the obligations imposed on issuers in SME growth markets, generates some further considerations on the review of market soundings regulation.</w:t>
      </w:r>
    </w:p>
    <w:p w14:paraId="6C3D8B65" w14:textId="77777777" w:rsidR="003A749D" w:rsidRDefault="003A749D" w:rsidP="003A749D">
      <w:r>
        <w:t xml:space="preserve">In particular, Article 11 of the MAR will be amended to exempt from the market soundings regime those bond offers, addressed exclusively to qualified investors, of an issuer whose financial instruments are already admitted to trading on a trading venue. </w:t>
      </w:r>
    </w:p>
    <w:p w14:paraId="3C3E0AE5" w14:textId="1019A006" w:rsidR="00646C30" w:rsidRDefault="003A749D" w:rsidP="00646C30">
      <w:r>
        <w:t>However, as already stated in response to the European Commission's consultation on the proposed Regulation, we believe that this change can be even more effective if it is also extended to private bond (or share) placements for which a request for admission to trading of these instruments has been initiated. This would help facilitate access to capital markets for enterprises making their first ever offer aimed solely at qualified investors, who themselves are also aware that the information supplied to them cannot be disclosed. This change would also be in line with the principle set out in the MAR whereby the regulation therein applies as much to financial instruments admitted to trading (on regulated markets and on MTFs) as to those for which a request for admission to trading has been submitted.</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0B235AC7" w14:textId="77777777" w:rsidR="009145E1" w:rsidRDefault="009145E1" w:rsidP="009145E1">
      <w:permStart w:id="1933056180" w:edGrp="everyone"/>
      <w:r>
        <w:t xml:space="preserve">It is agreed that maintaining insider lists is helpful for issuers and intermediaries (as the main subjects working on behalf of an issuer) to keep track of the circulation of inside and confidential information within their organization and outside of it. </w:t>
      </w:r>
    </w:p>
    <w:p w14:paraId="665E4375" w14:textId="77777777" w:rsidR="009145E1" w:rsidRDefault="009145E1" w:rsidP="009145E1">
      <w:r>
        <w:t xml:space="preserve">Issuers and intermediaries usually keep insider lists not only to comply with MAR requirements but also for internal monitoring purposes. To this regard, there are standard practices that were followed and consolidated in a number of years even before the EU regulation on market abuse was introduced. </w:t>
      </w:r>
    </w:p>
    <w:p w14:paraId="494EBE10" w14:textId="77777777" w:rsidR="009145E1" w:rsidRDefault="009145E1" w:rsidP="009145E1">
      <w:r>
        <w:t xml:space="preserve">However, the requirements introduced by MAR on the content and format of insider list increased the administrative burden for the issuers due to the inclusion of data that are of no use for the internal monitoring purposes of the issuer. More specifically, the personal data required for each insider have proven to be difficult to collect (especially for external persons that may refuse to provide them for data protection issues) and to keep updated. It is also not clear if those data are really useful for the NCA investigation as it is expected that the NCAs have more reliable sources to retrieve phone numbers and addresses in a market abuse investigation. To this regard, it would be desirable to reduce the personal data requested for the </w:t>
      </w:r>
      <w:r>
        <w:lastRenderedPageBreak/>
        <w:t xml:space="preserve">insiders to the only ones necessary to uniquely identify the individuals (e.g. the National Identification Number) </w:t>
      </w:r>
    </w:p>
    <w:p w14:paraId="6CDE4E7E" w14:textId="77777777" w:rsidR="009145E1" w:rsidRDefault="009145E1" w:rsidP="009145E1">
      <w:r>
        <w:t>A further desirable intervention on MAR requirements on insider lists would be to clarify better and possibly differentiate the rules to be followed by subjects that need to maintain insider list regarding third-party issuers.</w:t>
      </w:r>
    </w:p>
    <w:p w14:paraId="27761A15" w14:textId="77777777" w:rsidR="009145E1" w:rsidRDefault="009145E1" w:rsidP="009145E1">
      <w:r>
        <w:t>The reason for the above is that the maintenance of insider list usually follows a different process/approach if it is performed by the issuer on its own inside information or by an intermediary managing inside information concerning several issuers: while the first process can be tailored to the internal organization of the issuer and at any time will be in alignment with the issuer’s assessment on the status of the information, the second one will be based on a limited knowledge of the status and assessment of the inside information by the issuers and it may involve various structures depending on the type of business activity for which the inside information was acquired.</w:t>
      </w:r>
    </w:p>
    <w:p w14:paraId="78D35717" w14:textId="77777777" w:rsidR="009145E1" w:rsidRDefault="009145E1" w:rsidP="009145E1">
      <w:r>
        <w:t>In some cases the maintenance of insider list on other issuers by an intermediary may be done only for monitoring purposes as the MAR requirements may not even apply to the case (e.g. a bank comes in possession of inside information regarding the potential insolvency of an issuer only due to his role as a creditor).</w:t>
      </w:r>
    </w:p>
    <w:p w14:paraId="5EC107C9" w14:textId="77777777" w:rsidR="009145E1" w:rsidRDefault="009145E1" w:rsidP="009145E1">
      <w:r>
        <w:t>It would be useful if MAR could take into account the different position of the issuers and the intermediaries (or other subjects) in order to define adequate requirements for the two different situations and to provide some flexibility to the intermediaries for managing the lists when the status of the information is unknown and allowing a lean and standardized approach given the high number of information and different issuers to monitor.</w:t>
      </w:r>
    </w:p>
    <w:p w14:paraId="3C3E0AEA" w14:textId="2E54A2BB" w:rsidR="00646C30" w:rsidRDefault="009145E1" w:rsidP="00646C30">
      <w:r>
        <w:t>Nonetheless, in doing this, it is important not to confuse intermediaries with agents. The former are not bound to MAR obligations concerning the Insider List whilst the latter have been delegated – generally by virtue of an agency agreement – to act on behalf or on account of the Issuer (i.e. in its place) to draw up and maintain an Insider List that is an alternative (no duplication is admitted by law) to the one each Issuer is compelled to keep and maintain.</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785B7BF4" w14:textId="77777777" w:rsidR="00FC28BE" w:rsidRDefault="00FC28BE" w:rsidP="00FC28BE">
      <w:permStart w:id="1252881600" w:edGrp="everyone"/>
      <w:r>
        <w:t xml:space="preserve">It is highly recommended to define a solution for a viable compromise between actual and potential type of access. </w:t>
      </w:r>
    </w:p>
    <w:p w14:paraId="68AF3341" w14:textId="77777777" w:rsidR="00FC28BE" w:rsidRDefault="00FC28BE" w:rsidP="00FC28BE">
      <w:r>
        <w:t>Although it may simplify the maintenance of insider lists, the extensive adoption of the potential access criteria would in the end endangers substantially the usefulness of insider list not only for the Regulators but also for the issuer/intermediary monitoring purposes.</w:t>
      </w:r>
    </w:p>
    <w:p w14:paraId="244E28F2" w14:textId="77777777" w:rsidR="00FC28BE" w:rsidRDefault="00FC28BE" w:rsidP="00FC28BE">
      <w:r>
        <w:t xml:space="preserve">On the other hand, a strict adoption of the actual access criteria will require to set up burdensome systems and controls for the surveillance of communications channels in order to track the effective circulation of inside information within the organization of the issuer or of the intermediary, to such an extent that in some cases it will not be even practically feasible (i.e. when information are verbally exchanged between two or more people meeting in person).  </w:t>
      </w:r>
    </w:p>
    <w:p w14:paraId="658587B4" w14:textId="77777777" w:rsidR="00FC28BE" w:rsidRDefault="00FC28BE" w:rsidP="00FC28BE">
      <w:r>
        <w:t>The internal procedures for the insider list maintenance usually assign to any insider the responsibility to report any actual communication of the information to subjects not already in the list, in order for them to be added to the list; this process ensures that the list is mainly composed with the actual access criteria, but, for the sake of caution, the process is also usually integrated with the addition of subjects that could potential have access to the same information because of the working relationship they have with someone that has become insider (e.g. the staff persons having access to a manager’s mailbox or people sharing the office space or electronic folders and working tasks with some insiders). It is also unavoidable to recur to a potential access criteria when the inside information may be obtained by having access to an IT systems, so that all the users having permission to access the information must be recorded in the list regardless the fact they actually retrieved the information.</w:t>
      </w:r>
    </w:p>
    <w:p w14:paraId="3C3E0AEF" w14:textId="4EB402A5" w:rsidR="00646C30" w:rsidRDefault="00FC28BE" w:rsidP="00646C30">
      <w:r>
        <w:t xml:space="preserve">In conclusion the recording of insiders having potential access must not be excluded. In order to make the insider records more meaningful to this regard, a practical solution could be to differentiate in the single </w:t>
      </w:r>
      <w:r>
        <w:lastRenderedPageBreak/>
        <w:t>insider list the subjects added following a specific event by which they had effective access to the information from the subjects added by default to cover only for a potential access to the information.</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C3E0AF4" w14:textId="321CFD68" w:rsidR="00646C30" w:rsidRDefault="00FC28BE" w:rsidP="00646C30">
      <w:permStart w:id="93392546" w:edGrp="everyone"/>
      <w:r w:rsidRPr="00FC28BE">
        <w:rPr>
          <w:lang w:val="en-US"/>
        </w:rPr>
        <w:t>Please,</w:t>
      </w:r>
      <w:r>
        <w:rPr>
          <w:lang w:val="en-US"/>
        </w:rPr>
        <w:t xml:space="preserve"> refer to answer to Q40.</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C3E0AF9" w14:textId="77777777" w:rsidR="00646C30" w:rsidRDefault="00646C30" w:rsidP="00646C30">
      <w:permStart w:id="1148858332" w:edGrp="everyone"/>
      <w:r>
        <w:t>TYPE YOUR TEXT HERE</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74FC375C" w14:textId="77777777" w:rsidR="00513719" w:rsidRDefault="00513719" w:rsidP="00513719">
      <w:permStart w:id="513950227" w:edGrp="everyone"/>
      <w:r>
        <w:t>The answer to question Q43 is strictly connected to the clarifications that ESMA will provide on actual access and potential access to inside information that determines the moment of inclusion in the insider list of an issuer. In fact, in many cases, the permanent insider section has been used by issuer to report data of a limited number of subjects who, by function or position within the issuer, always have access (at least potentially) to all inside information (eg personnel of compliance department and IT that accesses the management system of the insider list; top executive management of the issuer or of the Investment banking division). This is to avoid the issuer having to provide the data of these subjects in event-based insider list from time to time.</w:t>
      </w:r>
    </w:p>
    <w:p w14:paraId="3C3E0AFE" w14:textId="0AE4B45E" w:rsidR="00646C30" w:rsidRDefault="00513719" w:rsidP="00646C30">
      <w:r>
        <w:t>In any case, since the provision of a supplementary section into their insider list with the details of individuals who have access at all times to all inside information (“permanent insiders”) is an option envisaged by the discipline that has been widely used by the issuers, there is no particular reason to request its repeal. It would perhaps be advisable for ESMA to better clarify the functioning of this section, also in relation to the functioning of the event-based section and to the obligations connected with the closed period, in order to guarantee a common approach of all European issuers based on harmonized indications.</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00FC083F" w14:textId="77777777" w:rsidR="00C95B97" w:rsidRDefault="00C95B97" w:rsidP="00C95B97">
      <w:permStart w:id="1908500529" w:edGrp="everyone"/>
      <w:r>
        <w:t xml:space="preserve">Article 18.1, lett. a) of the MAR obliges issuers to keep a register of all persons who have access to inside information and with whom there exists a relationship of “cooperation”. </w:t>
      </w:r>
    </w:p>
    <w:p w14:paraId="5FD4FF79" w14:textId="77777777" w:rsidR="00C95B97" w:rsidRDefault="00C95B97" w:rsidP="00C95B97">
      <w:r>
        <w:lastRenderedPageBreak/>
        <w:t xml:space="preserve">In this regard, we believe that there is a relationship, not so much with the natural persons who are employees or contractors of the legal person (consultant), but with thethe legal person consultant. The latter not to be confused and mixed up with the subject, provided with appropriate powers of representation, who has received a mandate to establish and maintain, in the name or on behalf of the issuer, the insider list. </w:t>
      </w:r>
    </w:p>
    <w:p w14:paraId="0959B3B5" w14:textId="77777777" w:rsidR="00C95B97" w:rsidRDefault="00C95B97" w:rsidP="00C95B97">
      <w:r>
        <w:t>However, in Italy, with regard to the legal person (company, body or association) possibly included in the issuer’s Insider List, Consob has clarified that, contrary to the previous regulatory system, it is insufficient to include the name of a single contact person in the issuer’s Insider List; instead, it is necessary to register all the names of the natural persons that the issuer knows to have access to the information. The consultant in turn includes in his list the data of all his internal people who have access to the issuer's inside information.</w:t>
      </w:r>
    </w:p>
    <w:p w14:paraId="514FD12A" w14:textId="77777777" w:rsidR="00C95B97" w:rsidRDefault="00C95B97" w:rsidP="00C95B97">
      <w:r>
        <w:t>This approach has however proved problematic for the issuer’s gathering of personal data of the natural persons of the consultant-legal person.</w:t>
      </w:r>
    </w:p>
    <w:p w14:paraId="3C3E0B03" w14:textId="7E180AC0" w:rsidR="00646C30" w:rsidRDefault="00C95B97" w:rsidP="00646C30">
      <w:r>
        <w:t>In view of the above, the ESMA proposal, in line with the pre-existing arrangement, is to be welcomed.</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19B7BC39" w:rsidR="00646C30" w:rsidRDefault="00C95B97" w:rsidP="00646C30">
      <w:permStart w:id="673864140" w:edGrp="everyone"/>
      <w:r w:rsidRPr="00C95B97">
        <w:rPr>
          <w:lang w:val="en-US"/>
        </w:rPr>
        <w:t>Please, refer to answer t</w:t>
      </w:r>
      <w:r>
        <w:rPr>
          <w:lang w:val="en-US"/>
        </w:rPr>
        <w:t>o Q44.</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460CD877" w14:textId="77777777" w:rsidR="00FF1F1C" w:rsidRDefault="00FF1F1C" w:rsidP="00FF1F1C">
      <w:permStart w:id="274992488" w:edGrp="everyone"/>
      <w:r>
        <w:t>In Italy, Consob Resolution No. 19925 of 22 March 2017 raised the minimum threshold to 20,000 euro for the reporting of transactions conducted by persons who perform administrative, supervisory and management (Persons Discharging Managerial Responsibilities - PDMR), judging this an appropriate level to ensure the transparency of the market needs.</w:t>
      </w:r>
    </w:p>
    <w:p w14:paraId="75D9300F" w14:textId="77777777" w:rsidR="00FF1F1C" w:rsidRDefault="00FF1F1C" w:rsidP="00FF1F1C">
      <w:r>
        <w:t>We note that current legislation requires that once this threshold is breached, every subsequent transaction, even for amounts less than 20,000 euro, must be reported. This means that non-significant transactions also get reported.</w:t>
      </w:r>
    </w:p>
    <w:p w14:paraId="28159FB2" w14:textId="77777777" w:rsidR="00FF1F1C" w:rsidRDefault="00FF1F1C" w:rsidP="00FF1F1C">
      <w:r>
        <w:t>We therefore recommend raising the European level threshold to 20,000 and to change the method of calculation of the threshold in order to avoid the reporting of irrelevant amounts. Once the threshold is breached, the next notification should take place at the next breach of the 20,000 threshold (and not at every intermediate transaction).</w:t>
      </w:r>
    </w:p>
    <w:p w14:paraId="609C2709" w14:textId="77777777" w:rsidR="00FF1F1C" w:rsidRDefault="00FF1F1C" w:rsidP="00FF1F1C">
      <w:r>
        <w:t xml:space="preserve">As regards the application difficulties of regulatory provisions under Article 19 of the MAR, we note the circumstances of the free allocation of assets in the execution of variable incentive plans approved by the shareholders’ meeting, and refer specifically to said allocation’s exemption from the reporting obligations of managers’ operations, also taking into account the interpretative framework already adopted in Italy by CONSOB. </w:t>
      </w:r>
    </w:p>
    <w:p w14:paraId="61926706" w14:textId="77777777" w:rsidR="00FF1F1C" w:rsidRDefault="00FF1F1C" w:rsidP="00FF1F1C">
      <w:r>
        <w:t>The MAR Regulations and the ESMA Q&amp;A 7.5 do not appear decisive on this point.</w:t>
      </w:r>
    </w:p>
    <w:p w14:paraId="48873A74" w14:textId="77777777" w:rsidR="00FF1F1C" w:rsidRDefault="00FF1F1C" w:rsidP="00FF1F1C">
      <w:r>
        <w:t>We therefore see a need to clarify at European primary legislation level that there is no obligation to report the free allocation of shares to managers, when no discretion exists on the part of the latter.</w:t>
      </w:r>
    </w:p>
    <w:p w14:paraId="06DA55DA" w14:textId="77777777" w:rsidR="00FF1F1C" w:rsidRDefault="00FF1F1C" w:rsidP="00FF1F1C">
      <w:r>
        <w:t xml:space="preserve">Finally, another instance of application difficulties is found in the transactions performed by PDMRs and involving so-called listed investment certificates issued by the issuing company but representing derivative </w:t>
      </w:r>
      <w:r>
        <w:lastRenderedPageBreak/>
        <w:t>contracts where the asset base is a share or debt instrument issued by an entity other than the issuer and not in any way connected with this.</w:t>
      </w:r>
    </w:p>
    <w:p w14:paraId="3C3E0B0D" w14:textId="011C3A48" w:rsidR="00646C30" w:rsidRDefault="00FF1F1C" w:rsidP="00646C30">
      <w:r>
        <w:t>In particular, it should be made clear that transactions carried out by PDMRs involving financial instruments with the above characteristics are exempt from the disclosure obligations under Article 19 Mar, since, in accordance with the aforementioned article, the disclosure obligation would seem to apply to the managers’ operations on the financial instruments issued by the company when they represent securitised forms of derivatives whose asset base consists of a share or debt instrument issued by the listed issuer (and not by a person other than the issuer).</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524BCA8E" w:rsidR="00646C30" w:rsidRDefault="00FF1F1C" w:rsidP="00646C30">
      <w:permStart w:id="1265633318" w:edGrp="everyone"/>
      <w:r w:rsidRPr="00FF1F1C">
        <w:rPr>
          <w:lang w:val="en-US"/>
        </w:rPr>
        <w:t>Please, refer to answer t</w:t>
      </w:r>
      <w:r>
        <w:rPr>
          <w:lang w:val="en-US"/>
        </w:rPr>
        <w:t>o Q46.</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379C0808" w:rsidR="00646C30" w:rsidRDefault="00942A17" w:rsidP="00646C30">
      <w:permStart w:id="234174884" w:edGrp="everyone"/>
      <w:r w:rsidRPr="00FF1F1C">
        <w:rPr>
          <w:lang w:val="en-US"/>
        </w:rPr>
        <w:t>Please, refer to answer t</w:t>
      </w:r>
      <w:r>
        <w:rPr>
          <w:lang w:val="en-US"/>
        </w:rPr>
        <w:t>o Q46.</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223B1F3B" w:rsidR="00646C30" w:rsidRDefault="00942A17" w:rsidP="00646C30">
      <w:permStart w:id="1966610289" w:edGrp="everyone"/>
      <w:r w:rsidRPr="00FF1F1C">
        <w:rPr>
          <w:lang w:val="en-US"/>
        </w:rPr>
        <w:t>Please, refer to answer t</w:t>
      </w:r>
      <w:r>
        <w:rPr>
          <w:lang w:val="en-US"/>
        </w:rPr>
        <w:t>o Q46.</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6A8EB340" w:rsidR="00646C30" w:rsidRDefault="00942A17" w:rsidP="00646C30">
      <w:permStart w:id="619659001" w:edGrp="everyone"/>
      <w:r w:rsidRPr="00FF1F1C">
        <w:rPr>
          <w:lang w:val="en-US"/>
        </w:rPr>
        <w:t>Please, refer to answer t</w:t>
      </w:r>
      <w:r>
        <w:rPr>
          <w:lang w:val="en-US"/>
        </w:rPr>
        <w:t>o Q46.</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532B98F" w14:textId="77777777" w:rsidR="00942A17" w:rsidRDefault="00942A17" w:rsidP="00942A17">
      <w:permStart w:id="680881453" w:edGrp="everyone"/>
      <w:r>
        <w:t xml:space="preserve">The extension of the closed period for issuers might lead to unfair constraints on ordinary transactions, limiting their opportunities to trade, on their own account, their financial instruments already issued regardless of the actual existence of inside information. </w:t>
      </w:r>
    </w:p>
    <w:p w14:paraId="760562B6" w14:textId="77777777" w:rsidR="00942A17" w:rsidRDefault="00942A17" w:rsidP="00942A17">
      <w:r>
        <w:t>The effects of the extension should, however, be considered also in view of the provision of Article 4 of Delegated Regulation 2016/1052, which provides that the exemption provided by Article 5 of the MAR does not apply if the issuer trades on own shares during a closed period, with some exceptions: (i) if the trading decisions concerning the times of purchase of the issuer's shares are taken completely independently by an investment company or a credit institution, and (ii) if the issuer is an investment company or a credit institution and has "Chinese walls" in place.</w:t>
      </w:r>
    </w:p>
    <w:p w14:paraId="47A8D00F" w14:textId="77777777" w:rsidR="00942A17" w:rsidRDefault="00942A17" w:rsidP="00942A17">
      <w:r>
        <w:t>We are not favourable to the extension of the closed period to people closely associated with the manager; if it is regulated, it should be made clear that it should not result in any liability or compliance requirements on the part of companies and managers. The personal information of closely associated persons should be handled by those same persons under their direct and exclusive responsibility.</w:t>
      </w:r>
    </w:p>
    <w:p w14:paraId="3C3E0B3A" w14:textId="0E5273F3" w:rsidR="00646C30" w:rsidRDefault="00942A17" w:rsidP="00646C30">
      <w:r>
        <w:t>We therefore request that the prohibitions set out above are not extended to issuers and persons closely associated with the manager</w:t>
      </w:r>
      <w:r w:rsidR="001237A9">
        <w:t>.</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lastRenderedPageBreak/>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0B6D2850" w:rsidR="00646C30" w:rsidRDefault="001237A9" w:rsidP="00646C30">
      <w:permStart w:id="1771316849" w:edGrp="everyone"/>
      <w:r w:rsidRPr="001237A9">
        <w:t>We welcome the ESMA proposal to extend the provision of Article 19(12)(a) of the MAR also to financial instruments other than shares (e.g. bonds) and to add the further scenario identified by ESMA to the exemptions already provided by said article.</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57D5F754" w:rsidR="00646C30" w:rsidRDefault="001237A9" w:rsidP="00646C30">
      <w:permStart w:id="1172058443" w:edGrp="everyone"/>
      <w:r w:rsidRPr="001237A9">
        <w:rPr>
          <w:lang w:val="en-US"/>
        </w:rPr>
        <w:t>Please, refer to answer t</w:t>
      </w:r>
      <w:r>
        <w:rPr>
          <w:lang w:val="en-US"/>
        </w:rPr>
        <w:t>o Q56.</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lastRenderedPageBreak/>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77777777" w:rsidR="00646C30" w:rsidRDefault="00646C30" w:rsidP="00646C30">
      <w:permStart w:id="2025406494" w:edGrp="everyone"/>
      <w:r>
        <w:t>TYPE YOUR TEXT HERE</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lastRenderedPageBreak/>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E0B94" w14:textId="77777777" w:rsidR="002D08B8" w:rsidRDefault="002D08B8">
      <w:r>
        <w:separator/>
      </w:r>
    </w:p>
    <w:p w14:paraId="3C3E0B95" w14:textId="77777777" w:rsidR="002D08B8" w:rsidRDefault="002D08B8"/>
  </w:endnote>
  <w:endnote w:type="continuationSeparator" w:id="0">
    <w:p w14:paraId="3C3E0B96" w14:textId="77777777" w:rsidR="002D08B8" w:rsidRDefault="002D08B8">
      <w:r>
        <w:continuationSeparator/>
      </w:r>
    </w:p>
    <w:p w14:paraId="3C3E0B97" w14:textId="77777777" w:rsidR="002D08B8" w:rsidRDefault="002D08B8"/>
  </w:endnote>
  <w:endnote w:type="continuationNotice" w:id="1">
    <w:p w14:paraId="3C3E0B98" w14:textId="77777777" w:rsidR="002D08B8" w:rsidRDefault="002D0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616B9B" w14:paraId="3C3E0B9C" w14:textId="77777777" w:rsidTr="00315E96">
      <w:trPr>
        <w:trHeight w:val="284"/>
      </w:trPr>
      <w:tc>
        <w:tcPr>
          <w:tcW w:w="8460" w:type="dxa"/>
        </w:tcPr>
        <w:p w14:paraId="3C3E0B9A" w14:textId="77777777" w:rsidR="00FA5524" w:rsidRPr="00315E96" w:rsidRDefault="00FA5524" w:rsidP="00315E96">
          <w:pPr>
            <w:pStyle w:val="00Footer"/>
            <w:rPr>
              <w:lang w:val="fr-FR"/>
            </w:rPr>
          </w:pPr>
        </w:p>
      </w:tc>
      <w:tc>
        <w:tcPr>
          <w:tcW w:w="952" w:type="dxa"/>
        </w:tcPr>
        <w:p w14:paraId="3C3E0B9B" w14:textId="77777777" w:rsidR="00FA5524" w:rsidRPr="00616B9B" w:rsidRDefault="00FA552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FA5524" w:rsidRDefault="00FA55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FA5524" w:rsidRDefault="00FA55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0B8F" w14:textId="77777777" w:rsidR="002D08B8" w:rsidRDefault="002D08B8">
      <w:r>
        <w:separator/>
      </w:r>
    </w:p>
    <w:p w14:paraId="3C3E0B90" w14:textId="77777777" w:rsidR="002D08B8" w:rsidRDefault="002D08B8"/>
  </w:footnote>
  <w:footnote w:type="continuationSeparator" w:id="0">
    <w:p w14:paraId="3C3E0B91" w14:textId="77777777" w:rsidR="002D08B8" w:rsidRDefault="002D08B8">
      <w:r>
        <w:continuationSeparator/>
      </w:r>
    </w:p>
    <w:p w14:paraId="3C3E0B92" w14:textId="77777777" w:rsidR="002D08B8" w:rsidRDefault="002D08B8"/>
  </w:footnote>
  <w:footnote w:type="continuationNotice" w:id="1">
    <w:p w14:paraId="3C3E0B93" w14:textId="77777777" w:rsidR="002D08B8" w:rsidRDefault="002D0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FA5524" w:rsidRDefault="00FA5524">
    <w:pPr>
      <w:pStyle w:val="Intestazione"/>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FA5524" w:rsidRDefault="00FA5524" w:rsidP="00013CCE">
    <w:pPr>
      <w:pStyle w:val="Intestazione"/>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FA5524" w:rsidRDefault="00FA552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2F4496" w14:paraId="3C3E0BA2" w14:textId="77777777" w:rsidTr="000C06C9">
      <w:trPr>
        <w:trHeight w:val="284"/>
      </w:trPr>
      <w:tc>
        <w:tcPr>
          <w:tcW w:w="8460" w:type="dxa"/>
        </w:tcPr>
        <w:p w14:paraId="3C3E0BA0" w14:textId="77777777" w:rsidR="00FA5524" w:rsidRPr="000C3B6D" w:rsidRDefault="00FA5524" w:rsidP="000C06C9">
          <w:pPr>
            <w:pStyle w:val="00Footer"/>
            <w:rPr>
              <w:lang w:val="fr-FR"/>
            </w:rPr>
          </w:pPr>
        </w:p>
      </w:tc>
      <w:tc>
        <w:tcPr>
          <w:tcW w:w="952" w:type="dxa"/>
        </w:tcPr>
        <w:p w14:paraId="3C3E0BA1" w14:textId="77777777" w:rsidR="00FA5524" w:rsidRPr="00146B34" w:rsidRDefault="00FA5524" w:rsidP="000C06C9">
          <w:pPr>
            <w:pStyle w:val="00aPagenumber"/>
            <w:rPr>
              <w:lang w:val="fr-FR"/>
            </w:rPr>
          </w:pPr>
        </w:p>
      </w:tc>
    </w:tr>
  </w:tbl>
  <w:p w14:paraId="3C3E0BA3" w14:textId="77777777" w:rsidR="00FA5524" w:rsidRPr="00DB46C3" w:rsidRDefault="00FA5524">
    <w:pPr>
      <w:rPr>
        <w:lang w:val="fr-FR"/>
      </w:rPr>
    </w:pPr>
  </w:p>
  <w:p w14:paraId="3C3E0BA4" w14:textId="77777777" w:rsidR="00FA5524" w:rsidRPr="002F4496" w:rsidRDefault="00FA5524">
    <w:pPr>
      <w:pStyle w:val="Intestazione"/>
      <w:rPr>
        <w:lang w:val="fr-FR"/>
      </w:rPr>
    </w:pPr>
  </w:p>
  <w:p w14:paraId="3C3E0BA5" w14:textId="77777777" w:rsidR="00FA5524" w:rsidRPr="002F4496" w:rsidRDefault="00FA5524" w:rsidP="000C06C9">
    <w:pPr>
      <w:pStyle w:val="Intestazione"/>
      <w:tabs>
        <w:tab w:val="clear" w:pos="4536"/>
        <w:tab w:val="clear" w:pos="9072"/>
        <w:tab w:val="left" w:pos="8227"/>
      </w:tabs>
      <w:rPr>
        <w:lang w:val="fr-FR"/>
      </w:rPr>
    </w:pPr>
  </w:p>
  <w:p w14:paraId="3C3E0BA6" w14:textId="77777777" w:rsidR="00FA5524" w:rsidRPr="002F4496" w:rsidRDefault="00FA5524" w:rsidP="00583885">
    <w:pPr>
      <w:pStyle w:val="Intestazione"/>
      <w:jc w:val="right"/>
      <w:rPr>
        <w:lang w:val="fr-FR"/>
      </w:rPr>
    </w:pPr>
  </w:p>
  <w:p w14:paraId="3C3E0BA7" w14:textId="77777777" w:rsidR="00FA5524" w:rsidRPr="002F4496" w:rsidRDefault="00FA5524">
    <w:pPr>
      <w:pStyle w:val="Intestazione"/>
      <w:rPr>
        <w:lang w:val="fr-FR"/>
      </w:rPr>
    </w:pPr>
  </w:p>
  <w:p w14:paraId="3C3E0BA8" w14:textId="77777777" w:rsidR="00FA5524" w:rsidRPr="002F4496" w:rsidRDefault="00FA5524">
    <w:pPr>
      <w:pStyle w:val="Intestazione"/>
      <w:rPr>
        <w:lang w:val="fr-FR"/>
      </w:rPr>
    </w:pPr>
  </w:p>
  <w:p w14:paraId="3C3E0BA9" w14:textId="77777777" w:rsidR="00FA5524" w:rsidRPr="002F4496" w:rsidRDefault="00FA5524">
    <w:pPr>
      <w:pStyle w:val="Intestazione"/>
      <w:rPr>
        <w:lang w:val="fr-FR"/>
      </w:rPr>
    </w:pPr>
  </w:p>
  <w:p w14:paraId="3C3E0BAA" w14:textId="77777777" w:rsidR="00FA5524" w:rsidRPr="002F4496" w:rsidRDefault="00FA5524">
    <w:pPr>
      <w:pStyle w:val="Intestazione"/>
      <w:rPr>
        <w:highlight w:val="yellow"/>
        <w:lang w:val="fr-FR"/>
      </w:rPr>
    </w:pPr>
  </w:p>
  <w:p w14:paraId="3C3E0BAB" w14:textId="77777777" w:rsidR="00FA5524" w:rsidRDefault="00FA5524">
    <w:pPr>
      <w:pStyle w:val="Intestazione"/>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7A9"/>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56AA"/>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077"/>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0858"/>
    <w:rsid w:val="003A51C5"/>
    <w:rsid w:val="003A5DAC"/>
    <w:rsid w:val="003A6591"/>
    <w:rsid w:val="003A6E9A"/>
    <w:rsid w:val="003A749D"/>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491"/>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4035"/>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533"/>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719"/>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03F4"/>
    <w:rsid w:val="00561AED"/>
    <w:rsid w:val="005648A8"/>
    <w:rsid w:val="00564DE3"/>
    <w:rsid w:val="00564E44"/>
    <w:rsid w:val="00566302"/>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1A2"/>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5E1"/>
    <w:rsid w:val="00915EBA"/>
    <w:rsid w:val="00917093"/>
    <w:rsid w:val="0092030E"/>
    <w:rsid w:val="009217B1"/>
    <w:rsid w:val="00921A42"/>
    <w:rsid w:val="009223BB"/>
    <w:rsid w:val="00922491"/>
    <w:rsid w:val="00923060"/>
    <w:rsid w:val="00923BCF"/>
    <w:rsid w:val="00925AEC"/>
    <w:rsid w:val="0092751A"/>
    <w:rsid w:val="009305C4"/>
    <w:rsid w:val="00931FAF"/>
    <w:rsid w:val="00932478"/>
    <w:rsid w:val="009360F6"/>
    <w:rsid w:val="009371DC"/>
    <w:rsid w:val="0093759D"/>
    <w:rsid w:val="00940239"/>
    <w:rsid w:val="00942A17"/>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5B97"/>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054"/>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95"/>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BDD"/>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4DA4"/>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61DA"/>
    <w:rsid w:val="00F77D43"/>
    <w:rsid w:val="00F80953"/>
    <w:rsid w:val="00F80B5C"/>
    <w:rsid w:val="00F81312"/>
    <w:rsid w:val="00F81B90"/>
    <w:rsid w:val="00F81E6F"/>
    <w:rsid w:val="00F82FF3"/>
    <w:rsid w:val="00F8453C"/>
    <w:rsid w:val="00F84D4C"/>
    <w:rsid w:val="00F8657D"/>
    <w:rsid w:val="00F8730F"/>
    <w:rsid w:val="00F87897"/>
    <w:rsid w:val="00F87914"/>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5ADE"/>
    <w:rsid w:val="00FB7A97"/>
    <w:rsid w:val="00FC1601"/>
    <w:rsid w:val="00FC1B9B"/>
    <w:rsid w:val="00FC28BE"/>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1F1C"/>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e">
    <w:name w:val="Normal"/>
    <w:qFormat/>
    <w:rsid w:val="00646C30"/>
    <w:rPr>
      <w:rFonts w:ascii="Arial" w:hAnsi="Arial"/>
      <w:szCs w:val="24"/>
      <w:lang w:eastAsia="de-DE"/>
    </w:rPr>
  </w:style>
  <w:style w:type="paragraph" w:styleId="Titolo1">
    <w:name w:val="heading 1"/>
    <w:basedOn w:val="Normale"/>
    <w:next w:val="Normale"/>
    <w:link w:val="Titolo1Carattere"/>
    <w:qFormat/>
    <w:locked/>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rPr>
      <w:szCs w:val="20"/>
    </w:rPr>
  </w:style>
  <w:style w:type="character" w:customStyle="1" w:styleId="TestocommentoCarattere">
    <w:name w:val="Testo commento Carattere"/>
    <w:link w:val="Testocommento"/>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lock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Paragraphe de liste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jc w:val="both"/>
    </w:pPr>
    <w:rPr>
      <w:b/>
      <w:szCs w:val="20"/>
      <w:u w:val="single"/>
    </w:rPr>
  </w:style>
  <w:style w:type="paragraph" w:customStyle="1" w:styleId="Bullet">
    <w:name w:val="Bullet"/>
    <w:basedOn w:val="Normale"/>
    <w:locked/>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e"/>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e"/>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e"/>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e"/>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e"/>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e"/>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locked/>
    <w:rsid w:val="000D2D0B"/>
    <w:pPr>
      <w:spacing w:after="240"/>
    </w:pPr>
    <w:rPr>
      <w:rFonts w:ascii="Times New Roman" w:hAnsi="Times New Roman"/>
      <w:sz w:val="24"/>
      <w:lang w:eastAsia="en-US"/>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locked/>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locked/>
    <w:rsid w:val="000D2D0B"/>
    <w:rPr>
      <w:rFonts w:cs="Arial"/>
      <w:sz w:val="24"/>
      <w:lang w:eastAsia="en-US"/>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e"/>
    <w:locked/>
    <w:rsid w:val="000D2D0B"/>
    <w:pPr>
      <w:jc w:val="center"/>
    </w:pPr>
    <w:rPr>
      <w:rFonts w:ascii="Times New Roman" w:hAnsi="Times New Roman"/>
      <w:b/>
      <w:sz w:val="24"/>
      <w:lang w:eastAsia="en-US"/>
    </w:rPr>
  </w:style>
  <w:style w:type="paragraph" w:customStyle="1" w:styleId="Statut">
    <w:name w:val="Statut"/>
    <w:basedOn w:val="Normale"/>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locked/>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e"/>
    <w:locked/>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lang w:eastAsia="en-US"/>
    </w:rPr>
  </w:style>
  <w:style w:type="paragraph" w:styleId="Numeroelenco2">
    <w:name w:val="List Number 2"/>
    <w:basedOn w:val="Normale"/>
    <w:locked/>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locked/>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eastAsia="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C169-B082-42D7-95A8-39DCDC7C43D3}">
  <ds:schemaRefs>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CFFC6A0-A5EA-4C2E-A325-90A0AD8B4FD7}">
  <ds:schemaRefs>
    <ds:schemaRef ds:uri="http://schemas.openxmlformats.org/officeDocument/2006/bibliography"/>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69CD72D1-BB0C-4407-8CC6-2E1A97BC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9534</Words>
  <Characters>52934</Characters>
  <Application>Microsoft Office Word</Application>
  <DocSecurity>8</DocSecurity>
  <Lines>441</Lines>
  <Paragraphs>124</Paragraphs>
  <ScaleCrop>false</ScaleCrop>
  <HeadingPairs>
    <vt:vector size="10" baseType="variant">
      <vt:variant>
        <vt:lpstr>Titolo</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62344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David Sabatini</cp:lastModifiedBy>
  <cp:revision>15</cp:revision>
  <cp:lastPrinted>2015-02-18T11:01:00Z</cp:lastPrinted>
  <dcterms:created xsi:type="dcterms:W3CDTF">2019-11-29T15:30:00Z</dcterms:created>
  <dcterms:modified xsi:type="dcterms:W3CDTF">2019-11-29T16:50:00Z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