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EFF292E" w14:textId="36B52825" w:rsidR="00363639" w:rsidRDefault="00CB26B8" w:rsidP="00363639">
                <w:pPr>
                  <w:pStyle w:val="Subtitle"/>
                  <w:rPr>
                    <w:rFonts w:cs="Arial"/>
                  </w:rPr>
                </w:pPr>
                <w:r>
                  <w:rPr>
                    <w:rFonts w:cs="Arial"/>
                  </w:rPr>
                  <w:t>Alignment of MiFIR with the changes introduced by EMIR Refit</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1DFFA28"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CB26B8">
            <w:rPr>
              <w:rFonts w:asciiTheme="minorHAnsi" w:eastAsiaTheme="minorEastAsia" w:hAnsiTheme="minorHAnsi" w:cstheme="minorBidi"/>
              <w:b/>
              <w:sz w:val="22"/>
              <w:szCs w:val="20"/>
              <w:lang w:eastAsia="en-US"/>
            </w:rPr>
            <w:t>22</w:t>
          </w:r>
          <w:r w:rsidRPr="002D118A">
            <w:rPr>
              <w:rFonts w:asciiTheme="minorHAnsi" w:eastAsiaTheme="minorEastAsia" w:hAnsiTheme="minorHAnsi" w:cstheme="minorBidi"/>
              <w:b/>
              <w:sz w:val="22"/>
              <w:szCs w:val="20"/>
              <w:lang w:eastAsia="en-US"/>
            </w:rPr>
            <w:t xml:space="preserve"> </w:t>
          </w:r>
          <w:r w:rsidR="00CB26B8">
            <w:rPr>
              <w:rFonts w:asciiTheme="minorHAnsi" w:eastAsiaTheme="minorEastAsia" w:hAnsiTheme="minorHAnsi" w:cstheme="minorBidi"/>
              <w:b/>
              <w:sz w:val="22"/>
              <w:szCs w:val="20"/>
              <w:lang w:eastAsia="en-US"/>
            </w:rPr>
            <w:t xml:space="preserve">November </w:t>
          </w:r>
          <w:r w:rsidRPr="002D118A">
            <w:rPr>
              <w:rFonts w:asciiTheme="minorHAnsi" w:eastAsiaTheme="minorEastAsia" w:hAnsiTheme="minorHAnsi" w:cstheme="minorBidi"/>
              <w:b/>
              <w:sz w:val="22"/>
              <w:szCs w:val="20"/>
              <w:lang w:eastAsia="en-US"/>
            </w:rPr>
            <w:t>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4"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6BA2D46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ED78CD">
            <w:rPr>
              <w:rFonts w:eastAsiaTheme="minorEastAsia" w:cstheme="minorBidi"/>
              <w:szCs w:val="20"/>
              <w:lang w:eastAsia="en-US"/>
            </w:rPr>
            <w:t>AMER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CFD46F2"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ED78CD">
            <w:rPr>
              <w:rFonts w:eastAsiaTheme="minorEastAsia" w:cstheme="minorBidi"/>
              <w:szCs w:val="20"/>
              <w:lang w:eastAsia="en-US"/>
            </w:rPr>
            <w:t>AMER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ED78CD">
            <w:rPr>
              <w:rFonts w:eastAsiaTheme="minorEastAsia" w:cstheme="minorBidi"/>
              <w:szCs w:val="20"/>
              <w:lang w:eastAsia="en-US"/>
            </w:rPr>
            <w:t>AMER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5"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7"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24BBA7EC"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4E25D9A8" w14:textId="77777777" w:rsidR="00CB26B8" w:rsidRPr="00CB26B8" w:rsidRDefault="00CB26B8" w:rsidP="00CB26B8">
      <w:pPr>
        <w:rPr>
          <w:rFonts w:asciiTheme="minorHAnsi" w:eastAsiaTheme="minorEastAsia" w:hAnsiTheme="minorHAnsi" w:cstheme="minorBidi"/>
          <w:sz w:val="22"/>
          <w:szCs w:val="20"/>
          <w:lang w:eastAsia="en-US"/>
        </w:rPr>
      </w:pPr>
      <w:r w:rsidRPr="00CB26B8">
        <w:rPr>
          <w:rFonts w:asciiTheme="minorHAnsi" w:eastAsiaTheme="minorEastAsia" w:hAnsiTheme="minorHAnsi" w:cstheme="minorBidi"/>
          <w:sz w:val="22"/>
          <w:szCs w:val="20"/>
          <w:lang w:eastAsia="en-US"/>
        </w:rPr>
        <w:t>This document is of interest mainly to financial and non-financial counterparties which are subject to the trading obligation under MiFIR and/or to the clearing obligation under EMIR.</w:t>
      </w:r>
    </w:p>
    <w:p w14:paraId="20AC791C" w14:textId="77777777" w:rsidR="00AF2EF7" w:rsidRPr="00CB26B8" w:rsidRDefault="00AF2EF7" w:rsidP="00AF2EF7">
      <w:pPr>
        <w:spacing w:after="120" w:line="276" w:lineRule="auto"/>
        <w:rPr>
          <w:rFonts w:asciiTheme="minorHAnsi" w:eastAsiaTheme="minorEastAsia" w:hAnsiTheme="minorHAnsi" w:cstheme="minorBidi"/>
          <w:sz w:val="22"/>
          <w:szCs w:val="20"/>
          <w:lang w:eastAsia="en-US"/>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bookmarkStart w:id="1" w:name="_GoBack"/>
      <w:bookmarkEnd w:id="1"/>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463FE2B" w:rsidR="00C85C8B" w:rsidRPr="00C85C8B" w:rsidRDefault="007910D5" w:rsidP="007910D5">
                <w:pPr>
                  <w:rPr>
                    <w:rFonts w:ascii="Arial" w:hAnsi="Arial" w:cs="Arial"/>
                    <w:color w:val="808080"/>
                    <w:sz w:val="20"/>
                    <w:lang w:eastAsia="de-DE"/>
                  </w:rPr>
                </w:pPr>
                <w:r>
                  <w:rPr>
                    <w:rFonts w:ascii="Arial" w:hAnsi="Arial" w:cs="Arial"/>
                    <w:color w:val="808080"/>
                    <w:sz w:val="20"/>
                    <w:lang w:eastAsia="de-DE"/>
                  </w:rPr>
                  <w:t>Irish Funds</w:t>
                </w:r>
                <w:r w:rsidR="008C7D1D">
                  <w:rPr>
                    <w:rFonts w:ascii="Arial" w:hAnsi="Arial" w:cs="Arial"/>
                    <w:color w:val="808080"/>
                    <w:sz w:val="20"/>
                    <w:lang w:eastAsia="de-DE"/>
                  </w:rPr>
                  <w:t xml:space="preserve"> Industry Association</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E995224" w:rsidR="00C85C8B" w:rsidRPr="00C85C8B" w:rsidRDefault="005010C4"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910D5">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E54EA2C" w:rsidR="00C85C8B" w:rsidRPr="00C85C8B" w:rsidRDefault="007910D5"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3A79D1E" w:rsidR="00C85C8B" w:rsidRPr="00C85C8B" w:rsidRDefault="007910D5" w:rsidP="00C85C8B">
                <w:pPr>
                  <w:rPr>
                    <w:rFonts w:ascii="Arial" w:hAnsi="Arial" w:cs="Arial"/>
                    <w:sz w:val="20"/>
                    <w:lang w:eastAsia="de-DE"/>
                  </w:rPr>
                </w:pPr>
                <w:r>
                  <w:rPr>
                    <w:rFonts w:ascii="Arial" w:hAnsi="Arial" w:cs="Arial"/>
                    <w:sz w:val="20"/>
                    <w:lang w:eastAsia="de-DE"/>
                  </w:rPr>
                  <w:t>Ireland</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C59A91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077F1">
        <w:rPr>
          <w:rFonts w:asciiTheme="minorHAnsi" w:eastAsiaTheme="minorEastAsia" w:hAnsiTheme="minorHAnsi" w:cstheme="minorBidi"/>
          <w:sz w:val="22"/>
          <w:szCs w:val="20"/>
          <w:lang w:eastAsia="en-US"/>
        </w:rPr>
        <w:t>AMER</w:t>
      </w:r>
      <w:r w:rsidRPr="00C85C8B">
        <w:rPr>
          <w:rFonts w:asciiTheme="minorHAnsi" w:eastAsiaTheme="minorEastAsia" w:hAnsiTheme="minorHAnsi" w:cstheme="minorBidi"/>
          <w:sz w:val="22"/>
          <w:szCs w:val="20"/>
          <w:lang w:eastAsia="en-US"/>
        </w:rPr>
        <w:t>_1&gt;</w:t>
      </w:r>
    </w:p>
    <w:p w14:paraId="02AF2FF9" w14:textId="7901EB56" w:rsidR="00C85C8B" w:rsidRPr="00C85C8B" w:rsidRDefault="008C7D1D" w:rsidP="007910D5">
      <w:pPr>
        <w:spacing w:after="250" w:line="276" w:lineRule="auto"/>
        <w:jc w:val="both"/>
        <w:rPr>
          <w:rFonts w:ascii="Arial" w:eastAsiaTheme="minorEastAsia" w:hAnsi="Arial" w:cs="Arial"/>
          <w:sz w:val="22"/>
          <w:szCs w:val="20"/>
          <w:lang w:eastAsia="en-US"/>
        </w:rPr>
      </w:pPr>
      <w:permStart w:id="885457707" w:edGrp="everyone"/>
      <w:r w:rsidRPr="008C7D1D">
        <w:rPr>
          <w:rFonts w:ascii="Arial" w:eastAsiaTheme="minorEastAsia" w:hAnsi="Arial" w:cs="Arial"/>
          <w:sz w:val="22"/>
          <w:szCs w:val="20"/>
          <w:lang w:eastAsia="en-US"/>
        </w:rPr>
        <w:t>The Irish Funds Industry Association (Irish Funds</w:t>
      </w:r>
      <w:r>
        <w:rPr>
          <w:rFonts w:ascii="Arial" w:eastAsiaTheme="minorEastAsia" w:hAnsi="Arial" w:cs="Arial"/>
          <w:sz w:val="22"/>
          <w:szCs w:val="20"/>
          <w:lang w:eastAsia="en-US"/>
        </w:rPr>
        <w:t>)</w:t>
      </w:r>
      <w:r w:rsidRPr="008C7D1D">
        <w:rPr>
          <w:rFonts w:ascii="Arial" w:eastAsiaTheme="minorEastAsia" w:hAnsi="Arial" w:cs="Arial"/>
          <w:sz w:val="22"/>
          <w:szCs w:val="20"/>
          <w:lang w:eastAsia="en-US"/>
        </w:rPr>
        <w:t xml:space="preserve"> </w:t>
      </w:r>
      <w:r w:rsidR="007910D5" w:rsidRPr="007910D5">
        <w:rPr>
          <w:rFonts w:ascii="Arial" w:eastAsiaTheme="minorEastAsia" w:hAnsi="Arial" w:cs="Arial"/>
          <w:sz w:val="22"/>
          <w:szCs w:val="20"/>
          <w:lang w:eastAsia="en-US"/>
        </w:rPr>
        <w:t>welcomes the opportunity to respond to ESMA’s consultation paper on the Alignment of MiFIR with changes introduced by EMIR Refit</w:t>
      </w:r>
      <w:r w:rsidR="007910D5">
        <w:rPr>
          <w:rFonts w:ascii="Arial" w:eastAsiaTheme="minorEastAsia" w:hAnsi="Arial" w:cs="Arial"/>
          <w:sz w:val="22"/>
          <w:szCs w:val="20"/>
          <w:lang w:eastAsia="en-US"/>
        </w:rPr>
        <w:t xml:space="preserve">. </w:t>
      </w:r>
      <w:r w:rsidR="007910D5" w:rsidRPr="007910D5">
        <w:rPr>
          <w:rFonts w:ascii="Arial" w:eastAsiaTheme="minorEastAsia" w:hAnsi="Arial" w:cs="Arial"/>
          <w:sz w:val="22"/>
          <w:szCs w:val="20"/>
          <w:lang w:eastAsia="en-US"/>
        </w:rPr>
        <w:t>Irish Funds is the representative body for the international investment fund community in</w:t>
      </w:r>
      <w:r w:rsidR="007910D5">
        <w:rPr>
          <w:rFonts w:ascii="Arial" w:eastAsiaTheme="minorEastAsia" w:hAnsi="Arial" w:cs="Arial"/>
          <w:sz w:val="22"/>
          <w:szCs w:val="20"/>
          <w:lang w:eastAsia="en-US"/>
        </w:rPr>
        <w:t xml:space="preserve"> </w:t>
      </w:r>
      <w:r w:rsidR="007910D5" w:rsidRPr="007910D5">
        <w:rPr>
          <w:rFonts w:ascii="Arial" w:eastAsiaTheme="minorEastAsia" w:hAnsi="Arial" w:cs="Arial"/>
          <w:sz w:val="22"/>
          <w:szCs w:val="20"/>
          <w:lang w:eastAsia="en-US"/>
        </w:rPr>
        <w:t>Ireland. Irish Funds has a broad membership</w:t>
      </w:r>
      <w:r w:rsidR="007910D5">
        <w:rPr>
          <w:rFonts w:ascii="Arial" w:eastAsiaTheme="minorEastAsia" w:hAnsi="Arial" w:cs="Arial"/>
          <w:sz w:val="22"/>
          <w:szCs w:val="20"/>
          <w:lang w:eastAsia="en-US"/>
        </w:rPr>
        <w:t xml:space="preserve"> </w:t>
      </w:r>
      <w:r w:rsidR="007910D5" w:rsidRPr="007910D5">
        <w:rPr>
          <w:rFonts w:ascii="Arial" w:eastAsiaTheme="minorEastAsia" w:hAnsi="Arial" w:cs="Arial"/>
          <w:sz w:val="22"/>
          <w:szCs w:val="20"/>
          <w:lang w:eastAsia="en-US"/>
        </w:rPr>
        <w:t>encompassing firms across all part</w:t>
      </w:r>
      <w:r w:rsidR="007910D5">
        <w:rPr>
          <w:rFonts w:ascii="Arial" w:eastAsiaTheme="minorEastAsia" w:hAnsi="Arial" w:cs="Arial"/>
          <w:sz w:val="22"/>
          <w:szCs w:val="20"/>
          <w:lang w:eastAsia="en-US"/>
        </w:rPr>
        <w:t>s of the funds industry and, through</w:t>
      </w:r>
      <w:r w:rsidR="007910D5" w:rsidRPr="007910D5">
        <w:rPr>
          <w:rFonts w:ascii="Arial" w:eastAsiaTheme="minorEastAsia" w:hAnsi="Arial" w:cs="Arial"/>
          <w:sz w:val="22"/>
          <w:szCs w:val="20"/>
          <w:lang w:eastAsia="en-US"/>
        </w:rPr>
        <w:t xml:space="preserve"> its extensive working</w:t>
      </w:r>
      <w:r w:rsidR="007910D5">
        <w:rPr>
          <w:rFonts w:ascii="Arial" w:eastAsiaTheme="minorEastAsia" w:hAnsi="Arial" w:cs="Arial"/>
          <w:sz w:val="22"/>
          <w:szCs w:val="20"/>
          <w:lang w:eastAsia="en-US"/>
        </w:rPr>
        <w:t xml:space="preserve"> </w:t>
      </w:r>
      <w:r w:rsidR="007910D5" w:rsidRPr="007910D5">
        <w:rPr>
          <w:rFonts w:ascii="Arial" w:eastAsiaTheme="minorEastAsia" w:hAnsi="Arial" w:cs="Arial"/>
          <w:sz w:val="22"/>
          <w:szCs w:val="20"/>
          <w:lang w:eastAsia="en-US"/>
        </w:rPr>
        <w:t>group structure, is active on all significant technical topics relating to funds. Through its</w:t>
      </w:r>
      <w:r w:rsidR="007910D5">
        <w:rPr>
          <w:rFonts w:ascii="Arial" w:eastAsiaTheme="minorEastAsia" w:hAnsi="Arial" w:cs="Arial"/>
          <w:sz w:val="22"/>
          <w:szCs w:val="20"/>
          <w:lang w:eastAsia="en-US"/>
        </w:rPr>
        <w:t xml:space="preserve"> </w:t>
      </w:r>
      <w:r w:rsidR="007910D5" w:rsidRPr="007910D5">
        <w:rPr>
          <w:rFonts w:ascii="Arial" w:eastAsiaTheme="minorEastAsia" w:hAnsi="Arial" w:cs="Arial"/>
          <w:sz w:val="22"/>
          <w:szCs w:val="20"/>
          <w:lang w:eastAsia="en-US"/>
        </w:rPr>
        <w:t>representation and participation on government and industry committees/working groups</w:t>
      </w:r>
      <w:r w:rsidR="007910D5">
        <w:rPr>
          <w:rFonts w:ascii="Arial" w:eastAsiaTheme="minorEastAsia" w:hAnsi="Arial" w:cs="Arial"/>
          <w:sz w:val="22"/>
          <w:szCs w:val="20"/>
          <w:lang w:eastAsia="en-US"/>
        </w:rPr>
        <w:t xml:space="preserve"> </w:t>
      </w:r>
      <w:r w:rsidR="007910D5" w:rsidRPr="007910D5">
        <w:rPr>
          <w:rFonts w:ascii="Arial" w:eastAsiaTheme="minorEastAsia" w:hAnsi="Arial" w:cs="Arial"/>
          <w:sz w:val="22"/>
          <w:szCs w:val="20"/>
          <w:lang w:eastAsia="en-US"/>
        </w:rPr>
        <w:t>and the development of guidance and policy papers, Irish Funds, working collaboratively</w:t>
      </w:r>
      <w:r w:rsidR="007910D5">
        <w:rPr>
          <w:rFonts w:ascii="Arial" w:eastAsiaTheme="minorEastAsia" w:hAnsi="Arial" w:cs="Arial"/>
          <w:sz w:val="22"/>
          <w:szCs w:val="20"/>
          <w:lang w:eastAsia="en-US"/>
        </w:rPr>
        <w:t xml:space="preserve"> </w:t>
      </w:r>
      <w:r w:rsidR="007910D5" w:rsidRPr="007910D5">
        <w:rPr>
          <w:rFonts w:ascii="Arial" w:eastAsiaTheme="minorEastAsia" w:hAnsi="Arial" w:cs="Arial"/>
          <w:sz w:val="22"/>
          <w:szCs w:val="20"/>
          <w:lang w:eastAsia="en-US"/>
        </w:rPr>
        <w:t xml:space="preserve">with industry, has contributed to </w:t>
      </w:r>
      <w:r w:rsidR="009D683C">
        <w:rPr>
          <w:rFonts w:ascii="Arial" w:eastAsiaTheme="minorEastAsia" w:hAnsi="Arial" w:cs="Arial"/>
          <w:sz w:val="22"/>
          <w:szCs w:val="20"/>
          <w:lang w:eastAsia="en-US"/>
        </w:rPr>
        <w:t xml:space="preserve">the </w:t>
      </w:r>
      <w:r w:rsidR="007910D5" w:rsidRPr="007910D5">
        <w:rPr>
          <w:rFonts w:ascii="Arial" w:eastAsiaTheme="minorEastAsia" w:hAnsi="Arial" w:cs="Arial"/>
          <w:sz w:val="22"/>
          <w:szCs w:val="20"/>
          <w:lang w:eastAsia="en-US"/>
        </w:rPr>
        <w:t>regulatory and legislative framework and</w:t>
      </w:r>
      <w:r w:rsidR="007910D5">
        <w:rPr>
          <w:rFonts w:ascii="Arial" w:eastAsiaTheme="minorEastAsia" w:hAnsi="Arial" w:cs="Arial"/>
          <w:sz w:val="22"/>
          <w:szCs w:val="20"/>
          <w:lang w:eastAsia="en-US"/>
        </w:rPr>
        <w:t xml:space="preserve"> </w:t>
      </w:r>
      <w:r w:rsidR="007910D5" w:rsidRPr="007910D5">
        <w:rPr>
          <w:rFonts w:ascii="Arial" w:eastAsiaTheme="minorEastAsia" w:hAnsi="Arial" w:cs="Arial"/>
          <w:sz w:val="22"/>
          <w:szCs w:val="20"/>
          <w:lang w:eastAsia="en-US"/>
        </w:rPr>
        <w:t>defined market practice.</w:t>
      </w:r>
      <w:r w:rsidR="007910D5">
        <w:rPr>
          <w:rFonts w:ascii="Arial" w:eastAsiaTheme="minorEastAsia" w:hAnsi="Arial" w:cs="Arial"/>
          <w:sz w:val="22"/>
          <w:szCs w:val="20"/>
          <w:lang w:eastAsia="en-US"/>
        </w:rPr>
        <w:t xml:space="preserve"> </w:t>
      </w:r>
      <w:r w:rsidR="007910D5" w:rsidRPr="007910D5">
        <w:rPr>
          <w:rFonts w:ascii="Arial" w:eastAsiaTheme="minorEastAsia" w:hAnsi="Arial" w:cs="Arial"/>
          <w:sz w:val="22"/>
          <w:szCs w:val="20"/>
          <w:lang w:eastAsia="en-US"/>
        </w:rPr>
        <w:t>The collaboration across our member companies ensures that a wide range of industry perspectives and insights are repre</w:t>
      </w:r>
      <w:r w:rsidR="007910D5">
        <w:rPr>
          <w:rFonts w:ascii="Arial" w:eastAsiaTheme="minorEastAsia" w:hAnsi="Arial" w:cs="Arial"/>
          <w:sz w:val="22"/>
          <w:szCs w:val="20"/>
          <w:lang w:eastAsia="en-US"/>
        </w:rPr>
        <w:t>sented in the formulation of tho</w:t>
      </w:r>
      <w:r w:rsidR="007910D5" w:rsidRPr="007910D5">
        <w:rPr>
          <w:rFonts w:ascii="Arial" w:eastAsiaTheme="minorEastAsia" w:hAnsi="Arial" w:cs="Arial"/>
          <w:sz w:val="22"/>
          <w:szCs w:val="20"/>
          <w:lang w:eastAsia="en-US"/>
        </w:rPr>
        <w:t>se policy and guidance papers</w:t>
      </w:r>
      <w:r w:rsidR="007910D5">
        <w:rPr>
          <w:rFonts w:ascii="Arial" w:eastAsiaTheme="minorEastAsia" w:hAnsi="Arial" w:cs="Arial"/>
          <w:sz w:val="22"/>
          <w:szCs w:val="20"/>
          <w:lang w:eastAsia="en-US"/>
        </w:rPr>
        <w:t xml:space="preserve"> and in its responses to this consultation paper</w:t>
      </w:r>
      <w:r w:rsidR="007910D5" w:rsidRPr="007910D5">
        <w:rPr>
          <w:rFonts w:ascii="Arial" w:eastAsiaTheme="minorEastAsia" w:hAnsi="Arial" w:cs="Arial"/>
          <w:sz w:val="22"/>
          <w:szCs w:val="20"/>
          <w:lang w:eastAsia="en-US"/>
        </w:rPr>
        <w:t>.</w:t>
      </w:r>
      <w:r w:rsidR="007910D5">
        <w:rPr>
          <w:rFonts w:ascii="Arial" w:eastAsiaTheme="minorEastAsia" w:hAnsi="Arial" w:cs="Arial"/>
          <w:sz w:val="22"/>
          <w:szCs w:val="20"/>
          <w:lang w:eastAsia="en-US"/>
        </w:rPr>
        <w:t xml:space="preserve"> Given Irish Funds</w:t>
      </w:r>
      <w:r w:rsidR="006B0D60">
        <w:rPr>
          <w:rFonts w:ascii="Arial" w:eastAsiaTheme="minorEastAsia" w:hAnsi="Arial" w:cs="Arial"/>
          <w:sz w:val="22"/>
          <w:szCs w:val="20"/>
          <w:lang w:eastAsia="en-US"/>
        </w:rPr>
        <w:t>’</w:t>
      </w:r>
      <w:r w:rsidR="00926DC6">
        <w:rPr>
          <w:rFonts w:ascii="Arial" w:eastAsiaTheme="minorEastAsia" w:hAnsi="Arial" w:cs="Arial"/>
          <w:sz w:val="22"/>
          <w:szCs w:val="20"/>
          <w:lang w:eastAsia="en-US"/>
        </w:rPr>
        <w:t xml:space="preserve"> membership base, these responses do not address </w:t>
      </w:r>
      <w:r w:rsidR="007910D5">
        <w:rPr>
          <w:rFonts w:ascii="Arial" w:eastAsiaTheme="minorEastAsia" w:hAnsi="Arial" w:cs="Arial"/>
          <w:sz w:val="22"/>
          <w:szCs w:val="20"/>
          <w:lang w:eastAsia="en-US"/>
        </w:rPr>
        <w:t xml:space="preserve">questions specific to </w:t>
      </w:r>
      <w:r w:rsidR="00C64D44">
        <w:rPr>
          <w:rFonts w:ascii="Arial" w:eastAsiaTheme="minorEastAsia" w:hAnsi="Arial" w:cs="Arial"/>
          <w:sz w:val="22"/>
          <w:szCs w:val="20"/>
          <w:lang w:eastAsia="en-US"/>
        </w:rPr>
        <w:t xml:space="preserve">the position of </w:t>
      </w:r>
      <w:r w:rsidR="007910D5">
        <w:rPr>
          <w:rFonts w:ascii="Arial" w:eastAsiaTheme="minorEastAsia" w:hAnsi="Arial" w:cs="Arial"/>
          <w:sz w:val="22"/>
          <w:szCs w:val="20"/>
          <w:lang w:eastAsia="en-US"/>
        </w:rPr>
        <w:t>non-financial counterparties</w:t>
      </w:r>
      <w:r w:rsidR="00C64D44">
        <w:rPr>
          <w:rFonts w:ascii="Arial" w:eastAsiaTheme="minorEastAsia" w:hAnsi="Arial" w:cs="Arial"/>
          <w:sz w:val="22"/>
          <w:szCs w:val="20"/>
          <w:lang w:eastAsia="en-US"/>
        </w:rPr>
        <w:t xml:space="preserve"> or trading venues</w:t>
      </w:r>
      <w:r w:rsidR="007910D5">
        <w:rPr>
          <w:rFonts w:ascii="Arial" w:eastAsiaTheme="minorEastAsia" w:hAnsi="Arial" w:cs="Arial"/>
          <w:sz w:val="22"/>
          <w:szCs w:val="20"/>
          <w:lang w:eastAsia="en-US"/>
        </w:rPr>
        <w:t>.</w:t>
      </w:r>
    </w:p>
    <w:permEnd w:id="885457707"/>
    <w:p w14:paraId="15D00E65" w14:textId="2101538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077F1">
        <w:rPr>
          <w:rFonts w:asciiTheme="minorHAnsi" w:eastAsiaTheme="minorEastAsia" w:hAnsiTheme="minorHAnsi" w:cs="Arial"/>
          <w:sz w:val="22"/>
          <w:szCs w:val="20"/>
          <w:lang w:eastAsia="en-US"/>
        </w:rPr>
        <w:t>AMER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1138F9C" w:rsidR="00AB6157" w:rsidRDefault="00AB6157" w:rsidP="00C1698A">
      <w:pPr>
        <w:spacing w:line="276" w:lineRule="auto"/>
        <w:rPr>
          <w:rFonts w:asciiTheme="minorHAnsi" w:hAnsiTheme="minorHAnsi" w:cstheme="minorHAnsi"/>
          <w:b/>
          <w:sz w:val="28"/>
          <w:szCs w:val="28"/>
        </w:rPr>
      </w:pPr>
    </w:p>
    <w:p w14:paraId="623CE6BD" w14:textId="77777777" w:rsidR="00E077F1" w:rsidRDefault="00E077F1" w:rsidP="00E077F1">
      <w:pPr>
        <w:pStyle w:val="Questionstyle"/>
        <w:numPr>
          <w:ilvl w:val="0"/>
          <w:numId w:val="17"/>
        </w:numPr>
        <w:spacing w:after="250" w:line="276" w:lineRule="auto"/>
      </w:pPr>
      <w:r>
        <w:t>: Do you have any comment on the analysis of the amendments in relation to financial counterparties?</w:t>
      </w:r>
    </w:p>
    <w:p w14:paraId="556CCAE8" w14:textId="77777777" w:rsidR="00E077F1" w:rsidRDefault="00E077F1" w:rsidP="00E077F1">
      <w:pPr>
        <w:rPr>
          <w:rFonts w:ascii="Arial" w:hAnsi="Arial" w:cs="Arial"/>
        </w:rPr>
      </w:pPr>
      <w:r>
        <w:rPr>
          <w:rFonts w:ascii="Arial" w:hAnsi="Arial" w:cs="Arial"/>
        </w:rPr>
        <w:t>&lt;ESMA_QUESTION_AMER_1&gt;</w:t>
      </w:r>
    </w:p>
    <w:p w14:paraId="264E21F6" w14:textId="76FE3C14" w:rsidR="008026D8" w:rsidRPr="00C64D44" w:rsidRDefault="008026D8" w:rsidP="008026D8">
      <w:pPr>
        <w:rPr>
          <w:rFonts w:asciiTheme="minorHAnsi" w:hAnsiTheme="minorHAnsi" w:cstheme="minorHAnsi"/>
          <w:sz w:val="22"/>
          <w:szCs w:val="22"/>
        </w:rPr>
      </w:pPr>
      <w:permStart w:id="324010314" w:edGrp="everyone"/>
      <w:r w:rsidRPr="00C64D44">
        <w:rPr>
          <w:rFonts w:asciiTheme="minorHAnsi" w:hAnsiTheme="minorHAnsi" w:cstheme="minorHAnsi"/>
          <w:sz w:val="22"/>
          <w:szCs w:val="22"/>
        </w:rPr>
        <w:t xml:space="preserve">Irish Funds agrees with ESMA’s interpretation that, before EMIR Refit, the legal framework </w:t>
      </w:r>
      <w:r w:rsidR="00322B42">
        <w:rPr>
          <w:rFonts w:asciiTheme="minorHAnsi" w:hAnsiTheme="minorHAnsi" w:cstheme="minorHAnsi"/>
          <w:sz w:val="22"/>
          <w:szCs w:val="22"/>
        </w:rPr>
        <w:t>indicated</w:t>
      </w:r>
      <w:r w:rsidRPr="00C64D44">
        <w:rPr>
          <w:rFonts w:asciiTheme="minorHAnsi" w:hAnsiTheme="minorHAnsi" w:cstheme="minorHAnsi"/>
          <w:sz w:val="22"/>
          <w:szCs w:val="22"/>
        </w:rPr>
        <w:t xml:space="preserve"> a policy intention to align the scope of counterparties subject to the</w:t>
      </w:r>
      <w:r w:rsidR="0092184E">
        <w:rPr>
          <w:rFonts w:asciiTheme="minorHAnsi" w:hAnsiTheme="minorHAnsi" w:cstheme="minorHAnsi"/>
          <w:sz w:val="22"/>
          <w:szCs w:val="22"/>
        </w:rPr>
        <w:t xml:space="preserve"> Clearing Obligation</w:t>
      </w:r>
      <w:r w:rsidRPr="00C64D44">
        <w:rPr>
          <w:rFonts w:asciiTheme="minorHAnsi" w:hAnsiTheme="minorHAnsi" w:cstheme="minorHAnsi"/>
          <w:sz w:val="22"/>
          <w:szCs w:val="22"/>
        </w:rPr>
        <w:t xml:space="preserve"> </w:t>
      </w:r>
      <w:r w:rsidR="0092184E">
        <w:rPr>
          <w:rFonts w:asciiTheme="minorHAnsi" w:hAnsiTheme="minorHAnsi" w:cstheme="minorHAnsi"/>
          <w:sz w:val="22"/>
          <w:szCs w:val="22"/>
        </w:rPr>
        <w:t>(</w:t>
      </w:r>
      <w:r w:rsidRPr="00C64D44">
        <w:rPr>
          <w:rFonts w:asciiTheme="minorHAnsi" w:hAnsiTheme="minorHAnsi" w:cstheme="minorHAnsi"/>
          <w:sz w:val="22"/>
          <w:szCs w:val="22"/>
        </w:rPr>
        <w:t>CO</w:t>
      </w:r>
      <w:r w:rsidR="0092184E">
        <w:rPr>
          <w:rFonts w:asciiTheme="minorHAnsi" w:hAnsiTheme="minorHAnsi" w:cstheme="minorHAnsi"/>
          <w:sz w:val="22"/>
          <w:szCs w:val="22"/>
        </w:rPr>
        <w:t>)</w:t>
      </w:r>
      <w:r w:rsidRPr="00C64D44">
        <w:rPr>
          <w:rFonts w:asciiTheme="minorHAnsi" w:hAnsiTheme="minorHAnsi" w:cstheme="minorHAnsi"/>
          <w:sz w:val="22"/>
          <w:szCs w:val="22"/>
        </w:rPr>
        <w:t xml:space="preserve"> and the</w:t>
      </w:r>
      <w:r w:rsidR="0092184E">
        <w:rPr>
          <w:rFonts w:asciiTheme="minorHAnsi" w:hAnsiTheme="minorHAnsi" w:cstheme="minorHAnsi"/>
          <w:sz w:val="22"/>
          <w:szCs w:val="22"/>
        </w:rPr>
        <w:t xml:space="preserve"> Derivatives Trading Obligation</w:t>
      </w:r>
      <w:r w:rsidRPr="00C64D44">
        <w:rPr>
          <w:rFonts w:asciiTheme="minorHAnsi" w:hAnsiTheme="minorHAnsi" w:cstheme="minorHAnsi"/>
          <w:sz w:val="22"/>
          <w:szCs w:val="22"/>
        </w:rPr>
        <w:t xml:space="preserve"> </w:t>
      </w:r>
      <w:r w:rsidR="0092184E">
        <w:rPr>
          <w:rFonts w:asciiTheme="minorHAnsi" w:hAnsiTheme="minorHAnsi" w:cstheme="minorHAnsi"/>
          <w:sz w:val="22"/>
          <w:szCs w:val="22"/>
        </w:rPr>
        <w:t>(</w:t>
      </w:r>
      <w:r w:rsidRPr="00C64D44">
        <w:rPr>
          <w:rFonts w:asciiTheme="minorHAnsi" w:hAnsiTheme="minorHAnsi" w:cstheme="minorHAnsi"/>
          <w:sz w:val="22"/>
          <w:szCs w:val="22"/>
        </w:rPr>
        <w:t>DTO</w:t>
      </w:r>
      <w:r w:rsidR="0092184E">
        <w:rPr>
          <w:rFonts w:asciiTheme="minorHAnsi" w:hAnsiTheme="minorHAnsi" w:cstheme="minorHAnsi"/>
          <w:sz w:val="22"/>
          <w:szCs w:val="22"/>
        </w:rPr>
        <w:t>)</w:t>
      </w:r>
      <w:r w:rsidRPr="00C64D44">
        <w:rPr>
          <w:rFonts w:asciiTheme="minorHAnsi" w:hAnsiTheme="minorHAnsi" w:cstheme="minorHAnsi"/>
          <w:sz w:val="22"/>
          <w:szCs w:val="22"/>
        </w:rPr>
        <w:t xml:space="preserve">. </w:t>
      </w:r>
      <w:r w:rsidR="00322B42">
        <w:rPr>
          <w:rFonts w:asciiTheme="minorHAnsi" w:hAnsiTheme="minorHAnsi" w:cstheme="minorHAnsi"/>
          <w:sz w:val="22"/>
          <w:szCs w:val="22"/>
        </w:rPr>
        <w:t xml:space="preserve"> </w:t>
      </w:r>
      <w:r w:rsidR="005B0289">
        <w:rPr>
          <w:rFonts w:asciiTheme="minorHAnsi" w:hAnsiTheme="minorHAnsi" w:cstheme="minorHAnsi"/>
          <w:sz w:val="22"/>
          <w:szCs w:val="22"/>
        </w:rPr>
        <w:t>Irish Funds</w:t>
      </w:r>
      <w:r w:rsidR="004131DE" w:rsidRPr="00C64D44">
        <w:rPr>
          <w:rFonts w:asciiTheme="minorHAnsi" w:hAnsiTheme="minorHAnsi" w:cstheme="minorHAnsi"/>
          <w:sz w:val="22"/>
          <w:szCs w:val="22"/>
        </w:rPr>
        <w:t xml:space="preserve"> considers this interpretation to be supported </w:t>
      </w:r>
      <w:r w:rsidRPr="00C64D44">
        <w:rPr>
          <w:rFonts w:asciiTheme="minorHAnsi" w:hAnsiTheme="minorHAnsi" w:cstheme="minorHAnsi"/>
          <w:sz w:val="22"/>
          <w:szCs w:val="22"/>
        </w:rPr>
        <w:t>by:</w:t>
      </w:r>
    </w:p>
    <w:p w14:paraId="392F1E89" w14:textId="77777777" w:rsidR="008026D8" w:rsidRPr="00C64D44" w:rsidRDefault="008026D8" w:rsidP="008026D8">
      <w:pPr>
        <w:rPr>
          <w:rFonts w:asciiTheme="minorHAnsi" w:hAnsiTheme="minorHAnsi" w:cstheme="minorHAnsi"/>
          <w:sz w:val="22"/>
          <w:szCs w:val="22"/>
        </w:rPr>
      </w:pPr>
    </w:p>
    <w:p w14:paraId="113F8651" w14:textId="77777777" w:rsidR="00AA18B9" w:rsidRDefault="004131DE" w:rsidP="00AA18B9">
      <w:pPr>
        <w:pStyle w:val="ListParagraph"/>
        <w:rPr>
          <w:rFonts w:eastAsia="Times New Roman"/>
        </w:rPr>
      </w:pPr>
      <w:r w:rsidRPr="00AA18B9">
        <w:rPr>
          <w:rFonts w:eastAsia="Times New Roman"/>
        </w:rPr>
        <w:t>Article 2 of Commission Delegated Regulation (EU) 2017/2417 of 17 November 2017 supplementing Regulation (EU) No 600/2014 of the European Parliament and of the Council on markets in financial instruments with regard to regulatory technical standards on the trading obligation for certain derivatives (the “</w:t>
      </w:r>
      <w:r w:rsidRPr="00AA18B9">
        <w:rPr>
          <w:rFonts w:eastAsia="Times New Roman"/>
          <w:b/>
        </w:rPr>
        <w:t>MiFIR RTS</w:t>
      </w:r>
      <w:r w:rsidRPr="00AA18B9">
        <w:rPr>
          <w:rFonts w:eastAsia="Times New Roman"/>
        </w:rPr>
        <w:t xml:space="preserve">”) </w:t>
      </w:r>
      <w:r w:rsidR="008026D8" w:rsidRPr="00AA18B9">
        <w:rPr>
          <w:rFonts w:eastAsia="Times New Roman"/>
        </w:rPr>
        <w:t>which link</w:t>
      </w:r>
      <w:r w:rsidR="00AA18B9" w:rsidRPr="00AA18B9">
        <w:rPr>
          <w:rFonts w:eastAsia="Times New Roman"/>
        </w:rPr>
        <w:t xml:space="preserve">s, with respect to </w:t>
      </w:r>
      <w:r w:rsidR="00AA18B9">
        <w:rPr>
          <w:rFonts w:eastAsia="Times New Roman"/>
        </w:rPr>
        <w:t xml:space="preserve">a </w:t>
      </w:r>
      <w:r w:rsidR="00AA18B9" w:rsidRPr="00AA18B9">
        <w:rPr>
          <w:rFonts w:eastAsia="Times New Roman"/>
        </w:rPr>
        <w:t>category of counterparty</w:t>
      </w:r>
      <w:r w:rsidR="00AA18B9">
        <w:rPr>
          <w:rFonts w:eastAsia="Times New Roman"/>
        </w:rPr>
        <w:t xml:space="preserve"> referred to in Article 3 of:</w:t>
      </w:r>
    </w:p>
    <w:p w14:paraId="52756FAF" w14:textId="5C05E169" w:rsidR="00AA18B9" w:rsidRDefault="00AA18B9" w:rsidP="00AA18B9">
      <w:pPr>
        <w:pStyle w:val="ListParagraph"/>
        <w:numPr>
          <w:ilvl w:val="1"/>
          <w:numId w:val="20"/>
        </w:numPr>
        <w:rPr>
          <w:rFonts w:eastAsia="Times New Roman"/>
        </w:rPr>
      </w:pPr>
      <w:r w:rsidRPr="00AA18B9">
        <w:rPr>
          <w:rFonts w:eastAsia="Times New Roman"/>
        </w:rPr>
        <w:t>Commission Delegated Regulation (EU) 2015/2205 of 6 August 2015 supplementing Regulation (EU) No 648/2012 of the European Parliament and of the Council with regard to regulatory technical standards on the clearing obligation</w:t>
      </w:r>
      <w:r>
        <w:rPr>
          <w:rFonts w:eastAsia="Times New Roman"/>
        </w:rPr>
        <w:t>; or</w:t>
      </w:r>
    </w:p>
    <w:p w14:paraId="58C72FFB" w14:textId="77777777" w:rsidR="00AA18B9" w:rsidRDefault="00AA18B9" w:rsidP="00AA18B9">
      <w:pPr>
        <w:pStyle w:val="ListParagraph"/>
        <w:numPr>
          <w:ilvl w:val="1"/>
          <w:numId w:val="20"/>
        </w:numPr>
        <w:rPr>
          <w:rFonts w:eastAsia="Times New Roman"/>
        </w:rPr>
      </w:pPr>
      <w:r w:rsidRPr="00AA18B9">
        <w:rPr>
          <w:rFonts w:eastAsia="Times New Roman"/>
        </w:rPr>
        <w:t>Commission Delegated Regulation (EU) 2016/592 of 1 March 2016 supplementing Regulation (EU) No 648/2012 of the European Parliament and of the Council with regard to regulatory technical standards on the clearing obligation</w:t>
      </w:r>
      <w:r>
        <w:rPr>
          <w:rFonts w:eastAsia="Times New Roman"/>
        </w:rPr>
        <w:t>,</w:t>
      </w:r>
    </w:p>
    <w:p w14:paraId="4B3691A2" w14:textId="68A566FD" w:rsidR="008026D8" w:rsidRPr="00AA18B9" w:rsidRDefault="00AA18B9" w:rsidP="00AA18B9">
      <w:pPr>
        <w:ind w:left="708"/>
        <w:rPr>
          <w:rFonts w:asciiTheme="minorHAnsi" w:hAnsiTheme="minorHAnsi" w:cstheme="minorHAnsi"/>
          <w:sz w:val="22"/>
          <w:szCs w:val="22"/>
        </w:rPr>
      </w:pPr>
      <w:r w:rsidRPr="00AA18B9">
        <w:rPr>
          <w:rFonts w:asciiTheme="minorHAnsi" w:hAnsiTheme="minorHAnsi" w:cstheme="minorHAnsi"/>
          <w:sz w:val="22"/>
          <w:szCs w:val="22"/>
        </w:rPr>
        <w:t xml:space="preserve">the effective date of the DTO with the effective date of the CO for that category of </w:t>
      </w:r>
      <w:proofErr w:type="gramStart"/>
      <w:r w:rsidRPr="00AA18B9">
        <w:rPr>
          <w:rFonts w:asciiTheme="minorHAnsi" w:hAnsiTheme="minorHAnsi" w:cstheme="minorHAnsi"/>
          <w:sz w:val="22"/>
          <w:szCs w:val="22"/>
        </w:rPr>
        <w:t>counterparty</w:t>
      </w:r>
      <w:r w:rsidR="004131DE" w:rsidRPr="00AA18B9">
        <w:rPr>
          <w:rFonts w:asciiTheme="minorHAnsi" w:hAnsiTheme="minorHAnsi" w:cstheme="minorHAnsi"/>
          <w:sz w:val="22"/>
          <w:szCs w:val="22"/>
        </w:rPr>
        <w:t>;</w:t>
      </w:r>
      <w:proofErr w:type="gramEnd"/>
    </w:p>
    <w:p w14:paraId="18B6666A" w14:textId="58850712" w:rsidR="004131DE" w:rsidRPr="00C64D44" w:rsidRDefault="004131DE" w:rsidP="003500A3">
      <w:pPr>
        <w:pStyle w:val="ListParagraph"/>
        <w:rPr>
          <w:rFonts w:eastAsia="Times New Roman"/>
        </w:rPr>
      </w:pPr>
      <w:r w:rsidRPr="00C64D44">
        <w:rPr>
          <w:rFonts w:eastAsia="Times New Roman"/>
        </w:rPr>
        <w:t xml:space="preserve">Recital 5 of </w:t>
      </w:r>
      <w:r w:rsidR="00C64D44">
        <w:rPr>
          <w:rFonts w:eastAsia="Times New Roman"/>
        </w:rPr>
        <w:t xml:space="preserve">the </w:t>
      </w:r>
      <w:r w:rsidRPr="00C64D44">
        <w:rPr>
          <w:rFonts w:eastAsia="Times New Roman"/>
        </w:rPr>
        <w:t>MiFIR RTS</w:t>
      </w:r>
      <w:r w:rsidR="00322B42">
        <w:rPr>
          <w:rFonts w:eastAsia="Times New Roman"/>
        </w:rPr>
        <w:t>,</w:t>
      </w:r>
      <w:r w:rsidRPr="00C64D44">
        <w:rPr>
          <w:rFonts w:eastAsia="Times New Roman"/>
        </w:rPr>
        <w:t xml:space="preserve"> which states “… Given the link between the clearing obligation and the trading obligation, the trading obligation for each category of counterparty should only take effect once the clearing obligation for that category has already taken effect.”; and</w:t>
      </w:r>
    </w:p>
    <w:p w14:paraId="49B115D9" w14:textId="29205190" w:rsidR="00E077F1" w:rsidRPr="00C64D44" w:rsidRDefault="004131DE" w:rsidP="003500A3">
      <w:pPr>
        <w:pStyle w:val="ListParagraph"/>
        <w:rPr>
          <w:rFonts w:eastAsia="Times New Roman"/>
        </w:rPr>
      </w:pPr>
      <w:r w:rsidRPr="00C64D44">
        <w:rPr>
          <w:rFonts w:eastAsia="Times New Roman"/>
        </w:rPr>
        <w:t xml:space="preserve">Article 28(2) of </w:t>
      </w:r>
      <w:r w:rsidR="008026D8" w:rsidRPr="00C64D44">
        <w:rPr>
          <w:rFonts w:eastAsia="Times New Roman"/>
        </w:rPr>
        <w:t>MiFI</w:t>
      </w:r>
      <w:r w:rsidRPr="00C64D44">
        <w:rPr>
          <w:rFonts w:eastAsia="Times New Roman"/>
        </w:rPr>
        <w:t>R (as referenced at paragraph 30 of the Consultation Paper)</w:t>
      </w:r>
      <w:r w:rsidR="008026D8" w:rsidRPr="00C64D44">
        <w:rPr>
          <w:rFonts w:eastAsia="Times New Roman"/>
        </w:rPr>
        <w:t>.</w:t>
      </w:r>
    </w:p>
    <w:permEnd w:id="324010314"/>
    <w:p w14:paraId="29A0116E" w14:textId="77777777" w:rsidR="00E077F1" w:rsidRDefault="00E077F1" w:rsidP="00E077F1">
      <w:pPr>
        <w:rPr>
          <w:rFonts w:ascii="Arial" w:hAnsi="Arial" w:cs="Arial"/>
        </w:rPr>
      </w:pPr>
      <w:r>
        <w:rPr>
          <w:rFonts w:ascii="Arial" w:hAnsi="Arial" w:cs="Arial"/>
        </w:rPr>
        <w:t>&lt;ESMA_QUESTION_AMER_1&gt;</w:t>
      </w:r>
    </w:p>
    <w:p w14:paraId="7CC97C81" w14:textId="77777777" w:rsidR="00E077F1" w:rsidRDefault="00E077F1" w:rsidP="00E077F1">
      <w:pPr>
        <w:rPr>
          <w:rFonts w:ascii="Arial" w:hAnsi="Arial" w:cs="Arial"/>
        </w:rPr>
      </w:pPr>
    </w:p>
    <w:p w14:paraId="58BA4F02" w14:textId="77777777" w:rsidR="00E077F1" w:rsidRDefault="00E077F1" w:rsidP="00E077F1">
      <w:pPr>
        <w:pStyle w:val="Questionstyle"/>
        <w:numPr>
          <w:ilvl w:val="0"/>
          <w:numId w:val="17"/>
        </w:numPr>
        <w:spacing w:after="250" w:line="276" w:lineRule="auto"/>
        <w:rPr>
          <w:rFonts w:ascii="Arial" w:hAnsi="Arial" w:cs="Arial"/>
        </w:rPr>
      </w:pPr>
      <w:r>
        <w:t>Do you have any comment on the analysis of the amendments in relation to non-financial counterparties?</w:t>
      </w:r>
    </w:p>
    <w:p w14:paraId="7E75DA29" w14:textId="77777777" w:rsidR="00E077F1" w:rsidRDefault="00E077F1" w:rsidP="00E077F1">
      <w:pPr>
        <w:rPr>
          <w:rFonts w:ascii="Arial" w:hAnsi="Arial" w:cs="Arial"/>
        </w:rPr>
      </w:pPr>
      <w:r>
        <w:rPr>
          <w:rFonts w:ascii="Arial" w:hAnsi="Arial" w:cs="Arial"/>
        </w:rPr>
        <w:t>&lt;ESMA_QUESTION_AMER_2&gt;</w:t>
      </w:r>
    </w:p>
    <w:p w14:paraId="0A3F6051" w14:textId="3B0BA250" w:rsidR="00E077F1" w:rsidRPr="00C64D44" w:rsidRDefault="00C64D44" w:rsidP="00E077F1">
      <w:pPr>
        <w:rPr>
          <w:rFonts w:asciiTheme="minorHAnsi" w:hAnsiTheme="minorHAnsi" w:cstheme="minorHAnsi"/>
          <w:sz w:val="22"/>
          <w:szCs w:val="22"/>
        </w:rPr>
      </w:pPr>
      <w:permStart w:id="47650440" w:edGrp="everyone"/>
      <w:r w:rsidRPr="00C64D44">
        <w:rPr>
          <w:rFonts w:asciiTheme="minorHAnsi" w:hAnsiTheme="minorHAnsi" w:cstheme="minorHAnsi"/>
          <w:sz w:val="22"/>
          <w:szCs w:val="22"/>
        </w:rPr>
        <w:t>Not applicable.  See introductory comments.</w:t>
      </w:r>
    </w:p>
    <w:permEnd w:id="47650440"/>
    <w:p w14:paraId="3C5EBBFF" w14:textId="77777777" w:rsidR="00E077F1" w:rsidRDefault="00E077F1" w:rsidP="00E077F1">
      <w:pPr>
        <w:rPr>
          <w:rFonts w:ascii="Arial" w:hAnsi="Arial" w:cs="Arial"/>
        </w:rPr>
      </w:pPr>
      <w:r>
        <w:rPr>
          <w:rFonts w:ascii="Arial" w:hAnsi="Arial" w:cs="Arial"/>
        </w:rPr>
        <w:t>&lt;ESMA_QUESTION_AMER_2&gt;</w:t>
      </w:r>
    </w:p>
    <w:p w14:paraId="195F04CC" w14:textId="77777777" w:rsidR="00E077F1" w:rsidRDefault="00E077F1" w:rsidP="00E077F1">
      <w:pPr>
        <w:rPr>
          <w:rFonts w:ascii="Arial" w:hAnsi="Arial" w:cs="Arial"/>
        </w:rPr>
      </w:pPr>
    </w:p>
    <w:p w14:paraId="6D47D3CF" w14:textId="77777777" w:rsidR="00E077F1" w:rsidRDefault="00E077F1" w:rsidP="00E077F1">
      <w:pPr>
        <w:pStyle w:val="Questionstyle"/>
        <w:numPr>
          <w:ilvl w:val="0"/>
          <w:numId w:val="17"/>
        </w:numPr>
        <w:spacing w:after="250" w:line="276" w:lineRule="auto"/>
        <w:rPr>
          <w:rFonts w:ascii="Arial" w:hAnsi="Arial" w:cs="Arial"/>
        </w:rPr>
      </w:pPr>
      <w:r>
        <w:t>: What is your view on the possible development of on-venue trading for contracts not cleared with a CCP? What are the challenges for the trading venues? What are the challenges for the counterparties exempted from the CO and subject to the DTO?</w:t>
      </w:r>
    </w:p>
    <w:p w14:paraId="779593E6" w14:textId="77777777" w:rsidR="00E077F1" w:rsidRDefault="00E077F1" w:rsidP="00E077F1">
      <w:pPr>
        <w:rPr>
          <w:rFonts w:ascii="Arial" w:hAnsi="Arial" w:cs="Arial"/>
        </w:rPr>
      </w:pPr>
      <w:r>
        <w:rPr>
          <w:rFonts w:ascii="Arial" w:hAnsi="Arial" w:cs="Arial"/>
        </w:rPr>
        <w:t>&lt;ESMA_QUESTION_AMER_3&gt;</w:t>
      </w:r>
    </w:p>
    <w:p w14:paraId="720A64C8" w14:textId="306FAEC7" w:rsidR="00C64D44" w:rsidRDefault="00322B42" w:rsidP="00C64D44">
      <w:pPr>
        <w:rPr>
          <w:rFonts w:asciiTheme="minorHAnsi" w:hAnsiTheme="minorHAnsi" w:cstheme="minorHAnsi"/>
          <w:sz w:val="22"/>
          <w:szCs w:val="22"/>
        </w:rPr>
      </w:pPr>
      <w:permStart w:id="621416345" w:edGrp="everyone"/>
      <w:r>
        <w:rPr>
          <w:rFonts w:asciiTheme="minorHAnsi" w:hAnsiTheme="minorHAnsi" w:cstheme="minorHAnsi"/>
          <w:sz w:val="22"/>
          <w:szCs w:val="22"/>
        </w:rPr>
        <w:t xml:space="preserve">The development of on-venue trading for uncleared derivatives contracts does not affect </w:t>
      </w:r>
      <w:r w:rsidR="005B0289">
        <w:rPr>
          <w:rFonts w:asciiTheme="minorHAnsi" w:hAnsiTheme="minorHAnsi" w:cstheme="minorHAnsi"/>
          <w:sz w:val="22"/>
          <w:szCs w:val="22"/>
        </w:rPr>
        <w:t xml:space="preserve">the fact that the imposition of a requirement to trade on such a venue should only be imposed </w:t>
      </w:r>
      <w:r w:rsidR="005B0289">
        <w:rPr>
          <w:rFonts w:asciiTheme="minorHAnsi" w:hAnsiTheme="minorHAnsi" w:cstheme="minorHAnsi"/>
          <w:sz w:val="22"/>
          <w:szCs w:val="22"/>
        </w:rPr>
        <w:lastRenderedPageBreak/>
        <w:t xml:space="preserve">where, as noted by the </w:t>
      </w:r>
      <w:r>
        <w:rPr>
          <w:rFonts w:asciiTheme="minorHAnsi" w:hAnsiTheme="minorHAnsi" w:cstheme="minorHAnsi"/>
          <w:sz w:val="22"/>
          <w:szCs w:val="22"/>
        </w:rPr>
        <w:t xml:space="preserve">G20 </w:t>
      </w:r>
      <w:r w:rsidR="00C64D44">
        <w:rPr>
          <w:rFonts w:asciiTheme="minorHAnsi" w:hAnsiTheme="minorHAnsi" w:cstheme="minorHAnsi"/>
          <w:sz w:val="22"/>
          <w:szCs w:val="22"/>
        </w:rPr>
        <w:t>agreement</w:t>
      </w:r>
      <w:r w:rsidR="005B0289">
        <w:rPr>
          <w:rFonts w:asciiTheme="minorHAnsi" w:hAnsiTheme="minorHAnsi" w:cstheme="minorHAnsi"/>
          <w:sz w:val="22"/>
          <w:szCs w:val="22"/>
        </w:rPr>
        <w:t>, such a requirement is “</w:t>
      </w:r>
      <w:r w:rsidR="00C64D44" w:rsidRPr="00C64D44">
        <w:rPr>
          <w:rFonts w:asciiTheme="minorHAnsi" w:hAnsiTheme="minorHAnsi" w:cstheme="minorHAnsi"/>
          <w:sz w:val="22"/>
          <w:szCs w:val="22"/>
        </w:rPr>
        <w:t>appropriate</w:t>
      </w:r>
      <w:r w:rsidR="005B0289">
        <w:rPr>
          <w:rFonts w:asciiTheme="minorHAnsi" w:hAnsiTheme="minorHAnsi" w:cstheme="minorHAnsi"/>
          <w:sz w:val="22"/>
          <w:szCs w:val="22"/>
        </w:rPr>
        <w:t>”</w:t>
      </w:r>
      <w:r w:rsidR="005B0289">
        <w:rPr>
          <w:rStyle w:val="FootnoteReference"/>
          <w:rFonts w:cstheme="minorHAnsi"/>
          <w:szCs w:val="22"/>
        </w:rPr>
        <w:footnoteReference w:id="2"/>
      </w:r>
      <w:r w:rsidR="005B0289">
        <w:rPr>
          <w:rFonts w:asciiTheme="minorHAnsi" w:hAnsiTheme="minorHAnsi" w:cstheme="minorHAnsi"/>
          <w:sz w:val="22"/>
          <w:szCs w:val="22"/>
        </w:rPr>
        <w:t xml:space="preserve">.  </w:t>
      </w:r>
      <w:r>
        <w:rPr>
          <w:rFonts w:asciiTheme="minorHAnsi" w:hAnsiTheme="minorHAnsi" w:cstheme="minorHAnsi"/>
          <w:sz w:val="22"/>
          <w:szCs w:val="22"/>
        </w:rPr>
        <w:t>Irish Funds is of the view that</w:t>
      </w:r>
      <w:r w:rsidR="005B0289">
        <w:rPr>
          <w:rFonts w:asciiTheme="minorHAnsi" w:hAnsiTheme="minorHAnsi" w:cstheme="minorHAnsi"/>
          <w:sz w:val="22"/>
          <w:szCs w:val="22"/>
        </w:rPr>
        <w:t xml:space="preserve"> the EU’s pre-EMIR Refit implementation of the G20</w:t>
      </w:r>
      <w:r>
        <w:rPr>
          <w:rFonts w:asciiTheme="minorHAnsi" w:hAnsiTheme="minorHAnsi" w:cstheme="minorHAnsi"/>
          <w:sz w:val="22"/>
          <w:szCs w:val="22"/>
        </w:rPr>
        <w:t xml:space="preserve"> agreement </w:t>
      </w:r>
      <w:r w:rsidR="005B0289">
        <w:rPr>
          <w:rFonts w:asciiTheme="minorHAnsi" w:hAnsiTheme="minorHAnsi" w:cstheme="minorHAnsi"/>
          <w:sz w:val="22"/>
          <w:szCs w:val="22"/>
        </w:rPr>
        <w:t xml:space="preserve">indicates an acceptance by EU legislators and regulators that </w:t>
      </w:r>
      <w:r w:rsidR="00C64D44">
        <w:rPr>
          <w:rFonts w:asciiTheme="minorHAnsi" w:hAnsiTheme="minorHAnsi" w:cstheme="minorHAnsi"/>
          <w:sz w:val="22"/>
          <w:szCs w:val="22"/>
        </w:rPr>
        <w:t xml:space="preserve">alignment of </w:t>
      </w:r>
      <w:r w:rsidR="00C64D44" w:rsidRPr="00C64D44">
        <w:rPr>
          <w:rFonts w:asciiTheme="minorHAnsi" w:hAnsiTheme="minorHAnsi" w:cstheme="minorHAnsi"/>
          <w:sz w:val="22"/>
          <w:szCs w:val="22"/>
        </w:rPr>
        <w:t xml:space="preserve">the </w:t>
      </w:r>
      <w:r w:rsidR="00432BF1">
        <w:rPr>
          <w:rFonts w:asciiTheme="minorHAnsi" w:hAnsiTheme="minorHAnsi" w:cstheme="minorHAnsi"/>
          <w:sz w:val="22"/>
          <w:szCs w:val="22"/>
        </w:rPr>
        <w:t xml:space="preserve">counterparties subject to the </w:t>
      </w:r>
      <w:r w:rsidR="00C64D44" w:rsidRPr="00C64D44">
        <w:rPr>
          <w:rFonts w:asciiTheme="minorHAnsi" w:hAnsiTheme="minorHAnsi" w:cstheme="minorHAnsi"/>
          <w:sz w:val="22"/>
          <w:szCs w:val="22"/>
        </w:rPr>
        <w:t>CO and DTO</w:t>
      </w:r>
      <w:r w:rsidR="005B0289">
        <w:rPr>
          <w:rFonts w:asciiTheme="minorHAnsi" w:hAnsiTheme="minorHAnsi" w:cstheme="minorHAnsi"/>
          <w:sz w:val="22"/>
          <w:szCs w:val="22"/>
        </w:rPr>
        <w:t xml:space="preserve"> is required to meet that test of appropriateness</w:t>
      </w:r>
      <w:r w:rsidR="00C64D44" w:rsidRPr="00C64D44">
        <w:rPr>
          <w:rFonts w:asciiTheme="minorHAnsi" w:hAnsiTheme="minorHAnsi" w:cstheme="minorHAnsi"/>
          <w:sz w:val="22"/>
          <w:szCs w:val="22"/>
        </w:rPr>
        <w:t>.</w:t>
      </w:r>
    </w:p>
    <w:p w14:paraId="1C7CD28C" w14:textId="77777777" w:rsidR="00C64D44" w:rsidRDefault="00C64D44" w:rsidP="00C64D44">
      <w:pPr>
        <w:rPr>
          <w:rFonts w:asciiTheme="minorHAnsi" w:hAnsiTheme="minorHAnsi" w:cstheme="minorHAnsi"/>
          <w:sz w:val="22"/>
          <w:szCs w:val="22"/>
        </w:rPr>
      </w:pPr>
    </w:p>
    <w:p w14:paraId="0E917544" w14:textId="43F628A7" w:rsidR="006348BC" w:rsidRDefault="005B0289" w:rsidP="00C64D44">
      <w:pPr>
        <w:rPr>
          <w:rFonts w:asciiTheme="minorHAnsi" w:hAnsiTheme="minorHAnsi" w:cstheme="minorHAnsi"/>
          <w:sz w:val="22"/>
          <w:szCs w:val="22"/>
        </w:rPr>
      </w:pPr>
      <w:r>
        <w:rPr>
          <w:rFonts w:asciiTheme="minorHAnsi" w:hAnsiTheme="minorHAnsi" w:cstheme="minorHAnsi"/>
          <w:sz w:val="22"/>
          <w:szCs w:val="22"/>
        </w:rPr>
        <w:t>Irish Funds</w:t>
      </w:r>
      <w:r w:rsidR="00C64D44">
        <w:rPr>
          <w:rFonts w:asciiTheme="minorHAnsi" w:hAnsiTheme="minorHAnsi" w:cstheme="minorHAnsi"/>
          <w:sz w:val="22"/>
          <w:szCs w:val="22"/>
        </w:rPr>
        <w:t xml:space="preserve"> express</w:t>
      </w:r>
      <w:r>
        <w:rPr>
          <w:rFonts w:asciiTheme="minorHAnsi" w:hAnsiTheme="minorHAnsi" w:cstheme="minorHAnsi"/>
          <w:sz w:val="22"/>
          <w:szCs w:val="22"/>
        </w:rPr>
        <w:t>es</w:t>
      </w:r>
      <w:r w:rsidR="00C64D44">
        <w:rPr>
          <w:rFonts w:asciiTheme="minorHAnsi" w:hAnsiTheme="minorHAnsi" w:cstheme="minorHAnsi"/>
          <w:sz w:val="22"/>
          <w:szCs w:val="22"/>
        </w:rPr>
        <w:t xml:space="preserve"> no view on the challenges for trading venues (see the introductory comments</w:t>
      </w:r>
      <w:r>
        <w:rPr>
          <w:rFonts w:asciiTheme="minorHAnsi" w:hAnsiTheme="minorHAnsi" w:cstheme="minorHAnsi"/>
          <w:sz w:val="22"/>
          <w:szCs w:val="22"/>
        </w:rPr>
        <w:t xml:space="preserve"> to these responses</w:t>
      </w:r>
      <w:r w:rsidR="00C64D44">
        <w:rPr>
          <w:rFonts w:asciiTheme="minorHAnsi" w:hAnsiTheme="minorHAnsi" w:cstheme="minorHAnsi"/>
          <w:sz w:val="22"/>
          <w:szCs w:val="22"/>
        </w:rPr>
        <w:t>).</w:t>
      </w:r>
      <w:r w:rsidR="006348BC">
        <w:rPr>
          <w:rFonts w:asciiTheme="minorHAnsi" w:hAnsiTheme="minorHAnsi" w:cstheme="minorHAnsi"/>
          <w:sz w:val="22"/>
          <w:szCs w:val="22"/>
        </w:rPr>
        <w:t xml:space="preserve">  </w:t>
      </w:r>
    </w:p>
    <w:p w14:paraId="780BB948" w14:textId="77777777" w:rsidR="006348BC" w:rsidRDefault="006348BC" w:rsidP="00C64D44">
      <w:pPr>
        <w:rPr>
          <w:rFonts w:asciiTheme="minorHAnsi" w:hAnsiTheme="minorHAnsi" w:cstheme="minorHAnsi"/>
          <w:sz w:val="22"/>
          <w:szCs w:val="22"/>
        </w:rPr>
      </w:pPr>
    </w:p>
    <w:p w14:paraId="7DB54F9C" w14:textId="5CC92798" w:rsidR="00C64D44" w:rsidRPr="006348BC" w:rsidRDefault="006348BC" w:rsidP="00C64D44">
      <w:pPr>
        <w:rPr>
          <w:rFonts w:asciiTheme="minorHAnsi" w:hAnsiTheme="minorHAnsi" w:cstheme="minorHAnsi"/>
          <w:sz w:val="22"/>
          <w:szCs w:val="22"/>
        </w:rPr>
      </w:pPr>
      <w:r>
        <w:rPr>
          <w:rFonts w:asciiTheme="minorHAnsi" w:hAnsiTheme="minorHAnsi" w:cstheme="minorHAnsi"/>
          <w:sz w:val="22"/>
          <w:szCs w:val="22"/>
        </w:rPr>
        <w:t xml:space="preserve">As regards </w:t>
      </w:r>
      <w:r w:rsidR="00C64D44" w:rsidRPr="006348BC">
        <w:rPr>
          <w:rFonts w:asciiTheme="minorHAnsi" w:hAnsiTheme="minorHAnsi" w:cstheme="minorHAnsi"/>
          <w:sz w:val="22"/>
          <w:szCs w:val="22"/>
        </w:rPr>
        <w:t>counterparties exempted from the CO and subject</w:t>
      </w:r>
      <w:r w:rsidR="005B0289">
        <w:rPr>
          <w:rFonts w:asciiTheme="minorHAnsi" w:hAnsiTheme="minorHAnsi" w:cstheme="minorHAnsi"/>
          <w:sz w:val="22"/>
          <w:szCs w:val="22"/>
        </w:rPr>
        <w:t>ed</w:t>
      </w:r>
      <w:r w:rsidR="00C64D44" w:rsidRPr="006348BC">
        <w:rPr>
          <w:rFonts w:asciiTheme="minorHAnsi" w:hAnsiTheme="minorHAnsi" w:cstheme="minorHAnsi"/>
          <w:sz w:val="22"/>
          <w:szCs w:val="22"/>
        </w:rPr>
        <w:t xml:space="preserve"> to the DTO</w:t>
      </w:r>
      <w:r>
        <w:rPr>
          <w:rFonts w:asciiTheme="minorHAnsi" w:hAnsiTheme="minorHAnsi" w:cstheme="minorHAnsi"/>
          <w:sz w:val="22"/>
          <w:szCs w:val="22"/>
        </w:rPr>
        <w:t>, Irish Funds shares the concern raised by ESMA, at par</w:t>
      </w:r>
      <w:r w:rsidR="00875783">
        <w:rPr>
          <w:rFonts w:asciiTheme="minorHAnsi" w:hAnsiTheme="minorHAnsi" w:cstheme="minorHAnsi"/>
          <w:sz w:val="22"/>
          <w:szCs w:val="22"/>
        </w:rPr>
        <w:t>a</w:t>
      </w:r>
      <w:r>
        <w:rPr>
          <w:rFonts w:asciiTheme="minorHAnsi" w:hAnsiTheme="minorHAnsi" w:cstheme="minorHAnsi"/>
          <w:sz w:val="22"/>
          <w:szCs w:val="22"/>
        </w:rPr>
        <w:t xml:space="preserve">graphs 35 to 38 of the Consultation Paper, that </w:t>
      </w:r>
      <w:r w:rsidR="00C13472">
        <w:rPr>
          <w:rFonts w:asciiTheme="minorHAnsi" w:hAnsiTheme="minorHAnsi" w:cstheme="minorHAnsi"/>
          <w:sz w:val="22"/>
          <w:szCs w:val="22"/>
        </w:rPr>
        <w:t xml:space="preserve">the application of a stand-alone DTO to small </w:t>
      </w:r>
      <w:r w:rsidR="0092184E">
        <w:rPr>
          <w:rFonts w:asciiTheme="minorHAnsi" w:hAnsiTheme="minorHAnsi" w:cstheme="minorHAnsi"/>
          <w:sz w:val="22"/>
          <w:szCs w:val="22"/>
        </w:rPr>
        <w:t>Financial Counterparties (</w:t>
      </w:r>
      <w:r w:rsidR="00C13472">
        <w:rPr>
          <w:rFonts w:asciiTheme="minorHAnsi" w:hAnsiTheme="minorHAnsi" w:cstheme="minorHAnsi"/>
          <w:sz w:val="22"/>
          <w:szCs w:val="22"/>
        </w:rPr>
        <w:t>FCs</w:t>
      </w:r>
      <w:r w:rsidR="0092184E">
        <w:rPr>
          <w:rFonts w:asciiTheme="minorHAnsi" w:hAnsiTheme="minorHAnsi" w:cstheme="minorHAnsi"/>
          <w:sz w:val="22"/>
          <w:szCs w:val="22"/>
        </w:rPr>
        <w:t>)</w:t>
      </w:r>
      <w:r w:rsidR="00C13472">
        <w:rPr>
          <w:rFonts w:asciiTheme="minorHAnsi" w:hAnsiTheme="minorHAnsi" w:cstheme="minorHAnsi"/>
          <w:sz w:val="22"/>
          <w:szCs w:val="22"/>
        </w:rPr>
        <w:t xml:space="preserve"> that are exempt from the CO could, given </w:t>
      </w:r>
      <w:r w:rsidRPr="006348BC">
        <w:rPr>
          <w:rFonts w:asciiTheme="minorHAnsi" w:hAnsiTheme="minorHAnsi" w:cstheme="minorHAnsi"/>
          <w:sz w:val="22"/>
          <w:szCs w:val="22"/>
        </w:rPr>
        <w:t>current market functioning</w:t>
      </w:r>
      <w:r w:rsidR="00C13472">
        <w:rPr>
          <w:rFonts w:asciiTheme="minorHAnsi" w:hAnsiTheme="minorHAnsi" w:cstheme="minorHAnsi"/>
          <w:sz w:val="22"/>
          <w:szCs w:val="22"/>
        </w:rPr>
        <w:t>,</w:t>
      </w:r>
      <w:r w:rsidRPr="006348BC">
        <w:rPr>
          <w:rFonts w:asciiTheme="minorHAnsi" w:hAnsiTheme="minorHAnsi" w:cstheme="minorHAnsi"/>
          <w:sz w:val="22"/>
          <w:szCs w:val="22"/>
        </w:rPr>
        <w:t xml:space="preserve"> </w:t>
      </w:r>
      <w:r w:rsidR="00C13472">
        <w:rPr>
          <w:rFonts w:asciiTheme="minorHAnsi" w:hAnsiTheme="minorHAnsi" w:cstheme="minorHAnsi"/>
          <w:sz w:val="22"/>
          <w:szCs w:val="22"/>
        </w:rPr>
        <w:t xml:space="preserve">result in the application of </w:t>
      </w:r>
      <w:r w:rsidRPr="006348BC">
        <w:rPr>
          <w:rFonts w:asciiTheme="minorHAnsi" w:hAnsiTheme="minorHAnsi" w:cstheme="minorHAnsi"/>
          <w:sz w:val="22"/>
          <w:szCs w:val="22"/>
        </w:rPr>
        <w:t xml:space="preserve">a </w:t>
      </w:r>
      <w:r>
        <w:rPr>
          <w:rFonts w:asciiTheme="minorHAnsi" w:hAnsiTheme="minorHAnsi" w:cstheme="minorHAnsi"/>
          <w:sz w:val="22"/>
          <w:szCs w:val="22"/>
        </w:rPr>
        <w:t>“</w:t>
      </w:r>
      <w:r w:rsidRPr="006348BC">
        <w:rPr>
          <w:rFonts w:asciiTheme="minorHAnsi" w:hAnsiTheme="minorHAnsi" w:cstheme="minorHAnsi"/>
          <w:sz w:val="22"/>
          <w:szCs w:val="22"/>
        </w:rPr>
        <w:t>de facto</w:t>
      </w:r>
      <w:r>
        <w:rPr>
          <w:rFonts w:asciiTheme="minorHAnsi" w:hAnsiTheme="minorHAnsi" w:cstheme="minorHAnsi"/>
          <w:sz w:val="22"/>
          <w:szCs w:val="22"/>
        </w:rPr>
        <w:t>”</w:t>
      </w:r>
      <w:r w:rsidRPr="006348BC">
        <w:rPr>
          <w:rFonts w:asciiTheme="minorHAnsi" w:hAnsiTheme="minorHAnsi" w:cstheme="minorHAnsi"/>
          <w:sz w:val="22"/>
          <w:szCs w:val="22"/>
        </w:rPr>
        <w:t xml:space="preserve"> CO for </w:t>
      </w:r>
      <w:r w:rsidR="00C13472">
        <w:rPr>
          <w:rFonts w:asciiTheme="minorHAnsi" w:hAnsiTheme="minorHAnsi" w:cstheme="minorHAnsi"/>
          <w:sz w:val="22"/>
          <w:szCs w:val="22"/>
        </w:rPr>
        <w:t xml:space="preserve">those </w:t>
      </w:r>
      <w:r>
        <w:rPr>
          <w:rFonts w:asciiTheme="minorHAnsi" w:hAnsiTheme="minorHAnsi" w:cstheme="minorHAnsi"/>
          <w:sz w:val="22"/>
          <w:szCs w:val="22"/>
        </w:rPr>
        <w:t xml:space="preserve">small FCs.  </w:t>
      </w:r>
      <w:r w:rsidR="00C13472">
        <w:rPr>
          <w:rFonts w:asciiTheme="minorHAnsi" w:hAnsiTheme="minorHAnsi" w:cstheme="minorHAnsi"/>
          <w:sz w:val="22"/>
          <w:szCs w:val="22"/>
        </w:rPr>
        <w:t>Irish Funds considers that such a result would be a disproportionate</w:t>
      </w:r>
      <w:r w:rsidR="006B0D60">
        <w:rPr>
          <w:rFonts w:asciiTheme="minorHAnsi" w:hAnsiTheme="minorHAnsi" w:cstheme="minorHAnsi"/>
          <w:sz w:val="22"/>
          <w:szCs w:val="22"/>
        </w:rPr>
        <w:t xml:space="preserve"> </w:t>
      </w:r>
      <w:r w:rsidR="00C13472">
        <w:rPr>
          <w:rFonts w:asciiTheme="minorHAnsi" w:hAnsiTheme="minorHAnsi" w:cstheme="minorHAnsi"/>
          <w:sz w:val="22"/>
          <w:szCs w:val="22"/>
        </w:rPr>
        <w:t>respo</w:t>
      </w:r>
      <w:r w:rsidR="00875783">
        <w:rPr>
          <w:rFonts w:asciiTheme="minorHAnsi" w:hAnsiTheme="minorHAnsi" w:cstheme="minorHAnsi"/>
          <w:sz w:val="22"/>
          <w:szCs w:val="22"/>
        </w:rPr>
        <w:t>n</w:t>
      </w:r>
      <w:r w:rsidR="00C13472">
        <w:rPr>
          <w:rFonts w:asciiTheme="minorHAnsi" w:hAnsiTheme="minorHAnsi" w:cstheme="minorHAnsi"/>
          <w:sz w:val="22"/>
          <w:szCs w:val="22"/>
        </w:rPr>
        <w:t>se to the limited systemic risk posed by such small FCs and run</w:t>
      </w:r>
      <w:r w:rsidR="005B0289">
        <w:rPr>
          <w:rFonts w:asciiTheme="minorHAnsi" w:hAnsiTheme="minorHAnsi" w:cstheme="minorHAnsi"/>
          <w:sz w:val="22"/>
          <w:szCs w:val="22"/>
        </w:rPr>
        <w:t>s</w:t>
      </w:r>
      <w:r w:rsidR="00C13472">
        <w:rPr>
          <w:rFonts w:asciiTheme="minorHAnsi" w:hAnsiTheme="minorHAnsi" w:cstheme="minorHAnsi"/>
          <w:sz w:val="22"/>
          <w:szCs w:val="22"/>
        </w:rPr>
        <w:t xml:space="preserve"> counter to the approach taken by the </w:t>
      </w:r>
      <w:r w:rsidR="005B0289">
        <w:rPr>
          <w:rFonts w:asciiTheme="minorHAnsi" w:hAnsiTheme="minorHAnsi" w:cstheme="minorHAnsi"/>
          <w:sz w:val="22"/>
          <w:szCs w:val="22"/>
        </w:rPr>
        <w:t xml:space="preserve">EU </w:t>
      </w:r>
      <w:r w:rsidR="00C13472">
        <w:rPr>
          <w:rFonts w:asciiTheme="minorHAnsi" w:hAnsiTheme="minorHAnsi" w:cstheme="minorHAnsi"/>
          <w:sz w:val="22"/>
          <w:szCs w:val="22"/>
        </w:rPr>
        <w:t xml:space="preserve">legislators and regulators prior to EMIR Refit (see </w:t>
      </w:r>
      <w:r w:rsidR="005B0289">
        <w:rPr>
          <w:rFonts w:asciiTheme="minorHAnsi" w:hAnsiTheme="minorHAnsi" w:cstheme="minorHAnsi"/>
          <w:sz w:val="22"/>
          <w:szCs w:val="22"/>
        </w:rPr>
        <w:t xml:space="preserve">its </w:t>
      </w:r>
      <w:r w:rsidR="00C13472">
        <w:rPr>
          <w:rFonts w:asciiTheme="minorHAnsi" w:hAnsiTheme="minorHAnsi" w:cstheme="minorHAnsi"/>
          <w:sz w:val="22"/>
          <w:szCs w:val="22"/>
        </w:rPr>
        <w:t>response to Question 1)</w:t>
      </w:r>
      <w:r w:rsidR="00875783">
        <w:rPr>
          <w:rFonts w:asciiTheme="minorHAnsi" w:hAnsiTheme="minorHAnsi" w:cstheme="minorHAnsi"/>
          <w:sz w:val="22"/>
          <w:szCs w:val="22"/>
        </w:rPr>
        <w:t>.</w:t>
      </w:r>
      <w:r w:rsidR="00C13472">
        <w:rPr>
          <w:rFonts w:asciiTheme="minorHAnsi" w:hAnsiTheme="minorHAnsi" w:cstheme="minorHAnsi"/>
          <w:sz w:val="22"/>
          <w:szCs w:val="22"/>
        </w:rPr>
        <w:t xml:space="preserve"> Irish Funds is also concerned that imposing a stand-alone DTO would impose</w:t>
      </w:r>
      <w:r w:rsidR="0092184E">
        <w:rPr>
          <w:rFonts w:asciiTheme="minorHAnsi" w:hAnsiTheme="minorHAnsi" w:cstheme="minorHAnsi"/>
          <w:sz w:val="22"/>
          <w:szCs w:val="22"/>
        </w:rPr>
        <w:t>,</w:t>
      </w:r>
      <w:r w:rsidR="00C13472">
        <w:rPr>
          <w:rFonts w:asciiTheme="minorHAnsi" w:hAnsiTheme="minorHAnsi" w:cstheme="minorHAnsi"/>
          <w:sz w:val="22"/>
          <w:szCs w:val="22"/>
        </w:rPr>
        <w:t xml:space="preserve"> on small FCs</w:t>
      </w:r>
      <w:r w:rsidR="0092184E">
        <w:rPr>
          <w:rFonts w:asciiTheme="minorHAnsi" w:hAnsiTheme="minorHAnsi" w:cstheme="minorHAnsi"/>
          <w:sz w:val="22"/>
          <w:szCs w:val="22"/>
        </w:rPr>
        <w:t xml:space="preserve">, </w:t>
      </w:r>
      <w:r w:rsidR="00C64D44" w:rsidRPr="006348BC">
        <w:rPr>
          <w:rFonts w:asciiTheme="minorHAnsi" w:hAnsiTheme="minorHAnsi" w:cstheme="minorHAnsi"/>
          <w:sz w:val="22"/>
          <w:szCs w:val="22"/>
        </w:rPr>
        <w:t xml:space="preserve">administrative burdens </w:t>
      </w:r>
      <w:r w:rsidR="006B0D60">
        <w:rPr>
          <w:rFonts w:asciiTheme="minorHAnsi" w:hAnsiTheme="minorHAnsi" w:cstheme="minorHAnsi"/>
          <w:sz w:val="22"/>
          <w:szCs w:val="22"/>
        </w:rPr>
        <w:t xml:space="preserve">and </w:t>
      </w:r>
      <w:r w:rsidR="00C13472" w:rsidRPr="006348BC">
        <w:rPr>
          <w:rFonts w:asciiTheme="minorHAnsi" w:hAnsiTheme="minorHAnsi" w:cstheme="minorHAnsi"/>
          <w:sz w:val="22"/>
          <w:szCs w:val="22"/>
        </w:rPr>
        <w:t xml:space="preserve">costs </w:t>
      </w:r>
      <w:r w:rsidR="00C13472">
        <w:rPr>
          <w:rFonts w:asciiTheme="minorHAnsi" w:hAnsiTheme="minorHAnsi" w:cstheme="minorHAnsi"/>
          <w:sz w:val="22"/>
          <w:szCs w:val="22"/>
        </w:rPr>
        <w:t>that are</w:t>
      </w:r>
      <w:r w:rsidR="00CF4B20">
        <w:rPr>
          <w:rFonts w:asciiTheme="minorHAnsi" w:hAnsiTheme="minorHAnsi" w:cstheme="minorHAnsi"/>
          <w:sz w:val="22"/>
          <w:szCs w:val="22"/>
        </w:rPr>
        <w:t xml:space="preserve"> disproportionate to the (low) level of systemic risk posed by such small FCs</w:t>
      </w:r>
      <w:r w:rsidR="00C64D44" w:rsidRPr="006348BC">
        <w:rPr>
          <w:rFonts w:asciiTheme="minorHAnsi" w:hAnsiTheme="minorHAnsi" w:cstheme="minorHAnsi"/>
          <w:sz w:val="22"/>
          <w:szCs w:val="22"/>
        </w:rPr>
        <w:t>.</w:t>
      </w:r>
      <w:r w:rsidR="005B0289">
        <w:rPr>
          <w:rFonts w:asciiTheme="minorHAnsi" w:hAnsiTheme="minorHAnsi" w:cstheme="minorHAnsi"/>
          <w:sz w:val="22"/>
          <w:szCs w:val="22"/>
        </w:rPr>
        <w:t xml:space="preserve"> (Irish Funds expresses no view on the position regarding NFCs; see the introductory comments to these responses.)</w:t>
      </w:r>
    </w:p>
    <w:permEnd w:id="621416345"/>
    <w:p w14:paraId="0288B294" w14:textId="77777777" w:rsidR="00E077F1" w:rsidRDefault="00E077F1" w:rsidP="00E077F1">
      <w:pPr>
        <w:rPr>
          <w:rFonts w:ascii="Arial" w:hAnsi="Arial" w:cs="Arial"/>
        </w:rPr>
      </w:pPr>
      <w:r>
        <w:rPr>
          <w:rFonts w:ascii="Arial" w:hAnsi="Arial" w:cs="Arial"/>
        </w:rPr>
        <w:t>&lt;ESMA_QUESTION_AMER_3&gt;</w:t>
      </w:r>
    </w:p>
    <w:p w14:paraId="51377F2D" w14:textId="77777777" w:rsidR="00E077F1" w:rsidRDefault="00E077F1" w:rsidP="00E077F1">
      <w:pPr>
        <w:rPr>
          <w:rFonts w:ascii="Arial" w:hAnsi="Arial" w:cs="Arial"/>
        </w:rPr>
      </w:pPr>
    </w:p>
    <w:p w14:paraId="5916D005" w14:textId="77777777" w:rsidR="00E077F1" w:rsidRDefault="00E077F1" w:rsidP="00E077F1">
      <w:pPr>
        <w:pStyle w:val="Questionstyle"/>
        <w:numPr>
          <w:ilvl w:val="0"/>
          <w:numId w:val="17"/>
        </w:numPr>
        <w:spacing w:after="250" w:line="276" w:lineRule="auto"/>
        <w:rPr>
          <w:rFonts w:ascii="Arial" w:hAnsi="Arial" w:cs="Arial"/>
        </w:rPr>
      </w:pPr>
      <w:r>
        <w:t>: What is your view on the arguments exposed above, supporting the status quo i.e. a misalignment between the scope of counterparties subject to the CO and the DTO (G20 objectives, compliance with the DTO less burdensome than with the CO)? Can you identify other arguments?</w:t>
      </w:r>
    </w:p>
    <w:p w14:paraId="5B372529" w14:textId="77777777" w:rsidR="00E077F1" w:rsidRDefault="00E077F1" w:rsidP="00E077F1">
      <w:pPr>
        <w:rPr>
          <w:rFonts w:ascii="Arial" w:hAnsi="Arial" w:cs="Arial"/>
        </w:rPr>
      </w:pPr>
      <w:r>
        <w:rPr>
          <w:rFonts w:ascii="Arial" w:hAnsi="Arial" w:cs="Arial"/>
        </w:rPr>
        <w:t>&lt;ESMA_QUESTION_AMER_4&gt;</w:t>
      </w:r>
    </w:p>
    <w:p w14:paraId="240CB25A" w14:textId="102022C4" w:rsidR="003500A3" w:rsidRPr="00337F73" w:rsidRDefault="00CF4B20" w:rsidP="00337F73">
      <w:pPr>
        <w:rPr>
          <w:rFonts w:asciiTheme="minorHAnsi" w:eastAsiaTheme="majorEastAsia" w:hAnsiTheme="minorHAnsi" w:cstheme="minorHAnsi"/>
          <w:sz w:val="22"/>
          <w:szCs w:val="22"/>
        </w:rPr>
      </w:pPr>
      <w:permStart w:id="659042240" w:edGrp="everyone"/>
      <w:r w:rsidRPr="00337F73">
        <w:rPr>
          <w:rFonts w:asciiTheme="minorHAnsi" w:eastAsiaTheme="majorEastAsia" w:hAnsiTheme="minorHAnsi" w:cstheme="minorHAnsi"/>
          <w:sz w:val="22"/>
          <w:szCs w:val="22"/>
        </w:rPr>
        <w:t>As indicate</w:t>
      </w:r>
      <w:r w:rsidR="00337F73">
        <w:rPr>
          <w:rFonts w:asciiTheme="minorHAnsi" w:eastAsiaTheme="majorEastAsia" w:hAnsiTheme="minorHAnsi" w:cstheme="minorHAnsi"/>
          <w:sz w:val="22"/>
          <w:szCs w:val="22"/>
        </w:rPr>
        <w:t>d</w:t>
      </w:r>
      <w:r w:rsidRPr="00337F73">
        <w:rPr>
          <w:rFonts w:asciiTheme="minorHAnsi" w:eastAsiaTheme="majorEastAsia" w:hAnsiTheme="minorHAnsi" w:cstheme="minorHAnsi"/>
          <w:sz w:val="22"/>
          <w:szCs w:val="22"/>
        </w:rPr>
        <w:t xml:space="preserve"> above, Irish Funds advocates alignment of the </w:t>
      </w:r>
      <w:r w:rsidR="004E22FD">
        <w:rPr>
          <w:rFonts w:asciiTheme="minorHAnsi" w:eastAsiaTheme="majorEastAsia" w:hAnsiTheme="minorHAnsi" w:cstheme="minorHAnsi"/>
          <w:sz w:val="22"/>
          <w:szCs w:val="22"/>
        </w:rPr>
        <w:t xml:space="preserve">scope of counterparties subject to the </w:t>
      </w:r>
      <w:r w:rsidRPr="00337F73">
        <w:rPr>
          <w:rFonts w:asciiTheme="minorHAnsi" w:eastAsiaTheme="majorEastAsia" w:hAnsiTheme="minorHAnsi" w:cstheme="minorHAnsi"/>
          <w:sz w:val="22"/>
          <w:szCs w:val="22"/>
        </w:rPr>
        <w:t xml:space="preserve">DTO </w:t>
      </w:r>
      <w:r w:rsidR="004E22FD">
        <w:rPr>
          <w:rFonts w:asciiTheme="minorHAnsi" w:eastAsiaTheme="majorEastAsia" w:hAnsiTheme="minorHAnsi" w:cstheme="minorHAnsi"/>
          <w:sz w:val="22"/>
          <w:szCs w:val="22"/>
        </w:rPr>
        <w:t>with those subject to the</w:t>
      </w:r>
      <w:r w:rsidRPr="00337F73">
        <w:rPr>
          <w:rFonts w:asciiTheme="minorHAnsi" w:eastAsiaTheme="majorEastAsia" w:hAnsiTheme="minorHAnsi" w:cstheme="minorHAnsi"/>
          <w:sz w:val="22"/>
          <w:szCs w:val="22"/>
        </w:rPr>
        <w:t xml:space="preserve"> CO. As regards the arguments against such alignment</w:t>
      </w:r>
      <w:r w:rsidR="00337F73">
        <w:rPr>
          <w:rFonts w:asciiTheme="minorHAnsi" w:eastAsiaTheme="majorEastAsia" w:hAnsiTheme="minorHAnsi" w:cstheme="minorHAnsi"/>
          <w:sz w:val="22"/>
          <w:szCs w:val="22"/>
        </w:rPr>
        <w:t xml:space="preserve">, </w:t>
      </w:r>
      <w:r w:rsidR="005B0289">
        <w:rPr>
          <w:rFonts w:asciiTheme="minorHAnsi" w:eastAsiaTheme="majorEastAsia" w:hAnsiTheme="minorHAnsi" w:cstheme="minorHAnsi"/>
          <w:sz w:val="22"/>
          <w:szCs w:val="22"/>
        </w:rPr>
        <w:t>it does</w:t>
      </w:r>
      <w:r w:rsidR="003500A3" w:rsidRPr="00337F73">
        <w:rPr>
          <w:rFonts w:asciiTheme="minorHAnsi" w:eastAsiaTheme="majorEastAsia" w:hAnsiTheme="minorHAnsi" w:cstheme="minorHAnsi"/>
          <w:sz w:val="22"/>
          <w:szCs w:val="22"/>
        </w:rPr>
        <w:t xml:space="preserve"> not consider the argument that c</w:t>
      </w:r>
      <w:r w:rsidRPr="00337F73">
        <w:rPr>
          <w:rFonts w:asciiTheme="minorHAnsi" w:eastAsiaTheme="majorEastAsia" w:hAnsiTheme="minorHAnsi" w:cstheme="minorHAnsi"/>
          <w:sz w:val="22"/>
          <w:szCs w:val="22"/>
        </w:rPr>
        <w:t xml:space="preserve">ompliance with the DTO </w:t>
      </w:r>
      <w:r w:rsidR="003500A3" w:rsidRPr="00337F73">
        <w:rPr>
          <w:rFonts w:asciiTheme="minorHAnsi" w:eastAsiaTheme="majorEastAsia" w:hAnsiTheme="minorHAnsi" w:cstheme="minorHAnsi"/>
          <w:sz w:val="22"/>
          <w:szCs w:val="22"/>
        </w:rPr>
        <w:t xml:space="preserve">is </w:t>
      </w:r>
      <w:r w:rsidRPr="00337F73">
        <w:rPr>
          <w:rFonts w:asciiTheme="minorHAnsi" w:eastAsiaTheme="majorEastAsia" w:hAnsiTheme="minorHAnsi" w:cstheme="minorHAnsi"/>
          <w:sz w:val="22"/>
          <w:szCs w:val="22"/>
        </w:rPr>
        <w:t xml:space="preserve">less burdensome than </w:t>
      </w:r>
      <w:r w:rsidR="003500A3" w:rsidRPr="00337F73">
        <w:rPr>
          <w:rFonts w:asciiTheme="minorHAnsi" w:eastAsiaTheme="majorEastAsia" w:hAnsiTheme="minorHAnsi" w:cstheme="minorHAnsi"/>
          <w:sz w:val="22"/>
          <w:szCs w:val="22"/>
        </w:rPr>
        <w:t xml:space="preserve">compliance </w:t>
      </w:r>
      <w:r w:rsidRPr="00337F73">
        <w:rPr>
          <w:rFonts w:asciiTheme="minorHAnsi" w:eastAsiaTheme="majorEastAsia" w:hAnsiTheme="minorHAnsi" w:cstheme="minorHAnsi"/>
          <w:sz w:val="22"/>
          <w:szCs w:val="22"/>
        </w:rPr>
        <w:t>with the CO</w:t>
      </w:r>
      <w:r w:rsidR="003500A3" w:rsidRPr="00337F73">
        <w:rPr>
          <w:rFonts w:asciiTheme="minorHAnsi" w:eastAsiaTheme="majorEastAsia" w:hAnsiTheme="minorHAnsi" w:cstheme="minorHAnsi"/>
          <w:sz w:val="22"/>
          <w:szCs w:val="22"/>
        </w:rPr>
        <w:t xml:space="preserve"> to be persuasive.  As indicated in </w:t>
      </w:r>
      <w:r w:rsidR="005B0289">
        <w:rPr>
          <w:rFonts w:asciiTheme="minorHAnsi" w:eastAsiaTheme="majorEastAsia" w:hAnsiTheme="minorHAnsi" w:cstheme="minorHAnsi"/>
          <w:sz w:val="22"/>
          <w:szCs w:val="22"/>
        </w:rPr>
        <w:t xml:space="preserve">its </w:t>
      </w:r>
      <w:r w:rsidR="003500A3" w:rsidRPr="00337F73">
        <w:rPr>
          <w:rFonts w:asciiTheme="minorHAnsi" w:eastAsiaTheme="majorEastAsia" w:hAnsiTheme="minorHAnsi" w:cstheme="minorHAnsi"/>
          <w:sz w:val="22"/>
          <w:szCs w:val="22"/>
        </w:rPr>
        <w:t xml:space="preserve">response to </w:t>
      </w:r>
      <w:r w:rsidR="005B0289">
        <w:rPr>
          <w:rFonts w:asciiTheme="minorHAnsi" w:eastAsiaTheme="majorEastAsia" w:hAnsiTheme="minorHAnsi" w:cstheme="minorHAnsi"/>
          <w:sz w:val="22"/>
          <w:szCs w:val="22"/>
        </w:rPr>
        <w:t>Q</w:t>
      </w:r>
      <w:r w:rsidR="003500A3" w:rsidRPr="00337F73">
        <w:rPr>
          <w:rFonts w:asciiTheme="minorHAnsi" w:eastAsiaTheme="majorEastAsia" w:hAnsiTheme="minorHAnsi" w:cstheme="minorHAnsi"/>
          <w:sz w:val="22"/>
          <w:szCs w:val="22"/>
        </w:rPr>
        <w:t>uestion 3, Irish Funds shares ESMA’s concern that r</w:t>
      </w:r>
      <w:r w:rsidRPr="00337F73">
        <w:rPr>
          <w:rFonts w:asciiTheme="minorHAnsi" w:eastAsiaTheme="majorEastAsia" w:hAnsiTheme="minorHAnsi" w:cstheme="minorHAnsi"/>
          <w:sz w:val="22"/>
          <w:szCs w:val="22"/>
        </w:rPr>
        <w:t xml:space="preserve">equiring </w:t>
      </w:r>
      <w:r w:rsidR="003500A3" w:rsidRPr="00337F73">
        <w:rPr>
          <w:rFonts w:asciiTheme="minorHAnsi" w:eastAsiaTheme="majorEastAsia" w:hAnsiTheme="minorHAnsi" w:cstheme="minorHAnsi"/>
          <w:sz w:val="22"/>
          <w:szCs w:val="22"/>
        </w:rPr>
        <w:t xml:space="preserve">small FCs to comply with the </w:t>
      </w:r>
      <w:r w:rsidRPr="00337F73">
        <w:rPr>
          <w:rFonts w:asciiTheme="minorHAnsi" w:eastAsiaTheme="majorEastAsia" w:hAnsiTheme="minorHAnsi" w:cstheme="minorHAnsi"/>
          <w:sz w:val="22"/>
          <w:szCs w:val="22"/>
        </w:rPr>
        <w:t xml:space="preserve">DTO will de facto </w:t>
      </w:r>
      <w:r w:rsidR="003500A3" w:rsidRPr="00337F73">
        <w:rPr>
          <w:rFonts w:asciiTheme="minorHAnsi" w:eastAsiaTheme="majorEastAsia" w:hAnsiTheme="minorHAnsi" w:cstheme="minorHAnsi"/>
          <w:sz w:val="22"/>
          <w:szCs w:val="22"/>
        </w:rPr>
        <w:t>bring them into scope for the CO and so they will in fact be subject to the burdens and costs associated with CO compliance</w:t>
      </w:r>
      <w:r w:rsidRPr="00337F73">
        <w:rPr>
          <w:rFonts w:asciiTheme="minorHAnsi" w:eastAsiaTheme="majorEastAsia" w:hAnsiTheme="minorHAnsi" w:cstheme="minorHAnsi"/>
          <w:sz w:val="22"/>
          <w:szCs w:val="22"/>
        </w:rPr>
        <w:t xml:space="preserve">. </w:t>
      </w:r>
      <w:r w:rsidR="00926DC6">
        <w:rPr>
          <w:rFonts w:asciiTheme="minorHAnsi" w:eastAsiaTheme="majorEastAsia" w:hAnsiTheme="minorHAnsi" w:cstheme="minorHAnsi"/>
          <w:sz w:val="22"/>
          <w:szCs w:val="22"/>
        </w:rPr>
        <w:t>Irish Funds has</w:t>
      </w:r>
      <w:r w:rsidR="00337F73" w:rsidRPr="00337F73">
        <w:rPr>
          <w:rFonts w:asciiTheme="minorHAnsi" w:eastAsiaTheme="majorEastAsia" w:hAnsiTheme="minorHAnsi" w:cstheme="minorHAnsi"/>
          <w:sz w:val="22"/>
          <w:szCs w:val="22"/>
        </w:rPr>
        <w:t xml:space="preserve"> not identified any other arguments in favour of misalignment.</w:t>
      </w:r>
      <w:r w:rsidRPr="00337F73">
        <w:rPr>
          <w:rFonts w:ascii="Arial" w:hAnsi="Arial" w:cs="Arial"/>
        </w:rPr>
        <w:t xml:space="preserve">     </w:t>
      </w:r>
    </w:p>
    <w:permEnd w:id="659042240"/>
    <w:p w14:paraId="31BC7857" w14:textId="1622EE2E" w:rsidR="00E077F1" w:rsidRDefault="00E077F1" w:rsidP="00E077F1">
      <w:pPr>
        <w:rPr>
          <w:rFonts w:ascii="Arial" w:hAnsi="Arial" w:cs="Arial"/>
        </w:rPr>
      </w:pPr>
      <w:r>
        <w:rPr>
          <w:rFonts w:ascii="Arial" w:hAnsi="Arial" w:cs="Arial"/>
        </w:rPr>
        <w:t>&lt;ESMA_QUESTION_AMER_4&gt;</w:t>
      </w:r>
    </w:p>
    <w:p w14:paraId="26617FCB" w14:textId="77777777" w:rsidR="00E077F1" w:rsidRDefault="00E077F1" w:rsidP="00E077F1">
      <w:pPr>
        <w:rPr>
          <w:rFonts w:ascii="Arial" w:hAnsi="Arial" w:cs="Arial"/>
        </w:rPr>
      </w:pPr>
    </w:p>
    <w:p w14:paraId="05704E97" w14:textId="77777777" w:rsidR="00E077F1" w:rsidRDefault="00E077F1" w:rsidP="00E077F1">
      <w:pPr>
        <w:pStyle w:val="Questionstyle"/>
        <w:numPr>
          <w:ilvl w:val="0"/>
          <w:numId w:val="17"/>
        </w:numPr>
        <w:spacing w:after="250" w:line="276" w:lineRule="auto"/>
        <w:rPr>
          <w:rFonts w:ascii="Arial" w:hAnsi="Arial" w:cs="Arial"/>
        </w:rPr>
      </w:pPr>
      <w:r>
        <w:t>: What is your view on the arguments exposed above, supporting the alignment between the scope of counterparties subject to the CO and the DTO (initial policy intention, potential de-facto clearing obligation, limitation of operation burden)? Can you identify other arguments?</w:t>
      </w:r>
    </w:p>
    <w:p w14:paraId="4083A10A" w14:textId="77777777" w:rsidR="00E077F1" w:rsidRDefault="00E077F1" w:rsidP="00E077F1">
      <w:pPr>
        <w:rPr>
          <w:rFonts w:ascii="Arial" w:hAnsi="Arial" w:cs="Arial"/>
        </w:rPr>
      </w:pPr>
      <w:r>
        <w:rPr>
          <w:rFonts w:ascii="Arial" w:hAnsi="Arial" w:cs="Arial"/>
        </w:rPr>
        <w:t>&lt;ESMA_QUESTION_AMER_5&gt;</w:t>
      </w:r>
    </w:p>
    <w:p w14:paraId="57C66924" w14:textId="708323DA" w:rsidR="00337F73" w:rsidRPr="00337F73" w:rsidRDefault="00337F73" w:rsidP="00211E3E">
      <w:pPr>
        <w:rPr>
          <w:rFonts w:asciiTheme="minorHAnsi" w:eastAsiaTheme="majorEastAsia" w:hAnsiTheme="minorHAnsi" w:cstheme="minorHAnsi"/>
          <w:sz w:val="22"/>
          <w:szCs w:val="22"/>
        </w:rPr>
      </w:pPr>
      <w:permStart w:id="1025193561" w:edGrp="everyone"/>
      <w:r>
        <w:rPr>
          <w:rFonts w:asciiTheme="minorHAnsi" w:eastAsiaTheme="majorEastAsia" w:hAnsiTheme="minorHAnsi" w:cstheme="minorHAnsi"/>
          <w:sz w:val="22"/>
          <w:szCs w:val="22"/>
        </w:rPr>
        <w:t xml:space="preserve">Irish Funds </w:t>
      </w:r>
      <w:r w:rsidRPr="00337F73">
        <w:rPr>
          <w:rFonts w:asciiTheme="minorHAnsi" w:eastAsiaTheme="majorEastAsia" w:hAnsiTheme="minorHAnsi" w:cstheme="minorHAnsi"/>
          <w:sz w:val="22"/>
          <w:szCs w:val="22"/>
        </w:rPr>
        <w:t xml:space="preserve">agrees with ESMA’s arguments </w:t>
      </w:r>
      <w:r>
        <w:rPr>
          <w:rFonts w:asciiTheme="minorHAnsi" w:eastAsiaTheme="majorEastAsia" w:hAnsiTheme="minorHAnsi" w:cstheme="minorHAnsi"/>
          <w:sz w:val="22"/>
          <w:szCs w:val="22"/>
        </w:rPr>
        <w:t xml:space="preserve">supporting alignment </w:t>
      </w:r>
      <w:r w:rsidR="000E46CE">
        <w:rPr>
          <w:rFonts w:asciiTheme="minorHAnsi" w:eastAsiaTheme="majorEastAsia" w:hAnsiTheme="minorHAnsi" w:cstheme="minorHAnsi"/>
          <w:sz w:val="22"/>
          <w:szCs w:val="22"/>
        </w:rPr>
        <w:t xml:space="preserve">of </w:t>
      </w:r>
      <w:r>
        <w:rPr>
          <w:rFonts w:asciiTheme="minorHAnsi" w:eastAsiaTheme="majorEastAsia" w:hAnsiTheme="minorHAnsi" w:cstheme="minorHAnsi"/>
          <w:sz w:val="22"/>
          <w:szCs w:val="22"/>
        </w:rPr>
        <w:t xml:space="preserve">the scope of counterparties subject to the DTO </w:t>
      </w:r>
      <w:r w:rsidR="004E22FD">
        <w:rPr>
          <w:rFonts w:asciiTheme="minorHAnsi" w:eastAsiaTheme="majorEastAsia" w:hAnsiTheme="minorHAnsi" w:cstheme="minorHAnsi"/>
          <w:sz w:val="22"/>
          <w:szCs w:val="22"/>
        </w:rPr>
        <w:t xml:space="preserve">with those subject to the CO </w:t>
      </w:r>
      <w:r>
        <w:rPr>
          <w:rFonts w:asciiTheme="minorHAnsi" w:eastAsiaTheme="majorEastAsia" w:hAnsiTheme="minorHAnsi" w:cstheme="minorHAnsi"/>
          <w:sz w:val="22"/>
          <w:szCs w:val="22"/>
        </w:rPr>
        <w:t xml:space="preserve">and strongly advocates for </w:t>
      </w:r>
      <w:r>
        <w:rPr>
          <w:rFonts w:asciiTheme="minorHAnsi" w:eastAsiaTheme="majorEastAsia" w:hAnsiTheme="minorHAnsi" w:cstheme="minorHAnsi"/>
          <w:sz w:val="22"/>
          <w:szCs w:val="22"/>
        </w:rPr>
        <w:lastRenderedPageBreak/>
        <w:t xml:space="preserve">such alignment.  Irish Funds is also of the view that maintaining the current misalignment could, particularly given the </w:t>
      </w:r>
      <w:r w:rsidR="00DB59D6">
        <w:rPr>
          <w:rFonts w:asciiTheme="minorHAnsi" w:eastAsiaTheme="majorEastAsia" w:hAnsiTheme="minorHAnsi" w:cstheme="minorHAnsi"/>
          <w:sz w:val="22"/>
          <w:szCs w:val="22"/>
        </w:rPr>
        <w:t>increased administrative costs and burdens</w:t>
      </w:r>
      <w:r w:rsidR="00211E3E">
        <w:rPr>
          <w:rFonts w:asciiTheme="minorHAnsi" w:eastAsiaTheme="majorEastAsia" w:hAnsiTheme="minorHAnsi" w:cstheme="minorHAnsi"/>
          <w:sz w:val="22"/>
          <w:szCs w:val="22"/>
        </w:rPr>
        <w:t xml:space="preserve"> associated with the DTO and potential de facto CO for small FCs (</w:t>
      </w:r>
      <w:r w:rsidR="00211E3E" w:rsidRPr="008C65CB">
        <w:rPr>
          <w:rFonts w:asciiTheme="minorHAnsi" w:eastAsiaTheme="majorEastAsia" w:hAnsiTheme="minorHAnsi" w:cstheme="minorHAnsi"/>
          <w:sz w:val="22"/>
          <w:szCs w:val="22"/>
        </w:rPr>
        <w:t>see our response to question 3 above</w:t>
      </w:r>
      <w:r w:rsidR="00211E3E">
        <w:rPr>
          <w:rFonts w:asciiTheme="minorHAnsi" w:eastAsiaTheme="majorEastAsia" w:hAnsiTheme="minorHAnsi" w:cstheme="minorHAnsi"/>
          <w:sz w:val="22"/>
          <w:szCs w:val="22"/>
        </w:rPr>
        <w:t>)</w:t>
      </w:r>
      <w:r w:rsidR="00DB59D6">
        <w:rPr>
          <w:rFonts w:asciiTheme="minorHAnsi" w:eastAsiaTheme="majorEastAsia" w:hAnsiTheme="minorHAnsi" w:cstheme="minorHAnsi"/>
          <w:sz w:val="22"/>
          <w:szCs w:val="22"/>
        </w:rPr>
        <w:t xml:space="preserve">, </w:t>
      </w:r>
      <w:r w:rsidRPr="00337F73">
        <w:rPr>
          <w:rFonts w:asciiTheme="minorHAnsi" w:eastAsiaTheme="majorEastAsia" w:hAnsiTheme="minorHAnsi" w:cstheme="minorHAnsi"/>
          <w:sz w:val="22"/>
          <w:szCs w:val="22"/>
        </w:rPr>
        <w:t xml:space="preserve">discourage </w:t>
      </w:r>
      <w:r>
        <w:rPr>
          <w:rFonts w:asciiTheme="minorHAnsi" w:eastAsiaTheme="majorEastAsia" w:hAnsiTheme="minorHAnsi" w:cstheme="minorHAnsi"/>
          <w:sz w:val="22"/>
          <w:szCs w:val="22"/>
        </w:rPr>
        <w:t>small FCs from transacting derivatives</w:t>
      </w:r>
      <w:r w:rsidR="00DB59D6">
        <w:rPr>
          <w:rFonts w:asciiTheme="minorHAnsi" w:eastAsiaTheme="majorEastAsia" w:hAnsiTheme="minorHAnsi" w:cstheme="minorHAnsi"/>
          <w:sz w:val="22"/>
          <w:szCs w:val="22"/>
        </w:rPr>
        <w:t xml:space="preserve"> that are in scope for the DTO even for purposes of risk management</w:t>
      </w:r>
      <w:r w:rsidR="00211E3E">
        <w:rPr>
          <w:rFonts w:asciiTheme="minorHAnsi" w:eastAsiaTheme="majorEastAsia" w:hAnsiTheme="minorHAnsi" w:cstheme="minorHAnsi"/>
          <w:sz w:val="22"/>
          <w:szCs w:val="22"/>
        </w:rPr>
        <w:t>, thereby increasing risk levels within the financial system</w:t>
      </w:r>
      <w:r w:rsidRPr="00337F73">
        <w:rPr>
          <w:rFonts w:asciiTheme="minorHAnsi" w:eastAsiaTheme="majorEastAsia" w:hAnsiTheme="minorHAnsi" w:cstheme="minorHAnsi"/>
          <w:sz w:val="22"/>
          <w:szCs w:val="22"/>
        </w:rPr>
        <w:t>.</w:t>
      </w:r>
    </w:p>
    <w:permEnd w:id="1025193561"/>
    <w:p w14:paraId="0645C02C" w14:textId="77777777" w:rsidR="00E077F1" w:rsidRDefault="00E077F1" w:rsidP="00E077F1">
      <w:pPr>
        <w:rPr>
          <w:rFonts w:ascii="Arial" w:hAnsi="Arial" w:cs="Arial"/>
        </w:rPr>
      </w:pPr>
      <w:r>
        <w:rPr>
          <w:rFonts w:ascii="Arial" w:hAnsi="Arial" w:cs="Arial"/>
        </w:rPr>
        <w:t>&lt;ESMA_QUESTION_AMER_5&gt;</w:t>
      </w:r>
    </w:p>
    <w:p w14:paraId="3CEA1E1E" w14:textId="77777777" w:rsidR="00E077F1" w:rsidRDefault="00E077F1" w:rsidP="00E077F1">
      <w:pPr>
        <w:rPr>
          <w:rFonts w:ascii="Arial" w:hAnsi="Arial" w:cs="Arial"/>
        </w:rPr>
      </w:pPr>
    </w:p>
    <w:p w14:paraId="7C923F55" w14:textId="77777777" w:rsidR="00E077F1" w:rsidRDefault="00E077F1" w:rsidP="00E077F1">
      <w:pPr>
        <w:pStyle w:val="Questionstyle"/>
        <w:numPr>
          <w:ilvl w:val="0"/>
          <w:numId w:val="17"/>
        </w:numPr>
        <w:spacing w:after="250" w:line="276" w:lineRule="auto"/>
        <w:rPr>
          <w:rFonts w:ascii="Arial" w:hAnsi="Arial" w:cs="Arial"/>
        </w:rPr>
      </w:pPr>
      <w:r>
        <w:t>: What is your view on ESMA’s proposal to suggest an alignment in the scope of counterparties between the clearing and trading obligations?</w:t>
      </w:r>
    </w:p>
    <w:p w14:paraId="1194A94D" w14:textId="77777777" w:rsidR="00E077F1" w:rsidRDefault="00E077F1" w:rsidP="00E077F1">
      <w:pPr>
        <w:rPr>
          <w:rFonts w:ascii="Arial" w:hAnsi="Arial" w:cs="Arial"/>
        </w:rPr>
      </w:pPr>
      <w:r>
        <w:rPr>
          <w:rFonts w:ascii="Arial" w:hAnsi="Arial" w:cs="Arial"/>
        </w:rPr>
        <w:t>&lt;ESMA_QUESTION_AMER_6&gt;</w:t>
      </w:r>
    </w:p>
    <w:p w14:paraId="349CEF0A" w14:textId="32DAEFF8" w:rsidR="00337F73" w:rsidRDefault="00211E3E" w:rsidP="00E077F1">
      <w:pPr>
        <w:rPr>
          <w:rFonts w:ascii="Arial" w:hAnsi="Arial" w:cs="Arial"/>
        </w:rPr>
      </w:pPr>
      <w:permStart w:id="1276802614" w:edGrp="everyone"/>
      <w:r>
        <w:rPr>
          <w:rFonts w:asciiTheme="minorHAnsi" w:eastAsiaTheme="majorEastAsia" w:hAnsiTheme="minorHAnsi" w:cstheme="minorHAnsi"/>
          <w:sz w:val="22"/>
          <w:szCs w:val="22"/>
        </w:rPr>
        <w:t xml:space="preserve">Irish Funds supports </w:t>
      </w:r>
      <w:r w:rsidRPr="00337F73">
        <w:rPr>
          <w:rFonts w:asciiTheme="minorHAnsi" w:eastAsiaTheme="majorEastAsia" w:hAnsiTheme="minorHAnsi" w:cstheme="minorHAnsi"/>
          <w:sz w:val="22"/>
          <w:szCs w:val="22"/>
        </w:rPr>
        <w:t xml:space="preserve">ESMA’s </w:t>
      </w:r>
      <w:r w:rsidRPr="00211E3E">
        <w:rPr>
          <w:rFonts w:asciiTheme="minorHAnsi" w:eastAsiaTheme="majorEastAsia" w:hAnsiTheme="minorHAnsi" w:cstheme="minorHAnsi"/>
          <w:sz w:val="22"/>
          <w:szCs w:val="22"/>
        </w:rPr>
        <w:t xml:space="preserve">proposal to suggest an alignment in the scope of counterparties </w:t>
      </w:r>
      <w:r>
        <w:rPr>
          <w:rFonts w:asciiTheme="minorHAnsi" w:eastAsiaTheme="majorEastAsia" w:hAnsiTheme="minorHAnsi" w:cstheme="minorHAnsi"/>
          <w:sz w:val="22"/>
          <w:szCs w:val="22"/>
        </w:rPr>
        <w:t xml:space="preserve">subject to the DTO </w:t>
      </w:r>
      <w:r w:rsidR="004E22FD">
        <w:rPr>
          <w:rFonts w:asciiTheme="minorHAnsi" w:eastAsiaTheme="majorEastAsia" w:hAnsiTheme="minorHAnsi" w:cstheme="minorHAnsi"/>
          <w:sz w:val="22"/>
          <w:szCs w:val="22"/>
        </w:rPr>
        <w:t xml:space="preserve">with those subject to the CO </w:t>
      </w:r>
      <w:r>
        <w:rPr>
          <w:rFonts w:asciiTheme="minorHAnsi" w:eastAsiaTheme="majorEastAsia" w:hAnsiTheme="minorHAnsi" w:cstheme="minorHAnsi"/>
          <w:sz w:val="22"/>
          <w:szCs w:val="22"/>
        </w:rPr>
        <w:t xml:space="preserve">and strongly advocates for such alignment. </w:t>
      </w:r>
    </w:p>
    <w:permEnd w:id="1276802614"/>
    <w:p w14:paraId="323B5EA8" w14:textId="77777777" w:rsidR="00E077F1" w:rsidRDefault="00E077F1" w:rsidP="00E077F1">
      <w:pPr>
        <w:rPr>
          <w:rFonts w:ascii="Arial" w:hAnsi="Arial" w:cs="Arial"/>
        </w:rPr>
      </w:pPr>
      <w:r>
        <w:rPr>
          <w:rFonts w:ascii="Arial" w:hAnsi="Arial" w:cs="Arial"/>
        </w:rPr>
        <w:t>&lt;ESMA_QUESTION_AMER_6&gt;</w:t>
      </w:r>
    </w:p>
    <w:p w14:paraId="2AAB20BC" w14:textId="77777777" w:rsidR="00E077F1" w:rsidRDefault="00E077F1" w:rsidP="00E077F1">
      <w:pPr>
        <w:rPr>
          <w:rFonts w:ascii="Arial" w:hAnsi="Arial" w:cs="Arial"/>
        </w:rPr>
      </w:pPr>
    </w:p>
    <w:p w14:paraId="02138DA3" w14:textId="77777777" w:rsidR="00E077F1" w:rsidRDefault="00E077F1" w:rsidP="00E077F1">
      <w:pPr>
        <w:pStyle w:val="Questionstyle"/>
        <w:numPr>
          <w:ilvl w:val="0"/>
          <w:numId w:val="17"/>
        </w:numPr>
        <w:spacing w:after="250" w:line="276" w:lineRule="auto"/>
        <w:rPr>
          <w:rFonts w:ascii="Arial" w:hAnsi="Arial" w:cs="Arial"/>
        </w:rPr>
      </w:pPr>
      <w:r>
        <w:t>: What is your view on the necessity to introduce a standalone suspension of the DTO in MiFIR? If you consider it is appropriate, do you have views on how it should be framed?</w:t>
      </w:r>
    </w:p>
    <w:p w14:paraId="432D68AD" w14:textId="77777777" w:rsidR="00E077F1" w:rsidRDefault="00E077F1" w:rsidP="00E077F1">
      <w:pPr>
        <w:rPr>
          <w:rFonts w:ascii="Arial" w:hAnsi="Arial" w:cs="Arial"/>
        </w:rPr>
      </w:pPr>
      <w:r>
        <w:rPr>
          <w:rFonts w:ascii="Arial" w:hAnsi="Arial" w:cs="Arial"/>
        </w:rPr>
        <w:t>&lt;ESMA_QUESTION_AMER_7&gt;</w:t>
      </w:r>
    </w:p>
    <w:p w14:paraId="4BF06B01" w14:textId="1434D417" w:rsidR="00211E3E" w:rsidRDefault="00736A46" w:rsidP="00211E3E">
      <w:pPr>
        <w:rPr>
          <w:rFonts w:ascii="Arial" w:hAnsi="Arial" w:cs="Arial"/>
        </w:rPr>
      </w:pPr>
      <w:permStart w:id="1695236746" w:edGrp="everyone"/>
      <w:r w:rsidRPr="00432BF1">
        <w:rPr>
          <w:rFonts w:asciiTheme="minorHAnsi" w:eastAsiaTheme="majorEastAsia" w:hAnsiTheme="minorHAnsi" w:cstheme="minorHAnsi"/>
          <w:sz w:val="22"/>
          <w:szCs w:val="22"/>
        </w:rPr>
        <w:t xml:space="preserve">Whereas </w:t>
      </w:r>
      <w:r w:rsidR="00211E3E" w:rsidRPr="00432BF1">
        <w:rPr>
          <w:rFonts w:asciiTheme="minorHAnsi" w:eastAsiaTheme="majorEastAsia" w:hAnsiTheme="minorHAnsi" w:cstheme="minorHAnsi"/>
          <w:sz w:val="22"/>
          <w:szCs w:val="22"/>
        </w:rPr>
        <w:t xml:space="preserve">Irish Funds supports ESMA’s proposal to introduce a standalone </w:t>
      </w:r>
      <w:r w:rsidRPr="00432BF1">
        <w:rPr>
          <w:rFonts w:asciiTheme="minorHAnsi" w:eastAsiaTheme="majorEastAsia" w:hAnsiTheme="minorHAnsi" w:cstheme="minorHAnsi"/>
          <w:sz w:val="22"/>
          <w:szCs w:val="22"/>
        </w:rPr>
        <w:t xml:space="preserve">power to suspend </w:t>
      </w:r>
      <w:r w:rsidR="00211E3E" w:rsidRPr="00432BF1">
        <w:rPr>
          <w:rFonts w:asciiTheme="minorHAnsi" w:eastAsiaTheme="majorEastAsia" w:hAnsiTheme="minorHAnsi" w:cstheme="minorHAnsi"/>
          <w:sz w:val="22"/>
          <w:szCs w:val="22"/>
        </w:rPr>
        <w:t>the DTO in MiFIR for the reasons set out in the Consultation Paper</w:t>
      </w:r>
      <w:r w:rsidRPr="00432BF1">
        <w:rPr>
          <w:rFonts w:asciiTheme="minorHAnsi" w:eastAsiaTheme="majorEastAsia" w:hAnsiTheme="minorHAnsi" w:cstheme="minorHAnsi"/>
          <w:sz w:val="22"/>
          <w:szCs w:val="22"/>
        </w:rPr>
        <w:t xml:space="preserve">, it is also of the view that the parameters within which such a power may be exercised </w:t>
      </w:r>
      <w:r w:rsidR="00432BF1">
        <w:rPr>
          <w:rFonts w:asciiTheme="minorHAnsi" w:eastAsiaTheme="majorEastAsia" w:hAnsiTheme="minorHAnsi" w:cstheme="minorHAnsi"/>
          <w:sz w:val="22"/>
          <w:szCs w:val="22"/>
        </w:rPr>
        <w:t xml:space="preserve">should, as is the case with the CO, </w:t>
      </w:r>
      <w:r w:rsidRPr="00432BF1">
        <w:rPr>
          <w:rFonts w:asciiTheme="minorHAnsi" w:eastAsiaTheme="majorEastAsia" w:hAnsiTheme="minorHAnsi" w:cstheme="minorHAnsi"/>
          <w:sz w:val="22"/>
          <w:szCs w:val="22"/>
        </w:rPr>
        <w:t>be clearly prescribed</w:t>
      </w:r>
      <w:r w:rsidR="00211E3E">
        <w:rPr>
          <w:rFonts w:asciiTheme="minorHAnsi" w:eastAsiaTheme="majorEastAsia" w:hAnsiTheme="minorHAnsi" w:cstheme="minorHAnsi"/>
          <w:sz w:val="22"/>
          <w:szCs w:val="22"/>
        </w:rPr>
        <w:t>.</w:t>
      </w:r>
      <w:r>
        <w:rPr>
          <w:rFonts w:asciiTheme="minorHAnsi" w:eastAsiaTheme="majorEastAsia" w:hAnsiTheme="minorHAnsi" w:cstheme="minorHAnsi"/>
          <w:sz w:val="22"/>
          <w:szCs w:val="22"/>
        </w:rPr>
        <w:t xml:space="preserve"> </w:t>
      </w:r>
    </w:p>
    <w:permEnd w:id="1695236746"/>
    <w:p w14:paraId="16B976FC" w14:textId="77777777" w:rsidR="00E077F1" w:rsidRDefault="00E077F1" w:rsidP="00E077F1">
      <w:pPr>
        <w:rPr>
          <w:rFonts w:ascii="Arial" w:hAnsi="Arial" w:cs="Arial"/>
        </w:rPr>
      </w:pPr>
      <w:r>
        <w:rPr>
          <w:rFonts w:ascii="Arial" w:hAnsi="Arial" w:cs="Arial"/>
        </w:rPr>
        <w:t>&lt;ESMA_QUESTION_AMER_7&gt;</w:t>
      </w:r>
    </w:p>
    <w:p w14:paraId="641664E8" w14:textId="77777777" w:rsidR="00E077F1" w:rsidRDefault="00E077F1" w:rsidP="00E077F1">
      <w:pPr>
        <w:rPr>
          <w:rFonts w:ascii="Arial" w:hAnsi="Arial" w:cs="Arial"/>
        </w:rPr>
      </w:pPr>
    </w:p>
    <w:p w14:paraId="4A29FD6F" w14:textId="77777777" w:rsidR="00E077F1" w:rsidRDefault="00E077F1" w:rsidP="00E077F1">
      <w:pPr>
        <w:pStyle w:val="Questionstyle"/>
        <w:numPr>
          <w:ilvl w:val="0"/>
          <w:numId w:val="17"/>
        </w:numPr>
        <w:spacing w:after="250" w:line="276" w:lineRule="auto"/>
        <w:rPr>
          <w:rFonts w:ascii="Arial" w:hAnsi="Arial" w:cs="Arial"/>
        </w:rPr>
      </w:pPr>
      <w:r>
        <w:t>: Have you identified other aspects of the DTO under MiFIR that should be aligned with amendments introduced by EMIR Refit? If so, please explain the amendments to MiFIR that could be introduced.</w:t>
      </w:r>
    </w:p>
    <w:p w14:paraId="47EC6D68" w14:textId="77777777" w:rsidR="00E077F1" w:rsidRDefault="00E077F1" w:rsidP="00E077F1">
      <w:pPr>
        <w:rPr>
          <w:rFonts w:ascii="Arial" w:hAnsi="Arial" w:cs="Arial"/>
        </w:rPr>
      </w:pPr>
      <w:r>
        <w:rPr>
          <w:rFonts w:ascii="Arial" w:hAnsi="Arial" w:cs="Arial"/>
        </w:rPr>
        <w:t>&lt;ESMA_QUESTION_AMER_8&gt;</w:t>
      </w:r>
    </w:p>
    <w:p w14:paraId="75FACF37" w14:textId="0D39A1D4" w:rsidR="00211E3E" w:rsidRPr="00B303C9" w:rsidRDefault="00F35EA3" w:rsidP="00E077F1">
      <w:pPr>
        <w:rPr>
          <w:rFonts w:asciiTheme="minorHAnsi" w:hAnsiTheme="minorHAnsi" w:cstheme="minorHAnsi"/>
          <w:sz w:val="22"/>
          <w:szCs w:val="22"/>
        </w:rPr>
      </w:pPr>
      <w:permStart w:id="302062860" w:edGrp="everyone"/>
      <w:r>
        <w:rPr>
          <w:rFonts w:asciiTheme="minorHAnsi" w:hAnsiTheme="minorHAnsi" w:cstheme="minorHAnsi"/>
          <w:sz w:val="22"/>
          <w:szCs w:val="22"/>
        </w:rPr>
        <w:t>Irish Funds notes that t</w:t>
      </w:r>
      <w:r w:rsidR="00B303C9" w:rsidRPr="00B303C9">
        <w:rPr>
          <w:rFonts w:asciiTheme="minorHAnsi" w:hAnsiTheme="minorHAnsi" w:cstheme="minorHAnsi"/>
          <w:sz w:val="22"/>
          <w:szCs w:val="22"/>
        </w:rPr>
        <w:t xml:space="preserve">he focus of the Consultation Paper </w:t>
      </w:r>
      <w:r w:rsidR="00FF1708">
        <w:rPr>
          <w:rFonts w:asciiTheme="minorHAnsi" w:hAnsiTheme="minorHAnsi" w:cstheme="minorHAnsi"/>
          <w:sz w:val="22"/>
          <w:szCs w:val="22"/>
        </w:rPr>
        <w:t xml:space="preserve">is </w:t>
      </w:r>
      <w:r w:rsidR="00B303C9" w:rsidRPr="00B303C9">
        <w:rPr>
          <w:rFonts w:asciiTheme="minorHAnsi" w:hAnsiTheme="minorHAnsi" w:cstheme="minorHAnsi"/>
          <w:sz w:val="22"/>
          <w:szCs w:val="22"/>
        </w:rPr>
        <w:t>on m</w:t>
      </w:r>
      <w:r w:rsidR="006B0D60">
        <w:rPr>
          <w:rFonts w:asciiTheme="minorHAnsi" w:hAnsiTheme="minorHAnsi" w:cstheme="minorHAnsi"/>
          <w:sz w:val="22"/>
          <w:szCs w:val="22"/>
        </w:rPr>
        <w:t>isalignment between the categories</w:t>
      </w:r>
      <w:r w:rsidR="00B303C9" w:rsidRPr="00B303C9">
        <w:rPr>
          <w:rFonts w:asciiTheme="minorHAnsi" w:hAnsiTheme="minorHAnsi" w:cstheme="minorHAnsi"/>
          <w:sz w:val="22"/>
          <w:szCs w:val="22"/>
        </w:rPr>
        <w:t xml:space="preserve"> of counterparty subject to the CO and DTO</w:t>
      </w:r>
      <w:r>
        <w:rPr>
          <w:rFonts w:asciiTheme="minorHAnsi" w:hAnsiTheme="minorHAnsi" w:cstheme="minorHAnsi"/>
          <w:sz w:val="22"/>
          <w:szCs w:val="22"/>
        </w:rPr>
        <w:t xml:space="preserve">, which reflects </w:t>
      </w:r>
      <w:r w:rsidR="00FF1708">
        <w:rPr>
          <w:rFonts w:asciiTheme="minorHAnsi" w:hAnsiTheme="minorHAnsi" w:cstheme="minorHAnsi"/>
          <w:sz w:val="22"/>
          <w:szCs w:val="22"/>
        </w:rPr>
        <w:t xml:space="preserve">Irish Funds’ </w:t>
      </w:r>
      <w:r>
        <w:rPr>
          <w:rFonts w:asciiTheme="minorHAnsi" w:hAnsiTheme="minorHAnsi" w:cstheme="minorHAnsi"/>
          <w:sz w:val="22"/>
          <w:szCs w:val="22"/>
        </w:rPr>
        <w:t xml:space="preserve">current </w:t>
      </w:r>
      <w:r w:rsidR="00FF1708">
        <w:rPr>
          <w:rFonts w:asciiTheme="minorHAnsi" w:hAnsiTheme="minorHAnsi" w:cstheme="minorHAnsi"/>
          <w:sz w:val="22"/>
          <w:szCs w:val="22"/>
        </w:rPr>
        <w:t>concerns</w:t>
      </w:r>
      <w:r w:rsidR="00B303C9" w:rsidRPr="00B303C9">
        <w:rPr>
          <w:rFonts w:asciiTheme="minorHAnsi" w:hAnsiTheme="minorHAnsi" w:cstheme="minorHAnsi"/>
          <w:sz w:val="22"/>
          <w:szCs w:val="22"/>
        </w:rPr>
        <w:t xml:space="preserve">. </w:t>
      </w:r>
      <w:r>
        <w:rPr>
          <w:rFonts w:asciiTheme="minorHAnsi" w:hAnsiTheme="minorHAnsi" w:cstheme="minorHAnsi"/>
          <w:sz w:val="22"/>
          <w:szCs w:val="22"/>
        </w:rPr>
        <w:t xml:space="preserve">However, </w:t>
      </w:r>
      <w:r w:rsidR="00211E3E" w:rsidRPr="00B303C9">
        <w:rPr>
          <w:rFonts w:asciiTheme="minorHAnsi" w:hAnsiTheme="minorHAnsi" w:cstheme="minorHAnsi"/>
          <w:sz w:val="22"/>
          <w:szCs w:val="22"/>
        </w:rPr>
        <w:t xml:space="preserve">Irish Funds </w:t>
      </w:r>
      <w:r w:rsidR="00FF1708">
        <w:rPr>
          <w:rFonts w:asciiTheme="minorHAnsi" w:hAnsiTheme="minorHAnsi" w:cstheme="minorHAnsi"/>
          <w:sz w:val="22"/>
          <w:szCs w:val="22"/>
        </w:rPr>
        <w:t xml:space="preserve">is aware of suggestions that a misalignment may also arise in respect of an individual </w:t>
      </w:r>
      <w:r w:rsidR="00B303C9" w:rsidRPr="00B303C9">
        <w:rPr>
          <w:rFonts w:asciiTheme="minorHAnsi" w:hAnsiTheme="minorHAnsi" w:cstheme="minorHAnsi"/>
          <w:sz w:val="22"/>
          <w:szCs w:val="22"/>
        </w:rPr>
        <w:t>transaction</w:t>
      </w:r>
      <w:r w:rsidR="00FF1708">
        <w:rPr>
          <w:rFonts w:asciiTheme="minorHAnsi" w:hAnsiTheme="minorHAnsi" w:cstheme="minorHAnsi"/>
          <w:sz w:val="22"/>
          <w:szCs w:val="22"/>
        </w:rPr>
        <w:t xml:space="preserve"> in circumstances where that transaction is subject to the DTO and would, save for the application of a </w:t>
      </w:r>
      <w:r w:rsidR="00FF1708" w:rsidRPr="00B303C9">
        <w:rPr>
          <w:rFonts w:asciiTheme="minorHAnsi" w:hAnsiTheme="minorHAnsi" w:cstheme="minorHAnsi"/>
          <w:sz w:val="22"/>
          <w:szCs w:val="22"/>
        </w:rPr>
        <w:t xml:space="preserve">derogation </w:t>
      </w:r>
      <w:r>
        <w:rPr>
          <w:rFonts w:asciiTheme="minorHAnsi" w:hAnsiTheme="minorHAnsi" w:cstheme="minorHAnsi"/>
          <w:sz w:val="22"/>
          <w:szCs w:val="22"/>
        </w:rPr>
        <w:t xml:space="preserve">from the CO </w:t>
      </w:r>
      <w:r w:rsidR="00FF1708">
        <w:rPr>
          <w:rFonts w:asciiTheme="minorHAnsi" w:hAnsiTheme="minorHAnsi" w:cstheme="minorHAnsi"/>
          <w:sz w:val="22"/>
          <w:szCs w:val="22"/>
        </w:rPr>
        <w:t>specific to a category of transactions to which it belongs, be subject to the CO</w:t>
      </w:r>
      <w:r w:rsidR="00B303C9" w:rsidRPr="00B303C9">
        <w:rPr>
          <w:rFonts w:asciiTheme="minorHAnsi" w:hAnsiTheme="minorHAnsi" w:cstheme="minorHAnsi"/>
          <w:sz w:val="22"/>
          <w:szCs w:val="22"/>
        </w:rPr>
        <w:t xml:space="preserve">. Irish Funds </w:t>
      </w:r>
      <w:r w:rsidR="00FF1708">
        <w:rPr>
          <w:rFonts w:asciiTheme="minorHAnsi" w:hAnsiTheme="minorHAnsi" w:cstheme="minorHAnsi"/>
          <w:sz w:val="22"/>
          <w:szCs w:val="22"/>
        </w:rPr>
        <w:t xml:space="preserve">has not yet identified any existing such misalignments of specific relevance to its members but </w:t>
      </w:r>
      <w:r w:rsidR="00B303C9" w:rsidRPr="00B303C9">
        <w:rPr>
          <w:rFonts w:asciiTheme="minorHAnsi" w:hAnsiTheme="minorHAnsi" w:cstheme="minorHAnsi"/>
          <w:sz w:val="22"/>
          <w:szCs w:val="22"/>
        </w:rPr>
        <w:t>suggests that</w:t>
      </w:r>
      <w:r w:rsidR="00FF1708">
        <w:rPr>
          <w:rFonts w:asciiTheme="minorHAnsi" w:hAnsiTheme="minorHAnsi" w:cstheme="minorHAnsi"/>
          <w:sz w:val="22"/>
          <w:szCs w:val="22"/>
        </w:rPr>
        <w:t xml:space="preserve">, in order to future-proof the alignment of the application of </w:t>
      </w:r>
      <w:r w:rsidR="004E22FD">
        <w:rPr>
          <w:rFonts w:asciiTheme="minorHAnsi" w:hAnsiTheme="minorHAnsi" w:cstheme="minorHAnsi"/>
          <w:sz w:val="22"/>
          <w:szCs w:val="22"/>
        </w:rPr>
        <w:t>transactions subject to the DTO with those subject to the CO (</w:t>
      </w:r>
      <w:r w:rsidR="000E46CE">
        <w:rPr>
          <w:rFonts w:asciiTheme="minorHAnsi" w:hAnsiTheme="minorHAnsi" w:cstheme="minorHAnsi"/>
          <w:sz w:val="22"/>
          <w:szCs w:val="22"/>
        </w:rPr>
        <w:t xml:space="preserve">for the avoidance of doubt; Irish Funds does not suggest that the scope of the DTO should be expanded to encompass all transactions subject to the CO but, instead, that </w:t>
      </w:r>
      <w:r w:rsidR="004E22FD">
        <w:rPr>
          <w:rFonts w:asciiTheme="minorHAnsi" w:hAnsiTheme="minorHAnsi" w:cstheme="minorHAnsi"/>
          <w:sz w:val="22"/>
          <w:szCs w:val="22"/>
        </w:rPr>
        <w:t xml:space="preserve">no transaction </w:t>
      </w:r>
      <w:r w:rsidR="000E46CE">
        <w:rPr>
          <w:rFonts w:asciiTheme="minorHAnsi" w:hAnsiTheme="minorHAnsi" w:cstheme="minorHAnsi"/>
          <w:sz w:val="22"/>
          <w:szCs w:val="22"/>
        </w:rPr>
        <w:t xml:space="preserve">should be </w:t>
      </w:r>
      <w:r w:rsidR="004E22FD">
        <w:rPr>
          <w:rFonts w:asciiTheme="minorHAnsi" w:hAnsiTheme="minorHAnsi" w:cstheme="minorHAnsi"/>
          <w:sz w:val="22"/>
          <w:szCs w:val="22"/>
        </w:rPr>
        <w:t xml:space="preserve">subject to the </w:t>
      </w:r>
      <w:r w:rsidR="00FF1708">
        <w:rPr>
          <w:rFonts w:asciiTheme="minorHAnsi" w:hAnsiTheme="minorHAnsi" w:cstheme="minorHAnsi"/>
          <w:sz w:val="22"/>
          <w:szCs w:val="22"/>
        </w:rPr>
        <w:t>DTO</w:t>
      </w:r>
      <w:r w:rsidR="000E46CE">
        <w:rPr>
          <w:rFonts w:asciiTheme="minorHAnsi" w:hAnsiTheme="minorHAnsi" w:cstheme="minorHAnsi"/>
          <w:sz w:val="22"/>
          <w:szCs w:val="22"/>
        </w:rPr>
        <w:t xml:space="preserve"> unless it is also subject to the CO</w:t>
      </w:r>
      <w:r w:rsidR="004E22FD">
        <w:rPr>
          <w:rFonts w:asciiTheme="minorHAnsi" w:hAnsiTheme="minorHAnsi" w:cstheme="minorHAnsi"/>
          <w:sz w:val="22"/>
          <w:szCs w:val="22"/>
        </w:rPr>
        <w:t>)</w:t>
      </w:r>
      <w:r w:rsidR="00FF1708">
        <w:rPr>
          <w:rFonts w:asciiTheme="minorHAnsi" w:hAnsiTheme="minorHAnsi" w:cstheme="minorHAnsi"/>
          <w:sz w:val="22"/>
          <w:szCs w:val="22"/>
        </w:rPr>
        <w:t xml:space="preserve">, </w:t>
      </w:r>
      <w:r w:rsidR="00FF1708" w:rsidRPr="00B303C9">
        <w:rPr>
          <w:rFonts w:asciiTheme="minorHAnsi" w:hAnsiTheme="minorHAnsi" w:cstheme="minorHAnsi"/>
          <w:sz w:val="22"/>
          <w:szCs w:val="22"/>
        </w:rPr>
        <w:t xml:space="preserve">consideration might be given to </w:t>
      </w:r>
      <w:r w:rsidR="00FF1708">
        <w:rPr>
          <w:rFonts w:asciiTheme="minorHAnsi" w:hAnsiTheme="minorHAnsi" w:cstheme="minorHAnsi"/>
          <w:sz w:val="22"/>
          <w:szCs w:val="22"/>
        </w:rPr>
        <w:t>whether</w:t>
      </w:r>
      <w:r w:rsidR="00FF1708" w:rsidRPr="00B303C9">
        <w:rPr>
          <w:rFonts w:asciiTheme="minorHAnsi" w:hAnsiTheme="minorHAnsi" w:cstheme="minorHAnsi"/>
          <w:sz w:val="22"/>
          <w:szCs w:val="22"/>
        </w:rPr>
        <w:t xml:space="preserve"> </w:t>
      </w:r>
      <w:r w:rsidR="00B303C9" w:rsidRPr="00B303C9">
        <w:rPr>
          <w:rFonts w:asciiTheme="minorHAnsi" w:hAnsiTheme="minorHAnsi" w:cstheme="minorHAnsi"/>
          <w:sz w:val="22"/>
          <w:szCs w:val="22"/>
        </w:rPr>
        <w:t xml:space="preserve">alignment </w:t>
      </w:r>
      <w:r>
        <w:rPr>
          <w:rFonts w:asciiTheme="minorHAnsi" w:hAnsiTheme="minorHAnsi" w:cstheme="minorHAnsi"/>
          <w:sz w:val="22"/>
          <w:szCs w:val="22"/>
        </w:rPr>
        <w:t>can be</w:t>
      </w:r>
      <w:r w:rsidR="00FF1708">
        <w:rPr>
          <w:rFonts w:asciiTheme="minorHAnsi" w:hAnsiTheme="minorHAnsi" w:cstheme="minorHAnsi"/>
          <w:sz w:val="22"/>
          <w:szCs w:val="22"/>
        </w:rPr>
        <w:t xml:space="preserve"> achieved </w:t>
      </w:r>
      <w:r w:rsidR="00B303C9" w:rsidRPr="00B303C9">
        <w:rPr>
          <w:rFonts w:asciiTheme="minorHAnsi" w:hAnsiTheme="minorHAnsi" w:cstheme="minorHAnsi"/>
          <w:sz w:val="22"/>
          <w:szCs w:val="22"/>
        </w:rPr>
        <w:t xml:space="preserve">at </w:t>
      </w:r>
      <w:r w:rsidR="004E22FD">
        <w:rPr>
          <w:rFonts w:asciiTheme="minorHAnsi" w:hAnsiTheme="minorHAnsi" w:cstheme="minorHAnsi"/>
          <w:sz w:val="22"/>
          <w:szCs w:val="22"/>
        </w:rPr>
        <w:t xml:space="preserve">the level </w:t>
      </w:r>
      <w:r w:rsidR="00FF1708">
        <w:rPr>
          <w:rFonts w:asciiTheme="minorHAnsi" w:hAnsiTheme="minorHAnsi" w:cstheme="minorHAnsi"/>
          <w:sz w:val="22"/>
          <w:szCs w:val="22"/>
        </w:rPr>
        <w:t>both</w:t>
      </w:r>
      <w:r w:rsidR="006B0D60">
        <w:rPr>
          <w:rFonts w:asciiTheme="minorHAnsi" w:hAnsiTheme="minorHAnsi" w:cstheme="minorHAnsi"/>
          <w:sz w:val="22"/>
          <w:szCs w:val="22"/>
        </w:rPr>
        <w:t xml:space="preserve"> </w:t>
      </w:r>
      <w:r w:rsidR="004E22FD">
        <w:rPr>
          <w:rFonts w:asciiTheme="minorHAnsi" w:hAnsiTheme="minorHAnsi" w:cstheme="minorHAnsi"/>
          <w:sz w:val="22"/>
          <w:szCs w:val="22"/>
        </w:rPr>
        <w:t xml:space="preserve">of </w:t>
      </w:r>
      <w:r w:rsidR="00B303C9" w:rsidRPr="00B303C9">
        <w:rPr>
          <w:rFonts w:asciiTheme="minorHAnsi" w:hAnsiTheme="minorHAnsi" w:cstheme="minorHAnsi"/>
          <w:sz w:val="22"/>
          <w:szCs w:val="22"/>
        </w:rPr>
        <w:t xml:space="preserve">counterparty </w:t>
      </w:r>
      <w:r w:rsidR="004E22FD">
        <w:rPr>
          <w:rFonts w:asciiTheme="minorHAnsi" w:hAnsiTheme="minorHAnsi" w:cstheme="minorHAnsi"/>
          <w:sz w:val="22"/>
          <w:szCs w:val="22"/>
        </w:rPr>
        <w:t xml:space="preserve">(as proposed by ESMA) </w:t>
      </w:r>
      <w:r w:rsidR="00B303C9" w:rsidRPr="00B303C9">
        <w:rPr>
          <w:rFonts w:asciiTheme="minorHAnsi" w:hAnsiTheme="minorHAnsi" w:cstheme="minorHAnsi"/>
          <w:sz w:val="22"/>
          <w:szCs w:val="22"/>
        </w:rPr>
        <w:t xml:space="preserve">and </w:t>
      </w:r>
      <w:r w:rsidR="00FF1708">
        <w:rPr>
          <w:rFonts w:asciiTheme="minorHAnsi" w:hAnsiTheme="minorHAnsi" w:cstheme="minorHAnsi"/>
          <w:sz w:val="22"/>
          <w:szCs w:val="22"/>
        </w:rPr>
        <w:t xml:space="preserve">individual </w:t>
      </w:r>
      <w:r w:rsidR="00B303C9" w:rsidRPr="00B303C9">
        <w:rPr>
          <w:rFonts w:asciiTheme="minorHAnsi" w:hAnsiTheme="minorHAnsi" w:cstheme="minorHAnsi"/>
          <w:sz w:val="22"/>
          <w:szCs w:val="22"/>
        </w:rPr>
        <w:t xml:space="preserve">transaction </w:t>
      </w:r>
      <w:r w:rsidR="004E22FD">
        <w:rPr>
          <w:rFonts w:asciiTheme="minorHAnsi" w:hAnsiTheme="minorHAnsi" w:cstheme="minorHAnsi"/>
          <w:sz w:val="22"/>
          <w:szCs w:val="22"/>
        </w:rPr>
        <w:t>(</w:t>
      </w:r>
      <w:r w:rsidR="000E46CE">
        <w:rPr>
          <w:rFonts w:asciiTheme="minorHAnsi" w:hAnsiTheme="minorHAnsi" w:cstheme="minorHAnsi"/>
          <w:sz w:val="22"/>
          <w:szCs w:val="22"/>
        </w:rPr>
        <w:t>on the basis outlined above</w:t>
      </w:r>
      <w:r w:rsidR="004E22FD">
        <w:rPr>
          <w:rFonts w:asciiTheme="minorHAnsi" w:hAnsiTheme="minorHAnsi" w:cstheme="minorHAnsi"/>
          <w:sz w:val="22"/>
          <w:szCs w:val="22"/>
        </w:rPr>
        <w:t>)</w:t>
      </w:r>
      <w:r w:rsidR="00B303C9" w:rsidRPr="00B303C9">
        <w:rPr>
          <w:rFonts w:asciiTheme="minorHAnsi" w:hAnsiTheme="minorHAnsi" w:cstheme="minorHAnsi"/>
          <w:sz w:val="22"/>
          <w:szCs w:val="22"/>
        </w:rPr>
        <w:t>.</w:t>
      </w:r>
    </w:p>
    <w:permEnd w:id="302062860"/>
    <w:p w14:paraId="03B77CD4" w14:textId="77777777" w:rsidR="00E077F1" w:rsidRDefault="00E077F1" w:rsidP="00E077F1">
      <w:pPr>
        <w:rPr>
          <w:rFonts w:ascii="Arial" w:hAnsi="Arial" w:cs="Arial"/>
        </w:rPr>
      </w:pPr>
      <w:r>
        <w:rPr>
          <w:rFonts w:ascii="Arial" w:hAnsi="Arial" w:cs="Arial"/>
        </w:rPr>
        <w:t>&lt;ESMA_QUESTION_AMER_8&gt;</w:t>
      </w:r>
    </w:p>
    <w:p w14:paraId="313C7BBA" w14:textId="77777777" w:rsidR="00E077F1" w:rsidRDefault="00E077F1" w:rsidP="00E077F1">
      <w:pPr>
        <w:rPr>
          <w:rFonts w:ascii="Arial" w:hAnsi="Arial" w:cs="Arial"/>
        </w:rPr>
      </w:pPr>
    </w:p>
    <w:p w14:paraId="78635693" w14:textId="77777777" w:rsidR="00E077F1" w:rsidRDefault="00E077F1" w:rsidP="00E077F1">
      <w:pPr>
        <w:rPr>
          <w:rFonts w:ascii="Arial" w:hAnsi="Arial" w:cs="Arial"/>
        </w:rPr>
      </w:pPr>
    </w:p>
    <w:p w14:paraId="56791EE6" w14:textId="77777777" w:rsidR="00E077F1" w:rsidRDefault="00E077F1" w:rsidP="00C1698A">
      <w:pPr>
        <w:spacing w:line="276" w:lineRule="auto"/>
        <w:rPr>
          <w:rFonts w:asciiTheme="minorHAnsi" w:hAnsiTheme="minorHAnsi" w:cstheme="minorHAnsi"/>
          <w:b/>
          <w:sz w:val="28"/>
          <w:szCs w:val="28"/>
        </w:rPr>
      </w:pPr>
    </w:p>
    <w:bookmarkEnd w:id="0"/>
    <w:sectPr w:rsidR="00E077F1"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1FF3F" w14:textId="77777777" w:rsidR="00FC4F52" w:rsidRDefault="00FC4F52" w:rsidP="007E7997">
      <w:r>
        <w:separator/>
      </w:r>
    </w:p>
  </w:endnote>
  <w:endnote w:type="continuationSeparator" w:id="0">
    <w:p w14:paraId="0F669BA2" w14:textId="77777777" w:rsidR="00FC4F52" w:rsidRDefault="00FC4F52" w:rsidP="007E7997">
      <w:r>
        <w:continuationSeparator/>
      </w:r>
    </w:p>
  </w:endnote>
  <w:endnote w:type="continuationNotice" w:id="1">
    <w:p w14:paraId="70C59725" w14:textId="77777777" w:rsidR="00FC4F52" w:rsidRDefault="00FC4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A6CF" w14:textId="77777777" w:rsidR="0094180D" w:rsidRDefault="00941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3CAB16BB"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CB26B8">
      <w:rPr>
        <w:rFonts w:asciiTheme="majorHAnsi" w:hAnsiTheme="majorHAnsi"/>
        <w:color w:val="FFFFFF" w:themeColor="background1"/>
      </w:rPr>
      <w:t> </w:t>
    </w:r>
    <w:r w:rsidR="00AB6157">
      <w:rPr>
        <w:rFonts w:asciiTheme="majorHAnsi" w:hAnsiTheme="majorHAnsi"/>
        <w:color w:val="FFFFFF" w:themeColor="background1"/>
      </w:rPr>
      <w:t xml:space="preserve"> </w:t>
    </w:r>
    <w:r w:rsidR="00CB26B8">
      <w:rPr>
        <w:rFonts w:asciiTheme="majorHAnsi" w:hAnsiTheme="majorHAnsi"/>
        <w:color w:val="FFFFFF" w:themeColor="background1"/>
      </w:rPr>
      <w:t>        </w:t>
    </w:r>
    <w:r w:rsidR="00AB6157">
      <w:rPr>
        <w:rFonts w:asciiTheme="majorHAnsi" w:hAnsiTheme="majorHAnsi"/>
        <w:color w:val="FFFFFF" w:themeColor="background1"/>
      </w:rPr>
      <w:t>    </w:t>
    </w:r>
    <w:r w:rsidR="00FF6930">
      <w:rPr>
        <w:rFonts w:asciiTheme="majorHAnsi" w:hAnsiTheme="majorHAnsi"/>
        <w:color w:val="FFFFFF" w:themeColor="background1"/>
      </w:rPr>
      <w:t xml:space="preserve"> </w:t>
    </w:r>
    <w:r w:rsidR="00CB26B8">
      <w:rPr>
        <w:rFonts w:asciiTheme="majorHAnsi" w:hAnsiTheme="majorHAnsi"/>
        <w:color w:val="FFFFFF" w:themeColor="background1"/>
      </w:rPr>
      <w:t>  </w:t>
    </w:r>
    <w:r w:rsidR="002D118A" w:rsidRPr="002D118A">
      <w:rPr>
        <w:rFonts w:asciiTheme="majorHAnsi" w:hAnsiTheme="majorHAnsi"/>
        <w:color w:val="FFFFFF" w:themeColor="background1"/>
      </w:rPr>
      <w:t>       </w:t>
    </w:r>
    <w:r w:rsidR="00CB26B8">
      <w:rPr>
        <w:rFonts w:asciiTheme="majorHAnsi" w:hAnsiTheme="majorHAnsi"/>
        <w:color w:val="FFFFFF" w:themeColor="background1"/>
      </w:rPr>
      <w:t>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926DC6">
          <w:rPr>
            <w:noProof/>
          </w:rPr>
          <w:t>2</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1B15F" w14:textId="77777777" w:rsidR="00FC4F52" w:rsidRDefault="00FC4F52" w:rsidP="007E7997">
      <w:r>
        <w:separator/>
      </w:r>
    </w:p>
  </w:footnote>
  <w:footnote w:type="continuationSeparator" w:id="0">
    <w:p w14:paraId="2BE6050E" w14:textId="77777777" w:rsidR="00FC4F52" w:rsidRDefault="00FC4F52" w:rsidP="007E7997">
      <w:r>
        <w:continuationSeparator/>
      </w:r>
    </w:p>
  </w:footnote>
  <w:footnote w:type="continuationNotice" w:id="1">
    <w:p w14:paraId="27D8BAAF" w14:textId="77777777" w:rsidR="00FC4F52" w:rsidRDefault="00FC4F52"/>
  </w:footnote>
  <w:footnote w:id="2">
    <w:p w14:paraId="75A13087" w14:textId="655016F1" w:rsidR="005B0289" w:rsidRPr="005B0289" w:rsidRDefault="005B0289" w:rsidP="005B0289">
      <w:pPr>
        <w:pStyle w:val="FootnoteText"/>
        <w:ind w:left="708" w:hanging="708"/>
        <w:rPr>
          <w:lang w:val="en-IE"/>
        </w:rPr>
      </w:pPr>
      <w:r>
        <w:rPr>
          <w:rStyle w:val="FootnoteReference"/>
        </w:rPr>
        <w:footnoteRef/>
      </w:r>
      <w:r>
        <w:t xml:space="preserve"> </w:t>
      </w:r>
      <w:r>
        <w:rPr>
          <w:lang w:val="en-IE"/>
        </w:rPr>
        <w:tab/>
        <w:t xml:space="preserve">See </w:t>
      </w:r>
      <w:r w:rsidRPr="005B0289">
        <w:rPr>
          <w:lang w:val="en-IE"/>
        </w:rPr>
        <w:t>G20 Leaders Statement: The Pittsburgh Summit</w:t>
      </w:r>
      <w:r>
        <w:rPr>
          <w:lang w:val="en-IE"/>
        </w:rPr>
        <w:t>, at section 13: “…</w:t>
      </w:r>
      <w:r w:rsidRPr="005B0289">
        <w:rPr>
          <w:i/>
          <w:lang w:val="en-IE"/>
        </w:rPr>
        <w:t>Improving over-the-counter derivatives markets</w:t>
      </w:r>
      <w:r w:rsidRPr="005B0289">
        <w:rPr>
          <w:lang w:val="en-IE"/>
        </w:rPr>
        <w:t>: All standardized OTC derivative contracts should be traded on exchanges or electronic trading platforms, where appropriate, and cleared through central counterparties by end-2012 at the latest. OTC derivative contracts should be reported to trade repositories. Non-centrally cleared contracts should be subject to higher capital requirements. We ask the FSB and its relevant members to assess regularly implementation and whether it is sufficient to improve transparency in the derivatives markets, mitigate systemic risk, and protect against market abuse.</w:t>
      </w:r>
      <w:r>
        <w:rPr>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AAF2" w14:textId="77777777" w:rsidR="0094180D" w:rsidRDefault="00941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lang w:val="en-IE" w:eastAsia="en-IE"/>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lang w:val="en-IE" w:eastAsia="en-IE"/>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FF4A0"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0DFC7EBC"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IE" w:eastAsia="en-IE"/>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2C6E"/>
    <w:multiLevelType w:val="hybridMultilevel"/>
    <w:tmpl w:val="489281DA"/>
    <w:lvl w:ilvl="0" w:tplc="078E2A82">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C824A2B"/>
    <w:multiLevelType w:val="hybridMultilevel"/>
    <w:tmpl w:val="48CC44B6"/>
    <w:lvl w:ilvl="0" w:tplc="649083AC">
      <w:start w:val="1"/>
      <w:numFmt w:val="bullet"/>
      <w:pStyle w:val="ListParagraph"/>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1"/>
  </w:num>
  <w:num w:numId="4">
    <w:abstractNumId w:val="2"/>
  </w:num>
  <w:num w:numId="5">
    <w:abstractNumId w:val="8"/>
  </w:num>
  <w:num w:numId="6">
    <w:abstractNumId w:val="13"/>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6" w:nlCheck="1" w:checkStyle="1"/>
  <w:proofState w:spelling="clean" w:grammar="clean"/>
  <w:documentProtection w:edit="readOnly" w:enforcement="1" w:cryptProviderType="rsaAES" w:cryptAlgorithmClass="hash" w:cryptAlgorithmType="typeAny" w:cryptAlgorithmSid="14" w:cryptSpinCount="100000" w:hash="9n/yyAmrNVWjCfyWIe0bHKOxREVumuIEhhJ/E/ZRvNerMEhsNUO6fA9HCOX5ax3ZqobhptKy2INpLg+G7Jfw4w==" w:salt="klECVCKwc4L3/lEHSCQTqQ=="/>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D38"/>
    <w:rsid w:val="000A03C9"/>
    <w:rsid w:val="000A12CC"/>
    <w:rsid w:val="000A2738"/>
    <w:rsid w:val="000A2DF1"/>
    <w:rsid w:val="000A3D10"/>
    <w:rsid w:val="000A409B"/>
    <w:rsid w:val="000A66FC"/>
    <w:rsid w:val="000A741E"/>
    <w:rsid w:val="000B1615"/>
    <w:rsid w:val="000B2AAF"/>
    <w:rsid w:val="000B2E26"/>
    <w:rsid w:val="000B3610"/>
    <w:rsid w:val="000B5D3D"/>
    <w:rsid w:val="000C0CE0"/>
    <w:rsid w:val="000C2400"/>
    <w:rsid w:val="000C299C"/>
    <w:rsid w:val="000C5ACC"/>
    <w:rsid w:val="000D0293"/>
    <w:rsid w:val="000D0850"/>
    <w:rsid w:val="000D1038"/>
    <w:rsid w:val="000D11A9"/>
    <w:rsid w:val="000D2D7B"/>
    <w:rsid w:val="000E2232"/>
    <w:rsid w:val="000E3DB1"/>
    <w:rsid w:val="000E46CE"/>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1E3E"/>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472F"/>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2B42"/>
    <w:rsid w:val="003279E7"/>
    <w:rsid w:val="00327B62"/>
    <w:rsid w:val="00331FE9"/>
    <w:rsid w:val="0033324D"/>
    <w:rsid w:val="0033587C"/>
    <w:rsid w:val="00336BF9"/>
    <w:rsid w:val="003371E8"/>
    <w:rsid w:val="00337471"/>
    <w:rsid w:val="00337F73"/>
    <w:rsid w:val="0034151D"/>
    <w:rsid w:val="00342B5B"/>
    <w:rsid w:val="00343532"/>
    <w:rsid w:val="00345469"/>
    <w:rsid w:val="003454ED"/>
    <w:rsid w:val="00345EB9"/>
    <w:rsid w:val="003500A3"/>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D99"/>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31DE"/>
    <w:rsid w:val="00414210"/>
    <w:rsid w:val="004159DB"/>
    <w:rsid w:val="00420FD4"/>
    <w:rsid w:val="004242B3"/>
    <w:rsid w:val="00426D62"/>
    <w:rsid w:val="00427A89"/>
    <w:rsid w:val="00430C5B"/>
    <w:rsid w:val="00431968"/>
    <w:rsid w:val="00432BF1"/>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2FD"/>
    <w:rsid w:val="004E2C37"/>
    <w:rsid w:val="004E5285"/>
    <w:rsid w:val="004F0CF3"/>
    <w:rsid w:val="004F5740"/>
    <w:rsid w:val="004F58C9"/>
    <w:rsid w:val="005010C4"/>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0DD0"/>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0289"/>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48BC"/>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60"/>
    <w:rsid w:val="006B0DA4"/>
    <w:rsid w:val="006B1B6B"/>
    <w:rsid w:val="006B2C57"/>
    <w:rsid w:val="006B2ED4"/>
    <w:rsid w:val="006B4D12"/>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36A4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10D5"/>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6D8"/>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18AF"/>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75783"/>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5CB"/>
    <w:rsid w:val="008C686D"/>
    <w:rsid w:val="008C6B18"/>
    <w:rsid w:val="008C75E6"/>
    <w:rsid w:val="008C767A"/>
    <w:rsid w:val="008C7A73"/>
    <w:rsid w:val="008C7D1D"/>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2184E"/>
    <w:rsid w:val="00926DC6"/>
    <w:rsid w:val="0093261E"/>
    <w:rsid w:val="0094008E"/>
    <w:rsid w:val="0094032E"/>
    <w:rsid w:val="0094180D"/>
    <w:rsid w:val="00941C0C"/>
    <w:rsid w:val="009437F2"/>
    <w:rsid w:val="0094528B"/>
    <w:rsid w:val="00960A8B"/>
    <w:rsid w:val="00965128"/>
    <w:rsid w:val="00973BCF"/>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83C"/>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18B9"/>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03C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4E5F"/>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472"/>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124E"/>
    <w:rsid w:val="00C54316"/>
    <w:rsid w:val="00C55208"/>
    <w:rsid w:val="00C5527D"/>
    <w:rsid w:val="00C61B1A"/>
    <w:rsid w:val="00C62A53"/>
    <w:rsid w:val="00C64193"/>
    <w:rsid w:val="00C64D44"/>
    <w:rsid w:val="00C709F9"/>
    <w:rsid w:val="00C71E9B"/>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26B8"/>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4B20"/>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9D6"/>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7F1"/>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D78C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5EA3"/>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6733"/>
    <w:rsid w:val="00FD2677"/>
    <w:rsid w:val="00FD28B8"/>
    <w:rsid w:val="00FD4B33"/>
    <w:rsid w:val="00FE0BD8"/>
    <w:rsid w:val="00FE1709"/>
    <w:rsid w:val="00FE1FC9"/>
    <w:rsid w:val="00FF1708"/>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AB6E44"/>
  <w15:docId w15:val="{4BA8AB30-AEA1-4E73-B147-D322B996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3500A3"/>
    <w:pPr>
      <w:numPr>
        <w:numId w:val="20"/>
      </w:numPr>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3500A3"/>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39647880">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574971">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ma.europa.eu/legal-notice" TargetMode="External"/><Relationship Id="rId2" Type="http://schemas.openxmlformats.org/officeDocument/2006/relationships/numbering" Target="numbering.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ma.europa.eu"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89819-15B9-4033-B2DD-1683C6A2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1866</Words>
  <Characters>10640</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Kilroy</dc:creator>
  <cp:keywords/>
  <cp:lastModifiedBy>Conor Kilroy</cp:lastModifiedBy>
  <cp:revision>6</cp:revision>
  <dcterms:created xsi:type="dcterms:W3CDTF">2019-11-22T10:23:00Z</dcterms:created>
  <dcterms:modified xsi:type="dcterms:W3CDTF">2019-11-22T14:35:00Z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9da317dd-8ed3-4788-8408-03ddb8868fa8</vt:lpwstr>
  </property>
  <property fmtid="{D5CDD505-2E9C-101B-9397-08002B2CF9AE}" pid="6" name="DocumentType">
    <vt:lpwstr>302;#Feedback Statement (includes responses)|00bc750a-87e5-4a0d-9385-52a7c69693e1</vt:lpwstr>
  </property>
  <property fmtid="{D5CDD505-2E9C-101B-9397-08002B2CF9AE}" pid="7" name="Topic">
    <vt:lpwstr>46;#Transparency|cfa6cb41-a664-4058-b745-b45e1c59694c</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100;#Transparency - TO|092a8390-918c-4acf-885e-abcf6d1f526b</vt:lpwstr>
  </property>
</Properties>
</file>