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Untertitel"/>
                  <w:rPr>
                    <w:rFonts w:cs="Arial"/>
                  </w:rPr>
                </w:pPr>
                <w:r>
                  <w:rPr>
                    <w:rFonts w:cs="Arial"/>
                  </w:rPr>
                  <w:t>Alignment of MiFIR with the changes introduced by EMIR Refit</w:t>
                </w: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val="de-DE" w:eastAsia="de-DE"/>
            </w:rPr>
            <w:id w:val="-1905066999"/>
            <w:text/>
          </w:sdtPr>
          <w:sdtEndPr/>
          <w:sdtContent>
            <w:tc>
              <w:tcPr>
                <w:tcW w:w="5595" w:type="dxa"/>
                <w:shd w:val="clear" w:color="auto" w:fill="auto"/>
              </w:tcPr>
              <w:p w14:paraId="1B67440D" w14:textId="460E5879" w:rsidR="00C85C8B" w:rsidRPr="00DA5EA0" w:rsidRDefault="00DA5EA0" w:rsidP="00DA5EA0">
                <w:pPr>
                  <w:rPr>
                    <w:rFonts w:ascii="Arial" w:hAnsi="Arial" w:cs="Arial"/>
                    <w:color w:val="808080"/>
                    <w:sz w:val="20"/>
                    <w:lang w:val="de-DE" w:eastAsia="de-DE"/>
                  </w:rPr>
                </w:pPr>
                <w:r w:rsidRPr="00DA5EA0">
                  <w:rPr>
                    <w:rFonts w:ascii="Arial" w:hAnsi="Arial" w:cs="Arial"/>
                    <w:color w:val="808080"/>
                    <w:sz w:val="20"/>
                    <w:lang w:val="de-DE" w:eastAsia="de-DE"/>
                  </w:rPr>
                  <w:t>Gesamtverband der Deuts</w:t>
                </w:r>
                <w:r>
                  <w:rPr>
                    <w:rFonts w:ascii="Arial" w:hAnsi="Arial" w:cs="Arial"/>
                    <w:color w:val="808080"/>
                    <w:sz w:val="20"/>
                    <w:lang w:val="de-DE" w:eastAsia="de-DE"/>
                  </w:rPr>
                  <w:t>chen Versicherungswirtschaft e.V.</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633261D" w:rsidR="00C85C8B" w:rsidRPr="00DA5EA0" w:rsidRDefault="001F5A29" w:rsidP="00C85C8B">
            <w:pPr>
              <w:rPr>
                <w:rFonts w:ascii="Arial" w:hAnsi="Arial" w:cs="Arial"/>
                <w:sz w:val="20"/>
                <w:lang w:val="de-DE" w:eastAsia="de-DE"/>
              </w:rPr>
            </w:pPr>
            <w:sdt>
              <w:sdtPr>
                <w:rPr>
                  <w:rFonts w:ascii="Arial" w:hAnsi="Arial" w:cs="Arial"/>
                  <w:sz w:val="20"/>
                  <w:lang w:val="de-DE"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A5EA0">
                  <w:rPr>
                    <w:rFonts w:ascii="Arial" w:hAnsi="Arial" w:cs="Arial"/>
                    <w:sz w:val="20"/>
                    <w:lang w:val="de-DE" w:eastAsia="de-DE"/>
                  </w:rPr>
                  <w:t>Insurance and Pension</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val="de-DE"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AC5850C" w:rsidR="00C85C8B" w:rsidRPr="00DA5EA0" w:rsidRDefault="00DA5EA0" w:rsidP="00C85C8B">
                <w:pPr>
                  <w:rPr>
                    <w:rFonts w:ascii="Arial" w:hAnsi="Arial" w:cs="Arial"/>
                    <w:sz w:val="20"/>
                    <w:lang w:val="de-DE" w:eastAsia="de-DE"/>
                  </w:rPr>
                </w:pPr>
                <w:r>
                  <w:rPr>
                    <w:rFonts w:ascii="MS Gothic" w:eastAsia="MS Gothic" w:hAnsi="MS Gothic" w:cs="Arial" w:hint="eastAsia"/>
                    <w:sz w:val="20"/>
                    <w:lang w:val="de-DE"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3CD430B" w:rsidR="00C85C8B" w:rsidRPr="00C85C8B" w:rsidRDefault="00DA5EA0"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796F5690" w14:textId="06EABD0C" w:rsidR="00996050" w:rsidRPr="00996050" w:rsidRDefault="00996050" w:rsidP="00996050">
      <w:pPr>
        <w:pStyle w:val="SN-ZFassungtxt-10ptZA-genau-14pthand"/>
        <w:numPr>
          <w:ilvl w:val="0"/>
          <w:numId w:val="18"/>
        </w:numPr>
        <w:rPr>
          <w:rFonts w:cs="Arial"/>
          <w:sz w:val="22"/>
          <w:szCs w:val="22"/>
          <w:lang w:val="en-GB"/>
        </w:rPr>
      </w:pPr>
      <w:permStart w:id="885457707" w:edGrp="everyone"/>
      <w:r w:rsidRPr="00996050">
        <w:rPr>
          <w:rFonts w:cs="Arial"/>
          <w:sz w:val="22"/>
          <w:szCs w:val="22"/>
          <w:lang w:val="en-GB"/>
        </w:rPr>
        <w:t>Insurance and reinsurance companies are amongst the largest institutional investo</w:t>
      </w:r>
      <w:r w:rsidR="00F07C65">
        <w:rPr>
          <w:rFonts w:cs="Arial"/>
          <w:sz w:val="22"/>
          <w:szCs w:val="22"/>
          <w:lang w:val="en-GB"/>
        </w:rPr>
        <w:t>r groups</w:t>
      </w:r>
      <w:r w:rsidRPr="00996050">
        <w:rPr>
          <w:rFonts w:cs="Arial"/>
          <w:sz w:val="22"/>
          <w:szCs w:val="22"/>
          <w:lang w:val="en-GB"/>
        </w:rPr>
        <w:t>. The German insurance association GDV therefore welcomes the opportunity to respond to the consultation paper regarding the alignment of MiFIR with the changes introduced by EMIR Refit.</w:t>
      </w:r>
    </w:p>
    <w:p w14:paraId="3F58D06B" w14:textId="77777777" w:rsidR="00996050" w:rsidRPr="00996050" w:rsidRDefault="00996050" w:rsidP="00996050">
      <w:pPr>
        <w:pStyle w:val="SN-ZFassungtxt-10ptZA-genau-14pthand"/>
        <w:numPr>
          <w:ilvl w:val="0"/>
          <w:numId w:val="18"/>
        </w:numPr>
        <w:rPr>
          <w:sz w:val="22"/>
          <w:szCs w:val="22"/>
          <w:lang w:val="en-US"/>
        </w:rPr>
      </w:pPr>
      <w:r w:rsidRPr="00996050">
        <w:rPr>
          <w:rFonts w:cs="Arial"/>
          <w:sz w:val="22"/>
          <w:szCs w:val="22"/>
          <w:lang w:val="en-GB"/>
        </w:rPr>
        <w:t>Insurers as investors act with a long-term perspective. They</w:t>
      </w:r>
    </w:p>
    <w:p w14:paraId="4D406752" w14:textId="77777777" w:rsidR="00996050" w:rsidRPr="00996050" w:rsidRDefault="00996050" w:rsidP="00996050">
      <w:pPr>
        <w:pStyle w:val="SN-ZFassungtxt-10ptZA-genau-14pthand"/>
        <w:numPr>
          <w:ilvl w:val="0"/>
          <w:numId w:val="19"/>
        </w:numPr>
        <w:ind w:left="851" w:hanging="425"/>
        <w:rPr>
          <w:sz w:val="22"/>
          <w:szCs w:val="22"/>
          <w:lang w:val="en-US"/>
        </w:rPr>
      </w:pPr>
      <w:r w:rsidRPr="00996050">
        <w:rPr>
          <w:sz w:val="22"/>
          <w:szCs w:val="22"/>
          <w:lang w:val="en-US"/>
        </w:rPr>
        <w:t>supply consumers with long-term guarantees,</w:t>
      </w:r>
    </w:p>
    <w:p w14:paraId="3AC89572" w14:textId="77777777" w:rsidR="00996050" w:rsidRPr="00996050" w:rsidRDefault="00996050" w:rsidP="00996050">
      <w:pPr>
        <w:pStyle w:val="SN-ZFassungtxt-10ptZA-genau-14pthand"/>
        <w:numPr>
          <w:ilvl w:val="0"/>
          <w:numId w:val="19"/>
        </w:numPr>
        <w:ind w:left="851" w:hanging="425"/>
        <w:rPr>
          <w:sz w:val="22"/>
          <w:szCs w:val="22"/>
          <w:lang w:val="en-US"/>
        </w:rPr>
      </w:pPr>
      <w:r w:rsidRPr="00996050">
        <w:rPr>
          <w:sz w:val="22"/>
          <w:szCs w:val="22"/>
          <w:lang w:val="en-US"/>
        </w:rPr>
        <w:t>have predictable cash flows and, thus, have no or little risk of forced asset sales,</w:t>
      </w:r>
    </w:p>
    <w:p w14:paraId="3C1A1C64" w14:textId="77777777" w:rsidR="00996050" w:rsidRPr="00996050" w:rsidRDefault="00996050" w:rsidP="00996050">
      <w:pPr>
        <w:pStyle w:val="SN-ZFassungtxt-10ptZA-genau-14pthand"/>
        <w:numPr>
          <w:ilvl w:val="0"/>
          <w:numId w:val="19"/>
        </w:numPr>
        <w:ind w:left="851" w:hanging="425"/>
        <w:rPr>
          <w:sz w:val="22"/>
          <w:szCs w:val="22"/>
          <w:lang w:val="en-US"/>
        </w:rPr>
      </w:pPr>
      <w:r w:rsidRPr="00996050">
        <w:rPr>
          <w:sz w:val="22"/>
          <w:szCs w:val="22"/>
          <w:lang w:val="en-US"/>
        </w:rPr>
        <w:t>hold assets over the long run and invest in illiquid assets,</w:t>
      </w:r>
    </w:p>
    <w:p w14:paraId="50C00A55" w14:textId="76633B90" w:rsidR="00996050" w:rsidRPr="00996050" w:rsidRDefault="00996050" w:rsidP="00996050">
      <w:pPr>
        <w:pStyle w:val="SN-ZFassungtxt-10ptZA-genau-14pthand"/>
        <w:numPr>
          <w:ilvl w:val="0"/>
          <w:numId w:val="19"/>
        </w:numPr>
        <w:ind w:left="851" w:hanging="425"/>
        <w:rPr>
          <w:sz w:val="22"/>
          <w:szCs w:val="22"/>
          <w:lang w:val="en-US"/>
        </w:rPr>
      </w:pPr>
      <w:r w:rsidRPr="00996050">
        <w:rPr>
          <w:sz w:val="22"/>
          <w:szCs w:val="22"/>
          <w:lang w:val="en-US"/>
        </w:rPr>
        <w:t xml:space="preserve">provide stable long-term financing for the </w:t>
      </w:r>
      <w:r w:rsidR="00F07C65">
        <w:rPr>
          <w:sz w:val="22"/>
          <w:szCs w:val="22"/>
          <w:lang w:val="en-US"/>
        </w:rPr>
        <w:t xml:space="preserve">real </w:t>
      </w:r>
      <w:r w:rsidRPr="00996050">
        <w:rPr>
          <w:sz w:val="22"/>
          <w:szCs w:val="22"/>
          <w:lang w:val="en-US"/>
        </w:rPr>
        <w:t>economy and reduce financial market volatility.</w:t>
      </w:r>
    </w:p>
    <w:p w14:paraId="02AF2FF9" w14:textId="530AF3A9" w:rsidR="00C85C8B" w:rsidRDefault="00996050" w:rsidP="00601D51">
      <w:pPr>
        <w:pStyle w:val="SN-ZFassungtxt-10ptZA-genau-14pthand"/>
        <w:numPr>
          <w:ilvl w:val="0"/>
          <w:numId w:val="18"/>
        </w:numPr>
        <w:rPr>
          <w:rFonts w:cs="Arial"/>
          <w:sz w:val="22"/>
          <w:szCs w:val="22"/>
          <w:lang w:val="en-GB"/>
        </w:rPr>
      </w:pPr>
      <w:r w:rsidRPr="00601D51">
        <w:rPr>
          <w:rFonts w:cs="Arial"/>
          <w:sz w:val="22"/>
          <w:szCs w:val="22"/>
          <w:lang w:val="en-GB"/>
        </w:rPr>
        <w:t>For insurance and reinsurance companies derivatives and derivative instruments are appropriate</w:t>
      </w:r>
      <w:r w:rsidR="00601D51" w:rsidRPr="00601D51">
        <w:rPr>
          <w:rFonts w:cs="Arial"/>
          <w:sz w:val="22"/>
          <w:szCs w:val="22"/>
          <w:lang w:val="en-GB"/>
        </w:rPr>
        <w:t xml:space="preserve"> and convenient</w:t>
      </w:r>
      <w:r w:rsidRPr="00601D51">
        <w:rPr>
          <w:rFonts w:cs="Arial"/>
          <w:sz w:val="22"/>
          <w:szCs w:val="22"/>
          <w:lang w:val="en-GB"/>
        </w:rPr>
        <w:t xml:space="preserve"> instruments to ensure the fulfilment of given </w:t>
      </w:r>
      <w:r w:rsidR="00601D51" w:rsidRPr="00601D51">
        <w:rPr>
          <w:rFonts w:cs="Arial"/>
          <w:sz w:val="22"/>
          <w:szCs w:val="22"/>
          <w:lang w:val="en-GB"/>
        </w:rPr>
        <w:t>commit</w:t>
      </w:r>
      <w:r w:rsidR="00F07C65">
        <w:rPr>
          <w:rFonts w:cs="Arial"/>
          <w:sz w:val="22"/>
          <w:szCs w:val="22"/>
          <w:lang w:val="en-GB"/>
        </w:rPr>
        <w:t>m</w:t>
      </w:r>
      <w:r w:rsidRPr="00601D51">
        <w:rPr>
          <w:rFonts w:cs="Arial"/>
          <w:sz w:val="22"/>
          <w:szCs w:val="22"/>
          <w:lang w:val="en-GB"/>
        </w:rPr>
        <w:t xml:space="preserve">ents to </w:t>
      </w:r>
      <w:r w:rsidR="00601D51" w:rsidRPr="00601D51">
        <w:rPr>
          <w:rFonts w:cs="Arial"/>
          <w:sz w:val="22"/>
          <w:szCs w:val="22"/>
          <w:lang w:val="en-GB"/>
        </w:rPr>
        <w:t xml:space="preserve">their clients. Therefore, </w:t>
      </w:r>
      <w:r w:rsidR="00601D51">
        <w:rPr>
          <w:rFonts w:cs="Arial"/>
          <w:sz w:val="22"/>
          <w:szCs w:val="22"/>
          <w:lang w:val="en-GB"/>
        </w:rPr>
        <w:t xml:space="preserve">the use of such instruments should only </w:t>
      </w:r>
      <w:r w:rsidR="00F07C65">
        <w:rPr>
          <w:rFonts w:cs="Arial"/>
          <w:sz w:val="22"/>
          <w:szCs w:val="22"/>
          <w:lang w:val="en-GB"/>
        </w:rPr>
        <w:t xml:space="preserve">be subject to additional operational requirements if this is deemed necessary </w:t>
      </w:r>
      <w:proofErr w:type="spellStart"/>
      <w:r w:rsidR="00F07C65">
        <w:rPr>
          <w:rFonts w:cs="Arial"/>
          <w:sz w:val="22"/>
          <w:szCs w:val="22"/>
          <w:lang w:val="en-GB"/>
        </w:rPr>
        <w:t>toensure</w:t>
      </w:r>
      <w:proofErr w:type="spellEnd"/>
      <w:r w:rsidR="00F07C65">
        <w:rPr>
          <w:rFonts w:cs="Arial"/>
          <w:sz w:val="22"/>
          <w:szCs w:val="22"/>
          <w:lang w:val="en-GB"/>
        </w:rPr>
        <w:t xml:space="preserve"> overarching goals such as</w:t>
      </w:r>
      <w:r w:rsidR="00601D51">
        <w:rPr>
          <w:rFonts w:cs="Arial"/>
          <w:sz w:val="22"/>
          <w:szCs w:val="22"/>
          <w:lang w:val="en-GB"/>
        </w:rPr>
        <w:t xml:space="preserve"> </w:t>
      </w:r>
      <w:r w:rsidR="00F07C65">
        <w:rPr>
          <w:rFonts w:cs="Arial"/>
          <w:sz w:val="22"/>
          <w:szCs w:val="22"/>
          <w:lang w:val="en-GB"/>
        </w:rPr>
        <w:t>market integrity or</w:t>
      </w:r>
      <w:r w:rsidR="00601D51">
        <w:rPr>
          <w:rFonts w:cs="Arial"/>
          <w:sz w:val="22"/>
          <w:szCs w:val="22"/>
          <w:lang w:val="en-GB"/>
        </w:rPr>
        <w:t xml:space="preserve"> market stability.</w:t>
      </w:r>
    </w:p>
    <w:p w14:paraId="739DDD03" w14:textId="00525190" w:rsidR="00601D51" w:rsidRDefault="001473DE" w:rsidP="00601D51">
      <w:pPr>
        <w:pStyle w:val="SN-ZFassungtxt-10ptZA-genau-14pthand"/>
        <w:numPr>
          <w:ilvl w:val="0"/>
          <w:numId w:val="18"/>
        </w:numPr>
        <w:rPr>
          <w:rFonts w:cs="Arial"/>
          <w:sz w:val="22"/>
          <w:szCs w:val="22"/>
          <w:lang w:val="en-GB"/>
        </w:rPr>
      </w:pPr>
      <w:r>
        <w:rPr>
          <w:rFonts w:cs="Arial"/>
          <w:sz w:val="22"/>
          <w:szCs w:val="22"/>
          <w:lang w:val="en-GB"/>
        </w:rPr>
        <w:t>Especially for small</w:t>
      </w:r>
      <w:r w:rsidR="00E4209C" w:rsidRPr="00E4209C">
        <w:rPr>
          <w:rFonts w:cs="Arial"/>
          <w:sz w:val="22"/>
          <w:szCs w:val="22"/>
          <w:lang w:val="en-GB"/>
        </w:rPr>
        <w:t xml:space="preserve"> and medium sized insu</w:t>
      </w:r>
      <w:r>
        <w:rPr>
          <w:rFonts w:cs="Arial"/>
          <w:sz w:val="22"/>
          <w:szCs w:val="22"/>
          <w:lang w:val="en-GB"/>
        </w:rPr>
        <w:t>rance and reinsurance companies</w:t>
      </w:r>
      <w:r w:rsidR="00E4209C" w:rsidRPr="00E4209C">
        <w:rPr>
          <w:rFonts w:cs="Arial"/>
          <w:sz w:val="22"/>
          <w:szCs w:val="22"/>
          <w:lang w:val="en-GB"/>
        </w:rPr>
        <w:t xml:space="preserve"> the trading obligation may hinder the appropriate use </w:t>
      </w:r>
      <w:r w:rsidR="00E4209C">
        <w:rPr>
          <w:rFonts w:cs="Arial"/>
          <w:sz w:val="22"/>
          <w:szCs w:val="22"/>
          <w:lang w:val="en-GB"/>
        </w:rPr>
        <w:t>of derivatives. Thus, the proper fulfilment of their obligations to their clients may be jeopardised or at least hampered.</w:t>
      </w:r>
    </w:p>
    <w:p w14:paraId="34CE8534" w14:textId="5797A2FA" w:rsidR="00E4209C" w:rsidRPr="00E4209C" w:rsidRDefault="001473DE" w:rsidP="00601D51">
      <w:pPr>
        <w:pStyle w:val="SN-ZFassungtxt-10ptZA-genau-14pthand"/>
        <w:numPr>
          <w:ilvl w:val="0"/>
          <w:numId w:val="18"/>
        </w:numPr>
        <w:rPr>
          <w:rFonts w:cs="Arial"/>
          <w:sz w:val="22"/>
          <w:szCs w:val="22"/>
          <w:lang w:val="en-GB"/>
        </w:rPr>
      </w:pPr>
      <w:r>
        <w:rPr>
          <w:rFonts w:cs="Arial"/>
          <w:sz w:val="22"/>
          <w:szCs w:val="22"/>
          <w:lang w:val="en-GB"/>
        </w:rPr>
        <w:t>We are of the opinion</w:t>
      </w:r>
      <w:r w:rsidR="00E4209C">
        <w:rPr>
          <w:rFonts w:cs="Arial"/>
          <w:sz w:val="22"/>
          <w:szCs w:val="22"/>
          <w:lang w:val="en-GB"/>
        </w:rPr>
        <w:t xml:space="preserve"> that the alignment of the trading obligation with the clearing obligation is the proper way to ensure the reasonable use of derivatives in the interest of </w:t>
      </w:r>
      <w:r w:rsidR="00F07C65">
        <w:rPr>
          <w:rFonts w:cs="Arial"/>
          <w:sz w:val="22"/>
          <w:szCs w:val="22"/>
          <w:lang w:val="en-GB"/>
        </w:rPr>
        <w:t>insurers’</w:t>
      </w:r>
      <w:r w:rsidR="00E4209C">
        <w:rPr>
          <w:rFonts w:cs="Arial"/>
          <w:sz w:val="22"/>
          <w:szCs w:val="22"/>
          <w:lang w:val="en-GB"/>
        </w:rPr>
        <w:t xml:space="preserve"> clients.</w:t>
      </w:r>
      <w:r w:rsidR="00F07C65">
        <w:rPr>
          <w:rFonts w:cs="Arial"/>
          <w:sz w:val="22"/>
          <w:szCs w:val="22"/>
          <w:lang w:val="en-GB"/>
        </w:rPr>
        <w:t xml:space="preserve"> This is especially true for small and medium sized insurance and reinsurance companies.</w:t>
      </w:r>
    </w:p>
    <w:p w14:paraId="5F51B3CD" w14:textId="77777777" w:rsidR="00601D51" w:rsidRPr="00601D51" w:rsidRDefault="00601D51" w:rsidP="00601D51">
      <w:pPr>
        <w:pStyle w:val="SN-ZFassungtxt-10ptZA-genau-14pthand"/>
        <w:ind w:left="360"/>
        <w:rPr>
          <w:rFonts w:cs="Arial"/>
          <w:sz w:val="22"/>
          <w:szCs w:val="22"/>
          <w:lang w:val="en-GB"/>
        </w:rPr>
      </w:pP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49B115D9" w14:textId="65626AD2" w:rsidR="00E077F1" w:rsidRDefault="00E4209C" w:rsidP="00E077F1">
      <w:pPr>
        <w:rPr>
          <w:rFonts w:ascii="Arial" w:hAnsi="Arial" w:cs="Arial"/>
        </w:rPr>
      </w:pPr>
      <w:permStart w:id="324010314" w:edGrp="everyone"/>
      <w:r>
        <w:rPr>
          <w:rFonts w:ascii="Arial" w:hAnsi="Arial" w:cs="Arial"/>
        </w:rPr>
        <w:t>No.</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0A3F6051" w14:textId="6F88A19B" w:rsidR="00E077F1" w:rsidRDefault="00E4209C" w:rsidP="00E077F1">
      <w:pPr>
        <w:rPr>
          <w:rFonts w:ascii="Arial" w:hAnsi="Arial" w:cs="Arial"/>
        </w:rPr>
      </w:pPr>
      <w:permStart w:id="47650440" w:edGrp="everyone"/>
      <w:r>
        <w:rPr>
          <w:rFonts w:ascii="Arial" w:hAnsi="Arial" w:cs="Arial"/>
        </w:rPr>
        <w:t>No.</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4057C761" w14:textId="0A53C12E" w:rsidR="00E077F1" w:rsidRDefault="005C2053" w:rsidP="00E077F1">
      <w:pPr>
        <w:rPr>
          <w:rFonts w:ascii="Arial" w:hAnsi="Arial" w:cs="Arial"/>
        </w:rPr>
      </w:pPr>
      <w:permStart w:id="621416345" w:edGrp="everyone"/>
      <w:r>
        <w:rPr>
          <w:rFonts w:ascii="Arial" w:hAnsi="Arial" w:cs="Arial"/>
        </w:rPr>
        <w:t>n/a</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6D996B76" w14:textId="2FDCDECB" w:rsidR="00E077F1" w:rsidRDefault="005C2053" w:rsidP="00E077F1">
      <w:pPr>
        <w:rPr>
          <w:rFonts w:ascii="Arial" w:hAnsi="Arial" w:cs="Arial"/>
        </w:rPr>
      </w:pPr>
      <w:permStart w:id="659042240" w:edGrp="everyone"/>
      <w:r>
        <w:rPr>
          <w:rFonts w:ascii="Arial" w:hAnsi="Arial" w:cs="Arial"/>
        </w:rPr>
        <w:t xml:space="preserve">The GDV recognises that compliance with the DTO is less burdensome than compliance with the CO. Nevertheless compliance with DTO remains </w:t>
      </w:r>
      <w:r w:rsidR="00F07C65">
        <w:rPr>
          <w:rFonts w:ascii="Arial" w:hAnsi="Arial" w:cs="Arial"/>
        </w:rPr>
        <w:t>costly</w:t>
      </w:r>
      <w:r>
        <w:rPr>
          <w:rFonts w:ascii="Arial" w:hAnsi="Arial" w:cs="Arial"/>
        </w:rPr>
        <w:t xml:space="preserve"> and may restrict the access for small and medium sized insurance and reins</w:t>
      </w:r>
      <w:r w:rsidR="00DB30D3">
        <w:rPr>
          <w:rFonts w:ascii="Arial" w:hAnsi="Arial" w:cs="Arial"/>
        </w:rPr>
        <w:t xml:space="preserve">urance companies to derivatives. Furthermore compliance with DTO creates </w:t>
      </w:r>
      <w:r w:rsidR="00F07C65">
        <w:rPr>
          <w:rFonts w:ascii="Arial" w:hAnsi="Arial" w:cs="Arial"/>
        </w:rPr>
        <w:t xml:space="preserve">additional expenditures for </w:t>
      </w:r>
      <w:r w:rsidR="00DB30D3">
        <w:rPr>
          <w:rFonts w:ascii="Arial" w:hAnsi="Arial" w:cs="Arial"/>
        </w:rPr>
        <w:t>companies that</w:t>
      </w:r>
      <w:r w:rsidR="00F07C65">
        <w:rPr>
          <w:rFonts w:ascii="Arial" w:hAnsi="Arial" w:cs="Arial"/>
        </w:rPr>
        <w:t xml:space="preserve"> would</w:t>
      </w:r>
      <w:r w:rsidR="00DB30D3">
        <w:rPr>
          <w:rFonts w:ascii="Arial" w:hAnsi="Arial" w:cs="Arial"/>
        </w:rPr>
        <w:t xml:space="preserve"> possibly increase the prize </w:t>
      </w:r>
      <w:r w:rsidR="00F07C65">
        <w:rPr>
          <w:rFonts w:ascii="Arial" w:hAnsi="Arial" w:cs="Arial"/>
        </w:rPr>
        <w:t>for</w:t>
      </w:r>
      <w:r w:rsidR="00DB30D3">
        <w:rPr>
          <w:rFonts w:ascii="Arial" w:hAnsi="Arial" w:cs="Arial"/>
        </w:rPr>
        <w:t xml:space="preserve"> insurance products.</w:t>
      </w: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14C5E097" w14:textId="38B03517" w:rsidR="00E077F1" w:rsidRDefault="00DB30D3" w:rsidP="00E077F1">
      <w:pPr>
        <w:rPr>
          <w:rFonts w:ascii="Arial" w:hAnsi="Arial" w:cs="Arial"/>
        </w:rPr>
      </w:pPr>
      <w:permStart w:id="1025193561" w:edGrp="everyone"/>
      <w:r>
        <w:rPr>
          <w:rFonts w:ascii="Arial" w:hAnsi="Arial" w:cs="Arial"/>
        </w:rPr>
        <w:t>GDV supports the given arguments.</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lastRenderedPageBreak/>
        <w:t>&lt;ESMA_QUESTION_AMER_6&gt;</w:t>
      </w:r>
    </w:p>
    <w:p w14:paraId="0F2FA78C" w14:textId="64B98EAF" w:rsidR="00E077F1" w:rsidRDefault="00DB30D3" w:rsidP="00E077F1">
      <w:pPr>
        <w:rPr>
          <w:rFonts w:ascii="Arial" w:hAnsi="Arial" w:cs="Arial"/>
        </w:rPr>
      </w:pPr>
      <w:permStart w:id="1276802614" w:edGrp="everyone"/>
      <w:r>
        <w:rPr>
          <w:rFonts w:ascii="Arial" w:hAnsi="Arial" w:cs="Arial"/>
        </w:rPr>
        <w:t>GDV</w:t>
      </w:r>
      <w:r w:rsidR="00F07C65">
        <w:rPr>
          <w:rFonts w:ascii="Arial" w:hAnsi="Arial" w:cs="Arial"/>
        </w:rPr>
        <w:t xml:space="preserve"> strongly supports the proposal due to the reasons </w:t>
      </w:r>
      <w:r w:rsidR="008D359D">
        <w:rPr>
          <w:rFonts w:ascii="Arial" w:hAnsi="Arial" w:cs="Arial"/>
        </w:rPr>
        <w:t>expressed</w:t>
      </w:r>
      <w:r w:rsidR="00F07C65">
        <w:rPr>
          <w:rFonts w:ascii="Arial" w:hAnsi="Arial" w:cs="Arial"/>
        </w:rPr>
        <w:t xml:space="preserve"> in question 4 of the response form. </w:t>
      </w:r>
      <w:bookmarkStart w:id="1" w:name="_GoBack"/>
      <w:bookmarkEnd w:id="1"/>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4015931C" w14:textId="1C54ACAE" w:rsidR="00E077F1" w:rsidRDefault="00F07C65" w:rsidP="00E077F1">
      <w:pPr>
        <w:rPr>
          <w:rFonts w:ascii="Arial" w:hAnsi="Arial" w:cs="Arial"/>
        </w:rPr>
      </w:pPr>
      <w:permStart w:id="1695236746" w:edGrp="everyone"/>
      <w:r>
        <w:rPr>
          <w:rFonts w:ascii="Arial" w:hAnsi="Arial" w:cs="Arial"/>
        </w:rPr>
        <w:t xml:space="preserve">GDV is neutral </w:t>
      </w:r>
      <w:r w:rsidR="00DB30D3">
        <w:rPr>
          <w:rFonts w:ascii="Arial" w:hAnsi="Arial" w:cs="Arial"/>
        </w:rPr>
        <w:t xml:space="preserve">on this topic </w:t>
      </w:r>
      <w:r>
        <w:rPr>
          <w:rFonts w:ascii="Arial" w:hAnsi="Arial" w:cs="Arial"/>
        </w:rPr>
        <w:t>a</w:t>
      </w:r>
      <w:r w:rsidR="00EC014A">
        <w:rPr>
          <w:rFonts w:ascii="Arial" w:hAnsi="Arial" w:cs="Arial"/>
        </w:rPr>
        <w:t>lthough</w:t>
      </w:r>
      <w:r w:rsidR="00DB30D3">
        <w:rPr>
          <w:rFonts w:ascii="Arial" w:hAnsi="Arial" w:cs="Arial"/>
        </w:rPr>
        <w:t xml:space="preserve"> we consider the arguments raised by ESMA as relevant.</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542DFFB4" w14:textId="16C4A4A8" w:rsidR="00E077F1" w:rsidRDefault="00DB30D3" w:rsidP="00E077F1">
      <w:pPr>
        <w:rPr>
          <w:rFonts w:ascii="Arial" w:hAnsi="Arial" w:cs="Arial"/>
        </w:rPr>
      </w:pPr>
      <w:permStart w:id="302062860" w:edGrp="everyone"/>
      <w:r>
        <w:rPr>
          <w:rFonts w:ascii="Arial" w:hAnsi="Arial" w:cs="Arial"/>
        </w:rPr>
        <w:t>No.</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p w14:paraId="56791EE6" w14:textId="77777777" w:rsidR="00E077F1" w:rsidRDefault="00E077F1" w:rsidP="00C1698A">
      <w:pPr>
        <w:spacing w:line="276" w:lineRule="auto"/>
        <w:rPr>
          <w:rFonts w:asciiTheme="minorHAnsi" w:hAnsiTheme="minorHAnsi" w:cstheme="minorHAnsi"/>
          <w:b/>
          <w:sz w:val="28"/>
          <w:szCs w:val="28"/>
        </w:rPr>
      </w:pPr>
    </w:p>
    <w:bookmarkEnd w:id="0"/>
    <w:sectPr w:rsidR="00E077F1"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3CAB16BB" w:rsidR="00E36813" w:rsidRPr="00514DFA" w:rsidRDefault="00E36813" w:rsidP="007A160F">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8D359D">
          <w:rPr>
            <w:noProof/>
          </w:rPr>
          <w:t>6</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A02"/>
    <w:multiLevelType w:val="hybridMultilevel"/>
    <w:tmpl w:val="3AE4A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D12A2A"/>
    <w:multiLevelType w:val="hybridMultilevel"/>
    <w:tmpl w:val="9C7481D0"/>
    <w:lvl w:ilvl="0" w:tplc="10D874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9"/>
  </w:num>
  <w:num w:numId="6">
    <w:abstractNumId w:val="13"/>
  </w:num>
  <w:num w:numId="7">
    <w:abstractNumId w:val="8"/>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473D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1F5A29"/>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8AE"/>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053"/>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1D5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359D"/>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050"/>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5EA0"/>
    <w:rsid w:val="00DA648D"/>
    <w:rsid w:val="00DA726D"/>
    <w:rsid w:val="00DB30D3"/>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09C"/>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014A"/>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07C65"/>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ZFassungtxt-10ptZA-genau-14pthand">
    <w:name w:val="SN-ZFassung_txt-10pt_ZA-genau-14pt_hand"/>
    <w:basedOn w:val="Standard"/>
    <w:rsid w:val="00996050"/>
    <w:pPr>
      <w:spacing w:line="280" w:lineRule="exact"/>
    </w:pPr>
    <w:rPr>
      <w:rFonts w:ascii="Arial" w:hAnsi="Arial"/>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ZFassungtxt-10ptZA-genau-14pthand">
    <w:name w:val="SN-ZFassung_txt-10pt_ZA-genau-14pt_hand"/>
    <w:basedOn w:val="Standard"/>
    <w:rsid w:val="00996050"/>
    <w:pPr>
      <w:spacing w:line="280" w:lineRule="exact"/>
    </w:pPr>
    <w:rPr>
      <w:rFonts w:ascii="Arial" w:hAnsi="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EC9B6DF6-B5F2-4732-A376-2D9F87CA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7</Pages>
  <Words>1000</Words>
  <Characters>6300</Characters>
  <Application>Microsoft Office Word</Application>
  <DocSecurity>8</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Pilous, Michael</cp:lastModifiedBy>
  <cp:revision>2</cp:revision>
  <cp:lastPrinted>2017-07-24T14:47:00Z</cp:lastPrinted>
  <dcterms:created xsi:type="dcterms:W3CDTF">2019-11-20T08:39:00Z</dcterms:created>
  <dcterms:modified xsi:type="dcterms:W3CDTF">2019-11-20T08:39:00Z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