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rPr>
        <w:id w:val="-973058580"/>
        <w:docPartObj>
          <w:docPartGallery w:val="Cover Pages"/>
          <w:docPartUnique/>
        </w:docPartObj>
      </w:sdt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7EFF292E" w14:textId="36B52825" w:rsidR="00363639" w:rsidRDefault="00CB26B8" w:rsidP="00363639">
                <w:pPr>
                  <w:pStyle w:val="Subtitle"/>
                  <w:rPr>
                    <w:rFonts w:cs="Arial"/>
                  </w:rPr>
                </w:pPr>
                <w:r>
                  <w:rPr>
                    <w:rFonts w:cs="Arial"/>
                  </w:rPr>
                  <w:t>Alignment of MiFIR with the changes introduced by EMIR Refit</w:t>
                </w:r>
              </w:p>
              <w:p w14:paraId="26CF3934" w14:textId="4EE33F45" w:rsidR="00AB6157" w:rsidRPr="00B8572C" w:rsidRDefault="00AB6157" w:rsidP="00AB6157">
                <w:pPr>
                  <w:pStyle w:val="Heading2"/>
                  <w:numPr>
                    <w:ilvl w:val="0"/>
                    <w:numId w:val="0"/>
                  </w:numPr>
                  <w:ind w:left="576" w:hanging="576"/>
                </w:pP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10FB09AA"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220938" w:rsidRPr="00220938">
            <w:rPr>
              <w:rFonts w:asciiTheme="minorHAnsi" w:eastAsiaTheme="minorEastAsia" w:hAnsiTheme="minorHAnsi" w:cstheme="minorBidi"/>
              <w:sz w:val="22"/>
              <w:szCs w:val="20"/>
              <w:lang w:eastAsia="en-US"/>
            </w:rPr>
            <w:t>III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51DFFA28"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2D118A">
            <w:rPr>
              <w:rFonts w:asciiTheme="minorHAnsi" w:eastAsiaTheme="minorEastAsia" w:hAnsiTheme="minorHAnsi" w:cstheme="minorBidi"/>
              <w:sz w:val="22"/>
              <w:szCs w:val="20"/>
              <w:lang w:eastAsia="en-US"/>
            </w:rPr>
            <w:t>ESMA</w:t>
          </w:r>
          <w:r w:rsidRPr="00AB6157">
            <w:rPr>
              <w:rFonts w:asciiTheme="minorHAnsi" w:eastAsiaTheme="minorEastAsia" w:hAnsiTheme="minorHAnsi" w:cstheme="minorBidi"/>
              <w:sz w:val="22"/>
              <w:szCs w:val="20"/>
              <w:lang w:eastAsia="en-US"/>
            </w:rPr>
            <w:t xml:space="preserve"> will consider all comments received </w:t>
          </w:r>
          <w:r w:rsidRPr="002D118A">
            <w:rPr>
              <w:rFonts w:asciiTheme="minorHAnsi" w:eastAsiaTheme="minorEastAsia" w:hAnsiTheme="minorHAnsi" w:cstheme="minorBidi"/>
              <w:sz w:val="22"/>
              <w:szCs w:val="20"/>
              <w:lang w:eastAsia="en-US"/>
            </w:rPr>
            <w:t xml:space="preserve">by </w:t>
          </w:r>
          <w:r w:rsidR="00CB26B8">
            <w:rPr>
              <w:rFonts w:asciiTheme="minorHAnsi" w:eastAsiaTheme="minorEastAsia" w:hAnsiTheme="minorHAnsi" w:cstheme="minorBidi"/>
              <w:b/>
              <w:sz w:val="22"/>
              <w:szCs w:val="20"/>
              <w:lang w:eastAsia="en-US"/>
            </w:rPr>
            <w:t>22</w:t>
          </w:r>
          <w:r w:rsidRPr="002D118A">
            <w:rPr>
              <w:rFonts w:asciiTheme="minorHAnsi" w:eastAsiaTheme="minorEastAsia" w:hAnsiTheme="minorHAnsi" w:cstheme="minorBidi"/>
              <w:b/>
              <w:sz w:val="22"/>
              <w:szCs w:val="20"/>
              <w:lang w:eastAsia="en-US"/>
            </w:rPr>
            <w:t xml:space="preserve"> </w:t>
          </w:r>
          <w:r w:rsidR="00CB26B8">
            <w:rPr>
              <w:rFonts w:asciiTheme="minorHAnsi" w:eastAsiaTheme="minorEastAsia" w:hAnsiTheme="minorHAnsi" w:cstheme="minorBidi"/>
              <w:b/>
              <w:sz w:val="22"/>
              <w:szCs w:val="20"/>
              <w:lang w:eastAsia="en-US"/>
            </w:rPr>
            <w:t xml:space="preserve">November </w:t>
          </w:r>
          <w:r w:rsidRPr="002D118A">
            <w:rPr>
              <w:rFonts w:asciiTheme="minorHAnsi" w:eastAsiaTheme="minorEastAsia" w:hAnsiTheme="minorHAnsi" w:cstheme="minorBidi"/>
              <w:b/>
              <w:sz w:val="22"/>
              <w:szCs w:val="20"/>
              <w:lang w:eastAsia="en-US"/>
            </w:rPr>
            <w:t>2019.</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6BA2D46D"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ED78CD">
            <w:rPr>
              <w:rFonts w:eastAsiaTheme="minorEastAsia" w:cstheme="minorBidi"/>
              <w:szCs w:val="20"/>
              <w:lang w:eastAsia="en-US"/>
            </w:rPr>
            <w:t>AMER</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3CFD46F2"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ED78CD">
            <w:rPr>
              <w:rFonts w:eastAsiaTheme="minorEastAsia" w:cstheme="minorBidi"/>
              <w:szCs w:val="20"/>
              <w:lang w:eastAsia="en-US"/>
            </w:rPr>
            <w:t>AMER</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ED78CD">
            <w:rPr>
              <w:rFonts w:eastAsiaTheme="minorEastAsia" w:cstheme="minorBidi"/>
              <w:szCs w:val="20"/>
              <w:lang w:eastAsia="en-US"/>
            </w:rPr>
            <w:t>AMER</w:t>
          </w:r>
          <w:r w:rsidRPr="00C85C8B">
            <w:rPr>
              <w:rFonts w:eastAsiaTheme="minorEastAsia" w:cstheme="minorBidi"/>
              <w:szCs w:val="20"/>
              <w:lang w:eastAsia="en-US"/>
            </w:rPr>
            <w:t>_ABCD_RESPONSEFORM.</w:t>
          </w:r>
        </w:p>
        <w:p w14:paraId="1A9C59D6" w14:textId="34F7EAAE"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AB6157">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24BBA7EC"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sdtContent>
    </w:sdt>
    <w:p w14:paraId="4E25D9A8" w14:textId="77777777" w:rsidR="00CB26B8" w:rsidRPr="00CB26B8" w:rsidRDefault="00CB26B8" w:rsidP="00CB26B8">
      <w:pPr>
        <w:rPr>
          <w:rFonts w:asciiTheme="minorHAnsi" w:eastAsiaTheme="minorEastAsia" w:hAnsiTheme="minorHAnsi" w:cstheme="minorBidi"/>
          <w:sz w:val="22"/>
          <w:szCs w:val="20"/>
          <w:lang w:eastAsia="en-US"/>
        </w:rPr>
      </w:pPr>
      <w:r w:rsidRPr="00CB26B8">
        <w:rPr>
          <w:rFonts w:asciiTheme="minorHAnsi" w:eastAsiaTheme="minorEastAsia" w:hAnsiTheme="minorHAnsi" w:cstheme="minorBidi"/>
          <w:sz w:val="22"/>
          <w:szCs w:val="20"/>
          <w:lang w:eastAsia="en-US"/>
        </w:rPr>
        <w:t>This document is of interest mainly to financial and non-financial counterparties which are subject to the trading obligation under MiFIR and/or to the clearing obligation under EMIR.</w:t>
      </w:r>
    </w:p>
    <w:p w14:paraId="20AC791C" w14:textId="77777777" w:rsidR="00AF2EF7" w:rsidRPr="00CB26B8" w:rsidRDefault="00AF2EF7" w:rsidP="00AF2EF7">
      <w:pPr>
        <w:spacing w:after="120" w:line="276" w:lineRule="auto"/>
        <w:rPr>
          <w:rFonts w:asciiTheme="minorHAnsi" w:eastAsiaTheme="minorEastAsia" w:hAnsiTheme="minorHAnsi" w:cstheme="minorBidi"/>
          <w:sz w:val="22"/>
          <w:szCs w:val="20"/>
          <w:lang w:eastAsia="en-US"/>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799B1D7F" w:rsidR="00C85C8B" w:rsidRPr="00C85C8B" w:rsidRDefault="00A63021" w:rsidP="00C85C8B">
                <w:pPr>
                  <w:rPr>
                    <w:rFonts w:ascii="Arial" w:hAnsi="Arial" w:cs="Arial"/>
                    <w:color w:val="808080"/>
                    <w:sz w:val="20"/>
                    <w:lang w:eastAsia="de-DE"/>
                  </w:rPr>
                </w:pPr>
                <w:r>
                  <w:rPr>
                    <w:rFonts w:ascii="Arial" w:hAnsi="Arial" w:cs="Arial"/>
                    <w:color w:val="808080"/>
                    <w:sz w:val="20"/>
                    <w:lang w:eastAsia="de-DE"/>
                  </w:rPr>
                  <w:t>European Fund and Asset Management Association (EFAMA)</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2386D2E5" w:rsidR="00C85C8B" w:rsidRPr="00C85C8B" w:rsidRDefault="00A63021"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Pr>
                    <w:rFonts w:ascii="Arial" w:hAnsi="Arial" w:cs="Arial"/>
                    <w:sz w:val="20"/>
                    <w:lang w:eastAsia="de-DE"/>
                  </w:rPr>
                  <w:t>Investment Services</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166BB9DB" w:rsidR="00C85C8B" w:rsidRPr="00C85C8B" w:rsidRDefault="00A63021"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03AA6910" w:rsidR="00C85C8B" w:rsidRPr="00C85C8B" w:rsidRDefault="00A63021" w:rsidP="00C85C8B">
                <w:pPr>
                  <w:rPr>
                    <w:rFonts w:ascii="Arial" w:hAnsi="Arial" w:cs="Arial"/>
                    <w:sz w:val="20"/>
                    <w:lang w:eastAsia="de-DE"/>
                  </w:rPr>
                </w:pPr>
                <w:r>
                  <w:rPr>
                    <w:rFonts w:ascii="Arial" w:hAnsi="Arial" w:cs="Arial"/>
                    <w:sz w:val="20"/>
                    <w:lang w:eastAsia="de-DE"/>
                  </w:rPr>
                  <w:t>Belgium</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3C59A91B"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E077F1">
        <w:rPr>
          <w:rFonts w:asciiTheme="minorHAnsi" w:eastAsiaTheme="minorEastAsia" w:hAnsiTheme="minorHAnsi" w:cstheme="minorBidi"/>
          <w:sz w:val="22"/>
          <w:szCs w:val="20"/>
          <w:lang w:eastAsia="en-US"/>
        </w:rPr>
        <w:t>AMER</w:t>
      </w:r>
      <w:r w:rsidRPr="00C85C8B">
        <w:rPr>
          <w:rFonts w:asciiTheme="minorHAnsi" w:eastAsiaTheme="minorEastAsia" w:hAnsiTheme="minorHAnsi" w:cstheme="minorBidi"/>
          <w:sz w:val="22"/>
          <w:szCs w:val="20"/>
          <w:lang w:eastAsia="en-US"/>
        </w:rPr>
        <w:t>_1&gt;</w:t>
      </w:r>
    </w:p>
    <w:p w14:paraId="4FFCF068" w14:textId="77777777" w:rsidR="00A63021" w:rsidRPr="00104358" w:rsidRDefault="00A63021" w:rsidP="00B76FA0">
      <w:pPr>
        <w:spacing w:line="276" w:lineRule="auto"/>
        <w:rPr>
          <w:rFonts w:asciiTheme="minorHAnsi" w:hAnsiTheme="minorHAnsi" w:cstheme="minorHAnsi"/>
          <w:sz w:val="22"/>
          <w:szCs w:val="22"/>
          <w:lang w:val="en-US"/>
        </w:rPr>
      </w:pPr>
      <w:permStart w:id="885457707" w:edGrp="everyone"/>
      <w:r w:rsidRPr="00104358">
        <w:rPr>
          <w:rFonts w:asciiTheme="minorHAnsi" w:hAnsiTheme="minorHAnsi" w:cstheme="minorHAnsi"/>
          <w:sz w:val="22"/>
          <w:szCs w:val="22"/>
          <w:lang w:val="en-US"/>
        </w:rPr>
        <w:t>EFAMA</w:t>
      </w:r>
      <w:r w:rsidRPr="00104358">
        <w:rPr>
          <w:rStyle w:val="FootnoteReference"/>
          <w:rFonts w:asciiTheme="minorHAnsi" w:hAnsiTheme="minorHAnsi" w:cstheme="minorHAnsi"/>
          <w:sz w:val="22"/>
          <w:szCs w:val="22"/>
          <w:lang w:val="en-US"/>
        </w:rPr>
        <w:footnoteReference w:id="2"/>
      </w:r>
      <w:r w:rsidRPr="00104358">
        <w:rPr>
          <w:rFonts w:asciiTheme="minorHAnsi" w:hAnsiTheme="minorHAnsi" w:cstheme="minorHAnsi"/>
          <w:sz w:val="22"/>
          <w:szCs w:val="22"/>
          <w:lang w:val="en-US"/>
        </w:rPr>
        <w:t xml:space="preserve"> welcomes </w:t>
      </w:r>
      <w:r w:rsidRPr="0006095A">
        <w:rPr>
          <w:rFonts w:asciiTheme="minorHAnsi" w:hAnsiTheme="minorHAnsi" w:cstheme="minorHAnsi"/>
          <w:sz w:val="22"/>
          <w:szCs w:val="22"/>
          <w:lang w:val="en-US"/>
        </w:rPr>
        <w:t xml:space="preserve">ESMA’s analysis and fully supports ESMA’s conclusions on the necessity of aligning the DTO under </w:t>
      </w:r>
      <w:proofErr w:type="spellStart"/>
      <w:r w:rsidRPr="0006095A">
        <w:rPr>
          <w:rFonts w:asciiTheme="minorHAnsi" w:hAnsiTheme="minorHAnsi" w:cstheme="minorHAnsi"/>
          <w:sz w:val="22"/>
          <w:szCs w:val="22"/>
          <w:lang w:val="en-US"/>
        </w:rPr>
        <w:t>MiFIR</w:t>
      </w:r>
      <w:proofErr w:type="spellEnd"/>
      <w:r w:rsidRPr="0006095A">
        <w:rPr>
          <w:rFonts w:asciiTheme="minorHAnsi" w:hAnsiTheme="minorHAnsi" w:cstheme="minorHAnsi"/>
          <w:sz w:val="22"/>
          <w:szCs w:val="22"/>
          <w:lang w:val="en-US"/>
        </w:rPr>
        <w:t xml:space="preserve"> with changes to the CO made under EMIR Refit</w:t>
      </w:r>
      <w:r w:rsidRPr="00104358">
        <w:rPr>
          <w:rFonts w:asciiTheme="minorHAnsi" w:hAnsiTheme="minorHAnsi" w:cstheme="minorHAnsi"/>
          <w:sz w:val="22"/>
          <w:szCs w:val="22"/>
          <w:lang w:val="en-US"/>
        </w:rPr>
        <w:t>.</w:t>
      </w:r>
    </w:p>
    <w:p w14:paraId="359FB2A7" w14:textId="77777777" w:rsidR="00A63021" w:rsidRPr="00104358" w:rsidRDefault="00A63021" w:rsidP="00B76FA0">
      <w:pPr>
        <w:spacing w:line="276" w:lineRule="auto"/>
        <w:rPr>
          <w:rFonts w:asciiTheme="minorHAnsi" w:hAnsiTheme="minorHAnsi" w:cstheme="minorHAnsi"/>
          <w:sz w:val="22"/>
          <w:szCs w:val="22"/>
          <w:lang w:val="en-US"/>
        </w:rPr>
      </w:pPr>
    </w:p>
    <w:p w14:paraId="4A958796" w14:textId="77777777" w:rsidR="00A63021" w:rsidRPr="00104358" w:rsidRDefault="00A63021" w:rsidP="00B76FA0">
      <w:pPr>
        <w:spacing w:line="276" w:lineRule="auto"/>
        <w:rPr>
          <w:rFonts w:asciiTheme="minorHAnsi" w:hAnsiTheme="minorHAnsi" w:cstheme="minorHAnsi"/>
          <w:sz w:val="22"/>
          <w:szCs w:val="22"/>
          <w:lang w:val="en-US"/>
        </w:rPr>
      </w:pPr>
      <w:r w:rsidRPr="00104358">
        <w:rPr>
          <w:rFonts w:asciiTheme="minorHAnsi" w:hAnsiTheme="minorHAnsi" w:cstheme="minorHAnsi"/>
          <w:sz w:val="22"/>
          <w:szCs w:val="22"/>
          <w:lang w:val="en-US"/>
        </w:rPr>
        <w:t xml:space="preserve">We consider however that, thanks to the successful implementation of </w:t>
      </w:r>
      <w:r>
        <w:rPr>
          <w:rFonts w:asciiTheme="minorHAnsi" w:hAnsiTheme="minorHAnsi" w:cstheme="minorHAnsi"/>
          <w:sz w:val="22"/>
          <w:szCs w:val="22"/>
          <w:lang w:val="en-US"/>
        </w:rPr>
        <w:t xml:space="preserve">the </w:t>
      </w:r>
      <w:r w:rsidRPr="00104358">
        <w:rPr>
          <w:rFonts w:asciiTheme="minorHAnsi" w:hAnsiTheme="minorHAnsi" w:cstheme="minorHAnsi"/>
          <w:sz w:val="22"/>
          <w:szCs w:val="22"/>
          <w:lang w:val="en-US"/>
        </w:rPr>
        <w:t xml:space="preserve">EMIR clearing obligation </w:t>
      </w:r>
      <w:r>
        <w:rPr>
          <w:rFonts w:asciiTheme="minorHAnsi" w:hAnsiTheme="minorHAnsi" w:cstheme="minorHAnsi"/>
          <w:sz w:val="22"/>
          <w:szCs w:val="22"/>
          <w:lang w:val="en-US"/>
        </w:rPr>
        <w:t xml:space="preserve">and </w:t>
      </w:r>
      <w:r w:rsidRPr="00104358">
        <w:rPr>
          <w:rFonts w:asciiTheme="minorHAnsi" w:hAnsiTheme="minorHAnsi" w:cstheme="minorHAnsi"/>
          <w:sz w:val="22"/>
          <w:szCs w:val="22"/>
          <w:lang w:val="en-US"/>
        </w:rPr>
        <w:t xml:space="preserve">the risk mitigations techniques, the DTO could be removed entirely. </w:t>
      </w:r>
    </w:p>
    <w:p w14:paraId="657F53F1" w14:textId="77777777" w:rsidR="00A63021" w:rsidRPr="00104358" w:rsidRDefault="00A63021" w:rsidP="00B76FA0">
      <w:pPr>
        <w:spacing w:line="276" w:lineRule="auto"/>
        <w:rPr>
          <w:rFonts w:asciiTheme="minorHAnsi" w:hAnsiTheme="minorHAnsi" w:cstheme="minorHAnsi"/>
          <w:sz w:val="22"/>
          <w:szCs w:val="22"/>
          <w:lang w:val="en-US"/>
        </w:rPr>
      </w:pPr>
    </w:p>
    <w:p w14:paraId="60C42535" w14:textId="77777777" w:rsidR="00A63021" w:rsidRPr="00104358" w:rsidRDefault="00A63021" w:rsidP="00B76FA0">
      <w:pPr>
        <w:spacing w:line="276" w:lineRule="auto"/>
        <w:rPr>
          <w:rFonts w:asciiTheme="minorHAnsi" w:hAnsiTheme="minorHAnsi" w:cstheme="minorHAnsi"/>
          <w:sz w:val="22"/>
          <w:szCs w:val="22"/>
          <w:lang w:val="en-US"/>
        </w:rPr>
      </w:pPr>
      <w:r w:rsidRPr="00104358">
        <w:rPr>
          <w:rFonts w:asciiTheme="minorHAnsi" w:hAnsiTheme="minorHAnsi" w:cstheme="minorHAnsi"/>
          <w:sz w:val="22"/>
          <w:szCs w:val="22"/>
          <w:lang w:val="en-US"/>
        </w:rPr>
        <w:t xml:space="preserve">Should ESMA decide to maintain the DTO, we </w:t>
      </w:r>
      <w:r>
        <w:rPr>
          <w:rFonts w:asciiTheme="minorHAnsi" w:hAnsiTheme="minorHAnsi" w:cstheme="minorHAnsi"/>
          <w:sz w:val="22"/>
          <w:szCs w:val="22"/>
          <w:lang w:val="en-US"/>
        </w:rPr>
        <w:t>would recommend</w:t>
      </w:r>
      <w:r w:rsidRPr="00104358">
        <w:rPr>
          <w:rFonts w:asciiTheme="minorHAnsi" w:hAnsiTheme="minorHAnsi" w:cstheme="minorHAnsi"/>
          <w:sz w:val="22"/>
          <w:szCs w:val="22"/>
          <w:lang w:val="en-US"/>
        </w:rPr>
        <w:t xml:space="preserve"> to:  </w:t>
      </w:r>
    </w:p>
    <w:p w14:paraId="5FD4483B" w14:textId="77777777" w:rsidR="00A63021" w:rsidRPr="00104358" w:rsidRDefault="00A63021" w:rsidP="00A63021">
      <w:pPr>
        <w:pStyle w:val="ListParagraph"/>
        <w:numPr>
          <w:ilvl w:val="0"/>
          <w:numId w:val="18"/>
        </w:numPr>
        <w:tabs>
          <w:tab w:val="clear" w:pos="0"/>
          <w:tab w:val="clear" w:pos="142"/>
          <w:tab w:val="clear" w:pos="284"/>
          <w:tab w:val="clear" w:pos="567"/>
        </w:tabs>
        <w:autoSpaceDE/>
        <w:autoSpaceDN/>
        <w:adjustRightInd/>
        <w:spacing w:line="276" w:lineRule="auto"/>
        <w:contextualSpacing/>
        <w:jc w:val="left"/>
        <w:rPr>
          <w:lang w:val="en-US"/>
        </w:rPr>
      </w:pPr>
      <w:r w:rsidRPr="00104358">
        <w:rPr>
          <w:lang w:val="en-US"/>
        </w:rPr>
        <w:t>Suppress the DTO for SFC and NFC, to ensure alignment with EMIR Refit; and</w:t>
      </w:r>
    </w:p>
    <w:p w14:paraId="15D00E65" w14:textId="6DE3E170" w:rsidR="00C85C8B" w:rsidRPr="00C85C8B" w:rsidRDefault="00A63021" w:rsidP="00C85C8B">
      <w:pPr>
        <w:spacing w:after="250" w:line="276" w:lineRule="auto"/>
        <w:jc w:val="both"/>
        <w:rPr>
          <w:rFonts w:asciiTheme="minorHAnsi" w:eastAsiaTheme="minorEastAsia" w:hAnsiTheme="minorHAnsi" w:cstheme="minorBidi"/>
          <w:sz w:val="22"/>
          <w:szCs w:val="20"/>
          <w:lang w:eastAsia="en-US"/>
        </w:rPr>
      </w:pPr>
      <w:r w:rsidRPr="00104358">
        <w:rPr>
          <w:rFonts w:asciiTheme="minorHAnsi" w:hAnsiTheme="minorHAnsi" w:cstheme="minorHAnsi"/>
          <w:sz w:val="22"/>
          <w:szCs w:val="22"/>
          <w:lang w:val="en-US"/>
        </w:rPr>
        <w:t>Suspend automatically the DTO when the CO is suspended</w:t>
      </w:r>
      <w:permEnd w:id="885457707"/>
      <w:r w:rsidR="00C85C8B" w:rsidRPr="00C85C8B">
        <w:rPr>
          <w:rFonts w:asciiTheme="minorHAnsi" w:eastAsiaTheme="minorEastAsia" w:hAnsiTheme="minorHAnsi" w:cstheme="minorBidi"/>
          <w:sz w:val="22"/>
          <w:szCs w:val="20"/>
          <w:lang w:eastAsia="en-US"/>
        </w:rPr>
        <w:t>&lt;ESMA_COMMENT_</w:t>
      </w:r>
      <w:r w:rsidR="00E077F1">
        <w:rPr>
          <w:rFonts w:asciiTheme="minorHAnsi" w:eastAsiaTheme="minorEastAsia" w:hAnsiTheme="minorHAnsi" w:cs="Arial"/>
          <w:sz w:val="22"/>
          <w:szCs w:val="20"/>
          <w:lang w:eastAsia="en-US"/>
        </w:rPr>
        <w:t>AMER</w:t>
      </w:r>
      <w:r w:rsidR="00C85C8B"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lastRenderedPageBreak/>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89A1E31" w14:textId="31138F9C" w:rsidR="00AB6157" w:rsidRDefault="00AB6157" w:rsidP="00C1698A">
      <w:pPr>
        <w:spacing w:line="276" w:lineRule="auto"/>
        <w:rPr>
          <w:rFonts w:asciiTheme="minorHAnsi" w:hAnsiTheme="minorHAnsi" w:cstheme="minorHAnsi"/>
          <w:b/>
          <w:sz w:val="28"/>
          <w:szCs w:val="28"/>
        </w:rPr>
      </w:pPr>
    </w:p>
    <w:p w14:paraId="623CE6BD" w14:textId="77777777" w:rsidR="00E077F1" w:rsidRDefault="00E077F1" w:rsidP="00E077F1">
      <w:pPr>
        <w:pStyle w:val="Questionstyle"/>
        <w:numPr>
          <w:ilvl w:val="0"/>
          <w:numId w:val="17"/>
        </w:numPr>
        <w:spacing w:after="250" w:line="276" w:lineRule="auto"/>
      </w:pPr>
      <w:r>
        <w:t>: Do you have any comment on the analysis of the amendments in relation to financial counterparties?</w:t>
      </w:r>
    </w:p>
    <w:p w14:paraId="556CCAE8" w14:textId="77777777" w:rsidR="00E077F1" w:rsidRDefault="00E077F1" w:rsidP="00E077F1">
      <w:pPr>
        <w:rPr>
          <w:rFonts w:ascii="Arial" w:hAnsi="Arial" w:cs="Arial"/>
        </w:rPr>
      </w:pPr>
      <w:r>
        <w:rPr>
          <w:rFonts w:ascii="Arial" w:hAnsi="Arial" w:cs="Arial"/>
        </w:rPr>
        <w:t>&lt;ESMA_QUESTION_AMER_1&gt;</w:t>
      </w:r>
    </w:p>
    <w:p w14:paraId="7CE6EEC4" w14:textId="77777777" w:rsidR="00A63021" w:rsidRPr="00785B8B" w:rsidRDefault="00A63021" w:rsidP="00B76FA0">
      <w:pPr>
        <w:spacing w:line="276" w:lineRule="auto"/>
        <w:jc w:val="both"/>
        <w:rPr>
          <w:rFonts w:asciiTheme="minorHAnsi" w:hAnsiTheme="minorHAnsi" w:cstheme="minorHAnsi"/>
          <w:sz w:val="22"/>
          <w:szCs w:val="22"/>
          <w:lang w:val="en-US"/>
        </w:rPr>
      </w:pPr>
      <w:permStart w:id="324010314" w:edGrp="everyone"/>
      <w:r w:rsidRPr="00785B8B">
        <w:rPr>
          <w:rFonts w:asciiTheme="minorHAnsi" w:hAnsiTheme="minorHAnsi" w:cstheme="minorHAnsi"/>
          <w:sz w:val="22"/>
          <w:szCs w:val="22"/>
          <w:lang w:val="en-US"/>
        </w:rPr>
        <w:t xml:space="preserve">EFAMA </w:t>
      </w:r>
      <w:bookmarkStart w:id="1" w:name="_Hlk25331050"/>
      <w:r w:rsidRPr="00785B8B">
        <w:rPr>
          <w:rFonts w:asciiTheme="minorHAnsi" w:hAnsiTheme="minorHAnsi" w:cstheme="minorHAnsi"/>
          <w:sz w:val="22"/>
          <w:szCs w:val="22"/>
          <w:lang w:val="en-US"/>
        </w:rPr>
        <w:t>shares ESMA</w:t>
      </w:r>
      <w:r>
        <w:rPr>
          <w:rFonts w:asciiTheme="minorHAnsi" w:hAnsiTheme="minorHAnsi" w:cstheme="minorHAnsi"/>
          <w:sz w:val="22"/>
          <w:szCs w:val="22"/>
          <w:lang w:val="en-US"/>
        </w:rPr>
        <w:t>’s</w:t>
      </w:r>
      <w:r w:rsidRPr="00785B8B">
        <w:rPr>
          <w:rFonts w:asciiTheme="minorHAnsi" w:hAnsiTheme="minorHAnsi" w:cstheme="minorHAnsi"/>
          <w:sz w:val="22"/>
          <w:szCs w:val="22"/>
          <w:lang w:val="en-US"/>
        </w:rPr>
        <w:t xml:space="preserve"> analysis and fully supports ESMA</w:t>
      </w:r>
      <w:r>
        <w:rPr>
          <w:rFonts w:asciiTheme="minorHAnsi" w:hAnsiTheme="minorHAnsi" w:cstheme="minorHAnsi"/>
          <w:sz w:val="22"/>
          <w:szCs w:val="22"/>
          <w:lang w:val="en-US"/>
        </w:rPr>
        <w:t>’s</w:t>
      </w:r>
      <w:r w:rsidRPr="00785B8B">
        <w:rPr>
          <w:rFonts w:asciiTheme="minorHAnsi" w:hAnsiTheme="minorHAnsi" w:cstheme="minorHAnsi"/>
          <w:sz w:val="22"/>
          <w:szCs w:val="22"/>
          <w:lang w:val="en-US"/>
        </w:rPr>
        <w:t xml:space="preserve"> conclusions on the necessity of aligning the DTO under </w:t>
      </w:r>
      <w:proofErr w:type="spellStart"/>
      <w:r w:rsidRPr="00785B8B">
        <w:rPr>
          <w:rFonts w:asciiTheme="minorHAnsi" w:hAnsiTheme="minorHAnsi" w:cstheme="minorHAnsi"/>
          <w:sz w:val="22"/>
          <w:szCs w:val="22"/>
          <w:lang w:val="en-US"/>
        </w:rPr>
        <w:t>MiFIR</w:t>
      </w:r>
      <w:proofErr w:type="spellEnd"/>
      <w:r w:rsidRPr="00785B8B">
        <w:rPr>
          <w:rFonts w:asciiTheme="minorHAnsi" w:hAnsiTheme="minorHAnsi" w:cstheme="minorHAnsi"/>
          <w:sz w:val="22"/>
          <w:szCs w:val="22"/>
          <w:lang w:val="en-US"/>
        </w:rPr>
        <w:t xml:space="preserve"> with changes to the CO made under EMIR Refit.</w:t>
      </w:r>
      <w:bookmarkEnd w:id="1"/>
    </w:p>
    <w:p w14:paraId="4262DD59" w14:textId="77777777" w:rsidR="00A63021" w:rsidRPr="00785B8B" w:rsidRDefault="00A63021" w:rsidP="00B76FA0">
      <w:pPr>
        <w:spacing w:line="276" w:lineRule="auto"/>
        <w:jc w:val="both"/>
        <w:rPr>
          <w:rFonts w:asciiTheme="minorHAnsi" w:hAnsiTheme="minorHAnsi" w:cstheme="minorHAnsi"/>
          <w:sz w:val="22"/>
          <w:szCs w:val="22"/>
          <w:lang w:val="en-US"/>
        </w:rPr>
      </w:pPr>
    </w:p>
    <w:p w14:paraId="65D2865B" w14:textId="77777777" w:rsidR="00A63021" w:rsidRPr="00785B8B" w:rsidRDefault="00A63021" w:rsidP="00B76FA0">
      <w:pPr>
        <w:spacing w:line="276" w:lineRule="auto"/>
        <w:jc w:val="both"/>
        <w:rPr>
          <w:rFonts w:asciiTheme="minorHAnsi" w:hAnsiTheme="minorHAnsi" w:cstheme="minorHAnsi"/>
          <w:sz w:val="22"/>
          <w:szCs w:val="22"/>
          <w:lang w:val="en-US"/>
        </w:rPr>
      </w:pPr>
      <w:r w:rsidRPr="00785B8B">
        <w:rPr>
          <w:rFonts w:asciiTheme="minorHAnsi" w:hAnsiTheme="minorHAnsi" w:cstheme="minorHAnsi"/>
          <w:sz w:val="22"/>
          <w:szCs w:val="22"/>
          <w:lang w:val="en-US"/>
        </w:rPr>
        <w:t xml:space="preserve">We also consider that, </w:t>
      </w:r>
      <w:bookmarkStart w:id="2" w:name="_Hlk25329575"/>
      <w:r>
        <w:rPr>
          <w:rFonts w:asciiTheme="minorHAnsi" w:hAnsiTheme="minorHAnsi" w:cstheme="minorHAnsi"/>
          <w:sz w:val="22"/>
          <w:szCs w:val="22"/>
          <w:lang w:val="en-US"/>
        </w:rPr>
        <w:t>thanks to</w:t>
      </w:r>
      <w:r w:rsidRPr="00785B8B">
        <w:rPr>
          <w:rFonts w:asciiTheme="minorHAnsi" w:hAnsiTheme="minorHAnsi" w:cstheme="minorHAnsi"/>
          <w:sz w:val="22"/>
          <w:szCs w:val="22"/>
          <w:lang w:val="en-US"/>
        </w:rPr>
        <w:t xml:space="preserve"> the successful implementation of EMIR clearing obligation </w:t>
      </w:r>
      <w:r>
        <w:rPr>
          <w:rFonts w:asciiTheme="minorHAnsi" w:hAnsiTheme="minorHAnsi" w:cstheme="minorHAnsi"/>
          <w:sz w:val="22"/>
          <w:szCs w:val="22"/>
          <w:lang w:val="en-US"/>
        </w:rPr>
        <w:t>and</w:t>
      </w:r>
      <w:r w:rsidRPr="00785B8B">
        <w:rPr>
          <w:rFonts w:asciiTheme="minorHAnsi" w:hAnsiTheme="minorHAnsi" w:cstheme="minorHAnsi"/>
          <w:sz w:val="22"/>
          <w:szCs w:val="22"/>
          <w:lang w:val="en-US"/>
        </w:rPr>
        <w:t xml:space="preserve"> the risk mitigations techniques, the DTO </w:t>
      </w:r>
      <w:r>
        <w:rPr>
          <w:rFonts w:asciiTheme="minorHAnsi" w:hAnsiTheme="minorHAnsi" w:cstheme="minorHAnsi"/>
          <w:sz w:val="22"/>
          <w:szCs w:val="22"/>
          <w:lang w:val="en-US"/>
        </w:rPr>
        <w:t>c</w:t>
      </w:r>
      <w:r w:rsidRPr="00785B8B">
        <w:rPr>
          <w:rFonts w:asciiTheme="minorHAnsi" w:hAnsiTheme="minorHAnsi" w:cstheme="minorHAnsi"/>
          <w:sz w:val="22"/>
          <w:szCs w:val="22"/>
          <w:lang w:val="en-US"/>
        </w:rPr>
        <w:t xml:space="preserve">ould be removed entirely </w:t>
      </w:r>
      <w:bookmarkEnd w:id="2"/>
      <w:r w:rsidRPr="00785B8B">
        <w:rPr>
          <w:rFonts w:asciiTheme="minorHAnsi" w:hAnsiTheme="minorHAnsi" w:cstheme="minorHAnsi"/>
          <w:sz w:val="22"/>
          <w:szCs w:val="22"/>
          <w:lang w:val="en-US"/>
        </w:rPr>
        <w:t xml:space="preserve">as: </w:t>
      </w:r>
    </w:p>
    <w:p w14:paraId="587947E5" w14:textId="77777777" w:rsidR="00A63021" w:rsidRPr="00785B8B" w:rsidRDefault="00A63021" w:rsidP="00B76FA0">
      <w:pPr>
        <w:spacing w:line="276" w:lineRule="auto"/>
        <w:jc w:val="both"/>
        <w:rPr>
          <w:rFonts w:asciiTheme="minorHAnsi" w:hAnsiTheme="minorHAnsi" w:cstheme="minorHAnsi"/>
          <w:sz w:val="22"/>
          <w:szCs w:val="22"/>
          <w:lang w:val="en-US"/>
        </w:rPr>
      </w:pPr>
    </w:p>
    <w:p w14:paraId="3FC7F92E" w14:textId="77777777" w:rsidR="00A63021" w:rsidRPr="00785B8B" w:rsidRDefault="00A63021" w:rsidP="00A63021">
      <w:pPr>
        <w:pStyle w:val="ListParagraph"/>
        <w:numPr>
          <w:ilvl w:val="0"/>
          <w:numId w:val="19"/>
        </w:numPr>
        <w:tabs>
          <w:tab w:val="clear" w:pos="0"/>
          <w:tab w:val="clear" w:pos="142"/>
          <w:tab w:val="clear" w:pos="284"/>
          <w:tab w:val="clear" w:pos="567"/>
        </w:tabs>
        <w:autoSpaceDE/>
        <w:autoSpaceDN/>
        <w:adjustRightInd/>
        <w:spacing w:line="276" w:lineRule="auto"/>
        <w:contextualSpacing/>
        <w:rPr>
          <w:lang w:val="en-US"/>
        </w:rPr>
      </w:pPr>
      <w:r w:rsidRPr="00785B8B">
        <w:rPr>
          <w:lang w:val="en-US"/>
        </w:rPr>
        <w:t xml:space="preserve">DTO is creating undue complexity as CCPs are the counterparties to each party in a clearable derivatives transaction, ensuring execution of the transaction in a systemic risk-free OTC derivatives market; </w:t>
      </w:r>
    </w:p>
    <w:p w14:paraId="75AF1D25" w14:textId="77777777" w:rsidR="00A63021" w:rsidRPr="00104358" w:rsidRDefault="00A63021" w:rsidP="00A63021">
      <w:pPr>
        <w:pStyle w:val="ListParagraph"/>
        <w:numPr>
          <w:ilvl w:val="0"/>
          <w:numId w:val="19"/>
        </w:numPr>
        <w:tabs>
          <w:tab w:val="clear" w:pos="0"/>
          <w:tab w:val="clear" w:pos="142"/>
          <w:tab w:val="clear" w:pos="284"/>
          <w:tab w:val="clear" w:pos="567"/>
        </w:tabs>
        <w:autoSpaceDE/>
        <w:autoSpaceDN/>
        <w:adjustRightInd/>
        <w:spacing w:line="276" w:lineRule="auto"/>
        <w:contextualSpacing/>
        <w:rPr>
          <w:lang w:val="en-US"/>
        </w:rPr>
      </w:pPr>
      <w:r w:rsidRPr="00785B8B">
        <w:rPr>
          <w:lang w:val="en-US"/>
        </w:rPr>
        <w:t>Imposing a Trading Obligation on transactions that are centrally cleared would potentially lead CCPs to become venues or members of a venue, with all the additional capital requirements that would supersede the ones requested from CCPs</w:t>
      </w:r>
      <w:r>
        <w:rPr>
          <w:lang w:val="en-US"/>
        </w:rPr>
        <w:t>; and</w:t>
      </w:r>
    </w:p>
    <w:p w14:paraId="59FE0090" w14:textId="77777777" w:rsidR="00A63021" w:rsidRPr="00104358" w:rsidRDefault="00A63021" w:rsidP="00A63021">
      <w:pPr>
        <w:pStyle w:val="ListParagraph"/>
        <w:numPr>
          <w:ilvl w:val="0"/>
          <w:numId w:val="19"/>
        </w:numPr>
        <w:tabs>
          <w:tab w:val="clear" w:pos="0"/>
          <w:tab w:val="clear" w:pos="142"/>
          <w:tab w:val="clear" w:pos="284"/>
          <w:tab w:val="clear" w:pos="567"/>
        </w:tabs>
        <w:autoSpaceDE/>
        <w:autoSpaceDN/>
        <w:adjustRightInd/>
        <w:spacing w:line="276" w:lineRule="auto"/>
        <w:contextualSpacing/>
        <w:rPr>
          <w:lang w:val="en-US"/>
        </w:rPr>
      </w:pPr>
      <w:r w:rsidRPr="00104358">
        <w:t>in the context of the updated clearing obligation under EMIR Refit, small financial counterparties (e.g. UCITS/AIF) are required by exceeding the clearing threshold for at least one class of OTC derivatives (e.g. FX) to comply with the clearing obligation for all classes of OTC derivatives. However, some of the relevant clearing eligible asset classes are not subject to the EMIR clearing obligation. ESMA has not mandated such asset classes to the DTO, especially Foreign Exchange derivatives are not mandated for the clearing obligation</w:t>
      </w:r>
      <w:r>
        <w:t>.</w:t>
      </w:r>
      <w:r w:rsidRPr="00104358">
        <w:t xml:space="preserve">  Highly regulated investment funds use Foreign Exchange</w:t>
      </w:r>
      <w:r>
        <w:t xml:space="preserve"> derivatives</w:t>
      </w:r>
      <w:r w:rsidRPr="00104358">
        <w:t xml:space="preserve"> in their investment portfolios to hedge their position or for investment purposes</w:t>
      </w:r>
      <w:r w:rsidRPr="00104358">
        <w:rPr>
          <w:lang w:val="en-US"/>
        </w:rPr>
        <w:t>.</w:t>
      </w:r>
    </w:p>
    <w:p w14:paraId="0068725A" w14:textId="77777777" w:rsidR="00A63021" w:rsidRPr="00785B8B" w:rsidRDefault="00A63021" w:rsidP="00B76FA0">
      <w:pPr>
        <w:spacing w:line="276" w:lineRule="auto"/>
        <w:jc w:val="both"/>
        <w:rPr>
          <w:rFonts w:asciiTheme="minorHAnsi" w:hAnsiTheme="minorHAnsi" w:cstheme="minorHAnsi"/>
          <w:sz w:val="22"/>
          <w:szCs w:val="22"/>
          <w:lang w:val="en-US"/>
        </w:rPr>
      </w:pPr>
    </w:p>
    <w:p w14:paraId="41F79899" w14:textId="77777777" w:rsidR="00A63021" w:rsidRPr="00785B8B" w:rsidRDefault="00A63021" w:rsidP="00B76FA0">
      <w:pPr>
        <w:spacing w:line="276" w:lineRule="auto"/>
        <w:jc w:val="both"/>
        <w:rPr>
          <w:rFonts w:asciiTheme="minorHAnsi" w:hAnsiTheme="minorHAnsi" w:cstheme="minorHAnsi"/>
          <w:sz w:val="22"/>
          <w:szCs w:val="22"/>
          <w:lang w:val="en-US"/>
        </w:rPr>
      </w:pPr>
      <w:r w:rsidRPr="00785B8B">
        <w:rPr>
          <w:rFonts w:asciiTheme="minorHAnsi" w:hAnsiTheme="minorHAnsi" w:cstheme="minorHAnsi"/>
          <w:sz w:val="22"/>
          <w:szCs w:val="22"/>
        </w:rPr>
        <w:t xml:space="preserve">Should the DTO be </w:t>
      </w:r>
      <w:r>
        <w:rPr>
          <w:rFonts w:asciiTheme="minorHAnsi" w:hAnsiTheme="minorHAnsi" w:cstheme="minorHAnsi"/>
          <w:sz w:val="22"/>
          <w:szCs w:val="22"/>
        </w:rPr>
        <w:t xml:space="preserve">nevertheless </w:t>
      </w:r>
      <w:r w:rsidRPr="00785B8B">
        <w:rPr>
          <w:rFonts w:asciiTheme="minorHAnsi" w:hAnsiTheme="minorHAnsi" w:cstheme="minorHAnsi"/>
          <w:sz w:val="22"/>
          <w:szCs w:val="22"/>
        </w:rPr>
        <w:t>applied,</w:t>
      </w:r>
      <w:r w:rsidRPr="00785B8B">
        <w:rPr>
          <w:rFonts w:asciiTheme="minorHAnsi" w:hAnsiTheme="minorHAnsi" w:cstheme="minorHAnsi"/>
          <w:sz w:val="22"/>
          <w:szCs w:val="22"/>
          <w:lang w:val="en-US"/>
        </w:rPr>
        <w:t xml:space="preserve"> FC- should be exempted from the DTO, in application of EMIR Refit.</w:t>
      </w:r>
    </w:p>
    <w:p w14:paraId="52A5FE5F" w14:textId="77777777" w:rsidR="00A63021" w:rsidRPr="00785B8B" w:rsidRDefault="00A63021" w:rsidP="00B76FA0">
      <w:pPr>
        <w:spacing w:line="276" w:lineRule="auto"/>
        <w:jc w:val="both"/>
        <w:rPr>
          <w:rFonts w:asciiTheme="minorHAnsi" w:hAnsiTheme="minorHAnsi" w:cstheme="minorHAnsi"/>
          <w:sz w:val="22"/>
          <w:szCs w:val="22"/>
          <w:lang w:val="en-US"/>
        </w:rPr>
      </w:pPr>
    </w:p>
    <w:p w14:paraId="29A0116E" w14:textId="451C741A" w:rsidR="00E077F1" w:rsidRDefault="00A63021" w:rsidP="00E077F1">
      <w:pPr>
        <w:rPr>
          <w:rFonts w:ascii="Arial" w:hAnsi="Arial" w:cs="Arial"/>
        </w:rPr>
      </w:pPr>
      <w:r w:rsidRPr="00785B8B">
        <w:rPr>
          <w:rFonts w:asciiTheme="minorHAnsi" w:hAnsiTheme="minorHAnsi" w:cstheme="minorHAnsi"/>
          <w:sz w:val="22"/>
          <w:szCs w:val="22"/>
          <w:lang w:val="en-US"/>
        </w:rPr>
        <w:t xml:space="preserve">Lastly, we would recommend that ESMA use identical terminology across legislations to identify counterparties, especially Financial Counterparties (“FC”) and small financial counterparties. The notions of FC+ and FC- proposed by ESMA </w:t>
      </w:r>
      <w:r>
        <w:rPr>
          <w:rFonts w:asciiTheme="minorHAnsi" w:hAnsiTheme="minorHAnsi" w:cstheme="minorHAnsi"/>
          <w:sz w:val="22"/>
          <w:szCs w:val="22"/>
          <w:lang w:val="en-US"/>
        </w:rPr>
        <w:t>could create</w:t>
      </w:r>
      <w:r w:rsidRPr="00785B8B">
        <w:rPr>
          <w:rFonts w:asciiTheme="minorHAnsi" w:hAnsiTheme="minorHAnsi" w:cstheme="minorHAnsi"/>
          <w:sz w:val="22"/>
          <w:szCs w:val="22"/>
          <w:lang w:val="en-US"/>
        </w:rPr>
        <w:t xml:space="preserve"> confusion as they are not currently defined in any text. Therefore, we recommend adding the definition of a FC in the MiFID definitions to create a cross reference</w:t>
      </w:r>
      <w:permEnd w:id="324010314"/>
      <w:r w:rsidR="00E077F1">
        <w:rPr>
          <w:rFonts w:ascii="Arial" w:hAnsi="Arial" w:cs="Arial"/>
        </w:rPr>
        <w:t>&lt;ESMA_QUESTION_AMER_1&gt;</w:t>
      </w:r>
    </w:p>
    <w:p w14:paraId="7CC97C81" w14:textId="77777777" w:rsidR="00E077F1" w:rsidRDefault="00E077F1" w:rsidP="00E077F1">
      <w:pPr>
        <w:rPr>
          <w:rFonts w:ascii="Arial" w:hAnsi="Arial" w:cs="Arial"/>
        </w:rPr>
      </w:pPr>
    </w:p>
    <w:p w14:paraId="58BA4F02" w14:textId="77777777" w:rsidR="00E077F1" w:rsidRDefault="00E077F1" w:rsidP="00E077F1">
      <w:pPr>
        <w:pStyle w:val="Questionstyle"/>
        <w:numPr>
          <w:ilvl w:val="0"/>
          <w:numId w:val="17"/>
        </w:numPr>
        <w:spacing w:after="250" w:line="276" w:lineRule="auto"/>
        <w:rPr>
          <w:rFonts w:ascii="Arial" w:hAnsi="Arial" w:cs="Arial"/>
        </w:rPr>
      </w:pPr>
      <w:r>
        <w:t>Do you have any comment on the analysis of the amendments in relation to non-financial counterparties?</w:t>
      </w:r>
    </w:p>
    <w:p w14:paraId="7E75DA29" w14:textId="77777777" w:rsidR="00E077F1" w:rsidRDefault="00E077F1" w:rsidP="00E077F1">
      <w:pPr>
        <w:rPr>
          <w:rFonts w:ascii="Arial" w:hAnsi="Arial" w:cs="Arial"/>
        </w:rPr>
      </w:pPr>
      <w:r>
        <w:rPr>
          <w:rFonts w:ascii="Arial" w:hAnsi="Arial" w:cs="Arial"/>
        </w:rPr>
        <w:t>&lt;ESMA_QUESTION_AMER_2&gt;</w:t>
      </w:r>
    </w:p>
    <w:p w14:paraId="66808FA2" w14:textId="77777777" w:rsidR="00A63021" w:rsidRPr="00785B8B" w:rsidRDefault="00A63021" w:rsidP="00A63021">
      <w:pPr>
        <w:spacing w:line="276" w:lineRule="auto"/>
        <w:jc w:val="both"/>
        <w:rPr>
          <w:rFonts w:asciiTheme="minorHAnsi" w:hAnsiTheme="minorHAnsi" w:cstheme="minorHAnsi"/>
          <w:sz w:val="22"/>
          <w:szCs w:val="22"/>
          <w:lang w:val="en-US"/>
        </w:rPr>
      </w:pPr>
      <w:permStart w:id="47650440" w:edGrp="everyone"/>
      <w:r w:rsidRPr="00785B8B">
        <w:rPr>
          <w:rFonts w:asciiTheme="minorHAnsi" w:hAnsiTheme="minorHAnsi" w:cstheme="minorHAnsi"/>
          <w:sz w:val="22"/>
          <w:szCs w:val="22"/>
          <w:lang w:val="en-US"/>
        </w:rPr>
        <w:t>We agree with ESMA</w:t>
      </w:r>
      <w:r>
        <w:rPr>
          <w:rFonts w:asciiTheme="minorHAnsi" w:hAnsiTheme="minorHAnsi" w:cstheme="minorHAnsi"/>
          <w:sz w:val="22"/>
          <w:szCs w:val="22"/>
          <w:lang w:val="en-US"/>
        </w:rPr>
        <w:t>’s</w:t>
      </w:r>
      <w:r w:rsidRPr="00785B8B">
        <w:rPr>
          <w:rFonts w:asciiTheme="minorHAnsi" w:hAnsiTheme="minorHAnsi" w:cstheme="minorHAnsi"/>
          <w:sz w:val="22"/>
          <w:szCs w:val="22"/>
          <w:lang w:val="en-US"/>
        </w:rPr>
        <w:t xml:space="preserve"> analysis in relation to non-financial counterparties.</w:t>
      </w:r>
    </w:p>
    <w:permEnd w:id="47650440"/>
    <w:p w14:paraId="3C5EBBFF" w14:textId="77777777" w:rsidR="00E077F1" w:rsidRDefault="00E077F1" w:rsidP="00E077F1">
      <w:pPr>
        <w:rPr>
          <w:rFonts w:ascii="Arial" w:hAnsi="Arial" w:cs="Arial"/>
        </w:rPr>
      </w:pPr>
      <w:r>
        <w:rPr>
          <w:rFonts w:ascii="Arial" w:hAnsi="Arial" w:cs="Arial"/>
        </w:rPr>
        <w:t>&lt;ESMA_QUESTION_AMER_2&gt;</w:t>
      </w:r>
    </w:p>
    <w:p w14:paraId="195F04CC" w14:textId="77777777" w:rsidR="00E077F1" w:rsidRDefault="00E077F1" w:rsidP="00E077F1">
      <w:pPr>
        <w:rPr>
          <w:rFonts w:ascii="Arial" w:hAnsi="Arial" w:cs="Arial"/>
        </w:rPr>
      </w:pPr>
    </w:p>
    <w:p w14:paraId="6D47D3CF" w14:textId="77777777" w:rsidR="00E077F1" w:rsidRDefault="00E077F1" w:rsidP="00E077F1">
      <w:pPr>
        <w:pStyle w:val="Questionstyle"/>
        <w:numPr>
          <w:ilvl w:val="0"/>
          <w:numId w:val="17"/>
        </w:numPr>
        <w:spacing w:after="250" w:line="276" w:lineRule="auto"/>
        <w:rPr>
          <w:rFonts w:ascii="Arial" w:hAnsi="Arial" w:cs="Arial"/>
        </w:rPr>
      </w:pPr>
      <w:r>
        <w:t>: What is your view on the possible development of on-venue trading for contracts not cleared with a CCP? What are the challenges for the trading venues? What are the challenges for the counterparties exempted from the CO and subject to the DTO?</w:t>
      </w:r>
    </w:p>
    <w:p w14:paraId="779593E6" w14:textId="77777777" w:rsidR="00E077F1" w:rsidRDefault="00E077F1" w:rsidP="00E077F1">
      <w:pPr>
        <w:rPr>
          <w:rFonts w:ascii="Arial" w:hAnsi="Arial" w:cs="Arial"/>
        </w:rPr>
      </w:pPr>
      <w:r>
        <w:rPr>
          <w:rFonts w:ascii="Arial" w:hAnsi="Arial" w:cs="Arial"/>
        </w:rPr>
        <w:lastRenderedPageBreak/>
        <w:t>&lt;ESMA_QUESTION_AMER_3&gt;</w:t>
      </w:r>
    </w:p>
    <w:p w14:paraId="677E1DF9" w14:textId="77777777" w:rsidR="00A63021" w:rsidRPr="00785B8B" w:rsidRDefault="00A63021" w:rsidP="00A63021">
      <w:pPr>
        <w:spacing w:line="276" w:lineRule="auto"/>
        <w:jc w:val="both"/>
        <w:rPr>
          <w:rFonts w:asciiTheme="minorHAnsi" w:hAnsiTheme="minorHAnsi" w:cstheme="minorHAnsi"/>
          <w:sz w:val="22"/>
          <w:szCs w:val="22"/>
          <w:lang w:val="en-US"/>
        </w:rPr>
      </w:pPr>
      <w:permStart w:id="621416345" w:edGrp="everyone"/>
      <w:r w:rsidRPr="00785B8B">
        <w:rPr>
          <w:rFonts w:asciiTheme="minorHAnsi" w:hAnsiTheme="minorHAnsi" w:cstheme="minorHAnsi"/>
          <w:sz w:val="22"/>
          <w:szCs w:val="22"/>
          <w:lang w:val="en-US"/>
        </w:rPr>
        <w:t xml:space="preserve">As referred </w:t>
      </w:r>
      <w:r>
        <w:rPr>
          <w:rFonts w:asciiTheme="minorHAnsi" w:hAnsiTheme="minorHAnsi" w:cstheme="minorHAnsi"/>
          <w:sz w:val="22"/>
          <w:szCs w:val="22"/>
          <w:lang w:val="en-US"/>
        </w:rPr>
        <w:t xml:space="preserve">to </w:t>
      </w:r>
      <w:r w:rsidRPr="00785B8B">
        <w:rPr>
          <w:rFonts w:asciiTheme="minorHAnsi" w:hAnsiTheme="minorHAnsi" w:cstheme="minorHAnsi"/>
          <w:sz w:val="22"/>
          <w:szCs w:val="22"/>
          <w:lang w:val="en-US"/>
        </w:rPr>
        <w:t>in this consultation, we welcome the ESMA statement dated 12 July 2019 on the interim period regarding the DTO following the entry into force of EMIR Refit. In that perspective, we would suggest including the elements referred in the point</w:t>
      </w:r>
      <w:r>
        <w:rPr>
          <w:rFonts w:asciiTheme="minorHAnsi" w:hAnsiTheme="minorHAnsi" w:cstheme="minorHAnsi"/>
          <w:sz w:val="22"/>
          <w:szCs w:val="22"/>
          <w:lang w:val="en-US"/>
        </w:rPr>
        <w:t>s</w:t>
      </w:r>
      <w:r w:rsidRPr="00785B8B">
        <w:rPr>
          <w:rFonts w:asciiTheme="minorHAnsi" w:hAnsiTheme="minorHAnsi" w:cstheme="minorHAnsi"/>
          <w:sz w:val="22"/>
          <w:szCs w:val="22"/>
          <w:lang w:val="en-US"/>
        </w:rPr>
        <w:t xml:space="preserve"> 24 and 25 of the consultation paper in the ESMA Q&amp;A on EMIR.</w:t>
      </w:r>
    </w:p>
    <w:p w14:paraId="6C50C713" w14:textId="77777777" w:rsidR="00A63021" w:rsidRPr="00785B8B" w:rsidRDefault="00A63021" w:rsidP="00A63021">
      <w:pPr>
        <w:spacing w:line="276" w:lineRule="auto"/>
        <w:jc w:val="both"/>
        <w:rPr>
          <w:rFonts w:asciiTheme="minorHAnsi" w:hAnsiTheme="minorHAnsi" w:cstheme="minorHAnsi"/>
          <w:sz w:val="22"/>
          <w:szCs w:val="22"/>
          <w:lang w:val="en-US"/>
        </w:rPr>
      </w:pPr>
    </w:p>
    <w:p w14:paraId="71F21A23" w14:textId="77777777" w:rsidR="00A63021" w:rsidRPr="00785B8B" w:rsidRDefault="00A63021" w:rsidP="00A63021">
      <w:pPr>
        <w:spacing w:line="276" w:lineRule="auto"/>
        <w:jc w:val="both"/>
        <w:rPr>
          <w:rFonts w:asciiTheme="minorHAnsi" w:hAnsiTheme="minorHAnsi" w:cstheme="minorHAnsi"/>
          <w:sz w:val="22"/>
          <w:szCs w:val="22"/>
          <w:lang w:val="en-US"/>
        </w:rPr>
      </w:pPr>
      <w:r w:rsidRPr="00785B8B">
        <w:rPr>
          <w:rFonts w:asciiTheme="minorHAnsi" w:hAnsiTheme="minorHAnsi" w:cstheme="minorHAnsi"/>
          <w:sz w:val="22"/>
          <w:szCs w:val="22"/>
          <w:lang w:val="en-US"/>
        </w:rPr>
        <w:t>Regarding the application of the DTO, we consider that the extension of the CO as modified by EMIR Refit should be automatically applicable to the DTO. This would support legal consistency and would be consistent with G20 requirement as the FSB recognizes the relevance to have a different treatment for counterparties representing a lower systemic risk. This approach would also respect the principle of proportionality in implemen</w:t>
      </w:r>
      <w:r>
        <w:rPr>
          <w:rFonts w:asciiTheme="minorHAnsi" w:hAnsiTheme="minorHAnsi" w:cstheme="minorHAnsi"/>
          <w:sz w:val="22"/>
          <w:szCs w:val="22"/>
          <w:lang w:val="en-US"/>
        </w:rPr>
        <w:t>ting</w:t>
      </w:r>
      <w:r w:rsidRPr="00785B8B">
        <w:rPr>
          <w:rFonts w:asciiTheme="minorHAnsi" w:hAnsiTheme="minorHAnsi" w:cstheme="minorHAnsi"/>
          <w:sz w:val="22"/>
          <w:szCs w:val="22"/>
          <w:lang w:val="en-US"/>
        </w:rPr>
        <w:t xml:space="preserve"> the legislation.</w:t>
      </w:r>
    </w:p>
    <w:p w14:paraId="6FE1A2D4" w14:textId="77777777" w:rsidR="00A63021" w:rsidRPr="00785B8B" w:rsidRDefault="00A63021" w:rsidP="00A63021">
      <w:pPr>
        <w:spacing w:line="276" w:lineRule="auto"/>
        <w:jc w:val="both"/>
        <w:rPr>
          <w:rFonts w:asciiTheme="minorHAnsi" w:hAnsiTheme="minorHAnsi" w:cstheme="minorHAnsi"/>
          <w:sz w:val="22"/>
          <w:szCs w:val="22"/>
          <w:lang w:val="en-US"/>
        </w:rPr>
      </w:pPr>
    </w:p>
    <w:p w14:paraId="3E30916E" w14:textId="77777777" w:rsidR="00A63021" w:rsidRPr="00785B8B" w:rsidRDefault="00A63021" w:rsidP="00A63021">
      <w:pPr>
        <w:spacing w:line="276" w:lineRule="auto"/>
        <w:jc w:val="both"/>
        <w:rPr>
          <w:rFonts w:asciiTheme="minorHAnsi" w:hAnsiTheme="minorHAnsi" w:cstheme="minorHAnsi"/>
          <w:sz w:val="22"/>
          <w:szCs w:val="22"/>
          <w:lang w:val="en-US"/>
        </w:rPr>
      </w:pPr>
      <w:r w:rsidRPr="00785B8B">
        <w:rPr>
          <w:rFonts w:asciiTheme="minorHAnsi" w:hAnsiTheme="minorHAnsi" w:cstheme="minorHAnsi"/>
          <w:sz w:val="22"/>
          <w:szCs w:val="22"/>
          <w:lang w:val="en-US"/>
        </w:rPr>
        <w:t xml:space="preserve">As </w:t>
      </w:r>
      <w:r>
        <w:rPr>
          <w:rFonts w:asciiTheme="minorHAnsi" w:hAnsiTheme="minorHAnsi" w:cstheme="minorHAnsi"/>
          <w:sz w:val="22"/>
          <w:szCs w:val="22"/>
          <w:lang w:val="en-US"/>
        </w:rPr>
        <w:t>mentioned</w:t>
      </w:r>
      <w:r w:rsidRPr="00785B8B">
        <w:rPr>
          <w:rFonts w:asciiTheme="minorHAnsi" w:hAnsiTheme="minorHAnsi" w:cstheme="minorHAnsi"/>
          <w:sz w:val="22"/>
          <w:szCs w:val="22"/>
          <w:lang w:val="en-US"/>
        </w:rPr>
        <w:t xml:space="preserve"> in our reply to question 4, we also consider that, should CO lead to DTO, CCPs would have to either become trading venues or members of venues. We do not believe that this is in line with the objectives neither of EMIR nor of </w:t>
      </w:r>
      <w:proofErr w:type="spellStart"/>
      <w:r w:rsidRPr="00785B8B">
        <w:rPr>
          <w:rFonts w:asciiTheme="minorHAnsi" w:hAnsiTheme="minorHAnsi" w:cstheme="minorHAnsi"/>
          <w:sz w:val="22"/>
          <w:szCs w:val="22"/>
          <w:lang w:val="en-US"/>
        </w:rPr>
        <w:t>MiFIR</w:t>
      </w:r>
      <w:proofErr w:type="spellEnd"/>
      <w:r w:rsidRPr="00785B8B">
        <w:rPr>
          <w:rFonts w:asciiTheme="minorHAnsi" w:hAnsiTheme="minorHAnsi" w:cstheme="minorHAnsi"/>
          <w:sz w:val="22"/>
          <w:szCs w:val="22"/>
          <w:lang w:val="en-US"/>
        </w:rPr>
        <w:t xml:space="preserve">. We would here again challenge the consistency of imposing DTO and would recommend authorities to abolish this obligation during the revision of </w:t>
      </w:r>
      <w:proofErr w:type="spellStart"/>
      <w:r w:rsidRPr="00785B8B">
        <w:rPr>
          <w:rFonts w:asciiTheme="minorHAnsi" w:hAnsiTheme="minorHAnsi" w:cstheme="minorHAnsi"/>
          <w:sz w:val="22"/>
          <w:szCs w:val="22"/>
          <w:lang w:val="en-US"/>
        </w:rPr>
        <w:t>MiFIR</w:t>
      </w:r>
      <w:proofErr w:type="spellEnd"/>
      <w:r w:rsidRPr="00785B8B">
        <w:rPr>
          <w:rFonts w:asciiTheme="minorHAnsi" w:hAnsiTheme="minorHAnsi" w:cstheme="minorHAnsi"/>
          <w:sz w:val="22"/>
          <w:szCs w:val="22"/>
          <w:lang w:val="en-US"/>
        </w:rPr>
        <w:t xml:space="preserve">. </w:t>
      </w:r>
    </w:p>
    <w:p w14:paraId="684810E2" w14:textId="77777777" w:rsidR="00A63021" w:rsidRPr="00785B8B" w:rsidRDefault="00A63021" w:rsidP="00A63021">
      <w:pPr>
        <w:spacing w:line="276" w:lineRule="auto"/>
        <w:jc w:val="both"/>
        <w:rPr>
          <w:rFonts w:asciiTheme="minorHAnsi" w:hAnsiTheme="minorHAnsi" w:cstheme="minorHAnsi"/>
          <w:sz w:val="22"/>
          <w:szCs w:val="22"/>
          <w:lang w:val="en-US"/>
        </w:rPr>
      </w:pPr>
    </w:p>
    <w:p w14:paraId="2FBCABD5" w14:textId="77777777" w:rsidR="00A63021" w:rsidRPr="00785B8B" w:rsidRDefault="00A63021" w:rsidP="00A63021">
      <w:pPr>
        <w:spacing w:line="276" w:lineRule="auto"/>
        <w:jc w:val="both"/>
        <w:rPr>
          <w:rFonts w:asciiTheme="minorHAnsi" w:hAnsiTheme="minorHAnsi" w:cstheme="minorHAnsi"/>
          <w:sz w:val="22"/>
          <w:szCs w:val="22"/>
          <w:lang w:val="en-US"/>
        </w:rPr>
      </w:pPr>
      <w:r w:rsidRPr="00785B8B">
        <w:rPr>
          <w:rFonts w:asciiTheme="minorHAnsi" w:hAnsiTheme="minorHAnsi" w:cstheme="minorHAnsi"/>
          <w:sz w:val="22"/>
          <w:szCs w:val="22"/>
          <w:lang w:val="en-US"/>
        </w:rPr>
        <w:t xml:space="preserve">In addition, we note that the current market infrastructure does not allow counterparties to electronically trade in a bilateral fashion. Trading venues would have to adapt themselves to offer such a bilateral form of trading. Counterparties such as FCs would therefore be obliged to centrally clear when electronically trading while benefitting from a clearing exemption. This creates an operational burden and imposes extra-costs as well as being in contradiction with the aim of EMIR Refit which was to reduce it. </w:t>
      </w:r>
    </w:p>
    <w:permEnd w:id="621416345"/>
    <w:p w14:paraId="0288B294" w14:textId="77777777" w:rsidR="00E077F1" w:rsidRDefault="00E077F1" w:rsidP="00E077F1">
      <w:pPr>
        <w:rPr>
          <w:rFonts w:ascii="Arial" w:hAnsi="Arial" w:cs="Arial"/>
        </w:rPr>
      </w:pPr>
      <w:r>
        <w:rPr>
          <w:rFonts w:ascii="Arial" w:hAnsi="Arial" w:cs="Arial"/>
        </w:rPr>
        <w:t>&lt;ESMA_QUESTION_AMER_3&gt;</w:t>
      </w:r>
    </w:p>
    <w:p w14:paraId="51377F2D" w14:textId="77777777" w:rsidR="00E077F1" w:rsidRDefault="00E077F1" w:rsidP="00E077F1">
      <w:pPr>
        <w:rPr>
          <w:rFonts w:ascii="Arial" w:hAnsi="Arial" w:cs="Arial"/>
        </w:rPr>
      </w:pPr>
    </w:p>
    <w:p w14:paraId="5916D005" w14:textId="77777777" w:rsidR="00E077F1" w:rsidRDefault="00E077F1" w:rsidP="00E077F1">
      <w:pPr>
        <w:pStyle w:val="Questionstyle"/>
        <w:numPr>
          <w:ilvl w:val="0"/>
          <w:numId w:val="17"/>
        </w:numPr>
        <w:spacing w:after="250" w:line="276" w:lineRule="auto"/>
        <w:rPr>
          <w:rFonts w:ascii="Arial" w:hAnsi="Arial" w:cs="Arial"/>
        </w:rPr>
      </w:pPr>
      <w:r>
        <w:t>: What is your view on the arguments exposed above, supporting the status quo i.e. a misalignment between the scope of counterparties subject to the CO and the DTO (G20 objectives, compliance with the DTO less burdensome than with the CO)? Can you identify other arguments?</w:t>
      </w:r>
    </w:p>
    <w:p w14:paraId="5B372529" w14:textId="77777777" w:rsidR="00E077F1" w:rsidRDefault="00E077F1" w:rsidP="00E077F1">
      <w:pPr>
        <w:rPr>
          <w:rFonts w:ascii="Arial" w:hAnsi="Arial" w:cs="Arial"/>
        </w:rPr>
      </w:pPr>
      <w:r>
        <w:rPr>
          <w:rFonts w:ascii="Arial" w:hAnsi="Arial" w:cs="Arial"/>
        </w:rPr>
        <w:t>&lt;ESMA_QUESTION_AMER_4&gt;</w:t>
      </w:r>
    </w:p>
    <w:p w14:paraId="3843F9A7" w14:textId="77777777" w:rsidR="00A63021" w:rsidRPr="00785B8B" w:rsidRDefault="00A63021" w:rsidP="00B76FA0">
      <w:pPr>
        <w:spacing w:line="276" w:lineRule="auto"/>
        <w:jc w:val="both"/>
        <w:rPr>
          <w:rFonts w:asciiTheme="minorHAnsi" w:hAnsiTheme="minorHAnsi" w:cstheme="minorHAnsi"/>
          <w:sz w:val="22"/>
          <w:szCs w:val="22"/>
          <w:lang w:val="en-US"/>
        </w:rPr>
      </w:pPr>
      <w:permStart w:id="659042240" w:edGrp="everyone"/>
      <w:r w:rsidRPr="00785B8B">
        <w:rPr>
          <w:rFonts w:asciiTheme="minorHAnsi" w:hAnsiTheme="minorHAnsi" w:cstheme="minorHAnsi"/>
          <w:sz w:val="22"/>
          <w:szCs w:val="22"/>
          <w:lang w:val="en-US"/>
        </w:rPr>
        <w:t>We would encourage ESMA to remove</w:t>
      </w:r>
      <w:r w:rsidRPr="00785B8B" w:rsidDel="00FE2D99">
        <w:rPr>
          <w:rFonts w:asciiTheme="minorHAnsi" w:hAnsiTheme="minorHAnsi" w:cstheme="minorHAnsi"/>
          <w:sz w:val="22"/>
          <w:szCs w:val="22"/>
          <w:lang w:val="en-US"/>
        </w:rPr>
        <w:t xml:space="preserve"> </w:t>
      </w:r>
      <w:r w:rsidRPr="00785B8B">
        <w:rPr>
          <w:rFonts w:asciiTheme="minorHAnsi" w:hAnsiTheme="minorHAnsi" w:cstheme="minorHAnsi"/>
          <w:sz w:val="22"/>
          <w:szCs w:val="22"/>
          <w:lang w:val="en-US"/>
        </w:rPr>
        <w:t>the DTO before it becomes enforceable. We consider that maintaining a misalignment would be contradictory with the goal of EMIR Refit of more proportionate, less burdensome regulation.</w:t>
      </w:r>
    </w:p>
    <w:p w14:paraId="22CD49F8" w14:textId="77777777" w:rsidR="00A63021" w:rsidRPr="00785B8B" w:rsidRDefault="00A63021" w:rsidP="00B76FA0">
      <w:pPr>
        <w:pStyle w:val="ListParagraph"/>
        <w:spacing w:line="276" w:lineRule="auto"/>
        <w:rPr>
          <w:lang w:val="en-US"/>
        </w:rPr>
      </w:pPr>
    </w:p>
    <w:p w14:paraId="31BC7857" w14:textId="4BDCDD01" w:rsidR="00E077F1" w:rsidRDefault="00A63021" w:rsidP="00E077F1">
      <w:pPr>
        <w:rPr>
          <w:rFonts w:ascii="Arial" w:hAnsi="Arial" w:cs="Arial"/>
        </w:rPr>
      </w:pPr>
      <w:r w:rsidRPr="00785B8B">
        <w:rPr>
          <w:rFonts w:asciiTheme="minorHAnsi" w:hAnsiTheme="minorHAnsi" w:cstheme="minorHAnsi"/>
          <w:sz w:val="22"/>
          <w:szCs w:val="22"/>
          <w:lang w:val="en-US"/>
        </w:rPr>
        <w:t xml:space="preserve">As </w:t>
      </w:r>
      <w:r>
        <w:rPr>
          <w:rFonts w:asciiTheme="minorHAnsi" w:hAnsiTheme="minorHAnsi" w:cstheme="minorHAnsi"/>
          <w:sz w:val="22"/>
          <w:szCs w:val="22"/>
          <w:lang w:val="en-US"/>
        </w:rPr>
        <w:t>mentioned</w:t>
      </w:r>
      <w:r w:rsidRPr="00785B8B">
        <w:rPr>
          <w:rFonts w:asciiTheme="minorHAnsi" w:hAnsiTheme="minorHAnsi" w:cstheme="minorHAnsi"/>
          <w:sz w:val="22"/>
          <w:szCs w:val="22"/>
          <w:lang w:val="en-US"/>
        </w:rPr>
        <w:t xml:space="preserve"> above, Market infrastructure</w:t>
      </w:r>
      <w:r>
        <w:rPr>
          <w:rFonts w:asciiTheme="minorHAnsi" w:hAnsiTheme="minorHAnsi" w:cstheme="minorHAnsi"/>
          <w:sz w:val="22"/>
          <w:szCs w:val="22"/>
          <w:lang w:val="en-US"/>
        </w:rPr>
        <w:t>s</w:t>
      </w:r>
      <w:r w:rsidRPr="00785B8B">
        <w:rPr>
          <w:rFonts w:asciiTheme="minorHAnsi" w:hAnsiTheme="minorHAnsi" w:cstheme="minorHAnsi"/>
          <w:sz w:val="22"/>
          <w:szCs w:val="22"/>
          <w:lang w:val="en-US"/>
        </w:rPr>
        <w:t xml:space="preserve"> do not provide a proper set</w:t>
      </w:r>
      <w:r>
        <w:rPr>
          <w:rFonts w:asciiTheme="minorHAnsi" w:hAnsiTheme="minorHAnsi" w:cstheme="minorHAnsi"/>
          <w:sz w:val="22"/>
          <w:szCs w:val="22"/>
          <w:lang w:val="en-US"/>
        </w:rPr>
        <w:t>-</w:t>
      </w:r>
      <w:r w:rsidRPr="00785B8B">
        <w:rPr>
          <w:rFonts w:asciiTheme="minorHAnsi" w:hAnsiTheme="minorHAnsi" w:cstheme="minorHAnsi"/>
          <w:sz w:val="22"/>
          <w:szCs w:val="22"/>
          <w:lang w:val="en-US"/>
        </w:rPr>
        <w:t xml:space="preserve">up to bilaterally trade on electronic platform and therefore we are not in favor of keeping a misalignment between the scope of counterparties subject to CO and DTO. Huge efforts have been undertaken by asset managers to onboard small financial counterparties for clearing. But the process to comply with this obligation was very heavy compared to the systemic risk represented by those counterparties. This has been recognized and lead to the exemption of clearing obligation for small financial counterparties under EMIR Refit. If such misalignment between </w:t>
      </w:r>
      <w:proofErr w:type="spellStart"/>
      <w:r w:rsidRPr="00785B8B">
        <w:rPr>
          <w:rFonts w:asciiTheme="minorHAnsi" w:hAnsiTheme="minorHAnsi" w:cstheme="minorHAnsi"/>
          <w:sz w:val="22"/>
          <w:szCs w:val="22"/>
          <w:lang w:val="en-US"/>
        </w:rPr>
        <w:t>MiFIR</w:t>
      </w:r>
      <w:proofErr w:type="spellEnd"/>
      <w:r w:rsidRPr="00785B8B">
        <w:rPr>
          <w:rFonts w:asciiTheme="minorHAnsi" w:hAnsiTheme="minorHAnsi" w:cstheme="minorHAnsi"/>
          <w:sz w:val="22"/>
          <w:szCs w:val="22"/>
          <w:lang w:val="en-US"/>
        </w:rPr>
        <w:t xml:space="preserve"> DTO and EMIR Refit CO is maintained, exempted counterparties from CO under EMIR Refit will de facto be subject to clearing through </w:t>
      </w:r>
      <w:proofErr w:type="spellStart"/>
      <w:r w:rsidRPr="00785B8B">
        <w:rPr>
          <w:rFonts w:asciiTheme="minorHAnsi" w:hAnsiTheme="minorHAnsi" w:cstheme="minorHAnsi"/>
          <w:sz w:val="22"/>
          <w:szCs w:val="22"/>
          <w:lang w:val="en-US"/>
        </w:rPr>
        <w:t>MiFIR</w:t>
      </w:r>
      <w:proofErr w:type="spellEnd"/>
      <w:r w:rsidRPr="00785B8B">
        <w:rPr>
          <w:rFonts w:asciiTheme="minorHAnsi" w:hAnsiTheme="minorHAnsi" w:cstheme="minorHAnsi"/>
          <w:sz w:val="22"/>
          <w:szCs w:val="22"/>
          <w:lang w:val="en-US"/>
        </w:rPr>
        <w:t xml:space="preserve"> DTO undermining all advancements brought by EMIR Refit</w:t>
      </w:r>
      <w:r>
        <w:rPr>
          <w:rFonts w:asciiTheme="minorHAnsi" w:hAnsiTheme="minorHAnsi" w:cstheme="minorHAnsi"/>
          <w:sz w:val="22"/>
          <w:szCs w:val="22"/>
          <w:lang w:val="en-US"/>
        </w:rPr>
        <w:t>.</w:t>
      </w:r>
      <w:permEnd w:id="659042240"/>
      <w:r w:rsidR="00E077F1">
        <w:rPr>
          <w:rFonts w:ascii="Arial" w:hAnsi="Arial" w:cs="Arial"/>
        </w:rPr>
        <w:t>&lt;ESMA_QUESTION_AMER_4&gt;</w:t>
      </w:r>
    </w:p>
    <w:p w14:paraId="26617FCB" w14:textId="77777777" w:rsidR="00E077F1" w:rsidRDefault="00E077F1" w:rsidP="00E077F1">
      <w:pPr>
        <w:rPr>
          <w:rFonts w:ascii="Arial" w:hAnsi="Arial" w:cs="Arial"/>
        </w:rPr>
      </w:pPr>
    </w:p>
    <w:p w14:paraId="05704E97" w14:textId="77777777" w:rsidR="00E077F1" w:rsidRDefault="00E077F1" w:rsidP="00E077F1">
      <w:pPr>
        <w:pStyle w:val="Questionstyle"/>
        <w:numPr>
          <w:ilvl w:val="0"/>
          <w:numId w:val="17"/>
        </w:numPr>
        <w:spacing w:after="250" w:line="276" w:lineRule="auto"/>
        <w:rPr>
          <w:rFonts w:ascii="Arial" w:hAnsi="Arial" w:cs="Arial"/>
        </w:rPr>
      </w:pPr>
      <w:r>
        <w:lastRenderedPageBreak/>
        <w:t>: What is your view on the arguments exposed above, supporting the alignment between the scope of counterparties subject to the CO and the DTO (initial policy intention, potential de-facto clearing obligation, limitation of operation burden)? Can you identify other arguments?</w:t>
      </w:r>
    </w:p>
    <w:p w14:paraId="4083A10A" w14:textId="77777777" w:rsidR="00E077F1" w:rsidRDefault="00E077F1" w:rsidP="00E077F1">
      <w:pPr>
        <w:rPr>
          <w:rFonts w:ascii="Arial" w:hAnsi="Arial" w:cs="Arial"/>
        </w:rPr>
      </w:pPr>
      <w:r>
        <w:rPr>
          <w:rFonts w:ascii="Arial" w:hAnsi="Arial" w:cs="Arial"/>
        </w:rPr>
        <w:t>&lt;ESMA_QUESTION_AMER_5&gt;</w:t>
      </w:r>
    </w:p>
    <w:p w14:paraId="49846111" w14:textId="77777777" w:rsidR="00A63021" w:rsidRPr="00785B8B" w:rsidRDefault="00A63021" w:rsidP="00A63021">
      <w:pPr>
        <w:spacing w:line="276" w:lineRule="auto"/>
        <w:jc w:val="both"/>
        <w:rPr>
          <w:rFonts w:asciiTheme="minorHAnsi" w:hAnsiTheme="minorHAnsi" w:cstheme="minorHAnsi"/>
          <w:sz w:val="22"/>
          <w:szCs w:val="22"/>
          <w:lang w:val="en-US"/>
        </w:rPr>
      </w:pPr>
      <w:permStart w:id="1025193561" w:edGrp="everyone"/>
      <w:r w:rsidRPr="00785B8B">
        <w:rPr>
          <w:rFonts w:asciiTheme="minorHAnsi" w:hAnsiTheme="minorHAnsi" w:cstheme="minorHAnsi"/>
          <w:sz w:val="22"/>
          <w:szCs w:val="22"/>
          <w:lang w:val="en-US"/>
        </w:rPr>
        <w:t xml:space="preserve">See </w:t>
      </w:r>
      <w:r>
        <w:rPr>
          <w:rFonts w:asciiTheme="minorHAnsi" w:hAnsiTheme="minorHAnsi" w:cstheme="minorHAnsi"/>
          <w:sz w:val="22"/>
          <w:szCs w:val="22"/>
          <w:lang w:val="en-US"/>
        </w:rPr>
        <w:t xml:space="preserve">also our replies to questions 4 and 5 </w:t>
      </w:r>
      <w:r w:rsidRPr="00785B8B">
        <w:rPr>
          <w:rFonts w:asciiTheme="minorHAnsi" w:hAnsiTheme="minorHAnsi" w:cstheme="minorHAnsi"/>
          <w:sz w:val="22"/>
          <w:szCs w:val="22"/>
          <w:lang w:val="en-US"/>
        </w:rPr>
        <w:t>above</w:t>
      </w:r>
      <w:r>
        <w:rPr>
          <w:rFonts w:asciiTheme="minorHAnsi" w:hAnsiTheme="minorHAnsi" w:cstheme="minorHAnsi"/>
          <w:sz w:val="22"/>
          <w:szCs w:val="22"/>
          <w:lang w:val="en-US"/>
        </w:rPr>
        <w:t>.</w:t>
      </w:r>
    </w:p>
    <w:p w14:paraId="768C966D" w14:textId="77777777" w:rsidR="00A63021" w:rsidRPr="00785B8B" w:rsidRDefault="00A63021" w:rsidP="00A63021">
      <w:pPr>
        <w:spacing w:line="276" w:lineRule="auto"/>
        <w:jc w:val="both"/>
        <w:rPr>
          <w:rFonts w:asciiTheme="minorHAnsi" w:hAnsiTheme="minorHAnsi" w:cstheme="minorHAnsi"/>
          <w:sz w:val="22"/>
          <w:szCs w:val="22"/>
        </w:rPr>
      </w:pPr>
      <w:r w:rsidRPr="00785B8B">
        <w:rPr>
          <w:rFonts w:asciiTheme="minorHAnsi" w:hAnsiTheme="minorHAnsi" w:cstheme="minorHAnsi"/>
          <w:sz w:val="22"/>
          <w:szCs w:val="22"/>
          <w:lang w:val="en-US"/>
        </w:rPr>
        <w:t xml:space="preserve">We are in </w:t>
      </w:r>
      <w:proofErr w:type="spellStart"/>
      <w:r w:rsidRPr="00785B8B">
        <w:rPr>
          <w:rFonts w:asciiTheme="minorHAnsi" w:hAnsiTheme="minorHAnsi" w:cstheme="minorHAnsi"/>
          <w:sz w:val="22"/>
          <w:szCs w:val="22"/>
          <w:lang w:val="en-US"/>
        </w:rPr>
        <w:t>favour</w:t>
      </w:r>
      <w:proofErr w:type="spellEnd"/>
      <w:r w:rsidRPr="00785B8B">
        <w:rPr>
          <w:rFonts w:asciiTheme="minorHAnsi" w:hAnsiTheme="minorHAnsi" w:cstheme="minorHAnsi"/>
          <w:sz w:val="22"/>
          <w:szCs w:val="22"/>
          <w:lang w:val="en-US"/>
        </w:rPr>
        <w:t xml:space="preserve"> of such alignment to allow the market to adapt itself to the DTO, should ESMA decide to neither propose to suppress the DTO nor to reduce its application to FC+. </w:t>
      </w:r>
    </w:p>
    <w:permEnd w:id="1025193561"/>
    <w:p w14:paraId="0645C02C" w14:textId="77777777" w:rsidR="00E077F1" w:rsidRDefault="00E077F1" w:rsidP="00E077F1">
      <w:pPr>
        <w:rPr>
          <w:rFonts w:ascii="Arial" w:hAnsi="Arial" w:cs="Arial"/>
        </w:rPr>
      </w:pPr>
      <w:r>
        <w:rPr>
          <w:rFonts w:ascii="Arial" w:hAnsi="Arial" w:cs="Arial"/>
        </w:rPr>
        <w:t>&lt;ESMA_QUESTION_AMER_5&gt;</w:t>
      </w:r>
    </w:p>
    <w:p w14:paraId="3CEA1E1E" w14:textId="77777777" w:rsidR="00E077F1" w:rsidRDefault="00E077F1" w:rsidP="00E077F1">
      <w:pPr>
        <w:rPr>
          <w:rFonts w:ascii="Arial" w:hAnsi="Arial" w:cs="Arial"/>
        </w:rPr>
      </w:pPr>
    </w:p>
    <w:p w14:paraId="7C923F55" w14:textId="77777777" w:rsidR="00E077F1" w:rsidRDefault="00E077F1" w:rsidP="00E077F1">
      <w:pPr>
        <w:pStyle w:val="Questionstyle"/>
        <w:numPr>
          <w:ilvl w:val="0"/>
          <w:numId w:val="17"/>
        </w:numPr>
        <w:spacing w:after="250" w:line="276" w:lineRule="auto"/>
        <w:rPr>
          <w:rFonts w:ascii="Arial" w:hAnsi="Arial" w:cs="Arial"/>
        </w:rPr>
      </w:pPr>
      <w:r>
        <w:t>: What is your view on ESMA’s proposal to suggest an alignment in the scope of counterparties between the clearing and trading obligations?</w:t>
      </w:r>
    </w:p>
    <w:p w14:paraId="1194A94D" w14:textId="77777777" w:rsidR="00E077F1" w:rsidRDefault="00E077F1" w:rsidP="00E077F1">
      <w:pPr>
        <w:rPr>
          <w:rFonts w:ascii="Arial" w:hAnsi="Arial" w:cs="Arial"/>
        </w:rPr>
      </w:pPr>
      <w:r>
        <w:rPr>
          <w:rFonts w:ascii="Arial" w:hAnsi="Arial" w:cs="Arial"/>
        </w:rPr>
        <w:t>&lt;ESMA_QUESTION_AMER_6&gt;</w:t>
      </w:r>
    </w:p>
    <w:p w14:paraId="64BC9F51" w14:textId="77777777" w:rsidR="00A63021" w:rsidRPr="00785B8B" w:rsidRDefault="00A63021" w:rsidP="00A63021">
      <w:pPr>
        <w:spacing w:line="276" w:lineRule="auto"/>
        <w:jc w:val="both"/>
        <w:rPr>
          <w:rFonts w:asciiTheme="minorHAnsi" w:hAnsiTheme="minorHAnsi" w:cstheme="minorHAnsi"/>
          <w:sz w:val="22"/>
          <w:szCs w:val="22"/>
          <w:lang w:val="en-US"/>
        </w:rPr>
      </w:pPr>
      <w:permStart w:id="1276802614" w:edGrp="everyone"/>
      <w:r w:rsidRPr="00785B8B">
        <w:rPr>
          <w:rFonts w:asciiTheme="minorHAnsi" w:hAnsiTheme="minorHAnsi" w:cstheme="minorHAnsi"/>
          <w:sz w:val="22"/>
          <w:szCs w:val="22"/>
          <w:lang w:val="en-US"/>
        </w:rPr>
        <w:t xml:space="preserve">We agree with the alignment between the CO and DTO. </w:t>
      </w:r>
    </w:p>
    <w:p w14:paraId="3338C2AA" w14:textId="77777777" w:rsidR="00A63021" w:rsidRPr="00785B8B" w:rsidRDefault="00A63021" w:rsidP="00A63021">
      <w:pPr>
        <w:spacing w:line="276" w:lineRule="auto"/>
        <w:jc w:val="both"/>
        <w:rPr>
          <w:rFonts w:asciiTheme="minorHAnsi" w:hAnsiTheme="minorHAnsi" w:cstheme="minorHAnsi"/>
          <w:sz w:val="22"/>
          <w:szCs w:val="22"/>
          <w:lang w:val="en-US"/>
        </w:rPr>
      </w:pPr>
    </w:p>
    <w:p w14:paraId="2390BE3D" w14:textId="77777777" w:rsidR="00A63021" w:rsidRDefault="00A63021" w:rsidP="00A63021">
      <w:pPr>
        <w:spacing w:line="276" w:lineRule="auto"/>
        <w:jc w:val="both"/>
        <w:rPr>
          <w:rFonts w:asciiTheme="minorHAnsi" w:hAnsiTheme="minorHAnsi" w:cstheme="minorHAnsi"/>
          <w:sz w:val="22"/>
          <w:szCs w:val="22"/>
          <w:lang w:val="en-US"/>
        </w:rPr>
      </w:pPr>
      <w:r w:rsidRPr="00785B8B">
        <w:rPr>
          <w:rFonts w:asciiTheme="minorHAnsi" w:hAnsiTheme="minorHAnsi" w:cstheme="minorHAnsi"/>
          <w:sz w:val="22"/>
          <w:szCs w:val="22"/>
          <w:lang w:val="en-US"/>
        </w:rPr>
        <w:t xml:space="preserve">In that perspective, we consider that the CO regime should drive the applicability of the DTO, the latter starting only once several venues offer an economically viable solution. </w:t>
      </w:r>
    </w:p>
    <w:p w14:paraId="02DEF2C5" w14:textId="77777777" w:rsidR="00A63021" w:rsidRPr="00785B8B" w:rsidRDefault="00A63021" w:rsidP="00A63021">
      <w:pPr>
        <w:spacing w:line="276" w:lineRule="auto"/>
        <w:jc w:val="both"/>
        <w:rPr>
          <w:rFonts w:asciiTheme="minorHAnsi" w:hAnsiTheme="minorHAnsi" w:cstheme="minorHAnsi"/>
          <w:sz w:val="22"/>
          <w:szCs w:val="22"/>
          <w:lang w:val="en-US"/>
        </w:rPr>
      </w:pPr>
    </w:p>
    <w:p w14:paraId="3E14236B" w14:textId="77777777" w:rsidR="00A63021" w:rsidRPr="00785B8B" w:rsidRDefault="00A63021" w:rsidP="00A63021">
      <w:pPr>
        <w:spacing w:line="276" w:lineRule="auto"/>
        <w:jc w:val="both"/>
        <w:rPr>
          <w:rFonts w:asciiTheme="minorHAnsi" w:hAnsiTheme="minorHAnsi" w:cstheme="minorHAnsi"/>
          <w:sz w:val="22"/>
          <w:szCs w:val="22"/>
          <w:lang w:val="en-US"/>
        </w:rPr>
      </w:pPr>
      <w:r w:rsidRPr="00785B8B">
        <w:rPr>
          <w:rFonts w:asciiTheme="minorHAnsi" w:hAnsiTheme="minorHAnsi" w:cstheme="minorHAnsi"/>
          <w:sz w:val="22"/>
          <w:szCs w:val="22"/>
          <w:lang w:val="en-US"/>
        </w:rPr>
        <w:t>We also consider that the suppression of DTO should trigger the revision of the TO in its entirety (including for S</w:t>
      </w:r>
      <w:r>
        <w:rPr>
          <w:rFonts w:asciiTheme="minorHAnsi" w:hAnsiTheme="minorHAnsi" w:cstheme="minorHAnsi"/>
          <w:sz w:val="22"/>
          <w:szCs w:val="22"/>
          <w:lang w:val="en-US"/>
        </w:rPr>
        <w:t xml:space="preserve">hare </w:t>
      </w:r>
      <w:r w:rsidRPr="00785B8B">
        <w:rPr>
          <w:rFonts w:asciiTheme="minorHAnsi" w:hAnsiTheme="minorHAnsi" w:cstheme="minorHAnsi"/>
          <w:sz w:val="22"/>
          <w:szCs w:val="22"/>
          <w:lang w:val="en-US"/>
        </w:rPr>
        <w:t>T</w:t>
      </w:r>
      <w:r>
        <w:rPr>
          <w:rFonts w:asciiTheme="minorHAnsi" w:hAnsiTheme="minorHAnsi" w:cstheme="minorHAnsi"/>
          <w:sz w:val="22"/>
          <w:szCs w:val="22"/>
          <w:lang w:val="en-US"/>
        </w:rPr>
        <w:t xml:space="preserve">rading </w:t>
      </w:r>
      <w:r w:rsidRPr="00785B8B">
        <w:rPr>
          <w:rFonts w:asciiTheme="minorHAnsi" w:hAnsiTheme="minorHAnsi" w:cstheme="minorHAnsi"/>
          <w:sz w:val="22"/>
          <w:szCs w:val="22"/>
          <w:lang w:val="en-US"/>
        </w:rPr>
        <w:t>O</w:t>
      </w:r>
      <w:r>
        <w:rPr>
          <w:rFonts w:asciiTheme="minorHAnsi" w:hAnsiTheme="minorHAnsi" w:cstheme="minorHAnsi"/>
          <w:sz w:val="22"/>
          <w:szCs w:val="22"/>
          <w:lang w:val="en-US"/>
        </w:rPr>
        <w:t>bligation (STO)</w:t>
      </w:r>
      <w:r w:rsidRPr="00785B8B">
        <w:rPr>
          <w:rFonts w:asciiTheme="minorHAnsi" w:hAnsiTheme="minorHAnsi" w:cstheme="minorHAnsi"/>
          <w:sz w:val="22"/>
          <w:szCs w:val="22"/>
          <w:lang w:val="en-US"/>
        </w:rPr>
        <w:t>), at least for NFC</w:t>
      </w:r>
      <w:r>
        <w:rPr>
          <w:rFonts w:asciiTheme="minorHAnsi" w:hAnsiTheme="minorHAnsi" w:cstheme="minorHAnsi"/>
          <w:sz w:val="22"/>
          <w:szCs w:val="22"/>
          <w:lang w:val="en-US"/>
        </w:rPr>
        <w:t>s</w:t>
      </w:r>
      <w:r w:rsidRPr="00785B8B">
        <w:rPr>
          <w:rFonts w:asciiTheme="minorHAnsi" w:hAnsiTheme="minorHAnsi" w:cstheme="minorHAnsi"/>
          <w:sz w:val="22"/>
          <w:szCs w:val="22"/>
          <w:lang w:val="en-US"/>
        </w:rPr>
        <w:t xml:space="preserve"> and SFCs.  </w:t>
      </w:r>
    </w:p>
    <w:p w14:paraId="259F8E07" w14:textId="77777777" w:rsidR="00A63021" w:rsidRPr="00785B8B" w:rsidRDefault="00A63021" w:rsidP="00A63021">
      <w:pPr>
        <w:spacing w:line="276" w:lineRule="auto"/>
        <w:jc w:val="both"/>
        <w:rPr>
          <w:rFonts w:asciiTheme="minorHAnsi" w:hAnsiTheme="minorHAnsi" w:cstheme="minorHAnsi"/>
          <w:sz w:val="22"/>
          <w:szCs w:val="22"/>
          <w:lang w:val="en-US"/>
        </w:rPr>
      </w:pPr>
    </w:p>
    <w:p w14:paraId="751857F7" w14:textId="77777777" w:rsidR="00A63021" w:rsidRPr="00785B8B" w:rsidRDefault="00A63021" w:rsidP="00A63021">
      <w:pPr>
        <w:spacing w:line="276" w:lineRule="auto"/>
        <w:jc w:val="both"/>
        <w:rPr>
          <w:rFonts w:asciiTheme="minorHAnsi" w:hAnsiTheme="minorHAnsi" w:cstheme="minorHAnsi"/>
          <w:sz w:val="22"/>
          <w:szCs w:val="22"/>
          <w:lang w:val="en-US"/>
        </w:rPr>
      </w:pPr>
      <w:r w:rsidRPr="00785B8B">
        <w:rPr>
          <w:rFonts w:asciiTheme="minorHAnsi" w:hAnsiTheme="minorHAnsi" w:cstheme="minorHAnsi"/>
          <w:sz w:val="22"/>
          <w:szCs w:val="22"/>
          <w:lang w:val="en-US"/>
        </w:rPr>
        <w:t>As the products subject to the DTO are the same as some of the products subject to the CO, the DTO shall automatically be suspended when the CO is. Nevertheless, it is also coherent to create a standalone DTO suspension to align it with what is applicable to CO, e.g. in case of the disappearance of an electronic platform.</w:t>
      </w:r>
    </w:p>
    <w:permEnd w:id="1276802614"/>
    <w:p w14:paraId="323B5EA8" w14:textId="77777777" w:rsidR="00E077F1" w:rsidRDefault="00E077F1" w:rsidP="00E077F1">
      <w:pPr>
        <w:rPr>
          <w:rFonts w:ascii="Arial" w:hAnsi="Arial" w:cs="Arial"/>
        </w:rPr>
      </w:pPr>
      <w:r>
        <w:rPr>
          <w:rFonts w:ascii="Arial" w:hAnsi="Arial" w:cs="Arial"/>
        </w:rPr>
        <w:t>&lt;ESMA_QUESTION_AMER_6&gt;</w:t>
      </w:r>
    </w:p>
    <w:p w14:paraId="2AAB20BC" w14:textId="77777777" w:rsidR="00E077F1" w:rsidRDefault="00E077F1" w:rsidP="00E077F1">
      <w:pPr>
        <w:rPr>
          <w:rFonts w:ascii="Arial" w:hAnsi="Arial" w:cs="Arial"/>
        </w:rPr>
      </w:pPr>
    </w:p>
    <w:p w14:paraId="02138DA3" w14:textId="77777777" w:rsidR="00E077F1" w:rsidRDefault="00E077F1" w:rsidP="00E077F1">
      <w:pPr>
        <w:pStyle w:val="Questionstyle"/>
        <w:numPr>
          <w:ilvl w:val="0"/>
          <w:numId w:val="17"/>
        </w:numPr>
        <w:spacing w:after="250" w:line="276" w:lineRule="auto"/>
        <w:rPr>
          <w:rFonts w:ascii="Arial" w:hAnsi="Arial" w:cs="Arial"/>
        </w:rPr>
      </w:pPr>
      <w:r>
        <w:t>: What is your view on the necessity to introduce a standalone suspension of the DTO in MiFIR? If you consider it is appropriate, do you have views on how it should be framed?</w:t>
      </w:r>
    </w:p>
    <w:p w14:paraId="432D68AD" w14:textId="77777777" w:rsidR="00E077F1" w:rsidRDefault="00E077F1" w:rsidP="00E077F1">
      <w:pPr>
        <w:rPr>
          <w:rFonts w:ascii="Arial" w:hAnsi="Arial" w:cs="Arial"/>
        </w:rPr>
      </w:pPr>
      <w:r>
        <w:rPr>
          <w:rFonts w:ascii="Arial" w:hAnsi="Arial" w:cs="Arial"/>
        </w:rPr>
        <w:t>&lt;ESMA_QUESTION_AMER_7&gt;</w:t>
      </w:r>
    </w:p>
    <w:p w14:paraId="0ED60183" w14:textId="77777777" w:rsidR="00A63021" w:rsidRPr="00785B8B" w:rsidRDefault="00A63021" w:rsidP="00A63021">
      <w:pPr>
        <w:spacing w:line="276" w:lineRule="auto"/>
        <w:jc w:val="both"/>
        <w:rPr>
          <w:rFonts w:asciiTheme="minorHAnsi" w:hAnsiTheme="minorHAnsi" w:cstheme="minorHAnsi"/>
          <w:sz w:val="22"/>
          <w:szCs w:val="22"/>
          <w:lang w:val="en-US"/>
        </w:rPr>
      </w:pPr>
      <w:permStart w:id="1695236746" w:edGrp="everyone"/>
      <w:r w:rsidRPr="00785B8B">
        <w:rPr>
          <w:rFonts w:asciiTheme="minorHAnsi" w:hAnsiTheme="minorHAnsi" w:cstheme="minorHAnsi"/>
          <w:sz w:val="22"/>
          <w:szCs w:val="22"/>
          <w:lang w:val="en-US"/>
        </w:rPr>
        <w:t xml:space="preserve">We support the introduction of standalone DTO suspension provisions in </w:t>
      </w:r>
      <w:proofErr w:type="spellStart"/>
      <w:r w:rsidRPr="00785B8B">
        <w:rPr>
          <w:rFonts w:asciiTheme="minorHAnsi" w:hAnsiTheme="minorHAnsi" w:cstheme="minorHAnsi"/>
          <w:sz w:val="22"/>
          <w:szCs w:val="22"/>
          <w:lang w:val="en-US"/>
        </w:rPr>
        <w:t>MiFIR</w:t>
      </w:r>
      <w:proofErr w:type="spellEnd"/>
      <w:r w:rsidRPr="00785B8B">
        <w:rPr>
          <w:rFonts w:asciiTheme="minorHAnsi" w:hAnsiTheme="minorHAnsi" w:cstheme="minorHAnsi"/>
          <w:sz w:val="22"/>
          <w:szCs w:val="22"/>
          <w:lang w:val="en-US"/>
        </w:rPr>
        <w:t xml:space="preserve"> as consistent with and contributing to the goal of EMIR Refit of more proportionate, less burdensome regulation.  </w:t>
      </w:r>
    </w:p>
    <w:p w14:paraId="4304B7C3" w14:textId="77777777" w:rsidR="00A63021" w:rsidRPr="00785B8B" w:rsidRDefault="00A63021" w:rsidP="00A63021">
      <w:pPr>
        <w:spacing w:line="276" w:lineRule="auto"/>
        <w:jc w:val="both"/>
        <w:rPr>
          <w:rFonts w:asciiTheme="minorHAnsi" w:hAnsiTheme="minorHAnsi" w:cstheme="minorHAnsi"/>
          <w:sz w:val="22"/>
          <w:szCs w:val="22"/>
          <w:lang w:val="en-US"/>
        </w:rPr>
      </w:pPr>
    </w:p>
    <w:p w14:paraId="270A7E05" w14:textId="77777777" w:rsidR="00A63021" w:rsidRPr="00785B8B" w:rsidRDefault="00A63021" w:rsidP="00A63021">
      <w:pPr>
        <w:spacing w:line="276" w:lineRule="auto"/>
        <w:jc w:val="both"/>
        <w:rPr>
          <w:rFonts w:asciiTheme="minorHAnsi" w:hAnsiTheme="minorHAnsi" w:cstheme="minorHAnsi"/>
          <w:sz w:val="22"/>
          <w:szCs w:val="22"/>
          <w:lang w:val="en-US"/>
        </w:rPr>
      </w:pPr>
      <w:r w:rsidRPr="00785B8B">
        <w:rPr>
          <w:rFonts w:asciiTheme="minorHAnsi" w:hAnsiTheme="minorHAnsi" w:cstheme="minorHAnsi"/>
          <w:sz w:val="22"/>
          <w:szCs w:val="22"/>
          <w:lang w:val="en-US"/>
        </w:rPr>
        <w:t xml:space="preserve">We also consider that the suspension of the CO should automatically trigger the DTO. The sole communication of the suspension of the CCP or the CM should suspend </w:t>
      </w:r>
      <w:r>
        <w:rPr>
          <w:rFonts w:asciiTheme="minorHAnsi" w:hAnsiTheme="minorHAnsi" w:cstheme="minorHAnsi"/>
          <w:sz w:val="22"/>
          <w:szCs w:val="22"/>
          <w:lang w:val="en-US"/>
        </w:rPr>
        <w:t xml:space="preserve">the CO and the DTO </w:t>
      </w:r>
      <w:r w:rsidRPr="00785B8B">
        <w:rPr>
          <w:rFonts w:asciiTheme="minorHAnsi" w:hAnsiTheme="minorHAnsi" w:cstheme="minorHAnsi"/>
          <w:sz w:val="22"/>
          <w:szCs w:val="22"/>
          <w:lang w:val="en-US"/>
        </w:rPr>
        <w:t>without further trigger or reporting.</w:t>
      </w:r>
    </w:p>
    <w:p w14:paraId="589158E9" w14:textId="77777777" w:rsidR="00A63021" w:rsidRPr="00785B8B" w:rsidRDefault="00A63021" w:rsidP="00A63021">
      <w:pPr>
        <w:spacing w:line="276" w:lineRule="auto"/>
        <w:jc w:val="both"/>
        <w:rPr>
          <w:rFonts w:asciiTheme="minorHAnsi" w:hAnsiTheme="minorHAnsi" w:cstheme="minorHAnsi"/>
          <w:sz w:val="22"/>
          <w:szCs w:val="22"/>
          <w:lang w:val="en-US"/>
        </w:rPr>
      </w:pPr>
    </w:p>
    <w:p w14:paraId="5B0CCD57" w14:textId="77777777" w:rsidR="00A63021" w:rsidRPr="00785B8B" w:rsidRDefault="00A63021" w:rsidP="00A63021">
      <w:pPr>
        <w:spacing w:line="276" w:lineRule="auto"/>
        <w:jc w:val="both"/>
        <w:rPr>
          <w:rFonts w:asciiTheme="minorHAnsi" w:hAnsiTheme="minorHAnsi" w:cstheme="minorHAnsi"/>
          <w:sz w:val="22"/>
          <w:szCs w:val="22"/>
          <w:lang w:val="en-US"/>
        </w:rPr>
      </w:pPr>
      <w:r w:rsidRPr="00785B8B">
        <w:rPr>
          <w:rFonts w:asciiTheme="minorHAnsi" w:hAnsiTheme="minorHAnsi" w:cstheme="minorHAnsi"/>
          <w:sz w:val="22"/>
          <w:szCs w:val="22"/>
          <w:lang w:val="en-US"/>
        </w:rPr>
        <w:t xml:space="preserve">In addition, should a FC become SFC or an NFC+ falling below a clearing threshold, both CO and DTO should </w:t>
      </w:r>
      <w:r>
        <w:rPr>
          <w:rFonts w:asciiTheme="minorHAnsi" w:hAnsiTheme="minorHAnsi" w:cstheme="minorHAnsi"/>
          <w:sz w:val="22"/>
          <w:szCs w:val="22"/>
          <w:lang w:val="en-US"/>
        </w:rPr>
        <w:t xml:space="preserve">be </w:t>
      </w:r>
      <w:r w:rsidRPr="00785B8B">
        <w:rPr>
          <w:rFonts w:asciiTheme="minorHAnsi" w:hAnsiTheme="minorHAnsi" w:cstheme="minorHAnsi"/>
          <w:sz w:val="22"/>
          <w:szCs w:val="22"/>
          <w:lang w:val="en-US"/>
        </w:rPr>
        <w:t>suspended</w:t>
      </w:r>
      <w:r>
        <w:rPr>
          <w:rFonts w:asciiTheme="minorHAnsi" w:hAnsiTheme="minorHAnsi" w:cstheme="minorHAnsi"/>
          <w:sz w:val="22"/>
          <w:szCs w:val="22"/>
          <w:lang w:val="en-US"/>
        </w:rPr>
        <w:t xml:space="preserve"> immediately</w:t>
      </w:r>
      <w:r w:rsidRPr="00785B8B">
        <w:rPr>
          <w:rFonts w:asciiTheme="minorHAnsi" w:hAnsiTheme="minorHAnsi" w:cstheme="minorHAnsi"/>
          <w:sz w:val="22"/>
          <w:szCs w:val="22"/>
          <w:lang w:val="en-US"/>
        </w:rPr>
        <w:t>.</w:t>
      </w:r>
    </w:p>
    <w:p w14:paraId="152E75A0" w14:textId="77777777" w:rsidR="00A63021" w:rsidRPr="00785B8B" w:rsidRDefault="00A63021" w:rsidP="00A63021">
      <w:pPr>
        <w:spacing w:line="276" w:lineRule="auto"/>
        <w:jc w:val="both"/>
        <w:rPr>
          <w:rFonts w:asciiTheme="minorHAnsi" w:hAnsiTheme="minorHAnsi" w:cstheme="minorHAnsi"/>
          <w:sz w:val="22"/>
          <w:szCs w:val="22"/>
          <w:lang w:val="en-US"/>
        </w:rPr>
      </w:pPr>
    </w:p>
    <w:p w14:paraId="326327A2" w14:textId="4D878814" w:rsidR="00A63021" w:rsidRDefault="00A63021" w:rsidP="00A63021">
      <w:pPr>
        <w:spacing w:line="276" w:lineRule="auto"/>
        <w:jc w:val="both"/>
        <w:rPr>
          <w:rFonts w:asciiTheme="minorHAnsi" w:hAnsiTheme="minorHAnsi" w:cstheme="minorHAnsi"/>
          <w:sz w:val="22"/>
          <w:szCs w:val="22"/>
          <w:lang w:val="en-US"/>
        </w:rPr>
      </w:pPr>
      <w:r w:rsidRPr="00785B8B">
        <w:rPr>
          <w:rFonts w:asciiTheme="minorHAnsi" w:hAnsiTheme="minorHAnsi" w:cstheme="minorHAnsi"/>
          <w:sz w:val="22"/>
          <w:szCs w:val="22"/>
          <w:lang w:val="en-US"/>
        </w:rPr>
        <w:t xml:space="preserve">The </w:t>
      </w:r>
      <w:r>
        <w:rPr>
          <w:rFonts w:asciiTheme="minorHAnsi" w:hAnsiTheme="minorHAnsi" w:cstheme="minorHAnsi"/>
          <w:sz w:val="22"/>
          <w:szCs w:val="22"/>
          <w:lang w:val="en-US"/>
        </w:rPr>
        <w:t xml:space="preserve">suspension </w:t>
      </w:r>
      <w:r w:rsidRPr="00785B8B">
        <w:rPr>
          <w:rFonts w:asciiTheme="minorHAnsi" w:hAnsiTheme="minorHAnsi" w:cstheme="minorHAnsi"/>
          <w:sz w:val="22"/>
          <w:szCs w:val="22"/>
          <w:lang w:val="en-US"/>
        </w:rPr>
        <w:t xml:space="preserve">mechanism should be automatic to ensure legal consistency. Relying on RTS adoption would be too slow. </w:t>
      </w:r>
    </w:p>
    <w:p w14:paraId="637C3DA8" w14:textId="45806790" w:rsidR="00A63021" w:rsidRPr="00A63021" w:rsidRDefault="00A63021" w:rsidP="00A63021">
      <w:pPr>
        <w:spacing w:line="276" w:lineRule="auto"/>
        <w:jc w:val="both"/>
        <w:rPr>
          <w:rFonts w:asciiTheme="minorHAnsi" w:hAnsiTheme="minorHAnsi" w:cstheme="minorHAnsi"/>
          <w:sz w:val="22"/>
          <w:szCs w:val="22"/>
        </w:rPr>
      </w:pPr>
      <w:r w:rsidRPr="00785B8B">
        <w:rPr>
          <w:rFonts w:asciiTheme="minorHAnsi" w:hAnsiTheme="minorHAnsi" w:cstheme="minorHAnsi"/>
          <w:sz w:val="22"/>
          <w:szCs w:val="22"/>
          <w:lang w:val="en-US"/>
        </w:rPr>
        <w:lastRenderedPageBreak/>
        <w:t>We have not identified other aspects of the DTO that need to be modified</w:t>
      </w:r>
      <w:r>
        <w:rPr>
          <w:rFonts w:asciiTheme="minorHAnsi" w:hAnsiTheme="minorHAnsi" w:cstheme="minorHAnsi"/>
          <w:sz w:val="22"/>
          <w:szCs w:val="22"/>
          <w:lang w:val="en-US"/>
        </w:rPr>
        <w:t>. N</w:t>
      </w:r>
      <w:r w:rsidRPr="00785B8B">
        <w:rPr>
          <w:rFonts w:asciiTheme="minorHAnsi" w:hAnsiTheme="minorHAnsi" w:cstheme="minorHAnsi"/>
          <w:sz w:val="22"/>
          <w:szCs w:val="22"/>
          <w:lang w:val="en-US"/>
        </w:rPr>
        <w:t xml:space="preserve">evertheless we regret that </w:t>
      </w:r>
      <w:r>
        <w:rPr>
          <w:rFonts w:asciiTheme="minorHAnsi" w:hAnsiTheme="minorHAnsi" w:cstheme="minorHAnsi"/>
          <w:sz w:val="22"/>
          <w:szCs w:val="22"/>
          <w:lang w:val="en-US"/>
        </w:rPr>
        <w:t xml:space="preserve">the opportunity of </w:t>
      </w:r>
      <w:r w:rsidRPr="00785B8B">
        <w:rPr>
          <w:rFonts w:asciiTheme="minorHAnsi" w:hAnsiTheme="minorHAnsi" w:cstheme="minorHAnsi"/>
          <w:sz w:val="22"/>
          <w:szCs w:val="22"/>
          <w:lang w:val="en-US"/>
        </w:rPr>
        <w:t>EMIR Refit</w:t>
      </w:r>
      <w:r>
        <w:rPr>
          <w:rFonts w:asciiTheme="minorHAnsi" w:hAnsiTheme="minorHAnsi" w:cstheme="minorHAnsi"/>
          <w:sz w:val="22"/>
          <w:szCs w:val="22"/>
          <w:lang w:val="en-US"/>
        </w:rPr>
        <w:t xml:space="preserve"> was not used</w:t>
      </w:r>
      <w:r w:rsidRPr="00785B8B">
        <w:rPr>
          <w:rFonts w:asciiTheme="minorHAnsi" w:hAnsiTheme="minorHAnsi" w:cstheme="minorHAnsi"/>
          <w:sz w:val="22"/>
          <w:szCs w:val="22"/>
          <w:lang w:val="en-US"/>
        </w:rPr>
        <w:t xml:space="preserve"> to align the EMIR reporting obligation with the </w:t>
      </w:r>
      <w:proofErr w:type="spellStart"/>
      <w:r w:rsidRPr="00785B8B">
        <w:rPr>
          <w:rFonts w:asciiTheme="minorHAnsi" w:hAnsiTheme="minorHAnsi" w:cstheme="minorHAnsi"/>
          <w:sz w:val="22"/>
          <w:szCs w:val="22"/>
          <w:lang w:val="en-US"/>
        </w:rPr>
        <w:t>MiFIR</w:t>
      </w:r>
      <w:proofErr w:type="spellEnd"/>
      <w:r w:rsidRPr="00785B8B">
        <w:rPr>
          <w:rFonts w:asciiTheme="minorHAnsi" w:hAnsiTheme="minorHAnsi" w:cstheme="minorHAnsi"/>
          <w:sz w:val="22"/>
          <w:szCs w:val="22"/>
          <w:lang w:val="en-US"/>
        </w:rPr>
        <w:t xml:space="preserve"> reporting obligation to make it single-sided as well.</w:t>
      </w:r>
    </w:p>
    <w:permEnd w:id="1695236746"/>
    <w:p w14:paraId="16B976FC" w14:textId="77777777" w:rsidR="00E077F1" w:rsidRDefault="00E077F1" w:rsidP="00E077F1">
      <w:pPr>
        <w:rPr>
          <w:rFonts w:ascii="Arial" w:hAnsi="Arial" w:cs="Arial"/>
        </w:rPr>
      </w:pPr>
      <w:r>
        <w:rPr>
          <w:rFonts w:ascii="Arial" w:hAnsi="Arial" w:cs="Arial"/>
        </w:rPr>
        <w:t>&lt;ESMA_QUESTION_AMER_7&gt;</w:t>
      </w:r>
    </w:p>
    <w:p w14:paraId="641664E8" w14:textId="77777777" w:rsidR="00E077F1" w:rsidRDefault="00E077F1" w:rsidP="00E077F1">
      <w:pPr>
        <w:rPr>
          <w:rFonts w:ascii="Arial" w:hAnsi="Arial" w:cs="Arial"/>
        </w:rPr>
      </w:pPr>
    </w:p>
    <w:p w14:paraId="4A29FD6F" w14:textId="77777777" w:rsidR="00E077F1" w:rsidRDefault="00E077F1" w:rsidP="00E077F1">
      <w:pPr>
        <w:pStyle w:val="Questionstyle"/>
        <w:numPr>
          <w:ilvl w:val="0"/>
          <w:numId w:val="17"/>
        </w:numPr>
        <w:spacing w:after="250" w:line="276" w:lineRule="auto"/>
        <w:rPr>
          <w:rFonts w:ascii="Arial" w:hAnsi="Arial" w:cs="Arial"/>
        </w:rPr>
      </w:pPr>
      <w:r>
        <w:t>: Have you identified other aspects of the DTO under MiFIR that should be aligned with amendments introduced by EMIR Refit? If so, please explain the amendments to MiFIR that could be introduced.</w:t>
      </w:r>
    </w:p>
    <w:p w14:paraId="47EC6D68" w14:textId="77777777" w:rsidR="00E077F1" w:rsidRDefault="00E077F1" w:rsidP="00E077F1">
      <w:pPr>
        <w:rPr>
          <w:rFonts w:ascii="Arial" w:hAnsi="Arial" w:cs="Arial"/>
        </w:rPr>
      </w:pPr>
      <w:r>
        <w:rPr>
          <w:rFonts w:ascii="Arial" w:hAnsi="Arial" w:cs="Arial"/>
        </w:rPr>
        <w:t>&lt;ESMA_QUESTION_AMER_8&gt;</w:t>
      </w:r>
    </w:p>
    <w:p w14:paraId="139860AB" w14:textId="77777777" w:rsidR="00A63021" w:rsidRPr="00785B8B" w:rsidRDefault="00A63021" w:rsidP="00A63021">
      <w:pPr>
        <w:spacing w:line="276" w:lineRule="auto"/>
        <w:jc w:val="both"/>
        <w:rPr>
          <w:rFonts w:asciiTheme="minorHAnsi" w:hAnsiTheme="minorHAnsi" w:cstheme="minorHAnsi"/>
          <w:sz w:val="22"/>
          <w:szCs w:val="22"/>
          <w:lang w:val="en-US"/>
        </w:rPr>
      </w:pPr>
      <w:permStart w:id="302062860" w:edGrp="everyone"/>
      <w:r w:rsidRPr="00785B8B">
        <w:rPr>
          <w:rFonts w:asciiTheme="minorHAnsi" w:hAnsiTheme="minorHAnsi" w:cstheme="minorHAnsi"/>
          <w:sz w:val="22"/>
          <w:szCs w:val="22"/>
          <w:lang w:val="en-US"/>
        </w:rPr>
        <w:t xml:space="preserve">No. </w:t>
      </w:r>
    </w:p>
    <w:p w14:paraId="57C13013" w14:textId="77777777" w:rsidR="00A63021" w:rsidRPr="00BF0FE0" w:rsidRDefault="00A63021" w:rsidP="00A63021">
      <w:pPr>
        <w:spacing w:line="276" w:lineRule="auto"/>
        <w:jc w:val="both"/>
        <w:rPr>
          <w:rFonts w:asciiTheme="minorHAnsi" w:hAnsiTheme="minorHAnsi" w:cstheme="minorHAnsi"/>
          <w:sz w:val="22"/>
          <w:szCs w:val="22"/>
          <w:lang w:val="en-US"/>
        </w:rPr>
      </w:pPr>
    </w:p>
    <w:p w14:paraId="542DFFB4" w14:textId="60EA7343" w:rsidR="00E077F1" w:rsidRPr="00A63021" w:rsidRDefault="00A63021" w:rsidP="00A63021">
      <w:pPr>
        <w:spacing w:line="276" w:lineRule="auto"/>
        <w:jc w:val="both"/>
        <w:rPr>
          <w:rFonts w:asciiTheme="minorHAnsi" w:hAnsiTheme="minorHAnsi" w:cstheme="minorHAnsi"/>
          <w:sz w:val="22"/>
          <w:szCs w:val="22"/>
          <w:lang w:val="en-US"/>
        </w:rPr>
      </w:pPr>
      <w:r w:rsidRPr="00785B8B">
        <w:rPr>
          <w:rFonts w:asciiTheme="minorHAnsi" w:hAnsiTheme="minorHAnsi" w:cstheme="minorHAnsi"/>
          <w:sz w:val="22"/>
          <w:szCs w:val="22"/>
          <w:lang w:val="en-US"/>
        </w:rPr>
        <w:t>We would however recommend here again to review and hopefully abolish TOs, at least for qualifying SFC</w:t>
      </w:r>
      <w:r>
        <w:rPr>
          <w:rFonts w:asciiTheme="minorHAnsi" w:hAnsiTheme="minorHAnsi" w:cstheme="minorHAnsi"/>
          <w:sz w:val="22"/>
          <w:szCs w:val="22"/>
          <w:lang w:val="en-US"/>
        </w:rPr>
        <w:t>s</w:t>
      </w:r>
      <w:r w:rsidRPr="00785B8B">
        <w:rPr>
          <w:rFonts w:asciiTheme="minorHAnsi" w:hAnsiTheme="minorHAnsi" w:cstheme="minorHAnsi"/>
          <w:sz w:val="22"/>
          <w:szCs w:val="22"/>
          <w:lang w:val="en-US"/>
        </w:rPr>
        <w:t xml:space="preserve"> and NFCs.</w:t>
      </w:r>
    </w:p>
    <w:permEnd w:id="302062860"/>
    <w:p w14:paraId="03B77CD4" w14:textId="77777777" w:rsidR="00E077F1" w:rsidRDefault="00E077F1" w:rsidP="00E077F1">
      <w:pPr>
        <w:rPr>
          <w:rFonts w:ascii="Arial" w:hAnsi="Arial" w:cs="Arial"/>
        </w:rPr>
      </w:pPr>
      <w:r>
        <w:rPr>
          <w:rFonts w:ascii="Arial" w:hAnsi="Arial" w:cs="Arial"/>
        </w:rPr>
        <w:t>&lt;ESMA_QUESTION_AMER_8&gt;</w:t>
      </w:r>
    </w:p>
    <w:p w14:paraId="313C7BBA" w14:textId="77777777" w:rsidR="00E077F1" w:rsidRDefault="00E077F1" w:rsidP="00E077F1">
      <w:pPr>
        <w:rPr>
          <w:rFonts w:ascii="Arial" w:hAnsi="Arial" w:cs="Arial"/>
        </w:rPr>
      </w:pPr>
    </w:p>
    <w:p w14:paraId="78635693" w14:textId="77777777" w:rsidR="00E077F1" w:rsidRDefault="00E077F1" w:rsidP="00E077F1">
      <w:pPr>
        <w:rPr>
          <w:rFonts w:ascii="Arial" w:hAnsi="Arial" w:cs="Arial"/>
        </w:rPr>
      </w:pPr>
    </w:p>
    <w:p w14:paraId="56791EE6" w14:textId="77777777" w:rsidR="00E077F1" w:rsidRDefault="00E077F1" w:rsidP="00C1698A">
      <w:pPr>
        <w:spacing w:line="276" w:lineRule="auto"/>
        <w:rPr>
          <w:rFonts w:asciiTheme="minorHAnsi" w:hAnsiTheme="minorHAnsi" w:cstheme="minorHAnsi"/>
          <w:b/>
          <w:sz w:val="28"/>
          <w:szCs w:val="28"/>
        </w:rPr>
      </w:pPr>
      <w:bookmarkStart w:id="3" w:name="_GoBack"/>
      <w:bookmarkEnd w:id="3"/>
    </w:p>
    <w:bookmarkEnd w:id="0"/>
    <w:sectPr w:rsidR="00E077F1"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1FF3F" w14:textId="77777777" w:rsidR="00FC4F52" w:rsidRDefault="00FC4F52" w:rsidP="007E7997">
      <w:r>
        <w:separator/>
      </w:r>
    </w:p>
  </w:endnote>
  <w:endnote w:type="continuationSeparator" w:id="0">
    <w:p w14:paraId="0F669BA2" w14:textId="77777777" w:rsidR="00FC4F52" w:rsidRDefault="00FC4F52" w:rsidP="007E7997">
      <w:r>
        <w:continuationSeparator/>
      </w:r>
    </w:p>
  </w:endnote>
  <w:endnote w:type="continuationNotice" w:id="1">
    <w:p w14:paraId="70C59725" w14:textId="77777777" w:rsidR="00FC4F52" w:rsidRDefault="00FC4F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3915" w14:textId="3CAB16BB" w:rsidR="00E36813" w:rsidRPr="00514DFA" w:rsidRDefault="00E36813" w:rsidP="007A160F">
    <w:pPr>
      <w:pStyle w:val="Footer"/>
      <w:rPr>
        <w:rFonts w:asciiTheme="majorHAnsi" w:hAnsiTheme="majorHAnsi"/>
        <w:color w:val="FFFFFF" w:themeColor="background1"/>
      </w:rPr>
    </w:pPr>
    <w:r>
      <w:rPr>
        <w:rFonts w:asciiTheme="majorHAnsi" w:hAnsiTheme="majorHAnsi"/>
        <w:color w:val="FFFFFF" w:themeColor="background1"/>
      </w:rPr>
      <w:tab/>
    </w:r>
    <w:r>
      <w:rPr>
        <w:rFonts w:asciiTheme="majorHAnsi" w:hAnsiTheme="majorHAnsi"/>
        <w:color w:val="FFFFFF" w:themeColor="background1"/>
      </w:rPr>
      <w:tab/>
    </w:r>
    <w:r w:rsidR="00CB26B8">
      <w:rPr>
        <w:rFonts w:asciiTheme="majorHAnsi" w:hAnsiTheme="majorHAnsi"/>
        <w:color w:val="FFFFFF" w:themeColor="background1"/>
      </w:rPr>
      <w:t>1</w:t>
    </w:r>
    <w:r w:rsidR="00AB6157">
      <w:rPr>
        <w:rFonts w:asciiTheme="majorHAnsi" w:hAnsiTheme="majorHAnsi"/>
        <w:color w:val="FFFFFF" w:themeColor="background1"/>
      </w:rPr>
      <w:t xml:space="preserve"> </w:t>
    </w:r>
    <w:r w:rsidR="00CB26B8">
      <w:rPr>
        <w:rFonts w:asciiTheme="majorHAnsi" w:hAnsiTheme="majorHAnsi"/>
        <w:color w:val="FFFFFF" w:themeColor="background1"/>
      </w:rPr>
      <w:t xml:space="preserve">October </w:t>
    </w:r>
    <w:r w:rsidR="00AB6157">
      <w:rPr>
        <w:rFonts w:asciiTheme="majorHAnsi" w:hAnsiTheme="majorHAnsi"/>
        <w:color w:val="FFFFFF" w:themeColor="background1"/>
      </w:rPr>
      <w:t>2019</w:t>
    </w:r>
    <w:r w:rsidR="00FF6930">
      <w:rPr>
        <w:rFonts w:asciiTheme="majorHAnsi" w:hAnsiTheme="majorHAnsi"/>
        <w:color w:val="FFFFFF" w:themeColor="background1"/>
      </w:rPr>
      <w:t xml:space="preserve"> </w:t>
    </w:r>
    <w:r w:rsidR="00CB26B8">
      <w:rPr>
        <w:rFonts w:asciiTheme="majorHAnsi" w:hAnsiTheme="majorHAnsi"/>
        <w:color w:val="FFFFFF" w:themeColor="background1"/>
      </w:rPr>
      <w:t xml:space="preserve">- </w:t>
    </w:r>
    <w:r w:rsidR="002D118A" w:rsidRPr="002D118A">
      <w:rPr>
        <w:rFonts w:asciiTheme="majorHAnsi" w:hAnsiTheme="majorHAnsi"/>
        <w:color w:val="FFFFFF" w:themeColor="background1"/>
      </w:rPr>
      <w:t>ESMA70-</w:t>
    </w:r>
    <w:r w:rsidR="00CB26B8">
      <w:rPr>
        <w:rFonts w:asciiTheme="majorHAnsi" w:hAnsiTheme="majorHAnsi"/>
        <w:color w:val="FFFFFF" w:themeColor="background1"/>
      </w:rPr>
      <w:t>156-1759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1B15F" w14:textId="77777777" w:rsidR="00FC4F52" w:rsidRDefault="00FC4F52" w:rsidP="007E7997">
      <w:r>
        <w:separator/>
      </w:r>
    </w:p>
  </w:footnote>
  <w:footnote w:type="continuationSeparator" w:id="0">
    <w:p w14:paraId="2BE6050E" w14:textId="77777777" w:rsidR="00FC4F52" w:rsidRDefault="00FC4F52" w:rsidP="007E7997">
      <w:r>
        <w:continuationSeparator/>
      </w:r>
    </w:p>
  </w:footnote>
  <w:footnote w:type="continuationNotice" w:id="1">
    <w:p w14:paraId="27D8BAAF" w14:textId="77777777" w:rsidR="00FC4F52" w:rsidRDefault="00FC4F52"/>
  </w:footnote>
  <w:footnote w:id="2">
    <w:p w14:paraId="5A4C7601" w14:textId="77777777" w:rsidR="00A63021" w:rsidRPr="002818E4" w:rsidRDefault="00A63021" w:rsidP="00A63021">
      <w:pPr>
        <w:jc w:val="both"/>
        <w:rPr>
          <w:rFonts w:asciiTheme="minorHAnsi" w:hAnsiTheme="minorHAnsi" w:cstheme="minorHAnsi"/>
        </w:rPr>
      </w:pPr>
      <w:r w:rsidRPr="002818E4">
        <w:rPr>
          <w:rStyle w:val="FootnoteReference"/>
          <w:rFonts w:asciiTheme="minorHAnsi" w:hAnsiTheme="minorHAnsi" w:cstheme="minorHAnsi"/>
        </w:rPr>
        <w:footnoteRef/>
      </w:r>
      <w:r w:rsidRPr="002818E4">
        <w:rPr>
          <w:rFonts w:asciiTheme="minorHAnsi" w:hAnsiTheme="minorHAnsi" w:cstheme="minorHAnsi"/>
        </w:rPr>
        <w:t xml:space="preserve"> EFAMA is </w:t>
      </w:r>
      <w:r w:rsidRPr="002818E4">
        <w:rPr>
          <w:rFonts w:asciiTheme="minorHAnsi" w:hAnsiTheme="minorHAnsi" w:cstheme="minorHAnsi"/>
          <w:lang w:val="en-US"/>
        </w:rPr>
        <w:t xml:space="preserve">the </w:t>
      </w:r>
      <w:r>
        <w:rPr>
          <w:rFonts w:asciiTheme="minorHAnsi" w:hAnsiTheme="minorHAnsi" w:cstheme="minorHAnsi"/>
          <w:lang w:val="en-US"/>
        </w:rPr>
        <w:t xml:space="preserve">voice of </w:t>
      </w:r>
      <w:r w:rsidRPr="002818E4">
        <w:rPr>
          <w:rFonts w:asciiTheme="minorHAnsi" w:hAnsiTheme="minorHAnsi" w:cstheme="minorHAnsi"/>
          <w:lang w:val="en-US"/>
        </w:rPr>
        <w:t>the European investment management industry, represent</w:t>
      </w:r>
      <w:r>
        <w:rPr>
          <w:rFonts w:asciiTheme="minorHAnsi" w:hAnsiTheme="minorHAnsi" w:cstheme="minorHAnsi"/>
          <w:lang w:val="en-US"/>
        </w:rPr>
        <w:t>ing</w:t>
      </w:r>
      <w:r w:rsidRPr="002818E4">
        <w:rPr>
          <w:rFonts w:asciiTheme="minorHAnsi" w:hAnsiTheme="minorHAnsi" w:cstheme="minorHAnsi"/>
          <w:lang w:val="en-US"/>
        </w:rPr>
        <w:t xml:space="preserve"> 28 member associations and </w:t>
      </w:r>
      <w:r>
        <w:rPr>
          <w:rFonts w:asciiTheme="minorHAnsi" w:hAnsiTheme="minorHAnsi" w:cstheme="minorHAnsi"/>
          <w:lang w:val="en-US"/>
        </w:rPr>
        <w:t>60</w:t>
      </w:r>
      <w:r w:rsidRPr="002818E4">
        <w:rPr>
          <w:rFonts w:asciiTheme="minorHAnsi" w:hAnsiTheme="minorHAnsi" w:cstheme="minorHAnsi"/>
          <w:lang w:val="en-US"/>
        </w:rPr>
        <w:t xml:space="preserve"> corporate members</w:t>
      </w:r>
      <w:r>
        <w:rPr>
          <w:rFonts w:asciiTheme="minorHAnsi" w:hAnsiTheme="minorHAnsi" w:cstheme="minorHAnsi"/>
          <w:lang w:val="en-US"/>
        </w:rPr>
        <w:t xml:space="preserve"> and 23 associate members</w:t>
      </w:r>
      <w:r w:rsidRPr="002818E4">
        <w:rPr>
          <w:rFonts w:asciiTheme="minorHAnsi" w:hAnsiTheme="minorHAnsi" w:cstheme="minorHAnsi"/>
          <w:lang w:val="en-US"/>
        </w:rPr>
        <w:t xml:space="preserve">. At end 2018, total net assets of European investment funds reached EUR 15.2 trillion. These assets were managed by almost 62,000 investment funds, of which more than 33,000 were UCITS (Undertakings for Collective Investments in Transferable Securities) funds, with the remaining funds composed of AIFs (Alternative Investment Funds). For more information about EFAMA, please visit </w:t>
      </w:r>
      <w:hyperlink r:id="rId1" w:tgtFrame="_blank" w:history="1">
        <w:r w:rsidRPr="002818E4">
          <w:rPr>
            <w:rStyle w:val="Hyperlink"/>
            <w:rFonts w:asciiTheme="minorHAnsi" w:hAnsiTheme="minorHAnsi" w:cstheme="minorHAnsi"/>
            <w:lang w:val="en-US"/>
          </w:rPr>
          <w:t>www.efama.org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1035" w14:textId="77777777" w:rsidR="00E36813" w:rsidRDefault="00E36813">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ABA19"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0DFC7EBC"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07353"/>
    <w:multiLevelType w:val="hybridMultilevel"/>
    <w:tmpl w:val="9794B13A"/>
    <w:lvl w:ilvl="0" w:tplc="8206C914">
      <w:numFmt w:val="bullet"/>
      <w:lvlText w:val="-"/>
      <w:lvlJc w:val="left"/>
      <w:pPr>
        <w:ind w:left="360" w:hanging="360"/>
      </w:pPr>
      <w:rPr>
        <w:rFonts w:ascii="Calibri" w:eastAsia="Calibri" w:hAnsi="Calibri" w:cs="Calibr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5AC62001"/>
    <w:multiLevelType w:val="hybridMultilevel"/>
    <w:tmpl w:val="5D502980"/>
    <w:lvl w:ilvl="0" w:tplc="E29E7426">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1"/>
  </w:num>
  <w:num w:numId="3">
    <w:abstractNumId w:val="11"/>
  </w:num>
  <w:num w:numId="4">
    <w:abstractNumId w:val="2"/>
  </w:num>
  <w:num w:numId="5">
    <w:abstractNumId w:val="8"/>
  </w:num>
  <w:num w:numId="6">
    <w:abstractNumId w:val="13"/>
  </w:num>
  <w:num w:numId="7">
    <w:abstractNumId w:val="7"/>
  </w:num>
  <w:num w:numId="8">
    <w:abstractNumId w:val="3"/>
  </w:num>
  <w:num w:numId="9">
    <w:abstractNumId w:val="6"/>
  </w:num>
  <w:num w:numId="10">
    <w:abstractNumId w:val="5"/>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0"/>
  </w:num>
  <w:num w:numId="16">
    <w:abstractNumId w:val="12"/>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proofState w:spelling="clean"/>
  <w:attachedTemplate r:id="rId1"/>
  <w:documentProtection w:edit="readOnly" w:enforcement="1" w:cryptProviderType="rsaAES" w:cryptAlgorithmClass="hash" w:cryptAlgorithmType="typeAny" w:cryptAlgorithmSid="14" w:cryptSpinCount="100000" w:hash="9n/yyAmrNVWjCfyWIe0bHKOxREVumuIEhhJ/E/ZRvNerMEhsNUO6fA9HCOX5ax3ZqobhptKy2INpLg+G7Jfw4w==" w:salt="klECVCKwc4L3/lEHSCQTqQ=="/>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97D38"/>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3999"/>
    <w:rsid w:val="001F3D9D"/>
    <w:rsid w:val="00200894"/>
    <w:rsid w:val="00202333"/>
    <w:rsid w:val="00202FA8"/>
    <w:rsid w:val="002034B8"/>
    <w:rsid w:val="00205922"/>
    <w:rsid w:val="00206FB8"/>
    <w:rsid w:val="0020766F"/>
    <w:rsid w:val="00207A07"/>
    <w:rsid w:val="00210498"/>
    <w:rsid w:val="0021147A"/>
    <w:rsid w:val="00213BFB"/>
    <w:rsid w:val="00217478"/>
    <w:rsid w:val="00220938"/>
    <w:rsid w:val="00224806"/>
    <w:rsid w:val="002271C7"/>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118A"/>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3C4B"/>
    <w:rsid w:val="003545A6"/>
    <w:rsid w:val="00356C60"/>
    <w:rsid w:val="003578D1"/>
    <w:rsid w:val="00363639"/>
    <w:rsid w:val="00366D42"/>
    <w:rsid w:val="0036748C"/>
    <w:rsid w:val="00372615"/>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4DFA"/>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7A6"/>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18AF"/>
    <w:rsid w:val="00832500"/>
    <w:rsid w:val="00832787"/>
    <w:rsid w:val="00835805"/>
    <w:rsid w:val="0083595F"/>
    <w:rsid w:val="008372B6"/>
    <w:rsid w:val="00843A1A"/>
    <w:rsid w:val="00846433"/>
    <w:rsid w:val="008472C2"/>
    <w:rsid w:val="008510D9"/>
    <w:rsid w:val="00851EE3"/>
    <w:rsid w:val="00853121"/>
    <w:rsid w:val="008555E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7A75"/>
    <w:rsid w:val="00991A8A"/>
    <w:rsid w:val="00992611"/>
    <w:rsid w:val="00994303"/>
    <w:rsid w:val="0099526D"/>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021"/>
    <w:rsid w:val="00A63249"/>
    <w:rsid w:val="00A6691F"/>
    <w:rsid w:val="00A67E6A"/>
    <w:rsid w:val="00A70F49"/>
    <w:rsid w:val="00A72203"/>
    <w:rsid w:val="00A7281F"/>
    <w:rsid w:val="00A73949"/>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379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1E9B"/>
    <w:rsid w:val="00C73A70"/>
    <w:rsid w:val="00C76054"/>
    <w:rsid w:val="00C779A2"/>
    <w:rsid w:val="00C80546"/>
    <w:rsid w:val="00C83CAD"/>
    <w:rsid w:val="00C8419E"/>
    <w:rsid w:val="00C851D7"/>
    <w:rsid w:val="00C85C8B"/>
    <w:rsid w:val="00C867AD"/>
    <w:rsid w:val="00C87F9F"/>
    <w:rsid w:val="00C9531B"/>
    <w:rsid w:val="00C9545D"/>
    <w:rsid w:val="00C9625C"/>
    <w:rsid w:val="00C978C6"/>
    <w:rsid w:val="00C97F2A"/>
    <w:rsid w:val="00CA112D"/>
    <w:rsid w:val="00CA1F9F"/>
    <w:rsid w:val="00CA2179"/>
    <w:rsid w:val="00CA3D8A"/>
    <w:rsid w:val="00CB26B8"/>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33E9"/>
    <w:rsid w:val="00DD55C2"/>
    <w:rsid w:val="00DD759E"/>
    <w:rsid w:val="00DE314E"/>
    <w:rsid w:val="00DE4CFB"/>
    <w:rsid w:val="00DF045B"/>
    <w:rsid w:val="00DF1ED8"/>
    <w:rsid w:val="00DF3785"/>
    <w:rsid w:val="00DF3D27"/>
    <w:rsid w:val="00DF6074"/>
    <w:rsid w:val="00E02239"/>
    <w:rsid w:val="00E047EC"/>
    <w:rsid w:val="00E077F1"/>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236F"/>
    <w:rsid w:val="00EB237E"/>
    <w:rsid w:val="00EC1546"/>
    <w:rsid w:val="00EC5B23"/>
    <w:rsid w:val="00EC5DED"/>
    <w:rsid w:val="00EC6BD8"/>
    <w:rsid w:val="00ED0356"/>
    <w:rsid w:val="00ED0D71"/>
    <w:rsid w:val="00ED3DCD"/>
    <w:rsid w:val="00ED3DD5"/>
    <w:rsid w:val="00ED56BE"/>
    <w:rsid w:val="00ED74D7"/>
    <w:rsid w:val="00ED78CD"/>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4F52"/>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99"/>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99"/>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39647880">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7574971">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fama.or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ESMA70-156-1759</_dlc_DocId>
    <TaxCatchAll xmlns="20fbe147-bbda-4e53-b6b1-7e8bbff3fe19">
      <Value>5</Value>
      <Value>46</Value>
      <Value>100</Value>
      <Value>302</Value>
      <Value>14</Value>
    </TaxCatchAll>
    <_dlc_DocIdUrl xmlns="20fbe147-bbda-4e53-b6b1-7e8bbff3fe19">
      <Url>https://sherpa.esma.europa.eu/sites/MKT/SMK/_layouts/15/DocIdRedir.aspx?ID=ESMA70-156-1759</Url>
      <Description>ESMA70-156-1759</Description>
    </_dlc_DocIdUrl>
    <Year xmlns="20fbe147-bbda-4e53-b6b1-7e8bbff3fe19">2019</Year>
    <MeetingDate xmlns="20fbe147-bbda-4e53-b6b1-7e8bbff3fe19"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Transparency</TermName>
          <TermId xmlns="http://schemas.microsoft.com/office/infopath/2007/PartnerControls">cfa6cb41-a664-4058-b745-b45e1c59694c</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Transparency - TO</TermName>
          <TermId xmlns="http://schemas.microsoft.com/office/infopath/2007/PartnerControls">092a8390-918c-4acf-885e-abcf6d1f526b</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Feedback Statement (includes responses)</TermName>
          <TermId xmlns="http://schemas.microsoft.com/office/infopath/2007/PartnerControls">00bc750a-87e5-4a0d-9385-52a7c69693e1</TermId>
        </TermInfo>
      </Terms>
    </eed0a0b2ea6941718a34434e243f3d8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2.xml><?xml version="1.0" encoding="utf-8"?>
<ds:datastoreItem xmlns:ds="http://schemas.openxmlformats.org/officeDocument/2006/customXml" ds:itemID="{F0AD11F3-D4B6-4515-9DC3-FC3CE8897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37F5EE-E87B-49CE-96B5-F95CE63A0DF2}">
  <ds:schemaRefs>
    <ds:schemaRef ds:uri="http://purl.org/dc/elements/1.1/"/>
    <ds:schemaRef ds:uri="http://schemas.microsoft.com/office/2006/metadata/properties"/>
    <ds:schemaRef ds:uri="http://schemas.microsoft.com/sharepoint/v3"/>
    <ds:schemaRef ds:uri="http://schemas.microsoft.com/sharepoint/v4"/>
    <ds:schemaRef ds:uri="http://purl.org/dc/terms/"/>
    <ds:schemaRef ds:uri="20fbe147-bbda-4e53-b6b1-7e8bbff3fe19"/>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5.xml><?xml version="1.0" encoding="utf-8"?>
<ds:datastoreItem xmlns:ds="http://schemas.openxmlformats.org/officeDocument/2006/customXml" ds:itemID="{9A7081DC-C149-4111-80BB-CBBE7B1F4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4</TotalTime>
  <Pages>9</Pages>
  <Words>1915</Words>
  <Characters>10536</Characters>
  <Application>Microsoft Office Word</Application>
  <DocSecurity>8</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12427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Isabelle Van Acker</cp:lastModifiedBy>
  <cp:revision>3</cp:revision>
  <cp:lastPrinted>2017-07-24T14:47:00Z</cp:lastPrinted>
  <dcterms:created xsi:type="dcterms:W3CDTF">2019-11-22T15:43:00Z</dcterms:created>
  <dcterms:modified xsi:type="dcterms:W3CDTF">2019-11-22T15:50:00Z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0x01010001BD15C3986B91498E0AE644B715B9EE010D00757D222C6B0DA241B5F74437644107D4</vt:lpwstr>
  </property>
  <property fmtid="{D5CDD505-2E9C-101B-9397-08002B2CF9AE}" pid="5" name="_dlc_DocIdItemGuid">
    <vt:lpwstr>9da317dd-8ed3-4788-8408-03ddb8868fa8</vt:lpwstr>
  </property>
  <property fmtid="{D5CDD505-2E9C-101B-9397-08002B2CF9AE}" pid="6" name="DocumentType">
    <vt:lpwstr>302;#Feedback Statement (includes responses)|00bc750a-87e5-4a0d-9385-52a7c69693e1</vt:lpwstr>
  </property>
  <property fmtid="{D5CDD505-2E9C-101B-9397-08002B2CF9AE}" pid="7" name="Topic">
    <vt:lpwstr>46;#Transparency|cfa6cb41-a664-4058-b745-b45e1c59694c</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5;#Secondary Markets|64c18f63-8e0f-46d8-84d6-b5a5f7a39938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100;#Transparency - TO|092a8390-918c-4acf-885e-abcf6d1f526b</vt:lpwstr>
  </property>
</Properties>
</file>