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cstheme="minorHAnsi"/>
        </w:rPr>
        <w:id w:val="-973058580"/>
        <w:docPartObj>
          <w:docPartGallery w:val="Cover Pages"/>
          <w:docPartUnique/>
        </w:docPartObj>
      </w:sdt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3CDBB7D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D13661">
            <w:trPr>
              <w:trHeight w:hRule="exact" w:val="747"/>
            </w:trPr>
            <w:tc>
              <w:tcPr>
                <w:tcW w:w="10490" w:type="dxa"/>
                <w:tcMar>
                  <w:top w:w="142" w:type="dxa"/>
                </w:tcMar>
              </w:tcPr>
              <w:p w14:paraId="7EFF292E" w14:textId="36B52825" w:rsidR="00363639" w:rsidRDefault="00CB26B8" w:rsidP="00363639">
                <w:pPr>
                  <w:pStyle w:val="Subtitle"/>
                  <w:rPr>
                    <w:rFonts w:cs="Arial"/>
                  </w:rPr>
                </w:pPr>
                <w:r>
                  <w:rPr>
                    <w:rFonts w:cs="Arial"/>
                  </w:rPr>
                  <w:t>Alignment of MiFIR with the changes introduced by EMIR Refit</w:t>
                </w:r>
              </w:p>
              <w:p w14:paraId="26CF3934" w14:textId="4EE33F45" w:rsidR="00AB6157" w:rsidRPr="00B8572C" w:rsidRDefault="00AB6157" w:rsidP="00AB6157">
                <w:pPr>
                  <w:pStyle w:val="Heading2"/>
                  <w:numPr>
                    <w:ilvl w:val="0"/>
                    <w:numId w:val="0"/>
                  </w:numPr>
                  <w:ind w:left="576" w:hanging="576"/>
                </w:pP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10FB09AA"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in particular on the specific questions summarised in Annex </w:t>
          </w:r>
          <w:r w:rsidR="00220938" w:rsidRPr="00220938">
            <w:rPr>
              <w:rFonts w:asciiTheme="minorHAnsi" w:eastAsiaTheme="minorEastAsia" w:hAnsiTheme="minorHAnsi" w:cstheme="minorBidi"/>
              <w:sz w:val="22"/>
              <w:szCs w:val="20"/>
              <w:lang w:eastAsia="en-US"/>
            </w:rPr>
            <w:t>III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51DFFA28"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2D118A">
            <w:rPr>
              <w:rFonts w:asciiTheme="minorHAnsi" w:eastAsiaTheme="minorEastAsia" w:hAnsiTheme="minorHAnsi" w:cstheme="minorBidi"/>
              <w:sz w:val="22"/>
              <w:szCs w:val="20"/>
              <w:lang w:eastAsia="en-US"/>
            </w:rPr>
            <w:t>ESMA</w:t>
          </w:r>
          <w:r w:rsidRPr="00AB6157">
            <w:rPr>
              <w:rFonts w:asciiTheme="minorHAnsi" w:eastAsiaTheme="minorEastAsia" w:hAnsiTheme="minorHAnsi" w:cstheme="minorBidi"/>
              <w:sz w:val="22"/>
              <w:szCs w:val="20"/>
              <w:lang w:eastAsia="en-US"/>
            </w:rPr>
            <w:t xml:space="preserve"> will consider all comments received </w:t>
          </w:r>
          <w:r w:rsidRPr="002D118A">
            <w:rPr>
              <w:rFonts w:asciiTheme="minorHAnsi" w:eastAsiaTheme="minorEastAsia" w:hAnsiTheme="minorHAnsi" w:cstheme="minorBidi"/>
              <w:sz w:val="22"/>
              <w:szCs w:val="20"/>
              <w:lang w:eastAsia="en-US"/>
            </w:rPr>
            <w:t xml:space="preserve">by </w:t>
          </w:r>
          <w:r w:rsidR="00CB26B8">
            <w:rPr>
              <w:rFonts w:asciiTheme="minorHAnsi" w:eastAsiaTheme="minorEastAsia" w:hAnsiTheme="minorHAnsi" w:cstheme="minorBidi"/>
              <w:b/>
              <w:sz w:val="22"/>
              <w:szCs w:val="20"/>
              <w:lang w:eastAsia="en-US"/>
            </w:rPr>
            <w:t>22</w:t>
          </w:r>
          <w:r w:rsidRPr="002D118A">
            <w:rPr>
              <w:rFonts w:asciiTheme="minorHAnsi" w:eastAsiaTheme="minorEastAsia" w:hAnsiTheme="minorHAnsi" w:cstheme="minorBidi"/>
              <w:b/>
              <w:sz w:val="22"/>
              <w:szCs w:val="20"/>
              <w:lang w:eastAsia="en-US"/>
            </w:rPr>
            <w:t xml:space="preserve"> </w:t>
          </w:r>
          <w:r w:rsidR="00CB26B8">
            <w:rPr>
              <w:rFonts w:asciiTheme="minorHAnsi" w:eastAsiaTheme="minorEastAsia" w:hAnsiTheme="minorHAnsi" w:cstheme="minorBidi"/>
              <w:b/>
              <w:sz w:val="22"/>
              <w:szCs w:val="20"/>
              <w:lang w:eastAsia="en-US"/>
            </w:rPr>
            <w:t xml:space="preserve">November </w:t>
          </w:r>
          <w:r w:rsidRPr="002D118A">
            <w:rPr>
              <w:rFonts w:asciiTheme="minorHAnsi" w:eastAsiaTheme="minorEastAsia" w:hAnsiTheme="minorHAnsi" w:cstheme="minorBidi"/>
              <w:b/>
              <w:sz w:val="22"/>
              <w:szCs w:val="20"/>
              <w:lang w:eastAsia="en-US"/>
            </w:rPr>
            <w:t>2019.</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6BA2D46D"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ED78CD">
            <w:rPr>
              <w:rFonts w:eastAsiaTheme="minorEastAsia" w:cstheme="minorBidi"/>
              <w:szCs w:val="20"/>
              <w:lang w:eastAsia="en-US"/>
            </w:rPr>
            <w:t>AMER</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3CFD46F2"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ED78CD">
            <w:rPr>
              <w:rFonts w:eastAsiaTheme="minorEastAsia" w:cstheme="minorBidi"/>
              <w:szCs w:val="20"/>
              <w:lang w:eastAsia="en-US"/>
            </w:rPr>
            <w:t>AMER</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ED78CD">
            <w:rPr>
              <w:rFonts w:eastAsiaTheme="minorEastAsia" w:cstheme="minorBidi"/>
              <w:szCs w:val="20"/>
              <w:lang w:eastAsia="en-US"/>
            </w:rPr>
            <w:t>AMER</w:t>
          </w:r>
          <w:r w:rsidRPr="00C85C8B">
            <w:rPr>
              <w:rFonts w:eastAsiaTheme="minorEastAsia" w:cstheme="minorBidi"/>
              <w:szCs w:val="20"/>
              <w:lang w:eastAsia="en-US"/>
            </w:rPr>
            <w:t>_ABCD_RESPONSEFORM.</w:t>
          </w:r>
        </w:p>
        <w:p w14:paraId="1A9C59D6" w14:textId="34F7EAAE"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AB6157">
            <w:rPr>
              <w:rFonts w:eastAsiaTheme="minorEastAsia" w:cstheme="minorBidi"/>
              <w:szCs w:val="20"/>
              <w:lang w:eastAsia="en-US"/>
            </w:rPr>
            <w:t>Position limits and position management in commodities derivatives</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24BBA7EC"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sdtContent>
    </w:sdt>
    <w:p w14:paraId="4E25D9A8" w14:textId="77777777" w:rsidR="00CB26B8" w:rsidRPr="00CB26B8" w:rsidRDefault="00CB26B8" w:rsidP="00CB26B8">
      <w:pPr>
        <w:rPr>
          <w:rFonts w:asciiTheme="minorHAnsi" w:eastAsiaTheme="minorEastAsia" w:hAnsiTheme="minorHAnsi" w:cstheme="minorBidi"/>
          <w:sz w:val="22"/>
          <w:szCs w:val="20"/>
          <w:lang w:eastAsia="en-US"/>
        </w:rPr>
      </w:pPr>
      <w:r w:rsidRPr="00CB26B8">
        <w:rPr>
          <w:rFonts w:asciiTheme="minorHAnsi" w:eastAsiaTheme="minorEastAsia" w:hAnsiTheme="minorHAnsi" w:cstheme="minorBidi"/>
          <w:sz w:val="22"/>
          <w:szCs w:val="20"/>
          <w:lang w:eastAsia="en-US"/>
        </w:rPr>
        <w:t>This document is of interest mainly to financial and non-financial counterparties which are subject to the trading obligation under MiFIR and/or to the clearing obligation under EMIR.</w:t>
      </w:r>
    </w:p>
    <w:p w14:paraId="20AC791C" w14:textId="77777777" w:rsidR="00AF2EF7" w:rsidRPr="00CB26B8" w:rsidRDefault="00AF2EF7" w:rsidP="00AF2EF7">
      <w:pPr>
        <w:spacing w:after="120" w:line="276" w:lineRule="auto"/>
        <w:rPr>
          <w:rFonts w:asciiTheme="minorHAnsi" w:eastAsiaTheme="minorEastAsia" w:hAnsiTheme="minorHAnsi" w:cstheme="minorBidi"/>
          <w:sz w:val="22"/>
          <w:szCs w:val="20"/>
          <w:lang w:eastAsia="en-US"/>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6CDCEB5F" w:rsidR="00C85C8B" w:rsidRPr="00C85C8B" w:rsidRDefault="00E613E6" w:rsidP="00E613E6">
                <w:pPr>
                  <w:rPr>
                    <w:rFonts w:ascii="Arial" w:hAnsi="Arial" w:cs="Arial"/>
                    <w:color w:val="808080"/>
                    <w:sz w:val="20"/>
                    <w:lang w:eastAsia="de-DE"/>
                  </w:rPr>
                </w:pPr>
                <w:r>
                  <w:rPr>
                    <w:rFonts w:ascii="Arial" w:hAnsi="Arial" w:cs="Arial"/>
                    <w:color w:val="808080"/>
                    <w:sz w:val="20"/>
                    <w:lang w:eastAsia="de-DE"/>
                  </w:rPr>
                  <w:t>Citadel</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65EAEC29" w:rsidR="00C85C8B" w:rsidRPr="00C85C8B" w:rsidRDefault="00363AEC"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E613E6">
                  <w:rPr>
                    <w:rFonts w:ascii="Arial" w:hAnsi="Arial" w:cs="Arial"/>
                    <w:sz w:val="20"/>
                    <w:lang w:eastAsia="de-DE"/>
                  </w:rPr>
                  <w:t>Other Financial service providers</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77777777" w:rsidR="00C85C8B" w:rsidRPr="00C85C8B" w:rsidRDefault="00C85C8B" w:rsidP="00C85C8B">
                <w:pPr>
                  <w:rPr>
                    <w:rFonts w:ascii="Arial" w:hAnsi="Arial" w:cs="Arial"/>
                    <w:sz w:val="20"/>
                    <w:lang w:eastAsia="de-DE"/>
                  </w:rPr>
                </w:pPr>
                <w:r w:rsidRPr="00C85C8B">
                  <w:rPr>
                    <w:rFonts w:ascii="Segoe UI Symbol" w:hAnsi="Segoe UI Symbol" w:cs="Segoe UI Symbol"/>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216A4CC3" w:rsidR="00C85C8B" w:rsidRPr="00C85C8B" w:rsidRDefault="00E613E6" w:rsidP="00C85C8B">
                <w:pPr>
                  <w:rPr>
                    <w:rFonts w:ascii="Arial" w:hAnsi="Arial" w:cs="Arial"/>
                    <w:sz w:val="20"/>
                    <w:lang w:eastAsia="de-DE"/>
                  </w:rPr>
                </w:pPr>
                <w:r>
                  <w:rPr>
                    <w:rFonts w:ascii="Arial" w:hAnsi="Arial" w:cs="Arial"/>
                    <w:sz w:val="20"/>
                    <w:lang w:eastAsia="de-DE"/>
                  </w:rPr>
                  <w:t>International</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3C59A91B"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E077F1">
        <w:rPr>
          <w:rFonts w:asciiTheme="minorHAnsi" w:eastAsiaTheme="minorEastAsia" w:hAnsiTheme="minorHAnsi" w:cstheme="minorBidi"/>
          <w:sz w:val="22"/>
          <w:szCs w:val="20"/>
          <w:lang w:eastAsia="en-US"/>
        </w:rPr>
        <w:t>AMER</w:t>
      </w:r>
      <w:r w:rsidRPr="00C85C8B">
        <w:rPr>
          <w:rFonts w:asciiTheme="minorHAnsi" w:eastAsiaTheme="minorEastAsia" w:hAnsiTheme="minorHAnsi" w:cstheme="minorBidi"/>
          <w:sz w:val="22"/>
          <w:szCs w:val="20"/>
          <w:lang w:eastAsia="en-US"/>
        </w:rPr>
        <w:t>_1&gt;</w:t>
      </w:r>
    </w:p>
    <w:p w14:paraId="02AF2FF9" w14:textId="77777777" w:rsidR="00C85C8B" w:rsidRPr="00C85C8B" w:rsidRDefault="00C85C8B" w:rsidP="00C85C8B">
      <w:pPr>
        <w:spacing w:after="250" w:line="276" w:lineRule="auto"/>
        <w:jc w:val="both"/>
        <w:rPr>
          <w:rFonts w:ascii="Arial" w:eastAsiaTheme="minorEastAsia" w:hAnsi="Arial" w:cs="Arial"/>
          <w:sz w:val="22"/>
          <w:szCs w:val="20"/>
          <w:lang w:eastAsia="en-US"/>
        </w:rPr>
      </w:pPr>
      <w:permStart w:id="885457707" w:edGrp="everyone"/>
      <w:r w:rsidRPr="00C85C8B">
        <w:rPr>
          <w:rFonts w:ascii="Arial" w:eastAsiaTheme="minorEastAsia" w:hAnsi="Arial" w:cs="Arial"/>
          <w:sz w:val="22"/>
          <w:szCs w:val="20"/>
          <w:lang w:eastAsia="en-US"/>
        </w:rPr>
        <w:t>TYPE YOUR TEXT HERE</w:t>
      </w:r>
    </w:p>
    <w:permEnd w:id="885457707"/>
    <w:p w14:paraId="15D00E65" w14:textId="21015382"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E077F1">
        <w:rPr>
          <w:rFonts w:asciiTheme="minorHAnsi" w:eastAsiaTheme="minorEastAsia" w:hAnsiTheme="minorHAnsi" w:cs="Arial"/>
          <w:sz w:val="22"/>
          <w:szCs w:val="20"/>
          <w:lang w:eastAsia="en-US"/>
        </w:rPr>
        <w:t>AMER</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89A1E31" w14:textId="31138F9C" w:rsidR="00AB6157" w:rsidRDefault="00AB6157" w:rsidP="00C1698A">
      <w:pPr>
        <w:spacing w:line="276" w:lineRule="auto"/>
        <w:rPr>
          <w:rFonts w:asciiTheme="minorHAnsi" w:hAnsiTheme="minorHAnsi" w:cstheme="minorHAnsi"/>
          <w:b/>
          <w:sz w:val="28"/>
          <w:szCs w:val="28"/>
        </w:rPr>
      </w:pPr>
    </w:p>
    <w:p w14:paraId="623CE6BD" w14:textId="77777777" w:rsidR="00E077F1" w:rsidRDefault="00E077F1" w:rsidP="00E077F1">
      <w:pPr>
        <w:pStyle w:val="Questionstyle"/>
        <w:numPr>
          <w:ilvl w:val="0"/>
          <w:numId w:val="17"/>
        </w:numPr>
        <w:spacing w:after="250" w:line="276" w:lineRule="auto"/>
      </w:pPr>
      <w:r>
        <w:t>: Do you have any comment on the analysis of the amendments in relation to financial counterparties?</w:t>
      </w:r>
    </w:p>
    <w:p w14:paraId="556CCAE8" w14:textId="77777777" w:rsidR="00E077F1" w:rsidRDefault="00E077F1" w:rsidP="00E077F1">
      <w:pPr>
        <w:rPr>
          <w:rFonts w:ascii="Arial" w:hAnsi="Arial" w:cs="Arial"/>
        </w:rPr>
      </w:pPr>
      <w:r>
        <w:rPr>
          <w:rFonts w:ascii="Arial" w:hAnsi="Arial" w:cs="Arial"/>
        </w:rPr>
        <w:t>&lt;ESMA_QUESTION_AMER_1&gt;</w:t>
      </w:r>
    </w:p>
    <w:p w14:paraId="49B115D9" w14:textId="77777777" w:rsidR="00E077F1" w:rsidRDefault="00E077F1" w:rsidP="00E077F1">
      <w:pPr>
        <w:rPr>
          <w:rFonts w:ascii="Arial" w:hAnsi="Arial" w:cs="Arial"/>
        </w:rPr>
      </w:pPr>
      <w:permStart w:id="324010314" w:edGrp="everyone"/>
      <w:r>
        <w:rPr>
          <w:rFonts w:ascii="Arial" w:hAnsi="Arial" w:cs="Arial"/>
        </w:rPr>
        <w:t>TYPE YOUR TEXT HERE</w:t>
      </w:r>
    </w:p>
    <w:permEnd w:id="324010314"/>
    <w:p w14:paraId="29A0116E" w14:textId="77777777" w:rsidR="00E077F1" w:rsidRDefault="00E077F1" w:rsidP="00E077F1">
      <w:pPr>
        <w:rPr>
          <w:rFonts w:ascii="Arial" w:hAnsi="Arial" w:cs="Arial"/>
        </w:rPr>
      </w:pPr>
      <w:r>
        <w:rPr>
          <w:rFonts w:ascii="Arial" w:hAnsi="Arial" w:cs="Arial"/>
        </w:rPr>
        <w:t>&lt;ESMA_QUESTION_AMER_1&gt;</w:t>
      </w:r>
    </w:p>
    <w:p w14:paraId="7CC97C81" w14:textId="77777777" w:rsidR="00E077F1" w:rsidRDefault="00E077F1" w:rsidP="00E077F1">
      <w:pPr>
        <w:rPr>
          <w:rFonts w:ascii="Arial" w:hAnsi="Arial" w:cs="Arial"/>
        </w:rPr>
      </w:pPr>
    </w:p>
    <w:p w14:paraId="58BA4F02" w14:textId="77777777" w:rsidR="00E077F1" w:rsidRDefault="00E077F1" w:rsidP="00E077F1">
      <w:pPr>
        <w:pStyle w:val="Questionstyle"/>
        <w:numPr>
          <w:ilvl w:val="0"/>
          <w:numId w:val="17"/>
        </w:numPr>
        <w:spacing w:after="250" w:line="276" w:lineRule="auto"/>
        <w:rPr>
          <w:rFonts w:ascii="Arial" w:hAnsi="Arial" w:cs="Arial"/>
        </w:rPr>
      </w:pPr>
      <w:r>
        <w:t>Do you have any comment on the analysis of the amendments in relation to non-financial counterparties?</w:t>
      </w:r>
    </w:p>
    <w:p w14:paraId="7E75DA29" w14:textId="77777777" w:rsidR="00E077F1" w:rsidRDefault="00E077F1" w:rsidP="00E077F1">
      <w:pPr>
        <w:rPr>
          <w:rFonts w:ascii="Arial" w:hAnsi="Arial" w:cs="Arial"/>
        </w:rPr>
      </w:pPr>
      <w:r>
        <w:rPr>
          <w:rFonts w:ascii="Arial" w:hAnsi="Arial" w:cs="Arial"/>
        </w:rPr>
        <w:t>&lt;ESMA_QUESTION_AMER_2&gt;</w:t>
      </w:r>
    </w:p>
    <w:p w14:paraId="0A3F6051" w14:textId="77777777" w:rsidR="00E077F1" w:rsidRDefault="00E077F1" w:rsidP="00E077F1">
      <w:pPr>
        <w:rPr>
          <w:rFonts w:ascii="Arial" w:hAnsi="Arial" w:cs="Arial"/>
        </w:rPr>
      </w:pPr>
      <w:permStart w:id="47650440" w:edGrp="everyone"/>
      <w:r>
        <w:rPr>
          <w:rFonts w:ascii="Arial" w:hAnsi="Arial" w:cs="Arial"/>
        </w:rPr>
        <w:t>TYPE YOUR TEXT HERE</w:t>
      </w:r>
    </w:p>
    <w:permEnd w:id="47650440"/>
    <w:p w14:paraId="3C5EBBFF" w14:textId="77777777" w:rsidR="00E077F1" w:rsidRDefault="00E077F1" w:rsidP="00E077F1">
      <w:pPr>
        <w:rPr>
          <w:rFonts w:ascii="Arial" w:hAnsi="Arial" w:cs="Arial"/>
        </w:rPr>
      </w:pPr>
      <w:r>
        <w:rPr>
          <w:rFonts w:ascii="Arial" w:hAnsi="Arial" w:cs="Arial"/>
        </w:rPr>
        <w:t>&lt;ESMA_QUESTION_AMER_2&gt;</w:t>
      </w:r>
    </w:p>
    <w:p w14:paraId="195F04CC" w14:textId="77777777" w:rsidR="00E077F1" w:rsidRDefault="00E077F1" w:rsidP="00E077F1">
      <w:pPr>
        <w:rPr>
          <w:rFonts w:ascii="Arial" w:hAnsi="Arial" w:cs="Arial"/>
        </w:rPr>
      </w:pPr>
    </w:p>
    <w:p w14:paraId="6D47D3CF" w14:textId="77777777" w:rsidR="00E077F1" w:rsidRDefault="00E077F1" w:rsidP="00E077F1">
      <w:pPr>
        <w:pStyle w:val="Questionstyle"/>
        <w:numPr>
          <w:ilvl w:val="0"/>
          <w:numId w:val="17"/>
        </w:numPr>
        <w:spacing w:after="250" w:line="276" w:lineRule="auto"/>
        <w:rPr>
          <w:rFonts w:ascii="Arial" w:hAnsi="Arial" w:cs="Arial"/>
        </w:rPr>
      </w:pPr>
      <w:r>
        <w:t>: What is your view on the possible development of on-venue trading for contracts not cleared with a CCP? What are the challenges for the trading venues? What are the challenges for the counterparties exempted from the CO and subject to the DTO?</w:t>
      </w:r>
    </w:p>
    <w:p w14:paraId="779593E6" w14:textId="77777777" w:rsidR="00E077F1" w:rsidRDefault="00E077F1" w:rsidP="00E077F1">
      <w:pPr>
        <w:rPr>
          <w:rFonts w:ascii="Arial" w:hAnsi="Arial" w:cs="Arial"/>
        </w:rPr>
      </w:pPr>
      <w:r>
        <w:rPr>
          <w:rFonts w:ascii="Arial" w:hAnsi="Arial" w:cs="Arial"/>
        </w:rPr>
        <w:t>&lt;ESMA_QUESTION_AMER_3&gt;</w:t>
      </w:r>
    </w:p>
    <w:p w14:paraId="628F124C" w14:textId="1C9A2638" w:rsidR="00BF58B4" w:rsidRDefault="007703CA" w:rsidP="00E077F1">
      <w:pPr>
        <w:rPr>
          <w:rFonts w:ascii="Arial" w:hAnsi="Arial" w:cs="Arial"/>
        </w:rPr>
      </w:pPr>
      <w:permStart w:id="621416345" w:edGrp="everyone"/>
      <w:r>
        <w:rPr>
          <w:rFonts w:ascii="Arial" w:hAnsi="Arial" w:cs="Arial"/>
        </w:rPr>
        <w:t xml:space="preserve">We note that most </w:t>
      </w:r>
      <w:proofErr w:type="spellStart"/>
      <w:r>
        <w:rPr>
          <w:rFonts w:ascii="Arial" w:hAnsi="Arial" w:cs="Arial"/>
        </w:rPr>
        <w:t>MTFs</w:t>
      </w:r>
      <w:proofErr w:type="spellEnd"/>
      <w:r>
        <w:rPr>
          <w:rFonts w:ascii="Arial" w:hAnsi="Arial" w:cs="Arial"/>
        </w:rPr>
        <w:t xml:space="preserve"> and </w:t>
      </w:r>
      <w:proofErr w:type="spellStart"/>
      <w:r>
        <w:rPr>
          <w:rFonts w:ascii="Arial" w:hAnsi="Arial" w:cs="Arial"/>
        </w:rPr>
        <w:t>OTFs</w:t>
      </w:r>
      <w:proofErr w:type="spellEnd"/>
      <w:r>
        <w:rPr>
          <w:rFonts w:ascii="Arial" w:hAnsi="Arial" w:cs="Arial"/>
        </w:rPr>
        <w:t xml:space="preserve"> already support the trading of </w:t>
      </w:r>
      <w:proofErr w:type="spellStart"/>
      <w:r>
        <w:rPr>
          <w:rFonts w:ascii="Arial" w:hAnsi="Arial" w:cs="Arial"/>
        </w:rPr>
        <w:t>uncleared</w:t>
      </w:r>
      <w:proofErr w:type="spellEnd"/>
      <w:r>
        <w:rPr>
          <w:rFonts w:ascii="Arial" w:hAnsi="Arial" w:cs="Arial"/>
        </w:rPr>
        <w:t xml:space="preserve"> OTC derivatives</w:t>
      </w:r>
      <w:r w:rsidR="00BF58B4">
        <w:rPr>
          <w:rFonts w:ascii="Arial" w:hAnsi="Arial" w:cs="Arial"/>
        </w:rPr>
        <w:t xml:space="preserve"> </w:t>
      </w:r>
      <w:r w:rsidR="00BF58B4" w:rsidRPr="00BF58B4">
        <w:rPr>
          <w:rFonts w:ascii="Arial" w:hAnsi="Arial" w:cs="Arial"/>
        </w:rPr>
        <w:t xml:space="preserve">and material </w:t>
      </w:r>
      <w:r w:rsidR="00BF58B4">
        <w:rPr>
          <w:rFonts w:ascii="Arial" w:hAnsi="Arial" w:cs="Arial"/>
        </w:rPr>
        <w:t>volumes</w:t>
      </w:r>
      <w:r w:rsidR="00BF58B4" w:rsidRPr="00BF58B4">
        <w:rPr>
          <w:rFonts w:ascii="Arial" w:hAnsi="Arial" w:cs="Arial"/>
        </w:rPr>
        <w:t xml:space="preserve"> of </w:t>
      </w:r>
      <w:proofErr w:type="spellStart"/>
      <w:r w:rsidR="00BF58B4" w:rsidRPr="00BF58B4">
        <w:rPr>
          <w:rFonts w:ascii="Arial" w:hAnsi="Arial" w:cs="Arial"/>
        </w:rPr>
        <w:t>uncleared</w:t>
      </w:r>
      <w:proofErr w:type="spellEnd"/>
      <w:r w:rsidR="00BF58B4" w:rsidRPr="00BF58B4">
        <w:rPr>
          <w:rFonts w:ascii="Arial" w:hAnsi="Arial" w:cs="Arial"/>
        </w:rPr>
        <w:t xml:space="preserve"> OTC derivatives </w:t>
      </w:r>
      <w:r w:rsidR="00BF58B4">
        <w:rPr>
          <w:rFonts w:ascii="Arial" w:hAnsi="Arial" w:cs="Arial"/>
        </w:rPr>
        <w:t xml:space="preserve">are already executed </w:t>
      </w:r>
      <w:r w:rsidR="00BF58B4" w:rsidRPr="00BF58B4">
        <w:rPr>
          <w:rFonts w:ascii="Arial" w:hAnsi="Arial" w:cs="Arial"/>
        </w:rPr>
        <w:t xml:space="preserve">on </w:t>
      </w:r>
      <w:proofErr w:type="spellStart"/>
      <w:r w:rsidR="00BF58B4" w:rsidRPr="00BF58B4">
        <w:rPr>
          <w:rFonts w:ascii="Arial" w:hAnsi="Arial" w:cs="Arial"/>
        </w:rPr>
        <w:t>MTFs</w:t>
      </w:r>
      <w:proofErr w:type="spellEnd"/>
      <w:r w:rsidR="00BF58B4" w:rsidRPr="00BF58B4">
        <w:rPr>
          <w:rFonts w:ascii="Arial" w:hAnsi="Arial" w:cs="Arial"/>
        </w:rPr>
        <w:t xml:space="preserve"> and </w:t>
      </w:r>
      <w:proofErr w:type="spellStart"/>
      <w:r w:rsidR="00BF58B4" w:rsidRPr="00BF58B4">
        <w:rPr>
          <w:rFonts w:ascii="Arial" w:hAnsi="Arial" w:cs="Arial"/>
        </w:rPr>
        <w:t>OTFs</w:t>
      </w:r>
      <w:proofErr w:type="spellEnd"/>
      <w:r w:rsidR="00BF58B4" w:rsidRPr="00BF58B4">
        <w:rPr>
          <w:rFonts w:ascii="Arial" w:hAnsi="Arial" w:cs="Arial"/>
        </w:rPr>
        <w:t xml:space="preserve">, both in the dealer-to-customer and dealer-to-dealer </w:t>
      </w:r>
      <w:r w:rsidR="00BF58B4">
        <w:rPr>
          <w:rFonts w:ascii="Arial" w:hAnsi="Arial" w:cs="Arial"/>
        </w:rPr>
        <w:t>segments of the market</w:t>
      </w:r>
      <w:r>
        <w:rPr>
          <w:rFonts w:ascii="Arial" w:hAnsi="Arial" w:cs="Arial"/>
        </w:rPr>
        <w:t xml:space="preserve">.  </w:t>
      </w:r>
    </w:p>
    <w:p w14:paraId="058D8026" w14:textId="77777777" w:rsidR="00BF58B4" w:rsidRDefault="00BF58B4" w:rsidP="00E077F1">
      <w:pPr>
        <w:rPr>
          <w:rFonts w:ascii="Arial" w:hAnsi="Arial" w:cs="Arial"/>
        </w:rPr>
      </w:pPr>
    </w:p>
    <w:p w14:paraId="6A04E8C7" w14:textId="2B05686F" w:rsidR="00F30736" w:rsidRDefault="007703CA" w:rsidP="00E077F1">
      <w:pPr>
        <w:rPr>
          <w:rFonts w:ascii="Arial" w:hAnsi="Arial" w:cs="Arial"/>
        </w:rPr>
      </w:pPr>
      <w:r>
        <w:rPr>
          <w:rFonts w:ascii="Arial" w:hAnsi="Arial" w:cs="Arial"/>
        </w:rPr>
        <w:t xml:space="preserve">The </w:t>
      </w:r>
      <w:r w:rsidR="00BF58B4">
        <w:rPr>
          <w:rFonts w:ascii="Arial" w:hAnsi="Arial" w:cs="Arial"/>
        </w:rPr>
        <w:t xml:space="preserve">disclosed, </w:t>
      </w:r>
      <w:r>
        <w:rPr>
          <w:rFonts w:ascii="Arial" w:hAnsi="Arial" w:cs="Arial"/>
        </w:rPr>
        <w:t xml:space="preserve">bilateral nature of the Request-for-Quote process typically used on the main dealer-to-customer venues </w:t>
      </w:r>
      <w:r w:rsidR="00BF58B4">
        <w:rPr>
          <w:rFonts w:ascii="Arial" w:hAnsi="Arial" w:cs="Arial"/>
        </w:rPr>
        <w:t>allows</w:t>
      </w:r>
      <w:r>
        <w:rPr>
          <w:rFonts w:ascii="Arial" w:hAnsi="Arial" w:cs="Arial"/>
        </w:rPr>
        <w:t xml:space="preserve"> counterparties to ensure they have the appropriate bilateral documentation in place to execute an </w:t>
      </w:r>
      <w:proofErr w:type="spellStart"/>
      <w:r>
        <w:rPr>
          <w:rFonts w:ascii="Arial" w:hAnsi="Arial" w:cs="Arial"/>
        </w:rPr>
        <w:t>uncleared</w:t>
      </w:r>
      <w:proofErr w:type="spellEnd"/>
      <w:r>
        <w:rPr>
          <w:rFonts w:ascii="Arial" w:hAnsi="Arial" w:cs="Arial"/>
        </w:rPr>
        <w:t xml:space="preserve"> OTC derivative.  </w:t>
      </w:r>
      <w:r w:rsidR="00F61F39">
        <w:rPr>
          <w:rFonts w:ascii="Arial" w:hAnsi="Arial" w:cs="Arial"/>
        </w:rPr>
        <w:t>In turn, v</w:t>
      </w:r>
      <w:r>
        <w:rPr>
          <w:rFonts w:ascii="Arial" w:hAnsi="Arial" w:cs="Arial"/>
        </w:rPr>
        <w:t xml:space="preserve">oice brokers assist with this process </w:t>
      </w:r>
      <w:r w:rsidR="00BF58B4">
        <w:rPr>
          <w:rFonts w:ascii="Arial" w:hAnsi="Arial" w:cs="Arial"/>
        </w:rPr>
        <w:t>on pre-trade anonymous dealer-to-dealer</w:t>
      </w:r>
      <w:r>
        <w:rPr>
          <w:rFonts w:ascii="Arial" w:hAnsi="Arial" w:cs="Arial"/>
        </w:rPr>
        <w:t xml:space="preserve"> venues.</w:t>
      </w:r>
    </w:p>
    <w:p w14:paraId="24CBA2F9" w14:textId="149687DA" w:rsidR="007703CA" w:rsidRDefault="007703CA" w:rsidP="00E077F1">
      <w:pPr>
        <w:rPr>
          <w:rFonts w:ascii="Arial" w:hAnsi="Arial" w:cs="Arial"/>
        </w:rPr>
      </w:pPr>
    </w:p>
    <w:p w14:paraId="6DE6756F" w14:textId="507FE55A" w:rsidR="007703CA" w:rsidRDefault="00F61F39" w:rsidP="00E077F1">
      <w:pPr>
        <w:rPr>
          <w:rFonts w:ascii="Arial" w:hAnsi="Arial" w:cs="Arial"/>
        </w:rPr>
      </w:pPr>
      <w:r>
        <w:rPr>
          <w:rFonts w:ascii="Arial" w:hAnsi="Arial" w:cs="Arial"/>
        </w:rPr>
        <w:t>From a client’s perspective, e</w:t>
      </w:r>
      <w:r w:rsidR="007703CA">
        <w:rPr>
          <w:rFonts w:ascii="Arial" w:hAnsi="Arial" w:cs="Arial"/>
        </w:rPr>
        <w:t xml:space="preserve">xecuting an </w:t>
      </w:r>
      <w:proofErr w:type="spellStart"/>
      <w:r w:rsidR="007703CA">
        <w:rPr>
          <w:rFonts w:ascii="Arial" w:hAnsi="Arial" w:cs="Arial"/>
        </w:rPr>
        <w:t>uncleared</w:t>
      </w:r>
      <w:proofErr w:type="spellEnd"/>
      <w:r w:rsidR="007703CA">
        <w:rPr>
          <w:rFonts w:ascii="Arial" w:hAnsi="Arial" w:cs="Arial"/>
        </w:rPr>
        <w:t xml:space="preserve"> OTC derivative on a trading venue may provide greater transparency and price competition compared to bilateral off-venue trading, as prices from multiple liquidity providers can be </w:t>
      </w:r>
      <w:r w:rsidR="002635F4">
        <w:rPr>
          <w:rFonts w:ascii="Arial" w:hAnsi="Arial" w:cs="Arial"/>
        </w:rPr>
        <w:t xml:space="preserve">accessed and </w:t>
      </w:r>
      <w:r w:rsidR="007703CA">
        <w:rPr>
          <w:rFonts w:ascii="Arial" w:hAnsi="Arial" w:cs="Arial"/>
        </w:rPr>
        <w:t>compared at the same time.</w:t>
      </w:r>
    </w:p>
    <w:permEnd w:id="621416345"/>
    <w:p w14:paraId="0288B294" w14:textId="77777777" w:rsidR="00E077F1" w:rsidRDefault="00E077F1" w:rsidP="00E077F1">
      <w:pPr>
        <w:rPr>
          <w:rFonts w:ascii="Arial" w:hAnsi="Arial" w:cs="Arial"/>
        </w:rPr>
      </w:pPr>
      <w:r>
        <w:rPr>
          <w:rFonts w:ascii="Arial" w:hAnsi="Arial" w:cs="Arial"/>
        </w:rPr>
        <w:t>&lt;ESMA_QUESTION_AMER_3&gt;</w:t>
      </w:r>
    </w:p>
    <w:p w14:paraId="51377F2D" w14:textId="77777777" w:rsidR="00E077F1" w:rsidRDefault="00E077F1" w:rsidP="00E077F1">
      <w:pPr>
        <w:rPr>
          <w:rFonts w:ascii="Arial" w:hAnsi="Arial" w:cs="Arial"/>
        </w:rPr>
      </w:pPr>
    </w:p>
    <w:p w14:paraId="5916D005" w14:textId="77777777" w:rsidR="00E077F1" w:rsidRDefault="00E077F1" w:rsidP="00E077F1">
      <w:pPr>
        <w:pStyle w:val="Questionstyle"/>
        <w:numPr>
          <w:ilvl w:val="0"/>
          <w:numId w:val="17"/>
        </w:numPr>
        <w:spacing w:after="250" w:line="276" w:lineRule="auto"/>
        <w:rPr>
          <w:rFonts w:ascii="Arial" w:hAnsi="Arial" w:cs="Arial"/>
        </w:rPr>
      </w:pPr>
      <w:r>
        <w:t>: What is your view on the arguments exposed above, supporting the status quo i.e. a misalignment between the scope of counterparties subject to the CO and the DTO (G20 objectives, compliance with the DTO less burdensome than with the CO)? Can you identify other arguments?</w:t>
      </w:r>
    </w:p>
    <w:p w14:paraId="5B372529" w14:textId="77777777" w:rsidR="00E077F1" w:rsidRDefault="00E077F1" w:rsidP="00E077F1">
      <w:pPr>
        <w:rPr>
          <w:rFonts w:ascii="Arial" w:hAnsi="Arial" w:cs="Arial"/>
        </w:rPr>
      </w:pPr>
      <w:r>
        <w:rPr>
          <w:rFonts w:ascii="Arial" w:hAnsi="Arial" w:cs="Arial"/>
        </w:rPr>
        <w:t>&lt;ESMA_QUESTION_AMER_4&gt;</w:t>
      </w:r>
    </w:p>
    <w:p w14:paraId="6D996B76" w14:textId="77777777" w:rsidR="00E077F1" w:rsidRDefault="00E077F1" w:rsidP="00E077F1">
      <w:pPr>
        <w:rPr>
          <w:rFonts w:ascii="Arial" w:hAnsi="Arial" w:cs="Arial"/>
        </w:rPr>
      </w:pPr>
      <w:permStart w:id="659042240" w:edGrp="everyone"/>
      <w:r>
        <w:rPr>
          <w:rFonts w:ascii="Arial" w:hAnsi="Arial" w:cs="Arial"/>
        </w:rPr>
        <w:t>TYPE YOUR TEXT HERE</w:t>
      </w:r>
    </w:p>
    <w:permEnd w:id="659042240"/>
    <w:p w14:paraId="31BC7857" w14:textId="77777777" w:rsidR="00E077F1" w:rsidRDefault="00E077F1" w:rsidP="00E077F1">
      <w:pPr>
        <w:rPr>
          <w:rFonts w:ascii="Arial" w:hAnsi="Arial" w:cs="Arial"/>
        </w:rPr>
      </w:pPr>
      <w:r>
        <w:rPr>
          <w:rFonts w:ascii="Arial" w:hAnsi="Arial" w:cs="Arial"/>
        </w:rPr>
        <w:t>&lt;ESMA_QUESTION_AMER_4&gt;</w:t>
      </w:r>
    </w:p>
    <w:p w14:paraId="26617FCB" w14:textId="77777777" w:rsidR="00E077F1" w:rsidRDefault="00E077F1" w:rsidP="00E077F1">
      <w:pPr>
        <w:rPr>
          <w:rFonts w:ascii="Arial" w:hAnsi="Arial" w:cs="Arial"/>
        </w:rPr>
      </w:pPr>
    </w:p>
    <w:p w14:paraId="05704E97" w14:textId="77777777" w:rsidR="00E077F1" w:rsidRDefault="00E077F1" w:rsidP="00E077F1">
      <w:pPr>
        <w:pStyle w:val="Questionstyle"/>
        <w:numPr>
          <w:ilvl w:val="0"/>
          <w:numId w:val="17"/>
        </w:numPr>
        <w:spacing w:after="250" w:line="276" w:lineRule="auto"/>
        <w:rPr>
          <w:rFonts w:ascii="Arial" w:hAnsi="Arial" w:cs="Arial"/>
        </w:rPr>
      </w:pPr>
      <w:r>
        <w:lastRenderedPageBreak/>
        <w:t>: What is your view on the arguments exposed above, supporting the alignment between the scope of counterparties subject to the CO and the DTO (initial policy intention, potential de-facto clearing obligation, limitation of operation burden)? Can you identify other arguments?</w:t>
      </w:r>
    </w:p>
    <w:p w14:paraId="4083A10A" w14:textId="77777777" w:rsidR="00E077F1" w:rsidRDefault="00E077F1" w:rsidP="00E077F1">
      <w:pPr>
        <w:rPr>
          <w:rFonts w:ascii="Arial" w:hAnsi="Arial" w:cs="Arial"/>
        </w:rPr>
      </w:pPr>
      <w:r>
        <w:rPr>
          <w:rFonts w:ascii="Arial" w:hAnsi="Arial" w:cs="Arial"/>
        </w:rPr>
        <w:t>&lt;ESMA_QUESTION_AMER_5&gt;</w:t>
      </w:r>
    </w:p>
    <w:p w14:paraId="14C5E097" w14:textId="53099E70" w:rsidR="00E077F1" w:rsidRDefault="00814202" w:rsidP="00E077F1">
      <w:pPr>
        <w:rPr>
          <w:rFonts w:ascii="Arial" w:hAnsi="Arial" w:cs="Arial"/>
        </w:rPr>
      </w:pPr>
      <w:permStart w:id="1025193561" w:edGrp="everyone"/>
      <w:r>
        <w:rPr>
          <w:rFonts w:ascii="Arial" w:hAnsi="Arial" w:cs="Arial"/>
        </w:rPr>
        <w:t xml:space="preserve">While we do not disagree with aligning the scope of counterparties subject to the CO and </w:t>
      </w:r>
      <w:r w:rsidR="00B3719C">
        <w:rPr>
          <w:rFonts w:ascii="Arial" w:hAnsi="Arial" w:cs="Arial"/>
        </w:rPr>
        <w:t xml:space="preserve">the </w:t>
      </w:r>
      <w:proofErr w:type="spellStart"/>
      <w:r w:rsidR="00B3719C">
        <w:rPr>
          <w:rFonts w:ascii="Arial" w:hAnsi="Arial" w:cs="Arial"/>
        </w:rPr>
        <w:t>DTO</w:t>
      </w:r>
      <w:proofErr w:type="spellEnd"/>
      <w:r w:rsidR="00B3719C">
        <w:rPr>
          <w:rFonts w:ascii="Arial" w:hAnsi="Arial" w:cs="Arial"/>
        </w:rPr>
        <w:t>, it is important that</w:t>
      </w:r>
      <w:r>
        <w:rPr>
          <w:rFonts w:ascii="Arial" w:hAnsi="Arial" w:cs="Arial"/>
        </w:rPr>
        <w:t xml:space="preserve"> accurate data be used to support this policy decision.</w:t>
      </w:r>
    </w:p>
    <w:p w14:paraId="1F0BB463" w14:textId="0C4AAF72" w:rsidR="00814202" w:rsidRDefault="00814202" w:rsidP="00E077F1">
      <w:pPr>
        <w:rPr>
          <w:rFonts w:ascii="Arial" w:hAnsi="Arial" w:cs="Arial"/>
        </w:rPr>
      </w:pPr>
    </w:p>
    <w:p w14:paraId="52A36913" w14:textId="1B55AAAE" w:rsidR="00F61F39" w:rsidRDefault="00B3719C" w:rsidP="00F61F39">
      <w:pPr>
        <w:rPr>
          <w:rFonts w:ascii="Arial" w:hAnsi="Arial" w:cs="Arial"/>
        </w:rPr>
      </w:pPr>
      <w:r>
        <w:rPr>
          <w:rFonts w:ascii="Arial" w:hAnsi="Arial" w:cs="Arial"/>
        </w:rPr>
        <w:t xml:space="preserve">In the consultation document, it is suggested that aligning </w:t>
      </w:r>
      <w:r w:rsidR="00F61F39">
        <w:rPr>
          <w:rFonts w:ascii="Arial" w:hAnsi="Arial" w:cs="Arial"/>
        </w:rPr>
        <w:t xml:space="preserve">the </w:t>
      </w:r>
      <w:r>
        <w:rPr>
          <w:rFonts w:ascii="Arial" w:hAnsi="Arial" w:cs="Arial"/>
        </w:rPr>
        <w:t xml:space="preserve">counterparty scope “should have a limited impact </w:t>
      </w:r>
      <w:r w:rsidR="00F61F39">
        <w:rPr>
          <w:rFonts w:ascii="Arial" w:hAnsi="Arial" w:cs="Arial"/>
        </w:rPr>
        <w:t>on the volumes traded on venues</w:t>
      </w:r>
      <w:r>
        <w:rPr>
          <w:rFonts w:ascii="Arial" w:hAnsi="Arial" w:cs="Arial"/>
        </w:rPr>
        <w:t>”</w:t>
      </w:r>
      <w:r w:rsidR="00F61F39">
        <w:rPr>
          <w:rFonts w:ascii="Arial" w:hAnsi="Arial" w:cs="Arial"/>
        </w:rPr>
        <w:t xml:space="preserve"> (see paragraph 46). This argument is supported by referring to the data provided in </w:t>
      </w:r>
      <w:proofErr w:type="spellStart"/>
      <w:r w:rsidR="00F61F39">
        <w:rPr>
          <w:rFonts w:ascii="Arial" w:hAnsi="Arial" w:cs="Arial"/>
        </w:rPr>
        <w:t>ESMA’s</w:t>
      </w:r>
      <w:proofErr w:type="spellEnd"/>
      <w:r w:rsidR="00F61F39">
        <w:rPr>
          <w:rFonts w:ascii="Arial" w:hAnsi="Arial" w:cs="Arial"/>
        </w:rPr>
        <w:t xml:space="preserve"> consultation on the CO for financial counterparties with a limited volume of activity.</w:t>
      </w:r>
      <w:r w:rsidR="00C827BC">
        <w:rPr>
          <w:rStyle w:val="FootnoteReference"/>
          <w:rFonts w:cs="Arial"/>
        </w:rPr>
        <w:footnoteReference w:id="2"/>
      </w:r>
      <w:r w:rsidR="004419B4">
        <w:rPr>
          <w:rFonts w:ascii="Arial" w:hAnsi="Arial" w:cs="Arial"/>
        </w:rPr>
        <w:t xml:space="preserve">  However, this</w:t>
      </w:r>
      <w:r w:rsidR="00F61F39">
        <w:rPr>
          <w:rFonts w:ascii="Arial" w:hAnsi="Arial" w:cs="Arial"/>
        </w:rPr>
        <w:t xml:space="preserve"> 2016 consultation only attempted to </w:t>
      </w:r>
      <w:r w:rsidR="002C1F98">
        <w:rPr>
          <w:rFonts w:ascii="Arial" w:hAnsi="Arial" w:cs="Arial"/>
        </w:rPr>
        <w:t>estimate</w:t>
      </w:r>
      <w:r w:rsidR="00F61F39">
        <w:rPr>
          <w:rFonts w:ascii="Arial" w:hAnsi="Arial" w:cs="Arial"/>
        </w:rPr>
        <w:t xml:space="preserve"> Category 3 counterparty market share using “stock” data </w:t>
      </w:r>
      <w:r w:rsidR="004419B4">
        <w:rPr>
          <w:rFonts w:ascii="Arial" w:hAnsi="Arial" w:cs="Arial"/>
        </w:rPr>
        <w:t>reflecting</w:t>
      </w:r>
      <w:r w:rsidR="00F61F39">
        <w:rPr>
          <w:rFonts w:ascii="Arial" w:hAnsi="Arial" w:cs="Arial"/>
        </w:rPr>
        <w:t xml:space="preserve"> outstanding notional amounts at a given point in time.  </w:t>
      </w:r>
      <w:r w:rsidR="00F61F39" w:rsidRPr="00F61F39">
        <w:rPr>
          <w:rFonts w:ascii="Arial" w:hAnsi="Arial" w:cs="Arial"/>
        </w:rPr>
        <w:t>“</w:t>
      </w:r>
      <w:r w:rsidR="00F61F39">
        <w:rPr>
          <w:rFonts w:ascii="Arial" w:hAnsi="Arial" w:cs="Arial"/>
        </w:rPr>
        <w:t>S</w:t>
      </w:r>
      <w:r w:rsidR="00F61F39" w:rsidRPr="00F61F39">
        <w:rPr>
          <w:rFonts w:ascii="Arial" w:hAnsi="Arial" w:cs="Arial"/>
        </w:rPr>
        <w:t>tock” measures suffer from several</w:t>
      </w:r>
      <w:r w:rsidR="00F61F39">
        <w:rPr>
          <w:rFonts w:ascii="Arial" w:hAnsi="Arial" w:cs="Arial"/>
        </w:rPr>
        <w:t xml:space="preserve"> </w:t>
      </w:r>
      <w:r w:rsidR="00F61F39" w:rsidRPr="00F61F39">
        <w:rPr>
          <w:rFonts w:ascii="Arial" w:hAnsi="Arial" w:cs="Arial"/>
        </w:rPr>
        <w:t xml:space="preserve">drawbacks, </w:t>
      </w:r>
      <w:r w:rsidR="00F61F39">
        <w:rPr>
          <w:rFonts w:ascii="Arial" w:hAnsi="Arial" w:cs="Arial"/>
        </w:rPr>
        <w:t xml:space="preserve">such as </w:t>
      </w:r>
      <w:r w:rsidR="00F61F39" w:rsidRPr="00F61F39">
        <w:rPr>
          <w:rFonts w:ascii="Arial" w:hAnsi="Arial" w:cs="Arial"/>
        </w:rPr>
        <w:t>(</w:t>
      </w:r>
      <w:proofErr w:type="spellStart"/>
      <w:r w:rsidR="00F61F39" w:rsidRPr="00F61F39">
        <w:rPr>
          <w:rFonts w:ascii="Arial" w:hAnsi="Arial" w:cs="Arial"/>
        </w:rPr>
        <w:t>i</w:t>
      </w:r>
      <w:proofErr w:type="spellEnd"/>
      <w:r w:rsidR="00F61F39" w:rsidRPr="00F61F39">
        <w:rPr>
          <w:rFonts w:ascii="Arial" w:hAnsi="Arial" w:cs="Arial"/>
        </w:rPr>
        <w:t xml:space="preserve">) </w:t>
      </w:r>
      <w:r w:rsidR="00C827BC">
        <w:rPr>
          <w:rFonts w:ascii="Arial" w:hAnsi="Arial" w:cs="Arial"/>
        </w:rPr>
        <w:t>including</w:t>
      </w:r>
      <w:r w:rsidR="00F61F39">
        <w:rPr>
          <w:rFonts w:ascii="Arial" w:hAnsi="Arial" w:cs="Arial"/>
        </w:rPr>
        <w:t xml:space="preserve"> </w:t>
      </w:r>
      <w:r w:rsidR="00F61F39" w:rsidRPr="00F61F39">
        <w:rPr>
          <w:rFonts w:ascii="Arial" w:hAnsi="Arial" w:cs="Arial"/>
        </w:rPr>
        <w:t xml:space="preserve">legacy positions </w:t>
      </w:r>
      <w:r w:rsidR="00F61F39">
        <w:rPr>
          <w:rFonts w:ascii="Arial" w:hAnsi="Arial" w:cs="Arial"/>
        </w:rPr>
        <w:t>that were e</w:t>
      </w:r>
      <w:r w:rsidR="00F61F39" w:rsidRPr="00F61F39">
        <w:rPr>
          <w:rFonts w:ascii="Arial" w:hAnsi="Arial" w:cs="Arial"/>
        </w:rPr>
        <w:t xml:space="preserve">ntered into before </w:t>
      </w:r>
      <w:r w:rsidR="00262C72">
        <w:rPr>
          <w:rFonts w:ascii="Arial" w:hAnsi="Arial" w:cs="Arial"/>
        </w:rPr>
        <w:t>both EMIR and MiFID II/</w:t>
      </w:r>
      <w:proofErr w:type="spellStart"/>
      <w:r w:rsidR="00262C72">
        <w:rPr>
          <w:rFonts w:ascii="Arial" w:hAnsi="Arial" w:cs="Arial"/>
        </w:rPr>
        <w:t>MiFIR</w:t>
      </w:r>
      <w:proofErr w:type="spellEnd"/>
      <w:r w:rsidR="00F61F39">
        <w:rPr>
          <w:rFonts w:ascii="Arial" w:hAnsi="Arial" w:cs="Arial"/>
        </w:rPr>
        <w:t xml:space="preserve"> went into effect</w:t>
      </w:r>
      <w:r w:rsidR="00F61F39" w:rsidRPr="00F61F39">
        <w:rPr>
          <w:rFonts w:ascii="Arial" w:hAnsi="Arial" w:cs="Arial"/>
        </w:rPr>
        <w:t xml:space="preserve">, and (ii) </w:t>
      </w:r>
      <w:r w:rsidR="00C827BC">
        <w:rPr>
          <w:rFonts w:ascii="Arial" w:hAnsi="Arial" w:cs="Arial"/>
        </w:rPr>
        <w:t xml:space="preserve">failing to account for the ongoing multilateral netting and compression activities that </w:t>
      </w:r>
      <w:r w:rsidR="00F61F39" w:rsidRPr="00F61F39">
        <w:rPr>
          <w:rFonts w:ascii="Arial" w:hAnsi="Arial" w:cs="Arial"/>
        </w:rPr>
        <w:t>significantly reduce outstanding notional amounts</w:t>
      </w:r>
      <w:r w:rsidR="004419B4">
        <w:rPr>
          <w:rFonts w:ascii="Arial" w:hAnsi="Arial" w:cs="Arial"/>
        </w:rPr>
        <w:t>, particularly for cleared trades</w:t>
      </w:r>
      <w:r w:rsidR="00C827BC">
        <w:rPr>
          <w:rFonts w:ascii="Arial" w:hAnsi="Arial" w:cs="Arial"/>
        </w:rPr>
        <w:t>.</w:t>
      </w:r>
    </w:p>
    <w:p w14:paraId="6964D1AA" w14:textId="77777777" w:rsidR="00F61F39" w:rsidRDefault="00F61F39" w:rsidP="00E077F1">
      <w:pPr>
        <w:rPr>
          <w:rFonts w:ascii="Arial" w:hAnsi="Arial" w:cs="Arial"/>
        </w:rPr>
      </w:pPr>
    </w:p>
    <w:p w14:paraId="54CCCA77" w14:textId="77777777" w:rsidR="0043478A" w:rsidRPr="001F45D3" w:rsidRDefault="00F61F39" w:rsidP="00E077F1">
      <w:pPr>
        <w:rPr>
          <w:rFonts w:asciiTheme="minorHAnsi" w:hAnsiTheme="minorHAnsi" w:cstheme="minorHAnsi"/>
        </w:rPr>
      </w:pPr>
      <w:r>
        <w:rPr>
          <w:rFonts w:ascii="Arial" w:hAnsi="Arial" w:cs="Arial"/>
        </w:rPr>
        <w:t>In order to accurately evaluate the impact on trading venue volumes, it is necessary to analyse transaction-by-transaction “flow” data to calculate the number of newly executed trades that will not be required to be executed on a</w:t>
      </w:r>
      <w:r w:rsidR="0043478A">
        <w:rPr>
          <w:rFonts w:ascii="Arial" w:hAnsi="Arial" w:cs="Arial"/>
        </w:rPr>
        <w:t>n</w:t>
      </w:r>
      <w:r>
        <w:rPr>
          <w:rFonts w:ascii="Arial" w:hAnsi="Arial" w:cs="Arial"/>
        </w:rPr>
        <w:t xml:space="preserve"> RM, </w:t>
      </w:r>
      <w:proofErr w:type="spellStart"/>
      <w:r>
        <w:rPr>
          <w:rFonts w:ascii="Arial" w:hAnsi="Arial" w:cs="Arial"/>
        </w:rPr>
        <w:t>MTF</w:t>
      </w:r>
      <w:proofErr w:type="spellEnd"/>
      <w:r>
        <w:rPr>
          <w:rFonts w:ascii="Arial" w:hAnsi="Arial" w:cs="Arial"/>
        </w:rPr>
        <w:t xml:space="preserve">, or </w:t>
      </w:r>
      <w:proofErr w:type="spellStart"/>
      <w:r>
        <w:rPr>
          <w:rFonts w:ascii="Arial" w:hAnsi="Arial" w:cs="Arial"/>
        </w:rPr>
        <w:t>OTF</w:t>
      </w:r>
      <w:proofErr w:type="spellEnd"/>
      <w:r>
        <w:rPr>
          <w:rFonts w:ascii="Arial" w:hAnsi="Arial" w:cs="Arial"/>
        </w:rPr>
        <w:t xml:space="preserve"> as a result of this </w:t>
      </w:r>
      <w:r w:rsidRPr="001F45D3">
        <w:rPr>
          <w:rFonts w:asciiTheme="minorHAnsi" w:hAnsiTheme="minorHAnsi" w:cstheme="minorHAnsi"/>
        </w:rPr>
        <w:t xml:space="preserve">proposed change to the </w:t>
      </w:r>
      <w:proofErr w:type="spellStart"/>
      <w:r w:rsidRPr="001F45D3">
        <w:rPr>
          <w:rFonts w:asciiTheme="minorHAnsi" w:hAnsiTheme="minorHAnsi" w:cstheme="minorHAnsi"/>
        </w:rPr>
        <w:t>MiFIR</w:t>
      </w:r>
      <w:proofErr w:type="spellEnd"/>
      <w:r w:rsidRPr="001F45D3">
        <w:rPr>
          <w:rFonts w:asciiTheme="minorHAnsi" w:hAnsiTheme="minorHAnsi" w:cstheme="minorHAnsi"/>
        </w:rPr>
        <w:t xml:space="preserve"> text.  </w:t>
      </w:r>
    </w:p>
    <w:p w14:paraId="2C8A2131" w14:textId="77777777" w:rsidR="0043478A" w:rsidRPr="001F45D3" w:rsidRDefault="0043478A" w:rsidP="00E077F1">
      <w:pPr>
        <w:rPr>
          <w:rFonts w:asciiTheme="minorHAnsi" w:hAnsiTheme="minorHAnsi" w:cstheme="minorHAnsi"/>
        </w:rPr>
      </w:pPr>
    </w:p>
    <w:p w14:paraId="28395E97" w14:textId="568C749D" w:rsidR="00814202" w:rsidRDefault="0043478A" w:rsidP="00E077F1">
      <w:pPr>
        <w:rPr>
          <w:rFonts w:asciiTheme="minorHAnsi" w:hAnsiTheme="minorHAnsi" w:cstheme="minorHAnsi"/>
        </w:rPr>
      </w:pPr>
      <w:r w:rsidRPr="001F45D3">
        <w:rPr>
          <w:rFonts w:asciiTheme="minorHAnsi" w:hAnsiTheme="minorHAnsi" w:cstheme="minorHAnsi"/>
        </w:rPr>
        <w:t xml:space="preserve">Academic research using “flow” data </w:t>
      </w:r>
      <w:r w:rsidR="001F45D3">
        <w:rPr>
          <w:rFonts w:asciiTheme="minorHAnsi" w:hAnsiTheme="minorHAnsi" w:cstheme="minorHAnsi"/>
        </w:rPr>
        <w:t>suggests</w:t>
      </w:r>
      <w:r w:rsidRPr="001F45D3">
        <w:rPr>
          <w:rFonts w:asciiTheme="minorHAnsi" w:hAnsiTheme="minorHAnsi" w:cstheme="minorHAnsi"/>
        </w:rPr>
        <w:t xml:space="preserve"> that Category 3 counterparties account for a significant portion of overall market trading activity in OTC derivatives.  In particular, one study found that the clearing rate for new i</w:t>
      </w:r>
      <w:r w:rsidR="002C1F98">
        <w:rPr>
          <w:rFonts w:asciiTheme="minorHAnsi" w:hAnsiTheme="minorHAnsi" w:cstheme="minorHAnsi"/>
        </w:rPr>
        <w:t>nterest rate derivatives remained</w:t>
      </w:r>
      <w:r w:rsidRPr="001F45D3">
        <w:rPr>
          <w:rFonts w:asciiTheme="minorHAnsi" w:hAnsiTheme="minorHAnsi" w:cstheme="minorHAnsi"/>
        </w:rPr>
        <w:t xml:space="preserve"> under 50%</w:t>
      </w:r>
      <w:r w:rsidR="001F45D3" w:rsidRPr="001F45D3">
        <w:rPr>
          <w:rFonts w:asciiTheme="minorHAnsi" w:hAnsiTheme="minorHAnsi" w:cstheme="minorHAnsi"/>
        </w:rPr>
        <w:t xml:space="preserve"> in the EU</w:t>
      </w:r>
      <w:r w:rsidR="002C1F98">
        <w:rPr>
          <w:rFonts w:asciiTheme="minorHAnsi" w:hAnsiTheme="minorHAnsi" w:cstheme="minorHAnsi"/>
        </w:rPr>
        <w:t xml:space="preserve"> even after the clearing obligation was implemented for both Category 1 and Category 2 counterparties</w:t>
      </w:r>
      <w:r w:rsidRPr="001F45D3">
        <w:rPr>
          <w:rFonts w:asciiTheme="minorHAnsi" w:hAnsiTheme="minorHAnsi" w:cstheme="minorHAnsi"/>
        </w:rPr>
        <w:t xml:space="preserve">, </w:t>
      </w:r>
      <w:r w:rsidR="002C1F98">
        <w:rPr>
          <w:rFonts w:asciiTheme="minorHAnsi" w:hAnsiTheme="minorHAnsi" w:cstheme="minorHAnsi"/>
        </w:rPr>
        <w:t>suggesting that Category 3 counterparties account for a significant percentage of market trading activity.</w:t>
      </w:r>
      <w:r w:rsidR="002C1F98" w:rsidRPr="001F45D3">
        <w:rPr>
          <w:rStyle w:val="FootnoteReference"/>
          <w:rFonts w:asciiTheme="minorHAnsi" w:eastAsiaTheme="majorEastAsia" w:hAnsiTheme="minorHAnsi" w:cstheme="minorHAnsi"/>
          <w:sz w:val="24"/>
        </w:rPr>
        <w:footnoteReference w:id="3"/>
      </w:r>
    </w:p>
    <w:p w14:paraId="0D13C9D7" w14:textId="626910A6" w:rsidR="001F45D3" w:rsidRDefault="001F45D3" w:rsidP="00E077F1">
      <w:pPr>
        <w:rPr>
          <w:rFonts w:asciiTheme="minorHAnsi" w:hAnsiTheme="minorHAnsi" w:cstheme="minorHAnsi"/>
        </w:rPr>
      </w:pPr>
    </w:p>
    <w:p w14:paraId="75AD2B71" w14:textId="15C209B7" w:rsidR="00F30736" w:rsidRDefault="002C1F98" w:rsidP="00E077F1">
      <w:pPr>
        <w:rPr>
          <w:rFonts w:ascii="Arial" w:hAnsi="Arial" w:cs="Arial"/>
        </w:rPr>
      </w:pPr>
      <w:r>
        <w:rPr>
          <w:rFonts w:asciiTheme="minorHAnsi" w:hAnsiTheme="minorHAnsi" w:cstheme="minorHAnsi"/>
        </w:rPr>
        <w:t>There</w:t>
      </w:r>
      <w:r w:rsidR="001F45D3">
        <w:rPr>
          <w:rFonts w:asciiTheme="minorHAnsi" w:hAnsiTheme="minorHAnsi" w:cstheme="minorHAnsi"/>
        </w:rPr>
        <w:t>f</w:t>
      </w:r>
      <w:r>
        <w:rPr>
          <w:rFonts w:asciiTheme="minorHAnsi" w:hAnsiTheme="minorHAnsi" w:cstheme="minorHAnsi"/>
        </w:rPr>
        <w:t>o</w:t>
      </w:r>
      <w:r w:rsidR="001F45D3">
        <w:rPr>
          <w:rFonts w:asciiTheme="minorHAnsi" w:hAnsiTheme="minorHAnsi" w:cstheme="minorHAnsi"/>
        </w:rPr>
        <w:t xml:space="preserve">re, in connection with </w:t>
      </w:r>
      <w:r>
        <w:rPr>
          <w:rFonts w:asciiTheme="minorHAnsi" w:hAnsiTheme="minorHAnsi" w:cstheme="minorHAnsi"/>
        </w:rPr>
        <w:t xml:space="preserve">providing a recommendation regarding </w:t>
      </w:r>
      <w:r w:rsidR="001F45D3">
        <w:rPr>
          <w:rFonts w:asciiTheme="minorHAnsi" w:hAnsiTheme="minorHAnsi" w:cstheme="minorHAnsi"/>
        </w:rPr>
        <w:t xml:space="preserve">aligning the scope of counterparties subject to the CO and the </w:t>
      </w:r>
      <w:proofErr w:type="spellStart"/>
      <w:r w:rsidR="001F45D3">
        <w:rPr>
          <w:rFonts w:asciiTheme="minorHAnsi" w:hAnsiTheme="minorHAnsi" w:cstheme="minorHAnsi"/>
        </w:rPr>
        <w:t>DTO</w:t>
      </w:r>
      <w:proofErr w:type="spellEnd"/>
      <w:r w:rsidR="001F45D3">
        <w:rPr>
          <w:rFonts w:asciiTheme="minorHAnsi" w:hAnsiTheme="minorHAnsi" w:cstheme="minorHAnsi"/>
        </w:rPr>
        <w:t>, we recommend that ESMA perform its own calculation of the impact on trading venue volumes using “flow” data provided under MiFID II.  ESMA should be able to determine the market share of Category 3 counterparties</w:t>
      </w:r>
      <w:r>
        <w:rPr>
          <w:rFonts w:asciiTheme="minorHAnsi" w:hAnsiTheme="minorHAnsi" w:cstheme="minorHAnsi"/>
        </w:rPr>
        <w:t xml:space="preserve"> in new trading activity in derivatives that are subject to the </w:t>
      </w:r>
      <w:proofErr w:type="spellStart"/>
      <w:r>
        <w:rPr>
          <w:rFonts w:asciiTheme="minorHAnsi" w:hAnsiTheme="minorHAnsi" w:cstheme="minorHAnsi"/>
        </w:rPr>
        <w:t>DTO</w:t>
      </w:r>
      <w:proofErr w:type="spellEnd"/>
      <w:r w:rsidR="001F45D3">
        <w:rPr>
          <w:rFonts w:asciiTheme="minorHAnsi" w:hAnsiTheme="minorHAnsi" w:cstheme="minorHAnsi"/>
        </w:rPr>
        <w:t xml:space="preserve">, and then estimate, based on the notices provided under EMIR Refit, what percentage of </w:t>
      </w:r>
      <w:r>
        <w:rPr>
          <w:rFonts w:asciiTheme="minorHAnsi" w:hAnsiTheme="minorHAnsi" w:cstheme="minorHAnsi"/>
        </w:rPr>
        <w:t xml:space="preserve">these Category 3 </w:t>
      </w:r>
      <w:r w:rsidR="001F45D3">
        <w:rPr>
          <w:rFonts w:asciiTheme="minorHAnsi" w:hAnsiTheme="minorHAnsi" w:cstheme="minorHAnsi"/>
        </w:rPr>
        <w:t>counterparties are below the n</w:t>
      </w:r>
      <w:r>
        <w:rPr>
          <w:rFonts w:asciiTheme="minorHAnsi" w:hAnsiTheme="minorHAnsi" w:cstheme="minorHAnsi"/>
        </w:rPr>
        <w:t>ew thresholds</w:t>
      </w:r>
      <w:r w:rsidR="00CB6799">
        <w:rPr>
          <w:rFonts w:asciiTheme="minorHAnsi" w:hAnsiTheme="minorHAnsi" w:cstheme="minorHAnsi"/>
        </w:rPr>
        <w:t xml:space="preserve"> established for “small financial counterparties.”</w:t>
      </w:r>
    </w:p>
    <w:permEnd w:id="1025193561"/>
    <w:p w14:paraId="0645C02C" w14:textId="77777777" w:rsidR="00E077F1" w:rsidRDefault="00E077F1" w:rsidP="00E077F1">
      <w:pPr>
        <w:rPr>
          <w:rFonts w:ascii="Arial" w:hAnsi="Arial" w:cs="Arial"/>
        </w:rPr>
      </w:pPr>
      <w:r>
        <w:rPr>
          <w:rFonts w:ascii="Arial" w:hAnsi="Arial" w:cs="Arial"/>
        </w:rPr>
        <w:t>&lt;ESMA_QUESTION_AMER_5&gt;</w:t>
      </w:r>
    </w:p>
    <w:p w14:paraId="3CEA1E1E" w14:textId="77777777" w:rsidR="00E077F1" w:rsidRDefault="00E077F1" w:rsidP="00E077F1">
      <w:pPr>
        <w:rPr>
          <w:rFonts w:ascii="Arial" w:hAnsi="Arial" w:cs="Arial"/>
        </w:rPr>
      </w:pPr>
    </w:p>
    <w:p w14:paraId="7C923F55" w14:textId="77777777" w:rsidR="00E077F1" w:rsidRDefault="00E077F1" w:rsidP="00E077F1">
      <w:pPr>
        <w:pStyle w:val="Questionstyle"/>
        <w:numPr>
          <w:ilvl w:val="0"/>
          <w:numId w:val="17"/>
        </w:numPr>
        <w:spacing w:after="250" w:line="276" w:lineRule="auto"/>
        <w:rPr>
          <w:rFonts w:ascii="Arial" w:hAnsi="Arial" w:cs="Arial"/>
        </w:rPr>
      </w:pPr>
      <w:r>
        <w:lastRenderedPageBreak/>
        <w:t>: What is your view on ESMA’s proposal to suggest an alignment in the scope of counterparties between the clearing and trading obligations?</w:t>
      </w:r>
    </w:p>
    <w:p w14:paraId="1194A94D" w14:textId="77777777" w:rsidR="00E077F1" w:rsidRDefault="00E077F1" w:rsidP="00E077F1">
      <w:pPr>
        <w:rPr>
          <w:rFonts w:ascii="Arial" w:hAnsi="Arial" w:cs="Arial"/>
        </w:rPr>
      </w:pPr>
      <w:r>
        <w:rPr>
          <w:rFonts w:ascii="Arial" w:hAnsi="Arial" w:cs="Arial"/>
        </w:rPr>
        <w:t>&lt;ESMA_QUESTION_AMER_6&gt;</w:t>
      </w:r>
    </w:p>
    <w:p w14:paraId="42F4F914" w14:textId="72D0C884" w:rsidR="00CE05B5" w:rsidRDefault="003E1743" w:rsidP="00E077F1">
      <w:pPr>
        <w:rPr>
          <w:rFonts w:ascii="Arial" w:hAnsi="Arial" w:cs="Arial"/>
        </w:rPr>
      </w:pPr>
      <w:permStart w:id="1276802614" w:edGrp="everyone"/>
      <w:r>
        <w:rPr>
          <w:rFonts w:ascii="Arial" w:hAnsi="Arial" w:cs="Arial"/>
        </w:rPr>
        <w:t xml:space="preserve">As part of aligning </w:t>
      </w:r>
      <w:r w:rsidR="002C1F98">
        <w:rPr>
          <w:rFonts w:ascii="Arial" w:hAnsi="Arial" w:cs="Arial"/>
        </w:rPr>
        <w:t>counterparty scope</w:t>
      </w:r>
      <w:r>
        <w:rPr>
          <w:rFonts w:ascii="Arial" w:hAnsi="Arial" w:cs="Arial"/>
        </w:rPr>
        <w:t xml:space="preserve">, we would suggest conducting a regular review of the EMIR </w:t>
      </w:r>
      <w:r w:rsidR="002C1F98">
        <w:rPr>
          <w:rFonts w:ascii="Arial" w:hAnsi="Arial" w:cs="Arial"/>
        </w:rPr>
        <w:t xml:space="preserve">clearing </w:t>
      </w:r>
      <w:r>
        <w:rPr>
          <w:rFonts w:ascii="Arial" w:hAnsi="Arial" w:cs="Arial"/>
        </w:rPr>
        <w:t xml:space="preserve">thresholds to ensure they remain appropriately calibrated for both the CO and the </w:t>
      </w:r>
      <w:proofErr w:type="spellStart"/>
      <w:r>
        <w:rPr>
          <w:rFonts w:ascii="Arial" w:hAnsi="Arial" w:cs="Arial"/>
        </w:rPr>
        <w:t>DTO</w:t>
      </w:r>
      <w:proofErr w:type="spellEnd"/>
      <w:r>
        <w:rPr>
          <w:rFonts w:ascii="Arial" w:hAnsi="Arial" w:cs="Arial"/>
        </w:rPr>
        <w:t xml:space="preserve">.  This review should leverage “flow” data to calculate overall trading volume by financial counterparties in </w:t>
      </w:r>
      <w:r w:rsidR="00996D4D">
        <w:rPr>
          <w:rFonts w:ascii="Arial" w:hAnsi="Arial" w:cs="Arial"/>
        </w:rPr>
        <w:t>(</w:t>
      </w:r>
      <w:proofErr w:type="spellStart"/>
      <w:r w:rsidR="00996D4D">
        <w:rPr>
          <w:rFonts w:ascii="Arial" w:hAnsi="Arial" w:cs="Arial"/>
        </w:rPr>
        <w:t>i</w:t>
      </w:r>
      <w:proofErr w:type="spellEnd"/>
      <w:r w:rsidR="00996D4D">
        <w:rPr>
          <w:rFonts w:ascii="Arial" w:hAnsi="Arial" w:cs="Arial"/>
        </w:rPr>
        <w:t xml:space="preserve">) </w:t>
      </w:r>
      <w:r>
        <w:rPr>
          <w:rFonts w:ascii="Arial" w:hAnsi="Arial" w:cs="Arial"/>
        </w:rPr>
        <w:t xml:space="preserve">the OTC derivatives subject to </w:t>
      </w:r>
      <w:r w:rsidR="00996D4D">
        <w:rPr>
          <w:rFonts w:ascii="Arial" w:hAnsi="Arial" w:cs="Arial"/>
        </w:rPr>
        <w:t xml:space="preserve">the CO, and (ii) the OTC derivatives subject to the </w:t>
      </w:r>
      <w:proofErr w:type="spellStart"/>
      <w:r w:rsidR="00996D4D">
        <w:rPr>
          <w:rFonts w:ascii="Arial" w:hAnsi="Arial" w:cs="Arial"/>
        </w:rPr>
        <w:t>DTO</w:t>
      </w:r>
      <w:proofErr w:type="spellEnd"/>
      <w:r w:rsidR="00996D4D">
        <w:rPr>
          <w:rFonts w:ascii="Arial" w:hAnsi="Arial" w:cs="Arial"/>
        </w:rPr>
        <w:t xml:space="preserve">.  For each, </w:t>
      </w:r>
      <w:r w:rsidR="002C1F98">
        <w:rPr>
          <w:rFonts w:ascii="Arial" w:hAnsi="Arial" w:cs="Arial"/>
        </w:rPr>
        <w:t>ESMA should calculate</w:t>
      </w:r>
      <w:r w:rsidR="00996D4D">
        <w:rPr>
          <w:rFonts w:ascii="Arial" w:hAnsi="Arial" w:cs="Arial"/>
        </w:rPr>
        <w:t xml:space="preserve"> what percentage of this overall volume is executed by financial counterparties that fall below the relevant EMIR thresholds</w:t>
      </w:r>
      <w:r w:rsidR="007D51D4">
        <w:rPr>
          <w:rFonts w:ascii="Arial" w:hAnsi="Arial" w:cs="Arial"/>
        </w:rPr>
        <w:t xml:space="preserve"> for “small financial counterparties.”</w:t>
      </w:r>
      <w:r w:rsidR="00996D4D">
        <w:rPr>
          <w:rFonts w:ascii="Arial" w:hAnsi="Arial" w:cs="Arial"/>
        </w:rPr>
        <w:t xml:space="preserve">  To the extent too much volume is exempted, the thresholds may need to be </w:t>
      </w:r>
      <w:r w:rsidR="00363AEC">
        <w:rPr>
          <w:rFonts w:ascii="Arial" w:hAnsi="Arial" w:cs="Arial"/>
        </w:rPr>
        <w:t>recalibrated, as is permitted in</w:t>
      </w:r>
      <w:r w:rsidR="00996D4D">
        <w:rPr>
          <w:rFonts w:ascii="Arial" w:hAnsi="Arial" w:cs="Arial"/>
        </w:rPr>
        <w:t xml:space="preserve"> EMIR.</w:t>
      </w:r>
    </w:p>
    <w:permEnd w:id="1276802614"/>
    <w:p w14:paraId="323B5EA8" w14:textId="77777777" w:rsidR="00E077F1" w:rsidRDefault="00E077F1" w:rsidP="00E077F1">
      <w:pPr>
        <w:rPr>
          <w:rFonts w:ascii="Arial" w:hAnsi="Arial" w:cs="Arial"/>
        </w:rPr>
      </w:pPr>
      <w:r>
        <w:rPr>
          <w:rFonts w:ascii="Arial" w:hAnsi="Arial" w:cs="Arial"/>
        </w:rPr>
        <w:t>&lt;ESMA_QUESTION_AMER_6&gt;</w:t>
      </w:r>
    </w:p>
    <w:p w14:paraId="2AAB20BC" w14:textId="77777777" w:rsidR="00E077F1" w:rsidRDefault="00E077F1" w:rsidP="00E077F1">
      <w:pPr>
        <w:rPr>
          <w:rFonts w:ascii="Arial" w:hAnsi="Arial" w:cs="Arial"/>
        </w:rPr>
      </w:pPr>
      <w:bookmarkStart w:id="1" w:name="_GoBack"/>
      <w:bookmarkEnd w:id="1"/>
    </w:p>
    <w:p w14:paraId="02138DA3" w14:textId="77777777" w:rsidR="00E077F1" w:rsidRDefault="00E077F1" w:rsidP="00E077F1">
      <w:pPr>
        <w:pStyle w:val="Questionstyle"/>
        <w:numPr>
          <w:ilvl w:val="0"/>
          <w:numId w:val="17"/>
        </w:numPr>
        <w:spacing w:after="250" w:line="276" w:lineRule="auto"/>
        <w:rPr>
          <w:rFonts w:ascii="Arial" w:hAnsi="Arial" w:cs="Arial"/>
        </w:rPr>
      </w:pPr>
      <w:r>
        <w:t>: What is your view on the necessity to introduce a standalone suspension of the DTO in MiFIR? If you consider it is appropriate, do you have views on how it should be framed?</w:t>
      </w:r>
    </w:p>
    <w:p w14:paraId="432D68AD" w14:textId="77777777" w:rsidR="00E077F1" w:rsidRDefault="00E077F1" w:rsidP="00E077F1">
      <w:pPr>
        <w:rPr>
          <w:rFonts w:ascii="Arial" w:hAnsi="Arial" w:cs="Arial"/>
        </w:rPr>
      </w:pPr>
      <w:r>
        <w:rPr>
          <w:rFonts w:ascii="Arial" w:hAnsi="Arial" w:cs="Arial"/>
        </w:rPr>
        <w:t>&lt;ESMA_QUESTION_AMER_7&gt;</w:t>
      </w:r>
    </w:p>
    <w:p w14:paraId="4015931C" w14:textId="77777777" w:rsidR="00E077F1" w:rsidRDefault="00E077F1" w:rsidP="00E077F1">
      <w:pPr>
        <w:rPr>
          <w:rFonts w:ascii="Arial" w:hAnsi="Arial" w:cs="Arial"/>
        </w:rPr>
      </w:pPr>
      <w:permStart w:id="1695236746" w:edGrp="everyone"/>
      <w:r>
        <w:rPr>
          <w:rFonts w:ascii="Arial" w:hAnsi="Arial" w:cs="Arial"/>
        </w:rPr>
        <w:t>TYPE YOUR TEXT HERE</w:t>
      </w:r>
    </w:p>
    <w:permEnd w:id="1695236746"/>
    <w:p w14:paraId="16B976FC" w14:textId="77777777" w:rsidR="00E077F1" w:rsidRDefault="00E077F1" w:rsidP="00E077F1">
      <w:pPr>
        <w:rPr>
          <w:rFonts w:ascii="Arial" w:hAnsi="Arial" w:cs="Arial"/>
        </w:rPr>
      </w:pPr>
      <w:r>
        <w:rPr>
          <w:rFonts w:ascii="Arial" w:hAnsi="Arial" w:cs="Arial"/>
        </w:rPr>
        <w:t>&lt;ESMA_QUESTION_AMER_7&gt;</w:t>
      </w:r>
    </w:p>
    <w:p w14:paraId="641664E8" w14:textId="77777777" w:rsidR="00E077F1" w:rsidRDefault="00E077F1" w:rsidP="00E077F1">
      <w:pPr>
        <w:rPr>
          <w:rFonts w:ascii="Arial" w:hAnsi="Arial" w:cs="Arial"/>
        </w:rPr>
      </w:pPr>
    </w:p>
    <w:p w14:paraId="4A29FD6F" w14:textId="77777777" w:rsidR="00E077F1" w:rsidRDefault="00E077F1" w:rsidP="00E077F1">
      <w:pPr>
        <w:pStyle w:val="Questionstyle"/>
        <w:numPr>
          <w:ilvl w:val="0"/>
          <w:numId w:val="17"/>
        </w:numPr>
        <w:spacing w:after="250" w:line="276" w:lineRule="auto"/>
        <w:rPr>
          <w:rFonts w:ascii="Arial" w:hAnsi="Arial" w:cs="Arial"/>
        </w:rPr>
      </w:pPr>
      <w:r>
        <w:t>: Have you identified other aspects of the DTO under MiFIR that should be aligned with amendments introduced by EMIR Refit? If so, please explain the amendments to MiFIR that could be introduced.</w:t>
      </w:r>
    </w:p>
    <w:p w14:paraId="47EC6D68" w14:textId="77777777" w:rsidR="00E077F1" w:rsidRDefault="00E077F1" w:rsidP="00E077F1">
      <w:pPr>
        <w:rPr>
          <w:rFonts w:ascii="Arial" w:hAnsi="Arial" w:cs="Arial"/>
        </w:rPr>
      </w:pPr>
      <w:r>
        <w:rPr>
          <w:rFonts w:ascii="Arial" w:hAnsi="Arial" w:cs="Arial"/>
        </w:rPr>
        <w:t>&lt;ESMA_QUESTION_AMER_8&gt;</w:t>
      </w:r>
    </w:p>
    <w:p w14:paraId="542DFFB4" w14:textId="77777777" w:rsidR="00E077F1" w:rsidRDefault="00E077F1" w:rsidP="00E077F1">
      <w:pPr>
        <w:rPr>
          <w:rFonts w:ascii="Arial" w:hAnsi="Arial" w:cs="Arial"/>
        </w:rPr>
      </w:pPr>
      <w:permStart w:id="302062860" w:edGrp="everyone"/>
      <w:r>
        <w:rPr>
          <w:rFonts w:ascii="Arial" w:hAnsi="Arial" w:cs="Arial"/>
        </w:rPr>
        <w:t>TYPE YOUR TEXT HERE</w:t>
      </w:r>
    </w:p>
    <w:permEnd w:id="302062860"/>
    <w:p w14:paraId="03B77CD4" w14:textId="77777777" w:rsidR="00E077F1" w:rsidRDefault="00E077F1" w:rsidP="00E077F1">
      <w:pPr>
        <w:rPr>
          <w:rFonts w:ascii="Arial" w:hAnsi="Arial" w:cs="Arial"/>
        </w:rPr>
      </w:pPr>
      <w:r>
        <w:rPr>
          <w:rFonts w:ascii="Arial" w:hAnsi="Arial" w:cs="Arial"/>
        </w:rPr>
        <w:t>&lt;ESMA_QUESTION_AMER_8&gt;</w:t>
      </w:r>
    </w:p>
    <w:p w14:paraId="313C7BBA" w14:textId="77777777" w:rsidR="00E077F1" w:rsidRDefault="00E077F1" w:rsidP="00E077F1">
      <w:pPr>
        <w:rPr>
          <w:rFonts w:ascii="Arial" w:hAnsi="Arial" w:cs="Arial"/>
        </w:rPr>
      </w:pPr>
    </w:p>
    <w:p w14:paraId="78635693" w14:textId="77777777" w:rsidR="00E077F1" w:rsidRDefault="00E077F1" w:rsidP="00E077F1">
      <w:pPr>
        <w:rPr>
          <w:rFonts w:ascii="Arial" w:hAnsi="Arial" w:cs="Arial"/>
        </w:rPr>
      </w:pPr>
    </w:p>
    <w:p w14:paraId="56791EE6" w14:textId="77777777" w:rsidR="00E077F1" w:rsidRDefault="00E077F1" w:rsidP="00C1698A">
      <w:pPr>
        <w:spacing w:line="276" w:lineRule="auto"/>
        <w:rPr>
          <w:rFonts w:asciiTheme="minorHAnsi" w:hAnsiTheme="minorHAnsi" w:cstheme="minorHAnsi"/>
          <w:b/>
          <w:sz w:val="28"/>
          <w:szCs w:val="28"/>
        </w:rPr>
      </w:pPr>
    </w:p>
    <w:bookmarkEnd w:id="0"/>
    <w:sectPr w:rsidR="00E077F1"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1FF3F" w14:textId="77777777" w:rsidR="00FC4F52" w:rsidRDefault="00FC4F52" w:rsidP="007E7997">
      <w:r>
        <w:separator/>
      </w:r>
    </w:p>
  </w:endnote>
  <w:endnote w:type="continuationSeparator" w:id="0">
    <w:p w14:paraId="0F669BA2" w14:textId="77777777" w:rsidR="00FC4F52" w:rsidRDefault="00FC4F52" w:rsidP="007E7997">
      <w:r>
        <w:continuationSeparator/>
      </w:r>
    </w:p>
  </w:endnote>
  <w:endnote w:type="continuationNotice" w:id="1">
    <w:p w14:paraId="70C59725" w14:textId="77777777" w:rsidR="00FC4F52" w:rsidRDefault="00FC4F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F3915" w14:textId="3CAB16BB" w:rsidR="00E36813" w:rsidRPr="00514DFA" w:rsidRDefault="00E36813" w:rsidP="007A160F">
    <w:pPr>
      <w:pStyle w:val="Footer"/>
      <w:rPr>
        <w:rFonts w:asciiTheme="majorHAnsi" w:hAnsiTheme="majorHAnsi"/>
        <w:color w:val="FFFFFF" w:themeColor="background1"/>
      </w:rPr>
    </w:pPr>
    <w:r>
      <w:rPr>
        <w:rFonts w:asciiTheme="majorHAnsi" w:hAnsiTheme="majorHAnsi"/>
        <w:color w:val="FFFFFF" w:themeColor="background1"/>
      </w:rPr>
      <w:tab/>
    </w:r>
    <w:r>
      <w:rPr>
        <w:rFonts w:asciiTheme="majorHAnsi" w:hAnsiTheme="majorHAnsi"/>
        <w:color w:val="FFFFFF" w:themeColor="background1"/>
      </w:rPr>
      <w:tab/>
    </w:r>
    <w:r w:rsidR="00CB26B8">
      <w:rPr>
        <w:rFonts w:asciiTheme="majorHAnsi" w:hAnsiTheme="majorHAnsi"/>
        <w:color w:val="FFFFFF" w:themeColor="background1"/>
      </w:rPr>
      <w:t>1</w:t>
    </w:r>
    <w:r w:rsidR="00AB6157">
      <w:rPr>
        <w:rFonts w:asciiTheme="majorHAnsi" w:hAnsiTheme="majorHAnsi"/>
        <w:color w:val="FFFFFF" w:themeColor="background1"/>
      </w:rPr>
      <w:t xml:space="preserve"> </w:t>
    </w:r>
    <w:r w:rsidR="00CB26B8">
      <w:rPr>
        <w:rFonts w:asciiTheme="majorHAnsi" w:hAnsiTheme="majorHAnsi"/>
        <w:color w:val="FFFFFF" w:themeColor="background1"/>
      </w:rPr>
      <w:t xml:space="preserve">October </w:t>
    </w:r>
    <w:r w:rsidR="00AB6157">
      <w:rPr>
        <w:rFonts w:asciiTheme="majorHAnsi" w:hAnsiTheme="majorHAnsi"/>
        <w:color w:val="FFFFFF" w:themeColor="background1"/>
      </w:rPr>
      <w:t>2019</w:t>
    </w:r>
    <w:r w:rsidR="00FF6930">
      <w:rPr>
        <w:rFonts w:asciiTheme="majorHAnsi" w:hAnsiTheme="majorHAnsi"/>
        <w:color w:val="FFFFFF" w:themeColor="background1"/>
      </w:rPr>
      <w:t xml:space="preserve"> </w:t>
    </w:r>
    <w:r w:rsidR="00CB26B8">
      <w:rPr>
        <w:rFonts w:asciiTheme="majorHAnsi" w:hAnsiTheme="majorHAnsi"/>
        <w:color w:val="FFFFFF" w:themeColor="background1"/>
      </w:rPr>
      <w:t xml:space="preserve">- </w:t>
    </w:r>
    <w:r w:rsidR="002D118A" w:rsidRPr="002D118A">
      <w:rPr>
        <w:rFonts w:asciiTheme="majorHAnsi" w:hAnsiTheme="majorHAnsi"/>
        <w:color w:val="FFFFFF" w:themeColor="background1"/>
      </w:rPr>
      <w:t>ESMA70-</w:t>
    </w:r>
    <w:r w:rsidR="00CB26B8">
      <w:rPr>
        <w:rFonts w:asciiTheme="majorHAnsi" w:hAnsiTheme="majorHAnsi"/>
        <w:color w:val="FFFFFF" w:themeColor="background1"/>
      </w:rPr>
      <w:t>156-1759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752247"/>
      <w:docPartObj>
        <w:docPartGallery w:val="Page Numbers (Bottom of Page)"/>
        <w:docPartUnique/>
      </w:docPartObj>
    </w:sdtPr>
    <w:sdtEndPr>
      <w:rPr>
        <w:noProof/>
      </w:rPr>
    </w:sdtEndPr>
    <w:sdtContent>
      <w:p w14:paraId="4C9B3DBF" w14:textId="78B2C3F2" w:rsidR="00E36813" w:rsidRDefault="00E36813">
        <w:pPr>
          <w:pStyle w:val="Footer"/>
          <w:jc w:val="center"/>
        </w:pPr>
        <w:r>
          <w:fldChar w:fldCharType="begin"/>
        </w:r>
        <w:r>
          <w:instrText xml:space="preserve"> PAGE   \* MERGEFORMAT </w:instrText>
        </w:r>
        <w:r>
          <w:fldChar w:fldCharType="separate"/>
        </w:r>
        <w:r w:rsidR="00363AEC">
          <w:rPr>
            <w:noProof/>
          </w:rPr>
          <w:t>3</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1B15F" w14:textId="77777777" w:rsidR="00FC4F52" w:rsidRDefault="00FC4F52" w:rsidP="007E7997">
      <w:r>
        <w:separator/>
      </w:r>
    </w:p>
  </w:footnote>
  <w:footnote w:type="continuationSeparator" w:id="0">
    <w:p w14:paraId="2BE6050E" w14:textId="77777777" w:rsidR="00FC4F52" w:rsidRDefault="00FC4F52" w:rsidP="007E7997">
      <w:r>
        <w:continuationSeparator/>
      </w:r>
    </w:p>
  </w:footnote>
  <w:footnote w:type="continuationNotice" w:id="1">
    <w:p w14:paraId="27D8BAAF" w14:textId="77777777" w:rsidR="00FC4F52" w:rsidRDefault="00FC4F52"/>
  </w:footnote>
  <w:footnote w:id="2">
    <w:p w14:paraId="334A3957" w14:textId="7E7D7547" w:rsidR="00C827BC" w:rsidRPr="001F45D3" w:rsidRDefault="00C827BC">
      <w:pPr>
        <w:pStyle w:val="FootnoteText"/>
        <w:rPr>
          <w:sz w:val="18"/>
          <w:szCs w:val="18"/>
          <w:lang w:val="en-US"/>
        </w:rPr>
      </w:pPr>
      <w:r w:rsidRPr="001F45D3">
        <w:rPr>
          <w:rStyle w:val="FootnoteReference"/>
          <w:sz w:val="18"/>
          <w:szCs w:val="18"/>
        </w:rPr>
        <w:footnoteRef/>
      </w:r>
      <w:r w:rsidRPr="001F45D3">
        <w:rPr>
          <w:sz w:val="18"/>
          <w:szCs w:val="18"/>
        </w:rPr>
        <w:t xml:space="preserve"> </w:t>
      </w:r>
      <w:hyperlink r:id="rId1" w:history="1">
        <w:r w:rsidRPr="001F45D3">
          <w:rPr>
            <w:rStyle w:val="Hyperlink"/>
            <w:rFonts w:eastAsiaTheme="majorEastAsia"/>
            <w:sz w:val="18"/>
            <w:szCs w:val="18"/>
          </w:rPr>
          <w:t>https://www.esma.europa.eu/press-news/consultations/consultation-clearing-obligation-financial-counterparties-limited-volume</w:t>
        </w:r>
      </w:hyperlink>
    </w:p>
  </w:footnote>
  <w:footnote w:id="3">
    <w:p w14:paraId="230A9B75" w14:textId="77777777" w:rsidR="002C1F98" w:rsidRPr="001F45D3" w:rsidRDefault="002C1F98" w:rsidP="002C1F98">
      <w:pPr>
        <w:pStyle w:val="FootnoteText"/>
        <w:rPr>
          <w:sz w:val="18"/>
          <w:szCs w:val="18"/>
        </w:rPr>
      </w:pPr>
      <w:r w:rsidRPr="001F45D3">
        <w:rPr>
          <w:rStyle w:val="FootnoteReference"/>
          <w:rFonts w:eastAsiaTheme="majorEastAsia"/>
          <w:sz w:val="18"/>
          <w:szCs w:val="18"/>
        </w:rPr>
        <w:footnoteRef/>
      </w:r>
      <w:r w:rsidRPr="001F45D3">
        <w:rPr>
          <w:sz w:val="18"/>
          <w:szCs w:val="18"/>
        </w:rPr>
        <w:t xml:space="preserve"> </w:t>
      </w:r>
      <w:proofErr w:type="spellStart"/>
      <w:r w:rsidRPr="001F45D3">
        <w:rPr>
          <w:sz w:val="18"/>
          <w:szCs w:val="18"/>
        </w:rPr>
        <w:t>Fiedor</w:t>
      </w:r>
      <w:proofErr w:type="spellEnd"/>
      <w:r w:rsidRPr="001F45D3">
        <w:rPr>
          <w:sz w:val="18"/>
          <w:szCs w:val="18"/>
        </w:rPr>
        <w:t xml:space="preserve">, P., “Clearinghouse-Five: determinants of voluntary clearing in European derivatives markets,” ESRB Working Paper No. 72 (March 2018) at Figures 1 and 2 (pages 11-12), available at: </w:t>
      </w:r>
      <w:hyperlink r:id="rId2" w:history="1">
        <w:r w:rsidRPr="001F45D3">
          <w:rPr>
            <w:rStyle w:val="Hyperlink"/>
            <w:rFonts w:eastAsiaTheme="majorEastAsia"/>
            <w:sz w:val="18"/>
            <w:szCs w:val="18"/>
          </w:rPr>
          <w:t>https://www.esrb.europa.eu/pub/pdf/wp/esrb.wp72.en.pdf?87d519a1fd278d359b6d5a33499d0e26</w:t>
        </w:r>
      </w:hyperlink>
      <w:r w:rsidRPr="001F45D3">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91035" w14:textId="77777777" w:rsidR="00E36813" w:rsidRDefault="00E36813">
    <w:pPr>
      <w:pStyle w:val="Header"/>
    </w:pPr>
    <w:r>
      <w:rPr>
        <w:noProof/>
        <w:lang w:val="en-US" w:eastAsia="en-US"/>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B6EC4" w14:textId="5E62980F" w:rsidR="00E36813" w:rsidRDefault="00E36813" w:rsidP="00B50534">
    <w:pPr>
      <w:pStyle w:val="Header"/>
      <w:jc w:val="right"/>
      <w:rPr>
        <w:b/>
        <w:color w:val="FF0000"/>
      </w:rPr>
    </w:pPr>
    <w:r w:rsidRPr="008D5F86">
      <w:rPr>
        <w:rFonts w:ascii="Arial" w:hAnsi="Arial" w:cs="Arial"/>
        <w:noProof/>
        <w:lang w:val="en-US" w:eastAsia="en-US"/>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0ABA19"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0DFC7EBC"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lang w:val="en-US" w:eastAsia="en-US"/>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9"/>
  </w:num>
  <w:num w:numId="4">
    <w:abstractNumId w:val="1"/>
  </w:num>
  <w:num w:numId="5">
    <w:abstractNumId w:val="7"/>
  </w:num>
  <w:num w:numId="6">
    <w:abstractNumId w:val="11"/>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proofState w:spelling="clean"/>
  <w:attachedTemplate r:id="rId1"/>
  <w:documentProtection w:edit="readOnly" w:enforcement="1" w:cryptProviderType="rsaAES" w:cryptAlgorithmClass="hash" w:cryptAlgorithmType="typeAny" w:cryptAlgorithmSid="14" w:cryptSpinCount="100000" w:hash="9n/yyAmrNVWjCfyWIe0bHKOxREVumuIEhhJ/E/ZRvNerMEhsNUO6fA9HCOX5ax3ZqobhptKy2INpLg+G7Jfw4w==" w:salt="klECVCKwc4L3/lEHSCQTqQ=="/>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448C"/>
    <w:rsid w:val="0006449B"/>
    <w:rsid w:val="000655AD"/>
    <w:rsid w:val="00066FD1"/>
    <w:rsid w:val="000727D3"/>
    <w:rsid w:val="00072BF9"/>
    <w:rsid w:val="00073DF9"/>
    <w:rsid w:val="0007767E"/>
    <w:rsid w:val="0007796D"/>
    <w:rsid w:val="000830DA"/>
    <w:rsid w:val="00083FBB"/>
    <w:rsid w:val="000921E6"/>
    <w:rsid w:val="00093239"/>
    <w:rsid w:val="00097D38"/>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ADC"/>
    <w:rsid w:val="0010429A"/>
    <w:rsid w:val="00105424"/>
    <w:rsid w:val="001075EC"/>
    <w:rsid w:val="00113D82"/>
    <w:rsid w:val="00120F0D"/>
    <w:rsid w:val="001214DA"/>
    <w:rsid w:val="0012722A"/>
    <w:rsid w:val="00130EF9"/>
    <w:rsid w:val="001319C7"/>
    <w:rsid w:val="0013558F"/>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3999"/>
    <w:rsid w:val="001F3D9D"/>
    <w:rsid w:val="001F45D3"/>
    <w:rsid w:val="00200894"/>
    <w:rsid w:val="00202333"/>
    <w:rsid w:val="00202FA8"/>
    <w:rsid w:val="002034B8"/>
    <w:rsid w:val="00205922"/>
    <w:rsid w:val="00206FB8"/>
    <w:rsid w:val="0020766F"/>
    <w:rsid w:val="00207A07"/>
    <w:rsid w:val="00210498"/>
    <w:rsid w:val="0021147A"/>
    <w:rsid w:val="00213BFB"/>
    <w:rsid w:val="00217478"/>
    <w:rsid w:val="00220938"/>
    <w:rsid w:val="00224806"/>
    <w:rsid w:val="002271C7"/>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2C72"/>
    <w:rsid w:val="002630C0"/>
    <w:rsid w:val="0026332A"/>
    <w:rsid w:val="002635F4"/>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1F98"/>
    <w:rsid w:val="002C2A46"/>
    <w:rsid w:val="002C3048"/>
    <w:rsid w:val="002D118A"/>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3C4B"/>
    <w:rsid w:val="003545A6"/>
    <w:rsid w:val="00356C60"/>
    <w:rsid w:val="003578D1"/>
    <w:rsid w:val="00363639"/>
    <w:rsid w:val="00363AEC"/>
    <w:rsid w:val="00366D42"/>
    <w:rsid w:val="0036748C"/>
    <w:rsid w:val="00372615"/>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743"/>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478A"/>
    <w:rsid w:val="00435FE9"/>
    <w:rsid w:val="00436279"/>
    <w:rsid w:val="0044199E"/>
    <w:rsid w:val="004419B4"/>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4DFA"/>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2C63"/>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3C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51D4"/>
    <w:rsid w:val="007D7A59"/>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4202"/>
    <w:rsid w:val="008157C8"/>
    <w:rsid w:val="008173E2"/>
    <w:rsid w:val="008201C3"/>
    <w:rsid w:val="00820422"/>
    <w:rsid w:val="00820655"/>
    <w:rsid w:val="008227D7"/>
    <w:rsid w:val="008249A1"/>
    <w:rsid w:val="00825D43"/>
    <w:rsid w:val="0082632D"/>
    <w:rsid w:val="008318AF"/>
    <w:rsid w:val="00832500"/>
    <w:rsid w:val="00832787"/>
    <w:rsid w:val="00835805"/>
    <w:rsid w:val="0083595F"/>
    <w:rsid w:val="008372B6"/>
    <w:rsid w:val="00843A1A"/>
    <w:rsid w:val="00846433"/>
    <w:rsid w:val="008472C2"/>
    <w:rsid w:val="008510D9"/>
    <w:rsid w:val="00851EE3"/>
    <w:rsid w:val="00853121"/>
    <w:rsid w:val="008555E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7A75"/>
    <w:rsid w:val="00991A8A"/>
    <w:rsid w:val="00992611"/>
    <w:rsid w:val="00994303"/>
    <w:rsid w:val="0099526D"/>
    <w:rsid w:val="00996D4D"/>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379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3719C"/>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58B4"/>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1E9B"/>
    <w:rsid w:val="00C73A70"/>
    <w:rsid w:val="00C76054"/>
    <w:rsid w:val="00C779A2"/>
    <w:rsid w:val="00C80546"/>
    <w:rsid w:val="00C827BC"/>
    <w:rsid w:val="00C83CAD"/>
    <w:rsid w:val="00C8419E"/>
    <w:rsid w:val="00C851D7"/>
    <w:rsid w:val="00C85C8B"/>
    <w:rsid w:val="00C867AD"/>
    <w:rsid w:val="00C87F9F"/>
    <w:rsid w:val="00C9531B"/>
    <w:rsid w:val="00C9545D"/>
    <w:rsid w:val="00C9625C"/>
    <w:rsid w:val="00C978C6"/>
    <w:rsid w:val="00C97F2A"/>
    <w:rsid w:val="00CA112D"/>
    <w:rsid w:val="00CA1F9F"/>
    <w:rsid w:val="00CA2179"/>
    <w:rsid w:val="00CA3D8A"/>
    <w:rsid w:val="00CB26B8"/>
    <w:rsid w:val="00CB4B3E"/>
    <w:rsid w:val="00CB50EF"/>
    <w:rsid w:val="00CB623F"/>
    <w:rsid w:val="00CB6799"/>
    <w:rsid w:val="00CB791A"/>
    <w:rsid w:val="00CB7D1B"/>
    <w:rsid w:val="00CC11DF"/>
    <w:rsid w:val="00CC1A6E"/>
    <w:rsid w:val="00CC3F62"/>
    <w:rsid w:val="00CC536E"/>
    <w:rsid w:val="00CC59DD"/>
    <w:rsid w:val="00CC7FC6"/>
    <w:rsid w:val="00CD47B2"/>
    <w:rsid w:val="00CD5AFD"/>
    <w:rsid w:val="00CD74EB"/>
    <w:rsid w:val="00CE05B5"/>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0FA4"/>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33E9"/>
    <w:rsid w:val="00DD55C2"/>
    <w:rsid w:val="00DD759E"/>
    <w:rsid w:val="00DE314E"/>
    <w:rsid w:val="00DE4CFB"/>
    <w:rsid w:val="00DF045B"/>
    <w:rsid w:val="00DF1ED8"/>
    <w:rsid w:val="00DF3785"/>
    <w:rsid w:val="00DF3D27"/>
    <w:rsid w:val="00DF6074"/>
    <w:rsid w:val="00E02239"/>
    <w:rsid w:val="00E047EC"/>
    <w:rsid w:val="00E077F1"/>
    <w:rsid w:val="00E07D42"/>
    <w:rsid w:val="00E163E9"/>
    <w:rsid w:val="00E240F5"/>
    <w:rsid w:val="00E30004"/>
    <w:rsid w:val="00E333AC"/>
    <w:rsid w:val="00E3456B"/>
    <w:rsid w:val="00E35C16"/>
    <w:rsid w:val="00E36085"/>
    <w:rsid w:val="00E36813"/>
    <w:rsid w:val="00E42382"/>
    <w:rsid w:val="00E603DF"/>
    <w:rsid w:val="00E613E6"/>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236F"/>
    <w:rsid w:val="00EB237E"/>
    <w:rsid w:val="00EC1546"/>
    <w:rsid w:val="00EC5B23"/>
    <w:rsid w:val="00EC5DED"/>
    <w:rsid w:val="00EC6BD8"/>
    <w:rsid w:val="00ED0356"/>
    <w:rsid w:val="00ED0D71"/>
    <w:rsid w:val="00ED3DCD"/>
    <w:rsid w:val="00ED3DD5"/>
    <w:rsid w:val="00ED56BE"/>
    <w:rsid w:val="00ED74D7"/>
    <w:rsid w:val="00ED78CD"/>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0736"/>
    <w:rsid w:val="00F31A29"/>
    <w:rsid w:val="00F3279A"/>
    <w:rsid w:val="00F37236"/>
    <w:rsid w:val="00F44634"/>
    <w:rsid w:val="00F505EC"/>
    <w:rsid w:val="00F5088F"/>
    <w:rsid w:val="00F51657"/>
    <w:rsid w:val="00F5223C"/>
    <w:rsid w:val="00F57787"/>
    <w:rsid w:val="00F61E82"/>
    <w:rsid w:val="00F61F39"/>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4F52"/>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FT,Car,Footnote Text Char1,Footnote Text Char Char,fn Char Char,Footnote Text Char1 Char1 Char,Footnote Text Char Char Char1 Char,Footnote Text Char1 Char Char Char,Footnote Text Char Char Char Char Char,Footnote Text Char Char1,fn,Char3"/>
    <w:basedOn w:val="Normal"/>
    <w:link w:val="FootnoteTextChar"/>
    <w:autoRedefine/>
    <w:uiPriority w:val="99"/>
    <w:unhideWhenUsed/>
    <w:qFormat/>
    <w:rsid w:val="006F53E8"/>
    <w:rPr>
      <w:sz w:val="16"/>
    </w:rPr>
  </w:style>
  <w:style w:type="character" w:customStyle="1" w:styleId="FootnoteTextChar">
    <w:name w:val="Footnote Text Char"/>
    <w:aliases w:val="FT Char,Car Char,Footnote Text Char1 Char,Footnote Text Char Char Char,fn Char Char Char,Footnote Text Char1 Char1 Char Char,Footnote Text Char Char Char1 Char Char,Footnote Text Char1 Char Char Char Char,Footnote Text Char Char1 Char"/>
    <w:basedOn w:val="DefaultParagraphFont"/>
    <w:link w:val="FootnoteText"/>
    <w:uiPriority w:val="99"/>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39647880">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7574971">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esrb.europa.eu/pub/pdf/wp/esrb.wp72.en.pdf?87d519a1fd278d359b6d5a33499d0e26" TargetMode="External"/><Relationship Id="rId1" Type="http://schemas.openxmlformats.org/officeDocument/2006/relationships/hyperlink" Target="https://www.esma.europa.eu/press-news/consultations/consultation-clearing-obligation-financial-counterparties-limited-volum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0fbe147-bbda-4e53-b6b1-7e8bbff3fe19">ESMA70-156-1759</_dlc_DocId>
    <TaxCatchAll xmlns="20fbe147-bbda-4e53-b6b1-7e8bbff3fe19">
      <Value>5</Value>
      <Value>46</Value>
      <Value>100</Value>
      <Value>302</Value>
      <Value>14</Value>
    </TaxCatchAll>
    <_dlc_DocIdUrl xmlns="20fbe147-bbda-4e53-b6b1-7e8bbff3fe19">
      <Url>https://sherpa.esma.europa.eu/sites/MKT/SMK/_layouts/15/DocIdRedir.aspx?ID=ESMA70-156-1759</Url>
      <Description>ESMA70-156-1759</Description>
    </_dlc_DocIdUrl>
    <Year xmlns="20fbe147-bbda-4e53-b6b1-7e8bbff3fe19">2019</Year>
    <MeetingDate xmlns="20fbe147-bbda-4e53-b6b1-7e8bbff3fe19"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Transparency</TermName>
          <TermId xmlns="http://schemas.microsoft.com/office/infopath/2007/PartnerControls">cfa6cb41-a664-4058-b745-b45e1c59694c</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64c18f63-8e0f-46d8-84d6-b5a5f7a39938</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Transparency - TO</TermName>
          <TermId xmlns="http://schemas.microsoft.com/office/infopath/2007/PartnerControls">092a8390-918c-4acf-885e-abcf6d1f526b</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Feedback Statement (includes responses)</TermName>
          <TermId xmlns="http://schemas.microsoft.com/office/infopath/2007/PartnerControls">00bc750a-87e5-4a0d-9385-52a7c69693e1</TermId>
        </TermInfo>
      </Terms>
    </eed0a0b2ea6941718a34434e243f3d8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7F5EE-E87B-49CE-96B5-F95CE63A0DF2}">
  <ds:schemaRefs>
    <ds:schemaRef ds:uri="http://purl.org/dc/terms/"/>
    <ds:schemaRef ds:uri="http://purl.org/dc/dcmitype/"/>
    <ds:schemaRef ds:uri="http://schemas.microsoft.com/office/2006/documentManagement/types"/>
    <ds:schemaRef ds:uri="http://purl.org/dc/elements/1.1/"/>
    <ds:schemaRef ds:uri="http://schemas.microsoft.com/sharepoint/v3"/>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schemas.microsoft.com/sharepoint/v4"/>
    <ds:schemaRef ds:uri="20fbe147-bbda-4e53-b6b1-7e8bbff3fe19"/>
  </ds:schemaRefs>
</ds:datastoreItem>
</file>

<file path=customXml/itemProps2.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3.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4.xml><?xml version="1.0" encoding="utf-8"?>
<ds:datastoreItem xmlns:ds="http://schemas.openxmlformats.org/officeDocument/2006/customXml" ds:itemID="{F0AD11F3-D4B6-4515-9DC3-FC3CE8897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3D14B25-EAC9-4515-A9D0-8D2CC90BC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1339</TotalTime>
  <Pages>7</Pages>
  <Words>1377</Words>
  <Characters>7849</Characters>
  <Application>Microsoft Office Word</Application>
  <DocSecurity>8</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Platt, Jonah</cp:lastModifiedBy>
  <cp:revision>22</cp:revision>
  <cp:lastPrinted>2017-07-24T14:47:00Z</cp:lastPrinted>
  <dcterms:created xsi:type="dcterms:W3CDTF">2019-10-17T17:59:00Z</dcterms:created>
  <dcterms:modified xsi:type="dcterms:W3CDTF">2019-11-20T20:36:00Z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0x01010001BD15C3986B91498E0AE644B715B9EE010D00757D222C6B0DA241B5F74437644107D4</vt:lpwstr>
  </property>
  <property fmtid="{D5CDD505-2E9C-101B-9397-08002B2CF9AE}" pid="5" name="_dlc_DocIdItemGuid">
    <vt:lpwstr>9da317dd-8ed3-4788-8408-03ddb8868fa8</vt:lpwstr>
  </property>
  <property fmtid="{D5CDD505-2E9C-101B-9397-08002B2CF9AE}" pid="6" name="DocumentType">
    <vt:lpwstr>302;#Feedback Statement (includes responses)|00bc750a-87e5-4a0d-9385-52a7c69693e1</vt:lpwstr>
  </property>
  <property fmtid="{D5CDD505-2E9C-101B-9397-08002B2CF9AE}" pid="7" name="Topic">
    <vt:lpwstr>46;#Transparency|cfa6cb41-a664-4058-b745-b45e1c59694c</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5;#Secondary Markets|64c18f63-8e0f-46d8-84d6-b5a5f7a39938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100;#Transparency - TO|092a8390-918c-4acf-885e-abcf6d1f526b</vt:lpwstr>
  </property>
</Properties>
</file>