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A62" w:rsidRPr="00D07A62" w:rsidRDefault="00D07A62" w:rsidP="00D07A62">
      <w:pPr>
        <w:rPr>
          <w:lang w:val="en-GB"/>
        </w:rPr>
      </w:pPr>
      <w:bookmarkStart w:id="0" w:name="_GoBack"/>
      <w:bookmarkEnd w:id="0"/>
      <w:r>
        <w:rPr>
          <w:rFonts w:ascii="Arial" w:hAnsi="Arial" w:cs="Arial"/>
          <w:b/>
          <w:bCs/>
          <w:color w:val="44546A"/>
          <w:sz w:val="20"/>
          <w:szCs w:val="20"/>
          <w:lang w:val="en-US"/>
        </w:rPr>
        <w:t>Guideline 2 / Q2 to Q4</w:t>
      </w:r>
      <w:r>
        <w:rPr>
          <w:rFonts w:ascii="Arial" w:hAnsi="Arial" w:cs="Arial"/>
          <w:color w:val="44546A"/>
          <w:sz w:val="20"/>
          <w:szCs w:val="20"/>
          <w:lang w:val="en-US"/>
        </w:rPr>
        <w:t xml:space="preserve">: </w:t>
      </w:r>
    </w:p>
    <w:p w:rsidR="00D07A62" w:rsidRPr="00D07A62" w:rsidRDefault="00D07A62" w:rsidP="00D07A62">
      <w:pPr>
        <w:ind w:left="708"/>
        <w:rPr>
          <w:lang w:val="en-GB"/>
        </w:rPr>
      </w:pPr>
      <w:r>
        <w:rPr>
          <w:rFonts w:ascii="Arial" w:hAnsi="Arial" w:cs="Arial"/>
          <w:b/>
          <w:bCs/>
          <w:color w:val="44546A"/>
          <w:sz w:val="20"/>
          <w:szCs w:val="20"/>
          <w:lang w:val="en-US"/>
        </w:rPr>
        <w:t>“17. The only addition to the supporting guidelines has been made in paragraph 26 which now indicates that the compliance function may, as an additional tool for monitoring activities, also interview the firm’s clients.”</w:t>
      </w:r>
    </w:p>
    <w:p w:rsidR="00D07A62" w:rsidRPr="00D07A62" w:rsidRDefault="00D07A62" w:rsidP="00D07A62">
      <w:pPr>
        <w:ind w:left="708"/>
        <w:rPr>
          <w:lang w:val="en-GB"/>
        </w:rPr>
      </w:pPr>
      <w:r>
        <w:rPr>
          <w:rFonts w:ascii="Wingdings"/>
          <w:color w:val="44546A"/>
          <w:lang w:val="en-US"/>
        </w:rPr>
        <w:t> </w:t>
      </w:r>
    </w:p>
    <w:p w:rsidR="00D07A62" w:rsidRPr="00D07A62" w:rsidRDefault="00D07A62" w:rsidP="00D07A62">
      <w:pPr>
        <w:ind w:left="708"/>
        <w:rPr>
          <w:lang w:val="en-GB"/>
        </w:rPr>
      </w:pPr>
      <w:r>
        <w:rPr>
          <w:rFonts w:ascii="Arial" w:hAnsi="Arial" w:cs="Arial"/>
          <w:sz w:val="20"/>
          <w:szCs w:val="20"/>
          <w:lang w:val="en-US"/>
        </w:rPr>
        <w:t xml:space="preserve">Recital 26 is mentioning monitoring tools, i.a. interviewing firm´s clients. From our point of view, this kind of monitoring tool requires a high degree of sensitivity when being applied by Compliance departments, as it could be easily misunderstood by clients, who could fear e.g. previous inaccurate service provision by their client advisors towards themselves. </w:t>
      </w:r>
    </w:p>
    <w:p w:rsidR="00D07A62" w:rsidRPr="00D07A62" w:rsidRDefault="00D07A62" w:rsidP="00D07A62">
      <w:pPr>
        <w:rPr>
          <w:lang w:val="en-GB"/>
        </w:rPr>
      </w:pPr>
      <w:r>
        <w:rPr>
          <w:rFonts w:ascii="Arial" w:hAnsi="Arial" w:cs="Arial"/>
          <w:b/>
          <w:bCs/>
          <w:color w:val="44546A"/>
          <w:sz w:val="20"/>
          <w:szCs w:val="20"/>
          <w:lang w:val="en-US"/>
        </w:rPr>
        <w:t> </w:t>
      </w:r>
    </w:p>
    <w:p w:rsidR="00D07A62" w:rsidRPr="00D07A62" w:rsidRDefault="00D07A62" w:rsidP="00D07A62">
      <w:pPr>
        <w:rPr>
          <w:lang w:val="en-GB"/>
        </w:rPr>
      </w:pPr>
      <w:r>
        <w:rPr>
          <w:rFonts w:ascii="Arial" w:hAnsi="Arial" w:cs="Arial"/>
          <w:b/>
          <w:bCs/>
          <w:color w:val="44546A"/>
          <w:sz w:val="20"/>
          <w:szCs w:val="20"/>
          <w:lang w:val="en-US"/>
        </w:rPr>
        <w:t>Guideline 3 / Q6</w:t>
      </w:r>
      <w:r>
        <w:rPr>
          <w:rFonts w:ascii="Arial" w:hAnsi="Arial" w:cs="Arial"/>
          <w:color w:val="44546A"/>
          <w:sz w:val="20"/>
          <w:szCs w:val="20"/>
          <w:lang w:val="en-US"/>
        </w:rPr>
        <w:t>:</w:t>
      </w:r>
    </w:p>
    <w:p w:rsidR="00D07A62" w:rsidRPr="00D07A62" w:rsidRDefault="00D07A62" w:rsidP="00D07A62">
      <w:pPr>
        <w:ind w:left="708"/>
        <w:rPr>
          <w:lang w:val="en-GB"/>
        </w:rPr>
      </w:pPr>
      <w:r>
        <w:rPr>
          <w:rFonts w:ascii="Arial" w:hAnsi="Arial" w:cs="Arial"/>
          <w:b/>
          <w:bCs/>
          <w:color w:val="44546A"/>
          <w:sz w:val="20"/>
          <w:szCs w:val="20"/>
          <w:lang w:val="en-US"/>
        </w:rPr>
        <w:t>“21. The supporting guidelines now also spell out what the parts of the report addressing the financial instruments manufactured/distributed by the firm and its distribution strategy (in accordance with Article 9(6) and (7) and Article 10(6) and (8) of the MiFID II Delegated Directive) should cover, as a minimum: i) the number and nature of the products manufactured/distributed, their target markets and other information to assess the product’s compliance-risk (e.g. complexity of the product, product-related conflicts of interests, etc.); ii) for manufacturers, as part of the information on the respective distribution strategy, the respective distributors of the products; and iii) whether the products are distributed outside their (positive) target market and to which extent.”</w:t>
      </w:r>
    </w:p>
    <w:p w:rsidR="00D07A62" w:rsidRPr="00D07A62" w:rsidRDefault="00D07A62" w:rsidP="00D07A62">
      <w:pPr>
        <w:ind w:left="708"/>
        <w:rPr>
          <w:lang w:val="en-GB"/>
        </w:rPr>
      </w:pPr>
      <w:r>
        <w:rPr>
          <w:rFonts w:ascii="Wingdings"/>
          <w:sz w:val="20"/>
          <w:szCs w:val="20"/>
          <w:lang w:val="en-US"/>
        </w:rPr>
        <w:t> </w:t>
      </w:r>
    </w:p>
    <w:p w:rsidR="00D07A62" w:rsidRPr="00D07A62" w:rsidRDefault="00D07A62" w:rsidP="00D07A62">
      <w:pPr>
        <w:ind w:left="708"/>
        <w:rPr>
          <w:lang w:val="en-GB"/>
        </w:rPr>
      </w:pPr>
      <w:r>
        <w:rPr>
          <w:rFonts w:ascii="Arial" w:hAnsi="Arial" w:cs="Arial"/>
          <w:sz w:val="20"/>
          <w:szCs w:val="20"/>
          <w:lang w:val="en-US"/>
        </w:rPr>
        <w:t>According Art 9 delegated directive (EU) 2017/593 investment firms shall ensure that the management body has effective control over the firm's product governance process. Investment firms shall ensure that the compliance reports to the management body systematically include information about the financial instruments manufactured by the firm, including information on the distribution strategy. From our point of view the above mentioned minimum information to be reported are too detailed. In our view, the volume distributed per asset class appears absolutely sufficient. Furthermore, it was not taken into account that there are already correlating information obligations from other legal bases (conflict of interest), which is why the listed requirements would be redundant.</w:t>
      </w:r>
    </w:p>
    <w:p w:rsidR="00D07A62" w:rsidRPr="00D07A62" w:rsidRDefault="00D07A62" w:rsidP="00D07A62">
      <w:pPr>
        <w:ind w:left="708"/>
        <w:rPr>
          <w:lang w:val="en-GB"/>
        </w:rPr>
      </w:pPr>
      <w:r>
        <w:rPr>
          <w:rFonts w:ascii="Arial" w:hAnsi="Arial" w:cs="Arial"/>
          <w:color w:val="44546A"/>
          <w:sz w:val="20"/>
          <w:szCs w:val="20"/>
          <w:lang w:val="en-US"/>
        </w:rPr>
        <w:t> </w:t>
      </w:r>
    </w:p>
    <w:p w:rsidR="00D07A62" w:rsidRPr="00D07A62" w:rsidRDefault="00D07A62" w:rsidP="00D07A62">
      <w:pPr>
        <w:rPr>
          <w:lang w:val="en-GB"/>
        </w:rPr>
      </w:pPr>
      <w:r>
        <w:rPr>
          <w:rFonts w:ascii="Arial" w:hAnsi="Arial" w:cs="Arial"/>
          <w:b/>
          <w:bCs/>
          <w:color w:val="44546A"/>
          <w:sz w:val="20"/>
          <w:szCs w:val="20"/>
          <w:lang w:val="en-US"/>
        </w:rPr>
        <w:t>Guideline 4 / Q 10:</w:t>
      </w:r>
    </w:p>
    <w:p w:rsidR="00D07A62" w:rsidRPr="00D07A62" w:rsidRDefault="00D07A62" w:rsidP="00D07A62">
      <w:pPr>
        <w:ind w:left="708"/>
        <w:rPr>
          <w:lang w:val="en-GB"/>
        </w:rPr>
      </w:pPr>
      <w:r>
        <w:rPr>
          <w:rFonts w:ascii="Arial" w:hAnsi="Arial" w:cs="Arial"/>
          <w:b/>
          <w:bCs/>
          <w:color w:val="44546A"/>
          <w:sz w:val="20"/>
          <w:szCs w:val="20"/>
          <w:lang w:val="en-US"/>
        </w:rPr>
        <w:t>“27. The guidelines now also specify that the “compliance culture” of the firm should be supported by senior management.”</w:t>
      </w:r>
    </w:p>
    <w:p w:rsidR="00D07A62" w:rsidRPr="00D07A62" w:rsidRDefault="00D07A62" w:rsidP="00D07A62">
      <w:pPr>
        <w:ind w:left="708"/>
        <w:rPr>
          <w:lang w:val="en-GB"/>
        </w:rPr>
      </w:pPr>
      <w:r>
        <w:rPr>
          <w:rFonts w:ascii="Wingdings"/>
          <w:sz w:val="20"/>
          <w:szCs w:val="20"/>
          <w:lang w:val="en-US"/>
        </w:rPr>
        <w:t> </w:t>
      </w:r>
    </w:p>
    <w:p w:rsidR="00D07A62" w:rsidRPr="00D07A62" w:rsidRDefault="00D07A62" w:rsidP="00D07A62">
      <w:pPr>
        <w:ind w:left="708"/>
        <w:rPr>
          <w:lang w:val="en-GB"/>
        </w:rPr>
      </w:pPr>
      <w:r>
        <w:rPr>
          <w:rFonts w:ascii="Arial" w:hAnsi="Arial" w:cs="Arial"/>
          <w:sz w:val="20"/>
          <w:szCs w:val="20"/>
          <w:lang w:val="en-US"/>
        </w:rPr>
        <w:t>This point is very non-transparent in what is meant by „compliance culture“ – It is unrealistic to assume that the management board will officially speak out against compliance within the company. If there is the intention to strengthen the awareness of the management board then a written commitment (similar as required in the Benchmark Regulation)</w:t>
      </w:r>
      <w:r>
        <w:rPr>
          <w:rFonts w:ascii="Arial" w:hAnsi="Arial" w:cs="Arial"/>
          <w:color w:val="1F497D"/>
          <w:sz w:val="20"/>
          <w:szCs w:val="20"/>
          <w:lang w:val="en-US"/>
        </w:rPr>
        <w:t xml:space="preserve"> </w:t>
      </w:r>
      <w:r>
        <w:rPr>
          <w:rFonts w:ascii="Arial" w:hAnsi="Arial" w:cs="Arial"/>
          <w:sz w:val="20"/>
          <w:szCs w:val="20"/>
          <w:lang w:val="en-US"/>
        </w:rPr>
        <w:t>could be considered.</w:t>
      </w:r>
    </w:p>
    <w:p w:rsidR="00D07A62" w:rsidRPr="00D07A62" w:rsidRDefault="00D07A62" w:rsidP="00D07A62">
      <w:pPr>
        <w:ind w:left="708"/>
        <w:rPr>
          <w:lang w:val="en-GB"/>
        </w:rPr>
      </w:pPr>
      <w:r>
        <w:rPr>
          <w:rFonts w:ascii="Arial" w:hAnsi="Arial" w:cs="Arial"/>
          <w:color w:val="44546A"/>
          <w:sz w:val="20"/>
          <w:szCs w:val="20"/>
          <w:lang w:val="en-US"/>
        </w:rPr>
        <w:t> </w:t>
      </w:r>
    </w:p>
    <w:p w:rsidR="00D07A62" w:rsidRPr="00D07A62" w:rsidRDefault="00D07A62" w:rsidP="00D07A62">
      <w:pPr>
        <w:rPr>
          <w:lang w:val="en-GB"/>
        </w:rPr>
      </w:pPr>
      <w:r>
        <w:rPr>
          <w:rFonts w:ascii="Arial" w:hAnsi="Arial" w:cs="Arial"/>
          <w:b/>
          <w:bCs/>
          <w:color w:val="44546A"/>
          <w:sz w:val="20"/>
          <w:szCs w:val="20"/>
          <w:lang w:val="en-US"/>
        </w:rPr>
        <w:t>Guideline 5 / Q 11:</w:t>
      </w:r>
    </w:p>
    <w:p w:rsidR="00D07A62" w:rsidRPr="00D07A62" w:rsidRDefault="00D07A62" w:rsidP="00D07A62">
      <w:pPr>
        <w:ind w:left="708"/>
        <w:rPr>
          <w:lang w:val="en-GB"/>
        </w:rPr>
      </w:pPr>
      <w:r>
        <w:rPr>
          <w:rFonts w:ascii="Arial" w:hAnsi="Arial" w:cs="Arial"/>
          <w:b/>
          <w:bCs/>
          <w:color w:val="44546A"/>
          <w:sz w:val="20"/>
          <w:szCs w:val="20"/>
          <w:lang w:val="en-US"/>
        </w:rPr>
        <w:t>“29. General guideline 5 was however amended and supplemented as follows:</w:t>
      </w:r>
    </w:p>
    <w:p w:rsidR="00D07A62" w:rsidRPr="00D07A62" w:rsidRDefault="00D07A62" w:rsidP="00D07A62">
      <w:pPr>
        <w:ind w:left="1416"/>
        <w:rPr>
          <w:lang w:val="en-GB"/>
        </w:rPr>
      </w:pPr>
      <w:r>
        <w:rPr>
          <w:rFonts w:ascii="Symbol" w:hAnsi="Symbol"/>
          <w:b/>
          <w:bCs/>
          <w:color w:val="44546A"/>
          <w:sz w:val="20"/>
          <w:szCs w:val="20"/>
          <w:lang w:val="en-US"/>
        </w:rPr>
        <w:t></w:t>
      </w:r>
      <w:r>
        <w:rPr>
          <w:rFonts w:ascii="Arial" w:hAnsi="Arial" w:cs="Arial"/>
          <w:b/>
          <w:bCs/>
          <w:color w:val="44546A"/>
          <w:sz w:val="20"/>
          <w:szCs w:val="20"/>
          <w:lang w:val="en-US"/>
        </w:rPr>
        <w:t xml:space="preserve"> a new paragraph provides that the firm should have in place the arrangements necessary to ensure effective communication between the compliance function and the other control functions (such as internal audit and risk management) as well as with any internal or external auditors.”</w:t>
      </w:r>
    </w:p>
    <w:p w:rsidR="00D07A62" w:rsidRPr="00D07A62" w:rsidRDefault="00D07A62" w:rsidP="00D07A62">
      <w:pPr>
        <w:pStyle w:val="ListParagraph"/>
        <w:ind w:left="1428" w:hanging="360"/>
        <w:rPr>
          <w:lang w:val="en-GB"/>
        </w:rPr>
      </w:pPr>
      <w:r>
        <w:rPr>
          <w:rFonts w:ascii="Wingdings"/>
          <w:sz w:val="20"/>
          <w:szCs w:val="20"/>
          <w:lang w:val="en-US"/>
        </w:rPr>
        <w:t> </w:t>
      </w:r>
    </w:p>
    <w:p w:rsidR="00D07A62" w:rsidRPr="00D07A62" w:rsidRDefault="00D07A62" w:rsidP="00D07A62">
      <w:pPr>
        <w:pStyle w:val="ListParagraph"/>
        <w:rPr>
          <w:lang w:val="en-GB"/>
        </w:rPr>
      </w:pPr>
      <w:r>
        <w:rPr>
          <w:rFonts w:ascii="Arial" w:hAnsi="Arial" w:cs="Arial"/>
          <w:sz w:val="20"/>
          <w:szCs w:val="20"/>
          <w:lang w:val="en-US"/>
        </w:rPr>
        <w:t>In this context, arrangements (“arrangements necessary to ensure effective communication between the compliance function and the other control functions”) should not be understood as written agreements. Combining the compliance function with the internal audit function should generally be avoided as this is likely to undermine the independence of the compliance function because the internal audit function is charged with the oversight of the compliance function</w:t>
      </w:r>
      <w:r>
        <w:rPr>
          <w:rFonts w:ascii="Arial" w:hAnsi="Arial" w:cs="Arial"/>
          <w:color w:val="1F497D"/>
          <w:sz w:val="20"/>
          <w:szCs w:val="20"/>
          <w:lang w:val="en-US"/>
        </w:rPr>
        <w:t>.</w:t>
      </w:r>
      <w:r>
        <w:rPr>
          <w:rFonts w:ascii="Arial" w:hAnsi="Arial" w:cs="Arial"/>
          <w:sz w:val="20"/>
          <w:szCs w:val="20"/>
          <w:lang w:val="en-US"/>
        </w:rPr>
        <w:t xml:space="preserve"> </w:t>
      </w:r>
      <w:r>
        <w:rPr>
          <w:rFonts w:ascii="Arial" w:hAnsi="Arial" w:cs="Arial"/>
          <w:color w:val="1F497D"/>
          <w:sz w:val="20"/>
          <w:szCs w:val="20"/>
          <w:lang w:val="en-US"/>
        </w:rPr>
        <w:t>W</w:t>
      </w:r>
      <w:r>
        <w:rPr>
          <w:rFonts w:ascii="Arial" w:hAnsi="Arial" w:cs="Arial"/>
          <w:sz w:val="20"/>
          <w:szCs w:val="20"/>
          <w:lang w:val="en-US"/>
        </w:rPr>
        <w:t>here appropriate, both compliance and internal audit function could share its control and desk review plans so as to carry out such controls more effectively and avoid duplicities and redundancies</w:t>
      </w:r>
      <w:r>
        <w:rPr>
          <w:rFonts w:ascii="Arial" w:hAnsi="Arial" w:cs="Arial"/>
          <w:color w:val="1F497D"/>
          <w:sz w:val="20"/>
          <w:szCs w:val="20"/>
          <w:lang w:val="en-US"/>
        </w:rPr>
        <w:t>.</w:t>
      </w:r>
    </w:p>
    <w:p w:rsidR="00D07A62" w:rsidRPr="00D07A62" w:rsidRDefault="00D07A62" w:rsidP="00D07A62">
      <w:pPr>
        <w:ind w:left="708"/>
        <w:rPr>
          <w:lang w:val="en-GB"/>
        </w:rPr>
      </w:pPr>
      <w:r>
        <w:rPr>
          <w:rFonts w:ascii="Arial" w:hAnsi="Arial" w:cs="Arial"/>
          <w:color w:val="44546A"/>
          <w:sz w:val="20"/>
          <w:szCs w:val="20"/>
          <w:lang w:val="en-US"/>
        </w:rPr>
        <w:t> </w:t>
      </w:r>
    </w:p>
    <w:p w:rsidR="00D07A62" w:rsidRPr="00D07A62" w:rsidRDefault="00D07A62" w:rsidP="00D07A62">
      <w:pPr>
        <w:rPr>
          <w:lang w:val="en-GB"/>
        </w:rPr>
      </w:pPr>
      <w:r>
        <w:rPr>
          <w:rFonts w:ascii="Arial" w:hAnsi="Arial" w:cs="Arial"/>
          <w:b/>
          <w:bCs/>
          <w:color w:val="44546A"/>
          <w:sz w:val="20"/>
          <w:szCs w:val="20"/>
          <w:lang w:val="en-US"/>
        </w:rPr>
        <w:t>Guideline 6 / Q 12 and 13:</w:t>
      </w:r>
    </w:p>
    <w:p w:rsidR="00D07A62" w:rsidRPr="00D07A62" w:rsidRDefault="00D07A62" w:rsidP="00D07A62">
      <w:pPr>
        <w:ind w:left="708"/>
        <w:rPr>
          <w:lang w:val="en-GB"/>
        </w:rPr>
      </w:pPr>
      <w:r>
        <w:rPr>
          <w:rFonts w:ascii="Arial" w:hAnsi="Arial" w:cs="Arial"/>
          <w:b/>
          <w:bCs/>
          <w:color w:val="44546A"/>
          <w:sz w:val="20"/>
          <w:szCs w:val="20"/>
          <w:lang w:val="en-US"/>
        </w:rPr>
        <w:t xml:space="preserve">“30 - 33. New guideline 6 results from the split of guideline 5: guideline 6 is solely focused on the skills, knowledge, expertise and authority of the compliance function. </w:t>
      </w:r>
      <w:r>
        <w:rPr>
          <w:rFonts w:ascii="Arial" w:hAnsi="Arial" w:cs="Arial"/>
          <w:b/>
          <w:bCs/>
          <w:color w:val="44546A"/>
          <w:sz w:val="20"/>
          <w:szCs w:val="20"/>
          <w:lang w:val="en-US"/>
        </w:rPr>
        <w:lastRenderedPageBreak/>
        <w:t>Given the importance and nature of the role of the compliance function (including its advisory role to senior management), ESMA believes that it is important to emphasise and insist on this aspect. In addition, whilst the relevant parts of general guideline 5 formerly focused solely on the knowledge, expertise and experience of the compliance officer, new general guideline 6 relates to all compliance staff. In addition, the new supporting guidelines expressly provide that the compliance officer should demonstrate high professional ethical standards and personal integrity. Indeed, given the importance and nature of the role of the compliance function, ESMA believes that the compliance officer should be irreproachable in terms of ethics and personal integrity.”</w:t>
      </w:r>
    </w:p>
    <w:p w:rsidR="00D07A62" w:rsidRPr="00D07A62" w:rsidRDefault="00D07A62" w:rsidP="00D07A62">
      <w:pPr>
        <w:pStyle w:val="ListParagraph"/>
        <w:ind w:left="1428" w:hanging="360"/>
        <w:rPr>
          <w:lang w:val="en-GB"/>
        </w:rPr>
      </w:pPr>
      <w:r>
        <w:rPr>
          <w:rFonts w:ascii="Wingdings"/>
          <w:sz w:val="20"/>
          <w:szCs w:val="20"/>
          <w:lang w:val="en-US"/>
        </w:rPr>
        <w:t> </w:t>
      </w:r>
    </w:p>
    <w:p w:rsidR="00D07A62" w:rsidRPr="00D07A62" w:rsidRDefault="00D07A62" w:rsidP="00D07A62">
      <w:pPr>
        <w:ind w:left="708"/>
        <w:rPr>
          <w:lang w:val="en-GB"/>
        </w:rPr>
      </w:pPr>
      <w:r>
        <w:rPr>
          <w:rFonts w:ascii="Arial" w:hAnsi="Arial" w:cs="Arial"/>
          <w:sz w:val="20"/>
          <w:szCs w:val="20"/>
          <w:lang w:val="en-US" w:eastAsia="de-AT"/>
        </w:rPr>
        <w:t>In line with these new, stricter requirements for the compliance officer and compliance staff, we would support an initiative to provide this area with increased protection against dismissal (analogous to the data protection officer and auditor). It is not understandable that other functionalities with the same high professional ethical standards and personal integrity enjoy increased legal protection and may not be dismissed due fulfilling their job. This must be followed up in the area of compliance.</w:t>
      </w:r>
    </w:p>
    <w:p w:rsidR="00D07A62" w:rsidRPr="00D07A62" w:rsidRDefault="00D07A62" w:rsidP="00D07A62">
      <w:pPr>
        <w:ind w:left="708"/>
        <w:rPr>
          <w:lang w:val="en-GB"/>
        </w:rPr>
      </w:pPr>
      <w:r>
        <w:rPr>
          <w:rFonts w:ascii="Arial" w:hAnsi="Arial" w:cs="Arial"/>
          <w:color w:val="44546A"/>
          <w:sz w:val="20"/>
          <w:szCs w:val="20"/>
          <w:lang w:val="en-US"/>
        </w:rPr>
        <w:t> </w:t>
      </w:r>
    </w:p>
    <w:p w:rsidR="00D07A62" w:rsidRPr="00D07A62" w:rsidRDefault="00D07A62" w:rsidP="00D07A62">
      <w:pPr>
        <w:rPr>
          <w:lang w:val="en-GB"/>
        </w:rPr>
      </w:pPr>
      <w:r>
        <w:rPr>
          <w:rFonts w:ascii="Arial" w:hAnsi="Arial" w:cs="Arial"/>
          <w:b/>
          <w:bCs/>
          <w:color w:val="44546A"/>
          <w:sz w:val="20"/>
          <w:szCs w:val="20"/>
          <w:lang w:val="en-US"/>
        </w:rPr>
        <w:t>Guideline 10 /Q 17 and 18:</w:t>
      </w:r>
    </w:p>
    <w:p w:rsidR="00D07A62" w:rsidRPr="00D07A62" w:rsidRDefault="00D07A62" w:rsidP="00D07A62">
      <w:pPr>
        <w:ind w:left="708"/>
        <w:rPr>
          <w:lang w:val="en-GB"/>
        </w:rPr>
      </w:pPr>
      <w:r>
        <w:rPr>
          <w:rFonts w:ascii="Arial" w:hAnsi="Arial" w:cs="Arial"/>
          <w:b/>
          <w:bCs/>
          <w:color w:val="44546A"/>
          <w:sz w:val="20"/>
          <w:szCs w:val="20"/>
          <w:lang w:val="en-US"/>
        </w:rPr>
        <w:t>“37. A new paragraph has been added at the end of guideline 10 (guideline 9 of the 2012 guidelines). ESMA believes that taking into account the nature, scale and complexity of the business of the firm, and the nature and range of investment services and activities undertaken in the course of that business, although a firm may have compliance staff working on other control units at the same level, it should consider establishing and maintaining a core team within compliance staff members whose sole area of</w:t>
      </w:r>
    </w:p>
    <w:p w:rsidR="00D07A62" w:rsidRPr="00D07A62" w:rsidRDefault="00D07A62" w:rsidP="00D07A62">
      <w:pPr>
        <w:ind w:left="708"/>
        <w:rPr>
          <w:lang w:val="en-GB"/>
        </w:rPr>
      </w:pPr>
      <w:r>
        <w:rPr>
          <w:rFonts w:ascii="Arial" w:hAnsi="Arial" w:cs="Arial"/>
          <w:b/>
          <w:bCs/>
          <w:color w:val="44546A"/>
          <w:sz w:val="20"/>
          <w:szCs w:val="20"/>
          <w:lang w:val="en-US"/>
        </w:rPr>
        <w:t>responsibility is MiFID II compliance.”</w:t>
      </w:r>
    </w:p>
    <w:p w:rsidR="00D07A62" w:rsidRPr="00D07A62" w:rsidRDefault="00D07A62" w:rsidP="00D07A62">
      <w:pPr>
        <w:ind w:left="708"/>
        <w:rPr>
          <w:lang w:val="en-GB"/>
        </w:rPr>
      </w:pPr>
      <w:r>
        <w:rPr>
          <w:lang w:val="en-US"/>
        </w:rPr>
        <w:t> </w:t>
      </w:r>
    </w:p>
    <w:p w:rsidR="00D07A62" w:rsidRDefault="00D07A62" w:rsidP="00D07A62">
      <w:pPr>
        <w:pStyle w:val="ListParagraph"/>
        <w:numPr>
          <w:ilvl w:val="0"/>
          <w:numId w:val="1"/>
        </w:numPr>
      </w:pPr>
      <w:r>
        <w:rPr>
          <w:rFonts w:ascii="Arial" w:hAnsi="Arial" w:cs="Arial"/>
          <w:sz w:val="20"/>
          <w:szCs w:val="20"/>
          <w:lang w:val="en-US"/>
        </w:rPr>
        <w:t>It is not comprehensible why the requirements for the core team are limited to MiFID II; the tasks of the core team should also include other capital market law topics (MAR, PRIIPs, etc.). Furthermore, considering the enormous importance of compliance with capital market regulations, aimed either at consumer protection (MiFID and PRIIPs) or prevention/detection of client malicious behavior (MAR), it also appears, where appropriate and reasonable, that MiFID compliance staff (MiFID-dedicated task force) can apply a holistic approach and draw on AML-related information such as those relating to the source of funds/income for the purpose of assessment of suitability and appropriateness, thus effective cross-checking compliance with Art. 55 (3) of Del. Reg 2017/565.</w:t>
      </w:r>
    </w:p>
    <w:p w:rsidR="00D07A62" w:rsidRDefault="00D07A62" w:rsidP="00D07A62">
      <w:pPr>
        <w:pStyle w:val="ListParagraph"/>
        <w:ind w:left="1428" w:hanging="360"/>
      </w:pPr>
      <w:r>
        <w:rPr>
          <w:rFonts w:ascii="Wingdings"/>
          <w:sz w:val="20"/>
          <w:szCs w:val="20"/>
          <w:lang w:val="en-US"/>
        </w:rPr>
        <w:t> </w:t>
      </w:r>
    </w:p>
    <w:p w:rsidR="00D07A62" w:rsidRPr="00D07A62" w:rsidRDefault="00D07A62" w:rsidP="00D07A62">
      <w:pPr>
        <w:pStyle w:val="ListParagraph"/>
        <w:numPr>
          <w:ilvl w:val="0"/>
          <w:numId w:val="1"/>
        </w:numPr>
        <w:rPr>
          <w:lang w:val="en-GB"/>
        </w:rPr>
      </w:pPr>
      <w:r>
        <w:rPr>
          <w:rFonts w:ascii="Arial" w:hAnsi="Arial" w:cs="Arial"/>
          <w:sz w:val="20"/>
          <w:szCs w:val="20"/>
          <w:lang w:val="en-US"/>
        </w:rPr>
        <w:t>The guidelines should put more emphasis and focus on setting standards for business lines to perform operative controls as the business is the risk taker – a kind of self-assessment by business and their involvement in such controls is highly desirable, the focus should not lie exclusively with compliance function</w:t>
      </w:r>
    </w:p>
    <w:p w:rsidR="00D07A62" w:rsidRPr="00D07A62" w:rsidRDefault="00D07A62" w:rsidP="00D07A62">
      <w:pPr>
        <w:ind w:left="708"/>
        <w:rPr>
          <w:lang w:val="en-GB"/>
        </w:rPr>
      </w:pPr>
      <w:r>
        <w:rPr>
          <w:rFonts w:ascii="Arial" w:hAnsi="Arial" w:cs="Arial"/>
          <w:color w:val="44546A"/>
          <w:sz w:val="20"/>
          <w:szCs w:val="20"/>
          <w:lang w:val="en-US"/>
        </w:rPr>
        <w:t> </w:t>
      </w:r>
    </w:p>
    <w:p w:rsidR="00D07A62" w:rsidRPr="00D07A62" w:rsidRDefault="00D07A62" w:rsidP="00D07A62">
      <w:pPr>
        <w:rPr>
          <w:lang w:val="en-GB"/>
        </w:rPr>
      </w:pPr>
      <w:r>
        <w:rPr>
          <w:rFonts w:ascii="Arial" w:hAnsi="Arial" w:cs="Arial"/>
          <w:b/>
          <w:bCs/>
          <w:color w:val="44546A"/>
          <w:sz w:val="20"/>
          <w:szCs w:val="20"/>
          <w:lang w:val="en-US"/>
        </w:rPr>
        <w:t>Guideline 11 / Q 19 and 20:</w:t>
      </w:r>
    </w:p>
    <w:p w:rsidR="00D07A62" w:rsidRPr="00D07A62" w:rsidRDefault="00D07A62" w:rsidP="00D07A62">
      <w:pPr>
        <w:ind w:left="708"/>
        <w:rPr>
          <w:lang w:val="en-GB"/>
        </w:rPr>
      </w:pPr>
      <w:r>
        <w:rPr>
          <w:rFonts w:ascii="Arial" w:hAnsi="Arial" w:cs="Arial"/>
          <w:b/>
          <w:bCs/>
          <w:color w:val="44546A"/>
          <w:sz w:val="20"/>
          <w:szCs w:val="20"/>
          <w:lang w:val="en-US"/>
        </w:rPr>
        <w:t>38. Guideline 11 (guideline 10 in the 2012 guidelines) has been amended to clearly state that a firm cannot discharge its compliance function responsibilities by outsourcing all or part of its compliance function and the relevant responsibilities attached to the functions and/or tasks outsourced will always rest with the firm.</w:t>
      </w:r>
    </w:p>
    <w:p w:rsidR="00D07A62" w:rsidRPr="00D07A62" w:rsidRDefault="00D07A62" w:rsidP="00D07A62">
      <w:pPr>
        <w:ind w:left="708"/>
        <w:rPr>
          <w:lang w:val="en-GB"/>
        </w:rPr>
      </w:pPr>
      <w:r w:rsidRPr="00D07A62">
        <w:rPr>
          <w:rFonts w:ascii="Wingdings"/>
          <w:sz w:val="20"/>
          <w:szCs w:val="20"/>
          <w:lang w:val="en-GB"/>
        </w:rPr>
        <w:t> </w:t>
      </w:r>
    </w:p>
    <w:p w:rsidR="00D07A62" w:rsidRPr="00D07A62" w:rsidRDefault="00D07A62" w:rsidP="00D07A62">
      <w:pPr>
        <w:ind w:left="708"/>
        <w:rPr>
          <w:lang w:val="en-GB"/>
        </w:rPr>
      </w:pPr>
      <w:r>
        <w:rPr>
          <w:rFonts w:ascii="Arial" w:hAnsi="Arial" w:cs="Arial"/>
          <w:sz w:val="20"/>
          <w:szCs w:val="20"/>
          <w:lang w:val="en-US"/>
        </w:rPr>
        <w:t>As long as the relevant responsibilities rest with the firm, outsourcing should always be possible especially for smaller firms. It would also not be comprehensible why for the compliance stricter requirements should apply as for example for audit. According to the principle of proportionality, it is possible to outsource the entire audit or parts of it at any time.</w:t>
      </w:r>
    </w:p>
    <w:p w:rsidR="00D07A62" w:rsidRPr="00D07A62" w:rsidRDefault="00D07A62" w:rsidP="00D07A62">
      <w:pPr>
        <w:ind w:left="708"/>
        <w:rPr>
          <w:lang w:val="en-GB"/>
        </w:rPr>
      </w:pPr>
      <w:r>
        <w:rPr>
          <w:rFonts w:ascii="Arial" w:hAnsi="Arial" w:cs="Arial"/>
          <w:sz w:val="20"/>
          <w:szCs w:val="20"/>
          <w:lang w:val="en-US"/>
        </w:rPr>
        <w:t> </w:t>
      </w:r>
    </w:p>
    <w:p w:rsidR="00D07A62" w:rsidRPr="00D07A62" w:rsidRDefault="00D07A62" w:rsidP="00D07A62">
      <w:pPr>
        <w:rPr>
          <w:lang w:val="en-GB"/>
        </w:rPr>
      </w:pPr>
      <w:r>
        <w:rPr>
          <w:rFonts w:ascii="Arial" w:hAnsi="Arial" w:cs="Arial"/>
          <w:sz w:val="20"/>
          <w:szCs w:val="20"/>
          <w:lang w:val="en-US"/>
        </w:rPr>
        <w:t> </w:t>
      </w:r>
    </w:p>
    <w:p w:rsidR="00D07A62" w:rsidRPr="00D07A62" w:rsidRDefault="00D07A62" w:rsidP="00D07A62">
      <w:pPr>
        <w:rPr>
          <w:lang w:val="en-GB"/>
        </w:rPr>
      </w:pPr>
      <w:r>
        <w:rPr>
          <w:rFonts w:ascii="Arial" w:hAnsi="Arial" w:cs="Arial"/>
          <w:sz w:val="20"/>
          <w:szCs w:val="20"/>
          <w:lang w:val="en-US"/>
        </w:rPr>
        <w:t xml:space="preserve">Furthermore, we noticed that the wording “firms” was used to describe “investment firms” as defined in Art. 4(1)(1) of MiFID II as well as “credit institutions when providing investment services and activities” within the meaning of Art. 4(1)(2) of MiFID II. For us, it is unclear, why this distinction was made, as Art. 4(1)(1) of MiFID II defines as “investment firm” “any legal person whose regular occupation or business is the provision of one or more investment services to third parties and/or the performance of </w:t>
      </w:r>
      <w:r>
        <w:rPr>
          <w:rFonts w:ascii="Arial" w:hAnsi="Arial" w:cs="Arial"/>
          <w:sz w:val="20"/>
          <w:szCs w:val="20"/>
          <w:lang w:val="en-US"/>
        </w:rPr>
        <w:lastRenderedPageBreak/>
        <w:t>one or more investment activities on a professional basis”, therefore from our point of view the wording “investment firm” would be sufficient to include also credit institutions when providing investment services.</w:t>
      </w:r>
    </w:p>
    <w:p w:rsidR="000C7D75" w:rsidRPr="00D07A62" w:rsidRDefault="000C7D75">
      <w:pPr>
        <w:rPr>
          <w:lang w:val="en-GB"/>
        </w:rPr>
      </w:pPr>
    </w:p>
    <w:sectPr w:rsidR="000C7D75" w:rsidRPr="00D07A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62D02"/>
    <w:multiLevelType w:val="hybridMultilevel"/>
    <w:tmpl w:val="BAC6CDBE"/>
    <w:lvl w:ilvl="0" w:tplc="022CC270">
      <w:numFmt w:val="bullet"/>
      <w:lvlText w:val="-"/>
      <w:lvlJc w:val="left"/>
      <w:pPr>
        <w:ind w:left="1068" w:hanging="360"/>
      </w:pPr>
      <w:rPr>
        <w:rFonts w:ascii="Arial" w:eastAsia="Calibri" w:hAnsi="Arial" w:cs="Arial" w:hint="default"/>
      </w:rPr>
    </w:lvl>
    <w:lvl w:ilvl="1" w:tplc="0C070003">
      <w:start w:val="1"/>
      <w:numFmt w:val="bullet"/>
      <w:lvlText w:val="o"/>
      <w:lvlJc w:val="left"/>
      <w:pPr>
        <w:ind w:left="1788" w:hanging="360"/>
      </w:pPr>
      <w:rPr>
        <w:rFonts w:ascii="Courier New" w:hAnsi="Courier New" w:cs="Courier New" w:hint="default"/>
      </w:rPr>
    </w:lvl>
    <w:lvl w:ilvl="2" w:tplc="0C070005">
      <w:start w:val="1"/>
      <w:numFmt w:val="bullet"/>
      <w:lvlText w:val=""/>
      <w:lvlJc w:val="left"/>
      <w:pPr>
        <w:ind w:left="2508" w:hanging="360"/>
      </w:pPr>
      <w:rPr>
        <w:rFonts w:ascii="Wingdings" w:hAnsi="Wingdings" w:hint="default"/>
      </w:rPr>
    </w:lvl>
    <w:lvl w:ilvl="3" w:tplc="0C070001">
      <w:start w:val="1"/>
      <w:numFmt w:val="bullet"/>
      <w:lvlText w:val=""/>
      <w:lvlJc w:val="left"/>
      <w:pPr>
        <w:ind w:left="3228" w:hanging="360"/>
      </w:pPr>
      <w:rPr>
        <w:rFonts w:ascii="Symbol" w:hAnsi="Symbol" w:hint="default"/>
      </w:rPr>
    </w:lvl>
    <w:lvl w:ilvl="4" w:tplc="0C070003">
      <w:start w:val="1"/>
      <w:numFmt w:val="bullet"/>
      <w:lvlText w:val="o"/>
      <w:lvlJc w:val="left"/>
      <w:pPr>
        <w:ind w:left="3948" w:hanging="360"/>
      </w:pPr>
      <w:rPr>
        <w:rFonts w:ascii="Courier New" w:hAnsi="Courier New" w:cs="Courier New" w:hint="default"/>
      </w:rPr>
    </w:lvl>
    <w:lvl w:ilvl="5" w:tplc="0C070005">
      <w:start w:val="1"/>
      <w:numFmt w:val="bullet"/>
      <w:lvlText w:val=""/>
      <w:lvlJc w:val="left"/>
      <w:pPr>
        <w:ind w:left="4668" w:hanging="360"/>
      </w:pPr>
      <w:rPr>
        <w:rFonts w:ascii="Wingdings" w:hAnsi="Wingdings" w:hint="default"/>
      </w:rPr>
    </w:lvl>
    <w:lvl w:ilvl="6" w:tplc="0C070001">
      <w:start w:val="1"/>
      <w:numFmt w:val="bullet"/>
      <w:lvlText w:val=""/>
      <w:lvlJc w:val="left"/>
      <w:pPr>
        <w:ind w:left="5388" w:hanging="360"/>
      </w:pPr>
      <w:rPr>
        <w:rFonts w:ascii="Symbol" w:hAnsi="Symbol" w:hint="default"/>
      </w:rPr>
    </w:lvl>
    <w:lvl w:ilvl="7" w:tplc="0C070003">
      <w:start w:val="1"/>
      <w:numFmt w:val="bullet"/>
      <w:lvlText w:val="o"/>
      <w:lvlJc w:val="left"/>
      <w:pPr>
        <w:ind w:left="6108" w:hanging="360"/>
      </w:pPr>
      <w:rPr>
        <w:rFonts w:ascii="Courier New" w:hAnsi="Courier New" w:cs="Courier New" w:hint="default"/>
      </w:rPr>
    </w:lvl>
    <w:lvl w:ilvl="8" w:tplc="0C070005">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62"/>
    <w:rsid w:val="000C7D75"/>
    <w:rsid w:val="00D07A62"/>
    <w:rsid w:val="00E90F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415B3-E1CE-4D20-B475-A5231739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A6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A62"/>
    <w:pPr>
      <w:ind w:left="720"/>
    </w:pPr>
    <w:rPr>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7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7144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IMCE</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Heller Laura</dc:creator>
  <cp:keywords/>
  <dc:description/>
  <cp:lastModifiedBy>Sophie Pigeon</cp:lastModifiedBy>
  <cp:revision>2</cp:revision>
  <dcterms:created xsi:type="dcterms:W3CDTF">2019-11-04T14:51:00Z</dcterms:created>
  <dcterms:modified xsi:type="dcterms:W3CDTF">2019-11-04T14:51:00Z</dcterms:modified>
</cp:coreProperties>
</file>