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71740A">
            <w:pPr>
              <w:pStyle w:val="Fuzeile"/>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F87897" w:rsidRPr="00AB6D88" w:rsidRDefault="00F87897" w:rsidP="00F87897">
      <w:pPr>
        <w:pStyle w:val="berschrift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rsidTr="00FA5524">
        <w:tc>
          <w:tcPr>
            <w:tcW w:w="3929" w:type="dxa"/>
            <w:shd w:val="clear" w:color="auto" w:fill="auto"/>
          </w:tcPr>
          <w:p w:rsidR="00C2682A" w:rsidRPr="00E40A5C" w:rsidRDefault="00C2682A" w:rsidP="00FA5524">
            <w:pPr>
              <w:rPr>
                <w:rFonts w:cs="Arial"/>
                <w:sz w:val="22"/>
              </w:rPr>
            </w:pPr>
            <w:permStart w:id="892876861" w:edGrp="everyone" w:colFirst="1" w:colLast="1"/>
            <w:r w:rsidRPr="00E40A5C">
              <w:rPr>
                <w:rFonts w:cs="Arial"/>
                <w:sz w:val="22"/>
              </w:rPr>
              <w:t>Name of the company / organisation</w:t>
            </w:r>
          </w:p>
        </w:tc>
        <w:sdt>
          <w:sdtPr>
            <w:rPr>
              <w:rStyle w:val="Platzhaltertext"/>
              <w:rFonts w:cs="Arial"/>
            </w:rPr>
            <w:id w:val="651570699"/>
            <w:text/>
          </w:sdtPr>
          <w:sdtContent>
            <w:tc>
              <w:tcPr>
                <w:tcW w:w="5595" w:type="dxa"/>
                <w:shd w:val="clear" w:color="auto" w:fill="auto"/>
              </w:tcPr>
              <w:p w:rsidR="00C2682A" w:rsidRPr="00AB6D88" w:rsidRDefault="00F82393" w:rsidP="00F82393">
                <w:pPr>
                  <w:rPr>
                    <w:rStyle w:val="Platzhaltertext"/>
                    <w:rFonts w:cs="Arial"/>
                  </w:rPr>
                </w:pPr>
                <w:proofErr w:type="spellStart"/>
                <w:r>
                  <w:rPr>
                    <w:rStyle w:val="Platzhaltertext"/>
                    <w:rFonts w:cs="Arial"/>
                  </w:rPr>
                  <w:t>Deutsches</w:t>
                </w:r>
                <w:proofErr w:type="spellEnd"/>
                <w:r>
                  <w:rPr>
                    <w:rStyle w:val="Platzhaltertext"/>
                    <w:rFonts w:cs="Arial"/>
                  </w:rPr>
                  <w:t xml:space="preserve"> </w:t>
                </w:r>
                <w:proofErr w:type="spellStart"/>
                <w:r>
                  <w:rPr>
                    <w:rStyle w:val="Platzhaltertext"/>
                    <w:rFonts w:cs="Arial"/>
                  </w:rPr>
                  <w:t>Aktieninstitut</w:t>
                </w:r>
                <w:proofErr w:type="spellEnd"/>
                <w:r>
                  <w:rPr>
                    <w:rStyle w:val="Platzhaltertext"/>
                    <w:rFonts w:cs="Arial"/>
                  </w:rPr>
                  <w:t xml:space="preserve"> </w:t>
                </w:r>
                <w:proofErr w:type="spellStart"/>
                <w:r>
                  <w:rPr>
                    <w:rStyle w:val="Platzhaltertext"/>
                    <w:rFonts w:cs="Arial"/>
                  </w:rPr>
                  <w:t>e.V</w:t>
                </w:r>
                <w:proofErr w:type="spellEnd"/>
                <w:r>
                  <w:rPr>
                    <w:rStyle w:val="Platzhaltertext"/>
                    <w:rFonts w:cs="Arial"/>
                  </w:rPr>
                  <w:t>.</w:t>
                </w:r>
              </w:p>
            </w:tc>
          </w:sdtContent>
        </w:sdt>
      </w:tr>
      <w:tr w:rsidR="00C2682A" w:rsidRPr="00AB6D88" w:rsidTr="00FA5524">
        <w:tc>
          <w:tcPr>
            <w:tcW w:w="3929" w:type="dxa"/>
            <w:shd w:val="clear" w:color="auto" w:fill="auto"/>
          </w:tcPr>
          <w:p w:rsidR="00C2682A" w:rsidRPr="00E40A5C" w:rsidRDefault="00C2682A" w:rsidP="00FA5524">
            <w:pPr>
              <w:rPr>
                <w:rFonts w:cs="Arial"/>
                <w:sz w:val="22"/>
              </w:rPr>
            </w:pPr>
            <w:permStart w:id="1471697323" w:edGrp="everyone" w:colFirst="1" w:colLast="1"/>
            <w:permEnd w:id="892876861"/>
            <w:r w:rsidRPr="00E40A5C">
              <w:rPr>
                <w:rFonts w:cs="Arial"/>
                <w:sz w:val="22"/>
              </w:rPr>
              <w:t>Activity</w:t>
            </w:r>
          </w:p>
        </w:tc>
        <w:tc>
          <w:tcPr>
            <w:tcW w:w="5595" w:type="dxa"/>
            <w:shd w:val="clear" w:color="auto" w:fill="auto"/>
          </w:tcPr>
          <w:p w:rsidR="00C2682A" w:rsidRPr="00AB6D88" w:rsidRDefault="00F45D6A"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Pr>
                    <w:rFonts w:cs="Arial"/>
                  </w:rPr>
                  <w:t>Non-financial counterparty</w:t>
                </w:r>
              </w:sdtContent>
            </w:sdt>
          </w:p>
        </w:tc>
      </w:tr>
      <w:tr w:rsidR="00C2682A" w:rsidRPr="00AB6D88" w:rsidTr="00FA5524">
        <w:tc>
          <w:tcPr>
            <w:tcW w:w="3929" w:type="dxa"/>
            <w:shd w:val="clear" w:color="auto" w:fill="auto"/>
          </w:tcPr>
          <w:p w:rsidR="00C2682A" w:rsidRPr="00E40A5C" w:rsidRDefault="00C2682A" w:rsidP="00FA5524">
            <w:pPr>
              <w:rPr>
                <w:rFonts w:cs="Arial"/>
                <w:sz w:val="22"/>
              </w:rPr>
            </w:pPr>
            <w:permStart w:id="671971516" w:edGrp="everyone" w:colFirst="1" w:colLast="1"/>
            <w:permEnd w:id="147169732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Content>
            <w:tc>
              <w:tcPr>
                <w:tcW w:w="5595" w:type="dxa"/>
                <w:shd w:val="clear" w:color="auto" w:fill="auto"/>
              </w:tcPr>
              <w:p w:rsidR="00C2682A" w:rsidRPr="00AB6D88" w:rsidRDefault="00F82393" w:rsidP="00FA5524">
                <w:pPr>
                  <w:rPr>
                    <w:rFonts w:cs="Arial"/>
                  </w:rPr>
                </w:pPr>
                <w:r>
                  <w:rPr>
                    <w:rFonts w:ascii="MS Gothic" w:eastAsia="MS Gothic" w:hAnsi="MS Gothic" w:cs="Arial" w:hint="eastAsia"/>
                  </w:rPr>
                  <w:t>☒</w:t>
                </w:r>
              </w:p>
            </w:tc>
          </w:sdtContent>
        </w:sdt>
      </w:tr>
      <w:tr w:rsidR="00C2682A" w:rsidRPr="00AB6D88" w:rsidTr="00FA5524">
        <w:tc>
          <w:tcPr>
            <w:tcW w:w="3929" w:type="dxa"/>
            <w:shd w:val="clear" w:color="auto" w:fill="auto"/>
          </w:tcPr>
          <w:p w:rsidR="00C2682A" w:rsidRPr="00E40A5C" w:rsidRDefault="00C2682A" w:rsidP="00FA5524">
            <w:pPr>
              <w:rPr>
                <w:rFonts w:cs="Arial"/>
                <w:sz w:val="22"/>
              </w:rPr>
            </w:pPr>
            <w:permStart w:id="758987340" w:edGrp="everyone" w:colFirst="1" w:colLast="1"/>
            <w:permEnd w:id="671971516"/>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C2682A" w:rsidRPr="00AB6D88" w:rsidRDefault="00F82393" w:rsidP="00FA5524">
                <w:pPr>
                  <w:rPr>
                    <w:rFonts w:cs="Arial"/>
                  </w:rPr>
                </w:pPr>
                <w:r>
                  <w:rPr>
                    <w:rFonts w:cs="Arial"/>
                  </w:rPr>
                  <w:t>Germany</w:t>
                </w:r>
              </w:p>
            </w:tc>
          </w:sdtContent>
        </w:sdt>
      </w:tr>
      <w:permEnd w:id="758987340"/>
    </w:tbl>
    <w:p w:rsidR="00C2682A" w:rsidRDefault="00C2682A" w:rsidP="00F87897">
      <w:pPr>
        <w:spacing w:after="120" w:line="264" w:lineRule="auto"/>
      </w:pPr>
    </w:p>
    <w:p w:rsidR="00F87897" w:rsidRDefault="00F87897" w:rsidP="00F87897">
      <w:pPr>
        <w:spacing w:after="120" w:line="264" w:lineRule="auto"/>
      </w:pPr>
    </w:p>
    <w:p w:rsidR="00F87897" w:rsidRDefault="00F87897" w:rsidP="00F87897">
      <w:pPr>
        <w:pStyle w:val="berschrift1"/>
        <w:numPr>
          <w:ilvl w:val="0"/>
          <w:numId w:val="0"/>
        </w:numPr>
        <w:ind w:left="431" w:hanging="431"/>
      </w:pPr>
      <w:r>
        <w:t>Introduction</w:t>
      </w:r>
    </w:p>
    <w:p w:rsidR="00F87897" w:rsidRPr="001D47A5" w:rsidRDefault="00F87897" w:rsidP="00F87897">
      <w:pPr>
        <w:rPr>
          <w:rStyle w:val="IntensiveHervorhebung"/>
        </w:rPr>
      </w:pPr>
      <w:r w:rsidRPr="001D47A5">
        <w:rPr>
          <w:rStyle w:val="IntensiveHervorhebung"/>
        </w:rPr>
        <w:t>Please make your introductory comments below, if any:</w:t>
      </w:r>
    </w:p>
    <w:p w:rsidR="00F87897" w:rsidRPr="00BF28DA" w:rsidRDefault="00F87897" w:rsidP="00F87897"/>
    <w:p w:rsidR="00F87897" w:rsidRPr="006F4535" w:rsidRDefault="00F87897" w:rsidP="00F87897">
      <w:r w:rsidRPr="006F4535">
        <w:t>&lt;ESMA_COMMENT_</w:t>
      </w:r>
      <w:r w:rsidR="00227C1A">
        <w:t>CP_MAR_</w:t>
      </w:r>
      <w:r w:rsidRPr="006F4535">
        <w:t>1&gt;</w:t>
      </w:r>
    </w:p>
    <w:p w:rsidR="00AC3A3B" w:rsidRPr="004B7D32" w:rsidRDefault="00AC3A3B" w:rsidP="004B7D32">
      <w:permStart w:id="1437676999" w:edGrp="everyone"/>
      <w:proofErr w:type="spellStart"/>
      <w:r w:rsidRPr="004B7D32">
        <w:t>Deutsches</w:t>
      </w:r>
      <w:proofErr w:type="spellEnd"/>
      <w:r w:rsidRPr="004B7D32">
        <w:t xml:space="preserve"> </w:t>
      </w:r>
      <w:proofErr w:type="spellStart"/>
      <w:r w:rsidRPr="004B7D32">
        <w:t>Aktieninstitut</w:t>
      </w:r>
      <w:proofErr w:type="spellEnd"/>
      <w:r w:rsidRPr="004B7D32">
        <w:t xml:space="preserve"> appreciates the opportunity to respond to ESMA’s consultation on review of MAR. </w:t>
      </w:r>
    </w:p>
    <w:p w:rsidR="004B7D32" w:rsidRPr="004B7D32" w:rsidRDefault="004B7D32" w:rsidP="004B7D32"/>
    <w:p w:rsidR="00AC3A3B" w:rsidRPr="004B7D32" w:rsidRDefault="00AC3A3B" w:rsidP="004B7D32">
      <w:r w:rsidRPr="004B7D32">
        <w:t>From the issuers’ perspective, MAR has led to a situation in which issuers face constant legal uncertainties. They furthermore</w:t>
      </w:r>
      <w:r w:rsidR="004B7D32" w:rsidRPr="004B7D32">
        <w:t xml:space="preserve"> </w:t>
      </w:r>
      <w:r w:rsidRPr="004B7D32">
        <w:t xml:space="preserve">make the experience that their interests </w:t>
      </w:r>
      <w:proofErr w:type="gramStart"/>
      <w:r w:rsidRPr="004B7D32">
        <w:t>are not adequately protected</w:t>
      </w:r>
      <w:proofErr w:type="gramEnd"/>
      <w:r w:rsidRPr="004B7D32">
        <w:t xml:space="preserve"> and that they have to cope with too much bureaucracy. </w:t>
      </w:r>
    </w:p>
    <w:p w:rsidR="004B7D32" w:rsidRPr="004B7D32" w:rsidRDefault="004B7D32" w:rsidP="004B7D32"/>
    <w:p w:rsidR="00AC3A3B" w:rsidRPr="004B7D32" w:rsidRDefault="00AC3A3B" w:rsidP="004B7D32">
      <w:r w:rsidRPr="004B7D32">
        <w:t xml:space="preserve">The review of MAR thus offers the unique opportunity to address these problems and to better balance the issuers’ interests in keeping sensitive information confidential and being able to comply with the MAR in practice against the investors’ interest in fair market practices and transparency. </w:t>
      </w:r>
    </w:p>
    <w:p w:rsidR="004B7D32" w:rsidRPr="004B7D32" w:rsidRDefault="004B7D32" w:rsidP="004B7D32"/>
    <w:p w:rsidR="00AC3A3B" w:rsidRPr="004B7D32" w:rsidRDefault="00AC3A3B" w:rsidP="004B7D32">
      <w:proofErr w:type="gramStart"/>
      <w:r w:rsidRPr="004B7D32">
        <w:t>ESMA addresses some of the bureaucratic and burdensome duties of the issuers and is requesting legal certainty for issuers.</w:t>
      </w:r>
      <w:proofErr w:type="gramEnd"/>
      <w:r w:rsidRPr="004B7D32">
        <w:t xml:space="preserve"> </w:t>
      </w:r>
      <w:proofErr w:type="spellStart"/>
      <w:r w:rsidRPr="004B7D32">
        <w:t>Deutsches</w:t>
      </w:r>
      <w:proofErr w:type="spellEnd"/>
      <w:r w:rsidRPr="004B7D32">
        <w:t xml:space="preserve"> </w:t>
      </w:r>
      <w:proofErr w:type="spellStart"/>
      <w:r w:rsidRPr="004B7D32">
        <w:t>Aktieninstitut</w:t>
      </w:r>
      <w:proofErr w:type="spellEnd"/>
      <w:r w:rsidRPr="004B7D32">
        <w:t xml:space="preserve"> appreciates this.</w:t>
      </w:r>
    </w:p>
    <w:p w:rsidR="004B7D32" w:rsidRPr="004B7D32" w:rsidRDefault="004B7D32" w:rsidP="004B7D32"/>
    <w:p w:rsidR="00AC3A3B" w:rsidRPr="004B7D32" w:rsidRDefault="00AC3A3B" w:rsidP="004B7D32">
      <w:r w:rsidRPr="004B7D32">
        <w:t xml:space="preserve">However, the consultation paper also takes the opposite direction for the core duties of listed companies. More specifically, we are concerned that additional compliance duties for the option of delaying the publication of inside information and more documentation duties for information that ceased to be inside information </w:t>
      </w:r>
      <w:proofErr w:type="gramStart"/>
      <w:r w:rsidRPr="004B7D32">
        <w:t>will be created</w:t>
      </w:r>
      <w:proofErr w:type="gramEnd"/>
      <w:r w:rsidRPr="004B7D32">
        <w:t xml:space="preserve"> (see response to Q 26 und Q 29).</w:t>
      </w:r>
    </w:p>
    <w:p w:rsidR="004B7D32" w:rsidRPr="004B7D32" w:rsidRDefault="004B7D32" w:rsidP="004B7D32"/>
    <w:p w:rsidR="00AC3A3B" w:rsidRPr="004B7D32" w:rsidRDefault="00AC3A3B" w:rsidP="004B7D32">
      <w:r w:rsidRPr="004B7D32">
        <w:t xml:space="preserve">Instead of an evaluation of potential additional </w:t>
      </w:r>
      <w:proofErr w:type="gramStart"/>
      <w:r w:rsidR="00F45D6A">
        <w:t>obligations</w:t>
      </w:r>
      <w:proofErr w:type="gramEnd"/>
      <w:r w:rsidR="00F45D6A">
        <w:t xml:space="preserve"> </w:t>
      </w:r>
      <w:r w:rsidRPr="004B7D32">
        <w:t xml:space="preserve">we would like to encourage ESMA to pick up a number of points that need to be addressed from the listed companies’ perspective in order to make listing in stock markets more attractive and in order to ease the day-to-day compliance. </w:t>
      </w:r>
    </w:p>
    <w:p w:rsidR="004B7D32" w:rsidRPr="004B7D32" w:rsidRDefault="004B7D32" w:rsidP="004B7D32"/>
    <w:p w:rsidR="004B7D32" w:rsidRPr="004B7D32" w:rsidRDefault="004B7D32" w:rsidP="004B7D32">
      <w:r w:rsidRPr="004B7D32">
        <w:t xml:space="preserve">In particular, issuers face the following key problems: </w:t>
      </w:r>
    </w:p>
    <w:p w:rsidR="004B7D32" w:rsidRPr="004B7D32" w:rsidRDefault="004B7D32" w:rsidP="004B7D32"/>
    <w:p w:rsidR="004B7D32" w:rsidRPr="00A3194A" w:rsidRDefault="004B7D32" w:rsidP="004B7D32">
      <w:pPr>
        <w:pStyle w:val="Listenabsatz"/>
        <w:numPr>
          <w:ilvl w:val="0"/>
          <w:numId w:val="43"/>
        </w:numPr>
        <w:spacing w:line="276" w:lineRule="auto"/>
        <w:rPr>
          <w:b/>
        </w:rPr>
      </w:pPr>
      <w:r w:rsidRPr="00A3194A">
        <w:rPr>
          <w:b/>
        </w:rPr>
        <w:t xml:space="preserve">Uncertainty on the term “inside information” </w:t>
      </w:r>
    </w:p>
    <w:p w:rsidR="004B7D32" w:rsidRDefault="004B7D32" w:rsidP="004B7D32">
      <w:pPr>
        <w:ind w:left="708"/>
      </w:pPr>
      <w:r w:rsidRPr="00977EAA">
        <w:t xml:space="preserve">Issuers face significant uncertainties on the term “inside information”. The vagueness of the term makes it often close to impossible to determine with reasonable certainty if and at which point of time a piece of information will constitute an inside information. In addition, neither the ECJ’s rulings nor the supervisory practices resulted in sufficient clarity and/or appropriate guidance for market participants. Rather the opposite is true leading to inadequately broad interpretations. </w:t>
      </w:r>
      <w:proofErr w:type="gramStart"/>
      <w:r w:rsidRPr="00977EAA">
        <w:t>As a consequence</w:t>
      </w:r>
      <w:proofErr w:type="gramEnd"/>
      <w:r w:rsidRPr="00977EAA">
        <w:t>, issuers are not only under the constant risk of being forced to premature disclosures. The broad interpretation also blocks the issuers’ possibility to raise capital; it causes difficulties with employee participation schemes and generally requires a level of internal organisation to ensure compliance that appears inappropriate</w:t>
      </w:r>
      <w:r w:rsidR="00F45D6A">
        <w:t>.</w:t>
      </w:r>
      <w:r w:rsidRPr="00977EAA">
        <w:t xml:space="preserve"> </w:t>
      </w:r>
    </w:p>
    <w:p w:rsidR="004B7D32" w:rsidRPr="00F45D6A" w:rsidRDefault="004B7D32" w:rsidP="004B7D32">
      <w:pPr>
        <w:ind w:left="708"/>
        <w:rPr>
          <w:b/>
        </w:rPr>
      </w:pPr>
    </w:p>
    <w:p w:rsidR="004B7D32" w:rsidRPr="00F45D6A" w:rsidRDefault="004B7D32" w:rsidP="004B7D32">
      <w:pPr>
        <w:pStyle w:val="Listenabsatz"/>
        <w:numPr>
          <w:ilvl w:val="0"/>
          <w:numId w:val="43"/>
        </w:numPr>
        <w:spacing w:line="276" w:lineRule="auto"/>
        <w:rPr>
          <w:b/>
        </w:rPr>
      </w:pPr>
      <w:r w:rsidRPr="00F45D6A">
        <w:rPr>
          <w:b/>
        </w:rPr>
        <w:t>Early stages of protracted processes</w:t>
      </w:r>
      <w:r w:rsidR="00F45D6A" w:rsidRPr="00F45D6A">
        <w:rPr>
          <w:b/>
        </w:rPr>
        <w:t xml:space="preserve"> should not be treated as inside information</w:t>
      </w:r>
    </w:p>
    <w:p w:rsidR="004B7D32" w:rsidRDefault="004B7D32" w:rsidP="004B7D32">
      <w:pPr>
        <w:ind w:left="708"/>
      </w:pPr>
      <w:r w:rsidRPr="00977EAA">
        <w:lastRenderedPageBreak/>
        <w:t xml:space="preserve">Legal uncertainty and the risk of wide interpretation are in particularly relevant for protracted processes, i.e. in processes that occur in stages. Though MAR tried to clarify the definition in this respect, issuers’ experiences are negative. Early stages of protracted processes are now under the constant risk of falling under the definition of inside information from a purely legal perspective though from a market view this is not appropriate. </w:t>
      </w:r>
    </w:p>
    <w:p w:rsidR="00F45D6A" w:rsidRPr="00977EAA" w:rsidRDefault="00F45D6A" w:rsidP="004B7D32">
      <w:pPr>
        <w:ind w:left="708"/>
      </w:pPr>
    </w:p>
    <w:p w:rsidR="004B7D32" w:rsidRPr="00A3194A" w:rsidRDefault="004B7D32" w:rsidP="004B7D32">
      <w:pPr>
        <w:pStyle w:val="Listenabsatz"/>
        <w:numPr>
          <w:ilvl w:val="0"/>
          <w:numId w:val="43"/>
        </w:numPr>
        <w:spacing w:line="276" w:lineRule="auto"/>
        <w:rPr>
          <w:b/>
        </w:rPr>
      </w:pPr>
      <w:r w:rsidRPr="00A3194A">
        <w:rPr>
          <w:b/>
        </w:rPr>
        <w:t>Protection of reasonable interests of issuers by option to delay disclosure is undermined</w:t>
      </w:r>
    </w:p>
    <w:p w:rsidR="004B7D32" w:rsidRPr="00977EAA" w:rsidRDefault="004B7D32" w:rsidP="004B7D32">
      <w:pPr>
        <w:ind w:left="708"/>
      </w:pPr>
      <w:r w:rsidRPr="00977EAA">
        <w:t xml:space="preserve">The option to delay the disclosure of inside information </w:t>
      </w:r>
      <w:proofErr w:type="gramStart"/>
      <w:r w:rsidRPr="00977EAA">
        <w:t>has been introduced</w:t>
      </w:r>
      <w:proofErr w:type="gramEnd"/>
      <w:r w:rsidRPr="00977EAA">
        <w:t xml:space="preserve"> in order to protect reasonable interests of issuers and to mitigate negative effects of the disclosure obligation. It also protects the market from </w:t>
      </w:r>
      <w:proofErr w:type="gramStart"/>
      <w:r w:rsidRPr="00977EAA">
        <w:t>being misled</w:t>
      </w:r>
      <w:proofErr w:type="gramEnd"/>
      <w:r w:rsidRPr="00977EAA">
        <w:t xml:space="preserve"> by premature information. Unfortunately, </w:t>
      </w:r>
      <w:proofErr w:type="gramStart"/>
      <w:r w:rsidRPr="00977EAA">
        <w:t>the requirement of “legitimate interests” is interpreted narrowly by regulators</w:t>
      </w:r>
      <w:proofErr w:type="gramEnd"/>
      <w:r w:rsidRPr="00977EAA">
        <w:t xml:space="preserve">. Moreover, the newly introduced obligation to respond to market rumours undermines this option for issuers and puts at risk issuers’ reasonable interests. The review should thus make delaying the publication safe(r) for issuers both in legal terms and in application in practice. This needs to </w:t>
      </w:r>
      <w:proofErr w:type="gramStart"/>
      <w:r w:rsidRPr="00977EAA">
        <w:t>be done</w:t>
      </w:r>
      <w:proofErr w:type="gramEnd"/>
      <w:r w:rsidRPr="00977EAA">
        <w:t xml:space="preserve"> irrespective of the need for more certainty on the definition of inside information.</w:t>
      </w:r>
    </w:p>
    <w:p w:rsidR="00F45D6A" w:rsidRDefault="00F45D6A" w:rsidP="004B7D32"/>
    <w:p w:rsidR="004B7D32" w:rsidRPr="00A3194A" w:rsidRDefault="004B7D32" w:rsidP="004B7D32">
      <w:r w:rsidRPr="00A3194A">
        <w:t xml:space="preserve">These concerns </w:t>
      </w:r>
      <w:proofErr w:type="gramStart"/>
      <w:r w:rsidRPr="00A3194A">
        <w:t>are explained</w:t>
      </w:r>
      <w:proofErr w:type="gramEnd"/>
      <w:r w:rsidRPr="00A3194A">
        <w:t xml:space="preserve"> in more detail in the position paper “Review of EU Market Abuse Regulation – Main Issues from the Perspective of Listed Companies” which is attached to this response. The paper also develops concrete proposals </w:t>
      </w:r>
    </w:p>
    <w:p w:rsidR="004B7D32" w:rsidRPr="00A3194A" w:rsidRDefault="004B7D32" w:rsidP="004B7D32">
      <w:pPr>
        <w:pStyle w:val="Listenabsatz"/>
        <w:numPr>
          <w:ilvl w:val="0"/>
          <w:numId w:val="44"/>
        </w:numPr>
        <w:spacing w:line="276" w:lineRule="auto"/>
      </w:pPr>
      <w:r w:rsidRPr="00A3194A">
        <w:t xml:space="preserve">how to limit the overly broad interpretation of inside information, </w:t>
      </w:r>
    </w:p>
    <w:p w:rsidR="004B7D32" w:rsidRPr="00A3194A" w:rsidRDefault="004B7D32" w:rsidP="004B7D32">
      <w:pPr>
        <w:pStyle w:val="Listenabsatz"/>
        <w:numPr>
          <w:ilvl w:val="0"/>
          <w:numId w:val="44"/>
        </w:numPr>
        <w:spacing w:line="276" w:lineRule="auto"/>
      </w:pPr>
      <w:r w:rsidRPr="00A3194A">
        <w:t xml:space="preserve">how to treat protracted processes in a more appropriate manner (i.e. early stages of protracted processes are taken out of scope of the definition inside information), </w:t>
      </w:r>
    </w:p>
    <w:p w:rsidR="004B7D32" w:rsidRPr="00A3194A" w:rsidRDefault="004B7D32" w:rsidP="004B7D32">
      <w:pPr>
        <w:pStyle w:val="Listenabsatz"/>
        <w:numPr>
          <w:ilvl w:val="0"/>
          <w:numId w:val="44"/>
        </w:numPr>
        <w:spacing w:line="276" w:lineRule="auto"/>
      </w:pPr>
      <w:r w:rsidRPr="00A3194A">
        <w:t>how to integrate further examples of legitimate interests for the delay of the disclosure of inside information and</w:t>
      </w:r>
    </w:p>
    <w:p w:rsidR="004B7D32" w:rsidRPr="00A3194A" w:rsidRDefault="004B7D32" w:rsidP="004B7D32">
      <w:pPr>
        <w:pStyle w:val="Listenabsatz"/>
        <w:numPr>
          <w:ilvl w:val="0"/>
          <w:numId w:val="44"/>
        </w:numPr>
        <w:spacing w:line="276" w:lineRule="auto"/>
      </w:pPr>
      <w:proofErr w:type="gramStart"/>
      <w:r w:rsidRPr="00A3194A">
        <w:t>how</w:t>
      </w:r>
      <w:proofErr w:type="gramEnd"/>
      <w:r w:rsidRPr="00A3194A">
        <w:t xml:space="preserve"> to better protect delayed disclosures against abusive rumour spreading. </w:t>
      </w:r>
    </w:p>
    <w:p w:rsidR="004B7D32" w:rsidRPr="00A3194A" w:rsidRDefault="004B7D32" w:rsidP="004B7D32"/>
    <w:p w:rsidR="00640F09" w:rsidRPr="00D76B9D" w:rsidRDefault="00640F09" w:rsidP="00F45D6A">
      <w:r w:rsidRPr="00D76B9D">
        <w:t xml:space="preserve">Besides the core issue of better balancing the definition of inside information and better protecting issuers’ interests in the delay mechanism, there is a number further topics that </w:t>
      </w:r>
      <w:proofErr w:type="gramStart"/>
      <w:r w:rsidRPr="00D76B9D">
        <w:t>should be picked up</w:t>
      </w:r>
      <w:proofErr w:type="gramEnd"/>
      <w:r w:rsidRPr="00D76B9D">
        <w:t xml:space="preserve"> in the MAR review. From our perspective, tackling these issues would reduce bureaucratic burden for listed companies or increase flexibility for them without running counter core political objectives of the MAR. Namely:</w:t>
      </w:r>
    </w:p>
    <w:p w:rsidR="00640F09" w:rsidRPr="00D76B9D" w:rsidRDefault="00640F09" w:rsidP="00640F09">
      <w:pPr>
        <w:pStyle w:val="Listenabsatz"/>
        <w:numPr>
          <w:ilvl w:val="0"/>
          <w:numId w:val="45"/>
        </w:numPr>
        <w:spacing w:line="276" w:lineRule="auto"/>
      </w:pPr>
      <w:r w:rsidRPr="00D76B9D">
        <w:t xml:space="preserve">Regarding insider lists: the volume of required data </w:t>
      </w:r>
      <w:proofErr w:type="gramStart"/>
      <w:r w:rsidRPr="00D76B9D">
        <w:t>should be reduced</w:t>
      </w:r>
      <w:proofErr w:type="gramEnd"/>
      <w:r w:rsidRPr="00D76B9D">
        <w:t>.</w:t>
      </w:r>
    </w:p>
    <w:p w:rsidR="00640F09" w:rsidRPr="00D76B9D" w:rsidRDefault="00640F09" w:rsidP="00640F09">
      <w:pPr>
        <w:pStyle w:val="Listenabsatz"/>
        <w:numPr>
          <w:ilvl w:val="0"/>
          <w:numId w:val="45"/>
        </w:numPr>
        <w:spacing w:line="276" w:lineRule="auto"/>
      </w:pPr>
      <w:r w:rsidRPr="00D76B9D">
        <w:t xml:space="preserve">Regarding </w:t>
      </w:r>
      <w:proofErr w:type="gramStart"/>
      <w:r w:rsidRPr="00D76B9D">
        <w:t>Managers‘ Transactions</w:t>
      </w:r>
      <w:proofErr w:type="gramEnd"/>
      <w:r w:rsidRPr="00D76B9D">
        <w:t>: transactions with no signal value (e.g. gifts, inheritances, but also elements of remuneration with not discretion) should be out of scope and notification requirements should be streamlined to avoid the risk of confusing the market.</w:t>
      </w:r>
    </w:p>
    <w:p w:rsidR="00640F09" w:rsidRPr="00D76B9D" w:rsidRDefault="00640F09" w:rsidP="00640F09">
      <w:pPr>
        <w:pStyle w:val="Listenabsatz"/>
        <w:numPr>
          <w:ilvl w:val="0"/>
          <w:numId w:val="45"/>
        </w:numPr>
        <w:spacing w:line="276" w:lineRule="auto"/>
      </w:pPr>
      <w:r w:rsidRPr="00D76B9D">
        <w:t xml:space="preserve">The list of closely associated persons (Art. 19(5) MAR) </w:t>
      </w:r>
      <w:proofErr w:type="gramStart"/>
      <w:r w:rsidRPr="00D76B9D">
        <w:t>should be abandoned or at least made less burdensome</w:t>
      </w:r>
      <w:proofErr w:type="gramEnd"/>
      <w:r w:rsidRPr="00D76B9D">
        <w:t xml:space="preserve">. </w:t>
      </w:r>
    </w:p>
    <w:p w:rsidR="00640F09" w:rsidRPr="00D76B9D" w:rsidRDefault="00640F09" w:rsidP="00640F09">
      <w:pPr>
        <w:pStyle w:val="Listenabsatz"/>
        <w:numPr>
          <w:ilvl w:val="0"/>
          <w:numId w:val="45"/>
        </w:numPr>
        <w:spacing w:line="276" w:lineRule="auto"/>
      </w:pPr>
      <w:r w:rsidRPr="00D76B9D">
        <w:t xml:space="preserve">The safe harbour for share buy backs </w:t>
      </w:r>
      <w:proofErr w:type="gramStart"/>
      <w:r w:rsidRPr="00D76B9D">
        <w:t>should be widened</w:t>
      </w:r>
      <w:proofErr w:type="gramEnd"/>
      <w:r w:rsidRPr="00D76B9D">
        <w:t xml:space="preserve"> in scope to all justifications for share buy backs that are provided by the respective corporate law as well as to buy backs of debt instruments.</w:t>
      </w:r>
    </w:p>
    <w:p w:rsidR="00640F09" w:rsidRPr="00D76B9D" w:rsidRDefault="00640F09" w:rsidP="00640F09">
      <w:pPr>
        <w:pStyle w:val="Listenabsatz"/>
        <w:numPr>
          <w:ilvl w:val="0"/>
          <w:numId w:val="45"/>
        </w:numPr>
        <w:spacing w:line="276" w:lineRule="auto"/>
      </w:pPr>
      <w:r w:rsidRPr="00D76B9D">
        <w:t xml:space="preserve">The regime on market soundings should continue to be a safe harbour and </w:t>
      </w:r>
      <w:proofErr w:type="gramStart"/>
      <w:r w:rsidRPr="00D76B9D">
        <w:t>should be reviewed</w:t>
      </w:r>
      <w:proofErr w:type="gramEnd"/>
      <w:r w:rsidRPr="00D76B9D">
        <w:t xml:space="preserve"> regarding bureaucracy limiting its application in practice. </w:t>
      </w:r>
    </w:p>
    <w:p w:rsidR="00640F09" w:rsidRPr="00D76B9D" w:rsidRDefault="00640F09" w:rsidP="00640F09">
      <w:pPr>
        <w:pStyle w:val="Listenabsatz"/>
        <w:numPr>
          <w:ilvl w:val="0"/>
          <w:numId w:val="45"/>
        </w:numPr>
        <w:spacing w:line="276" w:lineRule="auto"/>
      </w:pPr>
      <w:r w:rsidRPr="00D76B9D">
        <w:t>Non-financial companies should be out of scope of the STOR regime of Art. 16(2).</w:t>
      </w:r>
    </w:p>
    <w:p w:rsidR="00640F09" w:rsidRPr="00D76B9D" w:rsidRDefault="00640F09" w:rsidP="00F45D6A"/>
    <w:p w:rsidR="00F87897" w:rsidRDefault="00AC3A3B" w:rsidP="00F87897">
      <w:r w:rsidRPr="00AC3A3B">
        <w:rPr>
          <w:rFonts w:cs="Arial"/>
        </w:rPr>
        <w:t xml:space="preserve">Overall, </w:t>
      </w:r>
      <w:proofErr w:type="spellStart"/>
      <w:r w:rsidRPr="00AC3A3B">
        <w:rPr>
          <w:rFonts w:cs="Arial"/>
        </w:rPr>
        <w:t>Deutsches</w:t>
      </w:r>
      <w:proofErr w:type="spellEnd"/>
      <w:r w:rsidRPr="00AC3A3B">
        <w:rPr>
          <w:rFonts w:cs="Arial"/>
        </w:rPr>
        <w:t xml:space="preserve"> </w:t>
      </w:r>
      <w:proofErr w:type="spellStart"/>
      <w:r w:rsidRPr="00AC3A3B">
        <w:rPr>
          <w:rFonts w:cs="Arial"/>
        </w:rPr>
        <w:t>Aktieninstitut</w:t>
      </w:r>
      <w:proofErr w:type="spellEnd"/>
      <w:r w:rsidRPr="00AC3A3B">
        <w:rPr>
          <w:rFonts w:cs="Arial"/>
        </w:rPr>
        <w:t xml:space="preserve"> believes that the MAR review is an opportunity to amend and clarify existing provisions of MAR so that issuers’ compliance </w:t>
      </w:r>
      <w:proofErr w:type="gramStart"/>
      <w:r w:rsidRPr="00AC3A3B">
        <w:rPr>
          <w:rFonts w:cs="Arial"/>
        </w:rPr>
        <w:t xml:space="preserve">will </w:t>
      </w:r>
      <w:r w:rsidR="00F45D6A">
        <w:rPr>
          <w:rFonts w:cs="Arial"/>
        </w:rPr>
        <w:t xml:space="preserve">be </w:t>
      </w:r>
      <w:r w:rsidRPr="00AC3A3B">
        <w:rPr>
          <w:rFonts w:cs="Arial"/>
        </w:rPr>
        <w:t>simplified</w:t>
      </w:r>
      <w:proofErr w:type="gramEnd"/>
      <w:r w:rsidRPr="00AC3A3B">
        <w:rPr>
          <w:rFonts w:cs="Arial"/>
        </w:rPr>
        <w:t>, the attrac</w:t>
      </w:r>
      <w:r w:rsidRPr="00AC3A3B">
        <w:rPr>
          <w:rFonts w:cs="Arial"/>
        </w:rPr>
        <w:lastRenderedPageBreak/>
        <w:t>tiveness of capital markets will be improved and competitive disadvantages of listed companies will be avoided. We are convinced that our proposals will not put at risk the objectives of investor protection and transparency but instead will ensure that European capital markets will better develop and will be more attractive for both companies and investors. Thus, our proposals also are in line with the debate on the Capital Market Union</w:t>
      </w:r>
      <w:r w:rsidR="0084221C">
        <w:t>.</w:t>
      </w:r>
      <w:permEnd w:id="1437676999"/>
    </w:p>
    <w:p w:rsidR="00F87897" w:rsidRPr="00BF28DA" w:rsidRDefault="00F87897" w:rsidP="00F87897">
      <w:r w:rsidRPr="00BF28DA">
        <w:t>&lt;ESMA_COMMENT_</w:t>
      </w:r>
      <w:r w:rsidR="00227C1A">
        <w:t>CP_MAR_</w:t>
      </w:r>
      <w:r w:rsidRPr="00BF28DA">
        <w:t>1&gt;</w:t>
      </w:r>
    </w:p>
    <w:p w:rsidR="00F87897" w:rsidRDefault="00F87897">
      <w:pPr>
        <w:rPr>
          <w:rFonts w:eastAsiaTheme="minorEastAsia" w:cstheme="minorBidi"/>
          <w:b/>
          <w:sz w:val="22"/>
          <w:szCs w:val="20"/>
          <w:lang w:eastAsia="en-US"/>
        </w:rPr>
      </w:pPr>
      <w:r>
        <w:br w:type="page"/>
      </w:r>
    </w:p>
    <w:p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rsidR="00A8728B" w:rsidRDefault="00A8728B" w:rsidP="00A8728B">
      <w:r>
        <w:t>&lt;ESMA_QUESTION</w:t>
      </w:r>
      <w:r w:rsidR="00D920D1">
        <w:t>_</w:t>
      </w:r>
      <w:r w:rsidR="00227C1A">
        <w:t>CP_MAR_</w:t>
      </w:r>
      <w:r>
        <w:t>1&gt;</w:t>
      </w:r>
    </w:p>
    <w:p w:rsidR="00AC3A3B" w:rsidRPr="00AC3A3B" w:rsidRDefault="00AC3A3B" w:rsidP="003C4B54">
      <w:pPr>
        <w:pStyle w:val="TextStellungnahme"/>
        <w:rPr>
          <w:rFonts w:ascii="Arial" w:hAnsi="Arial" w:cs="Arial"/>
          <w:noProof/>
          <w:lang w:val="en-GB"/>
        </w:rPr>
      </w:pPr>
      <w:permStart w:id="1828858371" w:edGrp="everyone"/>
      <w:r w:rsidRPr="00AC3A3B">
        <w:rPr>
          <w:rFonts w:ascii="Arial" w:hAnsi="Arial" w:cs="Arial"/>
          <w:noProof/>
          <w:lang w:val="en-GB"/>
        </w:rPr>
        <w:t>Deutsches Aktieninstitut does not believe that it is helpful to extend the scope of MAR to spot FX contracts. It is not a coincidence that FX spot contracts are not a derivative under MiFID as FX spot contracts are generally used as a standard operative payment instrument. We do not see a compelling reason to subdue such a basic mean of operative business to market abuse controls, as it probably would only complicate daily settlements for companies selling products or services abroad.</w:t>
      </w:r>
    </w:p>
    <w:p w:rsidR="00AC3A3B" w:rsidRPr="00AC3A3B" w:rsidRDefault="00AC3A3B" w:rsidP="003C4B54">
      <w:pPr>
        <w:pStyle w:val="TextStellungnahme"/>
        <w:rPr>
          <w:rFonts w:ascii="Arial" w:hAnsi="Arial" w:cs="Arial"/>
          <w:noProof/>
          <w:lang w:val="en-GB"/>
        </w:rPr>
      </w:pPr>
      <w:r w:rsidRPr="00AC3A3B">
        <w:rPr>
          <w:rFonts w:ascii="Arial" w:hAnsi="Arial" w:cs="Arial"/>
          <w:noProof/>
          <w:lang w:val="en-GB"/>
        </w:rPr>
        <w:t>In general, the inclusion of physical products into financial regulation has also the risk of duplicative regulatory obligations and/or restrictions (e.g. overlap between MAR and BMR, or MAR and REMIT), market infrastructure and dynamics may differ significantly and therefore any inclusion of physical products into the scope of MAR should be considered very carefully.</w:t>
      </w:r>
    </w:p>
    <w:p w:rsidR="00A8728B" w:rsidRDefault="00AC3A3B" w:rsidP="00A8728B">
      <w:r w:rsidRPr="00AC3A3B">
        <w:rPr>
          <w:rFonts w:cs="Arial"/>
          <w:noProof/>
        </w:rPr>
        <w:t>Overall, we agree with ESMA’s arguments against extending the scope of MAR to spot FX contracts (page 15-16) – among them the existence of the global FX code and the necessity of additional documentation and compliance requirements.</w:t>
      </w:r>
      <w:permEnd w:id="1828858371"/>
    </w:p>
    <w:p w:rsidR="00A8728B" w:rsidRDefault="00A8728B" w:rsidP="00A8728B">
      <w:r>
        <w:t>&lt;ESMA_QUESTION</w:t>
      </w:r>
      <w:r w:rsidR="00D920D1">
        <w:t>_</w:t>
      </w:r>
      <w:r w:rsidR="00227C1A">
        <w:t>CP_MAR_</w:t>
      </w:r>
      <w:r>
        <w:t>1&gt;</w:t>
      </w:r>
    </w:p>
    <w:p w:rsidR="00C228C1" w:rsidRDefault="00C228C1" w:rsidP="00A8728B"/>
    <w:p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rsidR="00A8728B" w:rsidRDefault="00A8728B" w:rsidP="00A8728B">
      <w:r>
        <w:t>&lt;ESMA_QUESTION</w:t>
      </w:r>
      <w:r w:rsidR="00D920D1">
        <w:t>_</w:t>
      </w:r>
      <w:r w:rsidR="00227C1A">
        <w:t>CP_MAR_</w:t>
      </w:r>
      <w:r>
        <w:t>2&gt;</w:t>
      </w:r>
    </w:p>
    <w:p w:rsidR="00A8728B" w:rsidRDefault="00A8728B" w:rsidP="00A8728B">
      <w:permStart w:id="1532178947" w:edGrp="everyone"/>
      <w:r>
        <w:t>TYPE YOUR TEXT HERE</w:t>
      </w:r>
      <w:permEnd w:id="1532178947"/>
    </w:p>
    <w:p w:rsidR="00A8728B" w:rsidRDefault="00A8728B" w:rsidP="00A8728B">
      <w:r>
        <w:t>&lt;ESMA_QUESTION</w:t>
      </w:r>
      <w:r w:rsidR="00D920D1">
        <w:t>_</w:t>
      </w:r>
      <w:r w:rsidR="00227C1A">
        <w:t>CP_MAR_</w:t>
      </w:r>
      <w:r>
        <w:t>2&gt;</w:t>
      </w:r>
    </w:p>
    <w:p w:rsidR="002E1760" w:rsidRDefault="002E1760" w:rsidP="00A8728B"/>
    <w:p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rsidR="002E1760" w:rsidRDefault="002E1760" w:rsidP="002E1760">
      <w:r>
        <w:t>&lt;ESMA_QUESTION_</w:t>
      </w:r>
      <w:r w:rsidR="00227C1A">
        <w:t>CP_MAR_</w:t>
      </w:r>
      <w:r>
        <w:t>3&gt;</w:t>
      </w:r>
    </w:p>
    <w:p w:rsidR="002E1760" w:rsidRDefault="002E1760" w:rsidP="002E1760">
      <w:permStart w:id="819088746" w:edGrp="everyone"/>
      <w:r>
        <w:t>TYPE YOUR TEXT HERE</w:t>
      </w:r>
      <w:permEnd w:id="819088746"/>
    </w:p>
    <w:p w:rsidR="002E1760" w:rsidRDefault="002E1760" w:rsidP="002E1760">
      <w:r>
        <w:t>&lt;ESMA_QUESTION_</w:t>
      </w:r>
      <w:r w:rsidR="00227C1A">
        <w:t>CP_MAR_</w:t>
      </w:r>
      <w:r>
        <w:t>3&gt;</w:t>
      </w:r>
    </w:p>
    <w:p w:rsidR="002E1760" w:rsidRDefault="002E1760" w:rsidP="00A8728B"/>
    <w:p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rsidR="002E1760" w:rsidRDefault="002E1760" w:rsidP="002E1760">
      <w:r>
        <w:t>&lt;ESMA_QUESTION_</w:t>
      </w:r>
      <w:r w:rsidR="00227C1A">
        <w:t>CP_MAR_</w:t>
      </w:r>
      <w:r>
        <w:t>4&gt;</w:t>
      </w:r>
    </w:p>
    <w:p w:rsidR="002E1760" w:rsidRDefault="002E1760" w:rsidP="002E1760">
      <w:permStart w:id="1551379534" w:edGrp="everyone"/>
      <w:r>
        <w:t>TYPE YOUR TEXT HERE</w:t>
      </w:r>
      <w:permEnd w:id="1551379534"/>
    </w:p>
    <w:p w:rsidR="002E1760" w:rsidRDefault="002E1760" w:rsidP="002E1760">
      <w:r>
        <w:lastRenderedPageBreak/>
        <w:t>&lt;ESMA_QUESTION_</w:t>
      </w:r>
      <w:r w:rsidR="00227C1A">
        <w:t>CP_MAR_</w:t>
      </w:r>
      <w:r>
        <w:t>4&gt;</w:t>
      </w:r>
    </w:p>
    <w:p w:rsidR="002E1760" w:rsidRDefault="002E1760" w:rsidP="002E1760"/>
    <w:p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rsidR="00227C1A" w:rsidRDefault="00227C1A" w:rsidP="00227C1A">
      <w:r>
        <w:t>&lt;ESMA_QUESTION_CP_MAR_</w:t>
      </w:r>
      <w:r w:rsidR="0062022D">
        <w:t>5</w:t>
      </w:r>
      <w:r>
        <w:t>&gt;</w:t>
      </w:r>
    </w:p>
    <w:p w:rsidR="00227C1A" w:rsidRDefault="00227C1A" w:rsidP="00227C1A">
      <w:permStart w:id="811016301" w:edGrp="everyone"/>
      <w:r>
        <w:t>TYPE YOUR TEXT HERE</w:t>
      </w:r>
      <w:permEnd w:id="811016301"/>
    </w:p>
    <w:p w:rsidR="00227C1A" w:rsidRDefault="00227C1A" w:rsidP="00227C1A">
      <w:r>
        <w:t>&lt;ESMA_QUESTION_CP_MAR_</w:t>
      </w:r>
      <w:r w:rsidR="0062022D">
        <w:t>5</w:t>
      </w:r>
      <w:r>
        <w:t>&gt;</w:t>
      </w:r>
    </w:p>
    <w:p w:rsidR="002E1760" w:rsidRDefault="002E1760" w:rsidP="002E1760"/>
    <w:p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rsidR="0062022D" w:rsidRDefault="0062022D" w:rsidP="0062022D">
      <w:r>
        <w:t>&lt;ESMA_QUESTION_CP_MAR_</w:t>
      </w:r>
      <w:r w:rsidR="00A263DF">
        <w:t>6</w:t>
      </w:r>
      <w:r>
        <w:t>&gt;</w:t>
      </w:r>
    </w:p>
    <w:p w:rsidR="0062022D" w:rsidRDefault="0062022D" w:rsidP="0062022D">
      <w:permStart w:id="1535322793" w:edGrp="everyone"/>
      <w:r>
        <w:t>TYPE YOUR TEXT HERE</w:t>
      </w:r>
      <w:permEnd w:id="1535322793"/>
    </w:p>
    <w:p w:rsidR="0062022D" w:rsidRDefault="0062022D" w:rsidP="0062022D">
      <w:r>
        <w:t>&lt;ESMA_QUESTION_CP_MAR_</w:t>
      </w:r>
      <w:r w:rsidR="00A263DF">
        <w:t>6</w:t>
      </w:r>
      <w:r>
        <w:t>&gt;</w:t>
      </w:r>
    </w:p>
    <w:p w:rsidR="0062022D" w:rsidRDefault="0062022D" w:rsidP="009003B8">
      <w:pPr>
        <w:jc w:val="both"/>
        <w:rPr>
          <w:i/>
        </w:rPr>
      </w:pPr>
    </w:p>
    <w:p w:rsidR="002E1760" w:rsidRPr="00431DA4" w:rsidRDefault="00A263DF" w:rsidP="00293D78">
      <w:pPr>
        <w:pStyle w:val="CPQuestions"/>
      </w:pPr>
      <w:r w:rsidRPr="00A263DF">
        <w:t>Do you agree that there is a need to modify the reporting mechanism under Article 5(3) of MAR? Please justify your position</w:t>
      </w:r>
      <w:r>
        <w:t>.</w:t>
      </w:r>
    </w:p>
    <w:p w:rsidR="00A263DF" w:rsidRDefault="00A263DF" w:rsidP="00A263DF">
      <w:r>
        <w:t>&lt;ESMA_QUESTION_CP_MAR_7&gt;</w:t>
      </w:r>
    </w:p>
    <w:p w:rsidR="00A263DF" w:rsidRDefault="00AC3A3B" w:rsidP="00A263DF">
      <w:permStart w:id="1192655948" w:edGrp="everyone"/>
      <w:r w:rsidRPr="0075033F">
        <w:rPr>
          <w:noProof/>
        </w:rPr>
        <w:t xml:space="preserve">Yes, we think that the </w:t>
      </w:r>
      <w:r>
        <w:rPr>
          <w:noProof/>
        </w:rPr>
        <w:t xml:space="preserve">current </w:t>
      </w:r>
      <w:r w:rsidRPr="0075033F">
        <w:rPr>
          <w:noProof/>
        </w:rPr>
        <w:t>reporting mechanism is burdensome. As ESMA points out</w:t>
      </w:r>
      <w:r>
        <w:rPr>
          <w:noProof/>
        </w:rPr>
        <w:t>,</w:t>
      </w:r>
      <w:r w:rsidRPr="0075033F">
        <w:rPr>
          <w:noProof/>
        </w:rPr>
        <w:t xml:space="preserve"> issuers cannot be informed about every trading venue on which their shares are traded.</w:t>
      </w:r>
      <w:permEnd w:id="1192655948"/>
    </w:p>
    <w:p w:rsidR="00A263DF" w:rsidRDefault="00A263DF" w:rsidP="00A263DF">
      <w:r>
        <w:t>&lt;ESMA_QUESTION_CP_MAR_7&gt;</w:t>
      </w:r>
    </w:p>
    <w:p w:rsidR="00C228C1" w:rsidRDefault="00C228C1" w:rsidP="00A263DF"/>
    <w:p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rsidR="00A263DF" w:rsidRDefault="00A263DF" w:rsidP="00A263DF">
      <w:r>
        <w:t>&lt;ESMA_QUESTION_CP_MAR_</w:t>
      </w:r>
      <w:r w:rsidR="00C228C1">
        <w:t>8</w:t>
      </w:r>
      <w:r>
        <w:t>&gt;</w:t>
      </w:r>
    </w:p>
    <w:p w:rsidR="00683EF4" w:rsidRDefault="00683EF4" w:rsidP="003C4B54">
      <w:permStart w:id="1547784099" w:edGrp="everyone"/>
      <w:r w:rsidRPr="00977EAA">
        <w:t xml:space="preserve">At first glance, it appears to be a practical option to report to the </w:t>
      </w:r>
      <w:proofErr w:type="gramStart"/>
      <w:r w:rsidRPr="00977EAA">
        <w:t>most liquid</w:t>
      </w:r>
      <w:proofErr w:type="gramEnd"/>
      <w:r w:rsidRPr="00977EAA">
        <w:t xml:space="preserve"> market according to Art. </w:t>
      </w:r>
      <w:proofErr w:type="gramStart"/>
      <w:r w:rsidRPr="00977EAA">
        <w:t>26</w:t>
      </w:r>
      <w:proofErr w:type="gramEnd"/>
      <w:r w:rsidRPr="00977EAA">
        <w:t xml:space="preserve"> </w:t>
      </w:r>
      <w:proofErr w:type="spellStart"/>
      <w:r w:rsidRPr="00977EAA">
        <w:t>MiFIR</w:t>
      </w:r>
      <w:proofErr w:type="spellEnd"/>
      <w:r w:rsidRPr="00977EAA">
        <w:t xml:space="preserve"> only. However, this would still require issuers to monitor all markets on which its shares </w:t>
      </w:r>
      <w:proofErr w:type="gramStart"/>
      <w:r w:rsidRPr="00977EAA">
        <w:t>are listed</w:t>
      </w:r>
      <w:proofErr w:type="gramEnd"/>
      <w:r w:rsidRPr="00977EAA">
        <w:t xml:space="preserve"> and to continuously review the liquidity of those markets. Therefore, Option 3 does not appropriately address the challenges resulting for issuers from a duty </w:t>
      </w:r>
      <w:proofErr w:type="gramStart"/>
      <w:r w:rsidRPr="00977EAA">
        <w:t>to continuously monitor</w:t>
      </w:r>
      <w:proofErr w:type="gramEnd"/>
      <w:r w:rsidRPr="00977EAA">
        <w:t xml:space="preserve"> all trading venues where its shares are traded. Also, as the Art. </w:t>
      </w:r>
      <w:proofErr w:type="gramStart"/>
      <w:r w:rsidRPr="00977EAA">
        <w:t>26</w:t>
      </w:r>
      <w:proofErr w:type="gramEnd"/>
      <w:r w:rsidRPr="00977EAA">
        <w:t xml:space="preserve"> </w:t>
      </w:r>
      <w:proofErr w:type="spellStart"/>
      <w:r w:rsidRPr="00977EAA">
        <w:t>MiFIR</w:t>
      </w:r>
      <w:proofErr w:type="spellEnd"/>
      <w:r w:rsidRPr="00977EAA">
        <w:t xml:space="preserve"> reporting requirement (to which Option 3 references) only applies to financial institutions, there does not seem to be a direct synergy of the reporting requirements for non-financial institutions. Therefore, Option 2 (reporting to the NCA of the jurisdiction where the issuer requested or approved admission to trading) is clearly preferable. Option 2 </w:t>
      </w:r>
      <w:proofErr w:type="gramStart"/>
      <w:r w:rsidRPr="00977EAA">
        <w:t>could, like the proposed Option 3, be supplemented</w:t>
      </w:r>
      <w:proofErr w:type="gramEnd"/>
      <w:r w:rsidRPr="00977EAA">
        <w:t xml:space="preserve"> by the possibility for other authorities to request the transaction data from the NCA of the jurisdiction where the issuer requested admission to trading (or approved trading).</w:t>
      </w:r>
    </w:p>
    <w:p w:rsidR="00683EF4" w:rsidRPr="00977EAA" w:rsidRDefault="00683EF4" w:rsidP="003C4B54"/>
    <w:p w:rsidR="00683EF4" w:rsidRPr="00977EAA" w:rsidRDefault="00683EF4" w:rsidP="003C4B54">
      <w:pPr>
        <w:rPr>
          <w:b/>
          <w:i/>
        </w:rPr>
      </w:pPr>
      <w:r w:rsidRPr="00977EAA">
        <w:rPr>
          <w:b/>
          <w:i/>
        </w:rPr>
        <w:t>Additional general remark:</w:t>
      </w:r>
    </w:p>
    <w:p w:rsidR="00683EF4" w:rsidRPr="00977EAA" w:rsidRDefault="00683EF4" w:rsidP="003C4B54">
      <w:r w:rsidRPr="00977EAA">
        <w:lastRenderedPageBreak/>
        <w:t xml:space="preserve">The safe harbour provisions for buyback programs should not be limited in scope as it is currently the case in Art. 5(2) MAR. Rather, the safe harbour should apply </w:t>
      </w:r>
      <w:proofErr w:type="gramStart"/>
      <w:r w:rsidRPr="00977EAA">
        <w:t>to</w:t>
      </w:r>
      <w:proofErr w:type="gramEnd"/>
      <w:r w:rsidRPr="00977EAA">
        <w:t>:</w:t>
      </w:r>
    </w:p>
    <w:p w:rsidR="00683EF4" w:rsidRPr="00977EAA" w:rsidRDefault="00683EF4" w:rsidP="00683EF4">
      <w:pPr>
        <w:pStyle w:val="Listenabsatz"/>
        <w:numPr>
          <w:ilvl w:val="0"/>
          <w:numId w:val="39"/>
        </w:numPr>
        <w:spacing w:line="276" w:lineRule="auto"/>
      </w:pPr>
      <w:r w:rsidRPr="00977EAA">
        <w:t>all buybacks of shares permitted under corporate law (see Art. 21 et seq. Directive 2012/30/EU);</w:t>
      </w:r>
    </w:p>
    <w:p w:rsidR="00683EF4" w:rsidRPr="00977EAA" w:rsidRDefault="00683EF4" w:rsidP="00683EF4">
      <w:pPr>
        <w:pStyle w:val="Listenabsatz"/>
        <w:numPr>
          <w:ilvl w:val="0"/>
          <w:numId w:val="39"/>
        </w:numPr>
        <w:spacing w:line="276" w:lineRule="auto"/>
      </w:pPr>
      <w:proofErr w:type="gramStart"/>
      <w:r w:rsidRPr="00977EAA">
        <w:t>buybacks</w:t>
      </w:r>
      <w:proofErr w:type="gramEnd"/>
      <w:r w:rsidRPr="00977EAA">
        <w:t xml:space="preserve"> of debt instruments.</w:t>
      </w:r>
    </w:p>
    <w:p w:rsidR="00683EF4" w:rsidRDefault="00683EF4" w:rsidP="003C4B54"/>
    <w:p w:rsidR="00683EF4" w:rsidRPr="00977EAA" w:rsidRDefault="00683EF4" w:rsidP="003C4B54">
      <w:r w:rsidRPr="00977EAA">
        <w:t xml:space="preserve">The current distinction between the different purposes of share buy-back programmes is not justified. </w:t>
      </w:r>
      <w:r w:rsidR="00D4228D">
        <w:t>The market impact of a buy-back</w:t>
      </w:r>
      <w:r w:rsidRPr="00977EAA">
        <w:t xml:space="preserve"> is generally unrelated to the underlying (economic) purpose. In practice, it appears that a number of regulators do not consider the execution of buyback programmes for a purpose permitted under the relevant corporate laws as market abuse if the requirements of the safe harbour provisions are being complied with (as if the buyback was in scope). However, a clarification of that effect would be useful and promote regulatory convergence. </w:t>
      </w:r>
    </w:p>
    <w:p w:rsidR="00683EF4" w:rsidRPr="00977EAA" w:rsidRDefault="00683EF4" w:rsidP="003C4B54"/>
    <w:p w:rsidR="00A263DF" w:rsidRDefault="00683EF4" w:rsidP="00A263DF">
      <w:r w:rsidRPr="00977EAA">
        <w:t>Furthermore, buying back outstanding debt securities that trade significantly below nominal value has proven to be a useful tool to reduce an issuer’s debt burden and to adapt an issuer’s debt exposure to more favourable market conditions when interest levels decline. Therefore, there is an economic need to execute these bond repurchases and it does not seem to be justified from a market integrity perspective not to have a safe harbour for debt buybacks as well. Therefore, we propose to extend the scope of the safe harbour rules for buy-back programmes also to the buy-back of debt instruments.</w:t>
      </w:r>
      <w:permEnd w:id="1547784099"/>
    </w:p>
    <w:p w:rsidR="00A263DF" w:rsidRDefault="00A263DF" w:rsidP="00A263DF">
      <w:r>
        <w:t>&lt;ESMA_QUESTION_CP_MAR_</w:t>
      </w:r>
      <w:r w:rsidR="00C228C1">
        <w:t>8</w:t>
      </w:r>
      <w:r>
        <w:t>&gt;</w:t>
      </w:r>
    </w:p>
    <w:p w:rsidR="00C228C1" w:rsidRDefault="00C228C1" w:rsidP="00A263DF"/>
    <w:p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rsidR="002E1760" w:rsidRDefault="002E1760" w:rsidP="002E1760">
      <w:r>
        <w:t>&lt;ESMA_QUESTION_</w:t>
      </w:r>
      <w:r w:rsidR="00227C1A">
        <w:t>CP_MAR_</w:t>
      </w:r>
      <w:r>
        <w:t>9&gt;</w:t>
      </w:r>
    </w:p>
    <w:p w:rsidR="002E1760" w:rsidRDefault="00683EF4" w:rsidP="002E1760">
      <w:permStart w:id="684162494" w:edGrp="everyone"/>
      <w:r w:rsidRPr="0075033F">
        <w:rPr>
          <w:noProof/>
        </w:rPr>
        <w:t>Yes, we agree.</w:t>
      </w:r>
      <w:permEnd w:id="684162494"/>
    </w:p>
    <w:p w:rsidR="002E1760" w:rsidRDefault="002E1760" w:rsidP="002E1760">
      <w:r>
        <w:t>&lt;ESMA_QUESTION_</w:t>
      </w:r>
      <w:r w:rsidR="00227C1A">
        <w:t>CP_MAR_</w:t>
      </w:r>
      <w:r>
        <w:t>9&gt;</w:t>
      </w:r>
    </w:p>
    <w:p w:rsidR="00C228C1" w:rsidRDefault="00C228C1" w:rsidP="002E1760"/>
    <w:p w:rsidR="002E1760" w:rsidRPr="00431DA4" w:rsidRDefault="008418E3" w:rsidP="00293D78">
      <w:pPr>
        <w:pStyle w:val="CPQuestions"/>
      </w:pPr>
      <w:r w:rsidRPr="008418E3">
        <w:t>Do you agree with the list of fields to be reported by the issuers to the NCA? If not, please elaborate</w:t>
      </w:r>
      <w:r w:rsidR="00FC7836">
        <w:t>.</w:t>
      </w:r>
    </w:p>
    <w:p w:rsidR="008418E3" w:rsidRDefault="008418E3" w:rsidP="008418E3">
      <w:r>
        <w:t>&lt;ESMA_QUESTION_CP_MAR_10&gt;</w:t>
      </w:r>
    </w:p>
    <w:p w:rsidR="008418E3" w:rsidRDefault="008418E3" w:rsidP="008418E3">
      <w:permStart w:id="1356795492" w:edGrp="everyone"/>
      <w:r>
        <w:t>TYPE YOUR TEXT HERE</w:t>
      </w:r>
      <w:permEnd w:id="1356795492"/>
    </w:p>
    <w:p w:rsidR="008418E3" w:rsidRDefault="008418E3" w:rsidP="008418E3">
      <w:r>
        <w:t>&lt;ESMA_QUESTION_CP_MAR_10&gt;</w:t>
      </w:r>
    </w:p>
    <w:p w:rsidR="00C228C1" w:rsidRDefault="00C228C1" w:rsidP="008418E3"/>
    <w:p w:rsidR="009003B8" w:rsidRDefault="00F469F8" w:rsidP="00293D78">
      <w:pPr>
        <w:pStyle w:val="CPQuestions"/>
      </w:pPr>
      <w:r w:rsidRPr="00F469F8">
        <w:t>Do you agree with ESMA’s preliminary view</w:t>
      </w:r>
      <w:r w:rsidR="009003B8">
        <w:t>?</w:t>
      </w:r>
    </w:p>
    <w:p w:rsidR="00F469F8" w:rsidRDefault="00F469F8" w:rsidP="00F469F8">
      <w:r>
        <w:t>&lt;ESMA_QUESTION_CP_MAR_11&gt;</w:t>
      </w:r>
    </w:p>
    <w:p w:rsidR="00F469F8" w:rsidRDefault="00683EF4" w:rsidP="00F469F8">
      <w:permStart w:id="63715811" w:edGrp="everyone"/>
      <w:r w:rsidRPr="00CE1502">
        <w:rPr>
          <w:noProof/>
        </w:rPr>
        <w:t>Yes, we agree with ESMA's preliminary view that market participants will find more useful data in aggregated form and not find much value in all the details of the transactions previously reported to the NCA</w:t>
      </w:r>
      <w:r>
        <w:rPr>
          <w:noProof/>
        </w:rPr>
        <w:t>s</w:t>
      </w:r>
      <w:r w:rsidRPr="00CE1502">
        <w:rPr>
          <w:noProof/>
        </w:rPr>
        <w:t>.</w:t>
      </w:r>
      <w:permEnd w:id="63715811"/>
    </w:p>
    <w:p w:rsidR="00F469F8" w:rsidRDefault="00F469F8" w:rsidP="00F469F8">
      <w:r>
        <w:t>&lt;ESMA_QUESTION_CP_MAR_11&gt;</w:t>
      </w:r>
    </w:p>
    <w:p w:rsidR="00C228C1" w:rsidRDefault="00C228C1" w:rsidP="00F469F8"/>
    <w:p w:rsidR="00F469F8" w:rsidRDefault="00F469F8" w:rsidP="00F469F8">
      <w:pPr>
        <w:pStyle w:val="CPQuestions"/>
      </w:pPr>
      <w:r w:rsidRPr="00F469F8">
        <w:t>Would you find more useful other aggregated data related to the BBP and if so what aggregated data? Please elaborate</w:t>
      </w:r>
      <w:r>
        <w:t>.</w:t>
      </w:r>
    </w:p>
    <w:p w:rsidR="00F469F8" w:rsidRDefault="00F469F8" w:rsidP="00F469F8">
      <w:r>
        <w:lastRenderedPageBreak/>
        <w:t>&lt;ESMA_QUESTION_CP_MAR_1</w:t>
      </w:r>
      <w:r w:rsidR="002868FC">
        <w:t>2</w:t>
      </w:r>
      <w:r>
        <w:t>&gt;</w:t>
      </w:r>
    </w:p>
    <w:p w:rsidR="00F469F8" w:rsidRDefault="00F469F8" w:rsidP="00F469F8">
      <w:permStart w:id="484788542" w:edGrp="everyone"/>
      <w:r>
        <w:t>TYPE YOUR TEXT HERE</w:t>
      </w:r>
      <w:permEnd w:id="484788542"/>
    </w:p>
    <w:p w:rsidR="00F469F8" w:rsidRDefault="00F469F8" w:rsidP="00F469F8">
      <w:r>
        <w:t>&lt;ESMA_QUESTION_CP_MAR_1</w:t>
      </w:r>
      <w:r w:rsidR="002868FC">
        <w:t>2</w:t>
      </w:r>
      <w:r>
        <w:t>&gt;</w:t>
      </w:r>
    </w:p>
    <w:p w:rsidR="009003B8" w:rsidRDefault="009003B8" w:rsidP="002E1760"/>
    <w:p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rsidR="00646C30" w:rsidRDefault="00646C30" w:rsidP="00646C30">
      <w:r>
        <w:t>&lt;ESMA_QUESTION_CP_MAR_1</w:t>
      </w:r>
      <w:r w:rsidR="00101BF1">
        <w:t>3</w:t>
      </w:r>
      <w:r>
        <w:t>&gt;</w:t>
      </w:r>
    </w:p>
    <w:p w:rsidR="00246F70" w:rsidRPr="00977EAA" w:rsidRDefault="00246F70" w:rsidP="003C4B54">
      <w:permStart w:id="1232020700" w:edGrp="everyone"/>
      <w:r w:rsidRPr="00977EAA">
        <w:t xml:space="preserve">Yes, </w:t>
      </w:r>
      <w:r w:rsidRPr="00977EAA">
        <w:rPr>
          <w:b/>
        </w:rPr>
        <w:t>issuers face significant uncertainties</w:t>
      </w:r>
      <w:r w:rsidRPr="00977EAA">
        <w:t xml:space="preserve"> regarding the term “inside information”. The vagueness of the term makes it often close to impossible to determine with reasonable certainty if and at which point of time a piece of information will constitute an inside information. In addition, neither the ECJ’s rulings nor the supervisory practices have led to adequate clarity and/or appropriate guidance for market participants. Rather the opposite is true. Issuers have made the experience that the current definition is prone to an extremely wide interpretation so that reasonable judgement becomes more or less impossible or </w:t>
      </w:r>
      <w:proofErr w:type="gramStart"/>
      <w:r w:rsidRPr="00977EAA">
        <w:t>is even biased</w:t>
      </w:r>
      <w:proofErr w:type="gramEnd"/>
      <w:r w:rsidRPr="00977EAA">
        <w:t xml:space="preserve"> in a direction that is inappropriate. </w:t>
      </w:r>
    </w:p>
    <w:p w:rsidR="00246F70" w:rsidRPr="00977EAA" w:rsidRDefault="00246F70" w:rsidP="003C4B54"/>
    <w:p w:rsidR="00246F70" w:rsidRPr="00977EAA" w:rsidRDefault="00246F70" w:rsidP="003C4B54">
      <w:r w:rsidRPr="00977EAA">
        <w:t xml:space="preserve">According to Art. 7 MAR, for a non-public information to qualify as inside information, it needs to be specific enough that a reasonable investor would be likely to use it as part of the basis of his or her investment decisions. However, as explained in the attached position paper practice has shown that this definition cannot reliably serve its purposes (1) to narrow the definition to an extent that is practicable for issuers and (2) to enhance legal certainty (for this purpose see recital (18) MAR) for the </w:t>
      </w:r>
      <w:proofErr w:type="spellStart"/>
      <w:r w:rsidRPr="00977EAA">
        <w:t>ex ante</w:t>
      </w:r>
      <w:proofErr w:type="spellEnd"/>
      <w:r w:rsidRPr="00977EAA">
        <w:t xml:space="preserve"> judgement of the issuer. Concretely, the term “inside information” needs clarification in three respects:</w:t>
      </w:r>
    </w:p>
    <w:p w:rsidR="00246F70" w:rsidRPr="00977EAA" w:rsidRDefault="00246F70" w:rsidP="00246F70">
      <w:pPr>
        <w:pStyle w:val="Listenabsatz"/>
        <w:numPr>
          <w:ilvl w:val="0"/>
          <w:numId w:val="40"/>
        </w:numPr>
        <w:spacing w:line="276" w:lineRule="auto"/>
        <w:contextualSpacing w:val="0"/>
      </w:pPr>
      <w:r w:rsidRPr="00977EAA">
        <w:rPr>
          <w:b/>
        </w:rPr>
        <w:t>Reasonable investors</w:t>
      </w:r>
      <w:r w:rsidRPr="00977EAA">
        <w:t xml:space="preserve"> </w:t>
      </w:r>
      <w:proofErr w:type="gramStart"/>
      <w:r w:rsidRPr="00977EAA">
        <w:t>should be understood</w:t>
      </w:r>
      <w:proofErr w:type="gramEnd"/>
      <w:r w:rsidRPr="00977EAA">
        <w:t xml:space="preserve"> as rational investors that assess information generally with a view on the (long-term) fundamental value of a financial instrument. </w:t>
      </w:r>
    </w:p>
    <w:p w:rsidR="00246F70" w:rsidRPr="00977EAA" w:rsidRDefault="00246F70" w:rsidP="00246F70">
      <w:pPr>
        <w:pStyle w:val="Listenabsatz"/>
        <w:numPr>
          <w:ilvl w:val="0"/>
          <w:numId w:val="40"/>
        </w:numPr>
        <w:spacing w:line="276" w:lineRule="auto"/>
        <w:contextualSpacing w:val="0"/>
      </w:pPr>
      <w:r w:rsidRPr="00977EAA">
        <w:t xml:space="preserve">It has to be clarified that the reference to a significant effect on the prices of </w:t>
      </w:r>
      <w:r w:rsidRPr="00977EAA">
        <w:rPr>
          <w:b/>
        </w:rPr>
        <w:t>“related derivative financial instruments”</w:t>
      </w:r>
      <w:r w:rsidRPr="00977EAA">
        <w:t xml:space="preserve"> will only become relevant in connection with transactions in that particular derivative. The price impact on a derivative instrument depends on its structure, particularly the </w:t>
      </w:r>
      <w:proofErr w:type="gramStart"/>
      <w:r w:rsidRPr="00977EAA">
        <w:t>leverage</w:t>
      </w:r>
      <w:proofErr w:type="gramEnd"/>
      <w:r w:rsidRPr="00977EAA">
        <w:t xml:space="preserve">. While it is possible to use inside information relating to the underlying share or bond for transactions in a related derivative instrument, this does not work the other way around. Furthermore, as there is no general transparency of any possible derivative instrument, it is factually impossible for market participants to make that assessment. For issuers, it should be clarified that they do not have to consider inside information with regard to derivatives issued by a third party – since otherwise a monitoring obligation would be imposed on them that would be impossible to be complied with (see below our comment on Art. 17 MAR).  </w:t>
      </w:r>
    </w:p>
    <w:p w:rsidR="00246F70" w:rsidRPr="00977EAA" w:rsidRDefault="00246F70" w:rsidP="00246F70">
      <w:pPr>
        <w:pStyle w:val="Listenabsatz"/>
        <w:numPr>
          <w:ilvl w:val="0"/>
          <w:numId w:val="40"/>
        </w:numPr>
        <w:spacing w:line="276" w:lineRule="auto"/>
        <w:contextualSpacing w:val="0"/>
      </w:pPr>
      <w:r w:rsidRPr="00977EAA">
        <w:rPr>
          <w:b/>
        </w:rPr>
        <w:t xml:space="preserve">Early stages of protracted processes </w:t>
      </w:r>
      <w:proofErr w:type="gramStart"/>
      <w:r w:rsidRPr="00977EAA">
        <w:rPr>
          <w:b/>
        </w:rPr>
        <w:t>should not be treated</w:t>
      </w:r>
      <w:proofErr w:type="gramEnd"/>
      <w:r w:rsidRPr="00977EAA">
        <w:rPr>
          <w:b/>
        </w:rPr>
        <w:t xml:space="preserve"> as inside information.</w:t>
      </w:r>
      <w:r w:rsidRPr="00977EAA">
        <w:t xml:space="preserve"> In many cases inside information develops over a </w:t>
      </w:r>
      <w:proofErr w:type="gramStart"/>
      <w:r w:rsidRPr="00977EAA">
        <w:t>period of time</w:t>
      </w:r>
      <w:proofErr w:type="gramEnd"/>
      <w:r w:rsidRPr="00977EAA">
        <w:t>, i.e. it occurs in stages of a protracted process. Typical examples of such a protracted process are M&amp;A activities or the issuance of a financial instrument. Having in mind a ruling of the ECJ (</w:t>
      </w:r>
      <w:proofErr w:type="spellStart"/>
      <w:r w:rsidRPr="00977EAA">
        <w:t>Geltl</w:t>
      </w:r>
      <w:proofErr w:type="spellEnd"/>
      <w:r w:rsidRPr="00977EAA">
        <w:t xml:space="preserve">./.Daimler), MAR tried to clarify that not each and every stage of a protracted process can and </w:t>
      </w:r>
      <w:proofErr w:type="gramStart"/>
      <w:r w:rsidRPr="00977EAA">
        <w:t>should be considered</w:t>
      </w:r>
      <w:proofErr w:type="gramEnd"/>
      <w:r w:rsidRPr="00977EAA">
        <w:t xml:space="preserve"> as inside information. However, the definition and recitals in MAR relating to protracted processes leave it still unclear in which circumstances an intermediate step can by itself </w:t>
      </w:r>
      <w:proofErr w:type="gramStart"/>
      <w:r w:rsidRPr="00977EAA">
        <w:t>be deemed</w:t>
      </w:r>
      <w:proofErr w:type="gramEnd"/>
      <w:r w:rsidRPr="00977EAA">
        <w:t xml:space="preserve"> to constitute inside information. Even worse, issuers feel increased pressure to as</w:t>
      </w:r>
      <w:r w:rsidRPr="00977EAA">
        <w:lastRenderedPageBreak/>
        <w:t>sume inside information in too early stages of protracted processes. The paper attached therefore makes a concrete proposal how to clarify the definition in order to improve legal certainty and in order to take issuers’ day-to-day compliance problems properly into account.</w:t>
      </w:r>
    </w:p>
    <w:p w:rsidR="00246F70" w:rsidRPr="00977EAA" w:rsidRDefault="00246F70" w:rsidP="003C4B54"/>
    <w:p w:rsidR="00246F70" w:rsidRPr="00977EAA" w:rsidRDefault="00246F70" w:rsidP="003C4B54">
      <w:pPr>
        <w:rPr>
          <w:b/>
        </w:rPr>
      </w:pPr>
      <w:r w:rsidRPr="00977EAA">
        <w:rPr>
          <w:b/>
        </w:rPr>
        <w:t>Specific problems with the definition of inside information relating to emission allowances</w:t>
      </w:r>
    </w:p>
    <w:p w:rsidR="00246F70" w:rsidRPr="00977EAA" w:rsidRDefault="00246F70" w:rsidP="003C4B54"/>
    <w:p w:rsidR="00246F70" w:rsidRPr="00977EAA" w:rsidRDefault="00246F70" w:rsidP="003C4B54">
      <w:r w:rsidRPr="00F62A9A">
        <w:t xml:space="preserve">For gas and power market participants it is still unclear what </w:t>
      </w:r>
      <w:r w:rsidR="00E7599E">
        <w:t xml:space="preserve">could </w:t>
      </w:r>
      <w:r w:rsidRPr="00F62A9A">
        <w:t xml:space="preserve">constitute “inside information” in relation to emission allowances under the definition of Article 7(1)(c) MAR, which is not already captured by the definition of inside information under Article 2(1) REMIT. </w:t>
      </w:r>
      <w:r w:rsidRPr="00977EAA">
        <w:t xml:space="preserve">It is the experience of our members that in </w:t>
      </w:r>
      <w:proofErr w:type="gramStart"/>
      <w:r w:rsidRPr="00977EAA">
        <w:t>practice</w:t>
      </w:r>
      <w:proofErr w:type="gramEnd"/>
      <w:r w:rsidRPr="00977EAA">
        <w:t xml:space="preserve"> each potential insider information concerning emission allowances markets as well as concerning gas and power markets is already sufficiently covered and published under REMIT. Also, the REMIT publication is sufficient for the purpose of the MAR disclosure of inside information as Article 2(2) of Implementing Regulation (EU) 2016/1055 recognises it also for the purpose of compliance with the disclosure obligation under Article 17(2) MAR. Nevertheless, wholesale energy market participants (as defined in REMIT) have to comply with the MAR definition at the same time although it does not cover additional price relevant inside information in practice. Therefore, we believe that the current definition of “inside information” in relation to emission allowances of MAR creates an unnecessary additional layer of complexity and legal insecurity for wholesale energy market participants and this without any obvious benefits.</w:t>
      </w:r>
    </w:p>
    <w:p w:rsidR="00246F70" w:rsidRDefault="00246F70" w:rsidP="003C4B54"/>
    <w:p w:rsidR="00246F70" w:rsidRPr="00977EAA" w:rsidRDefault="00246F70" w:rsidP="003C4B54">
      <w:r w:rsidRPr="00F62A9A">
        <w:t>Therefore, we propose to introduce a reference to the definition of inside information of REMIT into the definition of Art. 7(1</w:t>
      </w:r>
      <w:proofErr w:type="gramStart"/>
      <w:r w:rsidRPr="00F62A9A">
        <w:t>)(</w:t>
      </w:r>
      <w:proofErr w:type="gramEnd"/>
      <w:r w:rsidRPr="00F62A9A">
        <w:t xml:space="preserve">c) MAR to avoid these adverse effects for wholesale energy market participants. </w:t>
      </w:r>
      <w:r w:rsidRPr="00977EAA">
        <w:t xml:space="preserve">This would mean that wholesale energy market participants would have to comply exclusively with the </w:t>
      </w:r>
      <w:proofErr w:type="spellStart"/>
      <w:r w:rsidRPr="00977EAA">
        <w:t>lex</w:t>
      </w:r>
      <w:proofErr w:type="spellEnd"/>
      <w:r w:rsidRPr="00977EAA">
        <w:t xml:space="preserve"> </w:t>
      </w:r>
      <w:proofErr w:type="spellStart"/>
      <w:r w:rsidRPr="00977EAA">
        <w:t>specialis</w:t>
      </w:r>
      <w:proofErr w:type="spellEnd"/>
      <w:r w:rsidRPr="00977EAA">
        <w:t xml:space="preserve"> REMIT definition of insider information with regard to emission allowances markets. This approach substantially reduces complexity for the real economy.</w:t>
      </w:r>
    </w:p>
    <w:p w:rsidR="00246F70" w:rsidRDefault="00246F70" w:rsidP="003C4B54"/>
    <w:p w:rsidR="00646C30" w:rsidRDefault="00246F70" w:rsidP="00646C30">
      <w:r w:rsidRPr="00F62A9A">
        <w:t xml:space="preserve">Furthermore, the thresholds under Article 7(4) and 17(2) MAR for EAMP are set at a rather low level and should be therefore set at plant level but not at group level. </w:t>
      </w:r>
      <w:r w:rsidRPr="00977EAA">
        <w:t xml:space="preserve">Individual companies with emissions far below the threshold often exceed the threshold only at group level. As long as the overall threshold and the single plant threshold </w:t>
      </w:r>
      <w:proofErr w:type="gramStart"/>
      <w:r w:rsidRPr="00977EAA">
        <w:t>are not exceeded</w:t>
      </w:r>
      <w:proofErr w:type="gramEnd"/>
      <w:r w:rsidRPr="00977EAA">
        <w:t xml:space="preserve"> cumulatively, companies should be out of scope of the EAMP definition.</w:t>
      </w:r>
      <w:permEnd w:id="1232020700"/>
    </w:p>
    <w:p w:rsidR="00646C30" w:rsidRDefault="00646C30" w:rsidP="00646C30">
      <w:r>
        <w:t>&lt;ESMA_QUESTION_CP_MAR_1</w:t>
      </w:r>
      <w:r w:rsidR="002F1683">
        <w:t>3</w:t>
      </w:r>
      <w:r>
        <w:t>&gt;</w:t>
      </w:r>
    </w:p>
    <w:p w:rsidR="002868FC" w:rsidRDefault="002868FC" w:rsidP="002E1760"/>
    <w:p w:rsidR="00646C30" w:rsidRDefault="00C228C1" w:rsidP="00646C30">
      <w:pPr>
        <w:pStyle w:val="CPQuestions"/>
      </w:pPr>
      <w:r w:rsidRPr="00C228C1">
        <w:t>Do market participants consider that the definition of inside information is sufficient for combatting market abuse</w:t>
      </w:r>
      <w:r>
        <w:t>?</w:t>
      </w:r>
    </w:p>
    <w:p w:rsidR="00646C30" w:rsidRDefault="00646C30" w:rsidP="00646C30">
      <w:r>
        <w:t>&lt;ESMA_QUESTION_CP_MAR_1</w:t>
      </w:r>
      <w:r w:rsidR="00101BF1">
        <w:t>4</w:t>
      </w:r>
      <w:r>
        <w:t>&gt;</w:t>
      </w:r>
    </w:p>
    <w:p w:rsidR="00246F70" w:rsidRPr="00F62A9A" w:rsidRDefault="00246F70" w:rsidP="003C4B54">
      <w:permStart w:id="1869313551" w:edGrp="everyone"/>
      <w:r w:rsidRPr="00F62A9A">
        <w:t>We believe that the definition of inside information is in any case sufficient for combatting market abuse, in particular for preventing insider trading.</w:t>
      </w:r>
    </w:p>
    <w:p w:rsidR="00246F70" w:rsidRDefault="00246F70" w:rsidP="003C4B54"/>
    <w:p w:rsidR="00246F70" w:rsidRPr="00F62A9A" w:rsidRDefault="00246F70" w:rsidP="003C4B54">
      <w:r w:rsidRPr="00F62A9A">
        <w:t>Moreover, as pointed out above (see Q 13), the key problem of the definition is rather that it leads to legal uncertainties and results in interpretations that are often too broad. Thus, the question should not be to widen the definition further, but to narrow it to a level that is practicable for issuers. Otherwise, there might also be the risk of an information overflow (increased number of disclosure of inside information) that would reduce the relevance of disclosures for market participants.</w:t>
      </w:r>
    </w:p>
    <w:p w:rsidR="00246F70" w:rsidRDefault="00246F70" w:rsidP="003C4B54"/>
    <w:p w:rsidR="00246F70" w:rsidRPr="00F62A9A" w:rsidRDefault="00246F70" w:rsidP="003C4B54">
      <w:r w:rsidRPr="00F62A9A">
        <w:t xml:space="preserve">Due to the broad definition of inside information, difficulties also arise in relation to an </w:t>
      </w:r>
      <w:r w:rsidRPr="00FF1C8A">
        <w:t>issuer’s disclosure obligations (Art. 17 MAR)</w:t>
      </w:r>
      <w:r w:rsidRPr="00F62A9A">
        <w:t xml:space="preserve">. </w:t>
      </w:r>
      <w:proofErr w:type="gramStart"/>
      <w:r w:rsidRPr="00F62A9A">
        <w:t>First of all</w:t>
      </w:r>
      <w:proofErr w:type="gramEnd"/>
      <w:r w:rsidRPr="00F62A9A">
        <w:t xml:space="preserve">, an obligation to disclose information at an unduly early stage of a protracted process may result. There is the risk to </w:t>
      </w:r>
      <w:r w:rsidRPr="00F62A9A">
        <w:lastRenderedPageBreak/>
        <w:t xml:space="preserve">damage the issuer’s ability to pursue his objectives (e.g. regarding M&amp;A activities, the issuance of capital and changes in top management positions) in a structured process by </w:t>
      </w:r>
      <w:proofErr w:type="gramStart"/>
      <w:r w:rsidRPr="00F62A9A">
        <w:t>being urged</w:t>
      </w:r>
      <w:proofErr w:type="gramEnd"/>
      <w:r w:rsidRPr="00F62A9A">
        <w:t xml:space="preserve"> to publish sensitive information at an early stage. </w:t>
      </w:r>
    </w:p>
    <w:p w:rsidR="00246F70" w:rsidRDefault="00246F70" w:rsidP="003C4B54"/>
    <w:p w:rsidR="00646C30" w:rsidRDefault="00246F70" w:rsidP="00646C30">
      <w:r w:rsidRPr="00F62A9A">
        <w:t>Second, the option to delay disclosure of inside information under Art. 17 (4) MAR in these cases is only a suboptimal safeguard for issuers and – as a consequence - exposes the issuer to the uncertainty that he does not have control over the time period during which a delay can be upheld (see Q 25).</w:t>
      </w:r>
      <w:permEnd w:id="1869313551"/>
    </w:p>
    <w:p w:rsidR="00646C30" w:rsidRDefault="00646C30" w:rsidP="00646C30">
      <w:r>
        <w:t>&lt;ESMA_QUESTION_CP_MAR_1</w:t>
      </w:r>
      <w:r w:rsidR="00101BF1">
        <w:t>4</w:t>
      </w:r>
      <w:r>
        <w:t>&gt;</w:t>
      </w:r>
    </w:p>
    <w:p w:rsidR="002868FC" w:rsidRDefault="002868FC" w:rsidP="002E1760"/>
    <w:p w:rsidR="00646C30" w:rsidRDefault="00C228C1" w:rsidP="00646C30">
      <w:pPr>
        <w:pStyle w:val="CPQuestions"/>
      </w:pPr>
      <w:r w:rsidRPr="00C228C1">
        <w:t>In particular, have market participants identified information that they would consider as inside information, but which is not covered by the current definition of inside information</w:t>
      </w:r>
      <w:r>
        <w:t>?</w:t>
      </w:r>
    </w:p>
    <w:p w:rsidR="00646C30" w:rsidRDefault="00646C30" w:rsidP="00646C30">
      <w:r>
        <w:t>&lt;ESMA_QUESTION_CP_MAR_1</w:t>
      </w:r>
      <w:r w:rsidR="00101BF1">
        <w:t>5</w:t>
      </w:r>
      <w:r>
        <w:t>&gt;</w:t>
      </w:r>
    </w:p>
    <w:p w:rsidR="00646C30" w:rsidRDefault="00246F70" w:rsidP="00646C30">
      <w:permStart w:id="910045281" w:edGrp="everyone"/>
      <w:r w:rsidRPr="00F62A9A">
        <w:t>No, we have not identified such missing price-relevant information. The current definition is however too vague and must be clarified in a manner that avoids assuming inside information too early (see above).</w:t>
      </w:r>
      <w:permEnd w:id="910045281"/>
    </w:p>
    <w:p w:rsidR="00646C30" w:rsidRDefault="00646C30" w:rsidP="00646C30">
      <w:r>
        <w:t>&lt;ESMA_QUESTION_CP_MAR_1</w:t>
      </w:r>
      <w:r w:rsidR="00101BF1">
        <w:t>5</w:t>
      </w:r>
      <w:r>
        <w:t>&gt;</w:t>
      </w:r>
    </w:p>
    <w:p w:rsidR="002868FC" w:rsidRDefault="002868FC" w:rsidP="002E1760"/>
    <w:p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rsidR="00646C30" w:rsidRDefault="00646C30" w:rsidP="00646C30">
      <w:r>
        <w:t>&lt;ESMA_QUESTION_CP_MAR_1</w:t>
      </w:r>
      <w:r w:rsidR="00101BF1">
        <w:t>6</w:t>
      </w:r>
      <w:r>
        <w:t>&gt;</w:t>
      </w:r>
    </w:p>
    <w:p w:rsidR="00646C30" w:rsidRDefault="00246F70" w:rsidP="00646C30">
      <w:permStart w:id="983312097" w:edGrp="everyone"/>
      <w:r w:rsidRPr="00F62A9A">
        <w:t xml:space="preserve">As mentioned above in our response to Q13, market participants have made the experience that all relevant insider information concerning emission allowances markets as well as concerning gas and power markets is already sufficiently covered and published under REMIT. MAR should rather </w:t>
      </w:r>
      <w:proofErr w:type="gramStart"/>
      <w:r w:rsidRPr="00F62A9A">
        <w:t>make reference</w:t>
      </w:r>
      <w:proofErr w:type="gramEnd"/>
      <w:r w:rsidRPr="00F62A9A">
        <w:t xml:space="preserve"> to REMIT in order to avoid unnecessary complexity.</w:t>
      </w:r>
      <w:permEnd w:id="983312097"/>
    </w:p>
    <w:p w:rsidR="00646C30" w:rsidRDefault="00646C30" w:rsidP="00646C30">
      <w:r>
        <w:t>&lt;ESMA_QUESTION_CP_MAR_1</w:t>
      </w:r>
      <w:r w:rsidR="00101BF1">
        <w:t>6</w:t>
      </w:r>
      <w:r>
        <w:t>&gt;</w:t>
      </w:r>
    </w:p>
    <w:p w:rsidR="002868FC" w:rsidRDefault="002868FC" w:rsidP="002E1760"/>
    <w:p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rsidR="00646C30" w:rsidRDefault="00646C30" w:rsidP="00646C30">
      <w:r>
        <w:t>&lt;ESMA_QUESTION_CP_MAR_1</w:t>
      </w:r>
      <w:r w:rsidR="00101BF1">
        <w:t>7</w:t>
      </w:r>
      <w:r>
        <w:t>&gt;</w:t>
      </w:r>
    </w:p>
    <w:p w:rsidR="00246F70" w:rsidRPr="00F62A9A" w:rsidRDefault="00246F70" w:rsidP="003C4B54">
      <w:permStart w:id="1062085138" w:edGrp="everyone"/>
      <w:r w:rsidRPr="00F62A9A">
        <w:t xml:space="preserve">We believe that commodity derivatives </w:t>
      </w:r>
      <w:proofErr w:type="gramStart"/>
      <w:r w:rsidRPr="00F62A9A">
        <w:t>must be treated</w:t>
      </w:r>
      <w:proofErr w:type="gramEnd"/>
      <w:r w:rsidRPr="00F62A9A">
        <w:t xml:space="preserve"> separately. There have been good specific reasons to include the forth element of “</w:t>
      </w:r>
      <w:proofErr w:type="spellStart"/>
      <w:r w:rsidRPr="00F62A9A">
        <w:t>disclosability</w:t>
      </w:r>
      <w:proofErr w:type="spellEnd"/>
      <w:r w:rsidRPr="00F62A9A">
        <w:t xml:space="preserve">” to the definition of inside information in commodity markets, </w:t>
      </w:r>
      <w:r w:rsidR="00D4228D" w:rsidRPr="00F62A9A">
        <w:t>namely</w:t>
      </w:r>
      <w:r w:rsidRPr="00F62A9A">
        <w:t xml:space="preserve"> that the relevant information must be </w:t>
      </w:r>
      <w:proofErr w:type="spellStart"/>
      <w:r w:rsidRPr="00F62A9A">
        <w:t>disclosable</w:t>
      </w:r>
      <w:proofErr w:type="spellEnd"/>
      <w:r w:rsidRPr="00F62A9A">
        <w:t xml:space="preserve">. This element has to </w:t>
      </w:r>
      <w:proofErr w:type="gramStart"/>
      <w:r w:rsidRPr="00F62A9A">
        <w:t>be retained</w:t>
      </w:r>
      <w:proofErr w:type="gramEnd"/>
      <w:r w:rsidRPr="00F62A9A">
        <w:t>.</w:t>
      </w:r>
    </w:p>
    <w:p w:rsidR="00246F70" w:rsidRDefault="00246F70" w:rsidP="003C4B54"/>
    <w:p w:rsidR="00646C30" w:rsidRDefault="00246F70" w:rsidP="00646C30">
      <w:r w:rsidRPr="00F62A9A">
        <w:t xml:space="preserve">Commodity market participants must be able to hedge their production against commodity price risks. It is therefore crucial that there is no general disclosure requirement with regard to commodity markets. The publication of sensitive information relating to expected or anticipated production or the use of certain commodities should be </w:t>
      </w:r>
      <w:proofErr w:type="gramStart"/>
      <w:r w:rsidRPr="00F62A9A">
        <w:t>avoided</w:t>
      </w:r>
      <w:proofErr w:type="gramEnd"/>
      <w:r w:rsidRPr="00F62A9A">
        <w:t xml:space="preserve"> as this would restrict the possibilities of hedging for commodity market participants. Hedging is essential </w:t>
      </w:r>
      <w:r w:rsidRPr="00F62A9A">
        <w:lastRenderedPageBreak/>
        <w:t>for the risk management of those participants and not only protects their existence, but also minimizes the risks to the entire economy.</w:t>
      </w:r>
      <w:permEnd w:id="1062085138"/>
    </w:p>
    <w:p w:rsidR="00646C30" w:rsidRDefault="00646C30" w:rsidP="00646C30">
      <w:r>
        <w:t>&lt;ESMA_QUESTION_CP_MAR_1</w:t>
      </w:r>
      <w:r w:rsidR="00101BF1">
        <w:t>7</w:t>
      </w:r>
      <w:r>
        <w:t>&gt;</w:t>
      </w:r>
    </w:p>
    <w:p w:rsidR="002868FC" w:rsidRDefault="002868FC" w:rsidP="002E1760"/>
    <w:p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rsidR="00646C30" w:rsidRDefault="00646C30" w:rsidP="00646C30">
      <w:r>
        <w:t>&lt;ESMA_QUESTION_CP_MAR_1</w:t>
      </w:r>
      <w:r w:rsidR="00101BF1">
        <w:t>8</w:t>
      </w:r>
      <w:r>
        <w:t>&gt;</w:t>
      </w:r>
    </w:p>
    <w:p w:rsidR="00646C30" w:rsidRDefault="00246F70" w:rsidP="00646C30">
      <w:permStart w:id="524311768" w:edGrp="everyone"/>
      <w:r w:rsidRPr="00F62A9A">
        <w:t>We are not aware of material hedging difficulties and therefo</w:t>
      </w:r>
      <w:r>
        <w:t>r</w:t>
      </w:r>
      <w:r w:rsidRPr="00F62A9A">
        <w:t>e we don’t see a need to change the current definition of Article 7(1</w:t>
      </w:r>
      <w:proofErr w:type="gramStart"/>
      <w:r w:rsidRPr="00F62A9A">
        <w:t>)(</w:t>
      </w:r>
      <w:proofErr w:type="gramEnd"/>
      <w:r w:rsidRPr="00F62A9A">
        <w:t>b) of MAR.</w:t>
      </w:r>
      <w:permEnd w:id="524311768"/>
    </w:p>
    <w:p w:rsidR="00646C30" w:rsidRDefault="00646C30" w:rsidP="00646C30">
      <w:r>
        <w:t>&lt;ESMA_QUESTION_CP_MAR_1</w:t>
      </w:r>
      <w:r w:rsidR="00101BF1">
        <w:t>8</w:t>
      </w:r>
      <w:r>
        <w:t>&gt;</w:t>
      </w:r>
    </w:p>
    <w:p w:rsidR="002868FC" w:rsidRDefault="002868FC" w:rsidP="002E1760"/>
    <w:p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rsidR="00646C30" w:rsidRDefault="00646C30" w:rsidP="00646C30">
      <w:r>
        <w:t>&lt;ESMA_QUESTION_CP_MAR_1</w:t>
      </w:r>
      <w:r w:rsidR="00101BF1">
        <w:t>9</w:t>
      </w:r>
      <w:r>
        <w:t>&gt;</w:t>
      </w:r>
    </w:p>
    <w:p w:rsidR="00646C30" w:rsidRDefault="00246F70" w:rsidP="00646C30">
      <w:permStart w:id="2108561148" w:edGrp="everyone"/>
      <w:r w:rsidRPr="00F62A9A">
        <w:t>We don’t agree that the general definition of inside information of Article 7(1</w:t>
      </w:r>
      <w:proofErr w:type="gramStart"/>
      <w:r w:rsidRPr="00F62A9A">
        <w:t>)(</w:t>
      </w:r>
      <w:proofErr w:type="gramEnd"/>
      <w:r w:rsidRPr="00F62A9A">
        <w:t>a) of MAR should be used for commodity derivatives for the same reasons as explained in our response to Q17.</w:t>
      </w:r>
      <w:permEnd w:id="2108561148"/>
    </w:p>
    <w:p w:rsidR="00646C30" w:rsidRDefault="00646C30" w:rsidP="00646C30">
      <w:r>
        <w:t>&lt;ESMA_QUESTION_CP_MAR_1</w:t>
      </w:r>
      <w:r w:rsidR="00101BF1">
        <w:t>9</w:t>
      </w:r>
      <w:r>
        <w:t>&gt;</w:t>
      </w:r>
    </w:p>
    <w:p w:rsidR="002868FC" w:rsidRDefault="002868FC" w:rsidP="002E1760"/>
    <w:p w:rsidR="00646C30" w:rsidRDefault="00C96CA4" w:rsidP="00646C30">
      <w:pPr>
        <w:pStyle w:val="CPQuestions"/>
      </w:pPr>
      <w:r w:rsidRPr="00C96CA4">
        <w:t>What changes could be made to include other cases of front running</w:t>
      </w:r>
      <w:r>
        <w:t>?</w:t>
      </w:r>
    </w:p>
    <w:p w:rsidR="00646C30" w:rsidRDefault="00646C30" w:rsidP="00646C30">
      <w:r>
        <w:t>&lt;ESMA_QUESTION_CP_MAR_</w:t>
      </w:r>
      <w:r w:rsidR="00101BF1">
        <w:t>20</w:t>
      </w:r>
      <w:r>
        <w:t>&gt;</w:t>
      </w:r>
    </w:p>
    <w:p w:rsidR="00646C30" w:rsidRDefault="00646C30" w:rsidP="00646C30">
      <w:permStart w:id="734943762" w:edGrp="everyone"/>
      <w:r>
        <w:t>TYPE YOUR TEXT HERE</w:t>
      </w:r>
      <w:permEnd w:id="734943762"/>
    </w:p>
    <w:p w:rsidR="00646C30" w:rsidRDefault="00646C30" w:rsidP="00646C30">
      <w:r>
        <w:t>&lt;ESMA_QUESTION_CP_MAR_</w:t>
      </w:r>
      <w:r w:rsidR="00101BF1">
        <w:t>20</w:t>
      </w:r>
      <w:r>
        <w:t>&gt;</w:t>
      </w:r>
    </w:p>
    <w:p w:rsidR="00646C30" w:rsidRDefault="00646C30" w:rsidP="002E1760"/>
    <w:p w:rsidR="00646C30" w:rsidRDefault="00C96CA4" w:rsidP="00646C30">
      <w:pPr>
        <w:pStyle w:val="CPQuestions"/>
      </w:pPr>
      <w:r w:rsidRPr="00C96CA4">
        <w:t>Do you consider that specific conditions should be added in MAR to cover front-running on financial instruments which have an illiquid market</w:t>
      </w:r>
      <w:r>
        <w:t>?</w:t>
      </w:r>
    </w:p>
    <w:p w:rsidR="00646C30" w:rsidRDefault="00646C30" w:rsidP="00646C30">
      <w:r>
        <w:t>&lt;ESMA_QUESTION_CP_MAR_</w:t>
      </w:r>
      <w:r w:rsidR="00101BF1">
        <w:t>21</w:t>
      </w:r>
      <w:r>
        <w:t>&gt;</w:t>
      </w:r>
    </w:p>
    <w:p w:rsidR="00646C30" w:rsidRDefault="00646C30" w:rsidP="00646C30">
      <w:permStart w:id="465710600" w:edGrp="everyone"/>
      <w:r>
        <w:t>TYPE YOUR TEXT HERE</w:t>
      </w:r>
      <w:permEnd w:id="465710600"/>
    </w:p>
    <w:p w:rsidR="00646C30" w:rsidRDefault="00646C30" w:rsidP="00646C30">
      <w:r>
        <w:t>&lt;ESMA_QUESTION_CP_MAR_</w:t>
      </w:r>
      <w:r w:rsidR="00101BF1">
        <w:t>21</w:t>
      </w:r>
      <w:r>
        <w:t>&gt;</w:t>
      </w:r>
    </w:p>
    <w:p w:rsidR="00646C30" w:rsidRDefault="00646C30" w:rsidP="002E1760"/>
    <w:p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rsidR="00646C30" w:rsidRDefault="00646C30" w:rsidP="00646C30">
      <w:r>
        <w:t>&lt;ESMA_QUESTION_CP_MAR_</w:t>
      </w:r>
      <w:r w:rsidR="00101BF1">
        <w:t>22</w:t>
      </w:r>
      <w:r>
        <w:t>&gt;</w:t>
      </w:r>
    </w:p>
    <w:p w:rsidR="00646C30" w:rsidRDefault="00646C30" w:rsidP="00646C30">
      <w:permStart w:id="707075404" w:edGrp="everyone"/>
      <w:r>
        <w:lastRenderedPageBreak/>
        <w:t>TYPE YOUR TEXT HERE</w:t>
      </w:r>
      <w:permEnd w:id="707075404"/>
    </w:p>
    <w:p w:rsidR="00646C30" w:rsidRDefault="00646C30" w:rsidP="00646C30">
      <w:r>
        <w:t>&lt;ESMA_QUESTION_CP_MAR_</w:t>
      </w:r>
      <w:r w:rsidR="00101BF1">
        <w:t>22</w:t>
      </w:r>
      <w:r>
        <w:t>&gt;</w:t>
      </w:r>
    </w:p>
    <w:p w:rsidR="00646C30" w:rsidRDefault="00646C30" w:rsidP="002E1760"/>
    <w:p w:rsidR="00646C30" w:rsidRDefault="00674628" w:rsidP="00646C30">
      <w:pPr>
        <w:pStyle w:val="CPQuestions"/>
      </w:pPr>
      <w:r w:rsidRPr="00674628">
        <w:t>What benefits do pre-hedging behaviours provide to firms, clients and to the functioning of the market</w:t>
      </w:r>
      <w:r>
        <w:t>?</w:t>
      </w:r>
    </w:p>
    <w:p w:rsidR="00646C30" w:rsidRDefault="00646C30" w:rsidP="00646C30">
      <w:r>
        <w:t>&lt;ESMA_QUESTION_CP_MAR_</w:t>
      </w:r>
      <w:r w:rsidR="00101BF1">
        <w:t>23</w:t>
      </w:r>
      <w:r>
        <w:t>&gt;</w:t>
      </w:r>
    </w:p>
    <w:p w:rsidR="00646C30" w:rsidRDefault="00646C30" w:rsidP="00646C30">
      <w:permStart w:id="1336835592" w:edGrp="everyone"/>
      <w:r>
        <w:t>TYPE YOUR TEXT HERE</w:t>
      </w:r>
      <w:permEnd w:id="1336835592"/>
    </w:p>
    <w:p w:rsidR="00646C30" w:rsidRDefault="00646C30" w:rsidP="00646C30">
      <w:r>
        <w:t>&lt;ESMA_QUESTION_CP_MAR_</w:t>
      </w:r>
      <w:r w:rsidR="00101BF1">
        <w:t>23</w:t>
      </w:r>
      <w:r>
        <w:t>&gt;</w:t>
      </w:r>
    </w:p>
    <w:p w:rsidR="00646C30" w:rsidRDefault="00646C30" w:rsidP="002E1760"/>
    <w:p w:rsidR="00646C30" w:rsidRDefault="00674628" w:rsidP="00646C30">
      <w:pPr>
        <w:pStyle w:val="CPQuestions"/>
      </w:pPr>
      <w:r w:rsidRPr="00674628">
        <w:t>What financial instruments are subject to pre-hedging behaviours and why</w:t>
      </w:r>
      <w:r>
        <w:t>?</w:t>
      </w:r>
    </w:p>
    <w:p w:rsidR="00646C30" w:rsidRDefault="00646C30" w:rsidP="00646C30">
      <w:r>
        <w:t>&lt;ESMA_QUESTION_CP_MAR_</w:t>
      </w:r>
      <w:r w:rsidR="00101BF1">
        <w:t>24</w:t>
      </w:r>
      <w:r>
        <w:t>&gt;</w:t>
      </w:r>
    </w:p>
    <w:p w:rsidR="00646C30" w:rsidRDefault="00646C30" w:rsidP="00646C30">
      <w:permStart w:id="953620338" w:edGrp="everyone"/>
      <w:r>
        <w:t>TYPE YOUR TEXT HERE</w:t>
      </w:r>
      <w:permEnd w:id="953620338"/>
    </w:p>
    <w:p w:rsidR="00646C30" w:rsidRDefault="00646C30" w:rsidP="00646C30">
      <w:r>
        <w:t>&lt;ESMA_QUESTION_CP_MAR_</w:t>
      </w:r>
      <w:r w:rsidR="00101BF1">
        <w:t>24</w:t>
      </w:r>
      <w:r>
        <w:t>&gt;</w:t>
      </w:r>
    </w:p>
    <w:p w:rsidR="00646C30" w:rsidRDefault="00646C30" w:rsidP="002E1760"/>
    <w:p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rsidR="00646C30" w:rsidRDefault="00646C30" w:rsidP="00646C30">
      <w:r>
        <w:t>&lt;ESMA_QUESTION_CP_MAR_</w:t>
      </w:r>
      <w:r w:rsidR="00101BF1">
        <w:t>25</w:t>
      </w:r>
      <w:r>
        <w:t>&gt;</w:t>
      </w:r>
    </w:p>
    <w:p w:rsidR="00246F70" w:rsidRPr="00F62A9A" w:rsidRDefault="00246F70" w:rsidP="003C4B54">
      <w:permStart w:id="1799372769" w:edGrp="everyone"/>
      <w:r w:rsidRPr="00F62A9A">
        <w:t xml:space="preserve">As the EU legislator has opted for a rather broad definition of inside information (covering both market abuse prohibitions and the duty of disclosure), the delay </w:t>
      </w:r>
      <w:proofErr w:type="gramStart"/>
      <w:r w:rsidRPr="00F62A9A">
        <w:t>should be regarded</w:t>
      </w:r>
      <w:proofErr w:type="gramEnd"/>
      <w:r w:rsidRPr="00F62A9A">
        <w:t xml:space="preserve"> as the natural (and necessary) counterweight to protect the legitimate interests of the issuer against being impaired by premature disclosure. </w:t>
      </w:r>
    </w:p>
    <w:p w:rsidR="00246F70" w:rsidRDefault="00246F70" w:rsidP="003C4B54"/>
    <w:p w:rsidR="00246F70" w:rsidRPr="00F62A9A" w:rsidRDefault="00246F70" w:rsidP="003C4B54">
      <w:r w:rsidRPr="00F62A9A">
        <w:t xml:space="preserve">In other </w:t>
      </w:r>
      <w:proofErr w:type="gramStart"/>
      <w:r w:rsidRPr="00F62A9A">
        <w:t>words:</w:t>
      </w:r>
      <w:proofErr w:type="gramEnd"/>
      <w:r w:rsidRPr="00F62A9A">
        <w:t xml:space="preserve"> The option to delay the disclosure of inside information has been introduced in order to </w:t>
      </w:r>
      <w:r w:rsidRPr="00F62A9A">
        <w:rPr>
          <w:b/>
        </w:rPr>
        <w:t>protect legitimate interests of issuers</w:t>
      </w:r>
      <w:r w:rsidRPr="00F62A9A">
        <w:t xml:space="preserve"> and to avoid negative effects of the disclosure obligation. However, the requirements for a delayed disclosure of inside information question the usability of the “delay option”. The review should thus make delaying the publication safe(r) for issuers both in legal terms and in application in practice. This needs to </w:t>
      </w:r>
      <w:proofErr w:type="gramStart"/>
      <w:r w:rsidRPr="00F62A9A">
        <w:t>be done</w:t>
      </w:r>
      <w:proofErr w:type="gramEnd"/>
      <w:r w:rsidRPr="00F62A9A">
        <w:t xml:space="preserve"> irrespective of the need for more certainty on the definition of inside information (see Q 13).</w:t>
      </w:r>
    </w:p>
    <w:p w:rsidR="00246F70" w:rsidRDefault="00246F70" w:rsidP="003C4B54"/>
    <w:p w:rsidR="00246F70" w:rsidRPr="00F62A9A" w:rsidRDefault="00246F70" w:rsidP="003C4B54">
      <w:r w:rsidRPr="00F62A9A">
        <w:t xml:space="preserve">As laid down in more detail in the position paper attached Art. </w:t>
      </w:r>
      <w:proofErr w:type="gramStart"/>
      <w:r w:rsidRPr="00F62A9A">
        <w:t>17</w:t>
      </w:r>
      <w:proofErr w:type="gramEnd"/>
      <w:r w:rsidRPr="00F62A9A">
        <w:t xml:space="preserve"> should be amended in several respects for that reason. </w:t>
      </w:r>
    </w:p>
    <w:p w:rsidR="00246F70" w:rsidRDefault="00246F70" w:rsidP="003C4B54"/>
    <w:p w:rsidR="00246F70" w:rsidRPr="00F62A9A" w:rsidRDefault="00246F70" w:rsidP="003C4B54">
      <w:proofErr w:type="gramStart"/>
      <w:r w:rsidRPr="00F62A9A">
        <w:t>First of all</w:t>
      </w:r>
      <w:proofErr w:type="gramEnd"/>
      <w:r w:rsidRPr="00F62A9A">
        <w:t xml:space="preserve">, </w:t>
      </w:r>
      <w:r w:rsidRPr="00F62A9A">
        <w:rPr>
          <w:b/>
        </w:rPr>
        <w:t>it has to be clarified for certain typical situations that there is a legitimate interest of the issuer and that this legitimate interest prevails over the interest of market transparency</w:t>
      </w:r>
      <w:r w:rsidRPr="00F62A9A">
        <w:t xml:space="preserve">. More specifically, it is necessary to enable issuers an orderly and structured capital markets communication. There is a conflict between the periodic financial reporting under the Transparency Directive and the issuer’s “ad hoc” disclosure obligation under Art. 17 MAR. Issuers might be forced to prematurely publish fractions of financial information stemming from </w:t>
      </w:r>
      <w:proofErr w:type="gramStart"/>
      <w:r w:rsidRPr="00F62A9A">
        <w:t>a</w:t>
      </w:r>
      <w:proofErr w:type="gramEnd"/>
      <w:r w:rsidRPr="00F62A9A">
        <w:t xml:space="preserve"> upcoming periodic financial report (giving the full picture of the issuer’s financial situation and performance) even where the scheduled time of publication of such periodic financial report is close</w:t>
      </w:r>
      <w:r w:rsidR="00FF1C8A">
        <w:t>.</w:t>
      </w:r>
      <w:r w:rsidRPr="00F62A9A">
        <w:t xml:space="preserve"> </w:t>
      </w:r>
      <w:proofErr w:type="gramStart"/>
      <w:r w:rsidRPr="00F62A9A">
        <w:t>Also, it should be clarified that an issuer with a two tier board structure must be able to delay disclosure of inside information where the supervisory board still has to endorse a management board decision.</w:t>
      </w:r>
      <w:proofErr w:type="gramEnd"/>
      <w:r w:rsidRPr="00F62A9A">
        <w:t xml:space="preserve"> That includes the need for a supervisory board to have sufficient time to assess and discuss the subject of its pro</w:t>
      </w:r>
      <w:r w:rsidRPr="00F62A9A">
        <w:lastRenderedPageBreak/>
        <w:t>posed resolution, including taking appropriate advice where required. MAR should be neutral regarding the corporate governance structures of member states. That includes allowing a supervisory board taking the time it reasonably needs to adopt a resolution after due and diligent consideration of the matter.</w:t>
      </w:r>
    </w:p>
    <w:p w:rsidR="00246F70" w:rsidRDefault="00246F70" w:rsidP="003C4B54"/>
    <w:p w:rsidR="00246F70" w:rsidRPr="00F62A9A" w:rsidRDefault="00246F70" w:rsidP="003C4B54">
      <w:r w:rsidRPr="00F62A9A">
        <w:t xml:space="preserve">Second, in practice no issuer can guarantee that he is able to </w:t>
      </w:r>
      <w:r w:rsidRPr="00F62A9A">
        <w:rPr>
          <w:b/>
        </w:rPr>
        <w:t>ensure the confidentiality</w:t>
      </w:r>
      <w:r w:rsidRPr="00F62A9A">
        <w:t xml:space="preserve"> of the information. He can only implement appropriate compliance structures to educate insiders on their duties and to keep confidentiality in his own area of responsibility. </w:t>
      </w:r>
    </w:p>
    <w:p w:rsidR="00246F70" w:rsidRDefault="00246F70" w:rsidP="003C4B54"/>
    <w:p w:rsidR="00246F70" w:rsidRPr="00F62A9A" w:rsidRDefault="00246F70" w:rsidP="003C4B54">
      <w:r w:rsidRPr="00F62A9A">
        <w:t xml:space="preserve">Third, the key problem is that the issuer has to </w:t>
      </w:r>
      <w:r w:rsidRPr="00F62A9A">
        <w:rPr>
          <w:b/>
        </w:rPr>
        <w:t>react to the emergence of rumours</w:t>
      </w:r>
      <w:r w:rsidRPr="00F62A9A">
        <w:t xml:space="preserve"> according to Art 17(7) MAR. He must immediately disclose the inside information under delay, if that rumour indicates that confidentiality is no longer ensured. Unfortunately, MAR sets out only low conditions for this kind of forced disclosure: Firstly, the rumour does not have to come from the issuer’s sphere, i.e. it does not have to fall in his area of responsibility. Secondly, and even worse, it is unclear when a rumour has to </w:t>
      </w:r>
      <w:proofErr w:type="gramStart"/>
      <w:r w:rsidRPr="00F62A9A">
        <w:t>be regarded</w:t>
      </w:r>
      <w:proofErr w:type="gramEnd"/>
      <w:r w:rsidRPr="00F62A9A">
        <w:t xml:space="preserve"> as sufficiently precise to indicate a breach of confidentiality. As a result, issuers always run the risk of </w:t>
      </w:r>
      <w:proofErr w:type="gramStart"/>
      <w:r w:rsidRPr="00F62A9A">
        <w:t>being forced</w:t>
      </w:r>
      <w:proofErr w:type="gramEnd"/>
      <w:r w:rsidRPr="00F62A9A">
        <w:t xml:space="preserve"> to make public inside information the disclosure of which was legitimately delayed when a rumour arises. The provision thus invites to unfair spreading of rumours, especially in sensitive situations. </w:t>
      </w:r>
    </w:p>
    <w:p w:rsidR="00246F70" w:rsidRDefault="00246F70" w:rsidP="003C4B54"/>
    <w:p w:rsidR="00646C30" w:rsidRDefault="00246F70" w:rsidP="00646C30">
      <w:r w:rsidRPr="00F62A9A">
        <w:t xml:space="preserve">In addition, the early disclosure of an existentially important transaction for an issuer may have the consequence of undermining the transaction inappropriately. In this case, the issuer’s interest to ensure its financial viability or to prepare significant strategic changes should have priority over transparency at any cost (similarly to recital 50 of MAR). The issuer’s investors should have a corresponding interest in the delay. </w:t>
      </w:r>
      <w:r w:rsidR="00D4228D" w:rsidRPr="00F62A9A">
        <w:t>Otherwise,</w:t>
      </w:r>
      <w:r w:rsidRPr="00F62A9A">
        <w:t xml:space="preserve"> they may suffer significant economic losses or – in the case of a necessary re-financing of the issuer failing - may even jeopardize their Investment.</w:t>
      </w:r>
      <w:permEnd w:id="1799372769"/>
    </w:p>
    <w:p w:rsidR="00646C30" w:rsidRDefault="00646C30" w:rsidP="00646C30">
      <w:r>
        <w:t>&lt;ESMA_QUESTION_CP_MAR_</w:t>
      </w:r>
      <w:r w:rsidR="00101BF1">
        <w:t>25</w:t>
      </w:r>
      <w:r>
        <w:t>&gt;</w:t>
      </w:r>
    </w:p>
    <w:p w:rsidR="00646C30" w:rsidRDefault="00646C30" w:rsidP="002E1760"/>
    <w:p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rsidR="00646C30" w:rsidRDefault="00646C30" w:rsidP="00646C30">
      <w:r>
        <w:t>&lt;ESMA_QUESTION_CP_MAR_</w:t>
      </w:r>
      <w:r w:rsidR="00101BF1">
        <w:t>26</w:t>
      </w:r>
      <w:r>
        <w:t>&gt;</w:t>
      </w:r>
    </w:p>
    <w:p w:rsidR="00646C30" w:rsidRDefault="003C4B54" w:rsidP="00646C30">
      <w:permStart w:id="666064495" w:edGrp="everyone"/>
      <w:r>
        <w:t xml:space="preserve">Please refer to Q </w:t>
      </w:r>
      <w:r w:rsidRPr="00F10653">
        <w:t>25.</w:t>
      </w:r>
      <w:permEnd w:id="666064495"/>
    </w:p>
    <w:p w:rsidR="00646C30" w:rsidRDefault="00646C30" w:rsidP="00646C30">
      <w:r>
        <w:t>&lt;ESMA_QUESTION_CP_MAR_</w:t>
      </w:r>
      <w:r w:rsidR="00101BF1">
        <w:t>26</w:t>
      </w:r>
      <w:r>
        <w:t>&gt;</w:t>
      </w:r>
    </w:p>
    <w:p w:rsidR="00646C30" w:rsidRDefault="00646C30" w:rsidP="002E1760"/>
    <w:p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rsidR="00646C30" w:rsidRDefault="00646C30" w:rsidP="00646C30">
      <w:r>
        <w:t>&lt;ESMA_QUESTION_CP_MAR_</w:t>
      </w:r>
      <w:r w:rsidR="00101BF1">
        <w:t>27</w:t>
      </w:r>
      <w:r>
        <w:t>&gt;</w:t>
      </w:r>
    </w:p>
    <w:p w:rsidR="003C4B54" w:rsidRPr="00F62A9A" w:rsidRDefault="003C4B54" w:rsidP="003C4B54">
      <w:permStart w:id="1977103379" w:edGrp="everyone"/>
      <w:r w:rsidRPr="00F62A9A">
        <w:t xml:space="preserve">Issuers are well capable of handling compliance processes to decide on the delay of an inside information. We therefore oppose additional obligations for issuers to establish and maintain effective arrangements, systems and procedures for the identification, handling and disclosure of inside information. The decision how to comply with MAR obligations </w:t>
      </w:r>
      <w:proofErr w:type="gramStart"/>
      <w:r w:rsidRPr="00F62A9A">
        <w:t>should thus be left</w:t>
      </w:r>
      <w:proofErr w:type="gramEnd"/>
      <w:r w:rsidRPr="00F62A9A">
        <w:t xml:space="preserve"> to the issuer.</w:t>
      </w:r>
    </w:p>
    <w:p w:rsidR="003C4B54" w:rsidRPr="00F62A9A" w:rsidRDefault="003C4B54" w:rsidP="003C4B54"/>
    <w:p w:rsidR="003C4B54" w:rsidRPr="00F62A9A" w:rsidRDefault="003C4B54" w:rsidP="003C4B54">
      <w:r w:rsidRPr="00F62A9A">
        <w:t xml:space="preserve">In addition, the reference to Article 16 MAR </w:t>
      </w:r>
      <w:r w:rsidR="00D4228D" w:rsidRPr="00F62A9A">
        <w:t>is misleading</w:t>
      </w:r>
      <w:r w:rsidRPr="00F62A9A">
        <w:t xml:space="preserve">. Art. 16 was set up for a different purpose i.e. detecting and reporting suspicious transactions, through professionals (i.e. market operators, investment firms and persons professionally arranging or executing </w:t>
      </w:r>
      <w:r w:rsidRPr="00F62A9A">
        <w:lastRenderedPageBreak/>
        <w:t xml:space="preserve">transactions) involved in the trading of financial instruments within the framework of their “professional activity”. This </w:t>
      </w:r>
      <w:proofErr w:type="gramStart"/>
      <w:r w:rsidRPr="00F62A9A">
        <w:t>is a role in trading activities that</w:t>
      </w:r>
      <w:proofErr w:type="gramEnd"/>
      <w:r w:rsidRPr="00F62A9A">
        <w:t xml:space="preserve"> is entirely different from that of an issuer that is not itself involved in the trading of his securities on a trading venue. Therefore, we </w:t>
      </w:r>
      <w:r w:rsidR="00D4228D" w:rsidRPr="00F62A9A">
        <w:t>oppose</w:t>
      </w:r>
      <w:r w:rsidRPr="00F62A9A">
        <w:t xml:space="preserve"> the idea that the scope of Art. </w:t>
      </w:r>
      <w:proofErr w:type="gramStart"/>
      <w:r w:rsidRPr="00F62A9A">
        <w:t>16</w:t>
      </w:r>
      <w:proofErr w:type="gramEnd"/>
      <w:r w:rsidRPr="00F62A9A">
        <w:t xml:space="preserve"> (2) MAR could be extended to issuers in general outside the financial sector and for the purpose of compliance with Art. 17 MAR. </w:t>
      </w:r>
    </w:p>
    <w:p w:rsidR="003C4B54" w:rsidRDefault="003C4B54" w:rsidP="003C4B54"/>
    <w:p w:rsidR="003C4B54" w:rsidRPr="00F62A9A" w:rsidRDefault="003C4B54" w:rsidP="003C4B54">
      <w:pPr>
        <w:rPr>
          <w:b/>
        </w:rPr>
      </w:pPr>
      <w:r w:rsidRPr="00F62A9A">
        <w:rPr>
          <w:b/>
        </w:rPr>
        <w:t>Additional remark on Art. 16 (2)</w:t>
      </w:r>
    </w:p>
    <w:p w:rsidR="003C4B54" w:rsidRDefault="003C4B54" w:rsidP="003C4B54"/>
    <w:p w:rsidR="003C4B54" w:rsidRPr="00F62A9A" w:rsidRDefault="003C4B54" w:rsidP="003C4B54">
      <w:r w:rsidRPr="00F62A9A">
        <w:t xml:space="preserve">Notwithstanding the discussion above, we would like to point to an issue regarding Art. </w:t>
      </w:r>
      <w:proofErr w:type="gramStart"/>
      <w:r w:rsidRPr="00F62A9A">
        <w:t>16</w:t>
      </w:r>
      <w:proofErr w:type="gramEnd"/>
      <w:r w:rsidRPr="00F62A9A">
        <w:t xml:space="preserve"> (2) MAR itself. </w:t>
      </w:r>
    </w:p>
    <w:p w:rsidR="003C4B54" w:rsidRDefault="003C4B54" w:rsidP="003C4B54"/>
    <w:p w:rsidR="00646C30" w:rsidRDefault="003C4B54" w:rsidP="00646C30">
      <w:r w:rsidRPr="00F62A9A">
        <w:t xml:space="preserve">Due to a broad interpretation in a Q&amp;A of ESMA (Q6.1) and differently from the previous regime, the abovementioned rules are applicable also for non-financial counterparties (NFC) professionally arranging or executing transactions in financial instruments. The ESMA Q&amp;A brings into scope non-financial firms whose main activities however do not consist in arranging or executing financial transactions on a professional basis. </w:t>
      </w:r>
      <w:proofErr w:type="gramStart"/>
      <w:r w:rsidRPr="00F62A9A">
        <w:t>NFC’s</w:t>
      </w:r>
      <w:proofErr w:type="gramEnd"/>
      <w:r w:rsidRPr="00F62A9A">
        <w:t xml:space="preserve"> engage in financial transactions on an ancillary basis only, with the main objective to hedge risks related to their commercial or treasury financing activities. Hence, decisions to use financial instruments </w:t>
      </w:r>
      <w:proofErr w:type="gramStart"/>
      <w:r w:rsidRPr="00F62A9A">
        <w:t>are taken</w:t>
      </w:r>
      <w:proofErr w:type="gramEnd"/>
      <w:r w:rsidRPr="00F62A9A">
        <w:t xml:space="preserve"> based on operative requirements, within the framework of internal guidelines, and not with the aim to chase opportunities in financial markets. Moreover, NFC’s mostly act as clients of the financial sector in the respective transactions, not as providers or market makers. Therefore, NFCs should not have to comply with the obligation of Art. 16 MAR. From our </w:t>
      </w:r>
      <w:proofErr w:type="gramStart"/>
      <w:r w:rsidRPr="00F62A9A">
        <w:t>perspective</w:t>
      </w:r>
      <w:proofErr w:type="gramEnd"/>
      <w:r w:rsidRPr="00F62A9A">
        <w:t xml:space="preserve"> the review of the MAR should clarify the scope of Art. </w:t>
      </w:r>
      <w:proofErr w:type="gramStart"/>
      <w:r w:rsidRPr="00F62A9A">
        <w:t>16</w:t>
      </w:r>
      <w:proofErr w:type="gramEnd"/>
      <w:r w:rsidRPr="00F62A9A">
        <w:t xml:space="preserve"> MAR by excluding non-financial firms. It has never been the political intention to bring the “real economy” into the scope of that regime. </w:t>
      </w:r>
      <w:proofErr w:type="gramStart"/>
      <w:r w:rsidRPr="00F62A9A">
        <w:t>Rather, it appears to be a mixture of an ambiguous wording (such as the reference to a trading desk for which there is no definition) and a far-reaching interpretation of ESMA that resulted in the current situation.</w:t>
      </w:r>
      <w:permEnd w:id="1977103379"/>
      <w:proofErr w:type="gramEnd"/>
    </w:p>
    <w:p w:rsidR="00646C30" w:rsidRDefault="00646C30" w:rsidP="00646C30">
      <w:r>
        <w:t>&lt;ESMA_QUESTION_CP_MAR_</w:t>
      </w:r>
      <w:r w:rsidR="00101BF1">
        <w:t>27</w:t>
      </w:r>
      <w:r>
        <w:t>&gt;</w:t>
      </w:r>
    </w:p>
    <w:p w:rsidR="00646C30" w:rsidRDefault="00646C30" w:rsidP="002E1760"/>
    <w:p w:rsidR="00646C30" w:rsidRDefault="0079485D" w:rsidP="00646C30">
      <w:pPr>
        <w:pStyle w:val="CPQuestions"/>
      </w:pPr>
      <w:r w:rsidRPr="0079485D">
        <w:t>Please provide examples of cases in which the identification of when an information became “inside information” was problematic</w:t>
      </w:r>
      <w:r w:rsidR="00646C30">
        <w:t>.</w:t>
      </w:r>
    </w:p>
    <w:p w:rsidR="00646C30" w:rsidRDefault="00646C30" w:rsidP="00646C30">
      <w:r>
        <w:t>&lt;ESMA_QUESTION_CP_MAR_2</w:t>
      </w:r>
      <w:r w:rsidR="00101BF1">
        <w:t>8</w:t>
      </w:r>
      <w:r>
        <w:t>&gt;</w:t>
      </w:r>
    </w:p>
    <w:p w:rsidR="00B534D8" w:rsidRPr="00F62A9A" w:rsidRDefault="00B534D8" w:rsidP="00F45D6A">
      <w:permStart w:id="76955431" w:edGrp="everyone"/>
      <w:r w:rsidRPr="00F62A9A">
        <w:t>As mentioned in Q 13, the interplay between intermediate steps in a protracted process and treatment of future circumstances as inside information (Article 7(2) and (3) MAR) seems to lead to uncertainty as to when the current stage of a protracted process amounts to inside information.</w:t>
      </w:r>
    </w:p>
    <w:p w:rsidR="00B534D8" w:rsidRDefault="00B534D8" w:rsidP="00F45D6A"/>
    <w:p w:rsidR="00B534D8" w:rsidRPr="00F62A9A" w:rsidRDefault="00B534D8" w:rsidP="00F45D6A">
      <w:r w:rsidRPr="00F62A9A">
        <w:t xml:space="preserve">Article 7(2) MAR provides that a future event could constitute inside information if it </w:t>
      </w:r>
      <w:proofErr w:type="gramStart"/>
      <w:r w:rsidRPr="00F62A9A">
        <w:t>may reasonably be expected</w:t>
      </w:r>
      <w:proofErr w:type="gramEnd"/>
      <w:r w:rsidRPr="00F62A9A">
        <w:t xml:space="preserve"> to occur. According to the ECJ ruling in the </w:t>
      </w:r>
      <w:proofErr w:type="spellStart"/>
      <w:proofErr w:type="gramStart"/>
      <w:r w:rsidRPr="00F62A9A">
        <w:t>Geltl</w:t>
      </w:r>
      <w:proofErr w:type="spellEnd"/>
      <w:r w:rsidRPr="00F62A9A">
        <w:t xml:space="preserve"> ./</w:t>
      </w:r>
      <w:proofErr w:type="gramEnd"/>
      <w:r w:rsidRPr="00F62A9A">
        <w:t xml:space="preserve">. Daimler case this requires a realistic prospect that the future event will come into existence (item 49). </w:t>
      </w:r>
    </w:p>
    <w:p w:rsidR="00B534D8" w:rsidRDefault="00B534D8" w:rsidP="00F45D6A"/>
    <w:p w:rsidR="00B534D8" w:rsidRPr="00F62A9A" w:rsidRDefault="00B534D8" w:rsidP="00F45D6A">
      <w:r w:rsidRPr="00F62A9A">
        <w:t xml:space="preserve">Article 7(3) MAR deems an intermediate step in a protracted process to be inside information if, by itself, it satisfies the criteria of inside information. </w:t>
      </w:r>
    </w:p>
    <w:p w:rsidR="00B534D8" w:rsidRDefault="00B534D8" w:rsidP="00F45D6A"/>
    <w:p w:rsidR="00B534D8" w:rsidRPr="00F62A9A" w:rsidRDefault="00B534D8" w:rsidP="00F45D6A">
      <w:r w:rsidRPr="00F62A9A">
        <w:t xml:space="preserve">Most future events are developing in a protracted process with multiple intermediate steps. However, there seems to be a trend to treat intermediate steps as inside information even where their potential price impact derives from the significance or magnitude of the future event they are to bring about and irrespective of the fact that the future event has not yet reached a “realistic prospect” </w:t>
      </w:r>
      <w:proofErr w:type="gramStart"/>
      <w:r w:rsidRPr="00F62A9A">
        <w:t>to actually occur</w:t>
      </w:r>
      <w:proofErr w:type="gramEnd"/>
      <w:r w:rsidRPr="00F62A9A">
        <w:t xml:space="preserve">. If that approach </w:t>
      </w:r>
      <w:proofErr w:type="gramStart"/>
      <w:r w:rsidRPr="00F62A9A">
        <w:t>is</w:t>
      </w:r>
      <w:proofErr w:type="gramEnd"/>
      <w:r w:rsidRPr="00F62A9A">
        <w:t xml:space="preserve"> taken the explicit determination in MAR that future events only constitute inside information where they have a “realistic prospect” to occur would be ignored. As a result, issuers </w:t>
      </w:r>
      <w:proofErr w:type="gramStart"/>
      <w:r w:rsidRPr="00F62A9A">
        <w:t>are urged</w:t>
      </w:r>
      <w:proofErr w:type="gramEnd"/>
      <w:r w:rsidRPr="00F62A9A">
        <w:t xml:space="preserve"> to either disclo</w:t>
      </w:r>
      <w:r w:rsidRPr="00F62A9A">
        <w:lastRenderedPageBreak/>
        <w:t xml:space="preserve">sure the protracted process that is still in early stages. This increases the risk of that process (e.g. negotiations of a strategic transactions or a financial restructuring) being jeopardized or at least negatively affected. Alternatively, issuers would have to delay disclosure – at the expense of implementing cumbersome documentation and monitoring requirements and, even worse, running the risk of </w:t>
      </w:r>
      <w:proofErr w:type="gramStart"/>
      <w:r w:rsidRPr="00F62A9A">
        <w:t>being urged</w:t>
      </w:r>
      <w:proofErr w:type="gramEnd"/>
      <w:r w:rsidRPr="00F62A9A">
        <w:t xml:space="preserve"> to premature disclosure if “rumours” occur, even if those rumours may just be speculation without any factual background. </w:t>
      </w:r>
    </w:p>
    <w:p w:rsidR="00B534D8" w:rsidRDefault="00B534D8" w:rsidP="00F45D6A"/>
    <w:p w:rsidR="00646C30" w:rsidRDefault="00B534D8" w:rsidP="00646C30">
      <w:r w:rsidRPr="00F62A9A">
        <w:t xml:space="preserve">From our </w:t>
      </w:r>
      <w:proofErr w:type="gramStart"/>
      <w:r w:rsidRPr="00F62A9A">
        <w:t>perspective</w:t>
      </w:r>
      <w:proofErr w:type="gramEnd"/>
      <w:r w:rsidRPr="00F62A9A">
        <w:t xml:space="preserve"> this kind of interpretation need</w:t>
      </w:r>
      <w:r w:rsidR="00FF1C8A">
        <w:t>s</w:t>
      </w:r>
      <w:r w:rsidRPr="00F62A9A">
        <w:t xml:space="preserve"> to be avoided by clarifying MAR. In the position paper </w:t>
      </w:r>
      <w:proofErr w:type="gramStart"/>
      <w:r w:rsidRPr="00F62A9A">
        <w:t>attached</w:t>
      </w:r>
      <w:proofErr w:type="gramEnd"/>
      <w:r w:rsidRPr="00F62A9A">
        <w:t xml:space="preserve"> we have thus made concrete proposals how the definition of inside information regarding protracted processes could be amended and clarified. Please refer to the paper attached.</w:t>
      </w:r>
      <w:permEnd w:id="76955431"/>
    </w:p>
    <w:p w:rsidR="00646C30" w:rsidRDefault="00646C30" w:rsidP="00646C30">
      <w:r>
        <w:t>&lt;ESMA_QUESTION_CP_MAR_</w:t>
      </w:r>
      <w:r w:rsidR="00101BF1">
        <w:t>28</w:t>
      </w:r>
      <w:r>
        <w:t>&gt;</w:t>
      </w:r>
    </w:p>
    <w:p w:rsidR="00646C30" w:rsidRDefault="00646C30" w:rsidP="002E1760"/>
    <w:p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rsidR="00646C30" w:rsidRDefault="00646C30" w:rsidP="00646C30">
      <w:r>
        <w:t>&lt;ESMA_QUESTION_CP_MAR_</w:t>
      </w:r>
      <w:r w:rsidR="00101BF1">
        <w:t>29</w:t>
      </w:r>
      <w:r>
        <w:t>&gt;</w:t>
      </w:r>
    </w:p>
    <w:p w:rsidR="00B534D8" w:rsidRPr="008D6B0A" w:rsidRDefault="00B534D8" w:rsidP="00F45D6A">
      <w:permStart w:id="1701386610" w:edGrp="everyone"/>
      <w:r w:rsidRPr="008D6B0A">
        <w:t xml:space="preserve">In the light of preventing market abuse, there is no need to inform NCAs about information which has lost its inside nature. This would impose more reporting duties on issuers without </w:t>
      </w:r>
      <w:proofErr w:type="gramStart"/>
      <w:r w:rsidRPr="008D6B0A">
        <w:t>added value</w:t>
      </w:r>
      <w:proofErr w:type="gramEnd"/>
      <w:r w:rsidRPr="008D6B0A">
        <w:t xml:space="preserve"> and also the NCAs would receive too much information. </w:t>
      </w:r>
    </w:p>
    <w:p w:rsidR="00B534D8" w:rsidRDefault="00B534D8" w:rsidP="00F45D6A"/>
    <w:p w:rsidR="00646C30" w:rsidRDefault="00B534D8" w:rsidP="00646C30">
      <w:r w:rsidRPr="008D6B0A">
        <w:t>The non-disclosed information has never reached the public. The underlying event does not take place and will not have an effect on the share price so there is no potential risk of market abuse.</w:t>
      </w:r>
      <w:permEnd w:id="1701386610"/>
    </w:p>
    <w:p w:rsidR="00646C30" w:rsidRDefault="00646C30" w:rsidP="00646C30">
      <w:r>
        <w:t>&lt;ESMA_QUESTION_CP_MAR_</w:t>
      </w:r>
      <w:r w:rsidR="00101BF1">
        <w:t>29</w:t>
      </w:r>
      <w:r>
        <w:t>&gt;</w:t>
      </w:r>
    </w:p>
    <w:p w:rsidR="00646C30" w:rsidRDefault="00646C30" w:rsidP="002E1760"/>
    <w:p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rsidR="00646C30" w:rsidRDefault="00646C30" w:rsidP="00646C30">
      <w:r>
        <w:t>&lt;ESMA_QUESTION_CP_MAR_</w:t>
      </w:r>
      <w:r w:rsidR="00101BF1">
        <w:t>30</w:t>
      </w:r>
      <w:r>
        <w:t>&gt;</w:t>
      </w:r>
    </w:p>
    <w:p w:rsidR="00646C30" w:rsidRDefault="00646C30" w:rsidP="00646C30">
      <w:permStart w:id="2140884026" w:edGrp="everyone"/>
      <w:r>
        <w:t>TYPE YOUR TEXT HERE</w:t>
      </w:r>
      <w:permEnd w:id="2140884026"/>
    </w:p>
    <w:p w:rsidR="00646C30" w:rsidRDefault="00646C30" w:rsidP="00646C30">
      <w:r>
        <w:t>&lt;ESMA_QUESTION_CP_MAR_</w:t>
      </w:r>
      <w:r w:rsidR="00101BF1">
        <w:t>30</w:t>
      </w:r>
      <w:r>
        <w:t>&gt;</w:t>
      </w:r>
    </w:p>
    <w:p w:rsidR="00646C30" w:rsidRDefault="00646C30" w:rsidP="002E1760"/>
    <w:p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rsidR="00646C30" w:rsidRDefault="00646C30" w:rsidP="00646C30">
      <w:r>
        <w:t>&lt;ESMA_QUESTION_CP_MAR_</w:t>
      </w:r>
      <w:r w:rsidR="00101BF1">
        <w:t>31</w:t>
      </w:r>
      <w:r>
        <w:t>&gt;</w:t>
      </w:r>
    </w:p>
    <w:p w:rsidR="00646C30" w:rsidRDefault="00646C30" w:rsidP="00646C30">
      <w:permStart w:id="557789637" w:edGrp="everyone"/>
      <w:r>
        <w:t>TYPE YOUR TEXT HERE</w:t>
      </w:r>
      <w:permEnd w:id="557789637"/>
    </w:p>
    <w:p w:rsidR="00646C30" w:rsidRDefault="00646C30" w:rsidP="00646C30">
      <w:r>
        <w:t>&lt;ESMA_QUESTION_CP_MAR_</w:t>
      </w:r>
      <w:r w:rsidR="00101BF1">
        <w:t>31</w:t>
      </w:r>
      <w:r>
        <w:t>&gt;</w:t>
      </w:r>
    </w:p>
    <w:p w:rsidR="00646C30" w:rsidRDefault="00646C30" w:rsidP="002E1760"/>
    <w:p w:rsidR="00646C30" w:rsidRDefault="00D60960" w:rsidP="00646C30">
      <w:pPr>
        <w:pStyle w:val="CPQuestions"/>
      </w:pPr>
      <w:r w:rsidRPr="00D60960">
        <w:t xml:space="preserve">Please indicate whether you have found difficulties in the assessment of the obligation to disclose a piece of inside information under Article </w:t>
      </w:r>
      <w:r w:rsidRPr="00D60960">
        <w:lastRenderedPageBreak/>
        <w:t>17 MAR when analysed together with other obligations arising from CRD, CRR or BRRD. Please provide specific examples.</w:t>
      </w:r>
    </w:p>
    <w:p w:rsidR="00646C30" w:rsidRDefault="00646C30" w:rsidP="00646C30">
      <w:r>
        <w:t>&lt;ESMA_QUESTION_CP_MAR_</w:t>
      </w:r>
      <w:r w:rsidR="00101BF1">
        <w:t>3</w:t>
      </w:r>
      <w:r>
        <w:t>2&gt;</w:t>
      </w:r>
    </w:p>
    <w:p w:rsidR="00646C30" w:rsidRDefault="00646C30" w:rsidP="00646C30">
      <w:permStart w:id="1149644250" w:edGrp="everyone"/>
      <w:r>
        <w:t>TYPE YOUR TEXT HERE</w:t>
      </w:r>
      <w:permEnd w:id="1149644250"/>
    </w:p>
    <w:p w:rsidR="00646C30" w:rsidRDefault="00646C30" w:rsidP="00646C30">
      <w:r>
        <w:t>&lt;ESMA_QUESTION_CP_MAR_</w:t>
      </w:r>
      <w:r w:rsidR="00101BF1">
        <w:t>3</w:t>
      </w:r>
      <w:r>
        <w:t>2&gt;</w:t>
      </w:r>
    </w:p>
    <w:p w:rsidR="00646C30" w:rsidRDefault="00646C30" w:rsidP="002E1760"/>
    <w:p w:rsidR="00646C30" w:rsidRDefault="00D60960" w:rsidP="00646C30">
      <w:pPr>
        <w:pStyle w:val="CPQuestions"/>
      </w:pPr>
      <w:r w:rsidRPr="00D60960">
        <w:t>Do you agree with the proposed amendments to Article 11 of MAR</w:t>
      </w:r>
      <w:r>
        <w:t>?</w:t>
      </w:r>
    </w:p>
    <w:p w:rsidR="00646C30" w:rsidRDefault="00646C30" w:rsidP="00646C30">
      <w:r>
        <w:t>&lt;ESMA_QUESTION_CP_MAR_</w:t>
      </w:r>
      <w:r w:rsidR="00101BF1">
        <w:t>33</w:t>
      </w:r>
      <w:r>
        <w:t>&gt;</w:t>
      </w:r>
    </w:p>
    <w:p w:rsidR="00B534D8" w:rsidRPr="008D6B0A" w:rsidRDefault="00B534D8" w:rsidP="00B534D8">
      <w:permStart w:id="234494367" w:edGrp="everyone"/>
      <w:r w:rsidRPr="008D6B0A">
        <w:t xml:space="preserve">We have general remarks on Art. 11: </w:t>
      </w:r>
    </w:p>
    <w:p w:rsidR="00B534D8" w:rsidRDefault="00B534D8" w:rsidP="00B534D8"/>
    <w:p w:rsidR="00B534D8" w:rsidRPr="008D6B0A" w:rsidRDefault="00B534D8" w:rsidP="00B534D8">
      <w:r w:rsidRPr="008D6B0A">
        <w:t xml:space="preserve">The market sounding procedures set out in Art. </w:t>
      </w:r>
      <w:proofErr w:type="gramStart"/>
      <w:r w:rsidRPr="008D6B0A">
        <w:t>11</w:t>
      </w:r>
      <w:proofErr w:type="gramEnd"/>
      <w:r w:rsidRPr="008D6B0A">
        <w:t xml:space="preserve"> as well as the RTS and ITS adopted thereunder should (continue to) be a safe harbour provision and not a strict obligation. The legal nature as a safe harbour (conceptually comparable to Art. 5 MAR relating to buyback programs and stabilisation) clearly follows from recital 35 and Article 11 (4) as well as the general notion that market sounding is a “highly valuable tool” and “important for the proper functioning of financial markets” (Recital 32 MAR). </w:t>
      </w:r>
      <w:r w:rsidR="00D4228D" w:rsidRPr="008D6B0A">
        <w:t>Therefore,</w:t>
      </w:r>
      <w:r w:rsidRPr="008D6B0A">
        <w:t xml:space="preserve"> it has been the intention of the legislator to facilitate market sounding and not to complicate it.</w:t>
      </w:r>
    </w:p>
    <w:p w:rsidR="00B534D8" w:rsidRDefault="00B534D8" w:rsidP="00B534D8"/>
    <w:p w:rsidR="00B534D8" w:rsidRPr="008D6B0A" w:rsidRDefault="00B534D8" w:rsidP="00B534D8">
      <w:r w:rsidRPr="008D6B0A">
        <w:t xml:space="preserve">The formalities of market sounding </w:t>
      </w:r>
      <w:proofErr w:type="gramStart"/>
      <w:r w:rsidRPr="008D6B0A">
        <w:t>should be streamlined</w:t>
      </w:r>
      <w:proofErr w:type="gramEnd"/>
      <w:r w:rsidRPr="008D6B0A">
        <w:t>, specifically</w:t>
      </w:r>
      <w:r w:rsidR="00656649">
        <w:t>:</w:t>
      </w:r>
    </w:p>
    <w:p w:rsidR="00B534D8" w:rsidRPr="008D6B0A" w:rsidRDefault="00B534D8" w:rsidP="00B534D8">
      <w:pPr>
        <w:pStyle w:val="Listenabsatz"/>
        <w:numPr>
          <w:ilvl w:val="0"/>
          <w:numId w:val="42"/>
        </w:numPr>
        <w:spacing w:line="276" w:lineRule="auto"/>
      </w:pPr>
      <w:r w:rsidRPr="008D6B0A">
        <w:t xml:space="preserve">Doing market sounding on a recorded line should continue </w:t>
      </w:r>
      <w:proofErr w:type="gramStart"/>
      <w:r w:rsidRPr="008D6B0A">
        <w:t>to not be</w:t>
      </w:r>
      <w:proofErr w:type="gramEnd"/>
      <w:r w:rsidRPr="008D6B0A">
        <w:t xml:space="preserve"> a strict requirement</w:t>
      </w:r>
      <w:r w:rsidR="00656649">
        <w:t>.</w:t>
      </w:r>
    </w:p>
    <w:p w:rsidR="00B534D8" w:rsidRPr="008D6B0A" w:rsidRDefault="00B534D8" w:rsidP="00B534D8">
      <w:pPr>
        <w:pStyle w:val="Listenabsatz"/>
        <w:numPr>
          <w:ilvl w:val="0"/>
          <w:numId w:val="42"/>
        </w:numPr>
        <w:spacing w:line="276" w:lineRule="auto"/>
      </w:pPr>
      <w:r w:rsidRPr="008D6B0A">
        <w:t>The requirement to agree on minutes of a market sounding should be abolished; it appears sufficient to minute that the market sounding recipient has been advised that inside information may be disclosed and what legal and regulatory duties and sanctions apply in that regard.</w:t>
      </w:r>
    </w:p>
    <w:p w:rsidR="00B534D8" w:rsidRDefault="00B534D8" w:rsidP="00B534D8">
      <w:pPr>
        <w:pStyle w:val="Listenabsatz"/>
        <w:numPr>
          <w:ilvl w:val="0"/>
          <w:numId w:val="42"/>
        </w:numPr>
        <w:spacing w:line="276" w:lineRule="auto"/>
      </w:pPr>
      <w:r w:rsidRPr="008D6B0A">
        <w:t xml:space="preserve">Cleansing “by lapse of time” </w:t>
      </w:r>
      <w:proofErr w:type="gramStart"/>
      <w:r w:rsidRPr="008D6B0A">
        <w:t>should be allowed</w:t>
      </w:r>
      <w:proofErr w:type="gramEnd"/>
      <w:r w:rsidR="00656649">
        <w:t>.</w:t>
      </w:r>
    </w:p>
    <w:permEnd w:id="234494367"/>
    <w:p w:rsidR="00646C30" w:rsidRDefault="00646C30" w:rsidP="00646C30"/>
    <w:p w:rsidR="00646C30" w:rsidRDefault="00646C30" w:rsidP="00646C30">
      <w:r>
        <w:t>&lt;ESMA_QUESTION_CP_MAR_</w:t>
      </w:r>
      <w:r w:rsidR="00101BF1">
        <w:t>33</w:t>
      </w:r>
      <w:r>
        <w:t>&gt;</w:t>
      </w:r>
    </w:p>
    <w:p w:rsidR="00646C30" w:rsidRDefault="00646C30" w:rsidP="002E1760"/>
    <w:p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rsidR="00646C30" w:rsidRDefault="00646C30" w:rsidP="00646C30">
      <w:r>
        <w:t>&lt;ESMA_QUESTION_CP_MAR_</w:t>
      </w:r>
      <w:r w:rsidR="00101BF1">
        <w:t>34</w:t>
      </w:r>
      <w:r>
        <w:t>&gt;</w:t>
      </w:r>
    </w:p>
    <w:p w:rsidR="00646C30" w:rsidRDefault="00646C30" w:rsidP="00646C30">
      <w:permStart w:id="258953858" w:edGrp="everyone"/>
      <w:r>
        <w:t>TYPE YOUR TEXT HERE</w:t>
      </w:r>
      <w:permEnd w:id="258953858"/>
    </w:p>
    <w:p w:rsidR="00646C30" w:rsidRDefault="00646C30" w:rsidP="00646C30">
      <w:r>
        <w:t>&lt;ESMA_QUESTION_CP_MAR_</w:t>
      </w:r>
      <w:r w:rsidR="00101BF1">
        <w:t>34</w:t>
      </w:r>
      <w:r>
        <w:t>&gt;</w:t>
      </w:r>
    </w:p>
    <w:p w:rsidR="00646C30" w:rsidRDefault="00646C30" w:rsidP="002E1760"/>
    <w:p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rsidR="00646C30" w:rsidRDefault="00646C30" w:rsidP="00646C30">
      <w:r>
        <w:t>&lt;ESMA_QUESTION_CP_MAR_</w:t>
      </w:r>
      <w:r w:rsidR="00101BF1">
        <w:t>35</w:t>
      </w:r>
      <w:r>
        <w:t>&gt;</w:t>
      </w:r>
    </w:p>
    <w:p w:rsidR="00646C30" w:rsidRDefault="001A4B82" w:rsidP="00646C30">
      <w:permStart w:id="1826508514" w:edGrp="everyone"/>
      <w:r w:rsidRPr="008D6B0A">
        <w:t>Based on the existing definition the market has a good understanding of the stages of interaction</w:t>
      </w:r>
      <w:r w:rsidR="00D4228D">
        <w:t>,</w:t>
      </w:r>
      <w:r w:rsidRPr="008D6B0A">
        <w:t xml:space="preserve"> which fall within the definition of a market sounding. Therefore, further clarification does not seem to be required. In particular, market sounding should continue to capture </w:t>
      </w:r>
      <w:r w:rsidRPr="008D6B0A">
        <w:lastRenderedPageBreak/>
        <w:t xml:space="preserve">where a seller seeks to gauge interest about the terms of a potential transaction. In particular, communication unrelated to a specific transaction </w:t>
      </w:r>
      <w:proofErr w:type="gramStart"/>
      <w:r w:rsidRPr="008D6B0A">
        <w:t>should not be captured</w:t>
      </w:r>
      <w:proofErr w:type="gramEnd"/>
      <w:r w:rsidRPr="008D6B0A">
        <w:t xml:space="preserve">. This </w:t>
      </w:r>
      <w:proofErr w:type="gramStart"/>
      <w:r w:rsidRPr="008D6B0A">
        <w:t>has also – rightly – been indicated</w:t>
      </w:r>
      <w:proofErr w:type="gramEnd"/>
      <w:r w:rsidRPr="008D6B0A">
        <w:t xml:space="preserve"> in Recital 19 of MAR stating that MAR is not intended to prohibit discussions of a general nature regarding the business and market developments between shareholders and management concerning an issuer. The same should apply to communication of a similar nature with investors generally. </w:t>
      </w:r>
      <w:proofErr w:type="gramStart"/>
      <w:r w:rsidRPr="008D6B0A">
        <w:t>Also</w:t>
      </w:r>
      <w:proofErr w:type="gramEnd"/>
      <w:r w:rsidRPr="008D6B0A">
        <w:t xml:space="preserve"> communication of information after the announcement of a transaction may, if it includes the disclosure of inside information, be sufficiently covered by the general regime under Article 10 MAR</w:t>
      </w:r>
      <w:r>
        <w:t>.</w:t>
      </w:r>
      <w:permEnd w:id="1826508514"/>
    </w:p>
    <w:p w:rsidR="00646C30" w:rsidRDefault="00646C30" w:rsidP="00646C30">
      <w:r>
        <w:t>&lt;ESMA_QUESTION_CP_MAR_</w:t>
      </w:r>
      <w:r w:rsidR="00101BF1">
        <w:t>35</w:t>
      </w:r>
      <w:r>
        <w:t>&gt;</w:t>
      </w:r>
    </w:p>
    <w:p w:rsidR="00646C30" w:rsidRDefault="00646C30" w:rsidP="002E1760"/>
    <w:p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rsidR="00646C30" w:rsidRDefault="00646C30" w:rsidP="00646C30">
      <w:r>
        <w:t>&lt;ESMA_QUESTION_CP_MAR_</w:t>
      </w:r>
      <w:r w:rsidR="00B6351C">
        <w:t>36</w:t>
      </w:r>
      <w:r>
        <w:t>&gt;</w:t>
      </w:r>
    </w:p>
    <w:p w:rsidR="00646C30" w:rsidRDefault="00646C30" w:rsidP="00646C30">
      <w:permStart w:id="837376543" w:edGrp="everyone"/>
      <w:r>
        <w:t>TYPE YOUR TEXT HERE</w:t>
      </w:r>
      <w:permEnd w:id="837376543"/>
    </w:p>
    <w:p w:rsidR="00646C30" w:rsidRDefault="00646C30" w:rsidP="00646C30">
      <w:r>
        <w:t>&lt;ESMA_QUESTION_CP_MAR_</w:t>
      </w:r>
      <w:r w:rsidR="00B6351C">
        <w:t>36</w:t>
      </w:r>
      <w:r>
        <w:t>&gt;</w:t>
      </w:r>
    </w:p>
    <w:p w:rsidR="00646C30" w:rsidRDefault="00646C30" w:rsidP="002E1760"/>
    <w:p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rsidR="00646C30" w:rsidRDefault="00646C30" w:rsidP="00646C30">
      <w:r>
        <w:t>&lt;ESMA_QUESTION_CP_MAR_</w:t>
      </w:r>
      <w:r w:rsidR="00B6351C">
        <w:t>37</w:t>
      </w:r>
      <w:r>
        <w:t>&gt;</w:t>
      </w:r>
    </w:p>
    <w:p w:rsidR="00646C30" w:rsidRDefault="001A4B82" w:rsidP="00646C30">
      <w:permStart w:id="578512076" w:edGrp="everyone"/>
      <w:r w:rsidRPr="008D6B0A">
        <w:t xml:space="preserve">A significant part of the institutional investor community perceives the Art. 11 MAR regime as overly cumbersome and rejects to participate in market sounding due to the overly formalistic procedural requirements. </w:t>
      </w:r>
      <w:r w:rsidR="00656649">
        <w:t>F</w:t>
      </w:r>
      <w:r w:rsidRPr="008D6B0A">
        <w:t xml:space="preserve">or that reason, market sounding is becoming increasingly difficult. It appears sufficient to limit these to a general advice that the information to </w:t>
      </w:r>
      <w:proofErr w:type="gramStart"/>
      <w:r w:rsidRPr="008D6B0A">
        <w:t>be disclosed</w:t>
      </w:r>
      <w:proofErr w:type="gramEnd"/>
      <w:r w:rsidRPr="008D6B0A">
        <w:t xml:space="preserve"> may constitute inside information and the legal obligations and sanctions resulting therefrom as under Article 18(2) MAR (see above).</w:t>
      </w:r>
      <w:permEnd w:id="578512076"/>
    </w:p>
    <w:p w:rsidR="00646C30" w:rsidRDefault="00646C30" w:rsidP="00646C30">
      <w:r>
        <w:t>&lt;ESMA_QUESTION_CP_MAR_</w:t>
      </w:r>
      <w:r w:rsidR="00B6351C">
        <w:t>37</w:t>
      </w:r>
      <w:r>
        <w:t>&gt;</w:t>
      </w:r>
    </w:p>
    <w:p w:rsidR="00646C30" w:rsidRDefault="00646C30" w:rsidP="002E1760"/>
    <w:p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rsidR="00646C30" w:rsidRDefault="00646C30" w:rsidP="00646C30">
      <w:r>
        <w:t>&lt;ESMA_QUESTION_CP_MAR_</w:t>
      </w:r>
      <w:r w:rsidR="00B6351C">
        <w:t>38</w:t>
      </w:r>
      <w:r>
        <w:t>&gt;</w:t>
      </w:r>
    </w:p>
    <w:p w:rsidR="00646C30" w:rsidRDefault="001A4B82" w:rsidP="00646C30">
      <w:permStart w:id="1685878273" w:edGrp="everyone"/>
      <w:r>
        <w:t>See above.</w:t>
      </w:r>
      <w:permEnd w:id="1685878273"/>
    </w:p>
    <w:p w:rsidR="00646C30" w:rsidRDefault="00646C30" w:rsidP="00646C30">
      <w:r>
        <w:t>&lt;ESMA_QUESTION_CP_MAR_</w:t>
      </w:r>
      <w:r w:rsidR="00B6351C">
        <w:t>38</w:t>
      </w:r>
      <w:r>
        <w:t>&gt;</w:t>
      </w:r>
    </w:p>
    <w:p w:rsidR="00646C30" w:rsidRDefault="00646C30" w:rsidP="002E1760"/>
    <w:p w:rsidR="00646C30" w:rsidRDefault="001B2FC9" w:rsidP="00646C30">
      <w:pPr>
        <w:pStyle w:val="CPQuestions"/>
      </w:pPr>
      <w:r w:rsidRPr="001B2FC9">
        <w:t>Do you agree with ESMA’s preliminary view on the usefulness of insider list? If not, please elaborate</w:t>
      </w:r>
      <w:r w:rsidR="00646C30">
        <w:t>.</w:t>
      </w:r>
    </w:p>
    <w:p w:rsidR="00646C30" w:rsidRDefault="00646C30" w:rsidP="00646C30">
      <w:r>
        <w:t>&lt;ESMA_QUESTION_CP_MAR_</w:t>
      </w:r>
      <w:r w:rsidR="00B6351C">
        <w:t>39</w:t>
      </w:r>
      <w:r>
        <w:t>&gt;</w:t>
      </w:r>
    </w:p>
    <w:p w:rsidR="001A4B82" w:rsidRPr="008D6B0A" w:rsidRDefault="001A4B82" w:rsidP="00F45D6A">
      <w:permStart w:id="1203386830" w:edGrp="everyone"/>
      <w:r w:rsidRPr="008D6B0A">
        <w:t xml:space="preserve">We do not see the right balance between the effort to manage insider lists by the issuers and their usefulness for NCAs. Especially to gather the amount of the specific data to be included into insider lists according to Commission Implementing Regulation (EU) 2016/347 </w:t>
      </w:r>
      <w:r w:rsidRPr="008D6B0A">
        <w:lastRenderedPageBreak/>
        <w:t xml:space="preserve">is not only very burdensome for issuers. It </w:t>
      </w:r>
      <w:r>
        <w:t>al</w:t>
      </w:r>
      <w:r w:rsidRPr="008D6B0A">
        <w:t xml:space="preserve">so appears disproportionate and an unjustified intrusion into the privacy of the individuals entered into the insider list to require by default the entry of personal data home addresses, private phone numbers and private email addresses. This information is simply not necessary to identify the relevant individuals. In the case of an actual </w:t>
      </w:r>
      <w:r w:rsidR="00D4228D" w:rsidRPr="008D6B0A">
        <w:t>suspicion,</w:t>
      </w:r>
      <w:r w:rsidRPr="008D6B0A">
        <w:t xml:space="preserve"> NCAs may easily ask the person obliged to draw up an insider list for more specific data. </w:t>
      </w:r>
    </w:p>
    <w:p w:rsidR="001A4B82" w:rsidRDefault="001A4B82" w:rsidP="00F45D6A"/>
    <w:p w:rsidR="00646C30" w:rsidRDefault="00D4228D" w:rsidP="00646C30">
      <w:r w:rsidRPr="008D6B0A">
        <w:t>Therefore,</w:t>
      </w:r>
      <w:r w:rsidR="001A4B82" w:rsidRPr="008D6B0A">
        <w:t xml:space="preserve"> we ask for a reduction of this data request. Insider lists are still useful, even if they do not include home addresses, private phone numbers, private email addresses, and possibly even business phone numbers.</w:t>
      </w:r>
      <w:permEnd w:id="1203386830"/>
    </w:p>
    <w:p w:rsidR="00646C30" w:rsidRDefault="00646C30" w:rsidP="00646C30">
      <w:r>
        <w:t>&lt;ESMA_QUESTION_CP_MAR_</w:t>
      </w:r>
      <w:r w:rsidR="00B6351C">
        <w:t>39</w:t>
      </w:r>
      <w:r>
        <w:t>&gt;</w:t>
      </w:r>
    </w:p>
    <w:p w:rsidR="00646C30" w:rsidRDefault="00646C30" w:rsidP="002E1760"/>
    <w:p w:rsidR="00646C30" w:rsidRDefault="00263505" w:rsidP="00646C30">
      <w:pPr>
        <w:pStyle w:val="CPQuestions"/>
      </w:pPr>
      <w:r w:rsidRPr="00263505">
        <w:t>Do you consider that the insider list regime should be amended to make it more effective?  Please elaborate</w:t>
      </w:r>
      <w:r w:rsidR="00646C30">
        <w:t>.</w:t>
      </w:r>
    </w:p>
    <w:p w:rsidR="00646C30" w:rsidRDefault="00646C30" w:rsidP="00646C30">
      <w:r>
        <w:t>&lt;ESMA_QUESTION_CP_MAR_</w:t>
      </w:r>
      <w:r w:rsidR="00B6351C">
        <w:t>40</w:t>
      </w:r>
      <w:r>
        <w:t>&gt;</w:t>
      </w:r>
    </w:p>
    <w:p w:rsidR="00337289" w:rsidRPr="008D6B0A" w:rsidRDefault="00337289" w:rsidP="00F45D6A">
      <w:permStart w:id="791569345" w:edGrp="everyone"/>
      <w:r w:rsidRPr="008D6B0A">
        <w:t xml:space="preserve">It should be amended in the </w:t>
      </w:r>
      <w:proofErr w:type="gramStart"/>
      <w:r w:rsidRPr="008D6B0A">
        <w:t>above mentioned</w:t>
      </w:r>
      <w:proofErr w:type="gramEnd"/>
      <w:r w:rsidRPr="008D6B0A">
        <w:t xml:space="preserve"> way (see Q 39) that volume of </w:t>
      </w:r>
      <w:r w:rsidRPr="008D6B0A">
        <w:rPr>
          <w:b/>
        </w:rPr>
        <w:t>data requested should be reduced</w:t>
      </w:r>
      <w:r w:rsidRPr="008D6B0A">
        <w:t>.</w:t>
      </w:r>
    </w:p>
    <w:p w:rsidR="00337289" w:rsidRDefault="00337289" w:rsidP="00F45D6A"/>
    <w:p w:rsidR="00337289" w:rsidRPr="008D6B0A" w:rsidRDefault="00337289" w:rsidP="00F45D6A">
      <w:r w:rsidRPr="008D6B0A">
        <w:t xml:space="preserve">Furthermore, setting up </w:t>
      </w:r>
      <w:r w:rsidRPr="008D6B0A">
        <w:rPr>
          <w:b/>
        </w:rPr>
        <w:t>preliminary lists</w:t>
      </w:r>
      <w:r w:rsidRPr="008D6B0A">
        <w:t xml:space="preserve"> (so called shadow lists) seems to be common and useful compliance practice. Therefore, it would be helpful for issuers if the existence of these preliminary lists </w:t>
      </w:r>
      <w:proofErr w:type="gramStart"/>
      <w:r w:rsidRPr="008D6B0A">
        <w:t>were endorsed</w:t>
      </w:r>
      <w:proofErr w:type="gramEnd"/>
      <w:r w:rsidRPr="008D6B0A">
        <w:t xml:space="preserve"> by ESMA. By acknowledging the instrument of such a preliminary </w:t>
      </w:r>
      <w:r w:rsidR="00D4228D" w:rsidRPr="008D6B0A">
        <w:t>list,</w:t>
      </w:r>
      <w:r w:rsidRPr="008D6B0A">
        <w:t xml:space="preserve"> ESMA would support issuers. Issuers then would have the possibility to refer to ESMA when they gather data of their employees for the preliminary list.</w:t>
      </w:r>
    </w:p>
    <w:p w:rsidR="00337289" w:rsidRDefault="00337289" w:rsidP="00F45D6A"/>
    <w:p w:rsidR="00656649" w:rsidRDefault="00656649" w:rsidP="00F45D6A"/>
    <w:p w:rsidR="00337289" w:rsidRPr="008D6B0A" w:rsidRDefault="00337289" w:rsidP="00F45D6A">
      <w:pPr>
        <w:rPr>
          <w:b/>
        </w:rPr>
      </w:pPr>
      <w:r w:rsidRPr="008D6B0A">
        <w:rPr>
          <w:b/>
        </w:rPr>
        <w:t>Specific issue regarding insider lists with respect to Emission allowances market participants</w:t>
      </w:r>
    </w:p>
    <w:p w:rsidR="00337289" w:rsidRDefault="00337289" w:rsidP="00F45D6A"/>
    <w:p w:rsidR="00646C30" w:rsidRDefault="00337289" w:rsidP="00646C30">
      <w:r w:rsidRPr="008D6B0A">
        <w:t xml:space="preserve">In addition, currently the </w:t>
      </w:r>
      <w:r w:rsidRPr="008D6B0A">
        <w:rPr>
          <w:b/>
        </w:rPr>
        <w:t xml:space="preserve">MAR EAMP </w:t>
      </w:r>
      <w:r w:rsidRPr="008D6B0A">
        <w:t xml:space="preserve">thresholds defined as per Art. 17(2) para. </w:t>
      </w:r>
      <w:proofErr w:type="gramStart"/>
      <w:r w:rsidRPr="008D6B0A">
        <w:t>2</w:t>
      </w:r>
      <w:proofErr w:type="gramEnd"/>
      <w:r w:rsidRPr="008D6B0A">
        <w:t xml:space="preserve"> are set at a rather low level and the compliance burden with keeping an updated insider list for EAMPs is unduly high. Please also see our response to question 13.</w:t>
      </w:r>
      <w:permEnd w:id="791569345"/>
    </w:p>
    <w:p w:rsidR="00646C30" w:rsidRDefault="00646C30" w:rsidP="00646C30">
      <w:r>
        <w:t>&lt;ESMA_QUESTION_CP_MAR_</w:t>
      </w:r>
      <w:r w:rsidR="00B6351C">
        <w:t>40</w:t>
      </w:r>
      <w:r>
        <w:t>&gt;</w:t>
      </w:r>
    </w:p>
    <w:p w:rsidR="00646C30" w:rsidRDefault="00646C30" w:rsidP="002E1760"/>
    <w:p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rsidR="00646C30" w:rsidRDefault="00646C30" w:rsidP="00646C30">
      <w:r>
        <w:t>&lt;ESMA_QUESTION_CP_MAR_</w:t>
      </w:r>
      <w:r w:rsidR="00B6351C">
        <w:t>41</w:t>
      </w:r>
      <w:r>
        <w:t>&gt;</w:t>
      </w:r>
    </w:p>
    <w:p w:rsidR="00646C30" w:rsidRDefault="00646C30" w:rsidP="00646C30">
      <w:permStart w:id="1559507606" w:edGrp="everyone"/>
      <w:r>
        <w:t>TYPE YOUR TEXT HERE</w:t>
      </w:r>
      <w:permEnd w:id="1559507606"/>
    </w:p>
    <w:p w:rsidR="00646C30" w:rsidRDefault="00646C30" w:rsidP="00646C30">
      <w:r>
        <w:t>&lt;ESMA_QUESTION_CP_MAR_</w:t>
      </w:r>
      <w:r w:rsidR="00B6351C">
        <w:t>41</w:t>
      </w:r>
      <w:r>
        <w:t>&gt;</w:t>
      </w:r>
    </w:p>
    <w:p w:rsidR="00646C30" w:rsidRDefault="00646C30" w:rsidP="002E1760"/>
    <w:p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rsidR="00646C30" w:rsidRDefault="00646C30" w:rsidP="00646C30">
      <w:r>
        <w:t>&lt;ESMA_QUESTION_CP_MAR_</w:t>
      </w:r>
      <w:r w:rsidR="00B6351C">
        <w:t>4</w:t>
      </w:r>
      <w:r>
        <w:t>2&gt;</w:t>
      </w:r>
    </w:p>
    <w:p w:rsidR="00646C30" w:rsidRDefault="00337289" w:rsidP="00646C30">
      <w:permStart w:id="1073103387" w:edGrp="everyone"/>
      <w:r w:rsidRPr="008D6B0A">
        <w:lastRenderedPageBreak/>
        <w:t xml:space="preserve">We </w:t>
      </w:r>
      <w:proofErr w:type="gramStart"/>
      <w:r w:rsidRPr="008D6B0A">
        <w:t>don’t</w:t>
      </w:r>
      <w:proofErr w:type="gramEnd"/>
      <w:r w:rsidRPr="008D6B0A">
        <w:t xml:space="preserve"> see a need to expand the scope of Art. 18(1). </w:t>
      </w:r>
      <w:proofErr w:type="gramStart"/>
      <w:r w:rsidRPr="008D6B0A">
        <w:t>ESMA points out auditors and notaries in the CP. Auditors and notaries are usually mandated by an issuer</w:t>
      </w:r>
      <w:proofErr w:type="gramEnd"/>
      <w:r w:rsidRPr="008D6B0A">
        <w:t xml:space="preserve"> where they have access to inside information. Therefore, they should be in scope of Art. </w:t>
      </w:r>
      <w:proofErr w:type="gramStart"/>
      <w:r w:rsidRPr="008D6B0A">
        <w:t>18</w:t>
      </w:r>
      <w:proofErr w:type="gramEnd"/>
      <w:r w:rsidRPr="008D6B0A">
        <w:t xml:space="preserve"> MAR already.</w:t>
      </w:r>
      <w:permEnd w:id="1073103387"/>
    </w:p>
    <w:p w:rsidR="00646C30" w:rsidRDefault="00646C30" w:rsidP="00646C30">
      <w:r>
        <w:t>&lt;ESMA_QUESTION_CP_MAR_</w:t>
      </w:r>
      <w:r w:rsidR="00B6351C">
        <w:t>4</w:t>
      </w:r>
      <w:r>
        <w:t>2&gt;</w:t>
      </w:r>
    </w:p>
    <w:p w:rsidR="00646C30" w:rsidRDefault="00646C30" w:rsidP="002E1760"/>
    <w:p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rsidR="00646C30" w:rsidRDefault="00646C30" w:rsidP="00646C30">
      <w:r>
        <w:t>&lt;ESMA_QUESTION_CP_MAR_</w:t>
      </w:r>
      <w:r w:rsidR="00B6351C">
        <w:t>43</w:t>
      </w:r>
      <w:r>
        <w:t>&gt;</w:t>
      </w:r>
    </w:p>
    <w:p w:rsidR="00337289" w:rsidRPr="008D6B0A" w:rsidRDefault="00337289" w:rsidP="00F45D6A">
      <w:permStart w:id="449868461" w:edGrp="everyone"/>
      <w:proofErr w:type="gramStart"/>
      <w:r w:rsidRPr="008D6B0A">
        <w:t>As ESMA rightly points out there is hardly anyone who has access “at all times to all inside information within the issuer” and therefore would qualify as a permanent insider.</w:t>
      </w:r>
      <w:proofErr w:type="gramEnd"/>
      <w:r w:rsidRPr="008D6B0A">
        <w:t xml:space="preserve"> </w:t>
      </w:r>
      <w:proofErr w:type="gramStart"/>
      <w:r w:rsidRPr="008D6B0A">
        <w:t>Accordingly</w:t>
      </w:r>
      <w:proofErr w:type="gramEnd"/>
      <w:r w:rsidRPr="008D6B0A">
        <w:t xml:space="preserve"> the permanent section as currently defined appears som</w:t>
      </w:r>
      <w:r>
        <w:t>e</w:t>
      </w:r>
      <w:r w:rsidRPr="008D6B0A">
        <w:t>what redundant</w:t>
      </w:r>
      <w:r w:rsidR="00656649">
        <w:t xml:space="preserve">. </w:t>
      </w:r>
      <w:r w:rsidRPr="008D6B0A">
        <w:t xml:space="preserve">However, even if the definition is narrow it </w:t>
      </w:r>
      <w:proofErr w:type="gramStart"/>
      <w:r w:rsidRPr="008D6B0A">
        <w:t>can be used</w:t>
      </w:r>
      <w:proofErr w:type="gramEnd"/>
      <w:r w:rsidRPr="008D6B0A">
        <w:t xml:space="preserve"> for some persons. We would therefore not advocate </w:t>
      </w:r>
      <w:proofErr w:type="gramStart"/>
      <w:r w:rsidRPr="008D6B0A">
        <w:t>to drop</w:t>
      </w:r>
      <w:proofErr w:type="gramEnd"/>
      <w:r w:rsidRPr="008D6B0A">
        <w:t xml:space="preserve"> the permanent section. Furthermore, it is worth to note that issuers have learnt to comply with the new environment that only allows for project-related lists which also have a number of positive aspects regarding compliance duties (in particular, it is clear</w:t>
      </w:r>
      <w:r>
        <w:t>l</w:t>
      </w:r>
      <w:r w:rsidRPr="008D6B0A">
        <w:t xml:space="preserve">y documented when a certain person has access to a specific inside information). Project-related lists thus should be kept and we do not advocate </w:t>
      </w:r>
      <w:proofErr w:type="gramStart"/>
      <w:r w:rsidRPr="008D6B0A">
        <w:t>to return</w:t>
      </w:r>
      <w:proofErr w:type="gramEnd"/>
      <w:r w:rsidRPr="008D6B0A">
        <w:t xml:space="preserve"> to the former regime under the MAD.</w:t>
      </w:r>
    </w:p>
    <w:p w:rsidR="00337289" w:rsidRDefault="00337289" w:rsidP="00F45D6A"/>
    <w:p w:rsidR="00646C30" w:rsidRDefault="00337289" w:rsidP="00646C30">
      <w:r w:rsidRPr="008D6B0A">
        <w:t>This is however not to say, that we would oppose allow</w:t>
      </w:r>
      <w:r w:rsidR="00656649">
        <w:t>ing</w:t>
      </w:r>
      <w:r w:rsidRPr="008D6B0A">
        <w:t xml:space="preserve"> a certain flexibility for issuers how to cope with the fact that there might be persons that do not have access to all inside information but due to the nature of their function or position, might have regular access to inside information.</w:t>
      </w:r>
      <w:permEnd w:id="449868461"/>
    </w:p>
    <w:p w:rsidR="00646C30" w:rsidRDefault="00646C30" w:rsidP="00646C30">
      <w:r>
        <w:t>&lt;ESMA_QUESTION_CP_MAR_</w:t>
      </w:r>
      <w:r w:rsidR="00B6351C">
        <w:t>43</w:t>
      </w:r>
      <w:r>
        <w:t>&gt;</w:t>
      </w:r>
    </w:p>
    <w:p w:rsidR="00646C30" w:rsidRDefault="00646C30" w:rsidP="002E1760"/>
    <w:p w:rsidR="00646C30" w:rsidRDefault="00074979" w:rsidP="00646C30">
      <w:pPr>
        <w:pStyle w:val="CPQuestions"/>
      </w:pPr>
      <w:r w:rsidRPr="00074979">
        <w:t>Do you agree with ESMA’s preliminary view</w:t>
      </w:r>
      <w:r>
        <w:t>?</w:t>
      </w:r>
    </w:p>
    <w:p w:rsidR="00646C30" w:rsidRDefault="00646C30" w:rsidP="00646C30">
      <w:r>
        <w:t>&lt;ESMA_QUESTION_CP_MAR_</w:t>
      </w:r>
      <w:r w:rsidR="00B6351C">
        <w:t>44</w:t>
      </w:r>
      <w:r>
        <w:t>&gt;</w:t>
      </w:r>
    </w:p>
    <w:p w:rsidR="00646C30" w:rsidRDefault="00170119" w:rsidP="00646C30">
      <w:permStart w:id="1749509756" w:edGrp="everyone"/>
      <w:r>
        <w:t xml:space="preserve">Yes, we agree with ESMA’s preliminary view. </w:t>
      </w:r>
      <w:proofErr w:type="spellStart"/>
      <w:r>
        <w:rPr>
          <w:lang w:val="en-US"/>
        </w:rPr>
        <w:t>BaFin</w:t>
      </w:r>
      <w:proofErr w:type="spellEnd"/>
      <w:r>
        <w:rPr>
          <w:lang w:val="en-US"/>
        </w:rPr>
        <w:t xml:space="preserve"> has already adopted such a practice that has proven to be very sensible and useful, see </w:t>
      </w:r>
      <w:proofErr w:type="spellStart"/>
      <w:r>
        <w:rPr>
          <w:lang w:val="en-US"/>
        </w:rPr>
        <w:t>BaFin’s</w:t>
      </w:r>
      <w:proofErr w:type="spellEnd"/>
      <w:r>
        <w:rPr>
          <w:lang w:val="en-US"/>
        </w:rPr>
        <w:t xml:space="preserve"> FAQ on Article 18 MAR, response to question II.3.</w:t>
      </w:r>
      <w:permEnd w:id="1749509756"/>
    </w:p>
    <w:p w:rsidR="00646C30" w:rsidRDefault="00646C30" w:rsidP="00646C30">
      <w:r>
        <w:t>&lt;ESMA_QUESTION_CP_MAR_</w:t>
      </w:r>
      <w:r w:rsidR="00B6351C">
        <w:t>44</w:t>
      </w:r>
      <w:r>
        <w:t>&gt;</w:t>
      </w:r>
    </w:p>
    <w:p w:rsidR="00646C30" w:rsidRDefault="00646C30" w:rsidP="002E1760"/>
    <w:p w:rsidR="00646C30" w:rsidRDefault="00074979" w:rsidP="00646C30">
      <w:pPr>
        <w:pStyle w:val="CPQuestions"/>
      </w:pPr>
      <w:r w:rsidRPr="00074979">
        <w:t>Do you have any other suggestion on the insider lists that would support more efficiently their objectives while reducing the administrative work they entail? If yes, please elaborate how those changes could contribute to that purpose</w:t>
      </w:r>
      <w:r w:rsidR="00646C30">
        <w:t>.</w:t>
      </w:r>
    </w:p>
    <w:p w:rsidR="00646C30" w:rsidRDefault="00646C30" w:rsidP="00646C30">
      <w:r>
        <w:t>&lt;ESMA_QUESTION_CP_MAR_</w:t>
      </w:r>
      <w:r w:rsidR="00B6351C">
        <w:t>45</w:t>
      </w:r>
      <w:r>
        <w:t>&gt;</w:t>
      </w:r>
    </w:p>
    <w:p w:rsidR="00646C30" w:rsidRDefault="00646C30" w:rsidP="00646C30">
      <w:permStart w:id="642525063" w:edGrp="everyone"/>
      <w:r>
        <w:t>TYPE YOUR TEXT HERE</w:t>
      </w:r>
      <w:permEnd w:id="642525063"/>
    </w:p>
    <w:p w:rsidR="00646C30" w:rsidRDefault="00646C30" w:rsidP="00646C30">
      <w:r>
        <w:t>&lt;ESMA_QUESTION_CP_MAR_</w:t>
      </w:r>
      <w:r w:rsidR="00B6351C">
        <w:t>45</w:t>
      </w:r>
      <w:r>
        <w:t>&gt;</w:t>
      </w:r>
    </w:p>
    <w:p w:rsidR="00646C30" w:rsidRDefault="00646C30" w:rsidP="002E1760"/>
    <w:p w:rsidR="00646C30" w:rsidRDefault="00074979" w:rsidP="00646C30">
      <w:pPr>
        <w:pStyle w:val="CPQuestions"/>
      </w:pPr>
      <w:r w:rsidRPr="00074979">
        <w:lastRenderedPageBreak/>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rsidR="00646C30" w:rsidRDefault="00646C30" w:rsidP="00646C30">
      <w:r>
        <w:t>&lt;ESMA_QUESTION_CP_MAR_</w:t>
      </w:r>
      <w:r w:rsidR="00B6351C">
        <w:t>46</w:t>
      </w:r>
      <w:r>
        <w:t>&gt;</w:t>
      </w:r>
    </w:p>
    <w:p w:rsidR="00170119" w:rsidRPr="00A3194A" w:rsidRDefault="00170119" w:rsidP="00F45D6A">
      <w:permStart w:id="198142672" w:edGrp="everyone"/>
      <w:r w:rsidRPr="00A3194A">
        <w:t xml:space="preserve">The de </w:t>
      </w:r>
      <w:proofErr w:type="spellStart"/>
      <w:r w:rsidRPr="00A3194A">
        <w:t>minimis</w:t>
      </w:r>
      <w:proofErr w:type="spellEnd"/>
      <w:r w:rsidRPr="00A3194A">
        <w:t xml:space="preserve"> threshold </w:t>
      </w:r>
      <w:proofErr w:type="gramStart"/>
      <w:r w:rsidRPr="00A3194A">
        <w:t>should generally be raised</w:t>
      </w:r>
      <w:proofErr w:type="gramEnd"/>
      <w:r w:rsidRPr="00A3194A">
        <w:t xml:space="preserve"> to EUR 20,000. The number of transactions notified to the NCAs has significantly increased under MAR compared to the previous regime. Raising the threshold would therefore prevent an overflow of information. As ESMA mentions, a number of NCAs has already used the option to raise the threshold. Raising the threshold generally would alleviate administrative burdens for both issuers and NCAs. </w:t>
      </w:r>
    </w:p>
    <w:p w:rsidR="00170119" w:rsidRPr="00A3194A" w:rsidRDefault="00170119" w:rsidP="00F45D6A"/>
    <w:p w:rsidR="00170119" w:rsidRDefault="00170119" w:rsidP="00F45D6A">
      <w:r w:rsidRPr="00A3194A">
        <w:t xml:space="preserve">In addition, MAR should provide for the option of NCAs to further increase the threshold, e.g. to EUR 50,000. </w:t>
      </w:r>
    </w:p>
    <w:p w:rsidR="00170119" w:rsidRPr="00A3194A" w:rsidRDefault="00170119" w:rsidP="00F45D6A"/>
    <w:p w:rsidR="00170119" w:rsidRPr="00A3194A" w:rsidRDefault="00170119" w:rsidP="00F45D6A">
      <w:pPr>
        <w:rPr>
          <w:b/>
        </w:rPr>
      </w:pPr>
      <w:r w:rsidRPr="00A3194A">
        <w:rPr>
          <w:b/>
        </w:rPr>
        <w:t xml:space="preserve">General Remark on </w:t>
      </w:r>
      <w:proofErr w:type="gramStart"/>
      <w:r w:rsidRPr="00A3194A">
        <w:rPr>
          <w:b/>
        </w:rPr>
        <w:t>Managers‘ Transaction</w:t>
      </w:r>
      <w:r w:rsidR="00B8350D">
        <w:rPr>
          <w:b/>
        </w:rPr>
        <w:t>s</w:t>
      </w:r>
      <w:proofErr w:type="gramEnd"/>
      <w:r w:rsidRPr="00A3194A">
        <w:rPr>
          <w:b/>
        </w:rPr>
        <w:t>:</w:t>
      </w:r>
    </w:p>
    <w:p w:rsidR="00170119" w:rsidRPr="00A3194A" w:rsidRDefault="00170119" w:rsidP="00F45D6A"/>
    <w:p w:rsidR="00170119" w:rsidRPr="00A3194A" w:rsidRDefault="00170119" w:rsidP="00F45D6A">
      <w:r w:rsidRPr="00A3194A">
        <w:t>Notwithstanding the threshold issue, that review should also be used to concentrate the managers’ transaction regime on transactions that really have signalling value for the market.</w:t>
      </w:r>
    </w:p>
    <w:p w:rsidR="00170119" w:rsidRDefault="00170119" w:rsidP="00F45D6A"/>
    <w:p w:rsidR="00170119" w:rsidRPr="00A3194A" w:rsidRDefault="00170119" w:rsidP="00F45D6A">
      <w:r w:rsidRPr="00A3194A">
        <w:t xml:space="preserve">More specifically, the EU Commission should abolish the duty to inform about </w:t>
      </w:r>
      <w:r w:rsidRPr="00A3194A">
        <w:rPr>
          <w:b/>
        </w:rPr>
        <w:t>donations and inheritances</w:t>
      </w:r>
      <w:r w:rsidRPr="00A3194A">
        <w:t xml:space="preserve">, as they do not have any significance for the estimation of the manager on how the share price will develop. Similarly, automatic allocations under management incentive programs and transactions by a portfolio manager acting independently from the PDMR should be out of scope because in all </w:t>
      </w:r>
      <w:proofErr w:type="gramStart"/>
      <w:r w:rsidRPr="00A3194A">
        <w:t>these cases</w:t>
      </w:r>
      <w:proofErr w:type="gramEnd"/>
      <w:r w:rsidRPr="00A3194A">
        <w:t xml:space="preserve"> it is not the PDMR that takes an investment decision so that these transactions necessarily cannot have any “signalling” effect. Disclosing them as “managers’ transactions” may even mislead the market.</w:t>
      </w:r>
    </w:p>
    <w:p w:rsidR="00170119" w:rsidRDefault="00170119" w:rsidP="00F45D6A"/>
    <w:p w:rsidR="00170119" w:rsidRPr="00A3194A" w:rsidRDefault="00170119" w:rsidP="00F45D6A">
      <w:r w:rsidRPr="00A3194A">
        <w:t xml:space="preserve">Second, issuers’ have made the experience that </w:t>
      </w:r>
      <w:r w:rsidRPr="00B8350D">
        <w:rPr>
          <w:b/>
        </w:rPr>
        <w:t xml:space="preserve">notifications </w:t>
      </w:r>
      <w:r w:rsidRPr="00A3194A">
        <w:t xml:space="preserve">required under MAR </w:t>
      </w:r>
      <w:proofErr w:type="gramStart"/>
      <w:r w:rsidRPr="00B8350D">
        <w:rPr>
          <w:b/>
        </w:rPr>
        <w:t>are overloaded</w:t>
      </w:r>
      <w:proofErr w:type="gramEnd"/>
      <w:r w:rsidRPr="00A3194A">
        <w:t xml:space="preserve"> with details so that unnecessary bureaucracy is created and investors tend to be confused by the practice of notifications. </w:t>
      </w:r>
      <w:proofErr w:type="gramStart"/>
      <w:r w:rsidRPr="00A3194A">
        <w:t xml:space="preserve">There are at least two aspects that need to be tackled where ordinary trading practices leads to overwhelming notification requirements that have no added value for the market: (1) </w:t>
      </w:r>
      <w:r w:rsidR="00B8350D">
        <w:t>T</w:t>
      </w:r>
      <w:r w:rsidRPr="00A3194A">
        <w:t xml:space="preserve">he execution of a sale </w:t>
      </w:r>
      <w:r w:rsidR="00B8350D">
        <w:t xml:space="preserve">or purchase </w:t>
      </w:r>
      <w:r w:rsidRPr="00A3194A">
        <w:t xml:space="preserve">of shares is </w:t>
      </w:r>
      <w:r w:rsidR="00B8350D">
        <w:t xml:space="preserve">typically </w:t>
      </w:r>
      <w:r w:rsidRPr="00A3194A">
        <w:t xml:space="preserve">done “at best price” by a bank for the PDMR and, </w:t>
      </w:r>
      <w:r w:rsidR="00B8350D">
        <w:t>for this reason</w:t>
      </w:r>
      <w:r w:rsidRPr="00A3194A">
        <w:t>, is split across various trading venues (depending on the best execution policy of banks holding the accounts for the PDMR).</w:t>
      </w:r>
      <w:proofErr w:type="gramEnd"/>
      <w:r w:rsidRPr="00A3194A">
        <w:t xml:space="preserve"> This kind of splitting makes necessary a number of separate notifications, although being just one order by the PDMR to the bank (one for each venue). (2) Also, if a transaction is executed at one single day on one single trading venue, but is split into a number of sub-transactions (which is also standard practice of banks to ensure market-sensitive trading), the PDMR has to notify a long list of single </w:t>
      </w:r>
      <w:proofErr w:type="gramStart"/>
      <w:r w:rsidRPr="00A3194A">
        <w:t>trades which</w:t>
      </w:r>
      <w:proofErr w:type="gramEnd"/>
      <w:r w:rsidRPr="00A3194A">
        <w:t xml:space="preserve"> also makes the notification burdensome and confuses the market. From our point of </w:t>
      </w:r>
      <w:r w:rsidR="00D4228D" w:rsidRPr="00A3194A">
        <w:t>view,</w:t>
      </w:r>
      <w:r w:rsidRPr="00A3194A">
        <w:t xml:space="preserve"> the MAR review should also take into consideration these two problems. A way forward could be, </w:t>
      </w:r>
      <w:proofErr w:type="gramStart"/>
      <w:r w:rsidRPr="00A3194A">
        <w:t>e.g., to allow the PDMR to aggregate transactions within a certain time span or executed under one joint order, so that the market gets to know in one notification the aggregate volume of transactions and e.g. the average price</w:t>
      </w:r>
      <w:proofErr w:type="gramEnd"/>
      <w:r w:rsidRPr="00A3194A">
        <w:t xml:space="preserve">. </w:t>
      </w:r>
    </w:p>
    <w:p w:rsidR="00170119" w:rsidRDefault="00170119" w:rsidP="00F45D6A"/>
    <w:p w:rsidR="00170119" w:rsidRPr="00A3194A" w:rsidRDefault="00170119" w:rsidP="00F45D6A">
      <w:r w:rsidRPr="00A3194A">
        <w:t xml:space="preserve">Third, we would also like to remind on the fact that it is of high importance to fix the issue of identical deadlines for both the notification of the PDMR to the issuers and the issuer’s notification to the market. For issuers this regulation is highly unfavourable and, </w:t>
      </w:r>
      <w:r w:rsidR="00D4228D" w:rsidRPr="00A3194A">
        <w:t>thus, not</w:t>
      </w:r>
      <w:r w:rsidRPr="00A3194A">
        <w:t xml:space="preserve"> acceptable since it puts them into an illegal position without any own fault if the PDMR notifies only at the very end of the 3 days deadline. We, therefore, urge the legislator to implement </w:t>
      </w:r>
      <w:r w:rsidRPr="00A3194A">
        <w:lastRenderedPageBreak/>
        <w:t xml:space="preserve">fast the agreement reached in the so-called SME listing package which would give the issuer 2 </w:t>
      </w:r>
      <w:proofErr w:type="spellStart"/>
      <w:r w:rsidRPr="00A3194A">
        <w:t>days time</w:t>
      </w:r>
      <w:proofErr w:type="spellEnd"/>
      <w:r w:rsidRPr="00A3194A">
        <w:t xml:space="preserve"> to comply with its own notification requirement after the issuers has received the notification from the PDMR.</w:t>
      </w:r>
    </w:p>
    <w:p w:rsidR="00170119" w:rsidRDefault="00170119" w:rsidP="00F45D6A"/>
    <w:p w:rsidR="00646C30" w:rsidRDefault="00170119" w:rsidP="00646C30">
      <w:r w:rsidRPr="00A3194A">
        <w:t xml:space="preserve">Furthermore, it is a constant compliance issue that issuers have to draw up a </w:t>
      </w:r>
      <w:r w:rsidRPr="00A3194A">
        <w:rPr>
          <w:b/>
        </w:rPr>
        <w:t>list of all persons discharging managerial respon</w:t>
      </w:r>
      <w:r>
        <w:rPr>
          <w:b/>
        </w:rPr>
        <w:t>s</w:t>
      </w:r>
      <w:r w:rsidRPr="00A3194A">
        <w:rPr>
          <w:b/>
        </w:rPr>
        <w:t xml:space="preserve">ibilities </w:t>
      </w:r>
      <w:r w:rsidRPr="00A3194A">
        <w:rPr>
          <w:b/>
          <w:u w:val="single"/>
        </w:rPr>
        <w:t>and</w:t>
      </w:r>
      <w:r w:rsidRPr="00A3194A">
        <w:rPr>
          <w:b/>
        </w:rPr>
        <w:t xml:space="preserve"> persons closely associated</w:t>
      </w:r>
      <w:r w:rsidRPr="00A3194A">
        <w:t xml:space="preserve"> to them (Art. 19 (5) MAR). Especially the list of closely associated persons is quite burdensome as e.g. the supervisory board of a DAX company can consist of 20 persons, partly </w:t>
      </w:r>
      <w:proofErr w:type="gramStart"/>
      <w:r w:rsidRPr="00A3194A">
        <w:t>being domiciled</w:t>
      </w:r>
      <w:proofErr w:type="gramEnd"/>
      <w:r w:rsidRPr="00A3194A">
        <w:t xml:space="preserve"> abroad. It is not only very difficult to fulfil this duty. Compiling the list also runs counter the political objective to protect the privacy of individuals. From our perspective this objective should prevail, which is even </w:t>
      </w:r>
      <w:proofErr w:type="gramStart"/>
      <w:r w:rsidRPr="00A3194A">
        <w:t>more true</w:t>
      </w:r>
      <w:proofErr w:type="gramEnd"/>
      <w:r w:rsidRPr="00A3194A">
        <w:t xml:space="preserve"> as we do not have the impression that the NCAs are interest</w:t>
      </w:r>
      <w:r>
        <w:t>ed</w:t>
      </w:r>
      <w:r w:rsidRPr="00A3194A">
        <w:t xml:space="preserve"> in the lists compiled. Hence, this general duty </w:t>
      </w:r>
      <w:proofErr w:type="gramStart"/>
      <w:r w:rsidRPr="00A3194A">
        <w:t>should be abolished</w:t>
      </w:r>
      <w:proofErr w:type="gramEnd"/>
      <w:r w:rsidRPr="00A3194A">
        <w:t>. It should be enough that the issuers has to draw up such a list when the NCA asks for it in a case of suspicion.</w:t>
      </w:r>
      <w:permEnd w:id="198142672"/>
    </w:p>
    <w:p w:rsidR="00646C30" w:rsidRDefault="00646C30" w:rsidP="00646C30">
      <w:r>
        <w:t>&lt;ESMA_QUESTION_CP_MAR_</w:t>
      </w:r>
      <w:r w:rsidR="00B6351C">
        <w:t>46</w:t>
      </w:r>
      <w:r>
        <w:t>&gt;</w:t>
      </w:r>
    </w:p>
    <w:p w:rsidR="00646C30" w:rsidRDefault="00646C30" w:rsidP="002E1760"/>
    <w:p w:rsidR="00646C30" w:rsidRDefault="00074979" w:rsidP="00646C30">
      <w:pPr>
        <w:pStyle w:val="CPQuestions"/>
      </w:pPr>
      <w:r w:rsidRPr="00074979">
        <w:t>Should NCAs still have the option to keep a higher threshold? In that case, should the optional threshold be higher than Euro 20,000? If so, please describe the criteria to be used to set the higher optional threshold (by way of example, the liquidity of the financial instrument, or the average compensation received by the managers).</w:t>
      </w:r>
    </w:p>
    <w:p w:rsidR="00646C30" w:rsidRDefault="00646C30" w:rsidP="00646C30">
      <w:r>
        <w:t>&lt;ESMA_QUESTION_CP_MAR_</w:t>
      </w:r>
      <w:r w:rsidR="00DD7418">
        <w:t>47</w:t>
      </w:r>
      <w:r>
        <w:t>&gt;</w:t>
      </w:r>
    </w:p>
    <w:p w:rsidR="00646C30" w:rsidRDefault="00B8350D" w:rsidP="00646C30">
      <w:permStart w:id="1094137724" w:edGrp="everyone"/>
      <w:r>
        <w:t xml:space="preserve">Please refer to </w:t>
      </w:r>
      <w:r w:rsidR="00170119">
        <w:t>Q46.</w:t>
      </w:r>
      <w:permEnd w:id="1094137724"/>
    </w:p>
    <w:p w:rsidR="00646C30" w:rsidRDefault="00646C30" w:rsidP="00646C30">
      <w:r>
        <w:t>&lt;ESMA_QUESTION_CP_MAR_</w:t>
      </w:r>
      <w:r w:rsidR="00DD7418">
        <w:t>47</w:t>
      </w:r>
      <w:r>
        <w:t>&gt;</w:t>
      </w:r>
    </w:p>
    <w:p w:rsidR="00646C30" w:rsidRDefault="00646C30" w:rsidP="002E1760"/>
    <w:p w:rsidR="00646C30" w:rsidRDefault="00074979" w:rsidP="00646C30">
      <w:pPr>
        <w:pStyle w:val="CPQuestions"/>
      </w:pPr>
      <w:r w:rsidRPr="00074979">
        <w:t>Did you identify alternative criteria on which the reporting threshold could be based? Please explain why</w:t>
      </w:r>
      <w:r w:rsidR="00646C30">
        <w:t>.</w:t>
      </w:r>
    </w:p>
    <w:p w:rsidR="00646C30" w:rsidRDefault="00646C30" w:rsidP="00646C30">
      <w:r>
        <w:t>&lt;ESMA_QUESTION_CP_MAR_</w:t>
      </w:r>
      <w:r w:rsidR="00DD7418">
        <w:t>48</w:t>
      </w:r>
      <w:r>
        <w:t>&gt;</w:t>
      </w:r>
    </w:p>
    <w:p w:rsidR="00646C30" w:rsidRDefault="00646C30" w:rsidP="00646C30">
      <w:permStart w:id="1098653192" w:edGrp="everyone"/>
      <w:r>
        <w:t>TYPE YOUR TEXT HERE</w:t>
      </w:r>
      <w:permEnd w:id="1098653192"/>
    </w:p>
    <w:p w:rsidR="00646C30" w:rsidRDefault="00646C30" w:rsidP="00646C30">
      <w:r>
        <w:t>&lt;ESMA_QUESTION_CP_MAR_</w:t>
      </w:r>
      <w:r w:rsidR="00DD7418">
        <w:t>48</w:t>
      </w:r>
      <w:r>
        <w:t>&gt;</w:t>
      </w:r>
    </w:p>
    <w:p w:rsidR="00646C30" w:rsidRDefault="00646C30" w:rsidP="002E1760"/>
    <w:p w:rsidR="00646C30" w:rsidRDefault="00074979" w:rsidP="00646C30">
      <w:pPr>
        <w:pStyle w:val="CPQuestions"/>
      </w:pPr>
      <w:r w:rsidRPr="00074979">
        <w:t>On the application of this provision for EAMPs: have issues or difficulties been experienced</w:t>
      </w:r>
      <w:r>
        <w:t>?</w:t>
      </w:r>
    </w:p>
    <w:p w:rsidR="00646C30" w:rsidRDefault="00646C30" w:rsidP="00646C30">
      <w:r>
        <w:t>&lt;ESMA_QUESTION_CP_MAR_</w:t>
      </w:r>
      <w:r w:rsidR="00DD7418">
        <w:t>49</w:t>
      </w:r>
      <w:r>
        <w:t>&gt;</w:t>
      </w:r>
    </w:p>
    <w:p w:rsidR="00646C30" w:rsidRDefault="00646C30" w:rsidP="00646C30">
      <w:permStart w:id="1754887638" w:edGrp="everyone"/>
      <w:r>
        <w:t>TYPE YOUR TEXT HERE</w:t>
      </w:r>
      <w:permEnd w:id="1754887638"/>
    </w:p>
    <w:p w:rsidR="00646C30" w:rsidRDefault="00646C30" w:rsidP="00646C30">
      <w:r>
        <w:t>&lt;ESMA_QUESTION_CP_MAR_</w:t>
      </w:r>
      <w:r w:rsidR="00DD7418">
        <w:t>49</w:t>
      </w:r>
      <w:r>
        <w:t>&gt;</w:t>
      </w:r>
    </w:p>
    <w:p w:rsidR="00646C30" w:rsidRDefault="00646C30" w:rsidP="002E1760"/>
    <w:p w:rsidR="00646C30" w:rsidRDefault="00074979" w:rsidP="00646C30">
      <w:pPr>
        <w:pStyle w:val="CPQuestions"/>
      </w:pPr>
      <w:r w:rsidRPr="00074979">
        <w:t>Did you identify alternative criteria on which the subsequent notifications could be based? Please explain why</w:t>
      </w:r>
      <w:r w:rsidR="00646C30">
        <w:t>.</w:t>
      </w:r>
    </w:p>
    <w:p w:rsidR="00646C30" w:rsidRDefault="00646C30" w:rsidP="00646C30">
      <w:r>
        <w:t>&lt;ESMA_QUESTION_CP_MAR_</w:t>
      </w:r>
      <w:r w:rsidR="00DD7418">
        <w:t>50</w:t>
      </w:r>
      <w:r>
        <w:t>&gt;</w:t>
      </w:r>
    </w:p>
    <w:p w:rsidR="00646C30" w:rsidRDefault="00646C30" w:rsidP="00646C30">
      <w:permStart w:id="27069580" w:edGrp="everyone"/>
      <w:r>
        <w:t>TYPE YOUR TEXT HERE</w:t>
      </w:r>
      <w:permEnd w:id="27069580"/>
    </w:p>
    <w:p w:rsidR="00646C30" w:rsidRDefault="00646C30" w:rsidP="00646C30">
      <w:r>
        <w:t>&lt;ESMA_QUESTION_CP_MAR_</w:t>
      </w:r>
      <w:r w:rsidR="00DD7418">
        <w:t>50</w:t>
      </w:r>
      <w:r>
        <w:t>&gt;</w:t>
      </w:r>
    </w:p>
    <w:p w:rsidR="00646C30" w:rsidRDefault="00646C30" w:rsidP="002E1760"/>
    <w:p w:rsidR="00646C30" w:rsidRDefault="0042739E" w:rsidP="00646C30">
      <w:pPr>
        <w:pStyle w:val="CPQuestions"/>
      </w:pPr>
      <w:r w:rsidRPr="0042739E">
        <w:lastRenderedPageBreak/>
        <w:t>Do you consider that the 20% threshold included in Article 19(1a)(a) and (b) is appropriate? If not, please explain the reason why and provide examples in which the 20% threshold is not effective</w:t>
      </w:r>
      <w:r w:rsidR="00646C30">
        <w:t>.</w:t>
      </w:r>
    </w:p>
    <w:p w:rsidR="00646C30" w:rsidRDefault="00646C30" w:rsidP="00646C30">
      <w:r>
        <w:t>&lt;ESMA_QUESTION_CP_MAR_</w:t>
      </w:r>
      <w:r w:rsidR="00DD7418">
        <w:t>51</w:t>
      </w:r>
      <w:r>
        <w:t>&gt;</w:t>
      </w:r>
    </w:p>
    <w:p w:rsidR="00646C30" w:rsidRDefault="00170119" w:rsidP="00646C30">
      <w:permStart w:id="1392706188" w:edGrp="everyone"/>
      <w:r w:rsidRPr="0075033F">
        <w:rPr>
          <w:bCs/>
          <w:iCs/>
        </w:rPr>
        <w:t>Yes, we consider that the 20% threshold included in Article 19(1a</w:t>
      </w:r>
      <w:proofErr w:type="gramStart"/>
      <w:r w:rsidRPr="0075033F">
        <w:rPr>
          <w:bCs/>
          <w:iCs/>
        </w:rPr>
        <w:t>)(</w:t>
      </w:r>
      <w:proofErr w:type="gramEnd"/>
      <w:r w:rsidRPr="0075033F">
        <w:rPr>
          <w:bCs/>
          <w:iCs/>
        </w:rPr>
        <w:t>a) and (b) is appropriate.</w:t>
      </w:r>
      <w:permEnd w:id="1392706188"/>
    </w:p>
    <w:p w:rsidR="00646C30" w:rsidRDefault="00646C30" w:rsidP="00646C30">
      <w:r>
        <w:t>&lt;ESMA_QUESTION_CP_MAR_</w:t>
      </w:r>
      <w:r w:rsidR="00DD7418">
        <w:t>51</w:t>
      </w:r>
      <w:r>
        <w:t>&gt;</w:t>
      </w:r>
    </w:p>
    <w:p w:rsidR="00646C30" w:rsidRDefault="00646C30" w:rsidP="002E1760"/>
    <w:p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assets</w:t>
      </w:r>
      <w:r>
        <w:t>?</w:t>
      </w:r>
    </w:p>
    <w:p w:rsidR="00646C30" w:rsidRDefault="00646C30" w:rsidP="00646C30">
      <w:r>
        <w:t>&lt;ESMA_QUESTION_CP_MAR_</w:t>
      </w:r>
      <w:r w:rsidR="00DD7418">
        <w:t>5</w:t>
      </w:r>
      <w:r>
        <w:t>2&gt;</w:t>
      </w:r>
    </w:p>
    <w:p w:rsidR="00646C30" w:rsidRDefault="00646C30" w:rsidP="00646C30">
      <w:permStart w:id="2068213336" w:edGrp="everyone"/>
      <w:r>
        <w:t>TYPE YOUR TEXT HERE</w:t>
      </w:r>
      <w:permEnd w:id="2068213336"/>
    </w:p>
    <w:p w:rsidR="00646C30" w:rsidRDefault="00646C30" w:rsidP="00646C30">
      <w:r>
        <w:t>&lt;ESMA_QUESTION_CP_MAR_</w:t>
      </w:r>
      <w:r w:rsidR="00DD7418">
        <w:t>5</w:t>
      </w:r>
      <w:r>
        <w:t>2&gt;</w:t>
      </w:r>
    </w:p>
    <w:p w:rsidR="00646C30" w:rsidRDefault="00646C30" w:rsidP="002E1760"/>
    <w:p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rsidR="00646C30" w:rsidRDefault="00646C30" w:rsidP="00646C30">
      <w:r>
        <w:t>&lt;ESMA_QUESTION_CP_MAR_</w:t>
      </w:r>
      <w:r w:rsidR="00DD7418">
        <w:t>53</w:t>
      </w:r>
      <w:r>
        <w:t>&gt;</w:t>
      </w:r>
    </w:p>
    <w:p w:rsidR="00646C30" w:rsidRDefault="00170119" w:rsidP="00646C30">
      <w:permStart w:id="1214450226" w:edGrp="everyone"/>
      <w:r w:rsidRPr="00C9415C">
        <w:rPr>
          <w:noProof/>
        </w:rPr>
        <w:t xml:space="preserve">Transactions where the PDMR does not </w:t>
      </w:r>
      <w:r>
        <w:rPr>
          <w:noProof/>
        </w:rPr>
        <w:t xml:space="preserve">take any investment decision or </w:t>
      </w:r>
      <w:r w:rsidRPr="00C9415C">
        <w:rPr>
          <w:noProof/>
        </w:rPr>
        <w:t>exercise</w:t>
      </w:r>
      <w:r>
        <w:rPr>
          <w:noProof/>
        </w:rPr>
        <w:t>s</w:t>
      </w:r>
      <w:r w:rsidRPr="00C9415C">
        <w:rPr>
          <w:noProof/>
        </w:rPr>
        <w:t xml:space="preserve"> any discretion on the decision and execution of any transaction, such as those executed by a portfolio manager independently, should be excluded from the scope of Art. 19(11) MAR</w:t>
      </w:r>
      <w:r>
        <w:rPr>
          <w:noProof/>
        </w:rPr>
        <w:t xml:space="preserve"> since they necessarily cannot bear the risk of insider dealing</w:t>
      </w:r>
      <w:r w:rsidRPr="00C9415C">
        <w:rPr>
          <w:noProof/>
        </w:rPr>
        <w:t>.</w:t>
      </w:r>
      <w:r>
        <w:rPr>
          <w:noProof/>
        </w:rPr>
        <w:t xml:space="preserve"> The same should apply for transactions under employee participation schemes.</w:t>
      </w:r>
      <w:permEnd w:id="1214450226"/>
    </w:p>
    <w:p w:rsidR="00646C30" w:rsidRDefault="00646C30" w:rsidP="00646C30">
      <w:r>
        <w:t>&lt;ESMA_QUESTION_CP_MAR_</w:t>
      </w:r>
      <w:r w:rsidR="00DD7418">
        <w:t>53</w:t>
      </w:r>
      <w:r>
        <w:t>&gt;</w:t>
      </w:r>
    </w:p>
    <w:p w:rsidR="00646C30" w:rsidRDefault="00646C30"/>
    <w:p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rsidR="00646C30" w:rsidRDefault="00646C30" w:rsidP="00646C30">
      <w:r>
        <w:t>&lt;ESMA_QUESTION_CP_MAR_</w:t>
      </w:r>
      <w:r w:rsidR="00DD7418">
        <w:t>54</w:t>
      </w:r>
      <w:r>
        <w:t>&gt;</w:t>
      </w:r>
    </w:p>
    <w:p w:rsidR="00646C30" w:rsidRDefault="00170119" w:rsidP="00646C30">
      <w:permStart w:id="1507079590" w:edGrp="everyone"/>
      <w:r w:rsidRPr="0075033F">
        <w:rPr>
          <w:bCs/>
          <w:iCs/>
        </w:rPr>
        <w:t>We think that all the clarifications provided in the ESMA’s Q&amp;A are sufficient.</w:t>
      </w:r>
      <w:permEnd w:id="1507079590"/>
    </w:p>
    <w:p w:rsidR="00646C30" w:rsidRDefault="00646C30" w:rsidP="00646C30">
      <w:r>
        <w:t>&lt;ESMA_QUESTION_CP_MAR_</w:t>
      </w:r>
      <w:r w:rsidR="00DD7418">
        <w:t>54</w:t>
      </w:r>
      <w:r>
        <w:t>&gt;</w:t>
      </w:r>
    </w:p>
    <w:p w:rsidR="00646C30" w:rsidRDefault="00646C30"/>
    <w:p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rsidR="00646C30" w:rsidRDefault="00646C30" w:rsidP="00646C30">
      <w:r>
        <w:t>&lt;ESMA_QUESTION_CP_MAR_</w:t>
      </w:r>
      <w:r w:rsidR="00DD7418">
        <w:t>55</w:t>
      </w:r>
      <w:r>
        <w:t>&gt;</w:t>
      </w:r>
    </w:p>
    <w:p w:rsidR="00170119" w:rsidRPr="00A3194A" w:rsidRDefault="00170119" w:rsidP="00F45D6A">
      <w:permStart w:id="202462794" w:edGrp="everyone"/>
      <w:r w:rsidRPr="00A3194A">
        <w:t>Closed periods should not be extended to the issuer and/or to closely associated persons; the protection provided by Art. 7, 8 and 9 MAR is sufficient.</w:t>
      </w:r>
    </w:p>
    <w:p w:rsidR="00170119" w:rsidRDefault="00170119" w:rsidP="00F45D6A"/>
    <w:p w:rsidR="00170119" w:rsidRPr="00A3194A" w:rsidRDefault="00170119" w:rsidP="00F45D6A">
      <w:r w:rsidRPr="00A3194A">
        <w:lastRenderedPageBreak/>
        <w:t xml:space="preserve">ESMA rightly points out the downsides of such an extension. The PDMR would have the duty to keep an eye on his/her closely associated persons to keep them informed about the closed period. For the issuers such a closed period would raise problems by e.g. ongoing processes on refinancing etc. </w:t>
      </w:r>
    </w:p>
    <w:p w:rsidR="00170119" w:rsidRDefault="00170119" w:rsidP="00F45D6A"/>
    <w:p w:rsidR="00646C30" w:rsidRDefault="00170119" w:rsidP="00646C30">
      <w:r w:rsidRPr="00A3194A">
        <w:t xml:space="preserve">In addition, closely associated persons </w:t>
      </w:r>
      <w:proofErr w:type="gramStart"/>
      <w:r w:rsidRPr="00A3194A">
        <w:t>would themselves be overloaded</w:t>
      </w:r>
      <w:proofErr w:type="gramEnd"/>
      <w:r w:rsidRPr="00A3194A">
        <w:t xml:space="preserve"> with compliance duties that are not necessary against the objective of the closed periods and </w:t>
      </w:r>
      <w:r w:rsidR="00B8350D">
        <w:t xml:space="preserve">having in mind </w:t>
      </w:r>
      <w:r w:rsidRPr="00A3194A">
        <w:t>the general obligations of the MAR.</w:t>
      </w:r>
      <w:permEnd w:id="202462794"/>
    </w:p>
    <w:p w:rsidR="00646C30" w:rsidRDefault="00646C30" w:rsidP="00646C30">
      <w:r>
        <w:t>&lt;ESMA_QUESTION_CP_MAR_</w:t>
      </w:r>
      <w:r w:rsidR="00DD7418">
        <w:t>55</w:t>
      </w:r>
      <w:r>
        <w:t>&gt;</w:t>
      </w:r>
    </w:p>
    <w:p w:rsidR="00646C30" w:rsidRDefault="00646C30"/>
    <w:p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rsidR="00646C30" w:rsidRDefault="00646C30" w:rsidP="00646C30">
      <w:r>
        <w:t>&lt;ESMA_QUESTION_CP_MAR_</w:t>
      </w:r>
      <w:r w:rsidR="00DD7418">
        <w:t>56</w:t>
      </w:r>
      <w:r>
        <w:t>&gt;</w:t>
      </w:r>
    </w:p>
    <w:p w:rsidR="00646C30" w:rsidRDefault="00170119" w:rsidP="00646C30">
      <w:permStart w:id="1643453303" w:edGrp="everyone"/>
      <w:r>
        <w:rPr>
          <w:noProof/>
        </w:rPr>
        <w:t xml:space="preserve">We would welcome an extension in Art. 19(12)(a) to other financial instruments than shares. A differentiation between types of financial </w:t>
      </w:r>
      <w:r w:rsidRPr="006E2AB2">
        <w:rPr>
          <w:noProof/>
          <w:lang w:val="en-US"/>
        </w:rPr>
        <w:t>instrument</w:t>
      </w:r>
      <w:r>
        <w:rPr>
          <w:noProof/>
          <w:lang w:val="en-US"/>
        </w:rPr>
        <w:t>s</w:t>
      </w:r>
      <w:r w:rsidRPr="006E2AB2">
        <w:rPr>
          <w:noProof/>
          <w:lang w:val="en-US"/>
        </w:rPr>
        <w:t xml:space="preserve"> does not </w:t>
      </w:r>
      <w:r>
        <w:rPr>
          <w:noProof/>
          <w:lang w:val="en-US"/>
        </w:rPr>
        <w:t>seem justified.</w:t>
      </w:r>
      <w:permEnd w:id="1643453303"/>
    </w:p>
    <w:p w:rsidR="00646C30" w:rsidRDefault="00646C30" w:rsidP="00646C30">
      <w:r>
        <w:t>&lt;ESMA_QUESTION_CP_MAR_</w:t>
      </w:r>
      <w:r w:rsidR="00DD7418">
        <w:t>56</w:t>
      </w:r>
      <w:r>
        <w:t>&gt;</w:t>
      </w:r>
    </w:p>
    <w:p w:rsidR="00646C30" w:rsidRDefault="00646C30" w:rsidP="002E1760"/>
    <w:p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rsidR="00646C30" w:rsidRDefault="00646C30" w:rsidP="00646C30">
      <w:r>
        <w:t>&lt;ESMA_QUESTION_CP_MAR_</w:t>
      </w:r>
      <w:r w:rsidR="00DD7418">
        <w:t>57</w:t>
      </w:r>
      <w:r>
        <w:t>&gt;</w:t>
      </w:r>
    </w:p>
    <w:p w:rsidR="00646C30" w:rsidRDefault="00170119" w:rsidP="00646C30">
      <w:permStart w:id="1916678319" w:edGrp="everyone"/>
      <w:r>
        <w:rPr>
          <w:lang w:val="en-US"/>
        </w:rPr>
        <w:t xml:space="preserve">An </w:t>
      </w:r>
      <w:r w:rsidRPr="00ED3DA4">
        <w:rPr>
          <w:lang w:val="en-US"/>
        </w:rPr>
        <w:t>exemption should be created mirror</w:t>
      </w:r>
      <w:r>
        <w:rPr>
          <w:lang w:val="en-US"/>
        </w:rPr>
        <w:t>ing</w:t>
      </w:r>
      <w:r w:rsidRPr="00ED3DA4">
        <w:rPr>
          <w:lang w:val="en-US"/>
        </w:rPr>
        <w:t xml:space="preserve"> the legitimate </w:t>
      </w:r>
      <w:proofErr w:type="spellStart"/>
      <w:r>
        <w:rPr>
          <w:lang w:val="en-US"/>
        </w:rPr>
        <w:t>behaviours</w:t>
      </w:r>
      <w:proofErr w:type="spellEnd"/>
      <w:r>
        <w:rPr>
          <w:lang w:val="en-US"/>
        </w:rPr>
        <w:t xml:space="preserve"> defined in </w:t>
      </w:r>
      <w:r w:rsidRPr="00ED3DA4">
        <w:rPr>
          <w:lang w:val="en-US"/>
        </w:rPr>
        <w:t>in MAR Article 9(3)</w:t>
      </w:r>
      <w:r>
        <w:rPr>
          <w:lang w:val="en-US"/>
        </w:rPr>
        <w:t>.</w:t>
      </w:r>
      <w:permEnd w:id="1916678319"/>
    </w:p>
    <w:p w:rsidR="00646C30" w:rsidRDefault="00646C30" w:rsidP="00646C30">
      <w:r>
        <w:t>&lt;ESMA_QUESTION_CP_MAR_</w:t>
      </w:r>
      <w:r w:rsidR="00DD7418">
        <w:t>57</w:t>
      </w:r>
      <w:r>
        <w:t>&gt;</w:t>
      </w:r>
    </w:p>
    <w:p w:rsidR="00646C30" w:rsidRDefault="00646C30"/>
    <w:p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rsidR="00646C30" w:rsidRDefault="00646C30" w:rsidP="00646C30">
      <w:r>
        <w:t>&lt;ESMA_QUESTION_CP_MAR_</w:t>
      </w:r>
      <w:r w:rsidR="00DD7418">
        <w:t>58</w:t>
      </w:r>
      <w:r>
        <w:t>&gt;</w:t>
      </w:r>
    </w:p>
    <w:p w:rsidR="00646C30" w:rsidRDefault="00646C30" w:rsidP="00646C30">
      <w:permStart w:id="446109240" w:edGrp="everyone"/>
      <w:r>
        <w:t>TYPE YOUR TEXT HERE</w:t>
      </w:r>
      <w:permEnd w:id="446109240"/>
    </w:p>
    <w:p w:rsidR="00646C30" w:rsidRDefault="00646C30" w:rsidP="00646C30">
      <w:r>
        <w:t>&lt;ESMA_QUESTION_CP_MAR_</w:t>
      </w:r>
      <w:r w:rsidR="00DD7418">
        <w:t>58</w:t>
      </w:r>
      <w:r>
        <w:t>&gt;</w:t>
      </w:r>
    </w:p>
    <w:p w:rsidR="00646C30" w:rsidRDefault="00646C30"/>
    <w:p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rsidR="00646C30" w:rsidRDefault="00646C30" w:rsidP="00646C30">
      <w:r>
        <w:t>&lt;ESMA_QUESTION_CP_MAR_</w:t>
      </w:r>
      <w:r w:rsidR="00FA5524">
        <w:t>59</w:t>
      </w:r>
      <w:r>
        <w:t>&gt;</w:t>
      </w:r>
    </w:p>
    <w:p w:rsidR="00646C30" w:rsidRDefault="00646C30" w:rsidP="00646C30">
      <w:permStart w:id="1783975059" w:edGrp="everyone"/>
      <w:r>
        <w:t>TYPE YOUR TEXT HERE</w:t>
      </w:r>
      <w:permEnd w:id="1783975059"/>
    </w:p>
    <w:p w:rsidR="00646C30" w:rsidRDefault="00646C30" w:rsidP="00646C30">
      <w:r>
        <w:lastRenderedPageBreak/>
        <w:t>&lt;ESMA_QUESTION_CP_MAR_</w:t>
      </w:r>
      <w:r w:rsidR="00FA5524">
        <w:t>59</w:t>
      </w:r>
      <w:r>
        <w:t>&gt;</w:t>
      </w:r>
    </w:p>
    <w:p w:rsidR="00646C30" w:rsidRDefault="00646C30" w:rsidP="002E1760"/>
    <w:p w:rsidR="00646C30" w:rsidRDefault="0042739E" w:rsidP="00646C30">
      <w:pPr>
        <w:pStyle w:val="CPQuestions"/>
      </w:pPr>
      <w:r w:rsidRPr="0042739E">
        <w:t>Do you agree with ESMA’s preliminary view? If not, please elaborate</w:t>
      </w:r>
      <w:r w:rsidR="00646C30">
        <w:t>.</w:t>
      </w:r>
    </w:p>
    <w:p w:rsidR="00646C30" w:rsidRDefault="00646C30" w:rsidP="00646C30">
      <w:r>
        <w:t>&lt;ESMA_QUESTION_CP_MAR_</w:t>
      </w:r>
      <w:r w:rsidR="00FA5524">
        <w:t>60</w:t>
      </w:r>
      <w:r>
        <w:t>&gt;</w:t>
      </w:r>
    </w:p>
    <w:p w:rsidR="00646C30" w:rsidRDefault="00646C30" w:rsidP="00646C30">
      <w:permStart w:id="1433539196" w:edGrp="everyone"/>
      <w:r>
        <w:t>TYPE YOUR TEXT HERE</w:t>
      </w:r>
      <w:permEnd w:id="1433539196"/>
    </w:p>
    <w:p w:rsidR="00646C30" w:rsidRDefault="00646C30" w:rsidP="00646C30">
      <w:r>
        <w:t>&lt;ESMA_QUESTION_CP_MAR_</w:t>
      </w:r>
      <w:r w:rsidR="00D53941">
        <w:t>60</w:t>
      </w:r>
      <w:r>
        <w:t>&gt;</w:t>
      </w:r>
    </w:p>
    <w:p w:rsidR="00646C30" w:rsidRDefault="00646C30"/>
    <w:p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rsidR="00646C30" w:rsidRDefault="00646C30" w:rsidP="00646C30">
      <w:r>
        <w:t>&lt;ESMA_QUESTION_CP_MAR_</w:t>
      </w:r>
      <w:r w:rsidR="00D53941">
        <w:t>61</w:t>
      </w:r>
      <w:r>
        <w:t>&gt;</w:t>
      </w:r>
    </w:p>
    <w:p w:rsidR="00646C30" w:rsidRDefault="00646C30" w:rsidP="00646C30">
      <w:permStart w:id="1494626315" w:edGrp="everyone"/>
      <w:r>
        <w:t>TYPE YOUR TEXT HERE</w:t>
      </w:r>
      <w:permEnd w:id="1494626315"/>
    </w:p>
    <w:p w:rsidR="00646C30" w:rsidRDefault="00646C30" w:rsidP="00646C30">
      <w:r>
        <w:t>&lt;ESMA_QUESTION_CP_MAR_</w:t>
      </w:r>
      <w:r w:rsidR="00D53941">
        <w:t>61</w:t>
      </w:r>
      <w:r>
        <w:t>&gt;</w:t>
      </w:r>
    </w:p>
    <w:p w:rsidR="00646C30" w:rsidRDefault="00646C30"/>
    <w:p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rsidR="00646C30" w:rsidRDefault="00646C30" w:rsidP="00646C30">
      <w:r>
        <w:t>&lt;ESMA_QUESTION_CP_MAR_</w:t>
      </w:r>
      <w:r w:rsidR="00D53941">
        <w:t>62</w:t>
      </w:r>
      <w:r>
        <w:t>&gt;</w:t>
      </w:r>
    </w:p>
    <w:p w:rsidR="00646C30" w:rsidRDefault="00646C30" w:rsidP="00646C30">
      <w:permStart w:id="873946229" w:edGrp="everyone"/>
      <w:r>
        <w:t>TYPE YOUR TEXT HERE</w:t>
      </w:r>
      <w:permEnd w:id="873946229"/>
    </w:p>
    <w:p w:rsidR="00646C30" w:rsidRDefault="00646C30" w:rsidP="00646C30">
      <w:r>
        <w:t>&lt;ESMA_QUESTION_CP_MAR_</w:t>
      </w:r>
      <w:r w:rsidR="00D53941">
        <w:t>62</w:t>
      </w:r>
      <w:r>
        <w:t>&gt;</w:t>
      </w:r>
    </w:p>
    <w:p w:rsidR="00646C30" w:rsidRDefault="00646C30"/>
    <w:p w:rsidR="00646C30" w:rsidRDefault="0042739E" w:rsidP="00646C30">
      <w:pPr>
        <w:pStyle w:val="CPQuestions"/>
      </w:pPr>
      <w:r w:rsidRPr="0042739E">
        <w:t>Do you agree with ESMA’s conclusion? If not, please elaborate</w:t>
      </w:r>
      <w:r w:rsidR="00646C30">
        <w:t>.</w:t>
      </w:r>
    </w:p>
    <w:p w:rsidR="00646C30" w:rsidRDefault="00646C30" w:rsidP="00646C30">
      <w:r>
        <w:t>&lt;ESMA_QUESTION_CP_MAR_</w:t>
      </w:r>
      <w:r w:rsidR="00D53941">
        <w:t>63</w:t>
      </w:r>
      <w:r>
        <w:t>&gt;</w:t>
      </w:r>
    </w:p>
    <w:p w:rsidR="00646C30" w:rsidRDefault="00646C30" w:rsidP="00646C30">
      <w:permStart w:id="27133421" w:edGrp="everyone"/>
      <w:r>
        <w:t>TYPE YOUR TEXT HERE</w:t>
      </w:r>
      <w:permEnd w:id="27133421"/>
    </w:p>
    <w:p w:rsidR="00646C30" w:rsidRDefault="00646C30" w:rsidP="00646C30">
      <w:r>
        <w:t>&lt;ESMA_QUESTION_CP_MAR_</w:t>
      </w:r>
      <w:r w:rsidR="00D53941">
        <w:t>63</w:t>
      </w:r>
      <w:r>
        <w:t>&gt;</w:t>
      </w:r>
    </w:p>
    <w:p w:rsidR="00646C30" w:rsidRDefault="0042739E" w:rsidP="00646C30">
      <w:pPr>
        <w:pStyle w:val="CPQuestions"/>
      </w:pPr>
      <w:r w:rsidRPr="0042739E">
        <w:t>Do you agree with ESMA preliminary view? Please elaborate</w:t>
      </w:r>
      <w:r w:rsidR="00646C30">
        <w:t>.</w:t>
      </w:r>
    </w:p>
    <w:p w:rsidR="00646C30" w:rsidRDefault="00646C30" w:rsidP="00646C30">
      <w:r>
        <w:t>&lt;ESMA_QUESTION_CP_MAR_</w:t>
      </w:r>
      <w:r w:rsidR="00D53941">
        <w:t>64</w:t>
      </w:r>
      <w:r>
        <w:t>&gt;</w:t>
      </w:r>
    </w:p>
    <w:p w:rsidR="00646C30" w:rsidRDefault="00646C30" w:rsidP="00646C30">
      <w:permStart w:id="1528710163" w:edGrp="everyone"/>
      <w:r>
        <w:t>TYPE YOUR TEXT HERE</w:t>
      </w:r>
      <w:permEnd w:id="1528710163"/>
    </w:p>
    <w:p w:rsidR="00646C30" w:rsidRDefault="00646C30" w:rsidP="00646C30">
      <w:r>
        <w:t>&lt;ESMA_QUESTION_CP_MAR_</w:t>
      </w:r>
      <w:r w:rsidR="00D53941">
        <w:t>64</w:t>
      </w:r>
      <w:r>
        <w:t>&gt;</w:t>
      </w:r>
    </w:p>
    <w:p w:rsidR="00646C30" w:rsidRDefault="00646C30" w:rsidP="002E1760"/>
    <w:p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rsidR="00646C30" w:rsidRDefault="00646C30" w:rsidP="00646C30">
      <w:r>
        <w:t>&lt;ESMA_QUESTION_CP_MAR_</w:t>
      </w:r>
      <w:r w:rsidR="00D53941">
        <w:t>65</w:t>
      </w:r>
      <w:r>
        <w:t>&gt;</w:t>
      </w:r>
    </w:p>
    <w:p w:rsidR="00646C30" w:rsidRDefault="00646C30" w:rsidP="00646C30">
      <w:permStart w:id="1894075085" w:edGrp="everyone"/>
      <w:r>
        <w:t>TYPE YOUR TEXT HERE</w:t>
      </w:r>
      <w:permEnd w:id="1894075085"/>
    </w:p>
    <w:p w:rsidR="00646C30" w:rsidRDefault="00646C30" w:rsidP="00646C30">
      <w:r>
        <w:t>&lt;ESMA_QUESTION_CP_MAR_</w:t>
      </w:r>
      <w:r w:rsidR="00D53941">
        <w:t>65</w:t>
      </w:r>
      <w:r>
        <w:t>&gt;</w:t>
      </w:r>
    </w:p>
    <w:p w:rsidR="00646C30" w:rsidRDefault="00646C30" w:rsidP="002E1760"/>
    <w:p w:rsidR="00646C30" w:rsidRDefault="0042739E" w:rsidP="00646C30">
      <w:pPr>
        <w:pStyle w:val="CPQuestions"/>
      </w:pPr>
      <w:r w:rsidRPr="0042739E">
        <w:lastRenderedPageBreak/>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rsidR="00646C30" w:rsidRDefault="00646C30" w:rsidP="00646C30">
      <w:r>
        <w:t>&lt;ESMA_QUESTION_CP_MAR_</w:t>
      </w:r>
      <w:r w:rsidR="00D53941">
        <w:t>66</w:t>
      </w:r>
      <w:r>
        <w:t>&gt;</w:t>
      </w:r>
    </w:p>
    <w:p w:rsidR="00646C30" w:rsidRDefault="00646C30" w:rsidP="00646C30">
      <w:permStart w:id="1070093435" w:edGrp="everyone"/>
      <w:r>
        <w:t>TYPE YOUR TEXT HERE</w:t>
      </w:r>
      <w:permEnd w:id="1070093435"/>
    </w:p>
    <w:p w:rsidR="00646C30" w:rsidRDefault="00646C30" w:rsidP="00646C30">
      <w:r>
        <w:t>&lt;ESMA_QUESTION_CP_MAR_</w:t>
      </w:r>
      <w:r w:rsidR="00D53941">
        <w:t>66</w:t>
      </w:r>
      <w:r>
        <w:t>&gt;</w:t>
      </w:r>
    </w:p>
    <w:p w:rsidR="00646C30" w:rsidRDefault="00646C30" w:rsidP="002E1760"/>
    <w:p w:rsidR="00646C30" w:rsidRDefault="0042739E" w:rsidP="00646C30">
      <w:pPr>
        <w:pStyle w:val="CPQuestions"/>
      </w:pPr>
      <w:r w:rsidRPr="0042739E">
        <w:t>Please provide your views on the impact and cost linked to the establishment of a regular reporting mechanism of order book data</w:t>
      </w:r>
      <w:r w:rsidR="00646C30">
        <w:t>.</w:t>
      </w:r>
    </w:p>
    <w:p w:rsidR="00646C30" w:rsidRDefault="00646C30" w:rsidP="00646C30">
      <w:r>
        <w:t>&lt;ESMA_QUESTION_CP_MAR_</w:t>
      </w:r>
      <w:r w:rsidR="00D53941">
        <w:t>67</w:t>
      </w:r>
      <w:r>
        <w:t>&gt;</w:t>
      </w:r>
    </w:p>
    <w:p w:rsidR="00646C30" w:rsidRDefault="00646C30" w:rsidP="00646C30">
      <w:permStart w:id="1129585513" w:edGrp="everyone"/>
      <w:r>
        <w:t>TYPE YOUR TEXT HERE</w:t>
      </w:r>
      <w:permEnd w:id="1129585513"/>
    </w:p>
    <w:p w:rsidR="00646C30" w:rsidRDefault="00646C30" w:rsidP="00646C30">
      <w:r>
        <w:t>&lt;ESMA_QUESTION_CP_MAR_</w:t>
      </w:r>
      <w:r w:rsidR="00D53941">
        <w:t>67</w:t>
      </w:r>
      <w:r>
        <w:t>&gt;</w:t>
      </w:r>
    </w:p>
    <w:p w:rsidR="00646C30" w:rsidRDefault="00646C30" w:rsidP="002E1760"/>
    <w:p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rsidR="00646C30" w:rsidRDefault="00646C30" w:rsidP="00646C30">
      <w:r>
        <w:t>&lt;ESMA_QUESTION_CP_MAR_</w:t>
      </w:r>
      <w:r w:rsidR="00D53941">
        <w:t>68</w:t>
      </w:r>
      <w:r>
        <w:t>&gt;</w:t>
      </w:r>
    </w:p>
    <w:p w:rsidR="00646C30" w:rsidRDefault="00646C30" w:rsidP="00646C30">
      <w:permStart w:id="1516053601" w:edGrp="everyone"/>
      <w:r>
        <w:t>TYPE YOUR TEXT HERE</w:t>
      </w:r>
      <w:permEnd w:id="1516053601"/>
    </w:p>
    <w:p w:rsidR="00646C30" w:rsidRDefault="00646C30" w:rsidP="00646C30">
      <w:r>
        <w:t>&lt;ESMA_QUESTION_CP_MAR_</w:t>
      </w:r>
      <w:r w:rsidR="00D53941">
        <w:t>68</w:t>
      </w:r>
      <w:r>
        <w:t>&gt;</w:t>
      </w:r>
    </w:p>
    <w:p w:rsidR="00646C30" w:rsidRDefault="00646C30" w:rsidP="002E1760"/>
    <w:p w:rsidR="00646C30" w:rsidRDefault="0042739E" w:rsidP="00646C30">
      <w:pPr>
        <w:pStyle w:val="CPQuestions"/>
      </w:pPr>
      <w:r>
        <w:t>W</w:t>
      </w:r>
      <w:r w:rsidRPr="0042739E">
        <w:t>hat are your views regarding those proposed amendments to MAR</w:t>
      </w:r>
      <w:r>
        <w:t>?</w:t>
      </w:r>
    </w:p>
    <w:p w:rsidR="00646C30" w:rsidRDefault="00646C30" w:rsidP="00646C30">
      <w:r>
        <w:t>&lt;ESMA_QUESTION_CP_MAR_</w:t>
      </w:r>
      <w:r w:rsidR="00D53941">
        <w:t>69</w:t>
      </w:r>
      <w:r>
        <w:t>&gt;</w:t>
      </w:r>
    </w:p>
    <w:p w:rsidR="00646C30" w:rsidRDefault="00646C30" w:rsidP="00646C30">
      <w:permStart w:id="643070694" w:edGrp="everyone"/>
      <w:r>
        <w:t>TYPE YOUR TEXT HERE</w:t>
      </w:r>
      <w:permEnd w:id="643070694"/>
    </w:p>
    <w:p w:rsidR="00646C30" w:rsidRDefault="00646C30" w:rsidP="00646C30">
      <w:r>
        <w:t>&lt;ESMA_QUESTION_CP_MAR_</w:t>
      </w:r>
      <w:r w:rsidR="00D53941">
        <w:t>69</w:t>
      </w:r>
      <w:r>
        <w:t>&gt;</w:t>
      </w:r>
    </w:p>
    <w:p w:rsidR="00646C30" w:rsidRDefault="00646C30" w:rsidP="002E1760"/>
    <w:p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rsidR="00646C30" w:rsidRDefault="00646C30" w:rsidP="00646C30">
      <w:r>
        <w:t>&lt;ESMA_QUESTION_CP_MAR_</w:t>
      </w:r>
      <w:r w:rsidR="00D53941">
        <w:t>70</w:t>
      </w:r>
      <w:r>
        <w:t>&gt;</w:t>
      </w:r>
    </w:p>
    <w:p w:rsidR="00646C30" w:rsidRDefault="00646C30" w:rsidP="00646C30">
      <w:permStart w:id="695668627" w:edGrp="everyone"/>
      <w:r>
        <w:t>TYPE YOUR TEXT HERE</w:t>
      </w:r>
      <w:permEnd w:id="695668627"/>
    </w:p>
    <w:p w:rsidR="00646C30" w:rsidRDefault="00646C30" w:rsidP="00646C30">
      <w:r>
        <w:t>&lt;ESMA_QUESTION_CP_MAR_</w:t>
      </w:r>
      <w:r w:rsidR="00D53941">
        <w:t>70</w:t>
      </w:r>
      <w:r>
        <w:t>&gt;</w:t>
      </w:r>
    </w:p>
    <w:p w:rsidR="00646C30" w:rsidRDefault="00646C30" w:rsidP="002E1760"/>
    <w:p w:rsidR="00646C30" w:rsidRDefault="0042739E" w:rsidP="00646C30">
      <w:pPr>
        <w:pStyle w:val="CPQuestions"/>
      </w:pPr>
      <w:r w:rsidRPr="0042739E">
        <w:t>Please share your views on the elements described above</w:t>
      </w:r>
      <w:r w:rsidR="00646C30">
        <w:t>.</w:t>
      </w:r>
    </w:p>
    <w:p w:rsidR="00646C30" w:rsidRDefault="00646C30" w:rsidP="00646C30">
      <w:r>
        <w:lastRenderedPageBreak/>
        <w:t>&lt;ESMA_QUESTION_CP_MAR_</w:t>
      </w:r>
      <w:r w:rsidR="00D53941">
        <w:t>71</w:t>
      </w:r>
      <w:r>
        <w:t>&gt;</w:t>
      </w:r>
    </w:p>
    <w:p w:rsidR="00170119" w:rsidRPr="00A3194A" w:rsidRDefault="00170119" w:rsidP="00F45D6A">
      <w:pPr>
        <w:rPr>
          <w:b/>
        </w:rPr>
      </w:pPr>
      <w:permStart w:id="1054698411" w:edGrp="everyone"/>
      <w:r w:rsidRPr="00A3194A">
        <w:rPr>
          <w:b/>
        </w:rPr>
        <w:t>General remark on sanctions:</w:t>
      </w:r>
    </w:p>
    <w:p w:rsidR="00646C30" w:rsidRDefault="00170119" w:rsidP="00646C30">
      <w:r w:rsidRPr="00A3194A">
        <w:t xml:space="preserve">We still believe that sanctions laid out in Art. </w:t>
      </w:r>
      <w:proofErr w:type="gramStart"/>
      <w:r w:rsidRPr="00A3194A">
        <w:t>30</w:t>
      </w:r>
      <w:proofErr w:type="gramEnd"/>
      <w:r w:rsidRPr="00A3194A">
        <w:t xml:space="preserve"> of MAR are too high and are out of balance – especially when it comes to formal “mistakes” such as infringement of the duty to d</w:t>
      </w:r>
      <w:r>
        <w:t>isclose managers’ transactions of</w:t>
      </w:r>
      <w:r w:rsidRPr="00A3194A">
        <w:t xml:space="preserve"> mistakes regarding drawing up the insider lists. </w:t>
      </w:r>
      <w:bookmarkStart w:id="3" w:name="_GoBack"/>
      <w:r w:rsidR="00C87AB0">
        <w:rPr>
          <w:noProof/>
        </w:rPr>
        <w:t>We believe this is out of proportion</w:t>
      </w:r>
      <w:r w:rsidR="00C87AB0">
        <w:rPr>
          <w:noProof/>
        </w:rPr>
        <w:t xml:space="preserve"> regarding the factual offence and w</w:t>
      </w:r>
      <w:r w:rsidRPr="00A3194A">
        <w:t xml:space="preserve">e urgently the EU Commission </w:t>
      </w:r>
      <w:r w:rsidR="00C87AB0">
        <w:t xml:space="preserve">to </w:t>
      </w:r>
      <w:r w:rsidRPr="00A3194A">
        <w:t>review this system of sanctions</w:t>
      </w:r>
      <w:bookmarkEnd w:id="3"/>
      <w:r w:rsidRPr="00A3194A">
        <w:t>.</w:t>
      </w:r>
      <w:permEnd w:id="1054698411"/>
    </w:p>
    <w:p w:rsidR="00646C30" w:rsidRDefault="00646C30" w:rsidP="00646C30">
      <w:r>
        <w:t>&lt;ESMA_QUESTION_CP_MAR_</w:t>
      </w:r>
      <w:r w:rsidR="00D53941">
        <w:t>71</w:t>
      </w:r>
      <w:r>
        <w:t>&gt;</w:t>
      </w:r>
    </w:p>
    <w:p w:rsidR="00646C30" w:rsidRDefault="00646C30" w:rsidP="002E1760"/>
    <w:p w:rsidR="00646C30" w:rsidRDefault="00646C30" w:rsidP="002E1760"/>
    <w:p w:rsidR="00646C30" w:rsidRDefault="00646C30" w:rsidP="002E1760"/>
    <w:p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D6A" w:rsidRDefault="00F45D6A">
      <w:r>
        <w:separator/>
      </w:r>
    </w:p>
    <w:p w:rsidR="00F45D6A" w:rsidRDefault="00F45D6A"/>
  </w:endnote>
  <w:endnote w:type="continuationSeparator" w:id="0">
    <w:p w:rsidR="00F45D6A" w:rsidRDefault="00F45D6A">
      <w:r>
        <w:continuationSeparator/>
      </w:r>
    </w:p>
    <w:p w:rsidR="00F45D6A" w:rsidRDefault="00F45D6A"/>
  </w:endnote>
  <w:endnote w:type="continuationNotice" w:id="1">
    <w:p w:rsidR="00F45D6A" w:rsidRDefault="00F45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
    <w:altName w:val="MS Gothic"/>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45D6A" w:rsidRPr="00616B9B" w:rsidTr="00315E96">
      <w:trPr>
        <w:trHeight w:val="284"/>
      </w:trPr>
      <w:tc>
        <w:tcPr>
          <w:tcW w:w="8460" w:type="dxa"/>
        </w:tcPr>
        <w:p w:rsidR="00F45D6A" w:rsidRPr="00315E96" w:rsidRDefault="00F45D6A" w:rsidP="00315E96">
          <w:pPr>
            <w:pStyle w:val="00Footer"/>
            <w:rPr>
              <w:lang w:val="fr-FR"/>
            </w:rPr>
          </w:pPr>
        </w:p>
      </w:tc>
      <w:tc>
        <w:tcPr>
          <w:tcW w:w="952" w:type="dxa"/>
        </w:tcPr>
        <w:p w:rsidR="00F45D6A" w:rsidRPr="00616B9B" w:rsidRDefault="00F45D6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F2512E">
            <w:rPr>
              <w:rFonts w:cs="Arial"/>
              <w:noProof/>
              <w:sz w:val="22"/>
              <w:szCs w:val="22"/>
            </w:rPr>
            <w:t>20</w:t>
          </w:r>
          <w:r w:rsidRPr="00616B9B">
            <w:rPr>
              <w:rFonts w:cs="Arial"/>
              <w:noProof/>
              <w:sz w:val="22"/>
              <w:szCs w:val="22"/>
            </w:rPr>
            <w:fldChar w:fldCharType="end"/>
          </w:r>
        </w:p>
      </w:tc>
    </w:tr>
  </w:tbl>
  <w:p w:rsidR="00F45D6A" w:rsidRDefault="00F45D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6A" w:rsidRDefault="00F45D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D6A" w:rsidRDefault="00F45D6A">
      <w:r>
        <w:separator/>
      </w:r>
    </w:p>
    <w:p w:rsidR="00F45D6A" w:rsidRDefault="00F45D6A"/>
  </w:footnote>
  <w:footnote w:type="continuationSeparator" w:id="0">
    <w:p w:rsidR="00F45D6A" w:rsidRDefault="00F45D6A">
      <w:r>
        <w:continuationSeparator/>
      </w:r>
    </w:p>
    <w:p w:rsidR="00F45D6A" w:rsidRDefault="00F45D6A"/>
  </w:footnote>
  <w:footnote w:type="continuationNotice" w:id="1">
    <w:p w:rsidR="00F45D6A" w:rsidRDefault="00F45D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6A" w:rsidRDefault="00F45D6A">
    <w:pPr>
      <w:pStyle w:val="Kopfzeile"/>
    </w:pPr>
    <w:r>
      <w:rPr>
        <w:noProof/>
        <w:lang w:val="de-DE"/>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31C96"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6A" w:rsidRDefault="00F45D6A" w:rsidP="00013CCE">
    <w:pPr>
      <w:pStyle w:val="Kopfzeile"/>
      <w:jc w:val="right"/>
    </w:pPr>
    <w:r>
      <w:rPr>
        <w:noProof/>
        <w:lang w:val="de-DE"/>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6A" w:rsidRDefault="00F45D6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45D6A" w:rsidRPr="002F4496" w:rsidTr="000C06C9">
      <w:trPr>
        <w:trHeight w:val="284"/>
      </w:trPr>
      <w:tc>
        <w:tcPr>
          <w:tcW w:w="8460" w:type="dxa"/>
        </w:tcPr>
        <w:p w:rsidR="00F45D6A" w:rsidRPr="000C3B6D" w:rsidRDefault="00F45D6A" w:rsidP="000C06C9">
          <w:pPr>
            <w:pStyle w:val="00Footer"/>
            <w:rPr>
              <w:lang w:val="fr-FR"/>
            </w:rPr>
          </w:pPr>
        </w:p>
      </w:tc>
      <w:tc>
        <w:tcPr>
          <w:tcW w:w="952" w:type="dxa"/>
        </w:tcPr>
        <w:p w:rsidR="00F45D6A" w:rsidRPr="00146B34" w:rsidRDefault="00F45D6A" w:rsidP="000C06C9">
          <w:pPr>
            <w:pStyle w:val="00aPagenumber"/>
            <w:rPr>
              <w:lang w:val="fr-FR"/>
            </w:rPr>
          </w:pPr>
        </w:p>
      </w:tc>
    </w:tr>
  </w:tbl>
  <w:p w:rsidR="00F45D6A" w:rsidRPr="00DB46C3" w:rsidRDefault="00F45D6A">
    <w:pPr>
      <w:rPr>
        <w:lang w:val="fr-FR"/>
      </w:rPr>
    </w:pPr>
  </w:p>
  <w:p w:rsidR="00F45D6A" w:rsidRPr="002F4496" w:rsidRDefault="00F45D6A">
    <w:pPr>
      <w:pStyle w:val="Kopfzeile"/>
      <w:rPr>
        <w:lang w:val="fr-FR"/>
      </w:rPr>
    </w:pPr>
  </w:p>
  <w:p w:rsidR="00F45D6A" w:rsidRPr="002F4496" w:rsidRDefault="00F45D6A" w:rsidP="000C06C9">
    <w:pPr>
      <w:pStyle w:val="Kopfzeile"/>
      <w:tabs>
        <w:tab w:val="clear" w:pos="4536"/>
        <w:tab w:val="clear" w:pos="9072"/>
        <w:tab w:val="left" w:pos="8227"/>
      </w:tabs>
      <w:rPr>
        <w:lang w:val="fr-FR"/>
      </w:rPr>
    </w:pPr>
  </w:p>
  <w:p w:rsidR="00F45D6A" w:rsidRPr="002F4496" w:rsidRDefault="00F45D6A" w:rsidP="00583885">
    <w:pPr>
      <w:pStyle w:val="Kopfzeile"/>
      <w:jc w:val="right"/>
      <w:rPr>
        <w:lang w:val="fr-FR"/>
      </w:rPr>
    </w:pPr>
  </w:p>
  <w:p w:rsidR="00F45D6A" w:rsidRPr="002F4496" w:rsidRDefault="00F45D6A">
    <w:pPr>
      <w:pStyle w:val="Kopfzeile"/>
      <w:rPr>
        <w:lang w:val="fr-FR"/>
      </w:rPr>
    </w:pPr>
  </w:p>
  <w:p w:rsidR="00F45D6A" w:rsidRPr="002F4496" w:rsidRDefault="00F45D6A">
    <w:pPr>
      <w:pStyle w:val="Kopfzeile"/>
      <w:rPr>
        <w:lang w:val="fr-FR"/>
      </w:rPr>
    </w:pPr>
  </w:p>
  <w:p w:rsidR="00F45D6A" w:rsidRPr="002F4496" w:rsidRDefault="00F45D6A">
    <w:pPr>
      <w:pStyle w:val="Kopfzeile"/>
      <w:rPr>
        <w:lang w:val="fr-FR"/>
      </w:rPr>
    </w:pPr>
  </w:p>
  <w:p w:rsidR="00F45D6A" w:rsidRPr="002F4496" w:rsidRDefault="00F45D6A">
    <w:pPr>
      <w:pStyle w:val="Kopfzeile"/>
      <w:rPr>
        <w:highlight w:val="yellow"/>
        <w:lang w:val="fr-FR"/>
      </w:rPr>
    </w:pPr>
  </w:p>
  <w:p w:rsidR="00F45D6A" w:rsidRDefault="00F45D6A">
    <w:pPr>
      <w:pStyle w:val="Kopfzeile"/>
    </w:pPr>
    <w:r>
      <w:rPr>
        <w:noProof/>
        <w:lang w:val="de-DE"/>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AA197"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1D568D8"/>
    <w:multiLevelType w:val="hybridMultilevel"/>
    <w:tmpl w:val="FE1AF0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EF4C9A"/>
    <w:multiLevelType w:val="hybridMultilevel"/>
    <w:tmpl w:val="04D838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E929F0"/>
    <w:multiLevelType w:val="hybridMultilevel"/>
    <w:tmpl w:val="1C926C00"/>
    <w:lvl w:ilvl="0" w:tplc="04070001">
      <w:start w:val="1"/>
      <w:numFmt w:val="bullet"/>
      <w:lvlText w:val=""/>
      <w:lvlJc w:val="left"/>
      <w:pPr>
        <w:ind w:left="720" w:hanging="360"/>
      </w:pPr>
      <w:rPr>
        <w:rFonts w:ascii="Symbol" w:hAnsi="Symbol" w:hint="default"/>
        <w:color w:val="00839A"/>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103D63"/>
    <w:multiLevelType w:val="hybridMultilevel"/>
    <w:tmpl w:val="02B67394"/>
    <w:lvl w:ilvl="0" w:tplc="62FE241E">
      <w:start w:val="1"/>
      <w:numFmt w:val="bullet"/>
      <w:pStyle w:val="AufzhlungPunkte"/>
      <w:lvlText w:val=""/>
      <w:lvlJc w:val="left"/>
      <w:pPr>
        <w:ind w:left="720" w:hanging="360"/>
      </w:pPr>
      <w:rPr>
        <w:rFonts w:ascii="Symbol" w:hAnsi="Symbol" w:hint="default"/>
        <w:color w:val="00839A"/>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CF6E25"/>
    <w:multiLevelType w:val="hybridMultilevel"/>
    <w:tmpl w:val="B0148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986843"/>
    <w:multiLevelType w:val="hybridMultilevel"/>
    <w:tmpl w:val="58564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4" w15:restartNumberingAfterBreak="0">
    <w:nsid w:val="60031858"/>
    <w:multiLevelType w:val="hybridMultilevel"/>
    <w:tmpl w:val="5D0ADECC"/>
    <w:lvl w:ilvl="0" w:tplc="BF0CD940">
      <w:start w:val="1"/>
      <w:numFmt w:val="lowerLetter"/>
      <w:lvlText w:val="%1."/>
      <w:lvlJc w:val="left"/>
      <w:pPr>
        <w:ind w:left="720" w:hanging="360"/>
      </w:pPr>
      <w:rPr>
        <w:rFonts w:cs="Times New Roman"/>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7" w15:restartNumberingAfterBreak="0">
    <w:nsid w:val="669F4122"/>
    <w:multiLevelType w:val="hybridMultilevel"/>
    <w:tmpl w:val="84D420A2"/>
    <w:lvl w:ilvl="0" w:tplc="12628C5A">
      <w:start w:val="1"/>
      <w:numFmt w:val="decimal"/>
      <w:pStyle w:val="AufzhlungNummeriert"/>
      <w:lvlText w:val="%1."/>
      <w:lvlJc w:val="left"/>
      <w:pPr>
        <w:tabs>
          <w:tab w:val="num" w:pos="142"/>
        </w:tabs>
        <w:ind w:left="644" w:hanging="360"/>
      </w:pPr>
      <w:rPr>
        <w:rFonts w:ascii="Arial" w:hAnsi="Arial" w:cs="Times New Roman" w:hint="default"/>
        <w:b/>
        <w:bCs/>
        <w:i w:val="0"/>
        <w:iCs w:val="0"/>
        <w:color w:val="1097BA"/>
        <w:sz w:val="20"/>
        <w:szCs w:val="20"/>
      </w:rPr>
    </w:lvl>
    <w:lvl w:ilvl="1" w:tplc="04070019" w:tentative="1">
      <w:start w:val="1"/>
      <w:numFmt w:val="lowerLetter"/>
      <w:lvlText w:val="%2."/>
      <w:lvlJc w:val="left"/>
      <w:pPr>
        <w:ind w:left="2007" w:hanging="360"/>
      </w:pPr>
      <w:rPr>
        <w:rFonts w:cs="Times New Roman"/>
      </w:rPr>
    </w:lvl>
    <w:lvl w:ilvl="2" w:tplc="0407001B" w:tentative="1">
      <w:start w:val="1"/>
      <w:numFmt w:val="lowerRoman"/>
      <w:lvlText w:val="%3."/>
      <w:lvlJc w:val="right"/>
      <w:pPr>
        <w:ind w:left="2727" w:hanging="180"/>
      </w:pPr>
      <w:rPr>
        <w:rFonts w:cs="Times New Roman"/>
      </w:rPr>
    </w:lvl>
    <w:lvl w:ilvl="3" w:tplc="0407000F" w:tentative="1">
      <w:start w:val="1"/>
      <w:numFmt w:val="decimal"/>
      <w:lvlText w:val="%4."/>
      <w:lvlJc w:val="left"/>
      <w:pPr>
        <w:ind w:left="3447" w:hanging="360"/>
      </w:pPr>
      <w:rPr>
        <w:rFonts w:cs="Times New Roman"/>
      </w:rPr>
    </w:lvl>
    <w:lvl w:ilvl="4" w:tplc="04070019" w:tentative="1">
      <w:start w:val="1"/>
      <w:numFmt w:val="lowerLetter"/>
      <w:lvlText w:val="%5."/>
      <w:lvlJc w:val="left"/>
      <w:pPr>
        <w:ind w:left="4167" w:hanging="360"/>
      </w:pPr>
      <w:rPr>
        <w:rFonts w:cs="Times New Roman"/>
      </w:rPr>
    </w:lvl>
    <w:lvl w:ilvl="5" w:tplc="0407001B" w:tentative="1">
      <w:start w:val="1"/>
      <w:numFmt w:val="lowerRoman"/>
      <w:lvlText w:val="%6."/>
      <w:lvlJc w:val="right"/>
      <w:pPr>
        <w:ind w:left="4887" w:hanging="180"/>
      </w:pPr>
      <w:rPr>
        <w:rFonts w:cs="Times New Roman"/>
      </w:rPr>
    </w:lvl>
    <w:lvl w:ilvl="6" w:tplc="0407000F" w:tentative="1">
      <w:start w:val="1"/>
      <w:numFmt w:val="decimal"/>
      <w:lvlText w:val="%7."/>
      <w:lvlJc w:val="left"/>
      <w:pPr>
        <w:ind w:left="5607" w:hanging="360"/>
      </w:pPr>
      <w:rPr>
        <w:rFonts w:cs="Times New Roman"/>
      </w:rPr>
    </w:lvl>
    <w:lvl w:ilvl="7" w:tplc="04070019" w:tentative="1">
      <w:start w:val="1"/>
      <w:numFmt w:val="lowerLetter"/>
      <w:lvlText w:val="%8."/>
      <w:lvlJc w:val="left"/>
      <w:pPr>
        <w:ind w:left="6327" w:hanging="360"/>
      </w:pPr>
      <w:rPr>
        <w:rFonts w:cs="Times New Roman"/>
      </w:rPr>
    </w:lvl>
    <w:lvl w:ilvl="8" w:tplc="0407001B" w:tentative="1">
      <w:start w:val="1"/>
      <w:numFmt w:val="lowerRoman"/>
      <w:lvlText w:val="%9."/>
      <w:lvlJc w:val="right"/>
      <w:pPr>
        <w:ind w:left="7047" w:hanging="180"/>
      </w:pPr>
      <w:rPr>
        <w:rFonts w:cs="Times New Roman"/>
      </w:rPr>
    </w:lvl>
  </w:abstractNum>
  <w:abstractNum w:abstractNumId="38"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6CE90301"/>
    <w:multiLevelType w:val="hybridMultilevel"/>
    <w:tmpl w:val="E5383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2"/>
  </w:num>
  <w:num w:numId="17">
    <w:abstractNumId w:val="17"/>
  </w:num>
  <w:num w:numId="18">
    <w:abstractNumId w:val="18"/>
  </w:num>
  <w:num w:numId="19">
    <w:abstractNumId w:val="20"/>
  </w:num>
  <w:num w:numId="20">
    <w:abstractNumId w:val="29"/>
  </w:num>
  <w:num w:numId="21">
    <w:abstractNumId w:val="43"/>
  </w:num>
  <w:num w:numId="22">
    <w:abstractNumId w:val="27"/>
  </w:num>
  <w:num w:numId="23">
    <w:abstractNumId w:val="10"/>
  </w:num>
  <w:num w:numId="24">
    <w:abstractNumId w:val="33"/>
  </w:num>
  <w:num w:numId="25">
    <w:abstractNumId w:val="32"/>
  </w:num>
  <w:num w:numId="26">
    <w:abstractNumId w:val="22"/>
  </w:num>
  <w:num w:numId="27">
    <w:abstractNumId w:val="38"/>
  </w:num>
  <w:num w:numId="28">
    <w:abstractNumId w:val="45"/>
  </w:num>
  <w:num w:numId="29">
    <w:abstractNumId w:val="8"/>
  </w:num>
  <w:num w:numId="30">
    <w:abstractNumId w:val="4"/>
  </w:num>
  <w:num w:numId="31">
    <w:abstractNumId w:val="24"/>
  </w:num>
  <w:num w:numId="32">
    <w:abstractNumId w:val="23"/>
  </w:num>
  <w:num w:numId="33">
    <w:abstractNumId w:val="41"/>
  </w:num>
  <w:num w:numId="34">
    <w:abstractNumId w:val="40"/>
  </w:num>
  <w:num w:numId="35">
    <w:abstractNumId w:val="6"/>
  </w:num>
  <w:num w:numId="36">
    <w:abstractNumId w:val="42"/>
  </w:num>
  <w:num w:numId="37">
    <w:abstractNumId w:val="13"/>
  </w:num>
  <w:num w:numId="38">
    <w:abstractNumId w:val="37"/>
  </w:num>
  <w:num w:numId="39">
    <w:abstractNumId w:val="39"/>
  </w:num>
  <w:num w:numId="40">
    <w:abstractNumId w:val="34"/>
  </w:num>
  <w:num w:numId="41">
    <w:abstractNumId w:val="12"/>
  </w:num>
  <w:num w:numId="42">
    <w:abstractNumId w:val="30"/>
  </w:num>
  <w:num w:numId="43">
    <w:abstractNumId w:val="1"/>
  </w:num>
  <w:num w:numId="44">
    <w:abstractNumId w:val="3"/>
  </w:num>
  <w:num w:numId="45">
    <w:abstractNumId w:val="1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19"/>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4B82"/>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6F70"/>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37289"/>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B54"/>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0BAB"/>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5766"/>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78"/>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B7D32"/>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0F09"/>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56649"/>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3EF4"/>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221C"/>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D78"/>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17077"/>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3A3B"/>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4E4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4D8"/>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569"/>
    <w:rsid w:val="00B66C26"/>
    <w:rsid w:val="00B67829"/>
    <w:rsid w:val="00B71FB3"/>
    <w:rsid w:val="00B73492"/>
    <w:rsid w:val="00B7512A"/>
    <w:rsid w:val="00B76548"/>
    <w:rsid w:val="00B76BED"/>
    <w:rsid w:val="00B806E6"/>
    <w:rsid w:val="00B82DC1"/>
    <w:rsid w:val="00B8350D"/>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3A0F"/>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926"/>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87AB0"/>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28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599E"/>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512E"/>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5D6A"/>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393"/>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1C8A"/>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7E9AFD38"/>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6C30"/>
    <w:rPr>
      <w:rFonts w:ascii="Arial" w:hAnsi="Arial"/>
      <w:szCs w:val="24"/>
      <w:lang w:eastAsia="de-DE"/>
    </w:rPr>
  </w:style>
  <w:style w:type="paragraph" w:styleId="berschrift1">
    <w:name w:val="heading 1"/>
    <w:basedOn w:val="Standard"/>
    <w:next w:val="Standard"/>
    <w:link w:val="berschrift1Zchn"/>
    <w:qFormat/>
    <w:locked/>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lock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Paragraphe de liste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jc w:val="both"/>
    </w:pPr>
    <w:rPr>
      <w:b/>
      <w:szCs w:val="20"/>
      <w:u w:val="single"/>
    </w:rPr>
  </w:style>
  <w:style w:type="paragraph" w:customStyle="1" w:styleId="Bullet">
    <w:name w:val="Bullet"/>
    <w:basedOn w:val="Standard"/>
    <w:locke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locked/>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Standard"/>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locked/>
    <w:rsid w:val="000D2D0B"/>
    <w:pPr>
      <w:spacing w:before="120" w:after="120"/>
      <w:ind w:left="850"/>
      <w:jc w:val="both"/>
    </w:pPr>
    <w:rPr>
      <w:rFonts w:ascii="Times New Roman" w:hAnsi="Times New Roman"/>
      <w:sz w:val="24"/>
      <w:lang w:eastAsia="en-US"/>
    </w:rPr>
  </w:style>
  <w:style w:type="paragraph" w:customStyle="1" w:styleId="Text2">
    <w:name w:val="Text 2"/>
    <w:basedOn w:val="Standard"/>
    <w:locked/>
    <w:rsid w:val="000D2D0B"/>
    <w:pPr>
      <w:spacing w:before="120" w:after="120"/>
      <w:ind w:left="1417"/>
      <w:jc w:val="both"/>
    </w:pPr>
    <w:rPr>
      <w:rFonts w:ascii="Times New Roman" w:hAnsi="Times New Roman"/>
      <w:sz w:val="24"/>
      <w:lang w:eastAsia="en-US"/>
    </w:rPr>
  </w:style>
  <w:style w:type="paragraph" w:customStyle="1" w:styleId="Text3">
    <w:name w:val="Text 3"/>
    <w:basedOn w:val="Standard"/>
    <w:locked/>
    <w:rsid w:val="000D2D0B"/>
    <w:pPr>
      <w:spacing w:before="120" w:after="120"/>
      <w:ind w:left="1984"/>
      <w:jc w:val="both"/>
    </w:pPr>
    <w:rPr>
      <w:rFonts w:ascii="Times New Roman" w:hAnsi="Times New Roman"/>
      <w:sz w:val="24"/>
      <w:lang w:eastAsia="en-US"/>
    </w:rPr>
  </w:style>
  <w:style w:type="paragraph" w:customStyle="1" w:styleId="Text4">
    <w:name w:val="Text 4"/>
    <w:basedOn w:val="Standard"/>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locke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Standard"/>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locked/>
    <w:rsid w:val="000D2D0B"/>
    <w:pPr>
      <w:spacing w:after="240"/>
    </w:pPr>
    <w:rPr>
      <w:rFonts w:ascii="Times New Roman" w:hAnsi="Times New Roman"/>
      <w:sz w:val="24"/>
      <w:lang w:eastAsia="en-US"/>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locke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locked/>
    <w:rsid w:val="000D2D0B"/>
    <w:rPr>
      <w:rFonts w:cs="Arial"/>
      <w:sz w:val="24"/>
      <w:lang w:eastAsia="en-US"/>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Standard"/>
    <w:locked/>
    <w:rsid w:val="000D2D0B"/>
    <w:pPr>
      <w:jc w:val="center"/>
    </w:pPr>
    <w:rPr>
      <w:rFonts w:ascii="Times New Roman" w:hAnsi="Times New Roman"/>
      <w:b/>
      <w:sz w:val="24"/>
      <w:lang w:eastAsia="en-US"/>
    </w:rPr>
  </w:style>
  <w:style w:type="paragraph" w:customStyle="1" w:styleId="Statut">
    <w:name w:val="Statut"/>
    <w:basedOn w:val="Standard"/>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locke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lang w:eastAsia="en-US"/>
    </w:rPr>
  </w:style>
  <w:style w:type="paragraph" w:customStyle="1" w:styleId="Rfrencecroise">
    <w:name w:val="Référence croisée"/>
    <w:basedOn w:val="Standard"/>
    <w:locke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lang w:eastAsia="en-US"/>
    </w:rPr>
  </w:style>
  <w:style w:type="paragraph" w:styleId="Listennummer2">
    <w:name w:val="List Number 2"/>
    <w:basedOn w:val="Standard"/>
    <w:locke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locke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eastAsia="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AufzhlungNummeriert">
    <w:name w:val="Aufzählung Nummeriert"/>
    <w:basedOn w:val="Standard"/>
    <w:rsid w:val="00AC3A3B"/>
    <w:pPr>
      <w:numPr>
        <w:numId w:val="38"/>
      </w:numPr>
      <w:spacing w:after="230" w:line="276" w:lineRule="auto"/>
    </w:pPr>
    <w:rPr>
      <w:rFonts w:ascii="Calibri" w:eastAsia="????" w:hAnsi="Calibri"/>
      <w:noProof/>
      <w:color w:val="000000"/>
      <w:szCs w:val="20"/>
      <w:lang w:val="de-DE" w:eastAsia="ja-JP"/>
    </w:rPr>
  </w:style>
  <w:style w:type="paragraph" w:customStyle="1" w:styleId="AufzhlungPunkte">
    <w:name w:val="Aufzählung Punkte"/>
    <w:basedOn w:val="Standard"/>
    <w:rsid w:val="00AC3A3B"/>
    <w:pPr>
      <w:numPr>
        <w:numId w:val="37"/>
      </w:numPr>
      <w:spacing w:after="230" w:line="276" w:lineRule="auto"/>
      <w:ind w:left="709" w:hanging="425"/>
    </w:pPr>
    <w:rPr>
      <w:rFonts w:ascii="Calibri" w:eastAsia="????" w:hAnsi="Calibri"/>
      <w:noProof/>
      <w:color w:val="000000"/>
      <w:szCs w:val="20"/>
      <w:lang w:val="de-DE" w:eastAsia="ja-JP"/>
    </w:rPr>
  </w:style>
  <w:style w:type="paragraph" w:customStyle="1" w:styleId="TextStellungnahme">
    <w:name w:val="Text Stellungnahme"/>
    <w:basedOn w:val="Standard"/>
    <w:rsid w:val="00AC3A3B"/>
    <w:pPr>
      <w:spacing w:after="230" w:line="276" w:lineRule="auto"/>
    </w:pPr>
    <w:rPr>
      <w:rFonts w:ascii="Calibri" w:eastAsia="????" w:hAnsi="Calibri"/>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office/2006/documentManagement/types"/>
    <ds:schemaRef ds:uri="http://schemas.microsoft.com/office/2006/metadata/properties"/>
    <ds:schemaRef ds:uri="http://schemas.microsoft.com/office/infopath/2007/PartnerControls"/>
    <ds:schemaRef ds:uri="http://schemas.microsoft.com/sharepoint/v4"/>
    <ds:schemaRef ds:uri="http://www.w3.org/XML/1998/namespace"/>
    <ds:schemaRef ds:uri="20fbe147-bbda-4e53-b6b1-7e8bbff3fe19"/>
    <ds:schemaRef ds:uri="http://purl.org/dc/dcmitype/"/>
    <ds:schemaRef ds:uri="http://schemas.openxmlformats.org/package/2006/metadata/core-properties"/>
    <ds:schemaRef ds:uri="http://purl.org/dc/terms/"/>
    <ds:schemaRef ds:uri="http://schemas.microsoft.com/sharepoint/v3"/>
    <ds:schemaRef ds:uri="http://purl.org/dc/elements/1.1/"/>
  </ds:schemaRefs>
</ds:datastoreItem>
</file>

<file path=customXml/itemProps5.xml><?xml version="1.0" encoding="utf-8"?>
<ds:datastoreItem xmlns:ds="http://schemas.openxmlformats.org/officeDocument/2006/customXml" ds:itemID="{A35FFCD0-2DBD-4D63-BD4B-4BABD8B1FB5C}">
  <ds:schemaRefs>
    <ds:schemaRef ds:uri="http://schemas.openxmlformats.org/officeDocument/2006/bibliography"/>
  </ds:schemaRefs>
</ds:datastoreItem>
</file>

<file path=customXml/itemProps6.xml><?xml version="1.0" encoding="utf-8"?>
<ds:datastoreItem xmlns:ds="http://schemas.openxmlformats.org/officeDocument/2006/customXml" ds:itemID="{27DE7FAD-3AE0-4B8D-8FBD-03468EB6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9468</Words>
  <Characters>53144</Characters>
  <Application>Microsoft Office Word</Application>
  <DocSecurity>8</DocSecurity>
  <Lines>442</Lines>
  <Paragraphs>124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62488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Fey, Dr. Gerrit</cp:lastModifiedBy>
  <cp:revision>3</cp:revision>
  <cp:lastPrinted>2015-02-18T11:01:00Z</cp:lastPrinted>
  <dcterms:created xsi:type="dcterms:W3CDTF">2019-11-29T13:15:00Z</dcterms:created>
  <dcterms:modified xsi:type="dcterms:W3CDTF">2019-11-29T13:52:00Z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