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rPr>
        <w:id w:val="-973058580"/>
        <w:docPartObj>
          <w:docPartGallery w:val="Cover Pages"/>
          <w:docPartUnique/>
        </w:docPartObj>
      </w:sdtPr>
      <w:sdtEndPr>
        <w:rPr>
          <w:highlight w:val="yellow"/>
        </w:rPr>
      </w:sdtEndPr>
      <w:sdtContent>
        <w:p w14:paraId="4C0E96A4" w14:textId="77777777" w:rsidR="00AF2EF7" w:rsidRPr="00B8572C" w:rsidRDefault="00AF2EF7" w:rsidP="00FE360A">
          <w:pPr>
            <w:widowControl w:val="0"/>
            <w:spacing w:line="276" w:lineRule="auto"/>
            <w:rPr>
              <w:rFonts w:asciiTheme="minorHAnsi" w:hAnsiTheme="minorHAnsi" w:cstheme="minorHAnsi"/>
              <w:color w:val="FF0000"/>
            </w:rPr>
          </w:pPr>
        </w:p>
        <w:p w14:paraId="66B5FD19" w14:textId="77777777" w:rsidR="00AF2EF7" w:rsidRPr="00B8572C" w:rsidRDefault="00AF2EF7" w:rsidP="00FE360A">
          <w:pPr>
            <w:widowControl w:val="0"/>
            <w:spacing w:after="120" w:line="276" w:lineRule="auto"/>
            <w:rPr>
              <w:rFonts w:asciiTheme="minorHAnsi" w:hAnsiTheme="minorHAnsi" w:cstheme="minorHAnsi"/>
            </w:rPr>
          </w:pPr>
        </w:p>
        <w:p w14:paraId="6EBB9B05" w14:textId="77777777" w:rsidR="00AF2EF7" w:rsidRPr="00B8572C" w:rsidRDefault="00AF2EF7" w:rsidP="00FE360A">
          <w:pPr>
            <w:widowControl w:val="0"/>
            <w:spacing w:line="276" w:lineRule="auto"/>
            <w:rPr>
              <w:rFonts w:asciiTheme="minorHAnsi" w:hAnsiTheme="minorHAnsi" w:cstheme="minorHAnsi"/>
            </w:rPr>
          </w:pPr>
        </w:p>
        <w:p w14:paraId="2E370115" w14:textId="77777777" w:rsidR="00AF2EF7" w:rsidRPr="00B8572C" w:rsidRDefault="00AF2EF7" w:rsidP="00FE360A">
          <w:pPr>
            <w:widowControl w:val="0"/>
            <w:spacing w:line="276" w:lineRule="auto"/>
            <w:rPr>
              <w:rFonts w:asciiTheme="minorHAnsi" w:hAnsiTheme="minorHAnsi" w:cstheme="minorHAnsi"/>
            </w:rPr>
          </w:pPr>
        </w:p>
        <w:p w14:paraId="0F315C9F" w14:textId="77777777" w:rsidR="00AF2EF7" w:rsidRPr="00B8572C" w:rsidRDefault="00AF2EF7" w:rsidP="00FE360A">
          <w:pPr>
            <w:widowControl w:val="0"/>
            <w:spacing w:line="276" w:lineRule="auto"/>
            <w:rPr>
              <w:rFonts w:asciiTheme="minorHAnsi" w:hAnsiTheme="minorHAnsi" w:cstheme="minorHAnsi"/>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AF2EF7" w:rsidRPr="00B8572C" w14:paraId="66EF92DF" w14:textId="77777777" w:rsidTr="00D13661">
            <w:trPr>
              <w:trHeight w:hRule="exact" w:val="1492"/>
            </w:trPr>
            <w:tc>
              <w:tcPr>
                <w:tcW w:w="10490" w:type="dxa"/>
                <w:vAlign w:val="bottom"/>
              </w:tcPr>
              <w:p w14:paraId="73BAF901" w14:textId="77777777" w:rsidR="00AF2EF7" w:rsidRPr="00B8572C" w:rsidRDefault="00C1698A" w:rsidP="00FE360A">
                <w:pPr>
                  <w:pStyle w:val="Title"/>
                  <w:widowControl w:val="0"/>
                  <w:spacing w:line="276" w:lineRule="auto"/>
                  <w:ind w:right="854"/>
                  <w:rPr>
                    <w:rFonts w:asciiTheme="minorHAnsi" w:hAnsiTheme="minorHAnsi" w:cstheme="minorHAnsi"/>
                    <w:sz w:val="48"/>
                    <w:szCs w:val="48"/>
                  </w:rPr>
                </w:pPr>
                <w:r>
                  <w:rPr>
                    <w:rFonts w:asciiTheme="minorHAnsi" w:hAnsiTheme="minorHAnsi" w:cstheme="minorHAnsi"/>
                    <w:sz w:val="48"/>
                    <w:szCs w:val="48"/>
                  </w:rPr>
                  <w:t xml:space="preserve">Response Form to the </w:t>
                </w:r>
                <w:r w:rsidR="008B2AF1">
                  <w:rPr>
                    <w:rFonts w:asciiTheme="minorHAnsi" w:hAnsiTheme="minorHAnsi" w:cstheme="minorHAnsi"/>
                    <w:sz w:val="48"/>
                    <w:szCs w:val="48"/>
                  </w:rPr>
                  <w:t xml:space="preserve">Consultation Paper </w:t>
                </w:r>
              </w:p>
            </w:tc>
          </w:tr>
          <w:tr w:rsidR="00AB6157" w:rsidRPr="00B8572C" w14:paraId="7C19A346" w14:textId="77777777" w:rsidTr="00D13661">
            <w:trPr>
              <w:trHeight w:hRule="exact" w:val="747"/>
            </w:trPr>
            <w:tc>
              <w:tcPr>
                <w:tcW w:w="10490" w:type="dxa"/>
                <w:tcMar>
                  <w:top w:w="142" w:type="dxa"/>
                </w:tcMar>
              </w:tcPr>
              <w:p w14:paraId="0FE26A6D" w14:textId="77777777" w:rsidR="00AB6157" w:rsidRPr="00B8572C" w:rsidRDefault="001F23C9" w:rsidP="00FE360A">
                <w:pPr>
                  <w:pStyle w:val="Heading2"/>
                  <w:keepNext w:val="0"/>
                  <w:widowControl w:val="0"/>
                  <w:numPr>
                    <w:ilvl w:val="0"/>
                    <w:numId w:val="0"/>
                  </w:numPr>
                  <w:spacing w:before="0"/>
                </w:pPr>
                <w:r w:rsidRPr="00FC3F6B">
                  <w:rPr>
                    <w:rFonts w:cs="Arial"/>
                  </w:rPr>
                  <w:t>Guidelines on performance fees in UCITS</w:t>
                </w:r>
                <w:r w:rsidRPr="00B8572C">
                  <w:t xml:space="preserve"> </w:t>
                </w:r>
              </w:p>
            </w:tc>
          </w:tr>
        </w:tbl>
        <w:p w14:paraId="7E999FCC" w14:textId="77777777" w:rsidR="00AF2EF7" w:rsidRPr="00B8572C" w:rsidRDefault="00AF2EF7" w:rsidP="00FE360A">
          <w:pPr>
            <w:widowControl w:val="0"/>
            <w:spacing w:line="276" w:lineRule="auto"/>
            <w:rPr>
              <w:rFonts w:asciiTheme="minorHAnsi" w:hAnsiTheme="minorHAnsi" w:cstheme="minorHAnsi"/>
            </w:rPr>
          </w:pPr>
        </w:p>
        <w:p w14:paraId="6694608D" w14:textId="77777777" w:rsidR="00AF2EF7" w:rsidRPr="00B8572C" w:rsidRDefault="00AF2EF7" w:rsidP="00FE360A">
          <w:pPr>
            <w:widowControl w:val="0"/>
            <w:spacing w:line="276" w:lineRule="auto"/>
            <w:rPr>
              <w:rFonts w:asciiTheme="minorHAnsi" w:hAnsiTheme="minorHAnsi" w:cstheme="minorHAnsi"/>
            </w:rPr>
            <w:sectPr w:rsidR="00AF2EF7" w:rsidRPr="00B8572C" w:rsidSect="007E7997">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NumType w:start="0"/>
              <w:cols w:space="708"/>
              <w:titlePg/>
              <w:docGrid w:linePitch="360"/>
            </w:sectPr>
          </w:pPr>
        </w:p>
        <w:p w14:paraId="6548DC69" w14:textId="77777777" w:rsidR="00AF2EF7" w:rsidRPr="00B8572C" w:rsidRDefault="00AF2EF7" w:rsidP="00FE360A">
          <w:pPr>
            <w:widowControl w:val="0"/>
            <w:numPr>
              <w:ilvl w:val="1"/>
              <w:numId w:val="0"/>
            </w:numPr>
            <w:spacing w:after="250" w:line="276" w:lineRule="auto"/>
            <w:jc w:val="both"/>
            <w:rPr>
              <w:rFonts w:asciiTheme="majorHAnsi" w:eastAsiaTheme="majorEastAsia" w:hAnsiTheme="majorHAnsi" w:cstheme="majorBidi"/>
              <w:b/>
              <w:sz w:val="28"/>
              <w:lang w:eastAsia="en-US"/>
            </w:rPr>
          </w:pPr>
        </w:p>
        <w:p w14:paraId="373C8428" w14:textId="77777777" w:rsidR="00AF2EF7" w:rsidRPr="00B8572C" w:rsidRDefault="00AF2EF7" w:rsidP="00FE360A">
          <w:pPr>
            <w:widowControl w:val="0"/>
            <w:numPr>
              <w:ilvl w:val="1"/>
              <w:numId w:val="0"/>
            </w:numPr>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p>
        <w:p w14:paraId="27A6CE78" w14:textId="77777777" w:rsidR="00AB6157" w:rsidRPr="00AB6157" w:rsidRDefault="00AB6157" w:rsidP="00FE360A">
          <w:pPr>
            <w:widowControl w:val="0"/>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w:t>
          </w:r>
          <w:r w:rsidR="001F23C9">
            <w:rPr>
              <w:rFonts w:asciiTheme="minorHAnsi" w:eastAsiaTheme="minorEastAsia" w:hAnsiTheme="minorHAnsi" w:cstheme="minorBidi"/>
              <w:sz w:val="22"/>
              <w:szCs w:val="20"/>
              <w:lang w:eastAsia="en-US"/>
            </w:rPr>
            <w:t xml:space="preserve">consultation </w:t>
          </w:r>
          <w:r w:rsidRPr="00AB6157">
            <w:rPr>
              <w:rFonts w:asciiTheme="minorHAnsi" w:eastAsiaTheme="minorEastAsia" w:hAnsiTheme="minorHAnsi" w:cstheme="minorBidi"/>
              <w:sz w:val="22"/>
              <w:szCs w:val="20"/>
              <w:lang w:eastAsia="en-US"/>
            </w:rPr>
            <w:t xml:space="preserve">paper and </w:t>
          </w:r>
          <w:proofErr w:type="gramStart"/>
          <w:r w:rsidRPr="001F23C9">
            <w:rPr>
              <w:rFonts w:asciiTheme="minorHAnsi" w:eastAsiaTheme="minorEastAsia" w:hAnsiTheme="minorHAnsi" w:cstheme="minorBidi"/>
              <w:sz w:val="22"/>
              <w:szCs w:val="20"/>
              <w:u w:val="dottedHeavy" w:color="BF8F00" w:themeColor="accent4" w:themeShade="BF"/>
              <w:lang w:eastAsia="en-US"/>
            </w:rPr>
            <w:t>in particular on</w:t>
          </w:r>
          <w:proofErr w:type="gramEnd"/>
          <w:r w:rsidRPr="00AB6157">
            <w:rPr>
              <w:rFonts w:asciiTheme="minorHAnsi" w:eastAsiaTheme="minorEastAsia" w:hAnsiTheme="minorHAnsi" w:cstheme="minorBidi"/>
              <w:sz w:val="22"/>
              <w:szCs w:val="20"/>
              <w:lang w:eastAsia="en-US"/>
            </w:rPr>
            <w:t xml:space="preserve"> the specific questions summarised in Annex </w:t>
          </w:r>
          <w:r w:rsidR="00220938" w:rsidRPr="00220938">
            <w:rPr>
              <w:rFonts w:asciiTheme="minorHAnsi" w:eastAsiaTheme="minorEastAsia" w:hAnsiTheme="minorHAnsi" w:cstheme="minorBidi"/>
              <w:sz w:val="22"/>
              <w:szCs w:val="20"/>
              <w:lang w:eastAsia="en-US"/>
            </w:rPr>
            <w:t>I</w:t>
          </w:r>
          <w:r w:rsidRPr="00AB6157">
            <w:rPr>
              <w:rFonts w:asciiTheme="minorHAnsi" w:eastAsiaTheme="minorEastAsia" w:hAnsiTheme="minorHAnsi" w:cstheme="minorBidi"/>
              <w:sz w:val="22"/>
              <w:szCs w:val="20"/>
              <w:lang w:eastAsia="en-US"/>
            </w:rPr>
            <w:t>. Comments are most helpful if they:</w:t>
          </w:r>
        </w:p>
        <w:p w14:paraId="454BA690" w14:textId="77777777" w:rsidR="00AB6157" w:rsidRPr="00AB6157" w:rsidRDefault="00AB6157" w:rsidP="00FE360A">
          <w:pPr>
            <w:widowControl w:val="0"/>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0241BB68" w14:textId="77777777" w:rsidR="00AB6157" w:rsidRPr="00AB6157" w:rsidRDefault="00AB6157" w:rsidP="00FE360A">
          <w:pPr>
            <w:widowControl w:val="0"/>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2EBF3722" w14:textId="77777777" w:rsidR="00AB6157" w:rsidRPr="00AB6157" w:rsidRDefault="00AB6157" w:rsidP="00FE360A">
          <w:pPr>
            <w:widowControl w:val="0"/>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78B2EF96" w14:textId="77777777" w:rsidR="00AB6157" w:rsidRPr="00AB6157" w:rsidRDefault="00AB6157" w:rsidP="00FE360A">
          <w:pPr>
            <w:widowControl w:val="0"/>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39E5557" w14:textId="77777777" w:rsidR="00AB6157" w:rsidRPr="00AB6157" w:rsidRDefault="00AB6157" w:rsidP="00FE360A">
          <w:pPr>
            <w:widowControl w:val="0"/>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received by </w:t>
          </w:r>
          <w:r w:rsidR="001F23C9" w:rsidRPr="001F23C9">
            <w:rPr>
              <w:rFonts w:asciiTheme="minorHAnsi" w:eastAsiaTheme="minorEastAsia" w:hAnsiTheme="minorHAnsi" w:cstheme="minorBidi"/>
              <w:b/>
              <w:sz w:val="22"/>
              <w:szCs w:val="20"/>
              <w:lang w:eastAsia="en-US"/>
            </w:rPr>
            <w:t>31/10/2019</w:t>
          </w:r>
          <w:r w:rsidRPr="001F23C9">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6C3CAA38" w14:textId="77777777" w:rsidR="00AB6157" w:rsidRPr="00AB6157" w:rsidRDefault="00AB6157" w:rsidP="00FE360A">
          <w:pPr>
            <w:widowControl w:val="0"/>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7"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6E5B0859" w14:textId="77777777" w:rsidR="00C85C8B" w:rsidRPr="00C85C8B" w:rsidRDefault="00C85C8B" w:rsidP="00FE360A">
          <w:pPr>
            <w:widowControl w:val="0"/>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355C2EA7" w14:textId="77777777" w:rsidR="00C85C8B" w:rsidRPr="00C85C8B" w:rsidRDefault="00C85C8B" w:rsidP="00FE360A">
          <w:pPr>
            <w:widowControl w:val="0"/>
            <w:spacing w:after="250" w:line="276" w:lineRule="auto"/>
            <w:jc w:val="both"/>
            <w:rPr>
              <w:rFonts w:asciiTheme="minorHAnsi" w:eastAsiaTheme="minorEastAsia" w:hAnsiTheme="minorHAnsi" w:cstheme="minorBidi"/>
              <w:sz w:val="22"/>
              <w:szCs w:val="20"/>
              <w:lang w:eastAsia="en-US"/>
            </w:rPr>
          </w:pPr>
          <w:proofErr w:type="gramStart"/>
          <w:r w:rsidRPr="00C85C8B">
            <w:rPr>
              <w:rFonts w:asciiTheme="minorHAnsi" w:eastAsiaTheme="minorEastAsia" w:hAnsiTheme="minorHAnsi" w:cstheme="minorBidi"/>
              <w:sz w:val="22"/>
              <w:szCs w:val="20"/>
              <w:lang w:eastAsia="en-US"/>
            </w:rPr>
            <w:t>In order to</w:t>
          </w:r>
          <w:proofErr w:type="gramEnd"/>
          <w:r w:rsidRPr="00C85C8B">
            <w:rPr>
              <w:rFonts w:asciiTheme="minorHAnsi" w:eastAsiaTheme="minorEastAsia" w:hAnsiTheme="minorHAnsi" w:cstheme="minorBidi"/>
              <w:sz w:val="22"/>
              <w:szCs w:val="20"/>
              <w:lang w:eastAsia="en-US"/>
            </w:rPr>
            <w:t xml:space="preserve"> facilitate analysis of responses to the Consultation Paper, respondents are requested to follow the below steps when preparing and submitting their response:</w:t>
          </w:r>
        </w:p>
        <w:p w14:paraId="2C767AEF" w14:textId="77777777" w:rsidR="00C85C8B" w:rsidRPr="00C85C8B" w:rsidRDefault="00C85C8B" w:rsidP="00215534">
          <w:pPr>
            <w:pStyle w:val="ListParagraph"/>
            <w:numPr>
              <w:ilvl w:val="0"/>
              <w:numId w:val="12"/>
            </w:numPr>
            <w:rPr>
              <w:rFonts w:eastAsiaTheme="minorEastAsia"/>
              <w:lang w:eastAsia="en-US"/>
            </w:rPr>
          </w:pPr>
          <w:r w:rsidRPr="00C85C8B">
            <w:rPr>
              <w:rFonts w:eastAsiaTheme="minorEastAsia"/>
              <w:lang w:eastAsia="en-US"/>
            </w:rPr>
            <w:t xml:space="preserve">Insert your responses to the questions in the Consultation Paper in the present response form. </w:t>
          </w:r>
        </w:p>
        <w:p w14:paraId="5856FA7D" w14:textId="77777777" w:rsidR="00C85C8B" w:rsidRPr="00C85C8B" w:rsidRDefault="00C85C8B" w:rsidP="00215534">
          <w:pPr>
            <w:pStyle w:val="ListParagraph"/>
            <w:numPr>
              <w:ilvl w:val="0"/>
              <w:numId w:val="12"/>
            </w:numPr>
            <w:rPr>
              <w:rFonts w:eastAsiaTheme="minorEastAsia"/>
              <w:lang w:eastAsia="en-US"/>
            </w:rPr>
          </w:pPr>
          <w:r w:rsidRPr="00C85C8B">
            <w:rPr>
              <w:rFonts w:eastAsiaTheme="minorEastAsia"/>
              <w:lang w:eastAsia="en-US"/>
            </w:rPr>
            <w:t>Please do not remove t</w:t>
          </w:r>
          <w:r>
            <w:rPr>
              <w:rFonts w:eastAsiaTheme="minorEastAsia"/>
              <w:lang w:eastAsia="en-US"/>
            </w:rPr>
            <w:t>ags of the type &lt;ESMA_QUESTION_</w:t>
          </w:r>
          <w:r w:rsidR="001F23C9">
            <w:rPr>
              <w:rFonts w:eastAsiaTheme="minorEastAsia"/>
              <w:lang w:eastAsia="en-US"/>
            </w:rPr>
            <w:t>PFG</w:t>
          </w:r>
          <w:r w:rsidRPr="00C85C8B">
            <w:rPr>
              <w:rFonts w:eastAsiaTheme="minorEastAsia"/>
              <w:lang w:eastAsia="en-US"/>
            </w:rPr>
            <w:t xml:space="preserve">_1&gt;. Your response to each question </w:t>
          </w:r>
          <w:proofErr w:type="gramStart"/>
          <w:r w:rsidRPr="00C85C8B">
            <w:rPr>
              <w:rFonts w:eastAsiaTheme="minorEastAsia"/>
              <w:lang w:eastAsia="en-US"/>
            </w:rPr>
            <w:t>has to</w:t>
          </w:r>
          <w:proofErr w:type="gramEnd"/>
          <w:r w:rsidRPr="00C85C8B">
            <w:rPr>
              <w:rFonts w:eastAsiaTheme="minorEastAsia"/>
              <w:lang w:eastAsia="en-US"/>
            </w:rPr>
            <w:t xml:space="preserve"> be framed by the two tags corresponding to the question.</w:t>
          </w:r>
        </w:p>
        <w:p w14:paraId="1BD47B2F" w14:textId="77777777" w:rsidR="00C85C8B" w:rsidRPr="00C85C8B" w:rsidRDefault="00C85C8B" w:rsidP="00215534">
          <w:pPr>
            <w:pStyle w:val="ListParagraph"/>
            <w:numPr>
              <w:ilvl w:val="0"/>
              <w:numId w:val="12"/>
            </w:numPr>
            <w:rPr>
              <w:rFonts w:eastAsiaTheme="minorEastAsia"/>
              <w:lang w:eastAsia="en-US"/>
            </w:rPr>
          </w:pPr>
          <w:r w:rsidRPr="00C85C8B">
            <w:rPr>
              <w:rFonts w:eastAsiaTheme="minorEastAsia"/>
              <w:lang w:eastAsia="en-US"/>
            </w:rPr>
            <w:t>If you do not wish to respond to a given question, please do not delete it but simply leave the text “TYPE YOUR TEXT HERE” between the tags.</w:t>
          </w:r>
        </w:p>
        <w:p w14:paraId="41867185" w14:textId="77777777" w:rsidR="00C85C8B" w:rsidRPr="00C85C8B" w:rsidRDefault="00C85C8B" w:rsidP="00215534">
          <w:pPr>
            <w:pStyle w:val="ListParagraph"/>
            <w:numPr>
              <w:ilvl w:val="0"/>
              <w:numId w:val="12"/>
            </w:numPr>
            <w:rPr>
              <w:rFonts w:eastAsiaTheme="minorEastAsia"/>
              <w:lang w:eastAsia="en-US"/>
            </w:rPr>
          </w:pPr>
          <w:r w:rsidRPr="00C85C8B">
            <w:rPr>
              <w:rFonts w:eastAsiaTheme="minorEastAsia"/>
              <w:lang w:eastAsia="en-US"/>
            </w:rPr>
            <w:t xml:space="preserve">When you have drafted your response, name your response form according to </w:t>
          </w:r>
          <w:r>
            <w:rPr>
              <w:rFonts w:eastAsiaTheme="minorEastAsia"/>
              <w:lang w:eastAsia="en-US"/>
            </w:rPr>
            <w:t xml:space="preserve">the following convention: </w:t>
          </w:r>
          <w:proofErr w:type="spellStart"/>
          <w:r>
            <w:rPr>
              <w:rFonts w:eastAsiaTheme="minorEastAsia"/>
              <w:lang w:eastAsia="en-US"/>
            </w:rPr>
            <w:t>ESMA_</w:t>
          </w:r>
          <w:r w:rsidR="001F23C9">
            <w:rPr>
              <w:rFonts w:eastAsiaTheme="minorEastAsia"/>
              <w:lang w:eastAsia="en-US"/>
            </w:rPr>
            <w:t>PFG</w:t>
          </w:r>
          <w:r w:rsidRPr="00C85C8B">
            <w:rPr>
              <w:rFonts w:eastAsiaTheme="minorEastAsia"/>
              <w:lang w:eastAsia="en-US"/>
            </w:rPr>
            <w:t>_nameofrespondent_RESPONSEFORM</w:t>
          </w:r>
          <w:proofErr w:type="spellEnd"/>
          <w:r w:rsidRPr="00C85C8B">
            <w:rPr>
              <w:rFonts w:eastAsiaTheme="minorEastAsia"/>
              <w:lang w:eastAsia="en-US"/>
            </w:rPr>
            <w:t>. For example, for a respondent named ABCD, the response</w:t>
          </w:r>
          <w:r>
            <w:rPr>
              <w:rFonts w:eastAsiaTheme="minorEastAsia"/>
              <w:lang w:eastAsia="en-US"/>
            </w:rPr>
            <w:t xml:space="preserve"> form would be entitled ESMA_</w:t>
          </w:r>
          <w:r w:rsidR="001F23C9">
            <w:rPr>
              <w:rFonts w:eastAsiaTheme="minorEastAsia"/>
              <w:lang w:eastAsia="en-US"/>
            </w:rPr>
            <w:t>PFG</w:t>
          </w:r>
          <w:r w:rsidRPr="00C85C8B">
            <w:rPr>
              <w:rFonts w:eastAsiaTheme="minorEastAsia"/>
              <w:lang w:eastAsia="en-US"/>
            </w:rPr>
            <w:t>_ABCD_RESPONSEFORM.</w:t>
          </w:r>
        </w:p>
        <w:p w14:paraId="5DBDE50A" w14:textId="77777777" w:rsidR="00C85C8B" w:rsidRPr="00C85C8B" w:rsidRDefault="00C85C8B" w:rsidP="00215534">
          <w:pPr>
            <w:pStyle w:val="ListParagraph"/>
            <w:numPr>
              <w:ilvl w:val="0"/>
              <w:numId w:val="12"/>
            </w:numPr>
            <w:rPr>
              <w:rFonts w:eastAsiaTheme="minorEastAsia"/>
              <w:lang w:eastAsia="en-US"/>
            </w:rPr>
          </w:pPr>
          <w:r w:rsidRPr="00C85C8B">
            <w:rPr>
              <w:rFonts w:eastAsiaTheme="minorEastAsia"/>
              <w:lang w:eastAsia="en-US"/>
            </w:rPr>
            <w:t>Upload the form containing your responses, in Word format, to ESMA’s website (</w:t>
          </w:r>
          <w:hyperlink r:id="rId18" w:history="1">
            <w:r w:rsidRPr="00C85C8B">
              <w:rPr>
                <w:rFonts w:eastAsiaTheme="minorEastAsia"/>
                <w:lang w:eastAsia="en-US"/>
              </w:rPr>
              <w:t>www.esma.europa.eu</w:t>
            </w:r>
          </w:hyperlink>
          <w:r w:rsidRPr="00C85C8B">
            <w:rPr>
              <w:rFonts w:eastAsiaTheme="minorEastAsia"/>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lang w:eastAsia="en-US"/>
            </w:rPr>
            <w:t xml:space="preserve"> “Consultation on </w:t>
          </w:r>
          <w:r w:rsidR="00AB6157">
            <w:rPr>
              <w:rFonts w:eastAsiaTheme="minorEastAsia"/>
              <w:lang w:eastAsia="en-US"/>
            </w:rPr>
            <w:t>Position limits and position management in commodities derivatives</w:t>
          </w:r>
          <w:r w:rsidRPr="00C85C8B">
            <w:rPr>
              <w:rFonts w:eastAsiaTheme="minorEastAsia"/>
              <w:lang w:eastAsia="en-US"/>
            </w:rPr>
            <w:t>”).</w:t>
          </w:r>
        </w:p>
        <w:p w14:paraId="1454F3E4" w14:textId="77777777" w:rsidR="00977B01" w:rsidRDefault="00977B01" w:rsidP="00FE360A">
          <w:pPr>
            <w:widowControl w:val="0"/>
            <w:spacing w:after="250" w:line="276" w:lineRule="auto"/>
            <w:jc w:val="both"/>
            <w:rPr>
              <w:rFonts w:asciiTheme="minorHAnsi" w:eastAsiaTheme="minorEastAsia" w:hAnsiTheme="minorHAnsi" w:cstheme="minorBidi"/>
              <w:b/>
              <w:sz w:val="22"/>
              <w:szCs w:val="20"/>
              <w:lang w:eastAsia="en-US"/>
            </w:rPr>
          </w:pPr>
        </w:p>
        <w:p w14:paraId="7F44C694" w14:textId="5F2E7540" w:rsidR="00AF2EF7" w:rsidRPr="00B8572C" w:rsidRDefault="00AF2EF7" w:rsidP="00FE360A">
          <w:pPr>
            <w:widowControl w:val="0"/>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Publication of responses</w:t>
          </w:r>
        </w:p>
        <w:p w14:paraId="0C831334" w14:textId="77777777" w:rsidR="00AB6157" w:rsidRPr="00AB6157" w:rsidRDefault="00AB6157" w:rsidP="00FE360A">
          <w:pPr>
            <w:widowControl w:val="0"/>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received will be published following the close of the consultation, unless you request otherwise. Please clearly and prominently indicate in your submission any part you do not wish to be </w:t>
          </w:r>
          <w:proofErr w:type="spellStart"/>
          <w:r w:rsidRPr="00AB6157">
            <w:rPr>
              <w:rFonts w:asciiTheme="minorHAnsi" w:eastAsiaTheme="minorEastAsia" w:hAnsiTheme="minorHAnsi" w:cstheme="minorBidi"/>
              <w:sz w:val="22"/>
              <w:szCs w:val="20"/>
              <w:lang w:eastAsia="en-US"/>
            </w:rPr>
            <w:t>publically</w:t>
          </w:r>
          <w:proofErr w:type="spellEnd"/>
          <w:r w:rsidRPr="00AB6157">
            <w:rPr>
              <w:rFonts w:asciiTheme="minorHAnsi" w:eastAsiaTheme="minorEastAsia" w:hAnsiTheme="minorHAnsi" w:cstheme="minorBidi"/>
              <w:sz w:val="22"/>
              <w:szCs w:val="20"/>
              <w:lang w:eastAsia="en-US"/>
            </w:rPr>
            <w:t xml:space="preserve">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B847A0D" w14:textId="77777777" w:rsidR="00AF2EF7" w:rsidRPr="00B8572C" w:rsidRDefault="00AF2EF7" w:rsidP="00FE360A">
          <w:pPr>
            <w:widowControl w:val="0"/>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lastRenderedPageBreak/>
            <w:t>Data protection</w:t>
          </w:r>
        </w:p>
        <w:p w14:paraId="444AF520" w14:textId="77777777" w:rsidR="00AB6157" w:rsidRPr="00AB6157" w:rsidRDefault="00AB6157" w:rsidP="00FE360A">
          <w:pPr>
            <w:widowControl w:val="0"/>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19"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20"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0AAAB381" w14:textId="77777777" w:rsidR="00AF2EF7" w:rsidRPr="00B8572C" w:rsidRDefault="00AF2EF7" w:rsidP="00FE360A">
          <w:pPr>
            <w:widowControl w:val="0"/>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 xml:space="preserve">Who should read this </w:t>
          </w:r>
          <w:proofErr w:type="gramStart"/>
          <w:r w:rsidRPr="00B8572C">
            <w:rPr>
              <w:rFonts w:asciiTheme="minorHAnsi" w:eastAsiaTheme="minorEastAsia" w:hAnsiTheme="minorHAnsi" w:cstheme="minorBidi"/>
              <w:b/>
              <w:sz w:val="22"/>
              <w:szCs w:val="20"/>
              <w:lang w:eastAsia="en-US"/>
            </w:rPr>
            <w:t>paper</w:t>
          </w:r>
          <w:proofErr w:type="gramEnd"/>
        </w:p>
        <w:p w14:paraId="51B51E66" w14:textId="77777777" w:rsidR="00AF2EF7" w:rsidRPr="00B8572C" w:rsidRDefault="001F23C9" w:rsidP="00FE360A">
          <w:pPr>
            <w:widowControl w:val="0"/>
            <w:spacing w:after="250" w:line="276" w:lineRule="auto"/>
            <w:jc w:val="both"/>
            <w:rPr>
              <w:rFonts w:asciiTheme="minorHAnsi" w:hAnsiTheme="minorHAnsi" w:cstheme="minorHAnsi"/>
            </w:rPr>
          </w:pPr>
          <w:r w:rsidRPr="001F23C9">
            <w:rPr>
              <w:rFonts w:ascii="Arial" w:hAnsi="Arial" w:cs="Arial"/>
              <w:sz w:val="22"/>
              <w:szCs w:val="22"/>
              <w:lang w:eastAsia="it-IT"/>
            </w:rPr>
            <w:t>This document will be of interest to asset managers managing retail funds and their trade associations, as well as institutional and retail investors investing into such funds and their associations.</w:t>
          </w:r>
        </w:p>
      </w:sdtContent>
    </w:sdt>
    <w:p w14:paraId="2C5C1449" w14:textId="77777777" w:rsidR="00AF2EF7" w:rsidRPr="00B8572C" w:rsidRDefault="00AF2EF7" w:rsidP="00FE360A">
      <w:pPr>
        <w:widowControl w:val="0"/>
        <w:spacing w:after="120" w:line="276" w:lineRule="auto"/>
        <w:rPr>
          <w:rFonts w:asciiTheme="minorHAnsi" w:hAnsiTheme="minorHAnsi" w:cstheme="minorHAnsi"/>
        </w:rPr>
      </w:pPr>
    </w:p>
    <w:p w14:paraId="6382F734" w14:textId="77777777" w:rsidR="00AF2EF7" w:rsidRPr="00B8572C" w:rsidRDefault="00AF2EF7" w:rsidP="00FE360A">
      <w:pPr>
        <w:widowControl w:val="0"/>
        <w:spacing w:after="120" w:line="276" w:lineRule="auto"/>
        <w:rPr>
          <w:rFonts w:asciiTheme="minorHAnsi" w:hAnsiTheme="minorHAnsi" w:cstheme="minorHAnsi"/>
        </w:rPr>
      </w:pPr>
    </w:p>
    <w:p w14:paraId="3252790E" w14:textId="77777777" w:rsidR="00AF2EF7" w:rsidRPr="00C1698A" w:rsidRDefault="00AF2EF7" w:rsidP="00FE360A">
      <w:pPr>
        <w:pStyle w:val="Heading1"/>
        <w:keepNext w:val="0"/>
        <w:widowControl w:val="0"/>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77550E15" w14:textId="77777777" w:rsidR="00C85C8B" w:rsidRPr="00C85C8B" w:rsidRDefault="00C85C8B" w:rsidP="00FE360A">
      <w:pPr>
        <w:keepLines/>
        <w:widowControl w:val="0"/>
        <w:spacing w:before="320" w:after="250" w:line="276" w:lineRule="auto"/>
        <w:jc w:val="both"/>
        <w:outlineLvl w:val="0"/>
        <w:rPr>
          <w:rFonts w:asciiTheme="majorHAnsi" w:eastAsiaTheme="majorEastAsia" w:hAnsiTheme="majorHAnsi" w:cstheme="majorBidi"/>
          <w:b/>
          <w:sz w:val="32"/>
          <w:szCs w:val="32"/>
          <w:lang w:eastAsia="en-US"/>
        </w:rPr>
      </w:pPr>
      <w:bookmarkStart w:id="0" w:name="_Toc515564428"/>
      <w:r w:rsidRPr="00C85C8B">
        <w:rPr>
          <w:rFonts w:asciiTheme="majorHAnsi" w:eastAsiaTheme="majorEastAsia" w:hAnsiTheme="majorHAnsi" w:cstheme="majorBidi"/>
          <w:b/>
          <w:sz w:val="32"/>
          <w:szCs w:val="32"/>
          <w:lang w:eastAsia="en-US"/>
        </w:rP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314792" w:rsidRPr="00C85C8B" w14:paraId="7646C53B" w14:textId="77777777" w:rsidTr="00DD6E61">
        <w:tc>
          <w:tcPr>
            <w:tcW w:w="3929" w:type="dxa"/>
            <w:shd w:val="clear" w:color="auto" w:fill="auto"/>
          </w:tcPr>
          <w:p w14:paraId="6148B3DF" w14:textId="77777777" w:rsidR="00314792" w:rsidRPr="00C85C8B" w:rsidRDefault="00314792" w:rsidP="00FE360A">
            <w:pPr>
              <w:widowControl w:val="0"/>
              <w:rPr>
                <w:rFonts w:ascii="Arial" w:hAnsi="Arial" w:cs="Arial"/>
                <w:sz w:val="22"/>
                <w:lang w:eastAsia="de-DE"/>
              </w:rPr>
            </w:pPr>
            <w:permStart w:id="696744915"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871797746"/>
            <w:text/>
          </w:sdtPr>
          <w:sdtEndPr/>
          <w:sdtContent>
            <w:tc>
              <w:tcPr>
                <w:tcW w:w="5595" w:type="dxa"/>
                <w:shd w:val="clear" w:color="auto" w:fill="auto"/>
              </w:tcPr>
              <w:p w14:paraId="3D2958F7" w14:textId="77777777" w:rsidR="00314792" w:rsidRPr="00C85C8B" w:rsidRDefault="00314792" w:rsidP="00FE360A">
                <w:pPr>
                  <w:widowControl w:val="0"/>
                  <w:rPr>
                    <w:rFonts w:ascii="Arial" w:hAnsi="Arial" w:cs="Arial"/>
                    <w:color w:val="808080"/>
                    <w:sz w:val="20"/>
                    <w:lang w:eastAsia="de-DE"/>
                  </w:rPr>
                </w:pPr>
                <w:r>
                  <w:rPr>
                    <w:rFonts w:ascii="Arial" w:hAnsi="Arial" w:cs="Arial"/>
                    <w:color w:val="808080"/>
                    <w:sz w:val="20"/>
                    <w:lang w:eastAsia="de-DE"/>
                  </w:rPr>
                  <w:t>Irish Funds</w:t>
                </w:r>
              </w:p>
            </w:tc>
          </w:sdtContent>
        </w:sdt>
      </w:tr>
      <w:tr w:rsidR="00314792" w:rsidRPr="00C85C8B" w14:paraId="0CC32B41" w14:textId="77777777" w:rsidTr="00DD6E61">
        <w:tc>
          <w:tcPr>
            <w:tcW w:w="3929" w:type="dxa"/>
            <w:shd w:val="clear" w:color="auto" w:fill="auto"/>
          </w:tcPr>
          <w:p w14:paraId="14096FE8" w14:textId="77777777" w:rsidR="00314792" w:rsidRPr="00C85C8B" w:rsidRDefault="00314792" w:rsidP="00FE360A">
            <w:pPr>
              <w:widowControl w:val="0"/>
              <w:rPr>
                <w:rFonts w:ascii="Arial" w:hAnsi="Arial" w:cs="Arial"/>
                <w:sz w:val="22"/>
                <w:lang w:eastAsia="de-DE"/>
              </w:rPr>
            </w:pPr>
            <w:permStart w:id="1854431130" w:edGrp="everyone" w:colFirst="1" w:colLast="1"/>
            <w:permEnd w:id="696744915"/>
            <w:r w:rsidRPr="00C85C8B">
              <w:rPr>
                <w:rFonts w:ascii="Arial" w:hAnsi="Arial" w:cs="Arial"/>
                <w:sz w:val="22"/>
                <w:lang w:eastAsia="de-DE"/>
              </w:rPr>
              <w:t>Activity</w:t>
            </w:r>
          </w:p>
        </w:tc>
        <w:tc>
          <w:tcPr>
            <w:tcW w:w="5595" w:type="dxa"/>
            <w:shd w:val="clear" w:color="auto" w:fill="auto"/>
          </w:tcPr>
          <w:p w14:paraId="4916DA58" w14:textId="77777777" w:rsidR="00314792" w:rsidRPr="00C85C8B" w:rsidRDefault="00EA6C24" w:rsidP="00FE360A">
            <w:pPr>
              <w:widowControl w:val="0"/>
              <w:rPr>
                <w:rFonts w:ascii="Arial" w:hAnsi="Arial" w:cs="Arial"/>
                <w:sz w:val="20"/>
                <w:lang w:eastAsia="de-DE"/>
              </w:rPr>
            </w:pPr>
            <w:sdt>
              <w:sdtPr>
                <w:rPr>
                  <w:rFonts w:ascii="Arial" w:hAnsi="Arial" w:cs="Arial"/>
                  <w:sz w:val="20"/>
                  <w:lang w:eastAsia="de-DE"/>
                </w:rPr>
                <w:alias w:val="Activity"/>
                <w:tag w:val="Activity"/>
                <w:id w:val="170744920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314792">
                  <w:rPr>
                    <w:rFonts w:ascii="Arial" w:hAnsi="Arial" w:cs="Arial"/>
                    <w:sz w:val="20"/>
                    <w:lang w:eastAsia="de-DE"/>
                  </w:rPr>
                  <w:t>Investment Services</w:t>
                </w:r>
              </w:sdtContent>
            </w:sdt>
          </w:p>
        </w:tc>
      </w:tr>
      <w:tr w:rsidR="00314792" w:rsidRPr="00C85C8B" w14:paraId="4372E1D5" w14:textId="77777777" w:rsidTr="00DD6E61">
        <w:tc>
          <w:tcPr>
            <w:tcW w:w="3929" w:type="dxa"/>
            <w:shd w:val="clear" w:color="auto" w:fill="auto"/>
          </w:tcPr>
          <w:p w14:paraId="365F0274" w14:textId="77777777" w:rsidR="00314792" w:rsidRPr="00C85C8B" w:rsidRDefault="00314792" w:rsidP="00FE360A">
            <w:pPr>
              <w:widowControl w:val="0"/>
              <w:rPr>
                <w:rFonts w:ascii="Arial" w:hAnsi="Arial" w:cs="Arial"/>
                <w:sz w:val="22"/>
                <w:lang w:eastAsia="de-DE"/>
              </w:rPr>
            </w:pPr>
            <w:permStart w:id="987575574" w:edGrp="everyone" w:colFirst="1" w:colLast="1"/>
            <w:permEnd w:id="1854431130"/>
            <w:r w:rsidRPr="00C85C8B">
              <w:rPr>
                <w:rFonts w:ascii="Arial" w:hAnsi="Arial" w:cs="Arial"/>
                <w:sz w:val="22"/>
                <w:lang w:eastAsia="de-DE"/>
              </w:rPr>
              <w:t>Are you representing an association?</w:t>
            </w:r>
          </w:p>
        </w:tc>
        <w:sdt>
          <w:sdtPr>
            <w:rPr>
              <w:rFonts w:ascii="Arial" w:hAnsi="Arial" w:cs="Arial"/>
              <w:sz w:val="20"/>
              <w:lang w:eastAsia="de-DE"/>
            </w:rPr>
            <w:id w:val="-1579820045"/>
            <w14:checkbox>
              <w14:checked w14:val="1"/>
              <w14:checkedState w14:val="2612" w14:font="MS Gothic"/>
              <w14:uncheckedState w14:val="2610" w14:font="MS Gothic"/>
            </w14:checkbox>
          </w:sdtPr>
          <w:sdtEndPr/>
          <w:sdtContent>
            <w:tc>
              <w:tcPr>
                <w:tcW w:w="5595" w:type="dxa"/>
                <w:shd w:val="clear" w:color="auto" w:fill="auto"/>
              </w:tcPr>
              <w:p w14:paraId="75EDEB90" w14:textId="77777777" w:rsidR="00314792" w:rsidRPr="00C85C8B" w:rsidRDefault="00314792" w:rsidP="00FE360A">
                <w:pPr>
                  <w:widowControl w:val="0"/>
                  <w:rPr>
                    <w:rFonts w:ascii="Arial" w:hAnsi="Arial" w:cs="Arial"/>
                    <w:sz w:val="20"/>
                    <w:lang w:eastAsia="de-DE"/>
                  </w:rPr>
                </w:pPr>
                <w:r>
                  <w:rPr>
                    <w:rFonts w:ascii="MS Gothic" w:eastAsia="MS Gothic" w:hAnsi="MS Gothic" w:cs="Arial" w:hint="eastAsia"/>
                    <w:sz w:val="20"/>
                    <w:lang w:eastAsia="de-DE"/>
                  </w:rPr>
                  <w:t>☒</w:t>
                </w:r>
              </w:p>
            </w:tc>
          </w:sdtContent>
        </w:sdt>
      </w:tr>
      <w:tr w:rsidR="00314792" w:rsidRPr="00C85C8B" w14:paraId="3F639737" w14:textId="77777777" w:rsidTr="00DD6E61">
        <w:tc>
          <w:tcPr>
            <w:tcW w:w="3929" w:type="dxa"/>
            <w:shd w:val="clear" w:color="auto" w:fill="auto"/>
          </w:tcPr>
          <w:p w14:paraId="294E7F39" w14:textId="77777777" w:rsidR="00314792" w:rsidRPr="00C85C8B" w:rsidRDefault="00314792" w:rsidP="00FE360A">
            <w:pPr>
              <w:widowControl w:val="0"/>
              <w:rPr>
                <w:rFonts w:ascii="Arial" w:hAnsi="Arial" w:cs="Arial"/>
                <w:sz w:val="22"/>
                <w:lang w:eastAsia="de-DE"/>
              </w:rPr>
            </w:pPr>
            <w:permStart w:id="504330728" w:edGrp="everyone" w:colFirst="1" w:colLast="1"/>
            <w:permEnd w:id="987575574"/>
            <w:r w:rsidRPr="00C85C8B">
              <w:rPr>
                <w:rFonts w:ascii="Arial" w:hAnsi="Arial" w:cs="Arial"/>
                <w:sz w:val="22"/>
                <w:lang w:eastAsia="de-DE"/>
              </w:rPr>
              <w:t>Country/Region</w:t>
            </w:r>
          </w:p>
        </w:tc>
        <w:sdt>
          <w:sdtPr>
            <w:rPr>
              <w:rFonts w:ascii="Arial" w:hAnsi="Arial" w:cs="Arial"/>
              <w:sz w:val="20"/>
              <w:lang w:eastAsia="de-DE"/>
            </w:rPr>
            <w:alias w:val="Country"/>
            <w:tag w:val="Country"/>
            <w:id w:val="1709365455"/>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43737530" w14:textId="77777777" w:rsidR="00314792" w:rsidRPr="00C85C8B" w:rsidRDefault="00314792" w:rsidP="00FE360A">
                <w:pPr>
                  <w:widowControl w:val="0"/>
                  <w:rPr>
                    <w:rFonts w:ascii="Arial" w:hAnsi="Arial" w:cs="Arial"/>
                    <w:sz w:val="20"/>
                    <w:lang w:eastAsia="de-DE"/>
                  </w:rPr>
                </w:pPr>
                <w:r>
                  <w:rPr>
                    <w:rFonts w:ascii="Arial" w:hAnsi="Arial" w:cs="Arial"/>
                    <w:sz w:val="20"/>
                    <w:lang w:eastAsia="de-DE"/>
                  </w:rPr>
                  <w:t>Ireland</w:t>
                </w:r>
              </w:p>
            </w:tc>
          </w:sdtContent>
        </w:sdt>
      </w:tr>
      <w:permEnd w:id="504330728"/>
    </w:tbl>
    <w:p w14:paraId="0D59E1C3" w14:textId="77777777" w:rsidR="00C85C8B" w:rsidRPr="00C85C8B" w:rsidRDefault="00C85C8B" w:rsidP="00FE360A">
      <w:pPr>
        <w:widowControl w:val="0"/>
        <w:spacing w:after="120" w:line="264" w:lineRule="auto"/>
        <w:jc w:val="both"/>
        <w:rPr>
          <w:rFonts w:asciiTheme="minorHAnsi" w:eastAsiaTheme="minorEastAsia" w:hAnsiTheme="minorHAnsi" w:cstheme="minorBidi"/>
          <w:sz w:val="22"/>
          <w:szCs w:val="20"/>
          <w:lang w:eastAsia="en-US"/>
        </w:rPr>
      </w:pPr>
    </w:p>
    <w:p w14:paraId="67D97C4B" w14:textId="77777777" w:rsidR="00C85C8B" w:rsidRPr="00C85C8B" w:rsidRDefault="00C85C8B" w:rsidP="00FE360A">
      <w:pPr>
        <w:keepLines/>
        <w:widowControl w:val="0"/>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1D824255" w14:textId="77777777" w:rsidR="00C85C8B" w:rsidRPr="00C85C8B" w:rsidRDefault="00C85C8B" w:rsidP="00FE360A">
      <w:pPr>
        <w:widowControl w:val="0"/>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29377EBD" w14:textId="77777777" w:rsidR="00C85C8B" w:rsidRPr="00C85C8B" w:rsidRDefault="00C85C8B" w:rsidP="00FE360A">
      <w:pPr>
        <w:widowControl w:val="0"/>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1F23C9">
        <w:rPr>
          <w:rFonts w:asciiTheme="minorHAnsi" w:eastAsiaTheme="minorEastAsia" w:hAnsiTheme="minorHAnsi" w:cstheme="minorBidi"/>
          <w:sz w:val="22"/>
          <w:szCs w:val="20"/>
          <w:lang w:eastAsia="en-US"/>
        </w:rPr>
        <w:t>PFG</w:t>
      </w:r>
      <w:r w:rsidRPr="00C85C8B">
        <w:rPr>
          <w:rFonts w:asciiTheme="minorHAnsi" w:eastAsiaTheme="minorEastAsia" w:hAnsiTheme="minorHAnsi" w:cstheme="minorBidi"/>
          <w:sz w:val="22"/>
          <w:szCs w:val="20"/>
          <w:lang w:eastAsia="en-US"/>
        </w:rPr>
        <w:t>_1&gt;</w:t>
      </w:r>
    </w:p>
    <w:p w14:paraId="71D967F4" w14:textId="429ADEEC" w:rsidR="005E0DE2" w:rsidRDefault="00572E72" w:rsidP="00FE360A">
      <w:pPr>
        <w:widowControl w:val="0"/>
        <w:spacing w:after="250" w:line="276" w:lineRule="auto"/>
        <w:jc w:val="both"/>
        <w:rPr>
          <w:rFonts w:asciiTheme="minorHAnsi" w:eastAsiaTheme="minorEastAsia" w:hAnsiTheme="minorHAnsi" w:cstheme="minorBidi"/>
          <w:b/>
          <w:sz w:val="22"/>
          <w:szCs w:val="20"/>
          <w:lang w:eastAsia="en-US"/>
        </w:rPr>
      </w:pPr>
      <w:r>
        <w:rPr>
          <w:rFonts w:ascii="Arial" w:hAnsi="Arial" w:cs="Arial"/>
          <w:sz w:val="22"/>
          <w:szCs w:val="22"/>
        </w:rPr>
        <w:t>[</w:t>
      </w:r>
      <w:r w:rsidR="005E0DE2">
        <w:rPr>
          <w:rFonts w:ascii="Arial" w:hAnsi="Arial" w:cs="Arial"/>
          <w:sz w:val="22"/>
          <w:szCs w:val="22"/>
        </w:rPr>
        <w:t>The Irish Funds Industry Association (</w:t>
      </w:r>
      <w:r w:rsidR="005E0DE2">
        <w:rPr>
          <w:rFonts w:ascii="Arial" w:hAnsi="Arial" w:cs="Arial"/>
          <w:b/>
          <w:sz w:val="22"/>
          <w:szCs w:val="22"/>
        </w:rPr>
        <w:t>Irish Funds</w:t>
      </w:r>
      <w:r w:rsidR="005E0DE2">
        <w:rPr>
          <w:rFonts w:ascii="Arial" w:hAnsi="Arial" w:cs="Arial"/>
          <w:sz w:val="22"/>
          <w:szCs w:val="22"/>
        </w:rPr>
        <w:t>) is the representative body for the international investment fund community in Ireland. Our members include fund managers, fund administrators, transfer agents, depositaries, professional advisory firms and other specialist firms involved in the international fund services industry in Ireland.</w:t>
      </w:r>
    </w:p>
    <w:p w14:paraId="3C75FDF1" w14:textId="7DB03B0C" w:rsidR="005E0DE2" w:rsidRDefault="005E0DE2" w:rsidP="00FE360A">
      <w:pPr>
        <w:widowControl w:val="0"/>
        <w:spacing w:after="250" w:line="276" w:lineRule="auto"/>
        <w:jc w:val="both"/>
        <w:rPr>
          <w:rFonts w:ascii="Arial" w:hAnsi="Arial" w:cs="Arial"/>
          <w:sz w:val="22"/>
          <w:szCs w:val="22"/>
        </w:rPr>
      </w:pPr>
      <w:r>
        <w:rPr>
          <w:rFonts w:ascii="Arial" w:hAnsi="Arial" w:cs="Arial"/>
          <w:sz w:val="22"/>
          <w:szCs w:val="22"/>
        </w:rPr>
        <w:t xml:space="preserve">Ireland is a leading centre for the domiciliation, management and administration of collective investment vehicles, with industry companies providing services to collective investment vehicles with assets totalling </w:t>
      </w:r>
      <w:proofErr w:type="gramStart"/>
      <w:r>
        <w:rPr>
          <w:rFonts w:ascii="Arial" w:hAnsi="Arial" w:cs="Arial"/>
          <w:sz w:val="22"/>
          <w:szCs w:val="22"/>
        </w:rPr>
        <w:t>in excess of</w:t>
      </w:r>
      <w:proofErr w:type="gramEnd"/>
      <w:r>
        <w:rPr>
          <w:rFonts w:ascii="Arial" w:hAnsi="Arial" w:cs="Arial"/>
          <w:sz w:val="22"/>
          <w:szCs w:val="22"/>
        </w:rPr>
        <w:t xml:space="preserve"> €4.7 trillion. The funds industry is highly regulated and the ability to provide a well-regulated environment for investment funds and investment fund services is a substantial and proven part of Ireland’s international financial services offering. </w:t>
      </w:r>
    </w:p>
    <w:p w14:paraId="159BDB99" w14:textId="77777777" w:rsidR="005E0DE2" w:rsidRPr="00E24FE3" w:rsidRDefault="005E0DE2" w:rsidP="00FE360A">
      <w:pPr>
        <w:widowControl w:val="0"/>
        <w:spacing w:after="250" w:line="276" w:lineRule="auto"/>
        <w:jc w:val="both"/>
        <w:rPr>
          <w:rFonts w:ascii="Arial" w:hAnsi="Arial" w:cs="Arial"/>
          <w:sz w:val="22"/>
          <w:szCs w:val="22"/>
          <w:lang w:val="en-IE"/>
        </w:rPr>
      </w:pPr>
      <w:r>
        <w:rPr>
          <w:rFonts w:ascii="Arial" w:hAnsi="Arial" w:cs="Arial"/>
          <w:sz w:val="22"/>
          <w:szCs w:val="22"/>
        </w:rPr>
        <w:t>We welcome the opportunity to provide comment on the consultation on guidelines on performance fees in UCITS (</w:t>
      </w:r>
      <w:r>
        <w:rPr>
          <w:rFonts w:ascii="Arial" w:hAnsi="Arial" w:cs="Arial"/>
          <w:b/>
          <w:sz w:val="22"/>
          <w:szCs w:val="22"/>
        </w:rPr>
        <w:t>Guidelines</w:t>
      </w:r>
      <w:r>
        <w:rPr>
          <w:rFonts w:ascii="Arial" w:hAnsi="Arial" w:cs="Arial"/>
          <w:sz w:val="22"/>
          <w:szCs w:val="22"/>
        </w:rPr>
        <w:t>). Set out below in this introductory section are observations on matters which we believe to be pertinent to the drafting of the Guidelines and which are not incorporated in responses to any of the specific questions set out in the Consultation Paper.</w:t>
      </w:r>
    </w:p>
    <w:p w14:paraId="17443648" w14:textId="0008214C" w:rsidR="005E0DE2" w:rsidRDefault="005E0DE2" w:rsidP="00FE360A">
      <w:pPr>
        <w:widowControl w:val="0"/>
        <w:spacing w:after="250" w:line="276" w:lineRule="auto"/>
        <w:jc w:val="both"/>
        <w:rPr>
          <w:rFonts w:ascii="Arial" w:hAnsi="Arial" w:cs="Arial"/>
          <w:b/>
          <w:sz w:val="22"/>
          <w:szCs w:val="22"/>
        </w:rPr>
      </w:pPr>
      <w:r>
        <w:rPr>
          <w:rFonts w:ascii="Arial" w:hAnsi="Arial" w:cs="Arial"/>
          <w:b/>
          <w:sz w:val="22"/>
          <w:szCs w:val="22"/>
        </w:rPr>
        <w:t>Models Flexibility</w:t>
      </w:r>
    </w:p>
    <w:p w14:paraId="52F20EB0" w14:textId="35F7DB7E" w:rsidR="00CA6C03" w:rsidRDefault="00CA6C03" w:rsidP="00FE360A">
      <w:pPr>
        <w:widowControl w:val="0"/>
        <w:spacing w:after="250" w:line="276" w:lineRule="auto"/>
        <w:jc w:val="both"/>
        <w:rPr>
          <w:rFonts w:ascii="Arial" w:hAnsi="Arial" w:cs="Arial"/>
          <w:b/>
          <w:sz w:val="22"/>
          <w:szCs w:val="22"/>
        </w:rPr>
      </w:pPr>
      <w:r>
        <w:rPr>
          <w:rFonts w:ascii="Arial" w:hAnsi="Arial" w:cs="Arial"/>
          <w:b/>
          <w:sz w:val="22"/>
          <w:szCs w:val="22"/>
        </w:rPr>
        <w:t>Possible updated wording</w:t>
      </w:r>
    </w:p>
    <w:p w14:paraId="53AAEEC0" w14:textId="0F4FB560" w:rsidR="00781693" w:rsidRDefault="00CA6C03" w:rsidP="00FE360A">
      <w:pPr>
        <w:widowControl w:val="0"/>
        <w:spacing w:after="250" w:line="276" w:lineRule="auto"/>
        <w:jc w:val="both"/>
        <w:rPr>
          <w:rFonts w:ascii="Arial" w:hAnsi="Arial" w:cs="Arial"/>
          <w:sz w:val="22"/>
          <w:szCs w:val="22"/>
        </w:rPr>
      </w:pPr>
      <w:r>
        <w:rPr>
          <w:rFonts w:ascii="Arial" w:hAnsi="Arial" w:cs="Arial"/>
          <w:sz w:val="22"/>
          <w:szCs w:val="22"/>
        </w:rPr>
        <w:t>The Irish Funds industry broadly welcomes these new principles-based guidelines. We support their underlying objectives and feel they will have a positive impact in terms of both investor protection and aligning stakeholder interests.</w:t>
      </w:r>
    </w:p>
    <w:p w14:paraId="60ACB936" w14:textId="03743FFA" w:rsidR="00D82683" w:rsidRDefault="00FD07AB" w:rsidP="00FE360A">
      <w:pPr>
        <w:widowControl w:val="0"/>
        <w:spacing w:after="250" w:line="276" w:lineRule="auto"/>
        <w:jc w:val="both"/>
        <w:rPr>
          <w:rFonts w:ascii="Arial" w:hAnsi="Arial" w:cs="Arial"/>
          <w:sz w:val="22"/>
          <w:szCs w:val="22"/>
        </w:rPr>
      </w:pPr>
      <w:r>
        <w:rPr>
          <w:rFonts w:ascii="Arial" w:hAnsi="Arial" w:cs="Arial"/>
          <w:sz w:val="22"/>
          <w:szCs w:val="22"/>
        </w:rPr>
        <w:t xml:space="preserve">UCITS attract investors with differing levels of sophistication and tolerances to risk </w:t>
      </w:r>
      <w:r w:rsidR="002F7969">
        <w:rPr>
          <w:rFonts w:ascii="Arial" w:hAnsi="Arial" w:cs="Arial"/>
          <w:sz w:val="22"/>
          <w:szCs w:val="22"/>
        </w:rPr>
        <w:t xml:space="preserve">and reward </w:t>
      </w:r>
      <w:r>
        <w:rPr>
          <w:rFonts w:ascii="Arial" w:hAnsi="Arial" w:cs="Arial"/>
          <w:sz w:val="22"/>
          <w:szCs w:val="22"/>
        </w:rPr>
        <w:t xml:space="preserve">(both retail and institutional). Therefore, management companies </w:t>
      </w:r>
      <w:r w:rsidR="00781693">
        <w:rPr>
          <w:rFonts w:ascii="Arial" w:hAnsi="Arial" w:cs="Arial"/>
          <w:sz w:val="22"/>
          <w:szCs w:val="22"/>
        </w:rPr>
        <w:t>need to</w:t>
      </w:r>
      <w:r w:rsidR="00DA342C">
        <w:rPr>
          <w:rFonts w:ascii="Arial" w:hAnsi="Arial" w:cs="Arial"/>
          <w:sz w:val="22"/>
          <w:szCs w:val="22"/>
        </w:rPr>
        <w:t xml:space="preserve"> be able to establish UCITS product</w:t>
      </w:r>
      <w:r w:rsidR="00781693">
        <w:rPr>
          <w:rFonts w:ascii="Arial" w:hAnsi="Arial" w:cs="Arial"/>
          <w:sz w:val="22"/>
          <w:szCs w:val="22"/>
        </w:rPr>
        <w:t>s</w:t>
      </w:r>
      <w:r w:rsidR="00DA342C">
        <w:rPr>
          <w:rFonts w:ascii="Arial" w:hAnsi="Arial" w:cs="Arial"/>
          <w:sz w:val="22"/>
          <w:szCs w:val="22"/>
        </w:rPr>
        <w:t xml:space="preserve"> that meet the </w:t>
      </w:r>
      <w:r>
        <w:rPr>
          <w:rFonts w:ascii="Arial" w:hAnsi="Arial" w:cs="Arial"/>
          <w:sz w:val="22"/>
          <w:szCs w:val="22"/>
        </w:rPr>
        <w:t>need</w:t>
      </w:r>
      <w:r w:rsidR="00DA342C">
        <w:rPr>
          <w:rFonts w:ascii="Arial" w:hAnsi="Arial" w:cs="Arial"/>
          <w:sz w:val="22"/>
          <w:szCs w:val="22"/>
        </w:rPr>
        <w:t xml:space="preserve">s of its </w:t>
      </w:r>
      <w:r w:rsidR="002F7969">
        <w:rPr>
          <w:rFonts w:ascii="Arial" w:hAnsi="Arial" w:cs="Arial"/>
          <w:sz w:val="22"/>
          <w:szCs w:val="22"/>
        </w:rPr>
        <w:t xml:space="preserve">broad </w:t>
      </w:r>
      <w:r w:rsidR="00DA342C">
        <w:rPr>
          <w:rFonts w:ascii="Arial" w:hAnsi="Arial" w:cs="Arial"/>
          <w:sz w:val="22"/>
          <w:szCs w:val="22"/>
        </w:rPr>
        <w:t>investo</w:t>
      </w:r>
      <w:r w:rsidR="00781693">
        <w:rPr>
          <w:rFonts w:ascii="Arial" w:hAnsi="Arial" w:cs="Arial"/>
          <w:sz w:val="22"/>
          <w:szCs w:val="22"/>
        </w:rPr>
        <w:t xml:space="preserve">r base. Restricting model flexibility could have the unintended consequence of causing a divergence in the interests of the management company and investor. </w:t>
      </w:r>
      <w:r w:rsidR="00D82683">
        <w:rPr>
          <w:rFonts w:ascii="Arial" w:hAnsi="Arial" w:cs="Arial"/>
          <w:sz w:val="22"/>
          <w:szCs w:val="22"/>
        </w:rPr>
        <w:t>The final guidelines should allow t</w:t>
      </w:r>
      <w:r w:rsidR="00781693">
        <w:rPr>
          <w:rFonts w:ascii="Arial" w:hAnsi="Arial" w:cs="Arial"/>
          <w:sz w:val="22"/>
          <w:szCs w:val="22"/>
        </w:rPr>
        <w:t xml:space="preserve">he management company </w:t>
      </w:r>
      <w:r w:rsidR="00D82683">
        <w:rPr>
          <w:rFonts w:ascii="Arial" w:hAnsi="Arial" w:cs="Arial"/>
          <w:sz w:val="22"/>
          <w:szCs w:val="22"/>
        </w:rPr>
        <w:t xml:space="preserve">to </w:t>
      </w:r>
      <w:r w:rsidR="00781693">
        <w:rPr>
          <w:rFonts w:ascii="Arial" w:hAnsi="Arial" w:cs="Arial"/>
          <w:sz w:val="22"/>
          <w:szCs w:val="22"/>
        </w:rPr>
        <w:t>be</w:t>
      </w:r>
      <w:r w:rsidR="00D82683">
        <w:rPr>
          <w:rFonts w:ascii="Arial" w:hAnsi="Arial" w:cs="Arial"/>
          <w:sz w:val="22"/>
          <w:szCs w:val="22"/>
        </w:rPr>
        <w:t xml:space="preserve"> able to tailor its</w:t>
      </w:r>
      <w:r w:rsidR="00781693">
        <w:rPr>
          <w:rFonts w:ascii="Arial" w:hAnsi="Arial" w:cs="Arial"/>
          <w:sz w:val="22"/>
          <w:szCs w:val="22"/>
        </w:rPr>
        <w:t xml:space="preserve"> performance fee model</w:t>
      </w:r>
      <w:r w:rsidR="00D82683">
        <w:rPr>
          <w:rFonts w:ascii="Arial" w:hAnsi="Arial" w:cs="Arial"/>
          <w:sz w:val="22"/>
          <w:szCs w:val="22"/>
        </w:rPr>
        <w:t xml:space="preserve"> in line with </w:t>
      </w:r>
      <w:r w:rsidR="00693CC0">
        <w:rPr>
          <w:rFonts w:ascii="Arial" w:hAnsi="Arial" w:cs="Arial"/>
          <w:sz w:val="22"/>
          <w:szCs w:val="22"/>
        </w:rPr>
        <w:t xml:space="preserve">the </w:t>
      </w:r>
      <w:r w:rsidR="00D82683">
        <w:rPr>
          <w:rFonts w:ascii="Arial" w:hAnsi="Arial" w:cs="Arial"/>
          <w:sz w:val="22"/>
          <w:szCs w:val="22"/>
        </w:rPr>
        <w:t>fund’s investment objectives, strategy and policy</w:t>
      </w:r>
      <w:r w:rsidR="00693CC0">
        <w:rPr>
          <w:rFonts w:ascii="Arial" w:hAnsi="Arial" w:cs="Arial"/>
          <w:sz w:val="22"/>
          <w:szCs w:val="22"/>
        </w:rPr>
        <w:t>, with the</w:t>
      </w:r>
      <w:r w:rsidR="00D82683">
        <w:rPr>
          <w:rFonts w:ascii="Arial" w:hAnsi="Arial" w:cs="Arial"/>
          <w:sz w:val="22"/>
          <w:szCs w:val="22"/>
        </w:rPr>
        <w:t xml:space="preserve"> disclosure requirement</w:t>
      </w:r>
      <w:r w:rsidR="00693CC0">
        <w:rPr>
          <w:rFonts w:ascii="Arial" w:hAnsi="Arial" w:cs="Arial"/>
          <w:sz w:val="22"/>
          <w:szCs w:val="22"/>
        </w:rPr>
        <w:t xml:space="preserve">s providing the necessary </w:t>
      </w:r>
      <w:r w:rsidR="00D82683">
        <w:rPr>
          <w:rFonts w:ascii="Arial" w:hAnsi="Arial" w:cs="Arial"/>
          <w:sz w:val="22"/>
          <w:szCs w:val="22"/>
        </w:rPr>
        <w:lastRenderedPageBreak/>
        <w:t xml:space="preserve">transparency for investors in terms of the performance fee model and its calculation methodology.  </w:t>
      </w:r>
    </w:p>
    <w:p w14:paraId="1DC703DC" w14:textId="079A7109" w:rsidR="00276E59" w:rsidRDefault="00276E59" w:rsidP="00FE360A">
      <w:pPr>
        <w:widowControl w:val="0"/>
        <w:spacing w:after="250" w:line="276" w:lineRule="auto"/>
        <w:jc w:val="both"/>
        <w:rPr>
          <w:rFonts w:ascii="Arial" w:hAnsi="Arial" w:cs="Arial"/>
          <w:sz w:val="22"/>
          <w:szCs w:val="22"/>
        </w:rPr>
      </w:pPr>
      <w:r>
        <w:rPr>
          <w:rFonts w:ascii="Arial" w:hAnsi="Arial" w:cs="Arial"/>
          <w:sz w:val="22"/>
          <w:szCs w:val="22"/>
        </w:rPr>
        <w:t>Additionally, as UCITS are retail funds often having tens of thousands of investors, it is not possible to create a performance fee model tailored for each individual investor. The number and complexities of the calculations required would also potentially create a significant level of operational risk. We would submit that there needs to be flexibility around the models while also providing a robust, intelligible and easily verifiable methodology with minimal operational risk</w:t>
      </w:r>
      <w:r w:rsidRPr="00682FC7">
        <w:rPr>
          <w:rFonts w:ascii="Arial" w:hAnsi="Arial" w:cs="Arial"/>
          <w:sz w:val="22"/>
          <w:szCs w:val="22"/>
        </w:rPr>
        <w:t>.</w:t>
      </w:r>
    </w:p>
    <w:p w14:paraId="1C9D04C0" w14:textId="77777777" w:rsidR="00E669D2" w:rsidRDefault="00D82683" w:rsidP="00FE360A">
      <w:pPr>
        <w:widowControl w:val="0"/>
        <w:spacing w:after="250" w:line="276" w:lineRule="auto"/>
        <w:jc w:val="both"/>
        <w:rPr>
          <w:rFonts w:ascii="Arial" w:hAnsi="Arial" w:cs="Arial"/>
          <w:sz w:val="22"/>
          <w:szCs w:val="22"/>
        </w:rPr>
      </w:pPr>
      <w:r>
        <w:rPr>
          <w:rFonts w:ascii="Arial" w:hAnsi="Arial" w:cs="Arial"/>
          <w:sz w:val="22"/>
          <w:szCs w:val="22"/>
        </w:rPr>
        <w:t xml:space="preserve">One area requiring clarification is the application of guideline 1, paragraph 12 ("artificial increases resulting from new subscriptions should not be taken into account when calculating fund performance"). </w:t>
      </w:r>
      <w:r w:rsidR="00693CC0">
        <w:rPr>
          <w:rFonts w:ascii="Arial" w:hAnsi="Arial" w:cs="Arial"/>
          <w:sz w:val="22"/>
          <w:szCs w:val="22"/>
        </w:rPr>
        <w:t xml:space="preserve">We believe this shouldn’t apply where funds use the “per share” methodology (formula below). </w:t>
      </w:r>
    </w:p>
    <w:p w14:paraId="6074BD59" w14:textId="77777777" w:rsidR="00E669D2" w:rsidRDefault="00E669D2" w:rsidP="00E669D2">
      <w:pPr>
        <w:widowControl w:val="0"/>
        <w:spacing w:after="250" w:line="276" w:lineRule="auto"/>
        <w:jc w:val="both"/>
        <w:rPr>
          <w:rFonts w:ascii="Arial" w:hAnsi="Arial" w:cs="Arial"/>
          <w:sz w:val="22"/>
          <w:szCs w:val="22"/>
        </w:rPr>
      </w:pPr>
      <w:r>
        <w:rPr>
          <w:rFonts w:ascii="Arial" w:hAnsi="Arial" w:cs="Arial"/>
          <w:sz w:val="22"/>
          <w:szCs w:val="22"/>
        </w:rPr>
        <w:t>Formula:</w:t>
      </w:r>
    </w:p>
    <w:p w14:paraId="7990E681" w14:textId="34923A3D" w:rsidR="00E669D2" w:rsidRPr="00901926" w:rsidRDefault="00E669D2" w:rsidP="00E669D2">
      <w:pPr>
        <w:widowControl w:val="0"/>
        <w:spacing w:after="250" w:line="276" w:lineRule="auto"/>
        <w:jc w:val="both"/>
        <w:rPr>
          <w:rFonts w:ascii="Arial" w:hAnsi="Arial" w:cs="Arial"/>
          <w:i/>
          <w:sz w:val="22"/>
          <w:szCs w:val="22"/>
        </w:rPr>
      </w:pPr>
      <w:r w:rsidRPr="00901926">
        <w:rPr>
          <w:rFonts w:ascii="Arial" w:hAnsi="Arial" w:cs="Arial"/>
          <w:i/>
          <w:sz w:val="22"/>
          <w:szCs w:val="22"/>
        </w:rPr>
        <w:t>Outperformance per unit x Number of units at end of performance fee period x Performance fee rate.</w:t>
      </w:r>
    </w:p>
    <w:p w14:paraId="21676F0D" w14:textId="0F0023F3" w:rsidR="00E24FE3" w:rsidRDefault="0088677E" w:rsidP="00E24FE3">
      <w:pPr>
        <w:widowControl w:val="0"/>
        <w:spacing w:after="250" w:line="276" w:lineRule="auto"/>
        <w:jc w:val="both"/>
        <w:rPr>
          <w:rFonts w:ascii="Arial" w:hAnsi="Arial" w:cs="Arial"/>
          <w:sz w:val="22"/>
          <w:szCs w:val="22"/>
        </w:rPr>
      </w:pPr>
      <w:r>
        <w:rPr>
          <w:rFonts w:ascii="Arial" w:hAnsi="Arial" w:cs="Arial"/>
          <w:sz w:val="22"/>
          <w:szCs w:val="22"/>
        </w:rPr>
        <w:t>This is a</w:t>
      </w:r>
      <w:r w:rsidR="00693CC0">
        <w:rPr>
          <w:rFonts w:ascii="Arial" w:hAnsi="Arial" w:cs="Arial"/>
          <w:sz w:val="22"/>
          <w:szCs w:val="22"/>
        </w:rPr>
        <w:t xml:space="preserve"> widely </w:t>
      </w:r>
      <w:r>
        <w:rPr>
          <w:rFonts w:ascii="Arial" w:hAnsi="Arial" w:cs="Arial"/>
          <w:sz w:val="22"/>
          <w:szCs w:val="22"/>
        </w:rPr>
        <w:t xml:space="preserve">used performance fee methodology but contradicts </w:t>
      </w:r>
      <w:r w:rsidR="00E669D2">
        <w:rPr>
          <w:rFonts w:ascii="Arial" w:hAnsi="Arial" w:cs="Arial"/>
          <w:sz w:val="22"/>
          <w:szCs w:val="22"/>
        </w:rPr>
        <w:t>this</w:t>
      </w:r>
      <w:r>
        <w:rPr>
          <w:rFonts w:ascii="Arial" w:hAnsi="Arial" w:cs="Arial"/>
          <w:sz w:val="22"/>
          <w:szCs w:val="22"/>
        </w:rPr>
        <w:t xml:space="preserve"> </w:t>
      </w:r>
      <w:r w:rsidR="002F7969">
        <w:rPr>
          <w:rFonts w:ascii="Arial" w:hAnsi="Arial" w:cs="Arial"/>
          <w:sz w:val="22"/>
          <w:szCs w:val="22"/>
        </w:rPr>
        <w:t xml:space="preserve">proposed </w:t>
      </w:r>
      <w:r>
        <w:rPr>
          <w:rFonts w:ascii="Arial" w:hAnsi="Arial" w:cs="Arial"/>
          <w:sz w:val="22"/>
          <w:szCs w:val="22"/>
        </w:rPr>
        <w:t xml:space="preserve">guideline </w:t>
      </w:r>
      <w:r w:rsidR="00E669D2">
        <w:rPr>
          <w:rFonts w:ascii="Arial" w:hAnsi="Arial" w:cs="Arial"/>
          <w:sz w:val="22"/>
          <w:szCs w:val="22"/>
        </w:rPr>
        <w:t xml:space="preserve">as the </w:t>
      </w:r>
      <w:r w:rsidR="008E6816">
        <w:rPr>
          <w:rFonts w:ascii="Arial" w:hAnsi="Arial" w:cs="Arial"/>
          <w:sz w:val="22"/>
          <w:szCs w:val="22"/>
        </w:rPr>
        <w:t xml:space="preserve">performance </w:t>
      </w:r>
      <w:r w:rsidR="00E669D2">
        <w:rPr>
          <w:rFonts w:ascii="Arial" w:hAnsi="Arial" w:cs="Arial"/>
          <w:sz w:val="22"/>
          <w:szCs w:val="22"/>
        </w:rPr>
        <w:t>fee increases as the number of units increases (with the outperformance per unit remaining constant). If guideline 1, paragraph 12 was implemented as is, it would constitute a sea change for UCITS which charge performance fees and is likely to require</w:t>
      </w:r>
      <w:r w:rsidR="009901BC">
        <w:rPr>
          <w:rFonts w:ascii="Arial" w:hAnsi="Arial" w:cs="Arial"/>
          <w:sz w:val="22"/>
          <w:szCs w:val="22"/>
        </w:rPr>
        <w:t xml:space="preserve"> widespread</w:t>
      </w:r>
      <w:r w:rsidR="00E669D2">
        <w:rPr>
          <w:rFonts w:ascii="Arial" w:hAnsi="Arial" w:cs="Arial"/>
          <w:sz w:val="22"/>
          <w:szCs w:val="22"/>
        </w:rPr>
        <w:t xml:space="preserve"> modifications to</w:t>
      </w:r>
      <w:r w:rsidR="003168CB">
        <w:rPr>
          <w:rFonts w:ascii="Arial" w:hAnsi="Arial" w:cs="Arial"/>
          <w:sz w:val="22"/>
          <w:szCs w:val="22"/>
        </w:rPr>
        <w:t xml:space="preserve"> </w:t>
      </w:r>
      <w:r w:rsidR="00E669D2">
        <w:rPr>
          <w:rFonts w:ascii="Arial" w:hAnsi="Arial" w:cs="Arial"/>
          <w:sz w:val="22"/>
          <w:szCs w:val="22"/>
        </w:rPr>
        <w:t>performance fee methodolog</w:t>
      </w:r>
      <w:r w:rsidR="003168CB">
        <w:rPr>
          <w:rFonts w:ascii="Arial" w:hAnsi="Arial" w:cs="Arial"/>
          <w:sz w:val="22"/>
          <w:szCs w:val="22"/>
        </w:rPr>
        <w:t>ies</w:t>
      </w:r>
      <w:r w:rsidR="00E669D2">
        <w:rPr>
          <w:rFonts w:ascii="Arial" w:hAnsi="Arial" w:cs="Arial"/>
          <w:sz w:val="22"/>
          <w:szCs w:val="22"/>
        </w:rPr>
        <w:t xml:space="preserve">. </w:t>
      </w:r>
      <w:r w:rsidR="001D3C3E">
        <w:rPr>
          <w:rFonts w:ascii="Arial" w:hAnsi="Arial" w:cs="Arial"/>
          <w:sz w:val="22"/>
          <w:szCs w:val="22"/>
        </w:rPr>
        <w:t>An alternative is to use the “reference asset</w:t>
      </w:r>
      <w:r w:rsidR="00B1405E">
        <w:rPr>
          <w:rFonts w:ascii="Arial" w:hAnsi="Arial" w:cs="Arial"/>
          <w:sz w:val="22"/>
          <w:szCs w:val="22"/>
        </w:rPr>
        <w:t>”</w:t>
      </w:r>
      <w:r w:rsidR="001D3C3E">
        <w:rPr>
          <w:rFonts w:ascii="Arial" w:hAnsi="Arial" w:cs="Arial"/>
          <w:sz w:val="22"/>
          <w:szCs w:val="22"/>
        </w:rPr>
        <w:t xml:space="preserve"> methodology</w:t>
      </w:r>
      <w:r w:rsidR="00B1405E">
        <w:rPr>
          <w:rFonts w:ascii="Arial" w:hAnsi="Arial" w:cs="Arial"/>
          <w:sz w:val="22"/>
          <w:szCs w:val="22"/>
        </w:rPr>
        <w:t xml:space="preserve"> which shifts the focus of the performance fee calculation (and accrual) to a Profit and Loss (</w:t>
      </w:r>
      <w:proofErr w:type="spellStart"/>
      <w:r w:rsidR="00B1405E" w:rsidRPr="00DD016E">
        <w:rPr>
          <w:rFonts w:ascii="Arial" w:hAnsi="Arial" w:cs="Arial"/>
          <w:b/>
          <w:bCs/>
          <w:sz w:val="22"/>
          <w:szCs w:val="22"/>
        </w:rPr>
        <w:t>PnL</w:t>
      </w:r>
      <w:proofErr w:type="spellEnd"/>
      <w:r w:rsidR="00B1405E">
        <w:rPr>
          <w:rFonts w:ascii="Arial" w:hAnsi="Arial" w:cs="Arial"/>
          <w:sz w:val="22"/>
          <w:szCs w:val="22"/>
        </w:rPr>
        <w:t>) concept</w:t>
      </w:r>
      <w:r w:rsidR="001D3C3E">
        <w:rPr>
          <w:rFonts w:ascii="Arial" w:hAnsi="Arial" w:cs="Arial"/>
          <w:sz w:val="22"/>
          <w:szCs w:val="22"/>
        </w:rPr>
        <w:t xml:space="preserve"> but this can be more difficult from an administration perspective and could therefore lead to calculation errors.</w:t>
      </w:r>
      <w:r w:rsidR="00E24FE3">
        <w:rPr>
          <w:rFonts w:ascii="Arial" w:hAnsi="Arial" w:cs="Arial"/>
          <w:sz w:val="22"/>
          <w:szCs w:val="22"/>
        </w:rPr>
        <w:t xml:space="preserve"> Overall, there needs to be a balance between the competing goals of transparency, cost, the pursuit of an individual performance fee methodology and reduction of calculation error risk.</w:t>
      </w:r>
    </w:p>
    <w:p w14:paraId="4A733BA6" w14:textId="0731DC85" w:rsidR="00E669D2" w:rsidRDefault="00E669D2" w:rsidP="00E669D2">
      <w:pPr>
        <w:widowControl w:val="0"/>
        <w:spacing w:after="250" w:line="276" w:lineRule="auto"/>
        <w:jc w:val="both"/>
        <w:rPr>
          <w:rFonts w:ascii="Arial" w:hAnsi="Arial" w:cs="Arial"/>
          <w:sz w:val="22"/>
          <w:szCs w:val="22"/>
        </w:rPr>
      </w:pPr>
      <w:r>
        <w:rPr>
          <w:rFonts w:ascii="Arial" w:hAnsi="Arial" w:cs="Arial"/>
          <w:sz w:val="22"/>
          <w:szCs w:val="22"/>
        </w:rPr>
        <w:t>We have attached an illustrative example which compares th</w:t>
      </w:r>
      <w:r w:rsidR="003168CB">
        <w:rPr>
          <w:rFonts w:ascii="Arial" w:hAnsi="Arial" w:cs="Arial"/>
          <w:sz w:val="22"/>
          <w:szCs w:val="22"/>
        </w:rPr>
        <w:t>e “per share”</w:t>
      </w:r>
      <w:r>
        <w:rPr>
          <w:rFonts w:ascii="Arial" w:hAnsi="Arial" w:cs="Arial"/>
          <w:sz w:val="22"/>
          <w:szCs w:val="22"/>
        </w:rPr>
        <w:t xml:space="preserve"> methodology with the “reference asset</w:t>
      </w:r>
      <w:r w:rsidR="001E3394">
        <w:rPr>
          <w:rFonts w:ascii="Arial" w:hAnsi="Arial" w:cs="Arial"/>
          <w:sz w:val="22"/>
          <w:szCs w:val="22"/>
        </w:rPr>
        <w:t>/profit and loss</w:t>
      </w:r>
      <w:r>
        <w:rPr>
          <w:rFonts w:ascii="Arial" w:hAnsi="Arial" w:cs="Arial"/>
          <w:sz w:val="22"/>
          <w:szCs w:val="22"/>
        </w:rPr>
        <w:t>” methodology</w:t>
      </w:r>
      <w:r w:rsidR="001D3C3E">
        <w:rPr>
          <w:rFonts w:ascii="Arial" w:hAnsi="Arial" w:cs="Arial"/>
          <w:sz w:val="22"/>
          <w:szCs w:val="22"/>
        </w:rPr>
        <w:t>.</w:t>
      </w:r>
      <w:r>
        <w:rPr>
          <w:rFonts w:ascii="Arial" w:hAnsi="Arial" w:cs="Arial"/>
          <w:sz w:val="22"/>
          <w:szCs w:val="22"/>
        </w:rPr>
        <w:t xml:space="preserve"> </w:t>
      </w:r>
      <w:r w:rsidR="003168CB">
        <w:rPr>
          <w:rFonts w:ascii="Arial" w:hAnsi="Arial" w:cs="Arial"/>
          <w:sz w:val="22"/>
          <w:szCs w:val="22"/>
        </w:rPr>
        <w:t>This</w:t>
      </w:r>
      <w:r>
        <w:rPr>
          <w:rFonts w:ascii="Arial" w:hAnsi="Arial" w:cs="Arial"/>
          <w:sz w:val="22"/>
          <w:szCs w:val="22"/>
        </w:rPr>
        <w:t xml:space="preserve"> illustrates the marginal effect on performance fees between the two methodologies. </w:t>
      </w:r>
    </w:p>
    <w:p w14:paraId="76843F09" w14:textId="1E4C0F4E" w:rsidR="00E669D2" w:rsidRDefault="00E669D2" w:rsidP="00FE360A">
      <w:pPr>
        <w:widowControl w:val="0"/>
        <w:spacing w:after="250" w:line="276" w:lineRule="auto"/>
        <w:jc w:val="both"/>
        <w:rPr>
          <w:rFonts w:ascii="Arial" w:hAnsi="Arial" w:cs="Arial"/>
          <w:sz w:val="22"/>
          <w:szCs w:val="22"/>
        </w:rPr>
      </w:pPr>
      <w:r>
        <w:rPr>
          <w:noProof/>
        </w:rPr>
        <w:lastRenderedPageBreak/>
        <w:drawing>
          <wp:inline distT="0" distB="0" distL="0" distR="0" wp14:anchorId="66F3D815" wp14:editId="5E9CC542">
            <wp:extent cx="5759450" cy="292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59450" cy="2921000"/>
                    </a:xfrm>
                    <a:prstGeom prst="rect">
                      <a:avLst/>
                    </a:prstGeom>
                  </pic:spPr>
                </pic:pic>
              </a:graphicData>
            </a:graphic>
          </wp:inline>
        </w:drawing>
      </w:r>
    </w:p>
    <w:p w14:paraId="3D1BE6C9" w14:textId="77777777" w:rsidR="00314792" w:rsidRPr="002A57EE" w:rsidRDefault="00314792" w:rsidP="00215534">
      <w:pPr>
        <w:widowControl w:val="0"/>
        <w:jc w:val="both"/>
        <w:rPr>
          <w:rFonts w:ascii="Arial" w:hAnsi="Arial" w:cs="Arial"/>
          <w:b/>
          <w:sz w:val="22"/>
          <w:szCs w:val="22"/>
        </w:rPr>
      </w:pPr>
      <w:r w:rsidRPr="00215534">
        <w:rPr>
          <w:rFonts w:ascii="Arial" w:hAnsi="Arial" w:cs="Arial"/>
          <w:b/>
          <w:bCs/>
          <w:sz w:val="22"/>
          <w:szCs w:val="22"/>
        </w:rPr>
        <w:t>Unhedged</w:t>
      </w:r>
      <w:r w:rsidRPr="00CA03C5">
        <w:rPr>
          <w:rFonts w:ascii="Arial" w:hAnsi="Arial" w:cs="Arial"/>
          <w:b/>
          <w:bCs/>
          <w:sz w:val="22"/>
          <w:szCs w:val="22"/>
        </w:rPr>
        <w:t xml:space="preserve"> </w:t>
      </w:r>
      <w:r>
        <w:rPr>
          <w:rFonts w:ascii="Arial" w:hAnsi="Arial" w:cs="Arial"/>
          <w:b/>
          <w:sz w:val="22"/>
          <w:szCs w:val="22"/>
        </w:rPr>
        <w:t>Share Classes</w:t>
      </w:r>
    </w:p>
    <w:p w14:paraId="72717C5E" w14:textId="35EAF11B" w:rsidR="00314792" w:rsidRPr="00210DE4" w:rsidRDefault="00314792" w:rsidP="00FE360A">
      <w:pPr>
        <w:widowControl w:val="0"/>
        <w:spacing w:after="250" w:line="276" w:lineRule="auto"/>
        <w:jc w:val="both"/>
        <w:rPr>
          <w:rFonts w:ascii="Arial" w:hAnsi="Arial" w:cs="Arial"/>
          <w:sz w:val="22"/>
          <w:szCs w:val="22"/>
        </w:rPr>
      </w:pPr>
      <w:r w:rsidRPr="00210DE4">
        <w:rPr>
          <w:rFonts w:ascii="Arial" w:hAnsi="Arial" w:cs="Arial"/>
          <w:sz w:val="22"/>
          <w:szCs w:val="22"/>
        </w:rPr>
        <w:t>We would recommend that the Guidelines incorporate provisions regarding the calculation and disclosure of performance fees</w:t>
      </w:r>
      <w:r>
        <w:rPr>
          <w:rFonts w:ascii="Arial" w:hAnsi="Arial" w:cs="Arial"/>
          <w:sz w:val="22"/>
          <w:szCs w:val="22"/>
        </w:rPr>
        <w:t xml:space="preserve"> based on a HWM model</w:t>
      </w:r>
      <w:r w:rsidRPr="00210DE4">
        <w:rPr>
          <w:rFonts w:ascii="Arial" w:hAnsi="Arial" w:cs="Arial"/>
          <w:sz w:val="22"/>
          <w:szCs w:val="22"/>
        </w:rPr>
        <w:t xml:space="preserve"> for an unhedged share class denominated in a currency different to the base currency of the UCITS such that the performance fee in an unhedged share class, denominated in a currency other than the base currency of the UCITS, can be based on the performance expressed in either the base currency or the currency of the share class. </w:t>
      </w:r>
    </w:p>
    <w:p w14:paraId="6C04894E" w14:textId="6C4E19E1" w:rsidR="00977B01" w:rsidRDefault="005E1264" w:rsidP="00FE360A">
      <w:pPr>
        <w:widowControl w:val="0"/>
        <w:spacing w:after="250" w:line="276" w:lineRule="auto"/>
        <w:jc w:val="both"/>
        <w:rPr>
          <w:rFonts w:ascii="Arial" w:hAnsi="Arial" w:cs="Arial"/>
          <w:b/>
          <w:sz w:val="22"/>
          <w:szCs w:val="22"/>
        </w:rPr>
      </w:pPr>
      <w:r>
        <w:rPr>
          <w:rFonts w:ascii="Arial" w:hAnsi="Arial" w:cs="Arial"/>
          <w:b/>
          <w:sz w:val="22"/>
          <w:szCs w:val="22"/>
        </w:rPr>
        <w:t xml:space="preserve">Prospectus </w:t>
      </w:r>
      <w:r w:rsidR="00977B01">
        <w:rPr>
          <w:rFonts w:ascii="Arial" w:hAnsi="Arial" w:cs="Arial"/>
          <w:b/>
          <w:sz w:val="22"/>
          <w:szCs w:val="22"/>
        </w:rPr>
        <w:t>Disclosure of the Performance Fee Model – Worked Examples</w:t>
      </w:r>
    </w:p>
    <w:p w14:paraId="36F6D30A" w14:textId="7768AF5F" w:rsidR="00977B01" w:rsidRPr="00977B01" w:rsidDel="004E0645" w:rsidRDefault="00977B01" w:rsidP="00FE360A">
      <w:pPr>
        <w:widowControl w:val="0"/>
        <w:spacing w:after="250" w:line="276" w:lineRule="auto"/>
        <w:jc w:val="both"/>
        <w:rPr>
          <w:rFonts w:ascii="Arial" w:hAnsi="Arial" w:cs="Arial"/>
          <w:sz w:val="22"/>
          <w:szCs w:val="22"/>
        </w:rPr>
      </w:pPr>
      <w:r w:rsidDel="004E0645">
        <w:rPr>
          <w:rFonts w:ascii="Arial" w:hAnsi="Arial" w:cs="Arial"/>
          <w:sz w:val="22"/>
          <w:szCs w:val="22"/>
        </w:rPr>
        <w:t xml:space="preserve">Guideline 5, paragraph 27, provides that the Prospectus should include concrete examples of how the performance fee will be calculated </w:t>
      </w:r>
      <w:r w:rsidR="00AB6789" w:rsidDel="004E0645">
        <w:rPr>
          <w:rFonts w:ascii="Arial" w:hAnsi="Arial" w:cs="Arial"/>
          <w:sz w:val="22"/>
          <w:szCs w:val="22"/>
        </w:rPr>
        <w:t xml:space="preserve">to provide investors with a better understanding of the model.  Whilst we agree that there should be a comprehensive and intelligible description of the performance fee calculation method in the Prospectus, we are of the view that the inclusion of specific examples in the </w:t>
      </w:r>
      <w:r w:rsidR="005E1264" w:rsidDel="004E0645">
        <w:rPr>
          <w:rFonts w:ascii="Arial" w:hAnsi="Arial" w:cs="Arial"/>
          <w:sz w:val="22"/>
          <w:szCs w:val="22"/>
        </w:rPr>
        <w:t>formal</w:t>
      </w:r>
      <w:r w:rsidR="00AB6789" w:rsidDel="004E0645">
        <w:rPr>
          <w:rFonts w:ascii="Arial" w:hAnsi="Arial" w:cs="Arial"/>
          <w:sz w:val="22"/>
          <w:szCs w:val="22"/>
        </w:rPr>
        <w:t xml:space="preserve"> offering document of the Fund </w:t>
      </w:r>
      <w:r w:rsidR="00BD04B4">
        <w:rPr>
          <w:rFonts w:ascii="Arial" w:hAnsi="Arial" w:cs="Arial"/>
          <w:sz w:val="22"/>
          <w:szCs w:val="22"/>
        </w:rPr>
        <w:t>could</w:t>
      </w:r>
      <w:r w:rsidR="00AB6789" w:rsidDel="004E0645">
        <w:rPr>
          <w:rFonts w:ascii="Arial" w:hAnsi="Arial" w:cs="Arial"/>
          <w:sz w:val="22"/>
          <w:szCs w:val="22"/>
        </w:rPr>
        <w:t xml:space="preserve"> be </w:t>
      </w:r>
      <w:r w:rsidR="00BD04B4">
        <w:rPr>
          <w:rFonts w:ascii="Arial" w:hAnsi="Arial" w:cs="Arial"/>
          <w:sz w:val="22"/>
          <w:szCs w:val="22"/>
        </w:rPr>
        <w:t>misleading</w:t>
      </w:r>
      <w:r w:rsidR="00AB6789" w:rsidDel="004E0645">
        <w:rPr>
          <w:rFonts w:ascii="Arial" w:hAnsi="Arial" w:cs="Arial"/>
          <w:sz w:val="22"/>
          <w:szCs w:val="22"/>
        </w:rPr>
        <w:t xml:space="preserve">, as it would </w:t>
      </w:r>
      <w:r w:rsidR="00BD04B4">
        <w:rPr>
          <w:rFonts w:ascii="Arial" w:hAnsi="Arial" w:cs="Arial"/>
          <w:sz w:val="22"/>
          <w:szCs w:val="22"/>
        </w:rPr>
        <w:t xml:space="preserve">be difficult </w:t>
      </w:r>
      <w:r w:rsidR="00AB6789" w:rsidDel="004E0645">
        <w:rPr>
          <w:rFonts w:ascii="Arial" w:hAnsi="Arial" w:cs="Arial"/>
          <w:sz w:val="22"/>
          <w:szCs w:val="22"/>
        </w:rPr>
        <w:t xml:space="preserve">to include </w:t>
      </w:r>
      <w:r w:rsidR="00BD04B4">
        <w:rPr>
          <w:rFonts w:ascii="Arial" w:hAnsi="Arial" w:cs="Arial"/>
          <w:sz w:val="22"/>
          <w:szCs w:val="22"/>
        </w:rPr>
        <w:t>a variety of</w:t>
      </w:r>
      <w:r w:rsidR="00BD04B4" w:rsidDel="004E0645">
        <w:rPr>
          <w:rFonts w:ascii="Arial" w:hAnsi="Arial" w:cs="Arial"/>
          <w:sz w:val="22"/>
          <w:szCs w:val="22"/>
        </w:rPr>
        <w:t xml:space="preserve"> </w:t>
      </w:r>
      <w:r w:rsidR="005E1264" w:rsidDel="004E0645">
        <w:rPr>
          <w:rFonts w:ascii="Arial" w:hAnsi="Arial" w:cs="Arial"/>
          <w:sz w:val="22"/>
          <w:szCs w:val="22"/>
        </w:rPr>
        <w:t>possible</w:t>
      </w:r>
      <w:r w:rsidR="00AB6789" w:rsidDel="004E0645">
        <w:rPr>
          <w:rFonts w:ascii="Arial" w:hAnsi="Arial" w:cs="Arial"/>
          <w:sz w:val="22"/>
          <w:szCs w:val="22"/>
        </w:rPr>
        <w:t xml:space="preserve"> outcome</w:t>
      </w:r>
      <w:r w:rsidR="005E1264" w:rsidDel="004E0645">
        <w:rPr>
          <w:rFonts w:ascii="Arial" w:hAnsi="Arial" w:cs="Arial"/>
          <w:sz w:val="22"/>
          <w:szCs w:val="22"/>
        </w:rPr>
        <w:t>s</w:t>
      </w:r>
      <w:r w:rsidR="00BD04B4">
        <w:rPr>
          <w:rFonts w:ascii="Arial" w:hAnsi="Arial" w:cs="Arial"/>
          <w:sz w:val="22"/>
          <w:szCs w:val="22"/>
        </w:rPr>
        <w:t xml:space="preserve"> without the examples potentially becoming confusing</w:t>
      </w:r>
      <w:r w:rsidR="005E1264" w:rsidDel="004E0645">
        <w:rPr>
          <w:rFonts w:ascii="Arial" w:hAnsi="Arial" w:cs="Arial"/>
          <w:sz w:val="22"/>
          <w:szCs w:val="22"/>
        </w:rPr>
        <w:t>.</w:t>
      </w:r>
      <w:r w:rsidR="00AB6789" w:rsidDel="004E0645">
        <w:rPr>
          <w:rFonts w:ascii="Arial" w:hAnsi="Arial" w:cs="Arial"/>
          <w:sz w:val="22"/>
          <w:szCs w:val="22"/>
        </w:rPr>
        <w:t xml:space="preserve"> </w:t>
      </w:r>
      <w:r w:rsidR="005E1264" w:rsidDel="004E0645">
        <w:rPr>
          <w:rFonts w:ascii="Arial" w:hAnsi="Arial" w:cs="Arial"/>
          <w:sz w:val="22"/>
          <w:szCs w:val="22"/>
        </w:rPr>
        <w:t>T</w:t>
      </w:r>
      <w:r w:rsidR="00AB6789" w:rsidDel="004E0645">
        <w:rPr>
          <w:rFonts w:ascii="Arial" w:hAnsi="Arial" w:cs="Arial"/>
          <w:sz w:val="22"/>
          <w:szCs w:val="22"/>
        </w:rPr>
        <w:t xml:space="preserve">he management company </w:t>
      </w:r>
      <w:r w:rsidR="005E1264" w:rsidDel="004E0645">
        <w:rPr>
          <w:rFonts w:ascii="Arial" w:hAnsi="Arial" w:cs="Arial"/>
          <w:sz w:val="22"/>
          <w:szCs w:val="22"/>
        </w:rPr>
        <w:t>may</w:t>
      </w:r>
      <w:r w:rsidR="00AB6789" w:rsidDel="004E0645">
        <w:rPr>
          <w:rFonts w:ascii="Arial" w:hAnsi="Arial" w:cs="Arial"/>
          <w:sz w:val="22"/>
          <w:szCs w:val="22"/>
        </w:rPr>
        <w:t xml:space="preserve"> be at risk of misleading investors if all</w:t>
      </w:r>
      <w:r w:rsidR="005E1264" w:rsidDel="004E0645">
        <w:rPr>
          <w:rFonts w:ascii="Arial" w:hAnsi="Arial" w:cs="Arial"/>
          <w:sz w:val="22"/>
          <w:szCs w:val="22"/>
        </w:rPr>
        <w:t xml:space="preserve"> or most outcome permutations are not included. We are of the view that the proposed provision </w:t>
      </w:r>
      <w:r w:rsidR="004E441E">
        <w:rPr>
          <w:rFonts w:ascii="Arial" w:hAnsi="Arial" w:cs="Arial"/>
          <w:sz w:val="22"/>
          <w:szCs w:val="22"/>
        </w:rPr>
        <w:t xml:space="preserve">while well intended has the potential to be confusing. </w:t>
      </w:r>
    </w:p>
    <w:p w14:paraId="03E98222" w14:textId="1A1D2AED" w:rsidR="005E0DE2" w:rsidRDefault="005E0DE2" w:rsidP="00FE360A">
      <w:pPr>
        <w:widowControl w:val="0"/>
        <w:spacing w:after="250" w:line="276" w:lineRule="auto"/>
        <w:jc w:val="both"/>
        <w:rPr>
          <w:rFonts w:ascii="Arial" w:hAnsi="Arial" w:cs="Arial"/>
          <w:b/>
          <w:sz w:val="22"/>
          <w:szCs w:val="22"/>
        </w:rPr>
      </w:pPr>
      <w:r>
        <w:rPr>
          <w:rFonts w:ascii="Arial" w:hAnsi="Arial" w:cs="Arial"/>
          <w:b/>
          <w:sz w:val="22"/>
          <w:szCs w:val="22"/>
        </w:rPr>
        <w:t>Verification by Depositary</w:t>
      </w:r>
    </w:p>
    <w:p w14:paraId="3031FF76" w14:textId="061CD9D5" w:rsidR="005E0DE2" w:rsidRPr="00B04939" w:rsidRDefault="005E0DE2" w:rsidP="00FE360A">
      <w:pPr>
        <w:widowControl w:val="0"/>
        <w:spacing w:after="250" w:line="276" w:lineRule="auto"/>
        <w:jc w:val="both"/>
        <w:rPr>
          <w:rFonts w:ascii="Arial" w:hAnsi="Arial" w:cs="Arial"/>
          <w:sz w:val="22"/>
          <w:szCs w:val="22"/>
        </w:rPr>
      </w:pPr>
      <w:r>
        <w:rPr>
          <w:rFonts w:ascii="Arial" w:hAnsi="Arial" w:cs="Arial"/>
          <w:sz w:val="22"/>
          <w:szCs w:val="22"/>
        </w:rPr>
        <w:t xml:space="preserve">IOSCO's Good Practice 3 includes a provision that the calculation of the performance fee should be verifiable and not open to the possibility of manipulation. In Ireland UCITS depositaries are required to verify all performance fee calculations on crystallisation and before payment (or regardless of whether payment is made).  We consider this to be a good practice and in the interests of investors and submit that it be included in the Guidelines.  </w:t>
      </w:r>
    </w:p>
    <w:p w14:paraId="51D71380" w14:textId="6B0DBEBA" w:rsidR="00A30C53" w:rsidRPr="00B04939" w:rsidRDefault="00A30C53" w:rsidP="00FE360A">
      <w:pPr>
        <w:widowControl w:val="0"/>
        <w:spacing w:after="250" w:line="276" w:lineRule="auto"/>
        <w:jc w:val="both"/>
        <w:rPr>
          <w:rFonts w:ascii="Arial" w:hAnsi="Arial" w:cs="Arial"/>
          <w:b/>
          <w:sz w:val="22"/>
          <w:szCs w:val="22"/>
        </w:rPr>
      </w:pPr>
      <w:r w:rsidRPr="00B04939">
        <w:rPr>
          <w:rFonts w:ascii="Arial" w:hAnsi="Arial" w:cs="Arial"/>
          <w:b/>
          <w:sz w:val="22"/>
          <w:szCs w:val="22"/>
        </w:rPr>
        <w:lastRenderedPageBreak/>
        <w:t>Regulatory Alignment</w:t>
      </w:r>
    </w:p>
    <w:p w14:paraId="0ECF8AED" w14:textId="1B7E558A" w:rsidR="00A30C53" w:rsidRDefault="00A30C53" w:rsidP="00FE360A">
      <w:pPr>
        <w:widowControl w:val="0"/>
        <w:spacing w:after="250" w:line="276" w:lineRule="auto"/>
        <w:jc w:val="both"/>
        <w:rPr>
          <w:rFonts w:ascii="Arial" w:hAnsi="Arial" w:cs="Arial"/>
          <w:sz w:val="22"/>
          <w:szCs w:val="22"/>
        </w:rPr>
      </w:pPr>
      <w:r>
        <w:rPr>
          <w:rFonts w:ascii="Arial" w:hAnsi="Arial" w:cs="Arial"/>
          <w:sz w:val="22"/>
          <w:szCs w:val="22"/>
        </w:rPr>
        <w:t xml:space="preserve">We would highlight that various NCAs have already consulted on </w:t>
      </w:r>
      <w:r w:rsidR="00314792">
        <w:rPr>
          <w:rFonts w:ascii="Arial" w:hAnsi="Arial" w:cs="Arial"/>
          <w:sz w:val="22"/>
          <w:szCs w:val="22"/>
        </w:rPr>
        <w:t>performance fee methodologies</w:t>
      </w:r>
      <w:r w:rsidR="00410BFB">
        <w:rPr>
          <w:rFonts w:ascii="Arial" w:hAnsi="Arial" w:cs="Arial"/>
          <w:sz w:val="22"/>
          <w:szCs w:val="22"/>
        </w:rPr>
        <w:t xml:space="preserve"> in the last year or so</w:t>
      </w:r>
      <w:r>
        <w:rPr>
          <w:rFonts w:ascii="Arial" w:hAnsi="Arial" w:cs="Arial"/>
          <w:sz w:val="22"/>
          <w:szCs w:val="22"/>
        </w:rPr>
        <w:t xml:space="preserve"> and have</w:t>
      </w:r>
      <w:r w:rsidR="00314792">
        <w:rPr>
          <w:rFonts w:ascii="Arial" w:hAnsi="Arial" w:cs="Arial"/>
          <w:sz w:val="22"/>
          <w:szCs w:val="22"/>
        </w:rPr>
        <w:t xml:space="preserve"> subsequently</w:t>
      </w:r>
      <w:r>
        <w:rPr>
          <w:rFonts w:ascii="Arial" w:hAnsi="Arial" w:cs="Arial"/>
          <w:sz w:val="22"/>
          <w:szCs w:val="22"/>
        </w:rPr>
        <w:t xml:space="preserve"> implemented</w:t>
      </w:r>
      <w:r w:rsidR="00B04939">
        <w:rPr>
          <w:rFonts w:ascii="Arial" w:hAnsi="Arial" w:cs="Arial"/>
          <w:sz w:val="22"/>
          <w:szCs w:val="22"/>
        </w:rPr>
        <w:t xml:space="preserve"> new performance fee regimes</w:t>
      </w:r>
      <w:r w:rsidR="00410BFB">
        <w:rPr>
          <w:rFonts w:ascii="Arial" w:hAnsi="Arial" w:cs="Arial"/>
          <w:sz w:val="22"/>
          <w:szCs w:val="22"/>
        </w:rPr>
        <w:t>,</w:t>
      </w:r>
      <w:r w:rsidR="00B04939">
        <w:rPr>
          <w:rFonts w:ascii="Arial" w:hAnsi="Arial" w:cs="Arial"/>
          <w:sz w:val="22"/>
          <w:szCs w:val="22"/>
        </w:rPr>
        <w:t xml:space="preserve"> including </w:t>
      </w:r>
      <w:r w:rsidR="0030329A">
        <w:rPr>
          <w:rFonts w:ascii="Arial" w:hAnsi="Arial" w:cs="Arial"/>
          <w:sz w:val="22"/>
          <w:szCs w:val="22"/>
        </w:rPr>
        <w:t>in Ireland and Germany. It is important that any new ESMA proposals seek to</w:t>
      </w:r>
      <w:r w:rsidR="00B04939">
        <w:rPr>
          <w:rFonts w:ascii="Arial" w:hAnsi="Arial" w:cs="Arial"/>
          <w:sz w:val="22"/>
          <w:szCs w:val="22"/>
        </w:rPr>
        <w:t xml:space="preserve"> take close account of these</w:t>
      </w:r>
      <w:r w:rsidR="00410BFB">
        <w:rPr>
          <w:rFonts w:ascii="Arial" w:hAnsi="Arial" w:cs="Arial"/>
          <w:sz w:val="22"/>
          <w:szCs w:val="22"/>
        </w:rPr>
        <w:t xml:space="preserve"> revised</w:t>
      </w:r>
      <w:r w:rsidR="00B04939">
        <w:rPr>
          <w:rFonts w:ascii="Arial" w:hAnsi="Arial" w:cs="Arial"/>
          <w:sz w:val="22"/>
          <w:szCs w:val="22"/>
        </w:rPr>
        <w:t xml:space="preserve"> regimes and </w:t>
      </w:r>
      <w:r w:rsidR="005D6230">
        <w:rPr>
          <w:rFonts w:ascii="Arial" w:hAnsi="Arial" w:cs="Arial"/>
          <w:sz w:val="22"/>
          <w:szCs w:val="22"/>
        </w:rPr>
        <w:t>that ESMA</w:t>
      </w:r>
      <w:r w:rsidR="00672B87">
        <w:rPr>
          <w:rFonts w:ascii="Arial" w:hAnsi="Arial" w:cs="Arial"/>
          <w:sz w:val="22"/>
          <w:szCs w:val="22"/>
        </w:rPr>
        <w:t xml:space="preserve"> </w:t>
      </w:r>
      <w:r w:rsidR="005D6230">
        <w:rPr>
          <w:rFonts w:ascii="Arial" w:hAnsi="Arial" w:cs="Arial"/>
          <w:sz w:val="22"/>
          <w:szCs w:val="22"/>
        </w:rPr>
        <w:t xml:space="preserve">implements any new requirements in a maximum harmonisation manner. For example, </w:t>
      </w:r>
      <w:r w:rsidR="00407670">
        <w:rPr>
          <w:rFonts w:ascii="Arial" w:hAnsi="Arial" w:cs="Arial"/>
          <w:sz w:val="22"/>
          <w:szCs w:val="22"/>
        </w:rPr>
        <w:t xml:space="preserve">the current </w:t>
      </w:r>
      <w:r w:rsidRPr="00A30C53">
        <w:rPr>
          <w:rFonts w:ascii="Arial" w:hAnsi="Arial" w:cs="Arial"/>
          <w:sz w:val="22"/>
          <w:szCs w:val="22"/>
        </w:rPr>
        <w:t xml:space="preserve">ESMA </w:t>
      </w:r>
      <w:r w:rsidR="00407670">
        <w:rPr>
          <w:rFonts w:ascii="Arial" w:hAnsi="Arial" w:cs="Arial"/>
          <w:sz w:val="22"/>
          <w:szCs w:val="22"/>
        </w:rPr>
        <w:t xml:space="preserve">proposals envisage some features that differ to regimes recently overhauled. </w:t>
      </w:r>
      <w:r w:rsidR="00B04939">
        <w:rPr>
          <w:rFonts w:ascii="Arial" w:hAnsi="Arial" w:cs="Arial"/>
          <w:sz w:val="22"/>
          <w:szCs w:val="22"/>
        </w:rPr>
        <w:t>M</w:t>
      </w:r>
      <w:r w:rsidR="00407670">
        <w:rPr>
          <w:rFonts w:ascii="Arial" w:hAnsi="Arial" w:cs="Arial"/>
          <w:sz w:val="22"/>
          <w:szCs w:val="22"/>
        </w:rPr>
        <w:t>aximum harmonisation is</w:t>
      </w:r>
      <w:r w:rsidR="00B04939">
        <w:rPr>
          <w:rFonts w:ascii="Arial" w:hAnsi="Arial" w:cs="Arial"/>
          <w:sz w:val="22"/>
          <w:szCs w:val="22"/>
        </w:rPr>
        <w:t xml:space="preserve"> critical </w:t>
      </w:r>
      <w:proofErr w:type="gramStart"/>
      <w:r w:rsidR="00B04939">
        <w:rPr>
          <w:rFonts w:ascii="Arial" w:hAnsi="Arial" w:cs="Arial"/>
          <w:sz w:val="22"/>
          <w:szCs w:val="22"/>
        </w:rPr>
        <w:t>in order to</w:t>
      </w:r>
      <w:proofErr w:type="gramEnd"/>
      <w:r w:rsidR="00B04939">
        <w:rPr>
          <w:rFonts w:ascii="Arial" w:hAnsi="Arial" w:cs="Arial"/>
          <w:sz w:val="22"/>
          <w:szCs w:val="22"/>
        </w:rPr>
        <w:t xml:space="preserve"> avoid the creation of </w:t>
      </w:r>
      <w:r w:rsidR="00581FE1">
        <w:rPr>
          <w:rFonts w:ascii="Arial" w:hAnsi="Arial" w:cs="Arial"/>
          <w:sz w:val="22"/>
          <w:szCs w:val="22"/>
        </w:rPr>
        <w:t xml:space="preserve">a </w:t>
      </w:r>
      <w:r w:rsidR="007850DC">
        <w:rPr>
          <w:rFonts w:ascii="Arial" w:hAnsi="Arial" w:cs="Arial"/>
          <w:sz w:val="22"/>
          <w:szCs w:val="22"/>
        </w:rPr>
        <w:t>dysfunctional</w:t>
      </w:r>
      <w:r w:rsidR="00407670">
        <w:rPr>
          <w:rFonts w:ascii="Arial" w:hAnsi="Arial" w:cs="Arial"/>
          <w:sz w:val="22"/>
          <w:szCs w:val="22"/>
        </w:rPr>
        <w:t xml:space="preserve"> and fragmented single market, particularly given that many </w:t>
      </w:r>
      <w:r w:rsidR="00410BFB">
        <w:rPr>
          <w:rFonts w:ascii="Arial" w:hAnsi="Arial" w:cs="Arial"/>
          <w:sz w:val="22"/>
          <w:szCs w:val="22"/>
        </w:rPr>
        <w:t>UCITS</w:t>
      </w:r>
      <w:r w:rsidR="00407670">
        <w:rPr>
          <w:rFonts w:ascii="Arial" w:hAnsi="Arial" w:cs="Arial"/>
          <w:sz w:val="22"/>
          <w:szCs w:val="22"/>
        </w:rPr>
        <w:t xml:space="preserve"> are offered for sale </w:t>
      </w:r>
      <w:r w:rsidR="00901926">
        <w:rPr>
          <w:rFonts w:ascii="Arial" w:hAnsi="Arial" w:cs="Arial"/>
          <w:sz w:val="22"/>
          <w:szCs w:val="22"/>
        </w:rPr>
        <w:t>on a cross-border basis</w:t>
      </w:r>
      <w:r w:rsidR="00B05A94">
        <w:rPr>
          <w:rFonts w:ascii="Arial" w:hAnsi="Arial" w:cs="Arial"/>
          <w:sz w:val="22"/>
          <w:szCs w:val="22"/>
        </w:rPr>
        <w:t>.</w:t>
      </w:r>
    </w:p>
    <w:p w14:paraId="15555C55" w14:textId="104A877D" w:rsidR="000A1767" w:rsidRPr="00E24FE3" w:rsidRDefault="000A1767" w:rsidP="00FE360A">
      <w:pPr>
        <w:widowControl w:val="0"/>
        <w:spacing w:after="250" w:line="276" w:lineRule="auto"/>
        <w:jc w:val="both"/>
        <w:rPr>
          <w:rFonts w:ascii="Arial" w:hAnsi="Arial" w:cs="Arial"/>
          <w:b/>
          <w:sz w:val="22"/>
          <w:szCs w:val="22"/>
        </w:rPr>
      </w:pPr>
      <w:r w:rsidRPr="00E24FE3">
        <w:rPr>
          <w:rFonts w:ascii="Arial" w:hAnsi="Arial" w:cs="Arial"/>
          <w:b/>
          <w:sz w:val="22"/>
          <w:szCs w:val="22"/>
        </w:rPr>
        <w:t>Definition</w:t>
      </w:r>
      <w:r w:rsidR="0028266C">
        <w:rPr>
          <w:rFonts w:ascii="Arial" w:hAnsi="Arial" w:cs="Arial"/>
          <w:b/>
          <w:sz w:val="22"/>
          <w:szCs w:val="22"/>
        </w:rPr>
        <w:t>s</w:t>
      </w:r>
    </w:p>
    <w:p w14:paraId="042E98E8" w14:textId="19E24F46" w:rsidR="0028266C" w:rsidRDefault="000A1767" w:rsidP="00FE360A">
      <w:pPr>
        <w:widowControl w:val="0"/>
        <w:spacing w:after="250" w:line="276" w:lineRule="auto"/>
        <w:jc w:val="both"/>
        <w:rPr>
          <w:rFonts w:ascii="Arial" w:hAnsi="Arial" w:cs="Arial"/>
          <w:sz w:val="22"/>
          <w:szCs w:val="22"/>
        </w:rPr>
      </w:pPr>
      <w:r w:rsidRPr="000A1767">
        <w:rPr>
          <w:rFonts w:ascii="Arial" w:hAnsi="Arial" w:cs="Arial"/>
          <w:sz w:val="22"/>
          <w:szCs w:val="22"/>
        </w:rPr>
        <w:t xml:space="preserve">We suggest that </w:t>
      </w:r>
      <w:r w:rsidR="0028266C">
        <w:rPr>
          <w:rFonts w:ascii="Arial" w:hAnsi="Arial" w:cs="Arial"/>
          <w:sz w:val="22"/>
          <w:szCs w:val="22"/>
        </w:rPr>
        <w:t>the definitions</w:t>
      </w:r>
      <w:r w:rsidR="00CD6D82">
        <w:rPr>
          <w:rFonts w:ascii="Arial" w:hAnsi="Arial" w:cs="Arial"/>
          <w:sz w:val="22"/>
          <w:szCs w:val="22"/>
        </w:rPr>
        <w:t xml:space="preserve"> section be</w:t>
      </w:r>
      <w:r w:rsidR="0028266C">
        <w:rPr>
          <w:rFonts w:ascii="Arial" w:hAnsi="Arial" w:cs="Arial"/>
          <w:sz w:val="22"/>
          <w:szCs w:val="22"/>
        </w:rPr>
        <w:t xml:space="preserve"> addressed in the final guidelines</w:t>
      </w:r>
      <w:r w:rsidR="00CD6D82">
        <w:rPr>
          <w:rFonts w:ascii="Arial" w:hAnsi="Arial" w:cs="Arial"/>
          <w:sz w:val="22"/>
          <w:szCs w:val="22"/>
        </w:rPr>
        <w:t xml:space="preserve">, in particular the </w:t>
      </w:r>
      <w:proofErr w:type="gramStart"/>
      <w:r w:rsidR="00CD6D82">
        <w:rPr>
          <w:rFonts w:ascii="Arial" w:hAnsi="Arial" w:cs="Arial"/>
          <w:sz w:val="22"/>
          <w:szCs w:val="22"/>
        </w:rPr>
        <w:t>below</w:t>
      </w:r>
      <w:r w:rsidR="0028266C">
        <w:rPr>
          <w:rFonts w:ascii="Arial" w:hAnsi="Arial" w:cs="Arial"/>
          <w:sz w:val="22"/>
          <w:szCs w:val="22"/>
        </w:rPr>
        <w:t>;</w:t>
      </w:r>
      <w:proofErr w:type="gramEnd"/>
    </w:p>
    <w:p w14:paraId="2722301B" w14:textId="1E91AF22" w:rsidR="000A1767" w:rsidRDefault="0028266C" w:rsidP="00FE360A">
      <w:pPr>
        <w:widowControl w:val="0"/>
        <w:spacing w:after="250" w:line="276" w:lineRule="auto"/>
        <w:jc w:val="both"/>
        <w:rPr>
          <w:rFonts w:ascii="Arial" w:hAnsi="Arial" w:cs="Arial"/>
          <w:sz w:val="22"/>
          <w:szCs w:val="22"/>
        </w:rPr>
      </w:pPr>
      <w:r>
        <w:rPr>
          <w:rFonts w:ascii="Arial" w:hAnsi="Arial" w:cs="Arial"/>
          <w:sz w:val="22"/>
          <w:szCs w:val="22"/>
        </w:rPr>
        <w:t>T</w:t>
      </w:r>
      <w:r w:rsidR="000A1767" w:rsidRPr="000A1767">
        <w:rPr>
          <w:rFonts w:ascii="Arial" w:hAnsi="Arial" w:cs="Arial"/>
          <w:sz w:val="22"/>
          <w:szCs w:val="22"/>
        </w:rPr>
        <w:t>he term "reversal rate" (Guideline 1, section 14) should be defined in Part 2.</w:t>
      </w:r>
    </w:p>
    <w:p w14:paraId="40BA0B1F" w14:textId="13BE8D97" w:rsidR="0028266C" w:rsidRDefault="0028266C" w:rsidP="00FE360A">
      <w:pPr>
        <w:widowControl w:val="0"/>
        <w:spacing w:after="250" w:line="276" w:lineRule="auto"/>
        <w:jc w:val="both"/>
        <w:rPr>
          <w:rFonts w:asciiTheme="minorHAnsi" w:eastAsiaTheme="minorEastAsia" w:hAnsiTheme="minorHAnsi" w:cstheme="minorBidi"/>
          <w:sz w:val="22"/>
          <w:szCs w:val="20"/>
          <w:lang w:eastAsia="en-US"/>
        </w:rPr>
      </w:pPr>
      <w:r>
        <w:rPr>
          <w:rFonts w:asciiTheme="minorHAnsi" w:eastAsiaTheme="minorEastAsia" w:hAnsiTheme="minorHAnsi" w:cstheme="minorBidi"/>
          <w:sz w:val="22"/>
          <w:szCs w:val="20"/>
          <w:lang w:eastAsia="en-US"/>
        </w:rPr>
        <w:t xml:space="preserve"> “</w:t>
      </w:r>
      <w:r w:rsidRPr="00E24FE3">
        <w:rPr>
          <w:rFonts w:asciiTheme="minorHAnsi" w:eastAsiaTheme="minorEastAsia" w:hAnsiTheme="minorHAnsi" w:cstheme="minorBidi"/>
          <w:i/>
          <w:iCs/>
          <w:sz w:val="22"/>
          <w:szCs w:val="20"/>
          <w:lang w:eastAsia="en-US"/>
        </w:rPr>
        <w:t>crystallisation frequency</w:t>
      </w:r>
      <w:r>
        <w:rPr>
          <w:rFonts w:asciiTheme="minorHAnsi" w:eastAsiaTheme="minorEastAsia" w:hAnsiTheme="minorHAnsi" w:cstheme="minorBidi"/>
          <w:sz w:val="22"/>
          <w:szCs w:val="20"/>
          <w:lang w:eastAsia="en-US"/>
        </w:rPr>
        <w:t>” should replace “</w:t>
      </w:r>
      <w:r w:rsidRPr="00E24FE3">
        <w:rPr>
          <w:rFonts w:asciiTheme="minorHAnsi" w:eastAsiaTheme="minorEastAsia" w:hAnsiTheme="minorHAnsi" w:cstheme="minorBidi"/>
          <w:i/>
          <w:iCs/>
          <w:sz w:val="22"/>
          <w:szCs w:val="20"/>
          <w:lang w:eastAsia="en-US"/>
        </w:rPr>
        <w:t>crystallisation period</w:t>
      </w:r>
      <w:r>
        <w:rPr>
          <w:rFonts w:asciiTheme="minorHAnsi" w:eastAsiaTheme="minorEastAsia" w:hAnsiTheme="minorHAnsi" w:cstheme="minorBidi"/>
          <w:sz w:val="22"/>
          <w:szCs w:val="20"/>
          <w:lang w:eastAsia="en-US"/>
        </w:rPr>
        <w:t>”.</w:t>
      </w:r>
    </w:p>
    <w:p w14:paraId="763B02F5" w14:textId="7A749130" w:rsidR="0028266C" w:rsidRDefault="0028266C" w:rsidP="00FE360A">
      <w:pPr>
        <w:widowControl w:val="0"/>
        <w:spacing w:after="250" w:line="276" w:lineRule="auto"/>
        <w:jc w:val="both"/>
        <w:rPr>
          <w:rFonts w:asciiTheme="minorHAnsi" w:hAnsiTheme="minorHAnsi" w:cstheme="minorHAnsi"/>
          <w:sz w:val="22"/>
          <w:szCs w:val="22"/>
        </w:rPr>
      </w:pPr>
      <w:r>
        <w:rPr>
          <w:rFonts w:asciiTheme="minorHAnsi" w:eastAsiaTheme="minorEastAsia" w:hAnsiTheme="minorHAnsi" w:cstheme="minorBidi"/>
          <w:sz w:val="22"/>
          <w:szCs w:val="20"/>
          <w:lang w:eastAsia="en-US"/>
        </w:rPr>
        <w:t xml:space="preserve">“performance reference period” should be defined more clearly </w:t>
      </w:r>
      <w:r w:rsidRPr="000547BF">
        <w:rPr>
          <w:rFonts w:asciiTheme="minorHAnsi" w:hAnsiTheme="minorHAnsi" w:cstheme="minorHAnsi"/>
          <w:sz w:val="22"/>
          <w:szCs w:val="22"/>
        </w:rPr>
        <w:t>as this is a new concept in some jurisdictions</w:t>
      </w:r>
      <w:r>
        <w:rPr>
          <w:rFonts w:asciiTheme="minorHAnsi" w:hAnsiTheme="minorHAnsi" w:cstheme="minorHAnsi"/>
          <w:sz w:val="22"/>
          <w:szCs w:val="22"/>
        </w:rPr>
        <w:t>.</w:t>
      </w:r>
    </w:p>
    <w:p w14:paraId="094555CE" w14:textId="363DA6F6" w:rsidR="00C85C8B" w:rsidRPr="00C85C8B" w:rsidRDefault="00C85C8B" w:rsidP="00FE360A">
      <w:pPr>
        <w:widowControl w:val="0"/>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1F23C9">
        <w:rPr>
          <w:rFonts w:asciiTheme="minorHAnsi" w:eastAsiaTheme="minorEastAsia" w:hAnsiTheme="minorHAnsi" w:cs="Arial"/>
          <w:sz w:val="22"/>
          <w:szCs w:val="20"/>
          <w:lang w:eastAsia="en-US"/>
        </w:rPr>
        <w:t>PFG</w:t>
      </w:r>
      <w:r w:rsidRPr="00C85C8B">
        <w:rPr>
          <w:rFonts w:asciiTheme="minorHAnsi" w:eastAsiaTheme="minorEastAsia" w:hAnsiTheme="minorHAnsi" w:cstheme="minorBidi"/>
          <w:sz w:val="22"/>
          <w:szCs w:val="20"/>
          <w:lang w:eastAsia="en-US"/>
        </w:rPr>
        <w:t>_1&gt;</w:t>
      </w:r>
    </w:p>
    <w:p w14:paraId="43F98525" w14:textId="77777777" w:rsidR="00C85C8B" w:rsidRDefault="00C85C8B" w:rsidP="00FE360A">
      <w:pPr>
        <w:widowControl w:val="0"/>
        <w:spacing w:line="276" w:lineRule="auto"/>
        <w:rPr>
          <w:rFonts w:asciiTheme="minorHAnsi" w:hAnsiTheme="minorHAnsi" w:cstheme="minorHAnsi"/>
          <w:b/>
          <w:sz w:val="28"/>
          <w:szCs w:val="28"/>
        </w:rPr>
      </w:pPr>
    </w:p>
    <w:p w14:paraId="37E8DCFB" w14:textId="77777777" w:rsidR="00C85C8B" w:rsidRDefault="00C85C8B" w:rsidP="00FE360A">
      <w:pPr>
        <w:widowControl w:val="0"/>
        <w:spacing w:line="276" w:lineRule="auto"/>
        <w:rPr>
          <w:rFonts w:asciiTheme="minorHAnsi" w:hAnsiTheme="minorHAnsi" w:cstheme="minorHAnsi"/>
          <w:b/>
          <w:sz w:val="28"/>
          <w:szCs w:val="28"/>
        </w:rPr>
      </w:pPr>
    </w:p>
    <w:p w14:paraId="5F65DA9B" w14:textId="77777777" w:rsidR="00B04939" w:rsidRDefault="00B04939" w:rsidP="00FE360A">
      <w:pPr>
        <w:widowControl w:val="0"/>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6F47C399" w14:textId="7533CDAA" w:rsidR="00C1698A" w:rsidRDefault="00C1698A" w:rsidP="00FE360A">
      <w:pPr>
        <w:widowControl w:val="0"/>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14:paraId="2F27B726" w14:textId="77777777" w:rsidR="00AB6157" w:rsidRDefault="00AB6157" w:rsidP="00FE360A">
      <w:pPr>
        <w:widowControl w:val="0"/>
        <w:spacing w:line="276" w:lineRule="auto"/>
        <w:rPr>
          <w:rFonts w:asciiTheme="minorHAnsi" w:hAnsiTheme="minorHAnsi" w:cstheme="minorHAnsi"/>
          <w:b/>
          <w:sz w:val="28"/>
          <w:szCs w:val="28"/>
        </w:rPr>
      </w:pPr>
    </w:p>
    <w:p w14:paraId="21A9FC4E" w14:textId="77777777" w:rsidR="001F23C9" w:rsidRPr="002E0170" w:rsidRDefault="001F23C9" w:rsidP="00FE360A">
      <w:pPr>
        <w:pStyle w:val="Questionstyle"/>
        <w:widowControl w:val="0"/>
      </w:pPr>
      <w:r>
        <w:t xml:space="preserve">: </w:t>
      </w:r>
      <w:r w:rsidRPr="002E0170">
        <w:t>Do you agree that greater standardisation in the field of funds’ performance fees is desirable? What should be the goal of standardisation?</w:t>
      </w:r>
    </w:p>
    <w:p w14:paraId="11410B77" w14:textId="21B2B107" w:rsidR="001F23C9" w:rsidRDefault="001F23C9" w:rsidP="00FE360A">
      <w:pPr>
        <w:widowControl w:val="0"/>
        <w:rPr>
          <w:rFonts w:asciiTheme="minorHAnsi" w:hAnsiTheme="minorHAnsi" w:cstheme="minorHAnsi"/>
          <w:sz w:val="22"/>
          <w:szCs w:val="22"/>
        </w:rPr>
      </w:pPr>
      <w:r w:rsidRPr="00AB0B42">
        <w:rPr>
          <w:rFonts w:asciiTheme="minorHAnsi" w:hAnsiTheme="minorHAnsi" w:cstheme="minorHAnsi"/>
          <w:sz w:val="22"/>
          <w:szCs w:val="22"/>
        </w:rPr>
        <w:t>&lt;ESMA_QUESTION_PFG_1&gt;</w:t>
      </w:r>
    </w:p>
    <w:p w14:paraId="0E72C328" w14:textId="1E0E4EE6" w:rsidR="00BE7A4E" w:rsidRDefault="00AB0B42" w:rsidP="00FE360A">
      <w:pPr>
        <w:widowControl w:val="0"/>
        <w:spacing w:line="276" w:lineRule="auto"/>
        <w:jc w:val="both"/>
        <w:rPr>
          <w:rFonts w:asciiTheme="minorHAnsi" w:hAnsiTheme="minorHAnsi" w:cstheme="minorHAnsi"/>
          <w:sz w:val="22"/>
          <w:szCs w:val="22"/>
        </w:rPr>
      </w:pPr>
      <w:r>
        <w:rPr>
          <w:rFonts w:asciiTheme="minorHAnsi" w:hAnsiTheme="minorHAnsi" w:cstheme="minorHAnsi"/>
          <w:sz w:val="22"/>
          <w:szCs w:val="22"/>
        </w:rPr>
        <w:t>[</w:t>
      </w:r>
      <w:r w:rsidRPr="00AB0B42">
        <w:rPr>
          <w:rFonts w:asciiTheme="minorHAnsi" w:hAnsiTheme="minorHAnsi" w:cstheme="minorHAnsi"/>
          <w:sz w:val="22"/>
          <w:szCs w:val="22"/>
        </w:rPr>
        <w:t>Yes, we agree that greater standardisation in the field of funds' performance fees is most desirable. The principal goal of greater standardisation in relation to performance fees should be to enhance the UCITS brand by ensuring that investors and prospect</w:t>
      </w:r>
      <w:r w:rsidR="00541EE8">
        <w:rPr>
          <w:rFonts w:asciiTheme="minorHAnsi" w:hAnsiTheme="minorHAnsi" w:cstheme="minorHAnsi"/>
          <w:sz w:val="22"/>
          <w:szCs w:val="22"/>
        </w:rPr>
        <w:t>ive</w:t>
      </w:r>
      <w:r w:rsidRPr="00AB0B42">
        <w:rPr>
          <w:rFonts w:asciiTheme="minorHAnsi" w:hAnsiTheme="minorHAnsi" w:cstheme="minorHAnsi"/>
          <w:sz w:val="22"/>
          <w:szCs w:val="22"/>
        </w:rPr>
        <w:t xml:space="preserve"> investors can have the confidence in a common understanding of performance fee regimes regardless of the domicile of a particular UCITS. This is of </w:t>
      </w:r>
      <w:proofErr w:type="gramStart"/>
      <w:r w:rsidRPr="00AB0B42">
        <w:rPr>
          <w:rFonts w:asciiTheme="minorHAnsi" w:hAnsiTheme="minorHAnsi" w:cstheme="minorHAnsi"/>
          <w:sz w:val="22"/>
          <w:szCs w:val="22"/>
        </w:rPr>
        <w:t>particular importance</w:t>
      </w:r>
      <w:proofErr w:type="gramEnd"/>
      <w:r w:rsidRPr="00AB0B42">
        <w:rPr>
          <w:rFonts w:asciiTheme="minorHAnsi" w:hAnsiTheme="minorHAnsi" w:cstheme="minorHAnsi"/>
          <w:sz w:val="22"/>
          <w:szCs w:val="22"/>
        </w:rPr>
        <w:t xml:space="preserve"> in the context of the objective of better facilitating the cross-border distribution of UCITS both within the EEA and </w:t>
      </w:r>
      <w:r w:rsidR="00042C00">
        <w:rPr>
          <w:rFonts w:asciiTheme="minorHAnsi" w:hAnsiTheme="minorHAnsi" w:cstheme="minorHAnsi"/>
          <w:sz w:val="22"/>
          <w:szCs w:val="22"/>
        </w:rPr>
        <w:t>beyond</w:t>
      </w:r>
      <w:r w:rsidRPr="00AB0B42">
        <w:rPr>
          <w:rFonts w:asciiTheme="minorHAnsi" w:hAnsiTheme="minorHAnsi" w:cstheme="minorHAnsi"/>
          <w:sz w:val="22"/>
          <w:szCs w:val="22"/>
        </w:rPr>
        <w:t>.</w:t>
      </w:r>
    </w:p>
    <w:p w14:paraId="48CE46F2" w14:textId="77777777" w:rsidR="00BE7A4E" w:rsidRDefault="00BE7A4E" w:rsidP="00FE360A">
      <w:pPr>
        <w:widowControl w:val="0"/>
        <w:spacing w:line="276" w:lineRule="auto"/>
        <w:jc w:val="both"/>
        <w:rPr>
          <w:rFonts w:asciiTheme="minorHAnsi" w:hAnsiTheme="minorHAnsi" w:cstheme="minorHAnsi"/>
          <w:sz w:val="22"/>
          <w:szCs w:val="22"/>
        </w:rPr>
      </w:pPr>
    </w:p>
    <w:p w14:paraId="2C849964" w14:textId="5749D73B" w:rsidR="00BE7A4E" w:rsidRDefault="00BE7A4E" w:rsidP="00BE7A4E">
      <w:pPr>
        <w:widowControl w:val="0"/>
        <w:spacing w:after="250" w:line="276" w:lineRule="auto"/>
        <w:jc w:val="both"/>
        <w:rPr>
          <w:rFonts w:ascii="Arial" w:hAnsi="Arial" w:cs="Arial"/>
          <w:sz w:val="22"/>
          <w:szCs w:val="22"/>
        </w:rPr>
      </w:pPr>
      <w:r>
        <w:rPr>
          <w:rFonts w:ascii="Arial" w:hAnsi="Arial" w:cs="Arial"/>
          <w:sz w:val="22"/>
          <w:szCs w:val="22"/>
        </w:rPr>
        <w:t xml:space="preserve">However, we wish to point to the importance of the guidelines not becoming </w:t>
      </w:r>
      <w:r w:rsidR="00042C00">
        <w:rPr>
          <w:rFonts w:ascii="Arial" w:hAnsi="Arial" w:cs="Arial"/>
          <w:sz w:val="22"/>
          <w:szCs w:val="22"/>
        </w:rPr>
        <w:t xml:space="preserve">overly </w:t>
      </w:r>
      <w:r>
        <w:rPr>
          <w:rFonts w:ascii="Arial" w:hAnsi="Arial" w:cs="Arial"/>
          <w:sz w:val="22"/>
          <w:szCs w:val="22"/>
        </w:rPr>
        <w:t xml:space="preserve">prescriptive and allowing model flexibility given that certain funds or classes will target institutional investors </w:t>
      </w:r>
      <w:r w:rsidR="00042C00">
        <w:rPr>
          <w:rFonts w:ascii="Arial" w:hAnsi="Arial" w:cs="Arial"/>
          <w:sz w:val="22"/>
          <w:szCs w:val="22"/>
        </w:rPr>
        <w:t xml:space="preserve">who would have  </w:t>
      </w:r>
      <w:r>
        <w:rPr>
          <w:rFonts w:ascii="Arial" w:hAnsi="Arial" w:cs="Arial"/>
          <w:sz w:val="22"/>
          <w:szCs w:val="22"/>
        </w:rPr>
        <w:t>a greater level of sophistication, and/or risk appetite and understanding of performance fee models.</w:t>
      </w:r>
    </w:p>
    <w:p w14:paraId="5F3E2392" w14:textId="7AE3E3FC" w:rsidR="00AB0B42" w:rsidRPr="00AB0B42" w:rsidRDefault="00AB0B42" w:rsidP="00FE360A">
      <w:pPr>
        <w:widowControl w:val="0"/>
        <w:spacing w:line="276" w:lineRule="auto"/>
        <w:jc w:val="both"/>
        <w:rPr>
          <w:rFonts w:asciiTheme="minorHAnsi" w:hAnsiTheme="minorHAnsi" w:cstheme="minorHAnsi"/>
          <w:sz w:val="22"/>
          <w:szCs w:val="22"/>
        </w:rPr>
      </w:pPr>
      <w:r w:rsidRPr="00AB0B42">
        <w:rPr>
          <w:rFonts w:asciiTheme="minorHAnsi" w:hAnsiTheme="minorHAnsi" w:cstheme="minorHAnsi"/>
          <w:sz w:val="22"/>
          <w:szCs w:val="22"/>
        </w:rPr>
        <w:t>The purpose of standardisation is well set out in Section 3, paragraph 5 of the draft guidelines</w:t>
      </w:r>
      <w:r>
        <w:rPr>
          <w:rFonts w:asciiTheme="minorHAnsi" w:hAnsiTheme="minorHAnsi" w:cstheme="minorHAnsi"/>
          <w:sz w:val="22"/>
          <w:szCs w:val="22"/>
        </w:rPr>
        <w:t>.]</w:t>
      </w:r>
    </w:p>
    <w:p w14:paraId="428C08D7" w14:textId="0C71258B" w:rsidR="001F23C9" w:rsidRPr="00AB0B42" w:rsidRDefault="001F23C9" w:rsidP="00FE360A">
      <w:pPr>
        <w:widowControl w:val="0"/>
        <w:rPr>
          <w:rFonts w:asciiTheme="minorHAnsi" w:hAnsiTheme="minorHAnsi" w:cstheme="minorHAnsi"/>
          <w:sz w:val="22"/>
          <w:szCs w:val="22"/>
        </w:rPr>
      </w:pPr>
      <w:r w:rsidRPr="00AB0B42">
        <w:rPr>
          <w:rFonts w:asciiTheme="minorHAnsi" w:hAnsiTheme="minorHAnsi" w:cstheme="minorHAnsi"/>
          <w:sz w:val="22"/>
          <w:szCs w:val="22"/>
        </w:rPr>
        <w:t>&lt;ESMA_QUESTION_PFG_1&gt;</w:t>
      </w:r>
    </w:p>
    <w:p w14:paraId="113C057D" w14:textId="77777777" w:rsidR="001F23C9" w:rsidRPr="00AB0B42" w:rsidRDefault="001F23C9" w:rsidP="00FE360A">
      <w:pPr>
        <w:widowControl w:val="0"/>
        <w:rPr>
          <w:rFonts w:asciiTheme="minorHAnsi" w:hAnsiTheme="minorHAnsi" w:cstheme="minorHAnsi"/>
          <w:sz w:val="22"/>
          <w:szCs w:val="22"/>
        </w:rPr>
      </w:pPr>
    </w:p>
    <w:p w14:paraId="46AB36AB" w14:textId="77777777" w:rsidR="001F23C9" w:rsidRPr="002E0170" w:rsidRDefault="001F23C9" w:rsidP="00FE360A">
      <w:pPr>
        <w:pStyle w:val="Questionstyle"/>
        <w:widowControl w:val="0"/>
      </w:pPr>
      <w:r w:rsidRPr="002E0170">
        <w:t>: Are there any obstacles to standardisation that could be removed by regulatory action? Please elaborate.</w:t>
      </w:r>
    </w:p>
    <w:p w14:paraId="315D290C" w14:textId="77777777" w:rsidR="001F23C9" w:rsidRPr="00AB0B42" w:rsidRDefault="001F23C9" w:rsidP="00FE360A">
      <w:pPr>
        <w:widowControl w:val="0"/>
        <w:rPr>
          <w:rFonts w:asciiTheme="minorHAnsi" w:hAnsiTheme="minorHAnsi" w:cstheme="minorHAnsi"/>
          <w:sz w:val="22"/>
          <w:szCs w:val="22"/>
        </w:rPr>
      </w:pPr>
      <w:r w:rsidRPr="00AB0B42">
        <w:rPr>
          <w:rFonts w:asciiTheme="minorHAnsi" w:hAnsiTheme="minorHAnsi" w:cstheme="minorHAnsi"/>
          <w:sz w:val="22"/>
          <w:szCs w:val="22"/>
        </w:rPr>
        <w:t>&lt;ESMA_QUESTION_PFG_2&gt;</w:t>
      </w:r>
    </w:p>
    <w:p w14:paraId="5610CD6D" w14:textId="5A357187" w:rsidR="00AB0B42" w:rsidRDefault="00AB0B42" w:rsidP="00FE360A">
      <w:pPr>
        <w:widowControl w:val="0"/>
        <w:spacing w:line="276" w:lineRule="auto"/>
        <w:jc w:val="both"/>
        <w:rPr>
          <w:rFonts w:asciiTheme="minorHAnsi" w:hAnsiTheme="minorHAnsi" w:cstheme="minorHAnsi"/>
          <w:sz w:val="22"/>
          <w:szCs w:val="22"/>
        </w:rPr>
      </w:pPr>
      <w:r>
        <w:rPr>
          <w:rFonts w:asciiTheme="minorHAnsi" w:hAnsiTheme="minorHAnsi" w:cstheme="minorHAnsi"/>
          <w:sz w:val="22"/>
          <w:szCs w:val="22"/>
        </w:rPr>
        <w:t>[</w:t>
      </w:r>
      <w:r w:rsidRPr="00AB0B42">
        <w:rPr>
          <w:rFonts w:asciiTheme="minorHAnsi" w:hAnsiTheme="minorHAnsi" w:cstheme="minorHAnsi"/>
          <w:sz w:val="22"/>
          <w:szCs w:val="22"/>
        </w:rPr>
        <w:t xml:space="preserve">Standardisation in an area such as performance fees needs to be introduced and implemented on a basis </w:t>
      </w:r>
      <w:r w:rsidR="00207ED9">
        <w:rPr>
          <w:rFonts w:asciiTheme="minorHAnsi" w:hAnsiTheme="minorHAnsi" w:cstheme="minorHAnsi"/>
          <w:sz w:val="22"/>
          <w:szCs w:val="22"/>
        </w:rPr>
        <w:t>which</w:t>
      </w:r>
      <w:r w:rsidRPr="00AB0B42">
        <w:rPr>
          <w:rFonts w:asciiTheme="minorHAnsi" w:hAnsiTheme="minorHAnsi" w:cstheme="minorHAnsi"/>
          <w:sz w:val="22"/>
          <w:szCs w:val="22"/>
        </w:rPr>
        <w:t xml:space="preserve"> ensure</w:t>
      </w:r>
      <w:r w:rsidR="00207ED9">
        <w:rPr>
          <w:rFonts w:asciiTheme="minorHAnsi" w:hAnsiTheme="minorHAnsi" w:cstheme="minorHAnsi"/>
          <w:sz w:val="22"/>
          <w:szCs w:val="22"/>
        </w:rPr>
        <w:t>s</w:t>
      </w:r>
      <w:r w:rsidRPr="00AB0B42">
        <w:rPr>
          <w:rFonts w:asciiTheme="minorHAnsi" w:hAnsiTheme="minorHAnsi" w:cstheme="minorHAnsi"/>
          <w:sz w:val="22"/>
          <w:szCs w:val="22"/>
        </w:rPr>
        <w:t xml:space="preserve"> a "level playing field", the elimination of national </w:t>
      </w:r>
      <w:r w:rsidR="00207ED9">
        <w:rPr>
          <w:rFonts w:asciiTheme="minorHAnsi" w:hAnsiTheme="minorHAnsi" w:cstheme="minorHAnsi"/>
          <w:sz w:val="22"/>
          <w:szCs w:val="22"/>
        </w:rPr>
        <w:t>restrictions</w:t>
      </w:r>
      <w:r w:rsidRPr="00AB0B42">
        <w:rPr>
          <w:rFonts w:asciiTheme="minorHAnsi" w:hAnsiTheme="minorHAnsi" w:cstheme="minorHAnsi"/>
          <w:sz w:val="22"/>
          <w:szCs w:val="22"/>
        </w:rPr>
        <w:t xml:space="preserve"> in performance fee models and barriers to the cross-border marketability of UCITS funds</w:t>
      </w:r>
      <w:r>
        <w:rPr>
          <w:rFonts w:asciiTheme="minorHAnsi" w:hAnsiTheme="minorHAnsi" w:cstheme="minorHAnsi"/>
          <w:sz w:val="22"/>
          <w:szCs w:val="22"/>
        </w:rPr>
        <w:t>.]</w:t>
      </w:r>
    </w:p>
    <w:p w14:paraId="37DD4A18" w14:textId="70B0A529" w:rsidR="001F23C9" w:rsidRPr="00AB0B42" w:rsidRDefault="001F23C9" w:rsidP="00FE360A">
      <w:pPr>
        <w:widowControl w:val="0"/>
        <w:rPr>
          <w:rFonts w:asciiTheme="minorHAnsi" w:hAnsiTheme="minorHAnsi" w:cstheme="minorHAnsi"/>
          <w:sz w:val="22"/>
          <w:szCs w:val="22"/>
        </w:rPr>
      </w:pPr>
      <w:r w:rsidRPr="00AB0B42">
        <w:rPr>
          <w:rFonts w:asciiTheme="minorHAnsi" w:hAnsiTheme="minorHAnsi" w:cstheme="minorHAnsi"/>
          <w:sz w:val="22"/>
          <w:szCs w:val="22"/>
        </w:rPr>
        <w:t>&lt;ESMA_QUESTION_PFG_2&gt;</w:t>
      </w:r>
    </w:p>
    <w:p w14:paraId="3F7051A3" w14:textId="77777777" w:rsidR="001F23C9" w:rsidRPr="00AB0B42" w:rsidRDefault="001F23C9" w:rsidP="00FE360A">
      <w:pPr>
        <w:widowControl w:val="0"/>
        <w:rPr>
          <w:rFonts w:asciiTheme="minorHAnsi" w:hAnsiTheme="minorHAnsi" w:cstheme="minorHAnsi"/>
          <w:sz w:val="22"/>
          <w:szCs w:val="22"/>
        </w:rPr>
      </w:pPr>
    </w:p>
    <w:p w14:paraId="52F8A8AA" w14:textId="1A4C8C46" w:rsidR="001F23C9" w:rsidRPr="002E0170" w:rsidRDefault="001F23C9" w:rsidP="00FE360A">
      <w:pPr>
        <w:pStyle w:val="Questionstyle"/>
        <w:widowControl w:val="0"/>
      </w:pPr>
      <w:r w:rsidRPr="002E0170">
        <w:t>: What should be taken into consideration when assessing consistency between the index used to calculate the performance fees and the investment objectives, strategy and policy of the fund? Are there any specific indicators which should be considered (e</w:t>
      </w:r>
      <w:r w:rsidR="007A259D">
        <w:t>.</w:t>
      </w:r>
      <w:r w:rsidRPr="002E0170">
        <w:t>g</w:t>
      </w:r>
      <w:r w:rsidR="007A259D">
        <w:t>.</w:t>
      </w:r>
      <w:r w:rsidRPr="002E0170">
        <w:t>: historical volatility, asset allocation composition, etc.) to ensure this consistency? Please provide examples and give reasons for your answer.</w:t>
      </w:r>
    </w:p>
    <w:p w14:paraId="286B626B" w14:textId="1174E6C4" w:rsidR="001F23C9" w:rsidRDefault="001F23C9" w:rsidP="00FE360A">
      <w:pPr>
        <w:widowControl w:val="0"/>
        <w:rPr>
          <w:rFonts w:asciiTheme="minorHAnsi" w:hAnsiTheme="minorHAnsi" w:cstheme="minorHAnsi"/>
          <w:sz w:val="22"/>
          <w:szCs w:val="22"/>
        </w:rPr>
      </w:pPr>
      <w:r w:rsidRPr="00AB0B42">
        <w:rPr>
          <w:rFonts w:asciiTheme="minorHAnsi" w:hAnsiTheme="minorHAnsi" w:cstheme="minorHAnsi"/>
          <w:sz w:val="22"/>
          <w:szCs w:val="22"/>
        </w:rPr>
        <w:t>&lt;ESMA_QUESTION_PFG_3&gt;</w:t>
      </w:r>
    </w:p>
    <w:p w14:paraId="655B628F" w14:textId="2BA92BA5" w:rsidR="00455E93" w:rsidRDefault="00AB0B42" w:rsidP="00FE360A">
      <w:pPr>
        <w:widowControl w:val="0"/>
        <w:spacing w:line="276" w:lineRule="auto"/>
        <w:jc w:val="both"/>
        <w:rPr>
          <w:rFonts w:asciiTheme="minorHAnsi" w:hAnsiTheme="minorHAnsi" w:cstheme="minorHAnsi"/>
          <w:sz w:val="22"/>
          <w:szCs w:val="22"/>
        </w:rPr>
      </w:pPr>
      <w:r>
        <w:rPr>
          <w:rFonts w:asciiTheme="minorHAnsi" w:hAnsiTheme="minorHAnsi" w:cstheme="minorHAnsi"/>
          <w:sz w:val="22"/>
          <w:szCs w:val="22"/>
        </w:rPr>
        <w:t>[</w:t>
      </w:r>
      <w:r w:rsidRPr="00AB0B42">
        <w:rPr>
          <w:rFonts w:asciiTheme="minorHAnsi" w:hAnsiTheme="minorHAnsi" w:cstheme="minorHAnsi"/>
          <w:sz w:val="22"/>
          <w:szCs w:val="22"/>
        </w:rPr>
        <w:t xml:space="preserve">We agree with the requirement, for funds which use a </w:t>
      </w:r>
      <w:r w:rsidR="00DD016E" w:rsidRPr="00AB0B42">
        <w:rPr>
          <w:rFonts w:asciiTheme="minorHAnsi" w:hAnsiTheme="minorHAnsi" w:cstheme="minorHAnsi"/>
          <w:sz w:val="22"/>
          <w:szCs w:val="22"/>
        </w:rPr>
        <w:t>benchmark-based</w:t>
      </w:r>
      <w:r w:rsidRPr="00AB0B42">
        <w:rPr>
          <w:rFonts w:asciiTheme="minorHAnsi" w:hAnsiTheme="minorHAnsi" w:cstheme="minorHAnsi"/>
          <w:sz w:val="22"/>
          <w:szCs w:val="22"/>
        </w:rPr>
        <w:t xml:space="preserve"> performance fee, to assess the consistency between the index used and the investment objectives, strategy and policy of the fund. There are many criteria which can be taken into account in making the assessment but ultimately it should be a decision for the management company as to the most appropriate factors for the specific fund or class, rather than prescribing specific indicators in the guidelines which must or should be considered. Indicators could be included in the guidance as examples of items the management company could consider. These should be </w:t>
      </w:r>
      <w:proofErr w:type="gramStart"/>
      <w:r w:rsidRPr="00AB0B42">
        <w:rPr>
          <w:rFonts w:asciiTheme="minorHAnsi" w:hAnsiTheme="minorHAnsi" w:cstheme="minorHAnsi"/>
          <w:sz w:val="22"/>
          <w:szCs w:val="22"/>
        </w:rPr>
        <w:t>examples</w:t>
      </w:r>
      <w:proofErr w:type="gramEnd"/>
      <w:r w:rsidRPr="00AB0B42">
        <w:rPr>
          <w:rFonts w:asciiTheme="minorHAnsi" w:hAnsiTheme="minorHAnsi" w:cstheme="minorHAnsi"/>
          <w:sz w:val="22"/>
          <w:szCs w:val="22"/>
        </w:rPr>
        <w:t xml:space="preserve"> only and not a "minimum" list of factors</w:t>
      </w:r>
      <w:r>
        <w:rPr>
          <w:rFonts w:asciiTheme="minorHAnsi" w:hAnsiTheme="minorHAnsi" w:cstheme="minorHAnsi"/>
          <w:sz w:val="22"/>
          <w:szCs w:val="22"/>
        </w:rPr>
        <w:t>.</w:t>
      </w:r>
    </w:p>
    <w:p w14:paraId="3A7EAECF" w14:textId="77777777" w:rsidR="00455E93" w:rsidRDefault="00455E93" w:rsidP="00FE360A">
      <w:pPr>
        <w:widowControl w:val="0"/>
        <w:spacing w:line="276" w:lineRule="auto"/>
        <w:jc w:val="both"/>
        <w:rPr>
          <w:rFonts w:asciiTheme="minorHAnsi" w:hAnsiTheme="minorHAnsi" w:cstheme="minorHAnsi"/>
          <w:sz w:val="22"/>
          <w:szCs w:val="22"/>
        </w:rPr>
      </w:pPr>
    </w:p>
    <w:p w14:paraId="7781BFAF" w14:textId="0D117B10" w:rsidR="00B94DED" w:rsidRPr="00215534" w:rsidRDefault="00B94DED" w:rsidP="00215534">
      <w:pPr>
        <w:jc w:val="both"/>
        <w:rPr>
          <w:rFonts w:asciiTheme="minorHAnsi" w:hAnsiTheme="minorHAnsi" w:cstheme="minorHAnsi"/>
          <w:sz w:val="22"/>
          <w:szCs w:val="22"/>
        </w:rPr>
      </w:pPr>
      <w:r w:rsidRPr="00215534">
        <w:rPr>
          <w:rFonts w:asciiTheme="minorHAnsi" w:hAnsiTheme="minorHAnsi" w:cstheme="minorHAnsi"/>
          <w:sz w:val="22"/>
          <w:szCs w:val="22"/>
        </w:rPr>
        <w:lastRenderedPageBreak/>
        <w:t xml:space="preserve">We note that the draft Guideline says that the benchmark must be appropriate for the investment strategy and goes onto say by way of example that it would not be appropriate for a long-equity fund to have a money market rate benchmark. We would disagree with the example given. A benchmark should be able to represent the alternative investment options for an investor (for example, if an investor would have put their cash in a bank account, then a money market benchmark is an appropriate measure against which performance may be measured). In this regard, we have seen UCITS which offer investors a range of performance fee classes within a single sub-fund, with performance fees capable of being assessed against (a) outperformance of a market based benchmark, (b) outperformance of a money market / EONIA rate or (c) outperformance of a high water mark. We believe that this is entirely appropriate and that investors should not see their choices constrained by obliging the UCITS to only offer a </w:t>
      </w:r>
      <w:r w:rsidRPr="00B94DED">
        <w:rPr>
          <w:rFonts w:asciiTheme="minorHAnsi" w:hAnsiTheme="minorHAnsi" w:cstheme="minorHAnsi"/>
          <w:sz w:val="22"/>
          <w:szCs w:val="22"/>
        </w:rPr>
        <w:t>market-based</w:t>
      </w:r>
      <w:r w:rsidRPr="00215534">
        <w:rPr>
          <w:rFonts w:asciiTheme="minorHAnsi" w:hAnsiTheme="minorHAnsi" w:cstheme="minorHAnsi"/>
          <w:sz w:val="22"/>
          <w:szCs w:val="22"/>
        </w:rPr>
        <w:t xml:space="preserve"> benchmark.</w:t>
      </w:r>
    </w:p>
    <w:p w14:paraId="47A3A624" w14:textId="77777777" w:rsidR="00B94DED" w:rsidRPr="00215534" w:rsidRDefault="00B94DED" w:rsidP="00215534">
      <w:pPr>
        <w:jc w:val="both"/>
        <w:rPr>
          <w:rFonts w:asciiTheme="minorHAnsi" w:hAnsiTheme="minorHAnsi" w:cstheme="minorHAnsi"/>
          <w:sz w:val="22"/>
          <w:szCs w:val="22"/>
        </w:rPr>
      </w:pPr>
    </w:p>
    <w:p w14:paraId="6C299FCC" w14:textId="0157B37D" w:rsidR="00B94DED" w:rsidRPr="00215534" w:rsidRDefault="00B94DED" w:rsidP="00215534">
      <w:pPr>
        <w:jc w:val="both"/>
        <w:rPr>
          <w:rFonts w:asciiTheme="minorHAnsi" w:hAnsiTheme="minorHAnsi" w:cstheme="minorHAnsi"/>
          <w:sz w:val="22"/>
          <w:szCs w:val="22"/>
        </w:rPr>
      </w:pPr>
      <w:r w:rsidRPr="00215534">
        <w:rPr>
          <w:rFonts w:asciiTheme="minorHAnsi" w:hAnsiTheme="minorHAnsi" w:cstheme="minorHAnsi"/>
          <w:sz w:val="22"/>
          <w:szCs w:val="22"/>
        </w:rPr>
        <w:t>In this regard, we believe that it does not make sense to suggest that a benchmark is not required in certain cases (as would appear to be the case from the footnote to Guideline 1, paragraph 11(a)) and then go on to suggest that a money market rate benchmark is inappropriate in certain cases. </w:t>
      </w:r>
      <w:r w:rsidRPr="00B94DED">
        <w:rPr>
          <w:rFonts w:asciiTheme="minorHAnsi" w:hAnsiTheme="minorHAnsi" w:cstheme="minorHAnsi"/>
          <w:sz w:val="22"/>
          <w:szCs w:val="22"/>
        </w:rPr>
        <w:t>If including</w:t>
      </w:r>
      <w:r w:rsidRPr="00215534">
        <w:rPr>
          <w:rFonts w:asciiTheme="minorHAnsi" w:hAnsiTheme="minorHAnsi" w:cstheme="minorHAnsi"/>
          <w:sz w:val="22"/>
          <w:szCs w:val="22"/>
        </w:rPr>
        <w:t xml:space="preserve"> no benchmark is an option, then including any benchmark </w:t>
      </w:r>
      <w:proofErr w:type="gramStart"/>
      <w:r w:rsidRPr="00215534">
        <w:rPr>
          <w:rFonts w:asciiTheme="minorHAnsi" w:hAnsiTheme="minorHAnsi" w:cstheme="minorHAnsi"/>
          <w:sz w:val="22"/>
          <w:szCs w:val="22"/>
        </w:rPr>
        <w:t>has to</w:t>
      </w:r>
      <w:proofErr w:type="gramEnd"/>
      <w:r w:rsidRPr="00215534">
        <w:rPr>
          <w:rFonts w:asciiTheme="minorHAnsi" w:hAnsiTheme="minorHAnsi" w:cstheme="minorHAnsi"/>
          <w:sz w:val="22"/>
          <w:szCs w:val="22"/>
        </w:rPr>
        <w:t xml:space="preserve"> be seen as a positive for investors. In other words, if the final Guidance was to preclude money market benchmarks for certain funds, the </w:t>
      </w:r>
      <w:r w:rsidR="00E266D2">
        <w:rPr>
          <w:rFonts w:asciiTheme="minorHAnsi" w:hAnsiTheme="minorHAnsi" w:cstheme="minorHAnsi"/>
          <w:sz w:val="22"/>
          <w:szCs w:val="22"/>
        </w:rPr>
        <w:t>management company</w:t>
      </w:r>
      <w:r w:rsidRPr="00215534">
        <w:rPr>
          <w:rFonts w:asciiTheme="minorHAnsi" w:hAnsiTheme="minorHAnsi" w:cstheme="minorHAnsi"/>
          <w:sz w:val="22"/>
          <w:szCs w:val="22"/>
        </w:rPr>
        <w:t xml:space="preserve"> could respond by determining not to have any benchmark at all, which would be a worse outcome for investors.</w:t>
      </w:r>
      <w:r w:rsidR="00215534">
        <w:rPr>
          <w:rFonts w:asciiTheme="minorHAnsi" w:hAnsiTheme="minorHAnsi" w:cstheme="minorHAnsi"/>
          <w:sz w:val="22"/>
          <w:szCs w:val="22"/>
        </w:rPr>
        <w:t>]</w:t>
      </w:r>
    </w:p>
    <w:p w14:paraId="5BEE110D" w14:textId="77777777" w:rsidR="001F23C9" w:rsidRPr="00AB0B42" w:rsidRDefault="001F23C9" w:rsidP="00FE360A">
      <w:pPr>
        <w:widowControl w:val="0"/>
        <w:rPr>
          <w:rFonts w:asciiTheme="minorHAnsi" w:hAnsiTheme="minorHAnsi" w:cstheme="minorHAnsi"/>
          <w:sz w:val="22"/>
          <w:szCs w:val="22"/>
        </w:rPr>
      </w:pPr>
      <w:r w:rsidRPr="00AB0B42">
        <w:rPr>
          <w:rFonts w:asciiTheme="minorHAnsi" w:hAnsiTheme="minorHAnsi" w:cstheme="minorHAnsi"/>
          <w:sz w:val="22"/>
          <w:szCs w:val="22"/>
        </w:rPr>
        <w:t>&lt;ESMA_QUESTION_PFG_3&gt;</w:t>
      </w:r>
    </w:p>
    <w:p w14:paraId="5711100A" w14:textId="77777777" w:rsidR="001F23C9" w:rsidRPr="002E0170" w:rsidRDefault="001F23C9" w:rsidP="00FE360A">
      <w:pPr>
        <w:widowControl w:val="0"/>
        <w:rPr>
          <w:rFonts w:asciiTheme="majorHAnsi" w:hAnsiTheme="majorHAnsi" w:cstheme="majorHAnsi"/>
          <w:sz w:val="22"/>
          <w:szCs w:val="22"/>
        </w:rPr>
      </w:pPr>
    </w:p>
    <w:p w14:paraId="44A13430" w14:textId="77777777" w:rsidR="001F23C9" w:rsidRPr="002E0170" w:rsidRDefault="001F23C9" w:rsidP="00FE360A">
      <w:pPr>
        <w:pStyle w:val="Questionstyle"/>
        <w:widowControl w:val="0"/>
      </w:pPr>
      <w:r w:rsidRPr="002E0170">
        <w:t>: What is the anticipated impact of the introduction of Guideline 3? Do you agree with setting a minimum crystallisation period of one year? Do you think this could help better aligning the interests of fund managers and investors? Please provide examples.</w:t>
      </w:r>
    </w:p>
    <w:p w14:paraId="775BE622" w14:textId="1B817A8C" w:rsidR="001F23C9" w:rsidRDefault="001F23C9" w:rsidP="00FE360A">
      <w:pPr>
        <w:widowControl w:val="0"/>
        <w:rPr>
          <w:rFonts w:asciiTheme="minorHAnsi" w:hAnsiTheme="minorHAnsi" w:cstheme="minorHAnsi"/>
          <w:sz w:val="22"/>
          <w:szCs w:val="22"/>
        </w:rPr>
      </w:pPr>
      <w:r w:rsidRPr="00AB0B42">
        <w:rPr>
          <w:rFonts w:asciiTheme="minorHAnsi" w:hAnsiTheme="minorHAnsi" w:cstheme="minorHAnsi"/>
          <w:sz w:val="22"/>
          <w:szCs w:val="22"/>
        </w:rPr>
        <w:t>&lt;ESMA_QUESTION_PFG_4&gt;</w:t>
      </w:r>
    </w:p>
    <w:p w14:paraId="256CDC0C" w14:textId="77777777" w:rsidR="00AB0B42" w:rsidRPr="00AB0B42" w:rsidRDefault="00AB0B42" w:rsidP="00FE360A">
      <w:pPr>
        <w:widowControl w:val="0"/>
        <w:spacing w:line="276" w:lineRule="auto"/>
        <w:jc w:val="both"/>
        <w:rPr>
          <w:rFonts w:asciiTheme="minorHAnsi" w:hAnsiTheme="minorHAnsi" w:cstheme="minorHAnsi"/>
          <w:sz w:val="22"/>
          <w:szCs w:val="22"/>
        </w:rPr>
      </w:pPr>
      <w:r>
        <w:rPr>
          <w:rFonts w:asciiTheme="minorHAnsi" w:hAnsiTheme="minorHAnsi" w:cstheme="minorHAnsi"/>
          <w:sz w:val="22"/>
          <w:szCs w:val="22"/>
        </w:rPr>
        <w:t>[</w:t>
      </w:r>
      <w:r w:rsidRPr="00AB0B42">
        <w:rPr>
          <w:rFonts w:asciiTheme="minorHAnsi" w:hAnsiTheme="minorHAnsi" w:cstheme="minorHAnsi"/>
          <w:sz w:val="22"/>
          <w:szCs w:val="22"/>
        </w:rPr>
        <w:t xml:space="preserve">We agree that one year is not unreasonable. Irish UCITS in existence on 31 May 2019 crystallising performance fees and paying on a more regular basis than one year must transition to this standard by 30 November 2020.  </w:t>
      </w:r>
    </w:p>
    <w:p w14:paraId="5C428AEE" w14:textId="77777777" w:rsidR="00AB0B42" w:rsidRPr="00AB0B42" w:rsidRDefault="00AB0B42" w:rsidP="00FE360A">
      <w:pPr>
        <w:widowControl w:val="0"/>
        <w:jc w:val="both"/>
        <w:rPr>
          <w:rFonts w:asciiTheme="minorHAnsi" w:hAnsiTheme="minorHAnsi" w:cstheme="minorHAnsi"/>
          <w:sz w:val="22"/>
          <w:szCs w:val="22"/>
        </w:rPr>
      </w:pPr>
    </w:p>
    <w:p w14:paraId="7FD8ACBD" w14:textId="77777777" w:rsidR="00AB0B42" w:rsidRPr="00AB0B42" w:rsidRDefault="00AB0B42" w:rsidP="00FE360A">
      <w:pPr>
        <w:widowControl w:val="0"/>
        <w:spacing w:line="276" w:lineRule="auto"/>
        <w:jc w:val="both"/>
        <w:rPr>
          <w:rFonts w:asciiTheme="minorHAnsi" w:hAnsiTheme="minorHAnsi" w:cstheme="minorHAnsi"/>
          <w:sz w:val="22"/>
          <w:szCs w:val="22"/>
        </w:rPr>
      </w:pPr>
      <w:r w:rsidRPr="00AB0B42">
        <w:rPr>
          <w:rFonts w:asciiTheme="minorHAnsi" w:hAnsiTheme="minorHAnsi" w:cstheme="minorHAnsi"/>
          <w:sz w:val="22"/>
          <w:szCs w:val="22"/>
        </w:rPr>
        <w:t xml:space="preserve">We would recommend that clarification be made that the crystallisation and payment of a performance fee upon the following types of events be excluded from the proposed annual crystallisation/payment constraint:  </w:t>
      </w:r>
    </w:p>
    <w:p w14:paraId="3667DE86" w14:textId="77777777" w:rsidR="00AB0B42" w:rsidRPr="00AB0B42" w:rsidRDefault="00AB0B42" w:rsidP="00FE360A">
      <w:pPr>
        <w:widowControl w:val="0"/>
        <w:jc w:val="both"/>
        <w:rPr>
          <w:rFonts w:asciiTheme="minorHAnsi" w:hAnsiTheme="minorHAnsi" w:cstheme="minorHAnsi"/>
          <w:sz w:val="22"/>
          <w:szCs w:val="22"/>
        </w:rPr>
      </w:pPr>
    </w:p>
    <w:p w14:paraId="49D08AED" w14:textId="77777777" w:rsidR="00AB0B42" w:rsidRPr="00AB0B42" w:rsidRDefault="00AB0B42" w:rsidP="002C6485">
      <w:pPr>
        <w:pStyle w:val="ListParagraph"/>
        <w:numPr>
          <w:ilvl w:val="0"/>
          <w:numId w:val="19"/>
        </w:numPr>
      </w:pPr>
      <w:r w:rsidRPr="00AB0B42">
        <w:t>the redemption of shares by an investor;</w:t>
      </w:r>
    </w:p>
    <w:p w14:paraId="606E948A" w14:textId="24034713" w:rsidR="00AB0B42" w:rsidRDefault="00AB0B42" w:rsidP="002C6485">
      <w:pPr>
        <w:pStyle w:val="ListParagraph"/>
        <w:numPr>
          <w:ilvl w:val="0"/>
          <w:numId w:val="19"/>
        </w:numPr>
      </w:pPr>
      <w:r w:rsidRPr="00AB0B42">
        <w:t xml:space="preserve">fund mergers and liquidations; </w:t>
      </w:r>
    </w:p>
    <w:p w14:paraId="2CCA7234" w14:textId="2B913510" w:rsidR="00C07455" w:rsidRPr="00AB0B42" w:rsidRDefault="00C07455" w:rsidP="002C6485">
      <w:pPr>
        <w:pStyle w:val="ListParagraph"/>
        <w:numPr>
          <w:ilvl w:val="0"/>
          <w:numId w:val="19"/>
        </w:numPr>
      </w:pPr>
      <w:r>
        <w:t>change of investment manager;</w:t>
      </w:r>
    </w:p>
    <w:p w14:paraId="0D45684C" w14:textId="77777777" w:rsidR="00AB0B42" w:rsidRPr="00AB0B42" w:rsidRDefault="00AB0B42" w:rsidP="00FE360A">
      <w:pPr>
        <w:widowControl w:val="0"/>
        <w:rPr>
          <w:rFonts w:asciiTheme="minorHAnsi" w:hAnsiTheme="minorHAnsi" w:cstheme="minorHAnsi"/>
          <w:sz w:val="22"/>
          <w:szCs w:val="22"/>
        </w:rPr>
      </w:pPr>
    </w:p>
    <w:p w14:paraId="3ABEF03F" w14:textId="27CB31EE" w:rsidR="00AB0B42" w:rsidRPr="00E31B05" w:rsidRDefault="00AB0B42" w:rsidP="00FE360A">
      <w:pPr>
        <w:widowControl w:val="0"/>
        <w:spacing w:line="276" w:lineRule="auto"/>
        <w:jc w:val="both"/>
        <w:rPr>
          <w:rFonts w:asciiTheme="minorHAnsi" w:hAnsiTheme="minorHAnsi" w:cstheme="minorHAnsi"/>
          <w:sz w:val="22"/>
          <w:szCs w:val="22"/>
        </w:rPr>
      </w:pPr>
      <w:r w:rsidRPr="00AB0B42">
        <w:rPr>
          <w:rFonts w:asciiTheme="minorHAnsi" w:hAnsiTheme="minorHAnsi" w:cstheme="minorHAnsi"/>
          <w:sz w:val="22"/>
          <w:szCs w:val="22"/>
        </w:rPr>
        <w:t xml:space="preserve">Consideration should also be given as to how new share classes launched within the year align with the general crystallisation of fees in the fund. </w:t>
      </w:r>
      <w:r w:rsidR="00B94DED">
        <w:rPr>
          <w:rFonts w:asciiTheme="minorHAnsi" w:hAnsiTheme="minorHAnsi" w:cstheme="minorHAnsi"/>
          <w:sz w:val="22"/>
          <w:szCs w:val="22"/>
        </w:rPr>
        <w:t xml:space="preserve">We would </w:t>
      </w:r>
      <w:r w:rsidR="00AF77A7">
        <w:rPr>
          <w:rFonts w:asciiTheme="minorHAnsi" w:hAnsiTheme="minorHAnsi" w:cstheme="minorHAnsi"/>
          <w:sz w:val="22"/>
          <w:szCs w:val="22"/>
        </w:rPr>
        <w:t xml:space="preserve">suggest </w:t>
      </w:r>
      <w:r w:rsidR="00B94DED">
        <w:rPr>
          <w:rFonts w:asciiTheme="minorHAnsi" w:hAnsiTheme="minorHAnsi" w:cstheme="minorHAnsi"/>
          <w:sz w:val="22"/>
          <w:szCs w:val="22"/>
        </w:rPr>
        <w:t xml:space="preserve">that share classes that are launched 3 months or more before the fund’s year end should be permitted to have their performance fees crystallised at the time of the next </w:t>
      </w:r>
      <w:r w:rsidR="00E31B05">
        <w:rPr>
          <w:rFonts w:asciiTheme="minorHAnsi" w:hAnsiTheme="minorHAnsi" w:cstheme="minorHAnsi"/>
          <w:sz w:val="22"/>
          <w:szCs w:val="22"/>
        </w:rPr>
        <w:t>crystallisation</w:t>
      </w:r>
      <w:r w:rsidR="00B94DED">
        <w:rPr>
          <w:rFonts w:asciiTheme="minorHAnsi" w:hAnsiTheme="minorHAnsi" w:cstheme="minorHAnsi"/>
          <w:sz w:val="22"/>
          <w:szCs w:val="22"/>
        </w:rPr>
        <w:t xml:space="preserve"> date</w:t>
      </w:r>
      <w:r w:rsidR="00E31B05">
        <w:rPr>
          <w:rFonts w:asciiTheme="minorHAnsi" w:hAnsiTheme="minorHAnsi" w:cstheme="minorHAnsi"/>
          <w:sz w:val="22"/>
          <w:szCs w:val="22"/>
        </w:rPr>
        <w:t>. For example,</w:t>
      </w:r>
      <w:r w:rsidR="00B94DED">
        <w:rPr>
          <w:rFonts w:asciiTheme="minorHAnsi" w:hAnsiTheme="minorHAnsi" w:cstheme="minorHAnsi"/>
          <w:sz w:val="22"/>
          <w:szCs w:val="22"/>
        </w:rPr>
        <w:t xml:space="preserve"> </w:t>
      </w:r>
      <w:r w:rsidR="00E31B05" w:rsidRPr="00215534">
        <w:rPr>
          <w:rFonts w:asciiTheme="minorHAnsi" w:hAnsiTheme="minorHAnsi" w:cstheme="minorHAnsi"/>
          <w:sz w:val="22"/>
          <w:szCs w:val="22"/>
        </w:rPr>
        <w:t xml:space="preserve">if a new share class launched on 30 September 2019  for a fund with a 31 December 2019 crystallisation date, we would </w:t>
      </w:r>
      <w:r w:rsidR="00AF77A7">
        <w:rPr>
          <w:rFonts w:asciiTheme="minorHAnsi" w:hAnsiTheme="minorHAnsi" w:cstheme="minorHAnsi"/>
          <w:sz w:val="22"/>
          <w:szCs w:val="22"/>
        </w:rPr>
        <w:t>suggest</w:t>
      </w:r>
      <w:r w:rsidR="00AF77A7" w:rsidRPr="00215534">
        <w:rPr>
          <w:rFonts w:asciiTheme="minorHAnsi" w:hAnsiTheme="minorHAnsi" w:cstheme="minorHAnsi"/>
          <w:sz w:val="22"/>
          <w:szCs w:val="22"/>
        </w:rPr>
        <w:t xml:space="preserve"> </w:t>
      </w:r>
      <w:r w:rsidR="00E31B05" w:rsidRPr="00215534">
        <w:rPr>
          <w:rFonts w:asciiTheme="minorHAnsi" w:hAnsiTheme="minorHAnsi" w:cstheme="minorHAnsi"/>
          <w:sz w:val="22"/>
          <w:szCs w:val="22"/>
        </w:rPr>
        <w:t>an initial period of 3 months before the performance fee on that class should crystallise on 31 December 2019. For share classes launched after this</w:t>
      </w:r>
      <w:r w:rsidR="00E31B05">
        <w:rPr>
          <w:rFonts w:asciiTheme="minorHAnsi" w:hAnsiTheme="minorHAnsi" w:cstheme="minorHAnsi"/>
          <w:sz w:val="22"/>
          <w:szCs w:val="22"/>
        </w:rPr>
        <w:t xml:space="preserve"> date</w:t>
      </w:r>
      <w:r w:rsidR="00E31B05" w:rsidRPr="00215534">
        <w:rPr>
          <w:rFonts w:asciiTheme="minorHAnsi" w:hAnsiTheme="minorHAnsi" w:cstheme="minorHAnsi"/>
          <w:sz w:val="22"/>
          <w:szCs w:val="22"/>
        </w:rPr>
        <w:t xml:space="preserve"> th</w:t>
      </w:r>
      <w:r w:rsidR="00E31B05">
        <w:rPr>
          <w:rFonts w:asciiTheme="minorHAnsi" w:hAnsiTheme="minorHAnsi" w:cstheme="minorHAnsi"/>
          <w:sz w:val="22"/>
          <w:szCs w:val="22"/>
        </w:rPr>
        <w:t>eir first crystallisation date would be</w:t>
      </w:r>
      <w:r w:rsidR="00E31B05" w:rsidRPr="00215534">
        <w:rPr>
          <w:rFonts w:asciiTheme="minorHAnsi" w:hAnsiTheme="minorHAnsi" w:cstheme="minorHAnsi"/>
          <w:sz w:val="22"/>
          <w:szCs w:val="22"/>
        </w:rPr>
        <w:t xml:space="preserve"> 31 December 2020.</w:t>
      </w:r>
    </w:p>
    <w:p w14:paraId="4A13630C" w14:textId="77777777" w:rsidR="00AB0B42" w:rsidRPr="00AB0B42" w:rsidRDefault="00AB0B42" w:rsidP="00FE360A">
      <w:pPr>
        <w:widowControl w:val="0"/>
        <w:rPr>
          <w:rFonts w:asciiTheme="minorHAnsi" w:hAnsiTheme="minorHAnsi" w:cstheme="minorHAnsi"/>
          <w:sz w:val="22"/>
          <w:szCs w:val="22"/>
        </w:rPr>
      </w:pPr>
    </w:p>
    <w:p w14:paraId="1CEF09FD" w14:textId="7F5BF58E" w:rsidR="00F7099A" w:rsidRDefault="00F7099A" w:rsidP="00FE360A">
      <w:pPr>
        <w:widowControl w:val="0"/>
        <w:spacing w:line="276" w:lineRule="auto"/>
        <w:jc w:val="both"/>
        <w:rPr>
          <w:rFonts w:asciiTheme="minorHAnsi" w:hAnsiTheme="minorHAnsi" w:cstheme="minorHAnsi"/>
          <w:sz w:val="22"/>
          <w:szCs w:val="22"/>
        </w:rPr>
      </w:pPr>
    </w:p>
    <w:p w14:paraId="3B1AC0AF" w14:textId="6FFF9C86" w:rsidR="00845AAF" w:rsidRPr="002C6485" w:rsidRDefault="00845AAF" w:rsidP="00845AAF">
      <w:pPr>
        <w:jc w:val="both"/>
        <w:rPr>
          <w:rFonts w:asciiTheme="minorHAnsi" w:hAnsiTheme="minorHAnsi" w:cstheme="minorHAnsi"/>
          <w:sz w:val="22"/>
          <w:szCs w:val="22"/>
        </w:rPr>
      </w:pPr>
      <w:r w:rsidRPr="002C6485">
        <w:rPr>
          <w:rFonts w:asciiTheme="minorHAnsi" w:hAnsiTheme="minorHAnsi" w:cstheme="minorHAnsi"/>
          <w:sz w:val="22"/>
          <w:szCs w:val="22"/>
        </w:rPr>
        <w:lastRenderedPageBreak/>
        <w:t>While the question ask</w:t>
      </w:r>
      <w:r w:rsidR="008A1099">
        <w:rPr>
          <w:rFonts w:asciiTheme="minorHAnsi" w:hAnsiTheme="minorHAnsi" w:cstheme="minorHAnsi"/>
          <w:sz w:val="22"/>
          <w:szCs w:val="22"/>
        </w:rPr>
        <w:t>s</w:t>
      </w:r>
      <w:r w:rsidRPr="002C6485">
        <w:rPr>
          <w:rFonts w:asciiTheme="minorHAnsi" w:hAnsiTheme="minorHAnsi" w:cstheme="minorHAnsi"/>
          <w:sz w:val="22"/>
          <w:szCs w:val="22"/>
        </w:rPr>
        <w:t xml:space="preserve"> specifically about a minimum crystallisation period of one year, the ESMA proposal indicates that the crystallisation period should in principle be linked </w:t>
      </w:r>
      <w:r w:rsidR="0091105E">
        <w:rPr>
          <w:rFonts w:asciiTheme="minorHAnsi" w:hAnsiTheme="minorHAnsi" w:cstheme="minorHAnsi"/>
          <w:sz w:val="22"/>
          <w:szCs w:val="22"/>
        </w:rPr>
        <w:t xml:space="preserve">to the </w:t>
      </w:r>
      <w:r w:rsidRPr="002C6485">
        <w:rPr>
          <w:rFonts w:asciiTheme="minorHAnsi" w:hAnsiTheme="minorHAnsi" w:cstheme="minorHAnsi"/>
          <w:sz w:val="22"/>
          <w:szCs w:val="22"/>
        </w:rPr>
        <w:t xml:space="preserve">recommended holding period of the fund and </w:t>
      </w:r>
      <w:r w:rsidR="00581FE1">
        <w:rPr>
          <w:rFonts w:asciiTheme="minorHAnsi" w:hAnsiTheme="minorHAnsi" w:cstheme="minorHAnsi"/>
          <w:sz w:val="22"/>
          <w:szCs w:val="22"/>
        </w:rPr>
        <w:t xml:space="preserve">the </w:t>
      </w:r>
      <w:r w:rsidRPr="002C6485">
        <w:rPr>
          <w:rFonts w:asciiTheme="minorHAnsi" w:hAnsiTheme="minorHAnsi" w:cstheme="minorHAnsi"/>
          <w:sz w:val="22"/>
          <w:szCs w:val="22"/>
        </w:rPr>
        <w:t xml:space="preserve">fee charged to each investor when exiting the fund. </w:t>
      </w:r>
      <w:r w:rsidR="008A1099">
        <w:rPr>
          <w:rFonts w:asciiTheme="minorHAnsi" w:hAnsiTheme="minorHAnsi" w:cstheme="minorHAnsi"/>
          <w:sz w:val="22"/>
          <w:szCs w:val="22"/>
        </w:rPr>
        <w:t>C</w:t>
      </w:r>
      <w:r w:rsidRPr="002C6485">
        <w:rPr>
          <w:rFonts w:asciiTheme="minorHAnsi" w:hAnsiTheme="minorHAnsi" w:cstheme="minorHAnsi"/>
          <w:sz w:val="22"/>
          <w:szCs w:val="22"/>
        </w:rPr>
        <w:t xml:space="preserve">harging a fee in such a manner would represent a </w:t>
      </w:r>
      <w:r w:rsidR="000B5B17">
        <w:rPr>
          <w:rFonts w:asciiTheme="minorHAnsi" w:hAnsiTheme="minorHAnsi" w:cstheme="minorHAnsi"/>
          <w:sz w:val="22"/>
          <w:szCs w:val="22"/>
        </w:rPr>
        <w:t>significant</w:t>
      </w:r>
      <w:r w:rsidR="000B5B17" w:rsidRPr="002C6485">
        <w:rPr>
          <w:rFonts w:asciiTheme="minorHAnsi" w:hAnsiTheme="minorHAnsi" w:cstheme="minorHAnsi"/>
          <w:sz w:val="22"/>
          <w:szCs w:val="22"/>
        </w:rPr>
        <w:t xml:space="preserve"> </w:t>
      </w:r>
      <w:r w:rsidRPr="002C6485">
        <w:rPr>
          <w:rFonts w:asciiTheme="minorHAnsi" w:hAnsiTheme="minorHAnsi" w:cstheme="minorHAnsi"/>
          <w:sz w:val="22"/>
          <w:szCs w:val="22"/>
        </w:rPr>
        <w:t xml:space="preserve">administrative burden </w:t>
      </w:r>
      <w:r w:rsidR="000A1767" w:rsidRPr="002C6485">
        <w:rPr>
          <w:rFonts w:asciiTheme="minorHAnsi" w:hAnsiTheme="minorHAnsi" w:cstheme="minorHAnsi"/>
          <w:sz w:val="22"/>
          <w:szCs w:val="22"/>
        </w:rPr>
        <w:t>and level</w:t>
      </w:r>
      <w:r w:rsidRPr="002C6485">
        <w:rPr>
          <w:rFonts w:asciiTheme="minorHAnsi" w:hAnsiTheme="minorHAnsi" w:cstheme="minorHAnsi"/>
          <w:sz w:val="22"/>
          <w:szCs w:val="22"/>
        </w:rPr>
        <w:t xml:space="preserve"> of risk. Even if not requiring the tailoring of the fee payment to the individual investor, we would not agree with the proposed link o</w:t>
      </w:r>
      <w:r w:rsidR="00581FE1">
        <w:rPr>
          <w:rFonts w:asciiTheme="minorHAnsi" w:hAnsiTheme="minorHAnsi" w:cstheme="minorHAnsi"/>
          <w:sz w:val="22"/>
          <w:szCs w:val="22"/>
        </w:rPr>
        <w:t>f</w:t>
      </w:r>
      <w:r w:rsidRPr="002C6485">
        <w:rPr>
          <w:rFonts w:asciiTheme="minorHAnsi" w:hAnsiTheme="minorHAnsi" w:cstheme="minorHAnsi"/>
          <w:sz w:val="22"/>
          <w:szCs w:val="22"/>
        </w:rPr>
        <w:t xml:space="preserve"> the crystallisation period to the recommended holding period, as the recommended holding period may not reflect the reality of the actual holding period of </w:t>
      </w:r>
      <w:r w:rsidR="00581FE1">
        <w:rPr>
          <w:rFonts w:asciiTheme="minorHAnsi" w:hAnsiTheme="minorHAnsi" w:cstheme="minorHAnsi"/>
          <w:sz w:val="22"/>
          <w:szCs w:val="22"/>
        </w:rPr>
        <w:t xml:space="preserve">the </w:t>
      </w:r>
      <w:r w:rsidRPr="002C6485">
        <w:rPr>
          <w:rFonts w:asciiTheme="minorHAnsi" w:hAnsiTheme="minorHAnsi" w:cstheme="minorHAnsi"/>
          <w:sz w:val="22"/>
          <w:szCs w:val="22"/>
        </w:rPr>
        <w:t>investor, with certain investor markets traditionally having a much higher trading frequency the others.</w:t>
      </w:r>
    </w:p>
    <w:p w14:paraId="6523E25C" w14:textId="77777777" w:rsidR="000A1767" w:rsidRDefault="000A1767" w:rsidP="00FE360A">
      <w:pPr>
        <w:widowControl w:val="0"/>
        <w:spacing w:line="276" w:lineRule="auto"/>
        <w:jc w:val="both"/>
        <w:rPr>
          <w:rFonts w:asciiTheme="minorHAnsi" w:hAnsiTheme="minorHAnsi" w:cstheme="minorHAnsi"/>
          <w:sz w:val="22"/>
          <w:szCs w:val="22"/>
        </w:rPr>
      </w:pPr>
    </w:p>
    <w:p w14:paraId="05E847E5" w14:textId="1C8D7956" w:rsidR="00845AAF" w:rsidRDefault="000A1767" w:rsidP="00FE360A">
      <w:pPr>
        <w:widowControl w:val="0"/>
        <w:spacing w:line="276" w:lineRule="auto"/>
        <w:jc w:val="both"/>
        <w:rPr>
          <w:rFonts w:asciiTheme="minorHAnsi" w:hAnsiTheme="minorHAnsi" w:cstheme="minorHAnsi"/>
          <w:sz w:val="22"/>
          <w:szCs w:val="22"/>
        </w:rPr>
      </w:pPr>
      <w:r w:rsidRPr="000A1767">
        <w:rPr>
          <w:rFonts w:asciiTheme="minorHAnsi" w:hAnsiTheme="minorHAnsi" w:cstheme="minorHAnsi"/>
          <w:sz w:val="22"/>
          <w:szCs w:val="22"/>
        </w:rPr>
        <w:t>Moreover, tying the performance period to the suggested holding period of investors would be likely to result in performance periods of greater than one year, more likely to be 3 years, which would be problematic as holding periods may start at different times for each investor in the Fund as they may subscribe for shares at different times.  We suggest that UCITS should be able to set a crystallisation period of one year. This is clear and easy for investors to understand – it also ties to annual performance reviews that investors are likely to undertake or receive as regards their individual investments. Properly implemented, Guideline 2 should be adequate to align the interests of fund managers and investors supported by the disclosure requirements in Guideline 5.</w:t>
      </w:r>
    </w:p>
    <w:p w14:paraId="21EF2C2E" w14:textId="77777777" w:rsidR="000A1767" w:rsidRDefault="000A1767" w:rsidP="00FE360A">
      <w:pPr>
        <w:widowControl w:val="0"/>
        <w:spacing w:line="276" w:lineRule="auto"/>
        <w:jc w:val="both"/>
        <w:rPr>
          <w:rFonts w:asciiTheme="minorHAnsi" w:hAnsiTheme="minorHAnsi" w:cstheme="minorHAnsi"/>
          <w:sz w:val="22"/>
          <w:szCs w:val="22"/>
        </w:rPr>
      </w:pPr>
    </w:p>
    <w:p w14:paraId="0C5E864D" w14:textId="7564AF24" w:rsidR="007C556D" w:rsidRDefault="007C556D" w:rsidP="00FE360A">
      <w:pPr>
        <w:widowControl w:val="0"/>
        <w:spacing w:line="276" w:lineRule="auto"/>
        <w:jc w:val="both"/>
        <w:rPr>
          <w:rFonts w:asciiTheme="minorHAnsi" w:hAnsiTheme="minorHAnsi" w:cstheme="minorHAnsi"/>
          <w:sz w:val="22"/>
          <w:szCs w:val="22"/>
        </w:rPr>
      </w:pPr>
      <w:r>
        <w:rPr>
          <w:rFonts w:asciiTheme="minorHAnsi" w:hAnsiTheme="minorHAnsi" w:cstheme="minorHAnsi"/>
          <w:sz w:val="22"/>
          <w:szCs w:val="22"/>
        </w:rPr>
        <w:t>We would note that there may</w:t>
      </w:r>
      <w:r w:rsidR="00126E0E">
        <w:rPr>
          <w:rFonts w:asciiTheme="minorHAnsi" w:hAnsiTheme="minorHAnsi" w:cstheme="minorHAnsi"/>
          <w:sz w:val="22"/>
          <w:szCs w:val="22"/>
        </w:rPr>
        <w:t xml:space="preserve"> </w:t>
      </w:r>
      <w:r>
        <w:rPr>
          <w:rFonts w:asciiTheme="minorHAnsi" w:hAnsiTheme="minorHAnsi" w:cstheme="minorHAnsi"/>
          <w:sz w:val="22"/>
          <w:szCs w:val="22"/>
        </w:rPr>
        <w:t>be times where</w:t>
      </w:r>
      <w:r w:rsidR="00126E0E">
        <w:rPr>
          <w:rFonts w:asciiTheme="minorHAnsi" w:hAnsiTheme="minorHAnsi" w:cstheme="minorHAnsi"/>
          <w:sz w:val="22"/>
          <w:szCs w:val="22"/>
        </w:rPr>
        <w:t xml:space="preserve"> the management company chooses to have a crystallisation period that does not coincide with financial or calendar year ends. This flexibility may be important and should be appropriately justified.</w:t>
      </w:r>
    </w:p>
    <w:p w14:paraId="0475D415" w14:textId="77777777" w:rsidR="007C556D" w:rsidRDefault="007C556D" w:rsidP="00FE360A">
      <w:pPr>
        <w:widowControl w:val="0"/>
        <w:spacing w:line="276" w:lineRule="auto"/>
        <w:jc w:val="both"/>
        <w:rPr>
          <w:rFonts w:asciiTheme="minorHAnsi" w:hAnsiTheme="minorHAnsi" w:cstheme="minorHAnsi"/>
          <w:sz w:val="22"/>
          <w:szCs w:val="22"/>
        </w:rPr>
      </w:pPr>
    </w:p>
    <w:p w14:paraId="51470BB9" w14:textId="55111BA6" w:rsidR="00AB0B42" w:rsidRPr="00AB0B42" w:rsidRDefault="00F7099A" w:rsidP="00FE360A">
      <w:pPr>
        <w:widowControl w:val="0"/>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We would also suggest that “crystallisation period” is reworded to “crystallisation frequency” </w:t>
      </w:r>
      <w:r w:rsidR="00CD2265">
        <w:rPr>
          <w:rFonts w:asciiTheme="minorHAnsi" w:hAnsiTheme="minorHAnsi" w:cstheme="minorHAnsi"/>
          <w:sz w:val="22"/>
          <w:szCs w:val="22"/>
        </w:rPr>
        <w:t>which may be clearer to investors and avoids confusion with</w:t>
      </w:r>
      <w:r>
        <w:rPr>
          <w:rFonts w:asciiTheme="minorHAnsi" w:hAnsiTheme="minorHAnsi" w:cstheme="minorHAnsi"/>
          <w:sz w:val="22"/>
          <w:szCs w:val="22"/>
        </w:rPr>
        <w:t xml:space="preserve"> “performance reference period”.</w:t>
      </w:r>
      <w:r w:rsidR="00AB0B42">
        <w:rPr>
          <w:rFonts w:asciiTheme="minorHAnsi" w:hAnsiTheme="minorHAnsi" w:cstheme="minorHAnsi"/>
          <w:sz w:val="22"/>
          <w:szCs w:val="22"/>
        </w:rPr>
        <w:t>]</w:t>
      </w:r>
    </w:p>
    <w:p w14:paraId="48155FF5" w14:textId="77777777" w:rsidR="001F23C9" w:rsidRPr="00AB0B42" w:rsidRDefault="001F23C9" w:rsidP="00FE360A">
      <w:pPr>
        <w:widowControl w:val="0"/>
        <w:rPr>
          <w:rFonts w:asciiTheme="minorHAnsi" w:hAnsiTheme="minorHAnsi" w:cstheme="minorHAnsi"/>
          <w:sz w:val="22"/>
          <w:szCs w:val="22"/>
        </w:rPr>
      </w:pPr>
      <w:r w:rsidRPr="00AB0B42">
        <w:rPr>
          <w:rFonts w:asciiTheme="minorHAnsi" w:hAnsiTheme="minorHAnsi" w:cstheme="minorHAnsi"/>
          <w:sz w:val="22"/>
          <w:szCs w:val="22"/>
        </w:rPr>
        <w:t>&lt;ESMA_QUESTION_PFG_4&gt;</w:t>
      </w:r>
    </w:p>
    <w:p w14:paraId="770F273F" w14:textId="77777777" w:rsidR="001F23C9" w:rsidRPr="002E0170" w:rsidRDefault="001F23C9" w:rsidP="00FE360A">
      <w:pPr>
        <w:widowControl w:val="0"/>
        <w:rPr>
          <w:rFonts w:asciiTheme="majorHAnsi" w:hAnsiTheme="majorHAnsi" w:cstheme="majorHAnsi"/>
          <w:sz w:val="22"/>
          <w:szCs w:val="22"/>
        </w:rPr>
      </w:pPr>
    </w:p>
    <w:p w14:paraId="1B6195A6" w14:textId="77777777" w:rsidR="001F23C9" w:rsidRPr="002E0170" w:rsidRDefault="001F23C9" w:rsidP="00FE360A">
      <w:pPr>
        <w:pStyle w:val="Questionstyle"/>
        <w:widowControl w:val="0"/>
      </w:pPr>
      <w:r w:rsidRPr="002E0170">
        <w:t>: Are there any other models or methodologies currently employed that, in your view, should be exempted from this requirement? For example, do you think that the requirement of a minimum crystallisation period of 12 months should also apply to HWM models? Please provide examples on how these models achieve the objectives pursued by Guideline 3.</w:t>
      </w:r>
    </w:p>
    <w:p w14:paraId="09B6BB3A" w14:textId="368E1AFE" w:rsidR="001F23C9" w:rsidRDefault="001F23C9" w:rsidP="00FE360A">
      <w:pPr>
        <w:widowControl w:val="0"/>
        <w:rPr>
          <w:rFonts w:asciiTheme="minorHAnsi" w:hAnsiTheme="minorHAnsi" w:cstheme="minorHAnsi"/>
          <w:sz w:val="22"/>
          <w:szCs w:val="22"/>
        </w:rPr>
      </w:pPr>
      <w:r w:rsidRPr="00AB0B42">
        <w:rPr>
          <w:rFonts w:asciiTheme="minorHAnsi" w:hAnsiTheme="minorHAnsi" w:cstheme="minorHAnsi"/>
          <w:sz w:val="22"/>
          <w:szCs w:val="22"/>
        </w:rPr>
        <w:t>&lt;ESMA_QUESTION_PFG_5&gt;</w:t>
      </w:r>
    </w:p>
    <w:p w14:paraId="77DA3F2A" w14:textId="497D7F22" w:rsidR="00AB0B42" w:rsidRPr="00AB0B42" w:rsidRDefault="00AB0B42" w:rsidP="00FE360A">
      <w:pPr>
        <w:widowControl w:val="0"/>
        <w:spacing w:line="276" w:lineRule="auto"/>
        <w:jc w:val="both"/>
        <w:rPr>
          <w:rFonts w:asciiTheme="minorHAnsi" w:hAnsiTheme="minorHAnsi" w:cstheme="minorHAnsi"/>
          <w:sz w:val="22"/>
          <w:szCs w:val="22"/>
        </w:rPr>
      </w:pPr>
      <w:r>
        <w:rPr>
          <w:rFonts w:asciiTheme="minorHAnsi" w:hAnsiTheme="minorHAnsi" w:cstheme="minorHAnsi"/>
          <w:sz w:val="22"/>
          <w:szCs w:val="22"/>
        </w:rPr>
        <w:t>[</w:t>
      </w:r>
      <w:r w:rsidRPr="00AB0B42">
        <w:rPr>
          <w:rFonts w:asciiTheme="minorHAnsi" w:hAnsiTheme="minorHAnsi" w:cstheme="minorHAnsi"/>
          <w:sz w:val="22"/>
          <w:szCs w:val="22"/>
        </w:rPr>
        <w:t>The C</w:t>
      </w:r>
      <w:r w:rsidR="001A6645">
        <w:rPr>
          <w:rFonts w:asciiTheme="minorHAnsi" w:hAnsiTheme="minorHAnsi" w:cstheme="minorHAnsi"/>
          <w:sz w:val="22"/>
          <w:szCs w:val="22"/>
        </w:rPr>
        <w:t xml:space="preserve">entral Bank of </w:t>
      </w:r>
      <w:r w:rsidR="00DD016E">
        <w:rPr>
          <w:rFonts w:asciiTheme="minorHAnsi" w:hAnsiTheme="minorHAnsi" w:cstheme="minorHAnsi"/>
          <w:sz w:val="22"/>
          <w:szCs w:val="22"/>
        </w:rPr>
        <w:t xml:space="preserve">Ireland </w:t>
      </w:r>
      <w:r w:rsidR="00DD016E" w:rsidRPr="00AB0B42">
        <w:rPr>
          <w:rFonts w:asciiTheme="minorHAnsi" w:hAnsiTheme="minorHAnsi" w:cstheme="minorHAnsi"/>
          <w:sz w:val="22"/>
          <w:szCs w:val="22"/>
        </w:rPr>
        <w:t>currently</w:t>
      </w:r>
      <w:r w:rsidRPr="00AB0B42">
        <w:rPr>
          <w:rFonts w:asciiTheme="minorHAnsi" w:hAnsiTheme="minorHAnsi" w:cstheme="minorHAnsi"/>
          <w:sz w:val="22"/>
          <w:szCs w:val="22"/>
        </w:rPr>
        <w:t xml:space="preserve"> permits two base performance fee model types namely:</w:t>
      </w:r>
    </w:p>
    <w:p w14:paraId="0AB6277F" w14:textId="0BC4FA96" w:rsidR="00AB0B42" w:rsidRPr="00B22769" w:rsidRDefault="00AB0B42" w:rsidP="00215534">
      <w:pPr>
        <w:pStyle w:val="ListParagraph"/>
        <w:numPr>
          <w:ilvl w:val="0"/>
          <w:numId w:val="25"/>
        </w:numPr>
      </w:pPr>
      <w:r w:rsidRPr="00B22769">
        <w:t>achievement of a new high NAV over the lifetime of the UCITS (HWM model); or</w:t>
      </w:r>
    </w:p>
    <w:p w14:paraId="0915E2B8" w14:textId="70268A66" w:rsidR="00AB0B42" w:rsidRPr="00B22769" w:rsidRDefault="00AB0B42" w:rsidP="00215534">
      <w:pPr>
        <w:pStyle w:val="ListParagraph"/>
        <w:numPr>
          <w:ilvl w:val="0"/>
          <w:numId w:val="25"/>
        </w:numPr>
      </w:pPr>
      <w:r w:rsidRPr="00B22769">
        <w:t xml:space="preserve">the out performance of an index (benchmark index model).  </w:t>
      </w:r>
    </w:p>
    <w:p w14:paraId="7CE238B8" w14:textId="77777777" w:rsidR="00B22769" w:rsidRDefault="00B22769" w:rsidP="00FE360A">
      <w:pPr>
        <w:widowControl w:val="0"/>
        <w:spacing w:line="276" w:lineRule="auto"/>
        <w:jc w:val="both"/>
        <w:rPr>
          <w:rFonts w:asciiTheme="minorHAnsi" w:hAnsiTheme="minorHAnsi" w:cstheme="minorHAnsi"/>
          <w:sz w:val="22"/>
          <w:szCs w:val="22"/>
        </w:rPr>
      </w:pPr>
    </w:p>
    <w:p w14:paraId="04AE664F" w14:textId="3F495F85" w:rsidR="00AB0B42" w:rsidRPr="00AB0B42" w:rsidRDefault="00AB0B42" w:rsidP="00FE360A">
      <w:pPr>
        <w:widowControl w:val="0"/>
        <w:spacing w:line="276" w:lineRule="auto"/>
        <w:jc w:val="both"/>
        <w:rPr>
          <w:rFonts w:asciiTheme="minorHAnsi" w:hAnsiTheme="minorHAnsi" w:cstheme="minorHAnsi"/>
          <w:sz w:val="22"/>
          <w:szCs w:val="22"/>
        </w:rPr>
      </w:pPr>
      <w:r w:rsidRPr="00AB0B42">
        <w:rPr>
          <w:rFonts w:asciiTheme="minorHAnsi" w:hAnsiTheme="minorHAnsi" w:cstheme="minorHAnsi"/>
          <w:sz w:val="22"/>
          <w:szCs w:val="22"/>
        </w:rPr>
        <w:t>Both models are subject to the constraint of generally no more frequent than annual crystallisation and payment of performance fees as per the response to question 4</w:t>
      </w:r>
      <w:r>
        <w:rPr>
          <w:rFonts w:asciiTheme="minorHAnsi" w:hAnsiTheme="minorHAnsi" w:cstheme="minorHAnsi"/>
          <w:sz w:val="22"/>
          <w:szCs w:val="22"/>
        </w:rPr>
        <w:t>.]</w:t>
      </w:r>
    </w:p>
    <w:p w14:paraId="2E9FB881" w14:textId="77777777" w:rsidR="001F23C9" w:rsidRPr="00AB0B42" w:rsidRDefault="001F23C9" w:rsidP="00FE360A">
      <w:pPr>
        <w:widowControl w:val="0"/>
        <w:rPr>
          <w:rFonts w:asciiTheme="minorHAnsi" w:hAnsiTheme="minorHAnsi" w:cstheme="minorHAnsi"/>
          <w:sz w:val="22"/>
          <w:szCs w:val="22"/>
        </w:rPr>
      </w:pPr>
      <w:r w:rsidRPr="00AB0B42">
        <w:rPr>
          <w:rFonts w:asciiTheme="minorHAnsi" w:hAnsiTheme="minorHAnsi" w:cstheme="minorHAnsi"/>
          <w:sz w:val="22"/>
          <w:szCs w:val="22"/>
        </w:rPr>
        <w:t>&lt;ESMA_QUESTION_PFG_5&gt;</w:t>
      </w:r>
    </w:p>
    <w:p w14:paraId="4075F4F2" w14:textId="77777777" w:rsidR="001F23C9" w:rsidRPr="002E0170" w:rsidRDefault="001F23C9" w:rsidP="00FE360A">
      <w:pPr>
        <w:widowControl w:val="0"/>
        <w:rPr>
          <w:rFonts w:asciiTheme="majorHAnsi" w:hAnsiTheme="majorHAnsi" w:cstheme="majorHAnsi"/>
          <w:sz w:val="22"/>
          <w:szCs w:val="22"/>
        </w:rPr>
      </w:pPr>
    </w:p>
    <w:p w14:paraId="0842B7B7" w14:textId="77777777" w:rsidR="001F23C9" w:rsidRPr="002E0170" w:rsidRDefault="001F23C9" w:rsidP="00FE360A">
      <w:pPr>
        <w:pStyle w:val="Questionstyle"/>
        <w:widowControl w:val="0"/>
      </w:pPr>
      <w:r w:rsidRPr="002E0170">
        <w:t xml:space="preserve">: In your view, should performance fees be charged only when the fund has achieved absolute positive performance? What expected financial impact (e.g. increase or decrease of the manager’s remuneration or increase or decrease of the financial return for investors) would the proposed Guideline 4 have for you/the stakeholder(s) you represent? Are there models or methodologies currently employed where the approach set out in Guideline 4 would not be appropriate? </w:t>
      </w:r>
    </w:p>
    <w:p w14:paraId="028EAC1E" w14:textId="3033726B" w:rsidR="001F23C9" w:rsidRDefault="001F23C9" w:rsidP="00FE360A">
      <w:pPr>
        <w:widowControl w:val="0"/>
        <w:rPr>
          <w:rFonts w:asciiTheme="minorHAnsi" w:hAnsiTheme="minorHAnsi" w:cstheme="minorHAnsi"/>
          <w:sz w:val="22"/>
          <w:szCs w:val="22"/>
        </w:rPr>
      </w:pPr>
      <w:r w:rsidRPr="00AB0B42">
        <w:rPr>
          <w:rFonts w:asciiTheme="minorHAnsi" w:hAnsiTheme="minorHAnsi" w:cstheme="minorHAnsi"/>
          <w:sz w:val="22"/>
          <w:szCs w:val="22"/>
        </w:rPr>
        <w:lastRenderedPageBreak/>
        <w:t>&lt;ESMA_QUESTION_PFG_6&gt;</w:t>
      </w:r>
    </w:p>
    <w:p w14:paraId="7A97D902" w14:textId="3C24C6BA" w:rsidR="00AB0B42" w:rsidRPr="00AB0B42" w:rsidRDefault="00AB0B42" w:rsidP="00FE360A">
      <w:pPr>
        <w:widowControl w:val="0"/>
        <w:spacing w:line="276" w:lineRule="auto"/>
        <w:jc w:val="both"/>
        <w:rPr>
          <w:rFonts w:asciiTheme="minorHAnsi" w:hAnsiTheme="minorHAnsi" w:cstheme="minorHAnsi"/>
          <w:sz w:val="22"/>
          <w:szCs w:val="22"/>
        </w:rPr>
      </w:pPr>
      <w:r>
        <w:rPr>
          <w:rFonts w:asciiTheme="minorHAnsi" w:hAnsiTheme="minorHAnsi" w:cstheme="minorHAnsi"/>
          <w:sz w:val="22"/>
          <w:szCs w:val="22"/>
        </w:rPr>
        <w:t>[</w:t>
      </w:r>
      <w:r w:rsidRPr="00AB0B42">
        <w:rPr>
          <w:rFonts w:asciiTheme="minorHAnsi" w:hAnsiTheme="minorHAnsi" w:cstheme="minorHAnsi"/>
          <w:sz w:val="22"/>
          <w:szCs w:val="22"/>
        </w:rPr>
        <w:t xml:space="preserve">In our view, performance fees based on a benchmark index model should be capable of being charged where the UCITS fund has achieved the required positive performance as against the benchmark (relative performance) notwithstanding that its NAV may have declined over the relevant period (negative return). </w:t>
      </w:r>
      <w:r w:rsidR="00F7099A" w:rsidRPr="00AB0B42">
        <w:rPr>
          <w:rFonts w:asciiTheme="minorHAnsi" w:hAnsiTheme="minorHAnsi" w:cstheme="minorHAnsi"/>
          <w:sz w:val="22"/>
          <w:szCs w:val="22"/>
        </w:rPr>
        <w:t>Indeed,</w:t>
      </w:r>
      <w:r w:rsidRPr="00AB0B42">
        <w:rPr>
          <w:rFonts w:asciiTheme="minorHAnsi" w:hAnsiTheme="minorHAnsi" w:cstheme="minorHAnsi"/>
          <w:sz w:val="22"/>
          <w:szCs w:val="22"/>
        </w:rPr>
        <w:t xml:space="preserve"> it is our experience that this is a very common feature of this model. It is entirely </w:t>
      </w:r>
      <w:r w:rsidR="00010A14">
        <w:rPr>
          <w:rFonts w:asciiTheme="minorHAnsi" w:hAnsiTheme="minorHAnsi" w:cstheme="minorHAnsi"/>
          <w:sz w:val="22"/>
          <w:szCs w:val="22"/>
        </w:rPr>
        <w:t>reasonable</w:t>
      </w:r>
      <w:r w:rsidR="00010A14" w:rsidRPr="00AB0B42">
        <w:rPr>
          <w:rFonts w:asciiTheme="minorHAnsi" w:hAnsiTheme="minorHAnsi" w:cstheme="minorHAnsi"/>
          <w:sz w:val="22"/>
          <w:szCs w:val="22"/>
        </w:rPr>
        <w:t xml:space="preserve"> </w:t>
      </w:r>
      <w:r w:rsidRPr="00AB0B42">
        <w:rPr>
          <w:rFonts w:asciiTheme="minorHAnsi" w:hAnsiTheme="minorHAnsi" w:cstheme="minorHAnsi"/>
          <w:sz w:val="22"/>
          <w:szCs w:val="22"/>
        </w:rPr>
        <w:t xml:space="preserve">and legitimate that </w:t>
      </w:r>
      <w:r w:rsidR="00010A14">
        <w:rPr>
          <w:rFonts w:asciiTheme="minorHAnsi" w:hAnsiTheme="minorHAnsi" w:cstheme="minorHAnsi"/>
          <w:sz w:val="22"/>
          <w:szCs w:val="22"/>
        </w:rPr>
        <w:t>a</w:t>
      </w:r>
      <w:r w:rsidR="00010A14" w:rsidRPr="00AB0B42">
        <w:rPr>
          <w:rFonts w:asciiTheme="minorHAnsi" w:hAnsiTheme="minorHAnsi" w:cstheme="minorHAnsi"/>
          <w:sz w:val="22"/>
          <w:szCs w:val="22"/>
        </w:rPr>
        <w:t xml:space="preserve"> </w:t>
      </w:r>
      <w:r w:rsidRPr="00AB0B42">
        <w:rPr>
          <w:rFonts w:asciiTheme="minorHAnsi" w:hAnsiTheme="minorHAnsi" w:cstheme="minorHAnsi"/>
          <w:sz w:val="22"/>
          <w:szCs w:val="22"/>
        </w:rPr>
        <w:t xml:space="preserve">manager be rewarded for </w:t>
      </w:r>
      <w:r w:rsidR="00010A14">
        <w:rPr>
          <w:rFonts w:asciiTheme="minorHAnsi" w:hAnsiTheme="minorHAnsi" w:cstheme="minorHAnsi"/>
          <w:sz w:val="22"/>
          <w:szCs w:val="22"/>
        </w:rPr>
        <w:t>their</w:t>
      </w:r>
      <w:r w:rsidR="00010A14" w:rsidRPr="00AB0B42">
        <w:rPr>
          <w:rFonts w:asciiTheme="minorHAnsi" w:hAnsiTheme="minorHAnsi" w:cstheme="minorHAnsi"/>
          <w:sz w:val="22"/>
          <w:szCs w:val="22"/>
        </w:rPr>
        <w:t xml:space="preserve"> </w:t>
      </w:r>
      <w:r w:rsidRPr="00AB0B42">
        <w:rPr>
          <w:rFonts w:asciiTheme="minorHAnsi" w:hAnsiTheme="minorHAnsi" w:cstheme="minorHAnsi"/>
          <w:sz w:val="22"/>
          <w:szCs w:val="22"/>
        </w:rPr>
        <w:t xml:space="preserve">outperformance of an index, when that is the clearly stated objective of the model, even where the overall returns are "negative". Conversely, where the NAV of a UCITS increases over the period, if the required outperformance as against the index has not been achieved, no performance fee is payable to the manager.  In Ireland, although any underperformance of the index must be cleared before a performance fee becomes due in subsequent periods, there is no requirement that not only must the manager outperform the index, but that positive returns be achieved.  </w:t>
      </w:r>
    </w:p>
    <w:p w14:paraId="2E6D17F7" w14:textId="77777777" w:rsidR="00AB0B42" w:rsidRPr="00AB0B42" w:rsidRDefault="00AB0B42" w:rsidP="00FE360A">
      <w:pPr>
        <w:widowControl w:val="0"/>
        <w:jc w:val="both"/>
        <w:rPr>
          <w:rFonts w:asciiTheme="minorHAnsi" w:hAnsiTheme="minorHAnsi" w:cstheme="minorHAnsi"/>
          <w:sz w:val="22"/>
          <w:szCs w:val="22"/>
        </w:rPr>
      </w:pPr>
    </w:p>
    <w:p w14:paraId="40B945E4" w14:textId="50404A09" w:rsidR="00AB0B42" w:rsidRPr="00AB0B42" w:rsidRDefault="00AB0B42" w:rsidP="00FE360A">
      <w:pPr>
        <w:widowControl w:val="0"/>
        <w:spacing w:line="276" w:lineRule="auto"/>
        <w:jc w:val="both"/>
        <w:rPr>
          <w:rFonts w:asciiTheme="minorHAnsi" w:hAnsiTheme="minorHAnsi" w:cstheme="minorHAnsi"/>
          <w:sz w:val="22"/>
          <w:szCs w:val="22"/>
        </w:rPr>
      </w:pPr>
      <w:r w:rsidRPr="00AB0B42">
        <w:rPr>
          <w:rFonts w:asciiTheme="minorHAnsi" w:hAnsiTheme="minorHAnsi" w:cstheme="minorHAnsi"/>
          <w:sz w:val="22"/>
          <w:szCs w:val="22"/>
        </w:rPr>
        <w:t xml:space="preserve">Furthermore, consideration needs to be given to the fact that an asset portfolio is part of a wider asset allocation strategy where preservation of capital in down markets is a critical component of such asset allocation strategies. Inclusion of an "absolute positive performance" provision could act as a potential distraction for management companies pursuing a </w:t>
      </w:r>
      <w:r w:rsidR="00F7099A" w:rsidRPr="00AB0B42">
        <w:rPr>
          <w:rFonts w:asciiTheme="minorHAnsi" w:hAnsiTheme="minorHAnsi" w:cstheme="minorHAnsi"/>
          <w:sz w:val="22"/>
          <w:szCs w:val="22"/>
        </w:rPr>
        <w:t>long-term</w:t>
      </w:r>
      <w:r w:rsidRPr="00AB0B42">
        <w:rPr>
          <w:rFonts w:asciiTheme="minorHAnsi" w:hAnsiTheme="minorHAnsi" w:cstheme="minorHAnsi"/>
          <w:sz w:val="22"/>
          <w:szCs w:val="22"/>
        </w:rPr>
        <w:t xml:space="preserve"> investment strategy. </w:t>
      </w:r>
      <w:r w:rsidR="004354CE">
        <w:rPr>
          <w:rFonts w:asciiTheme="minorHAnsi" w:hAnsiTheme="minorHAnsi" w:cstheme="minorHAnsi"/>
          <w:sz w:val="22"/>
          <w:szCs w:val="22"/>
        </w:rPr>
        <w:t>Undue f</w:t>
      </w:r>
      <w:r w:rsidRPr="00AB0B42">
        <w:rPr>
          <w:rFonts w:asciiTheme="minorHAnsi" w:hAnsiTheme="minorHAnsi" w:cstheme="minorHAnsi"/>
          <w:sz w:val="22"/>
          <w:szCs w:val="22"/>
        </w:rPr>
        <w:t xml:space="preserve">ocus on short-term measures </w:t>
      </w:r>
      <w:r w:rsidR="004354CE">
        <w:rPr>
          <w:rFonts w:asciiTheme="minorHAnsi" w:hAnsiTheme="minorHAnsi" w:cstheme="minorHAnsi"/>
          <w:sz w:val="22"/>
          <w:szCs w:val="22"/>
        </w:rPr>
        <w:t xml:space="preserve">potentially </w:t>
      </w:r>
      <w:r w:rsidRPr="00AB0B42">
        <w:rPr>
          <w:rFonts w:asciiTheme="minorHAnsi" w:hAnsiTheme="minorHAnsi" w:cstheme="minorHAnsi"/>
          <w:sz w:val="22"/>
          <w:szCs w:val="22"/>
        </w:rPr>
        <w:t>moves the incentive to the management company away from being fully aligned with the fund objective and policy</w:t>
      </w:r>
      <w:r>
        <w:rPr>
          <w:rFonts w:asciiTheme="minorHAnsi" w:hAnsiTheme="minorHAnsi" w:cstheme="minorHAnsi"/>
          <w:sz w:val="22"/>
          <w:szCs w:val="22"/>
        </w:rPr>
        <w:t>.]</w:t>
      </w:r>
    </w:p>
    <w:p w14:paraId="2AFAD134" w14:textId="77777777" w:rsidR="001F23C9" w:rsidRPr="002E0170" w:rsidRDefault="001F23C9" w:rsidP="00FE360A">
      <w:pPr>
        <w:widowControl w:val="0"/>
        <w:rPr>
          <w:rFonts w:asciiTheme="majorHAnsi" w:hAnsiTheme="majorHAnsi" w:cstheme="majorHAnsi"/>
          <w:sz w:val="22"/>
          <w:szCs w:val="22"/>
        </w:rPr>
      </w:pPr>
      <w:r w:rsidRPr="002E0170">
        <w:rPr>
          <w:rFonts w:asciiTheme="majorHAnsi" w:hAnsiTheme="majorHAnsi" w:cstheme="majorHAnsi"/>
          <w:sz w:val="22"/>
          <w:szCs w:val="22"/>
        </w:rPr>
        <w:t>&lt;ESMA_QUESTION_PFG_6&gt;</w:t>
      </w:r>
    </w:p>
    <w:p w14:paraId="73387FD2" w14:textId="77777777" w:rsidR="001F23C9" w:rsidRPr="002E0170" w:rsidRDefault="001F23C9" w:rsidP="00FE360A">
      <w:pPr>
        <w:widowControl w:val="0"/>
        <w:rPr>
          <w:rFonts w:asciiTheme="majorHAnsi" w:hAnsiTheme="majorHAnsi" w:cstheme="majorHAnsi"/>
          <w:sz w:val="22"/>
          <w:szCs w:val="22"/>
        </w:rPr>
      </w:pPr>
    </w:p>
    <w:p w14:paraId="598C8383" w14:textId="77777777" w:rsidR="001F23C9" w:rsidRPr="002E0170" w:rsidRDefault="001F23C9" w:rsidP="00FE360A">
      <w:pPr>
        <w:pStyle w:val="Questionstyle"/>
        <w:widowControl w:val="0"/>
      </w:pPr>
      <w:r w:rsidRPr="002E0170">
        <w:t xml:space="preserve">: If the performance fee model that you currently use provides for performance fees to be payable in times of negative returns, is a prominent warning on this provided to investors in the legal and marketing documents of the fund?  If not, should this be provided? Please </w:t>
      </w:r>
      <w:r w:rsidR="00850B43" w:rsidRPr="002E0170">
        <w:t>give</w:t>
      </w:r>
      <w:r w:rsidRPr="002E0170">
        <w:t xml:space="preserve"> examples for your answer and details on how the best interests of investors are safeguarded.</w:t>
      </w:r>
    </w:p>
    <w:p w14:paraId="7E9E2BE7" w14:textId="5F0D6A5D" w:rsidR="001F23C9" w:rsidRDefault="001F23C9" w:rsidP="00FE360A">
      <w:pPr>
        <w:widowControl w:val="0"/>
        <w:rPr>
          <w:rFonts w:asciiTheme="minorHAnsi" w:hAnsiTheme="minorHAnsi" w:cstheme="minorHAnsi"/>
          <w:sz w:val="22"/>
          <w:szCs w:val="22"/>
        </w:rPr>
      </w:pPr>
      <w:r w:rsidRPr="00AB0B42">
        <w:rPr>
          <w:rFonts w:asciiTheme="minorHAnsi" w:hAnsiTheme="minorHAnsi" w:cstheme="minorHAnsi"/>
          <w:sz w:val="22"/>
          <w:szCs w:val="22"/>
        </w:rPr>
        <w:t>&lt;ESMA_QUESTION_PFG_7&gt;</w:t>
      </w:r>
    </w:p>
    <w:p w14:paraId="20B65C69" w14:textId="4C6866C3" w:rsidR="00AB0B42" w:rsidRPr="00AB0B42" w:rsidRDefault="00AB0B42" w:rsidP="00FE360A">
      <w:pPr>
        <w:widowControl w:val="0"/>
        <w:spacing w:line="276" w:lineRule="auto"/>
        <w:jc w:val="both"/>
        <w:rPr>
          <w:rFonts w:asciiTheme="minorHAnsi" w:hAnsiTheme="minorHAnsi" w:cstheme="minorHAnsi"/>
          <w:sz w:val="22"/>
          <w:szCs w:val="22"/>
        </w:rPr>
      </w:pPr>
      <w:r>
        <w:rPr>
          <w:rFonts w:asciiTheme="minorHAnsi" w:hAnsiTheme="minorHAnsi" w:cstheme="minorHAnsi"/>
          <w:sz w:val="22"/>
          <w:szCs w:val="22"/>
        </w:rPr>
        <w:t>[</w:t>
      </w:r>
      <w:r w:rsidRPr="00AB0B42">
        <w:rPr>
          <w:rFonts w:asciiTheme="minorHAnsi" w:hAnsiTheme="minorHAnsi" w:cstheme="minorHAnsi"/>
          <w:sz w:val="22"/>
          <w:szCs w:val="22"/>
        </w:rPr>
        <w:t>Although it will be clear from the description of benchmark index models in the Prospectus that the performance fee is based on outperformance of an index (rather than increase in NAV/positive return), we would agree with the appropriateness of a requirement for a risk warning to be included in the Prospectus</w:t>
      </w:r>
      <w:r>
        <w:rPr>
          <w:rFonts w:asciiTheme="minorHAnsi" w:hAnsiTheme="minorHAnsi" w:cstheme="minorHAnsi"/>
          <w:sz w:val="22"/>
          <w:szCs w:val="22"/>
        </w:rPr>
        <w:t>.]</w:t>
      </w:r>
    </w:p>
    <w:p w14:paraId="4F22DE37" w14:textId="77777777" w:rsidR="001F23C9" w:rsidRPr="00AB0B42" w:rsidRDefault="001F23C9" w:rsidP="00FE360A">
      <w:pPr>
        <w:widowControl w:val="0"/>
        <w:rPr>
          <w:rFonts w:asciiTheme="minorHAnsi" w:hAnsiTheme="minorHAnsi" w:cstheme="minorHAnsi"/>
          <w:sz w:val="22"/>
          <w:szCs w:val="22"/>
        </w:rPr>
      </w:pPr>
      <w:r w:rsidRPr="00AB0B42">
        <w:rPr>
          <w:rFonts w:asciiTheme="minorHAnsi" w:hAnsiTheme="minorHAnsi" w:cstheme="minorHAnsi"/>
          <w:sz w:val="22"/>
          <w:szCs w:val="22"/>
        </w:rPr>
        <w:t>&lt;ESMA_QUESTION_PFG_7&gt;</w:t>
      </w:r>
    </w:p>
    <w:p w14:paraId="07B3CC6F" w14:textId="77777777" w:rsidR="001F23C9" w:rsidRPr="002E0170" w:rsidRDefault="001F23C9" w:rsidP="00FE360A">
      <w:pPr>
        <w:widowControl w:val="0"/>
        <w:rPr>
          <w:rFonts w:asciiTheme="majorHAnsi" w:hAnsiTheme="majorHAnsi" w:cstheme="majorHAnsi"/>
          <w:sz w:val="22"/>
          <w:szCs w:val="22"/>
        </w:rPr>
      </w:pPr>
    </w:p>
    <w:p w14:paraId="0B77D5F7" w14:textId="77777777" w:rsidR="00FE360A" w:rsidRPr="000547BF" w:rsidRDefault="001F23C9" w:rsidP="00FE360A">
      <w:pPr>
        <w:pStyle w:val="Questionstyle"/>
        <w:widowControl w:val="0"/>
      </w:pPr>
      <w:bookmarkStart w:id="1" w:name="_Hlk23235733"/>
      <w:r w:rsidRPr="000547BF">
        <w:t xml:space="preserve">: What are your views on setting a performance reference period for the purpose of resetting the HWM? What should be </w:t>
      </w:r>
      <w:proofErr w:type="gramStart"/>
      <w:r w:rsidRPr="000547BF">
        <w:t>taken into account</w:t>
      </w:r>
      <w:proofErr w:type="gramEnd"/>
      <w:r w:rsidRPr="000547BF">
        <w:t xml:space="preserve"> when setting the performance reference period? Should this period be defined, for example, based on the whole life of the fund (starting from the fund’s inception date), the recommended holding period of the investor or the investment horizon as stated in the prospectus? Please provide examples and reasons for your answer. </w:t>
      </w:r>
    </w:p>
    <w:p w14:paraId="4E69496F" w14:textId="027CDEB1" w:rsidR="001F23C9" w:rsidRPr="000547BF" w:rsidRDefault="001F23C9" w:rsidP="00FE360A">
      <w:pPr>
        <w:widowControl w:val="0"/>
        <w:rPr>
          <w:rFonts w:asciiTheme="minorHAnsi" w:hAnsiTheme="minorHAnsi" w:cstheme="minorHAnsi"/>
          <w:sz w:val="22"/>
          <w:szCs w:val="22"/>
        </w:rPr>
      </w:pPr>
      <w:r w:rsidRPr="000547BF">
        <w:rPr>
          <w:rFonts w:asciiTheme="minorHAnsi" w:hAnsiTheme="minorHAnsi" w:cstheme="minorHAnsi"/>
          <w:sz w:val="22"/>
          <w:szCs w:val="22"/>
        </w:rPr>
        <w:t>&lt;ESMA_QUESTION_PFG_8&gt;</w:t>
      </w:r>
    </w:p>
    <w:p w14:paraId="74C02FC8" w14:textId="11F362BF" w:rsidR="00B11879" w:rsidRPr="000547BF" w:rsidRDefault="00DD016E" w:rsidP="00B11879">
      <w:pPr>
        <w:widowControl w:val="0"/>
        <w:spacing w:line="276" w:lineRule="auto"/>
        <w:jc w:val="both"/>
        <w:rPr>
          <w:rFonts w:asciiTheme="minorHAnsi" w:hAnsiTheme="minorHAnsi" w:cstheme="minorHAnsi"/>
          <w:sz w:val="22"/>
          <w:szCs w:val="22"/>
        </w:rPr>
      </w:pPr>
      <w:r>
        <w:rPr>
          <w:rFonts w:asciiTheme="minorHAnsi" w:hAnsiTheme="minorHAnsi" w:cstheme="minorHAnsi"/>
          <w:sz w:val="22"/>
          <w:szCs w:val="22"/>
        </w:rPr>
        <w:t>[</w:t>
      </w:r>
      <w:r w:rsidR="00541A66" w:rsidRPr="000547BF">
        <w:rPr>
          <w:rFonts w:asciiTheme="minorHAnsi" w:hAnsiTheme="minorHAnsi" w:cstheme="minorHAnsi"/>
          <w:sz w:val="22"/>
          <w:szCs w:val="22"/>
        </w:rPr>
        <w:t>In order to</w:t>
      </w:r>
      <w:r w:rsidR="009D24DC" w:rsidRPr="000547BF">
        <w:rPr>
          <w:rFonts w:asciiTheme="minorHAnsi" w:hAnsiTheme="minorHAnsi" w:cstheme="minorHAnsi"/>
          <w:sz w:val="22"/>
          <w:szCs w:val="22"/>
        </w:rPr>
        <w:t xml:space="preserve"> assess </w:t>
      </w:r>
      <w:r w:rsidR="00541A66" w:rsidRPr="000547BF">
        <w:rPr>
          <w:rFonts w:asciiTheme="minorHAnsi" w:hAnsiTheme="minorHAnsi" w:cstheme="minorHAnsi"/>
          <w:sz w:val="22"/>
          <w:szCs w:val="22"/>
        </w:rPr>
        <w:t xml:space="preserve">the </w:t>
      </w:r>
      <w:r w:rsidR="009D24DC" w:rsidRPr="000547BF">
        <w:rPr>
          <w:rFonts w:asciiTheme="minorHAnsi" w:hAnsiTheme="minorHAnsi" w:cstheme="minorHAnsi"/>
          <w:sz w:val="22"/>
          <w:szCs w:val="22"/>
        </w:rPr>
        <w:t xml:space="preserve">appropriateness of the performance fee method and alignment with the investment objectives and strategy of the fund, all the components of the calculation method need to be examined in aggregate. Maintaining flexibility for the </w:t>
      </w:r>
      <w:r w:rsidR="00541A66" w:rsidRPr="000547BF">
        <w:rPr>
          <w:rFonts w:asciiTheme="minorHAnsi" w:hAnsiTheme="minorHAnsi" w:cstheme="minorHAnsi"/>
          <w:sz w:val="22"/>
          <w:szCs w:val="22"/>
        </w:rPr>
        <w:t>management company</w:t>
      </w:r>
      <w:r w:rsidR="009D24DC" w:rsidRPr="000547BF">
        <w:rPr>
          <w:rFonts w:asciiTheme="minorHAnsi" w:hAnsiTheme="minorHAnsi" w:cstheme="minorHAnsi"/>
          <w:sz w:val="22"/>
          <w:szCs w:val="22"/>
        </w:rPr>
        <w:t xml:space="preserve"> to set different reference periods (together with the other method criteria) for different funds provides increased scope for </w:t>
      </w:r>
      <w:r w:rsidR="00541A66" w:rsidRPr="000547BF">
        <w:rPr>
          <w:rFonts w:asciiTheme="minorHAnsi" w:hAnsiTheme="minorHAnsi" w:cstheme="minorHAnsi"/>
          <w:sz w:val="22"/>
          <w:szCs w:val="22"/>
        </w:rPr>
        <w:t>management companies</w:t>
      </w:r>
      <w:r w:rsidR="009D24DC" w:rsidRPr="000547BF">
        <w:rPr>
          <w:rFonts w:asciiTheme="minorHAnsi" w:hAnsiTheme="minorHAnsi" w:cstheme="minorHAnsi"/>
          <w:sz w:val="22"/>
          <w:szCs w:val="22"/>
        </w:rPr>
        <w:t xml:space="preserve"> to define the method appropriate to the different </w:t>
      </w:r>
      <w:r w:rsidR="009D24DC" w:rsidRPr="000547BF">
        <w:rPr>
          <w:rFonts w:asciiTheme="minorHAnsi" w:hAnsiTheme="minorHAnsi" w:cstheme="minorHAnsi"/>
          <w:sz w:val="22"/>
          <w:szCs w:val="22"/>
        </w:rPr>
        <w:lastRenderedPageBreak/>
        <w:t xml:space="preserve">characteristics of the fund or investor base, i.e. asset class, recommended holding period, actual holding periods or investor turnover, investor type (retail vs </w:t>
      </w:r>
      <w:r w:rsidR="00977B01" w:rsidRPr="000547BF">
        <w:rPr>
          <w:rFonts w:asciiTheme="minorHAnsi" w:hAnsiTheme="minorHAnsi" w:cstheme="minorHAnsi"/>
          <w:sz w:val="22"/>
          <w:szCs w:val="22"/>
        </w:rPr>
        <w:t>i</w:t>
      </w:r>
      <w:r w:rsidR="009D24DC" w:rsidRPr="000547BF">
        <w:rPr>
          <w:rFonts w:asciiTheme="minorHAnsi" w:hAnsiTheme="minorHAnsi" w:cstheme="minorHAnsi"/>
          <w:sz w:val="22"/>
          <w:szCs w:val="22"/>
        </w:rPr>
        <w:t xml:space="preserve">nstitutional). </w:t>
      </w:r>
      <w:r w:rsidR="00B11879" w:rsidRPr="000547BF">
        <w:rPr>
          <w:rFonts w:asciiTheme="minorHAnsi" w:hAnsiTheme="minorHAnsi" w:cstheme="minorHAnsi"/>
          <w:sz w:val="22"/>
          <w:szCs w:val="22"/>
        </w:rPr>
        <w:t xml:space="preserve">We would, however, </w:t>
      </w:r>
      <w:r w:rsidR="00CB4B66">
        <w:rPr>
          <w:rFonts w:asciiTheme="minorHAnsi" w:hAnsiTheme="minorHAnsi" w:cstheme="minorHAnsi"/>
          <w:sz w:val="22"/>
          <w:szCs w:val="22"/>
        </w:rPr>
        <w:t>support</w:t>
      </w:r>
      <w:r w:rsidR="00C850FF" w:rsidRPr="000547BF">
        <w:rPr>
          <w:rFonts w:asciiTheme="minorHAnsi" w:hAnsiTheme="minorHAnsi" w:cstheme="minorHAnsi"/>
          <w:sz w:val="22"/>
          <w:szCs w:val="22"/>
        </w:rPr>
        <w:t xml:space="preserve"> </w:t>
      </w:r>
      <w:r w:rsidR="00B11879" w:rsidRPr="000547BF">
        <w:rPr>
          <w:rFonts w:asciiTheme="minorHAnsi" w:hAnsiTheme="minorHAnsi" w:cstheme="minorHAnsi"/>
          <w:sz w:val="22"/>
          <w:szCs w:val="22"/>
        </w:rPr>
        <w:t>ESMA setting a minimum reference period within their guidelines giving due consideration to the points below.</w:t>
      </w:r>
      <w:r w:rsidR="00CC6348">
        <w:rPr>
          <w:rFonts w:asciiTheme="minorHAnsi" w:hAnsiTheme="minorHAnsi" w:cstheme="minorHAnsi"/>
          <w:sz w:val="22"/>
          <w:szCs w:val="22"/>
        </w:rPr>
        <w:t xml:space="preserve"> It should also be considered that given there are </w:t>
      </w:r>
      <w:proofErr w:type="gramStart"/>
      <w:r w:rsidR="00CC6348">
        <w:rPr>
          <w:rFonts w:asciiTheme="minorHAnsi" w:hAnsiTheme="minorHAnsi" w:cstheme="minorHAnsi"/>
          <w:sz w:val="22"/>
          <w:szCs w:val="22"/>
        </w:rPr>
        <w:t>a number of</w:t>
      </w:r>
      <w:proofErr w:type="gramEnd"/>
      <w:r w:rsidR="00CC6348">
        <w:rPr>
          <w:rFonts w:asciiTheme="minorHAnsi" w:hAnsiTheme="minorHAnsi" w:cstheme="minorHAnsi"/>
          <w:sz w:val="22"/>
          <w:szCs w:val="22"/>
        </w:rPr>
        <w:t xml:space="preserve"> different performance fee models, it might be appropriate to also permit differing minimum performance reference periods for different performance fee models.</w:t>
      </w:r>
    </w:p>
    <w:p w14:paraId="2C3EE379" w14:textId="77777777" w:rsidR="00215534" w:rsidRPr="000547BF" w:rsidRDefault="00215534" w:rsidP="00B11879">
      <w:pPr>
        <w:widowControl w:val="0"/>
        <w:spacing w:line="276" w:lineRule="auto"/>
        <w:jc w:val="both"/>
        <w:rPr>
          <w:rFonts w:asciiTheme="minorHAnsi" w:hAnsiTheme="minorHAnsi" w:cstheme="minorHAnsi"/>
          <w:sz w:val="22"/>
          <w:szCs w:val="22"/>
        </w:rPr>
      </w:pPr>
    </w:p>
    <w:p w14:paraId="245DE51C" w14:textId="33A74BFD" w:rsidR="009D24DC" w:rsidRPr="000547BF" w:rsidRDefault="00977B01" w:rsidP="00FE360A">
      <w:pPr>
        <w:widowControl w:val="0"/>
        <w:spacing w:line="276" w:lineRule="auto"/>
        <w:jc w:val="both"/>
        <w:rPr>
          <w:rFonts w:asciiTheme="minorHAnsi" w:hAnsiTheme="minorHAnsi" w:cstheme="minorHAnsi"/>
          <w:sz w:val="22"/>
          <w:szCs w:val="22"/>
        </w:rPr>
      </w:pPr>
      <w:r w:rsidRPr="000547BF">
        <w:rPr>
          <w:rFonts w:asciiTheme="minorHAnsi" w:hAnsiTheme="minorHAnsi" w:cstheme="minorHAnsi"/>
          <w:sz w:val="22"/>
          <w:szCs w:val="22"/>
        </w:rPr>
        <w:t>The following are observations on</w:t>
      </w:r>
      <w:r w:rsidR="009D24DC" w:rsidRPr="000547BF">
        <w:rPr>
          <w:rFonts w:asciiTheme="minorHAnsi" w:hAnsiTheme="minorHAnsi" w:cstheme="minorHAnsi"/>
          <w:sz w:val="22"/>
          <w:szCs w:val="22"/>
        </w:rPr>
        <w:t xml:space="preserve"> longer reference periods</w:t>
      </w:r>
      <w:r w:rsidR="00B11879" w:rsidRPr="000547BF">
        <w:rPr>
          <w:rFonts w:asciiTheme="minorHAnsi" w:hAnsiTheme="minorHAnsi" w:cstheme="minorHAnsi"/>
          <w:sz w:val="22"/>
          <w:szCs w:val="22"/>
        </w:rPr>
        <w:t xml:space="preserve"> for ESMA’s consideration</w:t>
      </w:r>
      <w:r w:rsidRPr="000547BF">
        <w:rPr>
          <w:rFonts w:asciiTheme="minorHAnsi" w:hAnsiTheme="minorHAnsi" w:cstheme="minorHAnsi"/>
          <w:sz w:val="22"/>
          <w:szCs w:val="22"/>
        </w:rPr>
        <w:t>:</w:t>
      </w:r>
    </w:p>
    <w:p w14:paraId="2E472203" w14:textId="79F08F66" w:rsidR="009D24DC" w:rsidRPr="000547BF" w:rsidRDefault="009D24DC" w:rsidP="00FE360A">
      <w:pPr>
        <w:widowControl w:val="0"/>
        <w:jc w:val="both"/>
        <w:rPr>
          <w:rFonts w:asciiTheme="minorHAnsi" w:hAnsiTheme="minorHAnsi" w:cstheme="minorHAnsi"/>
          <w:sz w:val="22"/>
          <w:szCs w:val="22"/>
        </w:rPr>
      </w:pPr>
    </w:p>
    <w:p w14:paraId="0DBAB854" w14:textId="5CDB835F" w:rsidR="009D24DC" w:rsidRPr="000547BF" w:rsidRDefault="00977B01" w:rsidP="00C82937">
      <w:pPr>
        <w:pStyle w:val="ListParagraph"/>
        <w:numPr>
          <w:ilvl w:val="0"/>
          <w:numId w:val="24"/>
        </w:numPr>
        <w:jc w:val="both"/>
        <w:rPr>
          <w:lang w:val="en-IE"/>
        </w:rPr>
      </w:pPr>
      <w:r w:rsidRPr="000547BF">
        <w:rPr>
          <w:lang w:val="en-IE"/>
        </w:rPr>
        <w:t>t</w:t>
      </w:r>
      <w:r w:rsidR="009D24DC" w:rsidRPr="000547BF">
        <w:rPr>
          <w:lang w:val="en-IE"/>
        </w:rPr>
        <w:t xml:space="preserve">he longer the reference period, the greater the likelihood of instances of ‘performance fee free rides’ and different experiences by otherwise similar investors. </w:t>
      </w:r>
    </w:p>
    <w:p w14:paraId="4F3E1900" w14:textId="2BEB000E" w:rsidR="009D24DC" w:rsidRPr="000547BF" w:rsidRDefault="00977B01" w:rsidP="00C82937">
      <w:pPr>
        <w:pStyle w:val="ListParagraph"/>
        <w:numPr>
          <w:ilvl w:val="0"/>
          <w:numId w:val="24"/>
        </w:numPr>
        <w:jc w:val="both"/>
        <w:rPr>
          <w:lang w:val="en-IE"/>
        </w:rPr>
      </w:pPr>
      <w:r w:rsidRPr="000547BF">
        <w:rPr>
          <w:lang w:val="en-IE"/>
        </w:rPr>
        <w:t>a</w:t>
      </w:r>
      <w:r w:rsidR="009D24DC" w:rsidRPr="000547BF">
        <w:rPr>
          <w:lang w:val="en-IE"/>
        </w:rPr>
        <w:t xml:space="preserve"> permanent HWM mechanism or a 3 to 5 year reset period can lead to increased risk exposure, especially if the fund's share price is well below the HWM</w:t>
      </w:r>
      <w:r w:rsidR="00434D14" w:rsidRPr="000547BF">
        <w:rPr>
          <w:lang w:val="en-IE"/>
        </w:rPr>
        <w:t>.</w:t>
      </w:r>
      <w:r w:rsidR="009D24DC" w:rsidRPr="000547BF">
        <w:rPr>
          <w:lang w:val="en-IE"/>
        </w:rPr>
        <w:t xml:space="preserve"> This could </w:t>
      </w:r>
      <w:proofErr w:type="gramStart"/>
      <w:r w:rsidR="009D24DC" w:rsidRPr="000547BF">
        <w:rPr>
          <w:lang w:val="en-IE"/>
        </w:rPr>
        <w:t>actually lead</w:t>
      </w:r>
      <w:proofErr w:type="gramEnd"/>
      <w:r w:rsidR="009D24DC" w:rsidRPr="000547BF">
        <w:rPr>
          <w:lang w:val="en-IE"/>
        </w:rPr>
        <w:t xml:space="preserve"> to </w:t>
      </w:r>
      <w:r w:rsidRPr="000547BF">
        <w:rPr>
          <w:lang w:val="en-IE"/>
        </w:rPr>
        <w:t>misalignment</w:t>
      </w:r>
      <w:r w:rsidR="009D24DC" w:rsidRPr="000547BF">
        <w:rPr>
          <w:lang w:val="en-IE"/>
        </w:rPr>
        <w:t xml:space="preserve"> with the fund’s investment objectives incentivising the </w:t>
      </w:r>
      <w:r w:rsidRPr="000547BF">
        <w:rPr>
          <w:lang w:val="en-IE"/>
        </w:rPr>
        <w:t xml:space="preserve">management company </w:t>
      </w:r>
      <w:r w:rsidR="009D24DC" w:rsidRPr="000547BF">
        <w:rPr>
          <w:lang w:val="en-IE"/>
        </w:rPr>
        <w:t>to take excess risk to recoup prior losses.</w:t>
      </w:r>
    </w:p>
    <w:p w14:paraId="5FE83505" w14:textId="2170B30C" w:rsidR="00497C36" w:rsidRPr="00CB4B66" w:rsidRDefault="00977B01" w:rsidP="00C82937">
      <w:pPr>
        <w:pStyle w:val="ListParagraph"/>
        <w:numPr>
          <w:ilvl w:val="0"/>
          <w:numId w:val="24"/>
        </w:numPr>
        <w:jc w:val="both"/>
        <w:rPr>
          <w:lang w:val="en-IE"/>
        </w:rPr>
      </w:pPr>
      <w:r w:rsidRPr="000547BF">
        <w:rPr>
          <w:lang w:val="en-IE"/>
        </w:rPr>
        <w:t>a</w:t>
      </w:r>
      <w:r w:rsidR="009D24DC" w:rsidRPr="000547BF">
        <w:rPr>
          <w:lang w:val="en-IE"/>
        </w:rPr>
        <w:t xml:space="preserve"> HWM from inception or predefined one would also rule out the ability to reset the reference period in other circumstances, e.g. the replacement of a </w:t>
      </w:r>
      <w:r w:rsidRPr="000547BF">
        <w:rPr>
          <w:lang w:val="en-IE"/>
        </w:rPr>
        <w:t>sub-investment manager</w:t>
      </w:r>
      <w:r w:rsidR="009D24DC" w:rsidRPr="000547BF">
        <w:rPr>
          <w:lang w:val="en-IE"/>
        </w:rPr>
        <w:t xml:space="preserve"> who has incurred absolute losses on the fund. Without </w:t>
      </w:r>
      <w:r w:rsidRPr="000547BF">
        <w:rPr>
          <w:lang w:val="en-IE"/>
        </w:rPr>
        <w:t>a reset</w:t>
      </w:r>
      <w:r w:rsidR="009D24DC" w:rsidRPr="000547BF">
        <w:rPr>
          <w:lang w:val="en-IE"/>
        </w:rPr>
        <w:t xml:space="preserve"> or with</w:t>
      </w:r>
      <w:r w:rsidRPr="000547BF">
        <w:rPr>
          <w:lang w:val="en-IE"/>
        </w:rPr>
        <w:t xml:space="preserve"> a</w:t>
      </w:r>
      <w:r w:rsidR="009D24DC" w:rsidRPr="000547BF">
        <w:rPr>
          <w:lang w:val="en-IE"/>
        </w:rPr>
        <w:t xml:space="preserve"> long reference period, this could also hinder the management compan</w:t>
      </w:r>
      <w:r w:rsidR="001A74A7" w:rsidRPr="000547BF">
        <w:rPr>
          <w:lang w:val="en-IE"/>
        </w:rPr>
        <w:t>y</w:t>
      </w:r>
      <w:r w:rsidR="009D24DC" w:rsidRPr="000547BF">
        <w:rPr>
          <w:lang w:val="en-IE"/>
        </w:rPr>
        <w:t xml:space="preserve"> </w:t>
      </w:r>
      <w:r w:rsidRPr="000547BF">
        <w:rPr>
          <w:lang w:val="en-IE"/>
        </w:rPr>
        <w:t>in</w:t>
      </w:r>
      <w:r w:rsidR="009D24DC" w:rsidRPr="000547BF">
        <w:rPr>
          <w:lang w:val="en-IE"/>
        </w:rPr>
        <w:t xml:space="preserve"> appointment of a new manager.</w:t>
      </w:r>
      <w:r w:rsidR="00CB4B66">
        <w:rPr>
          <w:lang w:val="en-IE"/>
        </w:rPr>
        <w:t xml:space="preserve"> </w:t>
      </w:r>
      <w:r w:rsidR="00497C36" w:rsidRPr="00CB4B66">
        <w:rPr>
          <w:lang w:val="en-IE"/>
        </w:rPr>
        <w:t xml:space="preserve">Therefore, from an economic point of view, the liquidation of such a fund and a new launch of a similar product might be the sensible measure for an asset manager. Such </w:t>
      </w:r>
      <w:r w:rsidR="00C82937">
        <w:rPr>
          <w:lang w:val="en-IE"/>
        </w:rPr>
        <w:t xml:space="preserve">a </w:t>
      </w:r>
      <w:r w:rsidR="00497C36" w:rsidRPr="00CB4B66">
        <w:rPr>
          <w:lang w:val="en-IE"/>
        </w:rPr>
        <w:t>measure is not necessarily in the interest of the investors, incurring liquidation cost and realisation of losses.</w:t>
      </w:r>
    </w:p>
    <w:p w14:paraId="4D86BD3B" w14:textId="63E64D37" w:rsidR="009D24DC" w:rsidRPr="000547BF" w:rsidRDefault="00977B01" w:rsidP="00C82937">
      <w:pPr>
        <w:pStyle w:val="ListParagraph"/>
        <w:numPr>
          <w:ilvl w:val="0"/>
          <w:numId w:val="24"/>
        </w:numPr>
        <w:jc w:val="both"/>
        <w:rPr>
          <w:lang w:val="en-IE"/>
        </w:rPr>
      </w:pPr>
      <w:r w:rsidRPr="000547BF">
        <w:rPr>
          <w:lang w:val="en-IE"/>
        </w:rPr>
        <w:t>i</w:t>
      </w:r>
      <w:r w:rsidR="009D24DC" w:rsidRPr="000547BF">
        <w:rPr>
          <w:lang w:val="en-IE"/>
        </w:rPr>
        <w:t xml:space="preserve">ncreased reference periods </w:t>
      </w:r>
      <w:r w:rsidR="00406A8F" w:rsidRPr="000547BF">
        <w:rPr>
          <w:lang w:val="en-IE"/>
        </w:rPr>
        <w:t>reduce</w:t>
      </w:r>
      <w:r w:rsidR="009D24DC" w:rsidRPr="000547BF">
        <w:rPr>
          <w:lang w:val="en-IE"/>
        </w:rPr>
        <w:t xml:space="preserve"> the comparability of funds’ performance and cost</w:t>
      </w:r>
      <w:r w:rsidR="00AB6789" w:rsidRPr="000547BF">
        <w:rPr>
          <w:lang w:val="en-IE"/>
        </w:rPr>
        <w:t>;</w:t>
      </w:r>
      <w:r w:rsidR="009D24DC" w:rsidRPr="000547BF">
        <w:rPr>
          <w:lang w:val="en-IE"/>
        </w:rPr>
        <w:t xml:space="preserve"> funds may have outperformed over a </w:t>
      </w:r>
      <w:proofErr w:type="gramStart"/>
      <w:r w:rsidR="009D24DC" w:rsidRPr="000547BF">
        <w:rPr>
          <w:lang w:val="en-IE"/>
        </w:rPr>
        <w:t>3 or 5 year</w:t>
      </w:r>
      <w:proofErr w:type="gramEnd"/>
      <w:r w:rsidR="009D24DC" w:rsidRPr="000547BF">
        <w:rPr>
          <w:lang w:val="en-IE"/>
        </w:rPr>
        <w:t xml:space="preserve"> period but not incurred performance fees, due to older historical losses.</w:t>
      </w:r>
    </w:p>
    <w:p w14:paraId="1456EF53" w14:textId="77777777" w:rsidR="001A74A7" w:rsidRPr="000547BF" w:rsidRDefault="001A74A7" w:rsidP="00FE360A">
      <w:pPr>
        <w:widowControl w:val="0"/>
        <w:jc w:val="both"/>
        <w:rPr>
          <w:rFonts w:asciiTheme="minorHAnsi" w:hAnsiTheme="minorHAnsi" w:cstheme="minorHAnsi"/>
          <w:sz w:val="22"/>
          <w:szCs w:val="22"/>
          <w:lang w:val="en-IE"/>
        </w:rPr>
      </w:pPr>
    </w:p>
    <w:p w14:paraId="4AC06C63" w14:textId="77777777" w:rsidR="00F46498" w:rsidRPr="00A63858" w:rsidRDefault="00F46498" w:rsidP="00F46498">
      <w:pPr>
        <w:rPr>
          <w:rFonts w:asciiTheme="minorHAnsi" w:hAnsiTheme="minorHAnsi" w:cstheme="minorHAnsi"/>
          <w:sz w:val="22"/>
          <w:szCs w:val="22"/>
        </w:rPr>
      </w:pPr>
      <w:r w:rsidRPr="00A63858">
        <w:rPr>
          <w:rFonts w:asciiTheme="minorHAnsi" w:hAnsiTheme="minorHAnsi" w:cstheme="minorHAnsi"/>
          <w:sz w:val="22"/>
          <w:szCs w:val="22"/>
        </w:rPr>
        <w:t>Our expectation is that the performance reference period will be set at Sub-Fund level, as this would be the only feasible level for management companies to set at.</w:t>
      </w:r>
    </w:p>
    <w:p w14:paraId="1C9EDD95" w14:textId="77777777" w:rsidR="00497C36" w:rsidRPr="000547BF" w:rsidRDefault="00497C36" w:rsidP="00215534">
      <w:pPr>
        <w:rPr>
          <w:lang w:val="en-IE"/>
        </w:rPr>
      </w:pPr>
    </w:p>
    <w:p w14:paraId="37DB9327" w14:textId="76FA517C" w:rsidR="0008680B" w:rsidRPr="000547BF" w:rsidRDefault="0008680B" w:rsidP="00FE360A">
      <w:pPr>
        <w:widowControl w:val="0"/>
        <w:spacing w:line="276" w:lineRule="auto"/>
        <w:jc w:val="both"/>
        <w:rPr>
          <w:rFonts w:asciiTheme="minorHAnsi" w:hAnsiTheme="minorHAnsi" w:cstheme="minorHAnsi"/>
          <w:sz w:val="22"/>
          <w:szCs w:val="22"/>
        </w:rPr>
      </w:pPr>
      <w:r w:rsidRPr="000547BF">
        <w:rPr>
          <w:rFonts w:asciiTheme="minorHAnsi" w:hAnsiTheme="minorHAnsi" w:cstheme="minorHAnsi"/>
          <w:sz w:val="22"/>
          <w:szCs w:val="22"/>
        </w:rPr>
        <w:t>Clarity of definitions and the operational aspects of the “performance reference period” would be welcome as this is a new concept in some jurisdictions, so consideration s</w:t>
      </w:r>
      <w:r w:rsidR="00793960" w:rsidRPr="000547BF">
        <w:rPr>
          <w:rFonts w:asciiTheme="minorHAnsi" w:hAnsiTheme="minorHAnsi" w:cstheme="minorHAnsi"/>
          <w:sz w:val="22"/>
          <w:szCs w:val="22"/>
        </w:rPr>
        <w:t>h</w:t>
      </w:r>
      <w:r w:rsidRPr="000547BF">
        <w:rPr>
          <w:rFonts w:asciiTheme="minorHAnsi" w:hAnsiTheme="minorHAnsi" w:cstheme="minorHAnsi"/>
          <w:sz w:val="22"/>
          <w:szCs w:val="22"/>
        </w:rPr>
        <w:t>o</w:t>
      </w:r>
      <w:r w:rsidR="00793960" w:rsidRPr="000547BF">
        <w:rPr>
          <w:rFonts w:asciiTheme="minorHAnsi" w:hAnsiTheme="minorHAnsi" w:cstheme="minorHAnsi"/>
          <w:sz w:val="22"/>
          <w:szCs w:val="22"/>
        </w:rPr>
        <w:t>uld</w:t>
      </w:r>
      <w:r w:rsidRPr="000547BF">
        <w:rPr>
          <w:rFonts w:asciiTheme="minorHAnsi" w:hAnsiTheme="minorHAnsi" w:cstheme="minorHAnsi"/>
          <w:sz w:val="22"/>
          <w:szCs w:val="22"/>
        </w:rPr>
        <w:t xml:space="preserve"> be given to this in the final guidelines.</w:t>
      </w:r>
      <w:r w:rsidR="00215534" w:rsidRPr="000547BF">
        <w:rPr>
          <w:rFonts w:asciiTheme="minorHAnsi" w:hAnsiTheme="minorHAnsi" w:cstheme="minorHAnsi"/>
          <w:sz w:val="22"/>
          <w:szCs w:val="22"/>
        </w:rPr>
        <w:t>]</w:t>
      </w:r>
    </w:p>
    <w:bookmarkEnd w:id="1"/>
    <w:p w14:paraId="1B35D21A" w14:textId="229AB6A7" w:rsidR="001F23C9" w:rsidRPr="000547BF" w:rsidRDefault="001F23C9" w:rsidP="00FE360A">
      <w:pPr>
        <w:widowControl w:val="0"/>
        <w:jc w:val="both"/>
        <w:rPr>
          <w:rFonts w:asciiTheme="minorHAnsi" w:hAnsiTheme="minorHAnsi" w:cstheme="minorHAnsi"/>
          <w:sz w:val="22"/>
          <w:szCs w:val="22"/>
        </w:rPr>
      </w:pPr>
      <w:r w:rsidRPr="000547BF">
        <w:rPr>
          <w:rFonts w:asciiTheme="minorHAnsi" w:hAnsiTheme="minorHAnsi" w:cstheme="minorHAnsi"/>
          <w:sz w:val="22"/>
          <w:szCs w:val="22"/>
        </w:rPr>
        <w:t>&lt;ESMA_QUESTION_PFG_8&gt;</w:t>
      </w:r>
    </w:p>
    <w:p w14:paraId="7AC9DF2C" w14:textId="77777777" w:rsidR="001F23C9" w:rsidRPr="000547BF" w:rsidRDefault="001F23C9" w:rsidP="00FE360A">
      <w:pPr>
        <w:widowControl w:val="0"/>
        <w:rPr>
          <w:rFonts w:asciiTheme="minorHAnsi" w:hAnsiTheme="minorHAnsi" w:cstheme="minorHAnsi"/>
          <w:sz w:val="22"/>
          <w:szCs w:val="22"/>
        </w:rPr>
      </w:pPr>
    </w:p>
    <w:p w14:paraId="2D838FE0" w14:textId="77777777" w:rsidR="001F23C9" w:rsidRPr="000547BF" w:rsidRDefault="001F23C9" w:rsidP="00FE360A">
      <w:pPr>
        <w:pStyle w:val="Questionstyle"/>
        <w:widowControl w:val="0"/>
      </w:pPr>
      <w:r w:rsidRPr="000547BF">
        <w:t xml:space="preserve">: Alternatively, would it be possible to envisage predefined time horizons for the purpose of resetting the HWM, such as 3 or 5 years? Please provide examples and details on what you think would be the best practice </w:t>
      </w:r>
      <w:proofErr w:type="gramStart"/>
      <w:r w:rsidRPr="000547BF">
        <w:t>in order to</w:t>
      </w:r>
      <w:proofErr w:type="gramEnd"/>
      <w:r w:rsidRPr="000547BF">
        <w:t xml:space="preserve"> better align </w:t>
      </w:r>
      <w:r w:rsidR="00864124" w:rsidRPr="000547BF">
        <w:t xml:space="preserve">the </w:t>
      </w:r>
      <w:r w:rsidRPr="000547BF">
        <w:t xml:space="preserve">interests of fund managers and investors. </w:t>
      </w:r>
    </w:p>
    <w:p w14:paraId="2B3345A4" w14:textId="4FBEEF0F" w:rsidR="001F23C9" w:rsidRPr="000547BF" w:rsidRDefault="001F23C9" w:rsidP="00FE360A">
      <w:pPr>
        <w:widowControl w:val="0"/>
        <w:rPr>
          <w:rFonts w:asciiTheme="minorHAnsi" w:hAnsiTheme="minorHAnsi" w:cstheme="minorHAnsi"/>
          <w:sz w:val="22"/>
          <w:szCs w:val="22"/>
        </w:rPr>
      </w:pPr>
      <w:r w:rsidRPr="000547BF">
        <w:rPr>
          <w:rFonts w:asciiTheme="minorHAnsi" w:hAnsiTheme="minorHAnsi" w:cstheme="minorHAnsi"/>
          <w:sz w:val="22"/>
          <w:szCs w:val="22"/>
        </w:rPr>
        <w:t>&lt;ESMA_QUESTION_PFG_9&gt;</w:t>
      </w:r>
    </w:p>
    <w:p w14:paraId="2A3B7ED2" w14:textId="77777777" w:rsidR="00B11879" w:rsidRPr="000547BF" w:rsidRDefault="00B11879" w:rsidP="00B11879">
      <w:pPr>
        <w:widowControl w:val="0"/>
        <w:spacing w:line="276" w:lineRule="auto"/>
        <w:jc w:val="both"/>
        <w:rPr>
          <w:rFonts w:asciiTheme="minorHAnsi" w:hAnsiTheme="minorHAnsi" w:cstheme="minorHAnsi"/>
          <w:sz w:val="22"/>
          <w:szCs w:val="22"/>
        </w:rPr>
      </w:pPr>
      <w:r w:rsidRPr="000547BF">
        <w:rPr>
          <w:rFonts w:asciiTheme="minorHAnsi" w:hAnsiTheme="minorHAnsi" w:cstheme="minorHAnsi"/>
          <w:sz w:val="22"/>
          <w:szCs w:val="22"/>
        </w:rPr>
        <w:t xml:space="preserve">[In line with the observations at Q8 above, we believe that ESMA should prescribe a minimum performance reference period for all funds but this should allow sufficient flexibility for management companies to align the performance fee method with the investment objectives. </w:t>
      </w:r>
    </w:p>
    <w:p w14:paraId="477D186D" w14:textId="77777777" w:rsidR="00B11879" w:rsidRPr="000547BF" w:rsidRDefault="00B11879" w:rsidP="00B11879">
      <w:pPr>
        <w:widowControl w:val="0"/>
        <w:spacing w:line="276" w:lineRule="auto"/>
        <w:jc w:val="both"/>
        <w:rPr>
          <w:rFonts w:asciiTheme="minorHAnsi" w:hAnsiTheme="minorHAnsi" w:cstheme="minorHAnsi"/>
          <w:sz w:val="22"/>
          <w:szCs w:val="22"/>
        </w:rPr>
      </w:pPr>
    </w:p>
    <w:p w14:paraId="6AE5E039" w14:textId="21DF158A" w:rsidR="00AB0B42" w:rsidRPr="000547BF" w:rsidRDefault="00B11879" w:rsidP="000547BF">
      <w:pPr>
        <w:widowControl w:val="0"/>
        <w:spacing w:line="276" w:lineRule="auto"/>
        <w:jc w:val="both"/>
        <w:rPr>
          <w:rFonts w:ascii="Arial" w:hAnsi="Arial" w:cs="Arial"/>
          <w:color w:val="0000FF"/>
          <w:lang w:val="en-IE"/>
        </w:rPr>
      </w:pPr>
      <w:r w:rsidRPr="000547BF">
        <w:rPr>
          <w:rFonts w:asciiTheme="minorHAnsi" w:hAnsiTheme="minorHAnsi" w:cstheme="minorHAnsi"/>
          <w:sz w:val="22"/>
          <w:szCs w:val="22"/>
        </w:rPr>
        <w:t>Providing examples of criteria for the management company to consider, would be appropriate, (e.g. asset class, recommended holding period, average investor turnover, level of base management fee, percentage performance fee on outperformance, hurdle rate to be attained etc.)</w:t>
      </w:r>
      <w:r w:rsidR="00AB0B42" w:rsidRPr="000547BF">
        <w:rPr>
          <w:rFonts w:asciiTheme="minorHAnsi" w:hAnsiTheme="minorHAnsi" w:cstheme="minorHAnsi"/>
          <w:sz w:val="22"/>
          <w:szCs w:val="22"/>
        </w:rPr>
        <w:t>]</w:t>
      </w:r>
    </w:p>
    <w:p w14:paraId="418974EC" w14:textId="77777777" w:rsidR="001F23C9" w:rsidRPr="000547BF" w:rsidRDefault="001F23C9" w:rsidP="00FE360A">
      <w:pPr>
        <w:widowControl w:val="0"/>
        <w:rPr>
          <w:rFonts w:asciiTheme="minorHAnsi" w:hAnsiTheme="minorHAnsi" w:cstheme="minorHAnsi"/>
          <w:sz w:val="22"/>
          <w:szCs w:val="22"/>
        </w:rPr>
      </w:pPr>
      <w:r w:rsidRPr="000547BF">
        <w:rPr>
          <w:rFonts w:asciiTheme="minorHAnsi" w:hAnsiTheme="minorHAnsi" w:cstheme="minorHAnsi"/>
          <w:sz w:val="22"/>
          <w:szCs w:val="22"/>
        </w:rPr>
        <w:lastRenderedPageBreak/>
        <w:t>&lt;ESMA_QUESTION_PFG_9&gt;</w:t>
      </w:r>
    </w:p>
    <w:p w14:paraId="5157482B" w14:textId="77777777" w:rsidR="001F23C9" w:rsidRPr="000547BF" w:rsidRDefault="001F23C9" w:rsidP="00FE360A">
      <w:pPr>
        <w:widowControl w:val="0"/>
        <w:rPr>
          <w:rFonts w:asciiTheme="minorHAnsi" w:hAnsiTheme="minorHAnsi" w:cstheme="minorHAnsi"/>
          <w:sz w:val="22"/>
          <w:szCs w:val="22"/>
        </w:rPr>
      </w:pPr>
    </w:p>
    <w:p w14:paraId="1C786992" w14:textId="77777777" w:rsidR="001F23C9" w:rsidRPr="000547BF" w:rsidRDefault="001F23C9" w:rsidP="00FE360A">
      <w:pPr>
        <w:pStyle w:val="Questionstyle"/>
        <w:widowControl w:val="0"/>
      </w:pPr>
      <w:r w:rsidRPr="000547BF">
        <w:t xml:space="preserve">: How long do you think the performance reference period should be for performance fee models based on a benchmark index? What should be </w:t>
      </w:r>
      <w:proofErr w:type="gramStart"/>
      <w:r w:rsidRPr="000547BF">
        <w:t>taken into account</w:t>
      </w:r>
      <w:proofErr w:type="gramEnd"/>
      <w:r w:rsidRPr="000547BF">
        <w:t xml:space="preserve"> when setting the performance reference period for a performance fee benchmark model? Would it be possible to envisage predefined time horizons for the purpose of resetting the performance fee based on a benchmark, such as 3 or 5 years? Please provide examples and details on what you think would be the best practice </w:t>
      </w:r>
      <w:proofErr w:type="gramStart"/>
      <w:r w:rsidRPr="000547BF">
        <w:t>in order to</w:t>
      </w:r>
      <w:proofErr w:type="gramEnd"/>
      <w:r w:rsidRPr="000547BF">
        <w:t xml:space="preserve"> better align </w:t>
      </w:r>
      <w:r w:rsidR="00864124" w:rsidRPr="000547BF">
        <w:t xml:space="preserve">the </w:t>
      </w:r>
      <w:r w:rsidRPr="000547BF">
        <w:t>interests of fund managers and investors.</w:t>
      </w:r>
    </w:p>
    <w:p w14:paraId="5276D89C" w14:textId="1684D736" w:rsidR="001F23C9" w:rsidRPr="000547BF" w:rsidRDefault="001F23C9" w:rsidP="00FE360A">
      <w:pPr>
        <w:widowControl w:val="0"/>
        <w:rPr>
          <w:rFonts w:asciiTheme="minorHAnsi" w:hAnsiTheme="minorHAnsi" w:cstheme="minorHAnsi"/>
          <w:sz w:val="22"/>
          <w:szCs w:val="22"/>
        </w:rPr>
      </w:pPr>
      <w:r w:rsidRPr="000547BF">
        <w:rPr>
          <w:rFonts w:asciiTheme="minorHAnsi" w:hAnsiTheme="minorHAnsi" w:cstheme="minorHAnsi"/>
          <w:sz w:val="22"/>
          <w:szCs w:val="22"/>
        </w:rPr>
        <w:t>&lt;ESMA_QUESTION_PFG_10&gt;</w:t>
      </w:r>
    </w:p>
    <w:p w14:paraId="055A0F84" w14:textId="77777777" w:rsidR="00215534" w:rsidRPr="000547BF" w:rsidRDefault="00AB0B42" w:rsidP="00B11879">
      <w:pPr>
        <w:widowControl w:val="0"/>
        <w:spacing w:line="276" w:lineRule="auto"/>
        <w:jc w:val="both"/>
        <w:rPr>
          <w:rFonts w:asciiTheme="minorHAnsi" w:hAnsiTheme="minorHAnsi" w:cstheme="minorHAnsi"/>
          <w:sz w:val="22"/>
          <w:szCs w:val="22"/>
        </w:rPr>
      </w:pPr>
      <w:r w:rsidRPr="000547BF">
        <w:rPr>
          <w:rFonts w:asciiTheme="minorHAnsi" w:hAnsiTheme="minorHAnsi" w:cstheme="minorHAnsi"/>
          <w:sz w:val="22"/>
          <w:szCs w:val="22"/>
        </w:rPr>
        <w:t>[</w:t>
      </w:r>
      <w:r w:rsidR="00B11879" w:rsidRPr="000547BF">
        <w:rPr>
          <w:rFonts w:asciiTheme="minorHAnsi" w:hAnsiTheme="minorHAnsi" w:cstheme="minorHAnsi"/>
          <w:sz w:val="22"/>
          <w:szCs w:val="22"/>
        </w:rPr>
        <w:t>See response to Q9.]</w:t>
      </w:r>
    </w:p>
    <w:p w14:paraId="7DA45223" w14:textId="57D0EE7D" w:rsidR="001F23C9" w:rsidRPr="000547BF" w:rsidRDefault="001F23C9" w:rsidP="00B11879">
      <w:pPr>
        <w:widowControl w:val="0"/>
        <w:spacing w:line="276" w:lineRule="auto"/>
        <w:jc w:val="both"/>
        <w:rPr>
          <w:rFonts w:asciiTheme="minorHAnsi" w:hAnsiTheme="minorHAnsi" w:cstheme="minorHAnsi"/>
          <w:sz w:val="22"/>
          <w:szCs w:val="22"/>
        </w:rPr>
      </w:pPr>
      <w:r w:rsidRPr="000547BF">
        <w:rPr>
          <w:rFonts w:asciiTheme="minorHAnsi" w:hAnsiTheme="minorHAnsi" w:cstheme="minorHAnsi"/>
          <w:sz w:val="22"/>
          <w:szCs w:val="22"/>
        </w:rPr>
        <w:t>&lt;ESMA_QUESTION_PFG_10&gt;</w:t>
      </w:r>
    </w:p>
    <w:p w14:paraId="23EFFF54" w14:textId="77777777" w:rsidR="001F23C9" w:rsidRPr="000547BF" w:rsidRDefault="001F23C9" w:rsidP="00FE360A">
      <w:pPr>
        <w:widowControl w:val="0"/>
        <w:rPr>
          <w:rFonts w:asciiTheme="minorHAnsi" w:hAnsiTheme="minorHAnsi" w:cstheme="minorHAnsi"/>
          <w:sz w:val="22"/>
          <w:szCs w:val="22"/>
        </w:rPr>
      </w:pPr>
    </w:p>
    <w:p w14:paraId="492301AC" w14:textId="77777777" w:rsidR="001F23C9" w:rsidRPr="000547BF" w:rsidRDefault="001F23C9" w:rsidP="00FE360A">
      <w:pPr>
        <w:pStyle w:val="Questionstyle"/>
        <w:widowControl w:val="0"/>
      </w:pPr>
      <w:r w:rsidRPr="000547BF">
        <w:t>: Alternatively, do you think the performance reference period should coincide with the minimum crystallisation period or should it be longer/shorter? Please provide examples and reasons for your answer.</w:t>
      </w:r>
    </w:p>
    <w:p w14:paraId="5F03FA40" w14:textId="77777777" w:rsidR="001F23C9" w:rsidRPr="000547BF" w:rsidRDefault="001F23C9" w:rsidP="00FE360A">
      <w:pPr>
        <w:widowControl w:val="0"/>
        <w:rPr>
          <w:rFonts w:asciiTheme="minorHAnsi" w:hAnsiTheme="minorHAnsi" w:cstheme="minorHAnsi"/>
          <w:sz w:val="22"/>
          <w:szCs w:val="22"/>
        </w:rPr>
      </w:pPr>
      <w:r w:rsidRPr="000547BF">
        <w:rPr>
          <w:rFonts w:asciiTheme="minorHAnsi" w:hAnsiTheme="minorHAnsi" w:cstheme="minorHAnsi"/>
          <w:sz w:val="22"/>
          <w:szCs w:val="22"/>
        </w:rPr>
        <w:t>&lt;ESMA_QUESTION_PFG_11&gt;</w:t>
      </w:r>
    </w:p>
    <w:p w14:paraId="160087BE" w14:textId="0823CBDF" w:rsidR="009D24DC" w:rsidRPr="000547BF" w:rsidRDefault="00D42E1E" w:rsidP="00FE360A">
      <w:pPr>
        <w:widowControl w:val="0"/>
        <w:spacing w:line="276" w:lineRule="auto"/>
        <w:jc w:val="both"/>
        <w:rPr>
          <w:rFonts w:asciiTheme="minorHAnsi" w:hAnsiTheme="minorHAnsi" w:cstheme="minorHAnsi"/>
          <w:sz w:val="22"/>
          <w:szCs w:val="22"/>
        </w:rPr>
      </w:pPr>
      <w:r>
        <w:rPr>
          <w:rFonts w:asciiTheme="minorHAnsi" w:hAnsiTheme="minorHAnsi" w:cstheme="minorHAnsi"/>
          <w:sz w:val="22"/>
          <w:szCs w:val="22"/>
        </w:rPr>
        <w:t>[</w:t>
      </w:r>
      <w:r w:rsidR="008D601D" w:rsidRPr="000547BF">
        <w:rPr>
          <w:rFonts w:asciiTheme="minorHAnsi" w:hAnsiTheme="minorHAnsi" w:cstheme="minorHAnsi"/>
          <w:sz w:val="22"/>
          <w:szCs w:val="22"/>
        </w:rPr>
        <w:t>In our view, t</w:t>
      </w:r>
      <w:r w:rsidR="00C851A7" w:rsidRPr="000547BF">
        <w:rPr>
          <w:rFonts w:asciiTheme="minorHAnsi" w:hAnsiTheme="minorHAnsi" w:cstheme="minorHAnsi"/>
          <w:sz w:val="22"/>
          <w:szCs w:val="22"/>
        </w:rPr>
        <w:t>he m</w:t>
      </w:r>
      <w:r w:rsidR="009D24DC" w:rsidRPr="000547BF">
        <w:rPr>
          <w:rFonts w:asciiTheme="minorHAnsi" w:hAnsiTheme="minorHAnsi" w:cstheme="minorHAnsi"/>
          <w:sz w:val="22"/>
          <w:szCs w:val="22"/>
        </w:rPr>
        <w:t xml:space="preserve">inimum crystallization period should be no longer than one year. </w:t>
      </w:r>
      <w:r w:rsidR="008D601D" w:rsidRPr="000547BF">
        <w:rPr>
          <w:rFonts w:asciiTheme="minorHAnsi" w:hAnsiTheme="minorHAnsi" w:cstheme="minorHAnsi"/>
          <w:sz w:val="22"/>
          <w:szCs w:val="22"/>
        </w:rPr>
        <w:t>As noted in the response to question 4, s</w:t>
      </w:r>
      <w:r w:rsidR="009D24DC" w:rsidRPr="000547BF">
        <w:rPr>
          <w:rFonts w:asciiTheme="minorHAnsi" w:hAnsiTheme="minorHAnsi" w:cstheme="minorHAnsi"/>
          <w:sz w:val="22"/>
          <w:szCs w:val="22"/>
        </w:rPr>
        <w:t>horter crystallisation period</w:t>
      </w:r>
      <w:r w:rsidR="00C82937">
        <w:rPr>
          <w:rFonts w:asciiTheme="minorHAnsi" w:hAnsiTheme="minorHAnsi" w:cstheme="minorHAnsi"/>
          <w:sz w:val="22"/>
          <w:szCs w:val="22"/>
        </w:rPr>
        <w:t>s</w:t>
      </w:r>
      <w:r w:rsidR="009D24DC" w:rsidRPr="000547BF">
        <w:rPr>
          <w:rFonts w:asciiTheme="minorHAnsi" w:hAnsiTheme="minorHAnsi" w:cstheme="minorHAnsi"/>
          <w:sz w:val="22"/>
          <w:szCs w:val="22"/>
        </w:rPr>
        <w:t xml:space="preserve"> should be permissible in certain circumstance</w:t>
      </w:r>
      <w:r w:rsidR="008E1417" w:rsidRPr="000547BF">
        <w:rPr>
          <w:rFonts w:asciiTheme="minorHAnsi" w:hAnsiTheme="minorHAnsi" w:cstheme="minorHAnsi"/>
          <w:sz w:val="22"/>
          <w:szCs w:val="22"/>
        </w:rPr>
        <w:t>;</w:t>
      </w:r>
      <w:r w:rsidR="009D24DC" w:rsidRPr="000547BF">
        <w:rPr>
          <w:rFonts w:asciiTheme="minorHAnsi" w:hAnsiTheme="minorHAnsi" w:cstheme="minorHAnsi"/>
          <w:sz w:val="22"/>
          <w:szCs w:val="22"/>
        </w:rPr>
        <w:t xml:space="preserve"> redemption</w:t>
      </w:r>
      <w:r w:rsidR="008E1417" w:rsidRPr="000547BF">
        <w:rPr>
          <w:rFonts w:asciiTheme="minorHAnsi" w:hAnsiTheme="minorHAnsi" w:cstheme="minorHAnsi"/>
          <w:sz w:val="22"/>
          <w:szCs w:val="22"/>
        </w:rPr>
        <w:t>s</w:t>
      </w:r>
      <w:r w:rsidR="009D24DC" w:rsidRPr="000547BF">
        <w:rPr>
          <w:rFonts w:asciiTheme="minorHAnsi" w:hAnsiTheme="minorHAnsi" w:cstheme="minorHAnsi"/>
          <w:sz w:val="22"/>
          <w:szCs w:val="22"/>
        </w:rPr>
        <w:t>, class launches</w:t>
      </w:r>
      <w:r w:rsidR="008E1417" w:rsidRPr="000547BF">
        <w:rPr>
          <w:rFonts w:asciiTheme="minorHAnsi" w:hAnsiTheme="minorHAnsi" w:cstheme="minorHAnsi"/>
          <w:sz w:val="22"/>
          <w:szCs w:val="22"/>
        </w:rPr>
        <w:t>, mergers</w:t>
      </w:r>
      <w:r w:rsidR="008D601D" w:rsidRPr="000547BF">
        <w:rPr>
          <w:rFonts w:asciiTheme="minorHAnsi" w:hAnsiTheme="minorHAnsi" w:cstheme="minorHAnsi"/>
          <w:sz w:val="22"/>
          <w:szCs w:val="22"/>
        </w:rPr>
        <w:t xml:space="preserve"> and</w:t>
      </w:r>
      <w:r w:rsidR="009D24DC" w:rsidRPr="000547BF">
        <w:rPr>
          <w:rFonts w:asciiTheme="minorHAnsi" w:hAnsiTheme="minorHAnsi" w:cstheme="minorHAnsi"/>
          <w:sz w:val="22"/>
          <w:szCs w:val="22"/>
        </w:rPr>
        <w:t xml:space="preserve"> liquidations. </w:t>
      </w:r>
      <w:r w:rsidR="008D601D" w:rsidRPr="000547BF">
        <w:rPr>
          <w:rFonts w:asciiTheme="minorHAnsi" w:hAnsiTheme="minorHAnsi" w:cstheme="minorHAnsi"/>
          <w:sz w:val="22"/>
          <w:szCs w:val="22"/>
        </w:rPr>
        <w:t>A o</w:t>
      </w:r>
      <w:r w:rsidR="009D24DC" w:rsidRPr="000547BF">
        <w:rPr>
          <w:rFonts w:asciiTheme="minorHAnsi" w:hAnsiTheme="minorHAnsi" w:cstheme="minorHAnsi"/>
          <w:sz w:val="22"/>
          <w:szCs w:val="22"/>
        </w:rPr>
        <w:t>ne-year crystallization period</w:t>
      </w:r>
      <w:r w:rsidR="009D24DC" w:rsidRPr="000547BF" w:rsidDel="00024AFC">
        <w:rPr>
          <w:rFonts w:asciiTheme="minorHAnsi" w:hAnsiTheme="minorHAnsi" w:cstheme="minorHAnsi"/>
          <w:sz w:val="22"/>
          <w:szCs w:val="22"/>
        </w:rPr>
        <w:t xml:space="preserve"> </w:t>
      </w:r>
      <w:r w:rsidR="009D24DC" w:rsidRPr="000547BF">
        <w:rPr>
          <w:rFonts w:asciiTheme="minorHAnsi" w:hAnsiTheme="minorHAnsi" w:cstheme="minorHAnsi"/>
          <w:sz w:val="22"/>
          <w:szCs w:val="22"/>
        </w:rPr>
        <w:t xml:space="preserve">also offers simplicity and clarity being fully aligned with the spirit of MiFID </w:t>
      </w:r>
      <w:r w:rsidR="00C87C9F" w:rsidRPr="000547BF">
        <w:rPr>
          <w:rFonts w:asciiTheme="minorHAnsi" w:hAnsiTheme="minorHAnsi" w:cstheme="minorHAnsi"/>
          <w:sz w:val="22"/>
          <w:szCs w:val="22"/>
        </w:rPr>
        <w:t>II</w:t>
      </w:r>
      <w:r w:rsidR="009D24DC" w:rsidRPr="000547BF">
        <w:rPr>
          <w:rFonts w:asciiTheme="minorHAnsi" w:hAnsiTheme="minorHAnsi" w:cstheme="minorHAnsi"/>
          <w:sz w:val="22"/>
          <w:szCs w:val="22"/>
        </w:rPr>
        <w:t xml:space="preserve">, which has introduced </w:t>
      </w:r>
      <w:r w:rsidR="00C82937">
        <w:rPr>
          <w:rFonts w:asciiTheme="minorHAnsi" w:hAnsiTheme="minorHAnsi" w:cstheme="minorHAnsi"/>
          <w:sz w:val="22"/>
          <w:szCs w:val="22"/>
        </w:rPr>
        <w:t xml:space="preserve">a </w:t>
      </w:r>
      <w:r w:rsidR="009D24DC" w:rsidRPr="000547BF">
        <w:rPr>
          <w:rFonts w:asciiTheme="minorHAnsi" w:hAnsiTheme="minorHAnsi" w:cstheme="minorHAnsi"/>
          <w:sz w:val="22"/>
          <w:szCs w:val="22"/>
        </w:rPr>
        <w:t>once a year report on all charges and costs.</w:t>
      </w:r>
    </w:p>
    <w:p w14:paraId="03EB0BC9" w14:textId="77777777" w:rsidR="005E1264" w:rsidRPr="000547BF" w:rsidRDefault="005E1264" w:rsidP="00FE360A">
      <w:pPr>
        <w:widowControl w:val="0"/>
        <w:spacing w:line="276" w:lineRule="auto"/>
        <w:jc w:val="both"/>
        <w:rPr>
          <w:rFonts w:asciiTheme="minorHAnsi" w:hAnsiTheme="minorHAnsi" w:cstheme="minorHAnsi"/>
          <w:sz w:val="22"/>
          <w:szCs w:val="22"/>
        </w:rPr>
      </w:pPr>
    </w:p>
    <w:p w14:paraId="692338B9" w14:textId="0743FF95" w:rsidR="00215534" w:rsidRDefault="00B11879" w:rsidP="00B11879">
      <w:pPr>
        <w:widowControl w:val="0"/>
        <w:spacing w:line="276" w:lineRule="auto"/>
        <w:jc w:val="both"/>
        <w:rPr>
          <w:rFonts w:asciiTheme="minorHAnsi" w:hAnsiTheme="minorHAnsi" w:cstheme="minorHAnsi"/>
          <w:sz w:val="22"/>
          <w:szCs w:val="22"/>
        </w:rPr>
      </w:pPr>
      <w:bookmarkStart w:id="2" w:name="_Hlk22302917"/>
      <w:r w:rsidRPr="000547BF">
        <w:rPr>
          <w:rFonts w:asciiTheme="minorHAnsi" w:hAnsiTheme="minorHAnsi" w:cstheme="minorHAnsi"/>
          <w:sz w:val="22"/>
          <w:szCs w:val="22"/>
        </w:rPr>
        <w:t>We do not believe that a shorter reference period is in the interest of fair treatment of the investors. We would be of the view that ESMA should set the minimum performance reference period which does not need to coincide with the minimum crystallisation period.</w:t>
      </w:r>
      <w:r>
        <w:rPr>
          <w:rFonts w:asciiTheme="minorHAnsi" w:hAnsiTheme="minorHAnsi" w:cstheme="minorHAnsi"/>
          <w:sz w:val="22"/>
          <w:szCs w:val="22"/>
        </w:rPr>
        <w:t xml:space="preserve"> </w:t>
      </w:r>
    </w:p>
    <w:p w14:paraId="56B09998" w14:textId="77777777" w:rsidR="00215534" w:rsidRDefault="00215534" w:rsidP="00B11879">
      <w:pPr>
        <w:widowControl w:val="0"/>
        <w:spacing w:line="276" w:lineRule="auto"/>
        <w:jc w:val="both"/>
        <w:rPr>
          <w:rFonts w:asciiTheme="minorHAnsi" w:hAnsiTheme="minorHAnsi" w:cstheme="minorHAnsi"/>
          <w:sz w:val="22"/>
          <w:szCs w:val="22"/>
        </w:rPr>
      </w:pPr>
    </w:p>
    <w:p w14:paraId="0AC2FF27" w14:textId="3260CC8E" w:rsidR="00B11879" w:rsidRPr="00AB0B42" w:rsidRDefault="00B11879" w:rsidP="00B11879">
      <w:pPr>
        <w:widowControl w:val="0"/>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Importantly, </w:t>
      </w:r>
      <w:r w:rsidR="00D2515B">
        <w:rPr>
          <w:rFonts w:asciiTheme="minorHAnsi" w:hAnsiTheme="minorHAnsi" w:cstheme="minorHAnsi"/>
          <w:sz w:val="22"/>
          <w:szCs w:val="22"/>
        </w:rPr>
        <w:t>m</w:t>
      </w:r>
      <w:r>
        <w:rPr>
          <w:rFonts w:asciiTheme="minorHAnsi" w:hAnsiTheme="minorHAnsi" w:cstheme="minorHAnsi"/>
          <w:sz w:val="22"/>
          <w:szCs w:val="22"/>
        </w:rPr>
        <w:t xml:space="preserve">anagement </w:t>
      </w:r>
      <w:r w:rsidR="00D2515B">
        <w:rPr>
          <w:rFonts w:asciiTheme="minorHAnsi" w:hAnsiTheme="minorHAnsi" w:cstheme="minorHAnsi"/>
          <w:sz w:val="22"/>
          <w:szCs w:val="22"/>
        </w:rPr>
        <w:t>c</w:t>
      </w:r>
      <w:r>
        <w:rPr>
          <w:rFonts w:asciiTheme="minorHAnsi" w:hAnsiTheme="minorHAnsi" w:cstheme="minorHAnsi"/>
          <w:sz w:val="22"/>
          <w:szCs w:val="22"/>
        </w:rPr>
        <w:t xml:space="preserve">ompanies should have the flexibility to allow them to set a longer performance reference period should that better align the interests of all stakeholders. Ultimately, </w:t>
      </w:r>
      <w:r w:rsidRPr="00BD1929">
        <w:rPr>
          <w:rFonts w:asciiTheme="minorHAnsi" w:hAnsiTheme="minorHAnsi" w:cstheme="minorHAnsi"/>
          <w:sz w:val="22"/>
          <w:szCs w:val="22"/>
        </w:rPr>
        <w:t>consistency is critical and to strike a fair compromise between transparency, complexity, and equity.</w:t>
      </w:r>
      <w:r w:rsidR="00215534">
        <w:rPr>
          <w:rFonts w:asciiTheme="minorHAnsi" w:hAnsiTheme="minorHAnsi" w:cstheme="minorHAnsi"/>
          <w:sz w:val="22"/>
          <w:szCs w:val="22"/>
        </w:rPr>
        <w:t>]</w:t>
      </w:r>
    </w:p>
    <w:bookmarkEnd w:id="2"/>
    <w:p w14:paraId="58A2C486" w14:textId="2BAEE911" w:rsidR="001F23C9" w:rsidRPr="00AB0B42" w:rsidRDefault="001F23C9" w:rsidP="00FE360A">
      <w:pPr>
        <w:widowControl w:val="0"/>
        <w:rPr>
          <w:rFonts w:asciiTheme="minorHAnsi" w:hAnsiTheme="minorHAnsi" w:cstheme="minorHAnsi"/>
          <w:sz w:val="22"/>
          <w:szCs w:val="22"/>
        </w:rPr>
      </w:pPr>
      <w:r w:rsidRPr="00AB0B42">
        <w:rPr>
          <w:rFonts w:asciiTheme="minorHAnsi" w:hAnsiTheme="minorHAnsi" w:cstheme="minorHAnsi"/>
          <w:sz w:val="22"/>
          <w:szCs w:val="22"/>
        </w:rPr>
        <w:t>&lt;ESMA_QUESTION_PFG_11&gt;</w:t>
      </w:r>
    </w:p>
    <w:p w14:paraId="775A2DE8" w14:textId="77777777" w:rsidR="001F23C9" w:rsidRPr="002E0170" w:rsidRDefault="001F23C9" w:rsidP="00FE360A">
      <w:pPr>
        <w:widowControl w:val="0"/>
        <w:rPr>
          <w:rFonts w:asciiTheme="majorHAnsi" w:hAnsiTheme="majorHAnsi" w:cstheme="majorHAnsi"/>
          <w:sz w:val="22"/>
          <w:szCs w:val="22"/>
        </w:rPr>
      </w:pPr>
    </w:p>
    <w:p w14:paraId="59A00654" w14:textId="77777777" w:rsidR="001F23C9" w:rsidRPr="002E0170" w:rsidRDefault="001F23C9" w:rsidP="00FE360A">
      <w:pPr>
        <w:pStyle w:val="Questionstyle"/>
        <w:widowControl w:val="0"/>
      </w:pPr>
      <w:r w:rsidRPr="002E0170">
        <w:t>: What are your views on when the Guidelines should become applicable? How much time would managers require to adapt existing fee mechanisms to comply with the requirements of these Guidelines?</w:t>
      </w:r>
    </w:p>
    <w:p w14:paraId="6B1FB7D4" w14:textId="77777777" w:rsidR="001F23C9" w:rsidRPr="00AB0B42" w:rsidRDefault="001F23C9" w:rsidP="00FE360A">
      <w:pPr>
        <w:widowControl w:val="0"/>
        <w:rPr>
          <w:rFonts w:asciiTheme="minorHAnsi" w:hAnsiTheme="minorHAnsi" w:cstheme="minorHAnsi"/>
          <w:sz w:val="22"/>
          <w:szCs w:val="22"/>
        </w:rPr>
      </w:pPr>
      <w:r w:rsidRPr="00AB0B42">
        <w:rPr>
          <w:rFonts w:asciiTheme="minorHAnsi" w:hAnsiTheme="minorHAnsi" w:cstheme="minorHAnsi"/>
          <w:sz w:val="22"/>
          <w:szCs w:val="22"/>
        </w:rPr>
        <w:t>&lt;ESMA_QUESTION_PFG_12&gt;</w:t>
      </w:r>
    </w:p>
    <w:p w14:paraId="3DD780E3" w14:textId="6050F22B" w:rsidR="00AB0B42" w:rsidRDefault="00AB0B42" w:rsidP="00FE360A">
      <w:pPr>
        <w:widowControl w:val="0"/>
        <w:spacing w:line="276" w:lineRule="auto"/>
        <w:jc w:val="both"/>
        <w:rPr>
          <w:rFonts w:asciiTheme="minorHAnsi" w:hAnsiTheme="minorHAnsi" w:cstheme="minorHAnsi"/>
          <w:sz w:val="22"/>
          <w:szCs w:val="22"/>
        </w:rPr>
      </w:pPr>
      <w:r>
        <w:rPr>
          <w:rFonts w:asciiTheme="minorHAnsi" w:hAnsiTheme="minorHAnsi" w:cstheme="minorHAnsi"/>
          <w:sz w:val="22"/>
          <w:szCs w:val="22"/>
        </w:rPr>
        <w:t>[</w:t>
      </w:r>
      <w:r w:rsidRPr="00AB0B42">
        <w:rPr>
          <w:rFonts w:asciiTheme="minorHAnsi" w:hAnsiTheme="minorHAnsi" w:cstheme="minorHAnsi"/>
          <w:sz w:val="22"/>
          <w:szCs w:val="22"/>
        </w:rPr>
        <w:t xml:space="preserve">We would submit that there should be a minimum </w:t>
      </w:r>
      <w:r w:rsidR="00AC538F" w:rsidRPr="00AB0B42">
        <w:rPr>
          <w:rFonts w:asciiTheme="minorHAnsi" w:hAnsiTheme="minorHAnsi" w:cstheme="minorHAnsi"/>
          <w:sz w:val="22"/>
          <w:szCs w:val="22"/>
        </w:rPr>
        <w:t>24-month</w:t>
      </w:r>
      <w:r w:rsidRPr="00AB0B42">
        <w:rPr>
          <w:rFonts w:asciiTheme="minorHAnsi" w:hAnsiTheme="minorHAnsi" w:cstheme="minorHAnsi"/>
          <w:sz w:val="22"/>
          <w:szCs w:val="22"/>
        </w:rPr>
        <w:t xml:space="preserve"> transition period from the date of publication of the Guidelines to the effective date of application.  Whilst this may seem a long period, bear in mind that some funds will have to recalibrate models to a year end basis. This will give management companies a </w:t>
      </w:r>
      <w:proofErr w:type="gramStart"/>
      <w:r w:rsidRPr="00AB0B42">
        <w:rPr>
          <w:rFonts w:asciiTheme="minorHAnsi" w:hAnsiTheme="minorHAnsi" w:cstheme="minorHAnsi"/>
          <w:sz w:val="22"/>
          <w:szCs w:val="22"/>
        </w:rPr>
        <w:t>sufficient</w:t>
      </w:r>
      <w:proofErr w:type="gramEnd"/>
      <w:r w:rsidRPr="00AB0B42">
        <w:rPr>
          <w:rFonts w:asciiTheme="minorHAnsi" w:hAnsiTheme="minorHAnsi" w:cstheme="minorHAnsi"/>
          <w:sz w:val="22"/>
          <w:szCs w:val="22"/>
        </w:rPr>
        <w:t xml:space="preserve"> time within which to make the necessary modifications to their performance fee models and make any necessary notifications to investors.  </w:t>
      </w:r>
    </w:p>
    <w:p w14:paraId="676E53D3" w14:textId="77777777" w:rsidR="000A1767" w:rsidRPr="00AB0B42" w:rsidRDefault="000A1767" w:rsidP="00FE360A">
      <w:pPr>
        <w:widowControl w:val="0"/>
        <w:spacing w:line="276" w:lineRule="auto"/>
        <w:jc w:val="both"/>
        <w:rPr>
          <w:rFonts w:asciiTheme="minorHAnsi" w:hAnsiTheme="minorHAnsi" w:cstheme="minorHAnsi"/>
          <w:sz w:val="22"/>
          <w:szCs w:val="22"/>
        </w:rPr>
      </w:pPr>
    </w:p>
    <w:p w14:paraId="0F784F3F" w14:textId="0E92B885" w:rsidR="00AB0B42" w:rsidRDefault="000A1767" w:rsidP="00FE360A">
      <w:pPr>
        <w:widowControl w:val="0"/>
        <w:spacing w:line="276" w:lineRule="auto"/>
        <w:jc w:val="both"/>
        <w:rPr>
          <w:rFonts w:asciiTheme="minorHAnsi" w:hAnsiTheme="minorHAnsi" w:cstheme="minorHAnsi"/>
          <w:sz w:val="22"/>
          <w:szCs w:val="22"/>
        </w:rPr>
      </w:pPr>
      <w:r w:rsidRPr="000A1767">
        <w:rPr>
          <w:rFonts w:asciiTheme="minorHAnsi" w:hAnsiTheme="minorHAnsi" w:cstheme="minorHAnsi"/>
          <w:sz w:val="22"/>
          <w:szCs w:val="22"/>
        </w:rPr>
        <w:t xml:space="preserve">Depending on the application date of the Guidelines, the proposal that "existing UCITS </w:t>
      </w:r>
      <w:r w:rsidRPr="000A1767">
        <w:rPr>
          <w:rFonts w:asciiTheme="minorHAnsi" w:hAnsiTheme="minorHAnsi" w:cstheme="minorHAnsi"/>
          <w:sz w:val="22"/>
          <w:szCs w:val="22"/>
        </w:rPr>
        <w:lastRenderedPageBreak/>
        <w:t>operating a performance fee before the application date of the Guidelines should align their procedures with the Guidelines within 12 months of application of the Guidelines" may create practical compliance issues for funds who may need to comply in the middle of an existing performance cycle. It is likely to create less practical issues for funds to have the transitional provision compliance date by reference to the last performance fee crystallisation date e.g. within 12 (or 24) months of the next occurring performance period following the publication of the Guidelines. There is little risk in adopting this approach as investors will already be aware of the basis on which a performance fee will be payable over the full term of the fund's performance period.  It is difficult to see how this proposed approach could provide opportunity to managers to perpetuate or increase the possibility of short-term gains due to random market factors.</w:t>
      </w:r>
    </w:p>
    <w:p w14:paraId="2DBD8B40" w14:textId="77777777" w:rsidR="000A1767" w:rsidRPr="00AB0B42" w:rsidRDefault="000A1767" w:rsidP="00FE360A">
      <w:pPr>
        <w:widowControl w:val="0"/>
        <w:spacing w:line="276" w:lineRule="auto"/>
        <w:jc w:val="both"/>
        <w:rPr>
          <w:rFonts w:asciiTheme="minorHAnsi" w:hAnsiTheme="minorHAnsi" w:cstheme="minorHAnsi"/>
          <w:sz w:val="22"/>
          <w:szCs w:val="22"/>
        </w:rPr>
      </w:pPr>
    </w:p>
    <w:p w14:paraId="34D6A57E" w14:textId="4EC4FACC" w:rsidR="00AB0B42" w:rsidRDefault="00AB0B42" w:rsidP="00FE360A">
      <w:pPr>
        <w:widowControl w:val="0"/>
        <w:spacing w:line="276" w:lineRule="auto"/>
        <w:jc w:val="both"/>
        <w:rPr>
          <w:rFonts w:asciiTheme="minorHAnsi" w:hAnsiTheme="minorHAnsi" w:cstheme="minorHAnsi"/>
          <w:sz w:val="22"/>
          <w:szCs w:val="22"/>
        </w:rPr>
      </w:pPr>
      <w:r w:rsidRPr="00AB0B42">
        <w:rPr>
          <w:rFonts w:asciiTheme="minorHAnsi" w:hAnsiTheme="minorHAnsi" w:cstheme="minorHAnsi"/>
          <w:sz w:val="22"/>
          <w:szCs w:val="22"/>
        </w:rPr>
        <w:t>It would be helpful if ESMA confirmed that investor consent was not required for changes</w:t>
      </w:r>
      <w:r w:rsidR="00731D39">
        <w:rPr>
          <w:rFonts w:asciiTheme="minorHAnsi" w:hAnsiTheme="minorHAnsi" w:cstheme="minorHAnsi"/>
          <w:sz w:val="22"/>
          <w:szCs w:val="22"/>
        </w:rPr>
        <w:t xml:space="preserve"> implemented </w:t>
      </w:r>
      <w:r w:rsidR="00472111">
        <w:rPr>
          <w:rFonts w:asciiTheme="minorHAnsi" w:hAnsiTheme="minorHAnsi" w:cstheme="minorHAnsi"/>
          <w:sz w:val="22"/>
          <w:szCs w:val="22"/>
        </w:rPr>
        <w:t>by the management company pursuant to amended methodologies consistent with the guidelines.</w:t>
      </w:r>
      <w:r>
        <w:rPr>
          <w:rFonts w:asciiTheme="minorHAnsi" w:hAnsiTheme="minorHAnsi" w:cstheme="minorHAnsi"/>
          <w:sz w:val="22"/>
          <w:szCs w:val="22"/>
        </w:rPr>
        <w:t>]</w:t>
      </w:r>
    </w:p>
    <w:p w14:paraId="2BFAB44D" w14:textId="1C7E502E" w:rsidR="001F23C9" w:rsidRPr="00AB0B42" w:rsidRDefault="001F23C9" w:rsidP="00FE360A">
      <w:pPr>
        <w:widowControl w:val="0"/>
        <w:rPr>
          <w:rFonts w:asciiTheme="minorHAnsi" w:hAnsiTheme="minorHAnsi" w:cstheme="minorHAnsi"/>
          <w:sz w:val="22"/>
          <w:szCs w:val="22"/>
        </w:rPr>
      </w:pPr>
      <w:r w:rsidRPr="00AB0B42">
        <w:rPr>
          <w:rFonts w:asciiTheme="minorHAnsi" w:hAnsiTheme="minorHAnsi" w:cstheme="minorHAnsi"/>
          <w:sz w:val="22"/>
          <w:szCs w:val="22"/>
        </w:rPr>
        <w:t>&lt;ESMA_QUESTION_PFG_12&gt;</w:t>
      </w:r>
    </w:p>
    <w:p w14:paraId="4BE3B00F" w14:textId="77777777" w:rsidR="001F23C9" w:rsidRPr="00AB0B42" w:rsidRDefault="001F23C9" w:rsidP="00FE360A">
      <w:pPr>
        <w:widowControl w:val="0"/>
        <w:rPr>
          <w:rFonts w:asciiTheme="minorHAnsi" w:hAnsiTheme="minorHAnsi" w:cstheme="minorHAnsi"/>
          <w:sz w:val="22"/>
          <w:szCs w:val="22"/>
        </w:rPr>
      </w:pPr>
    </w:p>
    <w:p w14:paraId="78E6113A" w14:textId="77777777" w:rsidR="001F23C9" w:rsidRPr="002E0170" w:rsidRDefault="001F23C9" w:rsidP="00FE360A">
      <w:pPr>
        <w:pStyle w:val="Questionstyle"/>
        <w:widowControl w:val="0"/>
      </w:pPr>
      <w:r w:rsidRPr="002E0170">
        <w:t xml:space="preserve">: Do you consider that the principles set out in the Guidelines should be applied also to AIFs marketed to retail investors </w:t>
      </w:r>
      <w:proofErr w:type="gramStart"/>
      <w:r w:rsidRPr="002E0170">
        <w:t>in order to</w:t>
      </w:r>
      <w:proofErr w:type="gramEnd"/>
      <w:r w:rsidRPr="002E0170">
        <w:t xml:space="preserve"> ensure equivalent standards in retail investor protection? Please provide reasons.</w:t>
      </w:r>
    </w:p>
    <w:p w14:paraId="2D2FDFD9" w14:textId="668FE9F9" w:rsidR="001F23C9" w:rsidRDefault="001F23C9" w:rsidP="00FE360A">
      <w:pPr>
        <w:widowControl w:val="0"/>
        <w:rPr>
          <w:rFonts w:asciiTheme="minorHAnsi" w:hAnsiTheme="minorHAnsi" w:cstheme="minorHAnsi"/>
          <w:sz w:val="22"/>
          <w:szCs w:val="22"/>
        </w:rPr>
      </w:pPr>
      <w:r w:rsidRPr="00AB0B42">
        <w:rPr>
          <w:rFonts w:asciiTheme="minorHAnsi" w:hAnsiTheme="minorHAnsi" w:cstheme="minorHAnsi"/>
          <w:sz w:val="22"/>
          <w:szCs w:val="22"/>
        </w:rPr>
        <w:t>&lt;ESMA_QUESTION_PFG_13&gt;</w:t>
      </w:r>
    </w:p>
    <w:p w14:paraId="38201167" w14:textId="77777777" w:rsidR="00AB0B42" w:rsidRPr="00AB0B42" w:rsidRDefault="00AB0B42" w:rsidP="00FE360A">
      <w:pPr>
        <w:widowControl w:val="0"/>
        <w:spacing w:line="276" w:lineRule="auto"/>
        <w:jc w:val="both"/>
        <w:rPr>
          <w:rFonts w:asciiTheme="minorHAnsi" w:hAnsiTheme="minorHAnsi" w:cstheme="minorHAnsi"/>
          <w:sz w:val="22"/>
          <w:szCs w:val="22"/>
        </w:rPr>
      </w:pPr>
      <w:r>
        <w:rPr>
          <w:rFonts w:asciiTheme="minorHAnsi" w:hAnsiTheme="minorHAnsi" w:cstheme="minorHAnsi"/>
          <w:sz w:val="22"/>
          <w:szCs w:val="22"/>
        </w:rPr>
        <w:t>[</w:t>
      </w:r>
      <w:r w:rsidRPr="00AB0B42">
        <w:rPr>
          <w:rFonts w:asciiTheme="minorHAnsi" w:hAnsiTheme="minorHAnsi" w:cstheme="minorHAnsi"/>
          <w:sz w:val="22"/>
          <w:szCs w:val="22"/>
        </w:rPr>
        <w:t xml:space="preserve">AIFs encompass a much broader asset class and investment strategy palette than UCITS funds including hedge, private equity, venture capital and real estate funds.  </w:t>
      </w:r>
    </w:p>
    <w:p w14:paraId="4B932531" w14:textId="77777777" w:rsidR="00AB0B42" w:rsidRDefault="00AB0B42" w:rsidP="00FE360A">
      <w:pPr>
        <w:widowControl w:val="0"/>
        <w:rPr>
          <w:rFonts w:asciiTheme="minorHAnsi" w:hAnsiTheme="minorHAnsi" w:cstheme="minorHAnsi"/>
          <w:sz w:val="22"/>
          <w:szCs w:val="22"/>
        </w:rPr>
      </w:pPr>
    </w:p>
    <w:p w14:paraId="3A0FD631" w14:textId="5A29B732" w:rsidR="00AB0B42" w:rsidRPr="00AB0B42" w:rsidRDefault="00AB0B42" w:rsidP="00FE360A">
      <w:pPr>
        <w:widowControl w:val="0"/>
        <w:spacing w:line="276" w:lineRule="auto"/>
        <w:jc w:val="both"/>
        <w:rPr>
          <w:rFonts w:asciiTheme="minorHAnsi" w:hAnsiTheme="minorHAnsi" w:cstheme="minorHAnsi"/>
          <w:sz w:val="22"/>
          <w:szCs w:val="22"/>
        </w:rPr>
      </w:pPr>
      <w:r w:rsidRPr="00AB0B42">
        <w:rPr>
          <w:rFonts w:asciiTheme="minorHAnsi" w:hAnsiTheme="minorHAnsi" w:cstheme="minorHAnsi"/>
          <w:sz w:val="22"/>
          <w:szCs w:val="22"/>
        </w:rPr>
        <w:t xml:space="preserve">All UCITS funds must </w:t>
      </w:r>
      <w:proofErr w:type="gramStart"/>
      <w:r w:rsidRPr="00AB0B42">
        <w:rPr>
          <w:rFonts w:asciiTheme="minorHAnsi" w:hAnsiTheme="minorHAnsi" w:cstheme="minorHAnsi"/>
          <w:sz w:val="22"/>
          <w:szCs w:val="22"/>
        </w:rPr>
        <w:t>be considered to be</w:t>
      </w:r>
      <w:proofErr w:type="gramEnd"/>
      <w:r w:rsidRPr="00AB0B42">
        <w:rPr>
          <w:rFonts w:asciiTheme="minorHAnsi" w:hAnsiTheme="minorHAnsi" w:cstheme="minorHAnsi"/>
          <w:sz w:val="22"/>
          <w:szCs w:val="22"/>
        </w:rPr>
        <w:t xml:space="preserve"> suitable products for retail investors (which is not a defined term). Under AIFMD however, "retail clients" mean clients who are not MiFID "professional clients".  Examples of the types of investors in AIF</w:t>
      </w:r>
      <w:r w:rsidR="00165357">
        <w:rPr>
          <w:rFonts w:asciiTheme="minorHAnsi" w:hAnsiTheme="minorHAnsi" w:cstheme="minorHAnsi"/>
          <w:sz w:val="22"/>
          <w:szCs w:val="22"/>
        </w:rPr>
        <w:t>s, are</w:t>
      </w:r>
      <w:r w:rsidRPr="00AB0B42">
        <w:rPr>
          <w:rFonts w:asciiTheme="minorHAnsi" w:hAnsiTheme="minorHAnsi" w:cstheme="minorHAnsi"/>
          <w:sz w:val="22"/>
          <w:szCs w:val="22"/>
        </w:rPr>
        <w:t xml:space="preserve"> investors who would not automatically be MiFID </w:t>
      </w:r>
      <w:r w:rsidR="002C6485" w:rsidRPr="00AB0B42">
        <w:rPr>
          <w:rFonts w:asciiTheme="minorHAnsi" w:hAnsiTheme="minorHAnsi" w:cstheme="minorHAnsi"/>
          <w:sz w:val="22"/>
          <w:szCs w:val="22"/>
        </w:rPr>
        <w:t xml:space="preserve">"per se" </w:t>
      </w:r>
      <w:r w:rsidRPr="00AB0B42">
        <w:rPr>
          <w:rFonts w:asciiTheme="minorHAnsi" w:hAnsiTheme="minorHAnsi" w:cstheme="minorHAnsi"/>
          <w:sz w:val="22"/>
          <w:szCs w:val="22"/>
        </w:rPr>
        <w:t xml:space="preserve">"professional clients" </w:t>
      </w:r>
      <w:r w:rsidR="00165357">
        <w:rPr>
          <w:rFonts w:asciiTheme="minorHAnsi" w:hAnsiTheme="minorHAnsi" w:cstheme="minorHAnsi"/>
          <w:sz w:val="22"/>
          <w:szCs w:val="22"/>
        </w:rPr>
        <w:t xml:space="preserve">but </w:t>
      </w:r>
      <w:r w:rsidRPr="00AB0B42">
        <w:rPr>
          <w:rFonts w:asciiTheme="minorHAnsi" w:hAnsiTheme="minorHAnsi" w:cstheme="minorHAnsi"/>
          <w:sz w:val="22"/>
          <w:szCs w:val="22"/>
        </w:rPr>
        <w:t xml:space="preserve">would be sophisticated high net worth individuals and also corporate investors who are not regulated to operate in financial markets or whose main activity is not investing in financial instruments. The stringent conditions involved in becoming and remaining a MiFID opt-in professional client means that many sophisticated AIF investors fall within the definition of MiFID retail client. Some jurisdictions and regimes recognise a mid-type category of investors e.g. German semi—professional investors or non-MiFID professional investors to whom </w:t>
      </w:r>
      <w:proofErr w:type="spellStart"/>
      <w:r w:rsidRPr="00AB0B42">
        <w:rPr>
          <w:rFonts w:asciiTheme="minorHAnsi" w:hAnsiTheme="minorHAnsi" w:cstheme="minorHAnsi"/>
          <w:sz w:val="22"/>
          <w:szCs w:val="22"/>
        </w:rPr>
        <w:t>EuVECA</w:t>
      </w:r>
      <w:proofErr w:type="spellEnd"/>
      <w:r w:rsidRPr="00AB0B42">
        <w:rPr>
          <w:rFonts w:asciiTheme="minorHAnsi" w:hAnsiTheme="minorHAnsi" w:cstheme="minorHAnsi"/>
          <w:sz w:val="22"/>
          <w:szCs w:val="22"/>
        </w:rPr>
        <w:t xml:space="preserve">-funds may be sold under Article 6 of the </w:t>
      </w:r>
      <w:proofErr w:type="spellStart"/>
      <w:r w:rsidRPr="00AB0B42">
        <w:rPr>
          <w:rFonts w:asciiTheme="minorHAnsi" w:hAnsiTheme="minorHAnsi" w:cstheme="minorHAnsi"/>
          <w:sz w:val="22"/>
          <w:szCs w:val="22"/>
        </w:rPr>
        <w:t>EuVECA</w:t>
      </w:r>
      <w:proofErr w:type="spellEnd"/>
      <w:r w:rsidRPr="00AB0B42">
        <w:rPr>
          <w:rFonts w:asciiTheme="minorHAnsi" w:hAnsiTheme="minorHAnsi" w:cstheme="minorHAnsi"/>
          <w:sz w:val="22"/>
          <w:szCs w:val="22"/>
        </w:rPr>
        <w:t xml:space="preserve"> Regulation (Regulation (EU) 345/2013).  Whilst we do not object in principle to standardisation of performance fees across the same category of investor for the same fund type, for the above reasons we do not believe it would be appropriate to apply the final version of these guidelines to AIFs in the absence of a separate,</w:t>
      </w:r>
      <w:bookmarkStart w:id="3" w:name="_GoBack"/>
      <w:bookmarkEnd w:id="3"/>
      <w:r w:rsidRPr="00AB0B42">
        <w:rPr>
          <w:rFonts w:asciiTheme="minorHAnsi" w:hAnsiTheme="minorHAnsi" w:cstheme="minorHAnsi"/>
          <w:sz w:val="22"/>
          <w:szCs w:val="22"/>
        </w:rPr>
        <w:t xml:space="preserve"> discrete public consultation in respect of retail AIFs</w:t>
      </w:r>
      <w:r>
        <w:rPr>
          <w:rFonts w:asciiTheme="minorHAnsi" w:hAnsiTheme="minorHAnsi" w:cstheme="minorHAnsi"/>
          <w:sz w:val="22"/>
          <w:szCs w:val="22"/>
        </w:rPr>
        <w:t>.]</w:t>
      </w:r>
    </w:p>
    <w:p w14:paraId="67846F89" w14:textId="77777777" w:rsidR="001F23C9" w:rsidRPr="00AB0B42" w:rsidRDefault="001F23C9" w:rsidP="00FE360A">
      <w:pPr>
        <w:widowControl w:val="0"/>
        <w:rPr>
          <w:rFonts w:asciiTheme="minorHAnsi" w:hAnsiTheme="minorHAnsi" w:cstheme="minorHAnsi"/>
          <w:sz w:val="22"/>
          <w:szCs w:val="22"/>
        </w:rPr>
      </w:pPr>
      <w:r w:rsidRPr="00AB0B42">
        <w:rPr>
          <w:rFonts w:asciiTheme="minorHAnsi" w:hAnsiTheme="minorHAnsi" w:cstheme="minorHAnsi"/>
          <w:sz w:val="22"/>
          <w:szCs w:val="22"/>
        </w:rPr>
        <w:t>&lt;ESMA_QUESTION_PFG_13&gt;</w:t>
      </w:r>
    </w:p>
    <w:p w14:paraId="5EB7D739" w14:textId="77777777" w:rsidR="001F23C9" w:rsidRPr="00AB0B42" w:rsidRDefault="001F23C9" w:rsidP="00FE360A">
      <w:pPr>
        <w:widowControl w:val="0"/>
        <w:rPr>
          <w:rFonts w:asciiTheme="minorHAnsi" w:hAnsiTheme="minorHAnsi" w:cstheme="minorHAnsi"/>
          <w:sz w:val="22"/>
          <w:szCs w:val="22"/>
        </w:rPr>
      </w:pPr>
    </w:p>
    <w:p w14:paraId="4DC89A98" w14:textId="77777777" w:rsidR="001F23C9" w:rsidRPr="002E0170" w:rsidRDefault="001F23C9" w:rsidP="00FE360A">
      <w:pPr>
        <w:pStyle w:val="Questionstyle"/>
        <w:widowControl w:val="0"/>
      </w:pPr>
      <w:r w:rsidRPr="002E0170">
        <w:t>: Do you agree with the above-mentioned reasoning in relation to the possible costs and benefits as regards the consistency between the performance fees model and the fund’s investment objective? What other types of costs or benefits would you consider in this context? Please provide quantitative figures, where available.</w:t>
      </w:r>
    </w:p>
    <w:p w14:paraId="23DFA0D9" w14:textId="77777777" w:rsidR="001F23C9" w:rsidRPr="00AB0B42" w:rsidRDefault="001F23C9" w:rsidP="00FE360A">
      <w:pPr>
        <w:widowControl w:val="0"/>
        <w:rPr>
          <w:rFonts w:asciiTheme="minorHAnsi" w:hAnsiTheme="minorHAnsi" w:cstheme="minorHAnsi"/>
          <w:sz w:val="22"/>
          <w:szCs w:val="22"/>
        </w:rPr>
      </w:pPr>
      <w:r w:rsidRPr="00AB0B42">
        <w:rPr>
          <w:rFonts w:asciiTheme="minorHAnsi" w:hAnsiTheme="minorHAnsi" w:cstheme="minorHAnsi"/>
          <w:sz w:val="22"/>
          <w:szCs w:val="22"/>
        </w:rPr>
        <w:t>&lt;ESMA_QUESTION_PFG_14&gt;</w:t>
      </w:r>
    </w:p>
    <w:p w14:paraId="552A6053" w14:textId="77777777" w:rsidR="001F23C9" w:rsidRPr="00AB0B42" w:rsidRDefault="001F23C9" w:rsidP="00FE360A">
      <w:pPr>
        <w:widowControl w:val="0"/>
        <w:rPr>
          <w:rFonts w:asciiTheme="minorHAnsi" w:hAnsiTheme="minorHAnsi" w:cstheme="minorHAnsi"/>
          <w:sz w:val="22"/>
          <w:szCs w:val="22"/>
        </w:rPr>
      </w:pPr>
      <w:permStart w:id="1180125693" w:edGrp="everyone"/>
      <w:r w:rsidRPr="00AB0B42">
        <w:rPr>
          <w:rFonts w:asciiTheme="minorHAnsi" w:hAnsiTheme="minorHAnsi" w:cstheme="minorHAnsi"/>
          <w:sz w:val="22"/>
          <w:szCs w:val="22"/>
        </w:rPr>
        <w:lastRenderedPageBreak/>
        <w:t>TYPE YOUR TEXT HERE</w:t>
      </w:r>
    </w:p>
    <w:permEnd w:id="1180125693"/>
    <w:p w14:paraId="55BE3288" w14:textId="77777777" w:rsidR="001F23C9" w:rsidRPr="00AB0B42" w:rsidRDefault="001F23C9" w:rsidP="00FE360A">
      <w:pPr>
        <w:widowControl w:val="0"/>
        <w:rPr>
          <w:rFonts w:asciiTheme="minorHAnsi" w:hAnsiTheme="minorHAnsi" w:cstheme="minorHAnsi"/>
          <w:sz w:val="22"/>
          <w:szCs w:val="22"/>
        </w:rPr>
      </w:pPr>
      <w:r w:rsidRPr="00AB0B42">
        <w:rPr>
          <w:rFonts w:asciiTheme="minorHAnsi" w:hAnsiTheme="minorHAnsi" w:cstheme="minorHAnsi"/>
          <w:sz w:val="22"/>
          <w:szCs w:val="22"/>
        </w:rPr>
        <w:t>&lt;ESMA_QUESTION_PFG_14&gt;</w:t>
      </w:r>
    </w:p>
    <w:p w14:paraId="7CA57833" w14:textId="77777777" w:rsidR="001F23C9" w:rsidRPr="002E0170" w:rsidRDefault="001F23C9" w:rsidP="00FE360A">
      <w:pPr>
        <w:widowControl w:val="0"/>
        <w:rPr>
          <w:rFonts w:asciiTheme="majorHAnsi" w:hAnsiTheme="majorHAnsi" w:cstheme="majorHAnsi"/>
          <w:sz w:val="22"/>
          <w:szCs w:val="22"/>
        </w:rPr>
      </w:pPr>
    </w:p>
    <w:p w14:paraId="730132D6" w14:textId="77777777" w:rsidR="001F23C9" w:rsidRPr="002E0170" w:rsidRDefault="001F23C9" w:rsidP="00FE360A">
      <w:pPr>
        <w:pStyle w:val="Questionstyle"/>
        <w:widowControl w:val="0"/>
      </w:pPr>
      <w:r w:rsidRPr="002E0170">
        <w:t xml:space="preserve">: In relation to Guideline 2, do you think that models of performance fee without a hurdle rate, or with a hurdle rate not linked to the investment objective (but clearly stated in the offering documents), should be permissible? For example, do you think that equity funds with a performance fee linked to EONIA, or a performance fee which is accrued </w:t>
      </w:r>
      <w:proofErr w:type="gramStart"/>
      <w:r w:rsidRPr="002E0170">
        <w:t>as long as</w:t>
      </w:r>
      <w:proofErr w:type="gramEnd"/>
      <w:r w:rsidRPr="002E0170">
        <w:t xml:space="preserve"> there are positive returns, should be allowed? Please give examples and reasons for your answer.</w:t>
      </w:r>
    </w:p>
    <w:p w14:paraId="100834C1" w14:textId="69C3D606" w:rsidR="001F23C9" w:rsidRDefault="001F23C9" w:rsidP="00FE360A">
      <w:pPr>
        <w:widowControl w:val="0"/>
        <w:rPr>
          <w:rFonts w:asciiTheme="minorHAnsi" w:hAnsiTheme="minorHAnsi" w:cstheme="minorHAnsi"/>
          <w:sz w:val="22"/>
          <w:szCs w:val="22"/>
        </w:rPr>
      </w:pPr>
      <w:r w:rsidRPr="00AB0B42">
        <w:rPr>
          <w:rFonts w:asciiTheme="minorHAnsi" w:hAnsiTheme="minorHAnsi" w:cstheme="minorHAnsi"/>
          <w:sz w:val="22"/>
          <w:szCs w:val="22"/>
        </w:rPr>
        <w:t>&lt;ESMA_QUESTION_PFG_15&gt;</w:t>
      </w:r>
    </w:p>
    <w:p w14:paraId="18F69181" w14:textId="193E5CEF" w:rsidR="00AB0B42" w:rsidRPr="00AB0B42" w:rsidRDefault="00AB0B42" w:rsidP="00FE360A">
      <w:pPr>
        <w:widowControl w:val="0"/>
        <w:spacing w:line="276" w:lineRule="auto"/>
        <w:jc w:val="both"/>
        <w:rPr>
          <w:rFonts w:asciiTheme="minorHAnsi" w:hAnsiTheme="minorHAnsi" w:cstheme="minorHAnsi"/>
          <w:sz w:val="22"/>
          <w:szCs w:val="22"/>
        </w:rPr>
      </w:pPr>
      <w:r>
        <w:rPr>
          <w:rFonts w:asciiTheme="minorHAnsi" w:hAnsiTheme="minorHAnsi" w:cstheme="minorHAnsi"/>
          <w:sz w:val="22"/>
          <w:szCs w:val="22"/>
        </w:rPr>
        <w:t>[</w:t>
      </w:r>
      <w:r w:rsidR="00455E93" w:rsidRPr="00455E93">
        <w:rPr>
          <w:rFonts w:asciiTheme="minorHAnsi" w:hAnsiTheme="minorHAnsi" w:cstheme="minorHAnsi"/>
          <w:sz w:val="22"/>
          <w:szCs w:val="22"/>
        </w:rPr>
        <w:t>Consistent with the comments set out regarding question 3, funds with an absolute return objective may have</w:t>
      </w:r>
      <w:r w:rsidR="00165357">
        <w:rPr>
          <w:rFonts w:asciiTheme="minorHAnsi" w:hAnsiTheme="minorHAnsi" w:cstheme="minorHAnsi"/>
          <w:sz w:val="22"/>
          <w:szCs w:val="22"/>
        </w:rPr>
        <w:t>,</w:t>
      </w:r>
      <w:r w:rsidR="00455E93" w:rsidRPr="00455E93">
        <w:rPr>
          <w:rFonts w:asciiTheme="minorHAnsi" w:hAnsiTheme="minorHAnsi" w:cstheme="minorHAnsi"/>
          <w:sz w:val="22"/>
          <w:szCs w:val="22"/>
        </w:rPr>
        <w:t xml:space="preserve"> </w:t>
      </w:r>
      <w:r w:rsidR="004D2EB8">
        <w:rPr>
          <w:rFonts w:asciiTheme="minorHAnsi" w:hAnsiTheme="minorHAnsi" w:cstheme="minorHAnsi"/>
          <w:sz w:val="22"/>
          <w:szCs w:val="22"/>
        </w:rPr>
        <w:t>as part</w:t>
      </w:r>
      <w:r w:rsidR="00455E93" w:rsidRPr="00455E93">
        <w:rPr>
          <w:rFonts w:asciiTheme="minorHAnsi" w:hAnsiTheme="minorHAnsi" w:cstheme="minorHAnsi"/>
          <w:sz w:val="22"/>
          <w:szCs w:val="22"/>
        </w:rPr>
        <w:t xml:space="preserve"> of their investment strategy</w:t>
      </w:r>
      <w:r w:rsidR="00165357">
        <w:rPr>
          <w:rFonts w:asciiTheme="minorHAnsi" w:hAnsiTheme="minorHAnsi" w:cstheme="minorHAnsi"/>
          <w:sz w:val="22"/>
          <w:szCs w:val="22"/>
        </w:rPr>
        <w:t>,</w:t>
      </w:r>
      <w:r w:rsidR="00455E93" w:rsidRPr="00455E93">
        <w:rPr>
          <w:rFonts w:asciiTheme="minorHAnsi" w:hAnsiTheme="minorHAnsi" w:cstheme="minorHAnsi"/>
          <w:sz w:val="22"/>
          <w:szCs w:val="22"/>
        </w:rPr>
        <w:t xml:space="preserve"> investment</w:t>
      </w:r>
      <w:r w:rsidR="00165357">
        <w:rPr>
          <w:rFonts w:asciiTheme="minorHAnsi" w:hAnsiTheme="minorHAnsi" w:cstheme="minorHAnsi"/>
          <w:sz w:val="22"/>
          <w:szCs w:val="22"/>
        </w:rPr>
        <w:t>s</w:t>
      </w:r>
      <w:r w:rsidR="00455E93" w:rsidRPr="00455E93">
        <w:rPr>
          <w:rFonts w:asciiTheme="minorHAnsi" w:hAnsiTheme="minorHAnsi" w:cstheme="minorHAnsi"/>
          <w:sz w:val="22"/>
          <w:szCs w:val="22"/>
        </w:rPr>
        <w:t xml:space="preserve"> into equity investments</w:t>
      </w:r>
      <w:r w:rsidR="00165357">
        <w:rPr>
          <w:rFonts w:asciiTheme="minorHAnsi" w:hAnsiTheme="minorHAnsi" w:cstheme="minorHAnsi"/>
          <w:sz w:val="22"/>
          <w:szCs w:val="22"/>
        </w:rPr>
        <w:t>.</w:t>
      </w:r>
      <w:r w:rsidR="00455E93" w:rsidRPr="00455E93">
        <w:rPr>
          <w:rFonts w:asciiTheme="minorHAnsi" w:hAnsiTheme="minorHAnsi" w:cstheme="minorHAnsi"/>
          <w:sz w:val="22"/>
          <w:szCs w:val="22"/>
        </w:rPr>
        <w:t xml:space="preserve"> </w:t>
      </w:r>
      <w:r w:rsidR="00165357">
        <w:rPr>
          <w:rFonts w:asciiTheme="minorHAnsi" w:hAnsiTheme="minorHAnsi" w:cstheme="minorHAnsi"/>
          <w:sz w:val="22"/>
          <w:szCs w:val="22"/>
        </w:rPr>
        <w:t>F</w:t>
      </w:r>
      <w:r w:rsidR="00455E93" w:rsidRPr="00455E93">
        <w:rPr>
          <w:rFonts w:asciiTheme="minorHAnsi" w:hAnsiTheme="minorHAnsi" w:cstheme="minorHAnsi"/>
          <w:sz w:val="22"/>
          <w:szCs w:val="22"/>
        </w:rPr>
        <w:t>or such funds</w:t>
      </w:r>
      <w:r w:rsidR="00165357">
        <w:rPr>
          <w:rFonts w:asciiTheme="minorHAnsi" w:hAnsiTheme="minorHAnsi" w:cstheme="minorHAnsi"/>
          <w:sz w:val="22"/>
          <w:szCs w:val="22"/>
        </w:rPr>
        <w:t>,</w:t>
      </w:r>
      <w:r w:rsidR="00455E93" w:rsidRPr="00455E93">
        <w:rPr>
          <w:rFonts w:asciiTheme="minorHAnsi" w:hAnsiTheme="minorHAnsi" w:cstheme="minorHAnsi"/>
          <w:sz w:val="22"/>
          <w:szCs w:val="22"/>
        </w:rPr>
        <w:t xml:space="preserve"> comparing the funds’ performance vs a money market index or hurdle rate may be appropriate.</w:t>
      </w:r>
      <w:r w:rsidR="00E072AF">
        <w:rPr>
          <w:rFonts w:asciiTheme="minorHAnsi" w:hAnsiTheme="minorHAnsi" w:cstheme="minorHAnsi"/>
          <w:sz w:val="22"/>
          <w:szCs w:val="22"/>
        </w:rPr>
        <w:t xml:space="preserve"> </w:t>
      </w:r>
      <w:r w:rsidRPr="00AB0B42">
        <w:rPr>
          <w:rFonts w:asciiTheme="minorHAnsi" w:hAnsiTheme="minorHAnsi" w:cstheme="minorHAnsi"/>
          <w:sz w:val="22"/>
          <w:szCs w:val="22"/>
        </w:rPr>
        <w:t>We are of the view that it is critical that the performance fee method needs to be consistent with the investment objective so that genuine outperformance is rewarded as well as ensuring alignment of interest between investor and management company alike</w:t>
      </w:r>
      <w:r>
        <w:rPr>
          <w:rFonts w:asciiTheme="minorHAnsi" w:hAnsiTheme="minorHAnsi" w:cstheme="minorHAnsi"/>
          <w:sz w:val="22"/>
          <w:szCs w:val="22"/>
        </w:rPr>
        <w:t>.]</w:t>
      </w:r>
    </w:p>
    <w:p w14:paraId="19B67240" w14:textId="77777777" w:rsidR="001F23C9" w:rsidRPr="00AB0B42" w:rsidRDefault="001F23C9" w:rsidP="00FE360A">
      <w:pPr>
        <w:widowControl w:val="0"/>
        <w:rPr>
          <w:rFonts w:asciiTheme="minorHAnsi" w:hAnsiTheme="minorHAnsi" w:cstheme="minorHAnsi"/>
          <w:sz w:val="22"/>
          <w:szCs w:val="22"/>
        </w:rPr>
      </w:pPr>
      <w:r w:rsidRPr="00AB0B42">
        <w:rPr>
          <w:rFonts w:asciiTheme="minorHAnsi" w:hAnsiTheme="minorHAnsi" w:cstheme="minorHAnsi"/>
          <w:sz w:val="22"/>
          <w:szCs w:val="22"/>
        </w:rPr>
        <w:t>&lt;ESMA_QUESTION_PFG_15&gt;</w:t>
      </w:r>
    </w:p>
    <w:p w14:paraId="0749CDC1" w14:textId="77777777" w:rsidR="001F23C9" w:rsidRPr="002E0170" w:rsidRDefault="001F23C9" w:rsidP="00FE360A">
      <w:pPr>
        <w:widowControl w:val="0"/>
        <w:rPr>
          <w:rFonts w:asciiTheme="majorHAnsi" w:hAnsiTheme="majorHAnsi" w:cstheme="majorHAnsi"/>
          <w:sz w:val="22"/>
          <w:szCs w:val="22"/>
        </w:rPr>
      </w:pPr>
    </w:p>
    <w:p w14:paraId="35672A0C" w14:textId="77777777" w:rsidR="001F23C9" w:rsidRPr="002E0170" w:rsidRDefault="001F23C9" w:rsidP="00FE360A">
      <w:pPr>
        <w:pStyle w:val="Questionstyle"/>
        <w:widowControl w:val="0"/>
      </w:pPr>
      <w:r w:rsidRPr="002E0170">
        <w:t>: What additional costs and benefits would compliance with the proposed Guideline bring to you/the stakeholder(s) you represent? Please provide quantitative figures, where available.</w:t>
      </w:r>
    </w:p>
    <w:p w14:paraId="51C4EC65" w14:textId="56A1BA44" w:rsidR="001F23C9" w:rsidRDefault="001F23C9" w:rsidP="00FE360A">
      <w:pPr>
        <w:widowControl w:val="0"/>
        <w:rPr>
          <w:rFonts w:asciiTheme="minorHAnsi" w:hAnsiTheme="minorHAnsi" w:cstheme="minorHAnsi"/>
          <w:sz w:val="22"/>
          <w:szCs w:val="22"/>
        </w:rPr>
      </w:pPr>
      <w:r w:rsidRPr="00AB0B42">
        <w:rPr>
          <w:rFonts w:asciiTheme="minorHAnsi" w:hAnsiTheme="minorHAnsi" w:cstheme="minorHAnsi"/>
          <w:sz w:val="22"/>
          <w:szCs w:val="22"/>
        </w:rPr>
        <w:t>&lt;ESMA_QUESTION_PFG_16&gt;</w:t>
      </w:r>
    </w:p>
    <w:p w14:paraId="6E63EA3A" w14:textId="77777777" w:rsidR="00AB0B42" w:rsidRPr="00AB0B42" w:rsidRDefault="00AB0B42" w:rsidP="00FE360A">
      <w:pPr>
        <w:widowControl w:val="0"/>
        <w:spacing w:line="276" w:lineRule="auto"/>
        <w:jc w:val="both"/>
        <w:rPr>
          <w:rFonts w:asciiTheme="minorHAnsi" w:hAnsiTheme="minorHAnsi" w:cstheme="minorHAnsi"/>
          <w:sz w:val="22"/>
          <w:szCs w:val="22"/>
        </w:rPr>
      </w:pPr>
      <w:r>
        <w:rPr>
          <w:rFonts w:asciiTheme="minorHAnsi" w:hAnsiTheme="minorHAnsi" w:cstheme="minorHAnsi"/>
          <w:sz w:val="22"/>
          <w:szCs w:val="22"/>
        </w:rPr>
        <w:t>[</w:t>
      </w:r>
      <w:r w:rsidRPr="00AB0B42">
        <w:rPr>
          <w:rFonts w:asciiTheme="minorHAnsi" w:hAnsiTheme="minorHAnsi" w:cstheme="minorHAnsi"/>
          <w:sz w:val="22"/>
          <w:szCs w:val="22"/>
        </w:rPr>
        <w:t>Minimum annual crystallisation/payment periods are already a feature of the Irish model.</w:t>
      </w:r>
    </w:p>
    <w:p w14:paraId="0A1D9322" w14:textId="77777777" w:rsidR="00AB0B42" w:rsidRPr="00AB0B42" w:rsidRDefault="00AB0B42" w:rsidP="00FE360A">
      <w:pPr>
        <w:widowControl w:val="0"/>
        <w:spacing w:line="276" w:lineRule="auto"/>
        <w:jc w:val="both"/>
        <w:rPr>
          <w:rFonts w:asciiTheme="minorHAnsi" w:hAnsiTheme="minorHAnsi" w:cstheme="minorHAnsi"/>
          <w:sz w:val="22"/>
          <w:szCs w:val="22"/>
        </w:rPr>
      </w:pPr>
      <w:r w:rsidRPr="00AB0B42">
        <w:rPr>
          <w:rFonts w:asciiTheme="minorHAnsi" w:hAnsiTheme="minorHAnsi" w:cstheme="minorHAnsi"/>
          <w:sz w:val="22"/>
          <w:szCs w:val="22"/>
        </w:rPr>
        <w:t xml:space="preserve">  </w:t>
      </w:r>
    </w:p>
    <w:p w14:paraId="1573A5C3" w14:textId="3AB98439" w:rsidR="00AB0B42" w:rsidRPr="00AB0B42" w:rsidRDefault="00AB0B42" w:rsidP="00FE360A">
      <w:pPr>
        <w:widowControl w:val="0"/>
        <w:spacing w:line="276" w:lineRule="auto"/>
        <w:jc w:val="both"/>
        <w:rPr>
          <w:rFonts w:asciiTheme="minorHAnsi" w:hAnsiTheme="minorHAnsi" w:cstheme="minorHAnsi"/>
          <w:sz w:val="22"/>
          <w:szCs w:val="22"/>
        </w:rPr>
      </w:pPr>
      <w:r w:rsidRPr="00AB0B42">
        <w:rPr>
          <w:rFonts w:asciiTheme="minorHAnsi" w:hAnsiTheme="minorHAnsi" w:cstheme="minorHAnsi"/>
          <w:sz w:val="22"/>
          <w:szCs w:val="22"/>
        </w:rPr>
        <w:t xml:space="preserve">However, the provision envisaged in Guideline 1, paragraph 12 which </w:t>
      </w:r>
      <w:proofErr w:type="gramStart"/>
      <w:r w:rsidRPr="00AB0B42">
        <w:rPr>
          <w:rFonts w:asciiTheme="minorHAnsi" w:hAnsiTheme="minorHAnsi" w:cstheme="minorHAnsi"/>
          <w:sz w:val="22"/>
          <w:szCs w:val="22"/>
        </w:rPr>
        <w:t>in essence requires</w:t>
      </w:r>
      <w:proofErr w:type="gramEnd"/>
      <w:r w:rsidRPr="00AB0B42">
        <w:rPr>
          <w:rFonts w:asciiTheme="minorHAnsi" w:hAnsiTheme="minorHAnsi" w:cstheme="minorHAnsi"/>
          <w:sz w:val="22"/>
          <w:szCs w:val="22"/>
        </w:rPr>
        <w:t xml:space="preserve"> a reference asset methodology would entail significant implementation cost as well as being challenging to explain to retail investors. This is noted further in the "Introduction" above</w:t>
      </w:r>
      <w:r>
        <w:rPr>
          <w:rFonts w:asciiTheme="minorHAnsi" w:hAnsiTheme="minorHAnsi" w:cstheme="minorHAnsi"/>
          <w:sz w:val="22"/>
          <w:szCs w:val="22"/>
        </w:rPr>
        <w:t>.]</w:t>
      </w:r>
    </w:p>
    <w:p w14:paraId="4550ADCB" w14:textId="77777777" w:rsidR="001F23C9" w:rsidRPr="00AB0B42" w:rsidRDefault="001F23C9" w:rsidP="00FE360A">
      <w:pPr>
        <w:widowControl w:val="0"/>
        <w:rPr>
          <w:rFonts w:asciiTheme="minorHAnsi" w:hAnsiTheme="minorHAnsi" w:cstheme="minorHAnsi"/>
          <w:sz w:val="22"/>
          <w:szCs w:val="22"/>
        </w:rPr>
      </w:pPr>
      <w:r w:rsidRPr="00AB0B42">
        <w:rPr>
          <w:rFonts w:asciiTheme="minorHAnsi" w:hAnsiTheme="minorHAnsi" w:cstheme="minorHAnsi"/>
          <w:sz w:val="22"/>
          <w:szCs w:val="22"/>
        </w:rPr>
        <w:t>&lt;ESMA_QUESTION_PFG_16&gt;</w:t>
      </w:r>
    </w:p>
    <w:p w14:paraId="432827F4" w14:textId="77777777" w:rsidR="001F23C9" w:rsidRPr="00AB0B42" w:rsidRDefault="001F23C9" w:rsidP="00FE360A">
      <w:pPr>
        <w:widowControl w:val="0"/>
        <w:rPr>
          <w:rFonts w:asciiTheme="minorHAnsi" w:hAnsiTheme="minorHAnsi" w:cstheme="minorHAnsi"/>
          <w:sz w:val="22"/>
          <w:szCs w:val="22"/>
        </w:rPr>
      </w:pPr>
    </w:p>
    <w:p w14:paraId="769181FF" w14:textId="77777777" w:rsidR="001F23C9" w:rsidRPr="002E0170" w:rsidRDefault="001F23C9" w:rsidP="00FE360A">
      <w:pPr>
        <w:pStyle w:val="Questionstyle"/>
        <w:widowControl w:val="0"/>
      </w:pPr>
      <w:r w:rsidRPr="002E0170">
        <w:t xml:space="preserve">: What is the anticipated impact from the introduction of this proposed Guideline?  Are there models or methodologies currently employed where this Guideline would not be appropriate? If so, please provide examples of these and details of how the best interests of investors are safeguarded. </w:t>
      </w:r>
    </w:p>
    <w:p w14:paraId="473502FB" w14:textId="5098EB4B" w:rsidR="001F23C9" w:rsidRDefault="001F23C9" w:rsidP="00FE360A">
      <w:pPr>
        <w:widowControl w:val="0"/>
        <w:rPr>
          <w:rFonts w:asciiTheme="majorHAnsi" w:hAnsiTheme="majorHAnsi" w:cstheme="majorHAnsi"/>
          <w:sz w:val="22"/>
          <w:szCs w:val="22"/>
        </w:rPr>
      </w:pPr>
      <w:r w:rsidRPr="002E0170">
        <w:rPr>
          <w:rFonts w:asciiTheme="majorHAnsi" w:hAnsiTheme="majorHAnsi" w:cstheme="majorHAnsi"/>
          <w:sz w:val="22"/>
          <w:szCs w:val="22"/>
        </w:rPr>
        <w:t>&lt;ESMA_QUESTION_PFG_17&gt;</w:t>
      </w:r>
    </w:p>
    <w:p w14:paraId="651F10D6" w14:textId="0427A0DA" w:rsidR="00AB0B42" w:rsidRDefault="00AB0B42" w:rsidP="002C6485">
      <w:pPr>
        <w:rPr>
          <w:rFonts w:asciiTheme="minorHAnsi" w:hAnsiTheme="minorHAnsi" w:cstheme="minorHAnsi"/>
          <w:sz w:val="22"/>
          <w:szCs w:val="22"/>
        </w:rPr>
      </w:pPr>
      <w:r>
        <w:rPr>
          <w:rFonts w:asciiTheme="minorHAnsi" w:hAnsiTheme="minorHAnsi" w:cstheme="minorHAnsi"/>
          <w:sz w:val="22"/>
          <w:szCs w:val="22"/>
        </w:rPr>
        <w:t>[</w:t>
      </w:r>
      <w:r w:rsidRPr="00FE360A">
        <w:rPr>
          <w:rFonts w:asciiTheme="minorHAnsi" w:hAnsiTheme="minorHAnsi" w:cstheme="minorHAnsi"/>
          <w:sz w:val="22"/>
          <w:szCs w:val="22"/>
        </w:rPr>
        <w:t>The existing regime in Ireland on negative loss recovery is consistent with this objective</w:t>
      </w:r>
      <w:r w:rsidR="00841342">
        <w:rPr>
          <w:rFonts w:asciiTheme="minorHAnsi" w:hAnsiTheme="minorHAnsi" w:cstheme="minorHAnsi"/>
          <w:sz w:val="22"/>
          <w:szCs w:val="22"/>
        </w:rPr>
        <w:t xml:space="preserve"> but we would note our response per question 6, in terms of clarifying absolute versus relative gains</w:t>
      </w:r>
      <w:r w:rsidRPr="00FE360A">
        <w:rPr>
          <w:rFonts w:asciiTheme="minorHAnsi" w:hAnsiTheme="minorHAnsi" w:cstheme="minorHAnsi"/>
          <w:sz w:val="22"/>
          <w:szCs w:val="22"/>
        </w:rPr>
        <w:t>]</w:t>
      </w:r>
    </w:p>
    <w:p w14:paraId="02B28A07" w14:textId="5C3B2C4B" w:rsidR="001F23C9" w:rsidRPr="00AB0B42" w:rsidRDefault="001F23C9" w:rsidP="00FE360A">
      <w:pPr>
        <w:widowControl w:val="0"/>
        <w:rPr>
          <w:rFonts w:asciiTheme="minorHAnsi" w:hAnsiTheme="minorHAnsi" w:cstheme="minorHAnsi"/>
          <w:sz w:val="22"/>
          <w:szCs w:val="22"/>
        </w:rPr>
      </w:pPr>
      <w:r w:rsidRPr="00AB0B42">
        <w:rPr>
          <w:rFonts w:asciiTheme="minorHAnsi" w:hAnsiTheme="minorHAnsi" w:cstheme="minorHAnsi"/>
          <w:sz w:val="22"/>
          <w:szCs w:val="22"/>
        </w:rPr>
        <w:t>&lt;ESMA_QUESTION_PFG_17&gt;</w:t>
      </w:r>
    </w:p>
    <w:p w14:paraId="1665ECF6" w14:textId="77777777" w:rsidR="001F23C9" w:rsidRPr="002E0170" w:rsidRDefault="001F23C9" w:rsidP="00FE360A">
      <w:pPr>
        <w:widowControl w:val="0"/>
        <w:rPr>
          <w:rFonts w:asciiTheme="majorHAnsi" w:hAnsiTheme="majorHAnsi" w:cstheme="majorHAnsi"/>
          <w:sz w:val="22"/>
          <w:szCs w:val="22"/>
        </w:rPr>
      </w:pPr>
    </w:p>
    <w:p w14:paraId="5F40589C" w14:textId="77777777" w:rsidR="001F23C9" w:rsidRPr="002E0170" w:rsidRDefault="001F23C9" w:rsidP="00FE360A">
      <w:pPr>
        <w:pStyle w:val="Questionstyle"/>
        <w:widowControl w:val="0"/>
      </w:pPr>
      <w:r w:rsidRPr="002E0170">
        <w:t>: What additional costs and benefits would compliance with the proposed Guideline bring to the stakeholder(s) you represent? Please provide quantitative figures, where available.</w:t>
      </w:r>
    </w:p>
    <w:p w14:paraId="42942ED7" w14:textId="77777777" w:rsidR="001F23C9" w:rsidRPr="00AB0B42" w:rsidRDefault="001F23C9" w:rsidP="00FE360A">
      <w:pPr>
        <w:widowControl w:val="0"/>
        <w:rPr>
          <w:rFonts w:asciiTheme="minorHAnsi" w:hAnsiTheme="minorHAnsi" w:cstheme="minorHAnsi"/>
          <w:sz w:val="22"/>
          <w:szCs w:val="22"/>
        </w:rPr>
      </w:pPr>
      <w:r w:rsidRPr="00AB0B42">
        <w:rPr>
          <w:rFonts w:asciiTheme="minorHAnsi" w:hAnsiTheme="minorHAnsi" w:cstheme="minorHAnsi"/>
          <w:sz w:val="22"/>
          <w:szCs w:val="22"/>
        </w:rPr>
        <w:t>&lt;ESMA_QUESTION_PFG_18&gt;</w:t>
      </w:r>
    </w:p>
    <w:p w14:paraId="0F5313AF" w14:textId="77777777" w:rsidR="008E1417" w:rsidRPr="00AB0B42" w:rsidRDefault="008E1417" w:rsidP="00FE360A">
      <w:pPr>
        <w:widowControl w:val="0"/>
        <w:jc w:val="both"/>
        <w:rPr>
          <w:rFonts w:asciiTheme="minorHAnsi" w:hAnsiTheme="minorHAnsi" w:cstheme="minorHAnsi"/>
          <w:sz w:val="22"/>
          <w:szCs w:val="22"/>
        </w:rPr>
      </w:pPr>
      <w:permStart w:id="1839931376" w:edGrp="everyone"/>
      <w:r w:rsidRPr="00AB0B42">
        <w:rPr>
          <w:rFonts w:asciiTheme="minorHAnsi" w:hAnsiTheme="minorHAnsi" w:cstheme="minorHAnsi"/>
          <w:sz w:val="22"/>
          <w:szCs w:val="22"/>
        </w:rPr>
        <w:t>TYPE YOUR TEXT HERE</w:t>
      </w:r>
    </w:p>
    <w:permEnd w:id="1839931376"/>
    <w:p w14:paraId="28BDA817" w14:textId="4C7E4113" w:rsidR="001F23C9" w:rsidRPr="00AB0B42" w:rsidRDefault="001F23C9" w:rsidP="00FE360A">
      <w:pPr>
        <w:widowControl w:val="0"/>
        <w:rPr>
          <w:rFonts w:asciiTheme="minorHAnsi" w:hAnsiTheme="minorHAnsi" w:cstheme="minorHAnsi"/>
          <w:sz w:val="22"/>
          <w:szCs w:val="22"/>
        </w:rPr>
      </w:pPr>
      <w:r w:rsidRPr="00AB0B42">
        <w:rPr>
          <w:rFonts w:asciiTheme="minorHAnsi" w:hAnsiTheme="minorHAnsi" w:cstheme="minorHAnsi"/>
          <w:sz w:val="22"/>
          <w:szCs w:val="22"/>
        </w:rPr>
        <w:t>&lt;ESMA_QUESTION_PFG_18&gt;</w:t>
      </w:r>
    </w:p>
    <w:p w14:paraId="0EE6363A" w14:textId="77777777" w:rsidR="001F23C9" w:rsidRPr="00AB0B42" w:rsidRDefault="001F23C9" w:rsidP="00FE360A">
      <w:pPr>
        <w:widowControl w:val="0"/>
        <w:rPr>
          <w:rFonts w:asciiTheme="minorHAnsi" w:hAnsiTheme="minorHAnsi" w:cstheme="minorHAnsi"/>
          <w:sz w:val="22"/>
          <w:szCs w:val="22"/>
        </w:rPr>
      </w:pPr>
    </w:p>
    <w:p w14:paraId="30BB0791" w14:textId="77777777" w:rsidR="001F23C9" w:rsidRPr="002E0170" w:rsidRDefault="001F23C9" w:rsidP="00FE360A">
      <w:pPr>
        <w:pStyle w:val="Questionstyle"/>
        <w:widowControl w:val="0"/>
      </w:pPr>
      <w:r w:rsidRPr="002E0170">
        <w:lastRenderedPageBreak/>
        <w:t>: Which other types of costs or benefits would you consider in the disclosure of the performance fees model? Please provide quantitative figures, where available.</w:t>
      </w:r>
    </w:p>
    <w:p w14:paraId="121E1DDF" w14:textId="1391FBDE" w:rsidR="001F23C9" w:rsidRDefault="001F23C9" w:rsidP="00FE360A">
      <w:pPr>
        <w:widowControl w:val="0"/>
        <w:rPr>
          <w:rFonts w:asciiTheme="minorHAnsi" w:hAnsiTheme="minorHAnsi" w:cstheme="minorHAnsi"/>
          <w:sz w:val="22"/>
          <w:szCs w:val="22"/>
        </w:rPr>
      </w:pPr>
      <w:r w:rsidRPr="00AB0B42">
        <w:rPr>
          <w:rFonts w:asciiTheme="minorHAnsi" w:hAnsiTheme="minorHAnsi" w:cstheme="minorHAnsi"/>
          <w:sz w:val="22"/>
          <w:szCs w:val="22"/>
        </w:rPr>
        <w:t>&lt;ESMA_QUESTION_PFG_19&gt;</w:t>
      </w:r>
    </w:p>
    <w:p w14:paraId="4729B4C1" w14:textId="77777777" w:rsidR="00DD016E" w:rsidRPr="00AB0B42" w:rsidRDefault="00DD016E" w:rsidP="00DD016E">
      <w:pPr>
        <w:widowControl w:val="0"/>
        <w:jc w:val="both"/>
        <w:rPr>
          <w:rFonts w:asciiTheme="minorHAnsi" w:hAnsiTheme="minorHAnsi" w:cstheme="minorHAnsi"/>
          <w:sz w:val="22"/>
          <w:szCs w:val="22"/>
        </w:rPr>
      </w:pPr>
      <w:permStart w:id="1686780280" w:edGrp="everyone"/>
      <w:r w:rsidRPr="00AB0B42">
        <w:rPr>
          <w:rFonts w:asciiTheme="minorHAnsi" w:hAnsiTheme="minorHAnsi" w:cstheme="minorHAnsi"/>
          <w:sz w:val="22"/>
          <w:szCs w:val="22"/>
        </w:rPr>
        <w:t>TYPE YOUR TEXT HERE</w:t>
      </w:r>
    </w:p>
    <w:permEnd w:id="1686780280"/>
    <w:p w14:paraId="6A2EA5EB" w14:textId="77777777" w:rsidR="001F23C9" w:rsidRPr="00AB0B42" w:rsidRDefault="001F23C9" w:rsidP="00FE360A">
      <w:pPr>
        <w:widowControl w:val="0"/>
        <w:rPr>
          <w:rFonts w:asciiTheme="minorHAnsi" w:hAnsiTheme="minorHAnsi" w:cstheme="minorHAnsi"/>
          <w:sz w:val="22"/>
          <w:szCs w:val="22"/>
        </w:rPr>
      </w:pPr>
      <w:r w:rsidRPr="00AB0B42">
        <w:rPr>
          <w:rFonts w:asciiTheme="minorHAnsi" w:hAnsiTheme="minorHAnsi" w:cstheme="minorHAnsi"/>
          <w:sz w:val="22"/>
          <w:szCs w:val="22"/>
        </w:rPr>
        <w:t>&lt;ESMA_QUESTION_PFG_19&gt;</w:t>
      </w:r>
    </w:p>
    <w:p w14:paraId="1AA014B8" w14:textId="77777777" w:rsidR="002156A3" w:rsidRPr="00AB0B42" w:rsidRDefault="002156A3" w:rsidP="00FE360A">
      <w:pPr>
        <w:widowControl w:val="0"/>
        <w:rPr>
          <w:rFonts w:asciiTheme="minorHAnsi" w:hAnsiTheme="minorHAnsi" w:cstheme="minorHAnsi"/>
          <w:sz w:val="22"/>
          <w:szCs w:val="22"/>
        </w:rPr>
      </w:pPr>
    </w:p>
    <w:bookmarkEnd w:id="0"/>
    <w:p w14:paraId="0A47A359" w14:textId="6968B9DF" w:rsidR="002156A3" w:rsidRPr="002E0170" w:rsidRDefault="002156A3" w:rsidP="00FE360A">
      <w:pPr>
        <w:widowControl w:val="0"/>
        <w:spacing w:line="276" w:lineRule="auto"/>
        <w:rPr>
          <w:rFonts w:asciiTheme="majorHAnsi" w:hAnsiTheme="majorHAnsi" w:cstheme="majorHAnsi"/>
          <w:b/>
          <w:sz w:val="22"/>
          <w:szCs w:val="22"/>
        </w:rPr>
      </w:pPr>
    </w:p>
    <w:p w14:paraId="71AF7DAB" w14:textId="74750B45" w:rsidR="00314792" w:rsidRPr="002E0170" w:rsidRDefault="00314792" w:rsidP="00FE360A">
      <w:pPr>
        <w:widowControl w:val="0"/>
        <w:spacing w:line="276" w:lineRule="auto"/>
        <w:rPr>
          <w:rFonts w:asciiTheme="majorHAnsi" w:hAnsiTheme="majorHAnsi" w:cstheme="majorHAnsi"/>
          <w:b/>
          <w:sz w:val="22"/>
          <w:szCs w:val="22"/>
        </w:rPr>
      </w:pPr>
    </w:p>
    <w:p w14:paraId="493E4389" w14:textId="74B1C724" w:rsidR="00314792" w:rsidRPr="002E0170" w:rsidRDefault="00314792" w:rsidP="00FE360A">
      <w:pPr>
        <w:widowControl w:val="0"/>
        <w:spacing w:line="276" w:lineRule="auto"/>
        <w:rPr>
          <w:rFonts w:asciiTheme="majorHAnsi" w:hAnsiTheme="majorHAnsi" w:cstheme="majorHAnsi"/>
          <w:b/>
          <w:sz w:val="22"/>
          <w:szCs w:val="22"/>
        </w:rPr>
      </w:pPr>
    </w:p>
    <w:p w14:paraId="6331B141" w14:textId="77777777" w:rsidR="00314792" w:rsidRPr="002E0170" w:rsidRDefault="00314792" w:rsidP="00FE360A">
      <w:pPr>
        <w:widowControl w:val="0"/>
        <w:spacing w:line="276" w:lineRule="auto"/>
        <w:rPr>
          <w:rFonts w:asciiTheme="majorHAnsi" w:hAnsiTheme="majorHAnsi" w:cstheme="majorHAnsi"/>
          <w:b/>
          <w:sz w:val="22"/>
          <w:szCs w:val="22"/>
        </w:rPr>
      </w:pPr>
    </w:p>
    <w:sectPr w:rsidR="00314792" w:rsidRPr="002E0170" w:rsidSect="00C85C8B">
      <w:headerReference w:type="default" r:id="rId22"/>
      <w:footerReference w:type="default" r:id="rId2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A1E14" w14:textId="77777777" w:rsidR="00127F0E" w:rsidRDefault="00127F0E" w:rsidP="007E7997">
      <w:r>
        <w:separator/>
      </w:r>
    </w:p>
  </w:endnote>
  <w:endnote w:type="continuationSeparator" w:id="0">
    <w:p w14:paraId="034029EE" w14:textId="77777777" w:rsidR="00127F0E" w:rsidRDefault="00127F0E" w:rsidP="007E7997">
      <w:r>
        <w:continuationSeparator/>
      </w:r>
    </w:p>
  </w:endnote>
  <w:endnote w:type="continuationNotice" w:id="1">
    <w:p w14:paraId="2BB468AF" w14:textId="77777777" w:rsidR="00127F0E" w:rsidRDefault="00127F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54921" w14:textId="77777777" w:rsidR="008F1993" w:rsidRDefault="008F19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752671"/>
      <w:docPartObj>
        <w:docPartGallery w:val="Page Numbers (Bottom of Page)"/>
        <w:docPartUnique/>
      </w:docPartObj>
    </w:sdtPr>
    <w:sdtEndPr>
      <w:rPr>
        <w:noProof/>
      </w:rPr>
    </w:sdtEndPr>
    <w:sdtContent>
      <w:p w14:paraId="564350A5" w14:textId="77777777"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6F79ADBE" w14:textId="77777777" w:rsidR="00E36813" w:rsidRDefault="00E368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ECAF3" w14:textId="77777777"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5B467C">
      <w:rPr>
        <w:rFonts w:asciiTheme="majorHAnsi" w:hAnsiTheme="majorHAnsi"/>
        <w:color w:val="FFFFFF" w:themeColor="background1"/>
      </w:rPr>
      <w:t>1</w:t>
    </w:r>
    <w:r w:rsidR="008F1993">
      <w:rPr>
        <w:rFonts w:asciiTheme="majorHAnsi" w:hAnsiTheme="majorHAnsi"/>
        <w:color w:val="FFFFFF" w:themeColor="background1"/>
      </w:rPr>
      <w:t>6</w:t>
    </w:r>
    <w:r w:rsidR="00AB6157">
      <w:rPr>
        <w:rFonts w:asciiTheme="majorHAnsi" w:hAnsiTheme="majorHAnsi"/>
        <w:color w:val="FFFFFF" w:themeColor="background1"/>
      </w:rPr>
      <w:t xml:space="preserve"> </w:t>
    </w:r>
    <w:r w:rsidR="005B467C">
      <w:rPr>
        <w:rFonts w:asciiTheme="majorHAnsi" w:hAnsiTheme="majorHAnsi"/>
        <w:color w:val="FFFFFF" w:themeColor="background1"/>
      </w:rPr>
      <w:t>July</w:t>
    </w:r>
    <w:r w:rsidR="00AB6157">
      <w:rPr>
        <w:rFonts w:asciiTheme="majorHAnsi" w:hAnsiTheme="majorHAnsi"/>
        <w:color w:val="FFFFFF" w:themeColor="background1"/>
      </w:rPr>
      <w:t xml:space="preserve"> 2019</w:t>
    </w:r>
    <w:r w:rsidR="00FF6930">
      <w:rPr>
        <w:rFonts w:asciiTheme="majorHAnsi" w:hAnsiTheme="majorHAnsi"/>
        <w:color w:val="FFFFFF" w:themeColor="background1"/>
      </w:rPr>
      <w:t xml:space="preserve"> </w:t>
    </w:r>
    <w:r w:rsidR="00FF6930" w:rsidRPr="005B467C">
      <w:rPr>
        <w:rFonts w:asciiTheme="majorHAnsi" w:hAnsiTheme="majorHAnsi"/>
        <w:color w:val="FFFFFF" w:themeColor="background1"/>
      </w:rPr>
      <w:t>ESMA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752247"/>
      <w:docPartObj>
        <w:docPartGallery w:val="Page Numbers (Bottom of Page)"/>
        <w:docPartUnique/>
      </w:docPartObj>
    </w:sdtPr>
    <w:sdtEndPr>
      <w:rPr>
        <w:noProof/>
      </w:rPr>
    </w:sdtEndPr>
    <w:sdtContent>
      <w:p w14:paraId="7D0322ED" w14:textId="77777777" w:rsidR="00E36813" w:rsidRDefault="00E36813">
        <w:pPr>
          <w:pStyle w:val="Footer"/>
          <w:jc w:val="center"/>
        </w:pPr>
        <w:r>
          <w:fldChar w:fldCharType="begin"/>
        </w:r>
        <w:r>
          <w:instrText xml:space="preserve"> PAGE   \* MERGEFORMAT </w:instrText>
        </w:r>
        <w:r>
          <w:fldChar w:fldCharType="separate"/>
        </w:r>
        <w:r w:rsidR="00CC1ED6">
          <w:rPr>
            <w:noProof/>
          </w:rPr>
          <w:t>8</w:t>
        </w:r>
        <w:r>
          <w:rPr>
            <w:noProof/>
          </w:rPr>
          <w:fldChar w:fldCharType="end"/>
        </w:r>
      </w:p>
    </w:sdtContent>
  </w:sdt>
  <w:p w14:paraId="7C5FD7DA" w14:textId="77777777" w:rsidR="00E36813" w:rsidRDefault="00E36813"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70D68" w14:textId="77777777" w:rsidR="00127F0E" w:rsidRDefault="00127F0E" w:rsidP="007E7997">
      <w:r>
        <w:separator/>
      </w:r>
    </w:p>
  </w:footnote>
  <w:footnote w:type="continuationSeparator" w:id="0">
    <w:p w14:paraId="0A2152FC" w14:textId="77777777" w:rsidR="00127F0E" w:rsidRDefault="00127F0E" w:rsidP="007E7997">
      <w:r>
        <w:continuationSeparator/>
      </w:r>
    </w:p>
  </w:footnote>
  <w:footnote w:type="continuationNotice" w:id="1">
    <w:p w14:paraId="359AF689" w14:textId="77777777" w:rsidR="00127F0E" w:rsidRDefault="00127F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A4F5D" w14:textId="77777777" w:rsidR="008F1993" w:rsidRDefault="008F19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57346" w14:textId="77777777" w:rsidR="00E36813" w:rsidRDefault="00E36813">
    <w:pPr>
      <w:pStyle w:val="Header"/>
    </w:pPr>
  </w:p>
  <w:p w14:paraId="31D400C0" w14:textId="77777777" w:rsidR="00E36813" w:rsidRDefault="00E368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DD071" w14:textId="77777777" w:rsidR="00E36813" w:rsidRDefault="00E36813">
    <w:pPr>
      <w:pStyle w:val="Header"/>
    </w:pPr>
    <w:r>
      <w:rPr>
        <w:noProof/>
      </w:rPr>
      <w:drawing>
        <wp:anchor distT="0" distB="0" distL="114300" distR="114300" simplePos="0" relativeHeight="251658240" behindDoc="0" locked="0" layoutInCell="1" allowOverlap="1" wp14:anchorId="51D6136D" wp14:editId="13000A0E">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14:anchorId="4645FBE8" wp14:editId="038E66BC">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732B0" w14:textId="77777777" w:rsidR="00E36813" w:rsidRDefault="00E36813" w:rsidP="00B50534">
    <w:pPr>
      <w:pStyle w:val="Header"/>
      <w:jc w:val="right"/>
      <w:rPr>
        <w:b/>
        <w:color w:val="FF0000"/>
      </w:rPr>
    </w:pPr>
    <w:r w:rsidRPr="008D5F86">
      <w:rPr>
        <w:rFonts w:ascii="Arial" w:hAnsi="Arial" w:cs="Arial"/>
        <w:noProof/>
      </w:rPr>
      <mc:AlternateContent>
        <mc:Choice Requires="wps">
          <w:drawing>
            <wp:anchor distT="0" distB="0" distL="114300" distR="114300" simplePos="0" relativeHeight="251659264" behindDoc="0" locked="0" layoutInCell="1" allowOverlap="1" wp14:anchorId="2B1E1866" wp14:editId="0907F981">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233A7" id="Line 16"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" strokecolor="#283583" strokeweight="1pt">
              <w10:wrap anchorx="page" anchory="page"/>
            </v:line>
          </w:pict>
        </mc:Fallback>
      </mc:AlternateContent>
    </w:r>
  </w:p>
  <w:p w14:paraId="3C006E7E" w14:textId="77777777" w:rsidR="00E36813" w:rsidRPr="00D13661" w:rsidRDefault="00E36813"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7216" behindDoc="0" locked="0" layoutInCell="1" allowOverlap="1" wp14:anchorId="18907A1D" wp14:editId="79A95B29">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p w14:paraId="779BA878" w14:textId="77777777" w:rsidR="00E36813" w:rsidRPr="00C3170E" w:rsidRDefault="00E36813" w:rsidP="00B50534">
    <w:pPr>
      <w:pStyle w:val="Header"/>
      <w:jc w:val="right"/>
      <w:rPr>
        <w:color w:val="2F5496" w:themeColor="accent5" w:themeShade="BF"/>
        <w:sz w:val="20"/>
      </w:rPr>
    </w:pPr>
  </w:p>
  <w:p w14:paraId="299AF57D" w14:textId="77777777" w:rsidR="00E36813" w:rsidRPr="00B50534" w:rsidRDefault="00E36813"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93923"/>
    <w:multiLevelType w:val="hybridMultilevel"/>
    <w:tmpl w:val="627A6E5C"/>
    <w:lvl w:ilvl="0" w:tplc="59EC07F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D181D69"/>
    <w:multiLevelType w:val="hybridMultilevel"/>
    <w:tmpl w:val="0A189E10"/>
    <w:lvl w:ilvl="0" w:tplc="52DE78C0">
      <w:start w:val="1"/>
      <w:numFmt w:val="upp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2D63BA"/>
    <w:multiLevelType w:val="hybridMultilevel"/>
    <w:tmpl w:val="43A44E6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A52232B"/>
    <w:multiLevelType w:val="hybridMultilevel"/>
    <w:tmpl w:val="1CD6B4BC"/>
    <w:lvl w:ilvl="0" w:tplc="229CFDEA">
      <w:start w:val="1"/>
      <w:numFmt w:val="decimal"/>
      <w:pStyle w:val="Questionstyle"/>
      <w:lvlText w:val="Q%1"/>
      <w:lvlJc w:val="left"/>
      <w:pPr>
        <w:ind w:left="2486"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5B047E"/>
    <w:multiLevelType w:val="hybridMultilevel"/>
    <w:tmpl w:val="3C9A41B8"/>
    <w:lvl w:ilvl="0" w:tplc="7C12620E">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9"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49FA3229"/>
    <w:multiLevelType w:val="hybridMultilevel"/>
    <w:tmpl w:val="F498F3B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507F63DE"/>
    <w:multiLevelType w:val="hybridMultilevel"/>
    <w:tmpl w:val="971A398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54273650"/>
    <w:multiLevelType w:val="hybridMultilevel"/>
    <w:tmpl w:val="E392011A"/>
    <w:lvl w:ilvl="0" w:tplc="AD24F370">
      <w:start w:val="1"/>
      <w:numFmt w:val="bullet"/>
      <w:pStyle w:val="ListParagraph"/>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4BE4759"/>
    <w:multiLevelType w:val="hybridMultilevel"/>
    <w:tmpl w:val="82D230A8"/>
    <w:lvl w:ilvl="0" w:tplc="2B827066">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0321874"/>
    <w:multiLevelType w:val="hybridMultilevel"/>
    <w:tmpl w:val="7A105584"/>
    <w:lvl w:ilvl="0" w:tplc="18090017">
      <w:start w:val="1"/>
      <w:numFmt w:val="lowerLetter"/>
      <w:lvlText w:val="%1)"/>
      <w:lvlJc w:val="left"/>
      <w:pPr>
        <w:ind w:left="1080" w:hanging="360"/>
      </w:p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6"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1"/>
  </w:num>
  <w:num w:numId="3">
    <w:abstractNumId w:val="17"/>
  </w:num>
  <w:num w:numId="4">
    <w:abstractNumId w:val="2"/>
  </w:num>
  <w:num w:numId="5">
    <w:abstractNumId w:val="10"/>
  </w:num>
  <w:num w:numId="6">
    <w:abstractNumId w:val="19"/>
  </w:num>
  <w:num w:numId="7">
    <w:abstractNumId w:val="9"/>
  </w:num>
  <w:num w:numId="8">
    <w:abstractNumId w:val="3"/>
  </w:num>
  <w:num w:numId="9">
    <w:abstractNumId w:val="7"/>
  </w:num>
  <w:num w:numId="10">
    <w:abstractNumId w:val="5"/>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6"/>
  </w:num>
  <w:num w:numId="16">
    <w:abstractNumId w:val="18"/>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3"/>
  </w:num>
  <w:num w:numId="21">
    <w:abstractNumId w:val="11"/>
  </w:num>
  <w:num w:numId="22">
    <w:abstractNumId w:val="3"/>
  </w:num>
  <w:num w:numId="23">
    <w:abstractNumId w:val="14"/>
  </w:num>
  <w:num w:numId="24">
    <w:abstractNumId w:val="15"/>
  </w:num>
  <w:num w:numId="25">
    <w:abstractNumId w:val="6"/>
  </w:num>
  <w:num w:numId="26">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proofState w:spelling="clean" w:grammar="clean"/>
  <w:attachedTemplate r:id="rId1"/>
  <w:trackRevisions/>
  <w:documentProtection w:edit="readOnly" w:enforcement="0"/>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842"/>
    <w:rsid w:val="0000380B"/>
    <w:rsid w:val="00005505"/>
    <w:rsid w:val="00006275"/>
    <w:rsid w:val="00006971"/>
    <w:rsid w:val="00010A14"/>
    <w:rsid w:val="00011F6C"/>
    <w:rsid w:val="0001249B"/>
    <w:rsid w:val="00012D68"/>
    <w:rsid w:val="000142BB"/>
    <w:rsid w:val="0001633D"/>
    <w:rsid w:val="0001726F"/>
    <w:rsid w:val="00020098"/>
    <w:rsid w:val="00020300"/>
    <w:rsid w:val="00021A9A"/>
    <w:rsid w:val="00022ADA"/>
    <w:rsid w:val="00026327"/>
    <w:rsid w:val="0002790A"/>
    <w:rsid w:val="00027EC9"/>
    <w:rsid w:val="000335D4"/>
    <w:rsid w:val="00033934"/>
    <w:rsid w:val="00036C09"/>
    <w:rsid w:val="000372BF"/>
    <w:rsid w:val="00040A52"/>
    <w:rsid w:val="00041607"/>
    <w:rsid w:val="00042C00"/>
    <w:rsid w:val="00042CC8"/>
    <w:rsid w:val="00044C5A"/>
    <w:rsid w:val="00044E0A"/>
    <w:rsid w:val="00044F8E"/>
    <w:rsid w:val="000547BF"/>
    <w:rsid w:val="00054E00"/>
    <w:rsid w:val="00060AA3"/>
    <w:rsid w:val="00061B2B"/>
    <w:rsid w:val="0006448C"/>
    <w:rsid w:val="0006449B"/>
    <w:rsid w:val="000655AD"/>
    <w:rsid w:val="00066FD1"/>
    <w:rsid w:val="00072AA3"/>
    <w:rsid w:val="00072BF9"/>
    <w:rsid w:val="00073DF9"/>
    <w:rsid w:val="0007767E"/>
    <w:rsid w:val="0007796D"/>
    <w:rsid w:val="000830DA"/>
    <w:rsid w:val="00083FBB"/>
    <w:rsid w:val="0008680B"/>
    <w:rsid w:val="000876AA"/>
    <w:rsid w:val="000921E6"/>
    <w:rsid w:val="00093239"/>
    <w:rsid w:val="000A03C9"/>
    <w:rsid w:val="000A12CC"/>
    <w:rsid w:val="000A1767"/>
    <w:rsid w:val="000A2738"/>
    <w:rsid w:val="000A2DF1"/>
    <w:rsid w:val="000A3D10"/>
    <w:rsid w:val="000A409B"/>
    <w:rsid w:val="000A4E9C"/>
    <w:rsid w:val="000A66FC"/>
    <w:rsid w:val="000A741E"/>
    <w:rsid w:val="000B07F8"/>
    <w:rsid w:val="000B1615"/>
    <w:rsid w:val="000B2AAF"/>
    <w:rsid w:val="000B2E26"/>
    <w:rsid w:val="000B50AC"/>
    <w:rsid w:val="000B5B17"/>
    <w:rsid w:val="000B5D3D"/>
    <w:rsid w:val="000C0CE0"/>
    <w:rsid w:val="000C2400"/>
    <w:rsid w:val="000C299C"/>
    <w:rsid w:val="000C5ACC"/>
    <w:rsid w:val="000D0293"/>
    <w:rsid w:val="000D0850"/>
    <w:rsid w:val="000D087F"/>
    <w:rsid w:val="000D1038"/>
    <w:rsid w:val="000D11A9"/>
    <w:rsid w:val="000D2D7B"/>
    <w:rsid w:val="000D342C"/>
    <w:rsid w:val="000D4D53"/>
    <w:rsid w:val="000E2232"/>
    <w:rsid w:val="000E30E0"/>
    <w:rsid w:val="000E3DB1"/>
    <w:rsid w:val="000F0169"/>
    <w:rsid w:val="000F0951"/>
    <w:rsid w:val="000F2598"/>
    <w:rsid w:val="000F29C0"/>
    <w:rsid w:val="000F2BE6"/>
    <w:rsid w:val="000F474D"/>
    <w:rsid w:val="000F551D"/>
    <w:rsid w:val="000F5C90"/>
    <w:rsid w:val="000F5EA6"/>
    <w:rsid w:val="000F7998"/>
    <w:rsid w:val="001000D7"/>
    <w:rsid w:val="00100ADC"/>
    <w:rsid w:val="0010429A"/>
    <w:rsid w:val="00105424"/>
    <w:rsid w:val="00105A69"/>
    <w:rsid w:val="001075EC"/>
    <w:rsid w:val="00113D82"/>
    <w:rsid w:val="00117009"/>
    <w:rsid w:val="00120F0D"/>
    <w:rsid w:val="001214DA"/>
    <w:rsid w:val="001262EA"/>
    <w:rsid w:val="00126E0E"/>
    <w:rsid w:val="0012722A"/>
    <w:rsid w:val="00127F0E"/>
    <w:rsid w:val="00130EF9"/>
    <w:rsid w:val="001319C7"/>
    <w:rsid w:val="001355E6"/>
    <w:rsid w:val="0013644A"/>
    <w:rsid w:val="00140BA6"/>
    <w:rsid w:val="00141946"/>
    <w:rsid w:val="00141A77"/>
    <w:rsid w:val="00143DCA"/>
    <w:rsid w:val="00144AAD"/>
    <w:rsid w:val="001455E7"/>
    <w:rsid w:val="0014624E"/>
    <w:rsid w:val="00151050"/>
    <w:rsid w:val="001608B2"/>
    <w:rsid w:val="00160FE0"/>
    <w:rsid w:val="00163AB3"/>
    <w:rsid w:val="00165047"/>
    <w:rsid w:val="00165357"/>
    <w:rsid w:val="00165FF8"/>
    <w:rsid w:val="0016669F"/>
    <w:rsid w:val="00170AD6"/>
    <w:rsid w:val="001735B8"/>
    <w:rsid w:val="001759C5"/>
    <w:rsid w:val="00177AA7"/>
    <w:rsid w:val="00180917"/>
    <w:rsid w:val="00180E53"/>
    <w:rsid w:val="00181CB7"/>
    <w:rsid w:val="00182804"/>
    <w:rsid w:val="001862A5"/>
    <w:rsid w:val="00186A70"/>
    <w:rsid w:val="00191035"/>
    <w:rsid w:val="001911C2"/>
    <w:rsid w:val="001918E5"/>
    <w:rsid w:val="00192A7A"/>
    <w:rsid w:val="00194BEB"/>
    <w:rsid w:val="001A18A3"/>
    <w:rsid w:val="001A1EF4"/>
    <w:rsid w:val="001A2B46"/>
    <w:rsid w:val="001A6645"/>
    <w:rsid w:val="001A7046"/>
    <w:rsid w:val="001A710D"/>
    <w:rsid w:val="001A74A7"/>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3C3E"/>
    <w:rsid w:val="001D6B39"/>
    <w:rsid w:val="001E1ECD"/>
    <w:rsid w:val="001E3394"/>
    <w:rsid w:val="001E3E0D"/>
    <w:rsid w:val="001E3F9E"/>
    <w:rsid w:val="001E428C"/>
    <w:rsid w:val="001E4A45"/>
    <w:rsid w:val="001E5E30"/>
    <w:rsid w:val="001F0479"/>
    <w:rsid w:val="001F06EE"/>
    <w:rsid w:val="001F10DB"/>
    <w:rsid w:val="001F1F10"/>
    <w:rsid w:val="001F23C9"/>
    <w:rsid w:val="001F2A35"/>
    <w:rsid w:val="001F3999"/>
    <w:rsid w:val="001F3D9D"/>
    <w:rsid w:val="001F4AC8"/>
    <w:rsid w:val="00200894"/>
    <w:rsid w:val="00202333"/>
    <w:rsid w:val="00202FA8"/>
    <w:rsid w:val="002034B8"/>
    <w:rsid w:val="00205023"/>
    <w:rsid w:val="00205922"/>
    <w:rsid w:val="00206FB8"/>
    <w:rsid w:val="0020766F"/>
    <w:rsid w:val="00207A07"/>
    <w:rsid w:val="00207ED9"/>
    <w:rsid w:val="00210498"/>
    <w:rsid w:val="0021147A"/>
    <w:rsid w:val="00213BFB"/>
    <w:rsid w:val="00215534"/>
    <w:rsid w:val="002156A3"/>
    <w:rsid w:val="00215CD9"/>
    <w:rsid w:val="00217478"/>
    <w:rsid w:val="00220938"/>
    <w:rsid w:val="00224806"/>
    <w:rsid w:val="0022715B"/>
    <w:rsid w:val="00227C5D"/>
    <w:rsid w:val="00232F8E"/>
    <w:rsid w:val="00233071"/>
    <w:rsid w:val="00234637"/>
    <w:rsid w:val="00234638"/>
    <w:rsid w:val="00235E99"/>
    <w:rsid w:val="00236F40"/>
    <w:rsid w:val="00240B44"/>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78"/>
    <w:rsid w:val="002665E3"/>
    <w:rsid w:val="00266628"/>
    <w:rsid w:val="0027199C"/>
    <w:rsid w:val="00272C4E"/>
    <w:rsid w:val="002751FC"/>
    <w:rsid w:val="002753BD"/>
    <w:rsid w:val="002762BB"/>
    <w:rsid w:val="00276E59"/>
    <w:rsid w:val="0028266C"/>
    <w:rsid w:val="00282D38"/>
    <w:rsid w:val="00282FBE"/>
    <w:rsid w:val="00284AF2"/>
    <w:rsid w:val="0028536B"/>
    <w:rsid w:val="00285CED"/>
    <w:rsid w:val="00285EB5"/>
    <w:rsid w:val="00286980"/>
    <w:rsid w:val="00287C8F"/>
    <w:rsid w:val="00290893"/>
    <w:rsid w:val="002917B9"/>
    <w:rsid w:val="00291A55"/>
    <w:rsid w:val="00292797"/>
    <w:rsid w:val="0029394C"/>
    <w:rsid w:val="00294BF2"/>
    <w:rsid w:val="00295CC9"/>
    <w:rsid w:val="002A13B0"/>
    <w:rsid w:val="002A26F0"/>
    <w:rsid w:val="002A2C91"/>
    <w:rsid w:val="002A3023"/>
    <w:rsid w:val="002A4F9B"/>
    <w:rsid w:val="002A5034"/>
    <w:rsid w:val="002A64EB"/>
    <w:rsid w:val="002A6C21"/>
    <w:rsid w:val="002A780E"/>
    <w:rsid w:val="002B144C"/>
    <w:rsid w:val="002B3848"/>
    <w:rsid w:val="002B39B4"/>
    <w:rsid w:val="002B4628"/>
    <w:rsid w:val="002B53F3"/>
    <w:rsid w:val="002B566D"/>
    <w:rsid w:val="002B7AD7"/>
    <w:rsid w:val="002C03FD"/>
    <w:rsid w:val="002C044D"/>
    <w:rsid w:val="002C1AA5"/>
    <w:rsid w:val="002C2A46"/>
    <w:rsid w:val="002C3048"/>
    <w:rsid w:val="002C3E73"/>
    <w:rsid w:val="002C6485"/>
    <w:rsid w:val="002C7332"/>
    <w:rsid w:val="002D2992"/>
    <w:rsid w:val="002D37A0"/>
    <w:rsid w:val="002D5AB5"/>
    <w:rsid w:val="002D6667"/>
    <w:rsid w:val="002D6D09"/>
    <w:rsid w:val="002D79F3"/>
    <w:rsid w:val="002E0170"/>
    <w:rsid w:val="002E10EF"/>
    <w:rsid w:val="002E1C11"/>
    <w:rsid w:val="002E3B4B"/>
    <w:rsid w:val="002E3D0B"/>
    <w:rsid w:val="002E3E7D"/>
    <w:rsid w:val="002E5556"/>
    <w:rsid w:val="002E5C2F"/>
    <w:rsid w:val="002F6279"/>
    <w:rsid w:val="002F7969"/>
    <w:rsid w:val="003002F1"/>
    <w:rsid w:val="003013B7"/>
    <w:rsid w:val="00301993"/>
    <w:rsid w:val="00301E55"/>
    <w:rsid w:val="0030329A"/>
    <w:rsid w:val="00307397"/>
    <w:rsid w:val="003101EF"/>
    <w:rsid w:val="003122E1"/>
    <w:rsid w:val="00312BDD"/>
    <w:rsid w:val="00314117"/>
    <w:rsid w:val="00314792"/>
    <w:rsid w:val="003159BC"/>
    <w:rsid w:val="003168CB"/>
    <w:rsid w:val="00317EDF"/>
    <w:rsid w:val="00323AC6"/>
    <w:rsid w:val="003279E7"/>
    <w:rsid w:val="00327B62"/>
    <w:rsid w:val="00331FE9"/>
    <w:rsid w:val="0033324D"/>
    <w:rsid w:val="0033587C"/>
    <w:rsid w:val="00336BF9"/>
    <w:rsid w:val="003371E8"/>
    <w:rsid w:val="003373C4"/>
    <w:rsid w:val="00337471"/>
    <w:rsid w:val="00337F82"/>
    <w:rsid w:val="0034005D"/>
    <w:rsid w:val="0034151D"/>
    <w:rsid w:val="00342B5B"/>
    <w:rsid w:val="00343532"/>
    <w:rsid w:val="00345469"/>
    <w:rsid w:val="003454ED"/>
    <w:rsid w:val="00345EB9"/>
    <w:rsid w:val="0035030F"/>
    <w:rsid w:val="003519DD"/>
    <w:rsid w:val="00352437"/>
    <w:rsid w:val="00353C4B"/>
    <w:rsid w:val="003545A6"/>
    <w:rsid w:val="00356C60"/>
    <w:rsid w:val="003578D1"/>
    <w:rsid w:val="00363639"/>
    <w:rsid w:val="0036639D"/>
    <w:rsid w:val="00366D42"/>
    <w:rsid w:val="0036748C"/>
    <w:rsid w:val="00372615"/>
    <w:rsid w:val="00372EA3"/>
    <w:rsid w:val="00373A3C"/>
    <w:rsid w:val="00376233"/>
    <w:rsid w:val="00377BA0"/>
    <w:rsid w:val="00380B30"/>
    <w:rsid w:val="00381784"/>
    <w:rsid w:val="00381EB0"/>
    <w:rsid w:val="003822E8"/>
    <w:rsid w:val="00382A72"/>
    <w:rsid w:val="00382EBA"/>
    <w:rsid w:val="0038331A"/>
    <w:rsid w:val="0039135B"/>
    <w:rsid w:val="003A1150"/>
    <w:rsid w:val="003A34E7"/>
    <w:rsid w:val="003A3CB1"/>
    <w:rsid w:val="003A3D55"/>
    <w:rsid w:val="003A4074"/>
    <w:rsid w:val="003A73A4"/>
    <w:rsid w:val="003B102E"/>
    <w:rsid w:val="003B4E3D"/>
    <w:rsid w:val="003C167E"/>
    <w:rsid w:val="003C481D"/>
    <w:rsid w:val="003C4EB5"/>
    <w:rsid w:val="003C742D"/>
    <w:rsid w:val="003D2CED"/>
    <w:rsid w:val="003D322E"/>
    <w:rsid w:val="003D344A"/>
    <w:rsid w:val="003D3BB8"/>
    <w:rsid w:val="003D448E"/>
    <w:rsid w:val="003D7C07"/>
    <w:rsid w:val="003E13FD"/>
    <w:rsid w:val="003E193E"/>
    <w:rsid w:val="003E1C24"/>
    <w:rsid w:val="003E5CD1"/>
    <w:rsid w:val="003E61FC"/>
    <w:rsid w:val="003E77BC"/>
    <w:rsid w:val="003F0EDF"/>
    <w:rsid w:val="003F20C7"/>
    <w:rsid w:val="003F39B1"/>
    <w:rsid w:val="00400D9C"/>
    <w:rsid w:val="00400FBE"/>
    <w:rsid w:val="00401BF4"/>
    <w:rsid w:val="004022CF"/>
    <w:rsid w:val="004029B1"/>
    <w:rsid w:val="004038F1"/>
    <w:rsid w:val="00403AE2"/>
    <w:rsid w:val="00404282"/>
    <w:rsid w:val="00406A8F"/>
    <w:rsid w:val="0040743A"/>
    <w:rsid w:val="00407623"/>
    <w:rsid w:val="00407670"/>
    <w:rsid w:val="00407A74"/>
    <w:rsid w:val="004104A9"/>
    <w:rsid w:val="00410BFB"/>
    <w:rsid w:val="004114D5"/>
    <w:rsid w:val="00414210"/>
    <w:rsid w:val="004159DB"/>
    <w:rsid w:val="00420FD4"/>
    <w:rsid w:val="00423FCF"/>
    <w:rsid w:val="004242B3"/>
    <w:rsid w:val="00426D62"/>
    <w:rsid w:val="00427A89"/>
    <w:rsid w:val="00430C5B"/>
    <w:rsid w:val="00431968"/>
    <w:rsid w:val="00433936"/>
    <w:rsid w:val="0043475E"/>
    <w:rsid w:val="00434D14"/>
    <w:rsid w:val="004354CE"/>
    <w:rsid w:val="00435F37"/>
    <w:rsid w:val="00435FE9"/>
    <w:rsid w:val="00436279"/>
    <w:rsid w:val="00440772"/>
    <w:rsid w:val="0044199E"/>
    <w:rsid w:val="0044206D"/>
    <w:rsid w:val="004438C8"/>
    <w:rsid w:val="00444803"/>
    <w:rsid w:val="00445696"/>
    <w:rsid w:val="00446E5F"/>
    <w:rsid w:val="00450C4E"/>
    <w:rsid w:val="00455577"/>
    <w:rsid w:val="00455E93"/>
    <w:rsid w:val="004562EA"/>
    <w:rsid w:val="00456795"/>
    <w:rsid w:val="00460B4F"/>
    <w:rsid w:val="0046150E"/>
    <w:rsid w:val="00461CC8"/>
    <w:rsid w:val="00462B2F"/>
    <w:rsid w:val="00465EAA"/>
    <w:rsid w:val="004708CA"/>
    <w:rsid w:val="004709E7"/>
    <w:rsid w:val="00470ADE"/>
    <w:rsid w:val="004712C7"/>
    <w:rsid w:val="00472111"/>
    <w:rsid w:val="0047506A"/>
    <w:rsid w:val="004759EB"/>
    <w:rsid w:val="0047738F"/>
    <w:rsid w:val="00477919"/>
    <w:rsid w:val="00482611"/>
    <w:rsid w:val="00482A27"/>
    <w:rsid w:val="004868CE"/>
    <w:rsid w:val="00486ABD"/>
    <w:rsid w:val="00487DCE"/>
    <w:rsid w:val="00490C0F"/>
    <w:rsid w:val="00491D2B"/>
    <w:rsid w:val="004950B7"/>
    <w:rsid w:val="00497C36"/>
    <w:rsid w:val="00497FEA"/>
    <w:rsid w:val="004A2461"/>
    <w:rsid w:val="004A56FB"/>
    <w:rsid w:val="004B07B2"/>
    <w:rsid w:val="004B0955"/>
    <w:rsid w:val="004B1842"/>
    <w:rsid w:val="004B25D0"/>
    <w:rsid w:val="004B28EC"/>
    <w:rsid w:val="004B3553"/>
    <w:rsid w:val="004B5E92"/>
    <w:rsid w:val="004C0A30"/>
    <w:rsid w:val="004C357C"/>
    <w:rsid w:val="004C3D18"/>
    <w:rsid w:val="004D2EB8"/>
    <w:rsid w:val="004D42B1"/>
    <w:rsid w:val="004D526F"/>
    <w:rsid w:val="004D5FCC"/>
    <w:rsid w:val="004E0645"/>
    <w:rsid w:val="004E19C0"/>
    <w:rsid w:val="004E1C54"/>
    <w:rsid w:val="004E2C37"/>
    <w:rsid w:val="004E441E"/>
    <w:rsid w:val="004E5285"/>
    <w:rsid w:val="004E6961"/>
    <w:rsid w:val="004F0CF3"/>
    <w:rsid w:val="004F5740"/>
    <w:rsid w:val="004F58C9"/>
    <w:rsid w:val="005028B9"/>
    <w:rsid w:val="00505818"/>
    <w:rsid w:val="00505E17"/>
    <w:rsid w:val="00507770"/>
    <w:rsid w:val="005118DE"/>
    <w:rsid w:val="00511A59"/>
    <w:rsid w:val="00511C3B"/>
    <w:rsid w:val="00514440"/>
    <w:rsid w:val="005166C3"/>
    <w:rsid w:val="00517EDD"/>
    <w:rsid w:val="00520F7C"/>
    <w:rsid w:val="00523974"/>
    <w:rsid w:val="00525A5C"/>
    <w:rsid w:val="00526E5D"/>
    <w:rsid w:val="00531432"/>
    <w:rsid w:val="00532BC8"/>
    <w:rsid w:val="005333E8"/>
    <w:rsid w:val="00534912"/>
    <w:rsid w:val="005354D8"/>
    <w:rsid w:val="005370E7"/>
    <w:rsid w:val="005409B7"/>
    <w:rsid w:val="00541A66"/>
    <w:rsid w:val="00541EE8"/>
    <w:rsid w:val="00543E37"/>
    <w:rsid w:val="00545E62"/>
    <w:rsid w:val="00551070"/>
    <w:rsid w:val="00552C8A"/>
    <w:rsid w:val="005530A2"/>
    <w:rsid w:val="00555156"/>
    <w:rsid w:val="0055535B"/>
    <w:rsid w:val="00560A96"/>
    <w:rsid w:val="005619CB"/>
    <w:rsid w:val="00561B71"/>
    <w:rsid w:val="00561F98"/>
    <w:rsid w:val="00564607"/>
    <w:rsid w:val="0056502C"/>
    <w:rsid w:val="00565193"/>
    <w:rsid w:val="00565BB4"/>
    <w:rsid w:val="005725BD"/>
    <w:rsid w:val="00572E72"/>
    <w:rsid w:val="005730B0"/>
    <w:rsid w:val="00575DCC"/>
    <w:rsid w:val="00581FE1"/>
    <w:rsid w:val="005821B0"/>
    <w:rsid w:val="005901F9"/>
    <w:rsid w:val="00590EE0"/>
    <w:rsid w:val="0059175F"/>
    <w:rsid w:val="00591AAC"/>
    <w:rsid w:val="00591F55"/>
    <w:rsid w:val="00594B2A"/>
    <w:rsid w:val="00595F08"/>
    <w:rsid w:val="00595FBE"/>
    <w:rsid w:val="005A1C55"/>
    <w:rsid w:val="005B169D"/>
    <w:rsid w:val="005B467C"/>
    <w:rsid w:val="005B4ACA"/>
    <w:rsid w:val="005B6B12"/>
    <w:rsid w:val="005C19E9"/>
    <w:rsid w:val="005C1C5B"/>
    <w:rsid w:val="005C2DBC"/>
    <w:rsid w:val="005C5F13"/>
    <w:rsid w:val="005C5FB6"/>
    <w:rsid w:val="005C65F9"/>
    <w:rsid w:val="005C6B0E"/>
    <w:rsid w:val="005C7E1F"/>
    <w:rsid w:val="005D13C2"/>
    <w:rsid w:val="005D1B9E"/>
    <w:rsid w:val="005D1F6B"/>
    <w:rsid w:val="005D2DE7"/>
    <w:rsid w:val="005D331C"/>
    <w:rsid w:val="005D6230"/>
    <w:rsid w:val="005D6355"/>
    <w:rsid w:val="005D7AAF"/>
    <w:rsid w:val="005E0C59"/>
    <w:rsid w:val="005E0DE2"/>
    <w:rsid w:val="005E1264"/>
    <w:rsid w:val="005E18DE"/>
    <w:rsid w:val="005E1DA3"/>
    <w:rsid w:val="005E306B"/>
    <w:rsid w:val="005E53D0"/>
    <w:rsid w:val="005E5785"/>
    <w:rsid w:val="005E6098"/>
    <w:rsid w:val="005E6187"/>
    <w:rsid w:val="005E73C4"/>
    <w:rsid w:val="005E7969"/>
    <w:rsid w:val="005F0C93"/>
    <w:rsid w:val="005F3F22"/>
    <w:rsid w:val="005F4FC0"/>
    <w:rsid w:val="005F540F"/>
    <w:rsid w:val="005F5491"/>
    <w:rsid w:val="005F6144"/>
    <w:rsid w:val="005F6573"/>
    <w:rsid w:val="00601541"/>
    <w:rsid w:val="0060361E"/>
    <w:rsid w:val="00604A25"/>
    <w:rsid w:val="00606683"/>
    <w:rsid w:val="00613BF6"/>
    <w:rsid w:val="0061698E"/>
    <w:rsid w:val="00616D27"/>
    <w:rsid w:val="00621293"/>
    <w:rsid w:val="006234FE"/>
    <w:rsid w:val="00623840"/>
    <w:rsid w:val="006255EC"/>
    <w:rsid w:val="00625A25"/>
    <w:rsid w:val="0062736A"/>
    <w:rsid w:val="0063565E"/>
    <w:rsid w:val="0063602F"/>
    <w:rsid w:val="00636E02"/>
    <w:rsid w:val="006415A7"/>
    <w:rsid w:val="00641DB1"/>
    <w:rsid w:val="00642297"/>
    <w:rsid w:val="00644A34"/>
    <w:rsid w:val="0065089F"/>
    <w:rsid w:val="00654824"/>
    <w:rsid w:val="0065669B"/>
    <w:rsid w:val="00661766"/>
    <w:rsid w:val="00662882"/>
    <w:rsid w:val="0066298C"/>
    <w:rsid w:val="00663008"/>
    <w:rsid w:val="00663093"/>
    <w:rsid w:val="00665A7C"/>
    <w:rsid w:val="00665B0B"/>
    <w:rsid w:val="006705CD"/>
    <w:rsid w:val="00671363"/>
    <w:rsid w:val="00672780"/>
    <w:rsid w:val="00672842"/>
    <w:rsid w:val="00672B87"/>
    <w:rsid w:val="00674E39"/>
    <w:rsid w:val="00676CFC"/>
    <w:rsid w:val="00677133"/>
    <w:rsid w:val="0068063A"/>
    <w:rsid w:val="00681482"/>
    <w:rsid w:val="00682FC7"/>
    <w:rsid w:val="0068466D"/>
    <w:rsid w:val="00687BF0"/>
    <w:rsid w:val="006904CF"/>
    <w:rsid w:val="006912FB"/>
    <w:rsid w:val="00693CC0"/>
    <w:rsid w:val="00695AF2"/>
    <w:rsid w:val="00696A2B"/>
    <w:rsid w:val="00696BD5"/>
    <w:rsid w:val="006A04AE"/>
    <w:rsid w:val="006A0AE4"/>
    <w:rsid w:val="006A23F3"/>
    <w:rsid w:val="006A2CF3"/>
    <w:rsid w:val="006A5047"/>
    <w:rsid w:val="006A7A10"/>
    <w:rsid w:val="006B0DA4"/>
    <w:rsid w:val="006B1B6B"/>
    <w:rsid w:val="006B2C57"/>
    <w:rsid w:val="006B57A8"/>
    <w:rsid w:val="006B79E0"/>
    <w:rsid w:val="006C1633"/>
    <w:rsid w:val="006C3240"/>
    <w:rsid w:val="006C3D3F"/>
    <w:rsid w:val="006C3D71"/>
    <w:rsid w:val="006C5727"/>
    <w:rsid w:val="006C5775"/>
    <w:rsid w:val="006C5BF8"/>
    <w:rsid w:val="006C7CCB"/>
    <w:rsid w:val="006D6009"/>
    <w:rsid w:val="006D719A"/>
    <w:rsid w:val="006D7477"/>
    <w:rsid w:val="006D75BB"/>
    <w:rsid w:val="006D7D41"/>
    <w:rsid w:val="006E2F4D"/>
    <w:rsid w:val="006E3FDD"/>
    <w:rsid w:val="006E58FB"/>
    <w:rsid w:val="006E5D82"/>
    <w:rsid w:val="006E66B2"/>
    <w:rsid w:val="006E6C50"/>
    <w:rsid w:val="006E7A69"/>
    <w:rsid w:val="006E7DE4"/>
    <w:rsid w:val="006F53E8"/>
    <w:rsid w:val="006F5FB8"/>
    <w:rsid w:val="0070017B"/>
    <w:rsid w:val="0070026D"/>
    <w:rsid w:val="0070427E"/>
    <w:rsid w:val="00704D53"/>
    <w:rsid w:val="007056C3"/>
    <w:rsid w:val="00706072"/>
    <w:rsid w:val="0070775D"/>
    <w:rsid w:val="00712E6F"/>
    <w:rsid w:val="00713644"/>
    <w:rsid w:val="00721256"/>
    <w:rsid w:val="007217AD"/>
    <w:rsid w:val="00723BA1"/>
    <w:rsid w:val="0072430F"/>
    <w:rsid w:val="00724A1B"/>
    <w:rsid w:val="0072600E"/>
    <w:rsid w:val="0073173E"/>
    <w:rsid w:val="007319C3"/>
    <w:rsid w:val="00731D39"/>
    <w:rsid w:val="0073454F"/>
    <w:rsid w:val="00735C00"/>
    <w:rsid w:val="007364C6"/>
    <w:rsid w:val="00740BF3"/>
    <w:rsid w:val="00741D5C"/>
    <w:rsid w:val="0074352F"/>
    <w:rsid w:val="00747C5E"/>
    <w:rsid w:val="00747CB9"/>
    <w:rsid w:val="00750210"/>
    <w:rsid w:val="00754B57"/>
    <w:rsid w:val="0075671D"/>
    <w:rsid w:val="0076002F"/>
    <w:rsid w:val="0076038B"/>
    <w:rsid w:val="00761744"/>
    <w:rsid w:val="00761DB4"/>
    <w:rsid w:val="00764582"/>
    <w:rsid w:val="00765FA3"/>
    <w:rsid w:val="00766961"/>
    <w:rsid w:val="00766B5A"/>
    <w:rsid w:val="0076770F"/>
    <w:rsid w:val="00770C33"/>
    <w:rsid w:val="007741C3"/>
    <w:rsid w:val="007748EA"/>
    <w:rsid w:val="00777BE0"/>
    <w:rsid w:val="00780923"/>
    <w:rsid w:val="0078131F"/>
    <w:rsid w:val="00781693"/>
    <w:rsid w:val="007844C6"/>
    <w:rsid w:val="0078471F"/>
    <w:rsid w:val="007850DC"/>
    <w:rsid w:val="007876EF"/>
    <w:rsid w:val="00790306"/>
    <w:rsid w:val="00792816"/>
    <w:rsid w:val="0079364C"/>
    <w:rsid w:val="00793960"/>
    <w:rsid w:val="007942B9"/>
    <w:rsid w:val="00796C7F"/>
    <w:rsid w:val="00797E0C"/>
    <w:rsid w:val="007A160F"/>
    <w:rsid w:val="007A259D"/>
    <w:rsid w:val="007A2D76"/>
    <w:rsid w:val="007A48BC"/>
    <w:rsid w:val="007B0BC1"/>
    <w:rsid w:val="007B354B"/>
    <w:rsid w:val="007B4FC3"/>
    <w:rsid w:val="007B6733"/>
    <w:rsid w:val="007B73F3"/>
    <w:rsid w:val="007B7EE5"/>
    <w:rsid w:val="007C1C28"/>
    <w:rsid w:val="007C2A2C"/>
    <w:rsid w:val="007C3577"/>
    <w:rsid w:val="007C4675"/>
    <w:rsid w:val="007C556D"/>
    <w:rsid w:val="007C5E08"/>
    <w:rsid w:val="007C7DD8"/>
    <w:rsid w:val="007D0002"/>
    <w:rsid w:val="007D7A0F"/>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99E"/>
    <w:rsid w:val="00800A7F"/>
    <w:rsid w:val="0080285D"/>
    <w:rsid w:val="00803126"/>
    <w:rsid w:val="0081028F"/>
    <w:rsid w:val="008107D9"/>
    <w:rsid w:val="0081093B"/>
    <w:rsid w:val="008116D9"/>
    <w:rsid w:val="00811936"/>
    <w:rsid w:val="00813059"/>
    <w:rsid w:val="00813A9B"/>
    <w:rsid w:val="008157C8"/>
    <w:rsid w:val="008173E2"/>
    <w:rsid w:val="008201C3"/>
    <w:rsid w:val="00820422"/>
    <w:rsid w:val="00820655"/>
    <w:rsid w:val="008227D7"/>
    <w:rsid w:val="008249A1"/>
    <w:rsid w:val="00825D43"/>
    <w:rsid w:val="0082632D"/>
    <w:rsid w:val="00832500"/>
    <w:rsid w:val="00832787"/>
    <w:rsid w:val="00834058"/>
    <w:rsid w:val="00835805"/>
    <w:rsid w:val="0083595F"/>
    <w:rsid w:val="008372B6"/>
    <w:rsid w:val="00841342"/>
    <w:rsid w:val="00843A1A"/>
    <w:rsid w:val="00845AAF"/>
    <w:rsid w:val="00846433"/>
    <w:rsid w:val="008472C2"/>
    <w:rsid w:val="00850B43"/>
    <w:rsid w:val="008510D9"/>
    <w:rsid w:val="00851EE3"/>
    <w:rsid w:val="00853121"/>
    <w:rsid w:val="0085479C"/>
    <w:rsid w:val="008555E4"/>
    <w:rsid w:val="008623A8"/>
    <w:rsid w:val="00864124"/>
    <w:rsid w:val="00864E60"/>
    <w:rsid w:val="00866A09"/>
    <w:rsid w:val="008712BF"/>
    <w:rsid w:val="00872209"/>
    <w:rsid w:val="0087240F"/>
    <w:rsid w:val="008725CA"/>
    <w:rsid w:val="0087317D"/>
    <w:rsid w:val="00873656"/>
    <w:rsid w:val="008760CE"/>
    <w:rsid w:val="0087745B"/>
    <w:rsid w:val="00880140"/>
    <w:rsid w:val="008842F7"/>
    <w:rsid w:val="00884711"/>
    <w:rsid w:val="00885B94"/>
    <w:rsid w:val="0088677E"/>
    <w:rsid w:val="00887E06"/>
    <w:rsid w:val="0089075A"/>
    <w:rsid w:val="00890F80"/>
    <w:rsid w:val="00892A61"/>
    <w:rsid w:val="00892BFD"/>
    <w:rsid w:val="0089338A"/>
    <w:rsid w:val="00894199"/>
    <w:rsid w:val="008948BE"/>
    <w:rsid w:val="00895E28"/>
    <w:rsid w:val="008A1099"/>
    <w:rsid w:val="008A1E27"/>
    <w:rsid w:val="008A2C86"/>
    <w:rsid w:val="008A6000"/>
    <w:rsid w:val="008A6737"/>
    <w:rsid w:val="008A6D43"/>
    <w:rsid w:val="008A70A8"/>
    <w:rsid w:val="008A7FAC"/>
    <w:rsid w:val="008B1AE1"/>
    <w:rsid w:val="008B1FD9"/>
    <w:rsid w:val="008B2AF1"/>
    <w:rsid w:val="008B32AE"/>
    <w:rsid w:val="008B4122"/>
    <w:rsid w:val="008B5191"/>
    <w:rsid w:val="008B51D0"/>
    <w:rsid w:val="008B710D"/>
    <w:rsid w:val="008B7CA1"/>
    <w:rsid w:val="008C0177"/>
    <w:rsid w:val="008C0389"/>
    <w:rsid w:val="008C27D3"/>
    <w:rsid w:val="008C3E5C"/>
    <w:rsid w:val="008C4B2B"/>
    <w:rsid w:val="008C5269"/>
    <w:rsid w:val="008C5E91"/>
    <w:rsid w:val="008C686D"/>
    <w:rsid w:val="008C6B18"/>
    <w:rsid w:val="008C75E6"/>
    <w:rsid w:val="008C767A"/>
    <w:rsid w:val="008C7A73"/>
    <w:rsid w:val="008D0569"/>
    <w:rsid w:val="008D5C28"/>
    <w:rsid w:val="008D601D"/>
    <w:rsid w:val="008E1417"/>
    <w:rsid w:val="008E2D26"/>
    <w:rsid w:val="008E4076"/>
    <w:rsid w:val="008E6816"/>
    <w:rsid w:val="008E7DBA"/>
    <w:rsid w:val="008F1993"/>
    <w:rsid w:val="008F3386"/>
    <w:rsid w:val="008F3AD9"/>
    <w:rsid w:val="008F4642"/>
    <w:rsid w:val="008F4E00"/>
    <w:rsid w:val="008F761D"/>
    <w:rsid w:val="00900D44"/>
    <w:rsid w:val="00901926"/>
    <w:rsid w:val="00902520"/>
    <w:rsid w:val="009031BA"/>
    <w:rsid w:val="00906DC4"/>
    <w:rsid w:val="0091105E"/>
    <w:rsid w:val="00912E6C"/>
    <w:rsid w:val="0091457F"/>
    <w:rsid w:val="0091663E"/>
    <w:rsid w:val="0091729E"/>
    <w:rsid w:val="00926EFC"/>
    <w:rsid w:val="00927B39"/>
    <w:rsid w:val="0093261E"/>
    <w:rsid w:val="00937C1B"/>
    <w:rsid w:val="0094008E"/>
    <w:rsid w:val="00941C0C"/>
    <w:rsid w:val="009437F2"/>
    <w:rsid w:val="0094528B"/>
    <w:rsid w:val="00951BF9"/>
    <w:rsid w:val="00954255"/>
    <w:rsid w:val="00960A8B"/>
    <w:rsid w:val="0096253F"/>
    <w:rsid w:val="00964C0F"/>
    <w:rsid w:val="00965128"/>
    <w:rsid w:val="0096617B"/>
    <w:rsid w:val="00973E3E"/>
    <w:rsid w:val="00973F43"/>
    <w:rsid w:val="00974E64"/>
    <w:rsid w:val="0097785D"/>
    <w:rsid w:val="00977B01"/>
    <w:rsid w:val="0098011D"/>
    <w:rsid w:val="00981912"/>
    <w:rsid w:val="009819C0"/>
    <w:rsid w:val="00986FFD"/>
    <w:rsid w:val="00987A75"/>
    <w:rsid w:val="009901BC"/>
    <w:rsid w:val="00991A8A"/>
    <w:rsid w:val="00992611"/>
    <w:rsid w:val="00994303"/>
    <w:rsid w:val="0099526D"/>
    <w:rsid w:val="00996C8B"/>
    <w:rsid w:val="009A0054"/>
    <w:rsid w:val="009A0F6E"/>
    <w:rsid w:val="009A42B6"/>
    <w:rsid w:val="009A5548"/>
    <w:rsid w:val="009B25C1"/>
    <w:rsid w:val="009B685D"/>
    <w:rsid w:val="009B7B79"/>
    <w:rsid w:val="009C0383"/>
    <w:rsid w:val="009C145B"/>
    <w:rsid w:val="009C3E04"/>
    <w:rsid w:val="009C4FB0"/>
    <w:rsid w:val="009C6B04"/>
    <w:rsid w:val="009C75D1"/>
    <w:rsid w:val="009C7694"/>
    <w:rsid w:val="009D0570"/>
    <w:rsid w:val="009D24DC"/>
    <w:rsid w:val="009D3E5C"/>
    <w:rsid w:val="009D495C"/>
    <w:rsid w:val="009D5569"/>
    <w:rsid w:val="009D570F"/>
    <w:rsid w:val="009D5E88"/>
    <w:rsid w:val="009D6E1A"/>
    <w:rsid w:val="009D7294"/>
    <w:rsid w:val="009E1690"/>
    <w:rsid w:val="009E18AF"/>
    <w:rsid w:val="009E2C9D"/>
    <w:rsid w:val="009E2CDD"/>
    <w:rsid w:val="009E3545"/>
    <w:rsid w:val="009E4FCE"/>
    <w:rsid w:val="009E522E"/>
    <w:rsid w:val="009F0ABA"/>
    <w:rsid w:val="009F0AF5"/>
    <w:rsid w:val="009F1F35"/>
    <w:rsid w:val="009F3F9F"/>
    <w:rsid w:val="00A02199"/>
    <w:rsid w:val="00A026A4"/>
    <w:rsid w:val="00A04044"/>
    <w:rsid w:val="00A07E49"/>
    <w:rsid w:val="00A11D0C"/>
    <w:rsid w:val="00A16579"/>
    <w:rsid w:val="00A21E16"/>
    <w:rsid w:val="00A21E83"/>
    <w:rsid w:val="00A24843"/>
    <w:rsid w:val="00A25771"/>
    <w:rsid w:val="00A26D48"/>
    <w:rsid w:val="00A275D8"/>
    <w:rsid w:val="00A30C53"/>
    <w:rsid w:val="00A31C7C"/>
    <w:rsid w:val="00A33EDA"/>
    <w:rsid w:val="00A35CF5"/>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5DF6"/>
    <w:rsid w:val="00A6691F"/>
    <w:rsid w:val="00A67E6A"/>
    <w:rsid w:val="00A70F49"/>
    <w:rsid w:val="00A72203"/>
    <w:rsid w:val="00A7281F"/>
    <w:rsid w:val="00A73949"/>
    <w:rsid w:val="00A76707"/>
    <w:rsid w:val="00A7697E"/>
    <w:rsid w:val="00A76E20"/>
    <w:rsid w:val="00A8284E"/>
    <w:rsid w:val="00A86DBB"/>
    <w:rsid w:val="00A870EE"/>
    <w:rsid w:val="00A8721A"/>
    <w:rsid w:val="00A91D91"/>
    <w:rsid w:val="00A96F81"/>
    <w:rsid w:val="00A9709D"/>
    <w:rsid w:val="00AA054E"/>
    <w:rsid w:val="00AA0A10"/>
    <w:rsid w:val="00AA2094"/>
    <w:rsid w:val="00AA2947"/>
    <w:rsid w:val="00AB0B42"/>
    <w:rsid w:val="00AB1894"/>
    <w:rsid w:val="00AB22DF"/>
    <w:rsid w:val="00AB30EA"/>
    <w:rsid w:val="00AB458B"/>
    <w:rsid w:val="00AB45E4"/>
    <w:rsid w:val="00AB6157"/>
    <w:rsid w:val="00AB6789"/>
    <w:rsid w:val="00AB7542"/>
    <w:rsid w:val="00AB7EAF"/>
    <w:rsid w:val="00AC022D"/>
    <w:rsid w:val="00AC0629"/>
    <w:rsid w:val="00AC538F"/>
    <w:rsid w:val="00AC70C7"/>
    <w:rsid w:val="00AC79E0"/>
    <w:rsid w:val="00AD1994"/>
    <w:rsid w:val="00AD32CE"/>
    <w:rsid w:val="00AD5187"/>
    <w:rsid w:val="00AD628F"/>
    <w:rsid w:val="00AD6B11"/>
    <w:rsid w:val="00AD6B34"/>
    <w:rsid w:val="00AD6F90"/>
    <w:rsid w:val="00AE0286"/>
    <w:rsid w:val="00AE0EDC"/>
    <w:rsid w:val="00AE247F"/>
    <w:rsid w:val="00AE4A24"/>
    <w:rsid w:val="00AE4FC7"/>
    <w:rsid w:val="00AF01E3"/>
    <w:rsid w:val="00AF23AE"/>
    <w:rsid w:val="00AF2EF7"/>
    <w:rsid w:val="00AF3741"/>
    <w:rsid w:val="00AF3B5C"/>
    <w:rsid w:val="00AF77A7"/>
    <w:rsid w:val="00B0014A"/>
    <w:rsid w:val="00B00B50"/>
    <w:rsid w:val="00B00DB2"/>
    <w:rsid w:val="00B016E3"/>
    <w:rsid w:val="00B02B0B"/>
    <w:rsid w:val="00B03817"/>
    <w:rsid w:val="00B04283"/>
    <w:rsid w:val="00B04939"/>
    <w:rsid w:val="00B05A94"/>
    <w:rsid w:val="00B05BA8"/>
    <w:rsid w:val="00B0741D"/>
    <w:rsid w:val="00B07AD8"/>
    <w:rsid w:val="00B07B20"/>
    <w:rsid w:val="00B1081B"/>
    <w:rsid w:val="00B11879"/>
    <w:rsid w:val="00B131A5"/>
    <w:rsid w:val="00B1405E"/>
    <w:rsid w:val="00B14F01"/>
    <w:rsid w:val="00B15525"/>
    <w:rsid w:val="00B15C0B"/>
    <w:rsid w:val="00B174BA"/>
    <w:rsid w:val="00B17AF3"/>
    <w:rsid w:val="00B223B5"/>
    <w:rsid w:val="00B22769"/>
    <w:rsid w:val="00B229AD"/>
    <w:rsid w:val="00B237BC"/>
    <w:rsid w:val="00B269F0"/>
    <w:rsid w:val="00B26EBB"/>
    <w:rsid w:val="00B27499"/>
    <w:rsid w:val="00B31F1D"/>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3975"/>
    <w:rsid w:val="00B543D6"/>
    <w:rsid w:val="00B556B0"/>
    <w:rsid w:val="00B57687"/>
    <w:rsid w:val="00B578E3"/>
    <w:rsid w:val="00B57CE5"/>
    <w:rsid w:val="00B61936"/>
    <w:rsid w:val="00B648F2"/>
    <w:rsid w:val="00B655D1"/>
    <w:rsid w:val="00B73FF2"/>
    <w:rsid w:val="00B74CBA"/>
    <w:rsid w:val="00B74ED3"/>
    <w:rsid w:val="00B768CF"/>
    <w:rsid w:val="00B81A44"/>
    <w:rsid w:val="00B86BB5"/>
    <w:rsid w:val="00B91072"/>
    <w:rsid w:val="00B91B6E"/>
    <w:rsid w:val="00B94B2C"/>
    <w:rsid w:val="00B94DED"/>
    <w:rsid w:val="00B96F7D"/>
    <w:rsid w:val="00B970D0"/>
    <w:rsid w:val="00BA232B"/>
    <w:rsid w:val="00BA49F4"/>
    <w:rsid w:val="00BA5C41"/>
    <w:rsid w:val="00BA6ACA"/>
    <w:rsid w:val="00BA7232"/>
    <w:rsid w:val="00BA7809"/>
    <w:rsid w:val="00BB449C"/>
    <w:rsid w:val="00BB44D7"/>
    <w:rsid w:val="00BB5F80"/>
    <w:rsid w:val="00BC2561"/>
    <w:rsid w:val="00BC3E3E"/>
    <w:rsid w:val="00BC422A"/>
    <w:rsid w:val="00BC5128"/>
    <w:rsid w:val="00BC5608"/>
    <w:rsid w:val="00BD04B4"/>
    <w:rsid w:val="00BD04C9"/>
    <w:rsid w:val="00BD3536"/>
    <w:rsid w:val="00BD37FD"/>
    <w:rsid w:val="00BE0B46"/>
    <w:rsid w:val="00BE225E"/>
    <w:rsid w:val="00BE237E"/>
    <w:rsid w:val="00BE3703"/>
    <w:rsid w:val="00BE567F"/>
    <w:rsid w:val="00BE7A4E"/>
    <w:rsid w:val="00BF0A29"/>
    <w:rsid w:val="00BF25CD"/>
    <w:rsid w:val="00BF5553"/>
    <w:rsid w:val="00BF75CD"/>
    <w:rsid w:val="00C00F1C"/>
    <w:rsid w:val="00C0234C"/>
    <w:rsid w:val="00C0346D"/>
    <w:rsid w:val="00C0358F"/>
    <w:rsid w:val="00C03BB0"/>
    <w:rsid w:val="00C041CF"/>
    <w:rsid w:val="00C06576"/>
    <w:rsid w:val="00C0696A"/>
    <w:rsid w:val="00C07455"/>
    <w:rsid w:val="00C10E93"/>
    <w:rsid w:val="00C12034"/>
    <w:rsid w:val="00C1396B"/>
    <w:rsid w:val="00C1698A"/>
    <w:rsid w:val="00C17E6C"/>
    <w:rsid w:val="00C2450B"/>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690"/>
    <w:rsid w:val="00C62A53"/>
    <w:rsid w:val="00C709F9"/>
    <w:rsid w:val="00C73A70"/>
    <w:rsid w:val="00C76054"/>
    <w:rsid w:val="00C779A2"/>
    <w:rsid w:val="00C80546"/>
    <w:rsid w:val="00C82937"/>
    <w:rsid w:val="00C83CAD"/>
    <w:rsid w:val="00C8419E"/>
    <w:rsid w:val="00C850FF"/>
    <w:rsid w:val="00C851A7"/>
    <w:rsid w:val="00C851D7"/>
    <w:rsid w:val="00C85C8B"/>
    <w:rsid w:val="00C86694"/>
    <w:rsid w:val="00C867AD"/>
    <w:rsid w:val="00C87C9F"/>
    <w:rsid w:val="00C87F9F"/>
    <w:rsid w:val="00C9545D"/>
    <w:rsid w:val="00C9625C"/>
    <w:rsid w:val="00C978C6"/>
    <w:rsid w:val="00C97F2A"/>
    <w:rsid w:val="00CA03C5"/>
    <w:rsid w:val="00CA112D"/>
    <w:rsid w:val="00CA1F9F"/>
    <w:rsid w:val="00CA2179"/>
    <w:rsid w:val="00CA3D8A"/>
    <w:rsid w:val="00CA6C03"/>
    <w:rsid w:val="00CB4B3E"/>
    <w:rsid w:val="00CB4B66"/>
    <w:rsid w:val="00CB4B84"/>
    <w:rsid w:val="00CB50EF"/>
    <w:rsid w:val="00CB623F"/>
    <w:rsid w:val="00CB791A"/>
    <w:rsid w:val="00CB7D1B"/>
    <w:rsid w:val="00CC11DF"/>
    <w:rsid w:val="00CC1A6E"/>
    <w:rsid w:val="00CC1ED6"/>
    <w:rsid w:val="00CC2101"/>
    <w:rsid w:val="00CC3F62"/>
    <w:rsid w:val="00CC536E"/>
    <w:rsid w:val="00CC59DD"/>
    <w:rsid w:val="00CC6348"/>
    <w:rsid w:val="00CC71A9"/>
    <w:rsid w:val="00CC7FC6"/>
    <w:rsid w:val="00CD2265"/>
    <w:rsid w:val="00CD47B2"/>
    <w:rsid w:val="00CD5AFD"/>
    <w:rsid w:val="00CD6D82"/>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15B"/>
    <w:rsid w:val="00D2590F"/>
    <w:rsid w:val="00D27150"/>
    <w:rsid w:val="00D27EB3"/>
    <w:rsid w:val="00D32ABD"/>
    <w:rsid w:val="00D35E02"/>
    <w:rsid w:val="00D41425"/>
    <w:rsid w:val="00D42E1E"/>
    <w:rsid w:val="00D46275"/>
    <w:rsid w:val="00D467CA"/>
    <w:rsid w:val="00D4759B"/>
    <w:rsid w:val="00D500A4"/>
    <w:rsid w:val="00D51205"/>
    <w:rsid w:val="00D516FC"/>
    <w:rsid w:val="00D51F2D"/>
    <w:rsid w:val="00D535EE"/>
    <w:rsid w:val="00D54FC4"/>
    <w:rsid w:val="00D57191"/>
    <w:rsid w:val="00D574C1"/>
    <w:rsid w:val="00D57615"/>
    <w:rsid w:val="00D577C9"/>
    <w:rsid w:val="00D606B7"/>
    <w:rsid w:val="00D61A94"/>
    <w:rsid w:val="00D62282"/>
    <w:rsid w:val="00D6356C"/>
    <w:rsid w:val="00D64223"/>
    <w:rsid w:val="00D64A32"/>
    <w:rsid w:val="00D64CE2"/>
    <w:rsid w:val="00D6553A"/>
    <w:rsid w:val="00D657CA"/>
    <w:rsid w:val="00D67229"/>
    <w:rsid w:val="00D73338"/>
    <w:rsid w:val="00D775F3"/>
    <w:rsid w:val="00D77868"/>
    <w:rsid w:val="00D77F25"/>
    <w:rsid w:val="00D82683"/>
    <w:rsid w:val="00D84C2A"/>
    <w:rsid w:val="00D8709D"/>
    <w:rsid w:val="00D9064B"/>
    <w:rsid w:val="00D91EF6"/>
    <w:rsid w:val="00D93CAA"/>
    <w:rsid w:val="00D95F54"/>
    <w:rsid w:val="00D978C6"/>
    <w:rsid w:val="00DA03F6"/>
    <w:rsid w:val="00DA134A"/>
    <w:rsid w:val="00DA1A2E"/>
    <w:rsid w:val="00DA3413"/>
    <w:rsid w:val="00DA342C"/>
    <w:rsid w:val="00DA426E"/>
    <w:rsid w:val="00DA4339"/>
    <w:rsid w:val="00DA4B1B"/>
    <w:rsid w:val="00DA4EFC"/>
    <w:rsid w:val="00DA59F0"/>
    <w:rsid w:val="00DA648D"/>
    <w:rsid w:val="00DA726D"/>
    <w:rsid w:val="00DB342E"/>
    <w:rsid w:val="00DB3DEA"/>
    <w:rsid w:val="00DB40BD"/>
    <w:rsid w:val="00DB4B8E"/>
    <w:rsid w:val="00DB4F4B"/>
    <w:rsid w:val="00DC070F"/>
    <w:rsid w:val="00DC3858"/>
    <w:rsid w:val="00DC3A57"/>
    <w:rsid w:val="00DC7A95"/>
    <w:rsid w:val="00DD016E"/>
    <w:rsid w:val="00DD0A2D"/>
    <w:rsid w:val="00DD55C2"/>
    <w:rsid w:val="00DD759E"/>
    <w:rsid w:val="00DE314E"/>
    <w:rsid w:val="00DE4CFB"/>
    <w:rsid w:val="00DE6948"/>
    <w:rsid w:val="00DF045B"/>
    <w:rsid w:val="00DF1ED8"/>
    <w:rsid w:val="00DF3785"/>
    <w:rsid w:val="00DF3D27"/>
    <w:rsid w:val="00DF6074"/>
    <w:rsid w:val="00DF75D4"/>
    <w:rsid w:val="00E02239"/>
    <w:rsid w:val="00E047EC"/>
    <w:rsid w:val="00E051A7"/>
    <w:rsid w:val="00E06BFC"/>
    <w:rsid w:val="00E072AF"/>
    <w:rsid w:val="00E07D42"/>
    <w:rsid w:val="00E14CE4"/>
    <w:rsid w:val="00E163E9"/>
    <w:rsid w:val="00E164DD"/>
    <w:rsid w:val="00E240F5"/>
    <w:rsid w:val="00E24FE3"/>
    <w:rsid w:val="00E266D2"/>
    <w:rsid w:val="00E30004"/>
    <w:rsid w:val="00E31B05"/>
    <w:rsid w:val="00E333AC"/>
    <w:rsid w:val="00E34110"/>
    <w:rsid w:val="00E3456B"/>
    <w:rsid w:val="00E35C16"/>
    <w:rsid w:val="00E36085"/>
    <w:rsid w:val="00E36813"/>
    <w:rsid w:val="00E42382"/>
    <w:rsid w:val="00E603DF"/>
    <w:rsid w:val="00E63745"/>
    <w:rsid w:val="00E66770"/>
    <w:rsid w:val="00E6699F"/>
    <w:rsid w:val="00E669D2"/>
    <w:rsid w:val="00E67B40"/>
    <w:rsid w:val="00E703AE"/>
    <w:rsid w:val="00E72373"/>
    <w:rsid w:val="00E76AF9"/>
    <w:rsid w:val="00E83982"/>
    <w:rsid w:val="00E84EF0"/>
    <w:rsid w:val="00E8649C"/>
    <w:rsid w:val="00E87886"/>
    <w:rsid w:val="00E87CDE"/>
    <w:rsid w:val="00E91FC1"/>
    <w:rsid w:val="00E920D8"/>
    <w:rsid w:val="00E92D54"/>
    <w:rsid w:val="00E9323C"/>
    <w:rsid w:val="00E95FD8"/>
    <w:rsid w:val="00EA0283"/>
    <w:rsid w:val="00EA5DE1"/>
    <w:rsid w:val="00EA6C24"/>
    <w:rsid w:val="00EB0C86"/>
    <w:rsid w:val="00EB0E16"/>
    <w:rsid w:val="00EB1A57"/>
    <w:rsid w:val="00EB222B"/>
    <w:rsid w:val="00EB236F"/>
    <w:rsid w:val="00EB237E"/>
    <w:rsid w:val="00EC1546"/>
    <w:rsid w:val="00EC5B23"/>
    <w:rsid w:val="00EC5DED"/>
    <w:rsid w:val="00EC6BD8"/>
    <w:rsid w:val="00ED0356"/>
    <w:rsid w:val="00ED0D71"/>
    <w:rsid w:val="00ED3DCD"/>
    <w:rsid w:val="00ED3DD5"/>
    <w:rsid w:val="00ED56BE"/>
    <w:rsid w:val="00ED74D7"/>
    <w:rsid w:val="00EE1F80"/>
    <w:rsid w:val="00EE2342"/>
    <w:rsid w:val="00EE40F8"/>
    <w:rsid w:val="00EE6DD6"/>
    <w:rsid w:val="00EF0867"/>
    <w:rsid w:val="00EF1A10"/>
    <w:rsid w:val="00EF1A9F"/>
    <w:rsid w:val="00EF1B27"/>
    <w:rsid w:val="00EF37A6"/>
    <w:rsid w:val="00EF4370"/>
    <w:rsid w:val="00EF5AD7"/>
    <w:rsid w:val="00F01247"/>
    <w:rsid w:val="00F03FA7"/>
    <w:rsid w:val="00F048EF"/>
    <w:rsid w:val="00F04BB8"/>
    <w:rsid w:val="00F05337"/>
    <w:rsid w:val="00F060C4"/>
    <w:rsid w:val="00F06AAD"/>
    <w:rsid w:val="00F12CCF"/>
    <w:rsid w:val="00F146BE"/>
    <w:rsid w:val="00F22013"/>
    <w:rsid w:val="00F22356"/>
    <w:rsid w:val="00F226E0"/>
    <w:rsid w:val="00F2522F"/>
    <w:rsid w:val="00F30180"/>
    <w:rsid w:val="00F31A29"/>
    <w:rsid w:val="00F3279A"/>
    <w:rsid w:val="00F35917"/>
    <w:rsid w:val="00F37236"/>
    <w:rsid w:val="00F44634"/>
    <w:rsid w:val="00F46498"/>
    <w:rsid w:val="00F505EC"/>
    <w:rsid w:val="00F5088F"/>
    <w:rsid w:val="00F51657"/>
    <w:rsid w:val="00F5223C"/>
    <w:rsid w:val="00F57787"/>
    <w:rsid w:val="00F61E82"/>
    <w:rsid w:val="00F6243A"/>
    <w:rsid w:val="00F63323"/>
    <w:rsid w:val="00F636FE"/>
    <w:rsid w:val="00F648B2"/>
    <w:rsid w:val="00F67EBD"/>
    <w:rsid w:val="00F7099A"/>
    <w:rsid w:val="00F70EA4"/>
    <w:rsid w:val="00F77851"/>
    <w:rsid w:val="00F80FAB"/>
    <w:rsid w:val="00F81E3B"/>
    <w:rsid w:val="00F827E1"/>
    <w:rsid w:val="00F8794C"/>
    <w:rsid w:val="00F927B5"/>
    <w:rsid w:val="00F94BD0"/>
    <w:rsid w:val="00F95403"/>
    <w:rsid w:val="00F95E7F"/>
    <w:rsid w:val="00F966F4"/>
    <w:rsid w:val="00F96705"/>
    <w:rsid w:val="00F96750"/>
    <w:rsid w:val="00F9704D"/>
    <w:rsid w:val="00F97E79"/>
    <w:rsid w:val="00FA0166"/>
    <w:rsid w:val="00FA2400"/>
    <w:rsid w:val="00FA33E9"/>
    <w:rsid w:val="00FA55C8"/>
    <w:rsid w:val="00FA71B1"/>
    <w:rsid w:val="00FA74C6"/>
    <w:rsid w:val="00FB24ED"/>
    <w:rsid w:val="00FB29AF"/>
    <w:rsid w:val="00FB313D"/>
    <w:rsid w:val="00FB3745"/>
    <w:rsid w:val="00FB4003"/>
    <w:rsid w:val="00FB4EBA"/>
    <w:rsid w:val="00FB61AB"/>
    <w:rsid w:val="00FB7086"/>
    <w:rsid w:val="00FC6733"/>
    <w:rsid w:val="00FD07AB"/>
    <w:rsid w:val="00FD2677"/>
    <w:rsid w:val="00FD28B8"/>
    <w:rsid w:val="00FD49E5"/>
    <w:rsid w:val="00FE0BD8"/>
    <w:rsid w:val="00FE1709"/>
    <w:rsid w:val="00FE1FC9"/>
    <w:rsid w:val="00FE2EBF"/>
    <w:rsid w:val="00FE360A"/>
    <w:rsid w:val="00FF32DE"/>
    <w:rsid w:val="00FF3FE2"/>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B00DC62"/>
  <w15:docId w15:val="{A5687D38-44B2-4F53-8A80-CB2D04C0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497C36"/>
    <w:pPr>
      <w:numPr>
        <w:numId w:val="20"/>
      </w:numPr>
      <w:autoSpaceDE w:val="0"/>
      <w:autoSpaceDN w:val="0"/>
      <w:adjustRightInd w:val="0"/>
      <w:contextualSpacing/>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2E0170"/>
    <w:pPr>
      <w:numPr>
        <w:numId w:val="9"/>
      </w:numPr>
      <w:spacing w:after="250" w:line="276" w:lineRule="auto"/>
      <w:ind w:left="284"/>
      <w:contextualSpacing/>
      <w:jc w:val="both"/>
    </w:pPr>
    <w:rPr>
      <w:rFonts w:asciiTheme="minorHAnsi" w:hAnsiTheme="minorHAnsi" w:cstheme="minorHAnsi"/>
      <w:sz w:val="22"/>
      <w:szCs w:val="22"/>
    </w:rPr>
  </w:style>
  <w:style w:type="character" w:customStyle="1" w:styleId="QuestionstyleChar">
    <w:name w:val="Question style Char"/>
    <w:basedOn w:val="DefaultParagraphFont"/>
    <w:link w:val="Questionstyle"/>
    <w:rsid w:val="002E0170"/>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497C36"/>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77237312">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395052890">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6543215">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6589894">
      <w:bodyDiv w:val="1"/>
      <w:marLeft w:val="0"/>
      <w:marRight w:val="0"/>
      <w:marTop w:val="0"/>
      <w:marBottom w:val="0"/>
      <w:divBdr>
        <w:top w:val="none" w:sz="0" w:space="0" w:color="auto"/>
        <w:left w:val="none" w:sz="0" w:space="0" w:color="auto"/>
        <w:bottom w:val="none" w:sz="0" w:space="0" w:color="auto"/>
        <w:right w:val="none" w:sz="0" w:space="0" w:color="auto"/>
      </w:divBdr>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788595761">
      <w:bodyDiv w:val="1"/>
      <w:marLeft w:val="0"/>
      <w:marRight w:val="0"/>
      <w:marTop w:val="0"/>
      <w:marBottom w:val="0"/>
      <w:divBdr>
        <w:top w:val="none" w:sz="0" w:space="0" w:color="auto"/>
        <w:left w:val="none" w:sz="0" w:space="0" w:color="auto"/>
        <w:bottom w:val="none" w:sz="0" w:space="0" w:color="auto"/>
        <w:right w:val="none" w:sz="0" w:space="0" w:color="auto"/>
      </w:divBdr>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44542702">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405323">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729037802">
      <w:bodyDiv w:val="1"/>
      <w:marLeft w:val="0"/>
      <w:marRight w:val="0"/>
      <w:marTop w:val="0"/>
      <w:marBottom w:val="0"/>
      <w:divBdr>
        <w:top w:val="none" w:sz="0" w:space="0" w:color="auto"/>
        <w:left w:val="none" w:sz="0" w:space="0" w:color="auto"/>
        <w:bottom w:val="none" w:sz="0" w:space="0" w:color="auto"/>
        <w:right w:val="none" w:sz="0" w:space="0" w:color="auto"/>
      </w:divBdr>
    </w:div>
    <w:div w:id="1928683393">
      <w:bodyDiv w:val="1"/>
      <w:marLeft w:val="0"/>
      <w:marRight w:val="0"/>
      <w:marTop w:val="0"/>
      <w:marBottom w:val="0"/>
      <w:divBdr>
        <w:top w:val="none" w:sz="0" w:space="0" w:color="auto"/>
        <w:left w:val="none" w:sz="0" w:space="0" w:color="auto"/>
        <w:bottom w:val="none" w:sz="0" w:space="0" w:color="auto"/>
        <w:right w:val="none" w:sz="0" w:space="0" w:color="auto"/>
      </w:divBdr>
    </w:div>
    <w:div w:id="1970477557">
      <w:bodyDiv w:val="1"/>
      <w:marLeft w:val="0"/>
      <w:marRight w:val="0"/>
      <w:marTop w:val="0"/>
      <w:marBottom w:val="0"/>
      <w:divBdr>
        <w:top w:val="none" w:sz="0" w:space="0" w:color="auto"/>
        <w:left w:val="none" w:sz="0" w:space="0" w:color="auto"/>
        <w:bottom w:val="none" w:sz="0" w:space="0" w:color="auto"/>
        <w:right w:val="none" w:sz="0" w:space="0" w:color="auto"/>
      </w:divBdr>
    </w:div>
    <w:div w:id="1977444456">
      <w:bodyDiv w:val="1"/>
      <w:marLeft w:val="0"/>
      <w:marRight w:val="0"/>
      <w:marTop w:val="0"/>
      <w:marBottom w:val="0"/>
      <w:divBdr>
        <w:top w:val="none" w:sz="0" w:space="0" w:color="auto"/>
        <w:left w:val="none" w:sz="0" w:space="0" w:color="auto"/>
        <w:bottom w:val="none" w:sz="0" w:space="0" w:color="auto"/>
        <w:right w:val="none" w:sz="0" w:space="0" w:color="auto"/>
      </w:divBdr>
    </w:div>
    <w:div w:id="2021858701">
      <w:bodyDiv w:val="1"/>
      <w:marLeft w:val="0"/>
      <w:marRight w:val="0"/>
      <w:marTop w:val="0"/>
      <w:marBottom w:val="0"/>
      <w:divBdr>
        <w:top w:val="none" w:sz="0" w:space="0" w:color="auto"/>
        <w:left w:val="none" w:sz="0" w:space="0" w:color="auto"/>
        <w:bottom w:val="none" w:sz="0" w:space="0" w:color="auto"/>
        <w:right w:val="none" w:sz="0" w:space="0" w:color="auto"/>
      </w:divBdr>
    </w:div>
    <w:div w:id="2055079437">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0205831">
      <w:bodyDiv w:val="1"/>
      <w:marLeft w:val="0"/>
      <w:marRight w:val="0"/>
      <w:marTop w:val="0"/>
      <w:marBottom w:val="0"/>
      <w:divBdr>
        <w:top w:val="none" w:sz="0" w:space="0" w:color="auto"/>
        <w:left w:val="none" w:sz="0" w:space="0" w:color="auto"/>
        <w:bottom w:val="none" w:sz="0" w:space="0" w:color="auto"/>
        <w:right w:val="none" w:sz="0" w:space="0" w:color="auto"/>
      </w:divBdr>
    </w:div>
    <w:div w:id="2081057329">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esma.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esma.europa.eu/legal-not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66F4A63F03384D85510FA06918D1F8" ma:contentTypeVersion="9" ma:contentTypeDescription="Create a new document." ma:contentTypeScope="" ma:versionID="20c3adba638777643f42b276d18f464d">
  <xsd:schema xmlns:xsd="http://www.w3.org/2001/XMLSchema" xmlns:xs="http://www.w3.org/2001/XMLSchema" xmlns:p="http://schemas.microsoft.com/office/2006/metadata/properties" xmlns:ns3="2702c7ea-409b-442c-8112-166e84e90e29" xmlns:ns4="ea52658c-4528-4efb-a266-2df1bebd8bd0" targetNamespace="http://schemas.microsoft.com/office/2006/metadata/properties" ma:root="true" ma:fieldsID="3c3df389ec3ddbea5447bcf192388594" ns3:_="" ns4:_="">
    <xsd:import namespace="2702c7ea-409b-442c-8112-166e84e90e29"/>
    <xsd:import namespace="ea52658c-4528-4efb-a266-2df1bebd8bd0"/>
    <xsd:element name="properties">
      <xsd:complexType>
        <xsd:sequence>
          <xsd:element name="documentManagement">
            <xsd:complexType>
              <xsd:all>
                <xsd:element ref="ns3:SharedWithUsers" minOccurs="0"/>
                <xsd:element ref="ns3:SharedWithDetails" minOccurs="0"/>
                <xsd:element ref="ns3:SharingHintHash" minOccurs="0"/>
                <xsd:element ref="ns3:LastSharedByTime" minOccurs="0"/>
                <xsd:element ref="ns3:LastSharedByUser"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2c7ea-409b-442c-8112-166e84e90e2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Time" ma:index="11" nillable="true" ma:displayName="Last Shared By Time" ma:description="" ma:internalName="LastSharedByTime" ma:readOnly="true">
      <xsd:simpleType>
        <xsd:restriction base="dms:DateTime"/>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52658c-4528-4efb-a266-2df1bebd8bd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2.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5ABC3A-8651-4973-88A0-F817938EC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2c7ea-409b-442c-8112-166e84e90e29"/>
    <ds:schemaRef ds:uri="ea52658c-4528-4efb-a266-2df1bebd8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27CBEA-1181-42A5-ADAA-462D1715B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39</TotalTime>
  <Pages>16</Pages>
  <Words>5176</Words>
  <Characters>29504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34611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Conor Kilroy</cp:lastModifiedBy>
  <cp:revision>8</cp:revision>
  <cp:lastPrinted>2019-10-31T15:58:00Z</cp:lastPrinted>
  <dcterms:created xsi:type="dcterms:W3CDTF">2019-10-31T15:51:00Z</dcterms:created>
  <dcterms:modified xsi:type="dcterms:W3CDTF">2019-10-31T16:48:00Z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15;#Regular|07f1e362-856b-423d-bea6-a14079762141</vt:lpwstr>
  </property>
  <property fmtid="{D5CDD505-2E9C-101B-9397-08002B2CF9AE}" pid="4" name="ContentTypeId">
    <vt:lpwstr>0x010100E066F4A63F03384D85510FA06918D1F8</vt:lpwstr>
  </property>
  <property fmtid="{D5CDD505-2E9C-101B-9397-08002B2CF9AE}" pid="5" name="_dlc_DocIdItemGuid">
    <vt:lpwstr>ba31aa55-4212-4994-b15b-839c38dc9023</vt:lpwstr>
  </property>
  <property fmtid="{D5CDD505-2E9C-101B-9397-08002B2CF9AE}" pid="6" name="DocumentType">
    <vt:lpwstr>63;#Report|78753201-1e9e-4a21-a088-6ff602b5c999</vt:lpwstr>
  </property>
  <property fmtid="{D5CDD505-2E9C-101B-9397-08002B2CF9AE}" pid="7" name="Topic">
    <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38;#Investment Management|9630b78b-e81c-4ffd-baef-5f8b4aeb7ac5</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83;#CSDR Guidelines|3766e6b8-c718-4d18-ace1-7788cb47febc</vt:lpwstr>
  </property>
  <property fmtid="{D5CDD505-2E9C-101B-9397-08002B2CF9AE}" pid="18" name="TeamTopic">
    <vt:lpwstr>87;#Other Work|f1a52b52-917d-42ef-9667-945839604bb2</vt:lpwstr>
  </property>
</Properties>
</file>