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50F13" w14:textId="77777777" w:rsidR="007138F9" w:rsidRDefault="007138F9" w:rsidP="001F6354">
      <w:pPr>
        <w:spacing w:line="276"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p>
    <w:sdt>
      <w:sdtPr>
        <w:rPr>
          <w:rFonts w:asciiTheme="minorHAnsi" w:hAnsiTheme="minorHAnsi" w:cstheme="minorHAnsi"/>
        </w:rPr>
        <w:id w:val="-973058580"/>
        <w:docPartObj>
          <w:docPartGallery w:val="Cover Pages"/>
          <w:docPartUnique/>
        </w:docPartObj>
      </w:sdtPr>
      <w:sdtEndPr>
        <w:rPr>
          <w:highlight w:val="yellow"/>
        </w:rPr>
      </w:sdtEndPr>
      <w:sdtContent>
        <w:p w14:paraId="34B01974" w14:textId="77777777" w:rsidR="00AF2EF7" w:rsidRPr="00B8572C" w:rsidRDefault="00AF2EF7" w:rsidP="001F6354">
          <w:pPr>
            <w:spacing w:line="276" w:lineRule="auto"/>
            <w:jc w:val="both"/>
            <w:rPr>
              <w:rFonts w:asciiTheme="minorHAnsi" w:hAnsiTheme="minorHAnsi" w:cstheme="minorHAnsi"/>
              <w:color w:val="FF0000"/>
            </w:rPr>
          </w:pPr>
        </w:p>
        <w:p w14:paraId="62CD50E7" w14:textId="77777777" w:rsidR="00AF2EF7" w:rsidRPr="00B8572C" w:rsidRDefault="00AF2EF7" w:rsidP="001F6354">
          <w:pPr>
            <w:spacing w:after="120" w:line="276" w:lineRule="auto"/>
            <w:jc w:val="both"/>
            <w:rPr>
              <w:rFonts w:asciiTheme="minorHAnsi" w:hAnsiTheme="minorHAnsi" w:cstheme="minorHAnsi"/>
            </w:rPr>
          </w:pPr>
        </w:p>
        <w:p w14:paraId="79A59EFB" w14:textId="77777777" w:rsidR="00AF2EF7" w:rsidRPr="00B8572C" w:rsidRDefault="00AF2EF7" w:rsidP="001F6354">
          <w:pPr>
            <w:spacing w:line="276" w:lineRule="auto"/>
            <w:jc w:val="both"/>
            <w:rPr>
              <w:rFonts w:asciiTheme="minorHAnsi" w:hAnsiTheme="minorHAnsi" w:cstheme="minorHAnsi"/>
            </w:rPr>
          </w:pPr>
        </w:p>
        <w:p w14:paraId="61D1070E" w14:textId="77777777" w:rsidR="00AF2EF7" w:rsidRPr="00B8572C" w:rsidRDefault="00AF2EF7" w:rsidP="001F6354">
          <w:pPr>
            <w:spacing w:line="276" w:lineRule="auto"/>
            <w:jc w:val="both"/>
            <w:rPr>
              <w:rFonts w:asciiTheme="minorHAnsi" w:hAnsiTheme="minorHAnsi" w:cstheme="minorHAnsi"/>
            </w:rPr>
          </w:pPr>
        </w:p>
        <w:p w14:paraId="2B08984D" w14:textId="77777777" w:rsidR="00AF2EF7" w:rsidRPr="00B8572C" w:rsidRDefault="00AF2EF7" w:rsidP="001F6354">
          <w:pPr>
            <w:spacing w:line="276" w:lineRule="auto"/>
            <w:jc w:val="both"/>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1A1BFE79" w14:textId="77777777" w:rsidTr="00D13661">
            <w:trPr>
              <w:trHeight w:hRule="exact" w:val="1492"/>
            </w:trPr>
            <w:tc>
              <w:tcPr>
                <w:tcW w:w="10490" w:type="dxa"/>
                <w:vAlign w:val="bottom"/>
              </w:tcPr>
              <w:p w14:paraId="03C79140" w14:textId="77777777" w:rsidR="00AF2EF7" w:rsidRPr="00B8572C" w:rsidRDefault="00C1698A" w:rsidP="001F6354">
                <w:pPr>
                  <w:pStyle w:val="Title"/>
                  <w:spacing w:line="276" w:lineRule="auto"/>
                  <w:ind w:right="854"/>
                  <w:jc w:val="both"/>
                  <w:rPr>
                    <w:rFonts w:asciiTheme="minorHAnsi" w:hAnsiTheme="minorHAnsi" w:cstheme="minorHAnsi"/>
                    <w:sz w:val="48"/>
                    <w:szCs w:val="48"/>
                  </w:rPr>
                </w:pPr>
                <w:r>
                  <w:rPr>
                    <w:rFonts w:asciiTheme="minorHAnsi" w:hAnsiTheme="minorHAnsi" w:cstheme="minorHAnsi"/>
                    <w:sz w:val="48"/>
                    <w:szCs w:val="48"/>
                  </w:rPr>
                  <w:t xml:space="preserve">Response Form to the </w:t>
                </w:r>
                <w:r w:rsidR="008B2AF1">
                  <w:rPr>
                    <w:rFonts w:asciiTheme="minorHAnsi" w:hAnsiTheme="minorHAnsi" w:cstheme="minorHAnsi"/>
                    <w:sz w:val="48"/>
                    <w:szCs w:val="48"/>
                  </w:rPr>
                  <w:t xml:space="preserve">Consultation Paper </w:t>
                </w:r>
              </w:p>
            </w:tc>
          </w:tr>
          <w:tr w:rsidR="00AB6157" w:rsidRPr="00B8572C" w14:paraId="36359A13" w14:textId="77777777" w:rsidTr="00D13661">
            <w:trPr>
              <w:trHeight w:hRule="exact" w:val="747"/>
            </w:trPr>
            <w:tc>
              <w:tcPr>
                <w:tcW w:w="10490" w:type="dxa"/>
                <w:tcMar>
                  <w:top w:w="142" w:type="dxa"/>
                </w:tcMar>
              </w:tcPr>
              <w:p w14:paraId="3EFE209A" w14:textId="77777777" w:rsidR="00AB6157" w:rsidRPr="00B8572C" w:rsidRDefault="001F23C9" w:rsidP="001F6354">
                <w:pPr>
                  <w:pStyle w:val="Heading2"/>
                  <w:numPr>
                    <w:ilvl w:val="0"/>
                    <w:numId w:val="0"/>
                  </w:numPr>
                  <w:spacing w:before="0"/>
                  <w:jc w:val="both"/>
                </w:pPr>
                <w:r w:rsidRPr="00FC3F6B">
                  <w:rPr>
                    <w:rFonts w:cs="Arial"/>
                  </w:rPr>
                  <w:t>Guidelines on performance fees in UCITS</w:t>
                </w:r>
                <w:r w:rsidRPr="00B8572C">
                  <w:t xml:space="preserve"> </w:t>
                </w:r>
              </w:p>
            </w:tc>
          </w:tr>
        </w:tbl>
        <w:p w14:paraId="4164947B" w14:textId="77777777" w:rsidR="00AF2EF7" w:rsidRPr="00B8572C" w:rsidRDefault="00AF2EF7" w:rsidP="001F6354">
          <w:pPr>
            <w:spacing w:line="276" w:lineRule="auto"/>
            <w:jc w:val="both"/>
            <w:rPr>
              <w:rFonts w:asciiTheme="minorHAnsi" w:hAnsiTheme="minorHAnsi" w:cstheme="minorHAnsi"/>
            </w:rPr>
          </w:pPr>
        </w:p>
        <w:p w14:paraId="4AA11AC2" w14:textId="77777777" w:rsidR="00AF2EF7" w:rsidRPr="00B8572C" w:rsidRDefault="00AF2EF7" w:rsidP="001F6354">
          <w:pPr>
            <w:spacing w:line="276" w:lineRule="auto"/>
            <w:jc w:val="both"/>
            <w:rPr>
              <w:rFonts w:asciiTheme="minorHAnsi" w:hAnsiTheme="minorHAnsi" w:cstheme="minorHAnsi"/>
            </w:rPr>
            <w:sectPr w:rsidR="00AF2EF7" w:rsidRPr="00B8572C"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218C69C8" w14:textId="77777777" w:rsidR="00AF2EF7" w:rsidRPr="00B8572C" w:rsidRDefault="00AF2EF7" w:rsidP="001F6354">
          <w:pPr>
            <w:numPr>
              <w:ilvl w:val="1"/>
              <w:numId w:val="0"/>
            </w:numPr>
            <w:spacing w:after="250" w:line="276" w:lineRule="auto"/>
            <w:jc w:val="both"/>
            <w:rPr>
              <w:rFonts w:asciiTheme="majorHAnsi" w:eastAsiaTheme="majorEastAsia" w:hAnsiTheme="majorHAnsi" w:cstheme="majorBidi"/>
              <w:b/>
              <w:sz w:val="28"/>
              <w:lang w:eastAsia="en-US"/>
            </w:rPr>
          </w:pPr>
        </w:p>
        <w:p w14:paraId="22C2E750" w14:textId="77777777" w:rsidR="00AF2EF7" w:rsidRPr="00B8572C" w:rsidRDefault="00AF2EF7" w:rsidP="001F6354">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2A30B0BF"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invites comments on all matters in this </w:t>
          </w:r>
          <w:r w:rsidR="001F23C9">
            <w:rPr>
              <w:rFonts w:asciiTheme="minorHAnsi" w:eastAsiaTheme="minorEastAsia" w:hAnsiTheme="minorHAnsi" w:cstheme="minorBidi"/>
              <w:sz w:val="22"/>
              <w:szCs w:val="20"/>
              <w:lang w:eastAsia="en-US"/>
            </w:rPr>
            <w:t xml:space="preserve">consultation </w:t>
          </w:r>
          <w:r w:rsidRPr="00AB6157">
            <w:rPr>
              <w:rFonts w:asciiTheme="minorHAnsi" w:eastAsiaTheme="minorEastAsia" w:hAnsiTheme="minorHAnsi" w:cstheme="minorBidi"/>
              <w:sz w:val="22"/>
              <w:szCs w:val="20"/>
              <w:lang w:eastAsia="en-US"/>
            </w:rPr>
            <w:t xml:space="preserve">paper and </w:t>
          </w:r>
          <w:r w:rsidRPr="001F23C9">
            <w:rPr>
              <w:rFonts w:asciiTheme="minorHAnsi" w:eastAsiaTheme="minorEastAsia" w:hAnsiTheme="minorHAnsi" w:cstheme="minorBidi"/>
              <w:sz w:val="22"/>
              <w:szCs w:val="20"/>
              <w:u w:val="dottedHeavy" w:color="BF8F00" w:themeColor="accent4" w:themeShade="BF"/>
              <w:lang w:eastAsia="en-US"/>
            </w:rPr>
            <w:t>in particular on</w:t>
          </w:r>
          <w:r w:rsidRPr="00AB6157">
            <w:rPr>
              <w:rFonts w:asciiTheme="minorHAnsi" w:eastAsiaTheme="minorEastAsia" w:hAnsiTheme="minorHAnsi" w:cstheme="minorBidi"/>
              <w:sz w:val="22"/>
              <w:szCs w:val="20"/>
              <w:lang w:eastAsia="en-US"/>
            </w:rPr>
            <w:t xml:space="preserve"> the specific questions summarised in Annex </w:t>
          </w:r>
          <w:r w:rsidR="00220938" w:rsidRPr="00220938">
            <w:rPr>
              <w:rFonts w:asciiTheme="minorHAnsi" w:eastAsiaTheme="minorEastAsia" w:hAnsiTheme="minorHAnsi" w:cstheme="minorBidi"/>
              <w:sz w:val="22"/>
              <w:szCs w:val="20"/>
              <w:lang w:eastAsia="en-US"/>
            </w:rPr>
            <w:t>I</w:t>
          </w:r>
          <w:r w:rsidRPr="00AB6157">
            <w:rPr>
              <w:rFonts w:asciiTheme="minorHAnsi" w:eastAsiaTheme="minorEastAsia" w:hAnsiTheme="minorHAnsi" w:cstheme="minorBidi"/>
              <w:sz w:val="22"/>
              <w:szCs w:val="20"/>
              <w:lang w:eastAsia="en-US"/>
            </w:rPr>
            <w:t>. Comments are most helpful if they:</w:t>
          </w:r>
        </w:p>
        <w:p w14:paraId="28F94A35"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7EA09D48"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72BEBEAD"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1AA5E5DD"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proofErr w:type="gramStart"/>
          <w:r w:rsidRPr="00AB6157">
            <w:rPr>
              <w:rFonts w:asciiTheme="minorHAnsi" w:eastAsiaTheme="minorEastAsia" w:hAnsiTheme="minorHAnsi" w:cstheme="minorBidi"/>
              <w:sz w:val="22"/>
              <w:szCs w:val="20"/>
              <w:lang w:eastAsia="en-US"/>
            </w:rPr>
            <w:t>describe</w:t>
          </w:r>
          <w:proofErr w:type="gramEnd"/>
          <w:r w:rsidRPr="00AB6157">
            <w:rPr>
              <w:rFonts w:asciiTheme="minorHAnsi" w:eastAsiaTheme="minorEastAsia" w:hAnsiTheme="minorHAnsi" w:cstheme="minorBidi"/>
              <w:sz w:val="22"/>
              <w:szCs w:val="20"/>
              <w:lang w:eastAsia="en-US"/>
            </w:rPr>
            <w:t xml:space="preserve"> any alternatives ESMA should consider.</w:t>
          </w:r>
        </w:p>
        <w:p w14:paraId="6970223B"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001F23C9" w:rsidRPr="001F23C9">
            <w:rPr>
              <w:rFonts w:asciiTheme="minorHAnsi" w:eastAsiaTheme="minorEastAsia" w:hAnsiTheme="minorHAnsi" w:cstheme="minorBidi"/>
              <w:b/>
              <w:sz w:val="22"/>
              <w:szCs w:val="20"/>
              <w:lang w:eastAsia="en-US"/>
            </w:rPr>
            <w:t>31/10/2019</w:t>
          </w:r>
          <w:r w:rsidRPr="001F23C9">
            <w:rPr>
              <w:rFonts w:asciiTheme="minorHAnsi" w:eastAsiaTheme="minorEastAsia" w:hAnsiTheme="minorHAnsi" w:cstheme="minorBidi"/>
              <w:b/>
              <w:sz w:val="22"/>
              <w:szCs w:val="20"/>
              <w:lang w:eastAsia="en-US"/>
            </w:rPr>
            <w:t>.</w:t>
          </w:r>
          <w:r w:rsidRPr="00AB6157">
            <w:rPr>
              <w:rFonts w:asciiTheme="minorHAnsi" w:eastAsiaTheme="minorEastAsia" w:hAnsiTheme="minorHAnsi" w:cstheme="minorBidi"/>
              <w:b/>
              <w:sz w:val="22"/>
              <w:szCs w:val="20"/>
              <w:lang w:eastAsia="en-US"/>
            </w:rPr>
            <w:t xml:space="preserve"> </w:t>
          </w:r>
        </w:p>
        <w:p w14:paraId="0DDE0E33"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6"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w:t>
          </w:r>
        </w:p>
        <w:p w14:paraId="1AD3690F" w14:textId="77777777" w:rsidR="00C85C8B" w:rsidRPr="00C85C8B" w:rsidRDefault="00C85C8B" w:rsidP="001F6354">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3B723692" w14:textId="77777777" w:rsidR="00C85C8B" w:rsidRPr="00C85C8B" w:rsidRDefault="00C85C8B" w:rsidP="001F6354">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Consultation Paper, respondents are requested to follow the below steps when preparing and submitting their response:</w:t>
          </w:r>
        </w:p>
        <w:p w14:paraId="27A45BE1" w14:textId="77777777" w:rsidR="00C85C8B" w:rsidRPr="00C85C8B" w:rsidRDefault="00C85C8B" w:rsidP="00833243">
          <w:pPr>
            <w:pStyle w:val="ListParagraph"/>
            <w:numPr>
              <w:ilvl w:val="0"/>
              <w:numId w:val="12"/>
            </w:numPr>
          </w:pPr>
          <w:r w:rsidRPr="00C85C8B">
            <w:t xml:space="preserve">Insert your responses to the questions in the Consultation Paper in the present response form. </w:t>
          </w:r>
        </w:p>
        <w:p w14:paraId="67657C3C" w14:textId="77777777" w:rsidR="00C85C8B" w:rsidRPr="00C85C8B" w:rsidRDefault="00C85C8B">
          <w:pPr>
            <w:pStyle w:val="ListParagraph"/>
            <w:numPr>
              <w:ilvl w:val="0"/>
              <w:numId w:val="12"/>
            </w:numPr>
          </w:pPr>
          <w:r w:rsidRPr="00C85C8B">
            <w:t>Please do not remove t</w:t>
          </w:r>
          <w:r>
            <w:t>ags of the type &lt;ESMA_QUESTION_</w:t>
          </w:r>
          <w:r w:rsidR="001F23C9">
            <w:t>PFG</w:t>
          </w:r>
          <w:r w:rsidRPr="00C85C8B">
            <w:t>_1&gt;. Your response to each question has to be framed by the two tags corresponding to the question.</w:t>
          </w:r>
        </w:p>
        <w:p w14:paraId="3B5BFE29" w14:textId="77777777" w:rsidR="00C85C8B" w:rsidRPr="00C85C8B" w:rsidRDefault="00C85C8B">
          <w:pPr>
            <w:pStyle w:val="ListParagraph"/>
            <w:numPr>
              <w:ilvl w:val="0"/>
              <w:numId w:val="12"/>
            </w:numPr>
          </w:pPr>
          <w:r w:rsidRPr="00C85C8B">
            <w:t>If you do not wish to respond to a given question, please do not delete it but simply leave the text “TYPE YOUR TEXT HERE” between the tags.</w:t>
          </w:r>
        </w:p>
        <w:p w14:paraId="5332481B" w14:textId="77777777" w:rsidR="00C85C8B" w:rsidRPr="00C85C8B" w:rsidRDefault="00C85C8B">
          <w:pPr>
            <w:pStyle w:val="ListParagraph"/>
            <w:numPr>
              <w:ilvl w:val="0"/>
              <w:numId w:val="12"/>
            </w:numPr>
          </w:pPr>
          <w:r w:rsidRPr="00C85C8B">
            <w:t xml:space="preserve">When you have drafted your response, name your response form according to </w:t>
          </w:r>
          <w:r>
            <w:t xml:space="preserve">the following convention: </w:t>
          </w:r>
          <w:proofErr w:type="spellStart"/>
          <w:r>
            <w:t>ESMA_</w:t>
          </w:r>
          <w:r w:rsidR="001F23C9">
            <w:t>PFG</w:t>
          </w:r>
          <w:r w:rsidRPr="00C85C8B">
            <w:t>_nameofrespondent_RESPONSEFORM</w:t>
          </w:r>
          <w:proofErr w:type="spellEnd"/>
          <w:r w:rsidRPr="00C85C8B">
            <w:t>. For example, for a respondent named ABCD, the response</w:t>
          </w:r>
          <w:r>
            <w:t xml:space="preserve"> form would be entitled ESMA_</w:t>
          </w:r>
          <w:r w:rsidR="001F23C9">
            <w:t>PFG</w:t>
          </w:r>
          <w:r w:rsidRPr="00C85C8B">
            <w:t>_ABCD_RESPONSEFORM.</w:t>
          </w:r>
        </w:p>
        <w:p w14:paraId="4B050C26" w14:textId="77777777" w:rsidR="00C85C8B" w:rsidRPr="00C85C8B" w:rsidRDefault="00C85C8B">
          <w:pPr>
            <w:pStyle w:val="ListParagraph"/>
            <w:numPr>
              <w:ilvl w:val="0"/>
              <w:numId w:val="12"/>
            </w:numPr>
          </w:pPr>
          <w:r w:rsidRPr="00C85C8B">
            <w:t>Upload the form containing your responses, in Word format, to ESMA’s website (</w:t>
          </w:r>
          <w:hyperlink r:id="rId17" w:history="1">
            <w:r w:rsidRPr="00C85C8B">
              <w:t>www.esma.europa.eu</w:t>
            </w:r>
          </w:hyperlink>
          <w:r w:rsidRPr="00C85C8B">
            <w:t xml:space="preserve"> under the heading “Your input – Open consultations” </w:t>
          </w:r>
          <w:r w:rsidRPr="00C85C8B">
            <w:sym w:font="Wingdings" w:char="F0E0"/>
          </w:r>
          <w:r w:rsidRPr="00C85C8B">
            <w:t xml:space="preserve"> “Consultation on </w:t>
          </w:r>
          <w:r w:rsidR="00AB6157">
            <w:t>Position limits and position management in commodities derivatives</w:t>
          </w:r>
          <w:r w:rsidRPr="00C85C8B">
            <w:t>”).</w:t>
          </w:r>
        </w:p>
        <w:p w14:paraId="1BAFED91" w14:textId="77777777" w:rsidR="00C85C8B" w:rsidRDefault="00C85C8B" w:rsidP="001F6354">
          <w:pPr>
            <w:spacing w:after="250" w:line="276" w:lineRule="auto"/>
            <w:jc w:val="both"/>
            <w:rPr>
              <w:rFonts w:asciiTheme="minorHAnsi" w:eastAsiaTheme="minorEastAsia" w:hAnsiTheme="minorHAnsi" w:cstheme="minorBidi"/>
              <w:sz w:val="22"/>
              <w:szCs w:val="20"/>
              <w:lang w:eastAsia="en-US"/>
            </w:rPr>
          </w:pPr>
        </w:p>
        <w:p w14:paraId="47398C65" w14:textId="77777777" w:rsidR="00A02199" w:rsidRDefault="00A02199" w:rsidP="001F6354">
          <w:pPr>
            <w:spacing w:after="250" w:line="276" w:lineRule="auto"/>
            <w:jc w:val="both"/>
            <w:rPr>
              <w:rFonts w:asciiTheme="minorHAnsi" w:eastAsiaTheme="minorEastAsia" w:hAnsiTheme="minorHAnsi" w:cstheme="minorBidi"/>
              <w:sz w:val="22"/>
              <w:szCs w:val="20"/>
              <w:lang w:eastAsia="en-US"/>
            </w:rPr>
          </w:pPr>
        </w:p>
        <w:p w14:paraId="05CBEBCA" w14:textId="77777777" w:rsidR="00A02199" w:rsidRPr="00C1698A" w:rsidRDefault="00A02199" w:rsidP="001F6354">
          <w:pPr>
            <w:spacing w:after="250" w:line="276" w:lineRule="auto"/>
            <w:jc w:val="both"/>
            <w:rPr>
              <w:rFonts w:asciiTheme="minorHAnsi" w:eastAsiaTheme="minorEastAsia" w:hAnsiTheme="minorHAnsi" w:cstheme="minorBidi"/>
              <w:sz w:val="22"/>
              <w:szCs w:val="20"/>
              <w:lang w:eastAsia="en-US"/>
            </w:rPr>
          </w:pPr>
        </w:p>
        <w:p w14:paraId="7B2169D7" w14:textId="77777777" w:rsidR="00AF2EF7" w:rsidRPr="00B8572C" w:rsidRDefault="00AF2EF7" w:rsidP="001F6354">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Publication of responses</w:t>
          </w:r>
        </w:p>
        <w:p w14:paraId="4BE6458E"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5C073A84" w14:textId="77777777" w:rsidR="00AF2EF7" w:rsidRPr="00B8572C" w:rsidRDefault="00AF2EF7" w:rsidP="001F6354">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C5CC34E"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19"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2DBD49A6" w14:textId="77777777" w:rsidR="00AF2EF7" w:rsidRPr="00B8572C" w:rsidRDefault="00AF2EF7" w:rsidP="001F6354">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 xml:space="preserve">Who should read this </w:t>
          </w:r>
          <w:proofErr w:type="gramStart"/>
          <w:r w:rsidRPr="00B8572C">
            <w:rPr>
              <w:rFonts w:asciiTheme="minorHAnsi" w:eastAsiaTheme="minorEastAsia" w:hAnsiTheme="minorHAnsi" w:cstheme="minorBidi"/>
              <w:b/>
              <w:sz w:val="22"/>
              <w:szCs w:val="20"/>
              <w:lang w:eastAsia="en-US"/>
            </w:rPr>
            <w:t>paper</w:t>
          </w:r>
          <w:proofErr w:type="gramEnd"/>
        </w:p>
        <w:p w14:paraId="51BF35A1" w14:textId="77777777" w:rsidR="00AF2EF7" w:rsidRPr="00B8572C" w:rsidRDefault="001F23C9" w:rsidP="001F6354">
          <w:pPr>
            <w:spacing w:after="250" w:line="276" w:lineRule="auto"/>
            <w:jc w:val="both"/>
            <w:rPr>
              <w:rFonts w:asciiTheme="minorHAnsi" w:hAnsiTheme="minorHAnsi" w:cstheme="minorHAnsi"/>
            </w:rPr>
          </w:pPr>
          <w:r w:rsidRPr="001F23C9">
            <w:rPr>
              <w:rFonts w:ascii="Arial" w:hAnsi="Arial" w:cs="Arial"/>
              <w:sz w:val="22"/>
              <w:szCs w:val="22"/>
              <w:lang w:eastAsia="it-IT"/>
            </w:rPr>
            <w:t>This document will be of interest to asset managers managing retail funds and their trade associations, as well as institutional and retail investors investing into such funds and their associations.</w:t>
          </w:r>
        </w:p>
      </w:sdtContent>
    </w:sdt>
    <w:p w14:paraId="2F79308A" w14:textId="77777777" w:rsidR="00AF2EF7" w:rsidRPr="00B8572C" w:rsidRDefault="00AF2EF7" w:rsidP="001F6354">
      <w:pPr>
        <w:spacing w:after="120" w:line="276" w:lineRule="auto"/>
        <w:jc w:val="both"/>
        <w:rPr>
          <w:rFonts w:asciiTheme="minorHAnsi" w:hAnsiTheme="minorHAnsi" w:cstheme="minorHAnsi"/>
        </w:rPr>
      </w:pPr>
    </w:p>
    <w:p w14:paraId="5747E9CF" w14:textId="77777777" w:rsidR="00AF2EF7" w:rsidRPr="00B8572C" w:rsidRDefault="00AF2EF7" w:rsidP="001F6354">
      <w:pPr>
        <w:spacing w:after="120" w:line="276" w:lineRule="auto"/>
        <w:jc w:val="both"/>
        <w:rPr>
          <w:rFonts w:asciiTheme="minorHAnsi" w:hAnsiTheme="minorHAnsi" w:cstheme="minorHAnsi"/>
        </w:rPr>
      </w:pPr>
    </w:p>
    <w:p w14:paraId="7CE19591" w14:textId="77777777" w:rsidR="00AF2EF7" w:rsidRPr="00C1698A" w:rsidRDefault="00AF2EF7" w:rsidP="001F6354">
      <w:pPr>
        <w:pStyle w:val="Heading1"/>
        <w:numPr>
          <w:ilvl w:val="0"/>
          <w:numId w:val="0"/>
        </w:numPr>
        <w:spacing w:line="276" w:lineRule="auto"/>
        <w:jc w:val="both"/>
        <w:rPr>
          <w:rFonts w:asciiTheme="minorHAnsi" w:hAnsiTheme="minorHAnsi" w:cstheme="minorHAnsi"/>
          <w:sz w:val="24"/>
          <w:szCs w:val="24"/>
        </w:rPr>
      </w:pPr>
      <w:r w:rsidRPr="00B8572C">
        <w:rPr>
          <w:rFonts w:asciiTheme="minorHAnsi" w:hAnsiTheme="minorHAnsi" w:cstheme="minorHAnsi"/>
          <w:sz w:val="24"/>
          <w:szCs w:val="24"/>
        </w:rPr>
        <w:br w:type="page"/>
      </w:r>
    </w:p>
    <w:p w14:paraId="7533E70A" w14:textId="77777777" w:rsidR="00C85C8B" w:rsidRDefault="00C85C8B" w:rsidP="001F6354">
      <w:pPr>
        <w:spacing w:line="276" w:lineRule="auto"/>
        <w:jc w:val="both"/>
        <w:rPr>
          <w:rFonts w:asciiTheme="minorHAnsi" w:hAnsiTheme="minorHAnsi" w:cstheme="minorHAnsi"/>
          <w:b/>
          <w:sz w:val="28"/>
          <w:szCs w:val="28"/>
        </w:rPr>
      </w:pPr>
      <w:bookmarkStart w:id="0" w:name="_Toc515564428"/>
    </w:p>
    <w:p w14:paraId="63336524" w14:textId="77777777" w:rsidR="00C85C8B" w:rsidRDefault="00C85C8B" w:rsidP="001F6354">
      <w:pPr>
        <w:spacing w:line="276" w:lineRule="auto"/>
        <w:jc w:val="both"/>
        <w:rPr>
          <w:rFonts w:asciiTheme="minorHAnsi" w:hAnsiTheme="minorHAnsi" w:cstheme="minorHAnsi"/>
          <w:b/>
          <w:sz w:val="28"/>
          <w:szCs w:val="28"/>
        </w:rPr>
      </w:pPr>
    </w:p>
    <w:p w14:paraId="45BBEF51" w14:textId="77777777" w:rsidR="00C85C8B" w:rsidRDefault="00C85C8B" w:rsidP="001F6354">
      <w:pPr>
        <w:spacing w:line="276" w:lineRule="auto"/>
        <w:jc w:val="both"/>
        <w:rPr>
          <w:rFonts w:asciiTheme="minorHAnsi" w:hAnsiTheme="minorHAnsi" w:cstheme="minorHAnsi"/>
          <w:b/>
          <w:sz w:val="28"/>
          <w:szCs w:val="28"/>
        </w:rPr>
      </w:pPr>
    </w:p>
    <w:p w14:paraId="55D8DD14" w14:textId="77777777" w:rsidR="00C85C8B" w:rsidRPr="00C85C8B" w:rsidRDefault="00C85C8B" w:rsidP="001F6354">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7223FF99" w14:textId="77777777" w:rsidTr="00B76FB7">
        <w:tc>
          <w:tcPr>
            <w:tcW w:w="3929" w:type="dxa"/>
            <w:shd w:val="clear" w:color="auto" w:fill="auto"/>
          </w:tcPr>
          <w:p w14:paraId="7BA61C42" w14:textId="77777777" w:rsidR="00C85C8B" w:rsidRPr="00C85C8B" w:rsidRDefault="00C85C8B" w:rsidP="001F6354">
            <w:pPr>
              <w:jc w:val="both"/>
              <w:rPr>
                <w:rFonts w:ascii="Arial" w:hAnsi="Arial" w:cs="Arial"/>
                <w:sz w:val="22"/>
                <w:lang w:eastAsia="de-DE"/>
              </w:rPr>
            </w:pPr>
            <w:permStart w:id="1097729368"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2E970192" w14:textId="77777777" w:rsidR="00C85C8B" w:rsidRPr="00C85C8B" w:rsidRDefault="006E13CC" w:rsidP="001F6354">
                <w:pPr>
                  <w:jc w:val="both"/>
                  <w:rPr>
                    <w:rFonts w:ascii="Arial" w:hAnsi="Arial" w:cs="Arial"/>
                    <w:color w:val="808080"/>
                    <w:sz w:val="20"/>
                    <w:lang w:eastAsia="de-DE"/>
                  </w:rPr>
                </w:pPr>
                <w:r>
                  <w:t>Amundi Asset Management</w:t>
                </w:r>
              </w:p>
            </w:tc>
          </w:sdtContent>
        </w:sdt>
      </w:tr>
      <w:tr w:rsidR="00C85C8B" w:rsidRPr="00C85C8B" w14:paraId="516CB90A" w14:textId="77777777" w:rsidTr="00B76FB7">
        <w:tc>
          <w:tcPr>
            <w:tcW w:w="3929" w:type="dxa"/>
            <w:shd w:val="clear" w:color="auto" w:fill="auto"/>
          </w:tcPr>
          <w:p w14:paraId="6A118E4F" w14:textId="77777777" w:rsidR="00C85C8B" w:rsidRPr="00C85C8B" w:rsidRDefault="00C85C8B" w:rsidP="001F6354">
            <w:pPr>
              <w:jc w:val="both"/>
              <w:rPr>
                <w:rFonts w:ascii="Arial" w:hAnsi="Arial" w:cs="Arial"/>
                <w:sz w:val="22"/>
                <w:lang w:eastAsia="de-DE"/>
              </w:rPr>
            </w:pPr>
            <w:permStart w:id="1742951168" w:edGrp="everyone" w:colFirst="1" w:colLast="1"/>
            <w:permEnd w:id="1097729368"/>
            <w:r w:rsidRPr="00C85C8B">
              <w:rPr>
                <w:rFonts w:ascii="Arial" w:hAnsi="Arial" w:cs="Arial"/>
                <w:sz w:val="22"/>
                <w:lang w:eastAsia="de-DE"/>
              </w:rPr>
              <w:t>Activity</w:t>
            </w:r>
          </w:p>
        </w:tc>
        <w:tc>
          <w:tcPr>
            <w:tcW w:w="5595" w:type="dxa"/>
            <w:shd w:val="clear" w:color="auto" w:fill="auto"/>
          </w:tcPr>
          <w:p w14:paraId="3E8D651C" w14:textId="77777777" w:rsidR="00C85C8B" w:rsidRPr="00C85C8B" w:rsidRDefault="00BF318E" w:rsidP="001F6354">
            <w:pPr>
              <w:jc w:val="both"/>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6E13CC">
                  <w:rPr>
                    <w:rFonts w:ascii="Arial" w:hAnsi="Arial" w:cs="Arial"/>
                    <w:sz w:val="20"/>
                    <w:lang w:eastAsia="de-DE"/>
                  </w:rPr>
                  <w:t>Investment Services</w:t>
                </w:r>
              </w:sdtContent>
            </w:sdt>
          </w:p>
        </w:tc>
      </w:tr>
      <w:tr w:rsidR="00C85C8B" w:rsidRPr="00C85C8B" w14:paraId="1FA3A9EA" w14:textId="77777777" w:rsidTr="00B76FB7">
        <w:tc>
          <w:tcPr>
            <w:tcW w:w="3929" w:type="dxa"/>
            <w:shd w:val="clear" w:color="auto" w:fill="auto"/>
          </w:tcPr>
          <w:p w14:paraId="5303949D" w14:textId="77777777" w:rsidR="00C85C8B" w:rsidRPr="00C85C8B" w:rsidRDefault="00C85C8B" w:rsidP="001F6354">
            <w:pPr>
              <w:jc w:val="both"/>
              <w:rPr>
                <w:rFonts w:ascii="Arial" w:hAnsi="Arial" w:cs="Arial"/>
                <w:sz w:val="22"/>
                <w:lang w:eastAsia="de-DE"/>
              </w:rPr>
            </w:pPr>
            <w:permStart w:id="2084584935" w:edGrp="everyone" w:colFirst="1" w:colLast="1"/>
            <w:permEnd w:id="1742951168"/>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4B693F06" w14:textId="77777777" w:rsidR="00C85C8B" w:rsidRPr="00C85C8B" w:rsidRDefault="002C4300" w:rsidP="001F6354">
                <w:pPr>
                  <w:jc w:val="both"/>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1447255B" w14:textId="77777777" w:rsidTr="00B76FB7">
        <w:tc>
          <w:tcPr>
            <w:tcW w:w="3929" w:type="dxa"/>
            <w:shd w:val="clear" w:color="auto" w:fill="auto"/>
          </w:tcPr>
          <w:p w14:paraId="64BA3C97" w14:textId="77777777" w:rsidR="00C85C8B" w:rsidRPr="00C85C8B" w:rsidRDefault="00C85C8B" w:rsidP="001F6354">
            <w:pPr>
              <w:jc w:val="both"/>
              <w:rPr>
                <w:rFonts w:ascii="Arial" w:hAnsi="Arial" w:cs="Arial"/>
                <w:sz w:val="22"/>
                <w:lang w:eastAsia="de-DE"/>
              </w:rPr>
            </w:pPr>
            <w:permStart w:id="500725344" w:edGrp="everyone" w:colFirst="1" w:colLast="1"/>
            <w:permEnd w:id="2084584935"/>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57B34ABD" w14:textId="77777777" w:rsidR="00C85C8B" w:rsidRPr="00C85C8B" w:rsidRDefault="006E13CC" w:rsidP="001F6354">
                <w:pPr>
                  <w:jc w:val="both"/>
                  <w:rPr>
                    <w:rFonts w:ascii="Arial" w:hAnsi="Arial" w:cs="Arial"/>
                    <w:sz w:val="20"/>
                    <w:lang w:eastAsia="de-DE"/>
                  </w:rPr>
                </w:pPr>
                <w:r>
                  <w:rPr>
                    <w:rFonts w:ascii="Arial" w:hAnsi="Arial" w:cs="Arial"/>
                    <w:sz w:val="20"/>
                    <w:lang w:eastAsia="de-DE"/>
                  </w:rPr>
                  <w:t>France</w:t>
                </w:r>
              </w:p>
            </w:tc>
          </w:sdtContent>
        </w:sdt>
      </w:tr>
      <w:permEnd w:id="500725344"/>
    </w:tbl>
    <w:p w14:paraId="0870CEBB"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6AB79806"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205011F2"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3ACD3CBE" w14:textId="77777777" w:rsidR="00C85C8B" w:rsidRPr="00C85C8B" w:rsidRDefault="00C85C8B" w:rsidP="001F6354">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EA017F7" w14:textId="77777777" w:rsidR="00C85C8B" w:rsidRPr="00C85C8B" w:rsidRDefault="00C85C8B" w:rsidP="001F6354">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EC461DC" w14:textId="77777777" w:rsidR="004555B4" w:rsidRDefault="00C85C8B" w:rsidP="001F6354">
      <w:pPr>
        <w:pStyle w:val="BodyText"/>
        <w:spacing w:after="200"/>
        <w:jc w:val="both"/>
        <w:rPr>
          <w:rFonts w:ascii="Arial" w:hAnsi="Arial" w:cs="Arial"/>
          <w:sz w:val="22"/>
        </w:rPr>
      </w:pPr>
      <w:r w:rsidRPr="00C85C8B">
        <w:rPr>
          <w:rFonts w:asciiTheme="minorHAnsi" w:eastAsiaTheme="minorEastAsia" w:hAnsiTheme="minorHAnsi" w:cstheme="minorBidi"/>
          <w:sz w:val="22"/>
          <w:szCs w:val="20"/>
          <w:lang w:eastAsia="en-US"/>
        </w:rPr>
        <w:t>&lt;ESMA_COMMENT_</w:t>
      </w:r>
      <w:r w:rsidR="001F23C9">
        <w:rPr>
          <w:rFonts w:asciiTheme="minorHAnsi" w:eastAsiaTheme="minorEastAsia" w:hAnsiTheme="minorHAnsi" w:cstheme="minorBidi"/>
          <w:sz w:val="22"/>
          <w:szCs w:val="20"/>
          <w:lang w:eastAsia="en-US"/>
        </w:rPr>
        <w:t>PFG</w:t>
      </w:r>
      <w:r w:rsidRPr="00C85C8B">
        <w:rPr>
          <w:rFonts w:asciiTheme="minorHAnsi" w:eastAsiaTheme="minorEastAsia" w:hAnsiTheme="minorHAnsi" w:cstheme="minorBidi"/>
          <w:sz w:val="22"/>
          <w:szCs w:val="20"/>
          <w:lang w:eastAsia="en-US"/>
        </w:rPr>
        <w:t>_1&gt;</w:t>
      </w:r>
      <w:r w:rsidR="004555B4" w:rsidRPr="004555B4">
        <w:rPr>
          <w:rFonts w:ascii="Arial" w:hAnsi="Arial" w:cs="Arial"/>
          <w:sz w:val="22"/>
        </w:rPr>
        <w:t xml:space="preserve"> </w:t>
      </w:r>
      <w:r w:rsidR="004D34E1">
        <w:rPr>
          <w:rFonts w:ascii="Arial" w:hAnsi="Arial" w:cs="Arial"/>
          <w:sz w:val="22"/>
        </w:rPr>
        <w:t xml:space="preserve"> </w:t>
      </w:r>
    </w:p>
    <w:p w14:paraId="1EEAE39B" w14:textId="77777777" w:rsidR="004555B4" w:rsidRPr="00EF1F27" w:rsidRDefault="004555B4" w:rsidP="001F6354">
      <w:pPr>
        <w:spacing w:after="250" w:line="276" w:lineRule="auto"/>
        <w:jc w:val="both"/>
        <w:rPr>
          <w:rFonts w:ascii="Arial" w:eastAsiaTheme="minorEastAsia" w:hAnsi="Arial" w:cs="Arial"/>
          <w:lang w:eastAsia="en-US"/>
        </w:rPr>
      </w:pPr>
      <w:permStart w:id="646974341" w:edGrp="everyone"/>
      <w:r w:rsidRPr="00EF1F27">
        <w:rPr>
          <w:rFonts w:ascii="Arial" w:eastAsiaTheme="minorEastAsia" w:hAnsi="Arial" w:cs="Arial"/>
          <w:lang w:eastAsia="en-US"/>
        </w:rPr>
        <w:t>Amundi is Europe’s largest asset manager by assets under management and ranks in the top 10</w:t>
      </w:r>
      <w:r w:rsidRPr="000316FF">
        <w:rPr>
          <w:rFonts w:eastAsiaTheme="minorEastAsia"/>
          <w:vertAlign w:val="superscript"/>
          <w:lang w:eastAsia="en-US"/>
        </w:rPr>
        <w:footnoteReference w:id="2"/>
      </w:r>
      <w:r w:rsidRPr="00EF1F27">
        <w:rPr>
          <w:rFonts w:ascii="Arial" w:eastAsiaTheme="minorEastAsia" w:hAnsi="Arial" w:cs="Arial"/>
          <w:lang w:eastAsia="en-US"/>
        </w:rPr>
        <w:t xml:space="preserve"> globally. It manages 1,487 billion</w:t>
      </w:r>
      <w:r w:rsidRPr="000316FF">
        <w:rPr>
          <w:rFonts w:eastAsiaTheme="minorEastAsia"/>
          <w:vertAlign w:val="superscript"/>
          <w:lang w:eastAsia="en-US"/>
        </w:rPr>
        <w:footnoteReference w:id="3"/>
      </w:r>
      <w:r w:rsidRPr="00EF1F27">
        <w:rPr>
          <w:rFonts w:ascii="Arial" w:eastAsiaTheme="minorEastAsia" w:hAnsi="Arial" w:cs="Arial"/>
          <w:lang w:eastAsia="en-US"/>
        </w:rPr>
        <w:t xml:space="preserve"> euros of assets across six main investment hubs</w:t>
      </w:r>
      <w:r w:rsidRPr="000316FF">
        <w:rPr>
          <w:rFonts w:eastAsiaTheme="minorEastAsia"/>
          <w:vertAlign w:val="superscript"/>
          <w:lang w:eastAsia="en-US"/>
        </w:rPr>
        <w:footnoteReference w:id="4"/>
      </w:r>
      <w:r w:rsidRPr="00EF1F27">
        <w:rPr>
          <w:rFonts w:ascii="Arial" w:eastAsiaTheme="minorEastAsia" w:hAnsi="Arial" w:cs="Arial"/>
          <w:lang w:eastAsia="en-US"/>
        </w:rPr>
        <w:t>. Amundi offers its clients in Europe, Asia-Pacific, the Middle East and the Americas a wealth of market expertise and a full range of capabilities across the active, passive and real assets investment universes. Clients also have access to a complete set of services and tools. Headquartered in Paris, Amundi was listed in November 2015.</w:t>
      </w:r>
    </w:p>
    <w:p w14:paraId="342A6B01" w14:textId="77777777" w:rsidR="00294526" w:rsidRDefault="00112A8D"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lastRenderedPageBreak/>
        <w:t xml:space="preserve">Amundi welcomes </w:t>
      </w:r>
      <w:r w:rsidR="00656641" w:rsidRPr="00EF1F27">
        <w:rPr>
          <w:rFonts w:ascii="Arial" w:eastAsiaTheme="minorEastAsia" w:hAnsi="Arial" w:cs="Arial"/>
          <w:lang w:eastAsia="en-US"/>
        </w:rPr>
        <w:t>ESMA consultation on</w:t>
      </w:r>
      <w:r>
        <w:rPr>
          <w:rFonts w:ascii="Arial" w:eastAsiaTheme="minorEastAsia" w:hAnsi="Arial" w:cs="Arial"/>
          <w:lang w:eastAsia="en-US"/>
        </w:rPr>
        <w:t xml:space="preserve"> its draft “Guidelines on</w:t>
      </w:r>
      <w:r w:rsidR="00656641" w:rsidRPr="00EF1F27">
        <w:rPr>
          <w:rFonts w:ascii="Arial" w:eastAsiaTheme="minorEastAsia" w:hAnsi="Arial" w:cs="Arial"/>
          <w:lang w:eastAsia="en-US"/>
        </w:rPr>
        <w:t xml:space="preserve"> performance fees</w:t>
      </w:r>
      <w:r>
        <w:rPr>
          <w:rFonts w:ascii="Arial" w:eastAsiaTheme="minorEastAsia" w:hAnsi="Arial" w:cs="Arial"/>
          <w:lang w:eastAsia="en-US"/>
        </w:rPr>
        <w:t xml:space="preserve"> in UCITS” and the opportunity that is given to express its views. </w:t>
      </w:r>
    </w:p>
    <w:p w14:paraId="5A57D9F5" w14:textId="77777777" w:rsidR="00A8194F" w:rsidRDefault="00C34E63"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W</w:t>
      </w:r>
      <w:r w:rsidR="002A5F9D" w:rsidRPr="00EF1F27">
        <w:rPr>
          <w:rFonts w:ascii="Arial" w:eastAsiaTheme="minorEastAsia" w:hAnsi="Arial" w:cs="Arial"/>
          <w:lang w:eastAsia="en-US"/>
        </w:rPr>
        <w:t>e strongly believe that some clarifications and standardization</w:t>
      </w:r>
      <w:r w:rsidR="00A8194F">
        <w:rPr>
          <w:rFonts w:ascii="Arial" w:eastAsiaTheme="minorEastAsia" w:hAnsi="Arial" w:cs="Arial"/>
          <w:lang w:eastAsia="en-US"/>
        </w:rPr>
        <w:t xml:space="preserve"> are needed. In particular</w:t>
      </w:r>
      <w:r>
        <w:rPr>
          <w:rFonts w:ascii="Arial" w:eastAsiaTheme="minorEastAsia" w:hAnsi="Arial" w:cs="Arial"/>
          <w:lang w:eastAsia="en-US"/>
        </w:rPr>
        <w:t>,</w:t>
      </w:r>
      <w:r w:rsidR="00A8194F">
        <w:rPr>
          <w:rFonts w:ascii="Arial" w:eastAsiaTheme="minorEastAsia" w:hAnsi="Arial" w:cs="Arial"/>
          <w:lang w:eastAsia="en-US"/>
        </w:rPr>
        <w:t xml:space="preserve"> it is our view that such clarifications should be</w:t>
      </w:r>
      <w:r w:rsidR="002A5F9D" w:rsidRPr="00EF1F27">
        <w:rPr>
          <w:rFonts w:ascii="Arial" w:eastAsiaTheme="minorEastAsia" w:hAnsi="Arial" w:cs="Arial"/>
          <w:lang w:eastAsia="en-US"/>
        </w:rPr>
        <w:t xml:space="preserve"> </w:t>
      </w:r>
      <w:r>
        <w:rPr>
          <w:rFonts w:ascii="Arial" w:eastAsiaTheme="minorEastAsia" w:hAnsi="Arial" w:cs="Arial"/>
          <w:lang w:eastAsia="en-US"/>
        </w:rPr>
        <w:t xml:space="preserve">inspired by </w:t>
      </w:r>
      <w:r w:rsidR="008464C1">
        <w:rPr>
          <w:rFonts w:ascii="Arial" w:eastAsiaTheme="minorEastAsia" w:hAnsi="Arial" w:cs="Arial"/>
          <w:lang w:eastAsia="en-US"/>
        </w:rPr>
        <w:t>achieving</w:t>
      </w:r>
      <w:r>
        <w:rPr>
          <w:rFonts w:ascii="Arial" w:eastAsiaTheme="minorEastAsia" w:hAnsi="Arial" w:cs="Arial"/>
          <w:lang w:eastAsia="en-US"/>
        </w:rPr>
        <w:t xml:space="preserve"> more transparency and simplicity for </w:t>
      </w:r>
      <w:r w:rsidR="008464C1">
        <w:rPr>
          <w:rFonts w:ascii="Arial" w:eastAsiaTheme="minorEastAsia" w:hAnsi="Arial" w:cs="Arial"/>
          <w:lang w:eastAsia="en-US"/>
        </w:rPr>
        <w:t>investors</w:t>
      </w:r>
      <w:r w:rsidR="00BB4077">
        <w:rPr>
          <w:rFonts w:ascii="Arial" w:eastAsiaTheme="minorEastAsia" w:hAnsi="Arial" w:cs="Arial"/>
          <w:lang w:eastAsia="en-US"/>
        </w:rPr>
        <w:t xml:space="preserve">. These are the key questions from an investor protection perspective. </w:t>
      </w:r>
      <w:r w:rsidR="008464C1">
        <w:rPr>
          <w:rFonts w:ascii="Arial" w:eastAsiaTheme="minorEastAsia" w:hAnsi="Arial" w:cs="Arial"/>
          <w:lang w:eastAsia="en-US"/>
        </w:rPr>
        <w:t xml:space="preserve"> </w:t>
      </w:r>
    </w:p>
    <w:p w14:paraId="7751689D" w14:textId="77777777" w:rsidR="00A8194F" w:rsidRDefault="00A8194F"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 xml:space="preserve">Conversely, </w:t>
      </w:r>
      <w:r w:rsidR="00C34E63">
        <w:rPr>
          <w:rFonts w:ascii="Arial" w:eastAsiaTheme="minorEastAsia" w:hAnsi="Arial" w:cs="Arial"/>
          <w:lang w:eastAsia="en-US"/>
        </w:rPr>
        <w:t>we</w:t>
      </w:r>
      <w:r>
        <w:rPr>
          <w:rFonts w:ascii="Arial" w:eastAsiaTheme="minorEastAsia" w:hAnsi="Arial" w:cs="Arial"/>
          <w:lang w:eastAsia="en-US"/>
        </w:rPr>
        <w:t xml:space="preserve"> believe that it is not appropriate for guidelines to regulate how a pricing policy should be built and </w:t>
      </w:r>
      <w:r w:rsidR="00294526">
        <w:rPr>
          <w:rFonts w:ascii="Arial" w:eastAsiaTheme="minorEastAsia" w:hAnsi="Arial" w:cs="Arial"/>
          <w:lang w:eastAsia="en-US"/>
        </w:rPr>
        <w:t>to favour a model/</w:t>
      </w:r>
      <w:proofErr w:type="spellStart"/>
      <w:r w:rsidR="00294526">
        <w:rPr>
          <w:rFonts w:ascii="Arial" w:eastAsiaTheme="minorEastAsia" w:hAnsi="Arial" w:cs="Arial"/>
          <w:lang w:eastAsia="en-US"/>
        </w:rPr>
        <w:t>methodologie</w:t>
      </w:r>
      <w:proofErr w:type="spellEnd"/>
      <w:r w:rsidR="00294526">
        <w:rPr>
          <w:rFonts w:ascii="Arial" w:eastAsiaTheme="minorEastAsia" w:hAnsi="Arial" w:cs="Arial"/>
          <w:lang w:eastAsia="en-US"/>
        </w:rPr>
        <w:t xml:space="preserve"> over another</w:t>
      </w:r>
      <w:r>
        <w:rPr>
          <w:rFonts w:ascii="Arial" w:eastAsiaTheme="minorEastAsia" w:hAnsi="Arial" w:cs="Arial"/>
          <w:lang w:eastAsia="en-US"/>
        </w:rPr>
        <w:t>.</w:t>
      </w:r>
      <w:r w:rsidR="00BB4077">
        <w:rPr>
          <w:rFonts w:ascii="Arial" w:eastAsiaTheme="minorEastAsia" w:hAnsi="Arial" w:cs="Arial"/>
          <w:lang w:eastAsia="en-US"/>
        </w:rPr>
        <w:t xml:space="preserve"> </w:t>
      </w:r>
    </w:p>
    <w:p w14:paraId="09273C5C" w14:textId="33789681" w:rsidR="00DA589A" w:rsidRPr="00EF1F27" w:rsidRDefault="00A8194F"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A</w:t>
      </w:r>
      <w:r w:rsidR="00C34E63">
        <w:rPr>
          <w:rFonts w:ascii="Arial" w:eastAsiaTheme="minorEastAsia" w:hAnsi="Arial" w:cs="Arial"/>
          <w:lang w:eastAsia="en-US"/>
        </w:rPr>
        <w:t xml:space="preserve">sset </w:t>
      </w:r>
      <w:r w:rsidR="008464C1">
        <w:rPr>
          <w:rFonts w:ascii="Arial" w:eastAsiaTheme="minorEastAsia" w:hAnsi="Arial" w:cs="Arial"/>
          <w:lang w:eastAsia="en-US"/>
        </w:rPr>
        <w:t>managers</w:t>
      </w:r>
      <w:r w:rsidR="00C34E63">
        <w:rPr>
          <w:rFonts w:ascii="Arial" w:eastAsiaTheme="minorEastAsia" w:hAnsi="Arial" w:cs="Arial"/>
          <w:lang w:eastAsia="en-US"/>
        </w:rPr>
        <w:t xml:space="preserve"> compete against each </w:t>
      </w:r>
      <w:r>
        <w:rPr>
          <w:rFonts w:ascii="Arial" w:eastAsiaTheme="minorEastAsia" w:hAnsi="Arial" w:cs="Arial"/>
          <w:lang w:eastAsia="en-US"/>
        </w:rPr>
        <w:t xml:space="preserve">other </w:t>
      </w:r>
      <w:r w:rsidR="00C34E63">
        <w:rPr>
          <w:rFonts w:ascii="Arial" w:eastAsiaTheme="minorEastAsia" w:hAnsi="Arial" w:cs="Arial"/>
          <w:lang w:eastAsia="en-US"/>
        </w:rPr>
        <w:t>in</w:t>
      </w:r>
      <w:r w:rsidR="002A5F9D" w:rsidRPr="00EF1F27">
        <w:rPr>
          <w:rFonts w:ascii="Arial" w:eastAsiaTheme="minorEastAsia" w:hAnsi="Arial" w:cs="Arial"/>
          <w:lang w:eastAsia="en-US"/>
        </w:rPr>
        <w:t xml:space="preserve"> designing efficient pricing polic</w:t>
      </w:r>
      <w:r>
        <w:rPr>
          <w:rFonts w:ascii="Arial" w:eastAsiaTheme="minorEastAsia" w:hAnsi="Arial" w:cs="Arial"/>
          <w:lang w:eastAsia="en-US"/>
        </w:rPr>
        <w:t>ies</w:t>
      </w:r>
      <w:r w:rsidR="00C34E63">
        <w:rPr>
          <w:rFonts w:ascii="Arial" w:eastAsiaTheme="minorEastAsia" w:hAnsi="Arial" w:cs="Arial"/>
          <w:lang w:eastAsia="en-US"/>
        </w:rPr>
        <w:t xml:space="preserve"> suitable to meet the investors’ expectations.</w:t>
      </w:r>
      <w:r w:rsidR="00656641" w:rsidRPr="00EF1F27">
        <w:rPr>
          <w:rFonts w:ascii="Arial" w:eastAsiaTheme="minorEastAsia" w:hAnsi="Arial" w:cs="Arial"/>
          <w:lang w:eastAsia="en-US"/>
        </w:rPr>
        <w:t xml:space="preserve"> Therefore, </w:t>
      </w:r>
      <w:r>
        <w:rPr>
          <w:rFonts w:ascii="Arial" w:eastAsiaTheme="minorEastAsia" w:hAnsi="Arial" w:cs="Arial"/>
          <w:lang w:eastAsia="en-US"/>
        </w:rPr>
        <w:t xml:space="preserve">as much flexibility as possible should be left to asset managers in designing what in their views is the most effective pricing policy to win a client. </w:t>
      </w:r>
    </w:p>
    <w:p w14:paraId="4143497F" w14:textId="77777777" w:rsidR="002A5F9D" w:rsidRPr="00EF1F27" w:rsidRDefault="002A5F9D"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An excessive standardization will indeed</w:t>
      </w:r>
      <w:r w:rsidR="00DA589A" w:rsidRPr="00EF1F27">
        <w:rPr>
          <w:rFonts w:ascii="Arial" w:eastAsiaTheme="minorEastAsia" w:hAnsi="Arial" w:cs="Arial"/>
          <w:lang w:eastAsia="en-US"/>
        </w:rPr>
        <w:t xml:space="preserve"> have the unwanted effect to</w:t>
      </w:r>
      <w:r w:rsidRPr="00EF1F27">
        <w:rPr>
          <w:rFonts w:ascii="Arial" w:eastAsiaTheme="minorEastAsia" w:hAnsi="Arial" w:cs="Arial"/>
          <w:lang w:eastAsia="en-US"/>
        </w:rPr>
        <w:t xml:space="preserve"> re</w:t>
      </w:r>
      <w:r w:rsidR="00DA589A" w:rsidRPr="00EF1F27">
        <w:rPr>
          <w:rFonts w:ascii="Arial" w:eastAsiaTheme="minorEastAsia" w:hAnsi="Arial" w:cs="Arial"/>
          <w:lang w:eastAsia="en-US"/>
        </w:rPr>
        <w:t>move an area of competition</w:t>
      </w:r>
      <w:r w:rsidR="00E70AB4" w:rsidRPr="00EF1F27">
        <w:rPr>
          <w:rFonts w:ascii="Arial" w:eastAsiaTheme="minorEastAsia" w:hAnsi="Arial" w:cs="Arial"/>
          <w:lang w:eastAsia="en-US"/>
        </w:rPr>
        <w:t xml:space="preserve"> reducing the range of choice available to investors</w:t>
      </w:r>
      <w:r w:rsidR="00C2348C" w:rsidRPr="00EF1F27">
        <w:rPr>
          <w:rFonts w:ascii="Arial" w:eastAsiaTheme="minorEastAsia" w:hAnsi="Arial" w:cs="Arial"/>
          <w:lang w:eastAsia="en-US"/>
        </w:rPr>
        <w:t>.</w:t>
      </w:r>
      <w:r w:rsidRPr="00EF1F27">
        <w:rPr>
          <w:rFonts w:ascii="Arial" w:eastAsiaTheme="minorEastAsia" w:hAnsi="Arial" w:cs="Arial"/>
          <w:lang w:eastAsia="en-US"/>
        </w:rPr>
        <w:t xml:space="preserve"> </w:t>
      </w:r>
    </w:p>
    <w:p w14:paraId="4D677031" w14:textId="77777777" w:rsidR="002A5F9D" w:rsidRPr="00EF1F27" w:rsidRDefault="007138F9"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 xml:space="preserve">Amundi </w:t>
      </w:r>
      <w:r w:rsidR="002A5F9D" w:rsidRPr="00EF1F27">
        <w:rPr>
          <w:rFonts w:ascii="Arial" w:eastAsiaTheme="minorEastAsia" w:hAnsi="Arial" w:cs="Arial"/>
          <w:lang w:eastAsia="en-US"/>
        </w:rPr>
        <w:t xml:space="preserve">has </w:t>
      </w:r>
      <w:r w:rsidRPr="00EF1F27">
        <w:rPr>
          <w:rFonts w:ascii="Arial" w:eastAsiaTheme="minorEastAsia" w:hAnsi="Arial" w:cs="Arial"/>
          <w:lang w:eastAsia="en-US"/>
        </w:rPr>
        <w:t xml:space="preserve">put in place a straightforward pricing policy </w:t>
      </w:r>
      <w:r w:rsidR="002A5F9D" w:rsidRPr="00EF1F27">
        <w:rPr>
          <w:rFonts w:ascii="Arial" w:eastAsiaTheme="minorEastAsia" w:hAnsi="Arial" w:cs="Arial"/>
          <w:lang w:eastAsia="en-US"/>
        </w:rPr>
        <w:t xml:space="preserve">which displays </w:t>
      </w:r>
      <w:r w:rsidRPr="00EF1F27">
        <w:rPr>
          <w:rFonts w:ascii="Arial" w:eastAsiaTheme="minorEastAsia" w:hAnsi="Arial" w:cs="Arial"/>
          <w:lang w:eastAsia="en-US"/>
        </w:rPr>
        <w:t xml:space="preserve">a clear value proposition for its clients. </w:t>
      </w:r>
      <w:r w:rsidR="002A5F9D" w:rsidRPr="00EF1F27">
        <w:rPr>
          <w:rFonts w:ascii="Arial" w:eastAsiaTheme="minorEastAsia" w:hAnsi="Arial" w:cs="Arial"/>
          <w:lang w:eastAsia="en-US"/>
        </w:rPr>
        <w:t xml:space="preserve">Such policy is centred </w:t>
      </w:r>
      <w:r w:rsidR="0091480C" w:rsidRPr="00EF1F27">
        <w:rPr>
          <w:rFonts w:ascii="Arial" w:eastAsiaTheme="minorEastAsia" w:hAnsi="Arial" w:cs="Arial"/>
          <w:lang w:eastAsia="en-US"/>
        </w:rPr>
        <w:t>on</w:t>
      </w:r>
      <w:r w:rsidR="002A5F9D" w:rsidRPr="00EF1F27">
        <w:rPr>
          <w:rFonts w:ascii="Arial" w:eastAsiaTheme="minorEastAsia" w:hAnsi="Arial" w:cs="Arial"/>
          <w:lang w:eastAsia="en-US"/>
        </w:rPr>
        <w:t xml:space="preserve"> the </w:t>
      </w:r>
      <w:r w:rsidRPr="00EF1F27">
        <w:rPr>
          <w:rFonts w:ascii="Arial" w:eastAsiaTheme="minorEastAsia" w:hAnsi="Arial" w:cs="Arial"/>
          <w:lang w:eastAsia="en-US"/>
        </w:rPr>
        <w:t>offer of a dual share class mechanism</w:t>
      </w:r>
      <w:r w:rsidR="002A5F9D" w:rsidRPr="00EF1F27">
        <w:rPr>
          <w:rFonts w:ascii="Arial" w:eastAsiaTheme="minorEastAsia" w:hAnsi="Arial" w:cs="Arial"/>
          <w:lang w:eastAsia="en-US"/>
        </w:rPr>
        <w:t>. I</w:t>
      </w:r>
      <w:r w:rsidRPr="00EF1F27">
        <w:rPr>
          <w:rFonts w:ascii="Arial" w:eastAsiaTheme="minorEastAsia" w:hAnsi="Arial" w:cs="Arial"/>
          <w:lang w:eastAsia="en-US"/>
        </w:rPr>
        <w:t xml:space="preserve">nvestors can </w:t>
      </w:r>
      <w:r w:rsidR="007861DC" w:rsidRPr="00EF1F27">
        <w:rPr>
          <w:rFonts w:ascii="Arial" w:eastAsiaTheme="minorEastAsia" w:hAnsi="Arial" w:cs="Arial"/>
          <w:lang w:eastAsia="en-US"/>
        </w:rPr>
        <w:t>(</w:t>
      </w:r>
      <w:proofErr w:type="spellStart"/>
      <w:r w:rsidR="007861DC" w:rsidRPr="00EF1F27">
        <w:rPr>
          <w:rFonts w:ascii="Arial" w:eastAsiaTheme="minorEastAsia" w:hAnsi="Arial" w:cs="Arial"/>
          <w:lang w:eastAsia="en-US"/>
        </w:rPr>
        <w:t>i</w:t>
      </w:r>
      <w:proofErr w:type="spellEnd"/>
      <w:r w:rsidR="007861DC" w:rsidRPr="00EF1F27">
        <w:rPr>
          <w:rFonts w:ascii="Arial" w:eastAsiaTheme="minorEastAsia" w:hAnsi="Arial" w:cs="Arial"/>
          <w:lang w:eastAsia="en-US"/>
        </w:rPr>
        <w:t xml:space="preserve">) </w:t>
      </w:r>
      <w:r w:rsidRPr="00EF1F27">
        <w:rPr>
          <w:rFonts w:ascii="Arial" w:eastAsiaTheme="minorEastAsia" w:hAnsi="Arial" w:cs="Arial"/>
          <w:lang w:eastAsia="en-US"/>
        </w:rPr>
        <w:t xml:space="preserve">opt for the standard share class paying a competitive base fee and sharing with Amundi the </w:t>
      </w:r>
      <w:r w:rsidR="002A5F9D" w:rsidRPr="00EF1F27">
        <w:rPr>
          <w:rFonts w:ascii="Arial" w:eastAsiaTheme="minorEastAsia" w:hAnsi="Arial" w:cs="Arial"/>
          <w:lang w:eastAsia="en-US"/>
        </w:rPr>
        <w:t xml:space="preserve">positive effect </w:t>
      </w:r>
      <w:r w:rsidRPr="00EF1F27">
        <w:rPr>
          <w:rFonts w:ascii="Arial" w:eastAsiaTheme="minorEastAsia" w:hAnsi="Arial" w:cs="Arial"/>
          <w:lang w:eastAsia="en-US"/>
        </w:rPr>
        <w:t>of a performance</w:t>
      </w:r>
      <w:r w:rsidR="002A5F9D" w:rsidRPr="00EF1F27">
        <w:rPr>
          <w:rFonts w:ascii="Arial" w:eastAsiaTheme="minorEastAsia" w:hAnsi="Arial" w:cs="Arial"/>
          <w:lang w:eastAsia="en-US"/>
        </w:rPr>
        <w:t>,</w:t>
      </w:r>
      <w:r w:rsidRPr="00EF1F27">
        <w:rPr>
          <w:rFonts w:ascii="Arial" w:eastAsiaTheme="minorEastAsia" w:hAnsi="Arial" w:cs="Arial"/>
          <w:lang w:eastAsia="en-US"/>
        </w:rPr>
        <w:t xml:space="preserve"> only if </w:t>
      </w:r>
      <w:r w:rsidR="002A5F9D" w:rsidRPr="00EF1F27">
        <w:rPr>
          <w:rFonts w:ascii="Arial" w:eastAsiaTheme="minorEastAsia" w:hAnsi="Arial" w:cs="Arial"/>
          <w:lang w:eastAsia="en-US"/>
        </w:rPr>
        <w:t xml:space="preserve">such performance </w:t>
      </w:r>
      <w:r w:rsidRPr="00EF1F27">
        <w:rPr>
          <w:rFonts w:ascii="Arial" w:eastAsiaTheme="minorEastAsia" w:hAnsi="Arial" w:cs="Arial"/>
          <w:lang w:eastAsia="en-US"/>
        </w:rPr>
        <w:t>is delivered</w:t>
      </w:r>
      <w:r w:rsidR="007861DC" w:rsidRPr="00EF1F27">
        <w:rPr>
          <w:rFonts w:ascii="Arial" w:eastAsiaTheme="minorEastAsia" w:hAnsi="Arial" w:cs="Arial"/>
          <w:lang w:eastAsia="en-US"/>
        </w:rPr>
        <w:t xml:space="preserve"> or</w:t>
      </w:r>
      <w:r w:rsidR="001F6354" w:rsidRPr="00EF1F27">
        <w:rPr>
          <w:rFonts w:ascii="Arial" w:eastAsiaTheme="minorEastAsia" w:hAnsi="Arial" w:cs="Arial"/>
          <w:lang w:eastAsia="en-US"/>
        </w:rPr>
        <w:t>,</w:t>
      </w:r>
      <w:r w:rsidR="007861DC" w:rsidRPr="00EF1F27">
        <w:rPr>
          <w:rFonts w:ascii="Arial" w:eastAsiaTheme="minorEastAsia" w:hAnsi="Arial" w:cs="Arial"/>
          <w:lang w:eastAsia="en-US"/>
        </w:rPr>
        <w:t xml:space="preserve"> (ii)</w:t>
      </w:r>
      <w:r w:rsidR="004D0CFB" w:rsidRPr="00EF1F27">
        <w:rPr>
          <w:rFonts w:ascii="Arial" w:eastAsiaTheme="minorEastAsia" w:hAnsi="Arial" w:cs="Arial"/>
          <w:lang w:eastAsia="en-US"/>
        </w:rPr>
        <w:t xml:space="preserve"> </w:t>
      </w:r>
      <w:r w:rsidR="007861DC" w:rsidRPr="00EF1F27">
        <w:rPr>
          <w:rFonts w:ascii="Arial" w:eastAsiaTheme="minorEastAsia" w:hAnsi="Arial" w:cs="Arial"/>
          <w:lang w:eastAsia="en-US"/>
        </w:rPr>
        <w:t>if they are reluctant to pay performance fees, can also opt for no performance fees’ share class of the same fund.</w:t>
      </w:r>
    </w:p>
    <w:p w14:paraId="1447E697" w14:textId="77777777" w:rsidR="007138F9" w:rsidRDefault="007861DC"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Regarding (</w:t>
      </w:r>
      <w:proofErr w:type="spellStart"/>
      <w:r w:rsidRPr="00EF1F27">
        <w:rPr>
          <w:rFonts w:ascii="Arial" w:eastAsiaTheme="minorEastAsia" w:hAnsi="Arial" w:cs="Arial"/>
          <w:lang w:eastAsia="en-US"/>
        </w:rPr>
        <w:t>i</w:t>
      </w:r>
      <w:proofErr w:type="spellEnd"/>
      <w:r w:rsidRPr="00EF1F27">
        <w:rPr>
          <w:rFonts w:ascii="Arial" w:eastAsiaTheme="minorEastAsia" w:hAnsi="Arial" w:cs="Arial"/>
          <w:lang w:eastAsia="en-US"/>
        </w:rPr>
        <w:t>) above, i</w:t>
      </w:r>
      <w:r w:rsidR="002A5F9D" w:rsidRPr="00EF1F27">
        <w:rPr>
          <w:rFonts w:ascii="Arial" w:eastAsiaTheme="minorEastAsia" w:hAnsi="Arial" w:cs="Arial"/>
          <w:lang w:eastAsia="en-US"/>
        </w:rPr>
        <w:t xml:space="preserve">n </w:t>
      </w:r>
      <w:r w:rsidR="007138F9" w:rsidRPr="00EF1F27">
        <w:rPr>
          <w:rFonts w:ascii="Arial" w:eastAsiaTheme="minorEastAsia" w:hAnsi="Arial" w:cs="Arial"/>
          <w:lang w:eastAsia="en-US"/>
        </w:rPr>
        <w:t xml:space="preserve">Amundi </w:t>
      </w:r>
      <w:r w:rsidR="002A5F9D" w:rsidRPr="00EF1F27">
        <w:rPr>
          <w:rFonts w:ascii="Arial" w:eastAsiaTheme="minorEastAsia" w:hAnsi="Arial" w:cs="Arial"/>
          <w:lang w:eastAsia="en-US"/>
        </w:rPr>
        <w:t xml:space="preserve">we </w:t>
      </w:r>
      <w:r w:rsidR="007138F9" w:rsidRPr="00EF1F27">
        <w:rPr>
          <w:rFonts w:ascii="Arial" w:eastAsiaTheme="minorEastAsia" w:hAnsi="Arial" w:cs="Arial"/>
          <w:lang w:eastAsia="en-US"/>
        </w:rPr>
        <w:t>believe that this scheme is fair</w:t>
      </w:r>
      <w:r w:rsidRPr="00EF1F27">
        <w:rPr>
          <w:rFonts w:ascii="Arial" w:eastAsiaTheme="minorEastAsia" w:hAnsi="Arial" w:cs="Arial"/>
          <w:lang w:eastAsia="en-US"/>
        </w:rPr>
        <w:t xml:space="preserve"> as </w:t>
      </w:r>
      <w:r w:rsidR="00A8194F">
        <w:rPr>
          <w:rFonts w:ascii="Arial" w:eastAsiaTheme="minorEastAsia" w:hAnsi="Arial" w:cs="Arial"/>
          <w:lang w:eastAsia="en-US"/>
        </w:rPr>
        <w:t xml:space="preserve">it </w:t>
      </w:r>
      <w:r w:rsidR="00C34E63">
        <w:rPr>
          <w:rFonts w:ascii="Arial" w:eastAsiaTheme="minorEastAsia" w:hAnsi="Arial" w:cs="Arial"/>
          <w:lang w:eastAsia="en-US"/>
        </w:rPr>
        <w:t xml:space="preserve">offers a lower fee base and </w:t>
      </w:r>
      <w:r w:rsidR="00A8194F">
        <w:rPr>
          <w:rFonts w:ascii="Arial" w:eastAsiaTheme="minorEastAsia" w:hAnsi="Arial" w:cs="Arial"/>
          <w:lang w:eastAsia="en-US"/>
        </w:rPr>
        <w:t xml:space="preserve">provides for an additional reward for </w:t>
      </w:r>
      <w:r w:rsidR="007138F9" w:rsidRPr="00EF1F27">
        <w:rPr>
          <w:rFonts w:ascii="Arial" w:eastAsiaTheme="minorEastAsia" w:hAnsi="Arial" w:cs="Arial"/>
          <w:lang w:eastAsia="en-US"/>
        </w:rPr>
        <w:t xml:space="preserve">the asset managers </w:t>
      </w:r>
      <w:r w:rsidR="00C34E63">
        <w:rPr>
          <w:rFonts w:ascii="Arial" w:eastAsiaTheme="minorEastAsia" w:hAnsi="Arial" w:cs="Arial"/>
          <w:lang w:eastAsia="en-US"/>
        </w:rPr>
        <w:t>if an</w:t>
      </w:r>
      <w:r w:rsidR="004D0CFB" w:rsidRPr="00EF1F27">
        <w:rPr>
          <w:rFonts w:ascii="Arial" w:eastAsiaTheme="minorEastAsia" w:hAnsi="Arial" w:cs="Arial"/>
          <w:lang w:eastAsia="en-US"/>
        </w:rPr>
        <w:t xml:space="preserve"> outperformance </w:t>
      </w:r>
      <w:r w:rsidR="00C34E63">
        <w:rPr>
          <w:rFonts w:ascii="Arial" w:eastAsiaTheme="minorEastAsia" w:hAnsi="Arial" w:cs="Arial"/>
          <w:lang w:eastAsia="en-US"/>
        </w:rPr>
        <w:t>is realized</w:t>
      </w:r>
      <w:r w:rsidR="00A8194F">
        <w:rPr>
          <w:rFonts w:ascii="Arial" w:eastAsiaTheme="minorEastAsia" w:hAnsi="Arial" w:cs="Arial"/>
          <w:lang w:eastAsia="en-US"/>
        </w:rPr>
        <w:t>,</w:t>
      </w:r>
      <w:r w:rsidR="00C34E63">
        <w:rPr>
          <w:rFonts w:ascii="Arial" w:eastAsiaTheme="minorEastAsia" w:hAnsi="Arial" w:cs="Arial"/>
          <w:lang w:eastAsia="en-US"/>
        </w:rPr>
        <w:t xml:space="preserve"> </w:t>
      </w:r>
      <w:r w:rsidR="007138F9" w:rsidRPr="00EF1F27">
        <w:rPr>
          <w:rFonts w:ascii="Arial" w:eastAsiaTheme="minorEastAsia" w:hAnsi="Arial" w:cs="Arial"/>
          <w:lang w:eastAsia="en-US"/>
        </w:rPr>
        <w:t>a</w:t>
      </w:r>
      <w:r w:rsidR="00A8194F">
        <w:rPr>
          <w:rFonts w:ascii="Arial" w:eastAsiaTheme="minorEastAsia" w:hAnsi="Arial" w:cs="Arial"/>
          <w:lang w:eastAsia="en-US"/>
        </w:rPr>
        <w:t>ligning therefore the interest of the asset manager with that of the investors</w:t>
      </w:r>
      <w:r w:rsidR="007138F9" w:rsidRPr="00EF1F27">
        <w:rPr>
          <w:rFonts w:ascii="Arial" w:eastAsiaTheme="minorEastAsia" w:hAnsi="Arial" w:cs="Arial"/>
          <w:lang w:eastAsia="en-US"/>
        </w:rPr>
        <w:t xml:space="preserve">. </w:t>
      </w:r>
    </w:p>
    <w:p w14:paraId="2565D9B7" w14:textId="77777777" w:rsidR="000D65BB" w:rsidRPr="00EF1F27" w:rsidRDefault="000D65BB" w:rsidP="000D65BB">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lastRenderedPageBreak/>
        <w:t xml:space="preserve">Against this background, we believe that the Guidelines should be limited to bring a more consistent approach across Member States, without jeopardizing a healthy competition amongst asset managers on pricing policy. </w:t>
      </w:r>
    </w:p>
    <w:p w14:paraId="4F5E176C" w14:textId="77777777" w:rsidR="00FF39FB" w:rsidRPr="00EF1F27" w:rsidRDefault="00344F63"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In addition, it is essential that these Guidelines, which take IOSCO</w:t>
      </w:r>
      <w:r w:rsidR="00FF39FB" w:rsidRPr="00EF1F27">
        <w:rPr>
          <w:rFonts w:ascii="Arial" w:eastAsiaTheme="minorEastAsia" w:hAnsi="Arial" w:cs="Arial"/>
          <w:lang w:eastAsia="en-US"/>
        </w:rPr>
        <w:t xml:space="preserve"> 2016</w:t>
      </w:r>
      <w:r w:rsidRPr="00EF1F27">
        <w:rPr>
          <w:rFonts w:ascii="Arial" w:eastAsiaTheme="minorEastAsia" w:hAnsi="Arial" w:cs="Arial"/>
          <w:lang w:eastAsia="en-US"/>
        </w:rPr>
        <w:t xml:space="preserve"> “Good Practices for Fees and Expenses of Collective Investment Schemes” as a reference, do not go beyond </w:t>
      </w:r>
      <w:r w:rsidR="00FF39FB" w:rsidRPr="00EF1F27">
        <w:rPr>
          <w:rFonts w:ascii="Arial" w:eastAsiaTheme="minorEastAsia" w:hAnsi="Arial" w:cs="Arial"/>
          <w:lang w:eastAsia="en-US"/>
        </w:rPr>
        <w:t xml:space="preserve">by being too prescriptive, with the risk of reducing the </w:t>
      </w:r>
      <w:r w:rsidR="0091480C" w:rsidRPr="00EF1F27">
        <w:rPr>
          <w:rFonts w:ascii="Arial" w:eastAsiaTheme="minorEastAsia" w:hAnsi="Arial" w:cs="Arial"/>
          <w:lang w:eastAsia="en-US"/>
        </w:rPr>
        <w:t>competitiveness</w:t>
      </w:r>
      <w:r w:rsidR="00FF39FB" w:rsidRPr="00EF1F27">
        <w:rPr>
          <w:rFonts w:ascii="Arial" w:eastAsiaTheme="minorEastAsia" w:hAnsi="Arial" w:cs="Arial"/>
          <w:lang w:eastAsia="en-US"/>
        </w:rPr>
        <w:t xml:space="preserve"> of the European regulation and discourage the use of performance fees in general. It’s also essential that </w:t>
      </w:r>
      <w:r w:rsidR="0091480C" w:rsidRPr="00EF1F27">
        <w:rPr>
          <w:rFonts w:ascii="Arial" w:eastAsiaTheme="minorEastAsia" w:hAnsi="Arial" w:cs="Arial"/>
          <w:lang w:eastAsia="en-US"/>
        </w:rPr>
        <w:t>these</w:t>
      </w:r>
      <w:r w:rsidR="00FF39FB" w:rsidRPr="00EF1F27">
        <w:rPr>
          <w:rFonts w:ascii="Arial" w:eastAsiaTheme="minorEastAsia" w:hAnsi="Arial" w:cs="Arial"/>
          <w:lang w:eastAsia="en-US"/>
        </w:rPr>
        <w:t xml:space="preserve"> guidelines </w:t>
      </w:r>
      <w:r w:rsidR="00D45594">
        <w:rPr>
          <w:rFonts w:ascii="Arial" w:eastAsiaTheme="minorEastAsia" w:hAnsi="Arial" w:cs="Arial"/>
          <w:lang w:eastAsia="en-US"/>
        </w:rPr>
        <w:t>do not impose one model of performance fees over another and preserve the freedom of choice for investors</w:t>
      </w:r>
      <w:r w:rsidR="00FF39FB" w:rsidRPr="00EF1F27">
        <w:rPr>
          <w:rFonts w:ascii="Arial" w:eastAsiaTheme="minorEastAsia" w:hAnsi="Arial" w:cs="Arial"/>
          <w:lang w:eastAsia="en-US"/>
        </w:rPr>
        <w:t>.</w:t>
      </w:r>
      <w:r w:rsidR="00FF39FB">
        <w:rPr>
          <w:rFonts w:ascii="Arial" w:eastAsiaTheme="minorEastAsia" w:hAnsi="Arial" w:cs="Arial"/>
          <w:lang w:eastAsia="en-US"/>
        </w:rPr>
        <w:t xml:space="preserve"> Last but not least, it’s of para</w:t>
      </w:r>
      <w:r w:rsidR="00D45594">
        <w:rPr>
          <w:rFonts w:ascii="Arial" w:eastAsiaTheme="minorEastAsia" w:hAnsi="Arial" w:cs="Arial"/>
          <w:lang w:eastAsia="en-US"/>
        </w:rPr>
        <w:t>mount importance that the guidelines preserve both the equality between investors and the alignment of interest between the</w:t>
      </w:r>
      <w:r w:rsidR="00C81A4A">
        <w:rPr>
          <w:rFonts w:ascii="Arial" w:eastAsiaTheme="minorEastAsia" w:hAnsi="Arial" w:cs="Arial"/>
          <w:lang w:eastAsia="en-US"/>
        </w:rPr>
        <w:t xml:space="preserve">se latter </w:t>
      </w:r>
      <w:r w:rsidR="00D45594">
        <w:rPr>
          <w:rFonts w:ascii="Arial" w:eastAsiaTheme="minorEastAsia" w:hAnsi="Arial" w:cs="Arial"/>
          <w:lang w:eastAsia="en-US"/>
        </w:rPr>
        <w:t>and the asset manager.</w:t>
      </w:r>
    </w:p>
    <w:p w14:paraId="67B5712F" w14:textId="77777777" w:rsidR="00344F63" w:rsidRPr="00EF1F27" w:rsidRDefault="00FF39FB" w:rsidP="000D65BB">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Therefore,</w:t>
      </w:r>
      <w:r w:rsidR="00C81A4A">
        <w:rPr>
          <w:rFonts w:ascii="Arial" w:eastAsiaTheme="minorEastAsia" w:hAnsi="Arial" w:cs="Arial"/>
          <w:lang w:eastAsia="en-US"/>
        </w:rPr>
        <w:t xml:space="preserve"> and as explained in details in our replies below,</w:t>
      </w:r>
      <w:r w:rsidRPr="00EF1F27">
        <w:rPr>
          <w:rFonts w:ascii="Arial" w:eastAsiaTheme="minorEastAsia" w:hAnsi="Arial" w:cs="Arial"/>
          <w:lang w:eastAsia="en-US"/>
        </w:rPr>
        <w:t xml:space="preserve"> we </w:t>
      </w:r>
      <w:r w:rsidR="00C81A4A">
        <w:rPr>
          <w:rFonts w:ascii="Arial" w:eastAsiaTheme="minorEastAsia" w:hAnsi="Arial" w:cs="Arial"/>
          <w:lang w:eastAsia="en-US"/>
        </w:rPr>
        <w:t xml:space="preserve">notably </w:t>
      </w:r>
      <w:r w:rsidRPr="00EF1F27">
        <w:rPr>
          <w:rFonts w:ascii="Arial" w:eastAsiaTheme="minorEastAsia" w:hAnsi="Arial" w:cs="Arial"/>
          <w:lang w:eastAsia="en-US"/>
        </w:rPr>
        <w:t>strongly advocate in favour of:</w:t>
      </w:r>
    </w:p>
    <w:p w14:paraId="36C407F1" w14:textId="394708D7" w:rsidR="000D65BB" w:rsidRDefault="000D65BB" w:rsidP="000D65BB">
      <w:pPr>
        <w:spacing w:after="250" w:line="276" w:lineRule="auto"/>
        <w:jc w:val="both"/>
        <w:rPr>
          <w:rFonts w:ascii="Arial" w:eastAsiaTheme="minorEastAsia" w:hAnsi="Arial" w:cs="Arial"/>
          <w:lang w:eastAsia="en-US"/>
        </w:rPr>
      </w:pPr>
      <w:r w:rsidRPr="000D65BB">
        <w:rPr>
          <w:rFonts w:ascii="Arial" w:eastAsiaTheme="minorEastAsia" w:hAnsi="Arial" w:cs="Arial"/>
          <w:b/>
          <w:lang w:eastAsia="en-US"/>
        </w:rPr>
        <w:t>1.</w:t>
      </w:r>
      <w:r>
        <w:rPr>
          <w:rFonts w:ascii="Arial" w:eastAsiaTheme="minorEastAsia" w:hAnsi="Arial" w:cs="Arial"/>
        </w:rPr>
        <w:t xml:space="preserve"> </w:t>
      </w:r>
      <w:r w:rsidR="00815930">
        <w:rPr>
          <w:rFonts w:ascii="Arial" w:eastAsiaTheme="minorEastAsia" w:hAnsi="Arial" w:cs="Arial"/>
          <w:b/>
          <w:lang w:eastAsia="en-US"/>
        </w:rPr>
        <w:t>F</w:t>
      </w:r>
      <w:r w:rsidRPr="000D65BB">
        <w:rPr>
          <w:rFonts w:ascii="Arial" w:eastAsiaTheme="minorEastAsia" w:hAnsi="Arial" w:cs="Arial"/>
          <w:b/>
          <w:lang w:eastAsia="en-US"/>
        </w:rPr>
        <w:t>ree choice for asset managers to apply or not performance fees (Dual Shares) and to select performance fees methods as part of the pricing policy</w:t>
      </w:r>
      <w:r w:rsidRPr="000D65BB">
        <w:rPr>
          <w:rFonts w:ascii="Arial" w:eastAsiaTheme="minorEastAsia" w:hAnsi="Arial" w:cs="Arial"/>
          <w:lang w:eastAsia="en-US"/>
        </w:rPr>
        <w:t xml:space="preserve">. Each asset manager should define and propose </w:t>
      </w:r>
      <w:r w:rsidR="00A8194F">
        <w:rPr>
          <w:rFonts w:ascii="Arial" w:eastAsiaTheme="minorEastAsia" w:hAnsi="Arial" w:cs="Arial"/>
          <w:lang w:eastAsia="en-US"/>
        </w:rPr>
        <w:t>its</w:t>
      </w:r>
      <w:r w:rsidR="00A8194F" w:rsidRPr="000D65BB">
        <w:rPr>
          <w:rFonts w:ascii="Arial" w:eastAsiaTheme="minorEastAsia" w:hAnsi="Arial" w:cs="Arial"/>
          <w:lang w:eastAsia="en-US"/>
        </w:rPr>
        <w:t xml:space="preserve"> </w:t>
      </w:r>
      <w:r w:rsidRPr="000D65BB">
        <w:rPr>
          <w:rFonts w:ascii="Arial" w:eastAsiaTheme="minorEastAsia" w:hAnsi="Arial" w:cs="Arial"/>
          <w:lang w:eastAsia="en-US"/>
        </w:rPr>
        <w:t xml:space="preserve">own pricing policy. The choice of applying HWM, or any other additional conditions in performance fees methods, should </w:t>
      </w:r>
      <w:r w:rsidR="00A8194F">
        <w:rPr>
          <w:rFonts w:ascii="Arial" w:eastAsiaTheme="minorEastAsia" w:hAnsi="Arial" w:cs="Arial"/>
          <w:lang w:eastAsia="en-US"/>
        </w:rPr>
        <w:t>remain</w:t>
      </w:r>
      <w:r w:rsidR="00A8194F" w:rsidRPr="000D65BB">
        <w:rPr>
          <w:rFonts w:ascii="Arial" w:eastAsiaTheme="minorEastAsia" w:hAnsi="Arial" w:cs="Arial"/>
          <w:lang w:eastAsia="en-US"/>
        </w:rPr>
        <w:t xml:space="preserve"> </w:t>
      </w:r>
      <w:r w:rsidRPr="000D65BB">
        <w:rPr>
          <w:rFonts w:ascii="Arial" w:eastAsiaTheme="minorEastAsia" w:hAnsi="Arial" w:cs="Arial"/>
          <w:lang w:eastAsia="en-US"/>
        </w:rPr>
        <w:t>in the hand of each asset manager</w:t>
      </w:r>
      <w:r w:rsidR="00F02DDE">
        <w:rPr>
          <w:rFonts w:ascii="Arial" w:eastAsiaTheme="minorEastAsia" w:hAnsi="Arial" w:cs="Arial"/>
          <w:lang w:eastAsia="en-US"/>
        </w:rPr>
        <w:t>.</w:t>
      </w:r>
    </w:p>
    <w:p w14:paraId="197189A9" w14:textId="2D971D4B" w:rsidR="00FF39FB"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2.</w:t>
      </w:r>
      <w:r>
        <w:rPr>
          <w:rFonts w:ascii="Arial" w:eastAsiaTheme="minorEastAsia" w:hAnsi="Arial" w:cs="Arial"/>
          <w:lang w:eastAsia="en-US"/>
        </w:rPr>
        <w:t xml:space="preserve"> </w:t>
      </w:r>
      <w:r w:rsidR="00815930">
        <w:rPr>
          <w:rFonts w:ascii="Arial" w:eastAsiaTheme="minorEastAsia" w:hAnsi="Arial" w:cs="Arial"/>
          <w:b/>
          <w:lang w:eastAsia="en-US"/>
        </w:rPr>
        <w:t>S</w:t>
      </w:r>
      <w:r w:rsidR="00FF39FB" w:rsidRPr="000D65BB">
        <w:rPr>
          <w:rFonts w:ascii="Arial" w:eastAsiaTheme="minorEastAsia" w:hAnsi="Arial" w:cs="Arial"/>
          <w:b/>
          <w:lang w:eastAsia="en-US"/>
        </w:rPr>
        <w:t>etting consistent crystalli</w:t>
      </w:r>
      <w:r w:rsidR="009C5D19">
        <w:rPr>
          <w:rFonts w:ascii="Arial" w:eastAsiaTheme="minorEastAsia" w:hAnsi="Arial" w:cs="Arial"/>
          <w:b/>
          <w:lang w:eastAsia="en-US"/>
        </w:rPr>
        <w:t>z</w:t>
      </w:r>
      <w:r w:rsidR="00FF39FB" w:rsidRPr="000D65BB">
        <w:rPr>
          <w:rFonts w:ascii="Arial" w:eastAsiaTheme="minorEastAsia" w:hAnsi="Arial" w:cs="Arial"/>
          <w:b/>
          <w:lang w:eastAsia="en-US"/>
        </w:rPr>
        <w:t>ation</w:t>
      </w:r>
      <w:r w:rsidR="00D45594" w:rsidRPr="000D65BB">
        <w:rPr>
          <w:rFonts w:ascii="Arial" w:eastAsiaTheme="minorEastAsia" w:hAnsi="Arial" w:cs="Arial"/>
          <w:lang w:eastAsia="en-US"/>
        </w:rPr>
        <w:t xml:space="preserve"> (Q4)</w:t>
      </w:r>
      <w:r w:rsidR="00FF39FB" w:rsidRPr="000D65BB">
        <w:rPr>
          <w:rFonts w:ascii="Arial" w:eastAsiaTheme="minorEastAsia" w:hAnsi="Arial" w:cs="Arial"/>
          <w:lang w:eastAsia="en-US"/>
        </w:rPr>
        <w:t xml:space="preserve"> </w:t>
      </w:r>
      <w:r w:rsidR="00FF39FB" w:rsidRPr="000D65BB">
        <w:rPr>
          <w:rFonts w:ascii="Arial" w:eastAsiaTheme="minorEastAsia" w:hAnsi="Arial" w:cs="Arial"/>
          <w:b/>
          <w:lang w:eastAsia="en-US"/>
        </w:rPr>
        <w:t>and reference period</w:t>
      </w:r>
      <w:r w:rsidR="00FF39FB" w:rsidRPr="000D65BB">
        <w:rPr>
          <w:rFonts w:ascii="Arial" w:eastAsiaTheme="minorEastAsia" w:hAnsi="Arial" w:cs="Arial"/>
          <w:lang w:eastAsia="en-US"/>
        </w:rPr>
        <w:t xml:space="preserve"> </w:t>
      </w:r>
      <w:r w:rsidR="00D45594" w:rsidRPr="000D65BB">
        <w:rPr>
          <w:rFonts w:ascii="Arial" w:eastAsiaTheme="minorEastAsia" w:hAnsi="Arial" w:cs="Arial"/>
          <w:lang w:eastAsia="en-US"/>
        </w:rPr>
        <w:t xml:space="preserve">(Q8 to Q10) </w:t>
      </w:r>
      <w:r w:rsidR="00FF39FB" w:rsidRPr="000D65BB">
        <w:rPr>
          <w:rFonts w:ascii="Arial" w:eastAsiaTheme="minorEastAsia" w:hAnsi="Arial" w:cs="Arial"/>
          <w:b/>
          <w:lang w:eastAsia="en-US"/>
        </w:rPr>
        <w:t>of no more than 12 months</w:t>
      </w:r>
      <w:r w:rsidR="00A8194F">
        <w:rPr>
          <w:rFonts w:ascii="Arial" w:eastAsiaTheme="minorEastAsia" w:hAnsi="Arial" w:cs="Arial"/>
          <w:b/>
          <w:lang w:eastAsia="en-US"/>
        </w:rPr>
        <w:t xml:space="preserve"> </w:t>
      </w:r>
      <w:r w:rsidR="00A8194F" w:rsidRPr="00923291">
        <w:rPr>
          <w:rFonts w:ascii="Arial" w:eastAsiaTheme="minorEastAsia" w:hAnsi="Arial" w:cs="Arial"/>
          <w:lang w:eastAsia="en-US"/>
        </w:rPr>
        <w:t>(</w:t>
      </w:r>
      <w:r w:rsidR="001F37AF">
        <w:rPr>
          <w:rFonts w:ascii="Arial" w:eastAsiaTheme="minorEastAsia" w:hAnsi="Arial" w:cs="Arial"/>
          <w:lang w:eastAsia="en-US"/>
        </w:rPr>
        <w:t>except in</w:t>
      </w:r>
      <w:r w:rsidR="00A8194F" w:rsidRPr="00923291">
        <w:rPr>
          <w:rFonts w:ascii="Arial" w:eastAsiaTheme="minorEastAsia" w:hAnsi="Arial" w:cs="Arial"/>
          <w:lang w:eastAsia="en-US"/>
        </w:rPr>
        <w:t xml:space="preserve"> some exceptional circumstances)</w:t>
      </w:r>
      <w:r w:rsidR="00FF39FB" w:rsidRPr="000D65BB">
        <w:rPr>
          <w:rFonts w:ascii="Arial" w:eastAsiaTheme="minorEastAsia" w:hAnsi="Arial" w:cs="Arial"/>
          <w:lang w:eastAsia="en-US"/>
        </w:rPr>
        <w:t xml:space="preserve">, </w:t>
      </w:r>
      <w:r w:rsidR="00A8194F">
        <w:rPr>
          <w:rFonts w:ascii="Arial" w:eastAsiaTheme="minorEastAsia" w:hAnsi="Arial" w:cs="Arial"/>
          <w:lang w:eastAsia="en-US"/>
        </w:rPr>
        <w:t xml:space="preserve">would go in the direction of providing the </w:t>
      </w:r>
      <w:r w:rsidR="00815930">
        <w:rPr>
          <w:rFonts w:ascii="Arial" w:eastAsiaTheme="minorEastAsia" w:hAnsi="Arial" w:cs="Arial"/>
          <w:lang w:eastAsia="en-US"/>
        </w:rPr>
        <w:t>investors</w:t>
      </w:r>
      <w:r w:rsidR="00A8194F">
        <w:rPr>
          <w:rFonts w:ascii="Arial" w:eastAsiaTheme="minorEastAsia" w:hAnsi="Arial" w:cs="Arial"/>
          <w:lang w:eastAsia="en-US"/>
        </w:rPr>
        <w:t xml:space="preserve"> with a straight forward, easy to understand model. In addition, </w:t>
      </w:r>
      <w:r w:rsidR="00FF39FB" w:rsidRPr="000D65BB">
        <w:rPr>
          <w:rFonts w:ascii="Arial" w:eastAsiaTheme="minorEastAsia" w:hAnsi="Arial" w:cs="Arial"/>
          <w:lang w:eastAsia="en-US"/>
        </w:rPr>
        <w:t xml:space="preserve">no arbitrary </w:t>
      </w:r>
      <w:r w:rsidR="00D45594" w:rsidRPr="000D65BB">
        <w:rPr>
          <w:rFonts w:ascii="Arial" w:eastAsiaTheme="minorEastAsia" w:hAnsi="Arial" w:cs="Arial"/>
          <w:lang w:eastAsia="en-US"/>
        </w:rPr>
        <w:t>restriction on when the period of crystallisation should end, as this decision should remain i</w:t>
      </w:r>
      <w:r w:rsidR="003C2D99" w:rsidRPr="000D65BB">
        <w:rPr>
          <w:rFonts w:ascii="Arial" w:eastAsiaTheme="minorEastAsia" w:hAnsi="Arial" w:cs="Arial"/>
          <w:lang w:eastAsia="en-US"/>
        </w:rPr>
        <w:t>n the hand of the asset manager.</w:t>
      </w:r>
    </w:p>
    <w:p w14:paraId="33BADB75" w14:textId="5F751AB8" w:rsidR="00C81A4A"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3.</w:t>
      </w:r>
      <w:r>
        <w:rPr>
          <w:rFonts w:ascii="Arial" w:eastAsiaTheme="minorEastAsia" w:hAnsi="Arial" w:cs="Arial"/>
          <w:lang w:eastAsia="en-US"/>
        </w:rPr>
        <w:t xml:space="preserve"> </w:t>
      </w:r>
      <w:r w:rsidR="00815930">
        <w:rPr>
          <w:rFonts w:ascii="Arial" w:eastAsiaTheme="minorEastAsia" w:hAnsi="Arial" w:cs="Arial"/>
          <w:b/>
          <w:lang w:eastAsia="en-US"/>
        </w:rPr>
        <w:t>M</w:t>
      </w:r>
      <w:r w:rsidRPr="000D65BB">
        <w:rPr>
          <w:rFonts w:ascii="Arial" w:eastAsiaTheme="minorEastAsia" w:hAnsi="Arial" w:cs="Arial"/>
          <w:b/>
          <w:lang w:eastAsia="en-US"/>
        </w:rPr>
        <w:t>aking clear that also relative performance can be rewarded</w:t>
      </w:r>
      <w:r>
        <w:rPr>
          <w:rFonts w:ascii="Arial" w:eastAsiaTheme="minorEastAsia" w:hAnsi="Arial" w:cs="Arial"/>
          <w:lang w:eastAsia="en-US"/>
        </w:rPr>
        <w:t xml:space="preserve"> </w:t>
      </w:r>
      <w:r w:rsidR="00D45594" w:rsidRPr="000D65BB">
        <w:rPr>
          <w:rFonts w:ascii="Arial" w:eastAsiaTheme="minorEastAsia" w:hAnsi="Arial" w:cs="Arial"/>
          <w:lang w:eastAsia="en-US"/>
        </w:rPr>
        <w:t>avoiding to restrict performance fees only when the fund has achieved absolute positive performance</w:t>
      </w:r>
      <w:r w:rsidR="00C81A4A" w:rsidRPr="000D65BB">
        <w:rPr>
          <w:rFonts w:ascii="Arial" w:eastAsiaTheme="minorEastAsia" w:hAnsi="Arial" w:cs="Arial"/>
          <w:lang w:eastAsia="en-US"/>
        </w:rPr>
        <w:t xml:space="preserve"> (Q6)</w:t>
      </w:r>
      <w:r w:rsidR="00E4086F">
        <w:rPr>
          <w:rFonts w:ascii="Arial" w:eastAsiaTheme="minorEastAsia" w:hAnsi="Arial" w:cs="Arial"/>
          <w:lang w:eastAsia="en-US"/>
        </w:rPr>
        <w:t xml:space="preserve"> is always in the best </w:t>
      </w:r>
      <w:r w:rsidR="00815930">
        <w:rPr>
          <w:rFonts w:ascii="Arial" w:eastAsiaTheme="minorEastAsia" w:hAnsi="Arial" w:cs="Arial"/>
          <w:lang w:eastAsia="en-US"/>
        </w:rPr>
        <w:t>interest</w:t>
      </w:r>
      <w:r w:rsidR="00E4086F">
        <w:rPr>
          <w:rFonts w:ascii="Arial" w:eastAsiaTheme="minorEastAsia" w:hAnsi="Arial" w:cs="Arial"/>
          <w:lang w:eastAsia="en-US"/>
        </w:rPr>
        <w:t xml:space="preserve"> of the investors and even more so in a negative interest rate scenario</w:t>
      </w:r>
      <w:r w:rsidR="00F02DDE">
        <w:rPr>
          <w:rFonts w:ascii="Arial" w:eastAsiaTheme="minorEastAsia" w:hAnsi="Arial" w:cs="Arial"/>
          <w:lang w:eastAsia="en-US"/>
        </w:rPr>
        <w:t>.</w:t>
      </w:r>
    </w:p>
    <w:p w14:paraId="2281E0C9" w14:textId="77777777" w:rsidR="004D34E1"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lastRenderedPageBreak/>
        <w:t>4.</w:t>
      </w:r>
      <w:r>
        <w:rPr>
          <w:rFonts w:ascii="Arial" w:eastAsiaTheme="minorEastAsia" w:hAnsi="Arial" w:cs="Arial"/>
          <w:lang w:eastAsia="en-US"/>
        </w:rPr>
        <w:t xml:space="preserve"> </w:t>
      </w:r>
      <w:r w:rsidR="00815930">
        <w:rPr>
          <w:rFonts w:ascii="Arial" w:eastAsiaTheme="minorEastAsia" w:hAnsi="Arial" w:cs="Arial"/>
          <w:b/>
          <w:lang w:eastAsia="en-US"/>
        </w:rPr>
        <w:t>G</w:t>
      </w:r>
      <w:r w:rsidRPr="000D65BB">
        <w:rPr>
          <w:rFonts w:ascii="Arial" w:eastAsiaTheme="minorEastAsia" w:hAnsi="Arial" w:cs="Arial"/>
          <w:b/>
          <w:lang w:eastAsia="en-US"/>
        </w:rPr>
        <w:t xml:space="preserve">iving a </w:t>
      </w:r>
      <w:r w:rsidR="0091480C" w:rsidRPr="000D65BB">
        <w:rPr>
          <w:rFonts w:ascii="Arial" w:eastAsiaTheme="minorEastAsia" w:hAnsi="Arial" w:cs="Arial"/>
          <w:b/>
          <w:lang w:eastAsia="en-US"/>
        </w:rPr>
        <w:t>reasonable</w:t>
      </w:r>
      <w:r w:rsidRPr="000D65BB">
        <w:rPr>
          <w:rFonts w:ascii="Arial" w:eastAsiaTheme="minorEastAsia" w:hAnsi="Arial" w:cs="Arial"/>
          <w:b/>
          <w:lang w:eastAsia="en-US"/>
        </w:rPr>
        <w:t xml:space="preserve"> time to implement the Guidelines</w:t>
      </w:r>
      <w:r w:rsidR="00C81A4A" w:rsidRPr="000D65BB">
        <w:rPr>
          <w:rFonts w:ascii="Arial" w:eastAsiaTheme="minorEastAsia" w:hAnsi="Arial" w:cs="Arial"/>
          <w:lang w:eastAsia="en-US"/>
        </w:rPr>
        <w:t xml:space="preserve">. In this respect </w:t>
      </w:r>
      <w:r w:rsidR="003C2D99" w:rsidRPr="000D65BB">
        <w:rPr>
          <w:rFonts w:ascii="Arial" w:eastAsiaTheme="minorEastAsia" w:hAnsi="Arial" w:cs="Arial"/>
          <w:lang w:eastAsia="en-US"/>
        </w:rPr>
        <w:t>a two year period after their publication</w:t>
      </w:r>
      <w:r w:rsidR="00C81A4A" w:rsidRPr="000D65BB">
        <w:rPr>
          <w:rFonts w:ascii="Arial" w:eastAsiaTheme="minorEastAsia" w:hAnsi="Arial" w:cs="Arial"/>
          <w:lang w:eastAsia="en-US"/>
        </w:rPr>
        <w:t xml:space="preserve"> </w:t>
      </w:r>
      <w:r w:rsidR="002F683A" w:rsidRPr="000D65BB">
        <w:rPr>
          <w:rFonts w:ascii="Arial" w:eastAsiaTheme="minorEastAsia" w:hAnsi="Arial" w:cs="Arial"/>
          <w:lang w:eastAsia="en-US"/>
        </w:rPr>
        <w:t>appears to a</w:t>
      </w:r>
      <w:r w:rsidR="003C2D99" w:rsidRPr="000D65BB">
        <w:rPr>
          <w:rFonts w:ascii="Arial" w:eastAsiaTheme="minorEastAsia" w:hAnsi="Arial" w:cs="Arial"/>
          <w:lang w:eastAsia="en-US"/>
        </w:rPr>
        <w:t xml:space="preserve"> more appropriate period of time for these guidelines to be applicable</w:t>
      </w:r>
      <w:r>
        <w:rPr>
          <w:rFonts w:ascii="Arial" w:eastAsiaTheme="minorEastAsia" w:hAnsi="Arial" w:cs="Arial"/>
          <w:lang w:eastAsia="en-US"/>
        </w:rPr>
        <w:t xml:space="preserve"> (Q12)</w:t>
      </w:r>
      <w:r w:rsidR="00E4086F">
        <w:rPr>
          <w:rFonts w:ascii="Arial" w:eastAsiaTheme="minorEastAsia" w:hAnsi="Arial" w:cs="Arial"/>
          <w:lang w:eastAsia="en-US"/>
        </w:rPr>
        <w:t xml:space="preserve"> in order to align fund documentation and the offer to investors to the Guidelines</w:t>
      </w:r>
      <w:r w:rsidR="003C2D99" w:rsidRPr="000D65BB">
        <w:rPr>
          <w:rFonts w:ascii="Arial" w:eastAsiaTheme="minorEastAsia" w:hAnsi="Arial" w:cs="Arial"/>
          <w:lang w:eastAsia="en-US"/>
        </w:rPr>
        <w:t>.</w:t>
      </w:r>
    </w:p>
    <w:p w14:paraId="6B994B38" w14:textId="7D633D02" w:rsidR="000D65BB"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5.</w:t>
      </w:r>
      <w:r>
        <w:rPr>
          <w:rFonts w:ascii="Arial" w:eastAsiaTheme="minorEastAsia" w:hAnsi="Arial" w:cs="Arial"/>
          <w:lang w:eastAsia="en-US"/>
        </w:rPr>
        <w:t xml:space="preserve"> </w:t>
      </w:r>
      <w:r w:rsidR="00815930">
        <w:rPr>
          <w:rFonts w:ascii="Arial" w:eastAsiaTheme="minorEastAsia" w:hAnsi="Arial" w:cs="Arial"/>
          <w:b/>
          <w:lang w:eastAsia="en-US"/>
        </w:rPr>
        <w:t>L</w:t>
      </w:r>
      <w:r w:rsidRPr="000D65BB">
        <w:rPr>
          <w:rFonts w:ascii="Arial" w:eastAsiaTheme="minorEastAsia" w:hAnsi="Arial" w:cs="Arial"/>
          <w:b/>
          <w:lang w:eastAsia="en-US"/>
        </w:rPr>
        <w:t xml:space="preserve">imiting the application of the Guidelines to retail investor </w:t>
      </w:r>
      <w:r w:rsidR="006E2441">
        <w:rPr>
          <w:rFonts w:ascii="Arial" w:eastAsiaTheme="minorEastAsia" w:hAnsi="Arial" w:cs="Arial"/>
          <w:b/>
          <w:lang w:eastAsia="en-US"/>
        </w:rPr>
        <w:t>in</w:t>
      </w:r>
      <w:r w:rsidRPr="000D65BB">
        <w:rPr>
          <w:rFonts w:ascii="Arial" w:eastAsiaTheme="minorEastAsia" w:hAnsi="Arial" w:cs="Arial"/>
          <w:b/>
          <w:lang w:eastAsia="en-US"/>
        </w:rPr>
        <w:t xml:space="preserve"> UCITS funds</w:t>
      </w:r>
      <w:r>
        <w:rPr>
          <w:rFonts w:ascii="Arial" w:eastAsiaTheme="minorEastAsia" w:hAnsi="Arial" w:cs="Arial"/>
          <w:lang w:eastAsia="en-US"/>
        </w:rPr>
        <w:t xml:space="preserve"> (Q13)</w:t>
      </w:r>
      <w:r w:rsidR="00E4086F">
        <w:rPr>
          <w:rFonts w:ascii="Arial" w:eastAsiaTheme="minorEastAsia" w:hAnsi="Arial" w:cs="Arial"/>
          <w:lang w:eastAsia="en-US"/>
        </w:rPr>
        <w:t xml:space="preserve"> since non-retail investors are generally more sophisticated and require a bespoke approach</w:t>
      </w:r>
      <w:r w:rsidRPr="000D65BB">
        <w:rPr>
          <w:rFonts w:ascii="Arial" w:eastAsiaTheme="minorEastAsia" w:hAnsi="Arial" w:cs="Arial"/>
          <w:lang w:eastAsia="en-US"/>
        </w:rPr>
        <w:t>.</w:t>
      </w:r>
      <w:r w:rsidR="00E4086F">
        <w:rPr>
          <w:rFonts w:ascii="Arial" w:eastAsiaTheme="minorEastAsia" w:hAnsi="Arial" w:cs="Arial"/>
          <w:lang w:eastAsia="en-US"/>
        </w:rPr>
        <w:t xml:space="preserve"> </w:t>
      </w:r>
    </w:p>
    <w:permEnd w:id="646974341"/>
    <w:p w14:paraId="72E79921" w14:textId="77777777" w:rsidR="00C85C8B" w:rsidRPr="00C85C8B" w:rsidRDefault="00C85C8B" w:rsidP="001F6354">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1F23C9">
        <w:rPr>
          <w:rFonts w:asciiTheme="minorHAnsi" w:eastAsiaTheme="minorEastAsia" w:hAnsiTheme="minorHAnsi" w:cs="Arial"/>
          <w:sz w:val="22"/>
          <w:szCs w:val="20"/>
          <w:lang w:eastAsia="en-US"/>
        </w:rPr>
        <w:t>PFG</w:t>
      </w:r>
      <w:r w:rsidRPr="00C85C8B">
        <w:rPr>
          <w:rFonts w:asciiTheme="minorHAnsi" w:eastAsiaTheme="minorEastAsia" w:hAnsiTheme="minorHAnsi" w:cstheme="minorBidi"/>
          <w:sz w:val="22"/>
          <w:szCs w:val="20"/>
          <w:lang w:eastAsia="en-US"/>
        </w:rPr>
        <w:t>_1&gt;</w:t>
      </w:r>
    </w:p>
    <w:p w14:paraId="39EA7582" w14:textId="77777777" w:rsidR="00C85C8B" w:rsidRDefault="00C85C8B" w:rsidP="001F6354">
      <w:pPr>
        <w:spacing w:line="276" w:lineRule="auto"/>
        <w:jc w:val="both"/>
        <w:rPr>
          <w:rFonts w:asciiTheme="minorHAnsi" w:hAnsiTheme="minorHAnsi" w:cstheme="minorHAnsi"/>
          <w:b/>
          <w:sz w:val="28"/>
          <w:szCs w:val="28"/>
        </w:rPr>
      </w:pPr>
    </w:p>
    <w:p w14:paraId="72AAD311" w14:textId="77777777" w:rsidR="00C85C8B" w:rsidRDefault="00C85C8B" w:rsidP="001F6354">
      <w:pPr>
        <w:spacing w:line="276" w:lineRule="auto"/>
        <w:jc w:val="both"/>
        <w:rPr>
          <w:rFonts w:asciiTheme="minorHAnsi" w:hAnsiTheme="minorHAnsi" w:cstheme="minorHAnsi"/>
          <w:b/>
          <w:sz w:val="28"/>
          <w:szCs w:val="28"/>
        </w:rPr>
      </w:pPr>
    </w:p>
    <w:p w14:paraId="1E702106" w14:textId="77777777" w:rsidR="00C85C8B" w:rsidRDefault="00C85C8B" w:rsidP="001F6354">
      <w:pPr>
        <w:spacing w:line="276" w:lineRule="auto"/>
        <w:jc w:val="both"/>
        <w:rPr>
          <w:rFonts w:asciiTheme="minorHAnsi" w:hAnsiTheme="minorHAnsi" w:cstheme="minorHAnsi"/>
          <w:b/>
          <w:sz w:val="28"/>
          <w:szCs w:val="28"/>
        </w:rPr>
      </w:pPr>
    </w:p>
    <w:p w14:paraId="4EAFA1BF" w14:textId="77777777" w:rsidR="00C85C8B" w:rsidRDefault="00C85C8B" w:rsidP="001F6354">
      <w:pPr>
        <w:spacing w:line="276" w:lineRule="auto"/>
        <w:jc w:val="both"/>
        <w:rPr>
          <w:rFonts w:asciiTheme="minorHAnsi" w:hAnsiTheme="minorHAnsi" w:cstheme="minorHAnsi"/>
          <w:b/>
          <w:sz w:val="28"/>
          <w:szCs w:val="28"/>
        </w:rPr>
      </w:pPr>
    </w:p>
    <w:p w14:paraId="42DCE990" w14:textId="77777777" w:rsidR="00C85C8B" w:rsidRDefault="00C85C8B" w:rsidP="001F6354">
      <w:pPr>
        <w:spacing w:line="276" w:lineRule="auto"/>
        <w:jc w:val="both"/>
        <w:rPr>
          <w:rFonts w:asciiTheme="minorHAnsi" w:hAnsiTheme="minorHAnsi" w:cstheme="minorHAnsi"/>
          <w:b/>
          <w:sz w:val="28"/>
          <w:szCs w:val="28"/>
        </w:rPr>
      </w:pPr>
    </w:p>
    <w:p w14:paraId="2FF91699" w14:textId="77777777" w:rsidR="00C85C8B" w:rsidRDefault="00C85C8B" w:rsidP="001F6354">
      <w:pPr>
        <w:spacing w:after="120" w:line="264" w:lineRule="auto"/>
        <w:jc w:val="both"/>
        <w:rPr>
          <w:rFonts w:asciiTheme="minorHAnsi" w:hAnsiTheme="minorHAnsi" w:cstheme="minorHAnsi"/>
          <w:b/>
          <w:sz w:val="28"/>
          <w:szCs w:val="28"/>
        </w:rPr>
      </w:pPr>
      <w:r>
        <w:rPr>
          <w:rFonts w:asciiTheme="minorHAnsi" w:hAnsiTheme="minorHAnsi" w:cstheme="minorHAnsi"/>
          <w:b/>
          <w:sz w:val="28"/>
          <w:szCs w:val="28"/>
        </w:rPr>
        <w:br w:type="page"/>
      </w:r>
    </w:p>
    <w:p w14:paraId="01E4CAE5" w14:textId="77777777" w:rsidR="00C1698A" w:rsidRDefault="00C1698A" w:rsidP="001F6354">
      <w:pPr>
        <w:spacing w:line="276" w:lineRule="auto"/>
        <w:jc w:val="both"/>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41486877" w14:textId="77777777" w:rsidR="00AB6157" w:rsidRDefault="00AB6157" w:rsidP="001F6354">
      <w:pPr>
        <w:spacing w:line="276" w:lineRule="auto"/>
        <w:jc w:val="both"/>
        <w:rPr>
          <w:rFonts w:asciiTheme="minorHAnsi" w:hAnsiTheme="minorHAnsi" w:cstheme="minorHAnsi"/>
          <w:b/>
          <w:sz w:val="28"/>
          <w:szCs w:val="28"/>
        </w:rPr>
      </w:pPr>
    </w:p>
    <w:p w14:paraId="11DC7CB2" w14:textId="77777777" w:rsidR="001F23C9" w:rsidRPr="001F6354" w:rsidRDefault="001F23C9" w:rsidP="001F6354">
      <w:pPr>
        <w:pStyle w:val="Questionstyle"/>
      </w:pPr>
      <w:r w:rsidRPr="001F6354">
        <w:t>: Do you agree that greater standardisation in the field of funds’ performance fees is desirable? What should be the goal of standardisation?</w:t>
      </w:r>
    </w:p>
    <w:p w14:paraId="52A86C83" w14:textId="77777777" w:rsidR="00AD5588" w:rsidRDefault="001F23C9" w:rsidP="001F6354">
      <w:pPr>
        <w:jc w:val="both"/>
        <w:rPr>
          <w:rFonts w:ascii="Arial" w:hAnsi="Arial" w:cs="Arial"/>
        </w:rPr>
      </w:pPr>
      <w:r>
        <w:rPr>
          <w:rFonts w:ascii="Arial" w:hAnsi="Arial" w:cs="Arial"/>
        </w:rPr>
        <w:t>&lt;ESMA_QUESTION_PFG_1&gt;</w:t>
      </w:r>
      <w:permStart w:id="350690425" w:edGrp="everyone"/>
    </w:p>
    <w:p w14:paraId="2257D21B" w14:textId="77777777" w:rsidR="004555B4" w:rsidRDefault="004555B4" w:rsidP="001F6354">
      <w:pPr>
        <w:jc w:val="both"/>
        <w:rPr>
          <w:rFonts w:ascii="Arial" w:hAnsi="Arial" w:cs="Arial"/>
        </w:rPr>
      </w:pPr>
      <w:r>
        <w:rPr>
          <w:rFonts w:ascii="Arial" w:hAnsi="Arial" w:cs="Arial"/>
        </w:rPr>
        <w:t xml:space="preserve">Amundi believes that </w:t>
      </w:r>
      <w:r w:rsidRPr="004555B4">
        <w:rPr>
          <w:rFonts w:ascii="Arial" w:hAnsi="Arial" w:cs="Arial"/>
        </w:rPr>
        <w:t>it would be good to have high-level principles or guidelines on performance fees in UCITS across the European Union</w:t>
      </w:r>
      <w:r>
        <w:rPr>
          <w:rFonts w:ascii="Arial" w:hAnsi="Arial" w:cs="Arial"/>
        </w:rPr>
        <w:t xml:space="preserve"> since </w:t>
      </w:r>
      <w:r w:rsidR="003D714C">
        <w:rPr>
          <w:rFonts w:ascii="Arial" w:hAnsi="Arial" w:cs="Arial"/>
        </w:rPr>
        <w:t xml:space="preserve">very prescriptive </w:t>
      </w:r>
      <w:r w:rsidRPr="004555B4">
        <w:rPr>
          <w:rFonts w:ascii="Arial" w:hAnsi="Arial" w:cs="Arial"/>
        </w:rPr>
        <w:t xml:space="preserve">national requirements are barriers to the cross-border distribution of funds and should therefore be avoided. </w:t>
      </w:r>
      <w:r w:rsidR="00815930">
        <w:rPr>
          <w:rFonts w:ascii="Arial" w:hAnsi="Arial" w:cs="Arial"/>
        </w:rPr>
        <w:t>Furthermore, we believe that the Guidelines should be inspired by achieving more transparency and simplicity for the investors as ultimately they should be in a position to easily understand the value proposition offered to them.</w:t>
      </w:r>
    </w:p>
    <w:p w14:paraId="1E241A98" w14:textId="77777777" w:rsidR="00DA6219" w:rsidRDefault="00DA6219" w:rsidP="001F6354">
      <w:pPr>
        <w:jc w:val="both"/>
        <w:rPr>
          <w:rFonts w:ascii="Arial" w:hAnsi="Arial" w:cs="Arial"/>
        </w:rPr>
      </w:pPr>
    </w:p>
    <w:p w14:paraId="76FB48EE" w14:textId="23679D05" w:rsidR="004555B4" w:rsidRDefault="004555B4" w:rsidP="001F6354">
      <w:pPr>
        <w:jc w:val="both"/>
        <w:rPr>
          <w:rFonts w:ascii="Arial" w:hAnsi="Arial" w:cs="Arial"/>
        </w:rPr>
      </w:pPr>
      <w:r w:rsidRPr="004555B4">
        <w:rPr>
          <w:rFonts w:ascii="Arial" w:hAnsi="Arial" w:cs="Arial"/>
        </w:rPr>
        <w:t>IOSCO adopted in 2016 ‘Good Practices for Fees and Expenses of Collective Investment Schemes’, which are applied by many national regulators as a</w:t>
      </w:r>
      <w:r w:rsidR="00112A8D">
        <w:rPr>
          <w:rFonts w:ascii="Arial" w:hAnsi="Arial" w:cs="Arial"/>
        </w:rPr>
        <w:t xml:space="preserve"> useful</w:t>
      </w:r>
      <w:r w:rsidRPr="004555B4">
        <w:rPr>
          <w:rFonts w:ascii="Arial" w:hAnsi="Arial" w:cs="Arial"/>
        </w:rPr>
        <w:t xml:space="preserve"> </w:t>
      </w:r>
      <w:r w:rsidR="00112A8D">
        <w:rPr>
          <w:rFonts w:ascii="Arial" w:hAnsi="Arial" w:cs="Arial"/>
        </w:rPr>
        <w:t xml:space="preserve"> standard</w:t>
      </w:r>
      <w:r w:rsidRPr="004555B4">
        <w:rPr>
          <w:rFonts w:ascii="Arial" w:hAnsi="Arial" w:cs="Arial"/>
        </w:rPr>
        <w:t xml:space="preserve">. </w:t>
      </w:r>
      <w:r w:rsidR="00F57B97">
        <w:rPr>
          <w:rFonts w:ascii="Arial" w:hAnsi="Arial" w:cs="Arial"/>
        </w:rPr>
        <w:t xml:space="preserve">In our view </w:t>
      </w:r>
      <w:r w:rsidRPr="004555B4">
        <w:rPr>
          <w:rFonts w:ascii="Arial" w:hAnsi="Arial" w:cs="Arial"/>
        </w:rPr>
        <w:t>ESMA</w:t>
      </w:r>
      <w:r w:rsidR="00F02DDE">
        <w:rPr>
          <w:rFonts w:ascii="Arial" w:hAnsi="Arial" w:cs="Arial"/>
        </w:rPr>
        <w:t xml:space="preserve"> Guidelines</w:t>
      </w:r>
      <w:r w:rsidRPr="004555B4">
        <w:rPr>
          <w:rFonts w:ascii="Arial" w:hAnsi="Arial" w:cs="Arial"/>
        </w:rPr>
        <w:t xml:space="preserve"> should </w:t>
      </w:r>
      <w:r w:rsidR="00F57B97">
        <w:rPr>
          <w:rFonts w:ascii="Arial" w:hAnsi="Arial" w:cs="Arial"/>
        </w:rPr>
        <w:t xml:space="preserve">be consistent </w:t>
      </w:r>
      <w:r w:rsidR="003D714C">
        <w:rPr>
          <w:rFonts w:ascii="Arial" w:hAnsi="Arial" w:cs="Arial"/>
        </w:rPr>
        <w:t>with</w:t>
      </w:r>
      <w:r w:rsidR="00F57B97">
        <w:rPr>
          <w:rFonts w:ascii="Arial" w:hAnsi="Arial" w:cs="Arial"/>
        </w:rPr>
        <w:t xml:space="preserve"> IOSCO’ approach of not being too prescriptive</w:t>
      </w:r>
      <w:r w:rsidR="00112A8D">
        <w:rPr>
          <w:rFonts w:ascii="Arial" w:hAnsi="Arial" w:cs="Arial"/>
        </w:rPr>
        <w:t xml:space="preserve"> and not go beyond that standard</w:t>
      </w:r>
      <w:r w:rsidRPr="004555B4">
        <w:rPr>
          <w:rFonts w:ascii="Arial" w:hAnsi="Arial" w:cs="Arial"/>
        </w:rPr>
        <w:t xml:space="preserve">. </w:t>
      </w:r>
    </w:p>
    <w:p w14:paraId="2129D0DE" w14:textId="77777777" w:rsidR="00DA6219" w:rsidRDefault="00DA6219" w:rsidP="001F6354">
      <w:pPr>
        <w:jc w:val="both"/>
        <w:rPr>
          <w:rFonts w:ascii="Arial" w:hAnsi="Arial" w:cs="Arial"/>
        </w:rPr>
      </w:pPr>
    </w:p>
    <w:p w14:paraId="5C3E989B" w14:textId="77777777" w:rsidR="00060BE3" w:rsidRDefault="003566A0" w:rsidP="001F6354">
      <w:pPr>
        <w:jc w:val="both"/>
        <w:rPr>
          <w:rFonts w:ascii="Arial" w:hAnsi="Arial" w:cs="Arial"/>
        </w:rPr>
      </w:pPr>
      <w:r>
        <w:rPr>
          <w:rFonts w:ascii="Arial" w:hAnsi="Arial" w:cs="Arial"/>
        </w:rPr>
        <w:t xml:space="preserve">We believe that clarifying concepts and good practices </w:t>
      </w:r>
      <w:r w:rsidR="00C60C9A">
        <w:rPr>
          <w:rFonts w:ascii="Arial" w:hAnsi="Arial" w:cs="Arial"/>
        </w:rPr>
        <w:t xml:space="preserve">could contribute </w:t>
      </w:r>
      <w:r w:rsidR="00CE2F12">
        <w:rPr>
          <w:rFonts w:ascii="Arial" w:hAnsi="Arial" w:cs="Arial"/>
        </w:rPr>
        <w:t xml:space="preserve">to </w:t>
      </w:r>
      <w:r w:rsidR="00C60C9A">
        <w:rPr>
          <w:rFonts w:ascii="Arial" w:hAnsi="Arial" w:cs="Arial"/>
        </w:rPr>
        <w:t>(</w:t>
      </w:r>
      <w:proofErr w:type="spellStart"/>
      <w:r w:rsidR="00C60C9A">
        <w:rPr>
          <w:rFonts w:ascii="Arial" w:hAnsi="Arial" w:cs="Arial"/>
        </w:rPr>
        <w:t>i</w:t>
      </w:r>
      <w:proofErr w:type="spellEnd"/>
      <w:r w:rsidR="00C60C9A">
        <w:rPr>
          <w:rFonts w:ascii="Arial" w:hAnsi="Arial" w:cs="Arial"/>
        </w:rPr>
        <w:t xml:space="preserve">)  enhance transparency, and thus investors’ protection, giving them the possibility to better compare the different value propositions in the market (ii) </w:t>
      </w:r>
      <w:r w:rsidR="00AD5588">
        <w:rPr>
          <w:rFonts w:ascii="Arial" w:hAnsi="Arial" w:cs="Arial"/>
        </w:rPr>
        <w:t>reduc</w:t>
      </w:r>
      <w:r w:rsidR="00C60C9A">
        <w:rPr>
          <w:rFonts w:ascii="Arial" w:hAnsi="Arial" w:cs="Arial"/>
        </w:rPr>
        <w:t xml:space="preserve">e </w:t>
      </w:r>
      <w:r w:rsidR="00AD5588">
        <w:rPr>
          <w:rFonts w:ascii="Arial" w:hAnsi="Arial" w:cs="Arial"/>
        </w:rPr>
        <w:t>the possibility of regulatory arbitrage</w:t>
      </w:r>
      <w:r w:rsidR="00C60C9A">
        <w:rPr>
          <w:rFonts w:ascii="Arial" w:hAnsi="Arial" w:cs="Arial"/>
        </w:rPr>
        <w:t xml:space="preserve"> and (iii) be in line with </w:t>
      </w:r>
      <w:r w:rsidR="00D019AA">
        <w:rPr>
          <w:rFonts w:ascii="Arial" w:hAnsi="Arial" w:cs="Arial"/>
        </w:rPr>
        <w:t>the objective of strengthen</w:t>
      </w:r>
      <w:r w:rsidR="003D714C">
        <w:rPr>
          <w:rFonts w:ascii="Arial" w:hAnsi="Arial" w:cs="Arial"/>
        </w:rPr>
        <w:t>ing</w:t>
      </w:r>
      <w:r w:rsidR="00D019AA">
        <w:rPr>
          <w:rFonts w:ascii="Arial" w:hAnsi="Arial" w:cs="Arial"/>
        </w:rPr>
        <w:t xml:space="preserve"> the </w:t>
      </w:r>
      <w:r w:rsidR="00C60C9A">
        <w:rPr>
          <w:rFonts w:ascii="Arial" w:hAnsi="Arial" w:cs="Arial"/>
        </w:rPr>
        <w:t>capita</w:t>
      </w:r>
      <w:r w:rsidR="00F57B97">
        <w:rPr>
          <w:rFonts w:ascii="Arial" w:hAnsi="Arial" w:cs="Arial"/>
        </w:rPr>
        <w:t>l</w:t>
      </w:r>
      <w:r w:rsidR="00C60C9A">
        <w:rPr>
          <w:rFonts w:ascii="Arial" w:hAnsi="Arial" w:cs="Arial"/>
        </w:rPr>
        <w:t xml:space="preserve"> market union</w:t>
      </w:r>
      <w:r w:rsidR="00AD5588">
        <w:rPr>
          <w:rFonts w:ascii="Arial" w:hAnsi="Arial" w:cs="Arial"/>
        </w:rPr>
        <w:t>.</w:t>
      </w:r>
      <w:r w:rsidR="00C60C9A">
        <w:rPr>
          <w:rFonts w:ascii="Arial" w:hAnsi="Arial" w:cs="Arial"/>
        </w:rPr>
        <w:t xml:space="preserve"> That said</w:t>
      </w:r>
      <w:r w:rsidR="00D019AA">
        <w:rPr>
          <w:rFonts w:ascii="Arial" w:hAnsi="Arial" w:cs="Arial"/>
        </w:rPr>
        <w:t>,</w:t>
      </w:r>
      <w:r w:rsidR="00C60C9A">
        <w:rPr>
          <w:rFonts w:ascii="Arial" w:hAnsi="Arial" w:cs="Arial"/>
        </w:rPr>
        <w:t xml:space="preserve"> we also believe that it is important that the Guidelines </w:t>
      </w:r>
      <w:r w:rsidR="00DA6219">
        <w:rPr>
          <w:rFonts w:ascii="Arial" w:hAnsi="Arial" w:cs="Arial"/>
        </w:rPr>
        <w:t xml:space="preserve">(a) </w:t>
      </w:r>
      <w:r w:rsidR="00C60C9A">
        <w:rPr>
          <w:rFonts w:ascii="Arial" w:hAnsi="Arial" w:cs="Arial"/>
        </w:rPr>
        <w:t>will not go beyond the scope described above</w:t>
      </w:r>
      <w:r w:rsidR="00060BE3">
        <w:rPr>
          <w:rFonts w:ascii="Arial" w:hAnsi="Arial" w:cs="Arial"/>
        </w:rPr>
        <w:t xml:space="preserve"> imposing a model over another</w:t>
      </w:r>
      <w:r w:rsidR="00E70AB4">
        <w:rPr>
          <w:rFonts w:ascii="Arial" w:hAnsi="Arial" w:cs="Arial"/>
        </w:rPr>
        <w:t xml:space="preserve"> and </w:t>
      </w:r>
      <w:r w:rsidR="00DA6219">
        <w:rPr>
          <w:rFonts w:ascii="Arial" w:hAnsi="Arial" w:cs="Arial"/>
        </w:rPr>
        <w:t>(b) duly consider the differences in models when they are formulated</w:t>
      </w:r>
      <w:r w:rsidR="00060BE3">
        <w:rPr>
          <w:rFonts w:ascii="Arial" w:hAnsi="Arial" w:cs="Arial"/>
        </w:rPr>
        <w:t>.</w:t>
      </w:r>
    </w:p>
    <w:p w14:paraId="687168D8" w14:textId="77777777" w:rsidR="00DA6219" w:rsidRDefault="00DA6219" w:rsidP="001F6354">
      <w:pPr>
        <w:jc w:val="both"/>
        <w:rPr>
          <w:rFonts w:ascii="Arial" w:hAnsi="Arial" w:cs="Arial"/>
        </w:rPr>
      </w:pPr>
    </w:p>
    <w:p w14:paraId="61D00DF1" w14:textId="77777777" w:rsidR="00AD5588" w:rsidRDefault="00C60C9A" w:rsidP="001F6354">
      <w:pPr>
        <w:jc w:val="both"/>
        <w:rPr>
          <w:rFonts w:ascii="Arial" w:hAnsi="Arial" w:cs="Arial"/>
        </w:rPr>
      </w:pPr>
      <w:r>
        <w:rPr>
          <w:rFonts w:ascii="Arial" w:hAnsi="Arial" w:cs="Arial"/>
        </w:rPr>
        <w:t xml:space="preserve">Designing an efficient pricing policy is one of the key areas where asset managers can compete, and therefore it is in the best interest of investors to have as many solutions available as possible. </w:t>
      </w:r>
      <w:r w:rsidR="00F57B97">
        <w:rPr>
          <w:rFonts w:ascii="Arial" w:hAnsi="Arial" w:cs="Arial"/>
        </w:rPr>
        <w:t xml:space="preserve">Furthermore, since </w:t>
      </w:r>
      <w:r w:rsidR="00F57B97" w:rsidRPr="004555B4">
        <w:rPr>
          <w:rFonts w:ascii="Arial" w:hAnsi="Arial" w:cs="Arial"/>
        </w:rPr>
        <w:t xml:space="preserve">there are </w:t>
      </w:r>
      <w:r w:rsidR="00DD4B6C">
        <w:rPr>
          <w:rFonts w:ascii="Arial" w:hAnsi="Arial" w:cs="Arial"/>
        </w:rPr>
        <w:t>many</w:t>
      </w:r>
      <w:r w:rsidR="00F57B97" w:rsidRPr="004555B4">
        <w:rPr>
          <w:rFonts w:ascii="Arial" w:hAnsi="Arial" w:cs="Arial"/>
        </w:rPr>
        <w:t xml:space="preserve"> performance fee models used, it would</w:t>
      </w:r>
      <w:r w:rsidR="00F57B97">
        <w:rPr>
          <w:rFonts w:ascii="Arial" w:hAnsi="Arial" w:cs="Arial"/>
        </w:rPr>
        <w:t xml:space="preserve">, in Amundi’s view, </w:t>
      </w:r>
      <w:r w:rsidR="00F57B97" w:rsidRPr="004555B4">
        <w:rPr>
          <w:rFonts w:ascii="Arial" w:hAnsi="Arial" w:cs="Arial"/>
        </w:rPr>
        <w:t xml:space="preserve">not be appropriate to require only one model or methodology. </w:t>
      </w:r>
    </w:p>
    <w:p w14:paraId="05B3D0D6" w14:textId="77777777" w:rsidR="00DA6219" w:rsidRDefault="00DA6219" w:rsidP="001F6354">
      <w:pPr>
        <w:jc w:val="both"/>
        <w:rPr>
          <w:rFonts w:ascii="Arial" w:hAnsi="Arial" w:cs="Arial"/>
        </w:rPr>
      </w:pPr>
    </w:p>
    <w:p w14:paraId="5E5F6600" w14:textId="5768D404" w:rsidR="00D019AA" w:rsidRPr="005D3499" w:rsidRDefault="00D019AA" w:rsidP="001F6354">
      <w:pPr>
        <w:jc w:val="both"/>
        <w:rPr>
          <w:rFonts w:ascii="Arial" w:hAnsi="Arial" w:cs="Arial"/>
          <w:b/>
        </w:rPr>
      </w:pPr>
      <w:r>
        <w:rPr>
          <w:rFonts w:ascii="Arial" w:hAnsi="Arial" w:cs="Arial"/>
        </w:rPr>
        <w:lastRenderedPageBreak/>
        <w:t>F</w:t>
      </w:r>
      <w:r w:rsidR="00DD4B6C">
        <w:rPr>
          <w:rFonts w:ascii="Arial" w:hAnsi="Arial" w:cs="Arial"/>
        </w:rPr>
        <w:t>inally</w:t>
      </w:r>
      <w:r>
        <w:rPr>
          <w:rFonts w:ascii="Arial" w:hAnsi="Arial" w:cs="Arial"/>
        </w:rPr>
        <w:t xml:space="preserve">, we do not believe that the Guidelines should apply to non-retail investors which </w:t>
      </w:r>
      <w:r w:rsidR="00DD4B6C">
        <w:rPr>
          <w:rFonts w:ascii="Arial" w:hAnsi="Arial" w:cs="Arial"/>
        </w:rPr>
        <w:t xml:space="preserve">being </w:t>
      </w:r>
      <w:r>
        <w:rPr>
          <w:rFonts w:ascii="Arial" w:hAnsi="Arial" w:cs="Arial"/>
        </w:rPr>
        <w:t>more sophisticated, hav</w:t>
      </w:r>
      <w:r w:rsidR="00DD4B6C">
        <w:rPr>
          <w:rFonts w:ascii="Arial" w:hAnsi="Arial" w:cs="Arial"/>
        </w:rPr>
        <w:t>ing</w:t>
      </w:r>
      <w:r>
        <w:rPr>
          <w:rFonts w:ascii="Arial" w:hAnsi="Arial" w:cs="Arial"/>
        </w:rPr>
        <w:t xml:space="preserve"> different risk tolerance and generally invest</w:t>
      </w:r>
      <w:r w:rsidR="00DD4B6C">
        <w:rPr>
          <w:rFonts w:ascii="Arial" w:hAnsi="Arial" w:cs="Arial"/>
        </w:rPr>
        <w:t>ing</w:t>
      </w:r>
      <w:r>
        <w:rPr>
          <w:rFonts w:ascii="Arial" w:hAnsi="Arial" w:cs="Arial"/>
        </w:rPr>
        <w:t xml:space="preserve"> larger amount </w:t>
      </w:r>
      <w:r w:rsidR="00DD4B6C">
        <w:rPr>
          <w:rFonts w:ascii="Arial" w:hAnsi="Arial" w:cs="Arial"/>
        </w:rPr>
        <w:t>normally require a bespoke approach</w:t>
      </w:r>
      <w:r>
        <w:rPr>
          <w:rFonts w:ascii="Arial" w:hAnsi="Arial" w:cs="Arial"/>
        </w:rPr>
        <w:t>.</w:t>
      </w:r>
    </w:p>
    <w:permEnd w:id="350690425"/>
    <w:p w14:paraId="0CD8FA0D" w14:textId="77777777" w:rsidR="001F23C9" w:rsidRDefault="001F23C9" w:rsidP="001F6354">
      <w:pPr>
        <w:jc w:val="both"/>
        <w:rPr>
          <w:rFonts w:ascii="Arial" w:hAnsi="Arial" w:cs="Arial"/>
        </w:rPr>
      </w:pPr>
      <w:r>
        <w:rPr>
          <w:rFonts w:ascii="Arial" w:hAnsi="Arial" w:cs="Arial"/>
        </w:rPr>
        <w:t>&lt;ESMA_QUESTION_PFG_1&gt;</w:t>
      </w:r>
    </w:p>
    <w:p w14:paraId="7AFD7559" w14:textId="77777777" w:rsidR="001F23C9" w:rsidRDefault="001F23C9" w:rsidP="001F6354">
      <w:pPr>
        <w:jc w:val="both"/>
        <w:rPr>
          <w:rFonts w:ascii="Arial" w:hAnsi="Arial" w:cs="Arial"/>
        </w:rPr>
      </w:pPr>
    </w:p>
    <w:p w14:paraId="688BD31D" w14:textId="77777777" w:rsidR="001F23C9" w:rsidRDefault="001F23C9" w:rsidP="001F6354">
      <w:pPr>
        <w:pStyle w:val="Questionstyle"/>
      </w:pPr>
      <w:r>
        <w:t xml:space="preserve">: </w:t>
      </w:r>
      <w:r w:rsidRPr="000F104A">
        <w:t>Are there any obstacles to standardisation that could be removed by regulatory action? Please elaborate.</w:t>
      </w:r>
    </w:p>
    <w:p w14:paraId="572EDC12" w14:textId="77777777" w:rsidR="001F23C9" w:rsidRDefault="001F23C9" w:rsidP="001F6354">
      <w:pPr>
        <w:jc w:val="both"/>
        <w:rPr>
          <w:rFonts w:ascii="Arial" w:hAnsi="Arial" w:cs="Arial"/>
        </w:rPr>
      </w:pPr>
      <w:r>
        <w:rPr>
          <w:rFonts w:ascii="Arial" w:hAnsi="Arial" w:cs="Arial"/>
        </w:rPr>
        <w:t>&lt;ESMA_QUESTION_PFG_2&gt;</w:t>
      </w:r>
    </w:p>
    <w:p w14:paraId="3BBD84E4" w14:textId="77777777" w:rsidR="001F23C9" w:rsidRDefault="0050070A" w:rsidP="001F6354">
      <w:pPr>
        <w:jc w:val="both"/>
        <w:rPr>
          <w:rFonts w:ascii="Arial" w:hAnsi="Arial" w:cs="Arial"/>
        </w:rPr>
      </w:pPr>
      <w:permStart w:id="852630550" w:edGrp="everyone"/>
      <w:r>
        <w:rPr>
          <w:rFonts w:ascii="Arial" w:hAnsi="Arial" w:cs="Arial"/>
        </w:rPr>
        <w:t xml:space="preserve">Within the scope of </w:t>
      </w:r>
      <w:r w:rsidR="002345EF">
        <w:rPr>
          <w:rFonts w:ascii="Arial" w:hAnsi="Arial" w:cs="Arial"/>
        </w:rPr>
        <w:t>our</w:t>
      </w:r>
      <w:r>
        <w:rPr>
          <w:rFonts w:ascii="Arial" w:hAnsi="Arial" w:cs="Arial"/>
        </w:rPr>
        <w:t xml:space="preserve"> answer to Q1 above</w:t>
      </w:r>
      <w:r w:rsidR="002345EF">
        <w:rPr>
          <w:rFonts w:ascii="Arial" w:hAnsi="Arial" w:cs="Arial"/>
        </w:rPr>
        <w:t xml:space="preserve"> regarding the</w:t>
      </w:r>
      <w:r>
        <w:rPr>
          <w:rFonts w:ascii="Arial" w:hAnsi="Arial" w:cs="Arial"/>
        </w:rPr>
        <w:t xml:space="preserve"> </w:t>
      </w:r>
      <w:r w:rsidRPr="002279B9">
        <w:rPr>
          <w:rFonts w:ascii="Arial" w:hAnsi="Arial" w:cs="Arial"/>
          <w:b/>
        </w:rPr>
        <w:t>harmonization</w:t>
      </w:r>
      <w:r>
        <w:rPr>
          <w:rFonts w:ascii="Arial" w:hAnsi="Arial" w:cs="Arial"/>
        </w:rPr>
        <w:t xml:space="preserve"> </w:t>
      </w:r>
      <w:r w:rsidR="002345EF">
        <w:rPr>
          <w:rFonts w:ascii="Arial" w:hAnsi="Arial" w:cs="Arial"/>
        </w:rPr>
        <w:t xml:space="preserve">of the rules consistently </w:t>
      </w:r>
      <w:r w:rsidR="003E3E71">
        <w:rPr>
          <w:rFonts w:ascii="Arial" w:hAnsi="Arial" w:cs="Arial"/>
        </w:rPr>
        <w:t>with</w:t>
      </w:r>
      <w:r>
        <w:rPr>
          <w:rFonts w:ascii="Arial" w:hAnsi="Arial" w:cs="Arial"/>
        </w:rPr>
        <w:t xml:space="preserve"> the IOSCO </w:t>
      </w:r>
      <w:r w:rsidR="00C157E0" w:rsidRPr="004555B4">
        <w:rPr>
          <w:rFonts w:ascii="Arial" w:hAnsi="Arial" w:cs="Arial"/>
        </w:rPr>
        <w:t>2016 ‘Good Practices for Fees and Expenses of Collective Investment Schemes’</w:t>
      </w:r>
      <w:r w:rsidR="00C157E0">
        <w:rPr>
          <w:rFonts w:ascii="Arial" w:hAnsi="Arial" w:cs="Arial"/>
        </w:rPr>
        <w:t xml:space="preserve"> </w:t>
      </w:r>
      <w:r>
        <w:rPr>
          <w:rFonts w:ascii="Arial" w:hAnsi="Arial" w:cs="Arial"/>
        </w:rPr>
        <w:t>we would be in favour of removing those difference</w:t>
      </w:r>
      <w:r w:rsidR="00C81A4A">
        <w:rPr>
          <w:rFonts w:ascii="Arial" w:hAnsi="Arial" w:cs="Arial"/>
        </w:rPr>
        <w:t>s</w:t>
      </w:r>
      <w:r>
        <w:rPr>
          <w:rFonts w:ascii="Arial" w:hAnsi="Arial" w:cs="Arial"/>
        </w:rPr>
        <w:t xml:space="preserve"> that could frustrate and jeopardize cr</w:t>
      </w:r>
      <w:r w:rsidR="002345EF">
        <w:rPr>
          <w:rFonts w:ascii="Arial" w:hAnsi="Arial" w:cs="Arial"/>
        </w:rPr>
        <w:t>o</w:t>
      </w:r>
      <w:r>
        <w:rPr>
          <w:rFonts w:ascii="Arial" w:hAnsi="Arial" w:cs="Arial"/>
        </w:rPr>
        <w:t>ss border distribution</w:t>
      </w:r>
      <w:r w:rsidR="00FA4DD9">
        <w:rPr>
          <w:rFonts w:ascii="Arial" w:hAnsi="Arial" w:cs="Arial"/>
        </w:rPr>
        <w:t xml:space="preserve"> through,</w:t>
      </w:r>
      <w:r w:rsidR="00D019AA">
        <w:rPr>
          <w:rFonts w:ascii="Arial" w:hAnsi="Arial" w:cs="Arial"/>
        </w:rPr>
        <w:t xml:space="preserve"> for instance</w:t>
      </w:r>
      <w:r w:rsidR="00FA4DD9">
        <w:rPr>
          <w:rFonts w:ascii="Arial" w:hAnsi="Arial" w:cs="Arial"/>
        </w:rPr>
        <w:t>,</w:t>
      </w:r>
      <w:r w:rsidR="00DA6219">
        <w:rPr>
          <w:rFonts w:ascii="Arial" w:hAnsi="Arial" w:cs="Arial"/>
        </w:rPr>
        <w:t xml:space="preserve"> provid</w:t>
      </w:r>
      <w:r w:rsidR="000A4A10">
        <w:rPr>
          <w:rFonts w:ascii="Arial" w:hAnsi="Arial" w:cs="Arial"/>
        </w:rPr>
        <w:t>i</w:t>
      </w:r>
      <w:r w:rsidR="00DA6219">
        <w:rPr>
          <w:rFonts w:ascii="Arial" w:hAnsi="Arial" w:cs="Arial"/>
        </w:rPr>
        <w:t>ng</w:t>
      </w:r>
      <w:r w:rsidR="00D019AA">
        <w:rPr>
          <w:rFonts w:ascii="Arial" w:hAnsi="Arial" w:cs="Arial"/>
        </w:rPr>
        <w:t xml:space="preserve"> clarity over the definitions used</w:t>
      </w:r>
      <w:r>
        <w:rPr>
          <w:rFonts w:ascii="Arial" w:hAnsi="Arial" w:cs="Arial"/>
        </w:rPr>
        <w:t xml:space="preserve">. </w:t>
      </w:r>
      <w:r w:rsidR="00D019AA">
        <w:rPr>
          <w:rFonts w:ascii="Arial" w:hAnsi="Arial" w:cs="Arial"/>
        </w:rPr>
        <w:t xml:space="preserve">However, for the reasons already stated before, we do not believe that the </w:t>
      </w:r>
      <w:r w:rsidR="00C157E0">
        <w:rPr>
          <w:rFonts w:ascii="Arial" w:hAnsi="Arial" w:cs="Arial"/>
        </w:rPr>
        <w:t>Guidelines should promote one model</w:t>
      </w:r>
      <w:r w:rsidR="00D019AA">
        <w:rPr>
          <w:rFonts w:ascii="Arial" w:hAnsi="Arial" w:cs="Arial"/>
        </w:rPr>
        <w:t>/</w:t>
      </w:r>
      <w:r w:rsidR="00AA2DEF">
        <w:rPr>
          <w:rFonts w:ascii="Arial" w:hAnsi="Arial" w:cs="Arial"/>
        </w:rPr>
        <w:t>methodology</w:t>
      </w:r>
      <w:r w:rsidR="00C157E0">
        <w:rPr>
          <w:rFonts w:ascii="Arial" w:hAnsi="Arial" w:cs="Arial"/>
        </w:rPr>
        <w:t xml:space="preserve"> over another</w:t>
      </w:r>
      <w:r w:rsidR="00D019AA">
        <w:rPr>
          <w:rFonts w:ascii="Arial" w:hAnsi="Arial" w:cs="Arial"/>
        </w:rPr>
        <w:t xml:space="preserve"> or be too prescriptive</w:t>
      </w:r>
      <w:r w:rsidR="00C157E0">
        <w:rPr>
          <w:rFonts w:ascii="Arial" w:hAnsi="Arial" w:cs="Arial"/>
        </w:rPr>
        <w:t>.</w:t>
      </w:r>
    </w:p>
    <w:permEnd w:id="852630550"/>
    <w:p w14:paraId="709FFD4F" w14:textId="77777777" w:rsidR="001F23C9" w:rsidRDefault="001F23C9" w:rsidP="001F6354">
      <w:pPr>
        <w:jc w:val="both"/>
        <w:rPr>
          <w:rFonts w:ascii="Arial" w:hAnsi="Arial" w:cs="Arial"/>
        </w:rPr>
      </w:pPr>
      <w:r>
        <w:rPr>
          <w:rFonts w:ascii="Arial" w:hAnsi="Arial" w:cs="Arial"/>
        </w:rPr>
        <w:t>&lt;ESMA_QUESTION_PFG_2&gt;</w:t>
      </w:r>
    </w:p>
    <w:p w14:paraId="44C5C1C6" w14:textId="77777777" w:rsidR="001F23C9" w:rsidRDefault="001F23C9" w:rsidP="001F6354">
      <w:pPr>
        <w:jc w:val="both"/>
        <w:rPr>
          <w:rFonts w:ascii="Arial" w:hAnsi="Arial" w:cs="Arial"/>
        </w:rPr>
      </w:pPr>
    </w:p>
    <w:p w14:paraId="71A7AF5B" w14:textId="77777777" w:rsidR="001F23C9" w:rsidRPr="0006779D" w:rsidRDefault="001F23C9" w:rsidP="001F6354">
      <w:pPr>
        <w:pStyle w:val="Questionstyle"/>
      </w:pPr>
      <w:r w:rsidRPr="0006779D">
        <w:t>: What should be taken into consideration when assessing consistency between the index used to calculate the performance fees and the investment objectives, strategy and policy of the fund? Are there any spec</w:t>
      </w:r>
      <w:r w:rsidRPr="00CF07B9">
        <w:t>ific indicators which should be considered (</w:t>
      </w:r>
      <w:r w:rsidR="00B82E01" w:rsidRPr="00CF07B9">
        <w:t>e.g.</w:t>
      </w:r>
      <w:r w:rsidRPr="00B1631F">
        <w:t>: historical volatility, asset allocation composition, etc.) to ensure this consistency? Please provide examples and give reasons for your answer.</w:t>
      </w:r>
    </w:p>
    <w:p w14:paraId="48FF1B83" w14:textId="77777777" w:rsidR="001F23C9" w:rsidRPr="002279B9" w:rsidRDefault="001F23C9" w:rsidP="001F6354">
      <w:pPr>
        <w:jc w:val="both"/>
        <w:rPr>
          <w:rFonts w:ascii="Arial" w:hAnsi="Arial" w:cs="Arial"/>
          <w:highlight w:val="yellow"/>
        </w:rPr>
      </w:pPr>
      <w:r w:rsidRPr="004809C2">
        <w:rPr>
          <w:rFonts w:ascii="Arial" w:hAnsi="Arial" w:cs="Arial"/>
        </w:rPr>
        <w:t>&lt;ESMA_QUESTION_PFG_3&gt;</w:t>
      </w:r>
    </w:p>
    <w:p w14:paraId="7DCF4854" w14:textId="77777777" w:rsidR="009D4937" w:rsidRDefault="009D4937" w:rsidP="001F6354">
      <w:pPr>
        <w:jc w:val="both"/>
        <w:rPr>
          <w:rFonts w:ascii="Arial" w:hAnsi="Arial" w:cs="Arial"/>
        </w:rPr>
      </w:pPr>
      <w:permStart w:id="1780176497" w:edGrp="everyone"/>
      <w:r>
        <w:rPr>
          <w:rFonts w:ascii="Arial" w:hAnsi="Arial" w:cs="Arial"/>
        </w:rPr>
        <w:t xml:space="preserve">We agree with the need for consistency between the index used to calculate </w:t>
      </w:r>
      <w:r w:rsidR="00AA2DEF">
        <w:rPr>
          <w:rFonts w:ascii="Arial" w:hAnsi="Arial" w:cs="Arial"/>
        </w:rPr>
        <w:t>the</w:t>
      </w:r>
      <w:r>
        <w:rPr>
          <w:rFonts w:ascii="Arial" w:hAnsi="Arial" w:cs="Arial"/>
        </w:rPr>
        <w:t xml:space="preserve"> </w:t>
      </w:r>
      <w:r w:rsidR="00AA2DEF">
        <w:rPr>
          <w:rFonts w:ascii="Arial" w:hAnsi="Arial" w:cs="Arial"/>
        </w:rPr>
        <w:t>performance</w:t>
      </w:r>
      <w:r>
        <w:rPr>
          <w:rFonts w:ascii="Arial" w:hAnsi="Arial" w:cs="Arial"/>
        </w:rPr>
        <w:t xml:space="preserve"> and the </w:t>
      </w:r>
      <w:r w:rsidR="00AA2DEF">
        <w:rPr>
          <w:rFonts w:ascii="Arial" w:hAnsi="Arial" w:cs="Arial"/>
        </w:rPr>
        <w:t>investment</w:t>
      </w:r>
      <w:r>
        <w:rPr>
          <w:rFonts w:ascii="Arial" w:hAnsi="Arial" w:cs="Arial"/>
        </w:rPr>
        <w:t xml:space="preserve"> objective. </w:t>
      </w:r>
    </w:p>
    <w:p w14:paraId="1416B342" w14:textId="77777777" w:rsidR="004809C2" w:rsidRDefault="007C09D9" w:rsidP="001F6354">
      <w:pPr>
        <w:jc w:val="both"/>
        <w:rPr>
          <w:rFonts w:ascii="Arial" w:hAnsi="Arial" w:cs="Arial"/>
        </w:rPr>
      </w:pPr>
      <w:r>
        <w:rPr>
          <w:rFonts w:ascii="Arial" w:hAnsi="Arial" w:cs="Arial"/>
        </w:rPr>
        <w:t>However, t</w:t>
      </w:r>
      <w:r w:rsidR="009D4937">
        <w:rPr>
          <w:rFonts w:ascii="Arial" w:hAnsi="Arial" w:cs="Arial"/>
        </w:rPr>
        <w:t>he</w:t>
      </w:r>
      <w:r w:rsidR="004809C2">
        <w:rPr>
          <w:rFonts w:ascii="Arial" w:hAnsi="Arial" w:cs="Arial"/>
        </w:rPr>
        <w:t xml:space="preserve"> criteria</w:t>
      </w:r>
      <w:r w:rsidR="00C81A4A">
        <w:rPr>
          <w:rFonts w:ascii="Arial" w:hAnsi="Arial" w:cs="Arial"/>
        </w:rPr>
        <w:t xml:space="preserve"> that are</w:t>
      </w:r>
      <w:r w:rsidR="004809C2">
        <w:rPr>
          <w:rFonts w:ascii="Arial" w:hAnsi="Arial" w:cs="Arial"/>
        </w:rPr>
        <w:t xml:space="preserve"> used to </w:t>
      </w:r>
      <w:r w:rsidR="00AA2DEF">
        <w:rPr>
          <w:rFonts w:ascii="Arial" w:hAnsi="Arial" w:cs="Arial"/>
        </w:rPr>
        <w:t>choose</w:t>
      </w:r>
      <w:r w:rsidR="004809C2">
        <w:rPr>
          <w:rFonts w:ascii="Arial" w:hAnsi="Arial" w:cs="Arial"/>
        </w:rPr>
        <w:t xml:space="preserve"> the benchmark are </w:t>
      </w:r>
      <w:r>
        <w:rPr>
          <w:rFonts w:ascii="Arial" w:hAnsi="Arial" w:cs="Arial"/>
        </w:rPr>
        <w:t>various</w:t>
      </w:r>
      <w:r w:rsidR="000A4A10">
        <w:rPr>
          <w:rFonts w:ascii="Arial" w:hAnsi="Arial" w:cs="Arial"/>
        </w:rPr>
        <w:t xml:space="preserve"> </w:t>
      </w:r>
      <w:r w:rsidR="004809C2">
        <w:rPr>
          <w:rFonts w:ascii="Arial" w:hAnsi="Arial" w:cs="Arial"/>
        </w:rPr>
        <w:t>(</w:t>
      </w:r>
      <w:r w:rsidR="009C7182">
        <w:rPr>
          <w:rFonts w:ascii="Arial" w:hAnsi="Arial" w:cs="Arial"/>
        </w:rPr>
        <w:t xml:space="preserve">e.g. </w:t>
      </w:r>
      <w:r w:rsidR="004809C2">
        <w:rPr>
          <w:rFonts w:ascii="Arial" w:hAnsi="Arial" w:cs="Arial"/>
        </w:rPr>
        <w:t xml:space="preserve">composition, availability of index, </w:t>
      </w:r>
      <w:r w:rsidR="000A4A10">
        <w:rPr>
          <w:rFonts w:ascii="Arial" w:hAnsi="Arial" w:cs="Arial"/>
        </w:rPr>
        <w:t xml:space="preserve">currency, </w:t>
      </w:r>
      <w:proofErr w:type="gramStart"/>
      <w:r w:rsidR="004809C2">
        <w:rPr>
          <w:rFonts w:ascii="Arial" w:hAnsi="Arial" w:cs="Arial"/>
        </w:rPr>
        <w:t>dividend</w:t>
      </w:r>
      <w:proofErr w:type="gramEnd"/>
      <w:r w:rsidR="004809C2">
        <w:rPr>
          <w:rFonts w:ascii="Arial" w:hAnsi="Arial" w:cs="Arial"/>
        </w:rPr>
        <w:t xml:space="preserve"> reinvested, </w:t>
      </w:r>
      <w:r w:rsidR="00AA2DEF">
        <w:rPr>
          <w:rFonts w:ascii="Arial" w:hAnsi="Arial" w:cs="Arial"/>
        </w:rPr>
        <w:t>reliability</w:t>
      </w:r>
      <w:r w:rsidR="004809C2">
        <w:rPr>
          <w:rFonts w:ascii="Arial" w:hAnsi="Arial" w:cs="Arial"/>
        </w:rPr>
        <w:t xml:space="preserve"> of the index</w:t>
      </w:r>
      <w:r w:rsidR="00492DE8">
        <w:rPr>
          <w:rFonts w:ascii="Arial" w:hAnsi="Arial" w:cs="Arial"/>
        </w:rPr>
        <w:t>, etc.</w:t>
      </w:r>
      <w:r w:rsidR="004809C2">
        <w:rPr>
          <w:rFonts w:ascii="Arial" w:hAnsi="Arial" w:cs="Arial"/>
        </w:rPr>
        <w:t xml:space="preserve">). </w:t>
      </w:r>
    </w:p>
    <w:p w14:paraId="45E79E74" w14:textId="77777777" w:rsidR="00F0577D" w:rsidRPr="002279B9" w:rsidRDefault="00654930" w:rsidP="001F6354">
      <w:pPr>
        <w:jc w:val="both"/>
        <w:rPr>
          <w:rFonts w:ascii="Arial" w:hAnsi="Arial" w:cs="Arial"/>
          <w:highlight w:val="yellow"/>
        </w:rPr>
      </w:pPr>
      <w:r>
        <w:rPr>
          <w:rFonts w:ascii="Arial" w:hAnsi="Arial" w:cs="Arial"/>
        </w:rPr>
        <w:t>T</w:t>
      </w:r>
      <w:r w:rsidR="004809C2">
        <w:rPr>
          <w:rFonts w:ascii="Arial" w:hAnsi="Arial" w:cs="Arial"/>
        </w:rPr>
        <w:t xml:space="preserve">he weight and the combination of the </w:t>
      </w:r>
      <w:r w:rsidR="00492DE8">
        <w:rPr>
          <w:rFonts w:ascii="Arial" w:hAnsi="Arial" w:cs="Arial"/>
        </w:rPr>
        <w:t xml:space="preserve">above mentioned </w:t>
      </w:r>
      <w:r w:rsidR="004809C2">
        <w:rPr>
          <w:rFonts w:ascii="Arial" w:hAnsi="Arial" w:cs="Arial"/>
        </w:rPr>
        <w:t>criteria may vary on a case by case basis</w:t>
      </w:r>
      <w:r w:rsidR="00DA6219">
        <w:rPr>
          <w:rFonts w:ascii="Arial" w:hAnsi="Arial" w:cs="Arial"/>
        </w:rPr>
        <w:t>,</w:t>
      </w:r>
      <w:r w:rsidR="004809C2">
        <w:rPr>
          <w:rFonts w:ascii="Arial" w:hAnsi="Arial" w:cs="Arial"/>
        </w:rPr>
        <w:t xml:space="preserve"> in order to better ensure consistency </w:t>
      </w:r>
      <w:r w:rsidR="00DA6219">
        <w:rPr>
          <w:rFonts w:ascii="Arial" w:hAnsi="Arial" w:cs="Arial"/>
        </w:rPr>
        <w:t>with</w:t>
      </w:r>
      <w:r w:rsidR="004809C2">
        <w:rPr>
          <w:rFonts w:ascii="Arial" w:hAnsi="Arial" w:cs="Arial"/>
        </w:rPr>
        <w:t xml:space="preserve"> the investment objectives</w:t>
      </w:r>
      <w:r w:rsidR="00DA6219">
        <w:rPr>
          <w:rFonts w:ascii="Arial" w:hAnsi="Arial" w:cs="Arial"/>
        </w:rPr>
        <w:t xml:space="preserve">. </w:t>
      </w:r>
      <w:r w:rsidR="00DA6219">
        <w:rPr>
          <w:rFonts w:ascii="Arial" w:hAnsi="Arial" w:cs="Arial"/>
        </w:rPr>
        <w:lastRenderedPageBreak/>
        <w:t>Therefore</w:t>
      </w:r>
      <w:r w:rsidR="00335E55">
        <w:rPr>
          <w:rFonts w:ascii="Arial" w:hAnsi="Arial" w:cs="Arial"/>
        </w:rPr>
        <w:t>,</w:t>
      </w:r>
      <w:r w:rsidR="009D4937">
        <w:rPr>
          <w:rFonts w:ascii="Arial" w:hAnsi="Arial" w:cs="Arial"/>
        </w:rPr>
        <w:t xml:space="preserve"> our view is that</w:t>
      </w:r>
      <w:r w:rsidR="009D4937" w:rsidRPr="009D4937">
        <w:t xml:space="preserve"> </w:t>
      </w:r>
      <w:r w:rsidR="009D4937" w:rsidRPr="009D4937">
        <w:rPr>
          <w:rFonts w:ascii="Arial" w:hAnsi="Arial" w:cs="Arial"/>
        </w:rPr>
        <w:t xml:space="preserve">the final Guidelines </w:t>
      </w:r>
      <w:r w:rsidR="009D4937">
        <w:rPr>
          <w:rFonts w:ascii="Arial" w:hAnsi="Arial" w:cs="Arial"/>
        </w:rPr>
        <w:t>should</w:t>
      </w:r>
      <w:r w:rsidR="009D4937" w:rsidRPr="009D4937">
        <w:rPr>
          <w:rFonts w:ascii="Arial" w:hAnsi="Arial" w:cs="Arial"/>
        </w:rPr>
        <w:t xml:space="preserve"> not </w:t>
      </w:r>
      <w:r w:rsidR="009C7182">
        <w:rPr>
          <w:rFonts w:ascii="Arial" w:hAnsi="Arial" w:cs="Arial"/>
        </w:rPr>
        <w:t xml:space="preserve">make </w:t>
      </w:r>
      <w:r w:rsidR="009D4937" w:rsidRPr="009D4937">
        <w:rPr>
          <w:rFonts w:ascii="Arial" w:hAnsi="Arial" w:cs="Arial"/>
        </w:rPr>
        <w:t xml:space="preserve">reference </w:t>
      </w:r>
      <w:r w:rsidR="00492DE8">
        <w:rPr>
          <w:rFonts w:ascii="Arial" w:hAnsi="Arial" w:cs="Arial"/>
        </w:rPr>
        <w:t xml:space="preserve">to </w:t>
      </w:r>
      <w:r w:rsidR="009D4937" w:rsidRPr="009D4937">
        <w:rPr>
          <w:rFonts w:ascii="Arial" w:hAnsi="Arial" w:cs="Arial"/>
        </w:rPr>
        <w:t>any</w:t>
      </w:r>
      <w:r w:rsidR="00DA6219">
        <w:rPr>
          <w:rFonts w:ascii="Arial" w:hAnsi="Arial" w:cs="Arial"/>
        </w:rPr>
        <w:t xml:space="preserve"> </w:t>
      </w:r>
      <w:r w:rsidR="00492DE8">
        <w:rPr>
          <w:rFonts w:ascii="Arial" w:hAnsi="Arial" w:cs="Arial"/>
        </w:rPr>
        <w:t xml:space="preserve">particular </w:t>
      </w:r>
      <w:r w:rsidR="00DA6219">
        <w:rPr>
          <w:rFonts w:ascii="Arial" w:hAnsi="Arial" w:cs="Arial"/>
        </w:rPr>
        <w:t>criteria</w:t>
      </w:r>
      <w:r w:rsidR="009D4937" w:rsidRPr="009D4937">
        <w:rPr>
          <w:rFonts w:ascii="Arial" w:hAnsi="Arial" w:cs="Arial"/>
        </w:rPr>
        <w:t>, leaving the ultimate choice to the management company depending on the fund’s investment objectives and strategy.</w:t>
      </w:r>
    </w:p>
    <w:permEnd w:id="1780176497"/>
    <w:p w14:paraId="61B699D0" w14:textId="77777777" w:rsidR="001F23C9" w:rsidRDefault="001F23C9" w:rsidP="001F6354">
      <w:pPr>
        <w:jc w:val="both"/>
        <w:rPr>
          <w:rFonts w:ascii="Arial" w:hAnsi="Arial" w:cs="Arial"/>
        </w:rPr>
      </w:pPr>
      <w:r w:rsidRPr="009D4937">
        <w:rPr>
          <w:rFonts w:ascii="Arial" w:hAnsi="Arial" w:cs="Arial"/>
        </w:rPr>
        <w:t>&lt;ESMA_QUESTION_PFG_3&gt;</w:t>
      </w:r>
    </w:p>
    <w:p w14:paraId="353799F4" w14:textId="77777777" w:rsidR="001F23C9" w:rsidRDefault="001F23C9" w:rsidP="001F6354">
      <w:pPr>
        <w:jc w:val="both"/>
        <w:rPr>
          <w:rFonts w:ascii="Arial" w:hAnsi="Arial" w:cs="Arial"/>
        </w:rPr>
      </w:pPr>
    </w:p>
    <w:p w14:paraId="3119F3DE" w14:textId="77777777" w:rsidR="001F23C9" w:rsidRPr="00175CFB" w:rsidRDefault="001F23C9" w:rsidP="001F6354">
      <w:pPr>
        <w:pStyle w:val="Questionstyle"/>
      </w:pPr>
      <w:r>
        <w:t>:</w:t>
      </w:r>
      <w:r w:rsidRPr="000F104A">
        <w:t xml:space="preserve"> What is the anticipated impact of the introduction of Guideline 3? Do you agree with setting a minimum crystallisation period of one year</w:t>
      </w:r>
      <w:r w:rsidRPr="00B1631F">
        <w:t>? Do you think this could help better aligning the interests of fund managers and investors? Please</w:t>
      </w:r>
      <w:r w:rsidRPr="000F104A">
        <w:t xml:space="preserve"> provide examples.</w:t>
      </w:r>
    </w:p>
    <w:p w14:paraId="4BAD5767" w14:textId="77777777" w:rsidR="001F23C9" w:rsidRDefault="001F23C9" w:rsidP="001F6354">
      <w:pPr>
        <w:jc w:val="both"/>
        <w:rPr>
          <w:rFonts w:ascii="Arial" w:hAnsi="Arial" w:cs="Arial"/>
        </w:rPr>
      </w:pPr>
      <w:r>
        <w:rPr>
          <w:rFonts w:ascii="Arial" w:hAnsi="Arial" w:cs="Arial"/>
        </w:rPr>
        <w:t>&lt;ESMA_QUESTION_PFG_4&gt;</w:t>
      </w:r>
    </w:p>
    <w:p w14:paraId="53FED665" w14:textId="77777777" w:rsidR="002448A4" w:rsidRDefault="00AD17A8" w:rsidP="001F6354">
      <w:pPr>
        <w:jc w:val="both"/>
        <w:rPr>
          <w:rFonts w:ascii="Arial" w:hAnsi="Arial" w:cs="Arial"/>
        </w:rPr>
      </w:pPr>
      <w:permStart w:id="722885668" w:edGrp="everyone"/>
      <w:r>
        <w:rPr>
          <w:rFonts w:ascii="Arial" w:hAnsi="Arial" w:cs="Arial"/>
        </w:rPr>
        <w:t>[</w:t>
      </w:r>
      <w:r w:rsidR="002448A4">
        <w:rPr>
          <w:rFonts w:ascii="Arial" w:hAnsi="Arial" w:cs="Arial"/>
        </w:rPr>
        <w:t>First of all</w:t>
      </w:r>
      <w:r w:rsidR="00492DE8">
        <w:rPr>
          <w:rFonts w:ascii="Arial" w:hAnsi="Arial" w:cs="Arial"/>
        </w:rPr>
        <w:t>,</w:t>
      </w:r>
      <w:r w:rsidR="002448A4">
        <w:rPr>
          <w:rFonts w:ascii="Arial" w:hAnsi="Arial" w:cs="Arial"/>
        </w:rPr>
        <w:t xml:space="preserve"> we note that the terminology u</w:t>
      </w:r>
      <w:r w:rsidR="00FA4DD9">
        <w:rPr>
          <w:rFonts w:ascii="Arial" w:hAnsi="Arial" w:cs="Arial"/>
        </w:rPr>
        <w:t>sed in the Guidelines would need</w:t>
      </w:r>
      <w:r w:rsidR="002448A4">
        <w:rPr>
          <w:rFonts w:ascii="Arial" w:hAnsi="Arial" w:cs="Arial"/>
        </w:rPr>
        <w:t xml:space="preserve"> to be better clarified in order to avoid any potential misunderstanding.</w:t>
      </w:r>
      <w:r w:rsidR="00492DE8">
        <w:rPr>
          <w:rFonts w:ascii="Arial" w:hAnsi="Arial" w:cs="Arial"/>
        </w:rPr>
        <w:t xml:space="preserve"> For instance, we are not entirely clear whether under paragraph 18, </w:t>
      </w:r>
      <w:proofErr w:type="spellStart"/>
      <w:r w:rsidR="00492DE8">
        <w:rPr>
          <w:rFonts w:ascii="Arial" w:hAnsi="Arial" w:cs="Arial"/>
        </w:rPr>
        <w:t>pag</w:t>
      </w:r>
      <w:proofErr w:type="spellEnd"/>
      <w:r w:rsidR="00492DE8">
        <w:rPr>
          <w:rFonts w:ascii="Arial" w:hAnsi="Arial" w:cs="Arial"/>
        </w:rPr>
        <w:t>. 11 ESMA intends to refer to performance reference period rather than crystallisation period or not.</w:t>
      </w:r>
    </w:p>
    <w:p w14:paraId="7273C192" w14:textId="77777777" w:rsidR="00D3358B" w:rsidRDefault="00D3358B" w:rsidP="001F6354">
      <w:pPr>
        <w:jc w:val="both"/>
        <w:rPr>
          <w:rFonts w:ascii="Arial" w:hAnsi="Arial" w:cs="Arial"/>
        </w:rPr>
      </w:pPr>
    </w:p>
    <w:p w14:paraId="5DD5F8EC" w14:textId="77777777" w:rsidR="002D0F53" w:rsidRDefault="002448A4" w:rsidP="001F6354">
      <w:pPr>
        <w:jc w:val="both"/>
        <w:rPr>
          <w:rFonts w:ascii="Arial" w:hAnsi="Arial" w:cs="Arial"/>
        </w:rPr>
      </w:pPr>
      <w:r>
        <w:rPr>
          <w:rFonts w:ascii="Arial" w:hAnsi="Arial" w:cs="Arial"/>
        </w:rPr>
        <w:t xml:space="preserve">That being said, and on the assumption that </w:t>
      </w:r>
      <w:r w:rsidR="00AD17A8" w:rsidRPr="00AD17A8">
        <w:rPr>
          <w:rFonts w:ascii="Arial" w:hAnsi="Arial" w:cs="Arial"/>
          <w:i/>
        </w:rPr>
        <w:t>crystallisation period</w:t>
      </w:r>
      <w:r w:rsidR="00AD17A8">
        <w:rPr>
          <w:rFonts w:ascii="Arial" w:hAnsi="Arial" w:cs="Arial"/>
        </w:rPr>
        <w:t xml:space="preserve"> means </w:t>
      </w:r>
      <w:r>
        <w:rPr>
          <w:rFonts w:ascii="Arial" w:hAnsi="Arial" w:cs="Arial"/>
        </w:rPr>
        <w:t xml:space="preserve">the period during which the performance fee is accrued – without </w:t>
      </w:r>
      <w:r w:rsidR="00AA2DEF">
        <w:rPr>
          <w:rFonts w:ascii="Arial" w:hAnsi="Arial" w:cs="Arial"/>
        </w:rPr>
        <w:t>entering</w:t>
      </w:r>
      <w:r>
        <w:rPr>
          <w:rFonts w:ascii="Arial" w:hAnsi="Arial" w:cs="Arial"/>
        </w:rPr>
        <w:t xml:space="preserve"> in the details of when it is effectively paid </w:t>
      </w:r>
      <w:r w:rsidR="00492DE8">
        <w:rPr>
          <w:rFonts w:ascii="Arial" w:hAnsi="Arial" w:cs="Arial"/>
        </w:rPr>
        <w:t>to the asset manager</w:t>
      </w:r>
      <w:r>
        <w:rPr>
          <w:rFonts w:ascii="Arial" w:hAnsi="Arial" w:cs="Arial"/>
        </w:rPr>
        <w:t xml:space="preserve">- </w:t>
      </w:r>
      <w:r w:rsidR="00AD17A8" w:rsidRPr="00701DC2">
        <w:rPr>
          <w:rFonts w:ascii="Arial" w:hAnsi="Arial" w:cs="Arial"/>
          <w:b/>
        </w:rPr>
        <w:t>w</w:t>
      </w:r>
      <w:r w:rsidR="00945522" w:rsidRPr="00701DC2">
        <w:rPr>
          <w:rFonts w:ascii="Arial" w:hAnsi="Arial" w:cs="Arial"/>
          <w:b/>
        </w:rPr>
        <w:t xml:space="preserve">e are </w:t>
      </w:r>
      <w:r w:rsidR="002345EF" w:rsidRPr="00701DC2">
        <w:rPr>
          <w:rFonts w:ascii="Arial" w:hAnsi="Arial" w:cs="Arial"/>
          <w:b/>
        </w:rPr>
        <w:t xml:space="preserve">in favour of </w:t>
      </w:r>
      <w:r w:rsidR="00945522" w:rsidRPr="00701DC2">
        <w:rPr>
          <w:rFonts w:ascii="Arial" w:hAnsi="Arial" w:cs="Arial"/>
          <w:b/>
        </w:rPr>
        <w:t xml:space="preserve">setting a </w:t>
      </w:r>
      <w:r w:rsidR="00FA4DD9" w:rsidRPr="00701DC2">
        <w:rPr>
          <w:rFonts w:ascii="Arial" w:hAnsi="Arial" w:cs="Arial"/>
          <w:b/>
        </w:rPr>
        <w:t>12-month</w:t>
      </w:r>
      <w:r w:rsidR="00945522" w:rsidRPr="00701DC2">
        <w:rPr>
          <w:rFonts w:ascii="Arial" w:hAnsi="Arial" w:cs="Arial"/>
          <w:b/>
        </w:rPr>
        <w:t xml:space="preserve"> period for crysta</w:t>
      </w:r>
      <w:r w:rsidR="00E67BBA" w:rsidRPr="00701DC2">
        <w:rPr>
          <w:rFonts w:ascii="Arial" w:hAnsi="Arial" w:cs="Arial"/>
          <w:b/>
        </w:rPr>
        <w:t>l</w:t>
      </w:r>
      <w:r w:rsidR="00945522" w:rsidRPr="00701DC2">
        <w:rPr>
          <w:rFonts w:ascii="Arial" w:hAnsi="Arial" w:cs="Arial"/>
          <w:b/>
        </w:rPr>
        <w:t>lisation</w:t>
      </w:r>
      <w:r w:rsidR="000234AF">
        <w:rPr>
          <w:rFonts w:ascii="Arial" w:hAnsi="Arial" w:cs="Arial"/>
        </w:rPr>
        <w:t>.</w:t>
      </w:r>
      <w:r>
        <w:rPr>
          <w:rFonts w:ascii="Arial" w:hAnsi="Arial" w:cs="Arial"/>
        </w:rPr>
        <w:t xml:space="preserve"> We also note that this is the same conclusion reached by the IOSCO </w:t>
      </w:r>
      <w:r w:rsidRPr="004555B4">
        <w:rPr>
          <w:rFonts w:ascii="Arial" w:hAnsi="Arial" w:cs="Arial"/>
        </w:rPr>
        <w:t>2016 ‘Good Practices for Fees and Expenses of Collective Investment Schemes</w:t>
      </w:r>
      <w:r>
        <w:rPr>
          <w:rFonts w:ascii="Arial" w:hAnsi="Arial" w:cs="Arial"/>
        </w:rPr>
        <w:t xml:space="preserve">, specifically under </w:t>
      </w:r>
      <w:r w:rsidRPr="002448A4">
        <w:rPr>
          <w:rFonts w:ascii="Arial" w:hAnsi="Arial" w:cs="Arial"/>
          <w:i/>
        </w:rPr>
        <w:t>Good practice 3</w:t>
      </w:r>
      <w:r>
        <w:rPr>
          <w:rFonts w:ascii="Arial" w:hAnsi="Arial" w:cs="Arial"/>
        </w:rPr>
        <w:t xml:space="preserve">. </w:t>
      </w:r>
    </w:p>
    <w:p w14:paraId="74BB4B60" w14:textId="77777777" w:rsidR="00DA6219" w:rsidRDefault="00DA6219" w:rsidP="001F6354">
      <w:pPr>
        <w:jc w:val="both"/>
        <w:rPr>
          <w:rFonts w:ascii="Arial" w:hAnsi="Arial" w:cs="Arial"/>
        </w:rPr>
      </w:pPr>
    </w:p>
    <w:p w14:paraId="50479351" w14:textId="77777777" w:rsidR="003270B9" w:rsidRDefault="003270B9" w:rsidP="001F6354">
      <w:pPr>
        <w:jc w:val="both"/>
        <w:rPr>
          <w:rFonts w:ascii="Arial" w:hAnsi="Arial" w:cs="Arial"/>
        </w:rPr>
      </w:pPr>
      <w:r>
        <w:rPr>
          <w:rFonts w:ascii="Arial" w:hAnsi="Arial" w:cs="Arial"/>
        </w:rPr>
        <w:t>At Amundi we do not believe that it is correct to link the</w:t>
      </w:r>
      <w:r w:rsidRPr="003270B9">
        <w:rPr>
          <w:rFonts w:ascii="Arial" w:hAnsi="Arial" w:cs="Arial"/>
        </w:rPr>
        <w:t xml:space="preserve"> crystalli</w:t>
      </w:r>
      <w:r w:rsidR="009C5D19">
        <w:rPr>
          <w:rFonts w:ascii="Arial" w:hAnsi="Arial" w:cs="Arial"/>
        </w:rPr>
        <w:t>z</w:t>
      </w:r>
      <w:r w:rsidRPr="003270B9">
        <w:rPr>
          <w:rFonts w:ascii="Arial" w:hAnsi="Arial" w:cs="Arial"/>
        </w:rPr>
        <w:t>ation period to the fund’s recommended holding p</w:t>
      </w:r>
      <w:r>
        <w:rPr>
          <w:rFonts w:ascii="Arial" w:hAnsi="Arial" w:cs="Arial"/>
        </w:rPr>
        <w:t>eriod</w:t>
      </w:r>
      <w:r w:rsidR="00FA4DD9" w:rsidRPr="002279B9">
        <w:rPr>
          <w:rFonts w:ascii="Arial" w:hAnsi="Arial" w:cs="Arial"/>
        </w:rPr>
        <w:t xml:space="preserve"> mentioned in Guideline</w:t>
      </w:r>
      <w:r w:rsidR="00FA4DD9">
        <w:rPr>
          <w:rFonts w:ascii="Arial" w:hAnsi="Arial" w:cs="Arial"/>
        </w:rPr>
        <w:t xml:space="preserve"> 3, paragraph</w:t>
      </w:r>
      <w:r w:rsidR="00FA4DD9" w:rsidRPr="002279B9">
        <w:rPr>
          <w:rFonts w:ascii="Arial" w:hAnsi="Arial" w:cs="Arial"/>
        </w:rPr>
        <w:t xml:space="preserve"> 19</w:t>
      </w:r>
      <w:r w:rsidR="00BE1D46">
        <w:rPr>
          <w:rFonts w:ascii="Arial" w:hAnsi="Arial" w:cs="Arial"/>
        </w:rPr>
        <w:t xml:space="preserve">, since the two concepts </w:t>
      </w:r>
      <w:r w:rsidR="009C5D19">
        <w:rPr>
          <w:rFonts w:ascii="Arial" w:hAnsi="Arial" w:cs="Arial"/>
        </w:rPr>
        <w:t>are not</w:t>
      </w:r>
      <w:r w:rsidR="00BE1D46">
        <w:rPr>
          <w:rFonts w:ascii="Arial" w:hAnsi="Arial" w:cs="Arial"/>
        </w:rPr>
        <w:t xml:space="preserve"> related</w:t>
      </w:r>
      <w:r>
        <w:rPr>
          <w:rFonts w:ascii="Arial" w:hAnsi="Arial" w:cs="Arial"/>
        </w:rPr>
        <w:t>.</w:t>
      </w:r>
      <w:r w:rsidR="009C5D19">
        <w:rPr>
          <w:rFonts w:ascii="Arial" w:hAnsi="Arial" w:cs="Arial"/>
        </w:rPr>
        <w:t xml:space="preserve"> In addition, the effective holding perio</w:t>
      </w:r>
      <w:r w:rsidR="008464C1">
        <w:rPr>
          <w:rFonts w:ascii="Arial" w:hAnsi="Arial" w:cs="Arial"/>
        </w:rPr>
        <w:t>d</w:t>
      </w:r>
      <w:r w:rsidR="009C5D19">
        <w:rPr>
          <w:rFonts w:ascii="Arial" w:hAnsi="Arial" w:cs="Arial"/>
        </w:rPr>
        <w:t xml:space="preserve"> is </w:t>
      </w:r>
      <w:r w:rsidR="008464C1">
        <w:rPr>
          <w:rFonts w:ascii="Arial" w:hAnsi="Arial" w:cs="Arial"/>
        </w:rPr>
        <w:t>most of the time not in line with the recommended holding period.</w:t>
      </w:r>
    </w:p>
    <w:p w14:paraId="64EB6490" w14:textId="77777777" w:rsidR="00DA6219" w:rsidRDefault="00DA6219" w:rsidP="001F6354">
      <w:pPr>
        <w:jc w:val="both"/>
        <w:rPr>
          <w:rFonts w:ascii="Arial" w:hAnsi="Arial" w:cs="Arial"/>
        </w:rPr>
      </w:pPr>
    </w:p>
    <w:p w14:paraId="357DD5DC" w14:textId="77777777" w:rsidR="003270B9" w:rsidRDefault="003270B9" w:rsidP="001F6354">
      <w:pPr>
        <w:jc w:val="both"/>
        <w:rPr>
          <w:rFonts w:ascii="Arial" w:hAnsi="Arial" w:cs="Arial"/>
        </w:rPr>
      </w:pPr>
      <w:r w:rsidRPr="007E71E7">
        <w:rPr>
          <w:rFonts w:ascii="Arial" w:hAnsi="Arial" w:cs="Arial"/>
        </w:rPr>
        <w:t>Practically</w:t>
      </w:r>
      <w:r w:rsidR="00DA6219">
        <w:rPr>
          <w:rFonts w:ascii="Arial" w:hAnsi="Arial" w:cs="Arial"/>
        </w:rPr>
        <w:t>,</w:t>
      </w:r>
      <w:r w:rsidRPr="007E71E7">
        <w:rPr>
          <w:rFonts w:ascii="Arial" w:hAnsi="Arial" w:cs="Arial"/>
        </w:rPr>
        <w:t xml:space="preserve"> since funds are open-ended with da</w:t>
      </w:r>
      <w:r w:rsidR="007E71E7" w:rsidRPr="002279B9">
        <w:rPr>
          <w:rFonts w:ascii="Arial" w:hAnsi="Arial" w:cs="Arial"/>
        </w:rPr>
        <w:t>i</w:t>
      </w:r>
      <w:r w:rsidRPr="007E71E7">
        <w:rPr>
          <w:rFonts w:ascii="Arial" w:hAnsi="Arial" w:cs="Arial"/>
        </w:rPr>
        <w:t xml:space="preserve">ly subscription and redemption it would not be feasible to </w:t>
      </w:r>
      <w:r w:rsidRPr="002279B9">
        <w:rPr>
          <w:rFonts w:ascii="Arial" w:hAnsi="Arial" w:cs="Arial"/>
        </w:rPr>
        <w:t>have a crystallization period in line with each investor’ holding period</w:t>
      </w:r>
      <w:r w:rsidRPr="007E71E7">
        <w:rPr>
          <w:rFonts w:ascii="Arial" w:hAnsi="Arial" w:cs="Arial"/>
        </w:rPr>
        <w:t xml:space="preserve">. </w:t>
      </w:r>
      <w:r w:rsidR="00B20945" w:rsidRPr="007E71E7">
        <w:rPr>
          <w:rFonts w:ascii="Arial" w:hAnsi="Arial" w:cs="Arial"/>
        </w:rPr>
        <w:lastRenderedPageBreak/>
        <w:t>Moreover, since many investors in UCITS invest through a distributor</w:t>
      </w:r>
      <w:r w:rsidR="00B20945" w:rsidRPr="00424928">
        <w:rPr>
          <w:rFonts w:ascii="Arial" w:hAnsi="Arial" w:cs="Arial"/>
        </w:rPr>
        <w:t>’ nominee account or an omnibus account, it is not possible</w:t>
      </w:r>
      <w:r w:rsidR="006C290F">
        <w:rPr>
          <w:rFonts w:ascii="Arial" w:hAnsi="Arial" w:cs="Arial"/>
        </w:rPr>
        <w:t xml:space="preserve"> for an asset manager</w:t>
      </w:r>
      <w:r w:rsidR="00B20945" w:rsidRPr="00424928">
        <w:rPr>
          <w:rFonts w:ascii="Arial" w:hAnsi="Arial" w:cs="Arial"/>
        </w:rPr>
        <w:t xml:space="preserve"> to</w:t>
      </w:r>
      <w:r w:rsidR="007E71E7" w:rsidRPr="002279B9">
        <w:rPr>
          <w:rFonts w:ascii="Arial" w:hAnsi="Arial" w:cs="Arial"/>
        </w:rPr>
        <w:t xml:space="preserve">, </w:t>
      </w:r>
      <w:r w:rsidR="00B20945" w:rsidRPr="007E71E7">
        <w:rPr>
          <w:rFonts w:ascii="Arial" w:hAnsi="Arial" w:cs="Arial"/>
        </w:rPr>
        <w:t>determine the holding period of an individual investor</w:t>
      </w:r>
      <w:r w:rsidR="00335E55">
        <w:rPr>
          <w:rStyle w:val="FootnoteReference"/>
          <w:rFonts w:cs="Arial"/>
        </w:rPr>
        <w:footnoteReference w:id="5"/>
      </w:r>
      <w:r w:rsidR="00FA4DD9">
        <w:rPr>
          <w:rFonts w:ascii="Arial" w:hAnsi="Arial" w:cs="Arial"/>
        </w:rPr>
        <w:t>.</w:t>
      </w:r>
    </w:p>
    <w:p w14:paraId="378221D4" w14:textId="77777777" w:rsidR="00DA6219" w:rsidRDefault="00DA6219" w:rsidP="001F6354">
      <w:pPr>
        <w:jc w:val="both"/>
        <w:rPr>
          <w:rFonts w:ascii="Arial" w:hAnsi="Arial" w:cs="Arial"/>
        </w:rPr>
      </w:pPr>
    </w:p>
    <w:p w14:paraId="165891BE" w14:textId="77777777" w:rsidR="00DA6219" w:rsidRDefault="00B20945" w:rsidP="001F6354">
      <w:pPr>
        <w:jc w:val="both"/>
        <w:rPr>
          <w:rFonts w:ascii="Arial" w:hAnsi="Arial" w:cs="Arial"/>
        </w:rPr>
      </w:pPr>
      <w:r>
        <w:rPr>
          <w:rFonts w:ascii="Arial" w:hAnsi="Arial" w:cs="Arial"/>
        </w:rPr>
        <w:t>Regarding the 12-month period</w:t>
      </w:r>
      <w:r w:rsidR="00DA6219">
        <w:rPr>
          <w:rFonts w:ascii="Arial" w:hAnsi="Arial" w:cs="Arial"/>
        </w:rPr>
        <w:t>,</w:t>
      </w:r>
      <w:r>
        <w:rPr>
          <w:rFonts w:ascii="Arial" w:hAnsi="Arial" w:cs="Arial"/>
        </w:rPr>
        <w:t xml:space="preserve"> we believe that</w:t>
      </w:r>
      <w:r w:rsidR="00DA6219">
        <w:rPr>
          <w:rFonts w:ascii="Arial" w:hAnsi="Arial" w:cs="Arial"/>
        </w:rPr>
        <w:t xml:space="preserve"> this is the best option since</w:t>
      </w:r>
      <w:r w:rsidR="002D0F53">
        <w:rPr>
          <w:rFonts w:ascii="Arial" w:hAnsi="Arial" w:cs="Arial"/>
        </w:rPr>
        <w:t xml:space="preserve">, as better clarified </w:t>
      </w:r>
      <w:r w:rsidR="000F5F5A">
        <w:rPr>
          <w:rFonts w:ascii="Arial" w:hAnsi="Arial" w:cs="Arial"/>
        </w:rPr>
        <w:t xml:space="preserve">in </w:t>
      </w:r>
      <w:r w:rsidR="006C290F">
        <w:rPr>
          <w:rFonts w:ascii="Arial" w:hAnsi="Arial" w:cs="Arial"/>
        </w:rPr>
        <w:t>Example 1</w:t>
      </w:r>
      <w:r w:rsidR="00FA4DD9">
        <w:rPr>
          <w:rFonts w:ascii="Arial" w:hAnsi="Arial" w:cs="Arial"/>
        </w:rPr>
        <w:t xml:space="preserve"> </w:t>
      </w:r>
      <w:r w:rsidR="002D0F53">
        <w:rPr>
          <w:rFonts w:ascii="Arial" w:hAnsi="Arial" w:cs="Arial"/>
        </w:rPr>
        <w:t xml:space="preserve">below, </w:t>
      </w:r>
      <w:r>
        <w:rPr>
          <w:rFonts w:ascii="Arial" w:hAnsi="Arial" w:cs="Arial"/>
        </w:rPr>
        <w:t xml:space="preserve">such timeframe </w:t>
      </w:r>
      <w:r w:rsidR="002D0F53">
        <w:rPr>
          <w:rFonts w:ascii="Arial" w:hAnsi="Arial" w:cs="Arial"/>
        </w:rPr>
        <w:t>reduces to the minimum the disparity between investors.</w:t>
      </w:r>
    </w:p>
    <w:p w14:paraId="5EDBE3B0" w14:textId="77777777" w:rsidR="002D0F53" w:rsidRDefault="002D0F53" w:rsidP="001F6354">
      <w:pPr>
        <w:jc w:val="both"/>
        <w:rPr>
          <w:rFonts w:ascii="Arial" w:hAnsi="Arial" w:cs="Arial"/>
        </w:rPr>
      </w:pPr>
      <w:r>
        <w:rPr>
          <w:rFonts w:ascii="Arial" w:hAnsi="Arial" w:cs="Arial"/>
        </w:rPr>
        <w:t xml:space="preserve"> </w:t>
      </w:r>
    </w:p>
    <w:p w14:paraId="34BAC396" w14:textId="77777777" w:rsidR="003270B9" w:rsidRDefault="002D0F53" w:rsidP="001F6354">
      <w:pPr>
        <w:jc w:val="both"/>
        <w:rPr>
          <w:rFonts w:ascii="Arial" w:hAnsi="Arial" w:cs="Arial"/>
        </w:rPr>
      </w:pPr>
      <w:r>
        <w:rPr>
          <w:rFonts w:ascii="Arial" w:hAnsi="Arial" w:cs="Arial"/>
        </w:rPr>
        <w:t xml:space="preserve">In addition, a </w:t>
      </w:r>
      <w:r w:rsidR="00DA6219">
        <w:rPr>
          <w:rFonts w:ascii="Arial" w:hAnsi="Arial" w:cs="Arial"/>
        </w:rPr>
        <w:t>12-month</w:t>
      </w:r>
      <w:r w:rsidR="00E53393" w:rsidRPr="00E53393">
        <w:rPr>
          <w:rFonts w:ascii="Arial" w:hAnsi="Arial" w:cs="Arial"/>
        </w:rPr>
        <w:t xml:space="preserve"> </w:t>
      </w:r>
      <w:r w:rsidR="00AA2DEF">
        <w:rPr>
          <w:rFonts w:ascii="Arial" w:hAnsi="Arial" w:cs="Arial"/>
        </w:rPr>
        <w:t>crystallisation</w:t>
      </w:r>
      <w:r w:rsidR="00E53393" w:rsidRPr="00E53393">
        <w:rPr>
          <w:rFonts w:ascii="Arial" w:hAnsi="Arial" w:cs="Arial"/>
        </w:rPr>
        <w:t xml:space="preserve"> period also offers simplicity and clarity</w:t>
      </w:r>
      <w:r>
        <w:rPr>
          <w:rFonts w:ascii="Arial" w:hAnsi="Arial" w:cs="Arial"/>
        </w:rPr>
        <w:t xml:space="preserve"> being fully aligned with </w:t>
      </w:r>
      <w:r w:rsidR="00E53393" w:rsidRPr="00E53393">
        <w:rPr>
          <w:rFonts w:ascii="Arial" w:hAnsi="Arial" w:cs="Arial"/>
        </w:rPr>
        <w:t>the spirit of Mifid 2 which has introduced a year</w:t>
      </w:r>
      <w:r w:rsidR="003270B9">
        <w:rPr>
          <w:rFonts w:ascii="Arial" w:hAnsi="Arial" w:cs="Arial"/>
        </w:rPr>
        <w:t>ly</w:t>
      </w:r>
      <w:r w:rsidR="00E53393" w:rsidRPr="00E53393">
        <w:rPr>
          <w:rFonts w:ascii="Arial" w:hAnsi="Arial" w:cs="Arial"/>
        </w:rPr>
        <w:t xml:space="preserve"> report on all charges and costs.</w:t>
      </w:r>
      <w:r w:rsidR="00E53393">
        <w:rPr>
          <w:rFonts w:ascii="Arial" w:hAnsi="Arial" w:cs="Arial"/>
        </w:rPr>
        <w:t xml:space="preserve"> </w:t>
      </w:r>
    </w:p>
    <w:p w14:paraId="7BEE1380" w14:textId="77777777" w:rsidR="00DA6219" w:rsidRDefault="00DA6219" w:rsidP="001F6354">
      <w:pPr>
        <w:jc w:val="both"/>
        <w:rPr>
          <w:rFonts w:ascii="Arial" w:hAnsi="Arial" w:cs="Arial"/>
        </w:rPr>
      </w:pPr>
    </w:p>
    <w:p w14:paraId="776F16AC" w14:textId="77777777" w:rsidR="00B20945" w:rsidRDefault="00FA4DD9" w:rsidP="001F6354">
      <w:pPr>
        <w:jc w:val="both"/>
        <w:rPr>
          <w:rFonts w:ascii="Arial" w:hAnsi="Arial" w:cs="Arial"/>
        </w:rPr>
      </w:pPr>
      <w:r>
        <w:rPr>
          <w:rFonts w:ascii="Arial" w:hAnsi="Arial" w:cs="Arial"/>
        </w:rPr>
        <w:t xml:space="preserve">Without prejudice to the above, </w:t>
      </w:r>
      <w:r w:rsidR="00DA6219">
        <w:rPr>
          <w:rFonts w:ascii="Arial" w:hAnsi="Arial" w:cs="Arial"/>
        </w:rPr>
        <w:t>room for ex</w:t>
      </w:r>
      <w:r w:rsidR="00C81A4A">
        <w:rPr>
          <w:rFonts w:ascii="Arial" w:hAnsi="Arial" w:cs="Arial"/>
        </w:rPr>
        <w:t>c</w:t>
      </w:r>
      <w:r w:rsidR="00DA6219">
        <w:rPr>
          <w:rFonts w:ascii="Arial" w:hAnsi="Arial" w:cs="Arial"/>
        </w:rPr>
        <w:t xml:space="preserve">eptions should be contemplated and </w:t>
      </w:r>
      <w:r>
        <w:rPr>
          <w:rFonts w:ascii="Arial" w:hAnsi="Arial" w:cs="Arial"/>
        </w:rPr>
        <w:t>s</w:t>
      </w:r>
      <w:r w:rsidR="003270B9" w:rsidRPr="003270B9">
        <w:rPr>
          <w:rFonts w:ascii="Arial" w:hAnsi="Arial" w:cs="Arial"/>
        </w:rPr>
        <w:t>horter periods should</w:t>
      </w:r>
      <w:r>
        <w:rPr>
          <w:rFonts w:ascii="Arial" w:hAnsi="Arial" w:cs="Arial"/>
        </w:rPr>
        <w:t>, in any event,</w:t>
      </w:r>
      <w:r w:rsidR="003270B9" w:rsidRPr="003270B9">
        <w:rPr>
          <w:rFonts w:ascii="Arial" w:hAnsi="Arial" w:cs="Arial"/>
        </w:rPr>
        <w:t xml:space="preserve"> be allowed if they are in the interest of investors</w:t>
      </w:r>
      <w:r w:rsidR="00DA6219">
        <w:rPr>
          <w:rFonts w:ascii="Arial" w:hAnsi="Arial" w:cs="Arial"/>
        </w:rPr>
        <w:t>,</w:t>
      </w:r>
      <w:r w:rsidR="003270B9" w:rsidRPr="003270B9">
        <w:rPr>
          <w:rFonts w:ascii="Arial" w:hAnsi="Arial" w:cs="Arial"/>
        </w:rPr>
        <w:t xml:space="preserve"> or for technical reasons (liquidations or restructurings) or other practical circumstances and have to be disclosed to investors in advance</w:t>
      </w:r>
      <w:r w:rsidR="00DA6219">
        <w:rPr>
          <w:rFonts w:ascii="Arial" w:hAnsi="Arial" w:cs="Arial"/>
        </w:rPr>
        <w:t>,</w:t>
      </w:r>
      <w:r>
        <w:rPr>
          <w:rFonts w:ascii="Arial" w:hAnsi="Arial" w:cs="Arial"/>
        </w:rPr>
        <w:t xml:space="preserve"> or when </w:t>
      </w:r>
      <w:r w:rsidR="003270B9" w:rsidRPr="003270B9">
        <w:rPr>
          <w:rFonts w:ascii="Arial" w:hAnsi="Arial" w:cs="Arial"/>
        </w:rPr>
        <w:t>investors redeem before the end of the performance period</w:t>
      </w:r>
      <w:r w:rsidR="003270B9">
        <w:rPr>
          <w:rFonts w:ascii="Arial" w:hAnsi="Arial" w:cs="Arial"/>
        </w:rPr>
        <w:t>. In suc</w:t>
      </w:r>
      <w:r w:rsidR="007E71E7">
        <w:rPr>
          <w:rFonts w:ascii="Arial" w:hAnsi="Arial" w:cs="Arial"/>
        </w:rPr>
        <w:t>h</w:t>
      </w:r>
      <w:r>
        <w:rPr>
          <w:rFonts w:ascii="Arial" w:hAnsi="Arial" w:cs="Arial"/>
        </w:rPr>
        <w:t xml:space="preserve"> circumstance</w:t>
      </w:r>
      <w:r w:rsidR="006C290F">
        <w:rPr>
          <w:rFonts w:ascii="Arial" w:hAnsi="Arial" w:cs="Arial"/>
        </w:rPr>
        <w:t>s</w:t>
      </w:r>
      <w:r w:rsidR="003270B9" w:rsidRPr="003270B9">
        <w:rPr>
          <w:rFonts w:ascii="Arial" w:hAnsi="Arial" w:cs="Arial"/>
        </w:rPr>
        <w:t>, the performance fee accrued on the redeemed units or shares can be crystallised under certain operating models.</w:t>
      </w:r>
      <w:r w:rsidR="003270B9" w:rsidDel="002D0F53">
        <w:rPr>
          <w:rFonts w:ascii="Arial" w:hAnsi="Arial" w:cs="Arial"/>
        </w:rPr>
        <w:t xml:space="preserve"> </w:t>
      </w:r>
      <w:r w:rsidR="002D0F53">
        <w:rPr>
          <w:rFonts w:ascii="Arial" w:hAnsi="Arial" w:cs="Arial"/>
        </w:rPr>
        <w:t xml:space="preserve"> </w:t>
      </w:r>
    </w:p>
    <w:p w14:paraId="7BC5CA61" w14:textId="77777777" w:rsidR="00B20945" w:rsidRDefault="00B20945" w:rsidP="001F6354">
      <w:pPr>
        <w:jc w:val="both"/>
        <w:rPr>
          <w:rFonts w:ascii="Arial" w:hAnsi="Arial" w:cs="Arial"/>
        </w:rPr>
      </w:pPr>
    </w:p>
    <w:p w14:paraId="6DF1DBDA" w14:textId="77777777" w:rsidR="00DA6219" w:rsidRDefault="00FA4DD9" w:rsidP="00FA4DD9">
      <w:pPr>
        <w:jc w:val="both"/>
        <w:rPr>
          <w:rFonts w:ascii="Arial" w:hAnsi="Arial" w:cs="Arial"/>
        </w:rPr>
      </w:pPr>
      <w:r>
        <w:rPr>
          <w:rFonts w:ascii="Arial" w:hAnsi="Arial" w:cs="Arial"/>
        </w:rPr>
        <w:t xml:space="preserve">Finally, </w:t>
      </w:r>
      <w:r w:rsidRPr="00EF1F27">
        <w:rPr>
          <w:rFonts w:ascii="Arial" w:hAnsi="Arial" w:cs="Arial"/>
          <w:b/>
        </w:rPr>
        <w:t xml:space="preserve">we disagree with </w:t>
      </w:r>
      <w:r w:rsidR="00424928" w:rsidRPr="00EF1F27">
        <w:rPr>
          <w:rFonts w:ascii="Arial" w:hAnsi="Arial" w:cs="Arial"/>
          <w:b/>
        </w:rPr>
        <w:t>G</w:t>
      </w:r>
      <w:r w:rsidR="00B20945" w:rsidRPr="00EF1F27">
        <w:rPr>
          <w:rFonts w:ascii="Arial" w:hAnsi="Arial" w:cs="Arial"/>
          <w:b/>
        </w:rPr>
        <w:t>uideline</w:t>
      </w:r>
      <w:r w:rsidRPr="00EF1F27">
        <w:rPr>
          <w:rFonts w:ascii="Arial" w:hAnsi="Arial" w:cs="Arial"/>
          <w:b/>
        </w:rPr>
        <w:t xml:space="preserve"> 3</w:t>
      </w:r>
      <w:r w:rsidR="00424928" w:rsidRPr="00EF1F27">
        <w:rPr>
          <w:rFonts w:ascii="Arial" w:hAnsi="Arial" w:cs="Arial"/>
          <w:b/>
        </w:rPr>
        <w:t>,</w:t>
      </w:r>
      <w:r w:rsidR="00B20945" w:rsidRPr="00EF1F27">
        <w:rPr>
          <w:rFonts w:ascii="Arial" w:hAnsi="Arial" w:cs="Arial"/>
          <w:b/>
        </w:rPr>
        <w:t xml:space="preserve"> </w:t>
      </w:r>
      <w:r w:rsidR="00424928" w:rsidRPr="00EF1F27">
        <w:rPr>
          <w:rFonts w:ascii="Arial" w:hAnsi="Arial" w:cs="Arial"/>
          <w:b/>
        </w:rPr>
        <w:t xml:space="preserve">paragraph </w:t>
      </w:r>
      <w:r w:rsidR="00B20945" w:rsidRPr="00EF1F27">
        <w:rPr>
          <w:rFonts w:ascii="Arial" w:hAnsi="Arial" w:cs="Arial"/>
          <w:b/>
        </w:rPr>
        <w:t>20 w</w:t>
      </w:r>
      <w:r w:rsidRPr="00EF1F27">
        <w:rPr>
          <w:rFonts w:ascii="Arial" w:hAnsi="Arial" w:cs="Arial"/>
          <w:b/>
        </w:rPr>
        <w:t xml:space="preserve">here it provides that </w:t>
      </w:r>
      <w:r w:rsidR="00B20945" w:rsidRPr="00EF1F27">
        <w:rPr>
          <w:rFonts w:ascii="Arial" w:hAnsi="Arial" w:cs="Arial"/>
          <w:b/>
        </w:rPr>
        <w:t xml:space="preserve">the </w:t>
      </w:r>
      <w:r w:rsidR="00B20945" w:rsidRPr="00EF1F27">
        <w:rPr>
          <w:rFonts w:ascii="Arial" w:hAnsi="Arial" w:cs="Arial"/>
          <w:b/>
          <w:i/>
        </w:rPr>
        <w:t>crystallisation period should end on 31 December or at the end of the financial year of the fund</w:t>
      </w:r>
      <w:r w:rsidR="00B20945">
        <w:rPr>
          <w:rFonts w:ascii="Arial" w:hAnsi="Arial" w:cs="Arial"/>
        </w:rPr>
        <w:t>.</w:t>
      </w:r>
      <w:r w:rsidR="00E958D9">
        <w:rPr>
          <w:rFonts w:ascii="Arial" w:hAnsi="Arial" w:cs="Arial"/>
        </w:rPr>
        <w:t xml:space="preserve"> </w:t>
      </w:r>
      <w:r w:rsidR="000A7D4B" w:rsidRPr="009C7182">
        <w:rPr>
          <w:rFonts w:ascii="Arial" w:hAnsi="Arial" w:cs="Arial"/>
          <w:b/>
        </w:rPr>
        <w:t>We would suggest therefore to delete this recommendation and let the asset manager free to identify the crystallization’s date</w:t>
      </w:r>
      <w:r w:rsidR="000A7D4B">
        <w:rPr>
          <w:rFonts w:ascii="Arial" w:hAnsi="Arial" w:cs="Arial"/>
        </w:rPr>
        <w:t>.</w:t>
      </w:r>
    </w:p>
    <w:p w14:paraId="08B4AC4A" w14:textId="77777777" w:rsidR="00E67BBA" w:rsidRDefault="00E67BBA" w:rsidP="00FA4DD9">
      <w:pPr>
        <w:jc w:val="both"/>
        <w:rPr>
          <w:rFonts w:ascii="Arial" w:hAnsi="Arial" w:cs="Arial"/>
        </w:rPr>
      </w:pPr>
    </w:p>
    <w:p w14:paraId="16423C79" w14:textId="77777777" w:rsidR="00F0577D" w:rsidRDefault="00695564" w:rsidP="001F6354">
      <w:pPr>
        <w:jc w:val="both"/>
        <w:rPr>
          <w:rFonts w:ascii="Arial" w:hAnsi="Arial" w:cs="Arial"/>
        </w:rPr>
      </w:pPr>
      <w:r w:rsidRPr="009C7182">
        <w:rPr>
          <w:rFonts w:ascii="Arial" w:hAnsi="Arial" w:cs="Arial"/>
        </w:rPr>
        <w:t>It is our belief that the proposal to set one specific date for crystallization on all funds does not benefit the investor</w:t>
      </w:r>
      <w:r w:rsidR="006C290F">
        <w:rPr>
          <w:rFonts w:ascii="Arial" w:hAnsi="Arial" w:cs="Arial"/>
        </w:rPr>
        <w:t>,</w:t>
      </w:r>
      <w:r w:rsidRPr="009C7182">
        <w:rPr>
          <w:rFonts w:ascii="Arial" w:hAnsi="Arial" w:cs="Arial"/>
        </w:rPr>
        <w:t xml:space="preserve"> nor the fund manager. </w:t>
      </w:r>
      <w:r w:rsidR="0091480C" w:rsidRPr="009C7182">
        <w:rPr>
          <w:rFonts w:ascii="Arial" w:hAnsi="Arial" w:cs="Arial"/>
        </w:rPr>
        <w:t>In</w:t>
      </w:r>
      <w:r w:rsidR="0091480C">
        <w:rPr>
          <w:rFonts w:ascii="Arial" w:hAnsi="Arial" w:cs="Arial"/>
        </w:rPr>
        <w:t>deed,</w:t>
      </w:r>
      <w:r w:rsidR="0091480C" w:rsidRPr="009C7182">
        <w:rPr>
          <w:rFonts w:ascii="Arial" w:hAnsi="Arial" w:cs="Arial"/>
        </w:rPr>
        <w:t xml:space="preserve"> by</w:t>
      </w:r>
      <w:r w:rsidRPr="009C7182">
        <w:rPr>
          <w:rFonts w:ascii="Arial" w:hAnsi="Arial" w:cs="Arial"/>
        </w:rPr>
        <w:t xml:space="preserve"> doing so there is</w:t>
      </w:r>
      <w:r w:rsidR="006C290F">
        <w:rPr>
          <w:rFonts w:ascii="Arial" w:hAnsi="Arial" w:cs="Arial"/>
        </w:rPr>
        <w:t xml:space="preserve"> a concentration effect on all asset m</w:t>
      </w:r>
      <w:r w:rsidRPr="009C7182">
        <w:rPr>
          <w:rFonts w:ascii="Arial" w:hAnsi="Arial" w:cs="Arial"/>
        </w:rPr>
        <w:t xml:space="preserve">anagers, which means investors and managers are more exposed to market turbulence, if </w:t>
      </w:r>
      <w:r w:rsidR="009C7182">
        <w:rPr>
          <w:rFonts w:ascii="Arial" w:hAnsi="Arial" w:cs="Arial"/>
        </w:rPr>
        <w:t xml:space="preserve">such turbulence </w:t>
      </w:r>
      <w:r w:rsidRPr="009C7182">
        <w:rPr>
          <w:rFonts w:ascii="Arial" w:hAnsi="Arial" w:cs="Arial"/>
        </w:rPr>
        <w:t xml:space="preserve">coincides with the given date for </w:t>
      </w:r>
      <w:proofErr w:type="gramStart"/>
      <w:r w:rsidRPr="009C7182">
        <w:rPr>
          <w:rFonts w:ascii="Arial" w:hAnsi="Arial" w:cs="Arial"/>
        </w:rPr>
        <w:t>crystallization.</w:t>
      </w:r>
      <w:proofErr w:type="gramEnd"/>
      <w:r w:rsidRPr="009C7182">
        <w:rPr>
          <w:rFonts w:ascii="Arial" w:hAnsi="Arial" w:cs="Arial"/>
        </w:rPr>
        <w:t xml:space="preserve"> </w:t>
      </w:r>
      <w:r w:rsidR="006C290F">
        <w:rPr>
          <w:rFonts w:ascii="Arial" w:hAnsi="Arial" w:cs="Arial"/>
        </w:rPr>
        <w:t xml:space="preserve"> </w:t>
      </w:r>
      <w:r w:rsidRPr="009C7182">
        <w:rPr>
          <w:rFonts w:ascii="Arial" w:hAnsi="Arial" w:cs="Arial"/>
        </w:rPr>
        <w:t xml:space="preserve">For this reason, we believe it is best left to the individual manager </w:t>
      </w:r>
      <w:r w:rsidRPr="009C7182">
        <w:rPr>
          <w:rFonts w:ascii="Arial" w:hAnsi="Arial" w:cs="Arial"/>
        </w:rPr>
        <w:lastRenderedPageBreak/>
        <w:t>to determine their dates of crystallization and in turn the investor should benefit as they have a wider scope to choose from and are less exposed to one off market events.</w:t>
      </w:r>
    </w:p>
    <w:p w14:paraId="06169A2B" w14:textId="77777777" w:rsidR="00FA4DD9" w:rsidRDefault="00FA4DD9" w:rsidP="001F6354">
      <w:pPr>
        <w:jc w:val="both"/>
        <w:rPr>
          <w:rFonts w:ascii="Arial" w:hAnsi="Arial" w:cs="Arial"/>
        </w:rPr>
      </w:pPr>
    </w:p>
    <w:p w14:paraId="2C251D8B" w14:textId="77777777" w:rsidR="00FA4DD9" w:rsidRPr="00701DC2" w:rsidRDefault="006C290F" w:rsidP="001F6354">
      <w:pPr>
        <w:jc w:val="both"/>
        <w:rPr>
          <w:rFonts w:ascii="Arial" w:hAnsi="Arial" w:cs="Arial"/>
          <w:b/>
          <w:caps/>
          <w:u w:val="single"/>
        </w:rPr>
      </w:pPr>
      <w:r w:rsidRPr="00701DC2">
        <w:rPr>
          <w:rFonts w:ascii="Arial" w:hAnsi="Arial" w:cs="Arial"/>
          <w:b/>
          <w:caps/>
          <w:u w:val="single"/>
        </w:rPr>
        <w:t>Example 1</w:t>
      </w:r>
    </w:p>
    <w:p w14:paraId="26EB20A2" w14:textId="77777777" w:rsidR="00FA4DD9" w:rsidRDefault="00EF1F27" w:rsidP="001F6354">
      <w:pPr>
        <w:jc w:val="both"/>
        <w:rPr>
          <w:rFonts w:ascii="Arial" w:hAnsi="Arial" w:cs="Arial"/>
        </w:rPr>
      </w:pPr>
      <w:r>
        <w:rPr>
          <w:noProof/>
          <w:lang w:val="fr-FR" w:eastAsia="zh-CN"/>
        </w:rPr>
        <w:drawing>
          <wp:inline distT="0" distB="0" distL="0" distR="0" wp14:anchorId="67DC2779" wp14:editId="03E34752">
            <wp:extent cx="5759450" cy="3975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975735"/>
                    </a:xfrm>
                    <a:prstGeom prst="rect">
                      <a:avLst/>
                    </a:prstGeom>
                  </pic:spPr>
                </pic:pic>
              </a:graphicData>
            </a:graphic>
          </wp:inline>
        </w:drawing>
      </w:r>
    </w:p>
    <w:p w14:paraId="254FB71A" w14:textId="77777777" w:rsidR="00FA4DD9" w:rsidRDefault="00FA4DD9" w:rsidP="001F6354">
      <w:pPr>
        <w:jc w:val="both"/>
        <w:rPr>
          <w:rFonts w:ascii="Arial" w:hAnsi="Arial" w:cs="Arial"/>
        </w:rPr>
      </w:pPr>
    </w:p>
    <w:p w14:paraId="7E302886" w14:textId="77777777" w:rsidR="00FA4DD9" w:rsidRDefault="00FA4DD9" w:rsidP="001F6354">
      <w:pPr>
        <w:jc w:val="both"/>
        <w:rPr>
          <w:rFonts w:ascii="Arial" w:hAnsi="Arial" w:cs="Arial"/>
        </w:rPr>
      </w:pPr>
    </w:p>
    <w:p w14:paraId="188F92D8" w14:textId="77777777" w:rsidR="00FA4DD9" w:rsidRDefault="00EF1F27" w:rsidP="001F6354">
      <w:pPr>
        <w:jc w:val="both"/>
        <w:rPr>
          <w:rFonts w:ascii="Arial" w:hAnsi="Arial" w:cs="Arial"/>
        </w:rPr>
      </w:pPr>
      <w:r>
        <w:rPr>
          <w:noProof/>
          <w:lang w:val="fr-FR" w:eastAsia="zh-CN"/>
        </w:rPr>
        <w:lastRenderedPageBreak/>
        <w:drawing>
          <wp:inline distT="0" distB="0" distL="0" distR="0" wp14:anchorId="4133B9A7" wp14:editId="78662397">
            <wp:extent cx="5759450" cy="397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977640"/>
                    </a:xfrm>
                    <a:prstGeom prst="rect">
                      <a:avLst/>
                    </a:prstGeom>
                  </pic:spPr>
                </pic:pic>
              </a:graphicData>
            </a:graphic>
          </wp:inline>
        </w:drawing>
      </w:r>
    </w:p>
    <w:p w14:paraId="57012D2D" w14:textId="77777777" w:rsidR="00FA4DD9" w:rsidRDefault="00FA4DD9" w:rsidP="001F6354">
      <w:pPr>
        <w:jc w:val="both"/>
        <w:rPr>
          <w:rFonts w:ascii="Arial" w:hAnsi="Arial" w:cs="Arial"/>
        </w:rPr>
      </w:pPr>
    </w:p>
    <w:p w14:paraId="632F06D7" w14:textId="77777777" w:rsidR="00FA4DD9" w:rsidRDefault="00FA4DD9" w:rsidP="001F6354">
      <w:pPr>
        <w:jc w:val="both"/>
        <w:rPr>
          <w:rFonts w:ascii="Arial" w:hAnsi="Arial" w:cs="Arial"/>
        </w:rPr>
      </w:pPr>
    </w:p>
    <w:p w14:paraId="1E264ABD" w14:textId="77777777" w:rsidR="00FA4DD9" w:rsidRDefault="00FA4DD9" w:rsidP="001F6354">
      <w:pPr>
        <w:jc w:val="both"/>
        <w:rPr>
          <w:rFonts w:ascii="Arial" w:hAnsi="Arial" w:cs="Arial"/>
        </w:rPr>
      </w:pPr>
    </w:p>
    <w:p w14:paraId="3E0DE5F7" w14:textId="77777777" w:rsidR="00FA4DD9" w:rsidRDefault="00FA4DD9" w:rsidP="001F6354">
      <w:pPr>
        <w:jc w:val="both"/>
        <w:rPr>
          <w:rFonts w:ascii="Arial" w:hAnsi="Arial" w:cs="Arial"/>
        </w:rPr>
      </w:pPr>
    </w:p>
    <w:permEnd w:id="722885668"/>
    <w:p w14:paraId="363BFC23" w14:textId="77777777" w:rsidR="001F23C9" w:rsidRDefault="001F23C9" w:rsidP="001F6354">
      <w:pPr>
        <w:jc w:val="both"/>
        <w:rPr>
          <w:rFonts w:ascii="Arial" w:hAnsi="Arial" w:cs="Arial"/>
        </w:rPr>
      </w:pPr>
      <w:r>
        <w:rPr>
          <w:rFonts w:ascii="Arial" w:hAnsi="Arial" w:cs="Arial"/>
        </w:rPr>
        <w:t>&lt;ESMA_QUESTION_PFG_4&gt;</w:t>
      </w:r>
    </w:p>
    <w:p w14:paraId="3644A887" w14:textId="77777777" w:rsidR="001F23C9" w:rsidRDefault="001F23C9" w:rsidP="001F6354">
      <w:pPr>
        <w:jc w:val="both"/>
        <w:rPr>
          <w:rFonts w:ascii="Arial" w:hAnsi="Arial" w:cs="Arial"/>
        </w:rPr>
      </w:pPr>
    </w:p>
    <w:p w14:paraId="03020668" w14:textId="77777777" w:rsidR="001F23C9" w:rsidRPr="00175CFB" w:rsidRDefault="001F23C9" w:rsidP="001F6354">
      <w:pPr>
        <w:pStyle w:val="Questionstyle"/>
      </w:pPr>
      <w:r>
        <w:t>:</w:t>
      </w:r>
      <w:r w:rsidRPr="000F104A">
        <w:t xml:space="preserve"> </w:t>
      </w:r>
      <w:r w:rsidRPr="00092E98">
        <w:t>Are there any other models or methodologies currently employed that, in your view, should be exempted from this requirement? For example, do you think that the requirement of a minimum crystallisation period of 12 months should also apply to HWM models?</w:t>
      </w:r>
      <w:r w:rsidRPr="000F104A">
        <w:t xml:space="preserve"> Please provide examples on how these models achieve the objectives pursued by Guideline 3.</w:t>
      </w:r>
    </w:p>
    <w:p w14:paraId="7FBC8291" w14:textId="77777777" w:rsidR="001F23C9" w:rsidRDefault="001F23C9" w:rsidP="001F6354">
      <w:pPr>
        <w:jc w:val="both"/>
        <w:rPr>
          <w:rFonts w:ascii="Arial" w:hAnsi="Arial" w:cs="Arial"/>
        </w:rPr>
      </w:pPr>
      <w:r>
        <w:rPr>
          <w:rFonts w:ascii="Arial" w:hAnsi="Arial" w:cs="Arial"/>
        </w:rPr>
        <w:t>&lt;ESMA_QUESTION_PFG_5&gt;</w:t>
      </w:r>
    </w:p>
    <w:p w14:paraId="7DE9FD1E" w14:textId="77777777" w:rsidR="001F23C9" w:rsidRPr="00BC7CA6" w:rsidRDefault="00DA6219" w:rsidP="001F6354">
      <w:pPr>
        <w:jc w:val="both"/>
        <w:rPr>
          <w:rFonts w:ascii="Arial" w:hAnsi="Arial" w:cs="Arial"/>
        </w:rPr>
      </w:pPr>
      <w:permStart w:id="371339951" w:edGrp="everyone"/>
      <w:r>
        <w:rPr>
          <w:rFonts w:ascii="Arial" w:hAnsi="Arial" w:cs="Arial"/>
        </w:rPr>
        <w:t xml:space="preserve">Without prejudice to the exemptions mentioned in our reply to Q4, </w:t>
      </w:r>
      <w:r w:rsidR="00E958D9">
        <w:rPr>
          <w:rFonts w:ascii="Arial" w:hAnsi="Arial" w:cs="Arial"/>
        </w:rPr>
        <w:t>we do not believe th</w:t>
      </w:r>
      <w:r>
        <w:rPr>
          <w:rFonts w:ascii="Arial" w:hAnsi="Arial" w:cs="Arial"/>
        </w:rPr>
        <w:t>at different methodologies should be exempted from the requirement.</w:t>
      </w:r>
    </w:p>
    <w:permEnd w:id="371339951"/>
    <w:p w14:paraId="14A07631" w14:textId="77777777" w:rsidR="001F23C9" w:rsidRDefault="001F23C9" w:rsidP="001F6354">
      <w:pPr>
        <w:jc w:val="both"/>
        <w:rPr>
          <w:rFonts w:ascii="Arial" w:hAnsi="Arial" w:cs="Arial"/>
        </w:rPr>
      </w:pPr>
      <w:r>
        <w:rPr>
          <w:rFonts w:ascii="Arial" w:hAnsi="Arial" w:cs="Arial"/>
        </w:rPr>
        <w:t>&lt;ESMA_QUESTION_PFG_5&gt;</w:t>
      </w:r>
    </w:p>
    <w:p w14:paraId="6AE2E6E0" w14:textId="77777777" w:rsidR="001F23C9" w:rsidRDefault="001F23C9" w:rsidP="001F6354">
      <w:pPr>
        <w:jc w:val="both"/>
        <w:rPr>
          <w:rFonts w:ascii="Arial" w:hAnsi="Arial" w:cs="Arial"/>
        </w:rPr>
      </w:pPr>
    </w:p>
    <w:p w14:paraId="1DC01E9B" w14:textId="77777777" w:rsidR="001F23C9" w:rsidRPr="00175CFB" w:rsidRDefault="001F23C9" w:rsidP="001F6354">
      <w:pPr>
        <w:pStyle w:val="Questionstyle"/>
      </w:pPr>
      <w:r>
        <w:lastRenderedPageBreak/>
        <w:t>:</w:t>
      </w:r>
      <w:r w:rsidRPr="000F104A">
        <w:t xml:space="preserve"> In your view, should performance fees be charged only when the fund has achieved absolute positive performance? What expected financial impact (e.g. increase or decrease of the manager’s remuneration or increase or decrease of the financial return for investors) would the proposed Guideline 4 have for you/the stakeholder(s) you represent? Are there models or methodologies currently employed where the approach set out in Guideline 4 would not be appropriate? </w:t>
      </w:r>
    </w:p>
    <w:p w14:paraId="6E62E444" w14:textId="77777777" w:rsidR="001F23C9" w:rsidRDefault="001F23C9" w:rsidP="001F6354">
      <w:pPr>
        <w:jc w:val="both"/>
        <w:rPr>
          <w:rFonts w:ascii="Arial" w:hAnsi="Arial" w:cs="Arial"/>
        </w:rPr>
      </w:pPr>
      <w:r>
        <w:rPr>
          <w:rFonts w:ascii="Arial" w:hAnsi="Arial" w:cs="Arial"/>
        </w:rPr>
        <w:t>&lt;ESMA_QUESTION_PFG_6&gt;</w:t>
      </w:r>
    </w:p>
    <w:p w14:paraId="62DBFB3D" w14:textId="77777777" w:rsidR="00AF48D2" w:rsidRDefault="00AB1D35" w:rsidP="001F6354">
      <w:pPr>
        <w:jc w:val="both"/>
        <w:rPr>
          <w:rFonts w:ascii="Arial" w:hAnsi="Arial" w:cs="Arial"/>
        </w:rPr>
      </w:pPr>
      <w:permStart w:id="1730302767" w:edGrp="everyone"/>
      <w:r>
        <w:rPr>
          <w:rFonts w:ascii="Arial" w:hAnsi="Arial" w:cs="Arial"/>
        </w:rPr>
        <w:t xml:space="preserve">No, in our view performance fees should be paid any time there is </w:t>
      </w:r>
      <w:r w:rsidR="00B82E01">
        <w:rPr>
          <w:rFonts w:ascii="Arial" w:hAnsi="Arial" w:cs="Arial"/>
        </w:rPr>
        <w:t>an</w:t>
      </w:r>
      <w:r>
        <w:rPr>
          <w:rFonts w:ascii="Arial" w:hAnsi="Arial" w:cs="Arial"/>
        </w:rPr>
        <w:t xml:space="preserve"> </w:t>
      </w:r>
      <w:r w:rsidR="008B7D0C">
        <w:rPr>
          <w:rFonts w:ascii="Arial" w:hAnsi="Arial" w:cs="Arial"/>
        </w:rPr>
        <w:t>out</w:t>
      </w:r>
      <w:r>
        <w:rPr>
          <w:rFonts w:ascii="Arial" w:hAnsi="Arial" w:cs="Arial"/>
        </w:rPr>
        <w:t>performa</w:t>
      </w:r>
      <w:r w:rsidR="00B82E01">
        <w:rPr>
          <w:rFonts w:ascii="Arial" w:hAnsi="Arial" w:cs="Arial"/>
        </w:rPr>
        <w:t>n</w:t>
      </w:r>
      <w:r>
        <w:rPr>
          <w:rFonts w:ascii="Arial" w:hAnsi="Arial" w:cs="Arial"/>
        </w:rPr>
        <w:t>ce, although relative. For example</w:t>
      </w:r>
      <w:r w:rsidR="00AA2DEF">
        <w:rPr>
          <w:rFonts w:ascii="Arial" w:hAnsi="Arial" w:cs="Arial"/>
        </w:rPr>
        <w:t>,</w:t>
      </w:r>
      <w:r>
        <w:rPr>
          <w:rFonts w:ascii="Arial" w:hAnsi="Arial" w:cs="Arial"/>
        </w:rPr>
        <w:t xml:space="preserve"> in a benchmark fund the objective is to deliver positive performance against the benchmark, regardless of whether we are in a</w:t>
      </w:r>
      <w:r w:rsidR="006C290F">
        <w:rPr>
          <w:rFonts w:ascii="Arial" w:hAnsi="Arial" w:cs="Arial"/>
        </w:rPr>
        <w:t>n absolute</w:t>
      </w:r>
      <w:r>
        <w:rPr>
          <w:rFonts w:ascii="Arial" w:hAnsi="Arial" w:cs="Arial"/>
        </w:rPr>
        <w:t xml:space="preserve"> positive scenario or not. If the benchmark is down of 1</w:t>
      </w:r>
      <w:r w:rsidR="000A4A10">
        <w:rPr>
          <w:rFonts w:ascii="Arial" w:hAnsi="Arial" w:cs="Arial"/>
        </w:rPr>
        <w:t>.</w:t>
      </w:r>
      <w:r>
        <w:rPr>
          <w:rFonts w:ascii="Arial" w:hAnsi="Arial" w:cs="Arial"/>
        </w:rPr>
        <w:t>5% an</w:t>
      </w:r>
      <w:r w:rsidR="006C290F">
        <w:rPr>
          <w:rFonts w:ascii="Arial" w:hAnsi="Arial" w:cs="Arial"/>
        </w:rPr>
        <w:t>d the fund is down of 0.5% the f</w:t>
      </w:r>
      <w:r>
        <w:rPr>
          <w:rFonts w:ascii="Arial" w:hAnsi="Arial" w:cs="Arial"/>
        </w:rPr>
        <w:t xml:space="preserve">und has beaten the </w:t>
      </w:r>
      <w:r w:rsidR="00B82E01">
        <w:rPr>
          <w:rFonts w:ascii="Arial" w:hAnsi="Arial" w:cs="Arial"/>
        </w:rPr>
        <w:t>benchmark</w:t>
      </w:r>
      <w:r>
        <w:rPr>
          <w:rFonts w:ascii="Arial" w:hAnsi="Arial" w:cs="Arial"/>
        </w:rPr>
        <w:t xml:space="preserve"> and the performance fee should </w:t>
      </w:r>
      <w:r w:rsidR="002345EF">
        <w:rPr>
          <w:rFonts w:ascii="Arial" w:hAnsi="Arial" w:cs="Arial"/>
        </w:rPr>
        <w:t>accrue/paid</w:t>
      </w:r>
      <w:r>
        <w:rPr>
          <w:rFonts w:ascii="Arial" w:hAnsi="Arial" w:cs="Arial"/>
        </w:rPr>
        <w:t>.</w:t>
      </w:r>
      <w:r w:rsidR="00D401A8">
        <w:rPr>
          <w:rFonts w:ascii="Arial" w:hAnsi="Arial" w:cs="Arial"/>
        </w:rPr>
        <w:t xml:space="preserve"> </w:t>
      </w:r>
    </w:p>
    <w:p w14:paraId="2C423ACA" w14:textId="77777777" w:rsidR="00D401A8" w:rsidRDefault="00AF48D2" w:rsidP="001F6354">
      <w:pPr>
        <w:jc w:val="both"/>
        <w:rPr>
          <w:rFonts w:ascii="Arial" w:hAnsi="Arial" w:cs="Arial"/>
        </w:rPr>
      </w:pPr>
      <w:r w:rsidRPr="00AF48D2">
        <w:rPr>
          <w:rFonts w:ascii="Arial" w:hAnsi="Arial" w:cs="Arial"/>
        </w:rPr>
        <w:t>We believe that the manager's ability to mitigate losses in negative market phases, such as in times of crisi</w:t>
      </w:r>
      <w:r>
        <w:rPr>
          <w:rFonts w:ascii="Arial" w:hAnsi="Arial" w:cs="Arial"/>
        </w:rPr>
        <w:t>s, or in markets with negative interest rates, as the one we are now experiencing,</w:t>
      </w:r>
      <w:r w:rsidRPr="00AF48D2">
        <w:rPr>
          <w:rFonts w:ascii="Arial" w:hAnsi="Arial" w:cs="Arial"/>
        </w:rPr>
        <w:t xml:space="preserve"> is a value added of the active asset management and </w:t>
      </w:r>
      <w:r w:rsidR="00540C09">
        <w:rPr>
          <w:rFonts w:ascii="Arial" w:hAnsi="Arial" w:cs="Arial"/>
        </w:rPr>
        <w:t>thus it should</w:t>
      </w:r>
      <w:r>
        <w:rPr>
          <w:rFonts w:ascii="Arial" w:hAnsi="Arial" w:cs="Arial"/>
        </w:rPr>
        <w:t xml:space="preserve"> be rewarded</w:t>
      </w:r>
      <w:r w:rsidR="00D401A8">
        <w:rPr>
          <w:rFonts w:ascii="Arial" w:hAnsi="Arial" w:cs="Arial"/>
        </w:rPr>
        <w:t xml:space="preserve">. </w:t>
      </w:r>
    </w:p>
    <w:p w14:paraId="03D612E1" w14:textId="77777777" w:rsidR="00DA6219" w:rsidRDefault="00DA6219" w:rsidP="001F6354">
      <w:pPr>
        <w:jc w:val="both"/>
        <w:rPr>
          <w:rFonts w:ascii="Arial" w:hAnsi="Arial" w:cs="Arial"/>
        </w:rPr>
      </w:pPr>
    </w:p>
    <w:p w14:paraId="469EFDC1" w14:textId="77777777" w:rsidR="00AB227D" w:rsidRDefault="00AF48D2" w:rsidP="001F6354">
      <w:pPr>
        <w:jc w:val="both"/>
        <w:rPr>
          <w:rFonts w:ascii="Arial" w:hAnsi="Arial" w:cs="Arial"/>
        </w:rPr>
      </w:pPr>
      <w:r>
        <w:rPr>
          <w:rFonts w:ascii="Arial" w:hAnsi="Arial" w:cs="Arial"/>
        </w:rPr>
        <w:t xml:space="preserve">For the reasons explained, in our view remunerating </w:t>
      </w:r>
      <w:r w:rsidR="002D0F53">
        <w:rPr>
          <w:rFonts w:ascii="Arial" w:hAnsi="Arial" w:cs="Arial"/>
        </w:rPr>
        <w:t>relative performance is in the best interest of investors because even in negative scenario where reaching an absolute performance is very difficult</w:t>
      </w:r>
      <w:r w:rsidR="00092E98">
        <w:rPr>
          <w:rFonts w:ascii="Arial" w:hAnsi="Arial" w:cs="Arial"/>
        </w:rPr>
        <w:t>,</w:t>
      </w:r>
      <w:r w:rsidR="002D0F53">
        <w:rPr>
          <w:rFonts w:ascii="Arial" w:hAnsi="Arial" w:cs="Arial"/>
        </w:rPr>
        <w:t xml:space="preserve"> the fund manager will do his/her best to beat the </w:t>
      </w:r>
      <w:r w:rsidR="00AA2DEF">
        <w:rPr>
          <w:rFonts w:ascii="Arial" w:hAnsi="Arial" w:cs="Arial"/>
        </w:rPr>
        <w:t>benchmark</w:t>
      </w:r>
      <w:r>
        <w:rPr>
          <w:rFonts w:ascii="Arial" w:hAnsi="Arial" w:cs="Arial"/>
        </w:rPr>
        <w:t>.</w:t>
      </w:r>
    </w:p>
    <w:p w14:paraId="5C79C1E8" w14:textId="77777777" w:rsidR="000A4A10" w:rsidRDefault="000A4A10" w:rsidP="001F6354">
      <w:pPr>
        <w:jc w:val="both"/>
        <w:rPr>
          <w:rFonts w:ascii="Arial" w:hAnsi="Arial" w:cs="Arial"/>
        </w:rPr>
      </w:pPr>
    </w:p>
    <w:p w14:paraId="4610D798" w14:textId="77777777" w:rsidR="000A4A10" w:rsidRDefault="000A4A10" w:rsidP="001F6354">
      <w:pPr>
        <w:jc w:val="both"/>
        <w:rPr>
          <w:rFonts w:ascii="Arial" w:hAnsi="Arial" w:cs="Arial"/>
        </w:rPr>
      </w:pPr>
      <w:r w:rsidRPr="000A4A10">
        <w:rPr>
          <w:rFonts w:ascii="Arial" w:hAnsi="Arial" w:cs="Arial"/>
        </w:rPr>
        <w:t>In addition</w:t>
      </w:r>
      <w:r w:rsidR="006C290F">
        <w:rPr>
          <w:rFonts w:ascii="Arial" w:hAnsi="Arial" w:cs="Arial"/>
        </w:rPr>
        <w:t>, preventing an asset m</w:t>
      </w:r>
      <w:r w:rsidRPr="000A4A10">
        <w:rPr>
          <w:rFonts w:ascii="Arial" w:hAnsi="Arial" w:cs="Arial"/>
        </w:rPr>
        <w:t>anager from collecting performance fees on assets delivering nega</w:t>
      </w:r>
      <w:r>
        <w:rPr>
          <w:rFonts w:ascii="Arial" w:hAnsi="Arial" w:cs="Arial"/>
        </w:rPr>
        <w:t>tive returns would incentivize asset m</w:t>
      </w:r>
      <w:r w:rsidRPr="000A4A10">
        <w:rPr>
          <w:rFonts w:ascii="Arial" w:hAnsi="Arial" w:cs="Arial"/>
        </w:rPr>
        <w:t>anagement industry to concentrate their offering on riskier assets. Hence</w:t>
      </w:r>
      <w:r>
        <w:rPr>
          <w:rFonts w:ascii="Arial" w:hAnsi="Arial" w:cs="Arial"/>
        </w:rPr>
        <w:t>,</w:t>
      </w:r>
      <w:r w:rsidRPr="000A4A10">
        <w:rPr>
          <w:rFonts w:ascii="Arial" w:hAnsi="Arial" w:cs="Arial"/>
        </w:rPr>
        <w:t xml:space="preserve"> it would facilitate access to funding for corporates with higher risk profile. </w:t>
      </w:r>
    </w:p>
    <w:permEnd w:id="1730302767"/>
    <w:p w14:paraId="0F2BB4CB" w14:textId="77777777" w:rsidR="001F23C9" w:rsidRDefault="001F23C9" w:rsidP="001F6354">
      <w:pPr>
        <w:jc w:val="both"/>
        <w:rPr>
          <w:rFonts w:ascii="Arial" w:hAnsi="Arial" w:cs="Arial"/>
        </w:rPr>
      </w:pPr>
      <w:r>
        <w:rPr>
          <w:rFonts w:ascii="Arial" w:hAnsi="Arial" w:cs="Arial"/>
        </w:rPr>
        <w:t>&lt;ESMA_QUESTION_PFG_6&gt;</w:t>
      </w:r>
    </w:p>
    <w:p w14:paraId="1AC389AB" w14:textId="77777777" w:rsidR="001F23C9" w:rsidRDefault="001F23C9" w:rsidP="001F6354">
      <w:pPr>
        <w:jc w:val="both"/>
        <w:rPr>
          <w:rFonts w:ascii="Arial" w:hAnsi="Arial" w:cs="Arial"/>
        </w:rPr>
      </w:pPr>
    </w:p>
    <w:p w14:paraId="5A852841" w14:textId="77777777" w:rsidR="001F23C9" w:rsidRPr="00175CFB" w:rsidRDefault="001F23C9" w:rsidP="001F6354">
      <w:pPr>
        <w:pStyle w:val="Questionstyle"/>
      </w:pPr>
      <w:r>
        <w:t xml:space="preserve">: </w:t>
      </w:r>
      <w:r w:rsidRPr="000F104A">
        <w:t xml:space="preserve">If the performance fee model that you </w:t>
      </w:r>
      <w:r w:rsidRPr="00D401A8">
        <w:t>currently use provides for performance fees to be payable in times of negative returns,</w:t>
      </w:r>
      <w:r w:rsidRPr="002279B9">
        <w:t xml:space="preserve"> is a</w:t>
      </w:r>
      <w:r w:rsidRPr="000F104A">
        <w:t xml:space="preserve"> prominent warning on this provided to investors in the legal and marketing documents of the fund?  If not, should this be provided? Please </w:t>
      </w:r>
      <w:r w:rsidR="00850B43">
        <w:t>give</w:t>
      </w:r>
      <w:r w:rsidRPr="000F104A">
        <w:t xml:space="preserve"> examples for your answer and details on how the best interests of investors are safeguarded.</w:t>
      </w:r>
    </w:p>
    <w:p w14:paraId="41663C3A" w14:textId="77777777" w:rsidR="001F23C9" w:rsidRDefault="001F23C9" w:rsidP="001F6354">
      <w:pPr>
        <w:jc w:val="both"/>
        <w:rPr>
          <w:rFonts w:ascii="Arial" w:hAnsi="Arial" w:cs="Arial"/>
        </w:rPr>
      </w:pPr>
      <w:r>
        <w:rPr>
          <w:rFonts w:ascii="Arial" w:hAnsi="Arial" w:cs="Arial"/>
        </w:rPr>
        <w:lastRenderedPageBreak/>
        <w:t>&lt;ESMA_QUESTION_PFG_7&gt;</w:t>
      </w:r>
    </w:p>
    <w:p w14:paraId="0A214528" w14:textId="77777777" w:rsidR="001F23C9" w:rsidRDefault="00943084" w:rsidP="001F6354">
      <w:pPr>
        <w:jc w:val="both"/>
        <w:rPr>
          <w:rFonts w:ascii="Arial" w:hAnsi="Arial" w:cs="Arial"/>
        </w:rPr>
      </w:pPr>
      <w:permStart w:id="1973314272" w:edGrp="everyone"/>
      <w:r>
        <w:rPr>
          <w:rFonts w:ascii="Arial" w:hAnsi="Arial" w:cs="Arial"/>
        </w:rPr>
        <w:t xml:space="preserve">Although currently we are not providing any specific disclosure on this point, </w:t>
      </w:r>
      <w:r w:rsidR="00AB1D35">
        <w:rPr>
          <w:rFonts w:ascii="Arial" w:hAnsi="Arial" w:cs="Arial"/>
        </w:rPr>
        <w:t>we would not oppose to provide information to the investors in this respect.</w:t>
      </w:r>
      <w:r w:rsidR="0011553B">
        <w:rPr>
          <w:rFonts w:ascii="Arial" w:hAnsi="Arial" w:cs="Arial"/>
        </w:rPr>
        <w:t xml:space="preserve"> </w:t>
      </w:r>
      <w:r w:rsidR="008B3217">
        <w:rPr>
          <w:rFonts w:ascii="Arial" w:hAnsi="Arial" w:cs="Arial"/>
        </w:rPr>
        <w:t xml:space="preserve"> </w:t>
      </w:r>
    </w:p>
    <w:permEnd w:id="1973314272"/>
    <w:p w14:paraId="3966B8F8" w14:textId="77777777" w:rsidR="001F23C9" w:rsidRDefault="001F23C9" w:rsidP="001F6354">
      <w:pPr>
        <w:jc w:val="both"/>
        <w:rPr>
          <w:rFonts w:ascii="Arial" w:hAnsi="Arial" w:cs="Arial"/>
        </w:rPr>
      </w:pPr>
      <w:r>
        <w:rPr>
          <w:rFonts w:ascii="Arial" w:hAnsi="Arial" w:cs="Arial"/>
        </w:rPr>
        <w:t>&lt;ESMA_QUESTION_PFG_7&gt;</w:t>
      </w:r>
    </w:p>
    <w:p w14:paraId="34D2C6BB" w14:textId="77777777" w:rsidR="001F23C9" w:rsidRDefault="001F23C9" w:rsidP="001F6354">
      <w:pPr>
        <w:jc w:val="both"/>
        <w:rPr>
          <w:rFonts w:ascii="Arial" w:hAnsi="Arial" w:cs="Arial"/>
        </w:rPr>
      </w:pPr>
    </w:p>
    <w:p w14:paraId="151EB619" w14:textId="77777777" w:rsidR="001F23C9" w:rsidRPr="00F14FA8" w:rsidRDefault="001F23C9" w:rsidP="001F6354">
      <w:pPr>
        <w:pStyle w:val="Questionstyle"/>
      </w:pPr>
      <w:r>
        <w:t xml:space="preserve">: </w:t>
      </w:r>
      <w:r w:rsidRPr="007339D3">
        <w:t>What are your views on setting a performance reference period for the purpose of resetting the HWM?</w:t>
      </w:r>
      <w:r w:rsidRPr="000F104A">
        <w:t xml:space="preserve"> What should be taken into account when setting the performance reference period? </w:t>
      </w:r>
      <w:r w:rsidRPr="00F14FA8">
        <w:t xml:space="preserve">Should this period be defined, for example, based on the whole life of the fund (starting from the fund’s inception date), the recommended holding period of the investor or the investment horizon as stated in the prospectus? Please provide examples and reasons for your answer. </w:t>
      </w:r>
    </w:p>
    <w:p w14:paraId="563C9F78" w14:textId="77777777" w:rsidR="001F23C9" w:rsidRDefault="001F23C9" w:rsidP="001F6354">
      <w:pPr>
        <w:jc w:val="both"/>
        <w:rPr>
          <w:rFonts w:ascii="Arial" w:hAnsi="Arial" w:cs="Arial"/>
        </w:rPr>
      </w:pPr>
      <w:r>
        <w:rPr>
          <w:rFonts w:ascii="Arial" w:hAnsi="Arial" w:cs="Arial"/>
        </w:rPr>
        <w:t>&lt;ESMA_QUESTION_PFG_8&gt;</w:t>
      </w:r>
    </w:p>
    <w:p w14:paraId="6EBE95E2" w14:textId="77777777" w:rsidR="00133EEB" w:rsidRDefault="008B3217" w:rsidP="001F6354">
      <w:pPr>
        <w:jc w:val="both"/>
        <w:rPr>
          <w:rFonts w:ascii="Arial" w:hAnsi="Arial" w:cs="Arial"/>
        </w:rPr>
      </w:pPr>
      <w:permStart w:id="257716348" w:edGrp="everyone"/>
      <w:r w:rsidRPr="008B3217">
        <w:rPr>
          <w:rFonts w:ascii="Arial" w:hAnsi="Arial" w:cs="Arial"/>
        </w:rPr>
        <w:t xml:space="preserve">The basic rationale for performance fees is that they align the interests of fund managers and their investors, </w:t>
      </w:r>
      <w:r w:rsidR="00133EEB">
        <w:rPr>
          <w:rFonts w:ascii="Arial" w:hAnsi="Arial" w:cs="Arial"/>
        </w:rPr>
        <w:t xml:space="preserve">since </w:t>
      </w:r>
      <w:r w:rsidRPr="008B3217">
        <w:rPr>
          <w:rFonts w:ascii="Arial" w:hAnsi="Arial" w:cs="Arial"/>
        </w:rPr>
        <w:t xml:space="preserve">fund managers </w:t>
      </w:r>
      <w:r w:rsidR="00133EEB">
        <w:rPr>
          <w:rFonts w:ascii="Arial" w:hAnsi="Arial" w:cs="Arial"/>
        </w:rPr>
        <w:t xml:space="preserve">are incentivised </w:t>
      </w:r>
      <w:r w:rsidRPr="008B3217">
        <w:rPr>
          <w:rFonts w:ascii="Arial" w:hAnsi="Arial" w:cs="Arial"/>
        </w:rPr>
        <w:t xml:space="preserve">to generate positive </w:t>
      </w:r>
      <w:r w:rsidR="000A4A10">
        <w:rPr>
          <w:rFonts w:ascii="Arial" w:hAnsi="Arial" w:cs="Arial"/>
        </w:rPr>
        <w:t xml:space="preserve">relative </w:t>
      </w:r>
      <w:r w:rsidRPr="008B3217">
        <w:rPr>
          <w:rFonts w:ascii="Arial" w:hAnsi="Arial" w:cs="Arial"/>
        </w:rPr>
        <w:t>returns</w:t>
      </w:r>
      <w:r w:rsidR="00ED7ECB">
        <w:rPr>
          <w:rFonts w:ascii="Arial" w:hAnsi="Arial" w:cs="Arial"/>
        </w:rPr>
        <w:t xml:space="preserve"> and </w:t>
      </w:r>
      <w:r w:rsidR="00133EEB">
        <w:rPr>
          <w:rFonts w:ascii="Arial" w:hAnsi="Arial" w:cs="Arial"/>
        </w:rPr>
        <w:t>th</w:t>
      </w:r>
      <w:r w:rsidRPr="008B3217">
        <w:rPr>
          <w:rFonts w:ascii="Arial" w:hAnsi="Arial" w:cs="Arial"/>
        </w:rPr>
        <w:t>ere are various performance fee calculation models currently use</w:t>
      </w:r>
      <w:r w:rsidR="00133EEB">
        <w:rPr>
          <w:rFonts w:ascii="Arial" w:hAnsi="Arial" w:cs="Arial"/>
        </w:rPr>
        <w:t>d</w:t>
      </w:r>
      <w:r w:rsidRPr="008B3217">
        <w:rPr>
          <w:rFonts w:ascii="Arial" w:hAnsi="Arial" w:cs="Arial"/>
        </w:rPr>
        <w:t xml:space="preserve"> in the investment funds industry.</w:t>
      </w:r>
    </w:p>
    <w:p w14:paraId="2088F065" w14:textId="77777777" w:rsidR="00DA6219" w:rsidRDefault="00DA6219" w:rsidP="001F6354">
      <w:pPr>
        <w:jc w:val="both"/>
        <w:rPr>
          <w:rFonts w:ascii="Arial" w:hAnsi="Arial" w:cs="Arial"/>
        </w:rPr>
      </w:pPr>
    </w:p>
    <w:p w14:paraId="407B1EBE" w14:textId="77777777" w:rsidR="00452D78" w:rsidRDefault="00ED7ECB" w:rsidP="00452D78">
      <w:pPr>
        <w:jc w:val="both"/>
        <w:rPr>
          <w:rFonts w:ascii="Arial" w:hAnsi="Arial" w:cs="Arial"/>
        </w:rPr>
      </w:pPr>
      <w:r>
        <w:rPr>
          <w:rFonts w:ascii="Arial" w:hAnsi="Arial" w:cs="Arial"/>
        </w:rPr>
        <w:t xml:space="preserve">However, not all of the methodologies used ensure an equal treatment amongst investors, nor are easy to be understood. </w:t>
      </w:r>
      <w:r w:rsidR="00C24414">
        <w:rPr>
          <w:rFonts w:ascii="Arial" w:hAnsi="Arial" w:cs="Arial"/>
        </w:rPr>
        <w:t>For example, i</w:t>
      </w:r>
      <w:r w:rsidR="00DA6219">
        <w:rPr>
          <w:rFonts w:ascii="Arial" w:hAnsi="Arial" w:cs="Arial"/>
        </w:rPr>
        <w:t xml:space="preserve">n our view, </w:t>
      </w:r>
      <w:r>
        <w:rPr>
          <w:rFonts w:ascii="Arial" w:hAnsi="Arial" w:cs="Arial"/>
        </w:rPr>
        <w:t xml:space="preserve">models like </w:t>
      </w:r>
      <w:r w:rsidR="00133EEB">
        <w:rPr>
          <w:rFonts w:ascii="Arial" w:hAnsi="Arial" w:cs="Arial"/>
        </w:rPr>
        <w:t>the HWM</w:t>
      </w:r>
      <w:r w:rsidR="00CF07B9">
        <w:rPr>
          <w:rFonts w:ascii="Arial" w:hAnsi="Arial" w:cs="Arial"/>
        </w:rPr>
        <w:t>,</w:t>
      </w:r>
      <w:r w:rsidR="00133EEB">
        <w:rPr>
          <w:rFonts w:ascii="Arial" w:hAnsi="Arial" w:cs="Arial"/>
        </w:rPr>
        <w:t xml:space="preserve"> </w:t>
      </w:r>
      <w:r>
        <w:rPr>
          <w:rFonts w:ascii="Arial" w:hAnsi="Arial" w:cs="Arial"/>
        </w:rPr>
        <w:t>h</w:t>
      </w:r>
      <w:r w:rsidR="00C24414">
        <w:rPr>
          <w:rFonts w:ascii="Arial" w:hAnsi="Arial" w:cs="Arial"/>
        </w:rPr>
        <w:t>a</w:t>
      </w:r>
      <w:r>
        <w:rPr>
          <w:rFonts w:ascii="Arial" w:hAnsi="Arial" w:cs="Arial"/>
        </w:rPr>
        <w:t xml:space="preserve">ve </w:t>
      </w:r>
      <w:r w:rsidR="00C24414">
        <w:rPr>
          <w:rFonts w:ascii="Arial" w:hAnsi="Arial" w:cs="Arial"/>
        </w:rPr>
        <w:t xml:space="preserve">both </w:t>
      </w:r>
      <w:r w:rsidR="00133EEB">
        <w:rPr>
          <w:rFonts w:ascii="Arial" w:hAnsi="Arial" w:cs="Arial"/>
        </w:rPr>
        <w:t xml:space="preserve">the limit </w:t>
      </w:r>
      <w:r w:rsidR="00C24414">
        <w:rPr>
          <w:rFonts w:ascii="Arial" w:hAnsi="Arial" w:cs="Arial"/>
        </w:rPr>
        <w:t>(</w:t>
      </w:r>
      <w:proofErr w:type="spellStart"/>
      <w:r w:rsidR="00C24414">
        <w:rPr>
          <w:rFonts w:ascii="Arial" w:hAnsi="Arial" w:cs="Arial"/>
        </w:rPr>
        <w:t>i</w:t>
      </w:r>
      <w:proofErr w:type="spellEnd"/>
      <w:r w:rsidR="00C24414">
        <w:rPr>
          <w:rFonts w:ascii="Arial" w:hAnsi="Arial" w:cs="Arial"/>
        </w:rPr>
        <w:t xml:space="preserve">) of </w:t>
      </w:r>
      <w:r w:rsidR="00AA2DEF">
        <w:rPr>
          <w:rFonts w:ascii="Arial" w:hAnsi="Arial" w:cs="Arial"/>
        </w:rPr>
        <w:t>ignoring</w:t>
      </w:r>
      <w:r w:rsidR="00133EEB">
        <w:rPr>
          <w:rFonts w:ascii="Arial" w:hAnsi="Arial" w:cs="Arial"/>
        </w:rPr>
        <w:t xml:space="preserve"> the </w:t>
      </w:r>
      <w:r w:rsidR="0013361E">
        <w:rPr>
          <w:rFonts w:ascii="Arial" w:hAnsi="Arial" w:cs="Arial"/>
        </w:rPr>
        <w:t>fact that investors subscribe and redeem at a different point in time</w:t>
      </w:r>
      <w:r w:rsidR="00C24414">
        <w:rPr>
          <w:rFonts w:ascii="Arial" w:hAnsi="Arial" w:cs="Arial"/>
        </w:rPr>
        <w:t xml:space="preserve"> – which</w:t>
      </w:r>
      <w:r w:rsidR="00DA6219">
        <w:rPr>
          <w:rFonts w:ascii="Arial" w:hAnsi="Arial" w:cs="Arial"/>
        </w:rPr>
        <w:t xml:space="preserve"> </w:t>
      </w:r>
      <w:r w:rsidR="00452D78">
        <w:rPr>
          <w:rFonts w:ascii="Arial" w:hAnsi="Arial" w:cs="Arial"/>
        </w:rPr>
        <w:t>create</w:t>
      </w:r>
      <w:r w:rsidR="00C24414">
        <w:rPr>
          <w:rFonts w:ascii="Arial" w:hAnsi="Arial" w:cs="Arial"/>
        </w:rPr>
        <w:t>s</w:t>
      </w:r>
      <w:r w:rsidR="00452D78">
        <w:rPr>
          <w:rFonts w:ascii="Arial" w:hAnsi="Arial" w:cs="Arial"/>
        </w:rPr>
        <w:t xml:space="preserve"> distortions</w:t>
      </w:r>
      <w:r w:rsidR="00C24414">
        <w:rPr>
          <w:rFonts w:ascii="Arial" w:hAnsi="Arial" w:cs="Arial"/>
        </w:rPr>
        <w:t xml:space="preserve"> – and (ii) of providing for a level of </w:t>
      </w:r>
      <w:r w:rsidR="001D003F">
        <w:rPr>
          <w:rFonts w:ascii="Arial" w:hAnsi="Arial" w:cs="Arial"/>
        </w:rPr>
        <w:t>complexity</w:t>
      </w:r>
      <w:r w:rsidR="00C24414">
        <w:rPr>
          <w:rFonts w:ascii="Arial" w:hAnsi="Arial" w:cs="Arial"/>
        </w:rPr>
        <w:t xml:space="preserve"> not always easy to be understood by the average retail client</w:t>
      </w:r>
      <w:r w:rsidR="00133EEB">
        <w:rPr>
          <w:rFonts w:ascii="Arial" w:hAnsi="Arial" w:cs="Arial"/>
        </w:rPr>
        <w:t>.</w:t>
      </w:r>
    </w:p>
    <w:p w14:paraId="4E5746E0" w14:textId="77777777" w:rsidR="00DA6219" w:rsidRPr="002279B9" w:rsidRDefault="00DA6219" w:rsidP="00452D78">
      <w:pPr>
        <w:jc w:val="both"/>
        <w:rPr>
          <w:rFonts w:ascii="Arial" w:hAnsi="Arial" w:cs="Arial"/>
          <w:b/>
          <w:i/>
        </w:rPr>
      </w:pPr>
    </w:p>
    <w:p w14:paraId="0546CFC7" w14:textId="77777777" w:rsidR="008B3217" w:rsidRPr="00A12027" w:rsidRDefault="00452D78" w:rsidP="00A12027">
      <w:pPr>
        <w:jc w:val="both"/>
        <w:rPr>
          <w:rFonts w:ascii="Arial" w:hAnsi="Arial" w:cs="Arial"/>
        </w:rPr>
      </w:pPr>
      <w:r>
        <w:rPr>
          <w:rFonts w:ascii="Arial" w:hAnsi="Arial" w:cs="Arial"/>
        </w:rPr>
        <w:t xml:space="preserve">Amongst these </w:t>
      </w:r>
      <w:r w:rsidR="00A12027">
        <w:rPr>
          <w:rFonts w:ascii="Arial" w:hAnsi="Arial" w:cs="Arial"/>
        </w:rPr>
        <w:t xml:space="preserve">distortions, the main scenario we can observe is the so called </w:t>
      </w:r>
      <w:r w:rsidR="008B3217" w:rsidRPr="00701DC2">
        <w:rPr>
          <w:b/>
        </w:rPr>
        <w:t>“</w:t>
      </w:r>
      <w:r w:rsidR="008B3217" w:rsidRPr="00701DC2">
        <w:rPr>
          <w:rFonts w:ascii="Arial" w:hAnsi="Arial" w:cs="Arial"/>
          <w:b/>
        </w:rPr>
        <w:t>free ride”</w:t>
      </w:r>
      <w:r w:rsidR="008B3217" w:rsidRPr="00A12027">
        <w:rPr>
          <w:rFonts w:ascii="Arial" w:hAnsi="Arial" w:cs="Arial"/>
        </w:rPr>
        <w:t xml:space="preserve"> which benefits </w:t>
      </w:r>
      <w:r w:rsidRPr="00A12027">
        <w:rPr>
          <w:rFonts w:ascii="Arial" w:hAnsi="Arial" w:cs="Arial"/>
        </w:rPr>
        <w:t>investors</w:t>
      </w:r>
      <w:r w:rsidR="008B3217" w:rsidRPr="00A12027">
        <w:rPr>
          <w:rFonts w:ascii="Arial" w:hAnsi="Arial" w:cs="Arial"/>
        </w:rPr>
        <w:t xml:space="preserve"> who subscribe when the fund is underperforming and is below its </w:t>
      </w:r>
      <w:r w:rsidR="00A12027">
        <w:rPr>
          <w:rFonts w:ascii="Arial" w:hAnsi="Arial" w:cs="Arial"/>
        </w:rPr>
        <w:t>HWM</w:t>
      </w:r>
      <w:r w:rsidR="008B3217" w:rsidRPr="00A12027">
        <w:rPr>
          <w:rFonts w:ascii="Arial" w:hAnsi="Arial" w:cs="Arial"/>
        </w:rPr>
        <w:t xml:space="preserve">. Between the subscription value and the fund’s </w:t>
      </w:r>
      <w:r w:rsidR="00A12027">
        <w:rPr>
          <w:rFonts w:ascii="Arial" w:hAnsi="Arial" w:cs="Arial"/>
        </w:rPr>
        <w:t>HWM</w:t>
      </w:r>
      <w:r w:rsidR="008B3217" w:rsidRPr="00A12027">
        <w:rPr>
          <w:rFonts w:ascii="Arial" w:hAnsi="Arial" w:cs="Arial"/>
        </w:rPr>
        <w:t>, the</w:t>
      </w:r>
      <w:r w:rsidRPr="00A12027">
        <w:rPr>
          <w:rFonts w:ascii="Arial" w:hAnsi="Arial" w:cs="Arial"/>
        </w:rPr>
        <w:t>se</w:t>
      </w:r>
      <w:r w:rsidR="008B3217" w:rsidRPr="00A12027">
        <w:rPr>
          <w:rFonts w:ascii="Arial" w:hAnsi="Arial" w:cs="Arial"/>
        </w:rPr>
        <w:t xml:space="preserve"> </w:t>
      </w:r>
      <w:r w:rsidRPr="00A12027">
        <w:rPr>
          <w:rFonts w:ascii="Arial" w:hAnsi="Arial" w:cs="Arial"/>
        </w:rPr>
        <w:t>investors</w:t>
      </w:r>
      <w:r w:rsidR="008B3217" w:rsidRPr="00A12027">
        <w:rPr>
          <w:rFonts w:ascii="Arial" w:hAnsi="Arial" w:cs="Arial"/>
        </w:rPr>
        <w:t xml:space="preserve"> benefit from an outperformance but without paying </w:t>
      </w:r>
      <w:r w:rsidRPr="00A12027">
        <w:rPr>
          <w:rFonts w:ascii="Arial" w:hAnsi="Arial" w:cs="Arial"/>
        </w:rPr>
        <w:t xml:space="preserve">any performance fee for such outperformance. This since no </w:t>
      </w:r>
      <w:r w:rsidR="008B3217" w:rsidRPr="00A12027">
        <w:rPr>
          <w:rFonts w:ascii="Arial" w:hAnsi="Arial" w:cs="Arial"/>
        </w:rPr>
        <w:t xml:space="preserve">performance fees </w:t>
      </w:r>
      <w:r w:rsidRPr="00A12027">
        <w:rPr>
          <w:rFonts w:ascii="Arial" w:hAnsi="Arial" w:cs="Arial"/>
        </w:rPr>
        <w:t xml:space="preserve">is accrued until the net asset value is higher than </w:t>
      </w:r>
      <w:r w:rsidR="008B3217" w:rsidRPr="00A12027">
        <w:rPr>
          <w:rFonts w:ascii="Arial" w:hAnsi="Arial" w:cs="Arial"/>
        </w:rPr>
        <w:t xml:space="preserve">the </w:t>
      </w:r>
      <w:r w:rsidR="00A12027">
        <w:rPr>
          <w:rFonts w:ascii="Arial" w:hAnsi="Arial" w:cs="Arial"/>
        </w:rPr>
        <w:t>HWM</w:t>
      </w:r>
      <w:r w:rsidR="000F5F5A">
        <w:rPr>
          <w:rFonts w:ascii="Arial" w:hAnsi="Arial" w:cs="Arial"/>
        </w:rPr>
        <w:t xml:space="preserve"> (see also Example 2 below)</w:t>
      </w:r>
      <w:r w:rsidR="008B3217" w:rsidRPr="00A12027">
        <w:rPr>
          <w:rFonts w:ascii="Arial" w:hAnsi="Arial" w:cs="Arial"/>
        </w:rPr>
        <w:t>.</w:t>
      </w:r>
    </w:p>
    <w:p w14:paraId="089DB4F3" w14:textId="77777777" w:rsidR="006325CC" w:rsidRDefault="006325CC" w:rsidP="006325CC">
      <w:pPr>
        <w:rPr>
          <w:rFonts w:ascii="Arial" w:hAnsi="Arial" w:cs="Arial"/>
        </w:rPr>
      </w:pPr>
    </w:p>
    <w:p w14:paraId="253395D6" w14:textId="33DD35A2" w:rsidR="00833243" w:rsidRPr="00A12027" w:rsidRDefault="00112A8D" w:rsidP="00A12027">
      <w:pPr>
        <w:jc w:val="both"/>
        <w:rPr>
          <w:rFonts w:ascii="Arial" w:hAnsi="Arial" w:cs="Arial"/>
        </w:rPr>
      </w:pPr>
      <w:r>
        <w:rPr>
          <w:rFonts w:ascii="Arial" w:hAnsi="Arial" w:cs="Arial"/>
        </w:rPr>
        <w:t>This being said,</w:t>
      </w:r>
      <w:r w:rsidR="00A12027">
        <w:rPr>
          <w:rFonts w:ascii="Arial" w:hAnsi="Arial" w:cs="Arial"/>
        </w:rPr>
        <w:t xml:space="preserve"> an additional scenario, normally defined as </w:t>
      </w:r>
      <w:r w:rsidR="007842F4" w:rsidRPr="00A12027">
        <w:rPr>
          <w:rFonts w:ascii="Arial" w:hAnsi="Arial" w:cs="Arial"/>
        </w:rPr>
        <w:t>“</w:t>
      </w:r>
      <w:r w:rsidR="00833243" w:rsidRPr="00BF318E">
        <w:rPr>
          <w:rFonts w:ascii="Arial" w:hAnsi="Arial" w:cs="Arial"/>
          <w:b/>
        </w:rPr>
        <w:t>unfair claw back</w:t>
      </w:r>
      <w:r w:rsidR="007842F4" w:rsidRPr="00A12027">
        <w:rPr>
          <w:rFonts w:ascii="Arial" w:hAnsi="Arial" w:cs="Arial"/>
        </w:rPr>
        <w:t>”</w:t>
      </w:r>
      <w:r w:rsidR="00A12027">
        <w:rPr>
          <w:rFonts w:ascii="Arial" w:hAnsi="Arial" w:cs="Arial"/>
        </w:rPr>
        <w:t>,</w:t>
      </w:r>
      <w:r w:rsidR="00833243" w:rsidRPr="00A12027">
        <w:rPr>
          <w:rFonts w:ascii="Arial" w:hAnsi="Arial" w:cs="Arial"/>
        </w:rPr>
        <w:t xml:space="preserve"> </w:t>
      </w:r>
      <w:r w:rsidR="00A12027" w:rsidRPr="00A12027">
        <w:rPr>
          <w:rFonts w:ascii="Arial" w:hAnsi="Arial" w:cs="Arial"/>
        </w:rPr>
        <w:t xml:space="preserve">could also be observed. Unfair claw back </w:t>
      </w:r>
      <w:r w:rsidR="00833243" w:rsidRPr="00A12027">
        <w:rPr>
          <w:rFonts w:ascii="Arial" w:hAnsi="Arial" w:cs="Arial"/>
        </w:rPr>
        <w:t>occurs when a fund undergoes a period of underperformance and the net asset value declines as a result. When this happens</w:t>
      </w:r>
      <w:r w:rsidR="00787BAC">
        <w:rPr>
          <w:rFonts w:ascii="Arial" w:hAnsi="Arial" w:cs="Arial"/>
        </w:rPr>
        <w:t>,</w:t>
      </w:r>
      <w:r w:rsidR="00833243" w:rsidRPr="00A12027">
        <w:rPr>
          <w:rFonts w:ascii="Arial" w:hAnsi="Arial" w:cs="Arial"/>
        </w:rPr>
        <w:t xml:space="preserve"> the </w:t>
      </w:r>
      <w:r w:rsidR="00833243" w:rsidRPr="00A12027">
        <w:rPr>
          <w:rFonts w:ascii="Arial" w:hAnsi="Arial" w:cs="Arial"/>
        </w:rPr>
        <w:lastRenderedPageBreak/>
        <w:t>accruals which have be</w:t>
      </w:r>
      <w:r w:rsidR="006325CC" w:rsidRPr="00A12027">
        <w:rPr>
          <w:rFonts w:ascii="Arial" w:hAnsi="Arial" w:cs="Arial"/>
        </w:rPr>
        <w:t>en</w:t>
      </w:r>
      <w:r w:rsidR="00833243" w:rsidRPr="00A12027">
        <w:rPr>
          <w:rFonts w:ascii="Arial" w:hAnsi="Arial" w:cs="Arial"/>
        </w:rPr>
        <w:t xml:space="preserve"> gained through the period of performance </w:t>
      </w:r>
      <w:r w:rsidR="006325CC" w:rsidRPr="00A12027">
        <w:rPr>
          <w:rFonts w:ascii="Arial" w:hAnsi="Arial" w:cs="Arial"/>
        </w:rPr>
        <w:t>are computed in the</w:t>
      </w:r>
      <w:r w:rsidR="00833243" w:rsidRPr="00A12027">
        <w:rPr>
          <w:rFonts w:ascii="Arial" w:hAnsi="Arial" w:cs="Arial"/>
        </w:rPr>
        <w:t xml:space="preserve"> Net Asset Value. As such</w:t>
      </w:r>
      <w:r w:rsidR="00787BAC">
        <w:rPr>
          <w:rFonts w:ascii="Arial" w:hAnsi="Arial" w:cs="Arial"/>
        </w:rPr>
        <w:t>,</w:t>
      </w:r>
      <w:r w:rsidR="00833243" w:rsidRPr="00A12027">
        <w:rPr>
          <w:rFonts w:ascii="Arial" w:hAnsi="Arial" w:cs="Arial"/>
        </w:rPr>
        <w:t xml:space="preserve"> new investors who enter the fund at the top of the </w:t>
      </w:r>
      <w:r w:rsidR="00787BAC">
        <w:rPr>
          <w:rFonts w:ascii="Arial" w:hAnsi="Arial" w:cs="Arial"/>
        </w:rPr>
        <w:t xml:space="preserve">outperformance </w:t>
      </w:r>
      <w:r w:rsidR="00833243" w:rsidRPr="00A12027">
        <w:rPr>
          <w:rFonts w:ascii="Arial" w:hAnsi="Arial" w:cs="Arial"/>
        </w:rPr>
        <w:t xml:space="preserve">cycle will also benefit from the accruals being </w:t>
      </w:r>
      <w:r w:rsidR="006325CC" w:rsidRPr="00A12027">
        <w:rPr>
          <w:rFonts w:ascii="Arial" w:hAnsi="Arial" w:cs="Arial"/>
        </w:rPr>
        <w:t>computed</w:t>
      </w:r>
      <w:r w:rsidR="00833243" w:rsidRPr="00A12027">
        <w:rPr>
          <w:rFonts w:ascii="Arial" w:hAnsi="Arial" w:cs="Arial"/>
        </w:rPr>
        <w:t xml:space="preserve"> into the Net Asset Value, </w:t>
      </w:r>
      <w:r w:rsidR="0091480C" w:rsidRPr="00A12027">
        <w:rPr>
          <w:rFonts w:ascii="Arial" w:hAnsi="Arial" w:cs="Arial"/>
        </w:rPr>
        <w:t>even though</w:t>
      </w:r>
      <w:r w:rsidR="00833243" w:rsidRPr="00A12027">
        <w:rPr>
          <w:rFonts w:ascii="Arial" w:hAnsi="Arial" w:cs="Arial"/>
        </w:rPr>
        <w:t xml:space="preserve"> they were not in</w:t>
      </w:r>
      <w:r w:rsidR="008464C1">
        <w:rPr>
          <w:rFonts w:ascii="Arial" w:hAnsi="Arial" w:cs="Arial"/>
        </w:rPr>
        <w:t>vested in</w:t>
      </w:r>
      <w:r w:rsidR="00833243" w:rsidRPr="00A12027">
        <w:rPr>
          <w:rFonts w:ascii="Arial" w:hAnsi="Arial" w:cs="Arial"/>
        </w:rPr>
        <w:t xml:space="preserve"> the fund at the time the accrual</w:t>
      </w:r>
      <w:r w:rsidR="008464C1">
        <w:rPr>
          <w:rFonts w:ascii="Arial" w:hAnsi="Arial" w:cs="Arial"/>
        </w:rPr>
        <w:t xml:space="preserve"> have been made</w:t>
      </w:r>
      <w:r w:rsidR="00833243" w:rsidRPr="00A12027">
        <w:rPr>
          <w:rFonts w:ascii="Arial" w:hAnsi="Arial" w:cs="Arial"/>
        </w:rPr>
        <w:t>.</w:t>
      </w:r>
    </w:p>
    <w:p w14:paraId="4707F820" w14:textId="77777777" w:rsidR="006325CC" w:rsidRDefault="006325CC" w:rsidP="006325CC"/>
    <w:p w14:paraId="17C6C51C" w14:textId="77777777" w:rsidR="006325CC" w:rsidRDefault="006325CC" w:rsidP="001F6354">
      <w:pPr>
        <w:jc w:val="both"/>
        <w:rPr>
          <w:rFonts w:ascii="Arial" w:hAnsi="Arial" w:cs="Arial"/>
          <w:b/>
        </w:rPr>
      </w:pPr>
    </w:p>
    <w:p w14:paraId="3F8482B6" w14:textId="77777777" w:rsidR="008B3217" w:rsidRPr="00701DC2" w:rsidRDefault="006C290F" w:rsidP="001F6354">
      <w:pPr>
        <w:jc w:val="both"/>
        <w:rPr>
          <w:rFonts w:ascii="Arial" w:hAnsi="Arial" w:cs="Arial"/>
          <w:b/>
          <w:u w:val="single"/>
        </w:rPr>
      </w:pPr>
      <w:r w:rsidRPr="00701DC2">
        <w:rPr>
          <w:rFonts w:ascii="Arial" w:hAnsi="Arial" w:cs="Arial"/>
          <w:b/>
          <w:u w:val="single"/>
        </w:rPr>
        <w:t>EXAMPLE 2:</w:t>
      </w:r>
    </w:p>
    <w:p w14:paraId="59975B27" w14:textId="77777777" w:rsidR="006C290F" w:rsidRDefault="006C290F" w:rsidP="001F6354">
      <w:pPr>
        <w:jc w:val="both"/>
        <w:rPr>
          <w:rFonts w:ascii="Arial" w:hAnsi="Arial" w:cs="Arial"/>
          <w:b/>
        </w:rPr>
      </w:pPr>
    </w:p>
    <w:p w14:paraId="1E90DB9C" w14:textId="77777777" w:rsidR="006C290F" w:rsidRDefault="003C3080" w:rsidP="001F6354">
      <w:pPr>
        <w:jc w:val="both"/>
        <w:rPr>
          <w:rFonts w:ascii="Arial" w:hAnsi="Arial" w:cs="Arial"/>
          <w:b/>
        </w:rPr>
      </w:pPr>
      <w:r w:rsidRPr="003C3080">
        <w:rPr>
          <w:noProof/>
          <w:lang w:val="fr-FR" w:eastAsia="zh-CN"/>
        </w:rPr>
        <w:drawing>
          <wp:inline distT="0" distB="0" distL="0" distR="0" wp14:anchorId="01705597" wp14:editId="4D902D8A">
            <wp:extent cx="5759450" cy="4017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017645"/>
                    </a:xfrm>
                    <a:prstGeom prst="rect">
                      <a:avLst/>
                    </a:prstGeom>
                  </pic:spPr>
                </pic:pic>
              </a:graphicData>
            </a:graphic>
          </wp:inline>
        </w:drawing>
      </w:r>
    </w:p>
    <w:p w14:paraId="3645AD7D" w14:textId="77777777" w:rsidR="003C3080" w:rsidRDefault="003C3080" w:rsidP="001F6354">
      <w:pPr>
        <w:jc w:val="both"/>
        <w:rPr>
          <w:rFonts w:ascii="Arial" w:hAnsi="Arial" w:cs="Arial"/>
          <w:b/>
        </w:rPr>
      </w:pPr>
    </w:p>
    <w:p w14:paraId="2A1D68A2" w14:textId="77777777" w:rsidR="003C3080" w:rsidRDefault="003C3080" w:rsidP="001F6354">
      <w:pPr>
        <w:jc w:val="both"/>
        <w:rPr>
          <w:rFonts w:ascii="Arial" w:hAnsi="Arial" w:cs="Arial"/>
          <w:b/>
        </w:rPr>
      </w:pPr>
    </w:p>
    <w:p w14:paraId="4543C89F" w14:textId="77777777" w:rsidR="006C290F" w:rsidRDefault="006325CC" w:rsidP="001F6354">
      <w:pPr>
        <w:jc w:val="both"/>
        <w:rPr>
          <w:rFonts w:ascii="Arial" w:hAnsi="Arial" w:cs="Arial"/>
          <w:b/>
        </w:rPr>
      </w:pPr>
      <w:r>
        <w:rPr>
          <w:noProof/>
          <w:lang w:val="fr-FR" w:eastAsia="zh-CN"/>
        </w:rPr>
        <w:lastRenderedPageBreak/>
        <w:drawing>
          <wp:inline distT="0" distB="0" distL="0" distR="0" wp14:anchorId="2F2FDD01" wp14:editId="5A3E3472">
            <wp:extent cx="5759450" cy="367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677920"/>
                    </a:xfrm>
                    <a:prstGeom prst="rect">
                      <a:avLst/>
                    </a:prstGeom>
                  </pic:spPr>
                </pic:pic>
              </a:graphicData>
            </a:graphic>
          </wp:inline>
        </w:drawing>
      </w:r>
    </w:p>
    <w:permEnd w:id="257716348"/>
    <w:p w14:paraId="54745753" w14:textId="77777777" w:rsidR="001F23C9" w:rsidRDefault="001F23C9" w:rsidP="001F6354">
      <w:pPr>
        <w:jc w:val="both"/>
        <w:rPr>
          <w:rFonts w:ascii="Arial" w:hAnsi="Arial" w:cs="Arial"/>
        </w:rPr>
      </w:pPr>
      <w:r>
        <w:rPr>
          <w:rFonts w:ascii="Arial" w:hAnsi="Arial" w:cs="Arial"/>
        </w:rPr>
        <w:t>&lt;ESMA_QUESTION_PFG_8&gt;</w:t>
      </w:r>
    </w:p>
    <w:p w14:paraId="0E46E3A5" w14:textId="77777777" w:rsidR="001F23C9" w:rsidRDefault="001F23C9" w:rsidP="001F6354">
      <w:pPr>
        <w:jc w:val="both"/>
        <w:rPr>
          <w:rFonts w:ascii="Arial" w:hAnsi="Arial" w:cs="Arial"/>
        </w:rPr>
      </w:pPr>
    </w:p>
    <w:p w14:paraId="5097F846" w14:textId="77777777" w:rsidR="001F23C9" w:rsidRPr="00175CFB" w:rsidRDefault="001F23C9" w:rsidP="001F6354">
      <w:pPr>
        <w:pStyle w:val="Questionstyle"/>
      </w:pPr>
      <w:r>
        <w:t>:</w:t>
      </w:r>
      <w:r w:rsidRPr="000F104A">
        <w:t xml:space="preserve"> Alternatively, would it be possible to envisage predefined time horizons for the purpose of resetting the HWM, such as 3 or 5 years? Please provide examples and details on what you think would be the best practice in order to better align </w:t>
      </w:r>
      <w:r w:rsidR="00864124">
        <w:t xml:space="preserve">the </w:t>
      </w:r>
      <w:r w:rsidRPr="000F104A">
        <w:t xml:space="preserve">interests of fund managers and investors. </w:t>
      </w:r>
    </w:p>
    <w:p w14:paraId="711C6C45" w14:textId="77777777" w:rsidR="001F23C9" w:rsidRDefault="001F23C9" w:rsidP="001F6354">
      <w:pPr>
        <w:jc w:val="both"/>
        <w:rPr>
          <w:rFonts w:ascii="Arial" w:hAnsi="Arial" w:cs="Arial"/>
        </w:rPr>
      </w:pPr>
      <w:r>
        <w:rPr>
          <w:rFonts w:ascii="Arial" w:hAnsi="Arial" w:cs="Arial"/>
        </w:rPr>
        <w:t>&lt;ESMA_QUESTION_PFG_9&gt;</w:t>
      </w:r>
    </w:p>
    <w:p w14:paraId="6A7280E9" w14:textId="77777777" w:rsidR="002F683A" w:rsidRDefault="002F683A" w:rsidP="001F6354">
      <w:pPr>
        <w:jc w:val="both"/>
        <w:rPr>
          <w:rFonts w:ascii="Arial" w:hAnsi="Arial" w:cs="Arial"/>
        </w:rPr>
      </w:pPr>
      <w:permStart w:id="568621228" w:edGrp="everyone"/>
      <w:r>
        <w:rPr>
          <w:rFonts w:ascii="Arial" w:hAnsi="Arial" w:cs="Arial"/>
        </w:rPr>
        <w:t xml:space="preserve">For the reasons </w:t>
      </w:r>
      <w:r w:rsidR="00F14FA8">
        <w:rPr>
          <w:rFonts w:ascii="Arial" w:hAnsi="Arial" w:cs="Arial"/>
        </w:rPr>
        <w:t>explained in</w:t>
      </w:r>
      <w:r>
        <w:rPr>
          <w:rFonts w:ascii="Arial" w:hAnsi="Arial" w:cs="Arial"/>
        </w:rPr>
        <w:t xml:space="preserve"> our answer to</w:t>
      </w:r>
      <w:r w:rsidR="00F14FA8">
        <w:rPr>
          <w:rFonts w:ascii="Arial" w:hAnsi="Arial" w:cs="Arial"/>
        </w:rPr>
        <w:t xml:space="preserve"> Q8</w:t>
      </w:r>
      <w:r>
        <w:rPr>
          <w:rFonts w:ascii="Arial" w:hAnsi="Arial" w:cs="Arial"/>
        </w:rPr>
        <w:t>,</w:t>
      </w:r>
      <w:r w:rsidR="00F14FA8">
        <w:rPr>
          <w:rFonts w:ascii="Arial" w:hAnsi="Arial" w:cs="Arial"/>
        </w:rPr>
        <w:t xml:space="preserve"> we do not believe that </w:t>
      </w:r>
      <w:r>
        <w:rPr>
          <w:rFonts w:ascii="Arial" w:hAnsi="Arial" w:cs="Arial"/>
        </w:rPr>
        <w:t xml:space="preserve">HWM </w:t>
      </w:r>
      <w:r w:rsidR="00DA6219">
        <w:rPr>
          <w:rFonts w:ascii="Arial" w:hAnsi="Arial" w:cs="Arial"/>
        </w:rPr>
        <w:t>model</w:t>
      </w:r>
      <w:r w:rsidR="00F14FA8">
        <w:rPr>
          <w:rFonts w:ascii="Arial" w:hAnsi="Arial" w:cs="Arial"/>
        </w:rPr>
        <w:t xml:space="preserve"> is in the best interest of investors</w:t>
      </w:r>
      <w:r w:rsidR="007842F4">
        <w:rPr>
          <w:rFonts w:ascii="Arial" w:hAnsi="Arial" w:cs="Arial"/>
        </w:rPr>
        <w:t xml:space="preserve"> </w:t>
      </w:r>
      <w:r w:rsidR="006325CC">
        <w:rPr>
          <w:rFonts w:ascii="Arial" w:hAnsi="Arial" w:cs="Arial"/>
        </w:rPr>
        <w:t>in</w:t>
      </w:r>
      <w:r w:rsidR="007842F4">
        <w:rPr>
          <w:rFonts w:ascii="Arial" w:hAnsi="Arial" w:cs="Arial"/>
        </w:rPr>
        <w:t xml:space="preserve"> open-ended funds</w:t>
      </w:r>
      <w:r w:rsidR="00F14FA8">
        <w:rPr>
          <w:rFonts w:ascii="Arial" w:hAnsi="Arial" w:cs="Arial"/>
        </w:rPr>
        <w:t>.</w:t>
      </w:r>
      <w:r>
        <w:rPr>
          <w:rFonts w:ascii="Arial" w:hAnsi="Arial" w:cs="Arial"/>
        </w:rPr>
        <w:t xml:space="preserve"> </w:t>
      </w:r>
    </w:p>
    <w:p w14:paraId="45C84F93" w14:textId="77777777" w:rsidR="001F23C9" w:rsidRDefault="00F14FA8" w:rsidP="001F6354">
      <w:pPr>
        <w:jc w:val="both"/>
        <w:rPr>
          <w:rFonts w:ascii="Arial" w:hAnsi="Arial" w:cs="Arial"/>
        </w:rPr>
      </w:pPr>
      <w:r>
        <w:rPr>
          <w:rFonts w:ascii="Arial" w:hAnsi="Arial" w:cs="Arial"/>
        </w:rPr>
        <w:t xml:space="preserve">In any case, </w:t>
      </w:r>
      <w:r w:rsidR="00DA6219">
        <w:rPr>
          <w:rFonts w:ascii="Arial" w:hAnsi="Arial" w:cs="Arial"/>
        </w:rPr>
        <w:t xml:space="preserve">for the sake of clarity </w:t>
      </w:r>
      <w:r>
        <w:rPr>
          <w:rFonts w:ascii="Arial" w:hAnsi="Arial" w:cs="Arial"/>
        </w:rPr>
        <w:t>we would like to point out that introducing a resetting period longer than one year will not favour an alignment of interest between investors and fund managers since whe</w:t>
      </w:r>
      <w:r w:rsidR="000F5F5A">
        <w:rPr>
          <w:rFonts w:ascii="Arial" w:hAnsi="Arial" w:cs="Arial"/>
        </w:rPr>
        <w:t>n</w:t>
      </w:r>
      <w:r>
        <w:rPr>
          <w:rFonts w:ascii="Arial" w:hAnsi="Arial" w:cs="Arial"/>
        </w:rPr>
        <w:t xml:space="preserve"> </w:t>
      </w:r>
      <w:r w:rsidR="00E4086F">
        <w:rPr>
          <w:rFonts w:ascii="Arial" w:hAnsi="Arial" w:cs="Arial"/>
        </w:rPr>
        <w:t xml:space="preserve">a </w:t>
      </w:r>
      <w:r>
        <w:rPr>
          <w:rFonts w:ascii="Arial" w:hAnsi="Arial" w:cs="Arial"/>
        </w:rPr>
        <w:t>fund managers see no chance to recoup past performance,</w:t>
      </w:r>
      <w:r w:rsidR="001254BA">
        <w:rPr>
          <w:rFonts w:ascii="Arial" w:hAnsi="Arial" w:cs="Arial"/>
        </w:rPr>
        <w:t xml:space="preserve"> they</w:t>
      </w:r>
      <w:r>
        <w:rPr>
          <w:rFonts w:ascii="Arial" w:hAnsi="Arial" w:cs="Arial"/>
        </w:rPr>
        <w:t xml:space="preserve"> may be incentivized to liquidate the fund.</w:t>
      </w:r>
    </w:p>
    <w:permEnd w:id="568621228"/>
    <w:p w14:paraId="30A18794" w14:textId="77777777" w:rsidR="001F23C9" w:rsidRDefault="001F23C9" w:rsidP="001F6354">
      <w:pPr>
        <w:jc w:val="both"/>
        <w:rPr>
          <w:rFonts w:ascii="Arial" w:hAnsi="Arial" w:cs="Arial"/>
        </w:rPr>
      </w:pPr>
      <w:r>
        <w:rPr>
          <w:rFonts w:ascii="Arial" w:hAnsi="Arial" w:cs="Arial"/>
        </w:rPr>
        <w:t>&lt;ESMA_QUESTION_PFG_9&gt;</w:t>
      </w:r>
    </w:p>
    <w:p w14:paraId="3FDB160D" w14:textId="77777777" w:rsidR="001F23C9" w:rsidRDefault="001F23C9" w:rsidP="001F6354">
      <w:pPr>
        <w:jc w:val="both"/>
        <w:rPr>
          <w:rFonts w:ascii="Arial" w:hAnsi="Arial" w:cs="Arial"/>
        </w:rPr>
      </w:pPr>
    </w:p>
    <w:p w14:paraId="52E9D008" w14:textId="77777777" w:rsidR="001F23C9" w:rsidRPr="00175CFB" w:rsidRDefault="001F23C9" w:rsidP="001F6354">
      <w:pPr>
        <w:pStyle w:val="Questionstyle"/>
      </w:pPr>
      <w:r>
        <w:t>:</w:t>
      </w:r>
      <w:r w:rsidRPr="000F104A">
        <w:t xml:space="preserve"> How long do you think </w:t>
      </w:r>
      <w:r w:rsidRPr="0051139B">
        <w:t xml:space="preserve">the performance reference period should be for performance fee models based on a benchmark index? What should be taken into account when setting the performance reference period for a performance fee </w:t>
      </w:r>
      <w:r w:rsidRPr="0051139B">
        <w:lastRenderedPageBreak/>
        <w:t>benchmark model? Would it be possible to envisage predefined time horizons for the purpose of resetting the performance fee based on a benchmark, such as 3 or 5 years? Please provide examples and details on what you think would be the best practice in order to b</w:t>
      </w:r>
      <w:r w:rsidRPr="000F104A">
        <w:t xml:space="preserve">etter align </w:t>
      </w:r>
      <w:r w:rsidR="00864124">
        <w:t xml:space="preserve">the </w:t>
      </w:r>
      <w:r w:rsidRPr="000F104A">
        <w:t>interests of fund managers and investors.</w:t>
      </w:r>
    </w:p>
    <w:p w14:paraId="6EDE9E8B" w14:textId="77777777" w:rsidR="001F23C9" w:rsidRPr="00AD5588" w:rsidRDefault="001F23C9" w:rsidP="001F6354">
      <w:pPr>
        <w:jc w:val="both"/>
        <w:rPr>
          <w:rFonts w:ascii="Arial" w:hAnsi="Arial" w:cs="Arial"/>
        </w:rPr>
      </w:pPr>
      <w:r w:rsidRPr="00AD5588">
        <w:rPr>
          <w:rFonts w:ascii="Arial" w:hAnsi="Arial" w:cs="Arial"/>
        </w:rPr>
        <w:t>&lt;ESMA_QUESTION_PFG_10&gt;</w:t>
      </w:r>
    </w:p>
    <w:p w14:paraId="6D7519F4" w14:textId="77777777" w:rsidR="0051139B" w:rsidRPr="000F5F5A" w:rsidRDefault="0051139B" w:rsidP="0051139B">
      <w:pPr>
        <w:jc w:val="both"/>
        <w:rPr>
          <w:rFonts w:ascii="Arial" w:hAnsi="Arial" w:cs="Arial"/>
        </w:rPr>
      </w:pPr>
      <w:permStart w:id="983065104" w:edGrp="everyone"/>
      <w:r>
        <w:rPr>
          <w:rFonts w:ascii="Arial" w:hAnsi="Arial" w:cs="Arial"/>
        </w:rPr>
        <w:t>As explained in the answer to Q4, we believe a 12-month crystallisation period</w:t>
      </w:r>
      <w:r w:rsidR="00540C09">
        <w:rPr>
          <w:rFonts w:ascii="Arial" w:hAnsi="Arial" w:cs="Arial"/>
        </w:rPr>
        <w:t>, which</w:t>
      </w:r>
      <w:r>
        <w:rPr>
          <w:rFonts w:ascii="Arial" w:hAnsi="Arial" w:cs="Arial"/>
        </w:rPr>
        <w:t xml:space="preserve"> is also supported by IOSCO, reduces to the minimum the disparity between investors regardless of their individual holding period</w:t>
      </w:r>
      <w:r w:rsidR="000F5F5A">
        <w:rPr>
          <w:rFonts w:ascii="Arial" w:hAnsi="Arial" w:cs="Arial"/>
        </w:rPr>
        <w:t xml:space="preserve">. </w:t>
      </w:r>
      <w:r w:rsidR="001D003F">
        <w:rPr>
          <w:rFonts w:ascii="Arial" w:hAnsi="Arial" w:cs="Arial"/>
        </w:rPr>
        <w:t>Therefore, the</w:t>
      </w:r>
      <w:r w:rsidR="00594A06">
        <w:rPr>
          <w:rFonts w:ascii="Arial" w:hAnsi="Arial" w:cs="Arial"/>
        </w:rPr>
        <w:t xml:space="preserve"> best way to ensure this fair treatment</w:t>
      </w:r>
      <w:r w:rsidR="00E4086F">
        <w:rPr>
          <w:rFonts w:ascii="Arial" w:hAnsi="Arial" w:cs="Arial"/>
        </w:rPr>
        <w:t xml:space="preserve"> and to provide a </w:t>
      </w:r>
      <w:r w:rsidR="00C24414">
        <w:rPr>
          <w:rFonts w:ascii="Arial" w:hAnsi="Arial" w:cs="Arial"/>
        </w:rPr>
        <w:t xml:space="preserve">straightforward and </w:t>
      </w:r>
      <w:r w:rsidR="00E4086F">
        <w:rPr>
          <w:rFonts w:ascii="Arial" w:hAnsi="Arial" w:cs="Arial"/>
        </w:rPr>
        <w:t>easy to understand (for the investors) model</w:t>
      </w:r>
      <w:r w:rsidR="00594A06">
        <w:rPr>
          <w:rFonts w:ascii="Arial" w:hAnsi="Arial" w:cs="Arial"/>
        </w:rPr>
        <w:t xml:space="preserve"> is to alig</w:t>
      </w:r>
      <w:r w:rsidR="00FF39FB">
        <w:rPr>
          <w:rFonts w:ascii="Arial" w:hAnsi="Arial" w:cs="Arial"/>
        </w:rPr>
        <w:t>n</w:t>
      </w:r>
      <w:r w:rsidR="00594A06">
        <w:rPr>
          <w:rFonts w:ascii="Arial" w:hAnsi="Arial" w:cs="Arial"/>
        </w:rPr>
        <w:t xml:space="preserve"> the reference period to the 12-month crystallisation period</w:t>
      </w:r>
      <w:r w:rsidR="0091480C">
        <w:rPr>
          <w:rFonts w:ascii="Arial" w:hAnsi="Arial" w:cs="Arial"/>
        </w:rPr>
        <w:t>,</w:t>
      </w:r>
      <w:r>
        <w:rPr>
          <w:rFonts w:ascii="Arial" w:hAnsi="Arial" w:cs="Arial"/>
        </w:rPr>
        <w:t xml:space="preserve"> in a performance fee model based on a benchmark index</w:t>
      </w:r>
      <w:r w:rsidR="007B75E9">
        <w:rPr>
          <w:rFonts w:ascii="Arial" w:hAnsi="Arial" w:cs="Arial"/>
        </w:rPr>
        <w:t>.</w:t>
      </w:r>
    </w:p>
    <w:permEnd w:id="983065104"/>
    <w:p w14:paraId="40718F5D" w14:textId="77777777" w:rsidR="001F23C9" w:rsidRPr="005D3499" w:rsidRDefault="001F23C9" w:rsidP="001F6354">
      <w:pPr>
        <w:jc w:val="both"/>
        <w:rPr>
          <w:rFonts w:ascii="Arial" w:hAnsi="Arial" w:cs="Arial"/>
          <w:lang w:val="fr-FR"/>
        </w:rPr>
      </w:pPr>
      <w:r w:rsidRPr="005D3499">
        <w:rPr>
          <w:rFonts w:ascii="Arial" w:hAnsi="Arial" w:cs="Arial"/>
          <w:lang w:val="fr-FR"/>
        </w:rPr>
        <w:t>&lt;ESMA_QUESTION_PFG_10&gt;</w:t>
      </w:r>
    </w:p>
    <w:p w14:paraId="5F95C803" w14:textId="77777777" w:rsidR="001F23C9" w:rsidRPr="005D3499" w:rsidRDefault="001F23C9" w:rsidP="001F6354">
      <w:pPr>
        <w:jc w:val="both"/>
        <w:rPr>
          <w:rFonts w:ascii="Arial" w:hAnsi="Arial" w:cs="Arial"/>
          <w:lang w:val="fr-FR"/>
        </w:rPr>
      </w:pPr>
    </w:p>
    <w:p w14:paraId="10270424" w14:textId="77777777" w:rsidR="001F23C9" w:rsidRPr="00175CFB" w:rsidRDefault="001F23C9" w:rsidP="001F6354">
      <w:pPr>
        <w:pStyle w:val="Questionstyle"/>
      </w:pPr>
      <w:r w:rsidRPr="00133EEB">
        <w:t>: Alternatively, do you think the performance reference period should coincide with the minimum crystallisation period or should it be longer/shorter</w:t>
      </w:r>
      <w:r w:rsidRPr="000F104A">
        <w:t>? Please provide examples and reasons for your answer.</w:t>
      </w:r>
    </w:p>
    <w:p w14:paraId="43D6A5E1" w14:textId="77777777" w:rsidR="001F23C9" w:rsidRDefault="001F23C9" w:rsidP="001F6354">
      <w:pPr>
        <w:jc w:val="both"/>
        <w:rPr>
          <w:rFonts w:ascii="Arial" w:hAnsi="Arial" w:cs="Arial"/>
        </w:rPr>
      </w:pPr>
      <w:r>
        <w:rPr>
          <w:rFonts w:ascii="Arial" w:hAnsi="Arial" w:cs="Arial"/>
        </w:rPr>
        <w:t>&lt;ESMA_QUESTION_PFG_11&gt;</w:t>
      </w:r>
    </w:p>
    <w:p w14:paraId="1CA6898C" w14:textId="77777777" w:rsidR="00A13AFC" w:rsidRDefault="002345EF" w:rsidP="001F6354">
      <w:pPr>
        <w:jc w:val="both"/>
        <w:rPr>
          <w:rFonts w:ascii="Arial" w:hAnsi="Arial" w:cs="Arial"/>
        </w:rPr>
      </w:pPr>
      <w:permStart w:id="178522605" w:edGrp="everyone"/>
      <w:r>
        <w:rPr>
          <w:rFonts w:ascii="Arial" w:hAnsi="Arial" w:cs="Arial"/>
        </w:rPr>
        <w:t xml:space="preserve">The </w:t>
      </w:r>
      <w:r w:rsidR="00B82E01">
        <w:rPr>
          <w:rFonts w:ascii="Arial" w:hAnsi="Arial" w:cs="Arial"/>
        </w:rPr>
        <w:t>performance</w:t>
      </w:r>
      <w:r w:rsidR="0091341B">
        <w:rPr>
          <w:rFonts w:ascii="Arial" w:hAnsi="Arial" w:cs="Arial"/>
        </w:rPr>
        <w:t xml:space="preserve"> reference period </w:t>
      </w:r>
      <w:r w:rsidR="00594A06">
        <w:rPr>
          <w:rFonts w:ascii="Arial" w:hAnsi="Arial" w:cs="Arial"/>
        </w:rPr>
        <w:t>should</w:t>
      </w:r>
      <w:r w:rsidR="0091341B">
        <w:rPr>
          <w:rFonts w:ascii="Arial" w:hAnsi="Arial" w:cs="Arial"/>
        </w:rPr>
        <w:t xml:space="preserve">, in order to best align the performance fee model with the investment objective, coincide with the crystallisation period of </w:t>
      </w:r>
      <w:r w:rsidR="00A654B2">
        <w:rPr>
          <w:rFonts w:ascii="Arial" w:hAnsi="Arial" w:cs="Arial"/>
        </w:rPr>
        <w:t>12 months. However, as noted in the answer to Q4 there may be events where the period can be shorter than 12 months in order to ensure the best interest of the investors.</w:t>
      </w:r>
    </w:p>
    <w:permEnd w:id="178522605"/>
    <w:p w14:paraId="3BF78D69" w14:textId="77777777" w:rsidR="001F23C9" w:rsidRDefault="001F23C9" w:rsidP="001F6354">
      <w:pPr>
        <w:jc w:val="both"/>
        <w:rPr>
          <w:rFonts w:ascii="Arial" w:hAnsi="Arial" w:cs="Arial"/>
        </w:rPr>
      </w:pPr>
      <w:r>
        <w:rPr>
          <w:rFonts w:ascii="Arial" w:hAnsi="Arial" w:cs="Arial"/>
        </w:rPr>
        <w:t>&lt;ESMA_QUESTION_PFG_11&gt;</w:t>
      </w:r>
    </w:p>
    <w:p w14:paraId="22F8CEE9" w14:textId="77777777" w:rsidR="001F23C9" w:rsidRDefault="001F23C9" w:rsidP="001F6354">
      <w:pPr>
        <w:jc w:val="both"/>
        <w:rPr>
          <w:rFonts w:ascii="Arial" w:hAnsi="Arial" w:cs="Arial"/>
        </w:rPr>
      </w:pPr>
    </w:p>
    <w:p w14:paraId="3E268B59" w14:textId="77777777" w:rsidR="001F23C9" w:rsidRPr="00175CFB" w:rsidRDefault="001F23C9" w:rsidP="001F6354">
      <w:pPr>
        <w:pStyle w:val="Questionstyle"/>
      </w:pPr>
      <w:r>
        <w:t>:</w:t>
      </w:r>
      <w:r w:rsidRPr="000F104A">
        <w:t xml:space="preserve"> What are your views on when the Guidelines should become applicable? How much time would managers require to adapt existing fee mechanisms to comply with the requirements of these Guidelines?</w:t>
      </w:r>
    </w:p>
    <w:p w14:paraId="67BCB2D7" w14:textId="77777777" w:rsidR="001F23C9" w:rsidRDefault="001F23C9" w:rsidP="001F6354">
      <w:pPr>
        <w:jc w:val="both"/>
        <w:rPr>
          <w:rFonts w:ascii="Arial" w:hAnsi="Arial" w:cs="Arial"/>
        </w:rPr>
      </w:pPr>
      <w:r>
        <w:rPr>
          <w:rFonts w:ascii="Arial" w:hAnsi="Arial" w:cs="Arial"/>
        </w:rPr>
        <w:t>&lt;ESMA_QUESTION_PFG_12&gt;</w:t>
      </w:r>
    </w:p>
    <w:p w14:paraId="4D25D652" w14:textId="77777777" w:rsidR="00A13AFC" w:rsidRDefault="0091341B" w:rsidP="001F6354">
      <w:pPr>
        <w:jc w:val="both"/>
        <w:rPr>
          <w:rFonts w:ascii="Arial" w:hAnsi="Arial" w:cs="Arial"/>
        </w:rPr>
      </w:pPr>
      <w:permStart w:id="260729849" w:edGrp="everyone"/>
      <w:r>
        <w:rPr>
          <w:rFonts w:ascii="Arial" w:hAnsi="Arial" w:cs="Arial"/>
        </w:rPr>
        <w:t xml:space="preserve">In order to be able to comply with the Guidelines we would believe that </w:t>
      </w:r>
      <w:r w:rsidR="008464C1">
        <w:rPr>
          <w:rFonts w:ascii="Arial" w:hAnsi="Arial" w:cs="Arial"/>
        </w:rPr>
        <w:t>24</w:t>
      </w:r>
      <w:r w:rsidR="00701DC2">
        <w:rPr>
          <w:rFonts w:ascii="Arial" w:hAnsi="Arial" w:cs="Arial"/>
        </w:rPr>
        <w:t xml:space="preserve"> months</w:t>
      </w:r>
      <w:r>
        <w:rPr>
          <w:rFonts w:ascii="Arial" w:hAnsi="Arial" w:cs="Arial"/>
        </w:rPr>
        <w:t xml:space="preserve"> from their publications are required</w:t>
      </w:r>
      <w:r w:rsidR="000F5F5A">
        <w:rPr>
          <w:rFonts w:ascii="Arial" w:hAnsi="Arial" w:cs="Arial"/>
        </w:rPr>
        <w:t xml:space="preserve"> (both for new and existing UCITS)</w:t>
      </w:r>
      <w:r>
        <w:rPr>
          <w:rFonts w:ascii="Arial" w:hAnsi="Arial" w:cs="Arial"/>
        </w:rPr>
        <w:t>.</w:t>
      </w:r>
    </w:p>
    <w:permEnd w:id="260729849"/>
    <w:p w14:paraId="3F9BD710" w14:textId="77777777" w:rsidR="001F23C9" w:rsidRDefault="001F23C9" w:rsidP="001F6354">
      <w:pPr>
        <w:jc w:val="both"/>
        <w:rPr>
          <w:rFonts w:ascii="Arial" w:hAnsi="Arial" w:cs="Arial"/>
        </w:rPr>
      </w:pPr>
      <w:r>
        <w:rPr>
          <w:rFonts w:ascii="Arial" w:hAnsi="Arial" w:cs="Arial"/>
        </w:rPr>
        <w:t>&lt;ESMA_QUESTION_PFG_12&gt;</w:t>
      </w:r>
    </w:p>
    <w:p w14:paraId="58966165" w14:textId="77777777" w:rsidR="001F23C9" w:rsidRDefault="001F23C9" w:rsidP="001F6354">
      <w:pPr>
        <w:jc w:val="both"/>
        <w:rPr>
          <w:rFonts w:ascii="Arial" w:hAnsi="Arial" w:cs="Arial"/>
        </w:rPr>
      </w:pPr>
    </w:p>
    <w:p w14:paraId="1C233EB4" w14:textId="77777777" w:rsidR="001F23C9" w:rsidRPr="00CF07B9" w:rsidRDefault="001F23C9" w:rsidP="001F6354">
      <w:pPr>
        <w:pStyle w:val="Questionstyle"/>
      </w:pPr>
      <w:r w:rsidRPr="00133EEB">
        <w:lastRenderedPageBreak/>
        <w:t>: Do you consider that the principles set out in the Guidelines should be applied also to AIFs marketed to retail investors in order to ensure equivalent standards in retail investor protection? Please provide reasons.</w:t>
      </w:r>
    </w:p>
    <w:p w14:paraId="0F293F28" w14:textId="77777777" w:rsidR="001F23C9" w:rsidRDefault="001F23C9" w:rsidP="001F6354">
      <w:pPr>
        <w:jc w:val="both"/>
        <w:rPr>
          <w:rFonts w:ascii="Arial" w:hAnsi="Arial" w:cs="Arial"/>
        </w:rPr>
      </w:pPr>
      <w:r>
        <w:rPr>
          <w:rFonts w:ascii="Arial" w:hAnsi="Arial" w:cs="Arial"/>
        </w:rPr>
        <w:t>&lt;ESMA_QUESTION_PFG_13&gt;</w:t>
      </w:r>
    </w:p>
    <w:p w14:paraId="3C68AB1D" w14:textId="77777777" w:rsidR="001F23C9" w:rsidRDefault="00882D39" w:rsidP="001F6354">
      <w:pPr>
        <w:jc w:val="both"/>
        <w:rPr>
          <w:rFonts w:ascii="Arial" w:hAnsi="Arial" w:cs="Arial"/>
        </w:rPr>
      </w:pPr>
      <w:permStart w:id="663053329" w:edGrp="everyone"/>
      <w:r>
        <w:rPr>
          <w:rFonts w:ascii="Arial" w:hAnsi="Arial" w:cs="Arial"/>
        </w:rPr>
        <w:t>[</w:t>
      </w:r>
      <w:r w:rsidR="00A654B2">
        <w:rPr>
          <w:rFonts w:ascii="Arial" w:hAnsi="Arial" w:cs="Arial"/>
        </w:rPr>
        <w:t>We believe that the Guidelines should only apply to UCITS retail investors.</w:t>
      </w:r>
      <w:r>
        <w:rPr>
          <w:rFonts w:ascii="Arial" w:hAnsi="Arial" w:cs="Arial"/>
        </w:rPr>
        <w:t>]</w:t>
      </w:r>
    </w:p>
    <w:permEnd w:id="663053329"/>
    <w:p w14:paraId="16793940" w14:textId="77777777" w:rsidR="001F23C9" w:rsidRDefault="001F23C9" w:rsidP="001F6354">
      <w:pPr>
        <w:jc w:val="both"/>
        <w:rPr>
          <w:rFonts w:ascii="Arial" w:hAnsi="Arial" w:cs="Arial"/>
        </w:rPr>
      </w:pPr>
      <w:r>
        <w:rPr>
          <w:rFonts w:ascii="Arial" w:hAnsi="Arial" w:cs="Arial"/>
        </w:rPr>
        <w:t>&lt;ESMA_QUESTION_PFG_13&gt;</w:t>
      </w:r>
    </w:p>
    <w:p w14:paraId="43960B31" w14:textId="77777777" w:rsidR="001F23C9" w:rsidRDefault="001F23C9" w:rsidP="001F6354">
      <w:pPr>
        <w:jc w:val="both"/>
        <w:rPr>
          <w:rFonts w:ascii="Arial" w:hAnsi="Arial" w:cs="Arial"/>
        </w:rPr>
      </w:pPr>
    </w:p>
    <w:p w14:paraId="6E382074" w14:textId="77777777" w:rsidR="001F23C9" w:rsidRPr="00175CFB" w:rsidRDefault="001F23C9" w:rsidP="001F6354">
      <w:pPr>
        <w:pStyle w:val="Questionstyle"/>
      </w:pPr>
      <w:r>
        <w:t>:</w:t>
      </w:r>
      <w:r w:rsidRPr="000F104A">
        <w:t xml:space="preserve"> Do you agree with the above-mentioned reasoning in relation to the possible costs and benefits as regards the consistency between the performance fees model and the fund’s investment objective? What other types of costs or benefits would you consider in this context? Please provide quantitative figures, where available.</w:t>
      </w:r>
    </w:p>
    <w:p w14:paraId="7A41F12E" w14:textId="77777777" w:rsidR="001F23C9" w:rsidRDefault="001F23C9" w:rsidP="001F6354">
      <w:pPr>
        <w:jc w:val="both"/>
        <w:rPr>
          <w:rFonts w:ascii="Arial" w:hAnsi="Arial" w:cs="Arial"/>
        </w:rPr>
      </w:pPr>
      <w:r>
        <w:rPr>
          <w:rFonts w:ascii="Arial" w:hAnsi="Arial" w:cs="Arial"/>
        </w:rPr>
        <w:t>&lt;ESMA_QUESTION_PFG_14&gt;</w:t>
      </w:r>
    </w:p>
    <w:p w14:paraId="4ECE7968" w14:textId="77777777" w:rsidR="001F23C9" w:rsidRDefault="002345EF" w:rsidP="001F6354">
      <w:pPr>
        <w:jc w:val="both"/>
        <w:rPr>
          <w:rFonts w:ascii="Arial" w:hAnsi="Arial" w:cs="Arial"/>
        </w:rPr>
      </w:pPr>
      <w:permStart w:id="195060402" w:edGrp="everyone"/>
      <w:r w:rsidRPr="002345EF">
        <w:rPr>
          <w:rFonts w:ascii="Arial" w:hAnsi="Arial" w:cs="Arial"/>
        </w:rPr>
        <w:t>[</w:t>
      </w:r>
      <w:r w:rsidR="002B0B01">
        <w:rPr>
          <w:rFonts w:ascii="Arial" w:hAnsi="Arial" w:cs="Arial"/>
        </w:rPr>
        <w:t>We generally agree. However we believe that the changes introduced by the Guidelines will result in additional cost for compliance, legal and operations tasks.</w:t>
      </w:r>
      <w:r w:rsidR="0091341B">
        <w:rPr>
          <w:rFonts w:ascii="Arial" w:hAnsi="Arial" w:cs="Arial"/>
        </w:rPr>
        <w:t>]</w:t>
      </w:r>
    </w:p>
    <w:permEnd w:id="195060402"/>
    <w:p w14:paraId="621462D2" w14:textId="77777777" w:rsidR="001F23C9" w:rsidRDefault="001F23C9" w:rsidP="001F6354">
      <w:pPr>
        <w:jc w:val="both"/>
        <w:rPr>
          <w:rFonts w:ascii="Arial" w:hAnsi="Arial" w:cs="Arial"/>
        </w:rPr>
      </w:pPr>
      <w:r>
        <w:rPr>
          <w:rFonts w:ascii="Arial" w:hAnsi="Arial" w:cs="Arial"/>
        </w:rPr>
        <w:t>&lt;ESMA_QUESTION_PFG_14&gt;</w:t>
      </w:r>
    </w:p>
    <w:p w14:paraId="431FFC8A" w14:textId="77777777" w:rsidR="001F23C9" w:rsidRDefault="001F23C9" w:rsidP="001F6354">
      <w:pPr>
        <w:jc w:val="both"/>
        <w:rPr>
          <w:rFonts w:ascii="Arial" w:hAnsi="Arial" w:cs="Arial"/>
        </w:rPr>
      </w:pPr>
    </w:p>
    <w:p w14:paraId="3D280357" w14:textId="77777777" w:rsidR="001F23C9" w:rsidRPr="00175CFB" w:rsidRDefault="001F23C9" w:rsidP="001F6354">
      <w:pPr>
        <w:pStyle w:val="Questionstyle"/>
      </w:pPr>
      <w:r>
        <w:t>:</w:t>
      </w:r>
      <w:r w:rsidRPr="000F104A">
        <w:t xml:space="preserve"> In relation to Guideline 2, do you think that models of performance fee without a hurdle rate, or with a hurdle rate not linked to the investment objective (but clearly stated in the offering documents), should be permissible? For example, do you think that equity funds with a performance fee linked to EONIA, or a performance fee which is accrued as long as there are positive returns, should be allowed? Please give examples and reasons for your answer.</w:t>
      </w:r>
    </w:p>
    <w:p w14:paraId="4314E5D7" w14:textId="77777777" w:rsidR="001F23C9" w:rsidRDefault="001F23C9" w:rsidP="001F6354">
      <w:pPr>
        <w:jc w:val="both"/>
        <w:rPr>
          <w:rFonts w:ascii="Arial" w:hAnsi="Arial" w:cs="Arial"/>
        </w:rPr>
      </w:pPr>
      <w:r>
        <w:rPr>
          <w:rFonts w:ascii="Arial" w:hAnsi="Arial" w:cs="Arial"/>
        </w:rPr>
        <w:t>&lt;ESMA_QUESTION_PFG_15&gt;</w:t>
      </w:r>
    </w:p>
    <w:p w14:paraId="13C23CA7" w14:textId="77777777" w:rsidR="001F23C9" w:rsidRDefault="00001448" w:rsidP="001F6354">
      <w:pPr>
        <w:jc w:val="both"/>
        <w:rPr>
          <w:rFonts w:ascii="Arial" w:hAnsi="Arial" w:cs="Arial"/>
        </w:rPr>
      </w:pPr>
      <w:permStart w:id="2122652366" w:edGrp="everyone"/>
      <w:r>
        <w:rPr>
          <w:rFonts w:ascii="Arial" w:hAnsi="Arial" w:cs="Arial"/>
        </w:rPr>
        <w:t>We believe that in order to best align the investmen</w:t>
      </w:r>
      <w:r w:rsidR="00B82E01">
        <w:rPr>
          <w:rFonts w:ascii="Arial" w:hAnsi="Arial" w:cs="Arial"/>
        </w:rPr>
        <w:t>t</w:t>
      </w:r>
      <w:r>
        <w:rPr>
          <w:rFonts w:ascii="Arial" w:hAnsi="Arial" w:cs="Arial"/>
        </w:rPr>
        <w:t xml:space="preserve"> objectives with the performance fee model flexibility to decide whether inserting a hurdle rate</w:t>
      </w:r>
      <w:r w:rsidR="00695564" w:rsidRPr="00695564">
        <w:rPr>
          <w:rFonts w:ascii="Arial" w:hAnsi="Arial" w:cs="Arial"/>
        </w:rPr>
        <w:t xml:space="preserve"> </w:t>
      </w:r>
      <w:r w:rsidR="00695564">
        <w:rPr>
          <w:rFonts w:ascii="Arial" w:hAnsi="Arial" w:cs="Arial"/>
        </w:rPr>
        <w:t>or not</w:t>
      </w:r>
      <w:r>
        <w:rPr>
          <w:rFonts w:ascii="Arial" w:hAnsi="Arial" w:cs="Arial"/>
        </w:rPr>
        <w:t xml:space="preserve"> should be granted.</w:t>
      </w:r>
      <w:r w:rsidR="00030D81">
        <w:rPr>
          <w:rFonts w:ascii="Arial" w:hAnsi="Arial" w:cs="Arial"/>
        </w:rPr>
        <w:t xml:space="preserve"> </w:t>
      </w:r>
    </w:p>
    <w:permEnd w:id="2122652366"/>
    <w:p w14:paraId="1D9D9A74" w14:textId="77777777" w:rsidR="001F23C9" w:rsidRDefault="001F23C9" w:rsidP="001F6354">
      <w:pPr>
        <w:jc w:val="both"/>
        <w:rPr>
          <w:rFonts w:ascii="Arial" w:hAnsi="Arial" w:cs="Arial"/>
        </w:rPr>
      </w:pPr>
      <w:r>
        <w:rPr>
          <w:rFonts w:ascii="Arial" w:hAnsi="Arial" w:cs="Arial"/>
        </w:rPr>
        <w:t>&lt;ESMA_QUESTION_PFG_15&gt;</w:t>
      </w:r>
    </w:p>
    <w:p w14:paraId="423B0811" w14:textId="77777777" w:rsidR="001F23C9" w:rsidRDefault="001F23C9" w:rsidP="001F6354">
      <w:pPr>
        <w:jc w:val="both"/>
        <w:rPr>
          <w:rFonts w:ascii="Arial" w:hAnsi="Arial" w:cs="Arial"/>
        </w:rPr>
      </w:pPr>
    </w:p>
    <w:p w14:paraId="6DB1494B" w14:textId="77777777" w:rsidR="001F23C9" w:rsidRPr="002B0B01" w:rsidRDefault="001F23C9" w:rsidP="001F6354">
      <w:pPr>
        <w:pStyle w:val="Questionstyle"/>
      </w:pPr>
      <w:r w:rsidRPr="002B0B01">
        <w:t>: What additional costs and benefits would compliance with the proposed Guideline bring to you/the stakeholder(s) you represent? Please provide quantitative figures, where available.</w:t>
      </w:r>
    </w:p>
    <w:p w14:paraId="4555A946" w14:textId="77777777" w:rsidR="001F23C9" w:rsidRDefault="001F23C9" w:rsidP="001F6354">
      <w:pPr>
        <w:jc w:val="both"/>
        <w:rPr>
          <w:rFonts w:ascii="Arial" w:hAnsi="Arial" w:cs="Arial"/>
        </w:rPr>
      </w:pPr>
      <w:r>
        <w:rPr>
          <w:rFonts w:ascii="Arial" w:hAnsi="Arial" w:cs="Arial"/>
        </w:rPr>
        <w:lastRenderedPageBreak/>
        <w:t>&lt;ESMA_QUESTION_PFG_16&gt;</w:t>
      </w:r>
    </w:p>
    <w:p w14:paraId="024BB2FB" w14:textId="77777777" w:rsidR="001F23C9" w:rsidRDefault="002B0B01" w:rsidP="001F6354">
      <w:pPr>
        <w:jc w:val="both"/>
        <w:rPr>
          <w:rFonts w:ascii="Arial" w:hAnsi="Arial" w:cs="Arial"/>
        </w:rPr>
      </w:pPr>
      <w:permStart w:id="1077116854" w:edGrp="everyone"/>
      <w:r>
        <w:rPr>
          <w:rFonts w:ascii="Arial" w:hAnsi="Arial" w:cs="Arial"/>
        </w:rPr>
        <w:t>Please refer to our answer under Q14</w:t>
      </w:r>
    </w:p>
    <w:permEnd w:id="1077116854"/>
    <w:p w14:paraId="2D1E04C7" w14:textId="77777777" w:rsidR="001F23C9" w:rsidRDefault="001F23C9" w:rsidP="001F6354">
      <w:pPr>
        <w:jc w:val="both"/>
        <w:rPr>
          <w:rFonts w:ascii="Arial" w:hAnsi="Arial" w:cs="Arial"/>
        </w:rPr>
      </w:pPr>
      <w:r>
        <w:rPr>
          <w:rFonts w:ascii="Arial" w:hAnsi="Arial" w:cs="Arial"/>
        </w:rPr>
        <w:t>&lt;ESMA_QUESTION_PFG_16&gt;</w:t>
      </w:r>
    </w:p>
    <w:p w14:paraId="73AA059B" w14:textId="77777777" w:rsidR="001F23C9" w:rsidRDefault="001F23C9" w:rsidP="001F6354">
      <w:pPr>
        <w:jc w:val="both"/>
        <w:rPr>
          <w:rFonts w:ascii="Arial" w:hAnsi="Arial" w:cs="Arial"/>
        </w:rPr>
      </w:pPr>
    </w:p>
    <w:p w14:paraId="5CA60ECE" w14:textId="77777777" w:rsidR="001F23C9" w:rsidRPr="00540C09" w:rsidRDefault="001F23C9" w:rsidP="001F6354">
      <w:pPr>
        <w:pStyle w:val="Questionstyle"/>
      </w:pPr>
      <w:r w:rsidRPr="00540C09">
        <w:t xml:space="preserve">: What is the anticipated impact from the introduction of this proposed Guideline?  Are there models or methodologies currently employed where this Guideline would not be appropriate? If so, please provide examples of these and details of how the best interests of investors are safeguarded. </w:t>
      </w:r>
    </w:p>
    <w:p w14:paraId="6992ECA5" w14:textId="77777777" w:rsidR="001F23C9" w:rsidRDefault="001F23C9" w:rsidP="001F6354">
      <w:pPr>
        <w:jc w:val="both"/>
        <w:rPr>
          <w:rFonts w:ascii="Arial" w:hAnsi="Arial" w:cs="Arial"/>
        </w:rPr>
      </w:pPr>
      <w:r>
        <w:rPr>
          <w:rFonts w:ascii="Arial" w:hAnsi="Arial" w:cs="Arial"/>
        </w:rPr>
        <w:t>&lt;ESMA_QUESTION_PFG_17&gt;</w:t>
      </w:r>
    </w:p>
    <w:p w14:paraId="448D60CA" w14:textId="77777777" w:rsidR="00FB78B9" w:rsidRPr="00FB78B9" w:rsidRDefault="00FB78B9" w:rsidP="00FB78B9">
      <w:pPr>
        <w:jc w:val="both"/>
        <w:rPr>
          <w:rFonts w:ascii="Arial" w:hAnsi="Arial" w:cs="Arial"/>
        </w:rPr>
      </w:pPr>
      <w:permStart w:id="1660628813" w:edGrp="everyone"/>
      <w:r>
        <w:rPr>
          <w:rFonts w:ascii="Arial" w:hAnsi="Arial" w:cs="Arial"/>
        </w:rPr>
        <w:t xml:space="preserve">We believe </w:t>
      </w:r>
      <w:r w:rsidRPr="00FB78B9">
        <w:rPr>
          <w:rFonts w:ascii="Arial" w:hAnsi="Arial" w:cs="Arial"/>
        </w:rPr>
        <w:t xml:space="preserve">that the draft Guideline 4 would not be appropriate for all types of performance fee models, namely for those funds choosing to measure their performance against an index. We specifically refer to the possibility for funds to </w:t>
      </w:r>
      <w:r w:rsidR="00594A06">
        <w:rPr>
          <w:rFonts w:ascii="Arial" w:hAnsi="Arial" w:cs="Arial"/>
        </w:rPr>
        <w:t>apply</w:t>
      </w:r>
      <w:r w:rsidRPr="00FB78B9">
        <w:rPr>
          <w:rFonts w:ascii="Arial" w:hAnsi="Arial" w:cs="Arial"/>
        </w:rPr>
        <w:t xml:space="preserve"> performance fees even in bear markets, provided their performance relative to that of the chosen index is positive (i.e. positive relative performance) and thereby rewarding outperformance. </w:t>
      </w:r>
    </w:p>
    <w:p w14:paraId="7EC6FFF8" w14:textId="32304FAA" w:rsidR="001F23C9" w:rsidRDefault="00FB78B9" w:rsidP="00FB78B9">
      <w:pPr>
        <w:jc w:val="both"/>
        <w:rPr>
          <w:rFonts w:ascii="Arial" w:hAnsi="Arial" w:cs="Arial"/>
        </w:rPr>
      </w:pPr>
      <w:r w:rsidRPr="00FB78B9">
        <w:rPr>
          <w:rFonts w:ascii="Arial" w:hAnsi="Arial" w:cs="Arial"/>
        </w:rPr>
        <w:t>In terms of minimising incentives for managers to take on excessive risks (as per parag</w:t>
      </w:r>
      <w:r w:rsidR="00594A06">
        <w:rPr>
          <w:rFonts w:ascii="Arial" w:hAnsi="Arial" w:cs="Arial"/>
        </w:rPr>
        <w:t>raph 23 under draft Guideline 4</w:t>
      </w:r>
      <w:r w:rsidR="00BF318E">
        <w:rPr>
          <w:rFonts w:ascii="Arial" w:hAnsi="Arial" w:cs="Arial"/>
        </w:rPr>
        <w:t>)</w:t>
      </w:r>
      <w:bookmarkStart w:id="1" w:name="_GoBack"/>
      <w:bookmarkEnd w:id="1"/>
      <w:r w:rsidRPr="00FB78B9">
        <w:rPr>
          <w:rFonts w:ascii="Arial" w:hAnsi="Arial" w:cs="Arial"/>
        </w:rPr>
        <w:t>, we believe that the proposed performance reference period of one year would allow a management company a sufficient amount of time to recover any cumulative negative performance before levyin</w:t>
      </w:r>
      <w:r w:rsidR="00E37207">
        <w:rPr>
          <w:rFonts w:ascii="Arial" w:hAnsi="Arial" w:cs="Arial"/>
        </w:rPr>
        <w:t>g a performance fee once again.</w:t>
      </w:r>
    </w:p>
    <w:permEnd w:id="1660628813"/>
    <w:p w14:paraId="3356BE16" w14:textId="77777777" w:rsidR="001F23C9" w:rsidRDefault="001F23C9" w:rsidP="001F6354">
      <w:pPr>
        <w:jc w:val="both"/>
        <w:rPr>
          <w:rFonts w:ascii="Arial" w:hAnsi="Arial" w:cs="Arial"/>
        </w:rPr>
      </w:pPr>
      <w:r>
        <w:rPr>
          <w:rFonts w:ascii="Arial" w:hAnsi="Arial" w:cs="Arial"/>
        </w:rPr>
        <w:t>&lt;ESMA_QUESTION_PFG_17&gt;</w:t>
      </w:r>
    </w:p>
    <w:p w14:paraId="21C72889" w14:textId="77777777" w:rsidR="001F23C9" w:rsidRDefault="001F23C9" w:rsidP="001F6354">
      <w:pPr>
        <w:jc w:val="both"/>
        <w:rPr>
          <w:rFonts w:ascii="Arial" w:hAnsi="Arial" w:cs="Arial"/>
        </w:rPr>
      </w:pPr>
    </w:p>
    <w:p w14:paraId="706AE1BD" w14:textId="77777777" w:rsidR="001F23C9" w:rsidRPr="00AB0E24" w:rsidRDefault="001F23C9" w:rsidP="001F6354">
      <w:pPr>
        <w:pStyle w:val="Questionstyle"/>
      </w:pPr>
      <w:r w:rsidRPr="00AB0E24">
        <w:t>: What additional costs and benefits would compliance with the proposed Guideline bring to the stakeholder(s) you represent? Please provide quantitative figures, where available.</w:t>
      </w:r>
    </w:p>
    <w:p w14:paraId="4F6304EC" w14:textId="77777777" w:rsidR="001F23C9" w:rsidRDefault="001F23C9" w:rsidP="001F6354">
      <w:pPr>
        <w:jc w:val="both"/>
        <w:rPr>
          <w:rFonts w:ascii="Arial" w:hAnsi="Arial" w:cs="Arial"/>
        </w:rPr>
      </w:pPr>
      <w:r>
        <w:rPr>
          <w:rFonts w:ascii="Arial" w:hAnsi="Arial" w:cs="Arial"/>
        </w:rPr>
        <w:t>&lt;ESMA_QUESTION_PFG_18&gt;</w:t>
      </w:r>
    </w:p>
    <w:p w14:paraId="24C0B5EA" w14:textId="77777777" w:rsidR="001F23C9" w:rsidRDefault="00E37207" w:rsidP="001F6354">
      <w:pPr>
        <w:jc w:val="both"/>
        <w:rPr>
          <w:rFonts w:ascii="Arial" w:hAnsi="Arial" w:cs="Arial"/>
        </w:rPr>
      </w:pPr>
      <w:permStart w:id="1433602477" w:edGrp="everyone"/>
      <w:r>
        <w:rPr>
          <w:rFonts w:ascii="Arial" w:hAnsi="Arial" w:cs="Arial"/>
        </w:rPr>
        <w:t>As stated in our reply to Q6 we believe that the possibility to charge performance fee</w:t>
      </w:r>
      <w:r w:rsidR="00594A06">
        <w:rPr>
          <w:rFonts w:ascii="Arial" w:hAnsi="Arial" w:cs="Arial"/>
        </w:rPr>
        <w:t>s</w:t>
      </w:r>
      <w:r>
        <w:rPr>
          <w:rFonts w:ascii="Arial" w:hAnsi="Arial" w:cs="Arial"/>
        </w:rPr>
        <w:t xml:space="preserve"> also in the event of relative positive performance should be allowed. </w:t>
      </w:r>
      <w:r w:rsidR="00AB0E24">
        <w:rPr>
          <w:rFonts w:ascii="Arial" w:hAnsi="Arial" w:cs="Arial"/>
        </w:rPr>
        <w:t xml:space="preserve">Should that not be the case </w:t>
      </w:r>
      <w:r w:rsidR="00AB0E24" w:rsidRPr="00AB0E24">
        <w:rPr>
          <w:rFonts w:ascii="Arial" w:hAnsi="Arial" w:cs="Arial"/>
        </w:rPr>
        <w:t>some funds would no</w:t>
      </w:r>
      <w:r w:rsidR="00AB0E24">
        <w:rPr>
          <w:rFonts w:ascii="Arial" w:hAnsi="Arial" w:cs="Arial"/>
        </w:rPr>
        <w:t xml:space="preserve"> longer be </w:t>
      </w:r>
      <w:r w:rsidR="00AB0E24" w:rsidRPr="00AB0E24">
        <w:rPr>
          <w:rFonts w:ascii="Arial" w:hAnsi="Arial" w:cs="Arial"/>
        </w:rPr>
        <w:t>economically viable</w:t>
      </w:r>
      <w:r w:rsidR="00AB0E24">
        <w:rPr>
          <w:rFonts w:ascii="Arial" w:hAnsi="Arial" w:cs="Arial"/>
        </w:rPr>
        <w:t xml:space="preserve">. Generally we believe that </w:t>
      </w:r>
      <w:r w:rsidRPr="00E37207">
        <w:rPr>
          <w:rFonts w:ascii="Arial" w:hAnsi="Arial" w:cs="Arial"/>
        </w:rPr>
        <w:t>if the final Guidelines were to go beyond the original scope of the IOSCO 2016</w:t>
      </w:r>
      <w:r w:rsidR="00AB0E24">
        <w:rPr>
          <w:rFonts w:ascii="Arial" w:hAnsi="Arial" w:cs="Arial"/>
        </w:rPr>
        <w:t xml:space="preserve"> Best </w:t>
      </w:r>
      <w:r w:rsidR="00540C09">
        <w:rPr>
          <w:rFonts w:ascii="Arial" w:hAnsi="Arial" w:cs="Arial"/>
        </w:rPr>
        <w:t>Practices that</w:t>
      </w:r>
      <w:r w:rsidR="00AB0E24">
        <w:rPr>
          <w:rFonts w:ascii="Arial" w:hAnsi="Arial" w:cs="Arial"/>
        </w:rPr>
        <w:t xml:space="preserve"> would disincentivize</w:t>
      </w:r>
      <w:r w:rsidRPr="00E37207">
        <w:rPr>
          <w:rFonts w:ascii="Arial" w:hAnsi="Arial" w:cs="Arial"/>
        </w:rPr>
        <w:t xml:space="preserve"> the use of performance fee models</w:t>
      </w:r>
      <w:r w:rsidR="00D3358B">
        <w:rPr>
          <w:rFonts w:ascii="Arial" w:hAnsi="Arial" w:cs="Arial"/>
        </w:rPr>
        <w:t xml:space="preserve"> and in the end would be detrimental for investors – as it would limit their freedom of choice</w:t>
      </w:r>
      <w:r w:rsidR="00AB0E24">
        <w:rPr>
          <w:rFonts w:ascii="Arial" w:hAnsi="Arial" w:cs="Arial"/>
        </w:rPr>
        <w:t>.</w:t>
      </w:r>
    </w:p>
    <w:permEnd w:id="1433602477"/>
    <w:p w14:paraId="100FA63B" w14:textId="77777777" w:rsidR="001F23C9" w:rsidRDefault="001F23C9" w:rsidP="001F6354">
      <w:pPr>
        <w:jc w:val="both"/>
        <w:rPr>
          <w:rFonts w:ascii="Arial" w:hAnsi="Arial" w:cs="Arial"/>
        </w:rPr>
      </w:pPr>
      <w:r>
        <w:rPr>
          <w:rFonts w:ascii="Arial" w:hAnsi="Arial" w:cs="Arial"/>
        </w:rPr>
        <w:lastRenderedPageBreak/>
        <w:t>&lt;ESMA_QUESTION_PFG_18&gt;</w:t>
      </w:r>
    </w:p>
    <w:p w14:paraId="4368DF34" w14:textId="77777777" w:rsidR="001F23C9" w:rsidRDefault="001F23C9" w:rsidP="001F6354">
      <w:pPr>
        <w:jc w:val="both"/>
        <w:rPr>
          <w:rFonts w:ascii="Arial" w:hAnsi="Arial" w:cs="Arial"/>
        </w:rPr>
      </w:pPr>
    </w:p>
    <w:p w14:paraId="2947A974" w14:textId="77777777" w:rsidR="001F23C9" w:rsidRPr="00AB0E24" w:rsidRDefault="001F23C9" w:rsidP="001F6354">
      <w:pPr>
        <w:pStyle w:val="Questionstyle"/>
      </w:pPr>
      <w:r w:rsidRPr="00AB0E24">
        <w:t>: Which other types of costs or benefits would you consider in the disclosure of the performance fees model? Please provide quantitative figures, where available.</w:t>
      </w:r>
    </w:p>
    <w:p w14:paraId="3D3C9FA2" w14:textId="77777777" w:rsidR="001F23C9" w:rsidRDefault="001F23C9" w:rsidP="001F6354">
      <w:pPr>
        <w:jc w:val="both"/>
        <w:rPr>
          <w:rFonts w:ascii="Arial" w:hAnsi="Arial" w:cs="Arial"/>
        </w:rPr>
      </w:pPr>
      <w:r>
        <w:rPr>
          <w:rFonts w:ascii="Arial" w:hAnsi="Arial" w:cs="Arial"/>
        </w:rPr>
        <w:t>&lt;ESMA_QUESTION_PFG_19&gt;</w:t>
      </w:r>
    </w:p>
    <w:p w14:paraId="59C4D12F" w14:textId="77777777" w:rsidR="00030D81" w:rsidRDefault="00AB0E24" w:rsidP="001F6354">
      <w:pPr>
        <w:jc w:val="both"/>
        <w:rPr>
          <w:rFonts w:ascii="Arial" w:hAnsi="Arial" w:cs="Arial"/>
        </w:rPr>
      </w:pPr>
      <w:permStart w:id="1284334837" w:edGrp="everyone"/>
      <w:r w:rsidRPr="00AB0E24">
        <w:rPr>
          <w:rFonts w:ascii="Arial" w:hAnsi="Arial" w:cs="Arial"/>
        </w:rPr>
        <w:t xml:space="preserve">In relation to disclosure costs, </w:t>
      </w:r>
      <w:r>
        <w:rPr>
          <w:rFonts w:ascii="Arial" w:hAnsi="Arial" w:cs="Arial"/>
        </w:rPr>
        <w:t>please refer to our reply to</w:t>
      </w:r>
      <w:r w:rsidRPr="00AB0E24">
        <w:rPr>
          <w:rFonts w:ascii="Arial" w:hAnsi="Arial" w:cs="Arial"/>
        </w:rPr>
        <w:t xml:space="preserve"> Q14 above. As to the benefits, we clearly see a positive outcome for end-investors in receiving more details on the functioning of certain performance fee models, including their calculations</w:t>
      </w:r>
      <w:r>
        <w:rPr>
          <w:rFonts w:ascii="Arial" w:hAnsi="Arial" w:cs="Arial"/>
        </w:rPr>
        <w:t xml:space="preserve"> in order to be in a position to better understand how the models work and being able to make comparison amongst different products</w:t>
      </w:r>
      <w:r w:rsidRPr="00AB0E24">
        <w:rPr>
          <w:rFonts w:ascii="Arial" w:hAnsi="Arial" w:cs="Arial"/>
        </w:rPr>
        <w:t>.</w:t>
      </w:r>
      <w:r>
        <w:rPr>
          <w:rFonts w:ascii="Arial" w:hAnsi="Arial" w:cs="Arial"/>
        </w:rPr>
        <w:t xml:space="preserve"> That said</w:t>
      </w:r>
      <w:r w:rsidR="00594A06">
        <w:rPr>
          <w:rFonts w:ascii="Arial" w:hAnsi="Arial" w:cs="Arial"/>
        </w:rPr>
        <w:t>,</w:t>
      </w:r>
      <w:r>
        <w:rPr>
          <w:rFonts w:ascii="Arial" w:hAnsi="Arial" w:cs="Arial"/>
        </w:rPr>
        <w:t xml:space="preserve"> we believe that this aim should be balance</w:t>
      </w:r>
      <w:r w:rsidR="00A97EB9">
        <w:rPr>
          <w:rFonts w:ascii="Arial" w:hAnsi="Arial" w:cs="Arial"/>
        </w:rPr>
        <w:t xml:space="preserve">d against avoiding too </w:t>
      </w:r>
      <w:r w:rsidR="00594A06">
        <w:rPr>
          <w:rFonts w:ascii="Arial" w:hAnsi="Arial" w:cs="Arial"/>
        </w:rPr>
        <w:t>prescriptive</w:t>
      </w:r>
      <w:r w:rsidR="00A97EB9">
        <w:rPr>
          <w:rFonts w:ascii="Arial" w:hAnsi="Arial" w:cs="Arial"/>
        </w:rPr>
        <w:t xml:space="preserve"> Guidelines which will have the unwanted effect of restricting the availability of different products </w:t>
      </w:r>
      <w:r w:rsidR="00594A06">
        <w:rPr>
          <w:rFonts w:ascii="Arial" w:hAnsi="Arial" w:cs="Arial"/>
        </w:rPr>
        <w:t>to investors</w:t>
      </w:r>
      <w:r w:rsidR="00A97EB9">
        <w:rPr>
          <w:rFonts w:ascii="Arial" w:hAnsi="Arial" w:cs="Arial"/>
        </w:rPr>
        <w:t>.</w:t>
      </w:r>
    </w:p>
    <w:permEnd w:id="1284334837"/>
    <w:p w14:paraId="6E99CEEA" w14:textId="77777777" w:rsidR="001F23C9" w:rsidRDefault="001F23C9" w:rsidP="001F6354">
      <w:pPr>
        <w:jc w:val="both"/>
        <w:rPr>
          <w:rFonts w:ascii="Arial" w:hAnsi="Arial" w:cs="Arial"/>
        </w:rPr>
      </w:pPr>
      <w:r>
        <w:rPr>
          <w:rFonts w:ascii="Arial" w:hAnsi="Arial" w:cs="Arial"/>
        </w:rPr>
        <w:t>&lt;ESMA_QUESTION_PFG_19&gt;</w:t>
      </w:r>
    </w:p>
    <w:p w14:paraId="1DA3D4DB" w14:textId="77777777" w:rsidR="002156A3" w:rsidRPr="007B52B2" w:rsidRDefault="002156A3" w:rsidP="001F6354">
      <w:pPr>
        <w:jc w:val="both"/>
        <w:rPr>
          <w:rFonts w:ascii="Arial" w:hAnsi="Arial" w:cs="Arial"/>
        </w:rPr>
      </w:pPr>
    </w:p>
    <w:bookmarkEnd w:id="0"/>
    <w:p w14:paraId="31299420" w14:textId="77777777" w:rsidR="002156A3" w:rsidRDefault="002156A3" w:rsidP="001F6354">
      <w:pPr>
        <w:spacing w:line="276" w:lineRule="auto"/>
        <w:jc w:val="both"/>
        <w:rPr>
          <w:rFonts w:asciiTheme="minorHAnsi" w:hAnsiTheme="minorHAnsi" w:cstheme="minorHAnsi"/>
          <w:b/>
          <w:sz w:val="28"/>
          <w:szCs w:val="28"/>
        </w:rPr>
      </w:pPr>
    </w:p>
    <w:sectPr w:rsidR="002156A3" w:rsidSect="00C85C8B">
      <w:headerReference w:type="default" r:id="rId24"/>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76185" w14:textId="77777777" w:rsidR="000F0235" w:rsidRDefault="000F0235" w:rsidP="007E7997">
      <w:r>
        <w:separator/>
      </w:r>
    </w:p>
  </w:endnote>
  <w:endnote w:type="continuationSeparator" w:id="0">
    <w:p w14:paraId="4D0B1052" w14:textId="77777777" w:rsidR="000F0235" w:rsidRDefault="000F0235" w:rsidP="007E7997">
      <w:r>
        <w:continuationSeparator/>
      </w:r>
    </w:p>
  </w:endnote>
  <w:endnote w:type="continuationNotice" w:id="1">
    <w:p w14:paraId="46881E34" w14:textId="77777777" w:rsidR="000F0235" w:rsidRDefault="000F0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752671"/>
      <w:docPartObj>
        <w:docPartGallery w:val="Page Numbers (Bottom of Page)"/>
        <w:docPartUnique/>
      </w:docPartObj>
    </w:sdtPr>
    <w:sdtEndPr>
      <w:rPr>
        <w:noProof/>
      </w:rPr>
    </w:sdtEndPr>
    <w:sdtContent>
      <w:p w14:paraId="76D4C6D5" w14:textId="77777777" w:rsidR="00E36813" w:rsidRDefault="00E36813">
        <w:pPr>
          <w:pStyle w:val="Footer"/>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5BDCD0D0" w14:textId="77777777" w:rsidR="00E36813" w:rsidRDefault="00E36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1693" w14:textId="77777777" w:rsidR="00E36813" w:rsidRDefault="00E36813" w:rsidP="007A160F">
    <w:pPr>
      <w:pStyle w:val="Footer"/>
    </w:pPr>
    <w:r>
      <w:rPr>
        <w:rFonts w:asciiTheme="majorHAnsi" w:hAnsiTheme="majorHAnsi"/>
        <w:color w:val="FFFFFF" w:themeColor="background1"/>
      </w:rPr>
      <w:tab/>
    </w:r>
    <w:r>
      <w:rPr>
        <w:rFonts w:asciiTheme="majorHAnsi" w:hAnsiTheme="majorHAnsi"/>
        <w:color w:val="FFFFFF" w:themeColor="background1"/>
      </w:rPr>
      <w:tab/>
    </w:r>
    <w:r w:rsidR="005B467C">
      <w:rPr>
        <w:rFonts w:asciiTheme="majorHAnsi" w:hAnsiTheme="majorHAnsi"/>
        <w:color w:val="FFFFFF" w:themeColor="background1"/>
      </w:rPr>
      <w:t>1</w:t>
    </w:r>
    <w:r w:rsidR="008F1993">
      <w:rPr>
        <w:rFonts w:asciiTheme="majorHAnsi" w:hAnsiTheme="majorHAnsi"/>
        <w:color w:val="FFFFFF" w:themeColor="background1"/>
      </w:rPr>
      <w:t>6</w:t>
    </w:r>
    <w:r w:rsidR="00AB6157">
      <w:rPr>
        <w:rFonts w:asciiTheme="majorHAnsi" w:hAnsiTheme="majorHAnsi"/>
        <w:color w:val="FFFFFF" w:themeColor="background1"/>
      </w:rPr>
      <w:t xml:space="preserve"> </w:t>
    </w:r>
    <w:r w:rsidR="005B467C">
      <w:rPr>
        <w:rFonts w:asciiTheme="majorHAnsi" w:hAnsiTheme="majorHAnsi"/>
        <w:color w:val="FFFFFF" w:themeColor="background1"/>
      </w:rPr>
      <w:t>July</w:t>
    </w:r>
    <w:r w:rsidR="00AB6157">
      <w:rPr>
        <w:rFonts w:asciiTheme="majorHAnsi" w:hAnsiTheme="majorHAnsi"/>
        <w:color w:val="FFFFFF" w:themeColor="background1"/>
      </w:rPr>
      <w:t xml:space="preserve"> 2019</w:t>
    </w:r>
    <w:r w:rsidR="00FF6930">
      <w:rPr>
        <w:rFonts w:asciiTheme="majorHAnsi" w:hAnsiTheme="majorHAnsi"/>
        <w:color w:val="FFFFFF" w:themeColor="background1"/>
      </w:rPr>
      <w:t xml:space="preserve"> </w:t>
    </w:r>
    <w:r w:rsidR="00FF6930" w:rsidRPr="005B467C">
      <w:rPr>
        <w:rFonts w:asciiTheme="majorHAnsi" w:hAnsiTheme="majorHAnsi"/>
        <w:color w:val="FFFFFF" w:themeColor="background1"/>
      </w:rPr>
      <w:t>ESMA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752247"/>
      <w:docPartObj>
        <w:docPartGallery w:val="Page Numbers (Bottom of Page)"/>
        <w:docPartUnique/>
      </w:docPartObj>
    </w:sdtPr>
    <w:sdtEndPr>
      <w:rPr>
        <w:noProof/>
      </w:rPr>
    </w:sdtEndPr>
    <w:sdtContent>
      <w:p w14:paraId="2A168FB0" w14:textId="6CF3B98B" w:rsidR="00E36813" w:rsidRDefault="00E36813">
        <w:pPr>
          <w:pStyle w:val="Footer"/>
          <w:jc w:val="center"/>
        </w:pPr>
        <w:r>
          <w:fldChar w:fldCharType="begin"/>
        </w:r>
        <w:r>
          <w:instrText xml:space="preserve"> PAGE   \* MERGEFORMAT </w:instrText>
        </w:r>
        <w:r>
          <w:fldChar w:fldCharType="separate"/>
        </w:r>
        <w:r w:rsidR="00BF318E">
          <w:rPr>
            <w:noProof/>
          </w:rPr>
          <w:t>15</w:t>
        </w:r>
        <w:r>
          <w:rPr>
            <w:noProof/>
          </w:rPr>
          <w:fldChar w:fldCharType="end"/>
        </w:r>
      </w:p>
    </w:sdtContent>
  </w:sdt>
  <w:p w14:paraId="3E930BF5" w14:textId="77777777" w:rsidR="00E36813" w:rsidRDefault="00E36813"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8F503" w14:textId="77777777" w:rsidR="000F0235" w:rsidRDefault="000F0235" w:rsidP="007E7997">
      <w:r>
        <w:separator/>
      </w:r>
    </w:p>
  </w:footnote>
  <w:footnote w:type="continuationSeparator" w:id="0">
    <w:p w14:paraId="503BCD4D" w14:textId="77777777" w:rsidR="000F0235" w:rsidRDefault="000F0235" w:rsidP="007E7997">
      <w:r>
        <w:continuationSeparator/>
      </w:r>
    </w:p>
  </w:footnote>
  <w:footnote w:type="continuationNotice" w:id="1">
    <w:p w14:paraId="29772FB4" w14:textId="77777777" w:rsidR="000F0235" w:rsidRDefault="000F0235"/>
  </w:footnote>
  <w:footnote w:id="2">
    <w:p w14:paraId="5431B763" w14:textId="77777777" w:rsidR="004555B4" w:rsidRPr="005A0B11" w:rsidRDefault="004555B4" w:rsidP="004555B4">
      <w:pPr>
        <w:pStyle w:val="FootnoteText"/>
        <w:rPr>
          <w:rFonts w:ascii="Arial" w:hAnsi="Arial" w:cs="Arial"/>
          <w:sz w:val="18"/>
          <w:szCs w:val="18"/>
          <w:lang w:val="en-US"/>
        </w:rPr>
      </w:pPr>
      <w:r w:rsidRPr="005A0B11">
        <w:rPr>
          <w:rStyle w:val="FootnoteReference"/>
          <w:rFonts w:ascii="Arial" w:hAnsi="Arial" w:cs="Arial"/>
          <w:sz w:val="18"/>
          <w:szCs w:val="18"/>
        </w:rPr>
        <w:footnoteRef/>
      </w:r>
      <w:r w:rsidRPr="005A0B11">
        <w:rPr>
          <w:rFonts w:ascii="Arial" w:hAnsi="Arial" w:cs="Arial"/>
          <w:sz w:val="18"/>
          <w:szCs w:val="18"/>
          <w:lang w:val="en-US"/>
        </w:rPr>
        <w:t xml:space="preserve"> Source IPE “Top 400 asset </w:t>
      </w:r>
      <w:r>
        <w:rPr>
          <w:rFonts w:ascii="Arial" w:hAnsi="Arial" w:cs="Arial"/>
          <w:sz w:val="18"/>
          <w:szCs w:val="18"/>
          <w:lang w:val="en-US"/>
        </w:rPr>
        <w:t xml:space="preserve">managers” published in June 2019 and based on AUM as of end </w:t>
      </w:r>
      <w:r w:rsidRPr="005A0B11">
        <w:rPr>
          <w:rFonts w:ascii="Arial" w:hAnsi="Arial" w:cs="Arial"/>
          <w:sz w:val="18"/>
          <w:szCs w:val="18"/>
          <w:lang w:val="en-US"/>
        </w:rPr>
        <w:t>December 201</w:t>
      </w:r>
      <w:r>
        <w:rPr>
          <w:rFonts w:ascii="Arial" w:hAnsi="Arial" w:cs="Arial"/>
          <w:sz w:val="18"/>
          <w:szCs w:val="18"/>
          <w:lang w:val="en-US"/>
        </w:rPr>
        <w:t>8</w:t>
      </w:r>
    </w:p>
  </w:footnote>
  <w:footnote w:id="3">
    <w:p w14:paraId="12553C7E" w14:textId="77777777" w:rsidR="004555B4" w:rsidRPr="009D2186" w:rsidRDefault="004555B4" w:rsidP="004555B4">
      <w:pPr>
        <w:pStyle w:val="FootnoteText"/>
        <w:rPr>
          <w:rStyle w:val="FootnoteReference"/>
          <w:rFonts w:ascii="Arial" w:hAnsi="Arial" w:cs="Arial"/>
          <w:sz w:val="18"/>
          <w:szCs w:val="18"/>
        </w:rPr>
      </w:pPr>
      <w:r w:rsidRPr="00595FEE">
        <w:rPr>
          <w:rStyle w:val="FootnoteReference"/>
          <w:rFonts w:ascii="Arial" w:hAnsi="Arial" w:cs="Arial"/>
          <w:sz w:val="18"/>
          <w:szCs w:val="18"/>
        </w:rPr>
        <w:t xml:space="preserve">2 </w:t>
      </w:r>
      <w:r w:rsidR="00112A8D">
        <w:rPr>
          <w:rFonts w:ascii="Arial" w:hAnsi="Arial" w:cs="Arial"/>
          <w:sz w:val="18"/>
          <w:szCs w:val="18"/>
        </w:rPr>
        <w:t>Amu</w:t>
      </w:r>
      <w:r w:rsidRPr="00595FEE">
        <w:rPr>
          <w:rFonts w:ascii="Arial" w:hAnsi="Arial" w:cs="Arial"/>
          <w:sz w:val="18"/>
          <w:szCs w:val="18"/>
        </w:rPr>
        <w:t xml:space="preserve">ndi figures as of </w:t>
      </w:r>
      <w:r>
        <w:rPr>
          <w:rFonts w:ascii="Arial" w:hAnsi="Arial" w:cs="Arial"/>
          <w:sz w:val="18"/>
          <w:szCs w:val="18"/>
        </w:rPr>
        <w:t>June 30</w:t>
      </w:r>
      <w:r w:rsidRPr="00595FEE">
        <w:rPr>
          <w:rFonts w:ascii="Arial" w:hAnsi="Arial" w:cs="Arial"/>
          <w:sz w:val="18"/>
          <w:szCs w:val="18"/>
        </w:rPr>
        <w:t>, 2019</w:t>
      </w:r>
    </w:p>
  </w:footnote>
  <w:footnote w:id="4">
    <w:p w14:paraId="6AFE6AFD" w14:textId="77777777" w:rsidR="004555B4" w:rsidRPr="005A0B11" w:rsidRDefault="004555B4" w:rsidP="004555B4">
      <w:pPr>
        <w:pStyle w:val="FootnoteText"/>
        <w:rPr>
          <w:rFonts w:ascii="Arial" w:hAnsi="Arial" w:cs="Arial"/>
          <w:sz w:val="18"/>
          <w:szCs w:val="18"/>
          <w:lang w:val="en-US"/>
        </w:rPr>
      </w:pPr>
      <w:r w:rsidRPr="005A0B11">
        <w:rPr>
          <w:rStyle w:val="FootnoteReference"/>
          <w:rFonts w:ascii="Arial" w:hAnsi="Arial" w:cs="Arial"/>
          <w:sz w:val="18"/>
          <w:szCs w:val="18"/>
        </w:rPr>
        <w:footnoteRef/>
      </w:r>
      <w:r w:rsidRPr="005A0B11">
        <w:rPr>
          <w:rFonts w:ascii="Arial" w:hAnsi="Arial" w:cs="Arial"/>
          <w:sz w:val="18"/>
          <w:szCs w:val="18"/>
          <w:lang w:val="en-US"/>
        </w:rPr>
        <w:t xml:space="preserve"> </w:t>
      </w:r>
      <w:r>
        <w:rPr>
          <w:rFonts w:ascii="Arial" w:hAnsi="Arial" w:cs="Arial"/>
          <w:sz w:val="18"/>
          <w:szCs w:val="18"/>
        </w:rPr>
        <w:t>I</w:t>
      </w:r>
      <w:r w:rsidRPr="005A0B11">
        <w:rPr>
          <w:rFonts w:ascii="Arial" w:hAnsi="Arial" w:cs="Arial"/>
          <w:sz w:val="18"/>
          <w:szCs w:val="18"/>
        </w:rPr>
        <w:t>nvestment</w:t>
      </w:r>
      <w:r>
        <w:rPr>
          <w:rFonts w:ascii="Arial" w:hAnsi="Arial" w:cs="Arial"/>
          <w:sz w:val="18"/>
          <w:szCs w:val="18"/>
        </w:rPr>
        <w:t xml:space="preserve"> hubs: Boston, Dublin</w:t>
      </w:r>
      <w:r w:rsidRPr="005A0B11">
        <w:rPr>
          <w:rFonts w:ascii="Arial" w:hAnsi="Arial" w:cs="Arial"/>
          <w:sz w:val="18"/>
          <w:szCs w:val="18"/>
        </w:rPr>
        <w:t xml:space="preserve">, London, </w:t>
      </w:r>
      <w:r>
        <w:rPr>
          <w:rFonts w:ascii="Arial" w:hAnsi="Arial" w:cs="Arial"/>
          <w:sz w:val="18"/>
          <w:szCs w:val="18"/>
        </w:rPr>
        <w:t>Milan, Paris</w:t>
      </w:r>
      <w:r w:rsidRPr="005A0B11">
        <w:rPr>
          <w:rFonts w:ascii="Arial" w:hAnsi="Arial" w:cs="Arial"/>
          <w:sz w:val="18"/>
          <w:szCs w:val="18"/>
        </w:rPr>
        <w:t xml:space="preserve"> and Tokyo</w:t>
      </w:r>
    </w:p>
  </w:footnote>
  <w:footnote w:id="5">
    <w:p w14:paraId="3D5B551C" w14:textId="77777777" w:rsidR="00335E55" w:rsidRPr="00335E55" w:rsidRDefault="00335E55">
      <w:pPr>
        <w:pStyle w:val="FootnoteText"/>
        <w:rPr>
          <w:lang w:val="en-US"/>
        </w:rPr>
      </w:pPr>
      <w:r>
        <w:t>Note</w:t>
      </w:r>
      <w:r>
        <w:rPr>
          <w:rStyle w:val="FootnoteReference"/>
        </w:rPr>
        <w:footnoteRef/>
      </w:r>
      <w:r>
        <w:t xml:space="preserve">: Even in the very limited cases where it is possible to </w:t>
      </w:r>
      <w:r w:rsidR="00492DE8">
        <w:t>track</w:t>
      </w:r>
      <w:r>
        <w:t xml:space="preserve"> the holding period of </w:t>
      </w:r>
      <w:r w:rsidR="00492DE8">
        <w:t>individual investors</w:t>
      </w:r>
      <w:r>
        <w:t xml:space="preserve">, we have observed, in a relation to a 2B AuM European Equity fund, that the average holding period since the </w:t>
      </w:r>
      <w:r w:rsidR="0091480C">
        <w:t>launch</w:t>
      </w:r>
      <w:r>
        <w:t xml:space="preserve"> date </w:t>
      </w:r>
      <w:r w:rsidR="00492DE8">
        <w:t xml:space="preserve">of the fund </w:t>
      </w:r>
      <w:r>
        <w:t xml:space="preserve">was: (a) 29 months for retail </w:t>
      </w:r>
      <w:r w:rsidR="00492DE8">
        <w:t>investor</w:t>
      </w:r>
      <w:r>
        <w:t xml:space="preserve">s, (b) 26 months for institutional </w:t>
      </w:r>
      <w:r w:rsidR="00492DE8">
        <w:t>investors</w:t>
      </w:r>
      <w:r>
        <w:t xml:space="preserve"> and (c) 20 months for private banking and fund of funds</w:t>
      </w:r>
      <w:r w:rsidRPr="00335E55">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8DD6" w14:textId="77777777" w:rsidR="00E36813" w:rsidRDefault="00E36813">
    <w:pPr>
      <w:pStyle w:val="Header"/>
    </w:pPr>
  </w:p>
  <w:p w14:paraId="0A4D2CD4" w14:textId="77777777" w:rsidR="00E36813" w:rsidRDefault="00E36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BE65" w14:textId="77777777" w:rsidR="00E36813" w:rsidRDefault="00E36813">
    <w:pPr>
      <w:pStyle w:val="Header"/>
    </w:pPr>
    <w:r>
      <w:rPr>
        <w:noProof/>
        <w:lang w:val="fr-FR" w:eastAsia="zh-CN"/>
      </w:rPr>
      <w:drawing>
        <wp:anchor distT="0" distB="0" distL="114300" distR="114300" simplePos="0" relativeHeight="251658752" behindDoc="0" locked="0" layoutInCell="1" allowOverlap="1" wp14:anchorId="673C8B8B" wp14:editId="18C248C3">
          <wp:simplePos x="0" y="0"/>
          <wp:positionH relativeFrom="page">
            <wp:posOffset>366395</wp:posOffset>
          </wp:positionH>
          <wp:positionV relativeFrom="page">
            <wp:posOffset>372745</wp:posOffset>
          </wp:positionV>
          <wp:extent cx="2209800" cy="904875"/>
          <wp:effectExtent l="0" t="0" r="0" b="9525"/>
          <wp:wrapNone/>
          <wp:docPr id="1" name="Picture 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zh-CN"/>
      </w:rPr>
      <w:drawing>
        <wp:anchor distT="0" distB="0" distL="114300" distR="114300" simplePos="0" relativeHeight="251657728" behindDoc="1" locked="0" layoutInCell="1" allowOverlap="1" wp14:anchorId="706E1E94" wp14:editId="4B980761">
          <wp:simplePos x="0" y="0"/>
          <wp:positionH relativeFrom="page">
            <wp:align>right</wp:align>
          </wp:positionH>
          <wp:positionV relativeFrom="page">
            <wp:align>bottom</wp:align>
          </wp:positionV>
          <wp:extent cx="7560310" cy="6800850"/>
          <wp:effectExtent l="0" t="0" r="2540" b="0"/>
          <wp:wrapNone/>
          <wp:docPr id="3" name="Picture 3"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70B9D" w14:textId="77777777" w:rsidR="00E36813" w:rsidRDefault="00E36813" w:rsidP="00B50534">
    <w:pPr>
      <w:pStyle w:val="Header"/>
      <w:jc w:val="right"/>
      <w:rPr>
        <w:b/>
        <w:color w:val="FF0000"/>
      </w:rPr>
    </w:pPr>
    <w:r w:rsidRPr="008D5F86">
      <w:rPr>
        <w:rFonts w:ascii="Arial" w:hAnsi="Arial" w:cs="Arial"/>
        <w:noProof/>
        <w:lang w:val="fr-FR" w:eastAsia="zh-CN"/>
      </w:rPr>
      <mc:AlternateContent>
        <mc:Choice Requires="wps">
          <w:drawing>
            <wp:anchor distT="0" distB="0" distL="114300" distR="114300" simplePos="0" relativeHeight="251662336" behindDoc="0" locked="0" layoutInCell="1" allowOverlap="1" wp14:anchorId="3C82667C" wp14:editId="71A289FF">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778B9" id="Line 1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9B559CE" w14:textId="77777777" w:rsidR="00E36813" w:rsidRPr="00D13661" w:rsidRDefault="00E3681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lang w:val="fr-FR" w:eastAsia="zh-CN"/>
      </w:rPr>
      <w:drawing>
        <wp:anchor distT="0" distB="0" distL="114300" distR="114300" simplePos="0" relativeHeight="251657216" behindDoc="0" locked="0" layoutInCell="1" allowOverlap="1" wp14:anchorId="0394EB82" wp14:editId="031B950D">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14:paraId="1D431086" w14:textId="77777777" w:rsidR="00E36813" w:rsidRPr="00C3170E" w:rsidRDefault="00E36813" w:rsidP="00B50534">
    <w:pPr>
      <w:pStyle w:val="Header"/>
      <w:jc w:val="right"/>
      <w:rPr>
        <w:color w:val="2F5496" w:themeColor="accent5" w:themeShade="BF"/>
        <w:sz w:val="20"/>
      </w:rPr>
    </w:pPr>
  </w:p>
  <w:p w14:paraId="30DDB29B" w14:textId="77777777" w:rsidR="00E36813" w:rsidRPr="00B50534" w:rsidRDefault="00E36813"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119E2"/>
    <w:multiLevelType w:val="hybridMultilevel"/>
    <w:tmpl w:val="413C2D88"/>
    <w:lvl w:ilvl="0" w:tplc="09EE6BB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B30B46"/>
    <w:multiLevelType w:val="hybridMultilevel"/>
    <w:tmpl w:val="42CE4306"/>
    <w:lvl w:ilvl="0" w:tplc="BADE6FD6">
      <w:numFmt w:val="bullet"/>
      <w:pStyle w:val="ListParagraph"/>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BC7E62"/>
    <w:multiLevelType w:val="hybridMultilevel"/>
    <w:tmpl w:val="ABFA2730"/>
    <w:lvl w:ilvl="0" w:tplc="C958EA3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11FF5"/>
    <w:multiLevelType w:val="hybridMultilevel"/>
    <w:tmpl w:val="A2CC0D00"/>
    <w:lvl w:ilvl="0" w:tplc="DEA4F940">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52232B"/>
    <w:multiLevelType w:val="hybridMultilevel"/>
    <w:tmpl w:val="5D4236C6"/>
    <w:lvl w:ilvl="0" w:tplc="A26EE274">
      <w:start w:val="1"/>
      <w:numFmt w:val="decimal"/>
      <w:pStyle w:val="Questionstyle"/>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0173BC6"/>
    <w:multiLevelType w:val="hybridMultilevel"/>
    <w:tmpl w:val="B3C051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6F1936"/>
    <w:multiLevelType w:val="hybridMultilevel"/>
    <w:tmpl w:val="95205BEE"/>
    <w:lvl w:ilvl="0" w:tplc="37CC0F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D76F3F"/>
    <w:multiLevelType w:val="hybridMultilevel"/>
    <w:tmpl w:val="221AC284"/>
    <w:lvl w:ilvl="0" w:tplc="E0F01CF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
  </w:num>
  <w:num w:numId="3">
    <w:abstractNumId w:val="15"/>
  </w:num>
  <w:num w:numId="4">
    <w:abstractNumId w:val="4"/>
  </w:num>
  <w:num w:numId="5">
    <w:abstractNumId w:val="11"/>
  </w:num>
  <w:num w:numId="6">
    <w:abstractNumId w:val="17"/>
  </w:num>
  <w:num w:numId="7">
    <w:abstractNumId w:val="10"/>
  </w:num>
  <w:num w:numId="8">
    <w:abstractNumId w:val="5"/>
  </w:num>
  <w:num w:numId="9">
    <w:abstractNumId w:val="9"/>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 w:numId="16">
    <w:abstractNumId w:val="1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8"/>
  </w:num>
  <w:num w:numId="20">
    <w:abstractNumId w:val="13"/>
  </w:num>
  <w:num w:numId="21">
    <w:abstractNumId w:val="1"/>
  </w:num>
  <w:num w:numId="22">
    <w:abstractNumId w:val="0"/>
  </w:num>
  <w:num w:numId="2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IE" w:vendorID="64" w:dllVersion="131078" w:nlCheck="1" w:checkStyle="1"/>
  <w:proofState w:spelling="clean" w:grammar="clean"/>
  <w:attachedTemplate r:id="rId1"/>
  <w:documentProtection w:edit="readOnly" w:enforcement="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42"/>
    <w:rsid w:val="00001448"/>
    <w:rsid w:val="0000380B"/>
    <w:rsid w:val="00005505"/>
    <w:rsid w:val="00006275"/>
    <w:rsid w:val="00006971"/>
    <w:rsid w:val="00011F6C"/>
    <w:rsid w:val="0001249B"/>
    <w:rsid w:val="00012D68"/>
    <w:rsid w:val="00013410"/>
    <w:rsid w:val="000142BB"/>
    <w:rsid w:val="0001633D"/>
    <w:rsid w:val="0001726F"/>
    <w:rsid w:val="00020098"/>
    <w:rsid w:val="00020300"/>
    <w:rsid w:val="00021A9A"/>
    <w:rsid w:val="00022ADA"/>
    <w:rsid w:val="000234AF"/>
    <w:rsid w:val="00026327"/>
    <w:rsid w:val="00027EC9"/>
    <w:rsid w:val="00030D81"/>
    <w:rsid w:val="000316FF"/>
    <w:rsid w:val="00033934"/>
    <w:rsid w:val="00036C09"/>
    <w:rsid w:val="000372BF"/>
    <w:rsid w:val="00040A52"/>
    <w:rsid w:val="00044C5A"/>
    <w:rsid w:val="00044E0A"/>
    <w:rsid w:val="00052C89"/>
    <w:rsid w:val="00054E00"/>
    <w:rsid w:val="00056A38"/>
    <w:rsid w:val="00060BE3"/>
    <w:rsid w:val="00061B2B"/>
    <w:rsid w:val="0006448C"/>
    <w:rsid w:val="0006449B"/>
    <w:rsid w:val="000655AD"/>
    <w:rsid w:val="00066FD1"/>
    <w:rsid w:val="0006779D"/>
    <w:rsid w:val="00072BF9"/>
    <w:rsid w:val="00073DF9"/>
    <w:rsid w:val="0007767E"/>
    <w:rsid w:val="0007796D"/>
    <w:rsid w:val="000830DA"/>
    <w:rsid w:val="00083FBB"/>
    <w:rsid w:val="000921E6"/>
    <w:rsid w:val="00092E98"/>
    <w:rsid w:val="00093239"/>
    <w:rsid w:val="000A03C9"/>
    <w:rsid w:val="000A12CC"/>
    <w:rsid w:val="000A2738"/>
    <w:rsid w:val="000A2DF1"/>
    <w:rsid w:val="000A3D10"/>
    <w:rsid w:val="000A409B"/>
    <w:rsid w:val="000A4A10"/>
    <w:rsid w:val="000A66FC"/>
    <w:rsid w:val="000A741E"/>
    <w:rsid w:val="000A7D4B"/>
    <w:rsid w:val="000B1615"/>
    <w:rsid w:val="000B2AAF"/>
    <w:rsid w:val="000B2E26"/>
    <w:rsid w:val="000B5D3D"/>
    <w:rsid w:val="000C0CE0"/>
    <w:rsid w:val="000C2400"/>
    <w:rsid w:val="000C299C"/>
    <w:rsid w:val="000C5ACC"/>
    <w:rsid w:val="000D0293"/>
    <w:rsid w:val="000D0850"/>
    <w:rsid w:val="000D1038"/>
    <w:rsid w:val="000D11A9"/>
    <w:rsid w:val="000D2D7B"/>
    <w:rsid w:val="000D65BB"/>
    <w:rsid w:val="000E2232"/>
    <w:rsid w:val="000E3DB1"/>
    <w:rsid w:val="000F0169"/>
    <w:rsid w:val="000F0235"/>
    <w:rsid w:val="000F0951"/>
    <w:rsid w:val="000F2598"/>
    <w:rsid w:val="000F29C0"/>
    <w:rsid w:val="000F2BE6"/>
    <w:rsid w:val="000F474D"/>
    <w:rsid w:val="000F5C90"/>
    <w:rsid w:val="000F5EA6"/>
    <w:rsid w:val="000F5F5A"/>
    <w:rsid w:val="000F7998"/>
    <w:rsid w:val="001000D7"/>
    <w:rsid w:val="00100ADC"/>
    <w:rsid w:val="0010429A"/>
    <w:rsid w:val="00105424"/>
    <w:rsid w:val="001075EC"/>
    <w:rsid w:val="00112A8D"/>
    <w:rsid w:val="00113D82"/>
    <w:rsid w:val="0011553B"/>
    <w:rsid w:val="00120F0D"/>
    <w:rsid w:val="001214DA"/>
    <w:rsid w:val="001254BA"/>
    <w:rsid w:val="0012722A"/>
    <w:rsid w:val="00130EF9"/>
    <w:rsid w:val="001319C7"/>
    <w:rsid w:val="0013361E"/>
    <w:rsid w:val="00133EEB"/>
    <w:rsid w:val="001355E6"/>
    <w:rsid w:val="0013644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C49"/>
    <w:rsid w:val="00180E53"/>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B6C25"/>
    <w:rsid w:val="001C0E59"/>
    <w:rsid w:val="001C2302"/>
    <w:rsid w:val="001C432D"/>
    <w:rsid w:val="001C469E"/>
    <w:rsid w:val="001C56C3"/>
    <w:rsid w:val="001C5D8C"/>
    <w:rsid w:val="001C7E0A"/>
    <w:rsid w:val="001D003F"/>
    <w:rsid w:val="001D0112"/>
    <w:rsid w:val="001D19F5"/>
    <w:rsid w:val="001D385A"/>
    <w:rsid w:val="001D6B39"/>
    <w:rsid w:val="001E0A4E"/>
    <w:rsid w:val="001E1ECD"/>
    <w:rsid w:val="001E3E0D"/>
    <w:rsid w:val="001E4A45"/>
    <w:rsid w:val="001E5E30"/>
    <w:rsid w:val="001F0479"/>
    <w:rsid w:val="001F1F10"/>
    <w:rsid w:val="001F23C9"/>
    <w:rsid w:val="001F37AF"/>
    <w:rsid w:val="001F3999"/>
    <w:rsid w:val="001F3D9D"/>
    <w:rsid w:val="001F4AC8"/>
    <w:rsid w:val="001F6354"/>
    <w:rsid w:val="00200894"/>
    <w:rsid w:val="00202333"/>
    <w:rsid w:val="00202FA8"/>
    <w:rsid w:val="002034B8"/>
    <w:rsid w:val="00205922"/>
    <w:rsid w:val="00206FB8"/>
    <w:rsid w:val="0020766F"/>
    <w:rsid w:val="00207A07"/>
    <w:rsid w:val="00210498"/>
    <w:rsid w:val="0021147A"/>
    <w:rsid w:val="00213BFB"/>
    <w:rsid w:val="002156A3"/>
    <w:rsid w:val="00217478"/>
    <w:rsid w:val="00220938"/>
    <w:rsid w:val="00224806"/>
    <w:rsid w:val="002279B9"/>
    <w:rsid w:val="00232F8E"/>
    <w:rsid w:val="00233071"/>
    <w:rsid w:val="002345EF"/>
    <w:rsid w:val="00235E99"/>
    <w:rsid w:val="00236481"/>
    <w:rsid w:val="0024299F"/>
    <w:rsid w:val="002448A4"/>
    <w:rsid w:val="002449D8"/>
    <w:rsid w:val="00244B86"/>
    <w:rsid w:val="00244C97"/>
    <w:rsid w:val="0024512F"/>
    <w:rsid w:val="00245406"/>
    <w:rsid w:val="002455D7"/>
    <w:rsid w:val="00245D2E"/>
    <w:rsid w:val="00246E1D"/>
    <w:rsid w:val="002472F6"/>
    <w:rsid w:val="0025020D"/>
    <w:rsid w:val="00252B59"/>
    <w:rsid w:val="00254CC2"/>
    <w:rsid w:val="002574D1"/>
    <w:rsid w:val="00261CCB"/>
    <w:rsid w:val="002630C0"/>
    <w:rsid w:val="0026332A"/>
    <w:rsid w:val="002645A8"/>
    <w:rsid w:val="0026493B"/>
    <w:rsid w:val="00265566"/>
    <w:rsid w:val="00265F44"/>
    <w:rsid w:val="002665E3"/>
    <w:rsid w:val="0027199C"/>
    <w:rsid w:val="00272C4E"/>
    <w:rsid w:val="002751FC"/>
    <w:rsid w:val="002753BD"/>
    <w:rsid w:val="00282D38"/>
    <w:rsid w:val="00282FBE"/>
    <w:rsid w:val="00284AF2"/>
    <w:rsid w:val="0028536B"/>
    <w:rsid w:val="00285CED"/>
    <w:rsid w:val="00285EB5"/>
    <w:rsid w:val="00287C8F"/>
    <w:rsid w:val="00290893"/>
    <w:rsid w:val="002917B9"/>
    <w:rsid w:val="00291A55"/>
    <w:rsid w:val="0029394C"/>
    <w:rsid w:val="00294526"/>
    <w:rsid w:val="002A0987"/>
    <w:rsid w:val="002A13B0"/>
    <w:rsid w:val="002A2C91"/>
    <w:rsid w:val="002A5F9D"/>
    <w:rsid w:val="002A6C21"/>
    <w:rsid w:val="002A780E"/>
    <w:rsid w:val="002B0B01"/>
    <w:rsid w:val="002B144C"/>
    <w:rsid w:val="002B53F3"/>
    <w:rsid w:val="002C03FD"/>
    <w:rsid w:val="002C044D"/>
    <w:rsid w:val="002C1AA5"/>
    <w:rsid w:val="002C2A46"/>
    <w:rsid w:val="002C3048"/>
    <w:rsid w:val="002C4300"/>
    <w:rsid w:val="002D0F53"/>
    <w:rsid w:val="002D2992"/>
    <w:rsid w:val="002D37A0"/>
    <w:rsid w:val="002D5AB5"/>
    <w:rsid w:val="002D6667"/>
    <w:rsid w:val="002D79F3"/>
    <w:rsid w:val="002E1C11"/>
    <w:rsid w:val="002E3D0B"/>
    <w:rsid w:val="002E3E7D"/>
    <w:rsid w:val="002F6279"/>
    <w:rsid w:val="002F683A"/>
    <w:rsid w:val="003013B7"/>
    <w:rsid w:val="00301993"/>
    <w:rsid w:val="00301E55"/>
    <w:rsid w:val="00307397"/>
    <w:rsid w:val="003101EF"/>
    <w:rsid w:val="00312BDD"/>
    <w:rsid w:val="00314117"/>
    <w:rsid w:val="00317EDF"/>
    <w:rsid w:val="003270B9"/>
    <w:rsid w:val="003279E7"/>
    <w:rsid w:val="00327B62"/>
    <w:rsid w:val="00331FE9"/>
    <w:rsid w:val="0033324D"/>
    <w:rsid w:val="0033587C"/>
    <w:rsid w:val="00335E55"/>
    <w:rsid w:val="00336BF9"/>
    <w:rsid w:val="003371E8"/>
    <w:rsid w:val="00337471"/>
    <w:rsid w:val="0034151D"/>
    <w:rsid w:val="00342B5B"/>
    <w:rsid w:val="00343532"/>
    <w:rsid w:val="00344F63"/>
    <w:rsid w:val="00345469"/>
    <w:rsid w:val="003454ED"/>
    <w:rsid w:val="00345EB9"/>
    <w:rsid w:val="0035030F"/>
    <w:rsid w:val="003519DD"/>
    <w:rsid w:val="00353C4B"/>
    <w:rsid w:val="003545A6"/>
    <w:rsid w:val="003566A0"/>
    <w:rsid w:val="00356C60"/>
    <w:rsid w:val="003578D1"/>
    <w:rsid w:val="00363639"/>
    <w:rsid w:val="00366D42"/>
    <w:rsid w:val="0036748C"/>
    <w:rsid w:val="00372615"/>
    <w:rsid w:val="00372EA3"/>
    <w:rsid w:val="00373A3C"/>
    <w:rsid w:val="00376233"/>
    <w:rsid w:val="0038045A"/>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2D99"/>
    <w:rsid w:val="003C3080"/>
    <w:rsid w:val="003C478A"/>
    <w:rsid w:val="003C481D"/>
    <w:rsid w:val="003C4EB5"/>
    <w:rsid w:val="003D2CED"/>
    <w:rsid w:val="003D344A"/>
    <w:rsid w:val="003D3BB8"/>
    <w:rsid w:val="003D714C"/>
    <w:rsid w:val="003D7C07"/>
    <w:rsid w:val="003E13FD"/>
    <w:rsid w:val="003E1C24"/>
    <w:rsid w:val="003E3E71"/>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14D5"/>
    <w:rsid w:val="00414210"/>
    <w:rsid w:val="004159DB"/>
    <w:rsid w:val="00420FD4"/>
    <w:rsid w:val="004242B3"/>
    <w:rsid w:val="00424928"/>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2D78"/>
    <w:rsid w:val="00455577"/>
    <w:rsid w:val="004555B4"/>
    <w:rsid w:val="00456795"/>
    <w:rsid w:val="0046150E"/>
    <w:rsid w:val="00461CC8"/>
    <w:rsid w:val="00462B2F"/>
    <w:rsid w:val="00465EAA"/>
    <w:rsid w:val="004708CA"/>
    <w:rsid w:val="004709E7"/>
    <w:rsid w:val="00470ADE"/>
    <w:rsid w:val="004712C7"/>
    <w:rsid w:val="004759EB"/>
    <w:rsid w:val="00477919"/>
    <w:rsid w:val="004809C2"/>
    <w:rsid w:val="00482611"/>
    <w:rsid w:val="00482A27"/>
    <w:rsid w:val="00487DCE"/>
    <w:rsid w:val="00492DE8"/>
    <w:rsid w:val="004950B7"/>
    <w:rsid w:val="00497FEA"/>
    <w:rsid w:val="004B07B2"/>
    <w:rsid w:val="004B0955"/>
    <w:rsid w:val="004B1842"/>
    <w:rsid w:val="004B25D0"/>
    <w:rsid w:val="004B3553"/>
    <w:rsid w:val="004B5E92"/>
    <w:rsid w:val="004B7079"/>
    <w:rsid w:val="004C0A30"/>
    <w:rsid w:val="004C357C"/>
    <w:rsid w:val="004C3D18"/>
    <w:rsid w:val="004D0CFB"/>
    <w:rsid w:val="004D34E1"/>
    <w:rsid w:val="004D42B1"/>
    <w:rsid w:val="004D526F"/>
    <w:rsid w:val="004E19C0"/>
    <w:rsid w:val="004E1C54"/>
    <w:rsid w:val="004E2C37"/>
    <w:rsid w:val="004E5285"/>
    <w:rsid w:val="004E77E7"/>
    <w:rsid w:val="004F0CF3"/>
    <w:rsid w:val="004F5740"/>
    <w:rsid w:val="004F58C9"/>
    <w:rsid w:val="004F69C4"/>
    <w:rsid w:val="0050070A"/>
    <w:rsid w:val="005028B9"/>
    <w:rsid w:val="00505E17"/>
    <w:rsid w:val="0051139B"/>
    <w:rsid w:val="00511A59"/>
    <w:rsid w:val="00511C3B"/>
    <w:rsid w:val="00514440"/>
    <w:rsid w:val="005166C3"/>
    <w:rsid w:val="00520F7C"/>
    <w:rsid w:val="00523974"/>
    <w:rsid w:val="00526E5D"/>
    <w:rsid w:val="00531432"/>
    <w:rsid w:val="00532BC8"/>
    <w:rsid w:val="005333E8"/>
    <w:rsid w:val="00534912"/>
    <w:rsid w:val="005370E7"/>
    <w:rsid w:val="005409B7"/>
    <w:rsid w:val="00540C09"/>
    <w:rsid w:val="00545E62"/>
    <w:rsid w:val="00551070"/>
    <w:rsid w:val="00552C8A"/>
    <w:rsid w:val="00555156"/>
    <w:rsid w:val="0055535B"/>
    <w:rsid w:val="0055571E"/>
    <w:rsid w:val="00560A96"/>
    <w:rsid w:val="005619CB"/>
    <w:rsid w:val="00561B71"/>
    <w:rsid w:val="00561F98"/>
    <w:rsid w:val="00564607"/>
    <w:rsid w:val="00565193"/>
    <w:rsid w:val="005725BD"/>
    <w:rsid w:val="005730B0"/>
    <w:rsid w:val="00575DCC"/>
    <w:rsid w:val="005821B0"/>
    <w:rsid w:val="0059175F"/>
    <w:rsid w:val="00591AAC"/>
    <w:rsid w:val="00594A06"/>
    <w:rsid w:val="00595F08"/>
    <w:rsid w:val="00595FBE"/>
    <w:rsid w:val="005A1C55"/>
    <w:rsid w:val="005B169D"/>
    <w:rsid w:val="005B467C"/>
    <w:rsid w:val="005B4ACA"/>
    <w:rsid w:val="005B6B12"/>
    <w:rsid w:val="005C19E9"/>
    <w:rsid w:val="005C2DBC"/>
    <w:rsid w:val="005C3DB0"/>
    <w:rsid w:val="005C5F13"/>
    <w:rsid w:val="005C65F9"/>
    <w:rsid w:val="005C6B0E"/>
    <w:rsid w:val="005C7E1F"/>
    <w:rsid w:val="005D1B9E"/>
    <w:rsid w:val="005D1F6B"/>
    <w:rsid w:val="005D2DE7"/>
    <w:rsid w:val="005D331C"/>
    <w:rsid w:val="005D3499"/>
    <w:rsid w:val="005D6355"/>
    <w:rsid w:val="005D7AAF"/>
    <w:rsid w:val="005E0C59"/>
    <w:rsid w:val="005E18DE"/>
    <w:rsid w:val="005E1DA3"/>
    <w:rsid w:val="005E306B"/>
    <w:rsid w:val="005E53D0"/>
    <w:rsid w:val="005E5785"/>
    <w:rsid w:val="005E6098"/>
    <w:rsid w:val="005E7969"/>
    <w:rsid w:val="005F0C93"/>
    <w:rsid w:val="005F3F22"/>
    <w:rsid w:val="005F4FC0"/>
    <w:rsid w:val="005F540F"/>
    <w:rsid w:val="005F5491"/>
    <w:rsid w:val="005F6144"/>
    <w:rsid w:val="005F64EA"/>
    <w:rsid w:val="005F6573"/>
    <w:rsid w:val="00601541"/>
    <w:rsid w:val="0060361E"/>
    <w:rsid w:val="00604A25"/>
    <w:rsid w:val="00606683"/>
    <w:rsid w:val="00613BF6"/>
    <w:rsid w:val="00615129"/>
    <w:rsid w:val="00616D27"/>
    <w:rsid w:val="006234FE"/>
    <w:rsid w:val="00623840"/>
    <w:rsid w:val="006255EC"/>
    <w:rsid w:val="00625A25"/>
    <w:rsid w:val="0062736A"/>
    <w:rsid w:val="006325CC"/>
    <w:rsid w:val="0063565E"/>
    <w:rsid w:val="00635D65"/>
    <w:rsid w:val="00636E02"/>
    <w:rsid w:val="00641DB1"/>
    <w:rsid w:val="00642297"/>
    <w:rsid w:val="0064311A"/>
    <w:rsid w:val="00644A34"/>
    <w:rsid w:val="00654824"/>
    <w:rsid w:val="00654930"/>
    <w:rsid w:val="00656641"/>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564"/>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290F"/>
    <w:rsid w:val="006C5BF8"/>
    <w:rsid w:val="006C7CCB"/>
    <w:rsid w:val="006D6009"/>
    <w:rsid w:val="006D7D41"/>
    <w:rsid w:val="006E13CC"/>
    <w:rsid w:val="006E2441"/>
    <w:rsid w:val="006E2F4D"/>
    <w:rsid w:val="006E3FDD"/>
    <w:rsid w:val="006E58FB"/>
    <w:rsid w:val="006E5D82"/>
    <w:rsid w:val="006E66B2"/>
    <w:rsid w:val="006E6C50"/>
    <w:rsid w:val="006E7A69"/>
    <w:rsid w:val="006E7DE4"/>
    <w:rsid w:val="006F53E8"/>
    <w:rsid w:val="006F5FB8"/>
    <w:rsid w:val="0070017B"/>
    <w:rsid w:val="00701DC2"/>
    <w:rsid w:val="0070427E"/>
    <w:rsid w:val="00704D53"/>
    <w:rsid w:val="007056C3"/>
    <w:rsid w:val="00706072"/>
    <w:rsid w:val="00713644"/>
    <w:rsid w:val="007138F9"/>
    <w:rsid w:val="00721256"/>
    <w:rsid w:val="007217AD"/>
    <w:rsid w:val="00723BA1"/>
    <w:rsid w:val="00724A1B"/>
    <w:rsid w:val="0073173E"/>
    <w:rsid w:val="007319C3"/>
    <w:rsid w:val="007339D3"/>
    <w:rsid w:val="0073454F"/>
    <w:rsid w:val="00735C00"/>
    <w:rsid w:val="007364C6"/>
    <w:rsid w:val="00740BF3"/>
    <w:rsid w:val="00741D5C"/>
    <w:rsid w:val="0074352F"/>
    <w:rsid w:val="00747C5E"/>
    <w:rsid w:val="00750210"/>
    <w:rsid w:val="00750237"/>
    <w:rsid w:val="00754B57"/>
    <w:rsid w:val="0075671D"/>
    <w:rsid w:val="0076002F"/>
    <w:rsid w:val="0076038B"/>
    <w:rsid w:val="00761744"/>
    <w:rsid w:val="00764582"/>
    <w:rsid w:val="00765FA3"/>
    <w:rsid w:val="00766961"/>
    <w:rsid w:val="00766B5A"/>
    <w:rsid w:val="00770C33"/>
    <w:rsid w:val="007741C3"/>
    <w:rsid w:val="007752BB"/>
    <w:rsid w:val="00777BE0"/>
    <w:rsid w:val="00780923"/>
    <w:rsid w:val="0078131F"/>
    <w:rsid w:val="007842F4"/>
    <w:rsid w:val="007844C6"/>
    <w:rsid w:val="00784554"/>
    <w:rsid w:val="007861DC"/>
    <w:rsid w:val="007876EF"/>
    <w:rsid w:val="00787BAC"/>
    <w:rsid w:val="00790306"/>
    <w:rsid w:val="0079364C"/>
    <w:rsid w:val="007942B9"/>
    <w:rsid w:val="00796C7F"/>
    <w:rsid w:val="00797E0C"/>
    <w:rsid w:val="007A160F"/>
    <w:rsid w:val="007A3860"/>
    <w:rsid w:val="007A48BC"/>
    <w:rsid w:val="007B0BC1"/>
    <w:rsid w:val="007B354B"/>
    <w:rsid w:val="007B4FC3"/>
    <w:rsid w:val="007B73F3"/>
    <w:rsid w:val="007B75E9"/>
    <w:rsid w:val="007B7EE5"/>
    <w:rsid w:val="007C09D9"/>
    <w:rsid w:val="007C1C28"/>
    <w:rsid w:val="007C2A2C"/>
    <w:rsid w:val="007C3577"/>
    <w:rsid w:val="007C5E08"/>
    <w:rsid w:val="007D0002"/>
    <w:rsid w:val="007D7A59"/>
    <w:rsid w:val="007E0E75"/>
    <w:rsid w:val="007E53F5"/>
    <w:rsid w:val="007E6E9E"/>
    <w:rsid w:val="007E71E7"/>
    <w:rsid w:val="007E7637"/>
    <w:rsid w:val="007E7997"/>
    <w:rsid w:val="007F014A"/>
    <w:rsid w:val="007F04EF"/>
    <w:rsid w:val="007F0763"/>
    <w:rsid w:val="007F1DE9"/>
    <w:rsid w:val="007F25C2"/>
    <w:rsid w:val="007F4F88"/>
    <w:rsid w:val="007F5822"/>
    <w:rsid w:val="007F5B86"/>
    <w:rsid w:val="007F600B"/>
    <w:rsid w:val="00800A7F"/>
    <w:rsid w:val="0080285D"/>
    <w:rsid w:val="0081028F"/>
    <w:rsid w:val="008107D9"/>
    <w:rsid w:val="0081093B"/>
    <w:rsid w:val="008116D9"/>
    <w:rsid w:val="00811936"/>
    <w:rsid w:val="00813059"/>
    <w:rsid w:val="008157C8"/>
    <w:rsid w:val="00815930"/>
    <w:rsid w:val="008173E2"/>
    <w:rsid w:val="008201C3"/>
    <w:rsid w:val="00820422"/>
    <w:rsid w:val="00820655"/>
    <w:rsid w:val="008227D7"/>
    <w:rsid w:val="008249A1"/>
    <w:rsid w:val="00825D43"/>
    <w:rsid w:val="0082632D"/>
    <w:rsid w:val="00832500"/>
    <w:rsid w:val="00832787"/>
    <w:rsid w:val="00833243"/>
    <w:rsid w:val="00835805"/>
    <w:rsid w:val="0083595F"/>
    <w:rsid w:val="008372B6"/>
    <w:rsid w:val="00843A1A"/>
    <w:rsid w:val="00846433"/>
    <w:rsid w:val="008464C1"/>
    <w:rsid w:val="008472C2"/>
    <w:rsid w:val="00850B43"/>
    <w:rsid w:val="00850E53"/>
    <w:rsid w:val="008510D9"/>
    <w:rsid w:val="00851EE3"/>
    <w:rsid w:val="00853121"/>
    <w:rsid w:val="008555E4"/>
    <w:rsid w:val="00864124"/>
    <w:rsid w:val="00864E60"/>
    <w:rsid w:val="00866A09"/>
    <w:rsid w:val="008712BF"/>
    <w:rsid w:val="00872209"/>
    <w:rsid w:val="00873656"/>
    <w:rsid w:val="0087416D"/>
    <w:rsid w:val="00880140"/>
    <w:rsid w:val="00882D39"/>
    <w:rsid w:val="008842F7"/>
    <w:rsid w:val="00885B94"/>
    <w:rsid w:val="0089075A"/>
    <w:rsid w:val="00890F80"/>
    <w:rsid w:val="00892BFD"/>
    <w:rsid w:val="0089338A"/>
    <w:rsid w:val="00894199"/>
    <w:rsid w:val="008948BE"/>
    <w:rsid w:val="008A0724"/>
    <w:rsid w:val="008A1E27"/>
    <w:rsid w:val="008A2C86"/>
    <w:rsid w:val="008A6000"/>
    <w:rsid w:val="008A70A8"/>
    <w:rsid w:val="008A7FAC"/>
    <w:rsid w:val="008B1FD9"/>
    <w:rsid w:val="008B2AF1"/>
    <w:rsid w:val="008B3217"/>
    <w:rsid w:val="008B5191"/>
    <w:rsid w:val="008B710D"/>
    <w:rsid w:val="008B7CA1"/>
    <w:rsid w:val="008B7D0C"/>
    <w:rsid w:val="008C0177"/>
    <w:rsid w:val="008C0389"/>
    <w:rsid w:val="008C0526"/>
    <w:rsid w:val="008C27D3"/>
    <w:rsid w:val="008C4B2B"/>
    <w:rsid w:val="008C5E91"/>
    <w:rsid w:val="008C686D"/>
    <w:rsid w:val="008C6B18"/>
    <w:rsid w:val="008C75E6"/>
    <w:rsid w:val="008C767A"/>
    <w:rsid w:val="008C7A73"/>
    <w:rsid w:val="008D0569"/>
    <w:rsid w:val="008D4988"/>
    <w:rsid w:val="008D5C28"/>
    <w:rsid w:val="008E2D26"/>
    <w:rsid w:val="008E4076"/>
    <w:rsid w:val="008E7DBA"/>
    <w:rsid w:val="008F1993"/>
    <w:rsid w:val="008F3386"/>
    <w:rsid w:val="008F3AD9"/>
    <w:rsid w:val="008F4642"/>
    <w:rsid w:val="008F4E00"/>
    <w:rsid w:val="008F761D"/>
    <w:rsid w:val="00900D44"/>
    <w:rsid w:val="00902520"/>
    <w:rsid w:val="00906DC4"/>
    <w:rsid w:val="0091341B"/>
    <w:rsid w:val="0091457F"/>
    <w:rsid w:val="0091480C"/>
    <w:rsid w:val="00916586"/>
    <w:rsid w:val="0091729E"/>
    <w:rsid w:val="00922C0A"/>
    <w:rsid w:val="00923291"/>
    <w:rsid w:val="0092525B"/>
    <w:rsid w:val="009276A1"/>
    <w:rsid w:val="0093261E"/>
    <w:rsid w:val="0094008E"/>
    <w:rsid w:val="00941C0C"/>
    <w:rsid w:val="00943084"/>
    <w:rsid w:val="009437F2"/>
    <w:rsid w:val="0094528B"/>
    <w:rsid w:val="00945522"/>
    <w:rsid w:val="00960A8B"/>
    <w:rsid w:val="00965128"/>
    <w:rsid w:val="00973F43"/>
    <w:rsid w:val="0097785D"/>
    <w:rsid w:val="0098011D"/>
    <w:rsid w:val="00981912"/>
    <w:rsid w:val="009819C0"/>
    <w:rsid w:val="00987A75"/>
    <w:rsid w:val="00991A8A"/>
    <w:rsid w:val="00992611"/>
    <w:rsid w:val="00994303"/>
    <w:rsid w:val="0099526D"/>
    <w:rsid w:val="00996C8B"/>
    <w:rsid w:val="009A0054"/>
    <w:rsid w:val="009A0F6E"/>
    <w:rsid w:val="009A5548"/>
    <w:rsid w:val="009B25C1"/>
    <w:rsid w:val="009B7B79"/>
    <w:rsid w:val="009C0383"/>
    <w:rsid w:val="009C145B"/>
    <w:rsid w:val="009C3E04"/>
    <w:rsid w:val="009C4FB0"/>
    <w:rsid w:val="009C5D19"/>
    <w:rsid w:val="009C7182"/>
    <w:rsid w:val="009C75D1"/>
    <w:rsid w:val="009C7694"/>
    <w:rsid w:val="009D0570"/>
    <w:rsid w:val="009D3E5C"/>
    <w:rsid w:val="009D4937"/>
    <w:rsid w:val="009D495C"/>
    <w:rsid w:val="009D570F"/>
    <w:rsid w:val="009D5E88"/>
    <w:rsid w:val="009D6E1A"/>
    <w:rsid w:val="009D7294"/>
    <w:rsid w:val="009E1690"/>
    <w:rsid w:val="009E18AF"/>
    <w:rsid w:val="009E2C9D"/>
    <w:rsid w:val="009E2CDD"/>
    <w:rsid w:val="009E3545"/>
    <w:rsid w:val="009E4FCE"/>
    <w:rsid w:val="009E522E"/>
    <w:rsid w:val="009F0ABA"/>
    <w:rsid w:val="009F0AF5"/>
    <w:rsid w:val="00A02199"/>
    <w:rsid w:val="00A026A4"/>
    <w:rsid w:val="00A04044"/>
    <w:rsid w:val="00A11D0C"/>
    <w:rsid w:val="00A12027"/>
    <w:rsid w:val="00A13AFC"/>
    <w:rsid w:val="00A14915"/>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3AF0"/>
    <w:rsid w:val="00A54ED7"/>
    <w:rsid w:val="00A61561"/>
    <w:rsid w:val="00A62F3B"/>
    <w:rsid w:val="00A63249"/>
    <w:rsid w:val="00A654B2"/>
    <w:rsid w:val="00A6691F"/>
    <w:rsid w:val="00A67E6A"/>
    <w:rsid w:val="00A70F49"/>
    <w:rsid w:val="00A72203"/>
    <w:rsid w:val="00A7281F"/>
    <w:rsid w:val="00A73949"/>
    <w:rsid w:val="00A76707"/>
    <w:rsid w:val="00A7697E"/>
    <w:rsid w:val="00A76E20"/>
    <w:rsid w:val="00A8194F"/>
    <w:rsid w:val="00A8284E"/>
    <w:rsid w:val="00A870EE"/>
    <w:rsid w:val="00A91D91"/>
    <w:rsid w:val="00A96F81"/>
    <w:rsid w:val="00A9709D"/>
    <w:rsid w:val="00A97EB9"/>
    <w:rsid w:val="00AA054E"/>
    <w:rsid w:val="00AA0A10"/>
    <w:rsid w:val="00AA2094"/>
    <w:rsid w:val="00AA2947"/>
    <w:rsid w:val="00AA2DEF"/>
    <w:rsid w:val="00AB0E24"/>
    <w:rsid w:val="00AB1894"/>
    <w:rsid w:val="00AB1D35"/>
    <w:rsid w:val="00AB227D"/>
    <w:rsid w:val="00AB22DF"/>
    <w:rsid w:val="00AB30EA"/>
    <w:rsid w:val="00AB458B"/>
    <w:rsid w:val="00AB45E4"/>
    <w:rsid w:val="00AB6157"/>
    <w:rsid w:val="00AB7542"/>
    <w:rsid w:val="00AC022D"/>
    <w:rsid w:val="00AC0629"/>
    <w:rsid w:val="00AC70C7"/>
    <w:rsid w:val="00AC79E0"/>
    <w:rsid w:val="00AD17A8"/>
    <w:rsid w:val="00AD32CE"/>
    <w:rsid w:val="00AD5187"/>
    <w:rsid w:val="00AD5588"/>
    <w:rsid w:val="00AD6B11"/>
    <w:rsid w:val="00AD6B34"/>
    <w:rsid w:val="00AD6F90"/>
    <w:rsid w:val="00AE0286"/>
    <w:rsid w:val="00AE247F"/>
    <w:rsid w:val="00AE4A24"/>
    <w:rsid w:val="00AE4FC7"/>
    <w:rsid w:val="00AF01E3"/>
    <w:rsid w:val="00AF06A7"/>
    <w:rsid w:val="00AF2046"/>
    <w:rsid w:val="00AF23AE"/>
    <w:rsid w:val="00AF2EF7"/>
    <w:rsid w:val="00AF3741"/>
    <w:rsid w:val="00AF3B5C"/>
    <w:rsid w:val="00AF48D2"/>
    <w:rsid w:val="00B0014A"/>
    <w:rsid w:val="00B00B50"/>
    <w:rsid w:val="00B00DB2"/>
    <w:rsid w:val="00B016E3"/>
    <w:rsid w:val="00B02B0B"/>
    <w:rsid w:val="00B03817"/>
    <w:rsid w:val="00B04283"/>
    <w:rsid w:val="00B05BA8"/>
    <w:rsid w:val="00B06DCA"/>
    <w:rsid w:val="00B0741D"/>
    <w:rsid w:val="00B07AD8"/>
    <w:rsid w:val="00B07B20"/>
    <w:rsid w:val="00B1081B"/>
    <w:rsid w:val="00B13AEB"/>
    <w:rsid w:val="00B14F01"/>
    <w:rsid w:val="00B15525"/>
    <w:rsid w:val="00B15C0B"/>
    <w:rsid w:val="00B1631F"/>
    <w:rsid w:val="00B174BA"/>
    <w:rsid w:val="00B17AF3"/>
    <w:rsid w:val="00B20945"/>
    <w:rsid w:val="00B223B5"/>
    <w:rsid w:val="00B229AD"/>
    <w:rsid w:val="00B237BC"/>
    <w:rsid w:val="00B26B3F"/>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2E01"/>
    <w:rsid w:val="00B83D6D"/>
    <w:rsid w:val="00B86BB5"/>
    <w:rsid w:val="00B91072"/>
    <w:rsid w:val="00B91B6E"/>
    <w:rsid w:val="00B94B2C"/>
    <w:rsid w:val="00B96F7D"/>
    <w:rsid w:val="00B970D0"/>
    <w:rsid w:val="00BA49F4"/>
    <w:rsid w:val="00BA5C41"/>
    <w:rsid w:val="00BA6ACA"/>
    <w:rsid w:val="00BA7232"/>
    <w:rsid w:val="00BA7809"/>
    <w:rsid w:val="00BB1091"/>
    <w:rsid w:val="00BB4077"/>
    <w:rsid w:val="00BB449C"/>
    <w:rsid w:val="00BB44D7"/>
    <w:rsid w:val="00BB4822"/>
    <w:rsid w:val="00BC2561"/>
    <w:rsid w:val="00BC3E3E"/>
    <w:rsid w:val="00BC422A"/>
    <w:rsid w:val="00BC5128"/>
    <w:rsid w:val="00BC5608"/>
    <w:rsid w:val="00BC7CA6"/>
    <w:rsid w:val="00BD04C9"/>
    <w:rsid w:val="00BD3536"/>
    <w:rsid w:val="00BD37FD"/>
    <w:rsid w:val="00BE0B46"/>
    <w:rsid w:val="00BE1D46"/>
    <w:rsid w:val="00BE225E"/>
    <w:rsid w:val="00BE237E"/>
    <w:rsid w:val="00BE3703"/>
    <w:rsid w:val="00BE567F"/>
    <w:rsid w:val="00BF0A29"/>
    <w:rsid w:val="00BF25CD"/>
    <w:rsid w:val="00BF318E"/>
    <w:rsid w:val="00BF5553"/>
    <w:rsid w:val="00BF75CD"/>
    <w:rsid w:val="00C00F1C"/>
    <w:rsid w:val="00C0346D"/>
    <w:rsid w:val="00C0358F"/>
    <w:rsid w:val="00C03BB0"/>
    <w:rsid w:val="00C041CF"/>
    <w:rsid w:val="00C0696A"/>
    <w:rsid w:val="00C12034"/>
    <w:rsid w:val="00C1396B"/>
    <w:rsid w:val="00C13DF2"/>
    <w:rsid w:val="00C157E0"/>
    <w:rsid w:val="00C1698A"/>
    <w:rsid w:val="00C17E6C"/>
    <w:rsid w:val="00C2348C"/>
    <w:rsid w:val="00C24414"/>
    <w:rsid w:val="00C249CC"/>
    <w:rsid w:val="00C24E5F"/>
    <w:rsid w:val="00C255B6"/>
    <w:rsid w:val="00C26F3A"/>
    <w:rsid w:val="00C2770B"/>
    <w:rsid w:val="00C30296"/>
    <w:rsid w:val="00C306C6"/>
    <w:rsid w:val="00C3170E"/>
    <w:rsid w:val="00C31947"/>
    <w:rsid w:val="00C34E63"/>
    <w:rsid w:val="00C40053"/>
    <w:rsid w:val="00C4294D"/>
    <w:rsid w:val="00C444C8"/>
    <w:rsid w:val="00C452DD"/>
    <w:rsid w:val="00C45856"/>
    <w:rsid w:val="00C46603"/>
    <w:rsid w:val="00C54316"/>
    <w:rsid w:val="00C55208"/>
    <w:rsid w:val="00C5527D"/>
    <w:rsid w:val="00C60C9A"/>
    <w:rsid w:val="00C61B1A"/>
    <w:rsid w:val="00C62A53"/>
    <w:rsid w:val="00C709F9"/>
    <w:rsid w:val="00C73A70"/>
    <w:rsid w:val="00C76054"/>
    <w:rsid w:val="00C779A2"/>
    <w:rsid w:val="00C80546"/>
    <w:rsid w:val="00C81A4A"/>
    <w:rsid w:val="00C83CAD"/>
    <w:rsid w:val="00C8419E"/>
    <w:rsid w:val="00C851D7"/>
    <w:rsid w:val="00C85C8B"/>
    <w:rsid w:val="00C867AD"/>
    <w:rsid w:val="00C87F9F"/>
    <w:rsid w:val="00C91003"/>
    <w:rsid w:val="00C9545D"/>
    <w:rsid w:val="00C9625C"/>
    <w:rsid w:val="00C978C6"/>
    <w:rsid w:val="00C97F2A"/>
    <w:rsid w:val="00CA112D"/>
    <w:rsid w:val="00CA1F9F"/>
    <w:rsid w:val="00CA2179"/>
    <w:rsid w:val="00CA3D8A"/>
    <w:rsid w:val="00CA582F"/>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2F12"/>
    <w:rsid w:val="00CE49F8"/>
    <w:rsid w:val="00CE4E1E"/>
    <w:rsid w:val="00CE66B5"/>
    <w:rsid w:val="00CF07B9"/>
    <w:rsid w:val="00CF52DF"/>
    <w:rsid w:val="00CF5832"/>
    <w:rsid w:val="00CF5911"/>
    <w:rsid w:val="00CF7221"/>
    <w:rsid w:val="00CF724E"/>
    <w:rsid w:val="00D019AA"/>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EB3"/>
    <w:rsid w:val="00D3358B"/>
    <w:rsid w:val="00D35E02"/>
    <w:rsid w:val="00D401A8"/>
    <w:rsid w:val="00D41425"/>
    <w:rsid w:val="00D45594"/>
    <w:rsid w:val="00D46275"/>
    <w:rsid w:val="00D467CA"/>
    <w:rsid w:val="00D4759B"/>
    <w:rsid w:val="00D500A4"/>
    <w:rsid w:val="00D51205"/>
    <w:rsid w:val="00D516FC"/>
    <w:rsid w:val="00D51F2D"/>
    <w:rsid w:val="00D535EE"/>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589A"/>
    <w:rsid w:val="00DA6219"/>
    <w:rsid w:val="00DA648D"/>
    <w:rsid w:val="00DA726D"/>
    <w:rsid w:val="00DB3DEA"/>
    <w:rsid w:val="00DB40BD"/>
    <w:rsid w:val="00DB4B8E"/>
    <w:rsid w:val="00DB4F4B"/>
    <w:rsid w:val="00DC070F"/>
    <w:rsid w:val="00DC3858"/>
    <w:rsid w:val="00DC3A57"/>
    <w:rsid w:val="00DC7A95"/>
    <w:rsid w:val="00DD4B6C"/>
    <w:rsid w:val="00DD55C2"/>
    <w:rsid w:val="00DD759E"/>
    <w:rsid w:val="00DE314E"/>
    <w:rsid w:val="00DE4CFB"/>
    <w:rsid w:val="00DF045B"/>
    <w:rsid w:val="00DF1ED8"/>
    <w:rsid w:val="00DF3785"/>
    <w:rsid w:val="00DF3D27"/>
    <w:rsid w:val="00DF6074"/>
    <w:rsid w:val="00E02239"/>
    <w:rsid w:val="00E047EC"/>
    <w:rsid w:val="00E07D42"/>
    <w:rsid w:val="00E15B3D"/>
    <w:rsid w:val="00E163E9"/>
    <w:rsid w:val="00E240F5"/>
    <w:rsid w:val="00E30004"/>
    <w:rsid w:val="00E333AC"/>
    <w:rsid w:val="00E3456B"/>
    <w:rsid w:val="00E35C16"/>
    <w:rsid w:val="00E36085"/>
    <w:rsid w:val="00E36813"/>
    <w:rsid w:val="00E37207"/>
    <w:rsid w:val="00E4086F"/>
    <w:rsid w:val="00E42382"/>
    <w:rsid w:val="00E53393"/>
    <w:rsid w:val="00E603DF"/>
    <w:rsid w:val="00E60E1C"/>
    <w:rsid w:val="00E63745"/>
    <w:rsid w:val="00E6699F"/>
    <w:rsid w:val="00E67B40"/>
    <w:rsid w:val="00E67BBA"/>
    <w:rsid w:val="00E703AE"/>
    <w:rsid w:val="00E70AB4"/>
    <w:rsid w:val="00E72373"/>
    <w:rsid w:val="00E76AF9"/>
    <w:rsid w:val="00E84EF0"/>
    <w:rsid w:val="00E8649C"/>
    <w:rsid w:val="00E87886"/>
    <w:rsid w:val="00E87CDE"/>
    <w:rsid w:val="00E91FC1"/>
    <w:rsid w:val="00E92D54"/>
    <w:rsid w:val="00E9323C"/>
    <w:rsid w:val="00E958D9"/>
    <w:rsid w:val="00E95FD8"/>
    <w:rsid w:val="00EA0283"/>
    <w:rsid w:val="00EA5DE1"/>
    <w:rsid w:val="00EB0C86"/>
    <w:rsid w:val="00EB0E16"/>
    <w:rsid w:val="00EB1A57"/>
    <w:rsid w:val="00EB236F"/>
    <w:rsid w:val="00EB237E"/>
    <w:rsid w:val="00EC1546"/>
    <w:rsid w:val="00EC5B23"/>
    <w:rsid w:val="00EC5DED"/>
    <w:rsid w:val="00EC6BD8"/>
    <w:rsid w:val="00ED0356"/>
    <w:rsid w:val="00ED0D71"/>
    <w:rsid w:val="00ED3DCD"/>
    <w:rsid w:val="00ED3DD5"/>
    <w:rsid w:val="00ED56BE"/>
    <w:rsid w:val="00ED74D7"/>
    <w:rsid w:val="00ED7ECB"/>
    <w:rsid w:val="00EE40F8"/>
    <w:rsid w:val="00EE6DD6"/>
    <w:rsid w:val="00EF0867"/>
    <w:rsid w:val="00EF1A10"/>
    <w:rsid w:val="00EF1A9F"/>
    <w:rsid w:val="00EF1B27"/>
    <w:rsid w:val="00EF1F27"/>
    <w:rsid w:val="00EF4370"/>
    <w:rsid w:val="00EF5AD7"/>
    <w:rsid w:val="00F02DDE"/>
    <w:rsid w:val="00F03FA7"/>
    <w:rsid w:val="00F048EF"/>
    <w:rsid w:val="00F053CF"/>
    <w:rsid w:val="00F0577D"/>
    <w:rsid w:val="00F06AAD"/>
    <w:rsid w:val="00F146BE"/>
    <w:rsid w:val="00F14FA8"/>
    <w:rsid w:val="00F22013"/>
    <w:rsid w:val="00F22356"/>
    <w:rsid w:val="00F226E0"/>
    <w:rsid w:val="00F2522F"/>
    <w:rsid w:val="00F30180"/>
    <w:rsid w:val="00F31A29"/>
    <w:rsid w:val="00F3279A"/>
    <w:rsid w:val="00F37236"/>
    <w:rsid w:val="00F44634"/>
    <w:rsid w:val="00F505EC"/>
    <w:rsid w:val="00F5088F"/>
    <w:rsid w:val="00F51657"/>
    <w:rsid w:val="00F5223C"/>
    <w:rsid w:val="00F57787"/>
    <w:rsid w:val="00F57B97"/>
    <w:rsid w:val="00F6105A"/>
    <w:rsid w:val="00F61E82"/>
    <w:rsid w:val="00F6243A"/>
    <w:rsid w:val="00F63323"/>
    <w:rsid w:val="00F636FE"/>
    <w:rsid w:val="00F648B2"/>
    <w:rsid w:val="00F67EBD"/>
    <w:rsid w:val="00F70EA4"/>
    <w:rsid w:val="00F77851"/>
    <w:rsid w:val="00F80FAB"/>
    <w:rsid w:val="00F81E3B"/>
    <w:rsid w:val="00F827E1"/>
    <w:rsid w:val="00F927B5"/>
    <w:rsid w:val="00F94BD0"/>
    <w:rsid w:val="00F95403"/>
    <w:rsid w:val="00F96705"/>
    <w:rsid w:val="00F96750"/>
    <w:rsid w:val="00F9704D"/>
    <w:rsid w:val="00FA0166"/>
    <w:rsid w:val="00FA04E2"/>
    <w:rsid w:val="00FA2400"/>
    <w:rsid w:val="00FA33E9"/>
    <w:rsid w:val="00FA4DD9"/>
    <w:rsid w:val="00FA55C8"/>
    <w:rsid w:val="00FA74C6"/>
    <w:rsid w:val="00FB24ED"/>
    <w:rsid w:val="00FB29AF"/>
    <w:rsid w:val="00FB313D"/>
    <w:rsid w:val="00FB4003"/>
    <w:rsid w:val="00FB4EBA"/>
    <w:rsid w:val="00FB7086"/>
    <w:rsid w:val="00FB78B9"/>
    <w:rsid w:val="00FC6733"/>
    <w:rsid w:val="00FD2677"/>
    <w:rsid w:val="00FD28B8"/>
    <w:rsid w:val="00FE0BD8"/>
    <w:rsid w:val="00FE1709"/>
    <w:rsid w:val="00FE1FC9"/>
    <w:rsid w:val="00FF32DE"/>
    <w:rsid w:val="00FF39FB"/>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86A480"/>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Normal Nivel 1,List Paragraph Main,List first level,List Paragraph_Sections"/>
    <w:basedOn w:val="Normal"/>
    <w:link w:val="ListParagraphChar"/>
    <w:autoRedefine/>
    <w:uiPriority w:val="34"/>
    <w:qFormat/>
    <w:rsid w:val="00833243"/>
    <w:pPr>
      <w:numPr>
        <w:numId w:val="21"/>
      </w:numPr>
      <w:tabs>
        <w:tab w:val="left" w:pos="0"/>
        <w:tab w:val="left" w:pos="142"/>
        <w:tab w:val="left" w:pos="284"/>
        <w:tab w:val="left" w:pos="567"/>
      </w:tabs>
      <w:autoSpaceDE w:val="0"/>
      <w:autoSpaceDN w:val="0"/>
      <w:adjustRightInd w:val="0"/>
      <w:spacing w:after="250" w:line="276" w:lineRule="auto"/>
      <w:jc w:val="both"/>
    </w:pPr>
    <w:rPr>
      <w:rFonts w:asciiTheme="minorHAnsi" w:eastAsiaTheme="minorEastAsia" w:hAnsiTheme="minorHAnsi" w:cstheme="minorBidi"/>
      <w:color w:val="1F497D"/>
      <w:lang w:val="en-US" w:eastAsia="en-US"/>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1F6354"/>
    <w:pPr>
      <w:numPr>
        <w:numId w:val="9"/>
      </w:numPr>
      <w:spacing w:after="250" w:line="276" w:lineRule="auto"/>
      <w:contextualSpacing/>
      <w:jc w:val="both"/>
    </w:pPr>
    <w:rPr>
      <w:rFonts w:asciiTheme="minorHAnsi" w:hAnsiTheme="minorHAnsi" w:cstheme="minorHAnsi"/>
      <w:b/>
      <w:sz w:val="22"/>
      <w:szCs w:val="22"/>
    </w:rPr>
  </w:style>
  <w:style w:type="character" w:customStyle="1" w:styleId="QuestionstyleChar">
    <w:name w:val="Question style Char"/>
    <w:basedOn w:val="DefaultParagraphFont"/>
    <w:link w:val="Questionstyle"/>
    <w:rsid w:val="001F6354"/>
    <w:rPr>
      <w:rFonts w:eastAsia="Times New Roman" w:cstheme="minorHAnsi"/>
      <w:b/>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nhideWhenUsed/>
    <w:qFormat/>
    <w:rsid w:val="006F53E8"/>
    <w:rPr>
      <w:sz w:val="16"/>
    </w:rPr>
  </w:style>
  <w:style w:type="character" w:customStyle="1" w:styleId="FootnoteTextChar">
    <w:name w:val="Footnote Text Char"/>
    <w:basedOn w:val="DefaultParagraphFont"/>
    <w:link w:val="FootnoteText"/>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Normal Nivel 1 Char,List Paragraph Main Char,List first level Char,List Paragraph_Sections Char"/>
    <w:basedOn w:val="DefaultParagraphFont"/>
    <w:link w:val="ListParagraph"/>
    <w:uiPriority w:val="34"/>
    <w:rsid w:val="00833243"/>
    <w:rPr>
      <w:color w:val="1F497D"/>
      <w:sz w:val="24"/>
      <w:szCs w:val="24"/>
      <w:lang w:val="en-US"/>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ther Work Document" ma:contentTypeID="0x010100DD70E92362DEE14191597B20A60D97FF021000965AB77F8A9CDA4F84DF757DE0E7E0EB" ma:contentTypeVersion="139" ma:contentTypeDescription="" ma:contentTypeScope="" ma:versionID="1dade7e22ff44667bf538f766b29126c">
  <xsd:schema xmlns:xsd="http://www.w3.org/2001/XMLSchema" xmlns:xs="http://www.w3.org/2001/XMLSchema" xmlns:p="http://schemas.microsoft.com/office/2006/metadata/properties" xmlns:ns2="35c8e399-07b8-49e4-91bf-01a20105d4df" targetNamespace="http://schemas.microsoft.com/office/2006/metadata/properties" ma:root="true" ma:fieldsID="3efdec30530f1486a49bd24a2216b6f4" ns2:_="">
    <xsd:import namespace="35c8e399-07b8-49e4-91bf-01a20105d4df"/>
    <xsd:element name="properties">
      <xsd:complexType>
        <xsd:sequence>
          <xsd:element name="documentManagement">
            <xsd:complexType>
              <xsd:all>
                <xsd:element ref="ns2:Year"/>
                <xsd:element ref="ns2:MeetingDate" minOccurs="0"/>
                <xsd:element ref="ns2:_dlc_DocId" minOccurs="0"/>
                <xsd:element ref="ns2:TaxCatchAll" minOccurs="0"/>
                <xsd:element ref="ns2:_dlc_DocIdUrl" minOccurs="0"/>
                <xsd:element ref="ns2:_dlc_DocIdPersistId" minOccurs="0"/>
                <xsd:element ref="ns2:kdd529b9a5cb416096d62dbd0e6e5583" minOccurs="0"/>
                <xsd:element ref="ns2:k9db3a09612944c49e649e0ff38a506b" minOccurs="0"/>
                <xsd:element ref="ns2:oa4fe03ffd8943c1880fe290404e8de7" minOccurs="0"/>
                <xsd:element ref="ns2:o129a376828d47fdaef4d5f5d93fd079" minOccurs="0"/>
                <xsd:element ref="ns2:le43fdf786354491b6a92d49b491b10f" minOccurs="0"/>
                <xsd:element ref="ns2:TaxCatchAllLabel" minOccurs="0"/>
                <xsd:element ref="ns2:i273e4c9de95495b82bee898e1d119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8e399-07b8-49e4-91bf-01a20105d4df" elementFormDefault="qualified">
    <xsd:import namespace="http://schemas.microsoft.com/office/2006/documentManagement/types"/>
    <xsd:import namespace="http://schemas.microsoft.com/office/infopath/2007/PartnerControls"/>
    <xsd:element name="Year" ma:index="6" ma:displayName="Year" ma:description="" ma:internalName="Year">
      <xsd:simpleType>
        <xsd:restriction base="dms:Text">
          <xsd:maxLength value="4"/>
        </xsd:restriction>
      </xsd:simpleType>
    </xsd:element>
    <xsd:element name="MeetingDate" ma:index="8" nillable="true" ma:displayName="Meeting Date" ma:description="" ma:format="DateOnly" ma:internalName="MeetingDate" ma:readOnly="fals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TaxCatchAll" ma:index="11" nillable="true" ma:displayName="Taxonomy Catch All Column" ma:hidden="true" ma:list="{c380671e-f6c3-419a-ac4e-e7d07b07efc7}" ma:internalName="TaxCatchAll" ma:showField="CatchAllData"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dd529b9a5cb416096d62dbd0e6e5583" ma:index="14" ma:taxonomy="true" ma:internalName="kdd529b9a5cb416096d62dbd0e6e5583" ma:taxonomyFieldName="TeamName" ma:displayName="Team Name" ma:readOnly="false" ma:default="38;#Investment Management|9630b78b-e81c-4ffd-baef-5f8b4aeb7ac5" ma:fieldId="{4dd529b9-a5cb-4160-96d6-2dbd0e6e5583}"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k9db3a09612944c49e649e0ff38a506b" ma:index="15" nillable="true" ma:taxonomy="true" ma:internalName="k9db3a09612944c49e649e0ff38a506b" ma:taxonomyFieldName="EsmaAudience" ma:displayName="Audience" ma:default="" ma:fieldId="{49db3a09-6129-44c4-9e64-9e0ff38a506b}"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oa4fe03ffd8943c1880fe290404e8de7" ma:index="16" ma:taxonomy="true" ma:internalName="oa4fe03ffd8943c1880fe290404e8de7" ma:taxonomyFieldName="DocumentType" ma:displayName="Document Type" ma:readOnly="false" ma:default="" ma:fieldId="{8a4fe03f-fd89-43c1-880f-e290404e8de7}"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18" ma:taxonomy="true" ma:internalName="o129a376828d47fdaef4d5f5d93fd079" ma:taxonomyFieldName="ConfidentialityLevel" ma:displayName="Confidentiality Level" ma:readOnly="false" ma:default="15;#Regular|07f1e362-856b-423d-bea6-a14079762141" ma:fieldId="{8129a376-828d-47fd-aef4-d5f5d93fd079}"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le43fdf786354491b6a92d49b491b10f" ma:index="23" nillable="true" ma:taxonomy="true" ma:internalName="le43fdf786354491b6a92d49b491b10f" ma:taxonomyFieldName="TeamTopic" ma:displayName="Team Topic" ma:readOnly="false" ma:default="87;#Other Work|f1a52b52-917d-42ef-9667-945839604bb2" ma:fieldId="{5e43fdf7-8635-4491-b6a9-2d49b491b10f}" ma:taxonomyMulti="true" ma:sspId="0ac1876e-32bf-4158-94e7-cdbcd053a335" ma:termSetId="659d163a-41f8-4a11-98d0-47db219aa0e4"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c380671e-f6c3-419a-ac4e-e7d07b07efc7}" ma:internalName="TaxCatchAllLabel" ma:readOnly="true" ma:showField="CatchAllDataLabel"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i273e4c9de95495b82bee898e1d119e4" ma:index="25" nillable="true" ma:taxonomy="true" ma:internalName="i273e4c9de95495b82bee898e1d119e4" ma:taxonomyFieldName="Topic" ma:displayName="Topic" ma:default="" ma:fieldId="{2273e4c9-de95-495b-82be-e898e1d119e4}" ma:sspId="0ac1876e-32bf-4158-94e7-cdbcd053a335" ma:termSetId="a11a6b21-db06-4e7f-a75f-2a10b1559aa2"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5c8e399-07b8-49e4-91bf-01a20105d4df">ESMA34-45-761</_dlc_DocId>
    <TaxCatchAll xmlns="35c8e399-07b8-49e4-91bf-01a20105d4df">
      <Value>15</Value>
      <Value>87</Value>
      <Value>38</Value>
      <Value>63</Value>
    </TaxCatchAll>
    <_dlc_DocIdUrl xmlns="35c8e399-07b8-49e4-91bf-01a20105d4df">
      <Url>https://sherpa.esma.europa.eu/sites/INIIVM/_layouts/15/DocIdRedir.aspx?ID=ESMA34-45-761</Url>
      <Description>ESMA34-45-761</Description>
    </_dlc_DocIdUrl>
    <Year xmlns="35c8e399-07b8-49e4-91bf-01a20105d4df">2019</Year>
    <MeetingDate xmlns="35c8e399-07b8-49e4-91bf-01a20105d4df" xsi:nil="true"/>
    <k9db3a09612944c49e649e0ff38a506b xmlns="35c8e399-07b8-49e4-91bf-01a20105d4df">
      <Terms xmlns="http://schemas.microsoft.com/office/infopath/2007/PartnerControls"/>
    </k9db3a09612944c49e649e0ff38a506b>
    <o129a376828d47fdaef4d5f5d93fd079 xmlns="35c8e399-07b8-49e4-91bf-01a20105d4d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35c8e399-07b8-49e4-91bf-01a20105d4df">
      <Terms xmlns="http://schemas.microsoft.com/office/infopath/2007/PartnerControls">
        <TermInfo xmlns="http://schemas.microsoft.com/office/infopath/2007/PartnerControls">
          <TermName xmlns="http://schemas.microsoft.com/office/infopath/2007/PartnerControls">Other Work</TermName>
          <TermId xmlns="http://schemas.microsoft.com/office/infopath/2007/PartnerControls">f1a52b52-917d-42ef-9667-945839604bb2</TermId>
        </TermInfo>
      </Terms>
    </le43fdf786354491b6a92d49b491b10f>
    <kdd529b9a5cb416096d62dbd0e6e5583 xmlns="35c8e399-07b8-49e4-91bf-01a20105d4df">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i273e4c9de95495b82bee898e1d119e4 xmlns="35c8e399-07b8-49e4-91bf-01a20105d4df">
      <Terms xmlns="http://schemas.microsoft.com/office/infopath/2007/PartnerControls"/>
    </i273e4c9de95495b82bee898e1d119e4>
    <oa4fe03ffd8943c1880fe290404e8de7 xmlns="35c8e399-07b8-49e4-91bf-01a20105d4df">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78753201-1e9e-4a21-a088-6ff602b5c999</TermId>
        </TermInfo>
      </Terms>
    </oa4fe03ffd8943c1880fe290404e8de7>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2.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3.xml><?xml version="1.0" encoding="utf-8"?>
<ds:datastoreItem xmlns:ds="http://schemas.openxmlformats.org/officeDocument/2006/customXml" ds:itemID="{77161E91-E02C-4509-B900-32B397126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8e399-07b8-49e4-91bf-01a20105d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37F5EE-E87B-49CE-96B5-F95CE63A0DF2}">
  <ds:schemaRefs>
    <ds:schemaRef ds:uri="http://purl.org/dc/dcmitype/"/>
    <ds:schemaRef ds:uri="http://schemas.microsoft.com/office/2006/documentManagement/types"/>
    <ds:schemaRef ds:uri="35c8e399-07b8-49e4-91bf-01a20105d4df"/>
    <ds:schemaRef ds:uri="http://purl.org/dc/elements/1.1/"/>
    <ds:schemaRef ds:uri="http://schemas.openxmlformats.org/package/2006/metadata/core-properties"/>
    <ds:schemaRef ds:uri="http://schemas.microsoft.com/office/infopath/2007/PartnerControls"/>
    <ds:schemaRef ds:uri="http://purl.org/dc/terms/"/>
    <ds:schemaRef ds:uri="http://www.w3.org/XML/1998/namespace"/>
    <ds:schemaRef ds:uri="http://schemas.microsoft.com/office/2006/metadata/properties"/>
  </ds:schemaRefs>
</ds:datastoreItem>
</file>

<file path=customXml/itemProps5.xml><?xml version="1.0" encoding="utf-8"?>
<ds:datastoreItem xmlns:ds="http://schemas.openxmlformats.org/officeDocument/2006/customXml" ds:itemID="{57DB9A80-9AA6-4E24-A44E-1B5B1B9DE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GuidelinesAndRecommendations_Template_Regular.dotx</Template>
  <TotalTime>0</TotalTime>
  <Pages>16</Pages>
  <Words>4323</Words>
  <Characters>23782</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ESMA</Company>
  <LinksUpToDate>false</LinksUpToDate>
  <CharactersWithSpaces>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Pane Andrea (AMUNDI)</cp:lastModifiedBy>
  <cp:revision>4</cp:revision>
  <cp:lastPrinted>2019-10-23T12:49:00Z</cp:lastPrinted>
  <dcterms:created xsi:type="dcterms:W3CDTF">2019-10-30T14:03:00Z</dcterms:created>
  <dcterms:modified xsi:type="dcterms:W3CDTF">2019-10-30T14:15:00Z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15;#Regular|07f1e362-856b-423d-bea6-a14079762141</vt:lpwstr>
  </property>
  <property fmtid="{D5CDD505-2E9C-101B-9397-08002B2CF9AE}" pid="4" name="ContentTypeId">
    <vt:lpwstr>0x010100DD70E92362DEE14191597B20A60D97FF021000965AB77F8A9CDA4F84DF757DE0E7E0EB</vt:lpwstr>
  </property>
  <property fmtid="{D5CDD505-2E9C-101B-9397-08002B2CF9AE}" pid="5" name="_dlc_DocIdItemGuid">
    <vt:lpwstr>ba31aa55-4212-4994-b15b-839c38dc9023</vt:lpwstr>
  </property>
  <property fmtid="{D5CDD505-2E9C-101B-9397-08002B2CF9AE}" pid="6" name="DocumentType">
    <vt:lpwstr>63;#Report|78753201-1e9e-4a21-a088-6ff602b5c999</vt:lpwstr>
  </property>
  <property fmtid="{D5CDD505-2E9C-101B-9397-08002B2CF9AE}" pid="7" name="Topic">
    <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38;#Investment Management|9630b78b-e81c-4ffd-baef-5f8b4aeb7ac5</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83;#CSDR Guidelines|3766e6b8-c718-4d18-ace1-7788cb47febc</vt:lpwstr>
  </property>
  <property fmtid="{D5CDD505-2E9C-101B-9397-08002B2CF9AE}" pid="18" name="TeamTopic">
    <vt:lpwstr>87;#Other Work|f1a52b52-917d-42ef-9667-945839604bb2</vt:lpwstr>
  </property>
  <property fmtid="{D5CDD505-2E9C-101B-9397-08002B2CF9AE}" pid="19" name="_AdHocReviewCycleID">
    <vt:i4>1537361796</vt:i4>
  </property>
  <property fmtid="{D5CDD505-2E9C-101B-9397-08002B2CF9AE}" pid="20" name="_NewReviewCycle">
    <vt:lpwstr/>
  </property>
  <property fmtid="{D5CDD505-2E9C-101B-9397-08002B2CF9AE}" pid="21" name="_EmailSubject">
    <vt:lpwstr>***For Information*** FOR APPROVAL - URGENT: EFAMA draft final response to ESMA consultation on performance fees in UCITS - Deadline: 31 October noon CET</vt:lpwstr>
  </property>
  <property fmtid="{D5CDD505-2E9C-101B-9397-08002B2CF9AE}" pid="22" name="_AuthorEmail">
    <vt:lpwstr>simon.janin@amundi.com</vt:lpwstr>
  </property>
  <property fmtid="{D5CDD505-2E9C-101B-9397-08002B2CF9AE}" pid="23" name="_AuthorEmailDisplayName">
    <vt:lpwstr>Janin Simon (AMUNDI)</vt:lpwstr>
  </property>
  <property fmtid="{D5CDD505-2E9C-101B-9397-08002B2CF9AE}" pid="24" name="_PreviousAdHocReviewCycleID">
    <vt:i4>967759834</vt:i4>
  </property>
</Properties>
</file>