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displacedByCustomXml="next"/>
    <w:bookmarkEnd w:id="0" w:displacedByCustomXml="next"/>
    <w:sdt>
      <w:sdtPr>
        <w:rPr>
          <w:rFonts w:asciiTheme="minorHAnsi" w:hAnsiTheme="minorHAnsi" w:cstheme="minorHAnsi"/>
        </w:rPr>
        <w:id w:val="-973058580"/>
        <w:docPartObj>
          <w:docPartGallery w:val="Cover Pages"/>
          <w:docPartUnique/>
        </w:docPartObj>
      </w:sdtPr>
      <w:sdtEndPr>
        <w:rPr>
          <w:highlight w:val="yellow"/>
        </w:rPr>
      </w:sdtEndPr>
      <w:sdtContent>
        <w:p w14:paraId="61BFF4B7" w14:textId="77777777" w:rsidR="00AF2EF7" w:rsidRPr="00B8572C" w:rsidRDefault="00AF2EF7" w:rsidP="00AF2EF7">
          <w:pPr>
            <w:spacing w:line="276" w:lineRule="auto"/>
            <w:rPr>
              <w:rFonts w:asciiTheme="minorHAnsi" w:hAnsiTheme="minorHAnsi" w:cstheme="minorHAnsi"/>
              <w:color w:val="FF0000"/>
            </w:rPr>
          </w:pPr>
        </w:p>
        <w:p w14:paraId="1C1BFAE2" w14:textId="77777777" w:rsidR="00AF2EF7" w:rsidRPr="00B8572C" w:rsidRDefault="00AF2EF7" w:rsidP="00AF2EF7">
          <w:pPr>
            <w:spacing w:after="120" w:line="276" w:lineRule="auto"/>
            <w:rPr>
              <w:rFonts w:asciiTheme="minorHAnsi" w:hAnsiTheme="minorHAnsi" w:cstheme="minorHAnsi"/>
            </w:rPr>
          </w:pPr>
        </w:p>
        <w:p w14:paraId="787460E0" w14:textId="77777777" w:rsidR="00AF2EF7" w:rsidRPr="00B8572C" w:rsidRDefault="00AF2EF7" w:rsidP="00AF2EF7">
          <w:pPr>
            <w:spacing w:line="276" w:lineRule="auto"/>
            <w:rPr>
              <w:rFonts w:asciiTheme="minorHAnsi" w:hAnsiTheme="minorHAnsi" w:cstheme="minorHAnsi"/>
            </w:rPr>
          </w:pPr>
        </w:p>
        <w:p w14:paraId="23B57B18" w14:textId="77777777" w:rsidR="00AF2EF7" w:rsidRPr="00B8572C" w:rsidRDefault="00AF2EF7" w:rsidP="00AF2EF7">
          <w:pPr>
            <w:spacing w:line="276" w:lineRule="auto"/>
            <w:rPr>
              <w:rFonts w:asciiTheme="minorHAnsi" w:hAnsiTheme="minorHAnsi" w:cstheme="minorHAnsi"/>
            </w:rPr>
          </w:pPr>
        </w:p>
        <w:p w14:paraId="04401C2B" w14:textId="77777777" w:rsidR="00AF2EF7" w:rsidRPr="00B8572C" w:rsidRDefault="00AF2EF7" w:rsidP="00AF2EF7">
          <w:pPr>
            <w:spacing w:line="276" w:lineRule="auto"/>
            <w:rPr>
              <w:rFonts w:asciiTheme="minorHAnsi" w:hAnsiTheme="minorHAnsi" w:cstheme="minorHAnsi"/>
            </w:rPr>
          </w:pPr>
        </w:p>
        <w:tbl>
          <w:tblPr>
            <w:tblpPr w:leftFromText="8505" w:vertAnchor="page" w:horzAnchor="margin" w:tblpX="-426" w:tblpY="3444"/>
            <w:tblW w:w="10550" w:type="dxa"/>
            <w:tblLayout w:type="fixed"/>
            <w:tblCellMar>
              <w:left w:w="0" w:type="dxa"/>
              <w:right w:w="0" w:type="dxa"/>
            </w:tblCellMar>
            <w:tblLook w:val="01E0" w:firstRow="1" w:lastRow="1" w:firstColumn="1" w:lastColumn="1" w:noHBand="0" w:noVBand="0"/>
          </w:tblPr>
          <w:tblGrid>
            <w:gridCol w:w="10550"/>
          </w:tblGrid>
          <w:tr w:rsidR="00AF2EF7" w:rsidRPr="00B8572C" w14:paraId="55D8B106" w14:textId="77777777" w:rsidTr="00010773">
            <w:trPr>
              <w:trHeight w:hRule="exact" w:val="1268"/>
            </w:trPr>
            <w:tc>
              <w:tcPr>
                <w:tcW w:w="10550" w:type="dxa"/>
                <w:vAlign w:val="bottom"/>
              </w:tcPr>
              <w:p w14:paraId="2A8545EF" w14:textId="3CDBB7D7" w:rsidR="00AF2EF7" w:rsidRPr="00B8572C" w:rsidRDefault="00C1698A" w:rsidP="00D13661">
                <w:pPr>
                  <w:pStyle w:val="Title"/>
                  <w:spacing w:line="276" w:lineRule="auto"/>
                  <w:ind w:right="854"/>
                  <w:rPr>
                    <w:rFonts w:asciiTheme="minorHAnsi" w:hAnsiTheme="minorHAnsi" w:cstheme="minorHAnsi"/>
                    <w:sz w:val="48"/>
                    <w:szCs w:val="48"/>
                  </w:rPr>
                </w:pPr>
                <w:r>
                  <w:rPr>
                    <w:rFonts w:asciiTheme="minorHAnsi" w:hAnsiTheme="minorHAnsi" w:cstheme="minorHAnsi"/>
                    <w:sz w:val="48"/>
                    <w:szCs w:val="48"/>
                  </w:rPr>
                  <w:t xml:space="preserve">Response Form to the </w:t>
                </w:r>
                <w:r w:rsidR="008B2AF1">
                  <w:rPr>
                    <w:rFonts w:asciiTheme="minorHAnsi" w:hAnsiTheme="minorHAnsi" w:cstheme="minorHAnsi"/>
                    <w:sz w:val="48"/>
                    <w:szCs w:val="48"/>
                  </w:rPr>
                  <w:t xml:space="preserve">Consultation Paper </w:t>
                </w:r>
              </w:p>
            </w:tc>
          </w:tr>
          <w:tr w:rsidR="00AB6157" w:rsidRPr="00B8572C" w14:paraId="76D253F5" w14:textId="77777777" w:rsidTr="00010773">
            <w:trPr>
              <w:trHeight w:hRule="exact" w:val="1113"/>
            </w:trPr>
            <w:tc>
              <w:tcPr>
                <w:tcW w:w="10550" w:type="dxa"/>
                <w:tcMar>
                  <w:top w:w="142" w:type="dxa"/>
                </w:tcMar>
              </w:tcPr>
              <w:p w14:paraId="26CF3934" w14:textId="3A15E927" w:rsidR="00AB6157" w:rsidRPr="00B8572C" w:rsidRDefault="00010773" w:rsidP="00010773">
                <w:pPr>
                  <w:pStyle w:val="Heading2"/>
                  <w:numPr>
                    <w:ilvl w:val="0"/>
                    <w:numId w:val="0"/>
                  </w:numPr>
                  <w:ind w:left="576" w:hanging="576"/>
                </w:pPr>
                <w:r>
                  <w:rPr>
                    <w:rFonts w:cs="Arial"/>
                  </w:rPr>
                  <w:t>MiFID II/MiFIR review report on the development in prices for pre- and post-trade data and on the consolidated tape for equity instruments</w:t>
                </w:r>
              </w:p>
            </w:tc>
          </w:tr>
        </w:tbl>
        <w:p w14:paraId="7DEBD68F" w14:textId="77777777" w:rsidR="00AF2EF7" w:rsidRPr="00B8572C" w:rsidRDefault="00AF2EF7" w:rsidP="00AF2EF7">
          <w:pPr>
            <w:spacing w:line="276" w:lineRule="auto"/>
            <w:rPr>
              <w:rFonts w:asciiTheme="minorHAnsi" w:hAnsiTheme="minorHAnsi" w:cstheme="minorHAnsi"/>
            </w:rPr>
          </w:pPr>
        </w:p>
        <w:p w14:paraId="5B933631" w14:textId="77777777" w:rsidR="00AF2EF7" w:rsidRPr="00B8572C" w:rsidRDefault="00AF2EF7" w:rsidP="00AF2EF7">
          <w:pPr>
            <w:spacing w:line="276" w:lineRule="auto"/>
            <w:rPr>
              <w:rFonts w:asciiTheme="minorHAnsi" w:hAnsiTheme="minorHAnsi" w:cstheme="minorHAnsi"/>
            </w:rPr>
            <w:sectPr w:rsidR="00AF2EF7" w:rsidRPr="00B8572C" w:rsidSect="007E7997">
              <w:headerReference w:type="default" r:id="rId11"/>
              <w:footerReference w:type="default" r:id="rId12"/>
              <w:headerReference w:type="first" r:id="rId13"/>
              <w:footerReference w:type="first" r:id="rId14"/>
              <w:pgSz w:w="11906" w:h="16838"/>
              <w:pgMar w:top="1417" w:right="1417" w:bottom="1417" w:left="1417" w:header="708" w:footer="708" w:gutter="0"/>
              <w:pgNumType w:start="0"/>
              <w:cols w:space="708"/>
              <w:titlePg/>
              <w:docGrid w:linePitch="360"/>
            </w:sectPr>
          </w:pPr>
        </w:p>
        <w:p w14:paraId="3992D496" w14:textId="77777777" w:rsidR="00AF2EF7" w:rsidRPr="00B8572C" w:rsidRDefault="00AF2EF7" w:rsidP="00AF2EF7">
          <w:pPr>
            <w:numPr>
              <w:ilvl w:val="1"/>
              <w:numId w:val="0"/>
            </w:numPr>
            <w:spacing w:after="250" w:line="276" w:lineRule="auto"/>
            <w:jc w:val="both"/>
            <w:rPr>
              <w:rFonts w:asciiTheme="majorHAnsi" w:eastAsiaTheme="majorEastAsia" w:hAnsiTheme="majorHAnsi" w:cstheme="majorBidi"/>
              <w:b/>
              <w:sz w:val="28"/>
              <w:lang w:eastAsia="en-US"/>
            </w:rPr>
          </w:pPr>
        </w:p>
        <w:p w14:paraId="50F24FB7" w14:textId="77777777" w:rsidR="00AF2EF7" w:rsidRPr="00B8572C" w:rsidRDefault="00AF2EF7" w:rsidP="00AF2EF7">
          <w:pPr>
            <w:numPr>
              <w:ilvl w:val="1"/>
              <w:numId w:val="0"/>
            </w:numPr>
            <w:spacing w:after="250" w:line="276" w:lineRule="auto"/>
            <w:jc w:val="both"/>
            <w:rPr>
              <w:rFonts w:asciiTheme="majorHAnsi" w:eastAsiaTheme="majorEastAsia" w:hAnsiTheme="majorHAnsi" w:cstheme="majorBidi"/>
              <w:b/>
              <w:sz w:val="28"/>
              <w:lang w:eastAsia="en-US"/>
            </w:rPr>
          </w:pPr>
          <w:r w:rsidRPr="00B8572C">
            <w:rPr>
              <w:rFonts w:asciiTheme="majorHAnsi" w:eastAsiaTheme="majorEastAsia" w:hAnsiTheme="majorHAnsi" w:cstheme="majorBidi"/>
              <w:b/>
              <w:sz w:val="28"/>
              <w:lang w:eastAsia="en-US"/>
            </w:rPr>
            <w:t xml:space="preserve">Responding to this paper </w:t>
          </w:r>
        </w:p>
        <w:p w14:paraId="46CF9AD5" w14:textId="53497E41"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 xml:space="preserve">ESMA invites comments on all matters in this paper and in particular on the specific questions summarised in Annex </w:t>
          </w:r>
          <w:r w:rsidR="00010773">
            <w:rPr>
              <w:rFonts w:asciiTheme="minorHAnsi" w:eastAsiaTheme="minorEastAsia" w:hAnsiTheme="minorHAnsi" w:cstheme="minorBidi"/>
              <w:sz w:val="22"/>
              <w:szCs w:val="20"/>
              <w:lang w:eastAsia="en-US"/>
            </w:rPr>
            <w:t>1</w:t>
          </w:r>
          <w:r w:rsidRPr="00AB6157">
            <w:rPr>
              <w:rFonts w:asciiTheme="minorHAnsi" w:eastAsiaTheme="minorEastAsia" w:hAnsiTheme="minorHAnsi" w:cstheme="minorBidi"/>
              <w:sz w:val="22"/>
              <w:szCs w:val="20"/>
              <w:lang w:eastAsia="en-US"/>
            </w:rPr>
            <w:t>. Comments are most helpful if they:</w:t>
          </w:r>
        </w:p>
        <w:p w14:paraId="2573C72E" w14:textId="77777777" w:rsidR="00AB6157" w:rsidRPr="00AB6157" w:rsidRDefault="00AB6157" w:rsidP="00AB6157">
          <w:pPr>
            <w:numPr>
              <w:ilvl w:val="0"/>
              <w:numId w:val="15"/>
            </w:num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respond to the question stated;</w:t>
          </w:r>
        </w:p>
        <w:p w14:paraId="65ACF578" w14:textId="77777777" w:rsidR="00AB6157" w:rsidRPr="00AB6157" w:rsidRDefault="00AB6157" w:rsidP="00AB6157">
          <w:pPr>
            <w:numPr>
              <w:ilvl w:val="0"/>
              <w:numId w:val="15"/>
            </w:num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indicate the specific question to which the comment relates;</w:t>
          </w:r>
        </w:p>
        <w:p w14:paraId="3751DA8E" w14:textId="77777777" w:rsidR="00AB6157" w:rsidRPr="00AB6157" w:rsidRDefault="00AB6157" w:rsidP="00AB6157">
          <w:pPr>
            <w:numPr>
              <w:ilvl w:val="0"/>
              <w:numId w:val="15"/>
            </w:num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contain a clear rationale; and</w:t>
          </w:r>
        </w:p>
        <w:p w14:paraId="5A3A4AE2" w14:textId="77777777" w:rsidR="00AB6157" w:rsidRPr="00AB6157" w:rsidRDefault="00AB6157" w:rsidP="00AB6157">
          <w:pPr>
            <w:numPr>
              <w:ilvl w:val="0"/>
              <w:numId w:val="15"/>
            </w:num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describe any alternatives ESMA should consider.</w:t>
          </w:r>
        </w:p>
        <w:p w14:paraId="09579D04" w14:textId="5FA24440"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 xml:space="preserve">ESMA will consider all comments received by </w:t>
          </w:r>
          <w:r w:rsidR="00010773" w:rsidRPr="00010773">
            <w:rPr>
              <w:rFonts w:asciiTheme="minorHAnsi" w:eastAsiaTheme="minorEastAsia" w:hAnsiTheme="minorHAnsi" w:cstheme="minorBidi"/>
              <w:b/>
              <w:sz w:val="22"/>
              <w:szCs w:val="20"/>
              <w:lang w:eastAsia="en-US"/>
            </w:rPr>
            <w:t>06 September</w:t>
          </w:r>
          <w:r w:rsidRPr="00010773">
            <w:rPr>
              <w:rFonts w:asciiTheme="minorHAnsi" w:eastAsiaTheme="minorEastAsia" w:hAnsiTheme="minorHAnsi" w:cstheme="minorBidi"/>
              <w:b/>
              <w:sz w:val="22"/>
              <w:szCs w:val="20"/>
              <w:lang w:eastAsia="en-US"/>
            </w:rPr>
            <w:t xml:space="preserve"> 2019</w:t>
          </w:r>
          <w:r w:rsidRPr="00AB6157">
            <w:rPr>
              <w:rFonts w:asciiTheme="minorHAnsi" w:eastAsiaTheme="minorEastAsia" w:hAnsiTheme="minorHAnsi" w:cstheme="minorBidi"/>
              <w:b/>
              <w:sz w:val="22"/>
              <w:szCs w:val="20"/>
              <w:lang w:eastAsia="en-US"/>
            </w:rPr>
            <w:t xml:space="preserve">. </w:t>
          </w:r>
        </w:p>
        <w:p w14:paraId="6ABAAC1F" w14:textId="50B9A937"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 xml:space="preserve">All contributions should be submitted online at </w:t>
          </w:r>
          <w:hyperlink r:id="rId15" w:history="1">
            <w:r w:rsidRPr="00AB6157">
              <w:rPr>
                <w:rFonts w:asciiTheme="minorHAnsi" w:eastAsiaTheme="minorEastAsia" w:hAnsiTheme="minorHAnsi" w:cstheme="minorBidi"/>
                <w:color w:val="0563C1" w:themeColor="hyperlink"/>
                <w:sz w:val="22"/>
                <w:szCs w:val="20"/>
                <w:u w:val="single"/>
                <w:lang w:eastAsia="en-US"/>
              </w:rPr>
              <w:t>www.esma.europa.eu</w:t>
            </w:r>
          </w:hyperlink>
          <w:r w:rsidRPr="00AB6157">
            <w:rPr>
              <w:rFonts w:asciiTheme="minorHAnsi" w:eastAsiaTheme="minorEastAsia" w:hAnsiTheme="minorHAnsi" w:cstheme="minorBidi"/>
              <w:sz w:val="22"/>
              <w:szCs w:val="20"/>
              <w:lang w:eastAsia="en-US"/>
            </w:rPr>
            <w:t xml:space="preserve"> under the heading ‘Your input - Consultations’. </w:t>
          </w:r>
        </w:p>
        <w:p w14:paraId="71848F2A" w14:textId="77777777" w:rsidR="00C85C8B" w:rsidRPr="00C85C8B" w:rsidRDefault="00C85C8B" w:rsidP="00C85C8B">
          <w:pPr>
            <w:spacing w:after="250" w:line="276" w:lineRule="auto"/>
            <w:jc w:val="both"/>
            <w:rPr>
              <w:rFonts w:asciiTheme="minorHAnsi" w:eastAsiaTheme="minorEastAsia" w:hAnsiTheme="minorHAnsi" w:cstheme="minorBidi"/>
              <w:b/>
              <w:sz w:val="22"/>
              <w:szCs w:val="20"/>
              <w:lang w:eastAsia="en-US"/>
            </w:rPr>
          </w:pPr>
          <w:r w:rsidRPr="00C85C8B">
            <w:rPr>
              <w:rFonts w:asciiTheme="minorHAnsi" w:eastAsiaTheme="minorEastAsia" w:hAnsiTheme="minorHAnsi" w:cstheme="minorBidi"/>
              <w:b/>
              <w:sz w:val="22"/>
              <w:szCs w:val="20"/>
              <w:lang w:eastAsia="en-US"/>
            </w:rPr>
            <w:t>Instructions</w:t>
          </w:r>
        </w:p>
        <w:p w14:paraId="057542CF" w14:textId="77777777" w:rsidR="00C85C8B" w:rsidRPr="00C85C8B" w:rsidRDefault="00C85C8B" w:rsidP="00C85C8B">
          <w:pPr>
            <w:spacing w:after="250" w:line="276" w:lineRule="auto"/>
            <w:jc w:val="both"/>
            <w:rPr>
              <w:rFonts w:asciiTheme="minorHAnsi" w:eastAsiaTheme="minorEastAsia" w:hAnsiTheme="minorHAnsi" w:cstheme="minorBidi"/>
              <w:sz w:val="22"/>
              <w:szCs w:val="20"/>
              <w:lang w:eastAsia="en-US"/>
            </w:rPr>
          </w:pPr>
          <w:r w:rsidRPr="00C85C8B">
            <w:rPr>
              <w:rFonts w:asciiTheme="minorHAnsi" w:eastAsiaTheme="minorEastAsia" w:hAnsiTheme="minorHAnsi" w:cstheme="minorBidi"/>
              <w:sz w:val="22"/>
              <w:szCs w:val="20"/>
              <w:lang w:eastAsia="en-US"/>
            </w:rPr>
            <w:t>In order to facilitate analysis of responses to the Consultation Paper, respondents are requested to follow the below steps when preparing and submitting their response:</w:t>
          </w:r>
        </w:p>
        <w:p w14:paraId="1200930E" w14:textId="5BFB56D4" w:rsidR="00C85C8B" w:rsidRPr="00C85C8B" w:rsidRDefault="00C85C8B" w:rsidP="00AE0577">
          <w:pPr>
            <w:pStyle w:val="ListParagraph"/>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 xml:space="preserve">Insert your responses to the questions in the Consultation Paper in the present response form. </w:t>
          </w:r>
        </w:p>
        <w:p w14:paraId="3B16398E" w14:textId="3B774BFA" w:rsidR="00C85C8B" w:rsidRPr="00C85C8B" w:rsidRDefault="00C85C8B" w:rsidP="00C85C8B">
          <w:pPr>
            <w:pStyle w:val="ListParagraph"/>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Please do not remove t</w:t>
          </w:r>
          <w:r>
            <w:rPr>
              <w:rFonts w:eastAsiaTheme="minorEastAsia" w:cstheme="minorBidi"/>
              <w:szCs w:val="20"/>
              <w:lang w:eastAsia="en-US"/>
            </w:rPr>
            <w:t>ags of the type &lt;ESMA_QUESTION_</w:t>
          </w:r>
          <w:r w:rsidR="00010773">
            <w:rPr>
              <w:rFonts w:eastAsiaTheme="minorEastAsia" w:cstheme="minorBidi"/>
              <w:szCs w:val="20"/>
              <w:lang w:eastAsia="en-US"/>
            </w:rPr>
            <w:t>MDA</w:t>
          </w:r>
          <w:r w:rsidRPr="00C85C8B">
            <w:rPr>
              <w:rFonts w:eastAsiaTheme="minorEastAsia" w:cstheme="minorBidi"/>
              <w:szCs w:val="20"/>
              <w:lang w:eastAsia="en-US"/>
            </w:rPr>
            <w:t>_1&gt;. Your response to each question has to be framed by the two tags corresponding to the question.</w:t>
          </w:r>
        </w:p>
        <w:p w14:paraId="5CC57030" w14:textId="77777777" w:rsidR="00C85C8B" w:rsidRPr="00C85C8B" w:rsidRDefault="00C85C8B" w:rsidP="00C85C8B">
          <w:pPr>
            <w:pStyle w:val="ListParagraph"/>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If you do not wish to respond to a given question, please do not delete it but simply leave the text “TYPE YOUR TEXT HERE” between the tags.</w:t>
          </w:r>
        </w:p>
        <w:p w14:paraId="1876A4C8" w14:textId="0BCCE857" w:rsidR="00C85C8B" w:rsidRPr="00C85C8B" w:rsidRDefault="00C85C8B" w:rsidP="00C85C8B">
          <w:pPr>
            <w:pStyle w:val="ListParagraph"/>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 xml:space="preserve">When you have drafted your response, name your response form according to </w:t>
          </w:r>
          <w:r>
            <w:rPr>
              <w:rFonts w:eastAsiaTheme="minorEastAsia" w:cstheme="minorBidi"/>
              <w:szCs w:val="20"/>
              <w:lang w:eastAsia="en-US"/>
            </w:rPr>
            <w:t>the following convention: ESMA_</w:t>
          </w:r>
          <w:r w:rsidR="00010773">
            <w:rPr>
              <w:rFonts w:eastAsiaTheme="minorEastAsia" w:cstheme="minorBidi"/>
              <w:szCs w:val="20"/>
              <w:lang w:eastAsia="en-US"/>
            </w:rPr>
            <w:t>MDA</w:t>
          </w:r>
          <w:r w:rsidRPr="00C85C8B">
            <w:rPr>
              <w:rFonts w:eastAsiaTheme="minorEastAsia" w:cstheme="minorBidi"/>
              <w:szCs w:val="20"/>
              <w:lang w:eastAsia="en-US"/>
            </w:rPr>
            <w:t>_nameofrespondent_RESPONSEFORM. For example, for a respondent named ABCD, the response</w:t>
          </w:r>
          <w:r>
            <w:rPr>
              <w:rFonts w:eastAsiaTheme="minorEastAsia" w:cstheme="minorBidi"/>
              <w:szCs w:val="20"/>
              <w:lang w:eastAsia="en-US"/>
            </w:rPr>
            <w:t xml:space="preserve"> form would be entitled ESMA_</w:t>
          </w:r>
          <w:r w:rsidR="00010773">
            <w:rPr>
              <w:rFonts w:eastAsiaTheme="minorEastAsia" w:cstheme="minorBidi"/>
              <w:szCs w:val="20"/>
              <w:lang w:eastAsia="en-US"/>
            </w:rPr>
            <w:t>MDA</w:t>
          </w:r>
          <w:r w:rsidRPr="00C85C8B">
            <w:rPr>
              <w:rFonts w:eastAsiaTheme="minorEastAsia" w:cstheme="minorBidi"/>
              <w:szCs w:val="20"/>
              <w:lang w:eastAsia="en-US"/>
            </w:rPr>
            <w:t>_ABCD_RESPONSEFORM.</w:t>
          </w:r>
        </w:p>
        <w:p w14:paraId="1A9C59D6" w14:textId="34F7EAAE" w:rsidR="00C85C8B" w:rsidRPr="00C85C8B" w:rsidRDefault="00C85C8B" w:rsidP="00C85C8B">
          <w:pPr>
            <w:pStyle w:val="ListParagraph"/>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Upload the form containing your responses, in Word format, to ESMA’s website (</w:t>
          </w:r>
          <w:hyperlink r:id="rId16" w:history="1">
            <w:r w:rsidRPr="00C85C8B">
              <w:rPr>
                <w:rFonts w:eastAsiaTheme="minorEastAsia" w:cstheme="minorBidi"/>
                <w:szCs w:val="20"/>
                <w:lang w:eastAsia="en-US"/>
              </w:rPr>
              <w:t>www.esma.europa.eu</w:t>
            </w:r>
          </w:hyperlink>
          <w:r w:rsidRPr="00C85C8B">
            <w:rPr>
              <w:rFonts w:eastAsiaTheme="minorEastAsia" w:cstheme="minorBidi"/>
              <w:szCs w:val="20"/>
              <w:lang w:eastAsia="en-US"/>
            </w:rPr>
            <w:t xml:space="preserve"> under the heading “Your input – Open consultations” </w:t>
          </w:r>
          <w:r w:rsidRPr="00C85C8B">
            <w:rPr>
              <w:rFonts w:eastAsiaTheme="minorEastAsia"/>
              <w:lang w:eastAsia="en-US"/>
            </w:rPr>
            <w:sym w:font="Wingdings" w:char="F0E0"/>
          </w:r>
          <w:r w:rsidRPr="00C85C8B">
            <w:rPr>
              <w:rFonts w:eastAsiaTheme="minorEastAsia" w:cstheme="minorBidi"/>
              <w:szCs w:val="20"/>
              <w:lang w:eastAsia="en-US"/>
            </w:rPr>
            <w:t xml:space="preserve"> “Consultation on </w:t>
          </w:r>
          <w:r w:rsidR="00AB6157">
            <w:rPr>
              <w:rFonts w:eastAsiaTheme="minorEastAsia" w:cstheme="minorBidi"/>
              <w:szCs w:val="20"/>
              <w:lang w:eastAsia="en-US"/>
            </w:rPr>
            <w:t>Position limits and position management in commodities derivatives</w:t>
          </w:r>
          <w:r w:rsidRPr="00C85C8B">
            <w:rPr>
              <w:rFonts w:eastAsiaTheme="minorEastAsia" w:cstheme="minorBidi"/>
              <w:szCs w:val="20"/>
              <w:lang w:eastAsia="en-US"/>
            </w:rPr>
            <w:t>”).</w:t>
          </w:r>
        </w:p>
        <w:p w14:paraId="078FF80C" w14:textId="145F522B" w:rsidR="00C85C8B" w:rsidRDefault="00C85C8B" w:rsidP="00AF2EF7">
          <w:pPr>
            <w:spacing w:after="250" w:line="276" w:lineRule="auto"/>
            <w:jc w:val="both"/>
            <w:rPr>
              <w:rFonts w:asciiTheme="minorHAnsi" w:eastAsiaTheme="minorEastAsia" w:hAnsiTheme="minorHAnsi" w:cstheme="minorBidi"/>
              <w:sz w:val="22"/>
              <w:szCs w:val="20"/>
              <w:lang w:eastAsia="en-US"/>
            </w:rPr>
          </w:pPr>
        </w:p>
        <w:p w14:paraId="27DFECB3" w14:textId="3EF3C58E" w:rsidR="00A02199" w:rsidRDefault="00A02199" w:rsidP="00AF2EF7">
          <w:pPr>
            <w:spacing w:after="250" w:line="276" w:lineRule="auto"/>
            <w:jc w:val="both"/>
            <w:rPr>
              <w:rFonts w:asciiTheme="minorHAnsi" w:eastAsiaTheme="minorEastAsia" w:hAnsiTheme="minorHAnsi" w:cstheme="minorBidi"/>
              <w:sz w:val="22"/>
              <w:szCs w:val="20"/>
              <w:lang w:eastAsia="en-US"/>
            </w:rPr>
          </w:pPr>
        </w:p>
        <w:p w14:paraId="28EEA743" w14:textId="77777777" w:rsidR="00A02199" w:rsidRPr="00C1698A" w:rsidRDefault="00A02199" w:rsidP="00AF2EF7">
          <w:pPr>
            <w:spacing w:after="250" w:line="276" w:lineRule="auto"/>
            <w:jc w:val="both"/>
            <w:rPr>
              <w:rFonts w:asciiTheme="minorHAnsi" w:eastAsiaTheme="minorEastAsia" w:hAnsiTheme="minorHAnsi" w:cstheme="minorBidi"/>
              <w:sz w:val="22"/>
              <w:szCs w:val="20"/>
              <w:lang w:eastAsia="en-US"/>
            </w:rPr>
          </w:pPr>
        </w:p>
        <w:p w14:paraId="6BB993D0" w14:textId="77777777" w:rsidR="00AF2EF7" w:rsidRPr="00B8572C" w:rsidRDefault="00AF2EF7" w:rsidP="00AF2EF7">
          <w:pPr>
            <w:spacing w:after="250" w:line="276" w:lineRule="auto"/>
            <w:jc w:val="both"/>
            <w:rPr>
              <w:rFonts w:asciiTheme="minorHAnsi" w:eastAsiaTheme="minorEastAsia" w:hAnsiTheme="minorHAnsi" w:cstheme="minorBidi"/>
              <w:b/>
              <w:sz w:val="22"/>
              <w:szCs w:val="20"/>
              <w:lang w:eastAsia="en-US"/>
            </w:rPr>
          </w:pPr>
          <w:r w:rsidRPr="00B8572C">
            <w:rPr>
              <w:rFonts w:asciiTheme="minorHAnsi" w:eastAsiaTheme="minorEastAsia" w:hAnsiTheme="minorHAnsi" w:cstheme="minorBidi"/>
              <w:b/>
              <w:sz w:val="22"/>
              <w:szCs w:val="20"/>
              <w:lang w:eastAsia="en-US"/>
            </w:rPr>
            <w:lastRenderedPageBreak/>
            <w:t>Publication of responses</w:t>
          </w:r>
          <w:permStart w:id="1101996068" w:edGrp="everyone"/>
          <w:permEnd w:id="1101996068"/>
        </w:p>
        <w:p w14:paraId="214D8BBA" w14:textId="77777777"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All contributions received will be published following the close of the consultation, unless you request otherwise. Please clearly and prominently indicate in your submission any part you do not wish to be publically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144C43BA" w14:textId="4C539C0B" w:rsidR="00AF2EF7" w:rsidRPr="00B8572C" w:rsidRDefault="00AF2EF7" w:rsidP="00AF2EF7">
          <w:pPr>
            <w:spacing w:after="250" w:line="276" w:lineRule="auto"/>
            <w:jc w:val="both"/>
            <w:rPr>
              <w:rFonts w:asciiTheme="minorHAnsi" w:eastAsiaTheme="minorEastAsia" w:hAnsiTheme="minorHAnsi" w:cstheme="minorBidi"/>
              <w:b/>
              <w:sz w:val="22"/>
              <w:szCs w:val="20"/>
              <w:lang w:eastAsia="en-US"/>
            </w:rPr>
          </w:pPr>
          <w:r w:rsidRPr="00B8572C">
            <w:rPr>
              <w:rFonts w:asciiTheme="minorHAnsi" w:eastAsiaTheme="minorEastAsia" w:hAnsiTheme="minorHAnsi" w:cstheme="minorBidi"/>
              <w:b/>
              <w:sz w:val="22"/>
              <w:szCs w:val="20"/>
              <w:lang w:eastAsia="en-US"/>
            </w:rPr>
            <w:t>Data protection</w:t>
          </w:r>
        </w:p>
        <w:p w14:paraId="1D46B82F" w14:textId="77777777"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 xml:space="preserve">Information on data protection can be found at </w:t>
          </w:r>
          <w:hyperlink r:id="rId17" w:history="1">
            <w:r w:rsidRPr="00AB6157">
              <w:rPr>
                <w:rFonts w:asciiTheme="minorHAnsi" w:eastAsiaTheme="minorEastAsia" w:hAnsiTheme="minorHAnsi" w:cstheme="minorBidi"/>
                <w:color w:val="0563C1" w:themeColor="hyperlink"/>
                <w:sz w:val="22"/>
                <w:szCs w:val="20"/>
                <w:u w:val="single"/>
                <w:lang w:eastAsia="en-US"/>
              </w:rPr>
              <w:t>www.esma.europa.eu</w:t>
            </w:r>
          </w:hyperlink>
          <w:r w:rsidRPr="00AB6157">
            <w:rPr>
              <w:rFonts w:asciiTheme="minorHAnsi" w:eastAsiaTheme="minorEastAsia" w:hAnsiTheme="minorHAnsi" w:cstheme="minorBidi"/>
              <w:sz w:val="22"/>
              <w:szCs w:val="20"/>
              <w:lang w:eastAsia="en-US"/>
            </w:rPr>
            <w:t xml:space="preserve"> under the heading </w:t>
          </w:r>
          <w:hyperlink r:id="rId18" w:history="1">
            <w:r w:rsidRPr="00AB6157">
              <w:rPr>
                <w:rFonts w:asciiTheme="minorHAnsi" w:eastAsiaTheme="minorEastAsia" w:hAnsiTheme="minorHAnsi" w:cstheme="minorBidi"/>
                <w:color w:val="0563C1" w:themeColor="hyperlink"/>
                <w:sz w:val="22"/>
                <w:szCs w:val="20"/>
                <w:u w:val="single"/>
                <w:lang w:eastAsia="en-US"/>
              </w:rPr>
              <w:t>Legal Notice</w:t>
            </w:r>
          </w:hyperlink>
          <w:r w:rsidRPr="00AB6157">
            <w:rPr>
              <w:rFonts w:asciiTheme="minorHAnsi" w:eastAsiaTheme="minorEastAsia" w:hAnsiTheme="minorHAnsi" w:cstheme="minorBidi"/>
              <w:sz w:val="22"/>
              <w:szCs w:val="20"/>
              <w:lang w:eastAsia="en-US"/>
            </w:rPr>
            <w:t>.</w:t>
          </w:r>
        </w:p>
        <w:p w14:paraId="7C02CD7B" w14:textId="77777777" w:rsidR="00AF2EF7" w:rsidRPr="00B8572C" w:rsidRDefault="00AF2EF7" w:rsidP="00AF2EF7">
          <w:pPr>
            <w:spacing w:after="250" w:line="276" w:lineRule="auto"/>
            <w:jc w:val="both"/>
            <w:rPr>
              <w:rFonts w:asciiTheme="minorHAnsi" w:eastAsiaTheme="minorEastAsia" w:hAnsiTheme="minorHAnsi" w:cstheme="minorBidi"/>
              <w:sz w:val="22"/>
              <w:szCs w:val="20"/>
              <w:lang w:eastAsia="en-US"/>
            </w:rPr>
          </w:pPr>
          <w:r w:rsidRPr="00B8572C">
            <w:rPr>
              <w:rFonts w:asciiTheme="minorHAnsi" w:eastAsiaTheme="minorEastAsia" w:hAnsiTheme="minorHAnsi" w:cstheme="minorBidi"/>
              <w:b/>
              <w:sz w:val="22"/>
              <w:szCs w:val="20"/>
              <w:lang w:eastAsia="en-US"/>
            </w:rPr>
            <w:t>Who should read this paper</w:t>
          </w:r>
        </w:p>
        <w:p w14:paraId="14912E5E" w14:textId="5F181B40" w:rsidR="00AF2EF7" w:rsidRPr="00B8572C" w:rsidRDefault="00010773" w:rsidP="00C709F9">
          <w:pPr>
            <w:spacing w:after="120" w:line="264" w:lineRule="auto"/>
            <w:jc w:val="both"/>
            <w:rPr>
              <w:rFonts w:asciiTheme="minorHAnsi" w:hAnsiTheme="minorHAnsi" w:cstheme="minorHAnsi"/>
            </w:rPr>
          </w:pPr>
          <w:r w:rsidRPr="00010773">
            <w:rPr>
              <w:rFonts w:asciiTheme="minorHAnsi" w:eastAsiaTheme="minorEastAsia" w:hAnsiTheme="minorHAnsi" w:cstheme="minorBidi"/>
              <w:sz w:val="22"/>
              <w:szCs w:val="20"/>
              <w:lang w:eastAsia="en-US"/>
            </w:rPr>
            <w:t>All interested stakeholders are invited to respond to this consultation paper. This consultation paper is primarily of interest to users of market data and trading venues, but responses are also sought from any other market participant including trade associations and industry bodies, institutional and retail investors</w:t>
          </w:r>
          <w:r>
            <w:rPr>
              <w:rFonts w:asciiTheme="minorHAnsi" w:eastAsiaTheme="minorEastAsia" w:hAnsiTheme="minorHAnsi" w:cstheme="minorBidi"/>
              <w:sz w:val="22"/>
              <w:szCs w:val="20"/>
              <w:lang w:eastAsia="en-US"/>
            </w:rPr>
            <w:t>.</w:t>
          </w:r>
        </w:p>
      </w:sdtContent>
    </w:sdt>
    <w:p w14:paraId="20AC791C" w14:textId="77777777" w:rsidR="00AF2EF7" w:rsidRPr="00B8572C" w:rsidRDefault="00AF2EF7" w:rsidP="00AF2EF7">
      <w:pPr>
        <w:spacing w:after="120" w:line="276" w:lineRule="auto"/>
        <w:rPr>
          <w:rFonts w:asciiTheme="minorHAnsi" w:hAnsiTheme="minorHAnsi" w:cstheme="minorHAnsi"/>
        </w:rPr>
      </w:pPr>
    </w:p>
    <w:p w14:paraId="13AEDA0D" w14:textId="77777777" w:rsidR="00AF2EF7" w:rsidRPr="00B8572C" w:rsidRDefault="00AF2EF7" w:rsidP="00AF2EF7">
      <w:pPr>
        <w:spacing w:after="120" w:line="276" w:lineRule="auto"/>
        <w:rPr>
          <w:rFonts w:asciiTheme="minorHAnsi" w:hAnsiTheme="minorHAnsi" w:cstheme="minorHAnsi"/>
        </w:rPr>
      </w:pPr>
    </w:p>
    <w:p w14:paraId="4F317815" w14:textId="669653C1" w:rsidR="00AF2EF7" w:rsidRPr="00C1698A" w:rsidRDefault="00AF2EF7" w:rsidP="00C1698A">
      <w:pPr>
        <w:pStyle w:val="Heading1"/>
        <w:numPr>
          <w:ilvl w:val="0"/>
          <w:numId w:val="0"/>
        </w:numPr>
        <w:spacing w:line="276" w:lineRule="auto"/>
        <w:rPr>
          <w:rFonts w:asciiTheme="minorHAnsi" w:hAnsiTheme="minorHAnsi" w:cstheme="minorHAnsi"/>
          <w:sz w:val="24"/>
          <w:szCs w:val="24"/>
        </w:rPr>
      </w:pPr>
      <w:r w:rsidRPr="00B8572C">
        <w:rPr>
          <w:rFonts w:asciiTheme="minorHAnsi" w:hAnsiTheme="minorHAnsi" w:cstheme="minorHAnsi"/>
          <w:sz w:val="24"/>
          <w:szCs w:val="24"/>
        </w:rPr>
        <w:br w:type="page"/>
      </w:r>
    </w:p>
    <w:p w14:paraId="54809E84" w14:textId="38073B1E" w:rsidR="00C85C8B" w:rsidRDefault="00C85C8B" w:rsidP="00C1698A">
      <w:pPr>
        <w:spacing w:line="276" w:lineRule="auto"/>
        <w:rPr>
          <w:rFonts w:asciiTheme="minorHAnsi" w:hAnsiTheme="minorHAnsi" w:cstheme="minorHAnsi"/>
          <w:b/>
          <w:sz w:val="28"/>
          <w:szCs w:val="28"/>
        </w:rPr>
      </w:pPr>
      <w:bookmarkStart w:id="1" w:name="_Toc515564428"/>
    </w:p>
    <w:p w14:paraId="0873C4E5" w14:textId="49BAD52B" w:rsidR="00C85C8B" w:rsidRDefault="00C85C8B" w:rsidP="00C1698A">
      <w:pPr>
        <w:spacing w:line="276" w:lineRule="auto"/>
        <w:rPr>
          <w:rFonts w:asciiTheme="minorHAnsi" w:hAnsiTheme="minorHAnsi" w:cstheme="minorHAnsi"/>
          <w:b/>
          <w:sz w:val="28"/>
          <w:szCs w:val="28"/>
        </w:rPr>
      </w:pPr>
    </w:p>
    <w:p w14:paraId="1F90B8D3" w14:textId="77777777" w:rsidR="00C85C8B" w:rsidRDefault="00C85C8B" w:rsidP="00C1698A">
      <w:pPr>
        <w:spacing w:line="276" w:lineRule="auto"/>
        <w:rPr>
          <w:rFonts w:asciiTheme="minorHAnsi" w:hAnsiTheme="minorHAnsi" w:cstheme="minorHAnsi"/>
          <w:b/>
          <w:sz w:val="28"/>
          <w:szCs w:val="28"/>
        </w:rPr>
      </w:pPr>
    </w:p>
    <w:p w14:paraId="622C18E8" w14:textId="77777777" w:rsidR="00C85C8B" w:rsidRPr="00C85C8B" w:rsidRDefault="00C85C8B" w:rsidP="00C85C8B">
      <w:pPr>
        <w:keepNext/>
        <w:keepLines/>
        <w:spacing w:before="320" w:after="250" w:line="276" w:lineRule="auto"/>
        <w:jc w:val="both"/>
        <w:outlineLvl w:val="0"/>
        <w:rPr>
          <w:rFonts w:asciiTheme="majorHAnsi" w:eastAsiaTheme="majorEastAsia" w:hAnsiTheme="majorHAnsi" w:cstheme="majorBidi"/>
          <w:b/>
          <w:sz w:val="32"/>
          <w:szCs w:val="32"/>
          <w:lang w:eastAsia="en-US"/>
        </w:rPr>
      </w:pPr>
      <w:r w:rsidRPr="00C85C8B">
        <w:rPr>
          <w:rFonts w:asciiTheme="majorHAnsi" w:eastAsiaTheme="majorEastAsia" w:hAnsiTheme="majorHAnsi" w:cstheme="majorBidi"/>
          <w:b/>
          <w:sz w:val="32"/>
          <w:szCs w:val="32"/>
          <w:lang w:eastAsia="en-US"/>
        </w:rPr>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85C8B" w:rsidRPr="00C85C8B" w14:paraId="63AA68E2" w14:textId="77777777" w:rsidTr="00AE0577">
        <w:tc>
          <w:tcPr>
            <w:tcW w:w="3929" w:type="dxa"/>
            <w:shd w:val="clear" w:color="auto" w:fill="auto"/>
          </w:tcPr>
          <w:p w14:paraId="50C47271" w14:textId="77777777" w:rsidR="00C85C8B" w:rsidRPr="00C85C8B" w:rsidRDefault="00C85C8B" w:rsidP="00C85C8B">
            <w:pPr>
              <w:rPr>
                <w:rFonts w:ascii="Arial" w:hAnsi="Arial" w:cs="Arial"/>
                <w:sz w:val="22"/>
                <w:lang w:eastAsia="de-DE"/>
              </w:rPr>
            </w:pPr>
            <w:permStart w:id="108885406" w:edGrp="everyone" w:colFirst="1" w:colLast="1"/>
            <w:r w:rsidRPr="00C85C8B">
              <w:rPr>
                <w:rFonts w:ascii="Arial" w:hAnsi="Arial" w:cs="Arial"/>
                <w:sz w:val="22"/>
                <w:lang w:eastAsia="de-DE"/>
              </w:rPr>
              <w:t>Name of the company / organisation</w:t>
            </w:r>
          </w:p>
        </w:tc>
        <w:sdt>
          <w:sdtPr>
            <w:rPr>
              <w:rFonts w:ascii="Arial" w:hAnsi="Arial" w:cs="Arial"/>
              <w:color w:val="808080"/>
              <w:sz w:val="20"/>
              <w:lang w:eastAsia="de-DE"/>
            </w:rPr>
            <w:id w:val="-1905066999"/>
            <w:text/>
          </w:sdtPr>
          <w:sdtEndPr/>
          <w:sdtContent>
            <w:tc>
              <w:tcPr>
                <w:tcW w:w="5595" w:type="dxa"/>
                <w:shd w:val="clear" w:color="auto" w:fill="auto"/>
              </w:tcPr>
              <w:p w14:paraId="1B67440D" w14:textId="79F7F42D" w:rsidR="00C85C8B" w:rsidRPr="00C85C8B" w:rsidRDefault="00CB5DA8" w:rsidP="00C85C8B">
                <w:pPr>
                  <w:rPr>
                    <w:rFonts w:ascii="Arial" w:hAnsi="Arial" w:cs="Arial"/>
                    <w:color w:val="808080"/>
                    <w:sz w:val="20"/>
                    <w:lang w:eastAsia="de-DE"/>
                  </w:rPr>
                </w:pPr>
                <w:r>
                  <w:rPr>
                    <w:rFonts w:ascii="Arial" w:hAnsi="Arial" w:cs="Arial"/>
                    <w:color w:val="808080"/>
                    <w:sz w:val="20"/>
                    <w:lang w:eastAsia="de-DE"/>
                  </w:rPr>
                  <w:t xml:space="preserve">FIA EPTA (European </w:t>
                </w:r>
                <w:r w:rsidR="009A1E12">
                  <w:rPr>
                    <w:rFonts w:ascii="Arial" w:hAnsi="Arial" w:cs="Arial"/>
                    <w:color w:val="808080"/>
                    <w:sz w:val="20"/>
                    <w:lang w:eastAsia="de-DE"/>
                  </w:rPr>
                  <w:t>Principal Traders Association)</w:t>
                </w:r>
              </w:p>
            </w:tc>
          </w:sdtContent>
        </w:sdt>
      </w:tr>
      <w:tr w:rsidR="00C85C8B" w:rsidRPr="00C85C8B" w14:paraId="216F3E57" w14:textId="77777777" w:rsidTr="00AE0577">
        <w:tc>
          <w:tcPr>
            <w:tcW w:w="3929" w:type="dxa"/>
            <w:shd w:val="clear" w:color="auto" w:fill="auto"/>
          </w:tcPr>
          <w:p w14:paraId="1B868EDB" w14:textId="77777777" w:rsidR="00C85C8B" w:rsidRPr="00C85C8B" w:rsidRDefault="00C85C8B" w:rsidP="00C85C8B">
            <w:pPr>
              <w:rPr>
                <w:rFonts w:ascii="Arial" w:hAnsi="Arial" w:cs="Arial"/>
                <w:sz w:val="22"/>
                <w:lang w:eastAsia="de-DE"/>
              </w:rPr>
            </w:pPr>
            <w:permStart w:id="11734600" w:edGrp="everyone" w:colFirst="1" w:colLast="1"/>
            <w:permEnd w:id="108885406"/>
            <w:r w:rsidRPr="00C85C8B">
              <w:rPr>
                <w:rFonts w:ascii="Arial" w:hAnsi="Arial" w:cs="Arial"/>
                <w:sz w:val="22"/>
                <w:lang w:eastAsia="de-DE"/>
              </w:rPr>
              <w:t>Activity</w:t>
            </w:r>
          </w:p>
        </w:tc>
        <w:tc>
          <w:tcPr>
            <w:tcW w:w="5595" w:type="dxa"/>
            <w:shd w:val="clear" w:color="auto" w:fill="auto"/>
          </w:tcPr>
          <w:p w14:paraId="1423187D" w14:textId="2C6A6477" w:rsidR="00C85C8B" w:rsidRPr="00C85C8B" w:rsidRDefault="001543FD" w:rsidP="00C85C8B">
            <w:pPr>
              <w:rPr>
                <w:rFonts w:ascii="Arial" w:hAnsi="Arial" w:cs="Arial"/>
                <w:sz w:val="20"/>
                <w:lang w:eastAsia="de-DE"/>
              </w:rPr>
            </w:pPr>
            <w:sdt>
              <w:sdtPr>
                <w:rPr>
                  <w:rFonts w:ascii="Arial" w:hAnsi="Arial" w:cs="Arial"/>
                  <w:sz w:val="20"/>
                  <w:lang w:eastAsia="de-DE"/>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7572D6">
                  <w:rPr>
                    <w:rFonts w:ascii="Arial" w:hAnsi="Arial" w:cs="Arial"/>
                    <w:sz w:val="20"/>
                    <w:lang w:eastAsia="de-DE"/>
                  </w:rPr>
                  <w:t>Other Financial service providers</w:t>
                </w:r>
              </w:sdtContent>
            </w:sdt>
          </w:p>
        </w:tc>
      </w:tr>
      <w:tr w:rsidR="00C85C8B" w:rsidRPr="00C85C8B" w14:paraId="0D216581" w14:textId="77777777" w:rsidTr="00AE0577">
        <w:tc>
          <w:tcPr>
            <w:tcW w:w="3929" w:type="dxa"/>
            <w:shd w:val="clear" w:color="auto" w:fill="auto"/>
          </w:tcPr>
          <w:p w14:paraId="43B75BA8" w14:textId="77777777" w:rsidR="00C85C8B" w:rsidRPr="00C85C8B" w:rsidRDefault="00C85C8B" w:rsidP="00C85C8B">
            <w:pPr>
              <w:rPr>
                <w:rFonts w:ascii="Arial" w:hAnsi="Arial" w:cs="Arial"/>
                <w:sz w:val="22"/>
                <w:lang w:eastAsia="de-DE"/>
              </w:rPr>
            </w:pPr>
            <w:permStart w:id="310511986" w:edGrp="everyone" w:colFirst="1" w:colLast="1"/>
            <w:permEnd w:id="11734600"/>
            <w:r w:rsidRPr="00C85C8B">
              <w:rPr>
                <w:rFonts w:ascii="Arial" w:hAnsi="Arial" w:cs="Arial"/>
                <w:sz w:val="22"/>
                <w:lang w:eastAsia="de-DE"/>
              </w:rPr>
              <w:t>Are you representing an association?</w:t>
            </w:r>
          </w:p>
        </w:tc>
        <w:sdt>
          <w:sdtPr>
            <w:rPr>
              <w:rFonts w:ascii="Arial" w:hAnsi="Arial" w:cs="Arial"/>
              <w:sz w:val="20"/>
              <w:lang w:eastAsia="de-DE"/>
            </w:rPr>
            <w:id w:val="-242871467"/>
            <w14:checkbox>
              <w14:checked w14:val="1"/>
              <w14:checkedState w14:val="2612" w14:font="MS Gothic"/>
              <w14:uncheckedState w14:val="2610" w14:font="MS Gothic"/>
            </w14:checkbox>
          </w:sdtPr>
          <w:sdtEndPr/>
          <w:sdtContent>
            <w:tc>
              <w:tcPr>
                <w:tcW w:w="5595" w:type="dxa"/>
                <w:shd w:val="clear" w:color="auto" w:fill="auto"/>
              </w:tcPr>
              <w:p w14:paraId="6C4423E1" w14:textId="49D15A10" w:rsidR="00C85C8B" w:rsidRPr="00C85C8B" w:rsidRDefault="007572D6" w:rsidP="00C85C8B">
                <w:pPr>
                  <w:rPr>
                    <w:rFonts w:ascii="Arial" w:hAnsi="Arial" w:cs="Arial"/>
                    <w:sz w:val="20"/>
                    <w:lang w:eastAsia="de-DE"/>
                  </w:rPr>
                </w:pPr>
                <w:r>
                  <w:rPr>
                    <w:rFonts w:ascii="MS Gothic" w:eastAsia="MS Gothic" w:hAnsi="MS Gothic" w:cs="Arial" w:hint="eastAsia"/>
                    <w:sz w:val="20"/>
                    <w:lang w:eastAsia="de-DE"/>
                  </w:rPr>
                  <w:t>☒</w:t>
                </w:r>
              </w:p>
            </w:tc>
          </w:sdtContent>
        </w:sdt>
      </w:tr>
      <w:tr w:rsidR="00C85C8B" w:rsidRPr="00C85C8B" w14:paraId="41DA9EA6" w14:textId="77777777" w:rsidTr="00AE0577">
        <w:tc>
          <w:tcPr>
            <w:tcW w:w="3929" w:type="dxa"/>
            <w:shd w:val="clear" w:color="auto" w:fill="auto"/>
          </w:tcPr>
          <w:p w14:paraId="553FB597" w14:textId="77777777" w:rsidR="00C85C8B" w:rsidRPr="00C85C8B" w:rsidRDefault="00C85C8B" w:rsidP="00C85C8B">
            <w:pPr>
              <w:rPr>
                <w:rFonts w:ascii="Arial" w:hAnsi="Arial" w:cs="Arial"/>
                <w:sz w:val="22"/>
                <w:lang w:eastAsia="de-DE"/>
              </w:rPr>
            </w:pPr>
            <w:permStart w:id="1269442871" w:edGrp="everyone" w:colFirst="1" w:colLast="1"/>
            <w:permEnd w:id="310511986"/>
            <w:r w:rsidRPr="00C85C8B">
              <w:rPr>
                <w:rFonts w:ascii="Arial" w:hAnsi="Arial" w:cs="Arial"/>
                <w:sz w:val="22"/>
                <w:lang w:eastAsia="de-DE"/>
              </w:rPr>
              <w:t>Country/Region</w:t>
            </w:r>
          </w:p>
        </w:tc>
        <w:sdt>
          <w:sdtPr>
            <w:rPr>
              <w:rFonts w:ascii="Arial" w:hAnsi="Arial" w:cs="Arial"/>
              <w:sz w:val="20"/>
              <w:lang w:eastAsia="de-DE"/>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082656BF" w14:textId="10E6AF67" w:rsidR="00C85C8B" w:rsidRPr="00C85C8B" w:rsidRDefault="007572D6" w:rsidP="00C85C8B">
                <w:pPr>
                  <w:rPr>
                    <w:rFonts w:ascii="Arial" w:hAnsi="Arial" w:cs="Arial"/>
                    <w:sz w:val="20"/>
                    <w:lang w:eastAsia="de-DE"/>
                  </w:rPr>
                </w:pPr>
                <w:r>
                  <w:rPr>
                    <w:rFonts w:ascii="Arial" w:hAnsi="Arial" w:cs="Arial"/>
                    <w:sz w:val="20"/>
                    <w:lang w:eastAsia="de-DE"/>
                  </w:rPr>
                  <w:t>Europe</w:t>
                </w:r>
              </w:p>
            </w:tc>
          </w:sdtContent>
        </w:sdt>
      </w:tr>
      <w:permEnd w:id="1269442871"/>
    </w:tbl>
    <w:p w14:paraId="7B052828" w14:textId="77777777" w:rsidR="00C85C8B" w:rsidRPr="00C85C8B" w:rsidRDefault="00C85C8B" w:rsidP="00C85C8B">
      <w:pPr>
        <w:spacing w:after="120" w:line="264" w:lineRule="auto"/>
        <w:jc w:val="both"/>
        <w:rPr>
          <w:rFonts w:asciiTheme="minorHAnsi" w:eastAsiaTheme="minorEastAsia" w:hAnsiTheme="minorHAnsi" w:cstheme="minorBidi"/>
          <w:sz w:val="22"/>
          <w:szCs w:val="20"/>
          <w:lang w:eastAsia="en-US"/>
        </w:rPr>
      </w:pPr>
    </w:p>
    <w:p w14:paraId="0FE28F47" w14:textId="77777777" w:rsidR="00C85C8B" w:rsidRPr="00C85C8B" w:rsidRDefault="00C85C8B" w:rsidP="00C85C8B">
      <w:pPr>
        <w:spacing w:after="120" w:line="264" w:lineRule="auto"/>
        <w:jc w:val="both"/>
        <w:rPr>
          <w:rFonts w:asciiTheme="minorHAnsi" w:eastAsiaTheme="minorEastAsia" w:hAnsiTheme="minorHAnsi" w:cstheme="minorBidi"/>
          <w:sz w:val="22"/>
          <w:szCs w:val="20"/>
          <w:lang w:eastAsia="en-US"/>
        </w:rPr>
      </w:pPr>
    </w:p>
    <w:p w14:paraId="019F5D4E" w14:textId="77777777" w:rsidR="00C85C8B" w:rsidRPr="00C85C8B" w:rsidRDefault="00C85C8B" w:rsidP="00C85C8B">
      <w:pPr>
        <w:spacing w:after="120" w:line="264" w:lineRule="auto"/>
        <w:jc w:val="both"/>
        <w:rPr>
          <w:rFonts w:asciiTheme="minorHAnsi" w:eastAsiaTheme="minorEastAsia" w:hAnsiTheme="minorHAnsi" w:cstheme="minorBidi"/>
          <w:sz w:val="22"/>
          <w:szCs w:val="20"/>
          <w:lang w:eastAsia="en-US"/>
        </w:rPr>
      </w:pPr>
    </w:p>
    <w:p w14:paraId="59CB29E3" w14:textId="77777777" w:rsidR="00C85C8B" w:rsidRPr="00C85C8B" w:rsidRDefault="00C85C8B" w:rsidP="00C85C8B">
      <w:pPr>
        <w:keepNext/>
        <w:keepLines/>
        <w:spacing w:before="320" w:after="250" w:line="276" w:lineRule="auto"/>
        <w:ind w:left="431" w:hanging="431"/>
        <w:jc w:val="both"/>
        <w:outlineLvl w:val="0"/>
        <w:rPr>
          <w:rFonts w:asciiTheme="majorHAnsi" w:eastAsiaTheme="majorEastAsia" w:hAnsiTheme="majorHAnsi" w:cstheme="majorBidi"/>
          <w:b/>
          <w:sz w:val="32"/>
          <w:szCs w:val="32"/>
          <w:lang w:eastAsia="en-US"/>
        </w:rPr>
      </w:pPr>
      <w:r w:rsidRPr="00C85C8B">
        <w:rPr>
          <w:rFonts w:asciiTheme="majorHAnsi" w:eastAsiaTheme="majorEastAsia" w:hAnsiTheme="majorHAnsi" w:cstheme="majorBidi"/>
          <w:b/>
          <w:sz w:val="32"/>
          <w:szCs w:val="32"/>
          <w:lang w:eastAsia="en-US"/>
        </w:rPr>
        <w:t>Introduction</w:t>
      </w:r>
    </w:p>
    <w:p w14:paraId="6212DE47" w14:textId="77777777" w:rsidR="00C85C8B" w:rsidRPr="00C85C8B" w:rsidRDefault="00C85C8B" w:rsidP="00C85C8B">
      <w:pPr>
        <w:spacing w:after="250" w:line="276" w:lineRule="auto"/>
        <w:jc w:val="both"/>
        <w:rPr>
          <w:rFonts w:asciiTheme="minorHAnsi" w:eastAsiaTheme="minorEastAsia" w:hAnsiTheme="minorHAnsi" w:cstheme="minorBidi"/>
          <w:b/>
          <w:bCs/>
          <w:i/>
          <w:iCs/>
          <w:sz w:val="22"/>
          <w:szCs w:val="20"/>
          <w:lang w:eastAsia="en-US"/>
        </w:rPr>
      </w:pPr>
      <w:r w:rsidRPr="00C85C8B">
        <w:rPr>
          <w:rFonts w:asciiTheme="minorHAnsi" w:eastAsiaTheme="minorEastAsia" w:hAnsiTheme="minorHAnsi" w:cstheme="minorBidi"/>
          <w:b/>
          <w:bCs/>
          <w:i/>
          <w:iCs/>
          <w:sz w:val="22"/>
          <w:szCs w:val="20"/>
          <w:lang w:eastAsia="en-US"/>
        </w:rPr>
        <w:t>Please make your introductory comments below, if any</w:t>
      </w:r>
    </w:p>
    <w:p w14:paraId="08E635EB" w14:textId="449EF307" w:rsidR="00C85C8B" w:rsidRPr="00C85C8B" w:rsidRDefault="00C85C8B" w:rsidP="00C85C8B">
      <w:pPr>
        <w:spacing w:after="250" w:line="276" w:lineRule="auto"/>
        <w:jc w:val="both"/>
        <w:rPr>
          <w:rFonts w:asciiTheme="minorHAnsi" w:eastAsiaTheme="minorEastAsia" w:hAnsiTheme="minorHAnsi" w:cstheme="minorBidi"/>
          <w:sz w:val="22"/>
          <w:szCs w:val="20"/>
          <w:lang w:eastAsia="en-US"/>
        </w:rPr>
      </w:pPr>
      <w:r w:rsidRPr="00C85C8B">
        <w:rPr>
          <w:rFonts w:asciiTheme="minorHAnsi" w:eastAsiaTheme="minorEastAsia" w:hAnsiTheme="minorHAnsi" w:cstheme="minorBidi"/>
          <w:sz w:val="22"/>
          <w:szCs w:val="20"/>
          <w:lang w:eastAsia="en-US"/>
        </w:rPr>
        <w:t>&lt;ESMA_COMMENT_</w:t>
      </w:r>
      <w:r w:rsidR="00010773">
        <w:rPr>
          <w:rFonts w:asciiTheme="minorHAnsi" w:eastAsiaTheme="minorEastAsia" w:hAnsiTheme="minorHAnsi" w:cstheme="minorBidi"/>
          <w:sz w:val="22"/>
          <w:szCs w:val="20"/>
          <w:lang w:eastAsia="en-US"/>
        </w:rPr>
        <w:t>MDA</w:t>
      </w:r>
      <w:r w:rsidRPr="00C85C8B">
        <w:rPr>
          <w:rFonts w:asciiTheme="minorHAnsi" w:eastAsiaTheme="minorEastAsia" w:hAnsiTheme="minorHAnsi" w:cstheme="minorBidi"/>
          <w:sz w:val="22"/>
          <w:szCs w:val="20"/>
          <w:lang w:eastAsia="en-US"/>
        </w:rPr>
        <w:t>_1&gt;</w:t>
      </w:r>
    </w:p>
    <w:p w14:paraId="121DE0D8" w14:textId="77777777" w:rsidR="00E93734" w:rsidRPr="00650291" w:rsidRDefault="00E93734" w:rsidP="00E93734">
      <w:pPr>
        <w:jc w:val="both"/>
        <w:rPr>
          <w:rFonts w:asciiTheme="minorHAnsi" w:hAnsiTheme="minorHAnsi" w:cstheme="minorHAnsi"/>
        </w:rPr>
      </w:pPr>
      <w:permStart w:id="885457707" w:edGrp="everyone"/>
      <w:r w:rsidRPr="00650291">
        <w:rPr>
          <w:rFonts w:asciiTheme="minorHAnsi" w:hAnsiTheme="minorHAnsi" w:cstheme="minorHAnsi"/>
          <w:b/>
          <w:bCs/>
        </w:rPr>
        <w:t>About FIA EPTA</w:t>
      </w:r>
    </w:p>
    <w:p w14:paraId="1F477219" w14:textId="77777777" w:rsidR="00E93734" w:rsidRPr="00650291" w:rsidRDefault="00E93734" w:rsidP="00E93734">
      <w:pPr>
        <w:jc w:val="both"/>
        <w:rPr>
          <w:rFonts w:asciiTheme="minorHAnsi" w:hAnsiTheme="minorHAnsi" w:cstheme="minorHAnsi"/>
          <w:bCs/>
        </w:rPr>
      </w:pPr>
      <w:r w:rsidRPr="00650291">
        <w:rPr>
          <w:rFonts w:asciiTheme="minorHAnsi" w:hAnsiTheme="minorHAnsi" w:cstheme="minorHAnsi"/>
        </w:rPr>
        <w:t>The FIA European Principal Traders Association (FIA EPTA) represents 28 independent European Principal Trading Firms (PTFs) that deal on own account, using their own money for their own risk, to provide liquidity and immediate risk-transfer in exchange-traded and centrally-cleared markets for a wide range of instruments, including shares, options, futures and ETFs. As market makers and liquidity providers, our members contribute to efficient, resilient, and high-quality secondary markets that serve the investment and risk management needs of end-investors and corporates throughout the EU. Our members are active participants on almost all European exchanges and platforms. Moreover, our members are important sources of liquidity for institutional investors accessing liquidity pools across Europe.</w:t>
      </w:r>
    </w:p>
    <w:p w14:paraId="12F0E255" w14:textId="77777777" w:rsidR="00E93734" w:rsidRPr="00650291" w:rsidRDefault="00E93734" w:rsidP="00E93734">
      <w:pPr>
        <w:jc w:val="both"/>
        <w:rPr>
          <w:rFonts w:asciiTheme="minorHAnsi" w:hAnsiTheme="minorHAnsi" w:cstheme="minorHAnsi"/>
          <w:bCs/>
        </w:rPr>
      </w:pPr>
    </w:p>
    <w:p w14:paraId="3E2781AA" w14:textId="77777777" w:rsidR="00E93734" w:rsidRPr="00650291" w:rsidRDefault="00E93734" w:rsidP="00E93734">
      <w:pPr>
        <w:jc w:val="both"/>
        <w:rPr>
          <w:rFonts w:asciiTheme="minorHAnsi" w:hAnsiTheme="minorHAnsi" w:cstheme="minorHAnsi"/>
          <w:bCs/>
        </w:rPr>
      </w:pPr>
      <w:r w:rsidRPr="00650291">
        <w:rPr>
          <w:rFonts w:asciiTheme="minorHAnsi" w:hAnsiTheme="minorHAnsi" w:cstheme="minorHAnsi"/>
          <w:bCs/>
        </w:rPr>
        <w:t>FIA EPTA supports transparent, robust and safe markets with a level playing field and appropriate regulation for market participants. We consistently support the aim of the market structure reforms laid out in MiFID II/MiFIR and welcome the opportunity to respond to this consultation on the cost of market data and the consolidated tape by ESMA. We stand ready to support ESMA with any further information it may require.</w:t>
      </w:r>
    </w:p>
    <w:p w14:paraId="0CA625BC" w14:textId="77777777" w:rsidR="00E93734" w:rsidRPr="00650291" w:rsidRDefault="00E93734" w:rsidP="00E93734">
      <w:pPr>
        <w:jc w:val="both"/>
        <w:rPr>
          <w:rFonts w:asciiTheme="minorHAnsi" w:hAnsiTheme="minorHAnsi" w:cstheme="minorHAnsi"/>
        </w:rPr>
      </w:pPr>
    </w:p>
    <w:p w14:paraId="5D026201" w14:textId="77777777" w:rsidR="00E93734" w:rsidRPr="00650291" w:rsidRDefault="00E93734" w:rsidP="00E93734">
      <w:pPr>
        <w:jc w:val="both"/>
        <w:rPr>
          <w:rFonts w:asciiTheme="minorHAnsi" w:hAnsiTheme="minorHAnsi" w:cstheme="minorHAnsi"/>
          <w:b/>
        </w:rPr>
      </w:pPr>
      <w:r w:rsidRPr="00650291">
        <w:rPr>
          <w:rFonts w:asciiTheme="minorHAnsi" w:hAnsiTheme="minorHAnsi" w:cstheme="minorHAnsi"/>
          <w:b/>
        </w:rPr>
        <w:t xml:space="preserve">Executive summary </w:t>
      </w:r>
    </w:p>
    <w:p w14:paraId="3F76AFDB" w14:textId="77777777" w:rsidR="00E93734" w:rsidRPr="00650291" w:rsidRDefault="00E93734" w:rsidP="00E93734">
      <w:pPr>
        <w:jc w:val="both"/>
        <w:rPr>
          <w:rFonts w:asciiTheme="minorHAnsi" w:hAnsiTheme="minorHAnsi" w:cstheme="minorHAnsi"/>
          <w:b/>
        </w:rPr>
      </w:pPr>
    </w:p>
    <w:p w14:paraId="47454930" w14:textId="77777777" w:rsidR="00E93734" w:rsidRPr="00650291" w:rsidRDefault="00E93734" w:rsidP="00E93734">
      <w:pPr>
        <w:jc w:val="both"/>
        <w:rPr>
          <w:rFonts w:asciiTheme="minorHAnsi" w:hAnsiTheme="minorHAnsi" w:cstheme="minorHAnsi"/>
          <w:u w:val="single"/>
        </w:rPr>
      </w:pPr>
      <w:r w:rsidRPr="00650291">
        <w:rPr>
          <w:rFonts w:asciiTheme="minorHAnsi" w:hAnsiTheme="minorHAnsi" w:cstheme="minorHAnsi"/>
          <w:u w:val="single"/>
        </w:rPr>
        <w:t>Cost of Market Data</w:t>
      </w:r>
    </w:p>
    <w:p w14:paraId="48158E1A" w14:textId="77777777" w:rsidR="00E93734" w:rsidRPr="00650291" w:rsidRDefault="00E93734" w:rsidP="00E93734">
      <w:pPr>
        <w:jc w:val="both"/>
        <w:rPr>
          <w:rFonts w:asciiTheme="minorHAnsi" w:hAnsiTheme="minorHAnsi" w:cstheme="minorHAnsi"/>
        </w:rPr>
      </w:pPr>
      <w:r w:rsidRPr="00650291">
        <w:rPr>
          <w:rFonts w:asciiTheme="minorHAnsi" w:hAnsiTheme="minorHAnsi" w:cstheme="minorHAnsi"/>
        </w:rPr>
        <w:t xml:space="preserve">FIA EPTA agrees with ESMA’s assessment that user data fees are high and have increased over the past years. We also agree that new fees have been added and that market data policies and agreements are increasingly complex. In addition, existing rules and disclosures in relation to making certain market data available free of charge </w:t>
      </w:r>
      <w:r w:rsidRPr="00650291">
        <w:rPr>
          <w:rFonts w:asciiTheme="minorHAnsi" w:hAnsiTheme="minorHAnsi" w:cstheme="minorHAnsi"/>
        </w:rPr>
        <w:lastRenderedPageBreak/>
        <w:t xml:space="preserve">and the Reasonable Commercial Basis (RCB) provisions are not being fully complied with. </w:t>
      </w:r>
    </w:p>
    <w:p w14:paraId="7DF96936" w14:textId="77777777" w:rsidR="00E93734" w:rsidRPr="00650291" w:rsidRDefault="00E93734" w:rsidP="00E93734">
      <w:pPr>
        <w:jc w:val="both"/>
        <w:rPr>
          <w:rFonts w:asciiTheme="minorHAnsi" w:hAnsiTheme="minorHAnsi" w:cstheme="minorHAnsi"/>
        </w:rPr>
      </w:pPr>
    </w:p>
    <w:p w14:paraId="644640CA" w14:textId="7BA430B8" w:rsidR="00E93734" w:rsidRPr="00650291" w:rsidRDefault="00E93734" w:rsidP="00E93734">
      <w:pPr>
        <w:jc w:val="both"/>
        <w:rPr>
          <w:rFonts w:asciiTheme="minorHAnsi" w:hAnsiTheme="minorHAnsi" w:cstheme="minorHAnsi"/>
        </w:rPr>
      </w:pPr>
      <w:r w:rsidRPr="00650291">
        <w:rPr>
          <w:rFonts w:asciiTheme="minorHAnsi" w:hAnsiTheme="minorHAnsi" w:cstheme="minorHAnsi"/>
        </w:rPr>
        <w:t>In order to address these issues, FIA EPTA would encourage ESMA</w:t>
      </w:r>
      <w:r w:rsidR="00AE0577">
        <w:rPr>
          <w:rFonts w:asciiTheme="minorHAnsi" w:hAnsiTheme="minorHAnsi" w:cstheme="minorHAnsi"/>
        </w:rPr>
        <w:t>, as a first step,</w:t>
      </w:r>
      <w:r w:rsidRPr="00650291">
        <w:rPr>
          <w:rFonts w:asciiTheme="minorHAnsi" w:hAnsiTheme="minorHAnsi" w:cstheme="minorHAnsi"/>
        </w:rPr>
        <w:t xml:space="preserve"> to </w:t>
      </w:r>
      <w:r w:rsidR="00AE0577">
        <w:rPr>
          <w:rFonts w:asciiTheme="minorHAnsi" w:hAnsiTheme="minorHAnsi" w:cstheme="minorHAnsi"/>
        </w:rPr>
        <w:t>develop</w:t>
      </w:r>
      <w:r w:rsidRPr="00650291">
        <w:rPr>
          <w:rFonts w:asciiTheme="minorHAnsi" w:hAnsiTheme="minorHAnsi" w:cstheme="minorHAnsi"/>
        </w:rPr>
        <w:t xml:space="preserve"> further guidance/Q&amp;A and to work together with NCAs to ensure that existing rules are being complied with and enforced.</w:t>
      </w:r>
      <w:r w:rsidR="00AE0577">
        <w:rPr>
          <w:rFonts w:asciiTheme="minorHAnsi" w:hAnsiTheme="minorHAnsi" w:cstheme="minorHAnsi"/>
        </w:rPr>
        <w:t xml:space="preserve"> Additionally, we believe more prescriptive rules need to be developed via Level 2 RTS (if necessary supplemented by Level 1 amendments to MiFID II) so as to ensure consistency and a level playing field across the EU.</w:t>
      </w:r>
      <w:r w:rsidRPr="00650291">
        <w:rPr>
          <w:rFonts w:asciiTheme="minorHAnsi" w:hAnsiTheme="minorHAnsi" w:cstheme="minorHAnsi"/>
        </w:rPr>
        <w:t xml:space="preserve"> In our view, increased transparency around market data cost should be the primary near-term goal. We believe it would be premature to look at further regulation of market data (e.g., through price capping) before there is more transparency on the current costs and margins on market data. </w:t>
      </w:r>
    </w:p>
    <w:p w14:paraId="76306F1B" w14:textId="77777777" w:rsidR="00E93734" w:rsidRPr="00650291" w:rsidRDefault="00E93734" w:rsidP="00E93734">
      <w:pPr>
        <w:jc w:val="both"/>
        <w:rPr>
          <w:rFonts w:asciiTheme="minorHAnsi" w:hAnsiTheme="minorHAnsi" w:cstheme="minorHAnsi"/>
        </w:rPr>
      </w:pPr>
    </w:p>
    <w:p w14:paraId="3B2343F6" w14:textId="77777777" w:rsidR="00E93734" w:rsidRPr="00650291" w:rsidRDefault="00E93734" w:rsidP="00E93734">
      <w:pPr>
        <w:jc w:val="both"/>
        <w:rPr>
          <w:rFonts w:asciiTheme="minorHAnsi" w:hAnsiTheme="minorHAnsi" w:cstheme="minorHAnsi"/>
          <w:u w:val="single"/>
        </w:rPr>
      </w:pPr>
      <w:r w:rsidRPr="00650291">
        <w:rPr>
          <w:rFonts w:asciiTheme="minorHAnsi" w:hAnsiTheme="minorHAnsi" w:cstheme="minorHAnsi"/>
          <w:u w:val="single"/>
        </w:rPr>
        <w:t>Consolidated Tape (CT)</w:t>
      </w:r>
    </w:p>
    <w:p w14:paraId="52F31699" w14:textId="77777777" w:rsidR="00E93734" w:rsidRPr="00650291" w:rsidRDefault="00E93734" w:rsidP="00E93734">
      <w:pPr>
        <w:jc w:val="both"/>
        <w:rPr>
          <w:rFonts w:asciiTheme="minorHAnsi" w:eastAsia="Calibri" w:hAnsiTheme="minorHAnsi" w:cstheme="minorHAnsi"/>
        </w:rPr>
      </w:pPr>
      <w:r w:rsidRPr="00650291">
        <w:rPr>
          <w:rFonts w:asciiTheme="minorHAnsi" w:hAnsiTheme="minorHAnsi" w:cstheme="minorHAnsi"/>
        </w:rPr>
        <w:t xml:space="preserve">FIA EPTA supports the development of a real-time, post-trade European CT for the whole scope of equity instruments and equity-like instruments – and eventually expanded to additional (non-equity) instruments in the future. We believe a well-functioning, high-quality CT would benefit all financial markets participants and act as a catalyst for further integration of European capital markets and the realisation of an EU Capital Markets Union (CMU). </w:t>
      </w:r>
    </w:p>
    <w:p w14:paraId="52B6CA71" w14:textId="77777777" w:rsidR="00E93734" w:rsidRPr="00650291" w:rsidRDefault="00E93734" w:rsidP="00E93734">
      <w:pPr>
        <w:jc w:val="both"/>
        <w:rPr>
          <w:rFonts w:asciiTheme="minorHAnsi" w:eastAsia="Calibri" w:hAnsiTheme="minorHAnsi" w:cstheme="minorHAnsi"/>
        </w:rPr>
      </w:pPr>
    </w:p>
    <w:p w14:paraId="4981293E" w14:textId="77777777" w:rsidR="00E93734" w:rsidRPr="00650291" w:rsidRDefault="00E93734" w:rsidP="00E93734">
      <w:pPr>
        <w:jc w:val="both"/>
        <w:rPr>
          <w:rFonts w:asciiTheme="minorHAnsi" w:eastAsia="Calibri" w:hAnsiTheme="minorHAnsi" w:cstheme="minorHAnsi"/>
        </w:rPr>
      </w:pPr>
      <w:r w:rsidRPr="00650291">
        <w:rPr>
          <w:rFonts w:asciiTheme="minorHAnsi" w:eastAsia="Calibri" w:hAnsiTheme="minorHAnsi" w:cstheme="minorHAnsi"/>
        </w:rPr>
        <w:t>FIA EPTA believes that the reason why no consolidated tape provider (CTP) exists to date is that the cost to create this has been perceived as too high without adequate financial incentives. However, we believe this can be addressed by clarifying that trading venues and APAs must mandatorily contribute post-trade data to the CTP at no charge. To compensate exchanges and APAs, we believe revenues from the CTP should be allocated back, based on the contribution of the data to executed liquidity, weighted by value. To ensure the CTP will be non-conflicted and will deliver an effective, high quality and reasonably priced CT, FIA EPTA considers that a robust governance framework, reflecting the interests of all market stakeholders, must be put in place.</w:t>
      </w:r>
    </w:p>
    <w:p w14:paraId="7B180158" w14:textId="77777777" w:rsidR="00E93734" w:rsidRPr="00650291" w:rsidRDefault="00E93734" w:rsidP="00E93734">
      <w:pPr>
        <w:jc w:val="both"/>
        <w:rPr>
          <w:rFonts w:asciiTheme="minorHAnsi" w:eastAsia="Calibri" w:hAnsiTheme="minorHAnsi" w:cstheme="minorHAnsi"/>
        </w:rPr>
      </w:pPr>
    </w:p>
    <w:p w14:paraId="62F8744B" w14:textId="77777777" w:rsidR="00E93734" w:rsidRPr="00650291" w:rsidRDefault="00E93734" w:rsidP="00E93734">
      <w:pPr>
        <w:jc w:val="both"/>
        <w:rPr>
          <w:rFonts w:asciiTheme="minorHAnsi" w:hAnsiTheme="minorHAnsi" w:cstheme="minorHAnsi"/>
          <w:b/>
        </w:rPr>
      </w:pPr>
      <w:r w:rsidRPr="00650291">
        <w:rPr>
          <w:rFonts w:asciiTheme="minorHAnsi" w:hAnsiTheme="minorHAnsi" w:cstheme="minorHAnsi"/>
          <w:b/>
        </w:rPr>
        <w:t>Additional considerations</w:t>
      </w:r>
    </w:p>
    <w:p w14:paraId="70924DAA" w14:textId="77777777" w:rsidR="00E93734" w:rsidRPr="00650291" w:rsidRDefault="00E93734" w:rsidP="00E93734">
      <w:pPr>
        <w:jc w:val="both"/>
        <w:rPr>
          <w:rFonts w:asciiTheme="minorHAnsi" w:hAnsiTheme="minorHAnsi" w:cstheme="minorHAnsi"/>
        </w:rPr>
      </w:pPr>
      <w:r w:rsidRPr="00650291">
        <w:rPr>
          <w:rFonts w:asciiTheme="minorHAnsi" w:hAnsiTheme="minorHAnsi" w:cstheme="minorHAnsi"/>
        </w:rPr>
        <w:t xml:space="preserve">By way of final comment, FIA EPTA would emphasise that a competitive market infrastructure is a key prerequisite to underpin well-functioning capital markets. We need to ensure that the infrastructure remains resilient and supportive of enhanced capital markets activity in the EU. In that regard, FIA EPTA would suggest to ESMA and other public authorities to consider whether the capital markets ecosystem remains sufficiently robust and fit for the future in light of the intensifying horizontal and vertical consolidation we are currently witnessing. </w:t>
      </w:r>
    </w:p>
    <w:p w14:paraId="37BA6C98" w14:textId="77777777" w:rsidR="00E93734" w:rsidRPr="00650291" w:rsidRDefault="00E93734" w:rsidP="00E93734">
      <w:pPr>
        <w:jc w:val="both"/>
        <w:rPr>
          <w:rFonts w:asciiTheme="minorHAnsi" w:hAnsiTheme="minorHAnsi" w:cstheme="minorHAnsi"/>
        </w:rPr>
      </w:pPr>
    </w:p>
    <w:p w14:paraId="02AF2FF9" w14:textId="4D190D7C" w:rsidR="00C85C8B" w:rsidRPr="00E93734" w:rsidRDefault="00E93734" w:rsidP="00E93734">
      <w:pPr>
        <w:jc w:val="both"/>
        <w:rPr>
          <w:rFonts w:asciiTheme="minorHAnsi" w:hAnsiTheme="minorHAnsi" w:cstheme="minorHAnsi"/>
          <w:i/>
        </w:rPr>
      </w:pPr>
      <w:r w:rsidRPr="00650291">
        <w:rPr>
          <w:rFonts w:asciiTheme="minorHAnsi" w:hAnsiTheme="minorHAnsi" w:cstheme="minorHAnsi"/>
          <w:i/>
        </w:rPr>
        <w:t>FIA EPTA has worked closely with its members and the Futures Industry Association (FIA) in the preparation of this reply. Further, as FIA EPTA’s membership partially overlaps with the Netherlands Association of Proprietary Traders (APT), we therefore, wish to highlight the possible overlap in association responses to this consultation.</w:t>
      </w:r>
    </w:p>
    <w:permEnd w:id="885457707"/>
    <w:p w14:paraId="15D00E65" w14:textId="2CE3AD5C" w:rsidR="00C85C8B" w:rsidRPr="00C85C8B" w:rsidRDefault="00C85C8B" w:rsidP="00C85C8B">
      <w:pPr>
        <w:spacing w:after="250" w:line="276" w:lineRule="auto"/>
        <w:jc w:val="both"/>
        <w:rPr>
          <w:rFonts w:asciiTheme="minorHAnsi" w:eastAsiaTheme="minorEastAsia" w:hAnsiTheme="minorHAnsi" w:cstheme="minorBidi"/>
          <w:sz w:val="22"/>
          <w:szCs w:val="20"/>
          <w:lang w:eastAsia="en-US"/>
        </w:rPr>
      </w:pPr>
      <w:r w:rsidRPr="00C85C8B">
        <w:rPr>
          <w:rFonts w:asciiTheme="minorHAnsi" w:eastAsiaTheme="minorEastAsia" w:hAnsiTheme="minorHAnsi" w:cstheme="minorBidi"/>
          <w:sz w:val="22"/>
          <w:szCs w:val="20"/>
          <w:lang w:eastAsia="en-US"/>
        </w:rPr>
        <w:t>&lt;ESMA_COMMENT_</w:t>
      </w:r>
      <w:r w:rsidR="00010773">
        <w:rPr>
          <w:rFonts w:asciiTheme="minorHAnsi" w:eastAsiaTheme="minorEastAsia" w:hAnsiTheme="minorHAnsi" w:cs="Arial"/>
          <w:sz w:val="22"/>
          <w:szCs w:val="20"/>
          <w:lang w:eastAsia="en-US"/>
        </w:rPr>
        <w:t>MDA</w:t>
      </w:r>
      <w:r w:rsidRPr="00C85C8B">
        <w:rPr>
          <w:rFonts w:asciiTheme="minorHAnsi" w:eastAsiaTheme="minorEastAsia" w:hAnsiTheme="minorHAnsi" w:cstheme="minorBidi"/>
          <w:sz w:val="22"/>
          <w:szCs w:val="20"/>
          <w:lang w:eastAsia="en-US"/>
        </w:rPr>
        <w:t>_1&gt;</w:t>
      </w:r>
    </w:p>
    <w:p w14:paraId="58C2F704" w14:textId="77777777" w:rsidR="00C85C8B" w:rsidRDefault="00C85C8B" w:rsidP="00C1698A">
      <w:pPr>
        <w:spacing w:line="276" w:lineRule="auto"/>
        <w:rPr>
          <w:rFonts w:asciiTheme="minorHAnsi" w:hAnsiTheme="minorHAnsi" w:cstheme="minorHAnsi"/>
          <w:b/>
          <w:sz w:val="28"/>
          <w:szCs w:val="28"/>
        </w:rPr>
      </w:pPr>
    </w:p>
    <w:p w14:paraId="4218CA54" w14:textId="77777777" w:rsidR="00C85C8B" w:rsidRDefault="00C85C8B" w:rsidP="00C1698A">
      <w:pPr>
        <w:spacing w:line="276" w:lineRule="auto"/>
        <w:rPr>
          <w:rFonts w:asciiTheme="minorHAnsi" w:hAnsiTheme="minorHAnsi" w:cstheme="minorHAnsi"/>
          <w:b/>
          <w:sz w:val="28"/>
          <w:szCs w:val="28"/>
        </w:rPr>
      </w:pPr>
    </w:p>
    <w:p w14:paraId="0CE5A6A7" w14:textId="77777777" w:rsidR="00C85C8B" w:rsidRDefault="00C85C8B" w:rsidP="00C1698A">
      <w:pPr>
        <w:spacing w:line="276" w:lineRule="auto"/>
        <w:rPr>
          <w:rFonts w:asciiTheme="minorHAnsi" w:hAnsiTheme="minorHAnsi" w:cstheme="minorHAnsi"/>
          <w:b/>
          <w:sz w:val="28"/>
          <w:szCs w:val="28"/>
        </w:rPr>
      </w:pPr>
    </w:p>
    <w:p w14:paraId="0D73DA59" w14:textId="77777777" w:rsidR="00C85C8B" w:rsidRDefault="00C85C8B" w:rsidP="00C1698A">
      <w:pPr>
        <w:spacing w:line="276" w:lineRule="auto"/>
        <w:rPr>
          <w:rFonts w:asciiTheme="minorHAnsi" w:hAnsiTheme="minorHAnsi" w:cstheme="minorHAnsi"/>
          <w:b/>
          <w:sz w:val="28"/>
          <w:szCs w:val="28"/>
        </w:rPr>
      </w:pPr>
    </w:p>
    <w:p w14:paraId="0C037628" w14:textId="77777777" w:rsidR="00C85C8B" w:rsidRDefault="00C85C8B" w:rsidP="00C1698A">
      <w:pPr>
        <w:spacing w:line="276" w:lineRule="auto"/>
        <w:rPr>
          <w:rFonts w:asciiTheme="minorHAnsi" w:hAnsiTheme="minorHAnsi" w:cstheme="minorHAnsi"/>
          <w:b/>
          <w:sz w:val="28"/>
          <w:szCs w:val="28"/>
        </w:rPr>
      </w:pPr>
    </w:p>
    <w:p w14:paraId="1D0DAFF5" w14:textId="77777777" w:rsidR="00C85C8B" w:rsidRDefault="00C85C8B">
      <w:pPr>
        <w:spacing w:after="120" w:line="264" w:lineRule="auto"/>
        <w:rPr>
          <w:rFonts w:asciiTheme="minorHAnsi" w:hAnsiTheme="minorHAnsi" w:cstheme="minorHAnsi"/>
          <w:b/>
          <w:sz w:val="28"/>
          <w:szCs w:val="28"/>
        </w:rPr>
      </w:pPr>
      <w:r>
        <w:rPr>
          <w:rFonts w:asciiTheme="minorHAnsi" w:hAnsiTheme="minorHAnsi" w:cstheme="minorHAnsi"/>
          <w:b/>
          <w:sz w:val="28"/>
          <w:szCs w:val="28"/>
        </w:rPr>
        <w:br w:type="page"/>
      </w:r>
    </w:p>
    <w:p w14:paraId="005F1C41" w14:textId="21C1F329" w:rsidR="00C1698A" w:rsidRDefault="00C1698A" w:rsidP="00C1698A">
      <w:pPr>
        <w:spacing w:line="276" w:lineRule="auto"/>
        <w:rPr>
          <w:rFonts w:asciiTheme="minorHAnsi" w:hAnsiTheme="minorHAnsi" w:cstheme="minorHAnsi"/>
          <w:b/>
          <w:sz w:val="28"/>
          <w:szCs w:val="28"/>
        </w:rPr>
      </w:pPr>
      <w:r w:rsidRPr="00C1698A">
        <w:rPr>
          <w:rFonts w:asciiTheme="minorHAnsi" w:hAnsiTheme="minorHAnsi" w:cstheme="minorHAnsi"/>
          <w:b/>
          <w:sz w:val="28"/>
          <w:szCs w:val="28"/>
        </w:rPr>
        <w:lastRenderedPageBreak/>
        <w:t xml:space="preserve">Questions </w:t>
      </w:r>
    </w:p>
    <w:p w14:paraId="289A1E31" w14:textId="357E71EC" w:rsidR="00AB6157" w:rsidRDefault="00AB6157" w:rsidP="00C1698A">
      <w:pPr>
        <w:spacing w:line="276" w:lineRule="auto"/>
        <w:rPr>
          <w:rFonts w:asciiTheme="minorHAnsi" w:hAnsiTheme="minorHAnsi" w:cstheme="minorHAnsi"/>
          <w:b/>
          <w:sz w:val="28"/>
          <w:szCs w:val="28"/>
        </w:rPr>
      </w:pPr>
    </w:p>
    <w:p w14:paraId="6B86E402" w14:textId="77777777" w:rsidR="00010773" w:rsidRDefault="00010773" w:rsidP="00010773">
      <w:pPr>
        <w:pStyle w:val="Questionstyle"/>
        <w:numPr>
          <w:ilvl w:val="0"/>
          <w:numId w:val="9"/>
        </w:numPr>
        <w:spacing w:after="250" w:line="276" w:lineRule="auto"/>
      </w:pPr>
      <w:r w:rsidRPr="00EE7E2D">
        <w:t>:</w:t>
      </w:r>
      <w:r>
        <w:t xml:space="preserve"> H</w:t>
      </w:r>
      <w:r w:rsidRPr="00267C25">
        <w:t>ave prices of market data increased or decreased</w:t>
      </w:r>
      <w:r>
        <w:t xml:space="preserve"> s</w:t>
      </w:r>
      <w:r w:rsidRPr="00267C25">
        <w:t xml:space="preserve">ince the </w:t>
      </w:r>
      <w:r>
        <w:t xml:space="preserve">application of </w:t>
      </w:r>
      <w:r w:rsidRPr="00267C25">
        <w:t>MiFID II/MiFIR?</w:t>
      </w:r>
      <w:r>
        <w:t xml:space="preserve"> Please provide quantitative evidence to support your answer and specify whether you are referring to equity and/or non-equity instruments.</w:t>
      </w:r>
    </w:p>
    <w:p w14:paraId="30E609ED" w14:textId="77777777" w:rsidR="00010773" w:rsidRDefault="00010773" w:rsidP="00010773">
      <w:pPr>
        <w:rPr>
          <w:rFonts w:ascii="Arial" w:hAnsi="Arial" w:cs="Arial"/>
        </w:rPr>
      </w:pPr>
      <w:r>
        <w:rPr>
          <w:rFonts w:ascii="Arial" w:hAnsi="Arial" w:cs="Arial"/>
        </w:rPr>
        <w:t>&lt;ESMA_QUESTION_MDA_1&gt;</w:t>
      </w:r>
    </w:p>
    <w:p w14:paraId="40CF9FE1" w14:textId="77777777" w:rsidR="00013078" w:rsidRPr="00650291" w:rsidRDefault="00013078" w:rsidP="00013078">
      <w:pPr>
        <w:jc w:val="both"/>
        <w:rPr>
          <w:rFonts w:asciiTheme="minorHAnsi" w:hAnsiTheme="minorHAnsi" w:cstheme="minorHAnsi"/>
        </w:rPr>
      </w:pPr>
      <w:permStart w:id="478217800" w:edGrp="everyone"/>
      <w:r w:rsidRPr="00650291">
        <w:rPr>
          <w:rFonts w:asciiTheme="minorHAnsi" w:hAnsiTheme="minorHAnsi" w:cstheme="minorHAnsi"/>
        </w:rPr>
        <w:t xml:space="preserve">FIA EPTA has observed market data prices increase across multiple segments both before and following the application of MiFID II. The largest increases were related to fees for systematic internalisation and non-display usage, with smaller increases in fees for display usage. </w:t>
      </w:r>
    </w:p>
    <w:p w14:paraId="78355A1E" w14:textId="77777777" w:rsidR="00013078" w:rsidRPr="00650291" w:rsidRDefault="00013078" w:rsidP="00013078">
      <w:pPr>
        <w:jc w:val="both"/>
        <w:rPr>
          <w:rFonts w:asciiTheme="minorHAnsi" w:hAnsiTheme="minorHAnsi" w:cstheme="minorHAnsi"/>
        </w:rPr>
      </w:pPr>
    </w:p>
    <w:p w14:paraId="31CF39DE" w14:textId="77777777" w:rsidR="00013078" w:rsidRPr="00650291" w:rsidRDefault="00013078" w:rsidP="00013078">
      <w:pPr>
        <w:jc w:val="both"/>
        <w:rPr>
          <w:rFonts w:asciiTheme="minorHAnsi" w:hAnsiTheme="minorHAnsi" w:cstheme="minorHAnsi"/>
        </w:rPr>
      </w:pPr>
      <w:r w:rsidRPr="00650291">
        <w:rPr>
          <w:rFonts w:asciiTheme="minorHAnsi" w:hAnsiTheme="minorHAnsi" w:cstheme="minorHAnsi"/>
        </w:rPr>
        <w:t xml:space="preserve">FIA EPTA agrees with ESMA’s assertion that the diversity of exchange policies and fees combined with the fact that exchange price schedules and market data agreements can often undergo multiple updates each year, make it extremely challenging to analyse across exchanges. </w:t>
      </w:r>
    </w:p>
    <w:p w14:paraId="75EBD4FC" w14:textId="77777777" w:rsidR="00013078" w:rsidRPr="00650291" w:rsidRDefault="00013078" w:rsidP="00013078">
      <w:pPr>
        <w:jc w:val="both"/>
        <w:rPr>
          <w:rFonts w:asciiTheme="minorHAnsi" w:hAnsiTheme="minorHAnsi" w:cstheme="minorHAnsi"/>
        </w:rPr>
      </w:pPr>
    </w:p>
    <w:p w14:paraId="7356B17E" w14:textId="77777777" w:rsidR="00013078" w:rsidRPr="00650291" w:rsidRDefault="00013078" w:rsidP="00013078">
      <w:pPr>
        <w:jc w:val="both"/>
        <w:rPr>
          <w:rFonts w:asciiTheme="minorHAnsi" w:hAnsiTheme="minorHAnsi"/>
        </w:rPr>
      </w:pPr>
      <w:r w:rsidRPr="00650291">
        <w:rPr>
          <w:rFonts w:asciiTheme="minorHAnsi" w:hAnsiTheme="minorHAnsi" w:cstheme="minorHAnsi"/>
        </w:rPr>
        <w:t>In an effort to provide an empirical view into</w:t>
      </w:r>
      <w:r w:rsidRPr="00650291">
        <w:rPr>
          <w:rFonts w:asciiTheme="minorHAnsi" w:hAnsiTheme="minorHAnsi"/>
        </w:rPr>
        <w:t xml:space="preserve"> the data, we have provided a model use case (Excel model attached) for a small principal trading firm in which the usage characteristics remain broadly unchanged over a four-year period. In this model we have added meta data categories in order to normalise the types of fees charged across exchanges. </w:t>
      </w:r>
    </w:p>
    <w:p w14:paraId="5FE428FB" w14:textId="77777777" w:rsidR="00013078" w:rsidRPr="00650291" w:rsidRDefault="00013078" w:rsidP="00013078">
      <w:pPr>
        <w:jc w:val="both"/>
        <w:rPr>
          <w:rFonts w:asciiTheme="minorHAnsi" w:hAnsiTheme="minorHAnsi"/>
        </w:rPr>
      </w:pPr>
    </w:p>
    <w:p w14:paraId="4F0508EA" w14:textId="77777777" w:rsidR="00013078" w:rsidRPr="00650291" w:rsidRDefault="00013078" w:rsidP="00013078">
      <w:pPr>
        <w:jc w:val="both"/>
        <w:rPr>
          <w:rFonts w:asciiTheme="minorHAnsi" w:hAnsiTheme="minorHAnsi"/>
          <w:b/>
        </w:rPr>
      </w:pPr>
      <w:r w:rsidRPr="00650291">
        <w:rPr>
          <w:rFonts w:asciiTheme="minorHAnsi" w:hAnsiTheme="minorHAnsi"/>
          <w:b/>
        </w:rPr>
        <w:t xml:space="preserve">Model use case for a principal trading firm – </w:t>
      </w:r>
      <w:r w:rsidRPr="00650291">
        <w:rPr>
          <w:rFonts w:asciiTheme="minorHAnsi" w:eastAsia="Calibri" w:hAnsiTheme="minorHAnsi"/>
          <w:b/>
        </w:rPr>
        <w:t>assumptions with respect to the model use cases</w:t>
      </w:r>
      <w:r w:rsidRPr="00650291">
        <w:rPr>
          <w:rFonts w:asciiTheme="minorHAnsi" w:hAnsiTheme="minorHAnsi"/>
          <w:b/>
        </w:rPr>
        <w:t xml:space="preserve">: </w:t>
      </w:r>
    </w:p>
    <w:p w14:paraId="0F33C9C9" w14:textId="77777777" w:rsidR="00013078" w:rsidRPr="00650291" w:rsidRDefault="00013078" w:rsidP="00D620F7">
      <w:pPr>
        <w:pStyle w:val="ListParagraph"/>
        <w:numPr>
          <w:ilvl w:val="0"/>
          <w:numId w:val="18"/>
        </w:numPr>
        <w:rPr>
          <w:rFonts w:eastAsia="Calibri"/>
        </w:rPr>
      </w:pPr>
      <w:r w:rsidRPr="00650291">
        <w:rPr>
          <w:rFonts w:eastAsia="Calibri"/>
        </w:rPr>
        <w:t>The firm is active on a broad range of EU financial markets and trades both equities and equity-like products in addition to listed derivatives;</w:t>
      </w:r>
    </w:p>
    <w:p w14:paraId="50D0D027" w14:textId="77777777" w:rsidR="00013078" w:rsidRPr="00650291" w:rsidRDefault="00013078" w:rsidP="00D620F7">
      <w:pPr>
        <w:pStyle w:val="ListParagraph"/>
        <w:numPr>
          <w:ilvl w:val="0"/>
          <w:numId w:val="18"/>
        </w:numPr>
        <w:rPr>
          <w:rFonts w:eastAsia="Calibri"/>
        </w:rPr>
      </w:pPr>
      <w:r w:rsidRPr="00650291">
        <w:rPr>
          <w:rFonts w:eastAsia="Calibri"/>
        </w:rPr>
        <w:t>In all cases the firm is subscribing to market data directly from the trading venues;</w:t>
      </w:r>
    </w:p>
    <w:p w14:paraId="75CE417B" w14:textId="77777777" w:rsidR="00013078" w:rsidRPr="00650291" w:rsidRDefault="00013078" w:rsidP="00D620F7">
      <w:pPr>
        <w:pStyle w:val="ListParagraph"/>
        <w:numPr>
          <w:ilvl w:val="0"/>
          <w:numId w:val="18"/>
        </w:numPr>
        <w:rPr>
          <w:rFonts w:eastAsia="Calibri"/>
        </w:rPr>
      </w:pPr>
      <w:r w:rsidRPr="00650291">
        <w:rPr>
          <w:rFonts w:eastAsia="Calibri"/>
        </w:rPr>
        <w:t>Due to the highly integrated nature of EU and Swiss markets and in order to fully represent the costs to a principal trading firm based in the EU we have included SIX Swiss Exchange in our model;</w:t>
      </w:r>
    </w:p>
    <w:p w14:paraId="04B2F94F" w14:textId="77777777" w:rsidR="00013078" w:rsidRPr="00650291" w:rsidRDefault="00013078" w:rsidP="00D620F7">
      <w:pPr>
        <w:pStyle w:val="ListParagraph"/>
        <w:numPr>
          <w:ilvl w:val="0"/>
          <w:numId w:val="18"/>
        </w:numPr>
        <w:rPr>
          <w:rFonts w:eastAsia="Calibri"/>
        </w:rPr>
      </w:pPr>
      <w:r w:rsidRPr="00650291">
        <w:rPr>
          <w:rFonts w:eastAsia="Calibri"/>
        </w:rPr>
        <w:t>10 display users;</w:t>
      </w:r>
    </w:p>
    <w:p w14:paraId="6112F548" w14:textId="77777777" w:rsidR="00013078" w:rsidRPr="00650291" w:rsidRDefault="00013078" w:rsidP="00D620F7">
      <w:pPr>
        <w:pStyle w:val="ListParagraph"/>
        <w:numPr>
          <w:ilvl w:val="0"/>
          <w:numId w:val="18"/>
        </w:numPr>
        <w:rPr>
          <w:rFonts w:eastAsia="Calibri"/>
        </w:rPr>
      </w:pPr>
      <w:r w:rsidRPr="00650291">
        <w:rPr>
          <w:rFonts w:eastAsia="Calibri"/>
        </w:rPr>
        <w:t>15 non-display users;</w:t>
      </w:r>
    </w:p>
    <w:p w14:paraId="2F58C418" w14:textId="77777777" w:rsidR="00013078" w:rsidRPr="00650291" w:rsidRDefault="00013078" w:rsidP="00D620F7">
      <w:pPr>
        <w:pStyle w:val="ListParagraph"/>
        <w:numPr>
          <w:ilvl w:val="0"/>
          <w:numId w:val="18"/>
        </w:numPr>
        <w:rPr>
          <w:rFonts w:eastAsia="Calibri"/>
        </w:rPr>
      </w:pPr>
      <w:r w:rsidRPr="00650291">
        <w:rPr>
          <w:rFonts w:eastAsia="Calibri"/>
        </w:rPr>
        <w:t>Up to 6 additional users under Risk/Compliance/Q</w:t>
      </w:r>
      <w:r>
        <w:rPr>
          <w:rFonts w:eastAsia="Calibri"/>
        </w:rPr>
        <w:t xml:space="preserve">uality </w:t>
      </w:r>
      <w:r w:rsidRPr="00650291">
        <w:rPr>
          <w:rFonts w:eastAsia="Calibri"/>
        </w:rPr>
        <w:t>A</w:t>
      </w:r>
      <w:r>
        <w:rPr>
          <w:rFonts w:eastAsia="Calibri"/>
        </w:rPr>
        <w:t>ssurance</w:t>
      </w:r>
      <w:r w:rsidRPr="00650291">
        <w:rPr>
          <w:rFonts w:eastAsia="Calibri"/>
        </w:rPr>
        <w:t>;</w:t>
      </w:r>
    </w:p>
    <w:p w14:paraId="7B6786A3" w14:textId="77777777" w:rsidR="00013078" w:rsidRPr="00650291" w:rsidRDefault="00013078" w:rsidP="00D620F7">
      <w:pPr>
        <w:pStyle w:val="ListParagraph"/>
        <w:numPr>
          <w:ilvl w:val="0"/>
          <w:numId w:val="18"/>
        </w:numPr>
        <w:rPr>
          <w:rFonts w:eastAsia="Calibri"/>
        </w:rPr>
      </w:pPr>
      <w:r w:rsidRPr="00650291">
        <w:rPr>
          <w:rFonts w:eastAsia="Calibri"/>
        </w:rPr>
        <w:t>Internal distribution within the group but no external distribution;</w:t>
      </w:r>
    </w:p>
    <w:p w14:paraId="4DA504B7" w14:textId="77777777" w:rsidR="00013078" w:rsidRPr="00650291" w:rsidRDefault="00013078" w:rsidP="00D620F7">
      <w:pPr>
        <w:pStyle w:val="ListParagraph"/>
        <w:numPr>
          <w:ilvl w:val="0"/>
          <w:numId w:val="18"/>
        </w:numPr>
        <w:rPr>
          <w:rFonts w:eastAsia="Calibri"/>
        </w:rPr>
      </w:pPr>
      <w:r w:rsidRPr="00650291">
        <w:rPr>
          <w:rFonts w:eastAsia="Calibri"/>
        </w:rPr>
        <w:t>Pricing is based on the most relevant update for each calendar year (normally by January 1 or within early Q1), except for certain cases as noted in the underlying Excel sheet where material changes were made to individual venue market data agreements mid-year;</w:t>
      </w:r>
    </w:p>
    <w:p w14:paraId="4EB2B0BA" w14:textId="77777777" w:rsidR="00013078" w:rsidRPr="00650291" w:rsidRDefault="00013078" w:rsidP="00D620F7">
      <w:pPr>
        <w:pStyle w:val="ListParagraph"/>
        <w:numPr>
          <w:ilvl w:val="0"/>
          <w:numId w:val="18"/>
        </w:numPr>
        <w:rPr>
          <w:rFonts w:eastAsia="Calibri"/>
        </w:rPr>
      </w:pPr>
      <w:r w:rsidRPr="00650291">
        <w:rPr>
          <w:rFonts w:eastAsia="Calibri"/>
        </w:rPr>
        <w:t>Any non-Euro prices were adjusted to Euro using ECB average rates for the relevant calendar year.</w:t>
      </w:r>
    </w:p>
    <w:p w14:paraId="3832BE04" w14:textId="77777777" w:rsidR="00013078" w:rsidRPr="00650291" w:rsidRDefault="00013078" w:rsidP="00013078">
      <w:pPr>
        <w:jc w:val="both"/>
        <w:rPr>
          <w:rFonts w:asciiTheme="minorHAnsi" w:eastAsia="Calibri" w:hAnsiTheme="minorHAnsi"/>
        </w:rPr>
      </w:pPr>
    </w:p>
    <w:p w14:paraId="0DB06F41" w14:textId="77777777" w:rsidR="00013078" w:rsidRPr="00650291" w:rsidRDefault="00013078" w:rsidP="00013078">
      <w:pPr>
        <w:jc w:val="both"/>
        <w:rPr>
          <w:rFonts w:asciiTheme="minorHAnsi" w:eastAsia="Calibri" w:hAnsiTheme="minorHAnsi"/>
        </w:rPr>
      </w:pPr>
      <w:r w:rsidRPr="00650291">
        <w:rPr>
          <w:rFonts w:asciiTheme="minorHAnsi" w:eastAsia="Calibri" w:hAnsiTheme="minorHAnsi"/>
        </w:rPr>
        <w:t>As shown in the tables below in our model use case, this hypothetical firm on aggregate would have seen its market data costs rise by ~27% between 2016-2019 (from €917k to over €1.16m).</w:t>
      </w:r>
    </w:p>
    <w:p w14:paraId="44A8D53F" w14:textId="77777777" w:rsidR="00013078" w:rsidRPr="00650291" w:rsidRDefault="00013078" w:rsidP="00013078">
      <w:pPr>
        <w:jc w:val="both"/>
        <w:rPr>
          <w:rFonts w:asciiTheme="minorHAnsi" w:eastAsia="Calibri" w:hAnsiTheme="minorHAnsi"/>
        </w:rPr>
      </w:pPr>
    </w:p>
    <w:p w14:paraId="1C09BA6A" w14:textId="77777777" w:rsidR="00013078" w:rsidRPr="00650291" w:rsidRDefault="00013078" w:rsidP="00013078">
      <w:pPr>
        <w:jc w:val="both"/>
        <w:rPr>
          <w:rFonts w:asciiTheme="minorHAnsi" w:eastAsia="Calibri" w:hAnsiTheme="minorHAnsi"/>
          <w:b/>
        </w:rPr>
      </w:pPr>
      <w:r w:rsidRPr="00650291">
        <w:rPr>
          <w:rFonts w:asciiTheme="minorHAnsi" w:eastAsia="Calibri" w:hAnsiTheme="minorHAnsi"/>
          <w:b/>
        </w:rPr>
        <w:t>Table 1 – Year-on-year market data spend for a hypothetical EU principal trading firm</w:t>
      </w:r>
    </w:p>
    <w:tbl>
      <w:tblPr>
        <w:tblW w:w="9583" w:type="dxa"/>
        <w:tblInd w:w="-5" w:type="dxa"/>
        <w:tblLook w:val="04A0" w:firstRow="1" w:lastRow="0" w:firstColumn="1" w:lastColumn="0" w:noHBand="0" w:noVBand="1"/>
      </w:tblPr>
      <w:tblGrid>
        <w:gridCol w:w="2778"/>
        <w:gridCol w:w="1361"/>
        <w:gridCol w:w="1361"/>
        <w:gridCol w:w="1361"/>
        <w:gridCol w:w="1361"/>
        <w:gridCol w:w="1361"/>
      </w:tblGrid>
      <w:tr w:rsidR="00013078" w:rsidRPr="00650291" w14:paraId="41BA0E98" w14:textId="77777777" w:rsidTr="00AE0577">
        <w:trPr>
          <w:trHeight w:val="300"/>
        </w:trPr>
        <w:tc>
          <w:tcPr>
            <w:tcW w:w="2778" w:type="dxa"/>
            <w:tcBorders>
              <w:top w:val="single" w:sz="8" w:space="0" w:color="auto"/>
              <w:left w:val="single" w:sz="8" w:space="0" w:color="auto"/>
              <w:bottom w:val="single" w:sz="4" w:space="0" w:color="auto"/>
              <w:right w:val="single" w:sz="4" w:space="0" w:color="auto"/>
            </w:tcBorders>
            <w:shd w:val="clear" w:color="000000" w:fill="44546A"/>
            <w:noWrap/>
            <w:vAlign w:val="bottom"/>
            <w:hideMark/>
          </w:tcPr>
          <w:p w14:paraId="3C4136E5" w14:textId="77777777" w:rsidR="00013078" w:rsidRPr="006E7900" w:rsidRDefault="00013078" w:rsidP="00AE0577">
            <w:pPr>
              <w:jc w:val="both"/>
              <w:rPr>
                <w:rFonts w:asciiTheme="minorHAnsi" w:hAnsiTheme="minorHAnsi"/>
                <w:b/>
                <w:bCs/>
                <w:sz w:val="20"/>
                <w:szCs w:val="20"/>
              </w:rPr>
            </w:pPr>
            <w:r w:rsidRPr="006E7900">
              <w:rPr>
                <w:rFonts w:ascii="Calibri" w:hAnsi="Calibri"/>
                <w:b/>
                <w:bCs/>
              </w:rPr>
              <w:lastRenderedPageBreak/>
              <w:t>Exchange</w:t>
            </w:r>
          </w:p>
        </w:tc>
        <w:tc>
          <w:tcPr>
            <w:tcW w:w="1361" w:type="dxa"/>
            <w:tcBorders>
              <w:top w:val="single" w:sz="8" w:space="0" w:color="auto"/>
              <w:left w:val="nil"/>
              <w:bottom w:val="single" w:sz="4" w:space="0" w:color="auto"/>
              <w:right w:val="single" w:sz="4" w:space="0" w:color="auto"/>
            </w:tcBorders>
            <w:shd w:val="clear" w:color="000000" w:fill="44546A"/>
            <w:noWrap/>
            <w:vAlign w:val="bottom"/>
            <w:hideMark/>
          </w:tcPr>
          <w:p w14:paraId="2CE3C67C" w14:textId="77777777" w:rsidR="00013078" w:rsidRPr="006E7900" w:rsidRDefault="00013078" w:rsidP="00AE0577">
            <w:pPr>
              <w:jc w:val="both"/>
              <w:rPr>
                <w:rFonts w:asciiTheme="minorHAnsi" w:hAnsiTheme="minorHAnsi"/>
                <w:b/>
                <w:bCs/>
                <w:sz w:val="20"/>
                <w:szCs w:val="20"/>
              </w:rPr>
            </w:pPr>
            <w:r w:rsidRPr="006E7900">
              <w:rPr>
                <w:rFonts w:ascii="Calibri" w:hAnsi="Calibri"/>
                <w:b/>
                <w:bCs/>
              </w:rPr>
              <w:t>Sum of 2016 Total in EUR</w:t>
            </w:r>
          </w:p>
        </w:tc>
        <w:tc>
          <w:tcPr>
            <w:tcW w:w="1361" w:type="dxa"/>
            <w:tcBorders>
              <w:top w:val="single" w:sz="8" w:space="0" w:color="auto"/>
              <w:left w:val="nil"/>
              <w:bottom w:val="single" w:sz="4" w:space="0" w:color="auto"/>
              <w:right w:val="single" w:sz="4" w:space="0" w:color="auto"/>
            </w:tcBorders>
            <w:shd w:val="clear" w:color="000000" w:fill="44546A"/>
            <w:noWrap/>
            <w:vAlign w:val="bottom"/>
            <w:hideMark/>
          </w:tcPr>
          <w:p w14:paraId="39424DFA" w14:textId="77777777" w:rsidR="00013078" w:rsidRPr="006E7900" w:rsidRDefault="00013078" w:rsidP="00AE0577">
            <w:pPr>
              <w:jc w:val="both"/>
              <w:rPr>
                <w:rFonts w:asciiTheme="minorHAnsi" w:hAnsiTheme="minorHAnsi"/>
                <w:b/>
                <w:bCs/>
                <w:sz w:val="20"/>
                <w:szCs w:val="20"/>
              </w:rPr>
            </w:pPr>
            <w:r w:rsidRPr="006E7900">
              <w:rPr>
                <w:rFonts w:ascii="Calibri" w:hAnsi="Calibri"/>
                <w:b/>
                <w:bCs/>
              </w:rPr>
              <w:t>Sum of 2017 Total in EUR</w:t>
            </w:r>
          </w:p>
        </w:tc>
        <w:tc>
          <w:tcPr>
            <w:tcW w:w="1361" w:type="dxa"/>
            <w:tcBorders>
              <w:top w:val="single" w:sz="8" w:space="0" w:color="auto"/>
              <w:left w:val="nil"/>
              <w:bottom w:val="single" w:sz="4" w:space="0" w:color="auto"/>
              <w:right w:val="single" w:sz="4" w:space="0" w:color="auto"/>
            </w:tcBorders>
            <w:shd w:val="clear" w:color="000000" w:fill="44546A"/>
            <w:noWrap/>
            <w:vAlign w:val="bottom"/>
            <w:hideMark/>
          </w:tcPr>
          <w:p w14:paraId="3FB63BDF" w14:textId="77777777" w:rsidR="00013078" w:rsidRPr="006E7900" w:rsidRDefault="00013078" w:rsidP="00AE0577">
            <w:pPr>
              <w:jc w:val="both"/>
              <w:rPr>
                <w:rFonts w:asciiTheme="minorHAnsi" w:hAnsiTheme="minorHAnsi"/>
                <w:b/>
                <w:bCs/>
                <w:sz w:val="20"/>
                <w:szCs w:val="20"/>
              </w:rPr>
            </w:pPr>
            <w:r w:rsidRPr="006E7900">
              <w:rPr>
                <w:rFonts w:ascii="Calibri" w:hAnsi="Calibri"/>
                <w:b/>
                <w:bCs/>
              </w:rPr>
              <w:t>Sum of 2018 Total in EUR</w:t>
            </w:r>
          </w:p>
        </w:tc>
        <w:tc>
          <w:tcPr>
            <w:tcW w:w="1361" w:type="dxa"/>
            <w:tcBorders>
              <w:top w:val="single" w:sz="8" w:space="0" w:color="auto"/>
              <w:left w:val="nil"/>
              <w:bottom w:val="single" w:sz="4" w:space="0" w:color="auto"/>
              <w:right w:val="single" w:sz="4" w:space="0" w:color="auto"/>
            </w:tcBorders>
            <w:shd w:val="clear" w:color="000000" w:fill="44546A"/>
            <w:noWrap/>
            <w:vAlign w:val="bottom"/>
            <w:hideMark/>
          </w:tcPr>
          <w:p w14:paraId="4D23C1DD" w14:textId="77777777" w:rsidR="00013078" w:rsidRPr="006E7900" w:rsidRDefault="00013078" w:rsidP="00AE0577">
            <w:pPr>
              <w:jc w:val="both"/>
              <w:rPr>
                <w:rFonts w:asciiTheme="minorHAnsi" w:hAnsiTheme="minorHAnsi"/>
                <w:b/>
                <w:bCs/>
                <w:sz w:val="20"/>
                <w:szCs w:val="20"/>
              </w:rPr>
            </w:pPr>
            <w:r w:rsidRPr="006E7900">
              <w:rPr>
                <w:rFonts w:ascii="Calibri" w:hAnsi="Calibri"/>
                <w:b/>
                <w:bCs/>
              </w:rPr>
              <w:t>Sum of 2019 Total in EUR</w:t>
            </w:r>
          </w:p>
        </w:tc>
        <w:tc>
          <w:tcPr>
            <w:tcW w:w="1361" w:type="dxa"/>
            <w:tcBorders>
              <w:top w:val="single" w:sz="8" w:space="0" w:color="auto"/>
              <w:left w:val="single" w:sz="8" w:space="0" w:color="auto"/>
              <w:bottom w:val="single" w:sz="4" w:space="0" w:color="auto"/>
              <w:right w:val="single" w:sz="8" w:space="0" w:color="auto"/>
            </w:tcBorders>
            <w:shd w:val="clear" w:color="000000" w:fill="44546A"/>
            <w:noWrap/>
            <w:vAlign w:val="bottom"/>
            <w:hideMark/>
          </w:tcPr>
          <w:p w14:paraId="6FD10BAE" w14:textId="77777777" w:rsidR="00013078" w:rsidRPr="006E7900" w:rsidRDefault="00013078" w:rsidP="00AE0577">
            <w:pPr>
              <w:jc w:val="both"/>
              <w:rPr>
                <w:rFonts w:asciiTheme="minorHAnsi" w:hAnsiTheme="minorHAnsi"/>
                <w:b/>
                <w:bCs/>
                <w:sz w:val="20"/>
                <w:szCs w:val="20"/>
              </w:rPr>
            </w:pPr>
            <w:r w:rsidRPr="006E7900">
              <w:rPr>
                <w:rFonts w:ascii="Calibri" w:hAnsi="Calibri"/>
                <w:b/>
                <w:bCs/>
              </w:rPr>
              <w:t>% Change 2016-19</w:t>
            </w:r>
          </w:p>
        </w:tc>
      </w:tr>
      <w:tr w:rsidR="00013078" w:rsidRPr="00650291" w14:paraId="64C2F305" w14:textId="77777777" w:rsidTr="00AE0577">
        <w:trPr>
          <w:trHeight w:val="300"/>
        </w:trPr>
        <w:tc>
          <w:tcPr>
            <w:tcW w:w="2778" w:type="dxa"/>
            <w:tcBorders>
              <w:top w:val="nil"/>
              <w:left w:val="single" w:sz="8" w:space="0" w:color="auto"/>
              <w:bottom w:val="single" w:sz="4" w:space="0" w:color="auto"/>
              <w:right w:val="single" w:sz="4" w:space="0" w:color="auto"/>
            </w:tcBorders>
            <w:shd w:val="clear" w:color="auto" w:fill="auto"/>
            <w:noWrap/>
            <w:vAlign w:val="bottom"/>
            <w:hideMark/>
          </w:tcPr>
          <w:p w14:paraId="19CEA4C7" w14:textId="77777777" w:rsidR="00013078" w:rsidRPr="00650291" w:rsidRDefault="00013078" w:rsidP="00AE0577">
            <w:pPr>
              <w:jc w:val="both"/>
              <w:rPr>
                <w:rFonts w:asciiTheme="minorHAnsi" w:hAnsiTheme="minorHAnsi"/>
                <w:color w:val="000000"/>
                <w:sz w:val="20"/>
                <w:szCs w:val="20"/>
              </w:rPr>
            </w:pPr>
            <w:proofErr w:type="spellStart"/>
            <w:r>
              <w:rPr>
                <w:rFonts w:ascii="Calibri" w:hAnsi="Calibri"/>
                <w:color w:val="000000"/>
              </w:rPr>
              <w:t>Bolsas</w:t>
            </w:r>
            <w:proofErr w:type="spellEnd"/>
            <w:r>
              <w:rPr>
                <w:rFonts w:ascii="Calibri" w:hAnsi="Calibri"/>
                <w:color w:val="000000"/>
              </w:rPr>
              <w:t xml:space="preserve"> y Mercado </w:t>
            </w:r>
            <w:proofErr w:type="spellStart"/>
            <w:r>
              <w:rPr>
                <w:rFonts w:ascii="Calibri" w:hAnsi="Calibri"/>
                <w:color w:val="000000"/>
              </w:rPr>
              <w:t>Espanoles</w:t>
            </w:r>
            <w:proofErr w:type="spellEnd"/>
          </w:p>
        </w:tc>
        <w:tc>
          <w:tcPr>
            <w:tcW w:w="1361" w:type="dxa"/>
            <w:tcBorders>
              <w:top w:val="nil"/>
              <w:left w:val="nil"/>
              <w:bottom w:val="single" w:sz="4" w:space="0" w:color="auto"/>
              <w:right w:val="single" w:sz="4" w:space="0" w:color="auto"/>
            </w:tcBorders>
            <w:shd w:val="clear" w:color="auto" w:fill="auto"/>
            <w:noWrap/>
            <w:vAlign w:val="bottom"/>
            <w:hideMark/>
          </w:tcPr>
          <w:p w14:paraId="27942BAE" w14:textId="77777777" w:rsidR="00013078" w:rsidRPr="00650291" w:rsidRDefault="00013078" w:rsidP="00AE0577">
            <w:pPr>
              <w:jc w:val="right"/>
              <w:rPr>
                <w:rFonts w:asciiTheme="minorHAnsi" w:hAnsiTheme="minorHAnsi"/>
                <w:color w:val="000000"/>
                <w:sz w:val="20"/>
                <w:szCs w:val="20"/>
              </w:rPr>
            </w:pPr>
            <w:r>
              <w:rPr>
                <w:rFonts w:ascii="Calibri" w:hAnsi="Calibri"/>
                <w:color w:val="000000"/>
              </w:rPr>
              <w:t>86,016</w:t>
            </w:r>
          </w:p>
        </w:tc>
        <w:tc>
          <w:tcPr>
            <w:tcW w:w="1361" w:type="dxa"/>
            <w:tcBorders>
              <w:top w:val="nil"/>
              <w:left w:val="nil"/>
              <w:bottom w:val="single" w:sz="4" w:space="0" w:color="auto"/>
              <w:right w:val="single" w:sz="4" w:space="0" w:color="auto"/>
            </w:tcBorders>
            <w:shd w:val="clear" w:color="auto" w:fill="auto"/>
            <w:noWrap/>
            <w:vAlign w:val="bottom"/>
            <w:hideMark/>
          </w:tcPr>
          <w:p w14:paraId="7A5C6D53" w14:textId="77777777" w:rsidR="00013078" w:rsidRPr="00650291" w:rsidRDefault="00013078" w:rsidP="00AE0577">
            <w:pPr>
              <w:jc w:val="right"/>
              <w:rPr>
                <w:rFonts w:asciiTheme="minorHAnsi" w:hAnsiTheme="minorHAnsi"/>
                <w:color w:val="000000"/>
                <w:sz w:val="20"/>
                <w:szCs w:val="20"/>
              </w:rPr>
            </w:pPr>
            <w:r>
              <w:rPr>
                <w:rFonts w:ascii="Calibri" w:hAnsi="Calibri"/>
                <w:color w:val="000000"/>
              </w:rPr>
              <w:t>86,016</w:t>
            </w:r>
          </w:p>
        </w:tc>
        <w:tc>
          <w:tcPr>
            <w:tcW w:w="1361" w:type="dxa"/>
            <w:tcBorders>
              <w:top w:val="nil"/>
              <w:left w:val="nil"/>
              <w:bottom w:val="single" w:sz="4" w:space="0" w:color="auto"/>
              <w:right w:val="single" w:sz="4" w:space="0" w:color="auto"/>
            </w:tcBorders>
            <w:shd w:val="clear" w:color="auto" w:fill="auto"/>
            <w:noWrap/>
            <w:vAlign w:val="bottom"/>
            <w:hideMark/>
          </w:tcPr>
          <w:p w14:paraId="46DB156B" w14:textId="77777777" w:rsidR="00013078" w:rsidRPr="00650291" w:rsidRDefault="00013078" w:rsidP="00AE0577">
            <w:pPr>
              <w:jc w:val="right"/>
              <w:rPr>
                <w:rFonts w:asciiTheme="minorHAnsi" w:hAnsiTheme="minorHAnsi"/>
                <w:color w:val="000000"/>
                <w:sz w:val="20"/>
                <w:szCs w:val="20"/>
              </w:rPr>
            </w:pPr>
            <w:r>
              <w:rPr>
                <w:rFonts w:ascii="Calibri" w:hAnsi="Calibri"/>
                <w:color w:val="000000"/>
              </w:rPr>
              <w:t>89,984</w:t>
            </w:r>
          </w:p>
        </w:tc>
        <w:tc>
          <w:tcPr>
            <w:tcW w:w="1361" w:type="dxa"/>
            <w:tcBorders>
              <w:top w:val="nil"/>
              <w:left w:val="nil"/>
              <w:bottom w:val="single" w:sz="4" w:space="0" w:color="auto"/>
              <w:right w:val="single" w:sz="4" w:space="0" w:color="auto"/>
            </w:tcBorders>
            <w:shd w:val="clear" w:color="auto" w:fill="auto"/>
            <w:noWrap/>
            <w:vAlign w:val="bottom"/>
            <w:hideMark/>
          </w:tcPr>
          <w:p w14:paraId="5DD184E8" w14:textId="77777777" w:rsidR="00013078" w:rsidRPr="00650291" w:rsidRDefault="00013078" w:rsidP="00AE0577">
            <w:pPr>
              <w:jc w:val="right"/>
              <w:rPr>
                <w:rFonts w:asciiTheme="minorHAnsi" w:hAnsiTheme="minorHAnsi"/>
                <w:color w:val="000000"/>
                <w:sz w:val="20"/>
                <w:szCs w:val="20"/>
              </w:rPr>
            </w:pPr>
            <w:r>
              <w:rPr>
                <w:rFonts w:ascii="Calibri" w:hAnsi="Calibri"/>
                <w:color w:val="000000"/>
              </w:rPr>
              <w:t>89,984</w:t>
            </w:r>
          </w:p>
        </w:tc>
        <w:tc>
          <w:tcPr>
            <w:tcW w:w="1361" w:type="dxa"/>
            <w:tcBorders>
              <w:top w:val="nil"/>
              <w:left w:val="single" w:sz="8" w:space="0" w:color="auto"/>
              <w:bottom w:val="single" w:sz="4" w:space="0" w:color="auto"/>
              <w:right w:val="single" w:sz="8" w:space="0" w:color="auto"/>
            </w:tcBorders>
            <w:shd w:val="clear" w:color="000000" w:fill="DDEBF7"/>
            <w:noWrap/>
            <w:vAlign w:val="bottom"/>
            <w:hideMark/>
          </w:tcPr>
          <w:p w14:paraId="49E4ACB8" w14:textId="77777777" w:rsidR="00013078" w:rsidRPr="00650291" w:rsidRDefault="00013078" w:rsidP="00AE0577">
            <w:pPr>
              <w:jc w:val="right"/>
              <w:rPr>
                <w:rFonts w:asciiTheme="minorHAnsi" w:hAnsiTheme="minorHAnsi"/>
                <w:b/>
                <w:bCs/>
                <w:color w:val="000000"/>
                <w:sz w:val="20"/>
                <w:szCs w:val="20"/>
              </w:rPr>
            </w:pPr>
            <w:r>
              <w:rPr>
                <w:rFonts w:ascii="Calibri" w:hAnsi="Calibri"/>
                <w:b/>
                <w:bCs/>
                <w:color w:val="000000"/>
              </w:rPr>
              <w:t>5%</w:t>
            </w:r>
          </w:p>
        </w:tc>
      </w:tr>
      <w:tr w:rsidR="00013078" w:rsidRPr="00650291" w14:paraId="18AE7C27" w14:textId="77777777" w:rsidTr="00AE0577">
        <w:trPr>
          <w:trHeight w:val="300"/>
        </w:trPr>
        <w:tc>
          <w:tcPr>
            <w:tcW w:w="2778" w:type="dxa"/>
            <w:tcBorders>
              <w:top w:val="nil"/>
              <w:left w:val="single" w:sz="8" w:space="0" w:color="auto"/>
              <w:bottom w:val="single" w:sz="4" w:space="0" w:color="auto"/>
              <w:right w:val="single" w:sz="4" w:space="0" w:color="auto"/>
            </w:tcBorders>
            <w:shd w:val="clear" w:color="auto" w:fill="auto"/>
            <w:noWrap/>
            <w:vAlign w:val="bottom"/>
            <w:hideMark/>
          </w:tcPr>
          <w:p w14:paraId="25F20167" w14:textId="77777777" w:rsidR="00013078" w:rsidRPr="00650291" w:rsidRDefault="00013078" w:rsidP="00AE0577">
            <w:pPr>
              <w:jc w:val="both"/>
              <w:rPr>
                <w:rFonts w:asciiTheme="minorHAnsi" w:hAnsiTheme="minorHAnsi"/>
                <w:color w:val="000000"/>
                <w:sz w:val="20"/>
                <w:szCs w:val="20"/>
              </w:rPr>
            </w:pPr>
            <w:proofErr w:type="spellStart"/>
            <w:r>
              <w:rPr>
                <w:rFonts w:ascii="Calibri" w:hAnsi="Calibri"/>
                <w:color w:val="000000"/>
              </w:rPr>
              <w:t>Borsa</w:t>
            </w:r>
            <w:proofErr w:type="spellEnd"/>
            <w:r>
              <w:rPr>
                <w:rFonts w:ascii="Calibri" w:hAnsi="Calibri"/>
                <w:color w:val="000000"/>
              </w:rPr>
              <w:t xml:space="preserve"> </w:t>
            </w:r>
            <w:proofErr w:type="spellStart"/>
            <w:r>
              <w:rPr>
                <w:rFonts w:ascii="Calibri" w:hAnsi="Calibri"/>
                <w:color w:val="000000"/>
              </w:rPr>
              <w:t>Italiana</w:t>
            </w:r>
            <w:proofErr w:type="spellEnd"/>
          </w:p>
        </w:tc>
        <w:tc>
          <w:tcPr>
            <w:tcW w:w="1361" w:type="dxa"/>
            <w:tcBorders>
              <w:top w:val="nil"/>
              <w:left w:val="nil"/>
              <w:bottom w:val="single" w:sz="4" w:space="0" w:color="auto"/>
              <w:right w:val="single" w:sz="4" w:space="0" w:color="auto"/>
            </w:tcBorders>
            <w:shd w:val="clear" w:color="auto" w:fill="auto"/>
            <w:noWrap/>
            <w:vAlign w:val="bottom"/>
            <w:hideMark/>
          </w:tcPr>
          <w:p w14:paraId="502C8630" w14:textId="77777777" w:rsidR="00013078" w:rsidRPr="00650291" w:rsidRDefault="00013078" w:rsidP="00AE0577">
            <w:pPr>
              <w:jc w:val="right"/>
              <w:rPr>
                <w:rFonts w:asciiTheme="minorHAnsi" w:hAnsiTheme="minorHAnsi"/>
                <w:color w:val="000000"/>
                <w:sz w:val="20"/>
                <w:szCs w:val="20"/>
              </w:rPr>
            </w:pPr>
            <w:r>
              <w:rPr>
                <w:rFonts w:ascii="Calibri" w:hAnsi="Calibri"/>
                <w:color w:val="000000"/>
              </w:rPr>
              <w:t>120,080</w:t>
            </w:r>
          </w:p>
        </w:tc>
        <w:tc>
          <w:tcPr>
            <w:tcW w:w="1361" w:type="dxa"/>
            <w:tcBorders>
              <w:top w:val="nil"/>
              <w:left w:val="nil"/>
              <w:bottom w:val="single" w:sz="4" w:space="0" w:color="auto"/>
              <w:right w:val="single" w:sz="4" w:space="0" w:color="auto"/>
            </w:tcBorders>
            <w:shd w:val="clear" w:color="auto" w:fill="auto"/>
            <w:noWrap/>
            <w:vAlign w:val="bottom"/>
            <w:hideMark/>
          </w:tcPr>
          <w:p w14:paraId="5724BB00" w14:textId="77777777" w:rsidR="00013078" w:rsidRPr="00650291" w:rsidRDefault="00013078" w:rsidP="00AE0577">
            <w:pPr>
              <w:jc w:val="right"/>
              <w:rPr>
                <w:rFonts w:asciiTheme="minorHAnsi" w:hAnsiTheme="minorHAnsi"/>
                <w:color w:val="000000"/>
                <w:sz w:val="20"/>
                <w:szCs w:val="20"/>
              </w:rPr>
            </w:pPr>
            <w:r>
              <w:rPr>
                <w:rFonts w:ascii="Calibri" w:hAnsi="Calibri"/>
                <w:color w:val="000000"/>
              </w:rPr>
              <w:t>125,342</w:t>
            </w:r>
          </w:p>
        </w:tc>
        <w:tc>
          <w:tcPr>
            <w:tcW w:w="1361" w:type="dxa"/>
            <w:tcBorders>
              <w:top w:val="nil"/>
              <w:left w:val="nil"/>
              <w:bottom w:val="single" w:sz="4" w:space="0" w:color="auto"/>
              <w:right w:val="single" w:sz="4" w:space="0" w:color="auto"/>
            </w:tcBorders>
            <w:shd w:val="clear" w:color="auto" w:fill="auto"/>
            <w:noWrap/>
            <w:vAlign w:val="bottom"/>
            <w:hideMark/>
          </w:tcPr>
          <w:p w14:paraId="3726C77E" w14:textId="77777777" w:rsidR="00013078" w:rsidRPr="00650291" w:rsidRDefault="00013078" w:rsidP="00AE0577">
            <w:pPr>
              <w:jc w:val="right"/>
              <w:rPr>
                <w:rFonts w:asciiTheme="minorHAnsi" w:hAnsiTheme="minorHAnsi"/>
                <w:color w:val="000000"/>
                <w:sz w:val="20"/>
                <w:szCs w:val="20"/>
              </w:rPr>
            </w:pPr>
            <w:r>
              <w:rPr>
                <w:rFonts w:ascii="Calibri" w:hAnsi="Calibri"/>
                <w:color w:val="000000"/>
              </w:rPr>
              <w:t>125,342</w:t>
            </w:r>
          </w:p>
        </w:tc>
        <w:tc>
          <w:tcPr>
            <w:tcW w:w="1361" w:type="dxa"/>
            <w:tcBorders>
              <w:top w:val="nil"/>
              <w:left w:val="nil"/>
              <w:bottom w:val="single" w:sz="4" w:space="0" w:color="auto"/>
              <w:right w:val="single" w:sz="4" w:space="0" w:color="auto"/>
            </w:tcBorders>
            <w:shd w:val="clear" w:color="auto" w:fill="auto"/>
            <w:noWrap/>
            <w:vAlign w:val="bottom"/>
            <w:hideMark/>
          </w:tcPr>
          <w:p w14:paraId="65BFF41A" w14:textId="77777777" w:rsidR="00013078" w:rsidRPr="00650291" w:rsidRDefault="00013078" w:rsidP="00AE0577">
            <w:pPr>
              <w:jc w:val="right"/>
              <w:rPr>
                <w:rFonts w:asciiTheme="minorHAnsi" w:hAnsiTheme="minorHAnsi"/>
                <w:color w:val="000000"/>
                <w:sz w:val="20"/>
                <w:szCs w:val="20"/>
              </w:rPr>
            </w:pPr>
            <w:r>
              <w:rPr>
                <w:rFonts w:ascii="Calibri" w:hAnsi="Calibri"/>
                <w:color w:val="000000"/>
              </w:rPr>
              <w:t>125,680</w:t>
            </w:r>
          </w:p>
        </w:tc>
        <w:tc>
          <w:tcPr>
            <w:tcW w:w="1361" w:type="dxa"/>
            <w:tcBorders>
              <w:top w:val="nil"/>
              <w:left w:val="single" w:sz="8" w:space="0" w:color="auto"/>
              <w:bottom w:val="single" w:sz="4" w:space="0" w:color="auto"/>
              <w:right w:val="single" w:sz="8" w:space="0" w:color="auto"/>
            </w:tcBorders>
            <w:shd w:val="clear" w:color="000000" w:fill="DDEBF7"/>
            <w:noWrap/>
            <w:vAlign w:val="bottom"/>
            <w:hideMark/>
          </w:tcPr>
          <w:p w14:paraId="100486A7" w14:textId="77777777" w:rsidR="00013078" w:rsidRPr="00650291" w:rsidRDefault="00013078" w:rsidP="00AE0577">
            <w:pPr>
              <w:jc w:val="right"/>
              <w:rPr>
                <w:rFonts w:asciiTheme="minorHAnsi" w:hAnsiTheme="minorHAnsi"/>
                <w:b/>
                <w:bCs/>
                <w:color w:val="000000"/>
                <w:sz w:val="20"/>
                <w:szCs w:val="20"/>
              </w:rPr>
            </w:pPr>
            <w:r>
              <w:rPr>
                <w:rFonts w:ascii="Calibri" w:hAnsi="Calibri"/>
                <w:b/>
                <w:bCs/>
                <w:color w:val="000000"/>
              </w:rPr>
              <w:t>5%</w:t>
            </w:r>
          </w:p>
        </w:tc>
      </w:tr>
      <w:tr w:rsidR="00013078" w:rsidRPr="00650291" w14:paraId="7B3E5DDA" w14:textId="77777777" w:rsidTr="00AE0577">
        <w:trPr>
          <w:trHeight w:val="300"/>
        </w:trPr>
        <w:tc>
          <w:tcPr>
            <w:tcW w:w="2778" w:type="dxa"/>
            <w:tcBorders>
              <w:top w:val="nil"/>
              <w:left w:val="single" w:sz="8" w:space="0" w:color="auto"/>
              <w:bottom w:val="single" w:sz="4" w:space="0" w:color="auto"/>
              <w:right w:val="single" w:sz="4" w:space="0" w:color="auto"/>
            </w:tcBorders>
            <w:shd w:val="clear" w:color="auto" w:fill="auto"/>
            <w:noWrap/>
            <w:vAlign w:val="bottom"/>
            <w:hideMark/>
          </w:tcPr>
          <w:p w14:paraId="78DDA295" w14:textId="77777777" w:rsidR="00013078" w:rsidRPr="00650291" w:rsidRDefault="00013078" w:rsidP="00AE0577">
            <w:pPr>
              <w:jc w:val="both"/>
              <w:rPr>
                <w:rFonts w:asciiTheme="minorHAnsi" w:hAnsiTheme="minorHAnsi"/>
                <w:color w:val="000000"/>
                <w:sz w:val="20"/>
                <w:szCs w:val="20"/>
              </w:rPr>
            </w:pPr>
            <w:proofErr w:type="spellStart"/>
            <w:r>
              <w:rPr>
                <w:rFonts w:ascii="Calibri" w:hAnsi="Calibri"/>
                <w:color w:val="000000"/>
              </w:rPr>
              <w:t>Cboe</w:t>
            </w:r>
            <w:proofErr w:type="spellEnd"/>
            <w:r>
              <w:rPr>
                <w:rFonts w:ascii="Calibri" w:hAnsi="Calibri"/>
                <w:color w:val="000000"/>
              </w:rPr>
              <w:t xml:space="preserve"> Europe</w:t>
            </w:r>
          </w:p>
        </w:tc>
        <w:tc>
          <w:tcPr>
            <w:tcW w:w="1361" w:type="dxa"/>
            <w:tcBorders>
              <w:top w:val="nil"/>
              <w:left w:val="nil"/>
              <w:bottom w:val="single" w:sz="4" w:space="0" w:color="auto"/>
              <w:right w:val="single" w:sz="4" w:space="0" w:color="auto"/>
            </w:tcBorders>
            <w:shd w:val="clear" w:color="auto" w:fill="auto"/>
            <w:noWrap/>
            <w:vAlign w:val="bottom"/>
            <w:hideMark/>
          </w:tcPr>
          <w:p w14:paraId="69B313BB" w14:textId="77777777" w:rsidR="00013078" w:rsidRPr="00650291" w:rsidRDefault="00013078" w:rsidP="00AE0577">
            <w:pPr>
              <w:jc w:val="right"/>
              <w:rPr>
                <w:rFonts w:asciiTheme="minorHAnsi" w:hAnsiTheme="minorHAnsi"/>
                <w:color w:val="000000"/>
                <w:sz w:val="20"/>
                <w:szCs w:val="20"/>
              </w:rPr>
            </w:pPr>
            <w:r>
              <w:rPr>
                <w:rFonts w:ascii="Calibri" w:hAnsi="Calibri"/>
                <w:color w:val="000000"/>
              </w:rPr>
              <w:t>31,483</w:t>
            </w:r>
          </w:p>
        </w:tc>
        <w:tc>
          <w:tcPr>
            <w:tcW w:w="1361" w:type="dxa"/>
            <w:tcBorders>
              <w:top w:val="nil"/>
              <w:left w:val="nil"/>
              <w:bottom w:val="single" w:sz="4" w:space="0" w:color="auto"/>
              <w:right w:val="single" w:sz="4" w:space="0" w:color="auto"/>
            </w:tcBorders>
            <w:shd w:val="clear" w:color="auto" w:fill="auto"/>
            <w:noWrap/>
            <w:vAlign w:val="bottom"/>
            <w:hideMark/>
          </w:tcPr>
          <w:p w14:paraId="1608D277" w14:textId="77777777" w:rsidR="00013078" w:rsidRPr="00650291" w:rsidRDefault="00013078" w:rsidP="00AE0577">
            <w:pPr>
              <w:jc w:val="right"/>
              <w:rPr>
                <w:rFonts w:asciiTheme="minorHAnsi" w:hAnsiTheme="minorHAnsi"/>
                <w:color w:val="000000"/>
                <w:sz w:val="20"/>
                <w:szCs w:val="20"/>
              </w:rPr>
            </w:pPr>
            <w:r>
              <w:rPr>
                <w:rFonts w:ascii="Calibri" w:hAnsi="Calibri"/>
                <w:color w:val="000000"/>
              </w:rPr>
              <w:t>44,760</w:t>
            </w:r>
          </w:p>
        </w:tc>
        <w:tc>
          <w:tcPr>
            <w:tcW w:w="1361" w:type="dxa"/>
            <w:tcBorders>
              <w:top w:val="nil"/>
              <w:left w:val="nil"/>
              <w:bottom w:val="single" w:sz="4" w:space="0" w:color="auto"/>
              <w:right w:val="single" w:sz="4" w:space="0" w:color="auto"/>
            </w:tcBorders>
            <w:shd w:val="clear" w:color="auto" w:fill="auto"/>
            <w:noWrap/>
            <w:vAlign w:val="bottom"/>
            <w:hideMark/>
          </w:tcPr>
          <w:p w14:paraId="6B7ED76D" w14:textId="77777777" w:rsidR="00013078" w:rsidRPr="00650291" w:rsidRDefault="00013078" w:rsidP="00AE0577">
            <w:pPr>
              <w:jc w:val="right"/>
              <w:rPr>
                <w:rFonts w:asciiTheme="minorHAnsi" w:hAnsiTheme="minorHAnsi"/>
                <w:color w:val="000000"/>
                <w:sz w:val="20"/>
                <w:szCs w:val="20"/>
              </w:rPr>
            </w:pPr>
            <w:r>
              <w:rPr>
                <w:rFonts w:ascii="Calibri" w:hAnsi="Calibri"/>
                <w:color w:val="000000"/>
              </w:rPr>
              <w:t>45,303</w:t>
            </w:r>
          </w:p>
        </w:tc>
        <w:tc>
          <w:tcPr>
            <w:tcW w:w="1361" w:type="dxa"/>
            <w:tcBorders>
              <w:top w:val="nil"/>
              <w:left w:val="nil"/>
              <w:bottom w:val="single" w:sz="4" w:space="0" w:color="auto"/>
              <w:right w:val="single" w:sz="4" w:space="0" w:color="auto"/>
            </w:tcBorders>
            <w:shd w:val="clear" w:color="auto" w:fill="auto"/>
            <w:noWrap/>
            <w:vAlign w:val="bottom"/>
            <w:hideMark/>
          </w:tcPr>
          <w:p w14:paraId="7C1B5346" w14:textId="77777777" w:rsidR="00013078" w:rsidRPr="00650291" w:rsidRDefault="00013078" w:rsidP="00AE0577">
            <w:pPr>
              <w:jc w:val="right"/>
              <w:rPr>
                <w:rFonts w:asciiTheme="minorHAnsi" w:hAnsiTheme="minorHAnsi"/>
                <w:color w:val="000000"/>
                <w:sz w:val="20"/>
                <w:szCs w:val="20"/>
              </w:rPr>
            </w:pPr>
            <w:r>
              <w:rPr>
                <w:rFonts w:ascii="Calibri" w:hAnsi="Calibri"/>
                <w:color w:val="000000"/>
              </w:rPr>
              <w:t>49,085</w:t>
            </w:r>
          </w:p>
        </w:tc>
        <w:tc>
          <w:tcPr>
            <w:tcW w:w="1361" w:type="dxa"/>
            <w:tcBorders>
              <w:top w:val="nil"/>
              <w:left w:val="single" w:sz="8" w:space="0" w:color="auto"/>
              <w:bottom w:val="single" w:sz="4" w:space="0" w:color="auto"/>
              <w:right w:val="single" w:sz="8" w:space="0" w:color="auto"/>
            </w:tcBorders>
            <w:shd w:val="clear" w:color="000000" w:fill="DDEBF7"/>
            <w:noWrap/>
            <w:vAlign w:val="bottom"/>
            <w:hideMark/>
          </w:tcPr>
          <w:p w14:paraId="3F56AD2D" w14:textId="77777777" w:rsidR="00013078" w:rsidRPr="00650291" w:rsidRDefault="00013078" w:rsidP="00AE0577">
            <w:pPr>
              <w:jc w:val="right"/>
              <w:rPr>
                <w:rFonts w:asciiTheme="minorHAnsi" w:hAnsiTheme="minorHAnsi"/>
                <w:b/>
                <w:bCs/>
                <w:color w:val="000000"/>
                <w:sz w:val="20"/>
                <w:szCs w:val="20"/>
              </w:rPr>
            </w:pPr>
            <w:r>
              <w:rPr>
                <w:rFonts w:ascii="Calibri" w:hAnsi="Calibri"/>
                <w:b/>
                <w:bCs/>
                <w:color w:val="000000"/>
              </w:rPr>
              <w:t>56%</w:t>
            </w:r>
          </w:p>
        </w:tc>
      </w:tr>
      <w:tr w:rsidR="00013078" w:rsidRPr="00650291" w14:paraId="63CF6067" w14:textId="77777777" w:rsidTr="00AE0577">
        <w:trPr>
          <w:trHeight w:val="300"/>
        </w:trPr>
        <w:tc>
          <w:tcPr>
            <w:tcW w:w="2778" w:type="dxa"/>
            <w:tcBorders>
              <w:top w:val="nil"/>
              <w:left w:val="single" w:sz="8" w:space="0" w:color="auto"/>
              <w:bottom w:val="single" w:sz="4" w:space="0" w:color="auto"/>
              <w:right w:val="single" w:sz="4" w:space="0" w:color="auto"/>
            </w:tcBorders>
            <w:shd w:val="clear" w:color="auto" w:fill="auto"/>
            <w:noWrap/>
            <w:vAlign w:val="bottom"/>
            <w:hideMark/>
          </w:tcPr>
          <w:p w14:paraId="22A3717A" w14:textId="4BDF0C85" w:rsidR="00013078" w:rsidRPr="00650291" w:rsidRDefault="00013078" w:rsidP="00AE0577">
            <w:pPr>
              <w:jc w:val="both"/>
              <w:rPr>
                <w:rFonts w:asciiTheme="minorHAnsi" w:hAnsiTheme="minorHAnsi"/>
                <w:color w:val="000000"/>
                <w:sz w:val="20"/>
                <w:szCs w:val="20"/>
              </w:rPr>
            </w:pPr>
            <w:r>
              <w:rPr>
                <w:rFonts w:ascii="Calibri" w:hAnsi="Calibri"/>
                <w:color w:val="000000"/>
              </w:rPr>
              <w:t xml:space="preserve">Deutsche </w:t>
            </w:r>
            <w:r w:rsidR="00492E53">
              <w:rPr>
                <w:rFonts w:ascii="Calibri" w:hAnsi="Calibri"/>
                <w:color w:val="000000"/>
              </w:rPr>
              <w:t>Boerse</w:t>
            </w:r>
          </w:p>
        </w:tc>
        <w:tc>
          <w:tcPr>
            <w:tcW w:w="1361" w:type="dxa"/>
            <w:tcBorders>
              <w:top w:val="nil"/>
              <w:left w:val="nil"/>
              <w:bottom w:val="single" w:sz="4" w:space="0" w:color="auto"/>
              <w:right w:val="single" w:sz="4" w:space="0" w:color="auto"/>
            </w:tcBorders>
            <w:shd w:val="clear" w:color="auto" w:fill="auto"/>
            <w:noWrap/>
            <w:vAlign w:val="bottom"/>
            <w:hideMark/>
          </w:tcPr>
          <w:p w14:paraId="734523C4" w14:textId="77777777" w:rsidR="00013078" w:rsidRPr="00650291" w:rsidRDefault="00013078" w:rsidP="00AE0577">
            <w:pPr>
              <w:jc w:val="right"/>
              <w:rPr>
                <w:rFonts w:asciiTheme="minorHAnsi" w:hAnsiTheme="minorHAnsi"/>
                <w:color w:val="000000"/>
                <w:sz w:val="20"/>
                <w:szCs w:val="20"/>
              </w:rPr>
            </w:pPr>
            <w:r>
              <w:rPr>
                <w:rFonts w:ascii="Calibri" w:hAnsi="Calibri"/>
                <w:color w:val="000000"/>
              </w:rPr>
              <w:t>61,878</w:t>
            </w:r>
          </w:p>
        </w:tc>
        <w:tc>
          <w:tcPr>
            <w:tcW w:w="1361" w:type="dxa"/>
            <w:tcBorders>
              <w:top w:val="nil"/>
              <w:left w:val="nil"/>
              <w:bottom w:val="single" w:sz="4" w:space="0" w:color="auto"/>
              <w:right w:val="single" w:sz="4" w:space="0" w:color="auto"/>
            </w:tcBorders>
            <w:shd w:val="clear" w:color="auto" w:fill="auto"/>
            <w:noWrap/>
            <w:vAlign w:val="bottom"/>
            <w:hideMark/>
          </w:tcPr>
          <w:p w14:paraId="3E7A1D39" w14:textId="77777777" w:rsidR="00013078" w:rsidRPr="00650291" w:rsidRDefault="00013078" w:rsidP="00AE0577">
            <w:pPr>
              <w:jc w:val="right"/>
              <w:rPr>
                <w:rFonts w:asciiTheme="minorHAnsi" w:hAnsiTheme="minorHAnsi"/>
                <w:color w:val="000000"/>
                <w:sz w:val="20"/>
                <w:szCs w:val="20"/>
              </w:rPr>
            </w:pPr>
            <w:r>
              <w:rPr>
                <w:rFonts w:ascii="Calibri" w:hAnsi="Calibri"/>
                <w:color w:val="000000"/>
              </w:rPr>
              <w:t>82,591</w:t>
            </w:r>
          </w:p>
        </w:tc>
        <w:tc>
          <w:tcPr>
            <w:tcW w:w="1361" w:type="dxa"/>
            <w:tcBorders>
              <w:top w:val="nil"/>
              <w:left w:val="nil"/>
              <w:bottom w:val="single" w:sz="4" w:space="0" w:color="auto"/>
              <w:right w:val="single" w:sz="4" w:space="0" w:color="auto"/>
            </w:tcBorders>
            <w:shd w:val="clear" w:color="auto" w:fill="auto"/>
            <w:noWrap/>
            <w:vAlign w:val="bottom"/>
            <w:hideMark/>
          </w:tcPr>
          <w:p w14:paraId="6DBFF9D5" w14:textId="77777777" w:rsidR="00013078" w:rsidRPr="00650291" w:rsidRDefault="00013078" w:rsidP="00AE0577">
            <w:pPr>
              <w:jc w:val="right"/>
              <w:rPr>
                <w:rFonts w:asciiTheme="minorHAnsi" w:hAnsiTheme="minorHAnsi"/>
                <w:color w:val="000000"/>
                <w:sz w:val="20"/>
                <w:szCs w:val="20"/>
              </w:rPr>
            </w:pPr>
            <w:r>
              <w:rPr>
                <w:rFonts w:ascii="Calibri" w:hAnsi="Calibri"/>
                <w:color w:val="000000"/>
              </w:rPr>
              <w:t>152,136</w:t>
            </w:r>
          </w:p>
        </w:tc>
        <w:tc>
          <w:tcPr>
            <w:tcW w:w="1361" w:type="dxa"/>
            <w:tcBorders>
              <w:top w:val="nil"/>
              <w:left w:val="nil"/>
              <w:bottom w:val="single" w:sz="4" w:space="0" w:color="auto"/>
              <w:right w:val="single" w:sz="4" w:space="0" w:color="auto"/>
            </w:tcBorders>
            <w:shd w:val="clear" w:color="auto" w:fill="auto"/>
            <w:noWrap/>
            <w:vAlign w:val="bottom"/>
            <w:hideMark/>
          </w:tcPr>
          <w:p w14:paraId="78E05052" w14:textId="77777777" w:rsidR="00013078" w:rsidRPr="00650291" w:rsidRDefault="00013078" w:rsidP="00AE0577">
            <w:pPr>
              <w:jc w:val="right"/>
              <w:rPr>
                <w:rFonts w:asciiTheme="minorHAnsi" w:hAnsiTheme="minorHAnsi"/>
                <w:color w:val="000000"/>
                <w:sz w:val="20"/>
                <w:szCs w:val="20"/>
              </w:rPr>
            </w:pPr>
            <w:r>
              <w:rPr>
                <w:rFonts w:ascii="Calibri" w:hAnsi="Calibri"/>
                <w:color w:val="000000"/>
              </w:rPr>
              <w:t>173,526</w:t>
            </w:r>
          </w:p>
        </w:tc>
        <w:tc>
          <w:tcPr>
            <w:tcW w:w="1361" w:type="dxa"/>
            <w:tcBorders>
              <w:top w:val="nil"/>
              <w:left w:val="single" w:sz="8" w:space="0" w:color="auto"/>
              <w:bottom w:val="single" w:sz="4" w:space="0" w:color="auto"/>
              <w:right w:val="single" w:sz="8" w:space="0" w:color="auto"/>
            </w:tcBorders>
            <w:shd w:val="clear" w:color="000000" w:fill="DDEBF7"/>
            <w:noWrap/>
            <w:vAlign w:val="bottom"/>
            <w:hideMark/>
          </w:tcPr>
          <w:p w14:paraId="50764203" w14:textId="77777777" w:rsidR="00013078" w:rsidRPr="00650291" w:rsidRDefault="00013078" w:rsidP="00AE0577">
            <w:pPr>
              <w:jc w:val="right"/>
              <w:rPr>
                <w:rFonts w:asciiTheme="minorHAnsi" w:hAnsiTheme="minorHAnsi"/>
                <w:b/>
                <w:bCs/>
                <w:color w:val="000000"/>
                <w:sz w:val="20"/>
                <w:szCs w:val="20"/>
              </w:rPr>
            </w:pPr>
            <w:r>
              <w:rPr>
                <w:rFonts w:ascii="Calibri" w:hAnsi="Calibri"/>
                <w:b/>
                <w:bCs/>
                <w:color w:val="000000"/>
              </w:rPr>
              <w:t>180%</w:t>
            </w:r>
          </w:p>
        </w:tc>
      </w:tr>
      <w:tr w:rsidR="00013078" w:rsidRPr="00650291" w14:paraId="46ABDA87" w14:textId="77777777" w:rsidTr="00AE0577">
        <w:trPr>
          <w:trHeight w:val="300"/>
        </w:trPr>
        <w:tc>
          <w:tcPr>
            <w:tcW w:w="2778" w:type="dxa"/>
            <w:tcBorders>
              <w:top w:val="nil"/>
              <w:left w:val="single" w:sz="8" w:space="0" w:color="auto"/>
              <w:bottom w:val="single" w:sz="4" w:space="0" w:color="auto"/>
              <w:right w:val="single" w:sz="4" w:space="0" w:color="auto"/>
            </w:tcBorders>
            <w:shd w:val="clear" w:color="auto" w:fill="auto"/>
            <w:noWrap/>
            <w:vAlign w:val="bottom"/>
            <w:hideMark/>
          </w:tcPr>
          <w:p w14:paraId="25B23E2A" w14:textId="77777777" w:rsidR="00013078" w:rsidRPr="00650291" w:rsidRDefault="00013078" w:rsidP="00AE0577">
            <w:pPr>
              <w:jc w:val="both"/>
              <w:rPr>
                <w:rFonts w:asciiTheme="minorHAnsi" w:hAnsiTheme="minorHAnsi"/>
                <w:color w:val="000000"/>
                <w:sz w:val="20"/>
                <w:szCs w:val="20"/>
              </w:rPr>
            </w:pPr>
            <w:r>
              <w:rPr>
                <w:rFonts w:ascii="Calibri" w:hAnsi="Calibri"/>
                <w:color w:val="000000"/>
              </w:rPr>
              <w:t>Euronext</w:t>
            </w:r>
          </w:p>
        </w:tc>
        <w:tc>
          <w:tcPr>
            <w:tcW w:w="1361" w:type="dxa"/>
            <w:tcBorders>
              <w:top w:val="nil"/>
              <w:left w:val="nil"/>
              <w:bottom w:val="single" w:sz="4" w:space="0" w:color="auto"/>
              <w:right w:val="single" w:sz="4" w:space="0" w:color="auto"/>
            </w:tcBorders>
            <w:shd w:val="clear" w:color="auto" w:fill="auto"/>
            <w:noWrap/>
            <w:vAlign w:val="bottom"/>
            <w:hideMark/>
          </w:tcPr>
          <w:p w14:paraId="42079691" w14:textId="77777777" w:rsidR="00013078" w:rsidRPr="00650291" w:rsidRDefault="00013078" w:rsidP="00AE0577">
            <w:pPr>
              <w:jc w:val="right"/>
              <w:rPr>
                <w:rFonts w:asciiTheme="minorHAnsi" w:hAnsiTheme="minorHAnsi"/>
                <w:color w:val="000000"/>
                <w:sz w:val="20"/>
                <w:szCs w:val="20"/>
              </w:rPr>
            </w:pPr>
            <w:r>
              <w:rPr>
                <w:rFonts w:ascii="Calibri" w:hAnsi="Calibri"/>
                <w:color w:val="000000"/>
              </w:rPr>
              <w:t>68,280</w:t>
            </w:r>
          </w:p>
        </w:tc>
        <w:tc>
          <w:tcPr>
            <w:tcW w:w="1361" w:type="dxa"/>
            <w:tcBorders>
              <w:top w:val="nil"/>
              <w:left w:val="nil"/>
              <w:bottom w:val="single" w:sz="4" w:space="0" w:color="auto"/>
              <w:right w:val="single" w:sz="4" w:space="0" w:color="auto"/>
            </w:tcBorders>
            <w:shd w:val="clear" w:color="auto" w:fill="auto"/>
            <w:noWrap/>
            <w:vAlign w:val="bottom"/>
            <w:hideMark/>
          </w:tcPr>
          <w:p w14:paraId="38281331" w14:textId="77777777" w:rsidR="00013078" w:rsidRPr="00650291" w:rsidRDefault="00013078" w:rsidP="00AE0577">
            <w:pPr>
              <w:jc w:val="right"/>
              <w:rPr>
                <w:rFonts w:asciiTheme="minorHAnsi" w:hAnsiTheme="minorHAnsi"/>
                <w:color w:val="000000"/>
                <w:sz w:val="20"/>
                <w:szCs w:val="20"/>
              </w:rPr>
            </w:pPr>
            <w:r>
              <w:rPr>
                <w:rFonts w:ascii="Calibri" w:hAnsi="Calibri"/>
                <w:color w:val="000000"/>
              </w:rPr>
              <w:t>72,180</w:t>
            </w:r>
          </w:p>
        </w:tc>
        <w:tc>
          <w:tcPr>
            <w:tcW w:w="1361" w:type="dxa"/>
            <w:tcBorders>
              <w:top w:val="nil"/>
              <w:left w:val="nil"/>
              <w:bottom w:val="single" w:sz="4" w:space="0" w:color="auto"/>
              <w:right w:val="single" w:sz="4" w:space="0" w:color="auto"/>
            </w:tcBorders>
            <w:shd w:val="clear" w:color="auto" w:fill="auto"/>
            <w:noWrap/>
            <w:vAlign w:val="bottom"/>
            <w:hideMark/>
          </w:tcPr>
          <w:p w14:paraId="74750275" w14:textId="77777777" w:rsidR="00013078" w:rsidRPr="00650291" w:rsidRDefault="00013078" w:rsidP="00AE0577">
            <w:pPr>
              <w:jc w:val="right"/>
              <w:rPr>
                <w:rFonts w:asciiTheme="minorHAnsi" w:hAnsiTheme="minorHAnsi"/>
                <w:color w:val="000000"/>
                <w:sz w:val="20"/>
                <w:szCs w:val="20"/>
              </w:rPr>
            </w:pPr>
            <w:r>
              <w:rPr>
                <w:rFonts w:ascii="Calibri" w:hAnsi="Calibri"/>
                <w:color w:val="000000"/>
              </w:rPr>
              <w:t>108,810</w:t>
            </w:r>
          </w:p>
        </w:tc>
        <w:tc>
          <w:tcPr>
            <w:tcW w:w="1361" w:type="dxa"/>
            <w:tcBorders>
              <w:top w:val="nil"/>
              <w:left w:val="nil"/>
              <w:bottom w:val="single" w:sz="4" w:space="0" w:color="auto"/>
              <w:right w:val="single" w:sz="4" w:space="0" w:color="auto"/>
            </w:tcBorders>
            <w:shd w:val="clear" w:color="auto" w:fill="auto"/>
            <w:noWrap/>
            <w:vAlign w:val="bottom"/>
            <w:hideMark/>
          </w:tcPr>
          <w:p w14:paraId="47EC4388" w14:textId="77777777" w:rsidR="00013078" w:rsidRPr="00650291" w:rsidRDefault="00013078" w:rsidP="00AE0577">
            <w:pPr>
              <w:jc w:val="right"/>
              <w:rPr>
                <w:rFonts w:asciiTheme="minorHAnsi" w:hAnsiTheme="minorHAnsi"/>
                <w:color w:val="000000"/>
                <w:sz w:val="20"/>
                <w:szCs w:val="20"/>
              </w:rPr>
            </w:pPr>
            <w:r>
              <w:rPr>
                <w:rFonts w:ascii="Calibri" w:hAnsi="Calibri"/>
                <w:color w:val="000000"/>
              </w:rPr>
              <w:t>111,751</w:t>
            </w:r>
          </w:p>
        </w:tc>
        <w:tc>
          <w:tcPr>
            <w:tcW w:w="1361" w:type="dxa"/>
            <w:tcBorders>
              <w:top w:val="nil"/>
              <w:left w:val="single" w:sz="8" w:space="0" w:color="auto"/>
              <w:bottom w:val="single" w:sz="4" w:space="0" w:color="auto"/>
              <w:right w:val="single" w:sz="8" w:space="0" w:color="auto"/>
            </w:tcBorders>
            <w:shd w:val="clear" w:color="000000" w:fill="DDEBF7"/>
            <w:noWrap/>
            <w:vAlign w:val="bottom"/>
            <w:hideMark/>
          </w:tcPr>
          <w:p w14:paraId="4DE78A27" w14:textId="77777777" w:rsidR="00013078" w:rsidRPr="00650291" w:rsidRDefault="00013078" w:rsidP="00AE0577">
            <w:pPr>
              <w:jc w:val="right"/>
              <w:rPr>
                <w:rFonts w:asciiTheme="minorHAnsi" w:hAnsiTheme="minorHAnsi"/>
                <w:b/>
                <w:bCs/>
                <w:color w:val="000000"/>
                <w:sz w:val="20"/>
                <w:szCs w:val="20"/>
              </w:rPr>
            </w:pPr>
            <w:r>
              <w:rPr>
                <w:rFonts w:ascii="Calibri" w:hAnsi="Calibri"/>
                <w:b/>
                <w:bCs/>
                <w:color w:val="000000"/>
              </w:rPr>
              <w:t>64%</w:t>
            </w:r>
          </w:p>
        </w:tc>
      </w:tr>
      <w:tr w:rsidR="00013078" w:rsidRPr="00650291" w14:paraId="01C8F3E2" w14:textId="77777777" w:rsidTr="00AE0577">
        <w:trPr>
          <w:trHeight w:val="300"/>
        </w:trPr>
        <w:tc>
          <w:tcPr>
            <w:tcW w:w="2778" w:type="dxa"/>
            <w:tcBorders>
              <w:top w:val="nil"/>
              <w:left w:val="single" w:sz="8" w:space="0" w:color="auto"/>
              <w:bottom w:val="single" w:sz="4" w:space="0" w:color="auto"/>
              <w:right w:val="single" w:sz="4" w:space="0" w:color="auto"/>
            </w:tcBorders>
            <w:shd w:val="clear" w:color="auto" w:fill="auto"/>
            <w:noWrap/>
            <w:vAlign w:val="bottom"/>
            <w:hideMark/>
          </w:tcPr>
          <w:p w14:paraId="49EB3726" w14:textId="77777777" w:rsidR="00013078" w:rsidRPr="00650291" w:rsidRDefault="00013078" w:rsidP="00AE0577">
            <w:pPr>
              <w:jc w:val="both"/>
              <w:rPr>
                <w:rFonts w:asciiTheme="minorHAnsi" w:hAnsiTheme="minorHAnsi"/>
                <w:color w:val="000000"/>
                <w:sz w:val="20"/>
                <w:szCs w:val="20"/>
              </w:rPr>
            </w:pPr>
            <w:r>
              <w:rPr>
                <w:rFonts w:ascii="Calibri" w:hAnsi="Calibri"/>
                <w:color w:val="000000"/>
              </w:rPr>
              <w:t>ICE Europe</w:t>
            </w:r>
          </w:p>
        </w:tc>
        <w:tc>
          <w:tcPr>
            <w:tcW w:w="1361" w:type="dxa"/>
            <w:tcBorders>
              <w:top w:val="nil"/>
              <w:left w:val="nil"/>
              <w:bottom w:val="single" w:sz="4" w:space="0" w:color="auto"/>
              <w:right w:val="single" w:sz="4" w:space="0" w:color="auto"/>
            </w:tcBorders>
            <w:shd w:val="clear" w:color="auto" w:fill="auto"/>
            <w:noWrap/>
            <w:vAlign w:val="bottom"/>
            <w:hideMark/>
          </w:tcPr>
          <w:p w14:paraId="5FAF78EE" w14:textId="77777777" w:rsidR="00013078" w:rsidRPr="00650291" w:rsidRDefault="00013078" w:rsidP="00AE0577">
            <w:pPr>
              <w:jc w:val="right"/>
              <w:rPr>
                <w:rFonts w:asciiTheme="minorHAnsi" w:hAnsiTheme="minorHAnsi"/>
                <w:color w:val="000000"/>
                <w:sz w:val="20"/>
                <w:szCs w:val="20"/>
              </w:rPr>
            </w:pPr>
            <w:r>
              <w:rPr>
                <w:rFonts w:ascii="Calibri" w:hAnsi="Calibri"/>
                <w:color w:val="000000"/>
              </w:rPr>
              <w:t>144,303</w:t>
            </w:r>
          </w:p>
        </w:tc>
        <w:tc>
          <w:tcPr>
            <w:tcW w:w="1361" w:type="dxa"/>
            <w:tcBorders>
              <w:top w:val="nil"/>
              <w:left w:val="nil"/>
              <w:bottom w:val="single" w:sz="4" w:space="0" w:color="auto"/>
              <w:right w:val="single" w:sz="4" w:space="0" w:color="auto"/>
            </w:tcBorders>
            <w:shd w:val="clear" w:color="auto" w:fill="auto"/>
            <w:noWrap/>
            <w:vAlign w:val="bottom"/>
            <w:hideMark/>
          </w:tcPr>
          <w:p w14:paraId="69BF3147" w14:textId="77777777" w:rsidR="00013078" w:rsidRPr="00650291" w:rsidRDefault="00013078" w:rsidP="00AE0577">
            <w:pPr>
              <w:jc w:val="right"/>
              <w:rPr>
                <w:rFonts w:asciiTheme="minorHAnsi" w:hAnsiTheme="minorHAnsi"/>
                <w:color w:val="000000"/>
                <w:sz w:val="20"/>
                <w:szCs w:val="20"/>
              </w:rPr>
            </w:pPr>
            <w:r>
              <w:rPr>
                <w:rFonts w:ascii="Calibri" w:hAnsi="Calibri"/>
                <w:color w:val="000000"/>
              </w:rPr>
              <w:t>139,754</w:t>
            </w:r>
          </w:p>
        </w:tc>
        <w:tc>
          <w:tcPr>
            <w:tcW w:w="1361" w:type="dxa"/>
            <w:tcBorders>
              <w:top w:val="nil"/>
              <w:left w:val="nil"/>
              <w:bottom w:val="single" w:sz="4" w:space="0" w:color="auto"/>
              <w:right w:val="single" w:sz="4" w:space="0" w:color="auto"/>
            </w:tcBorders>
            <w:shd w:val="clear" w:color="auto" w:fill="auto"/>
            <w:noWrap/>
            <w:vAlign w:val="bottom"/>
            <w:hideMark/>
          </w:tcPr>
          <w:p w14:paraId="66D2636E" w14:textId="77777777" w:rsidR="00013078" w:rsidRPr="00650291" w:rsidRDefault="00013078" w:rsidP="00AE0577">
            <w:pPr>
              <w:jc w:val="right"/>
              <w:rPr>
                <w:rFonts w:asciiTheme="minorHAnsi" w:hAnsiTheme="minorHAnsi"/>
                <w:color w:val="000000"/>
                <w:sz w:val="20"/>
                <w:szCs w:val="20"/>
              </w:rPr>
            </w:pPr>
            <w:r>
              <w:rPr>
                <w:rFonts w:ascii="Calibri" w:hAnsi="Calibri"/>
                <w:color w:val="000000"/>
              </w:rPr>
              <w:t>159,581</w:t>
            </w:r>
          </w:p>
        </w:tc>
        <w:tc>
          <w:tcPr>
            <w:tcW w:w="1361" w:type="dxa"/>
            <w:tcBorders>
              <w:top w:val="nil"/>
              <w:left w:val="nil"/>
              <w:bottom w:val="single" w:sz="4" w:space="0" w:color="auto"/>
              <w:right w:val="single" w:sz="4" w:space="0" w:color="auto"/>
            </w:tcBorders>
            <w:shd w:val="clear" w:color="auto" w:fill="auto"/>
            <w:noWrap/>
            <w:vAlign w:val="bottom"/>
            <w:hideMark/>
          </w:tcPr>
          <w:p w14:paraId="303D6FB8" w14:textId="77777777" w:rsidR="00013078" w:rsidRPr="00650291" w:rsidRDefault="00013078" w:rsidP="00AE0577">
            <w:pPr>
              <w:jc w:val="right"/>
              <w:rPr>
                <w:rFonts w:asciiTheme="minorHAnsi" w:hAnsiTheme="minorHAnsi"/>
                <w:color w:val="000000"/>
                <w:sz w:val="20"/>
                <w:szCs w:val="20"/>
              </w:rPr>
            </w:pPr>
            <w:r>
              <w:rPr>
                <w:rFonts w:ascii="Calibri" w:hAnsi="Calibri"/>
                <w:color w:val="000000"/>
              </w:rPr>
              <w:t>158,664</w:t>
            </w:r>
          </w:p>
        </w:tc>
        <w:tc>
          <w:tcPr>
            <w:tcW w:w="1361" w:type="dxa"/>
            <w:tcBorders>
              <w:top w:val="nil"/>
              <w:left w:val="single" w:sz="8" w:space="0" w:color="auto"/>
              <w:bottom w:val="single" w:sz="4" w:space="0" w:color="auto"/>
              <w:right w:val="single" w:sz="8" w:space="0" w:color="auto"/>
            </w:tcBorders>
            <w:shd w:val="clear" w:color="000000" w:fill="DDEBF7"/>
            <w:noWrap/>
            <w:vAlign w:val="bottom"/>
            <w:hideMark/>
          </w:tcPr>
          <w:p w14:paraId="3FF3A9E1" w14:textId="77777777" w:rsidR="00013078" w:rsidRPr="00650291" w:rsidRDefault="00013078" w:rsidP="00AE0577">
            <w:pPr>
              <w:jc w:val="right"/>
              <w:rPr>
                <w:rFonts w:asciiTheme="minorHAnsi" w:hAnsiTheme="minorHAnsi"/>
                <w:b/>
                <w:bCs/>
                <w:color w:val="000000"/>
                <w:sz w:val="20"/>
                <w:szCs w:val="20"/>
              </w:rPr>
            </w:pPr>
            <w:r>
              <w:rPr>
                <w:rFonts w:ascii="Calibri" w:hAnsi="Calibri"/>
                <w:b/>
                <w:bCs/>
                <w:color w:val="000000"/>
              </w:rPr>
              <w:t>10%</w:t>
            </w:r>
          </w:p>
        </w:tc>
      </w:tr>
      <w:tr w:rsidR="00013078" w:rsidRPr="00650291" w14:paraId="697E6FCD" w14:textId="77777777" w:rsidTr="00AE0577">
        <w:trPr>
          <w:trHeight w:val="300"/>
        </w:trPr>
        <w:tc>
          <w:tcPr>
            <w:tcW w:w="2778" w:type="dxa"/>
            <w:tcBorders>
              <w:top w:val="nil"/>
              <w:left w:val="single" w:sz="8" w:space="0" w:color="auto"/>
              <w:bottom w:val="single" w:sz="4" w:space="0" w:color="auto"/>
              <w:right w:val="single" w:sz="4" w:space="0" w:color="auto"/>
            </w:tcBorders>
            <w:shd w:val="clear" w:color="auto" w:fill="auto"/>
            <w:noWrap/>
            <w:vAlign w:val="bottom"/>
            <w:hideMark/>
          </w:tcPr>
          <w:p w14:paraId="1540E219" w14:textId="77777777" w:rsidR="00013078" w:rsidRPr="00650291" w:rsidRDefault="00013078" w:rsidP="00AE0577">
            <w:pPr>
              <w:jc w:val="both"/>
              <w:rPr>
                <w:rFonts w:asciiTheme="minorHAnsi" w:hAnsiTheme="minorHAnsi"/>
                <w:color w:val="000000"/>
                <w:sz w:val="20"/>
                <w:szCs w:val="20"/>
              </w:rPr>
            </w:pPr>
            <w:r>
              <w:rPr>
                <w:rFonts w:ascii="Calibri" w:hAnsi="Calibri"/>
                <w:color w:val="000000"/>
              </w:rPr>
              <w:t>Irish Stock Exchange</w:t>
            </w:r>
          </w:p>
        </w:tc>
        <w:tc>
          <w:tcPr>
            <w:tcW w:w="1361" w:type="dxa"/>
            <w:tcBorders>
              <w:top w:val="nil"/>
              <w:left w:val="nil"/>
              <w:bottom w:val="single" w:sz="4" w:space="0" w:color="auto"/>
              <w:right w:val="single" w:sz="4" w:space="0" w:color="auto"/>
            </w:tcBorders>
            <w:shd w:val="clear" w:color="auto" w:fill="auto"/>
            <w:noWrap/>
            <w:vAlign w:val="bottom"/>
            <w:hideMark/>
          </w:tcPr>
          <w:p w14:paraId="752E8703" w14:textId="77777777" w:rsidR="00013078" w:rsidRPr="00650291" w:rsidRDefault="00013078" w:rsidP="00AE0577">
            <w:pPr>
              <w:jc w:val="right"/>
              <w:rPr>
                <w:rFonts w:asciiTheme="minorHAnsi" w:hAnsiTheme="minorHAnsi"/>
                <w:color w:val="000000"/>
                <w:sz w:val="20"/>
                <w:szCs w:val="20"/>
              </w:rPr>
            </w:pPr>
            <w:r>
              <w:rPr>
                <w:rFonts w:ascii="Calibri" w:hAnsi="Calibri"/>
                <w:color w:val="000000"/>
              </w:rPr>
              <w:t>9,734</w:t>
            </w:r>
          </w:p>
        </w:tc>
        <w:tc>
          <w:tcPr>
            <w:tcW w:w="1361" w:type="dxa"/>
            <w:tcBorders>
              <w:top w:val="nil"/>
              <w:left w:val="nil"/>
              <w:bottom w:val="single" w:sz="4" w:space="0" w:color="auto"/>
              <w:right w:val="single" w:sz="4" w:space="0" w:color="auto"/>
            </w:tcBorders>
            <w:shd w:val="clear" w:color="auto" w:fill="auto"/>
            <w:noWrap/>
            <w:vAlign w:val="bottom"/>
            <w:hideMark/>
          </w:tcPr>
          <w:p w14:paraId="14FE7C32" w14:textId="77777777" w:rsidR="00013078" w:rsidRPr="00650291" w:rsidRDefault="00013078" w:rsidP="00AE0577">
            <w:pPr>
              <w:jc w:val="right"/>
              <w:rPr>
                <w:rFonts w:asciiTheme="minorHAnsi" w:hAnsiTheme="minorHAnsi"/>
                <w:color w:val="000000"/>
                <w:sz w:val="20"/>
                <w:szCs w:val="20"/>
              </w:rPr>
            </w:pPr>
            <w:r>
              <w:rPr>
                <w:rFonts w:ascii="Calibri" w:hAnsi="Calibri"/>
                <w:color w:val="000000"/>
              </w:rPr>
              <w:t>9,984</w:t>
            </w:r>
          </w:p>
        </w:tc>
        <w:tc>
          <w:tcPr>
            <w:tcW w:w="1361" w:type="dxa"/>
            <w:tcBorders>
              <w:top w:val="nil"/>
              <w:left w:val="nil"/>
              <w:bottom w:val="single" w:sz="4" w:space="0" w:color="auto"/>
              <w:right w:val="single" w:sz="4" w:space="0" w:color="auto"/>
            </w:tcBorders>
            <w:shd w:val="clear" w:color="auto" w:fill="auto"/>
            <w:noWrap/>
            <w:vAlign w:val="bottom"/>
            <w:hideMark/>
          </w:tcPr>
          <w:p w14:paraId="01EF589E" w14:textId="77777777" w:rsidR="00013078" w:rsidRPr="00650291" w:rsidRDefault="00013078" w:rsidP="00AE0577">
            <w:pPr>
              <w:jc w:val="right"/>
              <w:rPr>
                <w:rFonts w:asciiTheme="minorHAnsi" w:hAnsiTheme="minorHAnsi"/>
                <w:color w:val="000000"/>
                <w:sz w:val="20"/>
                <w:szCs w:val="20"/>
              </w:rPr>
            </w:pPr>
            <w:r>
              <w:rPr>
                <w:rFonts w:ascii="Calibri" w:hAnsi="Calibri"/>
                <w:color w:val="000000"/>
              </w:rPr>
              <w:t>47,280</w:t>
            </w:r>
          </w:p>
        </w:tc>
        <w:tc>
          <w:tcPr>
            <w:tcW w:w="1361" w:type="dxa"/>
            <w:tcBorders>
              <w:top w:val="nil"/>
              <w:left w:val="nil"/>
              <w:bottom w:val="single" w:sz="4" w:space="0" w:color="auto"/>
              <w:right w:val="single" w:sz="4" w:space="0" w:color="auto"/>
            </w:tcBorders>
            <w:shd w:val="clear" w:color="auto" w:fill="auto"/>
            <w:noWrap/>
            <w:vAlign w:val="bottom"/>
            <w:hideMark/>
          </w:tcPr>
          <w:p w14:paraId="56275FB1" w14:textId="77777777" w:rsidR="00013078" w:rsidRPr="00650291" w:rsidRDefault="00013078" w:rsidP="00AE0577">
            <w:pPr>
              <w:jc w:val="right"/>
              <w:rPr>
                <w:rFonts w:asciiTheme="minorHAnsi" w:hAnsiTheme="minorHAnsi"/>
                <w:color w:val="000000"/>
                <w:sz w:val="20"/>
                <w:szCs w:val="20"/>
              </w:rPr>
            </w:pPr>
            <w:r>
              <w:rPr>
                <w:rFonts w:ascii="Calibri" w:hAnsi="Calibri"/>
                <w:color w:val="000000"/>
              </w:rPr>
              <w:t>17,562</w:t>
            </w:r>
          </w:p>
        </w:tc>
        <w:tc>
          <w:tcPr>
            <w:tcW w:w="1361" w:type="dxa"/>
            <w:tcBorders>
              <w:top w:val="nil"/>
              <w:left w:val="single" w:sz="8" w:space="0" w:color="auto"/>
              <w:bottom w:val="single" w:sz="4" w:space="0" w:color="auto"/>
              <w:right w:val="single" w:sz="8" w:space="0" w:color="auto"/>
            </w:tcBorders>
            <w:shd w:val="clear" w:color="000000" w:fill="DDEBF7"/>
            <w:noWrap/>
            <w:vAlign w:val="bottom"/>
            <w:hideMark/>
          </w:tcPr>
          <w:p w14:paraId="3F8EEF48" w14:textId="77777777" w:rsidR="00013078" w:rsidRPr="00650291" w:rsidRDefault="00013078" w:rsidP="00AE0577">
            <w:pPr>
              <w:jc w:val="right"/>
              <w:rPr>
                <w:rFonts w:asciiTheme="minorHAnsi" w:hAnsiTheme="minorHAnsi"/>
                <w:b/>
                <w:bCs/>
                <w:color w:val="000000"/>
                <w:sz w:val="20"/>
                <w:szCs w:val="20"/>
              </w:rPr>
            </w:pPr>
            <w:r>
              <w:rPr>
                <w:rFonts w:ascii="Calibri" w:hAnsi="Calibri"/>
                <w:b/>
                <w:bCs/>
                <w:color w:val="000000"/>
              </w:rPr>
              <w:t>80%</w:t>
            </w:r>
          </w:p>
        </w:tc>
      </w:tr>
      <w:tr w:rsidR="00013078" w:rsidRPr="00650291" w14:paraId="26F11278" w14:textId="77777777" w:rsidTr="00AE0577">
        <w:trPr>
          <w:trHeight w:val="300"/>
        </w:trPr>
        <w:tc>
          <w:tcPr>
            <w:tcW w:w="2778" w:type="dxa"/>
            <w:tcBorders>
              <w:top w:val="nil"/>
              <w:left w:val="single" w:sz="8" w:space="0" w:color="auto"/>
              <w:bottom w:val="single" w:sz="4" w:space="0" w:color="auto"/>
              <w:right w:val="single" w:sz="4" w:space="0" w:color="auto"/>
            </w:tcBorders>
            <w:shd w:val="clear" w:color="auto" w:fill="auto"/>
            <w:noWrap/>
            <w:vAlign w:val="bottom"/>
            <w:hideMark/>
          </w:tcPr>
          <w:p w14:paraId="3293F2BA" w14:textId="77777777" w:rsidR="00013078" w:rsidRPr="00650291" w:rsidRDefault="00013078" w:rsidP="00AE0577">
            <w:pPr>
              <w:jc w:val="both"/>
              <w:rPr>
                <w:rFonts w:asciiTheme="minorHAnsi" w:hAnsiTheme="minorHAnsi"/>
                <w:color w:val="000000"/>
                <w:sz w:val="20"/>
                <w:szCs w:val="20"/>
              </w:rPr>
            </w:pPr>
            <w:r>
              <w:rPr>
                <w:rFonts w:ascii="Calibri" w:hAnsi="Calibri"/>
                <w:color w:val="000000"/>
              </w:rPr>
              <w:t>London Stock Exchange</w:t>
            </w:r>
          </w:p>
        </w:tc>
        <w:tc>
          <w:tcPr>
            <w:tcW w:w="1361" w:type="dxa"/>
            <w:tcBorders>
              <w:top w:val="nil"/>
              <w:left w:val="nil"/>
              <w:bottom w:val="single" w:sz="4" w:space="0" w:color="auto"/>
              <w:right w:val="single" w:sz="4" w:space="0" w:color="auto"/>
            </w:tcBorders>
            <w:shd w:val="clear" w:color="auto" w:fill="auto"/>
            <w:noWrap/>
            <w:vAlign w:val="bottom"/>
            <w:hideMark/>
          </w:tcPr>
          <w:p w14:paraId="70D38895" w14:textId="77777777" w:rsidR="00013078" w:rsidRPr="00650291" w:rsidRDefault="00013078" w:rsidP="00AE0577">
            <w:pPr>
              <w:jc w:val="right"/>
              <w:rPr>
                <w:rFonts w:asciiTheme="minorHAnsi" w:hAnsiTheme="minorHAnsi"/>
                <w:color w:val="000000"/>
                <w:sz w:val="20"/>
                <w:szCs w:val="20"/>
              </w:rPr>
            </w:pPr>
            <w:r>
              <w:rPr>
                <w:rFonts w:ascii="Calibri" w:hAnsi="Calibri"/>
                <w:color w:val="000000"/>
              </w:rPr>
              <w:t>72,674</w:t>
            </w:r>
          </w:p>
        </w:tc>
        <w:tc>
          <w:tcPr>
            <w:tcW w:w="1361" w:type="dxa"/>
            <w:tcBorders>
              <w:top w:val="nil"/>
              <w:left w:val="nil"/>
              <w:bottom w:val="single" w:sz="4" w:space="0" w:color="auto"/>
              <w:right w:val="single" w:sz="4" w:space="0" w:color="auto"/>
            </w:tcBorders>
            <w:shd w:val="clear" w:color="auto" w:fill="auto"/>
            <w:noWrap/>
            <w:vAlign w:val="bottom"/>
            <w:hideMark/>
          </w:tcPr>
          <w:p w14:paraId="7E2BB31D" w14:textId="77777777" w:rsidR="00013078" w:rsidRPr="00650291" w:rsidRDefault="00013078" w:rsidP="00AE0577">
            <w:pPr>
              <w:jc w:val="right"/>
              <w:rPr>
                <w:rFonts w:asciiTheme="minorHAnsi" w:hAnsiTheme="minorHAnsi"/>
                <w:color w:val="000000"/>
                <w:sz w:val="20"/>
                <w:szCs w:val="20"/>
              </w:rPr>
            </w:pPr>
            <w:r>
              <w:rPr>
                <w:rFonts w:ascii="Calibri" w:hAnsi="Calibri"/>
                <w:color w:val="000000"/>
              </w:rPr>
              <w:t>80,607</w:t>
            </w:r>
          </w:p>
        </w:tc>
        <w:tc>
          <w:tcPr>
            <w:tcW w:w="1361" w:type="dxa"/>
            <w:tcBorders>
              <w:top w:val="nil"/>
              <w:left w:val="nil"/>
              <w:bottom w:val="single" w:sz="4" w:space="0" w:color="auto"/>
              <w:right w:val="single" w:sz="4" w:space="0" w:color="auto"/>
            </w:tcBorders>
            <w:shd w:val="clear" w:color="auto" w:fill="auto"/>
            <w:noWrap/>
            <w:vAlign w:val="bottom"/>
            <w:hideMark/>
          </w:tcPr>
          <w:p w14:paraId="6D834A75" w14:textId="77777777" w:rsidR="00013078" w:rsidRPr="00650291" w:rsidRDefault="00013078" w:rsidP="00AE0577">
            <w:pPr>
              <w:jc w:val="right"/>
              <w:rPr>
                <w:rFonts w:asciiTheme="minorHAnsi" w:hAnsiTheme="minorHAnsi"/>
                <w:color w:val="000000"/>
                <w:sz w:val="20"/>
                <w:szCs w:val="20"/>
              </w:rPr>
            </w:pPr>
            <w:r>
              <w:rPr>
                <w:rFonts w:ascii="Calibri" w:hAnsi="Calibri"/>
                <w:color w:val="000000"/>
              </w:rPr>
              <w:t>83,978</w:t>
            </w:r>
          </w:p>
        </w:tc>
        <w:tc>
          <w:tcPr>
            <w:tcW w:w="1361" w:type="dxa"/>
            <w:tcBorders>
              <w:top w:val="nil"/>
              <w:left w:val="nil"/>
              <w:bottom w:val="single" w:sz="4" w:space="0" w:color="auto"/>
              <w:right w:val="single" w:sz="4" w:space="0" w:color="auto"/>
            </w:tcBorders>
            <w:shd w:val="clear" w:color="auto" w:fill="auto"/>
            <w:noWrap/>
            <w:vAlign w:val="bottom"/>
            <w:hideMark/>
          </w:tcPr>
          <w:p w14:paraId="60CC4C22" w14:textId="77777777" w:rsidR="00013078" w:rsidRPr="00650291" w:rsidRDefault="00013078" w:rsidP="00AE0577">
            <w:pPr>
              <w:jc w:val="right"/>
              <w:rPr>
                <w:rFonts w:asciiTheme="minorHAnsi" w:hAnsiTheme="minorHAnsi"/>
                <w:color w:val="000000"/>
                <w:sz w:val="20"/>
                <w:szCs w:val="20"/>
              </w:rPr>
            </w:pPr>
            <w:r>
              <w:rPr>
                <w:rFonts w:ascii="Calibri" w:hAnsi="Calibri"/>
                <w:color w:val="000000"/>
              </w:rPr>
              <w:t>98,681</w:t>
            </w:r>
          </w:p>
        </w:tc>
        <w:tc>
          <w:tcPr>
            <w:tcW w:w="1361" w:type="dxa"/>
            <w:tcBorders>
              <w:top w:val="nil"/>
              <w:left w:val="single" w:sz="8" w:space="0" w:color="auto"/>
              <w:bottom w:val="single" w:sz="4" w:space="0" w:color="auto"/>
              <w:right w:val="single" w:sz="8" w:space="0" w:color="auto"/>
            </w:tcBorders>
            <w:shd w:val="clear" w:color="000000" w:fill="DDEBF7"/>
            <w:noWrap/>
            <w:vAlign w:val="bottom"/>
            <w:hideMark/>
          </w:tcPr>
          <w:p w14:paraId="1891A845" w14:textId="77777777" w:rsidR="00013078" w:rsidRPr="00650291" w:rsidRDefault="00013078" w:rsidP="00AE0577">
            <w:pPr>
              <w:jc w:val="right"/>
              <w:rPr>
                <w:rFonts w:asciiTheme="minorHAnsi" w:hAnsiTheme="minorHAnsi"/>
                <w:b/>
                <w:bCs/>
                <w:color w:val="000000"/>
                <w:sz w:val="20"/>
                <w:szCs w:val="20"/>
              </w:rPr>
            </w:pPr>
            <w:r>
              <w:rPr>
                <w:rFonts w:ascii="Calibri" w:hAnsi="Calibri"/>
                <w:b/>
                <w:bCs/>
                <w:color w:val="000000"/>
              </w:rPr>
              <w:t>36%</w:t>
            </w:r>
          </w:p>
        </w:tc>
      </w:tr>
      <w:tr w:rsidR="00013078" w:rsidRPr="00650291" w14:paraId="6C50FE52" w14:textId="77777777" w:rsidTr="00AE0577">
        <w:trPr>
          <w:trHeight w:val="300"/>
        </w:trPr>
        <w:tc>
          <w:tcPr>
            <w:tcW w:w="2778" w:type="dxa"/>
            <w:tcBorders>
              <w:top w:val="nil"/>
              <w:left w:val="single" w:sz="8" w:space="0" w:color="auto"/>
              <w:bottom w:val="single" w:sz="4" w:space="0" w:color="auto"/>
              <w:right w:val="single" w:sz="4" w:space="0" w:color="auto"/>
            </w:tcBorders>
            <w:shd w:val="clear" w:color="auto" w:fill="auto"/>
            <w:noWrap/>
            <w:vAlign w:val="bottom"/>
            <w:hideMark/>
          </w:tcPr>
          <w:p w14:paraId="095E504D" w14:textId="77777777" w:rsidR="00013078" w:rsidRPr="00650291" w:rsidRDefault="00013078" w:rsidP="00AE0577">
            <w:pPr>
              <w:jc w:val="both"/>
              <w:rPr>
                <w:rFonts w:asciiTheme="minorHAnsi" w:hAnsiTheme="minorHAnsi"/>
                <w:color w:val="000000"/>
                <w:sz w:val="20"/>
                <w:szCs w:val="20"/>
              </w:rPr>
            </w:pPr>
            <w:r>
              <w:rPr>
                <w:rFonts w:ascii="Calibri" w:hAnsi="Calibri"/>
                <w:color w:val="000000"/>
              </w:rPr>
              <w:t xml:space="preserve">Nasdaq Nordic </w:t>
            </w:r>
          </w:p>
        </w:tc>
        <w:tc>
          <w:tcPr>
            <w:tcW w:w="1361" w:type="dxa"/>
            <w:tcBorders>
              <w:top w:val="nil"/>
              <w:left w:val="nil"/>
              <w:bottom w:val="single" w:sz="4" w:space="0" w:color="auto"/>
              <w:right w:val="single" w:sz="4" w:space="0" w:color="auto"/>
            </w:tcBorders>
            <w:shd w:val="clear" w:color="auto" w:fill="auto"/>
            <w:noWrap/>
            <w:vAlign w:val="bottom"/>
            <w:hideMark/>
          </w:tcPr>
          <w:p w14:paraId="023B5120" w14:textId="77777777" w:rsidR="00013078" w:rsidRPr="00650291" w:rsidRDefault="00013078" w:rsidP="00AE0577">
            <w:pPr>
              <w:jc w:val="right"/>
              <w:rPr>
                <w:rFonts w:asciiTheme="minorHAnsi" w:hAnsiTheme="minorHAnsi"/>
                <w:color w:val="000000"/>
                <w:sz w:val="20"/>
                <w:szCs w:val="20"/>
              </w:rPr>
            </w:pPr>
            <w:r>
              <w:rPr>
                <w:rFonts w:ascii="Calibri" w:hAnsi="Calibri"/>
                <w:color w:val="000000"/>
              </w:rPr>
              <w:t>80,440</w:t>
            </w:r>
          </w:p>
        </w:tc>
        <w:tc>
          <w:tcPr>
            <w:tcW w:w="1361" w:type="dxa"/>
            <w:tcBorders>
              <w:top w:val="nil"/>
              <w:left w:val="nil"/>
              <w:bottom w:val="single" w:sz="4" w:space="0" w:color="auto"/>
              <w:right w:val="single" w:sz="4" w:space="0" w:color="auto"/>
            </w:tcBorders>
            <w:shd w:val="clear" w:color="auto" w:fill="auto"/>
            <w:noWrap/>
            <w:vAlign w:val="bottom"/>
            <w:hideMark/>
          </w:tcPr>
          <w:p w14:paraId="38A3E01D" w14:textId="77777777" w:rsidR="00013078" w:rsidRPr="00650291" w:rsidRDefault="00013078" w:rsidP="00AE0577">
            <w:pPr>
              <w:jc w:val="right"/>
              <w:rPr>
                <w:rFonts w:asciiTheme="minorHAnsi" w:hAnsiTheme="minorHAnsi"/>
                <w:color w:val="000000"/>
                <w:sz w:val="20"/>
                <w:szCs w:val="20"/>
              </w:rPr>
            </w:pPr>
            <w:r>
              <w:rPr>
                <w:rFonts w:ascii="Calibri" w:hAnsi="Calibri"/>
                <w:color w:val="000000"/>
              </w:rPr>
              <w:t>81,120</w:t>
            </w:r>
          </w:p>
        </w:tc>
        <w:tc>
          <w:tcPr>
            <w:tcW w:w="1361" w:type="dxa"/>
            <w:tcBorders>
              <w:top w:val="nil"/>
              <w:left w:val="nil"/>
              <w:bottom w:val="single" w:sz="4" w:space="0" w:color="auto"/>
              <w:right w:val="single" w:sz="4" w:space="0" w:color="auto"/>
            </w:tcBorders>
            <w:shd w:val="clear" w:color="auto" w:fill="auto"/>
            <w:noWrap/>
            <w:vAlign w:val="bottom"/>
            <w:hideMark/>
          </w:tcPr>
          <w:p w14:paraId="01D987D1" w14:textId="77777777" w:rsidR="00013078" w:rsidRPr="00650291" w:rsidRDefault="00013078" w:rsidP="00AE0577">
            <w:pPr>
              <w:jc w:val="right"/>
              <w:rPr>
                <w:rFonts w:asciiTheme="minorHAnsi" w:hAnsiTheme="minorHAnsi"/>
                <w:color w:val="000000"/>
                <w:sz w:val="20"/>
                <w:szCs w:val="20"/>
              </w:rPr>
            </w:pPr>
            <w:r>
              <w:rPr>
                <w:rFonts w:ascii="Calibri" w:hAnsi="Calibri"/>
                <w:color w:val="000000"/>
              </w:rPr>
              <w:t>81,120</w:t>
            </w:r>
          </w:p>
        </w:tc>
        <w:tc>
          <w:tcPr>
            <w:tcW w:w="1361" w:type="dxa"/>
            <w:tcBorders>
              <w:top w:val="nil"/>
              <w:left w:val="nil"/>
              <w:bottom w:val="single" w:sz="4" w:space="0" w:color="auto"/>
              <w:right w:val="single" w:sz="4" w:space="0" w:color="auto"/>
            </w:tcBorders>
            <w:shd w:val="clear" w:color="auto" w:fill="auto"/>
            <w:noWrap/>
            <w:vAlign w:val="bottom"/>
            <w:hideMark/>
          </w:tcPr>
          <w:p w14:paraId="113C07CA" w14:textId="77777777" w:rsidR="00013078" w:rsidRPr="00650291" w:rsidRDefault="00013078" w:rsidP="00AE0577">
            <w:pPr>
              <w:jc w:val="right"/>
              <w:rPr>
                <w:rFonts w:asciiTheme="minorHAnsi" w:hAnsiTheme="minorHAnsi"/>
                <w:color w:val="000000"/>
                <w:sz w:val="20"/>
                <w:szCs w:val="20"/>
              </w:rPr>
            </w:pPr>
            <w:r>
              <w:rPr>
                <w:rFonts w:ascii="Calibri" w:hAnsi="Calibri"/>
                <w:color w:val="000000"/>
              </w:rPr>
              <w:t>81,120</w:t>
            </w:r>
          </w:p>
        </w:tc>
        <w:tc>
          <w:tcPr>
            <w:tcW w:w="1361" w:type="dxa"/>
            <w:tcBorders>
              <w:top w:val="nil"/>
              <w:left w:val="single" w:sz="8" w:space="0" w:color="auto"/>
              <w:bottom w:val="single" w:sz="4" w:space="0" w:color="auto"/>
              <w:right w:val="single" w:sz="8" w:space="0" w:color="auto"/>
            </w:tcBorders>
            <w:shd w:val="clear" w:color="000000" w:fill="DDEBF7"/>
            <w:noWrap/>
            <w:vAlign w:val="bottom"/>
            <w:hideMark/>
          </w:tcPr>
          <w:p w14:paraId="47037FF7" w14:textId="77777777" w:rsidR="00013078" w:rsidRPr="00650291" w:rsidRDefault="00013078" w:rsidP="00AE0577">
            <w:pPr>
              <w:jc w:val="right"/>
              <w:rPr>
                <w:rFonts w:asciiTheme="minorHAnsi" w:hAnsiTheme="minorHAnsi"/>
                <w:b/>
                <w:bCs/>
                <w:color w:val="000000"/>
                <w:sz w:val="20"/>
                <w:szCs w:val="20"/>
              </w:rPr>
            </w:pPr>
            <w:r>
              <w:rPr>
                <w:rFonts w:ascii="Calibri" w:hAnsi="Calibri"/>
                <w:b/>
                <w:bCs/>
                <w:color w:val="000000"/>
              </w:rPr>
              <w:t>1%</w:t>
            </w:r>
          </w:p>
        </w:tc>
      </w:tr>
      <w:tr w:rsidR="00013078" w:rsidRPr="00650291" w14:paraId="218CDB0F" w14:textId="77777777" w:rsidTr="00AE0577">
        <w:trPr>
          <w:trHeight w:val="300"/>
        </w:trPr>
        <w:tc>
          <w:tcPr>
            <w:tcW w:w="2778" w:type="dxa"/>
            <w:tcBorders>
              <w:top w:val="nil"/>
              <w:left w:val="single" w:sz="8" w:space="0" w:color="auto"/>
              <w:bottom w:val="single" w:sz="4" w:space="0" w:color="auto"/>
              <w:right w:val="single" w:sz="4" w:space="0" w:color="auto"/>
            </w:tcBorders>
            <w:shd w:val="clear" w:color="auto" w:fill="auto"/>
            <w:noWrap/>
            <w:vAlign w:val="bottom"/>
            <w:hideMark/>
          </w:tcPr>
          <w:p w14:paraId="7A397696" w14:textId="77777777" w:rsidR="00013078" w:rsidRPr="00650291" w:rsidRDefault="00013078" w:rsidP="00AE0577">
            <w:pPr>
              <w:jc w:val="both"/>
              <w:rPr>
                <w:rFonts w:asciiTheme="minorHAnsi" w:hAnsiTheme="minorHAnsi"/>
                <w:color w:val="000000"/>
                <w:sz w:val="20"/>
                <w:szCs w:val="20"/>
              </w:rPr>
            </w:pPr>
            <w:r>
              <w:rPr>
                <w:rFonts w:ascii="Calibri" w:hAnsi="Calibri"/>
                <w:color w:val="000000"/>
              </w:rPr>
              <w:t xml:space="preserve">Oslo </w:t>
            </w:r>
            <w:proofErr w:type="spellStart"/>
            <w:r>
              <w:rPr>
                <w:rFonts w:ascii="Calibri" w:hAnsi="Calibri"/>
                <w:color w:val="000000"/>
              </w:rPr>
              <w:t>Bors</w:t>
            </w:r>
            <w:proofErr w:type="spellEnd"/>
          </w:p>
        </w:tc>
        <w:tc>
          <w:tcPr>
            <w:tcW w:w="1361" w:type="dxa"/>
            <w:tcBorders>
              <w:top w:val="nil"/>
              <w:left w:val="nil"/>
              <w:bottom w:val="single" w:sz="4" w:space="0" w:color="auto"/>
              <w:right w:val="single" w:sz="4" w:space="0" w:color="auto"/>
            </w:tcBorders>
            <w:shd w:val="clear" w:color="auto" w:fill="auto"/>
            <w:noWrap/>
            <w:vAlign w:val="bottom"/>
            <w:hideMark/>
          </w:tcPr>
          <w:p w14:paraId="098760CA" w14:textId="77777777" w:rsidR="00013078" w:rsidRPr="00650291" w:rsidRDefault="00013078" w:rsidP="00AE0577">
            <w:pPr>
              <w:jc w:val="right"/>
              <w:rPr>
                <w:rFonts w:asciiTheme="minorHAnsi" w:hAnsiTheme="minorHAnsi"/>
                <w:color w:val="000000"/>
                <w:sz w:val="20"/>
                <w:szCs w:val="20"/>
              </w:rPr>
            </w:pPr>
            <w:r>
              <w:rPr>
                <w:rFonts w:ascii="Calibri" w:hAnsi="Calibri"/>
                <w:color w:val="000000"/>
              </w:rPr>
              <w:t>6,228</w:t>
            </w:r>
          </w:p>
        </w:tc>
        <w:tc>
          <w:tcPr>
            <w:tcW w:w="1361" w:type="dxa"/>
            <w:tcBorders>
              <w:top w:val="nil"/>
              <w:left w:val="nil"/>
              <w:bottom w:val="single" w:sz="4" w:space="0" w:color="auto"/>
              <w:right w:val="single" w:sz="4" w:space="0" w:color="auto"/>
            </w:tcBorders>
            <w:shd w:val="clear" w:color="auto" w:fill="auto"/>
            <w:noWrap/>
            <w:vAlign w:val="bottom"/>
            <w:hideMark/>
          </w:tcPr>
          <w:p w14:paraId="2998E872" w14:textId="77777777" w:rsidR="00013078" w:rsidRPr="00650291" w:rsidRDefault="00013078" w:rsidP="00AE0577">
            <w:pPr>
              <w:jc w:val="right"/>
              <w:rPr>
                <w:rFonts w:asciiTheme="minorHAnsi" w:hAnsiTheme="minorHAnsi"/>
                <w:color w:val="000000"/>
                <w:sz w:val="20"/>
                <w:szCs w:val="20"/>
              </w:rPr>
            </w:pPr>
            <w:r>
              <w:rPr>
                <w:rFonts w:ascii="Calibri" w:hAnsi="Calibri"/>
                <w:color w:val="000000"/>
              </w:rPr>
              <w:t>6,252</w:t>
            </w:r>
          </w:p>
        </w:tc>
        <w:tc>
          <w:tcPr>
            <w:tcW w:w="1361" w:type="dxa"/>
            <w:tcBorders>
              <w:top w:val="nil"/>
              <w:left w:val="nil"/>
              <w:bottom w:val="single" w:sz="4" w:space="0" w:color="auto"/>
              <w:right w:val="single" w:sz="4" w:space="0" w:color="auto"/>
            </w:tcBorders>
            <w:shd w:val="clear" w:color="auto" w:fill="auto"/>
            <w:noWrap/>
            <w:vAlign w:val="bottom"/>
            <w:hideMark/>
          </w:tcPr>
          <w:p w14:paraId="6A1A26B1" w14:textId="77777777" w:rsidR="00013078" w:rsidRPr="00650291" w:rsidRDefault="00013078" w:rsidP="00AE0577">
            <w:pPr>
              <w:jc w:val="right"/>
              <w:rPr>
                <w:rFonts w:asciiTheme="minorHAnsi" w:hAnsiTheme="minorHAnsi"/>
                <w:color w:val="000000"/>
                <w:sz w:val="20"/>
                <w:szCs w:val="20"/>
              </w:rPr>
            </w:pPr>
            <w:r>
              <w:rPr>
                <w:rFonts w:ascii="Calibri" w:hAnsi="Calibri"/>
                <w:color w:val="000000"/>
              </w:rPr>
              <w:t>6,686</w:t>
            </w:r>
          </w:p>
        </w:tc>
        <w:tc>
          <w:tcPr>
            <w:tcW w:w="1361" w:type="dxa"/>
            <w:tcBorders>
              <w:top w:val="nil"/>
              <w:left w:val="nil"/>
              <w:bottom w:val="single" w:sz="4" w:space="0" w:color="auto"/>
              <w:right w:val="single" w:sz="4" w:space="0" w:color="auto"/>
            </w:tcBorders>
            <w:shd w:val="clear" w:color="auto" w:fill="auto"/>
            <w:noWrap/>
            <w:vAlign w:val="bottom"/>
            <w:hideMark/>
          </w:tcPr>
          <w:p w14:paraId="084B46DF" w14:textId="77777777" w:rsidR="00013078" w:rsidRPr="00650291" w:rsidRDefault="00013078" w:rsidP="00AE0577">
            <w:pPr>
              <w:jc w:val="right"/>
              <w:rPr>
                <w:rFonts w:asciiTheme="minorHAnsi" w:hAnsiTheme="minorHAnsi"/>
                <w:color w:val="000000"/>
                <w:sz w:val="20"/>
                <w:szCs w:val="20"/>
              </w:rPr>
            </w:pPr>
            <w:r>
              <w:rPr>
                <w:rFonts w:ascii="Calibri" w:hAnsi="Calibri"/>
                <w:color w:val="000000"/>
              </w:rPr>
              <w:t>7,760</w:t>
            </w:r>
          </w:p>
        </w:tc>
        <w:tc>
          <w:tcPr>
            <w:tcW w:w="1361" w:type="dxa"/>
            <w:tcBorders>
              <w:top w:val="nil"/>
              <w:left w:val="single" w:sz="8" w:space="0" w:color="auto"/>
              <w:bottom w:val="single" w:sz="4" w:space="0" w:color="auto"/>
              <w:right w:val="single" w:sz="8" w:space="0" w:color="auto"/>
            </w:tcBorders>
            <w:shd w:val="clear" w:color="000000" w:fill="DDEBF7"/>
            <w:noWrap/>
            <w:vAlign w:val="bottom"/>
            <w:hideMark/>
          </w:tcPr>
          <w:p w14:paraId="4AEA8212" w14:textId="77777777" w:rsidR="00013078" w:rsidRPr="00650291" w:rsidRDefault="00013078" w:rsidP="00AE0577">
            <w:pPr>
              <w:jc w:val="right"/>
              <w:rPr>
                <w:rFonts w:asciiTheme="minorHAnsi" w:hAnsiTheme="minorHAnsi"/>
                <w:b/>
                <w:bCs/>
                <w:color w:val="000000"/>
                <w:sz w:val="20"/>
                <w:szCs w:val="20"/>
              </w:rPr>
            </w:pPr>
            <w:r>
              <w:rPr>
                <w:rFonts w:ascii="Calibri" w:hAnsi="Calibri"/>
                <w:b/>
                <w:bCs/>
                <w:color w:val="000000"/>
              </w:rPr>
              <w:t>25%</w:t>
            </w:r>
          </w:p>
        </w:tc>
      </w:tr>
      <w:tr w:rsidR="00013078" w:rsidRPr="00650291" w14:paraId="321AD124" w14:textId="77777777" w:rsidTr="00AE0577">
        <w:trPr>
          <w:trHeight w:val="300"/>
        </w:trPr>
        <w:tc>
          <w:tcPr>
            <w:tcW w:w="2778" w:type="dxa"/>
            <w:tcBorders>
              <w:top w:val="nil"/>
              <w:left w:val="single" w:sz="8" w:space="0" w:color="auto"/>
              <w:bottom w:val="single" w:sz="4" w:space="0" w:color="auto"/>
              <w:right w:val="single" w:sz="4" w:space="0" w:color="auto"/>
            </w:tcBorders>
            <w:shd w:val="clear" w:color="auto" w:fill="auto"/>
            <w:noWrap/>
            <w:vAlign w:val="bottom"/>
            <w:hideMark/>
          </w:tcPr>
          <w:p w14:paraId="33BCA538" w14:textId="77777777" w:rsidR="00013078" w:rsidRPr="00650291" w:rsidRDefault="00013078" w:rsidP="00AE0577">
            <w:pPr>
              <w:jc w:val="both"/>
              <w:rPr>
                <w:rFonts w:asciiTheme="minorHAnsi" w:hAnsiTheme="minorHAnsi"/>
                <w:color w:val="000000"/>
                <w:sz w:val="20"/>
                <w:szCs w:val="20"/>
              </w:rPr>
            </w:pPr>
            <w:r>
              <w:rPr>
                <w:rFonts w:ascii="Calibri" w:hAnsi="Calibri"/>
                <w:color w:val="000000"/>
              </w:rPr>
              <w:t>SIX Swiss Exchange</w:t>
            </w:r>
          </w:p>
        </w:tc>
        <w:tc>
          <w:tcPr>
            <w:tcW w:w="1361" w:type="dxa"/>
            <w:tcBorders>
              <w:top w:val="nil"/>
              <w:left w:val="nil"/>
              <w:bottom w:val="single" w:sz="4" w:space="0" w:color="auto"/>
              <w:right w:val="single" w:sz="4" w:space="0" w:color="auto"/>
            </w:tcBorders>
            <w:shd w:val="clear" w:color="auto" w:fill="auto"/>
            <w:noWrap/>
            <w:vAlign w:val="bottom"/>
            <w:hideMark/>
          </w:tcPr>
          <w:p w14:paraId="671B15DB" w14:textId="77777777" w:rsidR="00013078" w:rsidRPr="00650291" w:rsidRDefault="00013078" w:rsidP="00AE0577">
            <w:pPr>
              <w:jc w:val="right"/>
              <w:rPr>
                <w:rFonts w:asciiTheme="minorHAnsi" w:hAnsiTheme="minorHAnsi"/>
                <w:color w:val="000000"/>
                <w:sz w:val="20"/>
                <w:szCs w:val="20"/>
              </w:rPr>
            </w:pPr>
            <w:r>
              <w:rPr>
                <w:rFonts w:ascii="Calibri" w:hAnsi="Calibri"/>
                <w:color w:val="000000"/>
              </w:rPr>
              <w:t>78,044</w:t>
            </w:r>
          </w:p>
        </w:tc>
        <w:tc>
          <w:tcPr>
            <w:tcW w:w="1361" w:type="dxa"/>
            <w:tcBorders>
              <w:top w:val="nil"/>
              <w:left w:val="nil"/>
              <w:bottom w:val="single" w:sz="4" w:space="0" w:color="auto"/>
              <w:right w:val="single" w:sz="4" w:space="0" w:color="auto"/>
            </w:tcBorders>
            <w:shd w:val="clear" w:color="auto" w:fill="auto"/>
            <w:noWrap/>
            <w:vAlign w:val="bottom"/>
            <w:hideMark/>
          </w:tcPr>
          <w:p w14:paraId="15225B76" w14:textId="77777777" w:rsidR="00013078" w:rsidRPr="00650291" w:rsidRDefault="00013078" w:rsidP="00AE0577">
            <w:pPr>
              <w:jc w:val="right"/>
              <w:rPr>
                <w:rFonts w:asciiTheme="minorHAnsi" w:hAnsiTheme="minorHAnsi"/>
                <w:color w:val="000000"/>
                <w:sz w:val="20"/>
                <w:szCs w:val="20"/>
              </w:rPr>
            </w:pPr>
            <w:r>
              <w:rPr>
                <w:rFonts w:ascii="Calibri" w:hAnsi="Calibri"/>
                <w:color w:val="000000"/>
              </w:rPr>
              <w:t>81,067</w:t>
            </w:r>
          </w:p>
        </w:tc>
        <w:tc>
          <w:tcPr>
            <w:tcW w:w="1361" w:type="dxa"/>
            <w:tcBorders>
              <w:top w:val="nil"/>
              <w:left w:val="nil"/>
              <w:bottom w:val="single" w:sz="4" w:space="0" w:color="auto"/>
              <w:right w:val="single" w:sz="4" w:space="0" w:color="auto"/>
            </w:tcBorders>
            <w:shd w:val="clear" w:color="auto" w:fill="auto"/>
            <w:noWrap/>
            <w:vAlign w:val="bottom"/>
            <w:hideMark/>
          </w:tcPr>
          <w:p w14:paraId="621B7CBB" w14:textId="77777777" w:rsidR="00013078" w:rsidRPr="00650291" w:rsidRDefault="00013078" w:rsidP="00AE0577">
            <w:pPr>
              <w:jc w:val="right"/>
              <w:rPr>
                <w:rFonts w:asciiTheme="minorHAnsi" w:hAnsiTheme="minorHAnsi"/>
                <w:color w:val="000000"/>
                <w:sz w:val="20"/>
                <w:szCs w:val="20"/>
              </w:rPr>
            </w:pPr>
            <w:r>
              <w:rPr>
                <w:rFonts w:ascii="Calibri" w:hAnsi="Calibri"/>
                <w:color w:val="000000"/>
              </w:rPr>
              <w:t>78,029</w:t>
            </w:r>
          </w:p>
        </w:tc>
        <w:tc>
          <w:tcPr>
            <w:tcW w:w="1361" w:type="dxa"/>
            <w:tcBorders>
              <w:top w:val="nil"/>
              <w:left w:val="nil"/>
              <w:bottom w:val="single" w:sz="4" w:space="0" w:color="auto"/>
              <w:right w:val="single" w:sz="4" w:space="0" w:color="auto"/>
            </w:tcBorders>
            <w:shd w:val="clear" w:color="auto" w:fill="auto"/>
            <w:noWrap/>
            <w:vAlign w:val="bottom"/>
            <w:hideMark/>
          </w:tcPr>
          <w:p w14:paraId="538CFAFB" w14:textId="77777777" w:rsidR="00013078" w:rsidRPr="00650291" w:rsidRDefault="00013078" w:rsidP="00AE0577">
            <w:pPr>
              <w:jc w:val="right"/>
              <w:rPr>
                <w:rFonts w:asciiTheme="minorHAnsi" w:hAnsiTheme="minorHAnsi"/>
                <w:color w:val="000000"/>
                <w:sz w:val="20"/>
                <w:szCs w:val="20"/>
              </w:rPr>
            </w:pPr>
            <w:r>
              <w:rPr>
                <w:rFonts w:ascii="Calibri" w:hAnsi="Calibri"/>
                <w:color w:val="000000"/>
              </w:rPr>
              <w:t>79,623</w:t>
            </w:r>
          </w:p>
        </w:tc>
        <w:tc>
          <w:tcPr>
            <w:tcW w:w="1361" w:type="dxa"/>
            <w:tcBorders>
              <w:top w:val="nil"/>
              <w:left w:val="single" w:sz="8" w:space="0" w:color="auto"/>
              <w:bottom w:val="single" w:sz="4" w:space="0" w:color="auto"/>
              <w:right w:val="single" w:sz="8" w:space="0" w:color="auto"/>
            </w:tcBorders>
            <w:shd w:val="clear" w:color="000000" w:fill="DDEBF7"/>
            <w:noWrap/>
            <w:vAlign w:val="bottom"/>
            <w:hideMark/>
          </w:tcPr>
          <w:p w14:paraId="62856259" w14:textId="77777777" w:rsidR="00013078" w:rsidRPr="00650291" w:rsidRDefault="00013078" w:rsidP="00AE0577">
            <w:pPr>
              <w:jc w:val="right"/>
              <w:rPr>
                <w:rFonts w:asciiTheme="minorHAnsi" w:hAnsiTheme="minorHAnsi"/>
                <w:b/>
                <w:bCs/>
                <w:color w:val="000000"/>
                <w:sz w:val="20"/>
                <w:szCs w:val="20"/>
              </w:rPr>
            </w:pPr>
            <w:r>
              <w:rPr>
                <w:rFonts w:ascii="Calibri" w:hAnsi="Calibri"/>
                <w:b/>
                <w:bCs/>
                <w:color w:val="000000"/>
              </w:rPr>
              <w:t>2%</w:t>
            </w:r>
          </w:p>
        </w:tc>
      </w:tr>
      <w:tr w:rsidR="00013078" w:rsidRPr="00650291" w14:paraId="213828DE" w14:textId="77777777" w:rsidTr="00AE0577">
        <w:trPr>
          <w:trHeight w:val="300"/>
        </w:trPr>
        <w:tc>
          <w:tcPr>
            <w:tcW w:w="2778" w:type="dxa"/>
            <w:tcBorders>
              <w:top w:val="nil"/>
              <w:left w:val="single" w:sz="8" w:space="0" w:color="auto"/>
              <w:bottom w:val="single" w:sz="4" w:space="0" w:color="auto"/>
              <w:right w:val="single" w:sz="4" w:space="0" w:color="auto"/>
            </w:tcBorders>
            <w:shd w:val="clear" w:color="auto" w:fill="auto"/>
            <w:noWrap/>
            <w:vAlign w:val="bottom"/>
            <w:hideMark/>
          </w:tcPr>
          <w:p w14:paraId="49D61FA1" w14:textId="77777777" w:rsidR="00013078" w:rsidRPr="00650291" w:rsidRDefault="00013078" w:rsidP="00AE0577">
            <w:pPr>
              <w:jc w:val="both"/>
              <w:rPr>
                <w:rFonts w:asciiTheme="minorHAnsi" w:hAnsiTheme="minorHAnsi"/>
                <w:color w:val="000000"/>
                <w:sz w:val="20"/>
                <w:szCs w:val="20"/>
              </w:rPr>
            </w:pPr>
            <w:r>
              <w:rPr>
                <w:rFonts w:ascii="Calibri" w:hAnsi="Calibri"/>
                <w:color w:val="000000"/>
              </w:rPr>
              <w:t>Turquoise</w:t>
            </w:r>
          </w:p>
        </w:tc>
        <w:tc>
          <w:tcPr>
            <w:tcW w:w="1361" w:type="dxa"/>
            <w:tcBorders>
              <w:top w:val="nil"/>
              <w:left w:val="nil"/>
              <w:bottom w:val="single" w:sz="4" w:space="0" w:color="auto"/>
              <w:right w:val="single" w:sz="4" w:space="0" w:color="auto"/>
            </w:tcBorders>
            <w:shd w:val="clear" w:color="auto" w:fill="auto"/>
            <w:noWrap/>
            <w:vAlign w:val="bottom"/>
            <w:hideMark/>
          </w:tcPr>
          <w:p w14:paraId="36883D41" w14:textId="77777777" w:rsidR="00013078" w:rsidRPr="00650291" w:rsidRDefault="00013078" w:rsidP="00AE0577">
            <w:pPr>
              <w:jc w:val="right"/>
              <w:rPr>
                <w:rFonts w:asciiTheme="minorHAnsi" w:hAnsiTheme="minorHAnsi"/>
                <w:color w:val="000000"/>
                <w:sz w:val="20"/>
                <w:szCs w:val="20"/>
              </w:rPr>
            </w:pPr>
            <w:r>
              <w:rPr>
                <w:rFonts w:ascii="Calibri" w:hAnsi="Calibri"/>
                <w:color w:val="000000"/>
              </w:rPr>
              <w:t>19,842</w:t>
            </w:r>
          </w:p>
        </w:tc>
        <w:tc>
          <w:tcPr>
            <w:tcW w:w="1361" w:type="dxa"/>
            <w:tcBorders>
              <w:top w:val="nil"/>
              <w:left w:val="nil"/>
              <w:bottom w:val="single" w:sz="4" w:space="0" w:color="auto"/>
              <w:right w:val="single" w:sz="4" w:space="0" w:color="auto"/>
            </w:tcBorders>
            <w:shd w:val="clear" w:color="auto" w:fill="auto"/>
            <w:noWrap/>
            <w:vAlign w:val="bottom"/>
            <w:hideMark/>
          </w:tcPr>
          <w:p w14:paraId="23A2B152" w14:textId="77777777" w:rsidR="00013078" w:rsidRPr="00650291" w:rsidRDefault="00013078" w:rsidP="00AE0577">
            <w:pPr>
              <w:jc w:val="right"/>
              <w:rPr>
                <w:rFonts w:asciiTheme="minorHAnsi" w:hAnsiTheme="minorHAnsi"/>
                <w:color w:val="000000"/>
                <w:sz w:val="20"/>
                <w:szCs w:val="20"/>
              </w:rPr>
            </w:pPr>
            <w:r>
              <w:rPr>
                <w:rFonts w:ascii="Calibri" w:hAnsi="Calibri"/>
                <w:color w:val="000000"/>
              </w:rPr>
              <w:t>18,547</w:t>
            </w:r>
          </w:p>
        </w:tc>
        <w:tc>
          <w:tcPr>
            <w:tcW w:w="1361" w:type="dxa"/>
            <w:tcBorders>
              <w:top w:val="nil"/>
              <w:left w:val="nil"/>
              <w:bottom w:val="single" w:sz="4" w:space="0" w:color="auto"/>
              <w:right w:val="single" w:sz="4" w:space="0" w:color="auto"/>
            </w:tcBorders>
            <w:shd w:val="clear" w:color="auto" w:fill="auto"/>
            <w:noWrap/>
            <w:vAlign w:val="bottom"/>
            <w:hideMark/>
          </w:tcPr>
          <w:p w14:paraId="33794DF0" w14:textId="77777777" w:rsidR="00013078" w:rsidRPr="00650291" w:rsidRDefault="00013078" w:rsidP="00AE0577">
            <w:pPr>
              <w:jc w:val="right"/>
              <w:rPr>
                <w:rFonts w:asciiTheme="minorHAnsi" w:hAnsiTheme="minorHAnsi"/>
                <w:color w:val="000000"/>
                <w:sz w:val="20"/>
                <w:szCs w:val="20"/>
              </w:rPr>
            </w:pPr>
            <w:r>
              <w:rPr>
                <w:rFonts w:ascii="Calibri" w:hAnsi="Calibri"/>
                <w:color w:val="000000"/>
              </w:rPr>
              <w:t>18,379</w:t>
            </w:r>
          </w:p>
        </w:tc>
        <w:tc>
          <w:tcPr>
            <w:tcW w:w="1361" w:type="dxa"/>
            <w:tcBorders>
              <w:top w:val="nil"/>
              <w:left w:val="nil"/>
              <w:bottom w:val="single" w:sz="4" w:space="0" w:color="auto"/>
              <w:right w:val="single" w:sz="4" w:space="0" w:color="auto"/>
            </w:tcBorders>
            <w:shd w:val="clear" w:color="auto" w:fill="auto"/>
            <w:noWrap/>
            <w:vAlign w:val="bottom"/>
            <w:hideMark/>
          </w:tcPr>
          <w:p w14:paraId="4FAFBE0A" w14:textId="77777777" w:rsidR="00013078" w:rsidRPr="00650291" w:rsidRDefault="00013078" w:rsidP="00AE0577">
            <w:pPr>
              <w:jc w:val="right"/>
              <w:rPr>
                <w:rFonts w:asciiTheme="minorHAnsi" w:hAnsiTheme="minorHAnsi"/>
                <w:color w:val="000000"/>
                <w:sz w:val="20"/>
                <w:szCs w:val="20"/>
              </w:rPr>
            </w:pPr>
            <w:r>
              <w:rPr>
                <w:rFonts w:ascii="Calibri" w:hAnsi="Calibri"/>
                <w:color w:val="000000"/>
              </w:rPr>
              <w:t>20,202</w:t>
            </w:r>
          </w:p>
        </w:tc>
        <w:tc>
          <w:tcPr>
            <w:tcW w:w="1361" w:type="dxa"/>
            <w:tcBorders>
              <w:top w:val="nil"/>
              <w:left w:val="single" w:sz="8" w:space="0" w:color="auto"/>
              <w:bottom w:val="single" w:sz="4" w:space="0" w:color="auto"/>
              <w:right w:val="single" w:sz="8" w:space="0" w:color="auto"/>
            </w:tcBorders>
            <w:shd w:val="clear" w:color="000000" w:fill="DDEBF7"/>
            <w:noWrap/>
            <w:vAlign w:val="bottom"/>
            <w:hideMark/>
          </w:tcPr>
          <w:p w14:paraId="241A54E9" w14:textId="77777777" w:rsidR="00013078" w:rsidRPr="00650291" w:rsidRDefault="00013078" w:rsidP="00AE0577">
            <w:pPr>
              <w:jc w:val="right"/>
              <w:rPr>
                <w:rFonts w:asciiTheme="minorHAnsi" w:hAnsiTheme="minorHAnsi"/>
                <w:b/>
                <w:bCs/>
                <w:color w:val="000000"/>
                <w:sz w:val="20"/>
                <w:szCs w:val="20"/>
              </w:rPr>
            </w:pPr>
            <w:r>
              <w:rPr>
                <w:rFonts w:ascii="Calibri" w:hAnsi="Calibri"/>
                <w:b/>
                <w:bCs/>
                <w:color w:val="000000"/>
              </w:rPr>
              <w:t>2%</w:t>
            </w:r>
          </w:p>
        </w:tc>
      </w:tr>
      <w:tr w:rsidR="00013078" w:rsidRPr="00650291" w14:paraId="44998447" w14:textId="77777777" w:rsidTr="00AE0577">
        <w:trPr>
          <w:trHeight w:val="300"/>
        </w:trPr>
        <w:tc>
          <w:tcPr>
            <w:tcW w:w="2778" w:type="dxa"/>
            <w:tcBorders>
              <w:top w:val="nil"/>
              <w:left w:val="single" w:sz="8" w:space="0" w:color="auto"/>
              <w:bottom w:val="single" w:sz="4" w:space="0" w:color="auto"/>
              <w:right w:val="single" w:sz="4" w:space="0" w:color="auto"/>
            </w:tcBorders>
            <w:shd w:val="clear" w:color="auto" w:fill="auto"/>
            <w:noWrap/>
            <w:vAlign w:val="bottom"/>
            <w:hideMark/>
          </w:tcPr>
          <w:p w14:paraId="0284854C" w14:textId="77777777" w:rsidR="00013078" w:rsidRPr="00650291" w:rsidRDefault="00013078" w:rsidP="00AE0577">
            <w:pPr>
              <w:jc w:val="both"/>
              <w:rPr>
                <w:rFonts w:asciiTheme="minorHAnsi" w:hAnsiTheme="minorHAnsi"/>
                <w:color w:val="000000"/>
                <w:sz w:val="20"/>
                <w:szCs w:val="20"/>
              </w:rPr>
            </w:pPr>
            <w:r>
              <w:rPr>
                <w:rFonts w:ascii="Calibri" w:hAnsi="Calibri"/>
                <w:color w:val="000000"/>
              </w:rPr>
              <w:t>Warsaw Stock Exchange</w:t>
            </w:r>
          </w:p>
        </w:tc>
        <w:tc>
          <w:tcPr>
            <w:tcW w:w="1361" w:type="dxa"/>
            <w:tcBorders>
              <w:top w:val="nil"/>
              <w:left w:val="nil"/>
              <w:bottom w:val="single" w:sz="4" w:space="0" w:color="auto"/>
              <w:right w:val="single" w:sz="4" w:space="0" w:color="auto"/>
            </w:tcBorders>
            <w:shd w:val="clear" w:color="auto" w:fill="auto"/>
            <w:noWrap/>
            <w:vAlign w:val="bottom"/>
            <w:hideMark/>
          </w:tcPr>
          <w:p w14:paraId="30FA7460" w14:textId="77777777" w:rsidR="00013078" w:rsidRPr="00650291" w:rsidRDefault="00013078" w:rsidP="00AE0577">
            <w:pPr>
              <w:jc w:val="right"/>
              <w:rPr>
                <w:rFonts w:asciiTheme="minorHAnsi" w:hAnsiTheme="minorHAnsi"/>
                <w:color w:val="000000"/>
                <w:sz w:val="20"/>
                <w:szCs w:val="20"/>
              </w:rPr>
            </w:pPr>
            <w:r>
              <w:rPr>
                <w:rFonts w:ascii="Calibri" w:hAnsi="Calibri"/>
                <w:color w:val="000000"/>
              </w:rPr>
              <w:t>112,064</w:t>
            </w:r>
          </w:p>
        </w:tc>
        <w:tc>
          <w:tcPr>
            <w:tcW w:w="1361" w:type="dxa"/>
            <w:tcBorders>
              <w:top w:val="nil"/>
              <w:left w:val="nil"/>
              <w:bottom w:val="single" w:sz="4" w:space="0" w:color="auto"/>
              <w:right w:val="single" w:sz="4" w:space="0" w:color="auto"/>
            </w:tcBorders>
            <w:shd w:val="clear" w:color="auto" w:fill="auto"/>
            <w:noWrap/>
            <w:vAlign w:val="bottom"/>
            <w:hideMark/>
          </w:tcPr>
          <w:p w14:paraId="134F5076" w14:textId="77777777" w:rsidR="00013078" w:rsidRPr="00650291" w:rsidRDefault="00013078" w:rsidP="00AE0577">
            <w:pPr>
              <w:jc w:val="right"/>
              <w:rPr>
                <w:rFonts w:asciiTheme="minorHAnsi" w:hAnsiTheme="minorHAnsi"/>
                <w:color w:val="000000"/>
                <w:sz w:val="20"/>
                <w:szCs w:val="20"/>
              </w:rPr>
            </w:pPr>
            <w:r>
              <w:rPr>
                <w:rFonts w:ascii="Calibri" w:hAnsi="Calibri"/>
                <w:color w:val="000000"/>
              </w:rPr>
              <w:t>117,209</w:t>
            </w:r>
          </w:p>
        </w:tc>
        <w:tc>
          <w:tcPr>
            <w:tcW w:w="1361" w:type="dxa"/>
            <w:tcBorders>
              <w:top w:val="nil"/>
              <w:left w:val="nil"/>
              <w:bottom w:val="single" w:sz="4" w:space="0" w:color="auto"/>
              <w:right w:val="single" w:sz="4" w:space="0" w:color="auto"/>
            </w:tcBorders>
            <w:shd w:val="clear" w:color="auto" w:fill="auto"/>
            <w:noWrap/>
            <w:vAlign w:val="bottom"/>
            <w:hideMark/>
          </w:tcPr>
          <w:p w14:paraId="64CE7138" w14:textId="77777777" w:rsidR="00013078" w:rsidRPr="00650291" w:rsidRDefault="00013078" w:rsidP="00AE0577">
            <w:pPr>
              <w:jc w:val="right"/>
              <w:rPr>
                <w:rFonts w:asciiTheme="minorHAnsi" w:hAnsiTheme="minorHAnsi"/>
                <w:color w:val="000000"/>
                <w:sz w:val="20"/>
                <w:szCs w:val="20"/>
              </w:rPr>
            </w:pPr>
            <w:r>
              <w:rPr>
                <w:rFonts w:ascii="Calibri" w:hAnsi="Calibri"/>
                <w:color w:val="000000"/>
              </w:rPr>
              <w:t>119,883</w:t>
            </w:r>
          </w:p>
        </w:tc>
        <w:tc>
          <w:tcPr>
            <w:tcW w:w="1361" w:type="dxa"/>
            <w:tcBorders>
              <w:top w:val="nil"/>
              <w:left w:val="nil"/>
              <w:bottom w:val="single" w:sz="4" w:space="0" w:color="auto"/>
              <w:right w:val="single" w:sz="4" w:space="0" w:color="auto"/>
            </w:tcBorders>
            <w:shd w:val="clear" w:color="auto" w:fill="auto"/>
            <w:noWrap/>
            <w:vAlign w:val="bottom"/>
            <w:hideMark/>
          </w:tcPr>
          <w:p w14:paraId="5EDA4D94" w14:textId="77777777" w:rsidR="00013078" w:rsidRPr="00650291" w:rsidRDefault="00013078" w:rsidP="00AE0577">
            <w:pPr>
              <w:jc w:val="right"/>
              <w:rPr>
                <w:rFonts w:asciiTheme="minorHAnsi" w:hAnsiTheme="minorHAnsi"/>
                <w:color w:val="000000"/>
                <w:sz w:val="20"/>
                <w:szCs w:val="20"/>
              </w:rPr>
            </w:pPr>
            <w:r>
              <w:rPr>
                <w:rFonts w:ascii="Calibri" w:hAnsi="Calibri"/>
                <w:color w:val="000000"/>
              </w:rPr>
              <w:t>119,971</w:t>
            </w:r>
          </w:p>
        </w:tc>
        <w:tc>
          <w:tcPr>
            <w:tcW w:w="1361" w:type="dxa"/>
            <w:tcBorders>
              <w:top w:val="nil"/>
              <w:left w:val="single" w:sz="8" w:space="0" w:color="auto"/>
              <w:bottom w:val="single" w:sz="4" w:space="0" w:color="auto"/>
              <w:right w:val="single" w:sz="8" w:space="0" w:color="auto"/>
            </w:tcBorders>
            <w:shd w:val="clear" w:color="000000" w:fill="DDEBF7"/>
            <w:noWrap/>
            <w:vAlign w:val="bottom"/>
            <w:hideMark/>
          </w:tcPr>
          <w:p w14:paraId="77DF179B" w14:textId="77777777" w:rsidR="00013078" w:rsidRPr="00650291" w:rsidRDefault="00013078" w:rsidP="00AE0577">
            <w:pPr>
              <w:jc w:val="right"/>
              <w:rPr>
                <w:rFonts w:asciiTheme="minorHAnsi" w:hAnsiTheme="minorHAnsi"/>
                <w:b/>
                <w:bCs/>
                <w:color w:val="000000"/>
                <w:sz w:val="20"/>
                <w:szCs w:val="20"/>
              </w:rPr>
            </w:pPr>
            <w:r>
              <w:rPr>
                <w:rFonts w:ascii="Calibri" w:hAnsi="Calibri"/>
                <w:b/>
                <w:bCs/>
                <w:color w:val="000000"/>
              </w:rPr>
              <w:t>7%</w:t>
            </w:r>
          </w:p>
        </w:tc>
      </w:tr>
      <w:tr w:rsidR="00013078" w:rsidRPr="00650291" w14:paraId="28E40E35" w14:textId="77777777" w:rsidTr="00AE0577">
        <w:trPr>
          <w:trHeight w:val="315"/>
        </w:trPr>
        <w:tc>
          <w:tcPr>
            <w:tcW w:w="2778" w:type="dxa"/>
            <w:tcBorders>
              <w:top w:val="nil"/>
              <w:left w:val="single" w:sz="8" w:space="0" w:color="auto"/>
              <w:bottom w:val="single" w:sz="4" w:space="0" w:color="auto"/>
              <w:right w:val="single" w:sz="4" w:space="0" w:color="auto"/>
            </w:tcBorders>
            <w:shd w:val="clear" w:color="auto" w:fill="auto"/>
            <w:noWrap/>
            <w:vAlign w:val="bottom"/>
            <w:hideMark/>
          </w:tcPr>
          <w:p w14:paraId="50747215" w14:textId="08EF3E72" w:rsidR="00013078" w:rsidRPr="00650291" w:rsidRDefault="00013078" w:rsidP="00AE0577">
            <w:pPr>
              <w:jc w:val="both"/>
              <w:rPr>
                <w:rFonts w:asciiTheme="minorHAnsi" w:hAnsiTheme="minorHAnsi"/>
                <w:color w:val="000000"/>
                <w:sz w:val="20"/>
                <w:szCs w:val="20"/>
              </w:rPr>
            </w:pPr>
            <w:r>
              <w:rPr>
                <w:rFonts w:ascii="Calibri" w:hAnsi="Calibri"/>
                <w:color w:val="000000"/>
              </w:rPr>
              <w:t xml:space="preserve">Wiener </w:t>
            </w:r>
            <w:r w:rsidR="00492E53">
              <w:rPr>
                <w:rFonts w:ascii="Calibri" w:hAnsi="Calibri"/>
                <w:color w:val="000000"/>
              </w:rPr>
              <w:t>Boerse</w:t>
            </w:r>
          </w:p>
        </w:tc>
        <w:tc>
          <w:tcPr>
            <w:tcW w:w="1361" w:type="dxa"/>
            <w:tcBorders>
              <w:top w:val="nil"/>
              <w:left w:val="nil"/>
              <w:bottom w:val="single" w:sz="4" w:space="0" w:color="auto"/>
              <w:right w:val="single" w:sz="4" w:space="0" w:color="auto"/>
            </w:tcBorders>
            <w:shd w:val="clear" w:color="auto" w:fill="auto"/>
            <w:noWrap/>
            <w:vAlign w:val="bottom"/>
            <w:hideMark/>
          </w:tcPr>
          <w:p w14:paraId="1E4964C0" w14:textId="77777777" w:rsidR="00013078" w:rsidRPr="00650291" w:rsidRDefault="00013078" w:rsidP="00AE0577">
            <w:pPr>
              <w:jc w:val="right"/>
              <w:rPr>
                <w:rFonts w:asciiTheme="minorHAnsi" w:hAnsiTheme="minorHAnsi"/>
                <w:color w:val="000000"/>
                <w:sz w:val="20"/>
                <w:szCs w:val="20"/>
              </w:rPr>
            </w:pPr>
            <w:r>
              <w:rPr>
                <w:rFonts w:ascii="Calibri" w:hAnsi="Calibri"/>
                <w:color w:val="000000"/>
              </w:rPr>
              <w:t>26,220</w:t>
            </w:r>
          </w:p>
        </w:tc>
        <w:tc>
          <w:tcPr>
            <w:tcW w:w="1361" w:type="dxa"/>
            <w:tcBorders>
              <w:top w:val="nil"/>
              <w:left w:val="nil"/>
              <w:bottom w:val="single" w:sz="4" w:space="0" w:color="auto"/>
              <w:right w:val="single" w:sz="4" w:space="0" w:color="auto"/>
            </w:tcBorders>
            <w:shd w:val="clear" w:color="auto" w:fill="auto"/>
            <w:noWrap/>
            <w:vAlign w:val="bottom"/>
            <w:hideMark/>
          </w:tcPr>
          <w:p w14:paraId="00AADA6B" w14:textId="77777777" w:rsidR="00013078" w:rsidRPr="00650291" w:rsidRDefault="00013078" w:rsidP="00AE0577">
            <w:pPr>
              <w:jc w:val="right"/>
              <w:rPr>
                <w:rFonts w:asciiTheme="minorHAnsi" w:hAnsiTheme="minorHAnsi"/>
                <w:color w:val="000000"/>
                <w:sz w:val="20"/>
                <w:szCs w:val="20"/>
              </w:rPr>
            </w:pPr>
            <w:r>
              <w:rPr>
                <w:rFonts w:ascii="Calibri" w:hAnsi="Calibri"/>
                <w:color w:val="000000"/>
              </w:rPr>
              <w:t>26,220</w:t>
            </w:r>
          </w:p>
        </w:tc>
        <w:tc>
          <w:tcPr>
            <w:tcW w:w="1361" w:type="dxa"/>
            <w:tcBorders>
              <w:top w:val="nil"/>
              <w:left w:val="nil"/>
              <w:bottom w:val="single" w:sz="4" w:space="0" w:color="auto"/>
              <w:right w:val="single" w:sz="4" w:space="0" w:color="auto"/>
            </w:tcBorders>
            <w:shd w:val="clear" w:color="auto" w:fill="auto"/>
            <w:noWrap/>
            <w:vAlign w:val="bottom"/>
            <w:hideMark/>
          </w:tcPr>
          <w:p w14:paraId="3589E4FB" w14:textId="77777777" w:rsidR="00013078" w:rsidRPr="00650291" w:rsidRDefault="00013078" w:rsidP="00AE0577">
            <w:pPr>
              <w:jc w:val="right"/>
              <w:rPr>
                <w:rFonts w:asciiTheme="minorHAnsi" w:hAnsiTheme="minorHAnsi"/>
                <w:color w:val="000000"/>
                <w:sz w:val="20"/>
                <w:szCs w:val="20"/>
              </w:rPr>
            </w:pPr>
            <w:r>
              <w:rPr>
                <w:rFonts w:ascii="Calibri" w:hAnsi="Calibri"/>
                <w:color w:val="000000"/>
              </w:rPr>
              <w:t>30,840</w:t>
            </w:r>
          </w:p>
        </w:tc>
        <w:tc>
          <w:tcPr>
            <w:tcW w:w="1361" w:type="dxa"/>
            <w:tcBorders>
              <w:top w:val="nil"/>
              <w:left w:val="nil"/>
              <w:bottom w:val="single" w:sz="4" w:space="0" w:color="auto"/>
              <w:right w:val="single" w:sz="4" w:space="0" w:color="auto"/>
            </w:tcBorders>
            <w:shd w:val="clear" w:color="auto" w:fill="auto"/>
            <w:noWrap/>
            <w:vAlign w:val="bottom"/>
            <w:hideMark/>
          </w:tcPr>
          <w:p w14:paraId="06224E2D" w14:textId="77777777" w:rsidR="00013078" w:rsidRPr="00650291" w:rsidRDefault="00013078" w:rsidP="00AE0577">
            <w:pPr>
              <w:jc w:val="right"/>
              <w:rPr>
                <w:rFonts w:asciiTheme="minorHAnsi" w:hAnsiTheme="minorHAnsi"/>
                <w:color w:val="000000"/>
                <w:sz w:val="20"/>
                <w:szCs w:val="20"/>
              </w:rPr>
            </w:pPr>
            <w:r>
              <w:rPr>
                <w:rFonts w:ascii="Calibri" w:hAnsi="Calibri"/>
                <w:color w:val="000000"/>
              </w:rPr>
              <w:t>32,100</w:t>
            </w:r>
          </w:p>
        </w:tc>
        <w:tc>
          <w:tcPr>
            <w:tcW w:w="1361" w:type="dxa"/>
            <w:tcBorders>
              <w:top w:val="nil"/>
              <w:left w:val="single" w:sz="8" w:space="0" w:color="auto"/>
              <w:bottom w:val="single" w:sz="4" w:space="0" w:color="auto"/>
              <w:right w:val="single" w:sz="8" w:space="0" w:color="auto"/>
            </w:tcBorders>
            <w:shd w:val="clear" w:color="000000" w:fill="DDEBF7"/>
            <w:noWrap/>
            <w:vAlign w:val="bottom"/>
            <w:hideMark/>
          </w:tcPr>
          <w:p w14:paraId="6D1DBCE2" w14:textId="77777777" w:rsidR="00013078" w:rsidRPr="00650291" w:rsidRDefault="00013078" w:rsidP="00AE0577">
            <w:pPr>
              <w:jc w:val="right"/>
              <w:rPr>
                <w:rFonts w:asciiTheme="minorHAnsi" w:hAnsiTheme="minorHAnsi"/>
                <w:b/>
                <w:bCs/>
                <w:color w:val="000000"/>
                <w:sz w:val="20"/>
                <w:szCs w:val="20"/>
              </w:rPr>
            </w:pPr>
            <w:r>
              <w:rPr>
                <w:rFonts w:ascii="Calibri" w:hAnsi="Calibri"/>
                <w:b/>
                <w:bCs/>
                <w:color w:val="000000"/>
              </w:rPr>
              <w:t>22%</w:t>
            </w:r>
          </w:p>
        </w:tc>
      </w:tr>
      <w:tr w:rsidR="00013078" w:rsidRPr="00650291" w14:paraId="520BB9D8" w14:textId="77777777" w:rsidTr="00AE0577">
        <w:trPr>
          <w:trHeight w:val="315"/>
        </w:trPr>
        <w:tc>
          <w:tcPr>
            <w:tcW w:w="2778" w:type="dxa"/>
            <w:tcBorders>
              <w:top w:val="single" w:sz="8" w:space="0" w:color="auto"/>
              <w:left w:val="single" w:sz="8" w:space="0" w:color="auto"/>
              <w:bottom w:val="single" w:sz="8" w:space="0" w:color="auto"/>
              <w:right w:val="single" w:sz="4" w:space="0" w:color="auto"/>
            </w:tcBorders>
            <w:shd w:val="clear" w:color="DDEBF7" w:fill="DDEBF7"/>
            <w:noWrap/>
            <w:vAlign w:val="bottom"/>
            <w:hideMark/>
          </w:tcPr>
          <w:p w14:paraId="5001D481" w14:textId="77777777" w:rsidR="00013078" w:rsidRPr="00650291" w:rsidRDefault="00013078" w:rsidP="00AE0577">
            <w:pPr>
              <w:jc w:val="both"/>
              <w:rPr>
                <w:rFonts w:asciiTheme="minorHAnsi" w:hAnsiTheme="minorHAnsi"/>
                <w:b/>
                <w:bCs/>
                <w:color w:val="000000"/>
                <w:sz w:val="20"/>
                <w:szCs w:val="20"/>
              </w:rPr>
            </w:pPr>
            <w:r>
              <w:rPr>
                <w:rFonts w:ascii="Calibri" w:hAnsi="Calibri"/>
                <w:b/>
                <w:bCs/>
                <w:color w:val="000000"/>
              </w:rPr>
              <w:t>Grand Total</w:t>
            </w:r>
          </w:p>
        </w:tc>
        <w:tc>
          <w:tcPr>
            <w:tcW w:w="1361" w:type="dxa"/>
            <w:tcBorders>
              <w:top w:val="single" w:sz="8" w:space="0" w:color="auto"/>
              <w:left w:val="nil"/>
              <w:bottom w:val="single" w:sz="8" w:space="0" w:color="auto"/>
              <w:right w:val="single" w:sz="4" w:space="0" w:color="auto"/>
            </w:tcBorders>
            <w:shd w:val="clear" w:color="DDEBF7" w:fill="DDEBF7"/>
            <w:noWrap/>
            <w:vAlign w:val="bottom"/>
            <w:hideMark/>
          </w:tcPr>
          <w:p w14:paraId="71423D1D" w14:textId="77777777" w:rsidR="00013078" w:rsidRPr="00650291" w:rsidRDefault="00013078" w:rsidP="00AE0577">
            <w:pPr>
              <w:jc w:val="right"/>
              <w:rPr>
                <w:rFonts w:asciiTheme="minorHAnsi" w:hAnsiTheme="minorHAnsi"/>
                <w:b/>
                <w:bCs/>
                <w:color w:val="000000"/>
                <w:sz w:val="20"/>
                <w:szCs w:val="20"/>
              </w:rPr>
            </w:pPr>
            <w:r>
              <w:rPr>
                <w:rFonts w:ascii="Calibri" w:hAnsi="Calibri"/>
                <w:b/>
                <w:bCs/>
                <w:color w:val="000000"/>
              </w:rPr>
              <w:t>917,287</w:t>
            </w:r>
          </w:p>
        </w:tc>
        <w:tc>
          <w:tcPr>
            <w:tcW w:w="1361" w:type="dxa"/>
            <w:tcBorders>
              <w:top w:val="single" w:sz="8" w:space="0" w:color="auto"/>
              <w:left w:val="nil"/>
              <w:bottom w:val="single" w:sz="8" w:space="0" w:color="auto"/>
              <w:right w:val="single" w:sz="4" w:space="0" w:color="auto"/>
            </w:tcBorders>
            <w:shd w:val="clear" w:color="DDEBF7" w:fill="DDEBF7"/>
            <w:noWrap/>
            <w:vAlign w:val="bottom"/>
            <w:hideMark/>
          </w:tcPr>
          <w:p w14:paraId="152F8317" w14:textId="77777777" w:rsidR="00013078" w:rsidRPr="00650291" w:rsidRDefault="00013078" w:rsidP="00AE0577">
            <w:pPr>
              <w:jc w:val="right"/>
              <w:rPr>
                <w:rFonts w:asciiTheme="minorHAnsi" w:hAnsiTheme="minorHAnsi"/>
                <w:b/>
                <w:bCs/>
                <w:color w:val="000000"/>
                <w:sz w:val="20"/>
                <w:szCs w:val="20"/>
              </w:rPr>
            </w:pPr>
            <w:r>
              <w:rPr>
                <w:rFonts w:ascii="Calibri" w:hAnsi="Calibri"/>
                <w:b/>
                <w:bCs/>
                <w:color w:val="000000"/>
              </w:rPr>
              <w:t>971,650</w:t>
            </w:r>
          </w:p>
        </w:tc>
        <w:tc>
          <w:tcPr>
            <w:tcW w:w="1361" w:type="dxa"/>
            <w:tcBorders>
              <w:top w:val="single" w:sz="8" w:space="0" w:color="auto"/>
              <w:left w:val="nil"/>
              <w:bottom w:val="single" w:sz="8" w:space="0" w:color="auto"/>
              <w:right w:val="single" w:sz="4" w:space="0" w:color="auto"/>
            </w:tcBorders>
            <w:shd w:val="clear" w:color="DDEBF7" w:fill="DDEBF7"/>
            <w:noWrap/>
            <w:vAlign w:val="bottom"/>
            <w:hideMark/>
          </w:tcPr>
          <w:p w14:paraId="5AC4BF14" w14:textId="77777777" w:rsidR="00013078" w:rsidRPr="00650291" w:rsidRDefault="00013078" w:rsidP="00AE0577">
            <w:pPr>
              <w:jc w:val="right"/>
              <w:rPr>
                <w:rFonts w:asciiTheme="minorHAnsi" w:hAnsiTheme="minorHAnsi"/>
                <w:b/>
                <w:bCs/>
                <w:color w:val="000000"/>
                <w:sz w:val="20"/>
                <w:szCs w:val="20"/>
              </w:rPr>
            </w:pPr>
            <w:r>
              <w:rPr>
                <w:rFonts w:ascii="Calibri" w:hAnsi="Calibri"/>
                <w:b/>
                <w:bCs/>
                <w:color w:val="000000"/>
              </w:rPr>
              <w:t>1,147,351</w:t>
            </w:r>
          </w:p>
        </w:tc>
        <w:tc>
          <w:tcPr>
            <w:tcW w:w="1361" w:type="dxa"/>
            <w:tcBorders>
              <w:top w:val="single" w:sz="8" w:space="0" w:color="auto"/>
              <w:left w:val="nil"/>
              <w:bottom w:val="single" w:sz="8" w:space="0" w:color="auto"/>
              <w:right w:val="single" w:sz="4" w:space="0" w:color="auto"/>
            </w:tcBorders>
            <w:shd w:val="clear" w:color="DDEBF7" w:fill="DDEBF7"/>
            <w:noWrap/>
            <w:vAlign w:val="bottom"/>
            <w:hideMark/>
          </w:tcPr>
          <w:p w14:paraId="48E3452C" w14:textId="77777777" w:rsidR="00013078" w:rsidRPr="00650291" w:rsidRDefault="00013078" w:rsidP="00AE0577">
            <w:pPr>
              <w:jc w:val="right"/>
              <w:rPr>
                <w:rFonts w:asciiTheme="minorHAnsi" w:hAnsiTheme="minorHAnsi"/>
                <w:b/>
                <w:bCs/>
                <w:color w:val="000000"/>
                <w:sz w:val="20"/>
                <w:szCs w:val="20"/>
              </w:rPr>
            </w:pPr>
            <w:r>
              <w:rPr>
                <w:rFonts w:ascii="Calibri" w:hAnsi="Calibri"/>
                <w:b/>
                <w:bCs/>
                <w:color w:val="000000"/>
              </w:rPr>
              <w:t>1,165,710</w:t>
            </w:r>
          </w:p>
        </w:tc>
        <w:tc>
          <w:tcPr>
            <w:tcW w:w="1361" w:type="dxa"/>
            <w:tcBorders>
              <w:top w:val="single" w:sz="8" w:space="0" w:color="auto"/>
              <w:left w:val="nil"/>
              <w:bottom w:val="single" w:sz="8" w:space="0" w:color="auto"/>
              <w:right w:val="single" w:sz="8" w:space="0" w:color="auto"/>
            </w:tcBorders>
            <w:shd w:val="clear" w:color="000000" w:fill="DDEBF7"/>
            <w:noWrap/>
            <w:vAlign w:val="bottom"/>
            <w:hideMark/>
          </w:tcPr>
          <w:p w14:paraId="51E179D5" w14:textId="77777777" w:rsidR="00013078" w:rsidRPr="00650291" w:rsidRDefault="00013078" w:rsidP="00AE0577">
            <w:pPr>
              <w:jc w:val="right"/>
              <w:rPr>
                <w:rFonts w:asciiTheme="minorHAnsi" w:hAnsiTheme="minorHAnsi"/>
                <w:b/>
                <w:bCs/>
                <w:color w:val="000000"/>
                <w:sz w:val="20"/>
                <w:szCs w:val="20"/>
              </w:rPr>
            </w:pPr>
            <w:r>
              <w:rPr>
                <w:rFonts w:ascii="Calibri" w:hAnsi="Calibri"/>
                <w:b/>
                <w:bCs/>
                <w:color w:val="000000"/>
              </w:rPr>
              <w:t>27%</w:t>
            </w:r>
          </w:p>
        </w:tc>
      </w:tr>
    </w:tbl>
    <w:p w14:paraId="26E568AA" w14:textId="77777777" w:rsidR="00013078" w:rsidRPr="00650291" w:rsidRDefault="00013078" w:rsidP="00013078">
      <w:pPr>
        <w:jc w:val="both"/>
        <w:rPr>
          <w:rFonts w:asciiTheme="minorHAnsi" w:eastAsia="Calibri" w:hAnsiTheme="minorHAnsi"/>
        </w:rPr>
      </w:pPr>
    </w:p>
    <w:p w14:paraId="49ED0964" w14:textId="77777777" w:rsidR="00013078" w:rsidRPr="00650291" w:rsidRDefault="00013078" w:rsidP="00013078">
      <w:pPr>
        <w:jc w:val="both"/>
        <w:rPr>
          <w:rFonts w:asciiTheme="minorHAnsi" w:eastAsia="Calibri" w:hAnsiTheme="minorHAnsi"/>
        </w:rPr>
      </w:pPr>
      <w:r w:rsidRPr="00650291">
        <w:rPr>
          <w:rFonts w:asciiTheme="minorHAnsi" w:eastAsia="Calibri" w:hAnsiTheme="minorHAnsi"/>
        </w:rPr>
        <w:t xml:space="preserve">In the 2016-19 period a number of technical and structural changes at different exchange groups specifically impacted certain fee categories. Notably, in the period Euronext launched its new </w:t>
      </w:r>
      <w:proofErr w:type="spellStart"/>
      <w:r w:rsidRPr="00650291">
        <w:rPr>
          <w:rFonts w:asciiTheme="minorHAnsi" w:eastAsia="Calibri" w:hAnsiTheme="minorHAnsi"/>
        </w:rPr>
        <w:t>Optiq</w:t>
      </w:r>
      <w:proofErr w:type="spellEnd"/>
      <w:r w:rsidRPr="00650291">
        <w:rPr>
          <w:rFonts w:asciiTheme="minorHAnsi" w:eastAsia="Calibri" w:hAnsiTheme="minorHAnsi"/>
        </w:rPr>
        <w:t xml:space="preserve"> Market Data gateway during 2017. While, also in 2017, Deutsche Boerse launched the new Xetra Order by Order product. Furthermore, in 2019, Euronext completed its acquisition of the Irish Stock Exchange.</w:t>
      </w:r>
    </w:p>
    <w:p w14:paraId="258E0DAF" w14:textId="77777777" w:rsidR="00013078" w:rsidRPr="00650291" w:rsidRDefault="00013078" w:rsidP="00013078">
      <w:pPr>
        <w:jc w:val="both"/>
        <w:rPr>
          <w:rFonts w:asciiTheme="minorHAnsi" w:eastAsia="Calibri" w:hAnsiTheme="minorHAnsi"/>
        </w:rPr>
      </w:pPr>
    </w:p>
    <w:p w14:paraId="55AFA992" w14:textId="77777777" w:rsidR="00013078" w:rsidRPr="00650291" w:rsidRDefault="00013078" w:rsidP="00013078">
      <w:pPr>
        <w:jc w:val="both"/>
        <w:rPr>
          <w:rFonts w:asciiTheme="minorHAnsi" w:eastAsia="Calibri" w:hAnsiTheme="minorHAnsi"/>
        </w:rPr>
      </w:pPr>
      <w:r w:rsidRPr="00650291">
        <w:rPr>
          <w:rFonts w:asciiTheme="minorHAnsi" w:eastAsia="Calibri" w:hAnsiTheme="minorHAnsi"/>
        </w:rPr>
        <w:t xml:space="preserve">The data set can be further broken down to look at the relative impacts across different types of usage as well as by asset class, as per Tables 2-4 below: </w:t>
      </w:r>
    </w:p>
    <w:p w14:paraId="4F092C51" w14:textId="77777777" w:rsidR="00013078" w:rsidRPr="00650291" w:rsidRDefault="00013078" w:rsidP="00013078">
      <w:pPr>
        <w:jc w:val="both"/>
        <w:rPr>
          <w:rFonts w:asciiTheme="minorHAnsi" w:eastAsia="Calibri" w:hAnsiTheme="minorHAnsi"/>
        </w:rPr>
      </w:pPr>
    </w:p>
    <w:p w14:paraId="2DF5F6F2" w14:textId="77777777" w:rsidR="00013078" w:rsidRPr="00650291" w:rsidRDefault="00013078" w:rsidP="00013078">
      <w:pPr>
        <w:jc w:val="both"/>
        <w:rPr>
          <w:rFonts w:asciiTheme="minorHAnsi" w:eastAsia="Calibri" w:hAnsiTheme="minorHAnsi"/>
          <w:b/>
        </w:rPr>
      </w:pPr>
      <w:r w:rsidRPr="00650291">
        <w:rPr>
          <w:rFonts w:asciiTheme="minorHAnsi" w:eastAsia="Calibri" w:hAnsiTheme="minorHAnsi"/>
          <w:b/>
        </w:rPr>
        <w:t>Table 2 – Year-on-year market data spend linked to equities trading</w:t>
      </w:r>
    </w:p>
    <w:tbl>
      <w:tblPr>
        <w:tblW w:w="9583" w:type="dxa"/>
        <w:tblLook w:val="04A0" w:firstRow="1" w:lastRow="0" w:firstColumn="1" w:lastColumn="0" w:noHBand="0" w:noVBand="1"/>
      </w:tblPr>
      <w:tblGrid>
        <w:gridCol w:w="2778"/>
        <w:gridCol w:w="1361"/>
        <w:gridCol w:w="1361"/>
        <w:gridCol w:w="1361"/>
        <w:gridCol w:w="1361"/>
        <w:gridCol w:w="1361"/>
      </w:tblGrid>
      <w:tr w:rsidR="00013078" w:rsidRPr="00650291" w14:paraId="796FFBA4" w14:textId="77777777" w:rsidTr="00AE0577">
        <w:trPr>
          <w:trHeight w:val="315"/>
        </w:trPr>
        <w:tc>
          <w:tcPr>
            <w:tcW w:w="2778" w:type="dxa"/>
            <w:tcBorders>
              <w:top w:val="single" w:sz="8" w:space="0" w:color="auto"/>
              <w:left w:val="single" w:sz="8" w:space="0" w:color="auto"/>
              <w:bottom w:val="single" w:sz="8" w:space="0" w:color="auto"/>
              <w:right w:val="single" w:sz="4" w:space="0" w:color="auto"/>
            </w:tcBorders>
            <w:shd w:val="clear" w:color="000000" w:fill="44546A"/>
            <w:noWrap/>
            <w:vAlign w:val="bottom"/>
            <w:hideMark/>
          </w:tcPr>
          <w:p w14:paraId="500F5B62" w14:textId="77777777" w:rsidR="00013078" w:rsidRPr="006E7900" w:rsidRDefault="00013078" w:rsidP="00AE0577">
            <w:pPr>
              <w:jc w:val="both"/>
              <w:rPr>
                <w:rFonts w:asciiTheme="minorHAnsi" w:hAnsiTheme="minorHAnsi"/>
                <w:b/>
                <w:bCs/>
                <w:sz w:val="20"/>
                <w:szCs w:val="20"/>
              </w:rPr>
            </w:pPr>
            <w:r w:rsidRPr="006E7900">
              <w:rPr>
                <w:rFonts w:ascii="Calibri" w:hAnsi="Calibri"/>
                <w:b/>
                <w:bCs/>
              </w:rPr>
              <w:t>Exchange</w:t>
            </w:r>
          </w:p>
        </w:tc>
        <w:tc>
          <w:tcPr>
            <w:tcW w:w="1361" w:type="dxa"/>
            <w:tcBorders>
              <w:top w:val="single" w:sz="8" w:space="0" w:color="auto"/>
              <w:left w:val="nil"/>
              <w:bottom w:val="single" w:sz="8" w:space="0" w:color="auto"/>
              <w:right w:val="single" w:sz="4" w:space="0" w:color="auto"/>
            </w:tcBorders>
            <w:shd w:val="clear" w:color="000000" w:fill="44546A"/>
            <w:noWrap/>
            <w:vAlign w:val="bottom"/>
            <w:hideMark/>
          </w:tcPr>
          <w:p w14:paraId="7831A4A7" w14:textId="77777777" w:rsidR="00013078" w:rsidRPr="006E7900" w:rsidRDefault="00013078" w:rsidP="00AE0577">
            <w:pPr>
              <w:jc w:val="both"/>
              <w:rPr>
                <w:rFonts w:asciiTheme="minorHAnsi" w:hAnsiTheme="minorHAnsi"/>
                <w:b/>
                <w:bCs/>
                <w:sz w:val="20"/>
                <w:szCs w:val="20"/>
              </w:rPr>
            </w:pPr>
            <w:r w:rsidRPr="006E7900">
              <w:rPr>
                <w:rFonts w:ascii="Calibri" w:hAnsi="Calibri"/>
                <w:b/>
                <w:bCs/>
              </w:rPr>
              <w:t>Sum of 2016 Total in EUR</w:t>
            </w:r>
          </w:p>
        </w:tc>
        <w:tc>
          <w:tcPr>
            <w:tcW w:w="1361" w:type="dxa"/>
            <w:tcBorders>
              <w:top w:val="single" w:sz="8" w:space="0" w:color="auto"/>
              <w:left w:val="nil"/>
              <w:bottom w:val="single" w:sz="8" w:space="0" w:color="auto"/>
              <w:right w:val="single" w:sz="4" w:space="0" w:color="auto"/>
            </w:tcBorders>
            <w:shd w:val="clear" w:color="000000" w:fill="44546A"/>
            <w:noWrap/>
            <w:vAlign w:val="bottom"/>
            <w:hideMark/>
          </w:tcPr>
          <w:p w14:paraId="238683A5" w14:textId="77777777" w:rsidR="00013078" w:rsidRPr="006E7900" w:rsidRDefault="00013078" w:rsidP="00AE0577">
            <w:pPr>
              <w:jc w:val="both"/>
              <w:rPr>
                <w:rFonts w:asciiTheme="minorHAnsi" w:hAnsiTheme="minorHAnsi"/>
                <w:b/>
                <w:bCs/>
                <w:sz w:val="20"/>
                <w:szCs w:val="20"/>
              </w:rPr>
            </w:pPr>
            <w:r w:rsidRPr="006E7900">
              <w:rPr>
                <w:rFonts w:ascii="Calibri" w:hAnsi="Calibri"/>
                <w:b/>
                <w:bCs/>
              </w:rPr>
              <w:t>Sum of 2017 Total in EUR</w:t>
            </w:r>
          </w:p>
        </w:tc>
        <w:tc>
          <w:tcPr>
            <w:tcW w:w="1361" w:type="dxa"/>
            <w:tcBorders>
              <w:top w:val="single" w:sz="8" w:space="0" w:color="auto"/>
              <w:left w:val="nil"/>
              <w:bottom w:val="single" w:sz="8" w:space="0" w:color="auto"/>
              <w:right w:val="single" w:sz="4" w:space="0" w:color="auto"/>
            </w:tcBorders>
            <w:shd w:val="clear" w:color="000000" w:fill="44546A"/>
            <w:noWrap/>
            <w:vAlign w:val="bottom"/>
            <w:hideMark/>
          </w:tcPr>
          <w:p w14:paraId="7A7516D9" w14:textId="77777777" w:rsidR="00013078" w:rsidRPr="006E7900" w:rsidRDefault="00013078" w:rsidP="00AE0577">
            <w:pPr>
              <w:jc w:val="both"/>
              <w:rPr>
                <w:rFonts w:asciiTheme="minorHAnsi" w:hAnsiTheme="minorHAnsi"/>
                <w:b/>
                <w:bCs/>
                <w:sz w:val="20"/>
                <w:szCs w:val="20"/>
              </w:rPr>
            </w:pPr>
            <w:r w:rsidRPr="006E7900">
              <w:rPr>
                <w:rFonts w:ascii="Calibri" w:hAnsi="Calibri"/>
                <w:b/>
                <w:bCs/>
              </w:rPr>
              <w:t>Sum of 2018 Total in EUR</w:t>
            </w:r>
          </w:p>
        </w:tc>
        <w:tc>
          <w:tcPr>
            <w:tcW w:w="1361" w:type="dxa"/>
            <w:tcBorders>
              <w:top w:val="single" w:sz="8" w:space="0" w:color="auto"/>
              <w:left w:val="nil"/>
              <w:bottom w:val="single" w:sz="8" w:space="0" w:color="auto"/>
              <w:right w:val="nil"/>
            </w:tcBorders>
            <w:shd w:val="clear" w:color="000000" w:fill="44546A"/>
            <w:noWrap/>
            <w:vAlign w:val="bottom"/>
            <w:hideMark/>
          </w:tcPr>
          <w:p w14:paraId="78FA6EBA" w14:textId="77777777" w:rsidR="00013078" w:rsidRPr="006E7900" w:rsidRDefault="00013078" w:rsidP="00AE0577">
            <w:pPr>
              <w:jc w:val="both"/>
              <w:rPr>
                <w:rFonts w:asciiTheme="minorHAnsi" w:hAnsiTheme="minorHAnsi"/>
                <w:b/>
                <w:bCs/>
                <w:sz w:val="20"/>
                <w:szCs w:val="20"/>
              </w:rPr>
            </w:pPr>
            <w:r w:rsidRPr="006E7900">
              <w:rPr>
                <w:rFonts w:ascii="Calibri" w:hAnsi="Calibri"/>
                <w:b/>
                <w:bCs/>
              </w:rPr>
              <w:t>Sum of 2019 Total in EUR</w:t>
            </w:r>
          </w:p>
        </w:tc>
        <w:tc>
          <w:tcPr>
            <w:tcW w:w="1361" w:type="dxa"/>
            <w:tcBorders>
              <w:top w:val="single" w:sz="8" w:space="0" w:color="auto"/>
              <w:left w:val="single" w:sz="8" w:space="0" w:color="auto"/>
              <w:bottom w:val="single" w:sz="8" w:space="0" w:color="auto"/>
              <w:right w:val="single" w:sz="8" w:space="0" w:color="auto"/>
            </w:tcBorders>
            <w:shd w:val="clear" w:color="000000" w:fill="44546A"/>
            <w:noWrap/>
            <w:vAlign w:val="bottom"/>
            <w:hideMark/>
          </w:tcPr>
          <w:p w14:paraId="3A76C4FD" w14:textId="77777777" w:rsidR="00013078" w:rsidRPr="006E7900" w:rsidRDefault="00013078" w:rsidP="00AE0577">
            <w:pPr>
              <w:jc w:val="both"/>
              <w:rPr>
                <w:rFonts w:asciiTheme="minorHAnsi" w:hAnsiTheme="minorHAnsi"/>
                <w:b/>
                <w:bCs/>
                <w:sz w:val="20"/>
                <w:szCs w:val="20"/>
              </w:rPr>
            </w:pPr>
            <w:r w:rsidRPr="006E7900">
              <w:rPr>
                <w:rFonts w:ascii="Calibri" w:hAnsi="Calibri"/>
                <w:b/>
                <w:bCs/>
              </w:rPr>
              <w:t>% Change 2016-19</w:t>
            </w:r>
          </w:p>
        </w:tc>
      </w:tr>
      <w:tr w:rsidR="00013078" w:rsidRPr="00650291" w14:paraId="4D8F65F8" w14:textId="77777777" w:rsidTr="00AE0577">
        <w:trPr>
          <w:trHeight w:val="300"/>
        </w:trPr>
        <w:tc>
          <w:tcPr>
            <w:tcW w:w="2778" w:type="dxa"/>
            <w:tcBorders>
              <w:top w:val="nil"/>
              <w:left w:val="single" w:sz="8" w:space="0" w:color="auto"/>
              <w:bottom w:val="single" w:sz="4" w:space="0" w:color="auto"/>
              <w:right w:val="single" w:sz="4" w:space="0" w:color="auto"/>
            </w:tcBorders>
            <w:shd w:val="clear" w:color="auto" w:fill="auto"/>
            <w:noWrap/>
            <w:vAlign w:val="bottom"/>
            <w:hideMark/>
          </w:tcPr>
          <w:p w14:paraId="5815CBB2" w14:textId="77777777" w:rsidR="00013078" w:rsidRPr="00650291" w:rsidRDefault="00013078" w:rsidP="00AE0577">
            <w:pPr>
              <w:jc w:val="both"/>
              <w:rPr>
                <w:rFonts w:asciiTheme="minorHAnsi" w:hAnsiTheme="minorHAnsi"/>
                <w:color w:val="000000"/>
                <w:sz w:val="20"/>
                <w:szCs w:val="20"/>
              </w:rPr>
            </w:pPr>
            <w:proofErr w:type="spellStart"/>
            <w:r>
              <w:rPr>
                <w:rFonts w:ascii="Calibri" w:hAnsi="Calibri"/>
                <w:color w:val="000000"/>
              </w:rPr>
              <w:t>Bolsas</w:t>
            </w:r>
            <w:proofErr w:type="spellEnd"/>
            <w:r>
              <w:rPr>
                <w:rFonts w:ascii="Calibri" w:hAnsi="Calibri"/>
                <w:color w:val="000000"/>
              </w:rPr>
              <w:t xml:space="preserve"> y Mercado </w:t>
            </w:r>
            <w:proofErr w:type="spellStart"/>
            <w:r>
              <w:rPr>
                <w:rFonts w:ascii="Calibri" w:hAnsi="Calibri"/>
                <w:color w:val="000000"/>
              </w:rPr>
              <w:t>Espanoles</w:t>
            </w:r>
            <w:proofErr w:type="spellEnd"/>
          </w:p>
        </w:tc>
        <w:tc>
          <w:tcPr>
            <w:tcW w:w="1361" w:type="dxa"/>
            <w:tcBorders>
              <w:top w:val="nil"/>
              <w:left w:val="nil"/>
              <w:bottom w:val="single" w:sz="4" w:space="0" w:color="auto"/>
              <w:right w:val="single" w:sz="4" w:space="0" w:color="auto"/>
            </w:tcBorders>
            <w:shd w:val="clear" w:color="auto" w:fill="auto"/>
            <w:noWrap/>
            <w:vAlign w:val="bottom"/>
            <w:hideMark/>
          </w:tcPr>
          <w:p w14:paraId="57345516" w14:textId="77777777" w:rsidR="00013078" w:rsidRPr="00650291" w:rsidRDefault="00013078" w:rsidP="00AE0577">
            <w:pPr>
              <w:jc w:val="right"/>
              <w:rPr>
                <w:rFonts w:asciiTheme="minorHAnsi" w:hAnsiTheme="minorHAnsi"/>
                <w:color w:val="000000"/>
                <w:sz w:val="20"/>
                <w:szCs w:val="20"/>
              </w:rPr>
            </w:pPr>
            <w:r>
              <w:rPr>
                <w:rFonts w:ascii="Calibri" w:hAnsi="Calibri"/>
                <w:color w:val="000000"/>
              </w:rPr>
              <w:t>66,576</w:t>
            </w:r>
          </w:p>
        </w:tc>
        <w:tc>
          <w:tcPr>
            <w:tcW w:w="1361" w:type="dxa"/>
            <w:tcBorders>
              <w:top w:val="nil"/>
              <w:left w:val="nil"/>
              <w:bottom w:val="single" w:sz="4" w:space="0" w:color="auto"/>
              <w:right w:val="single" w:sz="4" w:space="0" w:color="auto"/>
            </w:tcBorders>
            <w:shd w:val="clear" w:color="auto" w:fill="auto"/>
            <w:noWrap/>
            <w:vAlign w:val="bottom"/>
            <w:hideMark/>
          </w:tcPr>
          <w:p w14:paraId="0DB11CA4" w14:textId="77777777" w:rsidR="00013078" w:rsidRPr="00650291" w:rsidRDefault="00013078" w:rsidP="00AE0577">
            <w:pPr>
              <w:jc w:val="right"/>
              <w:rPr>
                <w:rFonts w:asciiTheme="minorHAnsi" w:hAnsiTheme="minorHAnsi"/>
                <w:color w:val="000000"/>
                <w:sz w:val="20"/>
                <w:szCs w:val="20"/>
              </w:rPr>
            </w:pPr>
            <w:r>
              <w:rPr>
                <w:rFonts w:ascii="Calibri" w:hAnsi="Calibri"/>
                <w:color w:val="000000"/>
              </w:rPr>
              <w:t>66,576</w:t>
            </w:r>
          </w:p>
        </w:tc>
        <w:tc>
          <w:tcPr>
            <w:tcW w:w="1361" w:type="dxa"/>
            <w:tcBorders>
              <w:top w:val="nil"/>
              <w:left w:val="nil"/>
              <w:bottom w:val="single" w:sz="4" w:space="0" w:color="auto"/>
              <w:right w:val="single" w:sz="4" w:space="0" w:color="auto"/>
            </w:tcBorders>
            <w:shd w:val="clear" w:color="auto" w:fill="auto"/>
            <w:noWrap/>
            <w:vAlign w:val="bottom"/>
            <w:hideMark/>
          </w:tcPr>
          <w:p w14:paraId="5EA4656A" w14:textId="77777777" w:rsidR="00013078" w:rsidRPr="00650291" w:rsidRDefault="00013078" w:rsidP="00AE0577">
            <w:pPr>
              <w:jc w:val="right"/>
              <w:rPr>
                <w:rFonts w:asciiTheme="minorHAnsi" w:hAnsiTheme="minorHAnsi"/>
                <w:color w:val="000000"/>
                <w:sz w:val="20"/>
                <w:szCs w:val="20"/>
              </w:rPr>
            </w:pPr>
            <w:r>
              <w:rPr>
                <w:rFonts w:ascii="Calibri" w:hAnsi="Calibri"/>
                <w:color w:val="000000"/>
              </w:rPr>
              <w:t>68,760</w:t>
            </w:r>
          </w:p>
        </w:tc>
        <w:tc>
          <w:tcPr>
            <w:tcW w:w="1361" w:type="dxa"/>
            <w:tcBorders>
              <w:top w:val="nil"/>
              <w:left w:val="nil"/>
              <w:bottom w:val="single" w:sz="4" w:space="0" w:color="auto"/>
              <w:right w:val="nil"/>
            </w:tcBorders>
            <w:shd w:val="clear" w:color="auto" w:fill="auto"/>
            <w:noWrap/>
            <w:vAlign w:val="bottom"/>
            <w:hideMark/>
          </w:tcPr>
          <w:p w14:paraId="63D3894B" w14:textId="77777777" w:rsidR="00013078" w:rsidRPr="00650291" w:rsidRDefault="00013078" w:rsidP="00AE0577">
            <w:pPr>
              <w:jc w:val="right"/>
              <w:rPr>
                <w:rFonts w:asciiTheme="minorHAnsi" w:hAnsiTheme="minorHAnsi"/>
                <w:color w:val="000000"/>
                <w:sz w:val="20"/>
                <w:szCs w:val="20"/>
              </w:rPr>
            </w:pPr>
            <w:r>
              <w:rPr>
                <w:rFonts w:ascii="Calibri" w:hAnsi="Calibri"/>
                <w:color w:val="000000"/>
              </w:rPr>
              <w:t>68,760</w:t>
            </w:r>
          </w:p>
        </w:tc>
        <w:tc>
          <w:tcPr>
            <w:tcW w:w="1361" w:type="dxa"/>
            <w:tcBorders>
              <w:top w:val="nil"/>
              <w:left w:val="single" w:sz="8" w:space="0" w:color="auto"/>
              <w:bottom w:val="single" w:sz="4" w:space="0" w:color="auto"/>
              <w:right w:val="single" w:sz="8" w:space="0" w:color="auto"/>
            </w:tcBorders>
            <w:shd w:val="clear" w:color="000000" w:fill="DDEBF7"/>
            <w:noWrap/>
            <w:vAlign w:val="bottom"/>
            <w:hideMark/>
          </w:tcPr>
          <w:p w14:paraId="4546F0C4" w14:textId="77777777" w:rsidR="00013078" w:rsidRPr="00650291" w:rsidRDefault="00013078" w:rsidP="00AE0577">
            <w:pPr>
              <w:jc w:val="right"/>
              <w:rPr>
                <w:rFonts w:asciiTheme="minorHAnsi" w:hAnsiTheme="minorHAnsi"/>
                <w:b/>
                <w:bCs/>
                <w:color w:val="000000"/>
                <w:sz w:val="20"/>
                <w:szCs w:val="20"/>
              </w:rPr>
            </w:pPr>
            <w:r>
              <w:rPr>
                <w:rFonts w:ascii="Calibri" w:hAnsi="Calibri"/>
                <w:b/>
                <w:bCs/>
                <w:color w:val="000000"/>
              </w:rPr>
              <w:t>3%</w:t>
            </w:r>
          </w:p>
        </w:tc>
      </w:tr>
      <w:tr w:rsidR="00013078" w:rsidRPr="00650291" w14:paraId="17A8523F" w14:textId="77777777" w:rsidTr="00AE0577">
        <w:trPr>
          <w:trHeight w:val="300"/>
        </w:trPr>
        <w:tc>
          <w:tcPr>
            <w:tcW w:w="2778" w:type="dxa"/>
            <w:tcBorders>
              <w:top w:val="nil"/>
              <w:left w:val="single" w:sz="8" w:space="0" w:color="auto"/>
              <w:bottom w:val="single" w:sz="4" w:space="0" w:color="auto"/>
              <w:right w:val="single" w:sz="4" w:space="0" w:color="auto"/>
            </w:tcBorders>
            <w:shd w:val="clear" w:color="auto" w:fill="auto"/>
            <w:noWrap/>
            <w:vAlign w:val="bottom"/>
            <w:hideMark/>
          </w:tcPr>
          <w:p w14:paraId="1147C1F9" w14:textId="77777777" w:rsidR="00013078" w:rsidRPr="00650291" w:rsidRDefault="00013078" w:rsidP="00AE0577">
            <w:pPr>
              <w:jc w:val="both"/>
              <w:rPr>
                <w:rFonts w:asciiTheme="minorHAnsi" w:hAnsiTheme="minorHAnsi"/>
                <w:color w:val="000000"/>
                <w:sz w:val="20"/>
                <w:szCs w:val="20"/>
              </w:rPr>
            </w:pPr>
            <w:proofErr w:type="spellStart"/>
            <w:r>
              <w:rPr>
                <w:rFonts w:ascii="Calibri" w:hAnsi="Calibri"/>
                <w:color w:val="000000"/>
              </w:rPr>
              <w:t>Borsa</w:t>
            </w:r>
            <w:proofErr w:type="spellEnd"/>
            <w:r>
              <w:rPr>
                <w:rFonts w:ascii="Calibri" w:hAnsi="Calibri"/>
                <w:color w:val="000000"/>
              </w:rPr>
              <w:t xml:space="preserve"> </w:t>
            </w:r>
            <w:proofErr w:type="spellStart"/>
            <w:r>
              <w:rPr>
                <w:rFonts w:ascii="Calibri" w:hAnsi="Calibri"/>
                <w:color w:val="000000"/>
              </w:rPr>
              <w:t>Italiana</w:t>
            </w:r>
            <w:proofErr w:type="spellEnd"/>
          </w:p>
        </w:tc>
        <w:tc>
          <w:tcPr>
            <w:tcW w:w="1361" w:type="dxa"/>
            <w:tcBorders>
              <w:top w:val="nil"/>
              <w:left w:val="nil"/>
              <w:bottom w:val="single" w:sz="4" w:space="0" w:color="auto"/>
              <w:right w:val="single" w:sz="4" w:space="0" w:color="auto"/>
            </w:tcBorders>
            <w:shd w:val="clear" w:color="auto" w:fill="auto"/>
            <w:noWrap/>
            <w:vAlign w:val="bottom"/>
            <w:hideMark/>
          </w:tcPr>
          <w:p w14:paraId="08E92FFF" w14:textId="77777777" w:rsidR="00013078" w:rsidRPr="00650291" w:rsidRDefault="00013078" w:rsidP="00AE0577">
            <w:pPr>
              <w:jc w:val="right"/>
              <w:rPr>
                <w:rFonts w:asciiTheme="minorHAnsi" w:hAnsiTheme="minorHAnsi"/>
                <w:color w:val="000000"/>
                <w:sz w:val="20"/>
                <w:szCs w:val="20"/>
              </w:rPr>
            </w:pPr>
            <w:r>
              <w:rPr>
                <w:rFonts w:ascii="Calibri" w:hAnsi="Calibri"/>
                <w:color w:val="000000"/>
              </w:rPr>
              <w:t>65,830</w:t>
            </w:r>
          </w:p>
        </w:tc>
        <w:tc>
          <w:tcPr>
            <w:tcW w:w="1361" w:type="dxa"/>
            <w:tcBorders>
              <w:top w:val="nil"/>
              <w:left w:val="nil"/>
              <w:bottom w:val="single" w:sz="4" w:space="0" w:color="auto"/>
              <w:right w:val="single" w:sz="4" w:space="0" w:color="auto"/>
            </w:tcBorders>
            <w:shd w:val="clear" w:color="auto" w:fill="auto"/>
            <w:noWrap/>
            <w:vAlign w:val="bottom"/>
            <w:hideMark/>
          </w:tcPr>
          <w:p w14:paraId="74E30880" w14:textId="77777777" w:rsidR="00013078" w:rsidRPr="00650291" w:rsidRDefault="00013078" w:rsidP="00AE0577">
            <w:pPr>
              <w:jc w:val="right"/>
              <w:rPr>
                <w:rFonts w:asciiTheme="minorHAnsi" w:hAnsiTheme="minorHAnsi"/>
                <w:color w:val="000000"/>
                <w:sz w:val="20"/>
                <w:szCs w:val="20"/>
              </w:rPr>
            </w:pPr>
            <w:r>
              <w:rPr>
                <w:rFonts w:ascii="Calibri" w:hAnsi="Calibri"/>
                <w:color w:val="000000"/>
              </w:rPr>
              <w:t>71,092</w:t>
            </w:r>
          </w:p>
        </w:tc>
        <w:tc>
          <w:tcPr>
            <w:tcW w:w="1361" w:type="dxa"/>
            <w:tcBorders>
              <w:top w:val="nil"/>
              <w:left w:val="nil"/>
              <w:bottom w:val="single" w:sz="4" w:space="0" w:color="auto"/>
              <w:right w:val="single" w:sz="4" w:space="0" w:color="auto"/>
            </w:tcBorders>
            <w:shd w:val="clear" w:color="auto" w:fill="auto"/>
            <w:noWrap/>
            <w:vAlign w:val="bottom"/>
            <w:hideMark/>
          </w:tcPr>
          <w:p w14:paraId="44C9FF8D" w14:textId="77777777" w:rsidR="00013078" w:rsidRPr="00650291" w:rsidRDefault="00013078" w:rsidP="00AE0577">
            <w:pPr>
              <w:jc w:val="right"/>
              <w:rPr>
                <w:rFonts w:asciiTheme="minorHAnsi" w:hAnsiTheme="minorHAnsi"/>
                <w:color w:val="000000"/>
                <w:sz w:val="20"/>
                <w:szCs w:val="20"/>
              </w:rPr>
            </w:pPr>
            <w:r>
              <w:rPr>
                <w:rFonts w:ascii="Calibri" w:hAnsi="Calibri"/>
                <w:color w:val="000000"/>
              </w:rPr>
              <w:t>71,092</w:t>
            </w:r>
          </w:p>
        </w:tc>
        <w:tc>
          <w:tcPr>
            <w:tcW w:w="1361" w:type="dxa"/>
            <w:tcBorders>
              <w:top w:val="nil"/>
              <w:left w:val="nil"/>
              <w:bottom w:val="single" w:sz="4" w:space="0" w:color="auto"/>
              <w:right w:val="nil"/>
            </w:tcBorders>
            <w:shd w:val="clear" w:color="auto" w:fill="auto"/>
            <w:noWrap/>
            <w:vAlign w:val="bottom"/>
            <w:hideMark/>
          </w:tcPr>
          <w:p w14:paraId="145D912D" w14:textId="77777777" w:rsidR="00013078" w:rsidRPr="00650291" w:rsidRDefault="00013078" w:rsidP="00AE0577">
            <w:pPr>
              <w:jc w:val="right"/>
              <w:rPr>
                <w:rFonts w:asciiTheme="minorHAnsi" w:hAnsiTheme="minorHAnsi"/>
                <w:color w:val="000000"/>
                <w:sz w:val="20"/>
                <w:szCs w:val="20"/>
              </w:rPr>
            </w:pPr>
            <w:r>
              <w:rPr>
                <w:rFonts w:ascii="Calibri" w:hAnsi="Calibri"/>
                <w:color w:val="000000"/>
              </w:rPr>
              <w:t>71,430</w:t>
            </w:r>
          </w:p>
        </w:tc>
        <w:tc>
          <w:tcPr>
            <w:tcW w:w="1361" w:type="dxa"/>
            <w:tcBorders>
              <w:top w:val="nil"/>
              <w:left w:val="single" w:sz="8" w:space="0" w:color="auto"/>
              <w:bottom w:val="single" w:sz="4" w:space="0" w:color="auto"/>
              <w:right w:val="single" w:sz="8" w:space="0" w:color="auto"/>
            </w:tcBorders>
            <w:shd w:val="clear" w:color="000000" w:fill="DDEBF7"/>
            <w:noWrap/>
            <w:vAlign w:val="bottom"/>
            <w:hideMark/>
          </w:tcPr>
          <w:p w14:paraId="649733BA" w14:textId="77777777" w:rsidR="00013078" w:rsidRPr="00650291" w:rsidRDefault="00013078" w:rsidP="00AE0577">
            <w:pPr>
              <w:jc w:val="right"/>
              <w:rPr>
                <w:rFonts w:asciiTheme="minorHAnsi" w:hAnsiTheme="minorHAnsi"/>
                <w:b/>
                <w:bCs/>
                <w:color w:val="000000"/>
                <w:sz w:val="20"/>
                <w:szCs w:val="20"/>
              </w:rPr>
            </w:pPr>
            <w:r>
              <w:rPr>
                <w:rFonts w:ascii="Calibri" w:hAnsi="Calibri"/>
                <w:b/>
                <w:bCs/>
                <w:color w:val="000000"/>
              </w:rPr>
              <w:t>9%</w:t>
            </w:r>
          </w:p>
        </w:tc>
      </w:tr>
      <w:tr w:rsidR="00013078" w:rsidRPr="00650291" w14:paraId="04B0A0B9" w14:textId="77777777" w:rsidTr="00AE0577">
        <w:trPr>
          <w:trHeight w:val="300"/>
        </w:trPr>
        <w:tc>
          <w:tcPr>
            <w:tcW w:w="2778" w:type="dxa"/>
            <w:tcBorders>
              <w:top w:val="nil"/>
              <w:left w:val="single" w:sz="8" w:space="0" w:color="auto"/>
              <w:bottom w:val="single" w:sz="4" w:space="0" w:color="auto"/>
              <w:right w:val="single" w:sz="4" w:space="0" w:color="auto"/>
            </w:tcBorders>
            <w:shd w:val="clear" w:color="auto" w:fill="auto"/>
            <w:noWrap/>
            <w:vAlign w:val="bottom"/>
            <w:hideMark/>
          </w:tcPr>
          <w:p w14:paraId="2F67EF0A" w14:textId="77777777" w:rsidR="00013078" w:rsidRPr="00650291" w:rsidRDefault="00013078" w:rsidP="00AE0577">
            <w:pPr>
              <w:jc w:val="both"/>
              <w:rPr>
                <w:rFonts w:asciiTheme="minorHAnsi" w:hAnsiTheme="minorHAnsi"/>
                <w:color w:val="000000"/>
                <w:sz w:val="20"/>
                <w:szCs w:val="20"/>
              </w:rPr>
            </w:pPr>
            <w:proofErr w:type="spellStart"/>
            <w:r>
              <w:rPr>
                <w:rFonts w:ascii="Calibri" w:hAnsi="Calibri"/>
                <w:color w:val="000000"/>
              </w:rPr>
              <w:t>Cboe</w:t>
            </w:r>
            <w:proofErr w:type="spellEnd"/>
            <w:r>
              <w:rPr>
                <w:rFonts w:ascii="Calibri" w:hAnsi="Calibri"/>
                <w:color w:val="000000"/>
              </w:rPr>
              <w:t xml:space="preserve"> Europe</w:t>
            </w:r>
          </w:p>
        </w:tc>
        <w:tc>
          <w:tcPr>
            <w:tcW w:w="1361" w:type="dxa"/>
            <w:tcBorders>
              <w:top w:val="nil"/>
              <w:left w:val="nil"/>
              <w:bottom w:val="single" w:sz="4" w:space="0" w:color="auto"/>
              <w:right w:val="single" w:sz="4" w:space="0" w:color="auto"/>
            </w:tcBorders>
            <w:shd w:val="clear" w:color="auto" w:fill="auto"/>
            <w:noWrap/>
            <w:vAlign w:val="bottom"/>
            <w:hideMark/>
          </w:tcPr>
          <w:p w14:paraId="414A164B" w14:textId="77777777" w:rsidR="00013078" w:rsidRPr="00650291" w:rsidRDefault="00013078" w:rsidP="00AE0577">
            <w:pPr>
              <w:jc w:val="right"/>
              <w:rPr>
                <w:rFonts w:asciiTheme="minorHAnsi" w:hAnsiTheme="minorHAnsi"/>
                <w:color w:val="000000"/>
                <w:sz w:val="20"/>
                <w:szCs w:val="20"/>
              </w:rPr>
            </w:pPr>
            <w:r>
              <w:rPr>
                <w:rFonts w:ascii="Calibri" w:hAnsi="Calibri"/>
                <w:color w:val="000000"/>
              </w:rPr>
              <w:t>31,483</w:t>
            </w:r>
          </w:p>
        </w:tc>
        <w:tc>
          <w:tcPr>
            <w:tcW w:w="1361" w:type="dxa"/>
            <w:tcBorders>
              <w:top w:val="nil"/>
              <w:left w:val="nil"/>
              <w:bottom w:val="single" w:sz="4" w:space="0" w:color="auto"/>
              <w:right w:val="single" w:sz="4" w:space="0" w:color="auto"/>
            </w:tcBorders>
            <w:shd w:val="clear" w:color="auto" w:fill="auto"/>
            <w:noWrap/>
            <w:vAlign w:val="bottom"/>
            <w:hideMark/>
          </w:tcPr>
          <w:p w14:paraId="524615E9" w14:textId="77777777" w:rsidR="00013078" w:rsidRPr="00650291" w:rsidRDefault="00013078" w:rsidP="00AE0577">
            <w:pPr>
              <w:jc w:val="right"/>
              <w:rPr>
                <w:rFonts w:asciiTheme="minorHAnsi" w:hAnsiTheme="minorHAnsi"/>
                <w:color w:val="000000"/>
                <w:sz w:val="20"/>
                <w:szCs w:val="20"/>
              </w:rPr>
            </w:pPr>
            <w:r>
              <w:rPr>
                <w:rFonts w:ascii="Calibri" w:hAnsi="Calibri"/>
                <w:color w:val="000000"/>
              </w:rPr>
              <w:t>44,760</w:t>
            </w:r>
          </w:p>
        </w:tc>
        <w:tc>
          <w:tcPr>
            <w:tcW w:w="1361" w:type="dxa"/>
            <w:tcBorders>
              <w:top w:val="nil"/>
              <w:left w:val="nil"/>
              <w:bottom w:val="single" w:sz="4" w:space="0" w:color="auto"/>
              <w:right w:val="single" w:sz="4" w:space="0" w:color="auto"/>
            </w:tcBorders>
            <w:shd w:val="clear" w:color="auto" w:fill="auto"/>
            <w:noWrap/>
            <w:vAlign w:val="bottom"/>
            <w:hideMark/>
          </w:tcPr>
          <w:p w14:paraId="65C35D3D" w14:textId="77777777" w:rsidR="00013078" w:rsidRPr="00650291" w:rsidRDefault="00013078" w:rsidP="00AE0577">
            <w:pPr>
              <w:jc w:val="right"/>
              <w:rPr>
                <w:rFonts w:asciiTheme="minorHAnsi" w:hAnsiTheme="minorHAnsi"/>
                <w:color w:val="000000"/>
                <w:sz w:val="20"/>
                <w:szCs w:val="20"/>
              </w:rPr>
            </w:pPr>
            <w:r>
              <w:rPr>
                <w:rFonts w:ascii="Calibri" w:hAnsi="Calibri"/>
                <w:color w:val="000000"/>
              </w:rPr>
              <w:t>45,303</w:t>
            </w:r>
          </w:p>
        </w:tc>
        <w:tc>
          <w:tcPr>
            <w:tcW w:w="1361" w:type="dxa"/>
            <w:tcBorders>
              <w:top w:val="nil"/>
              <w:left w:val="nil"/>
              <w:bottom w:val="single" w:sz="4" w:space="0" w:color="auto"/>
              <w:right w:val="nil"/>
            </w:tcBorders>
            <w:shd w:val="clear" w:color="auto" w:fill="auto"/>
            <w:noWrap/>
            <w:vAlign w:val="bottom"/>
            <w:hideMark/>
          </w:tcPr>
          <w:p w14:paraId="12DCE5F3" w14:textId="77777777" w:rsidR="00013078" w:rsidRPr="00650291" w:rsidRDefault="00013078" w:rsidP="00AE0577">
            <w:pPr>
              <w:jc w:val="right"/>
              <w:rPr>
                <w:rFonts w:asciiTheme="minorHAnsi" w:hAnsiTheme="minorHAnsi"/>
                <w:color w:val="000000"/>
                <w:sz w:val="20"/>
                <w:szCs w:val="20"/>
              </w:rPr>
            </w:pPr>
            <w:r>
              <w:rPr>
                <w:rFonts w:ascii="Calibri" w:hAnsi="Calibri"/>
                <w:color w:val="000000"/>
              </w:rPr>
              <w:t>49,085</w:t>
            </w:r>
          </w:p>
        </w:tc>
        <w:tc>
          <w:tcPr>
            <w:tcW w:w="1361" w:type="dxa"/>
            <w:tcBorders>
              <w:top w:val="nil"/>
              <w:left w:val="single" w:sz="8" w:space="0" w:color="auto"/>
              <w:bottom w:val="single" w:sz="4" w:space="0" w:color="auto"/>
              <w:right w:val="single" w:sz="8" w:space="0" w:color="auto"/>
            </w:tcBorders>
            <w:shd w:val="clear" w:color="000000" w:fill="DDEBF7"/>
            <w:noWrap/>
            <w:vAlign w:val="bottom"/>
            <w:hideMark/>
          </w:tcPr>
          <w:p w14:paraId="3F6E4743" w14:textId="77777777" w:rsidR="00013078" w:rsidRPr="00650291" w:rsidRDefault="00013078" w:rsidP="00AE0577">
            <w:pPr>
              <w:jc w:val="right"/>
              <w:rPr>
                <w:rFonts w:asciiTheme="minorHAnsi" w:hAnsiTheme="minorHAnsi"/>
                <w:b/>
                <w:bCs/>
                <w:color w:val="000000"/>
                <w:sz w:val="20"/>
                <w:szCs w:val="20"/>
              </w:rPr>
            </w:pPr>
            <w:r>
              <w:rPr>
                <w:rFonts w:ascii="Calibri" w:hAnsi="Calibri"/>
                <w:b/>
                <w:bCs/>
                <w:color w:val="000000"/>
              </w:rPr>
              <w:t>56%</w:t>
            </w:r>
          </w:p>
        </w:tc>
      </w:tr>
      <w:tr w:rsidR="00013078" w:rsidRPr="00650291" w14:paraId="23F8B03A" w14:textId="77777777" w:rsidTr="00AE0577">
        <w:trPr>
          <w:trHeight w:val="300"/>
        </w:trPr>
        <w:tc>
          <w:tcPr>
            <w:tcW w:w="2778" w:type="dxa"/>
            <w:tcBorders>
              <w:top w:val="nil"/>
              <w:left w:val="single" w:sz="8" w:space="0" w:color="auto"/>
              <w:bottom w:val="single" w:sz="4" w:space="0" w:color="auto"/>
              <w:right w:val="single" w:sz="4" w:space="0" w:color="auto"/>
            </w:tcBorders>
            <w:shd w:val="clear" w:color="auto" w:fill="auto"/>
            <w:noWrap/>
            <w:vAlign w:val="bottom"/>
            <w:hideMark/>
          </w:tcPr>
          <w:p w14:paraId="07128259" w14:textId="2960BB80" w:rsidR="00013078" w:rsidRPr="00650291" w:rsidRDefault="00013078" w:rsidP="00AE0577">
            <w:pPr>
              <w:jc w:val="both"/>
              <w:rPr>
                <w:rFonts w:asciiTheme="minorHAnsi" w:hAnsiTheme="minorHAnsi"/>
                <w:color w:val="000000"/>
                <w:sz w:val="20"/>
                <w:szCs w:val="20"/>
              </w:rPr>
            </w:pPr>
            <w:r>
              <w:rPr>
                <w:rFonts w:ascii="Calibri" w:hAnsi="Calibri"/>
                <w:color w:val="000000"/>
              </w:rPr>
              <w:t xml:space="preserve">Deutsche </w:t>
            </w:r>
            <w:r w:rsidR="00492E53">
              <w:rPr>
                <w:rFonts w:ascii="Calibri" w:hAnsi="Calibri"/>
                <w:color w:val="000000"/>
              </w:rPr>
              <w:t>Boerse</w:t>
            </w:r>
          </w:p>
        </w:tc>
        <w:tc>
          <w:tcPr>
            <w:tcW w:w="1361" w:type="dxa"/>
            <w:tcBorders>
              <w:top w:val="nil"/>
              <w:left w:val="nil"/>
              <w:bottom w:val="single" w:sz="4" w:space="0" w:color="auto"/>
              <w:right w:val="single" w:sz="4" w:space="0" w:color="auto"/>
            </w:tcBorders>
            <w:shd w:val="clear" w:color="auto" w:fill="auto"/>
            <w:noWrap/>
            <w:vAlign w:val="bottom"/>
            <w:hideMark/>
          </w:tcPr>
          <w:p w14:paraId="6C1F3917" w14:textId="77777777" w:rsidR="00013078" w:rsidRPr="00650291" w:rsidRDefault="00013078" w:rsidP="00AE0577">
            <w:pPr>
              <w:jc w:val="right"/>
              <w:rPr>
                <w:rFonts w:asciiTheme="minorHAnsi" w:hAnsiTheme="minorHAnsi"/>
                <w:color w:val="000000"/>
                <w:sz w:val="20"/>
                <w:szCs w:val="20"/>
              </w:rPr>
            </w:pPr>
            <w:r>
              <w:rPr>
                <w:rFonts w:ascii="Calibri" w:hAnsi="Calibri"/>
                <w:color w:val="000000"/>
              </w:rPr>
              <w:t>30,678</w:t>
            </w:r>
          </w:p>
        </w:tc>
        <w:tc>
          <w:tcPr>
            <w:tcW w:w="1361" w:type="dxa"/>
            <w:tcBorders>
              <w:top w:val="nil"/>
              <w:left w:val="nil"/>
              <w:bottom w:val="single" w:sz="4" w:space="0" w:color="auto"/>
              <w:right w:val="single" w:sz="4" w:space="0" w:color="auto"/>
            </w:tcBorders>
            <w:shd w:val="clear" w:color="auto" w:fill="auto"/>
            <w:noWrap/>
            <w:vAlign w:val="bottom"/>
            <w:hideMark/>
          </w:tcPr>
          <w:p w14:paraId="04DE205E" w14:textId="77777777" w:rsidR="00013078" w:rsidRPr="00650291" w:rsidRDefault="00013078" w:rsidP="00AE0577">
            <w:pPr>
              <w:jc w:val="right"/>
              <w:rPr>
                <w:rFonts w:asciiTheme="minorHAnsi" w:hAnsiTheme="minorHAnsi"/>
                <w:color w:val="000000"/>
                <w:sz w:val="20"/>
                <w:szCs w:val="20"/>
              </w:rPr>
            </w:pPr>
            <w:r>
              <w:rPr>
                <w:rFonts w:ascii="Calibri" w:hAnsi="Calibri"/>
                <w:color w:val="000000"/>
              </w:rPr>
              <w:t>51,391</w:t>
            </w:r>
          </w:p>
        </w:tc>
        <w:tc>
          <w:tcPr>
            <w:tcW w:w="1361" w:type="dxa"/>
            <w:tcBorders>
              <w:top w:val="nil"/>
              <w:left w:val="nil"/>
              <w:bottom w:val="single" w:sz="4" w:space="0" w:color="auto"/>
              <w:right w:val="single" w:sz="4" w:space="0" w:color="auto"/>
            </w:tcBorders>
            <w:shd w:val="clear" w:color="auto" w:fill="auto"/>
            <w:noWrap/>
            <w:vAlign w:val="bottom"/>
            <w:hideMark/>
          </w:tcPr>
          <w:p w14:paraId="588C771C" w14:textId="77777777" w:rsidR="00013078" w:rsidRPr="00650291" w:rsidRDefault="00013078" w:rsidP="00AE0577">
            <w:pPr>
              <w:jc w:val="right"/>
              <w:rPr>
                <w:rFonts w:asciiTheme="minorHAnsi" w:hAnsiTheme="minorHAnsi"/>
                <w:color w:val="000000"/>
                <w:sz w:val="20"/>
                <w:szCs w:val="20"/>
              </w:rPr>
            </w:pPr>
            <w:r>
              <w:rPr>
                <w:rFonts w:ascii="Calibri" w:hAnsi="Calibri"/>
                <w:color w:val="000000"/>
              </w:rPr>
              <w:t>108,000</w:t>
            </w:r>
          </w:p>
        </w:tc>
        <w:tc>
          <w:tcPr>
            <w:tcW w:w="1361" w:type="dxa"/>
            <w:tcBorders>
              <w:top w:val="nil"/>
              <w:left w:val="nil"/>
              <w:bottom w:val="single" w:sz="4" w:space="0" w:color="auto"/>
              <w:right w:val="nil"/>
            </w:tcBorders>
            <w:shd w:val="clear" w:color="auto" w:fill="auto"/>
            <w:noWrap/>
            <w:vAlign w:val="bottom"/>
            <w:hideMark/>
          </w:tcPr>
          <w:p w14:paraId="1FC25985" w14:textId="77777777" w:rsidR="00013078" w:rsidRPr="00650291" w:rsidRDefault="00013078" w:rsidP="00AE0577">
            <w:pPr>
              <w:jc w:val="right"/>
              <w:rPr>
                <w:rFonts w:asciiTheme="minorHAnsi" w:hAnsiTheme="minorHAnsi"/>
                <w:color w:val="000000"/>
                <w:sz w:val="20"/>
                <w:szCs w:val="20"/>
              </w:rPr>
            </w:pPr>
            <w:r>
              <w:rPr>
                <w:rFonts w:ascii="Calibri" w:hAnsi="Calibri"/>
                <w:color w:val="000000"/>
              </w:rPr>
              <w:t>114,720</w:t>
            </w:r>
          </w:p>
        </w:tc>
        <w:tc>
          <w:tcPr>
            <w:tcW w:w="1361" w:type="dxa"/>
            <w:tcBorders>
              <w:top w:val="nil"/>
              <w:left w:val="single" w:sz="8" w:space="0" w:color="auto"/>
              <w:bottom w:val="single" w:sz="4" w:space="0" w:color="auto"/>
              <w:right w:val="single" w:sz="8" w:space="0" w:color="auto"/>
            </w:tcBorders>
            <w:shd w:val="clear" w:color="000000" w:fill="DDEBF7"/>
            <w:noWrap/>
            <w:vAlign w:val="bottom"/>
            <w:hideMark/>
          </w:tcPr>
          <w:p w14:paraId="7DF10FD1" w14:textId="77777777" w:rsidR="00013078" w:rsidRPr="00650291" w:rsidRDefault="00013078" w:rsidP="00AE0577">
            <w:pPr>
              <w:jc w:val="right"/>
              <w:rPr>
                <w:rFonts w:asciiTheme="minorHAnsi" w:hAnsiTheme="minorHAnsi"/>
                <w:b/>
                <w:bCs/>
                <w:color w:val="000000"/>
                <w:sz w:val="20"/>
                <w:szCs w:val="20"/>
              </w:rPr>
            </w:pPr>
            <w:r>
              <w:rPr>
                <w:rFonts w:ascii="Calibri" w:hAnsi="Calibri"/>
                <w:b/>
                <w:bCs/>
                <w:color w:val="000000"/>
              </w:rPr>
              <w:t>274%</w:t>
            </w:r>
          </w:p>
        </w:tc>
      </w:tr>
      <w:tr w:rsidR="00013078" w:rsidRPr="00650291" w14:paraId="1D981292" w14:textId="77777777" w:rsidTr="00AE0577">
        <w:trPr>
          <w:trHeight w:val="300"/>
        </w:trPr>
        <w:tc>
          <w:tcPr>
            <w:tcW w:w="2778" w:type="dxa"/>
            <w:tcBorders>
              <w:top w:val="nil"/>
              <w:left w:val="single" w:sz="8" w:space="0" w:color="auto"/>
              <w:bottom w:val="single" w:sz="4" w:space="0" w:color="auto"/>
              <w:right w:val="single" w:sz="4" w:space="0" w:color="auto"/>
            </w:tcBorders>
            <w:shd w:val="clear" w:color="auto" w:fill="auto"/>
            <w:noWrap/>
            <w:vAlign w:val="bottom"/>
            <w:hideMark/>
          </w:tcPr>
          <w:p w14:paraId="168D58BF" w14:textId="77777777" w:rsidR="00013078" w:rsidRPr="00650291" w:rsidRDefault="00013078" w:rsidP="00AE0577">
            <w:pPr>
              <w:jc w:val="both"/>
              <w:rPr>
                <w:rFonts w:asciiTheme="minorHAnsi" w:hAnsiTheme="minorHAnsi"/>
                <w:color w:val="000000"/>
                <w:sz w:val="20"/>
                <w:szCs w:val="20"/>
              </w:rPr>
            </w:pPr>
            <w:r>
              <w:rPr>
                <w:rFonts w:ascii="Calibri" w:hAnsi="Calibri"/>
                <w:color w:val="000000"/>
              </w:rPr>
              <w:t>Euronext</w:t>
            </w:r>
          </w:p>
        </w:tc>
        <w:tc>
          <w:tcPr>
            <w:tcW w:w="1361" w:type="dxa"/>
            <w:tcBorders>
              <w:top w:val="nil"/>
              <w:left w:val="nil"/>
              <w:bottom w:val="single" w:sz="4" w:space="0" w:color="auto"/>
              <w:right w:val="single" w:sz="4" w:space="0" w:color="auto"/>
            </w:tcBorders>
            <w:shd w:val="clear" w:color="auto" w:fill="auto"/>
            <w:noWrap/>
            <w:vAlign w:val="bottom"/>
            <w:hideMark/>
          </w:tcPr>
          <w:p w14:paraId="4792494A" w14:textId="77777777" w:rsidR="00013078" w:rsidRPr="00650291" w:rsidRDefault="00013078" w:rsidP="00AE0577">
            <w:pPr>
              <w:jc w:val="right"/>
              <w:rPr>
                <w:rFonts w:asciiTheme="minorHAnsi" w:hAnsiTheme="minorHAnsi"/>
                <w:color w:val="000000"/>
                <w:sz w:val="20"/>
                <w:szCs w:val="20"/>
              </w:rPr>
            </w:pPr>
            <w:r>
              <w:rPr>
                <w:rFonts w:ascii="Calibri" w:hAnsi="Calibri"/>
                <w:color w:val="000000"/>
              </w:rPr>
              <w:t>55,200</w:t>
            </w:r>
          </w:p>
        </w:tc>
        <w:tc>
          <w:tcPr>
            <w:tcW w:w="1361" w:type="dxa"/>
            <w:tcBorders>
              <w:top w:val="nil"/>
              <w:left w:val="nil"/>
              <w:bottom w:val="single" w:sz="4" w:space="0" w:color="auto"/>
              <w:right w:val="single" w:sz="4" w:space="0" w:color="auto"/>
            </w:tcBorders>
            <w:shd w:val="clear" w:color="auto" w:fill="auto"/>
            <w:noWrap/>
            <w:vAlign w:val="bottom"/>
            <w:hideMark/>
          </w:tcPr>
          <w:p w14:paraId="521274AC" w14:textId="77777777" w:rsidR="00013078" w:rsidRPr="00650291" w:rsidRDefault="00013078" w:rsidP="00AE0577">
            <w:pPr>
              <w:jc w:val="right"/>
              <w:rPr>
                <w:rFonts w:asciiTheme="minorHAnsi" w:hAnsiTheme="minorHAnsi"/>
                <w:color w:val="000000"/>
                <w:sz w:val="20"/>
                <w:szCs w:val="20"/>
              </w:rPr>
            </w:pPr>
            <w:r>
              <w:rPr>
                <w:rFonts w:ascii="Calibri" w:hAnsi="Calibri"/>
                <w:color w:val="000000"/>
              </w:rPr>
              <w:t>58,080</w:t>
            </w:r>
          </w:p>
        </w:tc>
        <w:tc>
          <w:tcPr>
            <w:tcW w:w="1361" w:type="dxa"/>
            <w:tcBorders>
              <w:top w:val="nil"/>
              <w:left w:val="nil"/>
              <w:bottom w:val="single" w:sz="4" w:space="0" w:color="auto"/>
              <w:right w:val="single" w:sz="4" w:space="0" w:color="auto"/>
            </w:tcBorders>
            <w:shd w:val="clear" w:color="auto" w:fill="auto"/>
            <w:noWrap/>
            <w:vAlign w:val="bottom"/>
            <w:hideMark/>
          </w:tcPr>
          <w:p w14:paraId="2912CDB1" w14:textId="77777777" w:rsidR="00013078" w:rsidRPr="00650291" w:rsidRDefault="00013078" w:rsidP="00AE0577">
            <w:pPr>
              <w:jc w:val="right"/>
              <w:rPr>
                <w:rFonts w:asciiTheme="minorHAnsi" w:hAnsiTheme="minorHAnsi"/>
                <w:color w:val="000000"/>
                <w:sz w:val="20"/>
                <w:szCs w:val="20"/>
              </w:rPr>
            </w:pPr>
            <w:r>
              <w:rPr>
                <w:rFonts w:ascii="Calibri" w:hAnsi="Calibri"/>
                <w:color w:val="000000"/>
              </w:rPr>
              <w:t>66,600</w:t>
            </w:r>
          </w:p>
        </w:tc>
        <w:tc>
          <w:tcPr>
            <w:tcW w:w="1361" w:type="dxa"/>
            <w:tcBorders>
              <w:top w:val="nil"/>
              <w:left w:val="nil"/>
              <w:bottom w:val="single" w:sz="4" w:space="0" w:color="auto"/>
              <w:right w:val="nil"/>
            </w:tcBorders>
            <w:shd w:val="clear" w:color="auto" w:fill="auto"/>
            <w:noWrap/>
            <w:vAlign w:val="bottom"/>
            <w:hideMark/>
          </w:tcPr>
          <w:p w14:paraId="5169C5A8" w14:textId="77777777" w:rsidR="00013078" w:rsidRPr="00650291" w:rsidRDefault="00013078" w:rsidP="00AE0577">
            <w:pPr>
              <w:jc w:val="right"/>
              <w:rPr>
                <w:rFonts w:asciiTheme="minorHAnsi" w:hAnsiTheme="minorHAnsi"/>
                <w:color w:val="000000"/>
                <w:sz w:val="20"/>
                <w:szCs w:val="20"/>
              </w:rPr>
            </w:pPr>
            <w:r>
              <w:rPr>
                <w:rFonts w:ascii="Calibri" w:hAnsi="Calibri"/>
                <w:color w:val="000000"/>
              </w:rPr>
              <w:t>70,097</w:t>
            </w:r>
          </w:p>
        </w:tc>
        <w:tc>
          <w:tcPr>
            <w:tcW w:w="1361" w:type="dxa"/>
            <w:tcBorders>
              <w:top w:val="nil"/>
              <w:left w:val="single" w:sz="8" w:space="0" w:color="auto"/>
              <w:bottom w:val="single" w:sz="4" w:space="0" w:color="auto"/>
              <w:right w:val="single" w:sz="8" w:space="0" w:color="auto"/>
            </w:tcBorders>
            <w:shd w:val="clear" w:color="000000" w:fill="DDEBF7"/>
            <w:noWrap/>
            <w:vAlign w:val="bottom"/>
            <w:hideMark/>
          </w:tcPr>
          <w:p w14:paraId="61D0AD5F" w14:textId="77777777" w:rsidR="00013078" w:rsidRPr="00650291" w:rsidRDefault="00013078" w:rsidP="00AE0577">
            <w:pPr>
              <w:jc w:val="right"/>
              <w:rPr>
                <w:rFonts w:asciiTheme="minorHAnsi" w:hAnsiTheme="minorHAnsi"/>
                <w:b/>
                <w:bCs/>
                <w:color w:val="000000"/>
                <w:sz w:val="20"/>
                <w:szCs w:val="20"/>
              </w:rPr>
            </w:pPr>
            <w:r>
              <w:rPr>
                <w:rFonts w:ascii="Calibri" w:hAnsi="Calibri"/>
                <w:b/>
                <w:bCs/>
                <w:color w:val="000000"/>
              </w:rPr>
              <w:t>27%</w:t>
            </w:r>
          </w:p>
        </w:tc>
      </w:tr>
      <w:tr w:rsidR="00013078" w:rsidRPr="00650291" w14:paraId="16ABE705" w14:textId="77777777" w:rsidTr="00AE0577">
        <w:trPr>
          <w:trHeight w:val="300"/>
        </w:trPr>
        <w:tc>
          <w:tcPr>
            <w:tcW w:w="2778" w:type="dxa"/>
            <w:tcBorders>
              <w:top w:val="nil"/>
              <w:left w:val="single" w:sz="8" w:space="0" w:color="auto"/>
              <w:bottom w:val="single" w:sz="4" w:space="0" w:color="auto"/>
              <w:right w:val="single" w:sz="4" w:space="0" w:color="auto"/>
            </w:tcBorders>
            <w:shd w:val="clear" w:color="auto" w:fill="auto"/>
            <w:noWrap/>
            <w:vAlign w:val="bottom"/>
            <w:hideMark/>
          </w:tcPr>
          <w:p w14:paraId="6E0D2495" w14:textId="77777777" w:rsidR="00013078" w:rsidRPr="00650291" w:rsidRDefault="00013078" w:rsidP="00AE0577">
            <w:pPr>
              <w:jc w:val="both"/>
              <w:rPr>
                <w:rFonts w:asciiTheme="minorHAnsi" w:hAnsiTheme="minorHAnsi"/>
                <w:color w:val="000000"/>
                <w:sz w:val="20"/>
                <w:szCs w:val="20"/>
              </w:rPr>
            </w:pPr>
            <w:r>
              <w:rPr>
                <w:rFonts w:ascii="Calibri" w:hAnsi="Calibri"/>
                <w:color w:val="000000"/>
              </w:rPr>
              <w:t>Irish Stock Exchange</w:t>
            </w:r>
          </w:p>
        </w:tc>
        <w:tc>
          <w:tcPr>
            <w:tcW w:w="1361" w:type="dxa"/>
            <w:tcBorders>
              <w:top w:val="nil"/>
              <w:left w:val="nil"/>
              <w:bottom w:val="single" w:sz="4" w:space="0" w:color="auto"/>
              <w:right w:val="single" w:sz="4" w:space="0" w:color="auto"/>
            </w:tcBorders>
            <w:shd w:val="clear" w:color="auto" w:fill="auto"/>
            <w:noWrap/>
            <w:vAlign w:val="bottom"/>
            <w:hideMark/>
          </w:tcPr>
          <w:p w14:paraId="09415527" w14:textId="77777777" w:rsidR="00013078" w:rsidRPr="00650291" w:rsidRDefault="00013078" w:rsidP="00AE0577">
            <w:pPr>
              <w:jc w:val="right"/>
              <w:rPr>
                <w:rFonts w:asciiTheme="minorHAnsi" w:hAnsiTheme="minorHAnsi"/>
                <w:color w:val="000000"/>
                <w:sz w:val="20"/>
                <w:szCs w:val="20"/>
              </w:rPr>
            </w:pPr>
            <w:r>
              <w:rPr>
                <w:rFonts w:ascii="Calibri" w:hAnsi="Calibri"/>
                <w:color w:val="000000"/>
              </w:rPr>
              <w:t>9,734</w:t>
            </w:r>
          </w:p>
        </w:tc>
        <w:tc>
          <w:tcPr>
            <w:tcW w:w="1361" w:type="dxa"/>
            <w:tcBorders>
              <w:top w:val="nil"/>
              <w:left w:val="nil"/>
              <w:bottom w:val="single" w:sz="4" w:space="0" w:color="auto"/>
              <w:right w:val="single" w:sz="4" w:space="0" w:color="auto"/>
            </w:tcBorders>
            <w:shd w:val="clear" w:color="auto" w:fill="auto"/>
            <w:noWrap/>
            <w:vAlign w:val="bottom"/>
            <w:hideMark/>
          </w:tcPr>
          <w:p w14:paraId="2A6C77BC" w14:textId="77777777" w:rsidR="00013078" w:rsidRPr="00650291" w:rsidRDefault="00013078" w:rsidP="00AE0577">
            <w:pPr>
              <w:jc w:val="right"/>
              <w:rPr>
                <w:rFonts w:asciiTheme="minorHAnsi" w:hAnsiTheme="minorHAnsi"/>
                <w:color w:val="000000"/>
                <w:sz w:val="20"/>
                <w:szCs w:val="20"/>
              </w:rPr>
            </w:pPr>
            <w:r>
              <w:rPr>
                <w:rFonts w:ascii="Calibri" w:hAnsi="Calibri"/>
                <w:color w:val="000000"/>
              </w:rPr>
              <w:t>9,984</w:t>
            </w:r>
          </w:p>
        </w:tc>
        <w:tc>
          <w:tcPr>
            <w:tcW w:w="1361" w:type="dxa"/>
            <w:tcBorders>
              <w:top w:val="nil"/>
              <w:left w:val="nil"/>
              <w:bottom w:val="single" w:sz="4" w:space="0" w:color="auto"/>
              <w:right w:val="single" w:sz="4" w:space="0" w:color="auto"/>
            </w:tcBorders>
            <w:shd w:val="clear" w:color="auto" w:fill="auto"/>
            <w:noWrap/>
            <w:vAlign w:val="bottom"/>
            <w:hideMark/>
          </w:tcPr>
          <w:p w14:paraId="1E3A347A" w14:textId="77777777" w:rsidR="00013078" w:rsidRPr="00650291" w:rsidRDefault="00013078" w:rsidP="00AE0577">
            <w:pPr>
              <w:jc w:val="right"/>
              <w:rPr>
                <w:rFonts w:asciiTheme="minorHAnsi" w:hAnsiTheme="minorHAnsi"/>
                <w:color w:val="000000"/>
                <w:sz w:val="20"/>
                <w:szCs w:val="20"/>
              </w:rPr>
            </w:pPr>
            <w:r>
              <w:rPr>
                <w:rFonts w:ascii="Calibri" w:hAnsi="Calibri"/>
                <w:color w:val="000000"/>
              </w:rPr>
              <w:t>47,280</w:t>
            </w:r>
          </w:p>
        </w:tc>
        <w:tc>
          <w:tcPr>
            <w:tcW w:w="1361" w:type="dxa"/>
            <w:tcBorders>
              <w:top w:val="nil"/>
              <w:left w:val="nil"/>
              <w:bottom w:val="single" w:sz="4" w:space="0" w:color="auto"/>
              <w:right w:val="nil"/>
            </w:tcBorders>
            <w:shd w:val="clear" w:color="auto" w:fill="auto"/>
            <w:noWrap/>
            <w:vAlign w:val="bottom"/>
            <w:hideMark/>
          </w:tcPr>
          <w:p w14:paraId="39FBE33E" w14:textId="77777777" w:rsidR="00013078" w:rsidRPr="00650291" w:rsidRDefault="00013078" w:rsidP="00AE0577">
            <w:pPr>
              <w:jc w:val="right"/>
              <w:rPr>
                <w:rFonts w:asciiTheme="minorHAnsi" w:hAnsiTheme="minorHAnsi"/>
                <w:color w:val="000000"/>
                <w:sz w:val="20"/>
                <w:szCs w:val="20"/>
              </w:rPr>
            </w:pPr>
            <w:r>
              <w:rPr>
                <w:rFonts w:ascii="Calibri" w:hAnsi="Calibri"/>
                <w:color w:val="000000"/>
              </w:rPr>
              <w:t>17,562</w:t>
            </w:r>
          </w:p>
        </w:tc>
        <w:tc>
          <w:tcPr>
            <w:tcW w:w="1361" w:type="dxa"/>
            <w:tcBorders>
              <w:top w:val="nil"/>
              <w:left w:val="single" w:sz="8" w:space="0" w:color="auto"/>
              <w:bottom w:val="single" w:sz="4" w:space="0" w:color="auto"/>
              <w:right w:val="single" w:sz="8" w:space="0" w:color="auto"/>
            </w:tcBorders>
            <w:shd w:val="clear" w:color="000000" w:fill="DDEBF7"/>
            <w:noWrap/>
            <w:vAlign w:val="bottom"/>
            <w:hideMark/>
          </w:tcPr>
          <w:p w14:paraId="0F49A0D6" w14:textId="77777777" w:rsidR="00013078" w:rsidRPr="00650291" w:rsidRDefault="00013078" w:rsidP="00AE0577">
            <w:pPr>
              <w:jc w:val="right"/>
              <w:rPr>
                <w:rFonts w:asciiTheme="minorHAnsi" w:hAnsiTheme="minorHAnsi"/>
                <w:b/>
                <w:bCs/>
                <w:color w:val="000000"/>
                <w:sz w:val="20"/>
                <w:szCs w:val="20"/>
              </w:rPr>
            </w:pPr>
            <w:r>
              <w:rPr>
                <w:rFonts w:ascii="Calibri" w:hAnsi="Calibri"/>
                <w:b/>
                <w:bCs/>
                <w:color w:val="000000"/>
              </w:rPr>
              <w:t>80%</w:t>
            </w:r>
          </w:p>
        </w:tc>
      </w:tr>
      <w:tr w:rsidR="00013078" w:rsidRPr="00650291" w14:paraId="4D87C2EA" w14:textId="77777777" w:rsidTr="00AE0577">
        <w:trPr>
          <w:trHeight w:val="300"/>
        </w:trPr>
        <w:tc>
          <w:tcPr>
            <w:tcW w:w="2778" w:type="dxa"/>
            <w:tcBorders>
              <w:top w:val="nil"/>
              <w:left w:val="single" w:sz="8" w:space="0" w:color="auto"/>
              <w:bottom w:val="single" w:sz="4" w:space="0" w:color="auto"/>
              <w:right w:val="single" w:sz="4" w:space="0" w:color="auto"/>
            </w:tcBorders>
            <w:shd w:val="clear" w:color="auto" w:fill="auto"/>
            <w:noWrap/>
            <w:vAlign w:val="bottom"/>
            <w:hideMark/>
          </w:tcPr>
          <w:p w14:paraId="5BCA63E9" w14:textId="77777777" w:rsidR="00013078" w:rsidRPr="00650291" w:rsidRDefault="00013078" w:rsidP="00AE0577">
            <w:pPr>
              <w:jc w:val="both"/>
              <w:rPr>
                <w:rFonts w:asciiTheme="minorHAnsi" w:hAnsiTheme="minorHAnsi"/>
                <w:color w:val="000000"/>
                <w:sz w:val="20"/>
                <w:szCs w:val="20"/>
              </w:rPr>
            </w:pPr>
            <w:r>
              <w:rPr>
                <w:rFonts w:ascii="Calibri" w:hAnsi="Calibri"/>
                <w:color w:val="000000"/>
              </w:rPr>
              <w:t>London Stock Exchange</w:t>
            </w:r>
          </w:p>
        </w:tc>
        <w:tc>
          <w:tcPr>
            <w:tcW w:w="1361" w:type="dxa"/>
            <w:tcBorders>
              <w:top w:val="nil"/>
              <w:left w:val="nil"/>
              <w:bottom w:val="single" w:sz="4" w:space="0" w:color="auto"/>
              <w:right w:val="single" w:sz="4" w:space="0" w:color="auto"/>
            </w:tcBorders>
            <w:shd w:val="clear" w:color="auto" w:fill="auto"/>
            <w:noWrap/>
            <w:vAlign w:val="bottom"/>
            <w:hideMark/>
          </w:tcPr>
          <w:p w14:paraId="7E67CB37" w14:textId="77777777" w:rsidR="00013078" w:rsidRPr="00650291" w:rsidRDefault="00013078" w:rsidP="00AE0577">
            <w:pPr>
              <w:jc w:val="right"/>
              <w:rPr>
                <w:rFonts w:asciiTheme="minorHAnsi" w:hAnsiTheme="minorHAnsi"/>
                <w:color w:val="000000"/>
                <w:sz w:val="20"/>
                <w:szCs w:val="20"/>
              </w:rPr>
            </w:pPr>
            <w:r>
              <w:rPr>
                <w:rFonts w:ascii="Calibri" w:hAnsi="Calibri"/>
                <w:color w:val="000000"/>
              </w:rPr>
              <w:t>72,674</w:t>
            </w:r>
          </w:p>
        </w:tc>
        <w:tc>
          <w:tcPr>
            <w:tcW w:w="1361" w:type="dxa"/>
            <w:tcBorders>
              <w:top w:val="nil"/>
              <w:left w:val="nil"/>
              <w:bottom w:val="single" w:sz="4" w:space="0" w:color="auto"/>
              <w:right w:val="single" w:sz="4" w:space="0" w:color="auto"/>
            </w:tcBorders>
            <w:shd w:val="clear" w:color="auto" w:fill="auto"/>
            <w:noWrap/>
            <w:vAlign w:val="bottom"/>
            <w:hideMark/>
          </w:tcPr>
          <w:p w14:paraId="6EEBFA8F" w14:textId="77777777" w:rsidR="00013078" w:rsidRPr="00650291" w:rsidRDefault="00013078" w:rsidP="00AE0577">
            <w:pPr>
              <w:jc w:val="right"/>
              <w:rPr>
                <w:rFonts w:asciiTheme="minorHAnsi" w:hAnsiTheme="minorHAnsi"/>
                <w:color w:val="000000"/>
                <w:sz w:val="20"/>
                <w:szCs w:val="20"/>
              </w:rPr>
            </w:pPr>
            <w:r>
              <w:rPr>
                <w:rFonts w:ascii="Calibri" w:hAnsi="Calibri"/>
                <w:color w:val="000000"/>
              </w:rPr>
              <w:t>80,607</w:t>
            </w:r>
          </w:p>
        </w:tc>
        <w:tc>
          <w:tcPr>
            <w:tcW w:w="1361" w:type="dxa"/>
            <w:tcBorders>
              <w:top w:val="nil"/>
              <w:left w:val="nil"/>
              <w:bottom w:val="single" w:sz="4" w:space="0" w:color="auto"/>
              <w:right w:val="single" w:sz="4" w:space="0" w:color="auto"/>
            </w:tcBorders>
            <w:shd w:val="clear" w:color="auto" w:fill="auto"/>
            <w:noWrap/>
            <w:vAlign w:val="bottom"/>
            <w:hideMark/>
          </w:tcPr>
          <w:p w14:paraId="6DF82A45" w14:textId="77777777" w:rsidR="00013078" w:rsidRPr="00650291" w:rsidRDefault="00013078" w:rsidP="00AE0577">
            <w:pPr>
              <w:jc w:val="right"/>
              <w:rPr>
                <w:rFonts w:asciiTheme="minorHAnsi" w:hAnsiTheme="minorHAnsi"/>
                <w:color w:val="000000"/>
                <w:sz w:val="20"/>
                <w:szCs w:val="20"/>
              </w:rPr>
            </w:pPr>
            <w:r>
              <w:rPr>
                <w:rFonts w:ascii="Calibri" w:hAnsi="Calibri"/>
                <w:color w:val="000000"/>
              </w:rPr>
              <w:t>83,978</w:t>
            </w:r>
          </w:p>
        </w:tc>
        <w:tc>
          <w:tcPr>
            <w:tcW w:w="1361" w:type="dxa"/>
            <w:tcBorders>
              <w:top w:val="nil"/>
              <w:left w:val="nil"/>
              <w:bottom w:val="single" w:sz="4" w:space="0" w:color="auto"/>
              <w:right w:val="nil"/>
            </w:tcBorders>
            <w:shd w:val="clear" w:color="auto" w:fill="auto"/>
            <w:noWrap/>
            <w:vAlign w:val="bottom"/>
            <w:hideMark/>
          </w:tcPr>
          <w:p w14:paraId="647A8FAD" w14:textId="77777777" w:rsidR="00013078" w:rsidRPr="00650291" w:rsidRDefault="00013078" w:rsidP="00AE0577">
            <w:pPr>
              <w:jc w:val="right"/>
              <w:rPr>
                <w:rFonts w:asciiTheme="minorHAnsi" w:hAnsiTheme="minorHAnsi"/>
                <w:color w:val="000000"/>
                <w:sz w:val="20"/>
                <w:szCs w:val="20"/>
              </w:rPr>
            </w:pPr>
            <w:r>
              <w:rPr>
                <w:rFonts w:ascii="Calibri" w:hAnsi="Calibri"/>
                <w:color w:val="000000"/>
              </w:rPr>
              <w:t>98,681</w:t>
            </w:r>
          </w:p>
        </w:tc>
        <w:tc>
          <w:tcPr>
            <w:tcW w:w="1361" w:type="dxa"/>
            <w:tcBorders>
              <w:top w:val="nil"/>
              <w:left w:val="single" w:sz="8" w:space="0" w:color="auto"/>
              <w:bottom w:val="single" w:sz="4" w:space="0" w:color="auto"/>
              <w:right w:val="single" w:sz="8" w:space="0" w:color="auto"/>
            </w:tcBorders>
            <w:shd w:val="clear" w:color="000000" w:fill="DDEBF7"/>
            <w:noWrap/>
            <w:vAlign w:val="bottom"/>
            <w:hideMark/>
          </w:tcPr>
          <w:p w14:paraId="4CE6CE5E" w14:textId="77777777" w:rsidR="00013078" w:rsidRPr="00650291" w:rsidRDefault="00013078" w:rsidP="00AE0577">
            <w:pPr>
              <w:jc w:val="right"/>
              <w:rPr>
                <w:rFonts w:asciiTheme="minorHAnsi" w:hAnsiTheme="minorHAnsi"/>
                <w:b/>
                <w:bCs/>
                <w:color w:val="000000"/>
                <w:sz w:val="20"/>
                <w:szCs w:val="20"/>
              </w:rPr>
            </w:pPr>
            <w:r>
              <w:rPr>
                <w:rFonts w:ascii="Calibri" w:hAnsi="Calibri"/>
                <w:b/>
                <w:bCs/>
                <w:color w:val="000000"/>
              </w:rPr>
              <w:t>36%</w:t>
            </w:r>
          </w:p>
        </w:tc>
      </w:tr>
      <w:tr w:rsidR="00013078" w:rsidRPr="00650291" w14:paraId="0BBF6648" w14:textId="77777777" w:rsidTr="00AE0577">
        <w:trPr>
          <w:trHeight w:val="300"/>
        </w:trPr>
        <w:tc>
          <w:tcPr>
            <w:tcW w:w="2778" w:type="dxa"/>
            <w:tcBorders>
              <w:top w:val="nil"/>
              <w:left w:val="single" w:sz="8" w:space="0" w:color="auto"/>
              <w:bottom w:val="single" w:sz="4" w:space="0" w:color="auto"/>
              <w:right w:val="single" w:sz="4" w:space="0" w:color="auto"/>
            </w:tcBorders>
            <w:shd w:val="clear" w:color="auto" w:fill="auto"/>
            <w:noWrap/>
            <w:vAlign w:val="bottom"/>
            <w:hideMark/>
          </w:tcPr>
          <w:p w14:paraId="6C4D71E2" w14:textId="77777777" w:rsidR="00013078" w:rsidRPr="00650291" w:rsidRDefault="00013078" w:rsidP="00AE0577">
            <w:pPr>
              <w:jc w:val="both"/>
              <w:rPr>
                <w:rFonts w:asciiTheme="minorHAnsi" w:hAnsiTheme="minorHAnsi"/>
                <w:color w:val="000000"/>
                <w:sz w:val="20"/>
                <w:szCs w:val="20"/>
              </w:rPr>
            </w:pPr>
            <w:r>
              <w:rPr>
                <w:rFonts w:ascii="Calibri" w:hAnsi="Calibri"/>
                <w:color w:val="000000"/>
              </w:rPr>
              <w:t xml:space="preserve">Nasdaq Nordic </w:t>
            </w:r>
          </w:p>
        </w:tc>
        <w:tc>
          <w:tcPr>
            <w:tcW w:w="1361" w:type="dxa"/>
            <w:tcBorders>
              <w:top w:val="nil"/>
              <w:left w:val="nil"/>
              <w:bottom w:val="single" w:sz="4" w:space="0" w:color="auto"/>
              <w:right w:val="single" w:sz="4" w:space="0" w:color="auto"/>
            </w:tcBorders>
            <w:shd w:val="clear" w:color="auto" w:fill="auto"/>
            <w:noWrap/>
            <w:vAlign w:val="bottom"/>
            <w:hideMark/>
          </w:tcPr>
          <w:p w14:paraId="7216D400" w14:textId="77777777" w:rsidR="00013078" w:rsidRPr="00650291" w:rsidRDefault="00013078" w:rsidP="00AE0577">
            <w:pPr>
              <w:jc w:val="right"/>
              <w:rPr>
                <w:rFonts w:asciiTheme="minorHAnsi" w:hAnsiTheme="minorHAnsi"/>
                <w:color w:val="000000"/>
                <w:sz w:val="20"/>
                <w:szCs w:val="20"/>
              </w:rPr>
            </w:pPr>
            <w:r>
              <w:rPr>
                <w:rFonts w:ascii="Calibri" w:hAnsi="Calibri"/>
                <w:color w:val="000000"/>
              </w:rPr>
              <w:t>63,880</w:t>
            </w:r>
          </w:p>
        </w:tc>
        <w:tc>
          <w:tcPr>
            <w:tcW w:w="1361" w:type="dxa"/>
            <w:tcBorders>
              <w:top w:val="nil"/>
              <w:left w:val="nil"/>
              <w:bottom w:val="single" w:sz="4" w:space="0" w:color="auto"/>
              <w:right w:val="single" w:sz="4" w:space="0" w:color="auto"/>
            </w:tcBorders>
            <w:shd w:val="clear" w:color="auto" w:fill="auto"/>
            <w:noWrap/>
            <w:vAlign w:val="bottom"/>
            <w:hideMark/>
          </w:tcPr>
          <w:p w14:paraId="70CFE93A" w14:textId="77777777" w:rsidR="00013078" w:rsidRPr="00650291" w:rsidRDefault="00013078" w:rsidP="00AE0577">
            <w:pPr>
              <w:jc w:val="right"/>
              <w:rPr>
                <w:rFonts w:asciiTheme="minorHAnsi" w:hAnsiTheme="minorHAnsi"/>
                <w:color w:val="000000"/>
                <w:sz w:val="20"/>
                <w:szCs w:val="20"/>
              </w:rPr>
            </w:pPr>
            <w:r>
              <w:rPr>
                <w:rFonts w:ascii="Calibri" w:hAnsi="Calibri"/>
                <w:color w:val="000000"/>
              </w:rPr>
              <w:t>64,160</w:t>
            </w:r>
          </w:p>
        </w:tc>
        <w:tc>
          <w:tcPr>
            <w:tcW w:w="1361" w:type="dxa"/>
            <w:tcBorders>
              <w:top w:val="nil"/>
              <w:left w:val="nil"/>
              <w:bottom w:val="single" w:sz="4" w:space="0" w:color="auto"/>
              <w:right w:val="single" w:sz="4" w:space="0" w:color="auto"/>
            </w:tcBorders>
            <w:shd w:val="clear" w:color="auto" w:fill="auto"/>
            <w:noWrap/>
            <w:vAlign w:val="bottom"/>
            <w:hideMark/>
          </w:tcPr>
          <w:p w14:paraId="73333F31" w14:textId="77777777" w:rsidR="00013078" w:rsidRPr="00650291" w:rsidRDefault="00013078" w:rsidP="00AE0577">
            <w:pPr>
              <w:jc w:val="right"/>
              <w:rPr>
                <w:rFonts w:asciiTheme="minorHAnsi" w:hAnsiTheme="minorHAnsi"/>
                <w:color w:val="000000"/>
                <w:sz w:val="20"/>
                <w:szCs w:val="20"/>
              </w:rPr>
            </w:pPr>
            <w:r>
              <w:rPr>
                <w:rFonts w:ascii="Calibri" w:hAnsi="Calibri"/>
                <w:color w:val="000000"/>
              </w:rPr>
              <w:t>58,560</w:t>
            </w:r>
          </w:p>
        </w:tc>
        <w:tc>
          <w:tcPr>
            <w:tcW w:w="1361" w:type="dxa"/>
            <w:tcBorders>
              <w:top w:val="nil"/>
              <w:left w:val="nil"/>
              <w:bottom w:val="single" w:sz="4" w:space="0" w:color="auto"/>
              <w:right w:val="nil"/>
            </w:tcBorders>
            <w:shd w:val="clear" w:color="auto" w:fill="auto"/>
            <w:noWrap/>
            <w:vAlign w:val="bottom"/>
            <w:hideMark/>
          </w:tcPr>
          <w:p w14:paraId="100C3503" w14:textId="77777777" w:rsidR="00013078" w:rsidRPr="00650291" w:rsidRDefault="00013078" w:rsidP="00AE0577">
            <w:pPr>
              <w:jc w:val="right"/>
              <w:rPr>
                <w:rFonts w:asciiTheme="minorHAnsi" w:hAnsiTheme="minorHAnsi"/>
                <w:color w:val="000000"/>
                <w:sz w:val="20"/>
                <w:szCs w:val="20"/>
              </w:rPr>
            </w:pPr>
            <w:r>
              <w:rPr>
                <w:rFonts w:ascii="Calibri" w:hAnsi="Calibri"/>
                <w:color w:val="000000"/>
              </w:rPr>
              <w:t>58,560</w:t>
            </w:r>
          </w:p>
        </w:tc>
        <w:tc>
          <w:tcPr>
            <w:tcW w:w="1361" w:type="dxa"/>
            <w:tcBorders>
              <w:top w:val="nil"/>
              <w:left w:val="single" w:sz="8" w:space="0" w:color="auto"/>
              <w:bottom w:val="single" w:sz="4" w:space="0" w:color="auto"/>
              <w:right w:val="single" w:sz="8" w:space="0" w:color="auto"/>
            </w:tcBorders>
            <w:shd w:val="clear" w:color="000000" w:fill="DDEBF7"/>
            <w:noWrap/>
            <w:vAlign w:val="bottom"/>
            <w:hideMark/>
          </w:tcPr>
          <w:p w14:paraId="3F5A7175" w14:textId="77777777" w:rsidR="00013078" w:rsidRPr="00650291" w:rsidRDefault="00013078" w:rsidP="00AE0577">
            <w:pPr>
              <w:jc w:val="right"/>
              <w:rPr>
                <w:rFonts w:asciiTheme="minorHAnsi" w:hAnsiTheme="minorHAnsi"/>
                <w:b/>
                <w:bCs/>
                <w:color w:val="000000"/>
                <w:sz w:val="20"/>
                <w:szCs w:val="20"/>
              </w:rPr>
            </w:pPr>
            <w:r>
              <w:rPr>
                <w:rFonts w:ascii="Calibri" w:hAnsi="Calibri"/>
                <w:b/>
                <w:bCs/>
                <w:color w:val="000000"/>
              </w:rPr>
              <w:t>-8%</w:t>
            </w:r>
          </w:p>
        </w:tc>
      </w:tr>
      <w:tr w:rsidR="00013078" w:rsidRPr="00650291" w14:paraId="0A276F96" w14:textId="77777777" w:rsidTr="00AE0577">
        <w:trPr>
          <w:trHeight w:val="300"/>
        </w:trPr>
        <w:tc>
          <w:tcPr>
            <w:tcW w:w="2778" w:type="dxa"/>
            <w:tcBorders>
              <w:top w:val="nil"/>
              <w:left w:val="single" w:sz="8" w:space="0" w:color="auto"/>
              <w:bottom w:val="single" w:sz="4" w:space="0" w:color="auto"/>
              <w:right w:val="single" w:sz="4" w:space="0" w:color="auto"/>
            </w:tcBorders>
            <w:shd w:val="clear" w:color="auto" w:fill="auto"/>
            <w:noWrap/>
            <w:vAlign w:val="bottom"/>
            <w:hideMark/>
          </w:tcPr>
          <w:p w14:paraId="48C3844A" w14:textId="77777777" w:rsidR="00013078" w:rsidRPr="00650291" w:rsidRDefault="00013078" w:rsidP="00AE0577">
            <w:pPr>
              <w:jc w:val="both"/>
              <w:rPr>
                <w:rFonts w:asciiTheme="minorHAnsi" w:hAnsiTheme="minorHAnsi"/>
                <w:color w:val="000000"/>
                <w:sz w:val="20"/>
                <w:szCs w:val="20"/>
              </w:rPr>
            </w:pPr>
            <w:r>
              <w:rPr>
                <w:rFonts w:ascii="Calibri" w:hAnsi="Calibri"/>
                <w:color w:val="000000"/>
              </w:rPr>
              <w:t xml:space="preserve">Oslo </w:t>
            </w:r>
            <w:proofErr w:type="spellStart"/>
            <w:r>
              <w:rPr>
                <w:rFonts w:ascii="Calibri" w:hAnsi="Calibri"/>
                <w:color w:val="000000"/>
              </w:rPr>
              <w:t>Bors</w:t>
            </w:r>
            <w:proofErr w:type="spellEnd"/>
          </w:p>
        </w:tc>
        <w:tc>
          <w:tcPr>
            <w:tcW w:w="1361" w:type="dxa"/>
            <w:tcBorders>
              <w:top w:val="nil"/>
              <w:left w:val="nil"/>
              <w:bottom w:val="single" w:sz="4" w:space="0" w:color="auto"/>
              <w:right w:val="single" w:sz="4" w:space="0" w:color="auto"/>
            </w:tcBorders>
            <w:shd w:val="clear" w:color="auto" w:fill="auto"/>
            <w:noWrap/>
            <w:vAlign w:val="bottom"/>
            <w:hideMark/>
          </w:tcPr>
          <w:p w14:paraId="0FB6E433" w14:textId="77777777" w:rsidR="00013078" w:rsidRPr="00650291" w:rsidRDefault="00013078" w:rsidP="00AE0577">
            <w:pPr>
              <w:jc w:val="right"/>
              <w:rPr>
                <w:rFonts w:asciiTheme="minorHAnsi" w:hAnsiTheme="minorHAnsi"/>
                <w:color w:val="000000"/>
                <w:sz w:val="20"/>
                <w:szCs w:val="20"/>
              </w:rPr>
            </w:pPr>
            <w:r>
              <w:rPr>
                <w:rFonts w:ascii="Calibri" w:hAnsi="Calibri"/>
                <w:color w:val="000000"/>
              </w:rPr>
              <w:t>6,228</w:t>
            </w:r>
          </w:p>
        </w:tc>
        <w:tc>
          <w:tcPr>
            <w:tcW w:w="1361" w:type="dxa"/>
            <w:tcBorders>
              <w:top w:val="nil"/>
              <w:left w:val="nil"/>
              <w:bottom w:val="single" w:sz="4" w:space="0" w:color="auto"/>
              <w:right w:val="single" w:sz="4" w:space="0" w:color="auto"/>
            </w:tcBorders>
            <w:shd w:val="clear" w:color="auto" w:fill="auto"/>
            <w:noWrap/>
            <w:vAlign w:val="bottom"/>
            <w:hideMark/>
          </w:tcPr>
          <w:p w14:paraId="765D3FC8" w14:textId="77777777" w:rsidR="00013078" w:rsidRPr="00650291" w:rsidRDefault="00013078" w:rsidP="00AE0577">
            <w:pPr>
              <w:jc w:val="right"/>
              <w:rPr>
                <w:rFonts w:asciiTheme="minorHAnsi" w:hAnsiTheme="minorHAnsi"/>
                <w:color w:val="000000"/>
                <w:sz w:val="20"/>
                <w:szCs w:val="20"/>
              </w:rPr>
            </w:pPr>
            <w:r>
              <w:rPr>
                <w:rFonts w:ascii="Calibri" w:hAnsi="Calibri"/>
                <w:color w:val="000000"/>
              </w:rPr>
              <w:t>6,252</w:t>
            </w:r>
          </w:p>
        </w:tc>
        <w:tc>
          <w:tcPr>
            <w:tcW w:w="1361" w:type="dxa"/>
            <w:tcBorders>
              <w:top w:val="nil"/>
              <w:left w:val="nil"/>
              <w:bottom w:val="single" w:sz="4" w:space="0" w:color="auto"/>
              <w:right w:val="single" w:sz="4" w:space="0" w:color="auto"/>
            </w:tcBorders>
            <w:shd w:val="clear" w:color="auto" w:fill="auto"/>
            <w:noWrap/>
            <w:vAlign w:val="bottom"/>
            <w:hideMark/>
          </w:tcPr>
          <w:p w14:paraId="7264D1E4" w14:textId="77777777" w:rsidR="00013078" w:rsidRPr="00650291" w:rsidRDefault="00013078" w:rsidP="00AE0577">
            <w:pPr>
              <w:jc w:val="right"/>
              <w:rPr>
                <w:rFonts w:asciiTheme="minorHAnsi" w:hAnsiTheme="minorHAnsi"/>
                <w:color w:val="000000"/>
                <w:sz w:val="20"/>
                <w:szCs w:val="20"/>
              </w:rPr>
            </w:pPr>
            <w:r>
              <w:rPr>
                <w:rFonts w:ascii="Calibri" w:hAnsi="Calibri"/>
                <w:color w:val="000000"/>
              </w:rPr>
              <w:t>6,686</w:t>
            </w:r>
          </w:p>
        </w:tc>
        <w:tc>
          <w:tcPr>
            <w:tcW w:w="1361" w:type="dxa"/>
            <w:tcBorders>
              <w:top w:val="nil"/>
              <w:left w:val="nil"/>
              <w:bottom w:val="single" w:sz="4" w:space="0" w:color="auto"/>
              <w:right w:val="nil"/>
            </w:tcBorders>
            <w:shd w:val="clear" w:color="auto" w:fill="auto"/>
            <w:noWrap/>
            <w:vAlign w:val="bottom"/>
            <w:hideMark/>
          </w:tcPr>
          <w:p w14:paraId="20D509F2" w14:textId="77777777" w:rsidR="00013078" w:rsidRPr="00650291" w:rsidRDefault="00013078" w:rsidP="00AE0577">
            <w:pPr>
              <w:jc w:val="right"/>
              <w:rPr>
                <w:rFonts w:asciiTheme="minorHAnsi" w:hAnsiTheme="minorHAnsi"/>
                <w:color w:val="000000"/>
                <w:sz w:val="20"/>
                <w:szCs w:val="20"/>
              </w:rPr>
            </w:pPr>
            <w:r>
              <w:rPr>
                <w:rFonts w:ascii="Calibri" w:hAnsi="Calibri"/>
                <w:color w:val="000000"/>
              </w:rPr>
              <w:t>7,760</w:t>
            </w:r>
          </w:p>
        </w:tc>
        <w:tc>
          <w:tcPr>
            <w:tcW w:w="1361" w:type="dxa"/>
            <w:tcBorders>
              <w:top w:val="nil"/>
              <w:left w:val="single" w:sz="8" w:space="0" w:color="auto"/>
              <w:bottom w:val="single" w:sz="4" w:space="0" w:color="auto"/>
              <w:right w:val="single" w:sz="8" w:space="0" w:color="auto"/>
            </w:tcBorders>
            <w:shd w:val="clear" w:color="000000" w:fill="DDEBF7"/>
            <w:noWrap/>
            <w:vAlign w:val="bottom"/>
            <w:hideMark/>
          </w:tcPr>
          <w:p w14:paraId="27EB54F8" w14:textId="77777777" w:rsidR="00013078" w:rsidRPr="00650291" w:rsidRDefault="00013078" w:rsidP="00AE0577">
            <w:pPr>
              <w:jc w:val="right"/>
              <w:rPr>
                <w:rFonts w:asciiTheme="minorHAnsi" w:hAnsiTheme="minorHAnsi"/>
                <w:b/>
                <w:bCs/>
                <w:color w:val="000000"/>
                <w:sz w:val="20"/>
                <w:szCs w:val="20"/>
              </w:rPr>
            </w:pPr>
            <w:r>
              <w:rPr>
                <w:rFonts w:ascii="Calibri" w:hAnsi="Calibri"/>
                <w:b/>
                <w:bCs/>
                <w:color w:val="000000"/>
              </w:rPr>
              <w:t>25%</w:t>
            </w:r>
          </w:p>
        </w:tc>
      </w:tr>
      <w:tr w:rsidR="00013078" w:rsidRPr="00650291" w14:paraId="324760EF" w14:textId="77777777" w:rsidTr="00AE0577">
        <w:trPr>
          <w:trHeight w:val="300"/>
        </w:trPr>
        <w:tc>
          <w:tcPr>
            <w:tcW w:w="2778" w:type="dxa"/>
            <w:tcBorders>
              <w:top w:val="nil"/>
              <w:left w:val="single" w:sz="8" w:space="0" w:color="auto"/>
              <w:bottom w:val="single" w:sz="4" w:space="0" w:color="auto"/>
              <w:right w:val="single" w:sz="4" w:space="0" w:color="auto"/>
            </w:tcBorders>
            <w:shd w:val="clear" w:color="auto" w:fill="auto"/>
            <w:noWrap/>
            <w:vAlign w:val="bottom"/>
            <w:hideMark/>
          </w:tcPr>
          <w:p w14:paraId="25F07787" w14:textId="77777777" w:rsidR="00013078" w:rsidRPr="00650291" w:rsidRDefault="00013078" w:rsidP="00AE0577">
            <w:pPr>
              <w:jc w:val="both"/>
              <w:rPr>
                <w:rFonts w:asciiTheme="minorHAnsi" w:hAnsiTheme="minorHAnsi"/>
                <w:color w:val="000000"/>
                <w:sz w:val="20"/>
                <w:szCs w:val="20"/>
              </w:rPr>
            </w:pPr>
            <w:r>
              <w:rPr>
                <w:rFonts w:ascii="Calibri" w:hAnsi="Calibri"/>
                <w:color w:val="000000"/>
              </w:rPr>
              <w:t>SIX Swiss Exchange</w:t>
            </w:r>
          </w:p>
        </w:tc>
        <w:tc>
          <w:tcPr>
            <w:tcW w:w="1361" w:type="dxa"/>
            <w:tcBorders>
              <w:top w:val="nil"/>
              <w:left w:val="nil"/>
              <w:bottom w:val="single" w:sz="4" w:space="0" w:color="auto"/>
              <w:right w:val="single" w:sz="4" w:space="0" w:color="auto"/>
            </w:tcBorders>
            <w:shd w:val="clear" w:color="auto" w:fill="auto"/>
            <w:noWrap/>
            <w:vAlign w:val="bottom"/>
            <w:hideMark/>
          </w:tcPr>
          <w:p w14:paraId="15264C10" w14:textId="77777777" w:rsidR="00013078" w:rsidRPr="00650291" w:rsidRDefault="00013078" w:rsidP="00AE0577">
            <w:pPr>
              <w:jc w:val="right"/>
              <w:rPr>
                <w:rFonts w:asciiTheme="minorHAnsi" w:hAnsiTheme="minorHAnsi"/>
                <w:color w:val="000000"/>
                <w:sz w:val="20"/>
                <w:szCs w:val="20"/>
              </w:rPr>
            </w:pPr>
            <w:r>
              <w:rPr>
                <w:rFonts w:ascii="Calibri" w:hAnsi="Calibri"/>
                <w:color w:val="000000"/>
              </w:rPr>
              <w:t>78,044</w:t>
            </w:r>
          </w:p>
        </w:tc>
        <w:tc>
          <w:tcPr>
            <w:tcW w:w="1361" w:type="dxa"/>
            <w:tcBorders>
              <w:top w:val="nil"/>
              <w:left w:val="nil"/>
              <w:bottom w:val="single" w:sz="4" w:space="0" w:color="auto"/>
              <w:right w:val="single" w:sz="4" w:space="0" w:color="auto"/>
            </w:tcBorders>
            <w:shd w:val="clear" w:color="auto" w:fill="auto"/>
            <w:noWrap/>
            <w:vAlign w:val="bottom"/>
            <w:hideMark/>
          </w:tcPr>
          <w:p w14:paraId="7940C95E" w14:textId="77777777" w:rsidR="00013078" w:rsidRPr="00650291" w:rsidRDefault="00013078" w:rsidP="00AE0577">
            <w:pPr>
              <w:jc w:val="right"/>
              <w:rPr>
                <w:rFonts w:asciiTheme="minorHAnsi" w:hAnsiTheme="minorHAnsi"/>
                <w:color w:val="000000"/>
                <w:sz w:val="20"/>
                <w:szCs w:val="20"/>
              </w:rPr>
            </w:pPr>
            <w:r>
              <w:rPr>
                <w:rFonts w:ascii="Calibri" w:hAnsi="Calibri"/>
                <w:color w:val="000000"/>
              </w:rPr>
              <w:t>81,067</w:t>
            </w:r>
          </w:p>
        </w:tc>
        <w:tc>
          <w:tcPr>
            <w:tcW w:w="1361" w:type="dxa"/>
            <w:tcBorders>
              <w:top w:val="nil"/>
              <w:left w:val="nil"/>
              <w:bottom w:val="single" w:sz="4" w:space="0" w:color="auto"/>
              <w:right w:val="single" w:sz="4" w:space="0" w:color="auto"/>
            </w:tcBorders>
            <w:shd w:val="clear" w:color="auto" w:fill="auto"/>
            <w:noWrap/>
            <w:vAlign w:val="bottom"/>
            <w:hideMark/>
          </w:tcPr>
          <w:p w14:paraId="457A06E5" w14:textId="77777777" w:rsidR="00013078" w:rsidRPr="00650291" w:rsidRDefault="00013078" w:rsidP="00AE0577">
            <w:pPr>
              <w:jc w:val="right"/>
              <w:rPr>
                <w:rFonts w:asciiTheme="minorHAnsi" w:hAnsiTheme="minorHAnsi"/>
                <w:color w:val="000000"/>
                <w:sz w:val="20"/>
                <w:szCs w:val="20"/>
              </w:rPr>
            </w:pPr>
            <w:r>
              <w:rPr>
                <w:rFonts w:ascii="Calibri" w:hAnsi="Calibri"/>
                <w:color w:val="000000"/>
              </w:rPr>
              <w:t>78,029</w:t>
            </w:r>
          </w:p>
        </w:tc>
        <w:tc>
          <w:tcPr>
            <w:tcW w:w="1361" w:type="dxa"/>
            <w:tcBorders>
              <w:top w:val="nil"/>
              <w:left w:val="nil"/>
              <w:bottom w:val="single" w:sz="4" w:space="0" w:color="auto"/>
              <w:right w:val="nil"/>
            </w:tcBorders>
            <w:shd w:val="clear" w:color="auto" w:fill="auto"/>
            <w:noWrap/>
            <w:vAlign w:val="bottom"/>
            <w:hideMark/>
          </w:tcPr>
          <w:p w14:paraId="756760D2" w14:textId="77777777" w:rsidR="00013078" w:rsidRPr="00650291" w:rsidRDefault="00013078" w:rsidP="00AE0577">
            <w:pPr>
              <w:jc w:val="right"/>
              <w:rPr>
                <w:rFonts w:asciiTheme="minorHAnsi" w:hAnsiTheme="minorHAnsi"/>
                <w:color w:val="000000"/>
                <w:sz w:val="20"/>
                <w:szCs w:val="20"/>
              </w:rPr>
            </w:pPr>
            <w:r>
              <w:rPr>
                <w:rFonts w:ascii="Calibri" w:hAnsi="Calibri"/>
                <w:color w:val="000000"/>
              </w:rPr>
              <w:t>79,623</w:t>
            </w:r>
          </w:p>
        </w:tc>
        <w:tc>
          <w:tcPr>
            <w:tcW w:w="1361" w:type="dxa"/>
            <w:tcBorders>
              <w:top w:val="nil"/>
              <w:left w:val="single" w:sz="8" w:space="0" w:color="auto"/>
              <w:bottom w:val="single" w:sz="4" w:space="0" w:color="auto"/>
              <w:right w:val="single" w:sz="8" w:space="0" w:color="auto"/>
            </w:tcBorders>
            <w:shd w:val="clear" w:color="000000" w:fill="DDEBF7"/>
            <w:noWrap/>
            <w:vAlign w:val="bottom"/>
            <w:hideMark/>
          </w:tcPr>
          <w:p w14:paraId="19FA4C22" w14:textId="77777777" w:rsidR="00013078" w:rsidRPr="00650291" w:rsidRDefault="00013078" w:rsidP="00AE0577">
            <w:pPr>
              <w:jc w:val="right"/>
              <w:rPr>
                <w:rFonts w:asciiTheme="minorHAnsi" w:hAnsiTheme="minorHAnsi"/>
                <w:b/>
                <w:bCs/>
                <w:color w:val="000000"/>
                <w:sz w:val="20"/>
                <w:szCs w:val="20"/>
              </w:rPr>
            </w:pPr>
            <w:r>
              <w:rPr>
                <w:rFonts w:ascii="Calibri" w:hAnsi="Calibri"/>
                <w:b/>
                <w:bCs/>
                <w:color w:val="000000"/>
              </w:rPr>
              <w:t>2%</w:t>
            </w:r>
          </w:p>
        </w:tc>
      </w:tr>
      <w:tr w:rsidR="00013078" w:rsidRPr="00650291" w14:paraId="44308367" w14:textId="77777777" w:rsidTr="00AE0577">
        <w:trPr>
          <w:trHeight w:val="300"/>
        </w:trPr>
        <w:tc>
          <w:tcPr>
            <w:tcW w:w="2778" w:type="dxa"/>
            <w:tcBorders>
              <w:top w:val="nil"/>
              <w:left w:val="single" w:sz="8" w:space="0" w:color="auto"/>
              <w:bottom w:val="single" w:sz="4" w:space="0" w:color="auto"/>
              <w:right w:val="single" w:sz="4" w:space="0" w:color="auto"/>
            </w:tcBorders>
            <w:shd w:val="clear" w:color="auto" w:fill="auto"/>
            <w:noWrap/>
            <w:vAlign w:val="bottom"/>
            <w:hideMark/>
          </w:tcPr>
          <w:p w14:paraId="775E8D95" w14:textId="77777777" w:rsidR="00013078" w:rsidRPr="00650291" w:rsidRDefault="00013078" w:rsidP="00AE0577">
            <w:pPr>
              <w:jc w:val="both"/>
              <w:rPr>
                <w:rFonts w:asciiTheme="minorHAnsi" w:hAnsiTheme="minorHAnsi"/>
                <w:color w:val="000000"/>
                <w:sz w:val="20"/>
                <w:szCs w:val="20"/>
              </w:rPr>
            </w:pPr>
            <w:r>
              <w:rPr>
                <w:rFonts w:ascii="Calibri" w:hAnsi="Calibri"/>
                <w:color w:val="000000"/>
              </w:rPr>
              <w:t>Turquoise</w:t>
            </w:r>
          </w:p>
        </w:tc>
        <w:tc>
          <w:tcPr>
            <w:tcW w:w="1361" w:type="dxa"/>
            <w:tcBorders>
              <w:top w:val="nil"/>
              <w:left w:val="nil"/>
              <w:bottom w:val="single" w:sz="4" w:space="0" w:color="auto"/>
              <w:right w:val="single" w:sz="4" w:space="0" w:color="auto"/>
            </w:tcBorders>
            <w:shd w:val="clear" w:color="auto" w:fill="auto"/>
            <w:noWrap/>
            <w:vAlign w:val="bottom"/>
            <w:hideMark/>
          </w:tcPr>
          <w:p w14:paraId="016A8864" w14:textId="77777777" w:rsidR="00013078" w:rsidRPr="00650291" w:rsidRDefault="00013078" w:rsidP="00AE0577">
            <w:pPr>
              <w:jc w:val="right"/>
              <w:rPr>
                <w:rFonts w:asciiTheme="minorHAnsi" w:hAnsiTheme="minorHAnsi"/>
                <w:color w:val="000000"/>
                <w:sz w:val="20"/>
                <w:szCs w:val="20"/>
              </w:rPr>
            </w:pPr>
            <w:r>
              <w:rPr>
                <w:rFonts w:ascii="Calibri" w:hAnsi="Calibri"/>
                <w:color w:val="000000"/>
              </w:rPr>
              <w:t>19,842</w:t>
            </w:r>
          </w:p>
        </w:tc>
        <w:tc>
          <w:tcPr>
            <w:tcW w:w="1361" w:type="dxa"/>
            <w:tcBorders>
              <w:top w:val="nil"/>
              <w:left w:val="nil"/>
              <w:bottom w:val="single" w:sz="4" w:space="0" w:color="auto"/>
              <w:right w:val="single" w:sz="4" w:space="0" w:color="auto"/>
            </w:tcBorders>
            <w:shd w:val="clear" w:color="auto" w:fill="auto"/>
            <w:noWrap/>
            <w:vAlign w:val="bottom"/>
            <w:hideMark/>
          </w:tcPr>
          <w:p w14:paraId="6EFF1029" w14:textId="77777777" w:rsidR="00013078" w:rsidRPr="00650291" w:rsidRDefault="00013078" w:rsidP="00AE0577">
            <w:pPr>
              <w:jc w:val="right"/>
              <w:rPr>
                <w:rFonts w:asciiTheme="minorHAnsi" w:hAnsiTheme="minorHAnsi"/>
                <w:color w:val="000000"/>
                <w:sz w:val="20"/>
                <w:szCs w:val="20"/>
              </w:rPr>
            </w:pPr>
            <w:r>
              <w:rPr>
                <w:rFonts w:ascii="Calibri" w:hAnsi="Calibri"/>
                <w:color w:val="000000"/>
              </w:rPr>
              <w:t>18,547</w:t>
            </w:r>
          </w:p>
        </w:tc>
        <w:tc>
          <w:tcPr>
            <w:tcW w:w="1361" w:type="dxa"/>
            <w:tcBorders>
              <w:top w:val="nil"/>
              <w:left w:val="nil"/>
              <w:bottom w:val="single" w:sz="4" w:space="0" w:color="auto"/>
              <w:right w:val="single" w:sz="4" w:space="0" w:color="auto"/>
            </w:tcBorders>
            <w:shd w:val="clear" w:color="auto" w:fill="auto"/>
            <w:noWrap/>
            <w:vAlign w:val="bottom"/>
            <w:hideMark/>
          </w:tcPr>
          <w:p w14:paraId="4A1BD8B3" w14:textId="77777777" w:rsidR="00013078" w:rsidRPr="00650291" w:rsidRDefault="00013078" w:rsidP="00AE0577">
            <w:pPr>
              <w:jc w:val="right"/>
              <w:rPr>
                <w:rFonts w:asciiTheme="minorHAnsi" w:hAnsiTheme="minorHAnsi"/>
                <w:color w:val="000000"/>
                <w:sz w:val="20"/>
                <w:szCs w:val="20"/>
              </w:rPr>
            </w:pPr>
            <w:r>
              <w:rPr>
                <w:rFonts w:ascii="Calibri" w:hAnsi="Calibri"/>
                <w:color w:val="000000"/>
              </w:rPr>
              <w:t>18,379</w:t>
            </w:r>
          </w:p>
        </w:tc>
        <w:tc>
          <w:tcPr>
            <w:tcW w:w="1361" w:type="dxa"/>
            <w:tcBorders>
              <w:top w:val="nil"/>
              <w:left w:val="nil"/>
              <w:bottom w:val="single" w:sz="4" w:space="0" w:color="auto"/>
              <w:right w:val="nil"/>
            </w:tcBorders>
            <w:shd w:val="clear" w:color="auto" w:fill="auto"/>
            <w:noWrap/>
            <w:vAlign w:val="bottom"/>
            <w:hideMark/>
          </w:tcPr>
          <w:p w14:paraId="29552E4F" w14:textId="77777777" w:rsidR="00013078" w:rsidRPr="00650291" w:rsidRDefault="00013078" w:rsidP="00AE0577">
            <w:pPr>
              <w:jc w:val="right"/>
              <w:rPr>
                <w:rFonts w:asciiTheme="minorHAnsi" w:hAnsiTheme="minorHAnsi"/>
                <w:color w:val="000000"/>
                <w:sz w:val="20"/>
                <w:szCs w:val="20"/>
              </w:rPr>
            </w:pPr>
            <w:r>
              <w:rPr>
                <w:rFonts w:ascii="Calibri" w:hAnsi="Calibri"/>
                <w:color w:val="000000"/>
              </w:rPr>
              <w:t>20,202</w:t>
            </w:r>
          </w:p>
        </w:tc>
        <w:tc>
          <w:tcPr>
            <w:tcW w:w="1361" w:type="dxa"/>
            <w:tcBorders>
              <w:top w:val="nil"/>
              <w:left w:val="single" w:sz="8" w:space="0" w:color="auto"/>
              <w:bottom w:val="single" w:sz="4" w:space="0" w:color="auto"/>
              <w:right w:val="single" w:sz="8" w:space="0" w:color="auto"/>
            </w:tcBorders>
            <w:shd w:val="clear" w:color="000000" w:fill="DDEBF7"/>
            <w:noWrap/>
            <w:vAlign w:val="bottom"/>
            <w:hideMark/>
          </w:tcPr>
          <w:p w14:paraId="43DE5A06" w14:textId="77777777" w:rsidR="00013078" w:rsidRPr="00650291" w:rsidRDefault="00013078" w:rsidP="00AE0577">
            <w:pPr>
              <w:jc w:val="right"/>
              <w:rPr>
                <w:rFonts w:asciiTheme="minorHAnsi" w:hAnsiTheme="minorHAnsi"/>
                <w:b/>
                <w:bCs/>
                <w:color w:val="000000"/>
                <w:sz w:val="20"/>
                <w:szCs w:val="20"/>
              </w:rPr>
            </w:pPr>
            <w:r>
              <w:rPr>
                <w:rFonts w:ascii="Calibri" w:hAnsi="Calibri"/>
                <w:b/>
                <w:bCs/>
                <w:color w:val="000000"/>
              </w:rPr>
              <w:t>2%</w:t>
            </w:r>
          </w:p>
        </w:tc>
      </w:tr>
      <w:tr w:rsidR="00013078" w:rsidRPr="00650291" w14:paraId="3ACDC90D" w14:textId="77777777" w:rsidTr="00AE0577">
        <w:trPr>
          <w:trHeight w:val="315"/>
        </w:trPr>
        <w:tc>
          <w:tcPr>
            <w:tcW w:w="2778" w:type="dxa"/>
            <w:tcBorders>
              <w:top w:val="nil"/>
              <w:left w:val="single" w:sz="8" w:space="0" w:color="auto"/>
              <w:bottom w:val="single" w:sz="4" w:space="0" w:color="auto"/>
              <w:right w:val="single" w:sz="4" w:space="0" w:color="auto"/>
            </w:tcBorders>
            <w:shd w:val="clear" w:color="auto" w:fill="auto"/>
            <w:noWrap/>
            <w:vAlign w:val="bottom"/>
            <w:hideMark/>
          </w:tcPr>
          <w:p w14:paraId="142DDD7D" w14:textId="77777777" w:rsidR="00013078" w:rsidRPr="00650291" w:rsidRDefault="00013078" w:rsidP="00AE0577">
            <w:pPr>
              <w:jc w:val="both"/>
              <w:rPr>
                <w:rFonts w:asciiTheme="minorHAnsi" w:hAnsiTheme="minorHAnsi"/>
                <w:color w:val="000000"/>
                <w:sz w:val="20"/>
                <w:szCs w:val="20"/>
              </w:rPr>
            </w:pPr>
            <w:r>
              <w:rPr>
                <w:rFonts w:ascii="Calibri" w:hAnsi="Calibri"/>
                <w:color w:val="000000"/>
              </w:rPr>
              <w:lastRenderedPageBreak/>
              <w:t>Warsaw Stock Exchange</w:t>
            </w:r>
          </w:p>
        </w:tc>
        <w:tc>
          <w:tcPr>
            <w:tcW w:w="1361" w:type="dxa"/>
            <w:tcBorders>
              <w:top w:val="nil"/>
              <w:left w:val="nil"/>
              <w:bottom w:val="single" w:sz="4" w:space="0" w:color="auto"/>
              <w:right w:val="single" w:sz="4" w:space="0" w:color="auto"/>
            </w:tcBorders>
            <w:shd w:val="clear" w:color="auto" w:fill="auto"/>
            <w:noWrap/>
            <w:vAlign w:val="bottom"/>
            <w:hideMark/>
          </w:tcPr>
          <w:p w14:paraId="3E96BA6F" w14:textId="77777777" w:rsidR="00013078" w:rsidRPr="00650291" w:rsidRDefault="00013078" w:rsidP="00AE0577">
            <w:pPr>
              <w:jc w:val="right"/>
              <w:rPr>
                <w:rFonts w:asciiTheme="minorHAnsi" w:hAnsiTheme="minorHAnsi"/>
                <w:color w:val="000000"/>
                <w:sz w:val="20"/>
                <w:szCs w:val="20"/>
              </w:rPr>
            </w:pPr>
            <w:r>
              <w:rPr>
                <w:rFonts w:ascii="Calibri" w:hAnsi="Calibri"/>
                <w:color w:val="000000"/>
              </w:rPr>
              <w:t>112,064</w:t>
            </w:r>
          </w:p>
        </w:tc>
        <w:tc>
          <w:tcPr>
            <w:tcW w:w="1361" w:type="dxa"/>
            <w:tcBorders>
              <w:top w:val="nil"/>
              <w:left w:val="nil"/>
              <w:bottom w:val="single" w:sz="4" w:space="0" w:color="auto"/>
              <w:right w:val="single" w:sz="4" w:space="0" w:color="auto"/>
            </w:tcBorders>
            <w:shd w:val="clear" w:color="auto" w:fill="auto"/>
            <w:noWrap/>
            <w:vAlign w:val="bottom"/>
            <w:hideMark/>
          </w:tcPr>
          <w:p w14:paraId="377B0CBE" w14:textId="77777777" w:rsidR="00013078" w:rsidRPr="00650291" w:rsidRDefault="00013078" w:rsidP="00AE0577">
            <w:pPr>
              <w:jc w:val="right"/>
              <w:rPr>
                <w:rFonts w:asciiTheme="minorHAnsi" w:hAnsiTheme="minorHAnsi"/>
                <w:color w:val="000000"/>
                <w:sz w:val="20"/>
                <w:szCs w:val="20"/>
              </w:rPr>
            </w:pPr>
            <w:r>
              <w:rPr>
                <w:rFonts w:ascii="Calibri" w:hAnsi="Calibri"/>
                <w:color w:val="000000"/>
              </w:rPr>
              <w:t>117,209</w:t>
            </w:r>
          </w:p>
        </w:tc>
        <w:tc>
          <w:tcPr>
            <w:tcW w:w="1361" w:type="dxa"/>
            <w:tcBorders>
              <w:top w:val="nil"/>
              <w:left w:val="nil"/>
              <w:bottom w:val="single" w:sz="4" w:space="0" w:color="auto"/>
              <w:right w:val="single" w:sz="4" w:space="0" w:color="auto"/>
            </w:tcBorders>
            <w:shd w:val="clear" w:color="auto" w:fill="auto"/>
            <w:noWrap/>
            <w:vAlign w:val="bottom"/>
            <w:hideMark/>
          </w:tcPr>
          <w:p w14:paraId="06A49564" w14:textId="77777777" w:rsidR="00013078" w:rsidRPr="00650291" w:rsidRDefault="00013078" w:rsidP="00AE0577">
            <w:pPr>
              <w:jc w:val="right"/>
              <w:rPr>
                <w:rFonts w:asciiTheme="minorHAnsi" w:hAnsiTheme="minorHAnsi"/>
                <w:color w:val="000000"/>
                <w:sz w:val="20"/>
                <w:szCs w:val="20"/>
              </w:rPr>
            </w:pPr>
            <w:r>
              <w:rPr>
                <w:rFonts w:ascii="Calibri" w:hAnsi="Calibri"/>
                <w:color w:val="000000"/>
              </w:rPr>
              <w:t>119,883</w:t>
            </w:r>
          </w:p>
        </w:tc>
        <w:tc>
          <w:tcPr>
            <w:tcW w:w="1361" w:type="dxa"/>
            <w:tcBorders>
              <w:top w:val="nil"/>
              <w:left w:val="nil"/>
              <w:bottom w:val="single" w:sz="4" w:space="0" w:color="auto"/>
              <w:right w:val="nil"/>
            </w:tcBorders>
            <w:shd w:val="clear" w:color="auto" w:fill="auto"/>
            <w:noWrap/>
            <w:vAlign w:val="bottom"/>
            <w:hideMark/>
          </w:tcPr>
          <w:p w14:paraId="7303D1ED" w14:textId="77777777" w:rsidR="00013078" w:rsidRPr="00650291" w:rsidRDefault="00013078" w:rsidP="00AE0577">
            <w:pPr>
              <w:jc w:val="right"/>
              <w:rPr>
                <w:rFonts w:asciiTheme="minorHAnsi" w:hAnsiTheme="minorHAnsi"/>
                <w:color w:val="000000"/>
                <w:sz w:val="20"/>
                <w:szCs w:val="20"/>
              </w:rPr>
            </w:pPr>
            <w:r>
              <w:rPr>
                <w:rFonts w:ascii="Calibri" w:hAnsi="Calibri"/>
                <w:color w:val="000000"/>
              </w:rPr>
              <w:t>119,971</w:t>
            </w:r>
          </w:p>
        </w:tc>
        <w:tc>
          <w:tcPr>
            <w:tcW w:w="1361" w:type="dxa"/>
            <w:tcBorders>
              <w:top w:val="nil"/>
              <w:left w:val="single" w:sz="8" w:space="0" w:color="auto"/>
              <w:bottom w:val="single" w:sz="4" w:space="0" w:color="auto"/>
              <w:right w:val="single" w:sz="8" w:space="0" w:color="auto"/>
            </w:tcBorders>
            <w:shd w:val="clear" w:color="000000" w:fill="DDEBF7"/>
            <w:noWrap/>
            <w:vAlign w:val="bottom"/>
            <w:hideMark/>
          </w:tcPr>
          <w:p w14:paraId="74995E91" w14:textId="77777777" w:rsidR="00013078" w:rsidRPr="00650291" w:rsidRDefault="00013078" w:rsidP="00AE0577">
            <w:pPr>
              <w:jc w:val="right"/>
              <w:rPr>
                <w:rFonts w:asciiTheme="minorHAnsi" w:hAnsiTheme="minorHAnsi"/>
                <w:b/>
                <w:bCs/>
                <w:color w:val="000000"/>
                <w:sz w:val="20"/>
                <w:szCs w:val="20"/>
              </w:rPr>
            </w:pPr>
            <w:r>
              <w:rPr>
                <w:rFonts w:ascii="Calibri" w:hAnsi="Calibri"/>
                <w:b/>
                <w:bCs/>
                <w:color w:val="000000"/>
              </w:rPr>
              <w:t>7%</w:t>
            </w:r>
          </w:p>
        </w:tc>
      </w:tr>
      <w:tr w:rsidR="00013078" w:rsidRPr="00650291" w14:paraId="6C550178" w14:textId="77777777" w:rsidTr="00AE0577">
        <w:trPr>
          <w:trHeight w:val="315"/>
        </w:trPr>
        <w:tc>
          <w:tcPr>
            <w:tcW w:w="2778" w:type="dxa"/>
            <w:tcBorders>
              <w:top w:val="nil"/>
              <w:left w:val="single" w:sz="8" w:space="0" w:color="auto"/>
              <w:bottom w:val="nil"/>
              <w:right w:val="single" w:sz="4" w:space="0" w:color="auto"/>
            </w:tcBorders>
            <w:shd w:val="clear" w:color="auto" w:fill="auto"/>
            <w:noWrap/>
            <w:vAlign w:val="bottom"/>
            <w:hideMark/>
          </w:tcPr>
          <w:p w14:paraId="03A6D29D" w14:textId="1EEF4452" w:rsidR="00013078" w:rsidRPr="00650291" w:rsidRDefault="00013078" w:rsidP="00AE0577">
            <w:pPr>
              <w:jc w:val="both"/>
              <w:rPr>
                <w:rFonts w:asciiTheme="minorHAnsi" w:hAnsiTheme="minorHAnsi"/>
                <w:color w:val="000000"/>
                <w:sz w:val="20"/>
                <w:szCs w:val="20"/>
              </w:rPr>
            </w:pPr>
            <w:r>
              <w:rPr>
                <w:rFonts w:ascii="Calibri" w:hAnsi="Calibri"/>
                <w:color w:val="000000"/>
              </w:rPr>
              <w:t xml:space="preserve">Wiener </w:t>
            </w:r>
            <w:r w:rsidR="00492E53">
              <w:rPr>
                <w:rFonts w:ascii="Calibri" w:hAnsi="Calibri"/>
                <w:color w:val="000000"/>
              </w:rPr>
              <w:t>Boerse</w:t>
            </w:r>
          </w:p>
        </w:tc>
        <w:tc>
          <w:tcPr>
            <w:tcW w:w="1361" w:type="dxa"/>
            <w:tcBorders>
              <w:top w:val="nil"/>
              <w:left w:val="nil"/>
              <w:bottom w:val="nil"/>
              <w:right w:val="single" w:sz="4" w:space="0" w:color="auto"/>
            </w:tcBorders>
            <w:shd w:val="clear" w:color="auto" w:fill="auto"/>
            <w:noWrap/>
            <w:vAlign w:val="bottom"/>
            <w:hideMark/>
          </w:tcPr>
          <w:p w14:paraId="31EA912D" w14:textId="77777777" w:rsidR="00013078" w:rsidRPr="00650291" w:rsidRDefault="00013078" w:rsidP="00AE0577">
            <w:pPr>
              <w:jc w:val="right"/>
              <w:rPr>
                <w:rFonts w:asciiTheme="minorHAnsi" w:hAnsiTheme="minorHAnsi"/>
                <w:color w:val="000000"/>
                <w:sz w:val="20"/>
                <w:szCs w:val="20"/>
              </w:rPr>
            </w:pPr>
            <w:r>
              <w:rPr>
                <w:rFonts w:ascii="Calibri" w:hAnsi="Calibri"/>
                <w:color w:val="000000"/>
              </w:rPr>
              <w:t>26,220</w:t>
            </w:r>
          </w:p>
        </w:tc>
        <w:tc>
          <w:tcPr>
            <w:tcW w:w="1361" w:type="dxa"/>
            <w:tcBorders>
              <w:top w:val="nil"/>
              <w:left w:val="nil"/>
              <w:bottom w:val="nil"/>
              <w:right w:val="single" w:sz="4" w:space="0" w:color="auto"/>
            </w:tcBorders>
            <w:shd w:val="clear" w:color="auto" w:fill="auto"/>
            <w:noWrap/>
            <w:vAlign w:val="bottom"/>
            <w:hideMark/>
          </w:tcPr>
          <w:p w14:paraId="0ED03169" w14:textId="77777777" w:rsidR="00013078" w:rsidRPr="00650291" w:rsidRDefault="00013078" w:rsidP="00AE0577">
            <w:pPr>
              <w:jc w:val="right"/>
              <w:rPr>
                <w:rFonts w:asciiTheme="minorHAnsi" w:hAnsiTheme="minorHAnsi"/>
                <w:color w:val="000000"/>
                <w:sz w:val="20"/>
                <w:szCs w:val="20"/>
              </w:rPr>
            </w:pPr>
            <w:r>
              <w:rPr>
                <w:rFonts w:ascii="Calibri" w:hAnsi="Calibri"/>
                <w:color w:val="000000"/>
              </w:rPr>
              <w:t>26,220</w:t>
            </w:r>
          </w:p>
        </w:tc>
        <w:tc>
          <w:tcPr>
            <w:tcW w:w="1361" w:type="dxa"/>
            <w:tcBorders>
              <w:top w:val="nil"/>
              <w:left w:val="nil"/>
              <w:bottom w:val="nil"/>
              <w:right w:val="single" w:sz="4" w:space="0" w:color="auto"/>
            </w:tcBorders>
            <w:shd w:val="clear" w:color="auto" w:fill="auto"/>
            <w:noWrap/>
            <w:vAlign w:val="bottom"/>
            <w:hideMark/>
          </w:tcPr>
          <w:p w14:paraId="64043640" w14:textId="77777777" w:rsidR="00013078" w:rsidRPr="00650291" w:rsidRDefault="00013078" w:rsidP="00AE0577">
            <w:pPr>
              <w:jc w:val="right"/>
              <w:rPr>
                <w:rFonts w:asciiTheme="minorHAnsi" w:hAnsiTheme="minorHAnsi"/>
                <w:color w:val="000000"/>
                <w:sz w:val="20"/>
                <w:szCs w:val="20"/>
              </w:rPr>
            </w:pPr>
            <w:r>
              <w:rPr>
                <w:rFonts w:ascii="Calibri" w:hAnsi="Calibri"/>
                <w:color w:val="000000"/>
              </w:rPr>
              <w:t>30,840</w:t>
            </w:r>
          </w:p>
        </w:tc>
        <w:tc>
          <w:tcPr>
            <w:tcW w:w="1361" w:type="dxa"/>
            <w:tcBorders>
              <w:top w:val="nil"/>
              <w:left w:val="nil"/>
              <w:bottom w:val="nil"/>
              <w:right w:val="nil"/>
            </w:tcBorders>
            <w:shd w:val="clear" w:color="auto" w:fill="auto"/>
            <w:noWrap/>
            <w:vAlign w:val="bottom"/>
            <w:hideMark/>
          </w:tcPr>
          <w:p w14:paraId="10A21C6E" w14:textId="77777777" w:rsidR="00013078" w:rsidRPr="00650291" w:rsidRDefault="00013078" w:rsidP="00AE0577">
            <w:pPr>
              <w:jc w:val="right"/>
              <w:rPr>
                <w:rFonts w:asciiTheme="minorHAnsi" w:hAnsiTheme="minorHAnsi"/>
                <w:color w:val="000000"/>
                <w:sz w:val="20"/>
                <w:szCs w:val="20"/>
              </w:rPr>
            </w:pPr>
            <w:r>
              <w:rPr>
                <w:rFonts w:ascii="Calibri" w:hAnsi="Calibri"/>
                <w:color w:val="000000"/>
              </w:rPr>
              <w:t>32,100</w:t>
            </w:r>
          </w:p>
        </w:tc>
        <w:tc>
          <w:tcPr>
            <w:tcW w:w="1361" w:type="dxa"/>
            <w:tcBorders>
              <w:top w:val="nil"/>
              <w:left w:val="single" w:sz="8" w:space="0" w:color="auto"/>
              <w:bottom w:val="single" w:sz="4" w:space="0" w:color="auto"/>
              <w:right w:val="single" w:sz="8" w:space="0" w:color="auto"/>
            </w:tcBorders>
            <w:shd w:val="clear" w:color="000000" w:fill="DDEBF7"/>
            <w:noWrap/>
            <w:vAlign w:val="bottom"/>
            <w:hideMark/>
          </w:tcPr>
          <w:p w14:paraId="36296002" w14:textId="77777777" w:rsidR="00013078" w:rsidRPr="00650291" w:rsidRDefault="00013078" w:rsidP="00AE0577">
            <w:pPr>
              <w:jc w:val="right"/>
              <w:rPr>
                <w:rFonts w:asciiTheme="minorHAnsi" w:hAnsiTheme="minorHAnsi"/>
                <w:b/>
                <w:bCs/>
                <w:color w:val="000000"/>
                <w:sz w:val="20"/>
                <w:szCs w:val="20"/>
              </w:rPr>
            </w:pPr>
            <w:r>
              <w:rPr>
                <w:rFonts w:ascii="Calibri" w:hAnsi="Calibri"/>
                <w:b/>
                <w:bCs/>
                <w:color w:val="000000"/>
              </w:rPr>
              <w:t>22%</w:t>
            </w:r>
          </w:p>
        </w:tc>
      </w:tr>
      <w:tr w:rsidR="00013078" w:rsidRPr="00650291" w14:paraId="1C130D58" w14:textId="77777777" w:rsidTr="00AE0577">
        <w:trPr>
          <w:trHeight w:val="315"/>
        </w:trPr>
        <w:tc>
          <w:tcPr>
            <w:tcW w:w="2778" w:type="dxa"/>
            <w:tcBorders>
              <w:top w:val="single" w:sz="8" w:space="0" w:color="auto"/>
              <w:left w:val="single" w:sz="8" w:space="0" w:color="auto"/>
              <w:bottom w:val="single" w:sz="8" w:space="0" w:color="auto"/>
              <w:right w:val="single" w:sz="4" w:space="0" w:color="auto"/>
            </w:tcBorders>
            <w:shd w:val="clear" w:color="DDEBF7" w:fill="DDEBF7"/>
            <w:noWrap/>
            <w:vAlign w:val="bottom"/>
            <w:hideMark/>
          </w:tcPr>
          <w:p w14:paraId="14264325" w14:textId="77777777" w:rsidR="00013078" w:rsidRPr="00650291" w:rsidRDefault="00013078" w:rsidP="00AE0577">
            <w:pPr>
              <w:jc w:val="both"/>
              <w:rPr>
                <w:rFonts w:asciiTheme="minorHAnsi" w:hAnsiTheme="minorHAnsi"/>
                <w:b/>
                <w:bCs/>
                <w:color w:val="000000"/>
                <w:sz w:val="20"/>
                <w:szCs w:val="20"/>
              </w:rPr>
            </w:pPr>
            <w:r>
              <w:rPr>
                <w:rFonts w:ascii="Calibri" w:hAnsi="Calibri"/>
                <w:b/>
                <w:bCs/>
                <w:color w:val="000000"/>
              </w:rPr>
              <w:t>Grand Total</w:t>
            </w:r>
          </w:p>
        </w:tc>
        <w:tc>
          <w:tcPr>
            <w:tcW w:w="1361" w:type="dxa"/>
            <w:tcBorders>
              <w:top w:val="single" w:sz="8" w:space="0" w:color="auto"/>
              <w:left w:val="nil"/>
              <w:bottom w:val="single" w:sz="8" w:space="0" w:color="auto"/>
              <w:right w:val="single" w:sz="4" w:space="0" w:color="auto"/>
            </w:tcBorders>
            <w:shd w:val="clear" w:color="DDEBF7" w:fill="DDEBF7"/>
            <w:noWrap/>
            <w:vAlign w:val="bottom"/>
            <w:hideMark/>
          </w:tcPr>
          <w:p w14:paraId="1AEAA14F" w14:textId="77777777" w:rsidR="00013078" w:rsidRPr="00650291" w:rsidRDefault="00013078" w:rsidP="00AE0577">
            <w:pPr>
              <w:jc w:val="right"/>
              <w:rPr>
                <w:rFonts w:asciiTheme="minorHAnsi" w:hAnsiTheme="minorHAnsi"/>
                <w:b/>
                <w:bCs/>
                <w:color w:val="000000"/>
                <w:sz w:val="20"/>
                <w:szCs w:val="20"/>
              </w:rPr>
            </w:pPr>
            <w:r>
              <w:rPr>
                <w:rFonts w:ascii="Calibri" w:hAnsi="Calibri"/>
                <w:b/>
                <w:bCs/>
                <w:color w:val="000000"/>
              </w:rPr>
              <w:t>638,454</w:t>
            </w:r>
          </w:p>
        </w:tc>
        <w:tc>
          <w:tcPr>
            <w:tcW w:w="1361" w:type="dxa"/>
            <w:tcBorders>
              <w:top w:val="single" w:sz="8" w:space="0" w:color="auto"/>
              <w:left w:val="nil"/>
              <w:bottom w:val="single" w:sz="8" w:space="0" w:color="auto"/>
              <w:right w:val="single" w:sz="4" w:space="0" w:color="auto"/>
            </w:tcBorders>
            <w:shd w:val="clear" w:color="DDEBF7" w:fill="DDEBF7"/>
            <w:noWrap/>
            <w:vAlign w:val="bottom"/>
            <w:hideMark/>
          </w:tcPr>
          <w:p w14:paraId="363B1663" w14:textId="77777777" w:rsidR="00013078" w:rsidRPr="00650291" w:rsidRDefault="00013078" w:rsidP="00AE0577">
            <w:pPr>
              <w:jc w:val="right"/>
              <w:rPr>
                <w:rFonts w:asciiTheme="minorHAnsi" w:hAnsiTheme="minorHAnsi"/>
                <w:b/>
                <w:bCs/>
                <w:color w:val="000000"/>
                <w:sz w:val="20"/>
                <w:szCs w:val="20"/>
              </w:rPr>
            </w:pPr>
            <w:r>
              <w:rPr>
                <w:rFonts w:ascii="Calibri" w:hAnsi="Calibri"/>
                <w:b/>
                <w:bCs/>
                <w:color w:val="000000"/>
              </w:rPr>
              <w:t>695,946</w:t>
            </w:r>
          </w:p>
        </w:tc>
        <w:tc>
          <w:tcPr>
            <w:tcW w:w="1361" w:type="dxa"/>
            <w:tcBorders>
              <w:top w:val="single" w:sz="8" w:space="0" w:color="auto"/>
              <w:left w:val="nil"/>
              <w:bottom w:val="single" w:sz="8" w:space="0" w:color="auto"/>
              <w:right w:val="single" w:sz="4" w:space="0" w:color="auto"/>
            </w:tcBorders>
            <w:shd w:val="clear" w:color="DDEBF7" w:fill="DDEBF7"/>
            <w:noWrap/>
            <w:vAlign w:val="bottom"/>
            <w:hideMark/>
          </w:tcPr>
          <w:p w14:paraId="13D6A0C5" w14:textId="77777777" w:rsidR="00013078" w:rsidRPr="00650291" w:rsidRDefault="00013078" w:rsidP="00AE0577">
            <w:pPr>
              <w:jc w:val="right"/>
              <w:rPr>
                <w:rFonts w:asciiTheme="minorHAnsi" w:hAnsiTheme="minorHAnsi"/>
                <w:b/>
                <w:bCs/>
                <w:color w:val="000000"/>
                <w:sz w:val="20"/>
                <w:szCs w:val="20"/>
              </w:rPr>
            </w:pPr>
            <w:r>
              <w:rPr>
                <w:rFonts w:ascii="Calibri" w:hAnsi="Calibri"/>
                <w:b/>
                <w:bCs/>
                <w:color w:val="000000"/>
              </w:rPr>
              <w:t>803,390</w:t>
            </w:r>
          </w:p>
        </w:tc>
        <w:tc>
          <w:tcPr>
            <w:tcW w:w="1361" w:type="dxa"/>
            <w:tcBorders>
              <w:top w:val="single" w:sz="8" w:space="0" w:color="auto"/>
              <w:left w:val="nil"/>
              <w:bottom w:val="single" w:sz="8" w:space="0" w:color="auto"/>
              <w:right w:val="single" w:sz="4" w:space="0" w:color="auto"/>
            </w:tcBorders>
            <w:shd w:val="clear" w:color="DDEBF7" w:fill="DDEBF7"/>
            <w:noWrap/>
            <w:vAlign w:val="bottom"/>
            <w:hideMark/>
          </w:tcPr>
          <w:p w14:paraId="2BE26003" w14:textId="77777777" w:rsidR="00013078" w:rsidRPr="00650291" w:rsidRDefault="00013078" w:rsidP="00AE0577">
            <w:pPr>
              <w:jc w:val="right"/>
              <w:rPr>
                <w:rFonts w:asciiTheme="minorHAnsi" w:hAnsiTheme="minorHAnsi"/>
                <w:b/>
                <w:bCs/>
                <w:color w:val="000000"/>
                <w:sz w:val="20"/>
                <w:szCs w:val="20"/>
              </w:rPr>
            </w:pPr>
            <w:r>
              <w:rPr>
                <w:rFonts w:ascii="Calibri" w:hAnsi="Calibri"/>
                <w:b/>
                <w:bCs/>
                <w:color w:val="000000"/>
              </w:rPr>
              <w:t>808,552</w:t>
            </w:r>
          </w:p>
        </w:tc>
        <w:tc>
          <w:tcPr>
            <w:tcW w:w="1361" w:type="dxa"/>
            <w:tcBorders>
              <w:top w:val="single" w:sz="8" w:space="0" w:color="auto"/>
              <w:left w:val="single" w:sz="8" w:space="0" w:color="auto"/>
              <w:bottom w:val="single" w:sz="8" w:space="0" w:color="auto"/>
              <w:right w:val="single" w:sz="8" w:space="0" w:color="auto"/>
            </w:tcBorders>
            <w:shd w:val="clear" w:color="000000" w:fill="DDEBF7"/>
            <w:noWrap/>
            <w:vAlign w:val="bottom"/>
            <w:hideMark/>
          </w:tcPr>
          <w:p w14:paraId="268A20A4" w14:textId="77777777" w:rsidR="00013078" w:rsidRPr="00650291" w:rsidRDefault="00013078" w:rsidP="00AE0577">
            <w:pPr>
              <w:jc w:val="right"/>
              <w:rPr>
                <w:rFonts w:asciiTheme="minorHAnsi" w:hAnsiTheme="minorHAnsi"/>
                <w:b/>
                <w:bCs/>
                <w:color w:val="000000"/>
                <w:sz w:val="20"/>
                <w:szCs w:val="20"/>
              </w:rPr>
            </w:pPr>
            <w:r>
              <w:rPr>
                <w:rFonts w:ascii="Calibri" w:hAnsi="Calibri"/>
                <w:b/>
                <w:bCs/>
                <w:color w:val="000000"/>
              </w:rPr>
              <w:t>27%</w:t>
            </w:r>
          </w:p>
        </w:tc>
      </w:tr>
    </w:tbl>
    <w:p w14:paraId="21F3B3AD" w14:textId="77777777" w:rsidR="00013078" w:rsidRPr="00650291" w:rsidRDefault="00013078" w:rsidP="00013078">
      <w:pPr>
        <w:jc w:val="both"/>
        <w:rPr>
          <w:rFonts w:asciiTheme="minorHAnsi" w:hAnsiTheme="minorHAnsi"/>
        </w:rPr>
      </w:pPr>
    </w:p>
    <w:p w14:paraId="1D40AAFF" w14:textId="77777777" w:rsidR="00013078" w:rsidRPr="00650291" w:rsidRDefault="00013078" w:rsidP="00013078">
      <w:pPr>
        <w:jc w:val="both"/>
        <w:rPr>
          <w:rFonts w:asciiTheme="minorHAnsi" w:hAnsiTheme="minorHAnsi"/>
        </w:rPr>
      </w:pPr>
    </w:p>
    <w:p w14:paraId="54ECC67C" w14:textId="77777777" w:rsidR="00013078" w:rsidRPr="00650291" w:rsidRDefault="00013078" w:rsidP="00013078">
      <w:pPr>
        <w:jc w:val="both"/>
        <w:rPr>
          <w:rFonts w:asciiTheme="minorHAnsi" w:eastAsia="Calibri" w:hAnsiTheme="minorHAnsi"/>
          <w:b/>
        </w:rPr>
      </w:pPr>
      <w:r w:rsidRPr="00650291">
        <w:rPr>
          <w:rFonts w:asciiTheme="minorHAnsi" w:eastAsia="Calibri" w:hAnsiTheme="minorHAnsi"/>
          <w:b/>
        </w:rPr>
        <w:t>Table 3 – Year-on-year market data spend linked to derivatives trading</w:t>
      </w:r>
    </w:p>
    <w:tbl>
      <w:tblPr>
        <w:tblW w:w="9583" w:type="dxa"/>
        <w:tblLook w:val="04A0" w:firstRow="1" w:lastRow="0" w:firstColumn="1" w:lastColumn="0" w:noHBand="0" w:noVBand="1"/>
      </w:tblPr>
      <w:tblGrid>
        <w:gridCol w:w="2778"/>
        <w:gridCol w:w="1361"/>
        <w:gridCol w:w="1361"/>
        <w:gridCol w:w="1361"/>
        <w:gridCol w:w="1361"/>
        <w:gridCol w:w="1361"/>
      </w:tblGrid>
      <w:tr w:rsidR="00013078" w:rsidRPr="00650291" w14:paraId="438503B8" w14:textId="77777777" w:rsidTr="00AE0577">
        <w:trPr>
          <w:trHeight w:val="315"/>
        </w:trPr>
        <w:tc>
          <w:tcPr>
            <w:tcW w:w="2778" w:type="dxa"/>
            <w:tcBorders>
              <w:top w:val="single" w:sz="8" w:space="0" w:color="auto"/>
              <w:left w:val="single" w:sz="8" w:space="0" w:color="auto"/>
              <w:bottom w:val="nil"/>
              <w:right w:val="single" w:sz="8" w:space="0" w:color="auto"/>
            </w:tcBorders>
            <w:shd w:val="clear" w:color="000000" w:fill="44546A"/>
            <w:noWrap/>
            <w:vAlign w:val="bottom"/>
            <w:hideMark/>
          </w:tcPr>
          <w:p w14:paraId="1A8778B0" w14:textId="77777777" w:rsidR="00013078" w:rsidRPr="0086576B" w:rsidRDefault="00013078" w:rsidP="00AE0577">
            <w:pPr>
              <w:jc w:val="both"/>
              <w:rPr>
                <w:rFonts w:asciiTheme="minorHAnsi" w:hAnsiTheme="minorHAnsi"/>
                <w:b/>
                <w:bCs/>
                <w:sz w:val="20"/>
                <w:szCs w:val="20"/>
              </w:rPr>
            </w:pPr>
            <w:r w:rsidRPr="0086576B">
              <w:rPr>
                <w:rFonts w:ascii="Calibri" w:hAnsi="Calibri"/>
                <w:b/>
                <w:bCs/>
              </w:rPr>
              <w:t>Exchange</w:t>
            </w:r>
          </w:p>
        </w:tc>
        <w:tc>
          <w:tcPr>
            <w:tcW w:w="1361" w:type="dxa"/>
            <w:tcBorders>
              <w:top w:val="single" w:sz="8" w:space="0" w:color="auto"/>
              <w:left w:val="nil"/>
              <w:bottom w:val="nil"/>
              <w:right w:val="single" w:sz="8" w:space="0" w:color="auto"/>
            </w:tcBorders>
            <w:shd w:val="clear" w:color="000000" w:fill="44546A"/>
            <w:noWrap/>
            <w:vAlign w:val="bottom"/>
            <w:hideMark/>
          </w:tcPr>
          <w:p w14:paraId="5A2DB228" w14:textId="77777777" w:rsidR="00013078" w:rsidRPr="0086576B" w:rsidRDefault="00013078" w:rsidP="00AE0577">
            <w:pPr>
              <w:jc w:val="both"/>
              <w:rPr>
                <w:rFonts w:asciiTheme="minorHAnsi" w:hAnsiTheme="minorHAnsi"/>
                <w:b/>
                <w:bCs/>
                <w:sz w:val="20"/>
                <w:szCs w:val="20"/>
              </w:rPr>
            </w:pPr>
            <w:r w:rsidRPr="0086576B">
              <w:rPr>
                <w:rFonts w:ascii="Calibri" w:hAnsi="Calibri"/>
                <w:b/>
                <w:bCs/>
              </w:rPr>
              <w:t>Sum of 2016 Total in EUR</w:t>
            </w:r>
          </w:p>
        </w:tc>
        <w:tc>
          <w:tcPr>
            <w:tcW w:w="1361" w:type="dxa"/>
            <w:tcBorders>
              <w:top w:val="single" w:sz="8" w:space="0" w:color="auto"/>
              <w:left w:val="nil"/>
              <w:bottom w:val="nil"/>
              <w:right w:val="single" w:sz="8" w:space="0" w:color="auto"/>
            </w:tcBorders>
            <w:shd w:val="clear" w:color="000000" w:fill="44546A"/>
            <w:noWrap/>
            <w:vAlign w:val="bottom"/>
            <w:hideMark/>
          </w:tcPr>
          <w:p w14:paraId="2618878B" w14:textId="77777777" w:rsidR="00013078" w:rsidRPr="0086576B" w:rsidRDefault="00013078" w:rsidP="00AE0577">
            <w:pPr>
              <w:jc w:val="both"/>
              <w:rPr>
                <w:rFonts w:asciiTheme="minorHAnsi" w:hAnsiTheme="minorHAnsi"/>
                <w:b/>
                <w:bCs/>
                <w:sz w:val="20"/>
                <w:szCs w:val="20"/>
              </w:rPr>
            </w:pPr>
            <w:r w:rsidRPr="0086576B">
              <w:rPr>
                <w:rFonts w:ascii="Calibri" w:hAnsi="Calibri"/>
                <w:b/>
                <w:bCs/>
              </w:rPr>
              <w:t>Sum of 2017 Total in EUR</w:t>
            </w:r>
          </w:p>
        </w:tc>
        <w:tc>
          <w:tcPr>
            <w:tcW w:w="1361" w:type="dxa"/>
            <w:tcBorders>
              <w:top w:val="single" w:sz="8" w:space="0" w:color="auto"/>
              <w:left w:val="nil"/>
              <w:bottom w:val="nil"/>
              <w:right w:val="single" w:sz="8" w:space="0" w:color="auto"/>
            </w:tcBorders>
            <w:shd w:val="clear" w:color="000000" w:fill="44546A"/>
            <w:noWrap/>
            <w:vAlign w:val="bottom"/>
            <w:hideMark/>
          </w:tcPr>
          <w:p w14:paraId="16149F43" w14:textId="77777777" w:rsidR="00013078" w:rsidRPr="0086576B" w:rsidRDefault="00013078" w:rsidP="00AE0577">
            <w:pPr>
              <w:jc w:val="both"/>
              <w:rPr>
                <w:rFonts w:asciiTheme="minorHAnsi" w:hAnsiTheme="minorHAnsi"/>
                <w:b/>
                <w:bCs/>
                <w:sz w:val="20"/>
                <w:szCs w:val="20"/>
              </w:rPr>
            </w:pPr>
            <w:r w:rsidRPr="0086576B">
              <w:rPr>
                <w:rFonts w:ascii="Calibri" w:hAnsi="Calibri"/>
                <w:b/>
                <w:bCs/>
              </w:rPr>
              <w:t>Sum of 2018 Total in EUR</w:t>
            </w:r>
          </w:p>
        </w:tc>
        <w:tc>
          <w:tcPr>
            <w:tcW w:w="1361" w:type="dxa"/>
            <w:tcBorders>
              <w:top w:val="single" w:sz="8" w:space="0" w:color="auto"/>
              <w:left w:val="nil"/>
              <w:bottom w:val="nil"/>
              <w:right w:val="nil"/>
            </w:tcBorders>
            <w:shd w:val="clear" w:color="000000" w:fill="44546A"/>
            <w:noWrap/>
            <w:vAlign w:val="bottom"/>
            <w:hideMark/>
          </w:tcPr>
          <w:p w14:paraId="302E96EC" w14:textId="77777777" w:rsidR="00013078" w:rsidRPr="0086576B" w:rsidRDefault="00013078" w:rsidP="00AE0577">
            <w:pPr>
              <w:jc w:val="both"/>
              <w:rPr>
                <w:rFonts w:asciiTheme="minorHAnsi" w:hAnsiTheme="minorHAnsi"/>
                <w:b/>
                <w:bCs/>
                <w:sz w:val="20"/>
                <w:szCs w:val="20"/>
              </w:rPr>
            </w:pPr>
            <w:r w:rsidRPr="0086576B">
              <w:rPr>
                <w:rFonts w:ascii="Calibri" w:hAnsi="Calibri"/>
                <w:b/>
                <w:bCs/>
              </w:rPr>
              <w:t>Sum of 2019 Total in EUR</w:t>
            </w:r>
          </w:p>
        </w:tc>
        <w:tc>
          <w:tcPr>
            <w:tcW w:w="1361" w:type="dxa"/>
            <w:tcBorders>
              <w:top w:val="single" w:sz="8" w:space="0" w:color="auto"/>
              <w:left w:val="single" w:sz="8" w:space="0" w:color="auto"/>
              <w:bottom w:val="nil"/>
              <w:right w:val="single" w:sz="8" w:space="0" w:color="auto"/>
            </w:tcBorders>
            <w:shd w:val="clear" w:color="000000" w:fill="44546A"/>
            <w:noWrap/>
            <w:vAlign w:val="bottom"/>
            <w:hideMark/>
          </w:tcPr>
          <w:p w14:paraId="06609D73" w14:textId="77777777" w:rsidR="00013078" w:rsidRPr="0086576B" w:rsidRDefault="00013078" w:rsidP="00AE0577">
            <w:pPr>
              <w:jc w:val="both"/>
              <w:rPr>
                <w:rFonts w:asciiTheme="minorHAnsi" w:hAnsiTheme="minorHAnsi"/>
                <w:b/>
                <w:bCs/>
                <w:sz w:val="20"/>
                <w:szCs w:val="20"/>
              </w:rPr>
            </w:pPr>
            <w:r w:rsidRPr="0086576B">
              <w:rPr>
                <w:rFonts w:ascii="Calibri" w:hAnsi="Calibri"/>
                <w:b/>
                <w:bCs/>
              </w:rPr>
              <w:t>% Change 2016-19</w:t>
            </w:r>
          </w:p>
        </w:tc>
      </w:tr>
      <w:tr w:rsidR="00013078" w:rsidRPr="00650291" w14:paraId="5255D2D8" w14:textId="77777777" w:rsidTr="00AE0577">
        <w:trPr>
          <w:trHeight w:val="300"/>
        </w:trPr>
        <w:tc>
          <w:tcPr>
            <w:tcW w:w="2778"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60EC737F" w14:textId="77777777" w:rsidR="00013078" w:rsidRPr="00650291" w:rsidRDefault="00013078" w:rsidP="00AE0577">
            <w:pPr>
              <w:jc w:val="both"/>
              <w:rPr>
                <w:rFonts w:asciiTheme="minorHAnsi" w:hAnsiTheme="minorHAnsi"/>
                <w:color w:val="000000"/>
                <w:sz w:val="20"/>
                <w:szCs w:val="20"/>
              </w:rPr>
            </w:pPr>
            <w:proofErr w:type="spellStart"/>
            <w:r>
              <w:rPr>
                <w:rFonts w:ascii="Calibri" w:hAnsi="Calibri"/>
                <w:color w:val="000000"/>
              </w:rPr>
              <w:t>Bolsas</w:t>
            </w:r>
            <w:proofErr w:type="spellEnd"/>
            <w:r>
              <w:rPr>
                <w:rFonts w:ascii="Calibri" w:hAnsi="Calibri"/>
                <w:color w:val="000000"/>
              </w:rPr>
              <w:t xml:space="preserve"> y Mercado </w:t>
            </w:r>
            <w:proofErr w:type="spellStart"/>
            <w:r>
              <w:rPr>
                <w:rFonts w:ascii="Calibri" w:hAnsi="Calibri"/>
                <w:color w:val="000000"/>
              </w:rPr>
              <w:t>Espanoles</w:t>
            </w:r>
            <w:proofErr w:type="spellEnd"/>
          </w:p>
        </w:tc>
        <w:tc>
          <w:tcPr>
            <w:tcW w:w="1361" w:type="dxa"/>
            <w:tcBorders>
              <w:top w:val="single" w:sz="8" w:space="0" w:color="auto"/>
              <w:left w:val="nil"/>
              <w:bottom w:val="single" w:sz="4" w:space="0" w:color="auto"/>
              <w:right w:val="single" w:sz="4" w:space="0" w:color="auto"/>
            </w:tcBorders>
            <w:shd w:val="clear" w:color="auto" w:fill="auto"/>
            <w:noWrap/>
            <w:vAlign w:val="bottom"/>
            <w:hideMark/>
          </w:tcPr>
          <w:p w14:paraId="6A17BE2E" w14:textId="77777777" w:rsidR="00013078" w:rsidRPr="00650291" w:rsidRDefault="00013078" w:rsidP="00AE0577">
            <w:pPr>
              <w:jc w:val="right"/>
              <w:rPr>
                <w:rFonts w:asciiTheme="minorHAnsi" w:hAnsiTheme="minorHAnsi"/>
                <w:color w:val="000000"/>
                <w:sz w:val="20"/>
                <w:szCs w:val="20"/>
              </w:rPr>
            </w:pPr>
            <w:r>
              <w:rPr>
                <w:rFonts w:ascii="Calibri" w:hAnsi="Calibri"/>
                <w:color w:val="000000"/>
              </w:rPr>
              <w:t>19,440</w:t>
            </w:r>
          </w:p>
        </w:tc>
        <w:tc>
          <w:tcPr>
            <w:tcW w:w="1361" w:type="dxa"/>
            <w:tcBorders>
              <w:top w:val="single" w:sz="8" w:space="0" w:color="auto"/>
              <w:left w:val="nil"/>
              <w:bottom w:val="single" w:sz="4" w:space="0" w:color="auto"/>
              <w:right w:val="single" w:sz="4" w:space="0" w:color="auto"/>
            </w:tcBorders>
            <w:shd w:val="clear" w:color="auto" w:fill="auto"/>
            <w:noWrap/>
            <w:vAlign w:val="bottom"/>
            <w:hideMark/>
          </w:tcPr>
          <w:p w14:paraId="2BE7CBE5" w14:textId="77777777" w:rsidR="00013078" w:rsidRPr="00650291" w:rsidRDefault="00013078" w:rsidP="00AE0577">
            <w:pPr>
              <w:jc w:val="right"/>
              <w:rPr>
                <w:rFonts w:asciiTheme="minorHAnsi" w:hAnsiTheme="minorHAnsi"/>
                <w:color w:val="000000"/>
                <w:sz w:val="20"/>
                <w:szCs w:val="20"/>
              </w:rPr>
            </w:pPr>
            <w:r>
              <w:rPr>
                <w:rFonts w:ascii="Calibri" w:hAnsi="Calibri"/>
                <w:color w:val="000000"/>
              </w:rPr>
              <w:t>19,440</w:t>
            </w:r>
          </w:p>
        </w:tc>
        <w:tc>
          <w:tcPr>
            <w:tcW w:w="1361" w:type="dxa"/>
            <w:tcBorders>
              <w:top w:val="single" w:sz="8" w:space="0" w:color="auto"/>
              <w:left w:val="nil"/>
              <w:bottom w:val="single" w:sz="4" w:space="0" w:color="auto"/>
              <w:right w:val="single" w:sz="4" w:space="0" w:color="auto"/>
            </w:tcBorders>
            <w:shd w:val="clear" w:color="auto" w:fill="auto"/>
            <w:noWrap/>
            <w:vAlign w:val="bottom"/>
            <w:hideMark/>
          </w:tcPr>
          <w:p w14:paraId="7685DA38" w14:textId="77777777" w:rsidR="00013078" w:rsidRPr="00650291" w:rsidRDefault="00013078" w:rsidP="00AE0577">
            <w:pPr>
              <w:jc w:val="right"/>
              <w:rPr>
                <w:rFonts w:asciiTheme="minorHAnsi" w:hAnsiTheme="minorHAnsi"/>
                <w:color w:val="000000"/>
                <w:sz w:val="20"/>
                <w:szCs w:val="20"/>
              </w:rPr>
            </w:pPr>
            <w:r>
              <w:rPr>
                <w:rFonts w:ascii="Calibri" w:hAnsi="Calibri"/>
                <w:color w:val="000000"/>
              </w:rPr>
              <w:t>21,224</w:t>
            </w:r>
          </w:p>
        </w:tc>
        <w:tc>
          <w:tcPr>
            <w:tcW w:w="1361" w:type="dxa"/>
            <w:tcBorders>
              <w:top w:val="single" w:sz="8" w:space="0" w:color="auto"/>
              <w:left w:val="nil"/>
              <w:bottom w:val="single" w:sz="4" w:space="0" w:color="auto"/>
              <w:right w:val="nil"/>
            </w:tcBorders>
            <w:shd w:val="clear" w:color="auto" w:fill="auto"/>
            <w:noWrap/>
            <w:vAlign w:val="bottom"/>
            <w:hideMark/>
          </w:tcPr>
          <w:p w14:paraId="081181DF" w14:textId="77777777" w:rsidR="00013078" w:rsidRPr="00650291" w:rsidRDefault="00013078" w:rsidP="00AE0577">
            <w:pPr>
              <w:jc w:val="right"/>
              <w:rPr>
                <w:rFonts w:asciiTheme="minorHAnsi" w:hAnsiTheme="minorHAnsi"/>
                <w:color w:val="000000"/>
                <w:sz w:val="20"/>
                <w:szCs w:val="20"/>
              </w:rPr>
            </w:pPr>
            <w:r>
              <w:rPr>
                <w:rFonts w:ascii="Calibri" w:hAnsi="Calibri"/>
                <w:color w:val="000000"/>
              </w:rPr>
              <w:t>21,224</w:t>
            </w:r>
          </w:p>
        </w:tc>
        <w:tc>
          <w:tcPr>
            <w:tcW w:w="1361" w:type="dxa"/>
            <w:tcBorders>
              <w:top w:val="single" w:sz="8" w:space="0" w:color="auto"/>
              <w:left w:val="single" w:sz="8" w:space="0" w:color="auto"/>
              <w:bottom w:val="single" w:sz="4" w:space="0" w:color="auto"/>
              <w:right w:val="single" w:sz="8" w:space="0" w:color="auto"/>
            </w:tcBorders>
            <w:shd w:val="clear" w:color="000000" w:fill="DDEBF7"/>
            <w:noWrap/>
            <w:vAlign w:val="bottom"/>
            <w:hideMark/>
          </w:tcPr>
          <w:p w14:paraId="22AFEE4D" w14:textId="77777777" w:rsidR="00013078" w:rsidRPr="00650291" w:rsidRDefault="00013078" w:rsidP="00AE0577">
            <w:pPr>
              <w:jc w:val="right"/>
              <w:rPr>
                <w:rFonts w:asciiTheme="minorHAnsi" w:hAnsiTheme="minorHAnsi"/>
                <w:b/>
                <w:bCs/>
                <w:color w:val="000000"/>
                <w:sz w:val="20"/>
                <w:szCs w:val="20"/>
              </w:rPr>
            </w:pPr>
            <w:r>
              <w:rPr>
                <w:rFonts w:ascii="Calibri" w:hAnsi="Calibri"/>
                <w:b/>
                <w:bCs/>
                <w:color w:val="000000"/>
              </w:rPr>
              <w:t>9%</w:t>
            </w:r>
          </w:p>
        </w:tc>
      </w:tr>
      <w:tr w:rsidR="00013078" w:rsidRPr="00650291" w14:paraId="0C8069A0" w14:textId="77777777" w:rsidTr="00AE0577">
        <w:trPr>
          <w:trHeight w:val="300"/>
        </w:trPr>
        <w:tc>
          <w:tcPr>
            <w:tcW w:w="2778" w:type="dxa"/>
            <w:tcBorders>
              <w:top w:val="nil"/>
              <w:left w:val="single" w:sz="8" w:space="0" w:color="auto"/>
              <w:bottom w:val="single" w:sz="4" w:space="0" w:color="auto"/>
              <w:right w:val="single" w:sz="4" w:space="0" w:color="auto"/>
            </w:tcBorders>
            <w:shd w:val="clear" w:color="auto" w:fill="auto"/>
            <w:noWrap/>
            <w:vAlign w:val="bottom"/>
            <w:hideMark/>
          </w:tcPr>
          <w:p w14:paraId="41867E43" w14:textId="77777777" w:rsidR="00013078" w:rsidRPr="00650291" w:rsidRDefault="00013078" w:rsidP="00AE0577">
            <w:pPr>
              <w:jc w:val="both"/>
              <w:rPr>
                <w:rFonts w:asciiTheme="minorHAnsi" w:hAnsiTheme="minorHAnsi"/>
                <w:color w:val="000000"/>
                <w:sz w:val="20"/>
                <w:szCs w:val="20"/>
              </w:rPr>
            </w:pPr>
            <w:proofErr w:type="spellStart"/>
            <w:r>
              <w:rPr>
                <w:rFonts w:ascii="Calibri" w:hAnsi="Calibri"/>
                <w:color w:val="000000"/>
              </w:rPr>
              <w:t>Borsa</w:t>
            </w:r>
            <w:proofErr w:type="spellEnd"/>
            <w:r>
              <w:rPr>
                <w:rFonts w:ascii="Calibri" w:hAnsi="Calibri"/>
                <w:color w:val="000000"/>
              </w:rPr>
              <w:t xml:space="preserve"> </w:t>
            </w:r>
            <w:proofErr w:type="spellStart"/>
            <w:r>
              <w:rPr>
                <w:rFonts w:ascii="Calibri" w:hAnsi="Calibri"/>
                <w:color w:val="000000"/>
              </w:rPr>
              <w:t>Italiana</w:t>
            </w:r>
            <w:proofErr w:type="spellEnd"/>
          </w:p>
        </w:tc>
        <w:tc>
          <w:tcPr>
            <w:tcW w:w="1361" w:type="dxa"/>
            <w:tcBorders>
              <w:top w:val="nil"/>
              <w:left w:val="nil"/>
              <w:bottom w:val="single" w:sz="4" w:space="0" w:color="auto"/>
              <w:right w:val="single" w:sz="4" w:space="0" w:color="auto"/>
            </w:tcBorders>
            <w:shd w:val="clear" w:color="auto" w:fill="auto"/>
            <w:noWrap/>
            <w:vAlign w:val="bottom"/>
            <w:hideMark/>
          </w:tcPr>
          <w:p w14:paraId="5FA6A95A" w14:textId="77777777" w:rsidR="00013078" w:rsidRPr="00650291" w:rsidRDefault="00013078" w:rsidP="00AE0577">
            <w:pPr>
              <w:jc w:val="right"/>
              <w:rPr>
                <w:rFonts w:asciiTheme="minorHAnsi" w:hAnsiTheme="minorHAnsi"/>
                <w:color w:val="000000"/>
                <w:sz w:val="20"/>
                <w:szCs w:val="20"/>
              </w:rPr>
            </w:pPr>
            <w:r>
              <w:rPr>
                <w:rFonts w:ascii="Calibri" w:hAnsi="Calibri"/>
                <w:color w:val="000000"/>
              </w:rPr>
              <w:t>59,530</w:t>
            </w:r>
          </w:p>
        </w:tc>
        <w:tc>
          <w:tcPr>
            <w:tcW w:w="1361" w:type="dxa"/>
            <w:tcBorders>
              <w:top w:val="nil"/>
              <w:left w:val="nil"/>
              <w:bottom w:val="single" w:sz="4" w:space="0" w:color="auto"/>
              <w:right w:val="single" w:sz="4" w:space="0" w:color="auto"/>
            </w:tcBorders>
            <w:shd w:val="clear" w:color="auto" w:fill="auto"/>
            <w:noWrap/>
            <w:vAlign w:val="bottom"/>
            <w:hideMark/>
          </w:tcPr>
          <w:p w14:paraId="17BBD9CF" w14:textId="77777777" w:rsidR="00013078" w:rsidRPr="00650291" w:rsidRDefault="00013078" w:rsidP="00AE0577">
            <w:pPr>
              <w:jc w:val="right"/>
              <w:rPr>
                <w:rFonts w:asciiTheme="minorHAnsi" w:hAnsiTheme="minorHAnsi"/>
                <w:color w:val="000000"/>
                <w:sz w:val="20"/>
                <w:szCs w:val="20"/>
              </w:rPr>
            </w:pPr>
            <w:r>
              <w:rPr>
                <w:rFonts w:ascii="Calibri" w:hAnsi="Calibri"/>
                <w:color w:val="000000"/>
              </w:rPr>
              <w:t>59,752</w:t>
            </w:r>
          </w:p>
        </w:tc>
        <w:tc>
          <w:tcPr>
            <w:tcW w:w="1361" w:type="dxa"/>
            <w:tcBorders>
              <w:top w:val="nil"/>
              <w:left w:val="nil"/>
              <w:bottom w:val="single" w:sz="4" w:space="0" w:color="auto"/>
              <w:right w:val="single" w:sz="4" w:space="0" w:color="auto"/>
            </w:tcBorders>
            <w:shd w:val="clear" w:color="auto" w:fill="auto"/>
            <w:noWrap/>
            <w:vAlign w:val="bottom"/>
            <w:hideMark/>
          </w:tcPr>
          <w:p w14:paraId="1C9F9432" w14:textId="77777777" w:rsidR="00013078" w:rsidRPr="00650291" w:rsidRDefault="00013078" w:rsidP="00AE0577">
            <w:pPr>
              <w:jc w:val="right"/>
              <w:rPr>
                <w:rFonts w:asciiTheme="minorHAnsi" w:hAnsiTheme="minorHAnsi"/>
                <w:color w:val="000000"/>
                <w:sz w:val="20"/>
                <w:szCs w:val="20"/>
              </w:rPr>
            </w:pPr>
            <w:r>
              <w:rPr>
                <w:rFonts w:ascii="Calibri" w:hAnsi="Calibri"/>
                <w:color w:val="000000"/>
              </w:rPr>
              <w:t>59,752</w:t>
            </w:r>
          </w:p>
        </w:tc>
        <w:tc>
          <w:tcPr>
            <w:tcW w:w="1361" w:type="dxa"/>
            <w:tcBorders>
              <w:top w:val="nil"/>
              <w:left w:val="nil"/>
              <w:bottom w:val="single" w:sz="4" w:space="0" w:color="auto"/>
              <w:right w:val="nil"/>
            </w:tcBorders>
            <w:shd w:val="clear" w:color="auto" w:fill="auto"/>
            <w:noWrap/>
            <w:vAlign w:val="bottom"/>
            <w:hideMark/>
          </w:tcPr>
          <w:p w14:paraId="31050C45" w14:textId="77777777" w:rsidR="00013078" w:rsidRPr="00650291" w:rsidRDefault="00013078" w:rsidP="00AE0577">
            <w:pPr>
              <w:jc w:val="right"/>
              <w:rPr>
                <w:rFonts w:asciiTheme="minorHAnsi" w:hAnsiTheme="minorHAnsi"/>
                <w:color w:val="000000"/>
                <w:sz w:val="20"/>
                <w:szCs w:val="20"/>
              </w:rPr>
            </w:pPr>
            <w:r>
              <w:rPr>
                <w:rFonts w:ascii="Calibri" w:hAnsi="Calibri"/>
                <w:color w:val="000000"/>
              </w:rPr>
              <w:t>59,860</w:t>
            </w:r>
          </w:p>
        </w:tc>
        <w:tc>
          <w:tcPr>
            <w:tcW w:w="1361" w:type="dxa"/>
            <w:tcBorders>
              <w:top w:val="nil"/>
              <w:left w:val="single" w:sz="8" w:space="0" w:color="auto"/>
              <w:bottom w:val="single" w:sz="4" w:space="0" w:color="auto"/>
              <w:right w:val="single" w:sz="8" w:space="0" w:color="auto"/>
            </w:tcBorders>
            <w:shd w:val="clear" w:color="000000" w:fill="DDEBF7"/>
            <w:noWrap/>
            <w:vAlign w:val="bottom"/>
            <w:hideMark/>
          </w:tcPr>
          <w:p w14:paraId="29B47F32" w14:textId="77777777" w:rsidR="00013078" w:rsidRPr="00650291" w:rsidRDefault="00013078" w:rsidP="00AE0577">
            <w:pPr>
              <w:jc w:val="right"/>
              <w:rPr>
                <w:rFonts w:asciiTheme="minorHAnsi" w:hAnsiTheme="minorHAnsi"/>
                <w:b/>
                <w:bCs/>
                <w:color w:val="000000"/>
                <w:sz w:val="20"/>
                <w:szCs w:val="20"/>
              </w:rPr>
            </w:pPr>
            <w:r>
              <w:rPr>
                <w:rFonts w:ascii="Calibri" w:hAnsi="Calibri"/>
                <w:b/>
                <w:bCs/>
                <w:color w:val="000000"/>
              </w:rPr>
              <w:t>1%</w:t>
            </w:r>
          </w:p>
        </w:tc>
      </w:tr>
      <w:tr w:rsidR="00013078" w:rsidRPr="00650291" w14:paraId="29C09D12" w14:textId="77777777" w:rsidTr="00AE0577">
        <w:trPr>
          <w:trHeight w:val="300"/>
        </w:trPr>
        <w:tc>
          <w:tcPr>
            <w:tcW w:w="2778" w:type="dxa"/>
            <w:tcBorders>
              <w:top w:val="nil"/>
              <w:left w:val="single" w:sz="8" w:space="0" w:color="auto"/>
              <w:bottom w:val="single" w:sz="4" w:space="0" w:color="auto"/>
              <w:right w:val="single" w:sz="4" w:space="0" w:color="auto"/>
            </w:tcBorders>
            <w:shd w:val="clear" w:color="auto" w:fill="auto"/>
            <w:noWrap/>
            <w:vAlign w:val="bottom"/>
            <w:hideMark/>
          </w:tcPr>
          <w:p w14:paraId="3560C50A" w14:textId="55223FDB" w:rsidR="00013078" w:rsidRPr="00650291" w:rsidRDefault="00013078" w:rsidP="00AE0577">
            <w:pPr>
              <w:jc w:val="both"/>
              <w:rPr>
                <w:rFonts w:asciiTheme="minorHAnsi" w:hAnsiTheme="minorHAnsi"/>
                <w:color w:val="000000"/>
                <w:sz w:val="20"/>
                <w:szCs w:val="20"/>
              </w:rPr>
            </w:pPr>
            <w:r>
              <w:rPr>
                <w:rFonts w:ascii="Calibri" w:hAnsi="Calibri"/>
                <w:color w:val="000000"/>
              </w:rPr>
              <w:t xml:space="preserve">Deutsche </w:t>
            </w:r>
            <w:r w:rsidR="00492E53">
              <w:rPr>
                <w:rFonts w:ascii="Calibri" w:hAnsi="Calibri"/>
                <w:color w:val="000000"/>
              </w:rPr>
              <w:t>Boerse</w:t>
            </w:r>
          </w:p>
        </w:tc>
        <w:tc>
          <w:tcPr>
            <w:tcW w:w="1361" w:type="dxa"/>
            <w:tcBorders>
              <w:top w:val="nil"/>
              <w:left w:val="nil"/>
              <w:bottom w:val="single" w:sz="4" w:space="0" w:color="auto"/>
              <w:right w:val="single" w:sz="4" w:space="0" w:color="auto"/>
            </w:tcBorders>
            <w:shd w:val="clear" w:color="auto" w:fill="auto"/>
            <w:noWrap/>
            <w:vAlign w:val="bottom"/>
            <w:hideMark/>
          </w:tcPr>
          <w:p w14:paraId="5C73E706" w14:textId="77777777" w:rsidR="00013078" w:rsidRPr="00650291" w:rsidRDefault="00013078" w:rsidP="00AE0577">
            <w:pPr>
              <w:jc w:val="right"/>
              <w:rPr>
                <w:rFonts w:asciiTheme="minorHAnsi" w:hAnsiTheme="minorHAnsi"/>
                <w:color w:val="000000"/>
                <w:sz w:val="20"/>
                <w:szCs w:val="20"/>
              </w:rPr>
            </w:pPr>
            <w:r>
              <w:rPr>
                <w:rFonts w:ascii="Calibri" w:hAnsi="Calibri"/>
                <w:color w:val="000000"/>
              </w:rPr>
              <w:t>31,200</w:t>
            </w:r>
          </w:p>
        </w:tc>
        <w:tc>
          <w:tcPr>
            <w:tcW w:w="1361" w:type="dxa"/>
            <w:tcBorders>
              <w:top w:val="nil"/>
              <w:left w:val="nil"/>
              <w:bottom w:val="single" w:sz="4" w:space="0" w:color="auto"/>
              <w:right w:val="single" w:sz="4" w:space="0" w:color="auto"/>
            </w:tcBorders>
            <w:shd w:val="clear" w:color="auto" w:fill="auto"/>
            <w:noWrap/>
            <w:vAlign w:val="bottom"/>
            <w:hideMark/>
          </w:tcPr>
          <w:p w14:paraId="6572BB93" w14:textId="77777777" w:rsidR="00013078" w:rsidRPr="00650291" w:rsidRDefault="00013078" w:rsidP="00AE0577">
            <w:pPr>
              <w:jc w:val="right"/>
              <w:rPr>
                <w:rFonts w:asciiTheme="minorHAnsi" w:hAnsiTheme="minorHAnsi"/>
                <w:color w:val="000000"/>
                <w:sz w:val="20"/>
                <w:szCs w:val="20"/>
              </w:rPr>
            </w:pPr>
            <w:r>
              <w:rPr>
                <w:rFonts w:ascii="Calibri" w:hAnsi="Calibri"/>
                <w:color w:val="000000"/>
              </w:rPr>
              <w:t>31,200</w:t>
            </w:r>
          </w:p>
        </w:tc>
        <w:tc>
          <w:tcPr>
            <w:tcW w:w="1361" w:type="dxa"/>
            <w:tcBorders>
              <w:top w:val="nil"/>
              <w:left w:val="nil"/>
              <w:bottom w:val="single" w:sz="4" w:space="0" w:color="auto"/>
              <w:right w:val="single" w:sz="4" w:space="0" w:color="auto"/>
            </w:tcBorders>
            <w:shd w:val="clear" w:color="auto" w:fill="auto"/>
            <w:noWrap/>
            <w:vAlign w:val="bottom"/>
            <w:hideMark/>
          </w:tcPr>
          <w:p w14:paraId="7D92F3E7" w14:textId="77777777" w:rsidR="00013078" w:rsidRPr="00650291" w:rsidRDefault="00013078" w:rsidP="00AE0577">
            <w:pPr>
              <w:jc w:val="right"/>
              <w:rPr>
                <w:rFonts w:asciiTheme="minorHAnsi" w:hAnsiTheme="minorHAnsi"/>
                <w:color w:val="000000"/>
                <w:sz w:val="20"/>
                <w:szCs w:val="20"/>
              </w:rPr>
            </w:pPr>
            <w:r>
              <w:rPr>
                <w:rFonts w:ascii="Calibri" w:hAnsi="Calibri"/>
                <w:color w:val="000000"/>
              </w:rPr>
              <w:t>44,136</w:t>
            </w:r>
          </w:p>
        </w:tc>
        <w:tc>
          <w:tcPr>
            <w:tcW w:w="1361" w:type="dxa"/>
            <w:tcBorders>
              <w:top w:val="nil"/>
              <w:left w:val="nil"/>
              <w:bottom w:val="single" w:sz="4" w:space="0" w:color="auto"/>
              <w:right w:val="nil"/>
            </w:tcBorders>
            <w:shd w:val="clear" w:color="auto" w:fill="auto"/>
            <w:noWrap/>
            <w:vAlign w:val="bottom"/>
            <w:hideMark/>
          </w:tcPr>
          <w:p w14:paraId="09A3EEA4" w14:textId="77777777" w:rsidR="00013078" w:rsidRPr="00650291" w:rsidRDefault="00013078" w:rsidP="00AE0577">
            <w:pPr>
              <w:jc w:val="right"/>
              <w:rPr>
                <w:rFonts w:asciiTheme="minorHAnsi" w:hAnsiTheme="minorHAnsi"/>
                <w:color w:val="000000"/>
                <w:sz w:val="20"/>
                <w:szCs w:val="20"/>
              </w:rPr>
            </w:pPr>
            <w:r>
              <w:rPr>
                <w:rFonts w:ascii="Calibri" w:hAnsi="Calibri"/>
                <w:color w:val="000000"/>
              </w:rPr>
              <w:t>56,847</w:t>
            </w:r>
          </w:p>
        </w:tc>
        <w:tc>
          <w:tcPr>
            <w:tcW w:w="1361" w:type="dxa"/>
            <w:tcBorders>
              <w:top w:val="nil"/>
              <w:left w:val="single" w:sz="8" w:space="0" w:color="auto"/>
              <w:bottom w:val="single" w:sz="4" w:space="0" w:color="auto"/>
              <w:right w:val="single" w:sz="8" w:space="0" w:color="auto"/>
            </w:tcBorders>
            <w:shd w:val="clear" w:color="000000" w:fill="DDEBF7"/>
            <w:noWrap/>
            <w:vAlign w:val="bottom"/>
            <w:hideMark/>
          </w:tcPr>
          <w:p w14:paraId="7106B7A8" w14:textId="77777777" w:rsidR="00013078" w:rsidRPr="00650291" w:rsidRDefault="00013078" w:rsidP="00AE0577">
            <w:pPr>
              <w:jc w:val="right"/>
              <w:rPr>
                <w:rFonts w:asciiTheme="minorHAnsi" w:hAnsiTheme="minorHAnsi"/>
                <w:b/>
                <w:bCs/>
                <w:color w:val="000000"/>
                <w:sz w:val="20"/>
                <w:szCs w:val="20"/>
              </w:rPr>
            </w:pPr>
            <w:r>
              <w:rPr>
                <w:rFonts w:ascii="Calibri" w:hAnsi="Calibri"/>
                <w:b/>
                <w:bCs/>
                <w:color w:val="000000"/>
              </w:rPr>
              <w:t>82%</w:t>
            </w:r>
          </w:p>
        </w:tc>
      </w:tr>
      <w:tr w:rsidR="00013078" w:rsidRPr="00650291" w14:paraId="3AB2593F" w14:textId="77777777" w:rsidTr="00AE0577">
        <w:trPr>
          <w:trHeight w:val="300"/>
        </w:trPr>
        <w:tc>
          <w:tcPr>
            <w:tcW w:w="2778" w:type="dxa"/>
            <w:tcBorders>
              <w:top w:val="nil"/>
              <w:left w:val="single" w:sz="8" w:space="0" w:color="auto"/>
              <w:bottom w:val="single" w:sz="4" w:space="0" w:color="auto"/>
              <w:right w:val="single" w:sz="4" w:space="0" w:color="auto"/>
            </w:tcBorders>
            <w:shd w:val="clear" w:color="auto" w:fill="auto"/>
            <w:noWrap/>
            <w:vAlign w:val="bottom"/>
            <w:hideMark/>
          </w:tcPr>
          <w:p w14:paraId="5D568AE3" w14:textId="77777777" w:rsidR="00013078" w:rsidRPr="00650291" w:rsidRDefault="00013078" w:rsidP="00AE0577">
            <w:pPr>
              <w:jc w:val="both"/>
              <w:rPr>
                <w:rFonts w:asciiTheme="minorHAnsi" w:hAnsiTheme="minorHAnsi"/>
                <w:color w:val="000000"/>
                <w:sz w:val="20"/>
                <w:szCs w:val="20"/>
              </w:rPr>
            </w:pPr>
            <w:r>
              <w:rPr>
                <w:rFonts w:ascii="Calibri" w:hAnsi="Calibri"/>
                <w:color w:val="000000"/>
              </w:rPr>
              <w:t>Euronext</w:t>
            </w:r>
          </w:p>
        </w:tc>
        <w:tc>
          <w:tcPr>
            <w:tcW w:w="1361" w:type="dxa"/>
            <w:tcBorders>
              <w:top w:val="nil"/>
              <w:left w:val="nil"/>
              <w:bottom w:val="single" w:sz="4" w:space="0" w:color="auto"/>
              <w:right w:val="single" w:sz="4" w:space="0" w:color="auto"/>
            </w:tcBorders>
            <w:shd w:val="clear" w:color="auto" w:fill="auto"/>
            <w:noWrap/>
            <w:vAlign w:val="bottom"/>
            <w:hideMark/>
          </w:tcPr>
          <w:p w14:paraId="5C1B0E04" w14:textId="77777777" w:rsidR="00013078" w:rsidRPr="00650291" w:rsidRDefault="00013078" w:rsidP="00AE0577">
            <w:pPr>
              <w:jc w:val="right"/>
              <w:rPr>
                <w:rFonts w:asciiTheme="minorHAnsi" w:hAnsiTheme="minorHAnsi"/>
                <w:color w:val="000000"/>
                <w:sz w:val="20"/>
                <w:szCs w:val="20"/>
              </w:rPr>
            </w:pPr>
            <w:r>
              <w:rPr>
                <w:rFonts w:ascii="Calibri" w:hAnsi="Calibri"/>
                <w:color w:val="000000"/>
              </w:rPr>
              <w:t>13,080</w:t>
            </w:r>
          </w:p>
        </w:tc>
        <w:tc>
          <w:tcPr>
            <w:tcW w:w="1361" w:type="dxa"/>
            <w:tcBorders>
              <w:top w:val="nil"/>
              <w:left w:val="nil"/>
              <w:bottom w:val="single" w:sz="4" w:space="0" w:color="auto"/>
              <w:right w:val="single" w:sz="4" w:space="0" w:color="auto"/>
            </w:tcBorders>
            <w:shd w:val="clear" w:color="auto" w:fill="auto"/>
            <w:noWrap/>
            <w:vAlign w:val="bottom"/>
            <w:hideMark/>
          </w:tcPr>
          <w:p w14:paraId="14F58A58" w14:textId="77777777" w:rsidR="00013078" w:rsidRPr="00650291" w:rsidRDefault="00013078" w:rsidP="00AE0577">
            <w:pPr>
              <w:jc w:val="right"/>
              <w:rPr>
                <w:rFonts w:asciiTheme="minorHAnsi" w:hAnsiTheme="minorHAnsi"/>
                <w:color w:val="000000"/>
                <w:sz w:val="20"/>
                <w:szCs w:val="20"/>
              </w:rPr>
            </w:pPr>
            <w:r>
              <w:rPr>
                <w:rFonts w:ascii="Calibri" w:hAnsi="Calibri"/>
                <w:color w:val="000000"/>
              </w:rPr>
              <w:t>14,100</w:t>
            </w:r>
          </w:p>
        </w:tc>
        <w:tc>
          <w:tcPr>
            <w:tcW w:w="1361" w:type="dxa"/>
            <w:tcBorders>
              <w:top w:val="nil"/>
              <w:left w:val="nil"/>
              <w:bottom w:val="single" w:sz="4" w:space="0" w:color="auto"/>
              <w:right w:val="single" w:sz="4" w:space="0" w:color="auto"/>
            </w:tcBorders>
            <w:shd w:val="clear" w:color="auto" w:fill="auto"/>
            <w:noWrap/>
            <w:vAlign w:val="bottom"/>
            <w:hideMark/>
          </w:tcPr>
          <w:p w14:paraId="2AC9121C" w14:textId="77777777" w:rsidR="00013078" w:rsidRPr="00650291" w:rsidRDefault="00013078" w:rsidP="00AE0577">
            <w:pPr>
              <w:jc w:val="right"/>
              <w:rPr>
                <w:rFonts w:asciiTheme="minorHAnsi" w:hAnsiTheme="minorHAnsi"/>
                <w:color w:val="000000"/>
                <w:sz w:val="20"/>
                <w:szCs w:val="20"/>
              </w:rPr>
            </w:pPr>
            <w:r>
              <w:rPr>
                <w:rFonts w:ascii="Calibri" w:hAnsi="Calibri"/>
                <w:color w:val="000000"/>
              </w:rPr>
              <w:t>42,210</w:t>
            </w:r>
          </w:p>
        </w:tc>
        <w:tc>
          <w:tcPr>
            <w:tcW w:w="1361" w:type="dxa"/>
            <w:tcBorders>
              <w:top w:val="nil"/>
              <w:left w:val="nil"/>
              <w:bottom w:val="single" w:sz="4" w:space="0" w:color="auto"/>
              <w:right w:val="nil"/>
            </w:tcBorders>
            <w:shd w:val="clear" w:color="auto" w:fill="auto"/>
            <w:noWrap/>
            <w:vAlign w:val="bottom"/>
            <w:hideMark/>
          </w:tcPr>
          <w:p w14:paraId="7EC8823A" w14:textId="77777777" w:rsidR="00013078" w:rsidRPr="00650291" w:rsidRDefault="00013078" w:rsidP="00AE0577">
            <w:pPr>
              <w:jc w:val="right"/>
              <w:rPr>
                <w:rFonts w:asciiTheme="minorHAnsi" w:hAnsiTheme="minorHAnsi"/>
                <w:color w:val="000000"/>
                <w:sz w:val="20"/>
                <w:szCs w:val="20"/>
              </w:rPr>
            </w:pPr>
            <w:r>
              <w:rPr>
                <w:rFonts w:ascii="Calibri" w:hAnsi="Calibri"/>
                <w:color w:val="000000"/>
              </w:rPr>
              <w:t>41,654</w:t>
            </w:r>
          </w:p>
        </w:tc>
        <w:tc>
          <w:tcPr>
            <w:tcW w:w="1361" w:type="dxa"/>
            <w:tcBorders>
              <w:top w:val="nil"/>
              <w:left w:val="single" w:sz="8" w:space="0" w:color="auto"/>
              <w:bottom w:val="single" w:sz="4" w:space="0" w:color="auto"/>
              <w:right w:val="single" w:sz="8" w:space="0" w:color="auto"/>
            </w:tcBorders>
            <w:shd w:val="clear" w:color="000000" w:fill="DDEBF7"/>
            <w:noWrap/>
            <w:vAlign w:val="bottom"/>
            <w:hideMark/>
          </w:tcPr>
          <w:p w14:paraId="6D38E4E7" w14:textId="77777777" w:rsidR="00013078" w:rsidRPr="00650291" w:rsidRDefault="00013078" w:rsidP="00AE0577">
            <w:pPr>
              <w:jc w:val="right"/>
              <w:rPr>
                <w:rFonts w:asciiTheme="minorHAnsi" w:hAnsiTheme="minorHAnsi"/>
                <w:b/>
                <w:bCs/>
                <w:color w:val="000000"/>
                <w:sz w:val="20"/>
                <w:szCs w:val="20"/>
              </w:rPr>
            </w:pPr>
            <w:r>
              <w:rPr>
                <w:rFonts w:ascii="Calibri" w:hAnsi="Calibri"/>
                <w:b/>
                <w:bCs/>
                <w:color w:val="000000"/>
              </w:rPr>
              <w:t>218%</w:t>
            </w:r>
          </w:p>
        </w:tc>
      </w:tr>
      <w:tr w:rsidR="00013078" w:rsidRPr="00650291" w14:paraId="650E7880" w14:textId="77777777" w:rsidTr="00AE0577">
        <w:trPr>
          <w:trHeight w:val="300"/>
        </w:trPr>
        <w:tc>
          <w:tcPr>
            <w:tcW w:w="2778" w:type="dxa"/>
            <w:tcBorders>
              <w:top w:val="nil"/>
              <w:left w:val="single" w:sz="8" w:space="0" w:color="auto"/>
              <w:bottom w:val="single" w:sz="4" w:space="0" w:color="auto"/>
              <w:right w:val="single" w:sz="4" w:space="0" w:color="auto"/>
            </w:tcBorders>
            <w:shd w:val="clear" w:color="auto" w:fill="auto"/>
            <w:noWrap/>
            <w:vAlign w:val="bottom"/>
            <w:hideMark/>
          </w:tcPr>
          <w:p w14:paraId="67168BF1" w14:textId="77777777" w:rsidR="00013078" w:rsidRPr="00650291" w:rsidRDefault="00013078" w:rsidP="00AE0577">
            <w:pPr>
              <w:jc w:val="both"/>
              <w:rPr>
                <w:rFonts w:asciiTheme="minorHAnsi" w:hAnsiTheme="minorHAnsi"/>
                <w:color w:val="000000"/>
                <w:sz w:val="20"/>
                <w:szCs w:val="20"/>
              </w:rPr>
            </w:pPr>
            <w:r>
              <w:rPr>
                <w:rFonts w:ascii="Calibri" w:hAnsi="Calibri"/>
                <w:color w:val="000000"/>
              </w:rPr>
              <w:t>ICE Europe</w:t>
            </w:r>
          </w:p>
        </w:tc>
        <w:tc>
          <w:tcPr>
            <w:tcW w:w="1361" w:type="dxa"/>
            <w:tcBorders>
              <w:top w:val="nil"/>
              <w:left w:val="nil"/>
              <w:bottom w:val="single" w:sz="4" w:space="0" w:color="auto"/>
              <w:right w:val="single" w:sz="4" w:space="0" w:color="auto"/>
            </w:tcBorders>
            <w:shd w:val="clear" w:color="auto" w:fill="auto"/>
            <w:noWrap/>
            <w:vAlign w:val="bottom"/>
            <w:hideMark/>
          </w:tcPr>
          <w:p w14:paraId="67039662" w14:textId="77777777" w:rsidR="00013078" w:rsidRPr="00650291" w:rsidRDefault="00013078" w:rsidP="00AE0577">
            <w:pPr>
              <w:jc w:val="right"/>
              <w:rPr>
                <w:rFonts w:asciiTheme="minorHAnsi" w:hAnsiTheme="minorHAnsi"/>
                <w:color w:val="000000"/>
                <w:sz w:val="20"/>
                <w:szCs w:val="20"/>
              </w:rPr>
            </w:pPr>
            <w:r>
              <w:rPr>
                <w:rFonts w:ascii="Calibri" w:hAnsi="Calibri"/>
                <w:color w:val="000000"/>
              </w:rPr>
              <w:t>144,303</w:t>
            </w:r>
          </w:p>
        </w:tc>
        <w:tc>
          <w:tcPr>
            <w:tcW w:w="1361" w:type="dxa"/>
            <w:tcBorders>
              <w:top w:val="nil"/>
              <w:left w:val="nil"/>
              <w:bottom w:val="single" w:sz="4" w:space="0" w:color="auto"/>
              <w:right w:val="single" w:sz="4" w:space="0" w:color="auto"/>
            </w:tcBorders>
            <w:shd w:val="clear" w:color="auto" w:fill="auto"/>
            <w:noWrap/>
            <w:vAlign w:val="bottom"/>
            <w:hideMark/>
          </w:tcPr>
          <w:p w14:paraId="0FAD14C8" w14:textId="77777777" w:rsidR="00013078" w:rsidRPr="00650291" w:rsidRDefault="00013078" w:rsidP="00AE0577">
            <w:pPr>
              <w:jc w:val="right"/>
              <w:rPr>
                <w:rFonts w:asciiTheme="minorHAnsi" w:hAnsiTheme="minorHAnsi"/>
                <w:color w:val="000000"/>
                <w:sz w:val="20"/>
                <w:szCs w:val="20"/>
              </w:rPr>
            </w:pPr>
            <w:r>
              <w:rPr>
                <w:rFonts w:ascii="Calibri" w:hAnsi="Calibri"/>
                <w:color w:val="000000"/>
              </w:rPr>
              <w:t>139,754</w:t>
            </w:r>
          </w:p>
        </w:tc>
        <w:tc>
          <w:tcPr>
            <w:tcW w:w="1361" w:type="dxa"/>
            <w:tcBorders>
              <w:top w:val="nil"/>
              <w:left w:val="nil"/>
              <w:bottom w:val="single" w:sz="4" w:space="0" w:color="auto"/>
              <w:right w:val="single" w:sz="4" w:space="0" w:color="auto"/>
            </w:tcBorders>
            <w:shd w:val="clear" w:color="auto" w:fill="auto"/>
            <w:noWrap/>
            <w:vAlign w:val="bottom"/>
            <w:hideMark/>
          </w:tcPr>
          <w:p w14:paraId="7E02F4B3" w14:textId="77777777" w:rsidR="00013078" w:rsidRPr="00650291" w:rsidRDefault="00013078" w:rsidP="00AE0577">
            <w:pPr>
              <w:jc w:val="right"/>
              <w:rPr>
                <w:rFonts w:asciiTheme="minorHAnsi" w:hAnsiTheme="minorHAnsi"/>
                <w:color w:val="000000"/>
                <w:sz w:val="20"/>
                <w:szCs w:val="20"/>
              </w:rPr>
            </w:pPr>
            <w:r>
              <w:rPr>
                <w:rFonts w:ascii="Calibri" w:hAnsi="Calibri"/>
                <w:color w:val="000000"/>
              </w:rPr>
              <w:t>159,581</w:t>
            </w:r>
          </w:p>
        </w:tc>
        <w:tc>
          <w:tcPr>
            <w:tcW w:w="1361" w:type="dxa"/>
            <w:tcBorders>
              <w:top w:val="nil"/>
              <w:left w:val="nil"/>
              <w:bottom w:val="single" w:sz="4" w:space="0" w:color="auto"/>
              <w:right w:val="nil"/>
            </w:tcBorders>
            <w:shd w:val="clear" w:color="auto" w:fill="auto"/>
            <w:noWrap/>
            <w:vAlign w:val="bottom"/>
            <w:hideMark/>
          </w:tcPr>
          <w:p w14:paraId="52727222" w14:textId="77777777" w:rsidR="00013078" w:rsidRPr="00650291" w:rsidRDefault="00013078" w:rsidP="00AE0577">
            <w:pPr>
              <w:jc w:val="right"/>
              <w:rPr>
                <w:rFonts w:asciiTheme="minorHAnsi" w:hAnsiTheme="minorHAnsi"/>
                <w:color w:val="000000"/>
                <w:sz w:val="20"/>
                <w:szCs w:val="20"/>
              </w:rPr>
            </w:pPr>
            <w:r>
              <w:rPr>
                <w:rFonts w:ascii="Calibri" w:hAnsi="Calibri"/>
                <w:color w:val="000000"/>
              </w:rPr>
              <w:t>158,664</w:t>
            </w:r>
          </w:p>
        </w:tc>
        <w:tc>
          <w:tcPr>
            <w:tcW w:w="1361" w:type="dxa"/>
            <w:tcBorders>
              <w:top w:val="nil"/>
              <w:left w:val="single" w:sz="8" w:space="0" w:color="auto"/>
              <w:bottom w:val="single" w:sz="4" w:space="0" w:color="auto"/>
              <w:right w:val="single" w:sz="8" w:space="0" w:color="auto"/>
            </w:tcBorders>
            <w:shd w:val="clear" w:color="000000" w:fill="DDEBF7"/>
            <w:noWrap/>
            <w:vAlign w:val="bottom"/>
            <w:hideMark/>
          </w:tcPr>
          <w:p w14:paraId="0B916CFA" w14:textId="77777777" w:rsidR="00013078" w:rsidRPr="00650291" w:rsidRDefault="00013078" w:rsidP="00AE0577">
            <w:pPr>
              <w:jc w:val="right"/>
              <w:rPr>
                <w:rFonts w:asciiTheme="minorHAnsi" w:hAnsiTheme="minorHAnsi"/>
                <w:b/>
                <w:bCs/>
                <w:color w:val="000000"/>
                <w:sz w:val="20"/>
                <w:szCs w:val="20"/>
              </w:rPr>
            </w:pPr>
            <w:r>
              <w:rPr>
                <w:rFonts w:ascii="Calibri" w:hAnsi="Calibri"/>
                <w:b/>
                <w:bCs/>
                <w:color w:val="000000"/>
              </w:rPr>
              <w:t>10%</w:t>
            </w:r>
          </w:p>
        </w:tc>
      </w:tr>
      <w:tr w:rsidR="00013078" w:rsidRPr="00650291" w14:paraId="279129F5" w14:textId="77777777" w:rsidTr="00AE0577">
        <w:trPr>
          <w:trHeight w:val="300"/>
        </w:trPr>
        <w:tc>
          <w:tcPr>
            <w:tcW w:w="2778" w:type="dxa"/>
            <w:tcBorders>
              <w:top w:val="nil"/>
              <w:left w:val="single" w:sz="8" w:space="0" w:color="auto"/>
              <w:bottom w:val="single" w:sz="4" w:space="0" w:color="auto"/>
              <w:right w:val="single" w:sz="4" w:space="0" w:color="auto"/>
            </w:tcBorders>
            <w:shd w:val="clear" w:color="auto" w:fill="auto"/>
            <w:noWrap/>
            <w:vAlign w:val="bottom"/>
            <w:hideMark/>
          </w:tcPr>
          <w:p w14:paraId="7731C3DA" w14:textId="77777777" w:rsidR="00013078" w:rsidRPr="00650291" w:rsidRDefault="00013078" w:rsidP="00AE0577">
            <w:pPr>
              <w:jc w:val="both"/>
              <w:rPr>
                <w:rFonts w:asciiTheme="minorHAnsi" w:hAnsiTheme="minorHAnsi"/>
                <w:color w:val="000000"/>
                <w:sz w:val="20"/>
                <w:szCs w:val="20"/>
              </w:rPr>
            </w:pPr>
            <w:r>
              <w:rPr>
                <w:rFonts w:ascii="Calibri" w:hAnsi="Calibri"/>
                <w:color w:val="000000"/>
              </w:rPr>
              <w:t xml:space="preserve">Nasdaq Nordic </w:t>
            </w:r>
          </w:p>
        </w:tc>
        <w:tc>
          <w:tcPr>
            <w:tcW w:w="1361" w:type="dxa"/>
            <w:tcBorders>
              <w:top w:val="nil"/>
              <w:left w:val="nil"/>
              <w:bottom w:val="single" w:sz="4" w:space="0" w:color="auto"/>
              <w:right w:val="single" w:sz="4" w:space="0" w:color="auto"/>
            </w:tcBorders>
            <w:shd w:val="clear" w:color="auto" w:fill="auto"/>
            <w:noWrap/>
            <w:vAlign w:val="bottom"/>
            <w:hideMark/>
          </w:tcPr>
          <w:p w14:paraId="4B337DFA" w14:textId="77777777" w:rsidR="00013078" w:rsidRPr="00650291" w:rsidRDefault="00013078" w:rsidP="00AE0577">
            <w:pPr>
              <w:jc w:val="right"/>
              <w:rPr>
                <w:rFonts w:asciiTheme="minorHAnsi" w:hAnsiTheme="minorHAnsi"/>
                <w:color w:val="000000"/>
                <w:sz w:val="20"/>
                <w:szCs w:val="20"/>
              </w:rPr>
            </w:pPr>
            <w:r>
              <w:rPr>
                <w:rFonts w:ascii="Calibri" w:hAnsi="Calibri"/>
                <w:color w:val="000000"/>
              </w:rPr>
              <w:t>23,560</w:t>
            </w:r>
          </w:p>
        </w:tc>
        <w:tc>
          <w:tcPr>
            <w:tcW w:w="1361" w:type="dxa"/>
            <w:tcBorders>
              <w:top w:val="nil"/>
              <w:left w:val="nil"/>
              <w:bottom w:val="single" w:sz="4" w:space="0" w:color="auto"/>
              <w:right w:val="single" w:sz="4" w:space="0" w:color="auto"/>
            </w:tcBorders>
            <w:shd w:val="clear" w:color="auto" w:fill="auto"/>
            <w:noWrap/>
            <w:vAlign w:val="bottom"/>
            <w:hideMark/>
          </w:tcPr>
          <w:p w14:paraId="1174BC5C" w14:textId="77777777" w:rsidR="00013078" w:rsidRPr="00650291" w:rsidRDefault="00013078" w:rsidP="00AE0577">
            <w:pPr>
              <w:jc w:val="right"/>
              <w:rPr>
                <w:rFonts w:asciiTheme="minorHAnsi" w:hAnsiTheme="minorHAnsi"/>
                <w:color w:val="000000"/>
                <w:sz w:val="20"/>
                <w:szCs w:val="20"/>
              </w:rPr>
            </w:pPr>
            <w:r>
              <w:rPr>
                <w:rFonts w:ascii="Calibri" w:hAnsi="Calibri"/>
                <w:color w:val="000000"/>
              </w:rPr>
              <w:t>23,360</w:t>
            </w:r>
          </w:p>
        </w:tc>
        <w:tc>
          <w:tcPr>
            <w:tcW w:w="1361" w:type="dxa"/>
            <w:tcBorders>
              <w:top w:val="nil"/>
              <w:left w:val="nil"/>
              <w:bottom w:val="single" w:sz="4" w:space="0" w:color="auto"/>
              <w:right w:val="single" w:sz="4" w:space="0" w:color="auto"/>
            </w:tcBorders>
            <w:shd w:val="clear" w:color="auto" w:fill="auto"/>
            <w:noWrap/>
            <w:vAlign w:val="bottom"/>
            <w:hideMark/>
          </w:tcPr>
          <w:p w14:paraId="466AD569" w14:textId="77777777" w:rsidR="00013078" w:rsidRPr="00650291" w:rsidRDefault="00013078" w:rsidP="00AE0577">
            <w:pPr>
              <w:jc w:val="right"/>
              <w:rPr>
                <w:rFonts w:asciiTheme="minorHAnsi" w:hAnsiTheme="minorHAnsi"/>
                <w:color w:val="000000"/>
                <w:sz w:val="20"/>
                <w:szCs w:val="20"/>
              </w:rPr>
            </w:pPr>
            <w:r>
              <w:rPr>
                <w:rFonts w:ascii="Calibri" w:hAnsi="Calibri"/>
                <w:color w:val="000000"/>
              </w:rPr>
              <w:t>29,760</w:t>
            </w:r>
          </w:p>
        </w:tc>
        <w:tc>
          <w:tcPr>
            <w:tcW w:w="1361" w:type="dxa"/>
            <w:tcBorders>
              <w:top w:val="nil"/>
              <w:left w:val="nil"/>
              <w:bottom w:val="single" w:sz="4" w:space="0" w:color="auto"/>
              <w:right w:val="nil"/>
            </w:tcBorders>
            <w:shd w:val="clear" w:color="auto" w:fill="auto"/>
            <w:noWrap/>
            <w:vAlign w:val="bottom"/>
            <w:hideMark/>
          </w:tcPr>
          <w:p w14:paraId="0B89FBA2" w14:textId="77777777" w:rsidR="00013078" w:rsidRPr="00650291" w:rsidRDefault="00013078" w:rsidP="00AE0577">
            <w:pPr>
              <w:jc w:val="right"/>
              <w:rPr>
                <w:rFonts w:asciiTheme="minorHAnsi" w:hAnsiTheme="minorHAnsi"/>
                <w:color w:val="000000"/>
                <w:sz w:val="20"/>
                <w:szCs w:val="20"/>
              </w:rPr>
            </w:pPr>
            <w:r>
              <w:rPr>
                <w:rFonts w:ascii="Calibri" w:hAnsi="Calibri"/>
                <w:color w:val="000000"/>
              </w:rPr>
              <w:t>29,760</w:t>
            </w:r>
          </w:p>
        </w:tc>
        <w:tc>
          <w:tcPr>
            <w:tcW w:w="1361" w:type="dxa"/>
            <w:tcBorders>
              <w:top w:val="nil"/>
              <w:left w:val="single" w:sz="8" w:space="0" w:color="auto"/>
              <w:bottom w:val="single" w:sz="4" w:space="0" w:color="auto"/>
              <w:right w:val="single" w:sz="8" w:space="0" w:color="auto"/>
            </w:tcBorders>
            <w:shd w:val="clear" w:color="000000" w:fill="DDEBF7"/>
            <w:noWrap/>
            <w:vAlign w:val="bottom"/>
            <w:hideMark/>
          </w:tcPr>
          <w:p w14:paraId="47872B33" w14:textId="77777777" w:rsidR="00013078" w:rsidRPr="00650291" w:rsidRDefault="00013078" w:rsidP="00AE0577">
            <w:pPr>
              <w:jc w:val="right"/>
              <w:rPr>
                <w:rFonts w:asciiTheme="minorHAnsi" w:hAnsiTheme="minorHAnsi"/>
                <w:b/>
                <w:bCs/>
                <w:color w:val="000000"/>
                <w:sz w:val="20"/>
                <w:szCs w:val="20"/>
              </w:rPr>
            </w:pPr>
            <w:r>
              <w:rPr>
                <w:rFonts w:ascii="Calibri" w:hAnsi="Calibri"/>
                <w:b/>
                <w:bCs/>
                <w:color w:val="000000"/>
              </w:rPr>
              <w:t>26%</w:t>
            </w:r>
          </w:p>
        </w:tc>
      </w:tr>
      <w:tr w:rsidR="00013078" w:rsidRPr="00650291" w14:paraId="60311332" w14:textId="77777777" w:rsidTr="00AE0577">
        <w:trPr>
          <w:trHeight w:val="315"/>
        </w:trPr>
        <w:tc>
          <w:tcPr>
            <w:tcW w:w="2778" w:type="dxa"/>
            <w:tcBorders>
              <w:top w:val="nil"/>
              <w:left w:val="single" w:sz="8" w:space="0" w:color="auto"/>
              <w:bottom w:val="nil"/>
              <w:right w:val="single" w:sz="4" w:space="0" w:color="auto"/>
            </w:tcBorders>
            <w:shd w:val="clear" w:color="auto" w:fill="auto"/>
            <w:noWrap/>
            <w:vAlign w:val="bottom"/>
            <w:hideMark/>
          </w:tcPr>
          <w:p w14:paraId="07035B19" w14:textId="77777777" w:rsidR="00013078" w:rsidRPr="00650291" w:rsidRDefault="00013078" w:rsidP="00AE0577">
            <w:pPr>
              <w:jc w:val="both"/>
              <w:rPr>
                <w:rFonts w:asciiTheme="minorHAnsi" w:hAnsiTheme="minorHAnsi"/>
                <w:color w:val="000000"/>
                <w:sz w:val="20"/>
                <w:szCs w:val="20"/>
              </w:rPr>
            </w:pPr>
            <w:r>
              <w:rPr>
                <w:rFonts w:ascii="Calibri" w:hAnsi="Calibri"/>
                <w:color w:val="000000"/>
              </w:rPr>
              <w:t>Warsaw Stock Exchange</w:t>
            </w:r>
          </w:p>
        </w:tc>
        <w:tc>
          <w:tcPr>
            <w:tcW w:w="1361" w:type="dxa"/>
            <w:tcBorders>
              <w:top w:val="nil"/>
              <w:left w:val="nil"/>
              <w:bottom w:val="nil"/>
              <w:right w:val="single" w:sz="4" w:space="0" w:color="auto"/>
            </w:tcBorders>
            <w:shd w:val="clear" w:color="auto" w:fill="auto"/>
            <w:noWrap/>
            <w:vAlign w:val="bottom"/>
            <w:hideMark/>
          </w:tcPr>
          <w:p w14:paraId="26CA7F50" w14:textId="77777777" w:rsidR="00013078" w:rsidRPr="00650291" w:rsidRDefault="00013078" w:rsidP="00AE0577">
            <w:pPr>
              <w:jc w:val="right"/>
              <w:rPr>
                <w:rFonts w:asciiTheme="minorHAnsi" w:hAnsiTheme="minorHAnsi"/>
                <w:color w:val="000000"/>
                <w:sz w:val="20"/>
                <w:szCs w:val="20"/>
              </w:rPr>
            </w:pPr>
            <w:r>
              <w:rPr>
                <w:rFonts w:ascii="Calibri" w:hAnsi="Calibri"/>
                <w:color w:val="000000"/>
              </w:rPr>
              <w:t>20,389</w:t>
            </w:r>
          </w:p>
        </w:tc>
        <w:tc>
          <w:tcPr>
            <w:tcW w:w="1361" w:type="dxa"/>
            <w:tcBorders>
              <w:top w:val="nil"/>
              <w:left w:val="nil"/>
              <w:bottom w:val="nil"/>
              <w:right w:val="single" w:sz="4" w:space="0" w:color="auto"/>
            </w:tcBorders>
            <w:shd w:val="clear" w:color="auto" w:fill="auto"/>
            <w:noWrap/>
            <w:vAlign w:val="bottom"/>
            <w:hideMark/>
          </w:tcPr>
          <w:p w14:paraId="4182E080" w14:textId="77777777" w:rsidR="00013078" w:rsidRPr="00650291" w:rsidRDefault="00013078" w:rsidP="00AE0577">
            <w:pPr>
              <w:jc w:val="right"/>
              <w:rPr>
                <w:rFonts w:asciiTheme="minorHAnsi" w:hAnsiTheme="minorHAnsi"/>
                <w:color w:val="000000"/>
                <w:sz w:val="20"/>
                <w:szCs w:val="20"/>
              </w:rPr>
            </w:pPr>
            <w:r>
              <w:rPr>
                <w:rFonts w:ascii="Calibri" w:hAnsi="Calibri"/>
                <w:color w:val="000000"/>
              </w:rPr>
              <w:t>23,246</w:t>
            </w:r>
          </w:p>
        </w:tc>
        <w:tc>
          <w:tcPr>
            <w:tcW w:w="1361" w:type="dxa"/>
            <w:tcBorders>
              <w:top w:val="nil"/>
              <w:left w:val="nil"/>
              <w:bottom w:val="nil"/>
              <w:right w:val="single" w:sz="4" w:space="0" w:color="auto"/>
            </w:tcBorders>
            <w:shd w:val="clear" w:color="auto" w:fill="auto"/>
            <w:noWrap/>
            <w:vAlign w:val="bottom"/>
            <w:hideMark/>
          </w:tcPr>
          <w:p w14:paraId="54EB706E" w14:textId="77777777" w:rsidR="00013078" w:rsidRPr="00650291" w:rsidRDefault="00013078" w:rsidP="00AE0577">
            <w:pPr>
              <w:jc w:val="right"/>
              <w:rPr>
                <w:rFonts w:asciiTheme="minorHAnsi" w:hAnsiTheme="minorHAnsi"/>
                <w:color w:val="000000"/>
                <w:sz w:val="20"/>
                <w:szCs w:val="20"/>
              </w:rPr>
            </w:pPr>
            <w:r>
              <w:rPr>
                <w:rFonts w:ascii="Calibri" w:hAnsi="Calibri"/>
                <w:color w:val="000000"/>
              </w:rPr>
              <w:t>26,019</w:t>
            </w:r>
          </w:p>
        </w:tc>
        <w:tc>
          <w:tcPr>
            <w:tcW w:w="1361" w:type="dxa"/>
            <w:tcBorders>
              <w:top w:val="nil"/>
              <w:left w:val="nil"/>
              <w:bottom w:val="nil"/>
              <w:right w:val="nil"/>
            </w:tcBorders>
            <w:shd w:val="clear" w:color="auto" w:fill="auto"/>
            <w:noWrap/>
            <w:vAlign w:val="bottom"/>
            <w:hideMark/>
          </w:tcPr>
          <w:p w14:paraId="6745154F" w14:textId="77777777" w:rsidR="00013078" w:rsidRPr="00650291" w:rsidRDefault="00013078" w:rsidP="00AE0577">
            <w:pPr>
              <w:jc w:val="right"/>
              <w:rPr>
                <w:rFonts w:asciiTheme="minorHAnsi" w:hAnsiTheme="minorHAnsi"/>
                <w:color w:val="000000"/>
                <w:sz w:val="20"/>
                <w:szCs w:val="20"/>
              </w:rPr>
            </w:pPr>
            <w:r>
              <w:rPr>
                <w:rFonts w:ascii="Calibri" w:hAnsi="Calibri"/>
                <w:color w:val="000000"/>
              </w:rPr>
              <w:t>26,912</w:t>
            </w:r>
          </w:p>
        </w:tc>
        <w:tc>
          <w:tcPr>
            <w:tcW w:w="1361" w:type="dxa"/>
            <w:tcBorders>
              <w:top w:val="nil"/>
              <w:left w:val="single" w:sz="8" w:space="0" w:color="auto"/>
              <w:bottom w:val="nil"/>
              <w:right w:val="single" w:sz="8" w:space="0" w:color="auto"/>
            </w:tcBorders>
            <w:shd w:val="clear" w:color="000000" w:fill="DDEBF7"/>
            <w:noWrap/>
            <w:vAlign w:val="bottom"/>
            <w:hideMark/>
          </w:tcPr>
          <w:p w14:paraId="604F605F" w14:textId="77777777" w:rsidR="00013078" w:rsidRPr="00650291" w:rsidRDefault="00013078" w:rsidP="00AE0577">
            <w:pPr>
              <w:jc w:val="right"/>
              <w:rPr>
                <w:rFonts w:asciiTheme="minorHAnsi" w:hAnsiTheme="minorHAnsi"/>
                <w:b/>
                <w:bCs/>
                <w:color w:val="000000"/>
                <w:sz w:val="20"/>
                <w:szCs w:val="20"/>
              </w:rPr>
            </w:pPr>
            <w:r>
              <w:rPr>
                <w:rFonts w:ascii="Calibri" w:hAnsi="Calibri"/>
                <w:b/>
                <w:bCs/>
                <w:color w:val="000000"/>
              </w:rPr>
              <w:t>32%</w:t>
            </w:r>
          </w:p>
        </w:tc>
      </w:tr>
      <w:tr w:rsidR="00013078" w:rsidRPr="00650291" w14:paraId="538D382F" w14:textId="77777777" w:rsidTr="00AE0577">
        <w:trPr>
          <w:trHeight w:val="315"/>
        </w:trPr>
        <w:tc>
          <w:tcPr>
            <w:tcW w:w="2778" w:type="dxa"/>
            <w:tcBorders>
              <w:top w:val="single" w:sz="8" w:space="0" w:color="auto"/>
              <w:left w:val="single" w:sz="8" w:space="0" w:color="auto"/>
              <w:bottom w:val="single" w:sz="8" w:space="0" w:color="auto"/>
              <w:right w:val="single" w:sz="4" w:space="0" w:color="auto"/>
            </w:tcBorders>
            <w:shd w:val="clear" w:color="DDEBF7" w:fill="DDEBF7"/>
            <w:noWrap/>
            <w:vAlign w:val="bottom"/>
            <w:hideMark/>
          </w:tcPr>
          <w:p w14:paraId="55BA5A93" w14:textId="77777777" w:rsidR="00013078" w:rsidRPr="00650291" w:rsidRDefault="00013078" w:rsidP="00AE0577">
            <w:pPr>
              <w:jc w:val="both"/>
              <w:rPr>
                <w:rFonts w:asciiTheme="minorHAnsi" w:hAnsiTheme="minorHAnsi"/>
                <w:b/>
                <w:bCs/>
                <w:color w:val="000000"/>
                <w:sz w:val="20"/>
                <w:szCs w:val="20"/>
              </w:rPr>
            </w:pPr>
            <w:r>
              <w:rPr>
                <w:rFonts w:ascii="Calibri" w:hAnsi="Calibri"/>
                <w:b/>
                <w:bCs/>
                <w:color w:val="000000"/>
              </w:rPr>
              <w:t>Grand Total</w:t>
            </w:r>
          </w:p>
        </w:tc>
        <w:tc>
          <w:tcPr>
            <w:tcW w:w="1361" w:type="dxa"/>
            <w:tcBorders>
              <w:top w:val="single" w:sz="8" w:space="0" w:color="auto"/>
              <w:left w:val="nil"/>
              <w:bottom w:val="single" w:sz="8" w:space="0" w:color="auto"/>
              <w:right w:val="single" w:sz="4" w:space="0" w:color="auto"/>
            </w:tcBorders>
            <w:shd w:val="clear" w:color="DDEBF7" w:fill="DDEBF7"/>
            <w:noWrap/>
            <w:vAlign w:val="bottom"/>
            <w:hideMark/>
          </w:tcPr>
          <w:p w14:paraId="6931AB71" w14:textId="77777777" w:rsidR="00013078" w:rsidRPr="00650291" w:rsidRDefault="00013078" w:rsidP="00AE0577">
            <w:pPr>
              <w:jc w:val="right"/>
              <w:rPr>
                <w:rFonts w:asciiTheme="minorHAnsi" w:hAnsiTheme="minorHAnsi"/>
                <w:b/>
                <w:bCs/>
                <w:color w:val="000000"/>
                <w:sz w:val="20"/>
                <w:szCs w:val="20"/>
              </w:rPr>
            </w:pPr>
            <w:r>
              <w:rPr>
                <w:rFonts w:ascii="Calibri" w:hAnsi="Calibri"/>
                <w:b/>
                <w:bCs/>
                <w:color w:val="000000"/>
              </w:rPr>
              <w:t>311,502</w:t>
            </w:r>
          </w:p>
        </w:tc>
        <w:tc>
          <w:tcPr>
            <w:tcW w:w="1361" w:type="dxa"/>
            <w:tcBorders>
              <w:top w:val="single" w:sz="8" w:space="0" w:color="auto"/>
              <w:left w:val="nil"/>
              <w:bottom w:val="single" w:sz="8" w:space="0" w:color="auto"/>
              <w:right w:val="single" w:sz="4" w:space="0" w:color="auto"/>
            </w:tcBorders>
            <w:shd w:val="clear" w:color="DDEBF7" w:fill="DDEBF7"/>
            <w:noWrap/>
            <w:vAlign w:val="bottom"/>
            <w:hideMark/>
          </w:tcPr>
          <w:p w14:paraId="318AF96D" w14:textId="77777777" w:rsidR="00013078" w:rsidRPr="00650291" w:rsidRDefault="00013078" w:rsidP="00AE0577">
            <w:pPr>
              <w:jc w:val="right"/>
              <w:rPr>
                <w:rFonts w:asciiTheme="minorHAnsi" w:hAnsiTheme="minorHAnsi"/>
                <w:b/>
                <w:bCs/>
                <w:color w:val="000000"/>
                <w:sz w:val="20"/>
                <w:szCs w:val="20"/>
              </w:rPr>
            </w:pPr>
            <w:r>
              <w:rPr>
                <w:rFonts w:ascii="Calibri" w:hAnsi="Calibri"/>
                <w:b/>
                <w:bCs/>
                <w:color w:val="000000"/>
              </w:rPr>
              <w:t>310,852</w:t>
            </w:r>
          </w:p>
        </w:tc>
        <w:tc>
          <w:tcPr>
            <w:tcW w:w="1361" w:type="dxa"/>
            <w:tcBorders>
              <w:top w:val="single" w:sz="8" w:space="0" w:color="auto"/>
              <w:left w:val="nil"/>
              <w:bottom w:val="single" w:sz="8" w:space="0" w:color="auto"/>
              <w:right w:val="single" w:sz="4" w:space="0" w:color="auto"/>
            </w:tcBorders>
            <w:shd w:val="clear" w:color="DDEBF7" w:fill="DDEBF7"/>
            <w:noWrap/>
            <w:vAlign w:val="bottom"/>
            <w:hideMark/>
          </w:tcPr>
          <w:p w14:paraId="3B8F893D" w14:textId="77777777" w:rsidR="00013078" w:rsidRPr="00650291" w:rsidRDefault="00013078" w:rsidP="00AE0577">
            <w:pPr>
              <w:jc w:val="right"/>
              <w:rPr>
                <w:rFonts w:asciiTheme="minorHAnsi" w:hAnsiTheme="minorHAnsi"/>
                <w:b/>
                <w:bCs/>
                <w:color w:val="000000"/>
                <w:sz w:val="20"/>
                <w:szCs w:val="20"/>
              </w:rPr>
            </w:pPr>
            <w:r>
              <w:rPr>
                <w:rFonts w:ascii="Calibri" w:hAnsi="Calibri"/>
                <w:b/>
                <w:bCs/>
                <w:color w:val="000000"/>
              </w:rPr>
              <w:t>382,682</w:t>
            </w:r>
          </w:p>
        </w:tc>
        <w:tc>
          <w:tcPr>
            <w:tcW w:w="1361" w:type="dxa"/>
            <w:tcBorders>
              <w:top w:val="single" w:sz="8" w:space="0" w:color="auto"/>
              <w:left w:val="nil"/>
              <w:bottom w:val="single" w:sz="8" w:space="0" w:color="auto"/>
              <w:right w:val="nil"/>
            </w:tcBorders>
            <w:shd w:val="clear" w:color="DDEBF7" w:fill="DDEBF7"/>
            <w:noWrap/>
            <w:vAlign w:val="bottom"/>
            <w:hideMark/>
          </w:tcPr>
          <w:p w14:paraId="0C90BD4F" w14:textId="77777777" w:rsidR="00013078" w:rsidRPr="00650291" w:rsidRDefault="00013078" w:rsidP="00AE0577">
            <w:pPr>
              <w:jc w:val="right"/>
              <w:rPr>
                <w:rFonts w:asciiTheme="minorHAnsi" w:hAnsiTheme="minorHAnsi"/>
                <w:b/>
                <w:bCs/>
                <w:color w:val="000000"/>
                <w:sz w:val="20"/>
                <w:szCs w:val="20"/>
              </w:rPr>
            </w:pPr>
            <w:r>
              <w:rPr>
                <w:rFonts w:ascii="Calibri" w:hAnsi="Calibri"/>
                <w:b/>
                <w:bCs/>
                <w:color w:val="000000"/>
              </w:rPr>
              <w:t>394,921</w:t>
            </w:r>
          </w:p>
        </w:tc>
        <w:tc>
          <w:tcPr>
            <w:tcW w:w="1361" w:type="dxa"/>
            <w:tcBorders>
              <w:top w:val="single" w:sz="8" w:space="0" w:color="auto"/>
              <w:left w:val="single" w:sz="8" w:space="0" w:color="auto"/>
              <w:bottom w:val="single" w:sz="8" w:space="0" w:color="auto"/>
              <w:right w:val="single" w:sz="8" w:space="0" w:color="auto"/>
            </w:tcBorders>
            <w:shd w:val="clear" w:color="000000" w:fill="DDEBF7"/>
            <w:noWrap/>
            <w:vAlign w:val="bottom"/>
            <w:hideMark/>
          </w:tcPr>
          <w:p w14:paraId="27BB3281" w14:textId="77777777" w:rsidR="00013078" w:rsidRPr="00650291" w:rsidRDefault="00013078" w:rsidP="00AE0577">
            <w:pPr>
              <w:jc w:val="right"/>
              <w:rPr>
                <w:rFonts w:asciiTheme="minorHAnsi" w:hAnsiTheme="minorHAnsi"/>
                <w:b/>
                <w:bCs/>
                <w:color w:val="000000"/>
                <w:sz w:val="20"/>
                <w:szCs w:val="20"/>
              </w:rPr>
            </w:pPr>
            <w:r>
              <w:rPr>
                <w:rFonts w:ascii="Calibri" w:hAnsi="Calibri"/>
                <w:b/>
                <w:bCs/>
                <w:color w:val="000000"/>
              </w:rPr>
              <w:t>27%</w:t>
            </w:r>
          </w:p>
        </w:tc>
      </w:tr>
    </w:tbl>
    <w:p w14:paraId="6BB13B30" w14:textId="77777777" w:rsidR="00013078" w:rsidRPr="00650291" w:rsidRDefault="00013078" w:rsidP="00013078">
      <w:pPr>
        <w:jc w:val="both"/>
        <w:rPr>
          <w:rFonts w:asciiTheme="minorHAnsi" w:eastAsia="Calibri" w:hAnsiTheme="minorHAnsi"/>
        </w:rPr>
      </w:pPr>
    </w:p>
    <w:p w14:paraId="093891A8" w14:textId="77777777" w:rsidR="00013078" w:rsidRPr="00650291" w:rsidRDefault="00013078" w:rsidP="00013078">
      <w:pPr>
        <w:jc w:val="both"/>
        <w:rPr>
          <w:rFonts w:asciiTheme="minorHAnsi" w:eastAsia="Calibri" w:hAnsiTheme="minorHAnsi"/>
        </w:rPr>
      </w:pPr>
      <w:r w:rsidRPr="00650291">
        <w:rPr>
          <w:rFonts w:asciiTheme="minorHAnsi" w:eastAsia="Calibri" w:hAnsiTheme="minorHAnsi"/>
        </w:rPr>
        <w:t>In some cases, it is not possibly to easily split fees on certain venues by asset class. These fees have been labelled as “Mixed” in the underlying Excel data and the value of these fees (€39,</w:t>
      </w:r>
      <w:r>
        <w:rPr>
          <w:rFonts w:asciiTheme="minorHAnsi" w:eastAsia="Calibri" w:hAnsiTheme="minorHAnsi"/>
        </w:rPr>
        <w:t>722 in 2019</w:t>
      </w:r>
      <w:r w:rsidRPr="00650291">
        <w:rPr>
          <w:rFonts w:asciiTheme="minorHAnsi" w:eastAsia="Calibri" w:hAnsiTheme="minorHAnsi"/>
        </w:rPr>
        <w:t xml:space="preserve">) is included in both Tables 2 and 3. </w:t>
      </w:r>
    </w:p>
    <w:p w14:paraId="5A389F30" w14:textId="77777777" w:rsidR="00013078" w:rsidRPr="00650291" w:rsidRDefault="00013078" w:rsidP="00013078">
      <w:pPr>
        <w:jc w:val="both"/>
        <w:rPr>
          <w:rFonts w:asciiTheme="minorHAnsi" w:eastAsia="Calibri" w:hAnsiTheme="minorHAnsi"/>
        </w:rPr>
      </w:pPr>
    </w:p>
    <w:p w14:paraId="493FE761" w14:textId="77777777" w:rsidR="00013078" w:rsidRPr="00650291" w:rsidRDefault="00013078" w:rsidP="00013078">
      <w:pPr>
        <w:jc w:val="both"/>
        <w:rPr>
          <w:rFonts w:asciiTheme="minorHAnsi" w:eastAsia="Calibri" w:hAnsiTheme="minorHAnsi"/>
          <w:b/>
        </w:rPr>
      </w:pPr>
      <w:r w:rsidRPr="00650291">
        <w:rPr>
          <w:rFonts w:asciiTheme="minorHAnsi" w:eastAsia="Calibri" w:hAnsiTheme="minorHAnsi"/>
          <w:b/>
        </w:rPr>
        <w:t>Table 4a – Year-on-year market data spend (display usage)</w:t>
      </w:r>
    </w:p>
    <w:tbl>
      <w:tblPr>
        <w:tblW w:w="9583" w:type="dxa"/>
        <w:tblLook w:val="04A0" w:firstRow="1" w:lastRow="0" w:firstColumn="1" w:lastColumn="0" w:noHBand="0" w:noVBand="1"/>
      </w:tblPr>
      <w:tblGrid>
        <w:gridCol w:w="2778"/>
        <w:gridCol w:w="1361"/>
        <w:gridCol w:w="1361"/>
        <w:gridCol w:w="1361"/>
        <w:gridCol w:w="1361"/>
        <w:gridCol w:w="1361"/>
      </w:tblGrid>
      <w:tr w:rsidR="00013078" w:rsidRPr="00650291" w14:paraId="48D74B79" w14:textId="77777777" w:rsidTr="00AE0577">
        <w:trPr>
          <w:trHeight w:val="300"/>
        </w:trPr>
        <w:tc>
          <w:tcPr>
            <w:tcW w:w="2778" w:type="dxa"/>
            <w:tcBorders>
              <w:top w:val="single" w:sz="8" w:space="0" w:color="auto"/>
              <w:left w:val="single" w:sz="8" w:space="0" w:color="auto"/>
              <w:bottom w:val="single" w:sz="4" w:space="0" w:color="auto"/>
              <w:right w:val="single" w:sz="4" w:space="0" w:color="auto"/>
            </w:tcBorders>
            <w:shd w:val="clear" w:color="000000" w:fill="44546A"/>
            <w:noWrap/>
            <w:vAlign w:val="bottom"/>
            <w:hideMark/>
          </w:tcPr>
          <w:p w14:paraId="339C4024" w14:textId="77777777" w:rsidR="00013078" w:rsidRPr="0086576B" w:rsidRDefault="00013078" w:rsidP="00AE0577">
            <w:pPr>
              <w:jc w:val="both"/>
              <w:rPr>
                <w:rFonts w:asciiTheme="minorHAnsi" w:hAnsiTheme="minorHAnsi"/>
                <w:b/>
                <w:bCs/>
                <w:sz w:val="20"/>
                <w:szCs w:val="20"/>
              </w:rPr>
            </w:pPr>
            <w:r w:rsidRPr="0086576B">
              <w:rPr>
                <w:rFonts w:ascii="Calibri" w:hAnsi="Calibri"/>
                <w:b/>
                <w:bCs/>
              </w:rPr>
              <w:t>Exchange</w:t>
            </w:r>
          </w:p>
        </w:tc>
        <w:tc>
          <w:tcPr>
            <w:tcW w:w="1361" w:type="dxa"/>
            <w:tcBorders>
              <w:top w:val="single" w:sz="8" w:space="0" w:color="auto"/>
              <w:left w:val="nil"/>
              <w:bottom w:val="single" w:sz="4" w:space="0" w:color="auto"/>
              <w:right w:val="single" w:sz="4" w:space="0" w:color="auto"/>
            </w:tcBorders>
            <w:shd w:val="clear" w:color="000000" w:fill="44546A"/>
            <w:noWrap/>
            <w:vAlign w:val="bottom"/>
            <w:hideMark/>
          </w:tcPr>
          <w:p w14:paraId="0C557EFF" w14:textId="77777777" w:rsidR="00013078" w:rsidRPr="0086576B" w:rsidRDefault="00013078" w:rsidP="00AE0577">
            <w:pPr>
              <w:jc w:val="both"/>
              <w:rPr>
                <w:rFonts w:asciiTheme="minorHAnsi" w:hAnsiTheme="minorHAnsi"/>
                <w:b/>
                <w:bCs/>
                <w:sz w:val="20"/>
                <w:szCs w:val="20"/>
              </w:rPr>
            </w:pPr>
            <w:r w:rsidRPr="0086576B">
              <w:rPr>
                <w:rFonts w:ascii="Calibri" w:hAnsi="Calibri"/>
                <w:b/>
                <w:bCs/>
              </w:rPr>
              <w:t>Sum of 2016 Total in EUR</w:t>
            </w:r>
          </w:p>
        </w:tc>
        <w:tc>
          <w:tcPr>
            <w:tcW w:w="1361" w:type="dxa"/>
            <w:tcBorders>
              <w:top w:val="single" w:sz="8" w:space="0" w:color="auto"/>
              <w:left w:val="nil"/>
              <w:bottom w:val="single" w:sz="4" w:space="0" w:color="auto"/>
              <w:right w:val="single" w:sz="4" w:space="0" w:color="auto"/>
            </w:tcBorders>
            <w:shd w:val="clear" w:color="000000" w:fill="44546A"/>
            <w:noWrap/>
            <w:vAlign w:val="bottom"/>
            <w:hideMark/>
          </w:tcPr>
          <w:p w14:paraId="46F5AEEA" w14:textId="77777777" w:rsidR="00013078" w:rsidRPr="0086576B" w:rsidRDefault="00013078" w:rsidP="00AE0577">
            <w:pPr>
              <w:jc w:val="both"/>
              <w:rPr>
                <w:rFonts w:asciiTheme="minorHAnsi" w:hAnsiTheme="minorHAnsi"/>
                <w:b/>
                <w:bCs/>
                <w:sz w:val="20"/>
                <w:szCs w:val="20"/>
              </w:rPr>
            </w:pPr>
            <w:r w:rsidRPr="0086576B">
              <w:rPr>
                <w:rFonts w:ascii="Calibri" w:hAnsi="Calibri"/>
                <w:b/>
                <w:bCs/>
              </w:rPr>
              <w:t>Sum of 2017 Total in EUR</w:t>
            </w:r>
          </w:p>
        </w:tc>
        <w:tc>
          <w:tcPr>
            <w:tcW w:w="1361" w:type="dxa"/>
            <w:tcBorders>
              <w:top w:val="single" w:sz="8" w:space="0" w:color="auto"/>
              <w:left w:val="nil"/>
              <w:bottom w:val="single" w:sz="4" w:space="0" w:color="auto"/>
              <w:right w:val="single" w:sz="4" w:space="0" w:color="auto"/>
            </w:tcBorders>
            <w:shd w:val="clear" w:color="000000" w:fill="44546A"/>
            <w:noWrap/>
            <w:vAlign w:val="bottom"/>
            <w:hideMark/>
          </w:tcPr>
          <w:p w14:paraId="5A441C46" w14:textId="77777777" w:rsidR="00013078" w:rsidRPr="0086576B" w:rsidRDefault="00013078" w:rsidP="00AE0577">
            <w:pPr>
              <w:jc w:val="both"/>
              <w:rPr>
                <w:rFonts w:asciiTheme="minorHAnsi" w:hAnsiTheme="minorHAnsi"/>
                <w:b/>
                <w:bCs/>
                <w:sz w:val="20"/>
                <w:szCs w:val="20"/>
              </w:rPr>
            </w:pPr>
            <w:r w:rsidRPr="0086576B">
              <w:rPr>
                <w:rFonts w:ascii="Calibri" w:hAnsi="Calibri"/>
                <w:b/>
                <w:bCs/>
              </w:rPr>
              <w:t>Sum of 2018 Total in EUR</w:t>
            </w:r>
          </w:p>
        </w:tc>
        <w:tc>
          <w:tcPr>
            <w:tcW w:w="1361" w:type="dxa"/>
            <w:tcBorders>
              <w:top w:val="single" w:sz="8" w:space="0" w:color="auto"/>
              <w:left w:val="nil"/>
              <w:bottom w:val="single" w:sz="4" w:space="0" w:color="auto"/>
              <w:right w:val="nil"/>
            </w:tcBorders>
            <w:shd w:val="clear" w:color="000000" w:fill="44546A"/>
            <w:noWrap/>
            <w:vAlign w:val="bottom"/>
            <w:hideMark/>
          </w:tcPr>
          <w:p w14:paraId="01FD9E66" w14:textId="77777777" w:rsidR="00013078" w:rsidRPr="0086576B" w:rsidRDefault="00013078" w:rsidP="00AE0577">
            <w:pPr>
              <w:jc w:val="both"/>
              <w:rPr>
                <w:rFonts w:asciiTheme="minorHAnsi" w:hAnsiTheme="minorHAnsi"/>
                <w:b/>
                <w:bCs/>
                <w:sz w:val="20"/>
                <w:szCs w:val="20"/>
              </w:rPr>
            </w:pPr>
            <w:r w:rsidRPr="0086576B">
              <w:rPr>
                <w:rFonts w:ascii="Calibri" w:hAnsi="Calibri"/>
                <w:b/>
                <w:bCs/>
              </w:rPr>
              <w:t>Sum of 2019 Total in EUR</w:t>
            </w:r>
          </w:p>
        </w:tc>
        <w:tc>
          <w:tcPr>
            <w:tcW w:w="1361" w:type="dxa"/>
            <w:tcBorders>
              <w:top w:val="single" w:sz="8" w:space="0" w:color="auto"/>
              <w:left w:val="single" w:sz="8" w:space="0" w:color="auto"/>
              <w:bottom w:val="single" w:sz="4" w:space="0" w:color="auto"/>
              <w:right w:val="single" w:sz="8" w:space="0" w:color="auto"/>
            </w:tcBorders>
            <w:shd w:val="clear" w:color="000000" w:fill="44546A"/>
            <w:noWrap/>
            <w:vAlign w:val="bottom"/>
            <w:hideMark/>
          </w:tcPr>
          <w:p w14:paraId="79B250EB" w14:textId="77777777" w:rsidR="00013078" w:rsidRPr="0086576B" w:rsidRDefault="00013078" w:rsidP="00AE0577">
            <w:pPr>
              <w:jc w:val="both"/>
              <w:rPr>
                <w:rFonts w:asciiTheme="minorHAnsi" w:hAnsiTheme="minorHAnsi"/>
                <w:b/>
                <w:bCs/>
                <w:sz w:val="20"/>
                <w:szCs w:val="20"/>
              </w:rPr>
            </w:pPr>
            <w:r w:rsidRPr="0086576B">
              <w:rPr>
                <w:rFonts w:ascii="Calibri" w:hAnsi="Calibri"/>
                <w:b/>
                <w:bCs/>
              </w:rPr>
              <w:t>% Change 2016-19</w:t>
            </w:r>
          </w:p>
        </w:tc>
      </w:tr>
      <w:tr w:rsidR="00013078" w:rsidRPr="00650291" w14:paraId="7040F8E2" w14:textId="77777777" w:rsidTr="00AE0577">
        <w:trPr>
          <w:trHeight w:val="300"/>
        </w:trPr>
        <w:tc>
          <w:tcPr>
            <w:tcW w:w="2778" w:type="dxa"/>
            <w:tcBorders>
              <w:top w:val="nil"/>
              <w:left w:val="single" w:sz="8" w:space="0" w:color="auto"/>
              <w:bottom w:val="single" w:sz="4" w:space="0" w:color="auto"/>
              <w:right w:val="single" w:sz="4" w:space="0" w:color="auto"/>
            </w:tcBorders>
            <w:shd w:val="clear" w:color="auto" w:fill="auto"/>
            <w:noWrap/>
            <w:vAlign w:val="bottom"/>
            <w:hideMark/>
          </w:tcPr>
          <w:p w14:paraId="0677345B" w14:textId="77777777" w:rsidR="00013078" w:rsidRPr="00650291" w:rsidRDefault="00013078" w:rsidP="00AE0577">
            <w:pPr>
              <w:jc w:val="both"/>
              <w:rPr>
                <w:rFonts w:asciiTheme="minorHAnsi" w:hAnsiTheme="minorHAnsi"/>
                <w:color w:val="000000"/>
                <w:sz w:val="20"/>
                <w:szCs w:val="20"/>
              </w:rPr>
            </w:pPr>
            <w:proofErr w:type="spellStart"/>
            <w:r>
              <w:rPr>
                <w:rFonts w:ascii="Calibri" w:hAnsi="Calibri"/>
                <w:color w:val="000000"/>
              </w:rPr>
              <w:t>Bolsas</w:t>
            </w:r>
            <w:proofErr w:type="spellEnd"/>
            <w:r>
              <w:rPr>
                <w:rFonts w:ascii="Calibri" w:hAnsi="Calibri"/>
                <w:color w:val="000000"/>
              </w:rPr>
              <w:t xml:space="preserve"> y Mercado </w:t>
            </w:r>
            <w:proofErr w:type="spellStart"/>
            <w:r>
              <w:rPr>
                <w:rFonts w:ascii="Calibri" w:hAnsi="Calibri"/>
                <w:color w:val="000000"/>
              </w:rPr>
              <w:t>Espanoles</w:t>
            </w:r>
            <w:proofErr w:type="spellEnd"/>
          </w:p>
        </w:tc>
        <w:tc>
          <w:tcPr>
            <w:tcW w:w="1361" w:type="dxa"/>
            <w:tcBorders>
              <w:top w:val="nil"/>
              <w:left w:val="nil"/>
              <w:bottom w:val="single" w:sz="4" w:space="0" w:color="auto"/>
              <w:right w:val="single" w:sz="4" w:space="0" w:color="auto"/>
            </w:tcBorders>
            <w:shd w:val="clear" w:color="auto" w:fill="auto"/>
            <w:noWrap/>
            <w:vAlign w:val="bottom"/>
            <w:hideMark/>
          </w:tcPr>
          <w:p w14:paraId="262040E8" w14:textId="77777777" w:rsidR="00013078" w:rsidRPr="00650291" w:rsidRDefault="00013078" w:rsidP="00AE0577">
            <w:pPr>
              <w:jc w:val="right"/>
              <w:rPr>
                <w:rFonts w:asciiTheme="minorHAnsi" w:hAnsiTheme="minorHAnsi"/>
                <w:color w:val="000000"/>
                <w:sz w:val="20"/>
                <w:szCs w:val="20"/>
              </w:rPr>
            </w:pPr>
            <w:r>
              <w:rPr>
                <w:rFonts w:ascii="Calibri" w:hAnsi="Calibri"/>
                <w:color w:val="000000"/>
              </w:rPr>
              <w:t>9,360</w:t>
            </w:r>
          </w:p>
        </w:tc>
        <w:tc>
          <w:tcPr>
            <w:tcW w:w="1361" w:type="dxa"/>
            <w:tcBorders>
              <w:top w:val="nil"/>
              <w:left w:val="nil"/>
              <w:bottom w:val="single" w:sz="4" w:space="0" w:color="auto"/>
              <w:right w:val="single" w:sz="4" w:space="0" w:color="auto"/>
            </w:tcBorders>
            <w:shd w:val="clear" w:color="auto" w:fill="auto"/>
            <w:noWrap/>
            <w:vAlign w:val="bottom"/>
            <w:hideMark/>
          </w:tcPr>
          <w:p w14:paraId="3E66C073" w14:textId="77777777" w:rsidR="00013078" w:rsidRPr="00650291" w:rsidRDefault="00013078" w:rsidP="00AE0577">
            <w:pPr>
              <w:jc w:val="right"/>
              <w:rPr>
                <w:rFonts w:asciiTheme="minorHAnsi" w:hAnsiTheme="minorHAnsi"/>
                <w:color w:val="000000"/>
                <w:sz w:val="20"/>
                <w:szCs w:val="20"/>
              </w:rPr>
            </w:pPr>
            <w:r>
              <w:rPr>
                <w:rFonts w:ascii="Calibri" w:hAnsi="Calibri"/>
                <w:color w:val="000000"/>
              </w:rPr>
              <w:t>9,360</w:t>
            </w:r>
          </w:p>
        </w:tc>
        <w:tc>
          <w:tcPr>
            <w:tcW w:w="1361" w:type="dxa"/>
            <w:tcBorders>
              <w:top w:val="nil"/>
              <w:left w:val="nil"/>
              <w:bottom w:val="single" w:sz="4" w:space="0" w:color="auto"/>
              <w:right w:val="single" w:sz="4" w:space="0" w:color="auto"/>
            </w:tcBorders>
            <w:shd w:val="clear" w:color="auto" w:fill="auto"/>
            <w:noWrap/>
            <w:vAlign w:val="bottom"/>
            <w:hideMark/>
          </w:tcPr>
          <w:p w14:paraId="06F1D027" w14:textId="77777777" w:rsidR="00013078" w:rsidRPr="00650291" w:rsidRDefault="00013078" w:rsidP="00AE0577">
            <w:pPr>
              <w:jc w:val="right"/>
              <w:rPr>
                <w:rFonts w:asciiTheme="minorHAnsi" w:hAnsiTheme="minorHAnsi"/>
                <w:color w:val="000000"/>
                <w:sz w:val="20"/>
                <w:szCs w:val="20"/>
              </w:rPr>
            </w:pPr>
            <w:r>
              <w:rPr>
                <w:rFonts w:ascii="Calibri" w:hAnsi="Calibri"/>
                <w:color w:val="000000"/>
              </w:rPr>
              <w:t>11,820</w:t>
            </w:r>
          </w:p>
        </w:tc>
        <w:tc>
          <w:tcPr>
            <w:tcW w:w="1361" w:type="dxa"/>
            <w:tcBorders>
              <w:top w:val="nil"/>
              <w:left w:val="nil"/>
              <w:bottom w:val="single" w:sz="4" w:space="0" w:color="auto"/>
              <w:right w:val="nil"/>
            </w:tcBorders>
            <w:shd w:val="clear" w:color="auto" w:fill="auto"/>
            <w:noWrap/>
            <w:vAlign w:val="bottom"/>
            <w:hideMark/>
          </w:tcPr>
          <w:p w14:paraId="05CB0984" w14:textId="77777777" w:rsidR="00013078" w:rsidRPr="00650291" w:rsidRDefault="00013078" w:rsidP="00AE0577">
            <w:pPr>
              <w:jc w:val="right"/>
              <w:rPr>
                <w:rFonts w:asciiTheme="minorHAnsi" w:hAnsiTheme="minorHAnsi"/>
                <w:color w:val="000000"/>
                <w:sz w:val="20"/>
                <w:szCs w:val="20"/>
              </w:rPr>
            </w:pPr>
            <w:r>
              <w:rPr>
                <w:rFonts w:ascii="Calibri" w:hAnsi="Calibri"/>
                <w:color w:val="000000"/>
              </w:rPr>
              <w:t>11,820</w:t>
            </w:r>
          </w:p>
        </w:tc>
        <w:tc>
          <w:tcPr>
            <w:tcW w:w="1361" w:type="dxa"/>
            <w:tcBorders>
              <w:top w:val="nil"/>
              <w:left w:val="single" w:sz="8" w:space="0" w:color="auto"/>
              <w:bottom w:val="single" w:sz="4" w:space="0" w:color="auto"/>
              <w:right w:val="single" w:sz="8" w:space="0" w:color="auto"/>
            </w:tcBorders>
            <w:shd w:val="clear" w:color="000000" w:fill="DDEBF7"/>
            <w:noWrap/>
            <w:vAlign w:val="bottom"/>
            <w:hideMark/>
          </w:tcPr>
          <w:p w14:paraId="5938B9E9" w14:textId="77777777" w:rsidR="00013078" w:rsidRPr="00650291" w:rsidRDefault="00013078" w:rsidP="00AE0577">
            <w:pPr>
              <w:jc w:val="right"/>
              <w:rPr>
                <w:rFonts w:asciiTheme="minorHAnsi" w:hAnsiTheme="minorHAnsi"/>
                <w:b/>
                <w:bCs/>
                <w:color w:val="000000"/>
                <w:sz w:val="20"/>
                <w:szCs w:val="20"/>
              </w:rPr>
            </w:pPr>
            <w:r>
              <w:rPr>
                <w:rFonts w:ascii="Calibri" w:hAnsi="Calibri"/>
                <w:b/>
                <w:bCs/>
                <w:color w:val="000000"/>
              </w:rPr>
              <w:t>26%</w:t>
            </w:r>
          </w:p>
        </w:tc>
      </w:tr>
      <w:tr w:rsidR="00013078" w:rsidRPr="00650291" w14:paraId="6E910701" w14:textId="77777777" w:rsidTr="00AE0577">
        <w:trPr>
          <w:trHeight w:val="300"/>
        </w:trPr>
        <w:tc>
          <w:tcPr>
            <w:tcW w:w="2778" w:type="dxa"/>
            <w:tcBorders>
              <w:top w:val="nil"/>
              <w:left w:val="single" w:sz="8" w:space="0" w:color="auto"/>
              <w:bottom w:val="single" w:sz="4" w:space="0" w:color="auto"/>
              <w:right w:val="single" w:sz="4" w:space="0" w:color="auto"/>
            </w:tcBorders>
            <w:shd w:val="clear" w:color="auto" w:fill="auto"/>
            <w:noWrap/>
            <w:vAlign w:val="bottom"/>
            <w:hideMark/>
          </w:tcPr>
          <w:p w14:paraId="0798DCC2" w14:textId="77777777" w:rsidR="00013078" w:rsidRPr="00650291" w:rsidRDefault="00013078" w:rsidP="00AE0577">
            <w:pPr>
              <w:jc w:val="both"/>
              <w:rPr>
                <w:rFonts w:asciiTheme="minorHAnsi" w:hAnsiTheme="minorHAnsi"/>
                <w:color w:val="000000"/>
                <w:sz w:val="20"/>
                <w:szCs w:val="20"/>
              </w:rPr>
            </w:pPr>
            <w:proofErr w:type="spellStart"/>
            <w:r>
              <w:rPr>
                <w:rFonts w:ascii="Calibri" w:hAnsi="Calibri"/>
                <w:color w:val="000000"/>
              </w:rPr>
              <w:t>Borsa</w:t>
            </w:r>
            <w:proofErr w:type="spellEnd"/>
            <w:r>
              <w:rPr>
                <w:rFonts w:ascii="Calibri" w:hAnsi="Calibri"/>
                <w:color w:val="000000"/>
              </w:rPr>
              <w:t xml:space="preserve"> </w:t>
            </w:r>
            <w:proofErr w:type="spellStart"/>
            <w:r>
              <w:rPr>
                <w:rFonts w:ascii="Calibri" w:hAnsi="Calibri"/>
                <w:color w:val="000000"/>
              </w:rPr>
              <w:t>Italiana</w:t>
            </w:r>
            <w:proofErr w:type="spellEnd"/>
          </w:p>
        </w:tc>
        <w:tc>
          <w:tcPr>
            <w:tcW w:w="1361" w:type="dxa"/>
            <w:tcBorders>
              <w:top w:val="nil"/>
              <w:left w:val="nil"/>
              <w:bottom w:val="single" w:sz="4" w:space="0" w:color="auto"/>
              <w:right w:val="single" w:sz="4" w:space="0" w:color="auto"/>
            </w:tcBorders>
            <w:shd w:val="clear" w:color="auto" w:fill="auto"/>
            <w:noWrap/>
            <w:vAlign w:val="bottom"/>
            <w:hideMark/>
          </w:tcPr>
          <w:p w14:paraId="0E59AC43" w14:textId="77777777" w:rsidR="00013078" w:rsidRPr="00650291" w:rsidRDefault="00013078" w:rsidP="00AE0577">
            <w:pPr>
              <w:jc w:val="right"/>
              <w:rPr>
                <w:rFonts w:asciiTheme="minorHAnsi" w:hAnsiTheme="minorHAnsi"/>
                <w:color w:val="000000"/>
                <w:sz w:val="20"/>
                <w:szCs w:val="20"/>
              </w:rPr>
            </w:pPr>
            <w:r>
              <w:rPr>
                <w:rFonts w:ascii="Calibri" w:hAnsi="Calibri"/>
                <w:color w:val="000000"/>
              </w:rPr>
              <w:t>5,280</w:t>
            </w:r>
          </w:p>
        </w:tc>
        <w:tc>
          <w:tcPr>
            <w:tcW w:w="1361" w:type="dxa"/>
            <w:tcBorders>
              <w:top w:val="nil"/>
              <w:left w:val="nil"/>
              <w:bottom w:val="single" w:sz="4" w:space="0" w:color="auto"/>
              <w:right w:val="single" w:sz="4" w:space="0" w:color="auto"/>
            </w:tcBorders>
            <w:shd w:val="clear" w:color="auto" w:fill="auto"/>
            <w:noWrap/>
            <w:vAlign w:val="bottom"/>
            <w:hideMark/>
          </w:tcPr>
          <w:p w14:paraId="21323925" w14:textId="77777777" w:rsidR="00013078" w:rsidRPr="00650291" w:rsidRDefault="00013078" w:rsidP="00AE0577">
            <w:pPr>
              <w:jc w:val="right"/>
              <w:rPr>
                <w:rFonts w:asciiTheme="minorHAnsi" w:hAnsiTheme="minorHAnsi"/>
                <w:color w:val="000000"/>
                <w:sz w:val="20"/>
                <w:szCs w:val="20"/>
              </w:rPr>
            </w:pPr>
            <w:r>
              <w:rPr>
                <w:rFonts w:ascii="Calibri" w:hAnsi="Calibri"/>
                <w:color w:val="000000"/>
              </w:rPr>
              <w:t>5,502</w:t>
            </w:r>
          </w:p>
        </w:tc>
        <w:tc>
          <w:tcPr>
            <w:tcW w:w="1361" w:type="dxa"/>
            <w:tcBorders>
              <w:top w:val="nil"/>
              <w:left w:val="nil"/>
              <w:bottom w:val="single" w:sz="4" w:space="0" w:color="auto"/>
              <w:right w:val="single" w:sz="4" w:space="0" w:color="auto"/>
            </w:tcBorders>
            <w:shd w:val="clear" w:color="auto" w:fill="auto"/>
            <w:noWrap/>
            <w:vAlign w:val="bottom"/>
            <w:hideMark/>
          </w:tcPr>
          <w:p w14:paraId="1EC6F9C4" w14:textId="77777777" w:rsidR="00013078" w:rsidRPr="00650291" w:rsidRDefault="00013078" w:rsidP="00AE0577">
            <w:pPr>
              <w:jc w:val="right"/>
              <w:rPr>
                <w:rFonts w:asciiTheme="minorHAnsi" w:hAnsiTheme="minorHAnsi"/>
                <w:color w:val="000000"/>
                <w:sz w:val="20"/>
                <w:szCs w:val="20"/>
              </w:rPr>
            </w:pPr>
            <w:r>
              <w:rPr>
                <w:rFonts w:ascii="Calibri" w:hAnsi="Calibri"/>
                <w:color w:val="000000"/>
              </w:rPr>
              <w:t>5,502</w:t>
            </w:r>
          </w:p>
        </w:tc>
        <w:tc>
          <w:tcPr>
            <w:tcW w:w="1361" w:type="dxa"/>
            <w:tcBorders>
              <w:top w:val="nil"/>
              <w:left w:val="nil"/>
              <w:bottom w:val="single" w:sz="4" w:space="0" w:color="auto"/>
              <w:right w:val="nil"/>
            </w:tcBorders>
            <w:shd w:val="clear" w:color="auto" w:fill="auto"/>
            <w:noWrap/>
            <w:vAlign w:val="bottom"/>
            <w:hideMark/>
          </w:tcPr>
          <w:p w14:paraId="526885F4" w14:textId="77777777" w:rsidR="00013078" w:rsidRPr="00650291" w:rsidRDefault="00013078" w:rsidP="00AE0577">
            <w:pPr>
              <w:jc w:val="right"/>
              <w:rPr>
                <w:rFonts w:asciiTheme="minorHAnsi" w:hAnsiTheme="minorHAnsi"/>
                <w:color w:val="000000"/>
                <w:sz w:val="20"/>
                <w:szCs w:val="20"/>
              </w:rPr>
            </w:pPr>
            <w:r>
              <w:rPr>
                <w:rFonts w:ascii="Calibri" w:hAnsi="Calibri"/>
                <w:color w:val="000000"/>
              </w:rPr>
              <w:t>5,610</w:t>
            </w:r>
          </w:p>
        </w:tc>
        <w:tc>
          <w:tcPr>
            <w:tcW w:w="1361" w:type="dxa"/>
            <w:tcBorders>
              <w:top w:val="nil"/>
              <w:left w:val="single" w:sz="8" w:space="0" w:color="auto"/>
              <w:bottom w:val="single" w:sz="4" w:space="0" w:color="auto"/>
              <w:right w:val="single" w:sz="8" w:space="0" w:color="auto"/>
            </w:tcBorders>
            <w:shd w:val="clear" w:color="000000" w:fill="DDEBF7"/>
            <w:noWrap/>
            <w:vAlign w:val="bottom"/>
            <w:hideMark/>
          </w:tcPr>
          <w:p w14:paraId="0EE7D2DC" w14:textId="77777777" w:rsidR="00013078" w:rsidRPr="00650291" w:rsidRDefault="00013078" w:rsidP="00AE0577">
            <w:pPr>
              <w:jc w:val="right"/>
              <w:rPr>
                <w:rFonts w:asciiTheme="minorHAnsi" w:hAnsiTheme="minorHAnsi"/>
                <w:b/>
                <w:bCs/>
                <w:color w:val="000000"/>
                <w:sz w:val="20"/>
                <w:szCs w:val="20"/>
              </w:rPr>
            </w:pPr>
            <w:r>
              <w:rPr>
                <w:rFonts w:ascii="Calibri" w:hAnsi="Calibri"/>
                <w:b/>
                <w:bCs/>
                <w:color w:val="000000"/>
              </w:rPr>
              <w:t>6%</w:t>
            </w:r>
          </w:p>
        </w:tc>
      </w:tr>
      <w:tr w:rsidR="00013078" w:rsidRPr="00650291" w14:paraId="6058C89B" w14:textId="77777777" w:rsidTr="00AE0577">
        <w:trPr>
          <w:trHeight w:val="300"/>
        </w:trPr>
        <w:tc>
          <w:tcPr>
            <w:tcW w:w="2778" w:type="dxa"/>
            <w:tcBorders>
              <w:top w:val="nil"/>
              <w:left w:val="single" w:sz="8" w:space="0" w:color="auto"/>
              <w:bottom w:val="single" w:sz="4" w:space="0" w:color="auto"/>
              <w:right w:val="single" w:sz="4" w:space="0" w:color="auto"/>
            </w:tcBorders>
            <w:shd w:val="clear" w:color="auto" w:fill="auto"/>
            <w:noWrap/>
            <w:vAlign w:val="bottom"/>
            <w:hideMark/>
          </w:tcPr>
          <w:p w14:paraId="4CC69D56" w14:textId="77777777" w:rsidR="00013078" w:rsidRPr="00650291" w:rsidRDefault="00013078" w:rsidP="00AE0577">
            <w:pPr>
              <w:jc w:val="both"/>
              <w:rPr>
                <w:rFonts w:asciiTheme="minorHAnsi" w:hAnsiTheme="minorHAnsi"/>
                <w:color w:val="000000"/>
                <w:sz w:val="20"/>
                <w:szCs w:val="20"/>
              </w:rPr>
            </w:pPr>
            <w:proofErr w:type="spellStart"/>
            <w:r>
              <w:rPr>
                <w:rFonts w:ascii="Calibri" w:hAnsi="Calibri"/>
                <w:color w:val="000000"/>
              </w:rPr>
              <w:t>Cboe</w:t>
            </w:r>
            <w:proofErr w:type="spellEnd"/>
            <w:r>
              <w:rPr>
                <w:rFonts w:ascii="Calibri" w:hAnsi="Calibri"/>
                <w:color w:val="000000"/>
              </w:rPr>
              <w:t xml:space="preserve"> Europe</w:t>
            </w:r>
          </w:p>
        </w:tc>
        <w:tc>
          <w:tcPr>
            <w:tcW w:w="1361" w:type="dxa"/>
            <w:tcBorders>
              <w:top w:val="nil"/>
              <w:left w:val="nil"/>
              <w:bottom w:val="single" w:sz="4" w:space="0" w:color="auto"/>
              <w:right w:val="single" w:sz="4" w:space="0" w:color="auto"/>
            </w:tcBorders>
            <w:shd w:val="clear" w:color="auto" w:fill="auto"/>
            <w:noWrap/>
            <w:vAlign w:val="bottom"/>
            <w:hideMark/>
          </w:tcPr>
          <w:p w14:paraId="7A8EBC56" w14:textId="77777777" w:rsidR="00013078" w:rsidRPr="00650291" w:rsidRDefault="00013078" w:rsidP="00AE0577">
            <w:pPr>
              <w:jc w:val="right"/>
              <w:rPr>
                <w:rFonts w:asciiTheme="minorHAnsi" w:hAnsiTheme="minorHAnsi"/>
                <w:color w:val="000000"/>
                <w:sz w:val="20"/>
                <w:szCs w:val="20"/>
              </w:rPr>
            </w:pPr>
            <w:r>
              <w:rPr>
                <w:rFonts w:ascii="Calibri" w:hAnsi="Calibri"/>
                <w:color w:val="000000"/>
              </w:rPr>
              <w:t>7,322</w:t>
            </w:r>
          </w:p>
        </w:tc>
        <w:tc>
          <w:tcPr>
            <w:tcW w:w="1361" w:type="dxa"/>
            <w:tcBorders>
              <w:top w:val="nil"/>
              <w:left w:val="nil"/>
              <w:bottom w:val="single" w:sz="4" w:space="0" w:color="auto"/>
              <w:right w:val="single" w:sz="4" w:space="0" w:color="auto"/>
            </w:tcBorders>
            <w:shd w:val="clear" w:color="auto" w:fill="auto"/>
            <w:noWrap/>
            <w:vAlign w:val="bottom"/>
            <w:hideMark/>
          </w:tcPr>
          <w:p w14:paraId="50DC361D" w14:textId="77777777" w:rsidR="00013078" w:rsidRPr="00650291" w:rsidRDefault="00013078" w:rsidP="00AE0577">
            <w:pPr>
              <w:jc w:val="right"/>
              <w:rPr>
                <w:rFonts w:asciiTheme="minorHAnsi" w:hAnsiTheme="minorHAnsi"/>
                <w:color w:val="000000"/>
                <w:sz w:val="20"/>
                <w:szCs w:val="20"/>
              </w:rPr>
            </w:pPr>
            <w:r>
              <w:rPr>
                <w:rFonts w:ascii="Calibri" w:hAnsi="Calibri"/>
                <w:color w:val="000000"/>
              </w:rPr>
              <w:t>7,118</w:t>
            </w:r>
          </w:p>
        </w:tc>
        <w:tc>
          <w:tcPr>
            <w:tcW w:w="1361" w:type="dxa"/>
            <w:tcBorders>
              <w:top w:val="nil"/>
              <w:left w:val="nil"/>
              <w:bottom w:val="single" w:sz="4" w:space="0" w:color="auto"/>
              <w:right w:val="single" w:sz="4" w:space="0" w:color="auto"/>
            </w:tcBorders>
            <w:shd w:val="clear" w:color="auto" w:fill="auto"/>
            <w:noWrap/>
            <w:vAlign w:val="bottom"/>
            <w:hideMark/>
          </w:tcPr>
          <w:p w14:paraId="2B14CE94" w14:textId="77777777" w:rsidR="00013078" w:rsidRPr="00650291" w:rsidRDefault="00013078" w:rsidP="00AE0577">
            <w:pPr>
              <w:jc w:val="right"/>
              <w:rPr>
                <w:rFonts w:asciiTheme="minorHAnsi" w:hAnsiTheme="minorHAnsi"/>
                <w:color w:val="000000"/>
                <w:sz w:val="20"/>
                <w:szCs w:val="20"/>
              </w:rPr>
            </w:pPr>
            <w:r>
              <w:rPr>
                <w:rFonts w:ascii="Calibri" w:hAnsi="Calibri"/>
                <w:color w:val="000000"/>
              </w:rPr>
              <w:t>7,324</w:t>
            </w:r>
          </w:p>
        </w:tc>
        <w:tc>
          <w:tcPr>
            <w:tcW w:w="1361" w:type="dxa"/>
            <w:tcBorders>
              <w:top w:val="nil"/>
              <w:left w:val="nil"/>
              <w:bottom w:val="single" w:sz="4" w:space="0" w:color="auto"/>
              <w:right w:val="nil"/>
            </w:tcBorders>
            <w:shd w:val="clear" w:color="auto" w:fill="auto"/>
            <w:noWrap/>
            <w:vAlign w:val="bottom"/>
            <w:hideMark/>
          </w:tcPr>
          <w:p w14:paraId="5845C7A6" w14:textId="77777777" w:rsidR="00013078" w:rsidRPr="00650291" w:rsidRDefault="00013078" w:rsidP="00AE0577">
            <w:pPr>
              <w:jc w:val="right"/>
              <w:rPr>
                <w:rFonts w:asciiTheme="minorHAnsi" w:hAnsiTheme="minorHAnsi"/>
                <w:color w:val="000000"/>
                <w:sz w:val="20"/>
                <w:szCs w:val="20"/>
              </w:rPr>
            </w:pPr>
            <w:r>
              <w:rPr>
                <w:rFonts w:ascii="Calibri" w:hAnsi="Calibri"/>
                <w:color w:val="000000"/>
              </w:rPr>
              <w:t>7,721</w:t>
            </w:r>
          </w:p>
        </w:tc>
        <w:tc>
          <w:tcPr>
            <w:tcW w:w="1361" w:type="dxa"/>
            <w:tcBorders>
              <w:top w:val="nil"/>
              <w:left w:val="single" w:sz="8" w:space="0" w:color="auto"/>
              <w:bottom w:val="single" w:sz="4" w:space="0" w:color="auto"/>
              <w:right w:val="single" w:sz="8" w:space="0" w:color="auto"/>
            </w:tcBorders>
            <w:shd w:val="clear" w:color="000000" w:fill="DDEBF7"/>
            <w:noWrap/>
            <w:vAlign w:val="bottom"/>
            <w:hideMark/>
          </w:tcPr>
          <w:p w14:paraId="08091AE0" w14:textId="77777777" w:rsidR="00013078" w:rsidRPr="00650291" w:rsidRDefault="00013078" w:rsidP="00AE0577">
            <w:pPr>
              <w:jc w:val="right"/>
              <w:rPr>
                <w:rFonts w:asciiTheme="minorHAnsi" w:hAnsiTheme="minorHAnsi"/>
                <w:b/>
                <w:bCs/>
                <w:color w:val="000000"/>
                <w:sz w:val="20"/>
                <w:szCs w:val="20"/>
              </w:rPr>
            </w:pPr>
            <w:r>
              <w:rPr>
                <w:rFonts w:ascii="Calibri" w:hAnsi="Calibri"/>
                <w:b/>
                <w:bCs/>
                <w:color w:val="000000"/>
              </w:rPr>
              <w:t>5%</w:t>
            </w:r>
          </w:p>
        </w:tc>
      </w:tr>
      <w:tr w:rsidR="00013078" w:rsidRPr="00650291" w14:paraId="799A025C" w14:textId="77777777" w:rsidTr="00AE0577">
        <w:trPr>
          <w:trHeight w:val="300"/>
        </w:trPr>
        <w:tc>
          <w:tcPr>
            <w:tcW w:w="2778" w:type="dxa"/>
            <w:tcBorders>
              <w:top w:val="nil"/>
              <w:left w:val="single" w:sz="8" w:space="0" w:color="auto"/>
              <w:bottom w:val="single" w:sz="4" w:space="0" w:color="auto"/>
              <w:right w:val="single" w:sz="4" w:space="0" w:color="auto"/>
            </w:tcBorders>
            <w:shd w:val="clear" w:color="auto" w:fill="auto"/>
            <w:noWrap/>
            <w:vAlign w:val="bottom"/>
            <w:hideMark/>
          </w:tcPr>
          <w:p w14:paraId="4914DC37" w14:textId="640B6A42" w:rsidR="00013078" w:rsidRPr="00650291" w:rsidRDefault="00013078" w:rsidP="00AE0577">
            <w:pPr>
              <w:jc w:val="both"/>
              <w:rPr>
                <w:rFonts w:asciiTheme="minorHAnsi" w:hAnsiTheme="minorHAnsi"/>
                <w:color w:val="000000"/>
                <w:sz w:val="20"/>
                <w:szCs w:val="20"/>
              </w:rPr>
            </w:pPr>
            <w:r>
              <w:rPr>
                <w:rFonts w:ascii="Calibri" w:hAnsi="Calibri"/>
                <w:color w:val="000000"/>
              </w:rPr>
              <w:t xml:space="preserve">Deutsche </w:t>
            </w:r>
            <w:r w:rsidR="00492E53">
              <w:rPr>
                <w:rFonts w:ascii="Calibri" w:hAnsi="Calibri"/>
                <w:color w:val="000000"/>
              </w:rPr>
              <w:t>Boerse</w:t>
            </w:r>
          </w:p>
        </w:tc>
        <w:tc>
          <w:tcPr>
            <w:tcW w:w="1361" w:type="dxa"/>
            <w:tcBorders>
              <w:top w:val="nil"/>
              <w:left w:val="nil"/>
              <w:bottom w:val="single" w:sz="4" w:space="0" w:color="auto"/>
              <w:right w:val="single" w:sz="4" w:space="0" w:color="auto"/>
            </w:tcBorders>
            <w:shd w:val="clear" w:color="auto" w:fill="auto"/>
            <w:noWrap/>
            <w:vAlign w:val="bottom"/>
            <w:hideMark/>
          </w:tcPr>
          <w:p w14:paraId="40511820" w14:textId="77777777" w:rsidR="00013078" w:rsidRPr="00650291" w:rsidRDefault="00013078" w:rsidP="00AE0577">
            <w:pPr>
              <w:jc w:val="right"/>
              <w:rPr>
                <w:rFonts w:asciiTheme="minorHAnsi" w:hAnsiTheme="minorHAnsi"/>
                <w:color w:val="000000"/>
                <w:sz w:val="20"/>
                <w:szCs w:val="20"/>
              </w:rPr>
            </w:pPr>
            <w:r>
              <w:rPr>
                <w:rFonts w:ascii="Calibri" w:hAnsi="Calibri"/>
                <w:color w:val="000000"/>
              </w:rPr>
              <w:t>18,410</w:t>
            </w:r>
          </w:p>
        </w:tc>
        <w:tc>
          <w:tcPr>
            <w:tcW w:w="1361" w:type="dxa"/>
            <w:tcBorders>
              <w:top w:val="nil"/>
              <w:left w:val="nil"/>
              <w:bottom w:val="single" w:sz="4" w:space="0" w:color="auto"/>
              <w:right w:val="single" w:sz="4" w:space="0" w:color="auto"/>
            </w:tcBorders>
            <w:shd w:val="clear" w:color="auto" w:fill="auto"/>
            <w:noWrap/>
            <w:vAlign w:val="bottom"/>
            <w:hideMark/>
          </w:tcPr>
          <w:p w14:paraId="02175DEB" w14:textId="77777777" w:rsidR="00013078" w:rsidRPr="00650291" w:rsidRDefault="00013078" w:rsidP="00AE0577">
            <w:pPr>
              <w:jc w:val="right"/>
              <w:rPr>
                <w:rFonts w:asciiTheme="minorHAnsi" w:hAnsiTheme="minorHAnsi"/>
                <w:color w:val="000000"/>
                <w:sz w:val="20"/>
                <w:szCs w:val="20"/>
              </w:rPr>
            </w:pPr>
            <w:r>
              <w:rPr>
                <w:rFonts w:ascii="Calibri" w:hAnsi="Calibri"/>
                <w:color w:val="000000"/>
              </w:rPr>
              <w:t>19,620</w:t>
            </w:r>
          </w:p>
        </w:tc>
        <w:tc>
          <w:tcPr>
            <w:tcW w:w="1361" w:type="dxa"/>
            <w:tcBorders>
              <w:top w:val="nil"/>
              <w:left w:val="nil"/>
              <w:bottom w:val="single" w:sz="4" w:space="0" w:color="auto"/>
              <w:right w:val="single" w:sz="4" w:space="0" w:color="auto"/>
            </w:tcBorders>
            <w:shd w:val="clear" w:color="auto" w:fill="auto"/>
            <w:noWrap/>
            <w:vAlign w:val="bottom"/>
            <w:hideMark/>
          </w:tcPr>
          <w:p w14:paraId="557AAF20" w14:textId="77777777" w:rsidR="00013078" w:rsidRPr="00650291" w:rsidRDefault="00013078" w:rsidP="00AE0577">
            <w:pPr>
              <w:jc w:val="right"/>
              <w:rPr>
                <w:rFonts w:asciiTheme="minorHAnsi" w:hAnsiTheme="minorHAnsi"/>
                <w:color w:val="000000"/>
                <w:sz w:val="20"/>
                <w:szCs w:val="20"/>
              </w:rPr>
            </w:pPr>
            <w:r>
              <w:rPr>
                <w:rFonts w:ascii="Calibri" w:hAnsi="Calibri"/>
                <w:color w:val="000000"/>
              </w:rPr>
              <w:t>20,736</w:t>
            </w:r>
          </w:p>
        </w:tc>
        <w:tc>
          <w:tcPr>
            <w:tcW w:w="1361" w:type="dxa"/>
            <w:tcBorders>
              <w:top w:val="nil"/>
              <w:left w:val="nil"/>
              <w:bottom w:val="single" w:sz="4" w:space="0" w:color="auto"/>
              <w:right w:val="nil"/>
            </w:tcBorders>
            <w:shd w:val="clear" w:color="auto" w:fill="auto"/>
            <w:noWrap/>
            <w:vAlign w:val="bottom"/>
            <w:hideMark/>
          </w:tcPr>
          <w:p w14:paraId="5E9D45A7" w14:textId="77777777" w:rsidR="00013078" w:rsidRPr="00650291" w:rsidRDefault="00013078" w:rsidP="00AE0577">
            <w:pPr>
              <w:jc w:val="right"/>
              <w:rPr>
                <w:rFonts w:asciiTheme="minorHAnsi" w:hAnsiTheme="minorHAnsi"/>
                <w:color w:val="000000"/>
                <w:sz w:val="20"/>
                <w:szCs w:val="20"/>
              </w:rPr>
            </w:pPr>
            <w:r>
              <w:rPr>
                <w:rFonts w:ascii="Calibri" w:hAnsi="Calibri"/>
                <w:color w:val="000000"/>
              </w:rPr>
              <w:t>23,084</w:t>
            </w:r>
          </w:p>
        </w:tc>
        <w:tc>
          <w:tcPr>
            <w:tcW w:w="1361" w:type="dxa"/>
            <w:tcBorders>
              <w:top w:val="nil"/>
              <w:left w:val="single" w:sz="8" w:space="0" w:color="auto"/>
              <w:bottom w:val="single" w:sz="4" w:space="0" w:color="auto"/>
              <w:right w:val="single" w:sz="8" w:space="0" w:color="auto"/>
            </w:tcBorders>
            <w:shd w:val="clear" w:color="000000" w:fill="DDEBF7"/>
            <w:noWrap/>
            <w:vAlign w:val="bottom"/>
            <w:hideMark/>
          </w:tcPr>
          <w:p w14:paraId="5285FF25" w14:textId="77777777" w:rsidR="00013078" w:rsidRPr="00650291" w:rsidRDefault="00013078" w:rsidP="00AE0577">
            <w:pPr>
              <w:jc w:val="right"/>
              <w:rPr>
                <w:rFonts w:asciiTheme="minorHAnsi" w:hAnsiTheme="minorHAnsi"/>
                <w:b/>
                <w:bCs/>
                <w:color w:val="000000"/>
                <w:sz w:val="20"/>
                <w:szCs w:val="20"/>
              </w:rPr>
            </w:pPr>
            <w:r>
              <w:rPr>
                <w:rFonts w:ascii="Calibri" w:hAnsi="Calibri"/>
                <w:b/>
                <w:bCs/>
                <w:color w:val="000000"/>
              </w:rPr>
              <w:t>25%</w:t>
            </w:r>
          </w:p>
        </w:tc>
      </w:tr>
      <w:tr w:rsidR="00013078" w:rsidRPr="00650291" w14:paraId="26B0F94C" w14:textId="77777777" w:rsidTr="00AE0577">
        <w:trPr>
          <w:trHeight w:val="300"/>
        </w:trPr>
        <w:tc>
          <w:tcPr>
            <w:tcW w:w="2778" w:type="dxa"/>
            <w:tcBorders>
              <w:top w:val="nil"/>
              <w:left w:val="single" w:sz="8" w:space="0" w:color="auto"/>
              <w:bottom w:val="single" w:sz="4" w:space="0" w:color="auto"/>
              <w:right w:val="single" w:sz="4" w:space="0" w:color="auto"/>
            </w:tcBorders>
            <w:shd w:val="clear" w:color="auto" w:fill="auto"/>
            <w:noWrap/>
            <w:vAlign w:val="bottom"/>
            <w:hideMark/>
          </w:tcPr>
          <w:p w14:paraId="24596E0C" w14:textId="77777777" w:rsidR="00013078" w:rsidRPr="00650291" w:rsidRDefault="00013078" w:rsidP="00AE0577">
            <w:pPr>
              <w:jc w:val="both"/>
              <w:rPr>
                <w:rFonts w:asciiTheme="minorHAnsi" w:hAnsiTheme="minorHAnsi"/>
                <w:color w:val="000000"/>
                <w:sz w:val="20"/>
                <w:szCs w:val="20"/>
              </w:rPr>
            </w:pPr>
            <w:r>
              <w:rPr>
                <w:rFonts w:ascii="Calibri" w:hAnsi="Calibri"/>
                <w:color w:val="000000"/>
              </w:rPr>
              <w:t>Euronext</w:t>
            </w:r>
          </w:p>
        </w:tc>
        <w:tc>
          <w:tcPr>
            <w:tcW w:w="1361" w:type="dxa"/>
            <w:tcBorders>
              <w:top w:val="nil"/>
              <w:left w:val="nil"/>
              <w:bottom w:val="single" w:sz="4" w:space="0" w:color="auto"/>
              <w:right w:val="single" w:sz="4" w:space="0" w:color="auto"/>
            </w:tcBorders>
            <w:shd w:val="clear" w:color="auto" w:fill="auto"/>
            <w:noWrap/>
            <w:vAlign w:val="bottom"/>
            <w:hideMark/>
          </w:tcPr>
          <w:p w14:paraId="15DF881F" w14:textId="77777777" w:rsidR="00013078" w:rsidRPr="00650291" w:rsidRDefault="00013078" w:rsidP="00AE0577">
            <w:pPr>
              <w:jc w:val="right"/>
              <w:rPr>
                <w:rFonts w:asciiTheme="minorHAnsi" w:hAnsiTheme="minorHAnsi"/>
                <w:color w:val="000000"/>
                <w:sz w:val="20"/>
                <w:szCs w:val="20"/>
              </w:rPr>
            </w:pPr>
            <w:r>
              <w:rPr>
                <w:rFonts w:ascii="Calibri" w:hAnsi="Calibri"/>
                <w:color w:val="000000"/>
              </w:rPr>
              <w:t>17,760</w:t>
            </w:r>
          </w:p>
        </w:tc>
        <w:tc>
          <w:tcPr>
            <w:tcW w:w="1361" w:type="dxa"/>
            <w:tcBorders>
              <w:top w:val="nil"/>
              <w:left w:val="nil"/>
              <w:bottom w:val="single" w:sz="4" w:space="0" w:color="auto"/>
              <w:right w:val="single" w:sz="4" w:space="0" w:color="auto"/>
            </w:tcBorders>
            <w:shd w:val="clear" w:color="auto" w:fill="auto"/>
            <w:noWrap/>
            <w:vAlign w:val="bottom"/>
            <w:hideMark/>
          </w:tcPr>
          <w:p w14:paraId="3B75C4DC" w14:textId="77777777" w:rsidR="00013078" w:rsidRPr="00650291" w:rsidRDefault="00013078" w:rsidP="00AE0577">
            <w:pPr>
              <w:jc w:val="right"/>
              <w:rPr>
                <w:rFonts w:asciiTheme="minorHAnsi" w:hAnsiTheme="minorHAnsi"/>
                <w:color w:val="000000"/>
                <w:sz w:val="20"/>
                <w:szCs w:val="20"/>
              </w:rPr>
            </w:pPr>
            <w:r>
              <w:rPr>
                <w:rFonts w:ascii="Calibri" w:hAnsi="Calibri"/>
                <w:color w:val="000000"/>
              </w:rPr>
              <w:t>16,440</w:t>
            </w:r>
          </w:p>
        </w:tc>
        <w:tc>
          <w:tcPr>
            <w:tcW w:w="1361" w:type="dxa"/>
            <w:tcBorders>
              <w:top w:val="nil"/>
              <w:left w:val="nil"/>
              <w:bottom w:val="single" w:sz="4" w:space="0" w:color="auto"/>
              <w:right w:val="single" w:sz="4" w:space="0" w:color="auto"/>
            </w:tcBorders>
            <w:shd w:val="clear" w:color="auto" w:fill="auto"/>
            <w:noWrap/>
            <w:vAlign w:val="bottom"/>
            <w:hideMark/>
          </w:tcPr>
          <w:p w14:paraId="300DFD38" w14:textId="77777777" w:rsidR="00013078" w:rsidRPr="00650291" w:rsidRDefault="00013078" w:rsidP="00AE0577">
            <w:pPr>
              <w:jc w:val="right"/>
              <w:rPr>
                <w:rFonts w:asciiTheme="minorHAnsi" w:hAnsiTheme="minorHAnsi"/>
                <w:color w:val="000000"/>
                <w:sz w:val="20"/>
                <w:szCs w:val="20"/>
              </w:rPr>
            </w:pPr>
            <w:r>
              <w:rPr>
                <w:rFonts w:ascii="Calibri" w:hAnsi="Calibri"/>
                <w:color w:val="000000"/>
              </w:rPr>
              <w:t>17,400</w:t>
            </w:r>
          </w:p>
        </w:tc>
        <w:tc>
          <w:tcPr>
            <w:tcW w:w="1361" w:type="dxa"/>
            <w:tcBorders>
              <w:top w:val="nil"/>
              <w:left w:val="nil"/>
              <w:bottom w:val="single" w:sz="4" w:space="0" w:color="auto"/>
              <w:right w:val="nil"/>
            </w:tcBorders>
            <w:shd w:val="clear" w:color="auto" w:fill="auto"/>
            <w:noWrap/>
            <w:vAlign w:val="bottom"/>
            <w:hideMark/>
          </w:tcPr>
          <w:p w14:paraId="23B82A42" w14:textId="77777777" w:rsidR="00013078" w:rsidRPr="00650291" w:rsidRDefault="00013078" w:rsidP="00AE0577">
            <w:pPr>
              <w:jc w:val="right"/>
              <w:rPr>
                <w:rFonts w:asciiTheme="minorHAnsi" w:hAnsiTheme="minorHAnsi"/>
                <w:color w:val="000000"/>
                <w:sz w:val="20"/>
                <w:szCs w:val="20"/>
              </w:rPr>
            </w:pPr>
            <w:r>
              <w:rPr>
                <w:rFonts w:ascii="Calibri" w:hAnsi="Calibri"/>
                <w:color w:val="000000"/>
              </w:rPr>
              <w:t>17,562</w:t>
            </w:r>
          </w:p>
        </w:tc>
        <w:tc>
          <w:tcPr>
            <w:tcW w:w="1361" w:type="dxa"/>
            <w:tcBorders>
              <w:top w:val="nil"/>
              <w:left w:val="single" w:sz="8" w:space="0" w:color="auto"/>
              <w:bottom w:val="single" w:sz="4" w:space="0" w:color="auto"/>
              <w:right w:val="single" w:sz="8" w:space="0" w:color="auto"/>
            </w:tcBorders>
            <w:shd w:val="clear" w:color="000000" w:fill="DDEBF7"/>
            <w:noWrap/>
            <w:vAlign w:val="bottom"/>
            <w:hideMark/>
          </w:tcPr>
          <w:p w14:paraId="6B39E271" w14:textId="77777777" w:rsidR="00013078" w:rsidRPr="00650291" w:rsidRDefault="00013078" w:rsidP="00AE0577">
            <w:pPr>
              <w:jc w:val="right"/>
              <w:rPr>
                <w:rFonts w:asciiTheme="minorHAnsi" w:hAnsiTheme="minorHAnsi"/>
                <w:b/>
                <w:bCs/>
                <w:color w:val="000000"/>
                <w:sz w:val="20"/>
                <w:szCs w:val="20"/>
              </w:rPr>
            </w:pPr>
            <w:r>
              <w:rPr>
                <w:rFonts w:ascii="Calibri" w:hAnsi="Calibri"/>
                <w:b/>
                <w:bCs/>
                <w:color w:val="000000"/>
              </w:rPr>
              <w:t>-1%</w:t>
            </w:r>
          </w:p>
        </w:tc>
      </w:tr>
      <w:tr w:rsidR="00013078" w:rsidRPr="00650291" w14:paraId="41314D2A" w14:textId="77777777" w:rsidTr="00AE0577">
        <w:trPr>
          <w:trHeight w:val="300"/>
        </w:trPr>
        <w:tc>
          <w:tcPr>
            <w:tcW w:w="2778" w:type="dxa"/>
            <w:tcBorders>
              <w:top w:val="nil"/>
              <w:left w:val="single" w:sz="8" w:space="0" w:color="auto"/>
              <w:bottom w:val="single" w:sz="4" w:space="0" w:color="auto"/>
              <w:right w:val="single" w:sz="4" w:space="0" w:color="auto"/>
            </w:tcBorders>
            <w:shd w:val="clear" w:color="auto" w:fill="auto"/>
            <w:noWrap/>
            <w:vAlign w:val="bottom"/>
            <w:hideMark/>
          </w:tcPr>
          <w:p w14:paraId="6E588FFB" w14:textId="77777777" w:rsidR="00013078" w:rsidRPr="00650291" w:rsidRDefault="00013078" w:rsidP="00AE0577">
            <w:pPr>
              <w:jc w:val="both"/>
              <w:rPr>
                <w:rFonts w:asciiTheme="minorHAnsi" w:hAnsiTheme="minorHAnsi"/>
                <w:color w:val="000000"/>
                <w:sz w:val="20"/>
                <w:szCs w:val="20"/>
              </w:rPr>
            </w:pPr>
            <w:r>
              <w:rPr>
                <w:rFonts w:ascii="Calibri" w:hAnsi="Calibri"/>
                <w:color w:val="000000"/>
              </w:rPr>
              <w:t>ICE Europe</w:t>
            </w:r>
          </w:p>
        </w:tc>
        <w:tc>
          <w:tcPr>
            <w:tcW w:w="1361" w:type="dxa"/>
            <w:tcBorders>
              <w:top w:val="nil"/>
              <w:left w:val="nil"/>
              <w:bottom w:val="single" w:sz="4" w:space="0" w:color="auto"/>
              <w:right w:val="single" w:sz="4" w:space="0" w:color="auto"/>
            </w:tcBorders>
            <w:shd w:val="clear" w:color="auto" w:fill="auto"/>
            <w:noWrap/>
            <w:vAlign w:val="bottom"/>
            <w:hideMark/>
          </w:tcPr>
          <w:p w14:paraId="569872F0" w14:textId="77777777" w:rsidR="00013078" w:rsidRPr="00650291" w:rsidRDefault="00013078" w:rsidP="00AE0577">
            <w:pPr>
              <w:jc w:val="right"/>
              <w:rPr>
                <w:rFonts w:asciiTheme="minorHAnsi" w:hAnsiTheme="minorHAnsi"/>
                <w:color w:val="000000"/>
                <w:sz w:val="20"/>
                <w:szCs w:val="20"/>
              </w:rPr>
            </w:pPr>
            <w:r>
              <w:rPr>
                <w:rFonts w:ascii="Calibri" w:hAnsi="Calibri"/>
                <w:color w:val="000000"/>
              </w:rPr>
              <w:t>28,678</w:t>
            </w:r>
          </w:p>
        </w:tc>
        <w:tc>
          <w:tcPr>
            <w:tcW w:w="1361" w:type="dxa"/>
            <w:tcBorders>
              <w:top w:val="nil"/>
              <w:left w:val="nil"/>
              <w:bottom w:val="single" w:sz="4" w:space="0" w:color="auto"/>
              <w:right w:val="single" w:sz="4" w:space="0" w:color="auto"/>
            </w:tcBorders>
            <w:shd w:val="clear" w:color="auto" w:fill="auto"/>
            <w:noWrap/>
            <w:vAlign w:val="bottom"/>
            <w:hideMark/>
          </w:tcPr>
          <w:p w14:paraId="317E4A9D" w14:textId="77777777" w:rsidR="00013078" w:rsidRPr="00650291" w:rsidRDefault="00013078" w:rsidP="00AE0577">
            <w:pPr>
              <w:jc w:val="right"/>
              <w:rPr>
                <w:rFonts w:asciiTheme="minorHAnsi" w:hAnsiTheme="minorHAnsi"/>
                <w:color w:val="000000"/>
                <w:sz w:val="20"/>
                <w:szCs w:val="20"/>
              </w:rPr>
            </w:pPr>
            <w:r>
              <w:rPr>
                <w:rFonts w:ascii="Calibri" w:hAnsi="Calibri"/>
                <w:color w:val="000000"/>
              </w:rPr>
              <w:t>27,774</w:t>
            </w:r>
          </w:p>
        </w:tc>
        <w:tc>
          <w:tcPr>
            <w:tcW w:w="1361" w:type="dxa"/>
            <w:tcBorders>
              <w:top w:val="nil"/>
              <w:left w:val="nil"/>
              <w:bottom w:val="single" w:sz="4" w:space="0" w:color="auto"/>
              <w:right w:val="single" w:sz="4" w:space="0" w:color="auto"/>
            </w:tcBorders>
            <w:shd w:val="clear" w:color="auto" w:fill="auto"/>
            <w:noWrap/>
            <w:vAlign w:val="bottom"/>
            <w:hideMark/>
          </w:tcPr>
          <w:p w14:paraId="55013250" w14:textId="77777777" w:rsidR="00013078" w:rsidRPr="00650291" w:rsidRDefault="00013078" w:rsidP="00AE0577">
            <w:pPr>
              <w:jc w:val="right"/>
              <w:rPr>
                <w:rFonts w:asciiTheme="minorHAnsi" w:hAnsiTheme="minorHAnsi"/>
                <w:color w:val="000000"/>
                <w:sz w:val="20"/>
                <w:szCs w:val="20"/>
              </w:rPr>
            </w:pPr>
            <w:r>
              <w:rPr>
                <w:rFonts w:ascii="Calibri" w:hAnsi="Calibri"/>
                <w:color w:val="000000"/>
              </w:rPr>
              <w:t>31,714</w:t>
            </w:r>
          </w:p>
        </w:tc>
        <w:tc>
          <w:tcPr>
            <w:tcW w:w="1361" w:type="dxa"/>
            <w:tcBorders>
              <w:top w:val="nil"/>
              <w:left w:val="nil"/>
              <w:bottom w:val="single" w:sz="4" w:space="0" w:color="auto"/>
              <w:right w:val="nil"/>
            </w:tcBorders>
            <w:shd w:val="clear" w:color="auto" w:fill="auto"/>
            <w:noWrap/>
            <w:vAlign w:val="bottom"/>
            <w:hideMark/>
          </w:tcPr>
          <w:p w14:paraId="29F419A1" w14:textId="77777777" w:rsidR="00013078" w:rsidRPr="00650291" w:rsidRDefault="00013078" w:rsidP="00AE0577">
            <w:pPr>
              <w:jc w:val="right"/>
              <w:rPr>
                <w:rFonts w:asciiTheme="minorHAnsi" w:hAnsiTheme="minorHAnsi"/>
                <w:color w:val="000000"/>
                <w:sz w:val="20"/>
                <w:szCs w:val="20"/>
              </w:rPr>
            </w:pPr>
            <w:r>
              <w:rPr>
                <w:rFonts w:ascii="Calibri" w:hAnsi="Calibri"/>
                <w:color w:val="000000"/>
              </w:rPr>
              <w:t>32,324</w:t>
            </w:r>
          </w:p>
        </w:tc>
        <w:tc>
          <w:tcPr>
            <w:tcW w:w="1361" w:type="dxa"/>
            <w:tcBorders>
              <w:top w:val="nil"/>
              <w:left w:val="single" w:sz="8" w:space="0" w:color="auto"/>
              <w:bottom w:val="single" w:sz="4" w:space="0" w:color="auto"/>
              <w:right w:val="single" w:sz="8" w:space="0" w:color="auto"/>
            </w:tcBorders>
            <w:shd w:val="clear" w:color="000000" w:fill="DDEBF7"/>
            <w:noWrap/>
            <w:vAlign w:val="bottom"/>
            <w:hideMark/>
          </w:tcPr>
          <w:p w14:paraId="148804EA" w14:textId="77777777" w:rsidR="00013078" w:rsidRPr="00650291" w:rsidRDefault="00013078" w:rsidP="00AE0577">
            <w:pPr>
              <w:jc w:val="right"/>
              <w:rPr>
                <w:rFonts w:asciiTheme="minorHAnsi" w:hAnsiTheme="minorHAnsi"/>
                <w:b/>
                <w:bCs/>
                <w:color w:val="000000"/>
                <w:sz w:val="20"/>
                <w:szCs w:val="20"/>
              </w:rPr>
            </w:pPr>
            <w:r>
              <w:rPr>
                <w:rFonts w:ascii="Calibri" w:hAnsi="Calibri"/>
                <w:b/>
                <w:bCs/>
                <w:color w:val="000000"/>
              </w:rPr>
              <w:t>13%</w:t>
            </w:r>
          </w:p>
        </w:tc>
      </w:tr>
      <w:tr w:rsidR="00013078" w:rsidRPr="00650291" w14:paraId="5894EC3E" w14:textId="77777777" w:rsidTr="00AE0577">
        <w:trPr>
          <w:trHeight w:val="300"/>
        </w:trPr>
        <w:tc>
          <w:tcPr>
            <w:tcW w:w="2778" w:type="dxa"/>
            <w:tcBorders>
              <w:top w:val="nil"/>
              <w:left w:val="single" w:sz="8" w:space="0" w:color="auto"/>
              <w:bottom w:val="single" w:sz="4" w:space="0" w:color="auto"/>
              <w:right w:val="single" w:sz="4" w:space="0" w:color="auto"/>
            </w:tcBorders>
            <w:shd w:val="clear" w:color="auto" w:fill="auto"/>
            <w:noWrap/>
            <w:vAlign w:val="bottom"/>
            <w:hideMark/>
          </w:tcPr>
          <w:p w14:paraId="1B6A1B07" w14:textId="77777777" w:rsidR="00013078" w:rsidRPr="00650291" w:rsidRDefault="00013078" w:rsidP="00AE0577">
            <w:pPr>
              <w:jc w:val="both"/>
              <w:rPr>
                <w:rFonts w:asciiTheme="minorHAnsi" w:hAnsiTheme="minorHAnsi"/>
                <w:color w:val="000000"/>
                <w:sz w:val="20"/>
                <w:szCs w:val="20"/>
              </w:rPr>
            </w:pPr>
            <w:r>
              <w:rPr>
                <w:rFonts w:ascii="Calibri" w:hAnsi="Calibri"/>
                <w:color w:val="000000"/>
              </w:rPr>
              <w:t>Irish Stock Exchange</w:t>
            </w:r>
          </w:p>
        </w:tc>
        <w:tc>
          <w:tcPr>
            <w:tcW w:w="1361" w:type="dxa"/>
            <w:tcBorders>
              <w:top w:val="nil"/>
              <w:left w:val="nil"/>
              <w:bottom w:val="single" w:sz="4" w:space="0" w:color="auto"/>
              <w:right w:val="single" w:sz="4" w:space="0" w:color="auto"/>
            </w:tcBorders>
            <w:shd w:val="clear" w:color="auto" w:fill="auto"/>
            <w:noWrap/>
            <w:vAlign w:val="bottom"/>
            <w:hideMark/>
          </w:tcPr>
          <w:p w14:paraId="509B9C0E" w14:textId="77777777" w:rsidR="00013078" w:rsidRPr="00650291" w:rsidRDefault="00013078" w:rsidP="00AE0577">
            <w:pPr>
              <w:jc w:val="right"/>
              <w:rPr>
                <w:rFonts w:asciiTheme="minorHAnsi" w:hAnsiTheme="minorHAnsi"/>
                <w:color w:val="000000"/>
                <w:sz w:val="20"/>
                <w:szCs w:val="20"/>
              </w:rPr>
            </w:pPr>
            <w:r>
              <w:rPr>
                <w:rFonts w:ascii="Calibri" w:hAnsi="Calibri"/>
                <w:color w:val="000000"/>
              </w:rPr>
              <w:t>2,246</w:t>
            </w:r>
          </w:p>
        </w:tc>
        <w:tc>
          <w:tcPr>
            <w:tcW w:w="1361" w:type="dxa"/>
            <w:tcBorders>
              <w:top w:val="nil"/>
              <w:left w:val="nil"/>
              <w:bottom w:val="single" w:sz="4" w:space="0" w:color="auto"/>
              <w:right w:val="single" w:sz="4" w:space="0" w:color="auto"/>
            </w:tcBorders>
            <w:shd w:val="clear" w:color="auto" w:fill="auto"/>
            <w:noWrap/>
            <w:vAlign w:val="bottom"/>
            <w:hideMark/>
          </w:tcPr>
          <w:p w14:paraId="7CBEADFB" w14:textId="77777777" w:rsidR="00013078" w:rsidRPr="00650291" w:rsidRDefault="00013078" w:rsidP="00AE0577">
            <w:pPr>
              <w:jc w:val="right"/>
              <w:rPr>
                <w:rFonts w:asciiTheme="minorHAnsi" w:hAnsiTheme="minorHAnsi"/>
                <w:color w:val="000000"/>
                <w:sz w:val="20"/>
                <w:szCs w:val="20"/>
              </w:rPr>
            </w:pPr>
            <w:r>
              <w:rPr>
                <w:rFonts w:ascii="Calibri" w:hAnsi="Calibri"/>
                <w:color w:val="000000"/>
              </w:rPr>
              <w:t>2,496</w:t>
            </w:r>
          </w:p>
        </w:tc>
        <w:tc>
          <w:tcPr>
            <w:tcW w:w="1361" w:type="dxa"/>
            <w:tcBorders>
              <w:top w:val="nil"/>
              <w:left w:val="nil"/>
              <w:bottom w:val="single" w:sz="4" w:space="0" w:color="auto"/>
              <w:right w:val="single" w:sz="4" w:space="0" w:color="auto"/>
            </w:tcBorders>
            <w:shd w:val="clear" w:color="auto" w:fill="auto"/>
            <w:noWrap/>
            <w:vAlign w:val="bottom"/>
            <w:hideMark/>
          </w:tcPr>
          <w:p w14:paraId="3A2581C7" w14:textId="77777777" w:rsidR="00013078" w:rsidRPr="00650291" w:rsidRDefault="00013078" w:rsidP="00AE0577">
            <w:pPr>
              <w:jc w:val="right"/>
              <w:rPr>
                <w:rFonts w:asciiTheme="minorHAnsi" w:hAnsiTheme="minorHAnsi"/>
                <w:color w:val="000000"/>
                <w:sz w:val="20"/>
                <w:szCs w:val="20"/>
              </w:rPr>
            </w:pPr>
            <w:r>
              <w:rPr>
                <w:rFonts w:ascii="Calibri" w:hAnsi="Calibri"/>
                <w:color w:val="000000"/>
              </w:rPr>
              <w:t>3,480</w:t>
            </w:r>
          </w:p>
        </w:tc>
        <w:tc>
          <w:tcPr>
            <w:tcW w:w="1361" w:type="dxa"/>
            <w:tcBorders>
              <w:top w:val="nil"/>
              <w:left w:val="nil"/>
              <w:bottom w:val="single" w:sz="4" w:space="0" w:color="auto"/>
              <w:right w:val="nil"/>
            </w:tcBorders>
            <w:shd w:val="clear" w:color="auto" w:fill="auto"/>
            <w:noWrap/>
            <w:vAlign w:val="bottom"/>
            <w:hideMark/>
          </w:tcPr>
          <w:p w14:paraId="4BF0720E" w14:textId="77777777" w:rsidR="00013078" w:rsidRPr="00650291" w:rsidRDefault="00013078" w:rsidP="00AE0577">
            <w:pPr>
              <w:jc w:val="right"/>
              <w:rPr>
                <w:rFonts w:asciiTheme="minorHAnsi" w:hAnsiTheme="minorHAnsi"/>
                <w:color w:val="000000"/>
                <w:sz w:val="20"/>
                <w:szCs w:val="20"/>
              </w:rPr>
            </w:pPr>
            <w:r>
              <w:rPr>
                <w:rFonts w:ascii="Calibri" w:hAnsi="Calibri"/>
                <w:color w:val="000000"/>
              </w:rPr>
              <w:t>2,442</w:t>
            </w:r>
          </w:p>
        </w:tc>
        <w:tc>
          <w:tcPr>
            <w:tcW w:w="1361" w:type="dxa"/>
            <w:tcBorders>
              <w:top w:val="nil"/>
              <w:left w:val="single" w:sz="8" w:space="0" w:color="auto"/>
              <w:bottom w:val="single" w:sz="4" w:space="0" w:color="auto"/>
              <w:right w:val="single" w:sz="8" w:space="0" w:color="auto"/>
            </w:tcBorders>
            <w:shd w:val="clear" w:color="000000" w:fill="DDEBF7"/>
            <w:noWrap/>
            <w:vAlign w:val="bottom"/>
            <w:hideMark/>
          </w:tcPr>
          <w:p w14:paraId="625456DB" w14:textId="77777777" w:rsidR="00013078" w:rsidRPr="00650291" w:rsidRDefault="00013078" w:rsidP="00AE0577">
            <w:pPr>
              <w:jc w:val="right"/>
              <w:rPr>
                <w:rFonts w:asciiTheme="minorHAnsi" w:hAnsiTheme="minorHAnsi"/>
                <w:b/>
                <w:bCs/>
                <w:color w:val="000000"/>
                <w:sz w:val="20"/>
                <w:szCs w:val="20"/>
              </w:rPr>
            </w:pPr>
            <w:r>
              <w:rPr>
                <w:rFonts w:ascii="Calibri" w:hAnsi="Calibri"/>
                <w:b/>
                <w:bCs/>
                <w:color w:val="000000"/>
              </w:rPr>
              <w:t>9%</w:t>
            </w:r>
          </w:p>
        </w:tc>
      </w:tr>
      <w:tr w:rsidR="00013078" w:rsidRPr="00650291" w14:paraId="3F8177DB" w14:textId="77777777" w:rsidTr="00AE0577">
        <w:trPr>
          <w:trHeight w:val="300"/>
        </w:trPr>
        <w:tc>
          <w:tcPr>
            <w:tcW w:w="2778" w:type="dxa"/>
            <w:tcBorders>
              <w:top w:val="nil"/>
              <w:left w:val="single" w:sz="8" w:space="0" w:color="auto"/>
              <w:bottom w:val="single" w:sz="4" w:space="0" w:color="auto"/>
              <w:right w:val="single" w:sz="4" w:space="0" w:color="auto"/>
            </w:tcBorders>
            <w:shd w:val="clear" w:color="auto" w:fill="auto"/>
            <w:noWrap/>
            <w:vAlign w:val="bottom"/>
            <w:hideMark/>
          </w:tcPr>
          <w:p w14:paraId="6437FACF" w14:textId="77777777" w:rsidR="00013078" w:rsidRPr="00650291" w:rsidRDefault="00013078" w:rsidP="00AE0577">
            <w:pPr>
              <w:jc w:val="both"/>
              <w:rPr>
                <w:rFonts w:asciiTheme="minorHAnsi" w:hAnsiTheme="minorHAnsi"/>
                <w:color w:val="000000"/>
                <w:sz w:val="20"/>
                <w:szCs w:val="20"/>
              </w:rPr>
            </w:pPr>
            <w:r>
              <w:rPr>
                <w:rFonts w:ascii="Calibri" w:hAnsi="Calibri"/>
                <w:color w:val="000000"/>
              </w:rPr>
              <w:t>London Stock Exchange</w:t>
            </w:r>
          </w:p>
        </w:tc>
        <w:tc>
          <w:tcPr>
            <w:tcW w:w="1361" w:type="dxa"/>
            <w:tcBorders>
              <w:top w:val="nil"/>
              <w:left w:val="nil"/>
              <w:bottom w:val="single" w:sz="4" w:space="0" w:color="auto"/>
              <w:right w:val="single" w:sz="4" w:space="0" w:color="auto"/>
            </w:tcBorders>
            <w:shd w:val="clear" w:color="auto" w:fill="auto"/>
            <w:noWrap/>
            <w:vAlign w:val="bottom"/>
            <w:hideMark/>
          </w:tcPr>
          <w:p w14:paraId="529DD3CE" w14:textId="77777777" w:rsidR="00013078" w:rsidRPr="00650291" w:rsidRDefault="00013078" w:rsidP="00AE0577">
            <w:pPr>
              <w:jc w:val="right"/>
              <w:rPr>
                <w:rFonts w:asciiTheme="minorHAnsi" w:hAnsiTheme="minorHAnsi"/>
                <w:color w:val="000000"/>
                <w:sz w:val="20"/>
                <w:szCs w:val="20"/>
              </w:rPr>
            </w:pPr>
            <w:r>
              <w:rPr>
                <w:rFonts w:ascii="Calibri" w:hAnsi="Calibri"/>
                <w:color w:val="000000"/>
              </w:rPr>
              <w:t>24,601</w:t>
            </w:r>
          </w:p>
        </w:tc>
        <w:tc>
          <w:tcPr>
            <w:tcW w:w="1361" w:type="dxa"/>
            <w:tcBorders>
              <w:top w:val="nil"/>
              <w:left w:val="nil"/>
              <w:bottom w:val="single" w:sz="4" w:space="0" w:color="auto"/>
              <w:right w:val="single" w:sz="4" w:space="0" w:color="auto"/>
            </w:tcBorders>
            <w:shd w:val="clear" w:color="auto" w:fill="auto"/>
            <w:noWrap/>
            <w:vAlign w:val="bottom"/>
            <w:hideMark/>
          </w:tcPr>
          <w:p w14:paraId="0BD3624D" w14:textId="77777777" w:rsidR="00013078" w:rsidRPr="00650291" w:rsidRDefault="00013078" w:rsidP="00AE0577">
            <w:pPr>
              <w:jc w:val="right"/>
              <w:rPr>
                <w:rFonts w:asciiTheme="minorHAnsi" w:hAnsiTheme="minorHAnsi"/>
                <w:color w:val="000000"/>
                <w:sz w:val="20"/>
                <w:szCs w:val="20"/>
              </w:rPr>
            </w:pPr>
            <w:r>
              <w:rPr>
                <w:rFonts w:ascii="Calibri" w:hAnsi="Calibri"/>
                <w:color w:val="000000"/>
              </w:rPr>
              <w:t>23,961</w:t>
            </w:r>
          </w:p>
        </w:tc>
        <w:tc>
          <w:tcPr>
            <w:tcW w:w="1361" w:type="dxa"/>
            <w:tcBorders>
              <w:top w:val="nil"/>
              <w:left w:val="nil"/>
              <w:bottom w:val="single" w:sz="4" w:space="0" w:color="auto"/>
              <w:right w:val="single" w:sz="4" w:space="0" w:color="auto"/>
            </w:tcBorders>
            <w:shd w:val="clear" w:color="auto" w:fill="auto"/>
            <w:noWrap/>
            <w:vAlign w:val="bottom"/>
            <w:hideMark/>
          </w:tcPr>
          <w:p w14:paraId="476EDCFE" w14:textId="77777777" w:rsidR="00013078" w:rsidRPr="00650291" w:rsidRDefault="00013078" w:rsidP="00AE0577">
            <w:pPr>
              <w:jc w:val="right"/>
              <w:rPr>
                <w:rFonts w:asciiTheme="minorHAnsi" w:hAnsiTheme="minorHAnsi"/>
                <w:color w:val="000000"/>
                <w:sz w:val="20"/>
                <w:szCs w:val="20"/>
              </w:rPr>
            </w:pPr>
            <w:r>
              <w:rPr>
                <w:rFonts w:ascii="Calibri" w:hAnsi="Calibri"/>
                <w:color w:val="000000"/>
              </w:rPr>
              <w:t>25,470</w:t>
            </w:r>
          </w:p>
        </w:tc>
        <w:tc>
          <w:tcPr>
            <w:tcW w:w="1361" w:type="dxa"/>
            <w:tcBorders>
              <w:top w:val="nil"/>
              <w:left w:val="nil"/>
              <w:bottom w:val="single" w:sz="4" w:space="0" w:color="auto"/>
              <w:right w:val="nil"/>
            </w:tcBorders>
            <w:shd w:val="clear" w:color="auto" w:fill="auto"/>
            <w:noWrap/>
            <w:vAlign w:val="bottom"/>
            <w:hideMark/>
          </w:tcPr>
          <w:p w14:paraId="0320DEE2" w14:textId="77777777" w:rsidR="00013078" w:rsidRPr="00650291" w:rsidRDefault="00013078" w:rsidP="00AE0577">
            <w:pPr>
              <w:jc w:val="right"/>
              <w:rPr>
                <w:rFonts w:asciiTheme="minorHAnsi" w:hAnsiTheme="minorHAnsi"/>
                <w:color w:val="000000"/>
                <w:sz w:val="20"/>
                <w:szCs w:val="20"/>
              </w:rPr>
            </w:pPr>
            <w:r>
              <w:rPr>
                <w:rFonts w:ascii="Calibri" w:hAnsi="Calibri"/>
                <w:color w:val="000000"/>
              </w:rPr>
              <w:t>28,645</w:t>
            </w:r>
          </w:p>
        </w:tc>
        <w:tc>
          <w:tcPr>
            <w:tcW w:w="1361" w:type="dxa"/>
            <w:tcBorders>
              <w:top w:val="nil"/>
              <w:left w:val="single" w:sz="8" w:space="0" w:color="auto"/>
              <w:bottom w:val="single" w:sz="4" w:space="0" w:color="auto"/>
              <w:right w:val="single" w:sz="8" w:space="0" w:color="auto"/>
            </w:tcBorders>
            <w:shd w:val="clear" w:color="000000" w:fill="DDEBF7"/>
            <w:noWrap/>
            <w:vAlign w:val="bottom"/>
            <w:hideMark/>
          </w:tcPr>
          <w:p w14:paraId="1F133914" w14:textId="77777777" w:rsidR="00013078" w:rsidRPr="00650291" w:rsidRDefault="00013078" w:rsidP="00AE0577">
            <w:pPr>
              <w:jc w:val="right"/>
              <w:rPr>
                <w:rFonts w:asciiTheme="minorHAnsi" w:hAnsiTheme="minorHAnsi"/>
                <w:b/>
                <w:bCs/>
                <w:color w:val="000000"/>
                <w:sz w:val="20"/>
                <w:szCs w:val="20"/>
              </w:rPr>
            </w:pPr>
            <w:r>
              <w:rPr>
                <w:rFonts w:ascii="Calibri" w:hAnsi="Calibri"/>
                <w:b/>
                <w:bCs/>
                <w:color w:val="000000"/>
              </w:rPr>
              <w:t>16%</w:t>
            </w:r>
          </w:p>
        </w:tc>
      </w:tr>
      <w:tr w:rsidR="00013078" w:rsidRPr="00650291" w14:paraId="76369C48" w14:textId="77777777" w:rsidTr="00AE0577">
        <w:trPr>
          <w:trHeight w:val="300"/>
        </w:trPr>
        <w:tc>
          <w:tcPr>
            <w:tcW w:w="2778" w:type="dxa"/>
            <w:tcBorders>
              <w:top w:val="nil"/>
              <w:left w:val="single" w:sz="8" w:space="0" w:color="auto"/>
              <w:bottom w:val="single" w:sz="4" w:space="0" w:color="auto"/>
              <w:right w:val="single" w:sz="4" w:space="0" w:color="auto"/>
            </w:tcBorders>
            <w:shd w:val="clear" w:color="auto" w:fill="auto"/>
            <w:noWrap/>
            <w:vAlign w:val="bottom"/>
            <w:hideMark/>
          </w:tcPr>
          <w:p w14:paraId="64DFD0E4" w14:textId="77777777" w:rsidR="00013078" w:rsidRPr="00650291" w:rsidRDefault="00013078" w:rsidP="00AE0577">
            <w:pPr>
              <w:jc w:val="both"/>
              <w:rPr>
                <w:rFonts w:asciiTheme="minorHAnsi" w:hAnsiTheme="minorHAnsi"/>
                <w:color w:val="000000"/>
                <w:sz w:val="20"/>
                <w:szCs w:val="20"/>
              </w:rPr>
            </w:pPr>
            <w:r>
              <w:rPr>
                <w:rFonts w:ascii="Calibri" w:hAnsi="Calibri"/>
                <w:color w:val="000000"/>
              </w:rPr>
              <w:t xml:space="preserve">Nasdaq Nordic </w:t>
            </w:r>
          </w:p>
        </w:tc>
        <w:tc>
          <w:tcPr>
            <w:tcW w:w="1361" w:type="dxa"/>
            <w:tcBorders>
              <w:top w:val="nil"/>
              <w:left w:val="nil"/>
              <w:bottom w:val="single" w:sz="4" w:space="0" w:color="auto"/>
              <w:right w:val="single" w:sz="4" w:space="0" w:color="auto"/>
            </w:tcBorders>
            <w:shd w:val="clear" w:color="auto" w:fill="auto"/>
            <w:noWrap/>
            <w:vAlign w:val="bottom"/>
            <w:hideMark/>
          </w:tcPr>
          <w:p w14:paraId="795DADD7" w14:textId="77777777" w:rsidR="00013078" w:rsidRPr="00650291" w:rsidRDefault="00013078" w:rsidP="00AE0577">
            <w:pPr>
              <w:jc w:val="right"/>
              <w:rPr>
                <w:rFonts w:asciiTheme="minorHAnsi" w:hAnsiTheme="minorHAnsi"/>
                <w:color w:val="000000"/>
                <w:sz w:val="20"/>
                <w:szCs w:val="20"/>
              </w:rPr>
            </w:pPr>
            <w:r>
              <w:rPr>
                <w:rFonts w:ascii="Calibri" w:hAnsi="Calibri"/>
                <w:color w:val="000000"/>
              </w:rPr>
              <w:t>13,440</w:t>
            </w:r>
          </w:p>
        </w:tc>
        <w:tc>
          <w:tcPr>
            <w:tcW w:w="1361" w:type="dxa"/>
            <w:tcBorders>
              <w:top w:val="nil"/>
              <w:left w:val="nil"/>
              <w:bottom w:val="single" w:sz="4" w:space="0" w:color="auto"/>
              <w:right w:val="single" w:sz="4" w:space="0" w:color="auto"/>
            </w:tcBorders>
            <w:shd w:val="clear" w:color="auto" w:fill="auto"/>
            <w:noWrap/>
            <w:vAlign w:val="bottom"/>
            <w:hideMark/>
          </w:tcPr>
          <w:p w14:paraId="19E30A58" w14:textId="77777777" w:rsidR="00013078" w:rsidRPr="00650291" w:rsidRDefault="00013078" w:rsidP="00AE0577">
            <w:pPr>
              <w:jc w:val="right"/>
              <w:rPr>
                <w:rFonts w:asciiTheme="minorHAnsi" w:hAnsiTheme="minorHAnsi"/>
                <w:color w:val="000000"/>
                <w:sz w:val="20"/>
                <w:szCs w:val="20"/>
              </w:rPr>
            </w:pPr>
            <w:r>
              <w:rPr>
                <w:rFonts w:ascii="Calibri" w:hAnsi="Calibri"/>
                <w:color w:val="000000"/>
              </w:rPr>
              <w:t>13,920</w:t>
            </w:r>
          </w:p>
        </w:tc>
        <w:tc>
          <w:tcPr>
            <w:tcW w:w="1361" w:type="dxa"/>
            <w:tcBorders>
              <w:top w:val="nil"/>
              <w:left w:val="nil"/>
              <w:bottom w:val="single" w:sz="4" w:space="0" w:color="auto"/>
              <w:right w:val="single" w:sz="4" w:space="0" w:color="auto"/>
            </w:tcBorders>
            <w:shd w:val="clear" w:color="auto" w:fill="auto"/>
            <w:noWrap/>
            <w:vAlign w:val="bottom"/>
            <w:hideMark/>
          </w:tcPr>
          <w:p w14:paraId="3610818D" w14:textId="77777777" w:rsidR="00013078" w:rsidRPr="00650291" w:rsidRDefault="00013078" w:rsidP="00AE0577">
            <w:pPr>
              <w:jc w:val="right"/>
              <w:rPr>
                <w:rFonts w:asciiTheme="minorHAnsi" w:hAnsiTheme="minorHAnsi"/>
                <w:color w:val="000000"/>
                <w:sz w:val="20"/>
                <w:szCs w:val="20"/>
              </w:rPr>
            </w:pPr>
            <w:r>
              <w:rPr>
                <w:rFonts w:ascii="Calibri" w:hAnsi="Calibri"/>
                <w:color w:val="000000"/>
              </w:rPr>
              <w:t>13,920</w:t>
            </w:r>
          </w:p>
        </w:tc>
        <w:tc>
          <w:tcPr>
            <w:tcW w:w="1361" w:type="dxa"/>
            <w:tcBorders>
              <w:top w:val="nil"/>
              <w:left w:val="nil"/>
              <w:bottom w:val="single" w:sz="4" w:space="0" w:color="auto"/>
              <w:right w:val="nil"/>
            </w:tcBorders>
            <w:shd w:val="clear" w:color="auto" w:fill="auto"/>
            <w:noWrap/>
            <w:vAlign w:val="bottom"/>
            <w:hideMark/>
          </w:tcPr>
          <w:p w14:paraId="3246BED0" w14:textId="77777777" w:rsidR="00013078" w:rsidRPr="00650291" w:rsidRDefault="00013078" w:rsidP="00AE0577">
            <w:pPr>
              <w:jc w:val="right"/>
              <w:rPr>
                <w:rFonts w:asciiTheme="minorHAnsi" w:hAnsiTheme="minorHAnsi"/>
                <w:color w:val="000000"/>
                <w:sz w:val="20"/>
                <w:szCs w:val="20"/>
              </w:rPr>
            </w:pPr>
            <w:r>
              <w:rPr>
                <w:rFonts w:ascii="Calibri" w:hAnsi="Calibri"/>
                <w:color w:val="000000"/>
              </w:rPr>
              <w:t>13,920</w:t>
            </w:r>
          </w:p>
        </w:tc>
        <w:tc>
          <w:tcPr>
            <w:tcW w:w="1361" w:type="dxa"/>
            <w:tcBorders>
              <w:top w:val="nil"/>
              <w:left w:val="single" w:sz="8" w:space="0" w:color="auto"/>
              <w:bottom w:val="single" w:sz="4" w:space="0" w:color="auto"/>
              <w:right w:val="single" w:sz="8" w:space="0" w:color="auto"/>
            </w:tcBorders>
            <w:shd w:val="clear" w:color="000000" w:fill="DDEBF7"/>
            <w:noWrap/>
            <w:vAlign w:val="bottom"/>
            <w:hideMark/>
          </w:tcPr>
          <w:p w14:paraId="5F12FB11" w14:textId="77777777" w:rsidR="00013078" w:rsidRPr="00650291" w:rsidRDefault="00013078" w:rsidP="00AE0577">
            <w:pPr>
              <w:jc w:val="right"/>
              <w:rPr>
                <w:rFonts w:asciiTheme="minorHAnsi" w:hAnsiTheme="minorHAnsi"/>
                <w:b/>
                <w:bCs/>
                <w:color w:val="000000"/>
                <w:sz w:val="20"/>
                <w:szCs w:val="20"/>
              </w:rPr>
            </w:pPr>
            <w:r>
              <w:rPr>
                <w:rFonts w:ascii="Calibri" w:hAnsi="Calibri"/>
                <w:b/>
                <w:bCs/>
                <w:color w:val="000000"/>
              </w:rPr>
              <w:t>4%</w:t>
            </w:r>
          </w:p>
        </w:tc>
      </w:tr>
      <w:tr w:rsidR="00013078" w:rsidRPr="00650291" w14:paraId="4A560B96" w14:textId="77777777" w:rsidTr="00AE0577">
        <w:trPr>
          <w:trHeight w:val="300"/>
        </w:trPr>
        <w:tc>
          <w:tcPr>
            <w:tcW w:w="2778" w:type="dxa"/>
            <w:tcBorders>
              <w:top w:val="nil"/>
              <w:left w:val="single" w:sz="8" w:space="0" w:color="auto"/>
              <w:bottom w:val="single" w:sz="4" w:space="0" w:color="auto"/>
              <w:right w:val="single" w:sz="4" w:space="0" w:color="auto"/>
            </w:tcBorders>
            <w:shd w:val="clear" w:color="auto" w:fill="auto"/>
            <w:noWrap/>
            <w:vAlign w:val="bottom"/>
            <w:hideMark/>
          </w:tcPr>
          <w:p w14:paraId="28165F95" w14:textId="77777777" w:rsidR="00013078" w:rsidRPr="00650291" w:rsidRDefault="00013078" w:rsidP="00AE0577">
            <w:pPr>
              <w:jc w:val="both"/>
              <w:rPr>
                <w:rFonts w:asciiTheme="minorHAnsi" w:hAnsiTheme="minorHAnsi"/>
                <w:color w:val="000000"/>
                <w:sz w:val="20"/>
                <w:szCs w:val="20"/>
              </w:rPr>
            </w:pPr>
            <w:r>
              <w:rPr>
                <w:rFonts w:ascii="Calibri" w:hAnsi="Calibri"/>
                <w:color w:val="000000"/>
              </w:rPr>
              <w:t xml:space="preserve">Oslo </w:t>
            </w:r>
            <w:proofErr w:type="spellStart"/>
            <w:r>
              <w:rPr>
                <w:rFonts w:ascii="Calibri" w:hAnsi="Calibri"/>
                <w:color w:val="000000"/>
              </w:rPr>
              <w:t>Bors</w:t>
            </w:r>
            <w:proofErr w:type="spellEnd"/>
          </w:p>
        </w:tc>
        <w:tc>
          <w:tcPr>
            <w:tcW w:w="1361" w:type="dxa"/>
            <w:tcBorders>
              <w:top w:val="nil"/>
              <w:left w:val="nil"/>
              <w:bottom w:val="single" w:sz="4" w:space="0" w:color="auto"/>
              <w:right w:val="single" w:sz="4" w:space="0" w:color="auto"/>
            </w:tcBorders>
            <w:shd w:val="clear" w:color="auto" w:fill="auto"/>
            <w:noWrap/>
            <w:vAlign w:val="bottom"/>
            <w:hideMark/>
          </w:tcPr>
          <w:p w14:paraId="7D5DA07B" w14:textId="77777777" w:rsidR="00013078" w:rsidRPr="00650291" w:rsidRDefault="00013078" w:rsidP="00AE0577">
            <w:pPr>
              <w:jc w:val="right"/>
              <w:rPr>
                <w:rFonts w:asciiTheme="minorHAnsi" w:hAnsiTheme="minorHAnsi"/>
                <w:color w:val="000000"/>
                <w:sz w:val="20"/>
                <w:szCs w:val="20"/>
              </w:rPr>
            </w:pPr>
            <w:r>
              <w:rPr>
                <w:rFonts w:ascii="Calibri" w:hAnsi="Calibri"/>
                <w:color w:val="000000"/>
              </w:rPr>
              <w:t>3,849</w:t>
            </w:r>
          </w:p>
        </w:tc>
        <w:tc>
          <w:tcPr>
            <w:tcW w:w="1361" w:type="dxa"/>
            <w:tcBorders>
              <w:top w:val="nil"/>
              <w:left w:val="nil"/>
              <w:bottom w:val="single" w:sz="4" w:space="0" w:color="auto"/>
              <w:right w:val="single" w:sz="4" w:space="0" w:color="auto"/>
            </w:tcBorders>
            <w:shd w:val="clear" w:color="auto" w:fill="auto"/>
            <w:noWrap/>
            <w:vAlign w:val="bottom"/>
            <w:hideMark/>
          </w:tcPr>
          <w:p w14:paraId="0BE28839" w14:textId="77777777" w:rsidR="00013078" w:rsidRPr="00650291" w:rsidRDefault="00013078" w:rsidP="00AE0577">
            <w:pPr>
              <w:jc w:val="right"/>
              <w:rPr>
                <w:rFonts w:asciiTheme="minorHAnsi" w:hAnsiTheme="minorHAnsi"/>
                <w:color w:val="000000"/>
                <w:sz w:val="20"/>
                <w:szCs w:val="20"/>
              </w:rPr>
            </w:pPr>
            <w:r>
              <w:rPr>
                <w:rFonts w:ascii="Calibri" w:hAnsi="Calibri"/>
                <w:color w:val="000000"/>
              </w:rPr>
              <w:t>3,963</w:t>
            </w:r>
          </w:p>
        </w:tc>
        <w:tc>
          <w:tcPr>
            <w:tcW w:w="1361" w:type="dxa"/>
            <w:tcBorders>
              <w:top w:val="nil"/>
              <w:left w:val="nil"/>
              <w:bottom w:val="single" w:sz="4" w:space="0" w:color="auto"/>
              <w:right w:val="single" w:sz="4" w:space="0" w:color="auto"/>
            </w:tcBorders>
            <w:shd w:val="clear" w:color="auto" w:fill="auto"/>
            <w:noWrap/>
            <w:vAlign w:val="bottom"/>
            <w:hideMark/>
          </w:tcPr>
          <w:p w14:paraId="0C9097CD" w14:textId="77777777" w:rsidR="00013078" w:rsidRPr="00650291" w:rsidRDefault="00013078" w:rsidP="00AE0577">
            <w:pPr>
              <w:jc w:val="right"/>
              <w:rPr>
                <w:rFonts w:asciiTheme="minorHAnsi" w:hAnsiTheme="minorHAnsi"/>
                <w:color w:val="000000"/>
                <w:sz w:val="20"/>
                <w:szCs w:val="20"/>
              </w:rPr>
            </w:pPr>
            <w:r>
              <w:rPr>
                <w:rFonts w:ascii="Calibri" w:hAnsi="Calibri"/>
                <w:color w:val="000000"/>
              </w:rPr>
              <w:t>4,414</w:t>
            </w:r>
          </w:p>
        </w:tc>
        <w:tc>
          <w:tcPr>
            <w:tcW w:w="1361" w:type="dxa"/>
            <w:tcBorders>
              <w:top w:val="nil"/>
              <w:left w:val="nil"/>
              <w:bottom w:val="single" w:sz="4" w:space="0" w:color="auto"/>
              <w:right w:val="nil"/>
            </w:tcBorders>
            <w:shd w:val="clear" w:color="auto" w:fill="auto"/>
            <w:noWrap/>
            <w:vAlign w:val="bottom"/>
            <w:hideMark/>
          </w:tcPr>
          <w:p w14:paraId="221C4394" w14:textId="77777777" w:rsidR="00013078" w:rsidRPr="00650291" w:rsidRDefault="00013078" w:rsidP="00AE0577">
            <w:pPr>
              <w:jc w:val="right"/>
              <w:rPr>
                <w:rFonts w:asciiTheme="minorHAnsi" w:hAnsiTheme="minorHAnsi"/>
                <w:color w:val="000000"/>
                <w:sz w:val="20"/>
                <w:szCs w:val="20"/>
              </w:rPr>
            </w:pPr>
            <w:r>
              <w:rPr>
                <w:rFonts w:ascii="Calibri" w:hAnsi="Calibri"/>
                <w:color w:val="000000"/>
              </w:rPr>
              <w:t>4,470</w:t>
            </w:r>
          </w:p>
        </w:tc>
        <w:tc>
          <w:tcPr>
            <w:tcW w:w="1361" w:type="dxa"/>
            <w:tcBorders>
              <w:top w:val="nil"/>
              <w:left w:val="single" w:sz="8" w:space="0" w:color="auto"/>
              <w:bottom w:val="single" w:sz="4" w:space="0" w:color="auto"/>
              <w:right w:val="single" w:sz="8" w:space="0" w:color="auto"/>
            </w:tcBorders>
            <w:shd w:val="clear" w:color="000000" w:fill="DDEBF7"/>
            <w:noWrap/>
            <w:vAlign w:val="bottom"/>
            <w:hideMark/>
          </w:tcPr>
          <w:p w14:paraId="31594FC5" w14:textId="77777777" w:rsidR="00013078" w:rsidRPr="00650291" w:rsidRDefault="00013078" w:rsidP="00AE0577">
            <w:pPr>
              <w:jc w:val="right"/>
              <w:rPr>
                <w:rFonts w:asciiTheme="minorHAnsi" w:hAnsiTheme="minorHAnsi"/>
                <w:b/>
                <w:bCs/>
                <w:color w:val="000000"/>
                <w:sz w:val="20"/>
                <w:szCs w:val="20"/>
              </w:rPr>
            </w:pPr>
            <w:r>
              <w:rPr>
                <w:rFonts w:ascii="Calibri" w:hAnsi="Calibri"/>
                <w:b/>
                <w:bCs/>
                <w:color w:val="000000"/>
              </w:rPr>
              <w:t>16%</w:t>
            </w:r>
          </w:p>
        </w:tc>
      </w:tr>
      <w:tr w:rsidR="00013078" w:rsidRPr="00650291" w14:paraId="301B4FF0" w14:textId="77777777" w:rsidTr="00AE0577">
        <w:trPr>
          <w:trHeight w:val="300"/>
        </w:trPr>
        <w:tc>
          <w:tcPr>
            <w:tcW w:w="2778" w:type="dxa"/>
            <w:tcBorders>
              <w:top w:val="nil"/>
              <w:left w:val="single" w:sz="8" w:space="0" w:color="auto"/>
              <w:bottom w:val="single" w:sz="4" w:space="0" w:color="auto"/>
              <w:right w:val="single" w:sz="4" w:space="0" w:color="auto"/>
            </w:tcBorders>
            <w:shd w:val="clear" w:color="auto" w:fill="auto"/>
            <w:noWrap/>
            <w:vAlign w:val="bottom"/>
            <w:hideMark/>
          </w:tcPr>
          <w:p w14:paraId="62075D38" w14:textId="77777777" w:rsidR="00013078" w:rsidRPr="00650291" w:rsidRDefault="00013078" w:rsidP="00AE0577">
            <w:pPr>
              <w:jc w:val="both"/>
              <w:rPr>
                <w:rFonts w:asciiTheme="minorHAnsi" w:hAnsiTheme="minorHAnsi"/>
                <w:color w:val="000000"/>
                <w:sz w:val="20"/>
                <w:szCs w:val="20"/>
              </w:rPr>
            </w:pPr>
            <w:r>
              <w:rPr>
                <w:rFonts w:ascii="Calibri" w:hAnsi="Calibri"/>
                <w:color w:val="000000"/>
              </w:rPr>
              <w:t>SIX Swiss Exchange</w:t>
            </w:r>
          </w:p>
        </w:tc>
        <w:tc>
          <w:tcPr>
            <w:tcW w:w="1361" w:type="dxa"/>
            <w:tcBorders>
              <w:top w:val="nil"/>
              <w:left w:val="nil"/>
              <w:bottom w:val="single" w:sz="4" w:space="0" w:color="auto"/>
              <w:right w:val="single" w:sz="4" w:space="0" w:color="auto"/>
            </w:tcBorders>
            <w:shd w:val="clear" w:color="auto" w:fill="auto"/>
            <w:noWrap/>
            <w:vAlign w:val="bottom"/>
            <w:hideMark/>
          </w:tcPr>
          <w:p w14:paraId="4F90247B" w14:textId="77777777" w:rsidR="00013078" w:rsidRPr="00650291" w:rsidRDefault="00013078" w:rsidP="00AE0577">
            <w:pPr>
              <w:jc w:val="right"/>
              <w:rPr>
                <w:rFonts w:asciiTheme="minorHAnsi" w:hAnsiTheme="minorHAnsi"/>
                <w:color w:val="000000"/>
                <w:sz w:val="20"/>
                <w:szCs w:val="20"/>
              </w:rPr>
            </w:pPr>
            <w:r>
              <w:rPr>
                <w:rFonts w:ascii="Calibri" w:hAnsi="Calibri"/>
                <w:color w:val="000000"/>
              </w:rPr>
              <w:t>9,246</w:t>
            </w:r>
          </w:p>
        </w:tc>
        <w:tc>
          <w:tcPr>
            <w:tcW w:w="1361" w:type="dxa"/>
            <w:tcBorders>
              <w:top w:val="nil"/>
              <w:left w:val="nil"/>
              <w:bottom w:val="single" w:sz="4" w:space="0" w:color="auto"/>
              <w:right w:val="single" w:sz="4" w:space="0" w:color="auto"/>
            </w:tcBorders>
            <w:shd w:val="clear" w:color="auto" w:fill="auto"/>
            <w:noWrap/>
            <w:vAlign w:val="bottom"/>
            <w:hideMark/>
          </w:tcPr>
          <w:p w14:paraId="67D4552D" w14:textId="77777777" w:rsidR="00013078" w:rsidRPr="00650291" w:rsidRDefault="00013078" w:rsidP="00AE0577">
            <w:pPr>
              <w:jc w:val="right"/>
              <w:rPr>
                <w:rFonts w:asciiTheme="minorHAnsi" w:hAnsiTheme="minorHAnsi"/>
                <w:color w:val="000000"/>
                <w:sz w:val="20"/>
                <w:szCs w:val="20"/>
              </w:rPr>
            </w:pPr>
            <w:r>
              <w:rPr>
                <w:rFonts w:ascii="Calibri" w:hAnsi="Calibri"/>
                <w:color w:val="000000"/>
              </w:rPr>
              <w:t>13,601</w:t>
            </w:r>
          </w:p>
        </w:tc>
        <w:tc>
          <w:tcPr>
            <w:tcW w:w="1361" w:type="dxa"/>
            <w:tcBorders>
              <w:top w:val="nil"/>
              <w:left w:val="nil"/>
              <w:bottom w:val="single" w:sz="4" w:space="0" w:color="auto"/>
              <w:right w:val="single" w:sz="4" w:space="0" w:color="auto"/>
            </w:tcBorders>
            <w:shd w:val="clear" w:color="auto" w:fill="auto"/>
            <w:noWrap/>
            <w:vAlign w:val="bottom"/>
            <w:hideMark/>
          </w:tcPr>
          <w:p w14:paraId="57D49F06" w14:textId="77777777" w:rsidR="00013078" w:rsidRPr="00650291" w:rsidRDefault="00013078" w:rsidP="00AE0577">
            <w:pPr>
              <w:jc w:val="right"/>
              <w:rPr>
                <w:rFonts w:asciiTheme="minorHAnsi" w:hAnsiTheme="minorHAnsi"/>
                <w:color w:val="000000"/>
                <w:sz w:val="20"/>
                <w:szCs w:val="20"/>
              </w:rPr>
            </w:pPr>
            <w:r>
              <w:rPr>
                <w:rFonts w:ascii="Calibri" w:hAnsi="Calibri"/>
                <w:color w:val="000000"/>
              </w:rPr>
              <w:t>13,091</w:t>
            </w:r>
          </w:p>
        </w:tc>
        <w:tc>
          <w:tcPr>
            <w:tcW w:w="1361" w:type="dxa"/>
            <w:tcBorders>
              <w:top w:val="nil"/>
              <w:left w:val="nil"/>
              <w:bottom w:val="single" w:sz="4" w:space="0" w:color="auto"/>
              <w:right w:val="nil"/>
            </w:tcBorders>
            <w:shd w:val="clear" w:color="auto" w:fill="auto"/>
            <w:noWrap/>
            <w:vAlign w:val="bottom"/>
            <w:hideMark/>
          </w:tcPr>
          <w:p w14:paraId="12E596CE" w14:textId="77777777" w:rsidR="00013078" w:rsidRPr="00650291" w:rsidRDefault="00013078" w:rsidP="00AE0577">
            <w:pPr>
              <w:jc w:val="right"/>
              <w:rPr>
                <w:rFonts w:asciiTheme="minorHAnsi" w:hAnsiTheme="minorHAnsi"/>
                <w:color w:val="000000"/>
                <w:sz w:val="20"/>
                <w:szCs w:val="20"/>
              </w:rPr>
            </w:pPr>
            <w:r>
              <w:rPr>
                <w:rFonts w:ascii="Calibri" w:hAnsi="Calibri"/>
                <w:color w:val="000000"/>
              </w:rPr>
              <w:t>13,359</w:t>
            </w:r>
          </w:p>
        </w:tc>
        <w:tc>
          <w:tcPr>
            <w:tcW w:w="1361" w:type="dxa"/>
            <w:tcBorders>
              <w:top w:val="nil"/>
              <w:left w:val="single" w:sz="8" w:space="0" w:color="auto"/>
              <w:bottom w:val="single" w:sz="4" w:space="0" w:color="auto"/>
              <w:right w:val="single" w:sz="8" w:space="0" w:color="auto"/>
            </w:tcBorders>
            <w:shd w:val="clear" w:color="000000" w:fill="DDEBF7"/>
            <w:noWrap/>
            <w:vAlign w:val="bottom"/>
            <w:hideMark/>
          </w:tcPr>
          <w:p w14:paraId="0CD7065A" w14:textId="77777777" w:rsidR="00013078" w:rsidRPr="00650291" w:rsidRDefault="00013078" w:rsidP="00AE0577">
            <w:pPr>
              <w:jc w:val="right"/>
              <w:rPr>
                <w:rFonts w:asciiTheme="minorHAnsi" w:hAnsiTheme="minorHAnsi"/>
                <w:b/>
                <w:bCs/>
                <w:color w:val="000000"/>
                <w:sz w:val="20"/>
                <w:szCs w:val="20"/>
              </w:rPr>
            </w:pPr>
            <w:r>
              <w:rPr>
                <w:rFonts w:ascii="Calibri" w:hAnsi="Calibri"/>
                <w:b/>
                <w:bCs/>
                <w:color w:val="000000"/>
              </w:rPr>
              <w:t>44%</w:t>
            </w:r>
          </w:p>
        </w:tc>
      </w:tr>
      <w:tr w:rsidR="00013078" w:rsidRPr="00650291" w14:paraId="2A9C23B4" w14:textId="77777777" w:rsidTr="00AE0577">
        <w:trPr>
          <w:trHeight w:val="300"/>
        </w:trPr>
        <w:tc>
          <w:tcPr>
            <w:tcW w:w="2778" w:type="dxa"/>
            <w:tcBorders>
              <w:top w:val="nil"/>
              <w:left w:val="single" w:sz="8" w:space="0" w:color="auto"/>
              <w:bottom w:val="single" w:sz="4" w:space="0" w:color="auto"/>
              <w:right w:val="single" w:sz="4" w:space="0" w:color="auto"/>
            </w:tcBorders>
            <w:shd w:val="clear" w:color="auto" w:fill="auto"/>
            <w:noWrap/>
            <w:vAlign w:val="bottom"/>
            <w:hideMark/>
          </w:tcPr>
          <w:p w14:paraId="22D6683B" w14:textId="77777777" w:rsidR="00013078" w:rsidRPr="00650291" w:rsidRDefault="00013078" w:rsidP="00AE0577">
            <w:pPr>
              <w:jc w:val="both"/>
              <w:rPr>
                <w:rFonts w:asciiTheme="minorHAnsi" w:hAnsiTheme="minorHAnsi"/>
                <w:color w:val="000000"/>
                <w:sz w:val="20"/>
                <w:szCs w:val="20"/>
              </w:rPr>
            </w:pPr>
            <w:r>
              <w:rPr>
                <w:rFonts w:ascii="Calibri" w:hAnsi="Calibri"/>
                <w:color w:val="000000"/>
              </w:rPr>
              <w:t>Turquoise</w:t>
            </w:r>
          </w:p>
        </w:tc>
        <w:tc>
          <w:tcPr>
            <w:tcW w:w="1361" w:type="dxa"/>
            <w:tcBorders>
              <w:top w:val="nil"/>
              <w:left w:val="nil"/>
              <w:bottom w:val="single" w:sz="4" w:space="0" w:color="auto"/>
              <w:right w:val="single" w:sz="4" w:space="0" w:color="auto"/>
            </w:tcBorders>
            <w:shd w:val="clear" w:color="auto" w:fill="auto"/>
            <w:noWrap/>
            <w:vAlign w:val="bottom"/>
            <w:hideMark/>
          </w:tcPr>
          <w:p w14:paraId="16696233" w14:textId="77777777" w:rsidR="00013078" w:rsidRPr="00650291" w:rsidRDefault="00013078" w:rsidP="00AE0577">
            <w:pPr>
              <w:jc w:val="right"/>
              <w:rPr>
                <w:rFonts w:asciiTheme="minorHAnsi" w:hAnsiTheme="minorHAnsi"/>
                <w:color w:val="000000"/>
                <w:sz w:val="20"/>
                <w:szCs w:val="20"/>
              </w:rPr>
            </w:pPr>
            <w:r>
              <w:rPr>
                <w:rFonts w:ascii="Calibri" w:hAnsi="Calibri"/>
                <w:color w:val="000000"/>
              </w:rPr>
              <w:t>1,538</w:t>
            </w:r>
          </w:p>
        </w:tc>
        <w:tc>
          <w:tcPr>
            <w:tcW w:w="1361" w:type="dxa"/>
            <w:tcBorders>
              <w:top w:val="nil"/>
              <w:left w:val="nil"/>
              <w:bottom w:val="single" w:sz="4" w:space="0" w:color="auto"/>
              <w:right w:val="single" w:sz="4" w:space="0" w:color="auto"/>
            </w:tcBorders>
            <w:shd w:val="clear" w:color="auto" w:fill="auto"/>
            <w:noWrap/>
            <w:vAlign w:val="bottom"/>
            <w:hideMark/>
          </w:tcPr>
          <w:p w14:paraId="63E8EBEF" w14:textId="77777777" w:rsidR="00013078" w:rsidRPr="00650291" w:rsidRDefault="00013078" w:rsidP="00AE0577">
            <w:pPr>
              <w:jc w:val="right"/>
              <w:rPr>
                <w:rFonts w:asciiTheme="minorHAnsi" w:hAnsiTheme="minorHAnsi"/>
                <w:color w:val="000000"/>
                <w:sz w:val="20"/>
                <w:szCs w:val="20"/>
              </w:rPr>
            </w:pPr>
            <w:r>
              <w:rPr>
                <w:rFonts w:ascii="Calibri" w:hAnsi="Calibri"/>
                <w:color w:val="000000"/>
              </w:rPr>
              <w:t>1,437</w:t>
            </w:r>
          </w:p>
        </w:tc>
        <w:tc>
          <w:tcPr>
            <w:tcW w:w="1361" w:type="dxa"/>
            <w:tcBorders>
              <w:top w:val="nil"/>
              <w:left w:val="nil"/>
              <w:bottom w:val="single" w:sz="4" w:space="0" w:color="auto"/>
              <w:right w:val="single" w:sz="4" w:space="0" w:color="auto"/>
            </w:tcBorders>
            <w:shd w:val="clear" w:color="auto" w:fill="auto"/>
            <w:noWrap/>
            <w:vAlign w:val="bottom"/>
            <w:hideMark/>
          </w:tcPr>
          <w:p w14:paraId="79B00C82" w14:textId="77777777" w:rsidR="00013078" w:rsidRPr="00650291" w:rsidRDefault="00013078" w:rsidP="00AE0577">
            <w:pPr>
              <w:jc w:val="right"/>
              <w:rPr>
                <w:rFonts w:asciiTheme="minorHAnsi" w:hAnsiTheme="minorHAnsi"/>
                <w:color w:val="000000"/>
                <w:sz w:val="20"/>
                <w:szCs w:val="20"/>
              </w:rPr>
            </w:pPr>
            <w:r>
              <w:rPr>
                <w:rFonts w:ascii="Calibri" w:hAnsi="Calibri"/>
                <w:color w:val="000000"/>
              </w:rPr>
              <w:t>1,424</w:t>
            </w:r>
          </w:p>
        </w:tc>
        <w:tc>
          <w:tcPr>
            <w:tcW w:w="1361" w:type="dxa"/>
            <w:tcBorders>
              <w:top w:val="nil"/>
              <w:left w:val="nil"/>
              <w:bottom w:val="single" w:sz="4" w:space="0" w:color="auto"/>
              <w:right w:val="nil"/>
            </w:tcBorders>
            <w:shd w:val="clear" w:color="auto" w:fill="auto"/>
            <w:noWrap/>
            <w:vAlign w:val="bottom"/>
            <w:hideMark/>
          </w:tcPr>
          <w:p w14:paraId="71DCCB83" w14:textId="77777777" w:rsidR="00013078" w:rsidRPr="00650291" w:rsidRDefault="00013078" w:rsidP="00AE0577">
            <w:pPr>
              <w:jc w:val="right"/>
              <w:rPr>
                <w:rFonts w:asciiTheme="minorHAnsi" w:hAnsiTheme="minorHAnsi"/>
                <w:color w:val="000000"/>
                <w:sz w:val="20"/>
                <w:szCs w:val="20"/>
              </w:rPr>
            </w:pPr>
            <w:r>
              <w:rPr>
                <w:rFonts w:ascii="Calibri" w:hAnsi="Calibri"/>
                <w:color w:val="000000"/>
              </w:rPr>
              <w:t>1,562</w:t>
            </w:r>
          </w:p>
        </w:tc>
        <w:tc>
          <w:tcPr>
            <w:tcW w:w="1361" w:type="dxa"/>
            <w:tcBorders>
              <w:top w:val="nil"/>
              <w:left w:val="single" w:sz="8" w:space="0" w:color="auto"/>
              <w:bottom w:val="single" w:sz="4" w:space="0" w:color="auto"/>
              <w:right w:val="single" w:sz="8" w:space="0" w:color="auto"/>
            </w:tcBorders>
            <w:shd w:val="clear" w:color="000000" w:fill="DDEBF7"/>
            <w:noWrap/>
            <w:vAlign w:val="bottom"/>
            <w:hideMark/>
          </w:tcPr>
          <w:p w14:paraId="3E785D32" w14:textId="77777777" w:rsidR="00013078" w:rsidRPr="00650291" w:rsidRDefault="00013078" w:rsidP="00AE0577">
            <w:pPr>
              <w:jc w:val="right"/>
              <w:rPr>
                <w:rFonts w:asciiTheme="minorHAnsi" w:hAnsiTheme="minorHAnsi"/>
                <w:b/>
                <w:bCs/>
                <w:color w:val="000000"/>
                <w:sz w:val="20"/>
                <w:szCs w:val="20"/>
              </w:rPr>
            </w:pPr>
            <w:r>
              <w:rPr>
                <w:rFonts w:ascii="Calibri" w:hAnsi="Calibri"/>
                <w:b/>
                <w:bCs/>
                <w:color w:val="000000"/>
              </w:rPr>
              <w:t>2%</w:t>
            </w:r>
          </w:p>
        </w:tc>
      </w:tr>
      <w:tr w:rsidR="00013078" w:rsidRPr="00650291" w14:paraId="3EA282B8" w14:textId="77777777" w:rsidTr="00AE0577">
        <w:trPr>
          <w:trHeight w:val="300"/>
        </w:trPr>
        <w:tc>
          <w:tcPr>
            <w:tcW w:w="2778" w:type="dxa"/>
            <w:tcBorders>
              <w:top w:val="nil"/>
              <w:left w:val="single" w:sz="8" w:space="0" w:color="auto"/>
              <w:bottom w:val="single" w:sz="4" w:space="0" w:color="auto"/>
              <w:right w:val="single" w:sz="4" w:space="0" w:color="auto"/>
            </w:tcBorders>
            <w:shd w:val="clear" w:color="auto" w:fill="auto"/>
            <w:noWrap/>
            <w:vAlign w:val="bottom"/>
            <w:hideMark/>
          </w:tcPr>
          <w:p w14:paraId="43127061" w14:textId="77777777" w:rsidR="00013078" w:rsidRPr="00650291" w:rsidRDefault="00013078" w:rsidP="00AE0577">
            <w:pPr>
              <w:jc w:val="both"/>
              <w:rPr>
                <w:rFonts w:asciiTheme="minorHAnsi" w:hAnsiTheme="minorHAnsi"/>
                <w:color w:val="000000"/>
                <w:sz w:val="20"/>
                <w:szCs w:val="20"/>
              </w:rPr>
            </w:pPr>
            <w:r>
              <w:rPr>
                <w:rFonts w:ascii="Calibri" w:hAnsi="Calibri"/>
                <w:color w:val="000000"/>
              </w:rPr>
              <w:t>Warsaw Stock Exchange</w:t>
            </w:r>
          </w:p>
        </w:tc>
        <w:tc>
          <w:tcPr>
            <w:tcW w:w="1361" w:type="dxa"/>
            <w:tcBorders>
              <w:top w:val="nil"/>
              <w:left w:val="nil"/>
              <w:bottom w:val="single" w:sz="4" w:space="0" w:color="auto"/>
              <w:right w:val="single" w:sz="4" w:space="0" w:color="auto"/>
            </w:tcBorders>
            <w:shd w:val="clear" w:color="auto" w:fill="auto"/>
            <w:noWrap/>
            <w:vAlign w:val="bottom"/>
            <w:hideMark/>
          </w:tcPr>
          <w:p w14:paraId="356E17B9" w14:textId="77777777" w:rsidR="00013078" w:rsidRPr="00650291" w:rsidRDefault="00013078" w:rsidP="00AE0577">
            <w:pPr>
              <w:jc w:val="right"/>
              <w:rPr>
                <w:rFonts w:asciiTheme="minorHAnsi" w:hAnsiTheme="minorHAnsi"/>
                <w:color w:val="000000"/>
                <w:sz w:val="20"/>
                <w:szCs w:val="20"/>
              </w:rPr>
            </w:pPr>
            <w:r>
              <w:rPr>
                <w:rFonts w:ascii="Calibri" w:hAnsi="Calibri"/>
                <w:color w:val="000000"/>
              </w:rPr>
              <w:t>4,345</w:t>
            </w:r>
          </w:p>
        </w:tc>
        <w:tc>
          <w:tcPr>
            <w:tcW w:w="1361" w:type="dxa"/>
            <w:tcBorders>
              <w:top w:val="nil"/>
              <w:left w:val="nil"/>
              <w:bottom w:val="single" w:sz="4" w:space="0" w:color="auto"/>
              <w:right w:val="single" w:sz="4" w:space="0" w:color="auto"/>
            </w:tcBorders>
            <w:shd w:val="clear" w:color="auto" w:fill="auto"/>
            <w:noWrap/>
            <w:vAlign w:val="bottom"/>
            <w:hideMark/>
          </w:tcPr>
          <w:p w14:paraId="5B90EFEB" w14:textId="77777777" w:rsidR="00013078" w:rsidRPr="00650291" w:rsidRDefault="00013078" w:rsidP="00AE0577">
            <w:pPr>
              <w:jc w:val="right"/>
              <w:rPr>
                <w:rFonts w:asciiTheme="minorHAnsi" w:hAnsiTheme="minorHAnsi"/>
                <w:color w:val="000000"/>
                <w:sz w:val="20"/>
                <w:szCs w:val="20"/>
              </w:rPr>
            </w:pPr>
            <w:r>
              <w:rPr>
                <w:rFonts w:ascii="Calibri" w:hAnsi="Calibri"/>
                <w:color w:val="000000"/>
              </w:rPr>
              <w:t>4,454</w:t>
            </w:r>
          </w:p>
        </w:tc>
        <w:tc>
          <w:tcPr>
            <w:tcW w:w="1361" w:type="dxa"/>
            <w:tcBorders>
              <w:top w:val="nil"/>
              <w:left w:val="nil"/>
              <w:bottom w:val="single" w:sz="4" w:space="0" w:color="auto"/>
              <w:right w:val="single" w:sz="4" w:space="0" w:color="auto"/>
            </w:tcBorders>
            <w:shd w:val="clear" w:color="auto" w:fill="auto"/>
            <w:noWrap/>
            <w:vAlign w:val="bottom"/>
            <w:hideMark/>
          </w:tcPr>
          <w:p w14:paraId="6250F0CC" w14:textId="77777777" w:rsidR="00013078" w:rsidRPr="00650291" w:rsidRDefault="00013078" w:rsidP="00AE0577">
            <w:pPr>
              <w:jc w:val="right"/>
              <w:rPr>
                <w:rFonts w:asciiTheme="minorHAnsi" w:hAnsiTheme="minorHAnsi"/>
                <w:color w:val="000000"/>
                <w:sz w:val="20"/>
                <w:szCs w:val="20"/>
              </w:rPr>
            </w:pPr>
            <w:r>
              <w:rPr>
                <w:rFonts w:ascii="Calibri" w:hAnsi="Calibri"/>
                <w:color w:val="000000"/>
              </w:rPr>
              <w:t>4,900</w:t>
            </w:r>
          </w:p>
        </w:tc>
        <w:tc>
          <w:tcPr>
            <w:tcW w:w="1361" w:type="dxa"/>
            <w:tcBorders>
              <w:top w:val="nil"/>
              <w:left w:val="nil"/>
              <w:bottom w:val="single" w:sz="4" w:space="0" w:color="auto"/>
              <w:right w:val="nil"/>
            </w:tcBorders>
            <w:shd w:val="clear" w:color="auto" w:fill="auto"/>
            <w:noWrap/>
            <w:vAlign w:val="bottom"/>
            <w:hideMark/>
          </w:tcPr>
          <w:p w14:paraId="5632A790" w14:textId="77777777" w:rsidR="00013078" w:rsidRPr="00650291" w:rsidRDefault="00013078" w:rsidP="00AE0577">
            <w:pPr>
              <w:jc w:val="right"/>
              <w:rPr>
                <w:rFonts w:asciiTheme="minorHAnsi" w:hAnsiTheme="minorHAnsi"/>
                <w:color w:val="000000"/>
                <w:sz w:val="20"/>
                <w:szCs w:val="20"/>
              </w:rPr>
            </w:pPr>
            <w:r>
              <w:rPr>
                <w:rFonts w:ascii="Calibri" w:hAnsi="Calibri"/>
                <w:color w:val="000000"/>
              </w:rPr>
              <w:t>5,974</w:t>
            </w:r>
          </w:p>
        </w:tc>
        <w:tc>
          <w:tcPr>
            <w:tcW w:w="1361" w:type="dxa"/>
            <w:tcBorders>
              <w:top w:val="nil"/>
              <w:left w:val="single" w:sz="8" w:space="0" w:color="auto"/>
              <w:bottom w:val="single" w:sz="4" w:space="0" w:color="auto"/>
              <w:right w:val="single" w:sz="8" w:space="0" w:color="auto"/>
            </w:tcBorders>
            <w:shd w:val="clear" w:color="000000" w:fill="DDEBF7"/>
            <w:noWrap/>
            <w:vAlign w:val="bottom"/>
            <w:hideMark/>
          </w:tcPr>
          <w:p w14:paraId="705316E7" w14:textId="77777777" w:rsidR="00013078" w:rsidRPr="00650291" w:rsidRDefault="00013078" w:rsidP="00AE0577">
            <w:pPr>
              <w:jc w:val="right"/>
              <w:rPr>
                <w:rFonts w:asciiTheme="minorHAnsi" w:hAnsiTheme="minorHAnsi"/>
                <w:b/>
                <w:bCs/>
                <w:color w:val="000000"/>
                <w:sz w:val="20"/>
                <w:szCs w:val="20"/>
              </w:rPr>
            </w:pPr>
            <w:r>
              <w:rPr>
                <w:rFonts w:ascii="Calibri" w:hAnsi="Calibri"/>
                <w:b/>
                <w:bCs/>
                <w:color w:val="000000"/>
              </w:rPr>
              <w:t>37%</w:t>
            </w:r>
          </w:p>
        </w:tc>
      </w:tr>
      <w:tr w:rsidR="00013078" w:rsidRPr="00650291" w14:paraId="59743EC1" w14:textId="77777777" w:rsidTr="00AE0577">
        <w:trPr>
          <w:trHeight w:val="315"/>
        </w:trPr>
        <w:tc>
          <w:tcPr>
            <w:tcW w:w="2778" w:type="dxa"/>
            <w:tcBorders>
              <w:top w:val="nil"/>
              <w:left w:val="single" w:sz="8" w:space="0" w:color="auto"/>
              <w:bottom w:val="nil"/>
              <w:right w:val="single" w:sz="4" w:space="0" w:color="auto"/>
            </w:tcBorders>
            <w:shd w:val="clear" w:color="auto" w:fill="auto"/>
            <w:noWrap/>
            <w:vAlign w:val="bottom"/>
            <w:hideMark/>
          </w:tcPr>
          <w:p w14:paraId="7B7DAEC6" w14:textId="66415DBB" w:rsidR="00013078" w:rsidRPr="00650291" w:rsidRDefault="00013078" w:rsidP="00AE0577">
            <w:pPr>
              <w:jc w:val="both"/>
              <w:rPr>
                <w:rFonts w:asciiTheme="minorHAnsi" w:hAnsiTheme="minorHAnsi"/>
                <w:color w:val="000000"/>
                <w:sz w:val="20"/>
                <w:szCs w:val="20"/>
              </w:rPr>
            </w:pPr>
            <w:r>
              <w:rPr>
                <w:rFonts w:ascii="Calibri" w:hAnsi="Calibri"/>
                <w:color w:val="000000"/>
              </w:rPr>
              <w:t xml:space="preserve">Wiener </w:t>
            </w:r>
            <w:r w:rsidR="00492E53">
              <w:rPr>
                <w:rFonts w:ascii="Calibri" w:hAnsi="Calibri"/>
                <w:color w:val="000000"/>
              </w:rPr>
              <w:t>Boerse</w:t>
            </w:r>
          </w:p>
        </w:tc>
        <w:tc>
          <w:tcPr>
            <w:tcW w:w="1361" w:type="dxa"/>
            <w:tcBorders>
              <w:top w:val="nil"/>
              <w:left w:val="nil"/>
              <w:bottom w:val="nil"/>
              <w:right w:val="single" w:sz="4" w:space="0" w:color="auto"/>
            </w:tcBorders>
            <w:shd w:val="clear" w:color="auto" w:fill="auto"/>
            <w:noWrap/>
            <w:vAlign w:val="bottom"/>
            <w:hideMark/>
          </w:tcPr>
          <w:p w14:paraId="1FA6CB48" w14:textId="77777777" w:rsidR="00013078" w:rsidRPr="00650291" w:rsidRDefault="00013078" w:rsidP="00AE0577">
            <w:pPr>
              <w:jc w:val="right"/>
              <w:rPr>
                <w:rFonts w:asciiTheme="minorHAnsi" w:hAnsiTheme="minorHAnsi"/>
                <w:color w:val="000000"/>
                <w:sz w:val="20"/>
                <w:szCs w:val="20"/>
              </w:rPr>
            </w:pPr>
            <w:r>
              <w:rPr>
                <w:rFonts w:ascii="Calibri" w:hAnsi="Calibri"/>
                <w:color w:val="000000"/>
              </w:rPr>
              <w:t>4,920</w:t>
            </w:r>
          </w:p>
        </w:tc>
        <w:tc>
          <w:tcPr>
            <w:tcW w:w="1361" w:type="dxa"/>
            <w:tcBorders>
              <w:top w:val="nil"/>
              <w:left w:val="nil"/>
              <w:bottom w:val="nil"/>
              <w:right w:val="single" w:sz="4" w:space="0" w:color="auto"/>
            </w:tcBorders>
            <w:shd w:val="clear" w:color="auto" w:fill="auto"/>
            <w:noWrap/>
            <w:vAlign w:val="bottom"/>
            <w:hideMark/>
          </w:tcPr>
          <w:p w14:paraId="5CD14B9E" w14:textId="77777777" w:rsidR="00013078" w:rsidRPr="00650291" w:rsidRDefault="00013078" w:rsidP="00AE0577">
            <w:pPr>
              <w:jc w:val="right"/>
              <w:rPr>
                <w:rFonts w:asciiTheme="minorHAnsi" w:hAnsiTheme="minorHAnsi"/>
                <w:color w:val="000000"/>
                <w:sz w:val="20"/>
                <w:szCs w:val="20"/>
              </w:rPr>
            </w:pPr>
            <w:r>
              <w:rPr>
                <w:rFonts w:ascii="Calibri" w:hAnsi="Calibri"/>
                <w:color w:val="000000"/>
              </w:rPr>
              <w:t>4,920</w:t>
            </w:r>
          </w:p>
        </w:tc>
        <w:tc>
          <w:tcPr>
            <w:tcW w:w="1361" w:type="dxa"/>
            <w:tcBorders>
              <w:top w:val="nil"/>
              <w:left w:val="nil"/>
              <w:bottom w:val="nil"/>
              <w:right w:val="single" w:sz="4" w:space="0" w:color="auto"/>
            </w:tcBorders>
            <w:shd w:val="clear" w:color="auto" w:fill="auto"/>
            <w:noWrap/>
            <w:vAlign w:val="bottom"/>
            <w:hideMark/>
          </w:tcPr>
          <w:p w14:paraId="644ECAA8" w14:textId="77777777" w:rsidR="00013078" w:rsidRPr="00650291" w:rsidRDefault="00013078" w:rsidP="00AE0577">
            <w:pPr>
              <w:jc w:val="right"/>
              <w:rPr>
                <w:rFonts w:asciiTheme="minorHAnsi" w:hAnsiTheme="minorHAnsi"/>
                <w:color w:val="000000"/>
                <w:sz w:val="20"/>
                <w:szCs w:val="20"/>
              </w:rPr>
            </w:pPr>
            <w:r>
              <w:rPr>
                <w:rFonts w:ascii="Calibri" w:hAnsi="Calibri"/>
                <w:color w:val="000000"/>
              </w:rPr>
              <w:t>5,520</w:t>
            </w:r>
          </w:p>
        </w:tc>
        <w:tc>
          <w:tcPr>
            <w:tcW w:w="1361" w:type="dxa"/>
            <w:tcBorders>
              <w:top w:val="nil"/>
              <w:left w:val="nil"/>
              <w:bottom w:val="nil"/>
              <w:right w:val="nil"/>
            </w:tcBorders>
            <w:shd w:val="clear" w:color="auto" w:fill="auto"/>
            <w:noWrap/>
            <w:vAlign w:val="bottom"/>
            <w:hideMark/>
          </w:tcPr>
          <w:p w14:paraId="3DC17C34" w14:textId="77777777" w:rsidR="00013078" w:rsidRPr="00650291" w:rsidRDefault="00013078" w:rsidP="00AE0577">
            <w:pPr>
              <w:jc w:val="right"/>
              <w:rPr>
                <w:rFonts w:asciiTheme="minorHAnsi" w:hAnsiTheme="minorHAnsi"/>
                <w:color w:val="000000"/>
                <w:sz w:val="20"/>
                <w:szCs w:val="20"/>
              </w:rPr>
            </w:pPr>
            <w:r>
              <w:rPr>
                <w:rFonts w:ascii="Calibri" w:hAnsi="Calibri"/>
                <w:color w:val="000000"/>
              </w:rPr>
              <w:t>5,580</w:t>
            </w:r>
          </w:p>
        </w:tc>
        <w:tc>
          <w:tcPr>
            <w:tcW w:w="1361" w:type="dxa"/>
            <w:tcBorders>
              <w:top w:val="nil"/>
              <w:left w:val="single" w:sz="8" w:space="0" w:color="auto"/>
              <w:bottom w:val="single" w:sz="4" w:space="0" w:color="auto"/>
              <w:right w:val="single" w:sz="8" w:space="0" w:color="auto"/>
            </w:tcBorders>
            <w:shd w:val="clear" w:color="000000" w:fill="DDEBF7"/>
            <w:noWrap/>
            <w:vAlign w:val="bottom"/>
            <w:hideMark/>
          </w:tcPr>
          <w:p w14:paraId="42C6A351" w14:textId="77777777" w:rsidR="00013078" w:rsidRPr="00650291" w:rsidRDefault="00013078" w:rsidP="00AE0577">
            <w:pPr>
              <w:jc w:val="right"/>
              <w:rPr>
                <w:rFonts w:asciiTheme="minorHAnsi" w:hAnsiTheme="minorHAnsi"/>
                <w:b/>
                <w:bCs/>
                <w:color w:val="000000"/>
                <w:sz w:val="20"/>
                <w:szCs w:val="20"/>
              </w:rPr>
            </w:pPr>
            <w:r>
              <w:rPr>
                <w:rFonts w:ascii="Calibri" w:hAnsi="Calibri"/>
                <w:b/>
                <w:bCs/>
                <w:color w:val="000000"/>
              </w:rPr>
              <w:t>13%</w:t>
            </w:r>
          </w:p>
        </w:tc>
      </w:tr>
      <w:tr w:rsidR="00013078" w:rsidRPr="00650291" w14:paraId="0D726E1D" w14:textId="77777777" w:rsidTr="00AE0577">
        <w:trPr>
          <w:trHeight w:val="315"/>
        </w:trPr>
        <w:tc>
          <w:tcPr>
            <w:tcW w:w="2778" w:type="dxa"/>
            <w:tcBorders>
              <w:top w:val="single" w:sz="8" w:space="0" w:color="auto"/>
              <w:left w:val="single" w:sz="8" w:space="0" w:color="auto"/>
              <w:bottom w:val="single" w:sz="8" w:space="0" w:color="auto"/>
              <w:right w:val="single" w:sz="4" w:space="0" w:color="auto"/>
            </w:tcBorders>
            <w:shd w:val="clear" w:color="DDEBF7" w:fill="DDEBF7"/>
            <w:noWrap/>
            <w:vAlign w:val="bottom"/>
            <w:hideMark/>
          </w:tcPr>
          <w:p w14:paraId="5B985445" w14:textId="77777777" w:rsidR="00013078" w:rsidRPr="00650291" w:rsidRDefault="00013078" w:rsidP="00AE0577">
            <w:pPr>
              <w:jc w:val="both"/>
              <w:rPr>
                <w:rFonts w:asciiTheme="minorHAnsi" w:hAnsiTheme="minorHAnsi"/>
                <w:b/>
                <w:bCs/>
                <w:color w:val="000000"/>
                <w:sz w:val="20"/>
                <w:szCs w:val="20"/>
              </w:rPr>
            </w:pPr>
            <w:r>
              <w:rPr>
                <w:rFonts w:ascii="Calibri" w:hAnsi="Calibri"/>
                <w:b/>
                <w:bCs/>
                <w:color w:val="000000"/>
              </w:rPr>
              <w:t>Grand Total</w:t>
            </w:r>
          </w:p>
        </w:tc>
        <w:tc>
          <w:tcPr>
            <w:tcW w:w="1361" w:type="dxa"/>
            <w:tcBorders>
              <w:top w:val="single" w:sz="8" w:space="0" w:color="auto"/>
              <w:left w:val="nil"/>
              <w:bottom w:val="single" w:sz="8" w:space="0" w:color="auto"/>
              <w:right w:val="single" w:sz="4" w:space="0" w:color="auto"/>
            </w:tcBorders>
            <w:shd w:val="clear" w:color="DDEBF7" w:fill="DDEBF7"/>
            <w:noWrap/>
            <w:vAlign w:val="bottom"/>
            <w:hideMark/>
          </w:tcPr>
          <w:p w14:paraId="7DE5B2F4" w14:textId="77777777" w:rsidR="00013078" w:rsidRPr="00650291" w:rsidRDefault="00013078" w:rsidP="00AE0577">
            <w:pPr>
              <w:jc w:val="right"/>
              <w:rPr>
                <w:rFonts w:asciiTheme="minorHAnsi" w:hAnsiTheme="minorHAnsi"/>
                <w:b/>
                <w:bCs/>
                <w:color w:val="000000"/>
                <w:sz w:val="20"/>
                <w:szCs w:val="20"/>
              </w:rPr>
            </w:pPr>
            <w:r>
              <w:rPr>
                <w:rFonts w:ascii="Calibri" w:hAnsi="Calibri"/>
                <w:b/>
                <w:bCs/>
                <w:color w:val="000000"/>
              </w:rPr>
              <w:t>150,996</w:t>
            </w:r>
          </w:p>
        </w:tc>
        <w:tc>
          <w:tcPr>
            <w:tcW w:w="1361" w:type="dxa"/>
            <w:tcBorders>
              <w:top w:val="single" w:sz="8" w:space="0" w:color="auto"/>
              <w:left w:val="nil"/>
              <w:bottom w:val="single" w:sz="8" w:space="0" w:color="auto"/>
              <w:right w:val="single" w:sz="4" w:space="0" w:color="auto"/>
            </w:tcBorders>
            <w:shd w:val="clear" w:color="DDEBF7" w:fill="DDEBF7"/>
            <w:noWrap/>
            <w:vAlign w:val="bottom"/>
            <w:hideMark/>
          </w:tcPr>
          <w:p w14:paraId="700F3D50" w14:textId="77777777" w:rsidR="00013078" w:rsidRPr="00650291" w:rsidRDefault="00013078" w:rsidP="00AE0577">
            <w:pPr>
              <w:jc w:val="right"/>
              <w:rPr>
                <w:rFonts w:asciiTheme="minorHAnsi" w:hAnsiTheme="minorHAnsi"/>
                <w:b/>
                <w:bCs/>
                <w:color w:val="000000"/>
                <w:sz w:val="20"/>
                <w:szCs w:val="20"/>
              </w:rPr>
            </w:pPr>
            <w:r>
              <w:rPr>
                <w:rFonts w:ascii="Calibri" w:hAnsi="Calibri"/>
                <w:b/>
                <w:bCs/>
                <w:color w:val="000000"/>
              </w:rPr>
              <w:t>154,566</w:t>
            </w:r>
          </w:p>
        </w:tc>
        <w:tc>
          <w:tcPr>
            <w:tcW w:w="1361" w:type="dxa"/>
            <w:tcBorders>
              <w:top w:val="single" w:sz="8" w:space="0" w:color="auto"/>
              <w:left w:val="nil"/>
              <w:bottom w:val="single" w:sz="8" w:space="0" w:color="auto"/>
              <w:right w:val="single" w:sz="4" w:space="0" w:color="auto"/>
            </w:tcBorders>
            <w:shd w:val="clear" w:color="DDEBF7" w:fill="DDEBF7"/>
            <w:noWrap/>
            <w:vAlign w:val="bottom"/>
            <w:hideMark/>
          </w:tcPr>
          <w:p w14:paraId="13B01DE0" w14:textId="77777777" w:rsidR="00013078" w:rsidRPr="00650291" w:rsidRDefault="00013078" w:rsidP="00AE0577">
            <w:pPr>
              <w:jc w:val="right"/>
              <w:rPr>
                <w:rFonts w:asciiTheme="minorHAnsi" w:hAnsiTheme="minorHAnsi"/>
                <w:b/>
                <w:bCs/>
                <w:color w:val="000000"/>
                <w:sz w:val="20"/>
                <w:szCs w:val="20"/>
              </w:rPr>
            </w:pPr>
            <w:r>
              <w:rPr>
                <w:rFonts w:ascii="Calibri" w:hAnsi="Calibri"/>
                <w:b/>
                <w:bCs/>
                <w:color w:val="000000"/>
              </w:rPr>
              <w:t>166,716</w:t>
            </w:r>
          </w:p>
        </w:tc>
        <w:tc>
          <w:tcPr>
            <w:tcW w:w="1361" w:type="dxa"/>
            <w:tcBorders>
              <w:top w:val="single" w:sz="8" w:space="0" w:color="auto"/>
              <w:left w:val="nil"/>
              <w:bottom w:val="single" w:sz="8" w:space="0" w:color="auto"/>
              <w:right w:val="nil"/>
            </w:tcBorders>
            <w:shd w:val="clear" w:color="DDEBF7" w:fill="DDEBF7"/>
            <w:noWrap/>
            <w:vAlign w:val="bottom"/>
            <w:hideMark/>
          </w:tcPr>
          <w:p w14:paraId="6676DEEF" w14:textId="77777777" w:rsidR="00013078" w:rsidRPr="00650291" w:rsidRDefault="00013078" w:rsidP="00AE0577">
            <w:pPr>
              <w:jc w:val="right"/>
              <w:rPr>
                <w:rFonts w:asciiTheme="minorHAnsi" w:hAnsiTheme="minorHAnsi"/>
                <w:b/>
                <w:bCs/>
                <w:color w:val="000000"/>
                <w:sz w:val="20"/>
                <w:szCs w:val="20"/>
              </w:rPr>
            </w:pPr>
            <w:r>
              <w:rPr>
                <w:rFonts w:ascii="Calibri" w:hAnsi="Calibri"/>
                <w:b/>
                <w:bCs/>
                <w:color w:val="000000"/>
              </w:rPr>
              <w:t>174,074</w:t>
            </w:r>
          </w:p>
        </w:tc>
        <w:tc>
          <w:tcPr>
            <w:tcW w:w="1361" w:type="dxa"/>
            <w:tcBorders>
              <w:top w:val="single" w:sz="8" w:space="0" w:color="auto"/>
              <w:left w:val="single" w:sz="8" w:space="0" w:color="auto"/>
              <w:bottom w:val="single" w:sz="8" w:space="0" w:color="auto"/>
              <w:right w:val="single" w:sz="8" w:space="0" w:color="auto"/>
            </w:tcBorders>
            <w:shd w:val="clear" w:color="000000" w:fill="DDEBF7"/>
            <w:noWrap/>
            <w:vAlign w:val="bottom"/>
            <w:hideMark/>
          </w:tcPr>
          <w:p w14:paraId="79535861" w14:textId="77777777" w:rsidR="00013078" w:rsidRPr="00650291" w:rsidRDefault="00013078" w:rsidP="00AE0577">
            <w:pPr>
              <w:jc w:val="right"/>
              <w:rPr>
                <w:rFonts w:asciiTheme="minorHAnsi" w:hAnsiTheme="minorHAnsi"/>
                <w:b/>
                <w:bCs/>
                <w:color w:val="000000"/>
                <w:sz w:val="20"/>
                <w:szCs w:val="20"/>
              </w:rPr>
            </w:pPr>
            <w:r>
              <w:rPr>
                <w:rFonts w:ascii="Calibri" w:hAnsi="Calibri"/>
                <w:b/>
                <w:bCs/>
                <w:color w:val="000000"/>
              </w:rPr>
              <w:t>15%</w:t>
            </w:r>
          </w:p>
        </w:tc>
      </w:tr>
    </w:tbl>
    <w:p w14:paraId="79F6FF29" w14:textId="77777777" w:rsidR="00013078" w:rsidRPr="00650291" w:rsidRDefault="00013078" w:rsidP="00013078">
      <w:pPr>
        <w:jc w:val="both"/>
        <w:rPr>
          <w:rFonts w:asciiTheme="minorHAnsi" w:eastAsia="Calibri" w:hAnsiTheme="minorHAnsi"/>
        </w:rPr>
      </w:pPr>
    </w:p>
    <w:p w14:paraId="13A7C3AE" w14:textId="77777777" w:rsidR="00013078" w:rsidRPr="00650291" w:rsidRDefault="00013078" w:rsidP="00013078">
      <w:pPr>
        <w:jc w:val="both"/>
        <w:rPr>
          <w:rFonts w:asciiTheme="minorHAnsi" w:eastAsia="Calibri" w:hAnsiTheme="minorHAnsi"/>
        </w:rPr>
      </w:pPr>
    </w:p>
    <w:p w14:paraId="260AA063" w14:textId="77777777" w:rsidR="00013078" w:rsidRPr="00650291" w:rsidRDefault="00013078" w:rsidP="00013078">
      <w:pPr>
        <w:jc w:val="both"/>
        <w:rPr>
          <w:rFonts w:asciiTheme="minorHAnsi" w:eastAsia="Calibri" w:hAnsiTheme="minorHAnsi"/>
          <w:b/>
        </w:rPr>
      </w:pPr>
      <w:r w:rsidRPr="00650291">
        <w:rPr>
          <w:rFonts w:asciiTheme="minorHAnsi" w:eastAsia="Calibri" w:hAnsiTheme="minorHAnsi"/>
          <w:b/>
        </w:rPr>
        <w:lastRenderedPageBreak/>
        <w:t>Table 4b – Year-on-year market data spend (non-display trading usage)</w:t>
      </w:r>
    </w:p>
    <w:tbl>
      <w:tblPr>
        <w:tblW w:w="9583" w:type="dxa"/>
        <w:tblLook w:val="04A0" w:firstRow="1" w:lastRow="0" w:firstColumn="1" w:lastColumn="0" w:noHBand="0" w:noVBand="1"/>
      </w:tblPr>
      <w:tblGrid>
        <w:gridCol w:w="2778"/>
        <w:gridCol w:w="1361"/>
        <w:gridCol w:w="1361"/>
        <w:gridCol w:w="1361"/>
        <w:gridCol w:w="1361"/>
        <w:gridCol w:w="1361"/>
      </w:tblGrid>
      <w:tr w:rsidR="00013078" w:rsidRPr="00650291" w14:paraId="0FF04537" w14:textId="77777777" w:rsidTr="00AE0577">
        <w:trPr>
          <w:trHeight w:val="300"/>
        </w:trPr>
        <w:tc>
          <w:tcPr>
            <w:tcW w:w="2778" w:type="dxa"/>
            <w:tcBorders>
              <w:top w:val="single" w:sz="8" w:space="0" w:color="auto"/>
              <w:left w:val="single" w:sz="8" w:space="0" w:color="auto"/>
              <w:bottom w:val="single" w:sz="4" w:space="0" w:color="auto"/>
              <w:right w:val="single" w:sz="4" w:space="0" w:color="auto"/>
            </w:tcBorders>
            <w:shd w:val="clear" w:color="000000" w:fill="44546A"/>
            <w:noWrap/>
            <w:vAlign w:val="bottom"/>
            <w:hideMark/>
          </w:tcPr>
          <w:p w14:paraId="00B7B5F5" w14:textId="77777777" w:rsidR="00013078" w:rsidRPr="0086576B" w:rsidRDefault="00013078" w:rsidP="00AE0577">
            <w:pPr>
              <w:jc w:val="both"/>
              <w:rPr>
                <w:rFonts w:asciiTheme="minorHAnsi" w:hAnsiTheme="minorHAnsi"/>
                <w:b/>
                <w:bCs/>
                <w:sz w:val="20"/>
                <w:szCs w:val="20"/>
              </w:rPr>
            </w:pPr>
            <w:r w:rsidRPr="0086576B">
              <w:rPr>
                <w:rFonts w:ascii="Calibri" w:hAnsi="Calibri"/>
                <w:b/>
                <w:bCs/>
              </w:rPr>
              <w:t>Exchange</w:t>
            </w:r>
          </w:p>
        </w:tc>
        <w:tc>
          <w:tcPr>
            <w:tcW w:w="1361" w:type="dxa"/>
            <w:tcBorders>
              <w:top w:val="single" w:sz="8" w:space="0" w:color="auto"/>
              <w:left w:val="nil"/>
              <w:bottom w:val="single" w:sz="4" w:space="0" w:color="auto"/>
              <w:right w:val="single" w:sz="4" w:space="0" w:color="auto"/>
            </w:tcBorders>
            <w:shd w:val="clear" w:color="000000" w:fill="44546A"/>
            <w:noWrap/>
            <w:vAlign w:val="bottom"/>
            <w:hideMark/>
          </w:tcPr>
          <w:p w14:paraId="22CC3021" w14:textId="77777777" w:rsidR="00013078" w:rsidRPr="0086576B" w:rsidRDefault="00013078" w:rsidP="00AE0577">
            <w:pPr>
              <w:jc w:val="both"/>
              <w:rPr>
                <w:rFonts w:asciiTheme="minorHAnsi" w:hAnsiTheme="minorHAnsi"/>
                <w:b/>
                <w:bCs/>
                <w:sz w:val="20"/>
                <w:szCs w:val="20"/>
              </w:rPr>
            </w:pPr>
            <w:r w:rsidRPr="0086576B">
              <w:rPr>
                <w:rFonts w:ascii="Calibri" w:hAnsi="Calibri"/>
                <w:b/>
                <w:bCs/>
              </w:rPr>
              <w:t>Sum of 2016 Total in EUR</w:t>
            </w:r>
          </w:p>
        </w:tc>
        <w:tc>
          <w:tcPr>
            <w:tcW w:w="1361" w:type="dxa"/>
            <w:tcBorders>
              <w:top w:val="single" w:sz="8" w:space="0" w:color="auto"/>
              <w:left w:val="nil"/>
              <w:bottom w:val="single" w:sz="4" w:space="0" w:color="auto"/>
              <w:right w:val="single" w:sz="4" w:space="0" w:color="auto"/>
            </w:tcBorders>
            <w:shd w:val="clear" w:color="000000" w:fill="44546A"/>
            <w:noWrap/>
            <w:vAlign w:val="bottom"/>
            <w:hideMark/>
          </w:tcPr>
          <w:p w14:paraId="0E5F1757" w14:textId="77777777" w:rsidR="00013078" w:rsidRPr="0086576B" w:rsidRDefault="00013078" w:rsidP="00AE0577">
            <w:pPr>
              <w:jc w:val="both"/>
              <w:rPr>
                <w:rFonts w:asciiTheme="minorHAnsi" w:hAnsiTheme="minorHAnsi"/>
                <w:b/>
                <w:bCs/>
                <w:sz w:val="20"/>
                <w:szCs w:val="20"/>
              </w:rPr>
            </w:pPr>
            <w:r w:rsidRPr="0086576B">
              <w:rPr>
                <w:rFonts w:ascii="Calibri" w:hAnsi="Calibri"/>
                <w:b/>
                <w:bCs/>
              </w:rPr>
              <w:t>Sum of 2017 Total in EUR</w:t>
            </w:r>
          </w:p>
        </w:tc>
        <w:tc>
          <w:tcPr>
            <w:tcW w:w="1361" w:type="dxa"/>
            <w:tcBorders>
              <w:top w:val="single" w:sz="8" w:space="0" w:color="auto"/>
              <w:left w:val="nil"/>
              <w:bottom w:val="single" w:sz="4" w:space="0" w:color="auto"/>
              <w:right w:val="single" w:sz="4" w:space="0" w:color="auto"/>
            </w:tcBorders>
            <w:shd w:val="clear" w:color="000000" w:fill="44546A"/>
            <w:noWrap/>
            <w:vAlign w:val="bottom"/>
            <w:hideMark/>
          </w:tcPr>
          <w:p w14:paraId="710F302B" w14:textId="77777777" w:rsidR="00013078" w:rsidRPr="0086576B" w:rsidRDefault="00013078" w:rsidP="00AE0577">
            <w:pPr>
              <w:jc w:val="both"/>
              <w:rPr>
                <w:rFonts w:asciiTheme="minorHAnsi" w:hAnsiTheme="minorHAnsi"/>
                <w:b/>
                <w:bCs/>
                <w:sz w:val="20"/>
                <w:szCs w:val="20"/>
              </w:rPr>
            </w:pPr>
            <w:r w:rsidRPr="0086576B">
              <w:rPr>
                <w:rFonts w:ascii="Calibri" w:hAnsi="Calibri"/>
                <w:b/>
                <w:bCs/>
              </w:rPr>
              <w:t>Sum of 2018 Total in EUR</w:t>
            </w:r>
          </w:p>
        </w:tc>
        <w:tc>
          <w:tcPr>
            <w:tcW w:w="1361" w:type="dxa"/>
            <w:tcBorders>
              <w:top w:val="single" w:sz="8" w:space="0" w:color="auto"/>
              <w:left w:val="nil"/>
              <w:bottom w:val="single" w:sz="4" w:space="0" w:color="auto"/>
              <w:right w:val="nil"/>
            </w:tcBorders>
            <w:shd w:val="clear" w:color="000000" w:fill="44546A"/>
            <w:noWrap/>
            <w:vAlign w:val="bottom"/>
            <w:hideMark/>
          </w:tcPr>
          <w:p w14:paraId="6EB7D5B8" w14:textId="77777777" w:rsidR="00013078" w:rsidRPr="0086576B" w:rsidRDefault="00013078" w:rsidP="00AE0577">
            <w:pPr>
              <w:jc w:val="both"/>
              <w:rPr>
                <w:rFonts w:asciiTheme="minorHAnsi" w:hAnsiTheme="minorHAnsi"/>
                <w:b/>
                <w:bCs/>
                <w:sz w:val="20"/>
                <w:szCs w:val="20"/>
              </w:rPr>
            </w:pPr>
            <w:r w:rsidRPr="0086576B">
              <w:rPr>
                <w:rFonts w:ascii="Calibri" w:hAnsi="Calibri"/>
                <w:b/>
                <w:bCs/>
              </w:rPr>
              <w:t>Sum of 2019 Total in EUR</w:t>
            </w:r>
          </w:p>
        </w:tc>
        <w:tc>
          <w:tcPr>
            <w:tcW w:w="1361" w:type="dxa"/>
            <w:tcBorders>
              <w:top w:val="single" w:sz="8" w:space="0" w:color="auto"/>
              <w:left w:val="single" w:sz="8" w:space="0" w:color="auto"/>
              <w:bottom w:val="single" w:sz="4" w:space="0" w:color="auto"/>
              <w:right w:val="single" w:sz="8" w:space="0" w:color="auto"/>
            </w:tcBorders>
            <w:shd w:val="clear" w:color="000000" w:fill="44546A"/>
            <w:noWrap/>
            <w:vAlign w:val="bottom"/>
            <w:hideMark/>
          </w:tcPr>
          <w:p w14:paraId="1D8EF240" w14:textId="77777777" w:rsidR="00013078" w:rsidRPr="0086576B" w:rsidRDefault="00013078" w:rsidP="00AE0577">
            <w:pPr>
              <w:jc w:val="both"/>
              <w:rPr>
                <w:rFonts w:asciiTheme="minorHAnsi" w:hAnsiTheme="minorHAnsi"/>
                <w:b/>
                <w:bCs/>
                <w:sz w:val="20"/>
                <w:szCs w:val="20"/>
              </w:rPr>
            </w:pPr>
            <w:r w:rsidRPr="0086576B">
              <w:rPr>
                <w:rFonts w:ascii="Calibri" w:hAnsi="Calibri"/>
                <w:b/>
                <w:bCs/>
              </w:rPr>
              <w:t>% Change 2016-19</w:t>
            </w:r>
          </w:p>
        </w:tc>
      </w:tr>
      <w:tr w:rsidR="00013078" w:rsidRPr="00650291" w14:paraId="716281BE" w14:textId="77777777" w:rsidTr="00AE0577">
        <w:trPr>
          <w:trHeight w:val="300"/>
        </w:trPr>
        <w:tc>
          <w:tcPr>
            <w:tcW w:w="2778" w:type="dxa"/>
            <w:tcBorders>
              <w:top w:val="nil"/>
              <w:left w:val="single" w:sz="8" w:space="0" w:color="auto"/>
              <w:bottom w:val="single" w:sz="4" w:space="0" w:color="auto"/>
              <w:right w:val="single" w:sz="4" w:space="0" w:color="auto"/>
            </w:tcBorders>
            <w:shd w:val="clear" w:color="auto" w:fill="auto"/>
            <w:noWrap/>
            <w:vAlign w:val="bottom"/>
            <w:hideMark/>
          </w:tcPr>
          <w:p w14:paraId="0F9BF8CB" w14:textId="77777777" w:rsidR="00013078" w:rsidRPr="00650291" w:rsidRDefault="00013078" w:rsidP="00AE0577">
            <w:pPr>
              <w:jc w:val="both"/>
              <w:rPr>
                <w:rFonts w:asciiTheme="minorHAnsi" w:hAnsiTheme="minorHAnsi"/>
                <w:color w:val="000000"/>
                <w:sz w:val="20"/>
                <w:szCs w:val="20"/>
              </w:rPr>
            </w:pPr>
            <w:proofErr w:type="spellStart"/>
            <w:r>
              <w:rPr>
                <w:rFonts w:ascii="Calibri" w:hAnsi="Calibri"/>
                <w:color w:val="000000"/>
              </w:rPr>
              <w:t>Bolsas</w:t>
            </w:r>
            <w:proofErr w:type="spellEnd"/>
            <w:r>
              <w:rPr>
                <w:rFonts w:ascii="Calibri" w:hAnsi="Calibri"/>
                <w:color w:val="000000"/>
              </w:rPr>
              <w:t xml:space="preserve"> y Mercado </w:t>
            </w:r>
            <w:proofErr w:type="spellStart"/>
            <w:r>
              <w:rPr>
                <w:rFonts w:ascii="Calibri" w:hAnsi="Calibri"/>
                <w:color w:val="000000"/>
              </w:rPr>
              <w:t>Espanoles</w:t>
            </w:r>
            <w:proofErr w:type="spellEnd"/>
          </w:p>
        </w:tc>
        <w:tc>
          <w:tcPr>
            <w:tcW w:w="1361" w:type="dxa"/>
            <w:tcBorders>
              <w:top w:val="nil"/>
              <w:left w:val="nil"/>
              <w:bottom w:val="single" w:sz="4" w:space="0" w:color="auto"/>
              <w:right w:val="single" w:sz="4" w:space="0" w:color="auto"/>
            </w:tcBorders>
            <w:shd w:val="clear" w:color="auto" w:fill="auto"/>
            <w:noWrap/>
            <w:vAlign w:val="bottom"/>
            <w:hideMark/>
          </w:tcPr>
          <w:p w14:paraId="6DA444DB" w14:textId="77777777" w:rsidR="00013078" w:rsidRPr="00650291" w:rsidRDefault="00013078" w:rsidP="00AE0577">
            <w:pPr>
              <w:jc w:val="right"/>
              <w:rPr>
                <w:rFonts w:asciiTheme="minorHAnsi" w:hAnsiTheme="minorHAnsi"/>
                <w:color w:val="000000"/>
                <w:sz w:val="20"/>
                <w:szCs w:val="20"/>
              </w:rPr>
            </w:pPr>
            <w:r>
              <w:rPr>
                <w:rFonts w:ascii="Calibri" w:hAnsi="Calibri"/>
                <w:color w:val="000000"/>
              </w:rPr>
              <w:t>14,040</w:t>
            </w:r>
          </w:p>
        </w:tc>
        <w:tc>
          <w:tcPr>
            <w:tcW w:w="1361" w:type="dxa"/>
            <w:tcBorders>
              <w:top w:val="nil"/>
              <w:left w:val="nil"/>
              <w:bottom w:val="single" w:sz="4" w:space="0" w:color="auto"/>
              <w:right w:val="single" w:sz="4" w:space="0" w:color="auto"/>
            </w:tcBorders>
            <w:shd w:val="clear" w:color="auto" w:fill="auto"/>
            <w:noWrap/>
            <w:vAlign w:val="bottom"/>
            <w:hideMark/>
          </w:tcPr>
          <w:p w14:paraId="51F27FD7" w14:textId="77777777" w:rsidR="00013078" w:rsidRPr="00650291" w:rsidRDefault="00013078" w:rsidP="00AE0577">
            <w:pPr>
              <w:jc w:val="right"/>
              <w:rPr>
                <w:rFonts w:asciiTheme="minorHAnsi" w:hAnsiTheme="minorHAnsi"/>
                <w:color w:val="000000"/>
                <w:sz w:val="20"/>
                <w:szCs w:val="20"/>
              </w:rPr>
            </w:pPr>
            <w:r>
              <w:rPr>
                <w:rFonts w:ascii="Calibri" w:hAnsi="Calibri"/>
                <w:color w:val="000000"/>
              </w:rPr>
              <w:t>14,040</w:t>
            </w:r>
          </w:p>
        </w:tc>
        <w:tc>
          <w:tcPr>
            <w:tcW w:w="1361" w:type="dxa"/>
            <w:tcBorders>
              <w:top w:val="nil"/>
              <w:left w:val="nil"/>
              <w:bottom w:val="single" w:sz="4" w:space="0" w:color="auto"/>
              <w:right w:val="single" w:sz="4" w:space="0" w:color="auto"/>
            </w:tcBorders>
            <w:shd w:val="clear" w:color="auto" w:fill="auto"/>
            <w:noWrap/>
            <w:vAlign w:val="bottom"/>
            <w:hideMark/>
          </w:tcPr>
          <w:p w14:paraId="5F1F45BA" w14:textId="77777777" w:rsidR="00013078" w:rsidRPr="00650291" w:rsidRDefault="00013078" w:rsidP="00AE0577">
            <w:pPr>
              <w:jc w:val="right"/>
              <w:rPr>
                <w:rFonts w:asciiTheme="minorHAnsi" w:hAnsiTheme="minorHAnsi"/>
                <w:color w:val="000000"/>
                <w:sz w:val="20"/>
                <w:szCs w:val="20"/>
              </w:rPr>
            </w:pPr>
            <w:r>
              <w:rPr>
                <w:rFonts w:ascii="Calibri" w:hAnsi="Calibri"/>
                <w:color w:val="000000"/>
              </w:rPr>
              <w:t>14,760</w:t>
            </w:r>
          </w:p>
        </w:tc>
        <w:tc>
          <w:tcPr>
            <w:tcW w:w="1361" w:type="dxa"/>
            <w:tcBorders>
              <w:top w:val="nil"/>
              <w:left w:val="nil"/>
              <w:bottom w:val="single" w:sz="4" w:space="0" w:color="auto"/>
              <w:right w:val="nil"/>
            </w:tcBorders>
            <w:shd w:val="clear" w:color="auto" w:fill="auto"/>
            <w:noWrap/>
            <w:vAlign w:val="bottom"/>
            <w:hideMark/>
          </w:tcPr>
          <w:p w14:paraId="4DC2DC9E" w14:textId="77777777" w:rsidR="00013078" w:rsidRPr="00650291" w:rsidRDefault="00013078" w:rsidP="00AE0577">
            <w:pPr>
              <w:jc w:val="right"/>
              <w:rPr>
                <w:rFonts w:asciiTheme="minorHAnsi" w:hAnsiTheme="minorHAnsi"/>
                <w:color w:val="000000"/>
                <w:sz w:val="20"/>
                <w:szCs w:val="20"/>
              </w:rPr>
            </w:pPr>
            <w:r>
              <w:rPr>
                <w:rFonts w:ascii="Calibri" w:hAnsi="Calibri"/>
                <w:color w:val="000000"/>
              </w:rPr>
              <w:t>14,760</w:t>
            </w:r>
          </w:p>
        </w:tc>
        <w:tc>
          <w:tcPr>
            <w:tcW w:w="1361" w:type="dxa"/>
            <w:tcBorders>
              <w:top w:val="nil"/>
              <w:left w:val="single" w:sz="8" w:space="0" w:color="auto"/>
              <w:bottom w:val="single" w:sz="4" w:space="0" w:color="auto"/>
              <w:right w:val="single" w:sz="8" w:space="0" w:color="auto"/>
            </w:tcBorders>
            <w:shd w:val="clear" w:color="000000" w:fill="DDEBF7"/>
            <w:noWrap/>
            <w:vAlign w:val="bottom"/>
            <w:hideMark/>
          </w:tcPr>
          <w:p w14:paraId="47967064" w14:textId="77777777" w:rsidR="00013078" w:rsidRPr="00650291" w:rsidRDefault="00013078" w:rsidP="00AE0577">
            <w:pPr>
              <w:jc w:val="right"/>
              <w:rPr>
                <w:rFonts w:asciiTheme="minorHAnsi" w:hAnsiTheme="minorHAnsi"/>
                <w:b/>
                <w:bCs/>
                <w:color w:val="000000"/>
                <w:sz w:val="20"/>
                <w:szCs w:val="20"/>
              </w:rPr>
            </w:pPr>
            <w:r>
              <w:rPr>
                <w:rFonts w:ascii="Calibri" w:hAnsi="Calibri"/>
                <w:b/>
                <w:bCs/>
                <w:color w:val="000000"/>
              </w:rPr>
              <w:t>5%</w:t>
            </w:r>
          </w:p>
        </w:tc>
      </w:tr>
      <w:tr w:rsidR="00013078" w:rsidRPr="00650291" w14:paraId="0956B3C0" w14:textId="77777777" w:rsidTr="00AE0577">
        <w:trPr>
          <w:trHeight w:val="300"/>
        </w:trPr>
        <w:tc>
          <w:tcPr>
            <w:tcW w:w="2778" w:type="dxa"/>
            <w:tcBorders>
              <w:top w:val="nil"/>
              <w:left w:val="single" w:sz="8" w:space="0" w:color="auto"/>
              <w:bottom w:val="single" w:sz="4" w:space="0" w:color="auto"/>
              <w:right w:val="single" w:sz="4" w:space="0" w:color="auto"/>
            </w:tcBorders>
            <w:shd w:val="clear" w:color="auto" w:fill="auto"/>
            <w:noWrap/>
            <w:vAlign w:val="bottom"/>
            <w:hideMark/>
          </w:tcPr>
          <w:p w14:paraId="6B1858EC" w14:textId="77777777" w:rsidR="00013078" w:rsidRPr="00650291" w:rsidRDefault="00013078" w:rsidP="00AE0577">
            <w:pPr>
              <w:jc w:val="both"/>
              <w:rPr>
                <w:rFonts w:asciiTheme="minorHAnsi" w:hAnsiTheme="minorHAnsi"/>
                <w:color w:val="000000"/>
                <w:sz w:val="20"/>
                <w:szCs w:val="20"/>
              </w:rPr>
            </w:pPr>
            <w:proofErr w:type="spellStart"/>
            <w:r>
              <w:rPr>
                <w:rFonts w:ascii="Calibri" w:hAnsi="Calibri"/>
                <w:color w:val="000000"/>
              </w:rPr>
              <w:t>Borsa</w:t>
            </w:r>
            <w:proofErr w:type="spellEnd"/>
            <w:r>
              <w:rPr>
                <w:rFonts w:ascii="Calibri" w:hAnsi="Calibri"/>
                <w:color w:val="000000"/>
              </w:rPr>
              <w:t xml:space="preserve"> </w:t>
            </w:r>
            <w:proofErr w:type="spellStart"/>
            <w:r>
              <w:rPr>
                <w:rFonts w:ascii="Calibri" w:hAnsi="Calibri"/>
                <w:color w:val="000000"/>
              </w:rPr>
              <w:t>Italiana</w:t>
            </w:r>
            <w:proofErr w:type="spellEnd"/>
          </w:p>
        </w:tc>
        <w:tc>
          <w:tcPr>
            <w:tcW w:w="1361" w:type="dxa"/>
            <w:tcBorders>
              <w:top w:val="nil"/>
              <w:left w:val="nil"/>
              <w:bottom w:val="single" w:sz="4" w:space="0" w:color="auto"/>
              <w:right w:val="single" w:sz="4" w:space="0" w:color="auto"/>
            </w:tcBorders>
            <w:shd w:val="clear" w:color="auto" w:fill="auto"/>
            <w:noWrap/>
            <w:vAlign w:val="bottom"/>
            <w:hideMark/>
          </w:tcPr>
          <w:p w14:paraId="20183C2A" w14:textId="77777777" w:rsidR="00013078" w:rsidRPr="00650291" w:rsidRDefault="00013078" w:rsidP="00AE0577">
            <w:pPr>
              <w:jc w:val="right"/>
              <w:rPr>
                <w:rFonts w:asciiTheme="minorHAnsi" w:hAnsiTheme="minorHAnsi"/>
                <w:color w:val="000000"/>
                <w:sz w:val="20"/>
                <w:szCs w:val="20"/>
              </w:rPr>
            </w:pPr>
            <w:r>
              <w:rPr>
                <w:rFonts w:ascii="Calibri" w:hAnsi="Calibri"/>
                <w:color w:val="000000"/>
              </w:rPr>
              <w:t>108,500</w:t>
            </w:r>
          </w:p>
        </w:tc>
        <w:tc>
          <w:tcPr>
            <w:tcW w:w="1361" w:type="dxa"/>
            <w:tcBorders>
              <w:top w:val="nil"/>
              <w:left w:val="nil"/>
              <w:bottom w:val="single" w:sz="4" w:space="0" w:color="auto"/>
              <w:right w:val="single" w:sz="4" w:space="0" w:color="auto"/>
            </w:tcBorders>
            <w:shd w:val="clear" w:color="auto" w:fill="auto"/>
            <w:noWrap/>
            <w:vAlign w:val="bottom"/>
            <w:hideMark/>
          </w:tcPr>
          <w:p w14:paraId="5CC8D66C" w14:textId="77777777" w:rsidR="00013078" w:rsidRPr="00650291" w:rsidRDefault="00013078" w:rsidP="00AE0577">
            <w:pPr>
              <w:jc w:val="right"/>
              <w:rPr>
                <w:rFonts w:asciiTheme="minorHAnsi" w:hAnsiTheme="minorHAnsi"/>
                <w:color w:val="000000"/>
                <w:sz w:val="20"/>
                <w:szCs w:val="20"/>
              </w:rPr>
            </w:pPr>
            <w:r>
              <w:rPr>
                <w:rFonts w:ascii="Calibri" w:hAnsi="Calibri"/>
                <w:color w:val="000000"/>
              </w:rPr>
              <w:t>108,500</w:t>
            </w:r>
          </w:p>
        </w:tc>
        <w:tc>
          <w:tcPr>
            <w:tcW w:w="1361" w:type="dxa"/>
            <w:tcBorders>
              <w:top w:val="nil"/>
              <w:left w:val="nil"/>
              <w:bottom w:val="single" w:sz="4" w:space="0" w:color="auto"/>
              <w:right w:val="single" w:sz="4" w:space="0" w:color="auto"/>
            </w:tcBorders>
            <w:shd w:val="clear" w:color="auto" w:fill="auto"/>
            <w:noWrap/>
            <w:vAlign w:val="bottom"/>
            <w:hideMark/>
          </w:tcPr>
          <w:p w14:paraId="1FD6CBCC" w14:textId="77777777" w:rsidR="00013078" w:rsidRPr="00650291" w:rsidRDefault="00013078" w:rsidP="00AE0577">
            <w:pPr>
              <w:jc w:val="right"/>
              <w:rPr>
                <w:rFonts w:asciiTheme="minorHAnsi" w:hAnsiTheme="minorHAnsi"/>
                <w:color w:val="000000"/>
                <w:sz w:val="20"/>
                <w:szCs w:val="20"/>
              </w:rPr>
            </w:pPr>
            <w:r>
              <w:rPr>
                <w:rFonts w:ascii="Calibri" w:hAnsi="Calibri"/>
                <w:color w:val="000000"/>
              </w:rPr>
              <w:t>108,500</w:t>
            </w:r>
          </w:p>
        </w:tc>
        <w:tc>
          <w:tcPr>
            <w:tcW w:w="1361" w:type="dxa"/>
            <w:tcBorders>
              <w:top w:val="nil"/>
              <w:left w:val="nil"/>
              <w:bottom w:val="single" w:sz="4" w:space="0" w:color="auto"/>
              <w:right w:val="nil"/>
            </w:tcBorders>
            <w:shd w:val="clear" w:color="auto" w:fill="auto"/>
            <w:noWrap/>
            <w:vAlign w:val="bottom"/>
            <w:hideMark/>
          </w:tcPr>
          <w:p w14:paraId="0E550D6E" w14:textId="77777777" w:rsidR="00013078" w:rsidRPr="00650291" w:rsidRDefault="00013078" w:rsidP="00AE0577">
            <w:pPr>
              <w:jc w:val="right"/>
              <w:rPr>
                <w:rFonts w:asciiTheme="minorHAnsi" w:hAnsiTheme="minorHAnsi"/>
                <w:color w:val="000000"/>
                <w:sz w:val="20"/>
                <w:szCs w:val="20"/>
              </w:rPr>
            </w:pPr>
            <w:r>
              <w:rPr>
                <w:rFonts w:ascii="Calibri" w:hAnsi="Calibri"/>
                <w:color w:val="000000"/>
              </w:rPr>
              <w:t>108,500</w:t>
            </w:r>
          </w:p>
        </w:tc>
        <w:tc>
          <w:tcPr>
            <w:tcW w:w="1361" w:type="dxa"/>
            <w:tcBorders>
              <w:top w:val="nil"/>
              <w:left w:val="single" w:sz="8" w:space="0" w:color="auto"/>
              <w:bottom w:val="single" w:sz="4" w:space="0" w:color="auto"/>
              <w:right w:val="single" w:sz="8" w:space="0" w:color="auto"/>
            </w:tcBorders>
            <w:shd w:val="clear" w:color="000000" w:fill="DDEBF7"/>
            <w:noWrap/>
            <w:vAlign w:val="bottom"/>
            <w:hideMark/>
          </w:tcPr>
          <w:p w14:paraId="6FF0F0E7" w14:textId="77777777" w:rsidR="00013078" w:rsidRPr="00650291" w:rsidRDefault="00013078" w:rsidP="00AE0577">
            <w:pPr>
              <w:jc w:val="right"/>
              <w:rPr>
                <w:rFonts w:asciiTheme="minorHAnsi" w:hAnsiTheme="minorHAnsi"/>
                <w:b/>
                <w:bCs/>
                <w:color w:val="000000"/>
                <w:sz w:val="20"/>
                <w:szCs w:val="20"/>
              </w:rPr>
            </w:pPr>
            <w:r>
              <w:rPr>
                <w:rFonts w:ascii="Calibri" w:hAnsi="Calibri"/>
                <w:b/>
                <w:bCs/>
                <w:color w:val="000000"/>
              </w:rPr>
              <w:t>0%</w:t>
            </w:r>
          </w:p>
        </w:tc>
      </w:tr>
      <w:tr w:rsidR="00013078" w:rsidRPr="00650291" w14:paraId="33B1A22C" w14:textId="77777777" w:rsidTr="00AE0577">
        <w:trPr>
          <w:trHeight w:val="300"/>
        </w:trPr>
        <w:tc>
          <w:tcPr>
            <w:tcW w:w="2778" w:type="dxa"/>
            <w:tcBorders>
              <w:top w:val="nil"/>
              <w:left w:val="single" w:sz="8" w:space="0" w:color="auto"/>
              <w:bottom w:val="single" w:sz="4" w:space="0" w:color="auto"/>
              <w:right w:val="single" w:sz="4" w:space="0" w:color="auto"/>
            </w:tcBorders>
            <w:shd w:val="clear" w:color="auto" w:fill="auto"/>
            <w:noWrap/>
            <w:vAlign w:val="bottom"/>
            <w:hideMark/>
          </w:tcPr>
          <w:p w14:paraId="5E3A7A88" w14:textId="77777777" w:rsidR="00013078" w:rsidRPr="00650291" w:rsidRDefault="00013078" w:rsidP="00AE0577">
            <w:pPr>
              <w:jc w:val="both"/>
              <w:rPr>
                <w:rFonts w:asciiTheme="minorHAnsi" w:hAnsiTheme="minorHAnsi"/>
                <w:color w:val="000000"/>
                <w:sz w:val="20"/>
                <w:szCs w:val="20"/>
              </w:rPr>
            </w:pPr>
            <w:proofErr w:type="spellStart"/>
            <w:r>
              <w:rPr>
                <w:rFonts w:ascii="Calibri" w:hAnsi="Calibri"/>
                <w:color w:val="000000"/>
              </w:rPr>
              <w:t>Cboe</w:t>
            </w:r>
            <w:proofErr w:type="spellEnd"/>
            <w:r>
              <w:rPr>
                <w:rFonts w:ascii="Calibri" w:hAnsi="Calibri"/>
                <w:color w:val="000000"/>
              </w:rPr>
              <w:t xml:space="preserve"> Europe</w:t>
            </w:r>
          </w:p>
        </w:tc>
        <w:tc>
          <w:tcPr>
            <w:tcW w:w="1361" w:type="dxa"/>
            <w:tcBorders>
              <w:top w:val="nil"/>
              <w:left w:val="nil"/>
              <w:bottom w:val="single" w:sz="4" w:space="0" w:color="auto"/>
              <w:right w:val="single" w:sz="4" w:space="0" w:color="auto"/>
            </w:tcBorders>
            <w:shd w:val="clear" w:color="auto" w:fill="auto"/>
            <w:noWrap/>
            <w:vAlign w:val="bottom"/>
            <w:hideMark/>
          </w:tcPr>
          <w:p w14:paraId="047B8C93" w14:textId="77777777" w:rsidR="00013078" w:rsidRPr="00650291" w:rsidRDefault="00013078" w:rsidP="00AE0577">
            <w:pPr>
              <w:jc w:val="right"/>
              <w:rPr>
                <w:rFonts w:asciiTheme="minorHAnsi" w:hAnsiTheme="minorHAnsi"/>
                <w:color w:val="000000"/>
                <w:sz w:val="20"/>
                <w:szCs w:val="20"/>
              </w:rPr>
            </w:pPr>
            <w:r>
              <w:rPr>
                <w:rFonts w:ascii="Calibri" w:hAnsi="Calibri"/>
                <w:color w:val="000000"/>
              </w:rPr>
              <w:t>24,162</w:t>
            </w:r>
          </w:p>
        </w:tc>
        <w:tc>
          <w:tcPr>
            <w:tcW w:w="1361" w:type="dxa"/>
            <w:tcBorders>
              <w:top w:val="nil"/>
              <w:left w:val="nil"/>
              <w:bottom w:val="single" w:sz="4" w:space="0" w:color="auto"/>
              <w:right w:val="single" w:sz="4" w:space="0" w:color="auto"/>
            </w:tcBorders>
            <w:shd w:val="clear" w:color="auto" w:fill="auto"/>
            <w:noWrap/>
            <w:vAlign w:val="bottom"/>
            <w:hideMark/>
          </w:tcPr>
          <w:p w14:paraId="12CC9CBA" w14:textId="77777777" w:rsidR="00013078" w:rsidRPr="00650291" w:rsidRDefault="00013078" w:rsidP="00AE0577">
            <w:pPr>
              <w:jc w:val="right"/>
              <w:rPr>
                <w:rFonts w:asciiTheme="minorHAnsi" w:hAnsiTheme="minorHAnsi"/>
                <w:color w:val="000000"/>
                <w:sz w:val="20"/>
                <w:szCs w:val="20"/>
              </w:rPr>
            </w:pPr>
            <w:r>
              <w:rPr>
                <w:rFonts w:ascii="Calibri" w:hAnsi="Calibri"/>
                <w:color w:val="000000"/>
              </w:rPr>
              <w:t>37,642</w:t>
            </w:r>
          </w:p>
        </w:tc>
        <w:tc>
          <w:tcPr>
            <w:tcW w:w="1361" w:type="dxa"/>
            <w:tcBorders>
              <w:top w:val="nil"/>
              <w:left w:val="nil"/>
              <w:bottom w:val="single" w:sz="4" w:space="0" w:color="auto"/>
              <w:right w:val="single" w:sz="4" w:space="0" w:color="auto"/>
            </w:tcBorders>
            <w:shd w:val="clear" w:color="auto" w:fill="auto"/>
            <w:noWrap/>
            <w:vAlign w:val="bottom"/>
            <w:hideMark/>
          </w:tcPr>
          <w:p w14:paraId="4EA53D52" w14:textId="77777777" w:rsidR="00013078" w:rsidRPr="00650291" w:rsidRDefault="00013078" w:rsidP="00AE0577">
            <w:pPr>
              <w:jc w:val="right"/>
              <w:rPr>
                <w:rFonts w:asciiTheme="minorHAnsi" w:hAnsiTheme="minorHAnsi"/>
                <w:color w:val="000000"/>
                <w:sz w:val="20"/>
                <w:szCs w:val="20"/>
              </w:rPr>
            </w:pPr>
            <w:r>
              <w:rPr>
                <w:rFonts w:ascii="Calibri" w:hAnsi="Calibri"/>
                <w:color w:val="000000"/>
              </w:rPr>
              <w:t>37,979</w:t>
            </w:r>
          </w:p>
        </w:tc>
        <w:tc>
          <w:tcPr>
            <w:tcW w:w="1361" w:type="dxa"/>
            <w:tcBorders>
              <w:top w:val="nil"/>
              <w:left w:val="nil"/>
              <w:bottom w:val="single" w:sz="4" w:space="0" w:color="auto"/>
              <w:right w:val="nil"/>
            </w:tcBorders>
            <w:shd w:val="clear" w:color="auto" w:fill="auto"/>
            <w:noWrap/>
            <w:vAlign w:val="bottom"/>
            <w:hideMark/>
          </w:tcPr>
          <w:p w14:paraId="342E6402" w14:textId="77777777" w:rsidR="00013078" w:rsidRPr="00650291" w:rsidRDefault="00013078" w:rsidP="00AE0577">
            <w:pPr>
              <w:jc w:val="right"/>
              <w:rPr>
                <w:rFonts w:asciiTheme="minorHAnsi" w:hAnsiTheme="minorHAnsi"/>
                <w:color w:val="000000"/>
                <w:sz w:val="20"/>
                <w:szCs w:val="20"/>
              </w:rPr>
            </w:pPr>
            <w:r>
              <w:rPr>
                <w:rFonts w:ascii="Calibri" w:hAnsi="Calibri"/>
                <w:color w:val="000000"/>
              </w:rPr>
              <w:t>41,364</w:t>
            </w:r>
          </w:p>
        </w:tc>
        <w:tc>
          <w:tcPr>
            <w:tcW w:w="1361" w:type="dxa"/>
            <w:tcBorders>
              <w:top w:val="nil"/>
              <w:left w:val="single" w:sz="8" w:space="0" w:color="auto"/>
              <w:bottom w:val="single" w:sz="4" w:space="0" w:color="auto"/>
              <w:right w:val="single" w:sz="8" w:space="0" w:color="auto"/>
            </w:tcBorders>
            <w:shd w:val="clear" w:color="000000" w:fill="DDEBF7"/>
            <w:noWrap/>
            <w:vAlign w:val="bottom"/>
            <w:hideMark/>
          </w:tcPr>
          <w:p w14:paraId="72BF65CF" w14:textId="77777777" w:rsidR="00013078" w:rsidRPr="00650291" w:rsidRDefault="00013078" w:rsidP="00AE0577">
            <w:pPr>
              <w:jc w:val="right"/>
              <w:rPr>
                <w:rFonts w:asciiTheme="minorHAnsi" w:hAnsiTheme="minorHAnsi"/>
                <w:b/>
                <w:bCs/>
                <w:color w:val="000000"/>
                <w:sz w:val="20"/>
                <w:szCs w:val="20"/>
              </w:rPr>
            </w:pPr>
            <w:r>
              <w:rPr>
                <w:rFonts w:ascii="Calibri" w:hAnsi="Calibri"/>
                <w:b/>
                <w:bCs/>
                <w:color w:val="000000"/>
              </w:rPr>
              <w:t>71%</w:t>
            </w:r>
          </w:p>
        </w:tc>
      </w:tr>
      <w:tr w:rsidR="00013078" w:rsidRPr="00650291" w14:paraId="7526B2F7" w14:textId="77777777" w:rsidTr="00AE0577">
        <w:trPr>
          <w:trHeight w:val="300"/>
        </w:trPr>
        <w:tc>
          <w:tcPr>
            <w:tcW w:w="2778" w:type="dxa"/>
            <w:tcBorders>
              <w:top w:val="nil"/>
              <w:left w:val="single" w:sz="8" w:space="0" w:color="auto"/>
              <w:bottom w:val="single" w:sz="4" w:space="0" w:color="auto"/>
              <w:right w:val="single" w:sz="4" w:space="0" w:color="auto"/>
            </w:tcBorders>
            <w:shd w:val="clear" w:color="auto" w:fill="auto"/>
            <w:noWrap/>
            <w:vAlign w:val="bottom"/>
            <w:hideMark/>
          </w:tcPr>
          <w:p w14:paraId="40A74215" w14:textId="7857C2C1" w:rsidR="00013078" w:rsidRPr="00650291" w:rsidRDefault="00013078" w:rsidP="00AE0577">
            <w:pPr>
              <w:jc w:val="both"/>
              <w:rPr>
                <w:rFonts w:asciiTheme="minorHAnsi" w:hAnsiTheme="minorHAnsi"/>
                <w:color w:val="000000"/>
                <w:sz w:val="20"/>
                <w:szCs w:val="20"/>
              </w:rPr>
            </w:pPr>
            <w:r>
              <w:rPr>
                <w:rFonts w:ascii="Calibri" w:hAnsi="Calibri"/>
                <w:color w:val="000000"/>
              </w:rPr>
              <w:t xml:space="preserve">Deutsche </w:t>
            </w:r>
            <w:r w:rsidR="00492E53">
              <w:rPr>
                <w:rFonts w:ascii="Calibri" w:hAnsi="Calibri"/>
                <w:color w:val="000000"/>
              </w:rPr>
              <w:t>Boerse</w:t>
            </w:r>
          </w:p>
        </w:tc>
        <w:tc>
          <w:tcPr>
            <w:tcW w:w="1361" w:type="dxa"/>
            <w:tcBorders>
              <w:top w:val="nil"/>
              <w:left w:val="nil"/>
              <w:bottom w:val="single" w:sz="4" w:space="0" w:color="auto"/>
              <w:right w:val="single" w:sz="4" w:space="0" w:color="auto"/>
            </w:tcBorders>
            <w:shd w:val="clear" w:color="auto" w:fill="auto"/>
            <w:noWrap/>
            <w:vAlign w:val="bottom"/>
            <w:hideMark/>
          </w:tcPr>
          <w:p w14:paraId="6B9F0022" w14:textId="77777777" w:rsidR="00013078" w:rsidRPr="00650291" w:rsidRDefault="00013078" w:rsidP="00AE0577">
            <w:pPr>
              <w:jc w:val="right"/>
              <w:rPr>
                <w:rFonts w:asciiTheme="minorHAnsi" w:hAnsiTheme="minorHAnsi"/>
                <w:color w:val="000000"/>
                <w:sz w:val="20"/>
                <w:szCs w:val="20"/>
              </w:rPr>
            </w:pPr>
            <w:r>
              <w:rPr>
                <w:rFonts w:ascii="Calibri" w:hAnsi="Calibri"/>
                <w:color w:val="000000"/>
              </w:rPr>
              <w:t>43,468</w:t>
            </w:r>
          </w:p>
        </w:tc>
        <w:tc>
          <w:tcPr>
            <w:tcW w:w="1361" w:type="dxa"/>
            <w:tcBorders>
              <w:top w:val="nil"/>
              <w:left w:val="nil"/>
              <w:bottom w:val="single" w:sz="4" w:space="0" w:color="auto"/>
              <w:right w:val="single" w:sz="4" w:space="0" w:color="auto"/>
            </w:tcBorders>
            <w:shd w:val="clear" w:color="auto" w:fill="auto"/>
            <w:noWrap/>
            <w:vAlign w:val="bottom"/>
            <w:hideMark/>
          </w:tcPr>
          <w:p w14:paraId="4DD516C1" w14:textId="77777777" w:rsidR="00013078" w:rsidRPr="00650291" w:rsidRDefault="00013078" w:rsidP="00AE0577">
            <w:pPr>
              <w:jc w:val="right"/>
              <w:rPr>
                <w:rFonts w:asciiTheme="minorHAnsi" w:hAnsiTheme="minorHAnsi"/>
                <w:color w:val="000000"/>
                <w:sz w:val="20"/>
                <w:szCs w:val="20"/>
              </w:rPr>
            </w:pPr>
            <w:r>
              <w:rPr>
                <w:rFonts w:ascii="Calibri" w:hAnsi="Calibri"/>
                <w:color w:val="000000"/>
              </w:rPr>
              <w:t>62,971</w:t>
            </w:r>
          </w:p>
        </w:tc>
        <w:tc>
          <w:tcPr>
            <w:tcW w:w="1361" w:type="dxa"/>
            <w:tcBorders>
              <w:top w:val="nil"/>
              <w:left w:val="nil"/>
              <w:bottom w:val="single" w:sz="4" w:space="0" w:color="auto"/>
              <w:right w:val="single" w:sz="4" w:space="0" w:color="auto"/>
            </w:tcBorders>
            <w:shd w:val="clear" w:color="auto" w:fill="auto"/>
            <w:noWrap/>
            <w:vAlign w:val="bottom"/>
            <w:hideMark/>
          </w:tcPr>
          <w:p w14:paraId="02D6D471" w14:textId="77777777" w:rsidR="00013078" w:rsidRPr="00650291" w:rsidRDefault="00013078" w:rsidP="00AE0577">
            <w:pPr>
              <w:jc w:val="right"/>
              <w:rPr>
                <w:rFonts w:asciiTheme="minorHAnsi" w:hAnsiTheme="minorHAnsi"/>
                <w:color w:val="000000"/>
                <w:sz w:val="20"/>
                <w:szCs w:val="20"/>
              </w:rPr>
            </w:pPr>
            <w:r>
              <w:rPr>
                <w:rFonts w:ascii="Calibri" w:hAnsi="Calibri"/>
                <w:color w:val="000000"/>
              </w:rPr>
              <w:t>82,200</w:t>
            </w:r>
          </w:p>
        </w:tc>
        <w:tc>
          <w:tcPr>
            <w:tcW w:w="1361" w:type="dxa"/>
            <w:tcBorders>
              <w:top w:val="nil"/>
              <w:left w:val="nil"/>
              <w:bottom w:val="single" w:sz="4" w:space="0" w:color="auto"/>
              <w:right w:val="nil"/>
            </w:tcBorders>
            <w:shd w:val="clear" w:color="auto" w:fill="auto"/>
            <w:noWrap/>
            <w:vAlign w:val="bottom"/>
            <w:hideMark/>
          </w:tcPr>
          <w:p w14:paraId="06A09CDD" w14:textId="77777777" w:rsidR="00013078" w:rsidRPr="00650291" w:rsidRDefault="00013078" w:rsidP="00AE0577">
            <w:pPr>
              <w:jc w:val="right"/>
              <w:rPr>
                <w:rFonts w:asciiTheme="minorHAnsi" w:hAnsiTheme="minorHAnsi"/>
                <w:color w:val="000000"/>
                <w:sz w:val="20"/>
                <w:szCs w:val="20"/>
              </w:rPr>
            </w:pPr>
            <w:r>
              <w:rPr>
                <w:rFonts w:ascii="Calibri" w:hAnsi="Calibri"/>
                <w:color w:val="000000"/>
              </w:rPr>
              <w:t>92,899</w:t>
            </w:r>
          </w:p>
        </w:tc>
        <w:tc>
          <w:tcPr>
            <w:tcW w:w="1361" w:type="dxa"/>
            <w:tcBorders>
              <w:top w:val="nil"/>
              <w:left w:val="single" w:sz="8" w:space="0" w:color="auto"/>
              <w:bottom w:val="single" w:sz="4" w:space="0" w:color="auto"/>
              <w:right w:val="single" w:sz="8" w:space="0" w:color="auto"/>
            </w:tcBorders>
            <w:shd w:val="clear" w:color="000000" w:fill="DDEBF7"/>
            <w:noWrap/>
            <w:vAlign w:val="bottom"/>
            <w:hideMark/>
          </w:tcPr>
          <w:p w14:paraId="5AAE8B66" w14:textId="77777777" w:rsidR="00013078" w:rsidRPr="00650291" w:rsidRDefault="00013078" w:rsidP="00AE0577">
            <w:pPr>
              <w:jc w:val="right"/>
              <w:rPr>
                <w:rFonts w:asciiTheme="minorHAnsi" w:hAnsiTheme="minorHAnsi"/>
                <w:b/>
                <w:bCs/>
                <w:color w:val="000000"/>
                <w:sz w:val="20"/>
                <w:szCs w:val="20"/>
              </w:rPr>
            </w:pPr>
            <w:r>
              <w:rPr>
                <w:rFonts w:ascii="Calibri" w:hAnsi="Calibri"/>
                <w:b/>
                <w:bCs/>
                <w:color w:val="000000"/>
              </w:rPr>
              <w:t>114%</w:t>
            </w:r>
          </w:p>
        </w:tc>
      </w:tr>
      <w:tr w:rsidR="00013078" w:rsidRPr="00650291" w14:paraId="731054B0" w14:textId="77777777" w:rsidTr="00AE0577">
        <w:trPr>
          <w:trHeight w:val="300"/>
        </w:trPr>
        <w:tc>
          <w:tcPr>
            <w:tcW w:w="2778" w:type="dxa"/>
            <w:tcBorders>
              <w:top w:val="nil"/>
              <w:left w:val="single" w:sz="8" w:space="0" w:color="auto"/>
              <w:bottom w:val="single" w:sz="4" w:space="0" w:color="auto"/>
              <w:right w:val="single" w:sz="4" w:space="0" w:color="auto"/>
            </w:tcBorders>
            <w:shd w:val="clear" w:color="auto" w:fill="auto"/>
            <w:noWrap/>
            <w:vAlign w:val="bottom"/>
            <w:hideMark/>
          </w:tcPr>
          <w:p w14:paraId="68ACA65D" w14:textId="77777777" w:rsidR="00013078" w:rsidRPr="00650291" w:rsidRDefault="00013078" w:rsidP="00AE0577">
            <w:pPr>
              <w:jc w:val="both"/>
              <w:rPr>
                <w:rFonts w:asciiTheme="minorHAnsi" w:hAnsiTheme="minorHAnsi"/>
                <w:color w:val="000000"/>
                <w:sz w:val="20"/>
                <w:szCs w:val="20"/>
              </w:rPr>
            </w:pPr>
            <w:r>
              <w:rPr>
                <w:rFonts w:ascii="Calibri" w:hAnsi="Calibri"/>
                <w:color w:val="000000"/>
              </w:rPr>
              <w:t>Euronext</w:t>
            </w:r>
          </w:p>
        </w:tc>
        <w:tc>
          <w:tcPr>
            <w:tcW w:w="1361" w:type="dxa"/>
            <w:tcBorders>
              <w:top w:val="nil"/>
              <w:left w:val="nil"/>
              <w:bottom w:val="single" w:sz="4" w:space="0" w:color="auto"/>
              <w:right w:val="single" w:sz="4" w:space="0" w:color="auto"/>
            </w:tcBorders>
            <w:shd w:val="clear" w:color="auto" w:fill="auto"/>
            <w:noWrap/>
            <w:vAlign w:val="bottom"/>
            <w:hideMark/>
          </w:tcPr>
          <w:p w14:paraId="427728B5" w14:textId="77777777" w:rsidR="00013078" w:rsidRPr="00650291" w:rsidRDefault="00013078" w:rsidP="00AE0577">
            <w:pPr>
              <w:jc w:val="right"/>
              <w:rPr>
                <w:rFonts w:asciiTheme="minorHAnsi" w:hAnsiTheme="minorHAnsi"/>
                <w:color w:val="000000"/>
                <w:sz w:val="20"/>
                <w:szCs w:val="20"/>
              </w:rPr>
            </w:pPr>
            <w:r>
              <w:rPr>
                <w:rFonts w:ascii="Calibri" w:hAnsi="Calibri"/>
                <w:color w:val="000000"/>
              </w:rPr>
              <w:t>33,120</w:t>
            </w:r>
          </w:p>
        </w:tc>
        <w:tc>
          <w:tcPr>
            <w:tcW w:w="1361" w:type="dxa"/>
            <w:tcBorders>
              <w:top w:val="nil"/>
              <w:left w:val="nil"/>
              <w:bottom w:val="single" w:sz="4" w:space="0" w:color="auto"/>
              <w:right w:val="single" w:sz="4" w:space="0" w:color="auto"/>
            </w:tcBorders>
            <w:shd w:val="clear" w:color="auto" w:fill="auto"/>
            <w:noWrap/>
            <w:vAlign w:val="bottom"/>
            <w:hideMark/>
          </w:tcPr>
          <w:p w14:paraId="7061894F" w14:textId="77777777" w:rsidR="00013078" w:rsidRPr="00650291" w:rsidRDefault="00013078" w:rsidP="00AE0577">
            <w:pPr>
              <w:jc w:val="right"/>
              <w:rPr>
                <w:rFonts w:asciiTheme="minorHAnsi" w:hAnsiTheme="minorHAnsi"/>
                <w:color w:val="000000"/>
                <w:sz w:val="20"/>
                <w:szCs w:val="20"/>
              </w:rPr>
            </w:pPr>
            <w:r>
              <w:rPr>
                <w:rFonts w:ascii="Calibri" w:hAnsi="Calibri"/>
                <w:color w:val="000000"/>
              </w:rPr>
              <w:t>33,120</w:t>
            </w:r>
          </w:p>
        </w:tc>
        <w:tc>
          <w:tcPr>
            <w:tcW w:w="1361" w:type="dxa"/>
            <w:tcBorders>
              <w:top w:val="nil"/>
              <w:left w:val="nil"/>
              <w:bottom w:val="single" w:sz="4" w:space="0" w:color="auto"/>
              <w:right w:val="single" w:sz="4" w:space="0" w:color="auto"/>
            </w:tcBorders>
            <w:shd w:val="clear" w:color="auto" w:fill="auto"/>
            <w:noWrap/>
            <w:vAlign w:val="bottom"/>
            <w:hideMark/>
          </w:tcPr>
          <w:p w14:paraId="68DD8891" w14:textId="77777777" w:rsidR="00013078" w:rsidRPr="00650291" w:rsidRDefault="00013078" w:rsidP="00AE0577">
            <w:pPr>
              <w:jc w:val="right"/>
              <w:rPr>
                <w:rFonts w:asciiTheme="minorHAnsi" w:hAnsiTheme="minorHAnsi"/>
                <w:color w:val="000000"/>
                <w:sz w:val="20"/>
                <w:szCs w:val="20"/>
              </w:rPr>
            </w:pPr>
            <w:r>
              <w:rPr>
                <w:rFonts w:ascii="Calibri" w:hAnsi="Calibri"/>
                <w:color w:val="000000"/>
              </w:rPr>
              <w:t>64,620</w:t>
            </w:r>
          </w:p>
        </w:tc>
        <w:tc>
          <w:tcPr>
            <w:tcW w:w="1361" w:type="dxa"/>
            <w:tcBorders>
              <w:top w:val="nil"/>
              <w:left w:val="nil"/>
              <w:bottom w:val="single" w:sz="4" w:space="0" w:color="auto"/>
              <w:right w:val="nil"/>
            </w:tcBorders>
            <w:shd w:val="clear" w:color="auto" w:fill="auto"/>
            <w:noWrap/>
            <w:vAlign w:val="bottom"/>
            <w:hideMark/>
          </w:tcPr>
          <w:p w14:paraId="15CD2009" w14:textId="77777777" w:rsidR="00013078" w:rsidRPr="00650291" w:rsidRDefault="00013078" w:rsidP="00AE0577">
            <w:pPr>
              <w:jc w:val="right"/>
              <w:rPr>
                <w:rFonts w:asciiTheme="minorHAnsi" w:hAnsiTheme="minorHAnsi"/>
                <w:color w:val="000000"/>
                <w:sz w:val="20"/>
                <w:szCs w:val="20"/>
              </w:rPr>
            </w:pPr>
            <w:r>
              <w:rPr>
                <w:rFonts w:ascii="Calibri" w:hAnsi="Calibri"/>
                <w:color w:val="000000"/>
              </w:rPr>
              <w:t>66,209</w:t>
            </w:r>
          </w:p>
        </w:tc>
        <w:tc>
          <w:tcPr>
            <w:tcW w:w="1361" w:type="dxa"/>
            <w:tcBorders>
              <w:top w:val="nil"/>
              <w:left w:val="single" w:sz="8" w:space="0" w:color="auto"/>
              <w:bottom w:val="single" w:sz="4" w:space="0" w:color="auto"/>
              <w:right w:val="single" w:sz="8" w:space="0" w:color="auto"/>
            </w:tcBorders>
            <w:shd w:val="clear" w:color="000000" w:fill="DDEBF7"/>
            <w:noWrap/>
            <w:vAlign w:val="bottom"/>
            <w:hideMark/>
          </w:tcPr>
          <w:p w14:paraId="7952A852" w14:textId="77777777" w:rsidR="00013078" w:rsidRPr="00650291" w:rsidRDefault="00013078" w:rsidP="00AE0577">
            <w:pPr>
              <w:jc w:val="right"/>
              <w:rPr>
                <w:rFonts w:asciiTheme="minorHAnsi" w:hAnsiTheme="minorHAnsi"/>
                <w:b/>
                <w:bCs/>
                <w:color w:val="000000"/>
                <w:sz w:val="20"/>
                <w:szCs w:val="20"/>
              </w:rPr>
            </w:pPr>
            <w:r>
              <w:rPr>
                <w:rFonts w:ascii="Calibri" w:hAnsi="Calibri"/>
                <w:b/>
                <w:bCs/>
                <w:color w:val="000000"/>
              </w:rPr>
              <w:t>100%</w:t>
            </w:r>
          </w:p>
        </w:tc>
      </w:tr>
      <w:tr w:rsidR="00013078" w:rsidRPr="00650291" w14:paraId="52439D89" w14:textId="77777777" w:rsidTr="00AE0577">
        <w:trPr>
          <w:trHeight w:val="300"/>
        </w:trPr>
        <w:tc>
          <w:tcPr>
            <w:tcW w:w="2778" w:type="dxa"/>
            <w:tcBorders>
              <w:top w:val="nil"/>
              <w:left w:val="single" w:sz="8" w:space="0" w:color="auto"/>
              <w:bottom w:val="single" w:sz="4" w:space="0" w:color="auto"/>
              <w:right w:val="single" w:sz="4" w:space="0" w:color="auto"/>
            </w:tcBorders>
            <w:shd w:val="clear" w:color="auto" w:fill="auto"/>
            <w:noWrap/>
            <w:vAlign w:val="bottom"/>
            <w:hideMark/>
          </w:tcPr>
          <w:p w14:paraId="548DCA5D" w14:textId="77777777" w:rsidR="00013078" w:rsidRPr="00650291" w:rsidRDefault="00013078" w:rsidP="00AE0577">
            <w:pPr>
              <w:jc w:val="both"/>
              <w:rPr>
                <w:rFonts w:asciiTheme="minorHAnsi" w:hAnsiTheme="minorHAnsi"/>
                <w:color w:val="000000"/>
                <w:sz w:val="20"/>
                <w:szCs w:val="20"/>
              </w:rPr>
            </w:pPr>
            <w:r>
              <w:rPr>
                <w:rFonts w:ascii="Calibri" w:hAnsi="Calibri"/>
                <w:color w:val="000000"/>
              </w:rPr>
              <w:t>ICE Europe</w:t>
            </w:r>
          </w:p>
        </w:tc>
        <w:tc>
          <w:tcPr>
            <w:tcW w:w="1361" w:type="dxa"/>
            <w:tcBorders>
              <w:top w:val="nil"/>
              <w:left w:val="nil"/>
              <w:bottom w:val="single" w:sz="4" w:space="0" w:color="auto"/>
              <w:right w:val="single" w:sz="4" w:space="0" w:color="auto"/>
            </w:tcBorders>
            <w:shd w:val="clear" w:color="auto" w:fill="auto"/>
            <w:noWrap/>
            <w:vAlign w:val="bottom"/>
            <w:hideMark/>
          </w:tcPr>
          <w:p w14:paraId="5E993750" w14:textId="77777777" w:rsidR="00013078" w:rsidRPr="00650291" w:rsidRDefault="00013078" w:rsidP="00AE0577">
            <w:pPr>
              <w:jc w:val="right"/>
              <w:rPr>
                <w:rFonts w:asciiTheme="minorHAnsi" w:hAnsiTheme="minorHAnsi"/>
                <w:color w:val="000000"/>
                <w:sz w:val="20"/>
                <w:szCs w:val="20"/>
              </w:rPr>
            </w:pPr>
            <w:r>
              <w:rPr>
                <w:rFonts w:ascii="Calibri" w:hAnsi="Calibri"/>
                <w:color w:val="000000"/>
              </w:rPr>
              <w:t>72,347</w:t>
            </w:r>
          </w:p>
        </w:tc>
        <w:tc>
          <w:tcPr>
            <w:tcW w:w="1361" w:type="dxa"/>
            <w:tcBorders>
              <w:top w:val="nil"/>
              <w:left w:val="nil"/>
              <w:bottom w:val="single" w:sz="4" w:space="0" w:color="auto"/>
              <w:right w:val="single" w:sz="4" w:space="0" w:color="auto"/>
            </w:tcBorders>
            <w:shd w:val="clear" w:color="auto" w:fill="auto"/>
            <w:noWrap/>
            <w:vAlign w:val="bottom"/>
            <w:hideMark/>
          </w:tcPr>
          <w:p w14:paraId="36EBD69F" w14:textId="77777777" w:rsidR="00013078" w:rsidRPr="00650291" w:rsidRDefault="00013078" w:rsidP="00AE0577">
            <w:pPr>
              <w:jc w:val="right"/>
              <w:rPr>
                <w:rFonts w:asciiTheme="minorHAnsi" w:hAnsiTheme="minorHAnsi"/>
                <w:color w:val="000000"/>
                <w:sz w:val="20"/>
                <w:szCs w:val="20"/>
              </w:rPr>
            </w:pPr>
            <w:r>
              <w:rPr>
                <w:rFonts w:ascii="Calibri" w:hAnsi="Calibri"/>
                <w:color w:val="000000"/>
              </w:rPr>
              <w:t>70,066</w:t>
            </w:r>
          </w:p>
        </w:tc>
        <w:tc>
          <w:tcPr>
            <w:tcW w:w="1361" w:type="dxa"/>
            <w:tcBorders>
              <w:top w:val="nil"/>
              <w:left w:val="nil"/>
              <w:bottom w:val="single" w:sz="4" w:space="0" w:color="auto"/>
              <w:right w:val="single" w:sz="4" w:space="0" w:color="auto"/>
            </w:tcBorders>
            <w:shd w:val="clear" w:color="auto" w:fill="auto"/>
            <w:noWrap/>
            <w:vAlign w:val="bottom"/>
            <w:hideMark/>
          </w:tcPr>
          <w:p w14:paraId="10957472" w14:textId="77777777" w:rsidR="00013078" w:rsidRPr="00650291" w:rsidRDefault="00013078" w:rsidP="00AE0577">
            <w:pPr>
              <w:jc w:val="right"/>
              <w:rPr>
                <w:rFonts w:asciiTheme="minorHAnsi" w:hAnsiTheme="minorHAnsi"/>
                <w:color w:val="000000"/>
                <w:sz w:val="20"/>
                <w:szCs w:val="20"/>
              </w:rPr>
            </w:pPr>
            <w:r>
              <w:rPr>
                <w:rFonts w:ascii="Calibri" w:hAnsi="Calibri"/>
                <w:color w:val="000000"/>
              </w:rPr>
              <w:t>80,007</w:t>
            </w:r>
          </w:p>
        </w:tc>
        <w:tc>
          <w:tcPr>
            <w:tcW w:w="1361" w:type="dxa"/>
            <w:tcBorders>
              <w:top w:val="nil"/>
              <w:left w:val="nil"/>
              <w:bottom w:val="single" w:sz="4" w:space="0" w:color="auto"/>
              <w:right w:val="nil"/>
            </w:tcBorders>
            <w:shd w:val="clear" w:color="auto" w:fill="auto"/>
            <w:noWrap/>
            <w:vAlign w:val="bottom"/>
            <w:hideMark/>
          </w:tcPr>
          <w:p w14:paraId="50A0F55B" w14:textId="77777777" w:rsidR="00013078" w:rsidRPr="00650291" w:rsidRDefault="00013078" w:rsidP="00AE0577">
            <w:pPr>
              <w:jc w:val="right"/>
              <w:rPr>
                <w:rFonts w:asciiTheme="minorHAnsi" w:hAnsiTheme="minorHAnsi"/>
                <w:color w:val="000000"/>
                <w:sz w:val="20"/>
                <w:szCs w:val="20"/>
              </w:rPr>
            </w:pPr>
            <w:r>
              <w:rPr>
                <w:rFonts w:ascii="Calibri" w:hAnsi="Calibri"/>
                <w:color w:val="000000"/>
              </w:rPr>
              <w:t>79,435</w:t>
            </w:r>
          </w:p>
        </w:tc>
        <w:tc>
          <w:tcPr>
            <w:tcW w:w="1361" w:type="dxa"/>
            <w:tcBorders>
              <w:top w:val="nil"/>
              <w:left w:val="single" w:sz="8" w:space="0" w:color="auto"/>
              <w:bottom w:val="single" w:sz="4" w:space="0" w:color="auto"/>
              <w:right w:val="single" w:sz="8" w:space="0" w:color="auto"/>
            </w:tcBorders>
            <w:shd w:val="clear" w:color="000000" w:fill="DDEBF7"/>
            <w:noWrap/>
            <w:vAlign w:val="bottom"/>
            <w:hideMark/>
          </w:tcPr>
          <w:p w14:paraId="49F189E3" w14:textId="77777777" w:rsidR="00013078" w:rsidRPr="00650291" w:rsidRDefault="00013078" w:rsidP="00AE0577">
            <w:pPr>
              <w:jc w:val="right"/>
              <w:rPr>
                <w:rFonts w:asciiTheme="minorHAnsi" w:hAnsiTheme="minorHAnsi"/>
                <w:b/>
                <w:bCs/>
                <w:color w:val="000000"/>
                <w:sz w:val="20"/>
                <w:szCs w:val="20"/>
              </w:rPr>
            </w:pPr>
            <w:r>
              <w:rPr>
                <w:rFonts w:ascii="Calibri" w:hAnsi="Calibri"/>
                <w:b/>
                <w:bCs/>
                <w:color w:val="000000"/>
              </w:rPr>
              <w:t>10%</w:t>
            </w:r>
          </w:p>
        </w:tc>
      </w:tr>
      <w:tr w:rsidR="00013078" w:rsidRPr="00650291" w14:paraId="0A2AA1BB" w14:textId="77777777" w:rsidTr="00AE0577">
        <w:trPr>
          <w:trHeight w:val="300"/>
        </w:trPr>
        <w:tc>
          <w:tcPr>
            <w:tcW w:w="2778" w:type="dxa"/>
            <w:tcBorders>
              <w:top w:val="nil"/>
              <w:left w:val="single" w:sz="8" w:space="0" w:color="auto"/>
              <w:bottom w:val="single" w:sz="4" w:space="0" w:color="auto"/>
              <w:right w:val="single" w:sz="4" w:space="0" w:color="auto"/>
            </w:tcBorders>
            <w:shd w:val="clear" w:color="auto" w:fill="auto"/>
            <w:noWrap/>
            <w:vAlign w:val="bottom"/>
            <w:hideMark/>
          </w:tcPr>
          <w:p w14:paraId="06FF62F8" w14:textId="77777777" w:rsidR="00013078" w:rsidRPr="00650291" w:rsidRDefault="00013078" w:rsidP="00AE0577">
            <w:pPr>
              <w:jc w:val="both"/>
              <w:rPr>
                <w:rFonts w:asciiTheme="minorHAnsi" w:hAnsiTheme="minorHAnsi"/>
                <w:color w:val="000000"/>
                <w:sz w:val="20"/>
                <w:szCs w:val="20"/>
              </w:rPr>
            </w:pPr>
            <w:r>
              <w:rPr>
                <w:rFonts w:ascii="Calibri" w:hAnsi="Calibri"/>
                <w:color w:val="000000"/>
              </w:rPr>
              <w:t>Irish Stock Exchange</w:t>
            </w:r>
          </w:p>
        </w:tc>
        <w:tc>
          <w:tcPr>
            <w:tcW w:w="1361" w:type="dxa"/>
            <w:tcBorders>
              <w:top w:val="nil"/>
              <w:left w:val="nil"/>
              <w:bottom w:val="single" w:sz="4" w:space="0" w:color="auto"/>
              <w:right w:val="single" w:sz="4" w:space="0" w:color="auto"/>
            </w:tcBorders>
            <w:shd w:val="clear" w:color="auto" w:fill="auto"/>
            <w:noWrap/>
            <w:vAlign w:val="bottom"/>
            <w:hideMark/>
          </w:tcPr>
          <w:p w14:paraId="0E84818A" w14:textId="77777777" w:rsidR="00013078" w:rsidRPr="00650291" w:rsidRDefault="00013078" w:rsidP="00AE0577">
            <w:pPr>
              <w:jc w:val="right"/>
              <w:rPr>
                <w:rFonts w:asciiTheme="minorHAnsi" w:hAnsiTheme="minorHAnsi"/>
                <w:color w:val="000000"/>
                <w:sz w:val="20"/>
                <w:szCs w:val="20"/>
              </w:rPr>
            </w:pPr>
            <w:r>
              <w:rPr>
                <w:rFonts w:ascii="Calibri" w:hAnsi="Calibri"/>
                <w:color w:val="000000"/>
              </w:rPr>
              <w:t>7,488</w:t>
            </w:r>
          </w:p>
        </w:tc>
        <w:tc>
          <w:tcPr>
            <w:tcW w:w="1361" w:type="dxa"/>
            <w:tcBorders>
              <w:top w:val="nil"/>
              <w:left w:val="nil"/>
              <w:bottom w:val="single" w:sz="4" w:space="0" w:color="auto"/>
              <w:right w:val="single" w:sz="4" w:space="0" w:color="auto"/>
            </w:tcBorders>
            <w:shd w:val="clear" w:color="auto" w:fill="auto"/>
            <w:noWrap/>
            <w:vAlign w:val="bottom"/>
            <w:hideMark/>
          </w:tcPr>
          <w:p w14:paraId="0C6A3C84" w14:textId="77777777" w:rsidR="00013078" w:rsidRPr="00650291" w:rsidRDefault="00013078" w:rsidP="00AE0577">
            <w:pPr>
              <w:jc w:val="right"/>
              <w:rPr>
                <w:rFonts w:asciiTheme="minorHAnsi" w:hAnsiTheme="minorHAnsi"/>
                <w:color w:val="000000"/>
                <w:sz w:val="20"/>
                <w:szCs w:val="20"/>
              </w:rPr>
            </w:pPr>
            <w:r>
              <w:rPr>
                <w:rFonts w:ascii="Calibri" w:hAnsi="Calibri"/>
                <w:color w:val="000000"/>
              </w:rPr>
              <w:t>7,488</w:t>
            </w:r>
          </w:p>
        </w:tc>
        <w:tc>
          <w:tcPr>
            <w:tcW w:w="1361" w:type="dxa"/>
            <w:tcBorders>
              <w:top w:val="nil"/>
              <w:left w:val="nil"/>
              <w:bottom w:val="single" w:sz="4" w:space="0" w:color="auto"/>
              <w:right w:val="single" w:sz="4" w:space="0" w:color="auto"/>
            </w:tcBorders>
            <w:shd w:val="clear" w:color="auto" w:fill="auto"/>
            <w:noWrap/>
            <w:vAlign w:val="bottom"/>
            <w:hideMark/>
          </w:tcPr>
          <w:p w14:paraId="62A03BF7" w14:textId="77777777" w:rsidR="00013078" w:rsidRPr="00650291" w:rsidRDefault="00013078" w:rsidP="00AE0577">
            <w:pPr>
              <w:jc w:val="right"/>
              <w:rPr>
                <w:rFonts w:asciiTheme="minorHAnsi" w:hAnsiTheme="minorHAnsi"/>
                <w:color w:val="000000"/>
                <w:sz w:val="20"/>
                <w:szCs w:val="20"/>
              </w:rPr>
            </w:pPr>
            <w:r>
              <w:rPr>
                <w:rFonts w:ascii="Calibri" w:hAnsi="Calibri"/>
                <w:color w:val="000000"/>
              </w:rPr>
              <w:t>28,800</w:t>
            </w:r>
          </w:p>
        </w:tc>
        <w:tc>
          <w:tcPr>
            <w:tcW w:w="1361" w:type="dxa"/>
            <w:tcBorders>
              <w:top w:val="nil"/>
              <w:left w:val="nil"/>
              <w:bottom w:val="single" w:sz="4" w:space="0" w:color="auto"/>
              <w:right w:val="nil"/>
            </w:tcBorders>
            <w:shd w:val="clear" w:color="auto" w:fill="auto"/>
            <w:noWrap/>
            <w:vAlign w:val="bottom"/>
            <w:hideMark/>
          </w:tcPr>
          <w:p w14:paraId="38294C6C" w14:textId="77777777" w:rsidR="00013078" w:rsidRPr="00650291" w:rsidRDefault="00013078" w:rsidP="00AE0577">
            <w:pPr>
              <w:jc w:val="right"/>
              <w:rPr>
                <w:rFonts w:asciiTheme="minorHAnsi" w:hAnsiTheme="minorHAnsi"/>
                <w:color w:val="000000"/>
                <w:sz w:val="20"/>
                <w:szCs w:val="20"/>
              </w:rPr>
            </w:pPr>
            <w:r>
              <w:rPr>
                <w:rFonts w:ascii="Calibri" w:hAnsi="Calibri"/>
                <w:color w:val="000000"/>
              </w:rPr>
              <w:t>9,450</w:t>
            </w:r>
          </w:p>
        </w:tc>
        <w:tc>
          <w:tcPr>
            <w:tcW w:w="1361" w:type="dxa"/>
            <w:tcBorders>
              <w:top w:val="nil"/>
              <w:left w:val="single" w:sz="8" w:space="0" w:color="auto"/>
              <w:bottom w:val="single" w:sz="4" w:space="0" w:color="auto"/>
              <w:right w:val="single" w:sz="8" w:space="0" w:color="auto"/>
            </w:tcBorders>
            <w:shd w:val="clear" w:color="000000" w:fill="DDEBF7"/>
            <w:noWrap/>
            <w:vAlign w:val="bottom"/>
            <w:hideMark/>
          </w:tcPr>
          <w:p w14:paraId="23658EF9" w14:textId="77777777" w:rsidR="00013078" w:rsidRPr="00650291" w:rsidRDefault="00013078" w:rsidP="00AE0577">
            <w:pPr>
              <w:jc w:val="right"/>
              <w:rPr>
                <w:rFonts w:asciiTheme="minorHAnsi" w:hAnsiTheme="minorHAnsi"/>
                <w:b/>
                <w:bCs/>
                <w:color w:val="000000"/>
                <w:sz w:val="20"/>
                <w:szCs w:val="20"/>
              </w:rPr>
            </w:pPr>
            <w:r>
              <w:rPr>
                <w:rFonts w:ascii="Calibri" w:hAnsi="Calibri"/>
                <w:b/>
                <w:bCs/>
                <w:color w:val="000000"/>
              </w:rPr>
              <w:t>26%</w:t>
            </w:r>
          </w:p>
        </w:tc>
      </w:tr>
      <w:tr w:rsidR="00013078" w:rsidRPr="00650291" w14:paraId="11CDCF04" w14:textId="77777777" w:rsidTr="00AE0577">
        <w:trPr>
          <w:trHeight w:val="300"/>
        </w:trPr>
        <w:tc>
          <w:tcPr>
            <w:tcW w:w="2778" w:type="dxa"/>
            <w:tcBorders>
              <w:top w:val="nil"/>
              <w:left w:val="single" w:sz="8" w:space="0" w:color="auto"/>
              <w:bottom w:val="single" w:sz="4" w:space="0" w:color="auto"/>
              <w:right w:val="single" w:sz="4" w:space="0" w:color="auto"/>
            </w:tcBorders>
            <w:shd w:val="clear" w:color="auto" w:fill="auto"/>
            <w:noWrap/>
            <w:vAlign w:val="bottom"/>
            <w:hideMark/>
          </w:tcPr>
          <w:p w14:paraId="208B2A0C" w14:textId="77777777" w:rsidR="00013078" w:rsidRPr="00650291" w:rsidRDefault="00013078" w:rsidP="00AE0577">
            <w:pPr>
              <w:jc w:val="both"/>
              <w:rPr>
                <w:rFonts w:asciiTheme="minorHAnsi" w:hAnsiTheme="minorHAnsi"/>
                <w:color w:val="000000"/>
                <w:sz w:val="20"/>
                <w:szCs w:val="20"/>
              </w:rPr>
            </w:pPr>
            <w:r>
              <w:rPr>
                <w:rFonts w:ascii="Calibri" w:hAnsi="Calibri"/>
                <w:color w:val="000000"/>
              </w:rPr>
              <w:t>London Stock Exchange</w:t>
            </w:r>
          </w:p>
        </w:tc>
        <w:tc>
          <w:tcPr>
            <w:tcW w:w="1361" w:type="dxa"/>
            <w:tcBorders>
              <w:top w:val="nil"/>
              <w:left w:val="nil"/>
              <w:bottom w:val="single" w:sz="4" w:space="0" w:color="auto"/>
              <w:right w:val="single" w:sz="4" w:space="0" w:color="auto"/>
            </w:tcBorders>
            <w:shd w:val="clear" w:color="auto" w:fill="auto"/>
            <w:noWrap/>
            <w:vAlign w:val="bottom"/>
            <w:hideMark/>
          </w:tcPr>
          <w:p w14:paraId="15D8E128" w14:textId="77777777" w:rsidR="00013078" w:rsidRPr="00650291" w:rsidRDefault="00013078" w:rsidP="00AE0577">
            <w:pPr>
              <w:jc w:val="right"/>
              <w:rPr>
                <w:rFonts w:asciiTheme="minorHAnsi" w:hAnsiTheme="minorHAnsi"/>
                <w:color w:val="000000"/>
                <w:sz w:val="20"/>
                <w:szCs w:val="20"/>
              </w:rPr>
            </w:pPr>
            <w:r>
              <w:rPr>
                <w:rFonts w:ascii="Calibri" w:hAnsi="Calibri"/>
                <w:color w:val="000000"/>
              </w:rPr>
              <w:t>35,462</w:t>
            </w:r>
          </w:p>
        </w:tc>
        <w:tc>
          <w:tcPr>
            <w:tcW w:w="1361" w:type="dxa"/>
            <w:tcBorders>
              <w:top w:val="nil"/>
              <w:left w:val="nil"/>
              <w:bottom w:val="single" w:sz="4" w:space="0" w:color="auto"/>
              <w:right w:val="single" w:sz="4" w:space="0" w:color="auto"/>
            </w:tcBorders>
            <w:shd w:val="clear" w:color="auto" w:fill="auto"/>
            <w:noWrap/>
            <w:vAlign w:val="bottom"/>
            <w:hideMark/>
          </w:tcPr>
          <w:p w14:paraId="3C428A5B" w14:textId="77777777" w:rsidR="00013078" w:rsidRPr="00650291" w:rsidRDefault="00013078" w:rsidP="00AE0577">
            <w:pPr>
              <w:jc w:val="right"/>
              <w:rPr>
                <w:rFonts w:asciiTheme="minorHAnsi" w:hAnsiTheme="minorHAnsi"/>
                <w:color w:val="000000"/>
                <w:sz w:val="20"/>
                <w:szCs w:val="20"/>
              </w:rPr>
            </w:pPr>
            <w:r>
              <w:rPr>
                <w:rFonts w:ascii="Calibri" w:hAnsi="Calibri"/>
                <w:color w:val="000000"/>
              </w:rPr>
              <w:t>34,540</w:t>
            </w:r>
          </w:p>
        </w:tc>
        <w:tc>
          <w:tcPr>
            <w:tcW w:w="1361" w:type="dxa"/>
            <w:tcBorders>
              <w:top w:val="nil"/>
              <w:left w:val="nil"/>
              <w:bottom w:val="single" w:sz="4" w:space="0" w:color="auto"/>
              <w:right w:val="single" w:sz="4" w:space="0" w:color="auto"/>
            </w:tcBorders>
            <w:shd w:val="clear" w:color="auto" w:fill="auto"/>
            <w:noWrap/>
            <w:vAlign w:val="bottom"/>
            <w:hideMark/>
          </w:tcPr>
          <w:p w14:paraId="5FC2A231" w14:textId="77777777" w:rsidR="00013078" w:rsidRPr="00650291" w:rsidRDefault="00013078" w:rsidP="00AE0577">
            <w:pPr>
              <w:jc w:val="right"/>
              <w:rPr>
                <w:rFonts w:asciiTheme="minorHAnsi" w:hAnsiTheme="minorHAnsi"/>
                <w:color w:val="000000"/>
                <w:sz w:val="20"/>
                <w:szCs w:val="20"/>
              </w:rPr>
            </w:pPr>
            <w:r>
              <w:rPr>
                <w:rFonts w:ascii="Calibri" w:hAnsi="Calibri"/>
                <w:color w:val="000000"/>
              </w:rPr>
              <w:t>36,603</w:t>
            </w:r>
          </w:p>
        </w:tc>
        <w:tc>
          <w:tcPr>
            <w:tcW w:w="1361" w:type="dxa"/>
            <w:tcBorders>
              <w:top w:val="nil"/>
              <w:left w:val="nil"/>
              <w:bottom w:val="single" w:sz="4" w:space="0" w:color="auto"/>
              <w:right w:val="nil"/>
            </w:tcBorders>
            <w:shd w:val="clear" w:color="auto" w:fill="auto"/>
            <w:noWrap/>
            <w:vAlign w:val="bottom"/>
            <w:hideMark/>
          </w:tcPr>
          <w:p w14:paraId="48D52989" w14:textId="77777777" w:rsidR="00013078" w:rsidRPr="00650291" w:rsidRDefault="00013078" w:rsidP="00AE0577">
            <w:pPr>
              <w:jc w:val="right"/>
              <w:rPr>
                <w:rFonts w:asciiTheme="minorHAnsi" w:hAnsiTheme="minorHAnsi"/>
                <w:color w:val="000000"/>
                <w:sz w:val="20"/>
                <w:szCs w:val="20"/>
              </w:rPr>
            </w:pPr>
            <w:r>
              <w:rPr>
                <w:rFonts w:ascii="Calibri" w:hAnsi="Calibri"/>
                <w:color w:val="000000"/>
              </w:rPr>
              <w:t>47,324</w:t>
            </w:r>
          </w:p>
        </w:tc>
        <w:tc>
          <w:tcPr>
            <w:tcW w:w="1361" w:type="dxa"/>
            <w:tcBorders>
              <w:top w:val="nil"/>
              <w:left w:val="single" w:sz="8" w:space="0" w:color="auto"/>
              <w:bottom w:val="single" w:sz="4" w:space="0" w:color="auto"/>
              <w:right w:val="single" w:sz="8" w:space="0" w:color="auto"/>
            </w:tcBorders>
            <w:shd w:val="clear" w:color="000000" w:fill="DDEBF7"/>
            <w:noWrap/>
            <w:vAlign w:val="bottom"/>
            <w:hideMark/>
          </w:tcPr>
          <w:p w14:paraId="34A750A6" w14:textId="77777777" w:rsidR="00013078" w:rsidRPr="00650291" w:rsidRDefault="00013078" w:rsidP="00AE0577">
            <w:pPr>
              <w:jc w:val="right"/>
              <w:rPr>
                <w:rFonts w:asciiTheme="minorHAnsi" w:hAnsiTheme="minorHAnsi"/>
                <w:b/>
                <w:bCs/>
                <w:color w:val="000000"/>
                <w:sz w:val="20"/>
                <w:szCs w:val="20"/>
              </w:rPr>
            </w:pPr>
            <w:r>
              <w:rPr>
                <w:rFonts w:ascii="Calibri" w:hAnsi="Calibri"/>
                <w:b/>
                <w:bCs/>
                <w:color w:val="000000"/>
              </w:rPr>
              <w:t>33%</w:t>
            </w:r>
          </w:p>
        </w:tc>
      </w:tr>
      <w:tr w:rsidR="00013078" w:rsidRPr="00650291" w14:paraId="5FB0F550" w14:textId="77777777" w:rsidTr="00AE0577">
        <w:trPr>
          <w:trHeight w:val="300"/>
        </w:trPr>
        <w:tc>
          <w:tcPr>
            <w:tcW w:w="2778" w:type="dxa"/>
            <w:tcBorders>
              <w:top w:val="nil"/>
              <w:left w:val="single" w:sz="8" w:space="0" w:color="auto"/>
              <w:bottom w:val="single" w:sz="4" w:space="0" w:color="auto"/>
              <w:right w:val="single" w:sz="4" w:space="0" w:color="auto"/>
            </w:tcBorders>
            <w:shd w:val="clear" w:color="auto" w:fill="auto"/>
            <w:noWrap/>
            <w:vAlign w:val="bottom"/>
            <w:hideMark/>
          </w:tcPr>
          <w:p w14:paraId="1F8B96B6" w14:textId="77777777" w:rsidR="00013078" w:rsidRPr="00650291" w:rsidRDefault="00013078" w:rsidP="00AE0577">
            <w:pPr>
              <w:jc w:val="both"/>
              <w:rPr>
                <w:rFonts w:asciiTheme="minorHAnsi" w:hAnsiTheme="minorHAnsi"/>
                <w:color w:val="000000"/>
                <w:sz w:val="20"/>
                <w:szCs w:val="20"/>
              </w:rPr>
            </w:pPr>
            <w:r>
              <w:rPr>
                <w:rFonts w:ascii="Calibri" w:hAnsi="Calibri"/>
                <w:color w:val="000000"/>
              </w:rPr>
              <w:t xml:space="preserve">Nasdaq Nordic </w:t>
            </w:r>
          </w:p>
        </w:tc>
        <w:tc>
          <w:tcPr>
            <w:tcW w:w="1361" w:type="dxa"/>
            <w:tcBorders>
              <w:top w:val="nil"/>
              <w:left w:val="nil"/>
              <w:bottom w:val="single" w:sz="4" w:space="0" w:color="auto"/>
              <w:right w:val="single" w:sz="4" w:space="0" w:color="auto"/>
            </w:tcBorders>
            <w:shd w:val="clear" w:color="auto" w:fill="auto"/>
            <w:noWrap/>
            <w:vAlign w:val="bottom"/>
            <w:hideMark/>
          </w:tcPr>
          <w:p w14:paraId="492177D1" w14:textId="77777777" w:rsidR="00013078" w:rsidRPr="00650291" w:rsidRDefault="00013078" w:rsidP="00AE0577">
            <w:pPr>
              <w:jc w:val="right"/>
              <w:rPr>
                <w:rFonts w:asciiTheme="minorHAnsi" w:hAnsiTheme="minorHAnsi"/>
                <w:color w:val="000000"/>
                <w:sz w:val="20"/>
                <w:szCs w:val="20"/>
              </w:rPr>
            </w:pPr>
            <w:r>
              <w:rPr>
                <w:rFonts w:ascii="Calibri" w:hAnsi="Calibri"/>
                <w:color w:val="000000"/>
              </w:rPr>
              <w:t>60,000</w:t>
            </w:r>
          </w:p>
        </w:tc>
        <w:tc>
          <w:tcPr>
            <w:tcW w:w="1361" w:type="dxa"/>
            <w:tcBorders>
              <w:top w:val="nil"/>
              <w:left w:val="nil"/>
              <w:bottom w:val="single" w:sz="4" w:space="0" w:color="auto"/>
              <w:right w:val="single" w:sz="4" w:space="0" w:color="auto"/>
            </w:tcBorders>
            <w:shd w:val="clear" w:color="auto" w:fill="auto"/>
            <w:noWrap/>
            <w:vAlign w:val="bottom"/>
            <w:hideMark/>
          </w:tcPr>
          <w:p w14:paraId="23FE7381" w14:textId="77777777" w:rsidR="00013078" w:rsidRPr="00650291" w:rsidRDefault="00013078" w:rsidP="00AE0577">
            <w:pPr>
              <w:jc w:val="right"/>
              <w:rPr>
                <w:rFonts w:asciiTheme="minorHAnsi" w:hAnsiTheme="minorHAnsi"/>
                <w:color w:val="000000"/>
                <w:sz w:val="20"/>
                <w:szCs w:val="20"/>
              </w:rPr>
            </w:pPr>
            <w:r>
              <w:rPr>
                <w:rFonts w:ascii="Calibri" w:hAnsi="Calibri"/>
                <w:color w:val="000000"/>
              </w:rPr>
              <w:t>60,000</w:t>
            </w:r>
          </w:p>
        </w:tc>
        <w:tc>
          <w:tcPr>
            <w:tcW w:w="1361" w:type="dxa"/>
            <w:tcBorders>
              <w:top w:val="nil"/>
              <w:left w:val="nil"/>
              <w:bottom w:val="single" w:sz="4" w:space="0" w:color="auto"/>
              <w:right w:val="single" w:sz="4" w:space="0" w:color="auto"/>
            </w:tcBorders>
            <w:shd w:val="clear" w:color="auto" w:fill="auto"/>
            <w:noWrap/>
            <w:vAlign w:val="bottom"/>
            <w:hideMark/>
          </w:tcPr>
          <w:p w14:paraId="73A1E8E3" w14:textId="77777777" w:rsidR="00013078" w:rsidRPr="00650291" w:rsidRDefault="00013078" w:rsidP="00AE0577">
            <w:pPr>
              <w:jc w:val="right"/>
              <w:rPr>
                <w:rFonts w:asciiTheme="minorHAnsi" w:hAnsiTheme="minorHAnsi"/>
                <w:color w:val="000000"/>
                <w:sz w:val="20"/>
                <w:szCs w:val="20"/>
              </w:rPr>
            </w:pPr>
            <w:r>
              <w:rPr>
                <w:rFonts w:ascii="Calibri" w:hAnsi="Calibri"/>
                <w:color w:val="000000"/>
              </w:rPr>
              <w:t>60,000</w:t>
            </w:r>
          </w:p>
        </w:tc>
        <w:tc>
          <w:tcPr>
            <w:tcW w:w="1361" w:type="dxa"/>
            <w:tcBorders>
              <w:top w:val="nil"/>
              <w:left w:val="nil"/>
              <w:bottom w:val="single" w:sz="4" w:space="0" w:color="auto"/>
              <w:right w:val="nil"/>
            </w:tcBorders>
            <w:shd w:val="clear" w:color="auto" w:fill="auto"/>
            <w:noWrap/>
            <w:vAlign w:val="bottom"/>
            <w:hideMark/>
          </w:tcPr>
          <w:p w14:paraId="2570422E" w14:textId="77777777" w:rsidR="00013078" w:rsidRPr="00650291" w:rsidRDefault="00013078" w:rsidP="00AE0577">
            <w:pPr>
              <w:jc w:val="right"/>
              <w:rPr>
                <w:rFonts w:asciiTheme="minorHAnsi" w:hAnsiTheme="minorHAnsi"/>
                <w:color w:val="000000"/>
                <w:sz w:val="20"/>
                <w:szCs w:val="20"/>
              </w:rPr>
            </w:pPr>
            <w:r>
              <w:rPr>
                <w:rFonts w:ascii="Calibri" w:hAnsi="Calibri"/>
                <w:color w:val="000000"/>
              </w:rPr>
              <w:t>60,000</w:t>
            </w:r>
          </w:p>
        </w:tc>
        <w:tc>
          <w:tcPr>
            <w:tcW w:w="1361" w:type="dxa"/>
            <w:tcBorders>
              <w:top w:val="nil"/>
              <w:left w:val="single" w:sz="8" w:space="0" w:color="auto"/>
              <w:bottom w:val="single" w:sz="4" w:space="0" w:color="auto"/>
              <w:right w:val="single" w:sz="8" w:space="0" w:color="auto"/>
            </w:tcBorders>
            <w:shd w:val="clear" w:color="000000" w:fill="DDEBF7"/>
            <w:noWrap/>
            <w:vAlign w:val="bottom"/>
            <w:hideMark/>
          </w:tcPr>
          <w:p w14:paraId="5EA79FF9" w14:textId="77777777" w:rsidR="00013078" w:rsidRPr="00650291" w:rsidRDefault="00013078" w:rsidP="00AE0577">
            <w:pPr>
              <w:jc w:val="right"/>
              <w:rPr>
                <w:rFonts w:asciiTheme="minorHAnsi" w:hAnsiTheme="minorHAnsi"/>
                <w:b/>
                <w:bCs/>
                <w:color w:val="000000"/>
                <w:sz w:val="20"/>
                <w:szCs w:val="20"/>
              </w:rPr>
            </w:pPr>
            <w:r>
              <w:rPr>
                <w:rFonts w:ascii="Calibri" w:hAnsi="Calibri"/>
                <w:b/>
                <w:bCs/>
                <w:color w:val="000000"/>
              </w:rPr>
              <w:t>0%</w:t>
            </w:r>
          </w:p>
        </w:tc>
      </w:tr>
      <w:tr w:rsidR="00013078" w:rsidRPr="00650291" w14:paraId="5AC83331" w14:textId="77777777" w:rsidTr="00AE0577">
        <w:trPr>
          <w:trHeight w:val="300"/>
        </w:trPr>
        <w:tc>
          <w:tcPr>
            <w:tcW w:w="2778" w:type="dxa"/>
            <w:tcBorders>
              <w:top w:val="nil"/>
              <w:left w:val="single" w:sz="8" w:space="0" w:color="auto"/>
              <w:bottom w:val="single" w:sz="4" w:space="0" w:color="auto"/>
              <w:right w:val="single" w:sz="4" w:space="0" w:color="auto"/>
            </w:tcBorders>
            <w:shd w:val="clear" w:color="auto" w:fill="auto"/>
            <w:noWrap/>
            <w:vAlign w:val="bottom"/>
            <w:hideMark/>
          </w:tcPr>
          <w:p w14:paraId="22BFE072" w14:textId="77777777" w:rsidR="00013078" w:rsidRPr="00650291" w:rsidRDefault="00013078" w:rsidP="00AE0577">
            <w:pPr>
              <w:jc w:val="both"/>
              <w:rPr>
                <w:rFonts w:asciiTheme="minorHAnsi" w:hAnsiTheme="minorHAnsi"/>
                <w:color w:val="000000"/>
                <w:sz w:val="20"/>
                <w:szCs w:val="20"/>
              </w:rPr>
            </w:pPr>
            <w:r>
              <w:rPr>
                <w:rFonts w:ascii="Calibri" w:hAnsi="Calibri"/>
                <w:color w:val="000000"/>
              </w:rPr>
              <w:t xml:space="preserve">Oslo </w:t>
            </w:r>
            <w:proofErr w:type="spellStart"/>
            <w:r>
              <w:rPr>
                <w:rFonts w:ascii="Calibri" w:hAnsi="Calibri"/>
                <w:color w:val="000000"/>
              </w:rPr>
              <w:t>Bors</w:t>
            </w:r>
            <w:proofErr w:type="spellEnd"/>
          </w:p>
        </w:tc>
        <w:tc>
          <w:tcPr>
            <w:tcW w:w="1361" w:type="dxa"/>
            <w:tcBorders>
              <w:top w:val="nil"/>
              <w:left w:val="nil"/>
              <w:bottom w:val="single" w:sz="4" w:space="0" w:color="auto"/>
              <w:right w:val="single" w:sz="4" w:space="0" w:color="auto"/>
            </w:tcBorders>
            <w:shd w:val="clear" w:color="auto" w:fill="auto"/>
            <w:noWrap/>
            <w:vAlign w:val="bottom"/>
            <w:hideMark/>
          </w:tcPr>
          <w:p w14:paraId="36123BD9" w14:textId="77777777" w:rsidR="00013078" w:rsidRPr="00650291" w:rsidRDefault="00013078" w:rsidP="00AE0577">
            <w:pPr>
              <w:jc w:val="right"/>
              <w:rPr>
                <w:rFonts w:asciiTheme="minorHAnsi" w:hAnsiTheme="minorHAnsi"/>
                <w:color w:val="000000"/>
                <w:sz w:val="20"/>
                <w:szCs w:val="20"/>
              </w:rPr>
            </w:pPr>
            <w:r>
              <w:rPr>
                <w:rFonts w:ascii="Calibri" w:hAnsi="Calibri"/>
                <w:color w:val="000000"/>
              </w:rPr>
              <w:t>2,379</w:t>
            </w:r>
          </w:p>
        </w:tc>
        <w:tc>
          <w:tcPr>
            <w:tcW w:w="1361" w:type="dxa"/>
            <w:tcBorders>
              <w:top w:val="nil"/>
              <w:left w:val="nil"/>
              <w:bottom w:val="single" w:sz="4" w:space="0" w:color="auto"/>
              <w:right w:val="single" w:sz="4" w:space="0" w:color="auto"/>
            </w:tcBorders>
            <w:shd w:val="clear" w:color="auto" w:fill="auto"/>
            <w:noWrap/>
            <w:vAlign w:val="bottom"/>
            <w:hideMark/>
          </w:tcPr>
          <w:p w14:paraId="748EC3C7" w14:textId="77777777" w:rsidR="00013078" w:rsidRPr="00650291" w:rsidRDefault="00013078" w:rsidP="00AE0577">
            <w:pPr>
              <w:jc w:val="right"/>
              <w:rPr>
                <w:rFonts w:asciiTheme="minorHAnsi" w:hAnsiTheme="minorHAnsi"/>
                <w:color w:val="000000"/>
                <w:sz w:val="20"/>
                <w:szCs w:val="20"/>
              </w:rPr>
            </w:pPr>
            <w:r>
              <w:rPr>
                <w:rFonts w:ascii="Calibri" w:hAnsi="Calibri"/>
                <w:color w:val="000000"/>
              </w:rPr>
              <w:t>2,289</w:t>
            </w:r>
          </w:p>
        </w:tc>
        <w:tc>
          <w:tcPr>
            <w:tcW w:w="1361" w:type="dxa"/>
            <w:tcBorders>
              <w:top w:val="nil"/>
              <w:left w:val="nil"/>
              <w:bottom w:val="single" w:sz="4" w:space="0" w:color="auto"/>
              <w:right w:val="single" w:sz="4" w:space="0" w:color="auto"/>
            </w:tcBorders>
            <w:shd w:val="clear" w:color="auto" w:fill="auto"/>
            <w:noWrap/>
            <w:vAlign w:val="bottom"/>
            <w:hideMark/>
          </w:tcPr>
          <w:p w14:paraId="23F9A23B" w14:textId="77777777" w:rsidR="00013078" w:rsidRPr="00650291" w:rsidRDefault="00013078" w:rsidP="00AE0577">
            <w:pPr>
              <w:jc w:val="right"/>
              <w:rPr>
                <w:rFonts w:asciiTheme="minorHAnsi" w:hAnsiTheme="minorHAnsi"/>
                <w:color w:val="000000"/>
                <w:sz w:val="20"/>
                <w:szCs w:val="20"/>
              </w:rPr>
            </w:pPr>
            <w:r>
              <w:rPr>
                <w:rFonts w:ascii="Calibri" w:hAnsi="Calibri"/>
                <w:color w:val="000000"/>
              </w:rPr>
              <w:t>2,272</w:t>
            </w:r>
          </w:p>
        </w:tc>
        <w:tc>
          <w:tcPr>
            <w:tcW w:w="1361" w:type="dxa"/>
            <w:tcBorders>
              <w:top w:val="nil"/>
              <w:left w:val="nil"/>
              <w:bottom w:val="single" w:sz="4" w:space="0" w:color="auto"/>
              <w:right w:val="nil"/>
            </w:tcBorders>
            <w:shd w:val="clear" w:color="auto" w:fill="auto"/>
            <w:noWrap/>
            <w:vAlign w:val="bottom"/>
            <w:hideMark/>
          </w:tcPr>
          <w:p w14:paraId="3AD16B81" w14:textId="77777777" w:rsidR="00013078" w:rsidRPr="00650291" w:rsidRDefault="00013078" w:rsidP="00AE0577">
            <w:pPr>
              <w:jc w:val="right"/>
              <w:rPr>
                <w:rFonts w:asciiTheme="minorHAnsi" w:hAnsiTheme="minorHAnsi"/>
                <w:color w:val="000000"/>
                <w:sz w:val="20"/>
                <w:szCs w:val="20"/>
              </w:rPr>
            </w:pPr>
            <w:r>
              <w:rPr>
                <w:rFonts w:ascii="Calibri" w:hAnsi="Calibri"/>
                <w:color w:val="000000"/>
              </w:rPr>
              <w:t>3,290</w:t>
            </w:r>
          </w:p>
        </w:tc>
        <w:tc>
          <w:tcPr>
            <w:tcW w:w="1361" w:type="dxa"/>
            <w:tcBorders>
              <w:top w:val="nil"/>
              <w:left w:val="single" w:sz="8" w:space="0" w:color="auto"/>
              <w:bottom w:val="single" w:sz="4" w:space="0" w:color="auto"/>
              <w:right w:val="single" w:sz="8" w:space="0" w:color="auto"/>
            </w:tcBorders>
            <w:shd w:val="clear" w:color="000000" w:fill="DDEBF7"/>
            <w:noWrap/>
            <w:vAlign w:val="bottom"/>
            <w:hideMark/>
          </w:tcPr>
          <w:p w14:paraId="0F1604F0" w14:textId="77777777" w:rsidR="00013078" w:rsidRPr="00650291" w:rsidRDefault="00013078" w:rsidP="00AE0577">
            <w:pPr>
              <w:jc w:val="right"/>
              <w:rPr>
                <w:rFonts w:asciiTheme="minorHAnsi" w:hAnsiTheme="minorHAnsi"/>
                <w:b/>
                <w:bCs/>
                <w:color w:val="000000"/>
                <w:sz w:val="20"/>
                <w:szCs w:val="20"/>
              </w:rPr>
            </w:pPr>
            <w:r>
              <w:rPr>
                <w:rFonts w:ascii="Calibri" w:hAnsi="Calibri"/>
                <w:b/>
                <w:bCs/>
                <w:color w:val="000000"/>
              </w:rPr>
              <w:t>38%</w:t>
            </w:r>
          </w:p>
        </w:tc>
      </w:tr>
      <w:tr w:rsidR="00013078" w:rsidRPr="00650291" w14:paraId="73983C47" w14:textId="77777777" w:rsidTr="00AE0577">
        <w:trPr>
          <w:trHeight w:val="300"/>
        </w:trPr>
        <w:tc>
          <w:tcPr>
            <w:tcW w:w="2778" w:type="dxa"/>
            <w:tcBorders>
              <w:top w:val="nil"/>
              <w:left w:val="single" w:sz="8" w:space="0" w:color="auto"/>
              <w:bottom w:val="single" w:sz="4" w:space="0" w:color="auto"/>
              <w:right w:val="single" w:sz="4" w:space="0" w:color="auto"/>
            </w:tcBorders>
            <w:shd w:val="clear" w:color="auto" w:fill="auto"/>
            <w:noWrap/>
            <w:vAlign w:val="bottom"/>
            <w:hideMark/>
          </w:tcPr>
          <w:p w14:paraId="4D60CDFE" w14:textId="77777777" w:rsidR="00013078" w:rsidRPr="00650291" w:rsidRDefault="00013078" w:rsidP="00AE0577">
            <w:pPr>
              <w:jc w:val="both"/>
              <w:rPr>
                <w:rFonts w:asciiTheme="minorHAnsi" w:hAnsiTheme="minorHAnsi"/>
                <w:color w:val="000000"/>
                <w:sz w:val="20"/>
                <w:szCs w:val="20"/>
              </w:rPr>
            </w:pPr>
            <w:r>
              <w:rPr>
                <w:rFonts w:ascii="Calibri" w:hAnsi="Calibri"/>
                <w:color w:val="000000"/>
              </w:rPr>
              <w:t>SIX Swiss Exchange</w:t>
            </w:r>
          </w:p>
        </w:tc>
        <w:tc>
          <w:tcPr>
            <w:tcW w:w="1361" w:type="dxa"/>
            <w:tcBorders>
              <w:top w:val="nil"/>
              <w:left w:val="nil"/>
              <w:bottom w:val="single" w:sz="4" w:space="0" w:color="auto"/>
              <w:right w:val="single" w:sz="4" w:space="0" w:color="auto"/>
            </w:tcBorders>
            <w:shd w:val="clear" w:color="auto" w:fill="auto"/>
            <w:noWrap/>
            <w:vAlign w:val="bottom"/>
            <w:hideMark/>
          </w:tcPr>
          <w:p w14:paraId="15CB7865" w14:textId="77777777" w:rsidR="00013078" w:rsidRPr="00650291" w:rsidRDefault="00013078" w:rsidP="00AE0577">
            <w:pPr>
              <w:jc w:val="right"/>
              <w:rPr>
                <w:rFonts w:asciiTheme="minorHAnsi" w:hAnsiTheme="minorHAnsi"/>
                <w:color w:val="000000"/>
                <w:sz w:val="20"/>
                <w:szCs w:val="20"/>
              </w:rPr>
            </w:pPr>
            <w:r>
              <w:rPr>
                <w:rFonts w:ascii="Calibri" w:hAnsi="Calibri"/>
                <w:color w:val="000000"/>
              </w:rPr>
              <w:t>68,797</w:t>
            </w:r>
          </w:p>
        </w:tc>
        <w:tc>
          <w:tcPr>
            <w:tcW w:w="1361" w:type="dxa"/>
            <w:tcBorders>
              <w:top w:val="nil"/>
              <w:left w:val="nil"/>
              <w:bottom w:val="single" w:sz="4" w:space="0" w:color="auto"/>
              <w:right w:val="single" w:sz="4" w:space="0" w:color="auto"/>
            </w:tcBorders>
            <w:shd w:val="clear" w:color="auto" w:fill="auto"/>
            <w:noWrap/>
            <w:vAlign w:val="bottom"/>
            <w:hideMark/>
          </w:tcPr>
          <w:p w14:paraId="39D67C7B" w14:textId="77777777" w:rsidR="00013078" w:rsidRPr="00650291" w:rsidRDefault="00013078" w:rsidP="00AE0577">
            <w:pPr>
              <w:jc w:val="right"/>
              <w:rPr>
                <w:rFonts w:asciiTheme="minorHAnsi" w:hAnsiTheme="minorHAnsi"/>
                <w:color w:val="000000"/>
                <w:sz w:val="20"/>
                <w:szCs w:val="20"/>
              </w:rPr>
            </w:pPr>
            <w:r>
              <w:rPr>
                <w:rFonts w:ascii="Calibri" w:hAnsi="Calibri"/>
                <w:color w:val="000000"/>
              </w:rPr>
              <w:t>67,466</w:t>
            </w:r>
          </w:p>
        </w:tc>
        <w:tc>
          <w:tcPr>
            <w:tcW w:w="1361" w:type="dxa"/>
            <w:tcBorders>
              <w:top w:val="nil"/>
              <w:left w:val="nil"/>
              <w:bottom w:val="single" w:sz="4" w:space="0" w:color="auto"/>
              <w:right w:val="single" w:sz="4" w:space="0" w:color="auto"/>
            </w:tcBorders>
            <w:shd w:val="clear" w:color="auto" w:fill="auto"/>
            <w:noWrap/>
            <w:vAlign w:val="bottom"/>
            <w:hideMark/>
          </w:tcPr>
          <w:p w14:paraId="74724097" w14:textId="77777777" w:rsidR="00013078" w:rsidRPr="00650291" w:rsidRDefault="00013078" w:rsidP="00AE0577">
            <w:pPr>
              <w:jc w:val="right"/>
              <w:rPr>
                <w:rFonts w:asciiTheme="minorHAnsi" w:hAnsiTheme="minorHAnsi"/>
                <w:color w:val="000000"/>
                <w:sz w:val="20"/>
                <w:szCs w:val="20"/>
              </w:rPr>
            </w:pPr>
            <w:r>
              <w:rPr>
                <w:rFonts w:ascii="Calibri" w:hAnsi="Calibri"/>
                <w:color w:val="000000"/>
              </w:rPr>
              <w:t>64,937</w:t>
            </w:r>
          </w:p>
        </w:tc>
        <w:tc>
          <w:tcPr>
            <w:tcW w:w="1361" w:type="dxa"/>
            <w:tcBorders>
              <w:top w:val="nil"/>
              <w:left w:val="nil"/>
              <w:bottom w:val="single" w:sz="4" w:space="0" w:color="auto"/>
              <w:right w:val="nil"/>
            </w:tcBorders>
            <w:shd w:val="clear" w:color="auto" w:fill="auto"/>
            <w:noWrap/>
            <w:vAlign w:val="bottom"/>
            <w:hideMark/>
          </w:tcPr>
          <w:p w14:paraId="5E24CCC0" w14:textId="77777777" w:rsidR="00013078" w:rsidRPr="00650291" w:rsidRDefault="00013078" w:rsidP="00AE0577">
            <w:pPr>
              <w:jc w:val="right"/>
              <w:rPr>
                <w:rFonts w:asciiTheme="minorHAnsi" w:hAnsiTheme="minorHAnsi"/>
                <w:color w:val="000000"/>
                <w:sz w:val="20"/>
                <w:szCs w:val="20"/>
              </w:rPr>
            </w:pPr>
            <w:r>
              <w:rPr>
                <w:rFonts w:ascii="Calibri" w:hAnsi="Calibri"/>
                <w:color w:val="000000"/>
              </w:rPr>
              <w:t>66,264</w:t>
            </w:r>
          </w:p>
        </w:tc>
        <w:tc>
          <w:tcPr>
            <w:tcW w:w="1361" w:type="dxa"/>
            <w:tcBorders>
              <w:top w:val="nil"/>
              <w:left w:val="single" w:sz="8" w:space="0" w:color="auto"/>
              <w:bottom w:val="single" w:sz="4" w:space="0" w:color="auto"/>
              <w:right w:val="single" w:sz="8" w:space="0" w:color="auto"/>
            </w:tcBorders>
            <w:shd w:val="clear" w:color="000000" w:fill="DDEBF7"/>
            <w:noWrap/>
            <w:vAlign w:val="bottom"/>
            <w:hideMark/>
          </w:tcPr>
          <w:p w14:paraId="44CFD12B" w14:textId="77777777" w:rsidR="00013078" w:rsidRPr="00650291" w:rsidRDefault="00013078" w:rsidP="00AE0577">
            <w:pPr>
              <w:jc w:val="right"/>
              <w:rPr>
                <w:rFonts w:asciiTheme="minorHAnsi" w:hAnsiTheme="minorHAnsi"/>
                <w:b/>
                <w:bCs/>
                <w:color w:val="000000"/>
                <w:sz w:val="20"/>
                <w:szCs w:val="20"/>
              </w:rPr>
            </w:pPr>
            <w:r>
              <w:rPr>
                <w:rFonts w:ascii="Calibri" w:hAnsi="Calibri"/>
                <w:b/>
                <w:bCs/>
                <w:color w:val="000000"/>
              </w:rPr>
              <w:t>-4%</w:t>
            </w:r>
          </w:p>
        </w:tc>
      </w:tr>
      <w:tr w:rsidR="00013078" w:rsidRPr="00650291" w14:paraId="2C5EEF26" w14:textId="77777777" w:rsidTr="00AE0577">
        <w:trPr>
          <w:trHeight w:val="300"/>
        </w:trPr>
        <w:tc>
          <w:tcPr>
            <w:tcW w:w="2778" w:type="dxa"/>
            <w:tcBorders>
              <w:top w:val="nil"/>
              <w:left w:val="single" w:sz="8" w:space="0" w:color="auto"/>
              <w:bottom w:val="single" w:sz="4" w:space="0" w:color="auto"/>
              <w:right w:val="single" w:sz="4" w:space="0" w:color="auto"/>
            </w:tcBorders>
            <w:shd w:val="clear" w:color="auto" w:fill="auto"/>
            <w:noWrap/>
            <w:vAlign w:val="bottom"/>
            <w:hideMark/>
          </w:tcPr>
          <w:p w14:paraId="324D71F2" w14:textId="77777777" w:rsidR="00013078" w:rsidRPr="00650291" w:rsidRDefault="00013078" w:rsidP="00AE0577">
            <w:pPr>
              <w:jc w:val="both"/>
              <w:rPr>
                <w:rFonts w:asciiTheme="minorHAnsi" w:hAnsiTheme="minorHAnsi"/>
                <w:color w:val="000000"/>
                <w:sz w:val="20"/>
                <w:szCs w:val="20"/>
              </w:rPr>
            </w:pPr>
            <w:r>
              <w:rPr>
                <w:rFonts w:ascii="Calibri" w:hAnsi="Calibri"/>
                <w:color w:val="000000"/>
              </w:rPr>
              <w:t>Turquoise</w:t>
            </w:r>
          </w:p>
        </w:tc>
        <w:tc>
          <w:tcPr>
            <w:tcW w:w="1361" w:type="dxa"/>
            <w:tcBorders>
              <w:top w:val="nil"/>
              <w:left w:val="nil"/>
              <w:bottom w:val="single" w:sz="4" w:space="0" w:color="auto"/>
              <w:right w:val="single" w:sz="4" w:space="0" w:color="auto"/>
            </w:tcBorders>
            <w:shd w:val="clear" w:color="auto" w:fill="auto"/>
            <w:noWrap/>
            <w:vAlign w:val="bottom"/>
            <w:hideMark/>
          </w:tcPr>
          <w:p w14:paraId="60191805" w14:textId="77777777" w:rsidR="00013078" w:rsidRPr="00650291" w:rsidRDefault="00013078" w:rsidP="00AE0577">
            <w:pPr>
              <w:jc w:val="right"/>
              <w:rPr>
                <w:rFonts w:asciiTheme="minorHAnsi" w:hAnsiTheme="minorHAnsi"/>
                <w:color w:val="000000"/>
                <w:sz w:val="20"/>
                <w:szCs w:val="20"/>
              </w:rPr>
            </w:pPr>
            <w:r>
              <w:rPr>
                <w:rFonts w:ascii="Calibri" w:hAnsi="Calibri"/>
                <w:color w:val="000000"/>
              </w:rPr>
              <w:t>18,304</w:t>
            </w:r>
          </w:p>
        </w:tc>
        <w:tc>
          <w:tcPr>
            <w:tcW w:w="1361" w:type="dxa"/>
            <w:tcBorders>
              <w:top w:val="nil"/>
              <w:left w:val="nil"/>
              <w:bottom w:val="single" w:sz="4" w:space="0" w:color="auto"/>
              <w:right w:val="single" w:sz="4" w:space="0" w:color="auto"/>
            </w:tcBorders>
            <w:shd w:val="clear" w:color="auto" w:fill="auto"/>
            <w:noWrap/>
            <w:vAlign w:val="bottom"/>
            <w:hideMark/>
          </w:tcPr>
          <w:p w14:paraId="3DBB601E" w14:textId="77777777" w:rsidR="00013078" w:rsidRPr="00650291" w:rsidRDefault="00013078" w:rsidP="00AE0577">
            <w:pPr>
              <w:jc w:val="right"/>
              <w:rPr>
                <w:rFonts w:asciiTheme="minorHAnsi" w:hAnsiTheme="minorHAnsi"/>
                <w:color w:val="000000"/>
                <w:sz w:val="20"/>
                <w:szCs w:val="20"/>
              </w:rPr>
            </w:pPr>
            <w:r>
              <w:rPr>
                <w:rFonts w:ascii="Calibri" w:hAnsi="Calibri"/>
                <w:color w:val="000000"/>
              </w:rPr>
              <w:t>17,110</w:t>
            </w:r>
          </w:p>
        </w:tc>
        <w:tc>
          <w:tcPr>
            <w:tcW w:w="1361" w:type="dxa"/>
            <w:tcBorders>
              <w:top w:val="nil"/>
              <w:left w:val="nil"/>
              <w:bottom w:val="single" w:sz="4" w:space="0" w:color="auto"/>
              <w:right w:val="single" w:sz="4" w:space="0" w:color="auto"/>
            </w:tcBorders>
            <w:shd w:val="clear" w:color="auto" w:fill="auto"/>
            <w:noWrap/>
            <w:vAlign w:val="bottom"/>
            <w:hideMark/>
          </w:tcPr>
          <w:p w14:paraId="586332BE" w14:textId="77777777" w:rsidR="00013078" w:rsidRPr="00650291" w:rsidRDefault="00013078" w:rsidP="00AE0577">
            <w:pPr>
              <w:jc w:val="right"/>
              <w:rPr>
                <w:rFonts w:asciiTheme="minorHAnsi" w:hAnsiTheme="minorHAnsi"/>
                <w:color w:val="000000"/>
                <w:sz w:val="20"/>
                <w:szCs w:val="20"/>
              </w:rPr>
            </w:pPr>
            <w:r>
              <w:rPr>
                <w:rFonts w:ascii="Calibri" w:hAnsi="Calibri"/>
                <w:color w:val="000000"/>
              </w:rPr>
              <w:t>16,955</w:t>
            </w:r>
          </w:p>
        </w:tc>
        <w:tc>
          <w:tcPr>
            <w:tcW w:w="1361" w:type="dxa"/>
            <w:tcBorders>
              <w:top w:val="nil"/>
              <w:left w:val="nil"/>
              <w:bottom w:val="single" w:sz="4" w:space="0" w:color="auto"/>
              <w:right w:val="nil"/>
            </w:tcBorders>
            <w:shd w:val="clear" w:color="auto" w:fill="auto"/>
            <w:noWrap/>
            <w:vAlign w:val="bottom"/>
            <w:hideMark/>
          </w:tcPr>
          <w:p w14:paraId="709E86AD" w14:textId="77777777" w:rsidR="00013078" w:rsidRPr="00650291" w:rsidRDefault="00013078" w:rsidP="00AE0577">
            <w:pPr>
              <w:jc w:val="right"/>
              <w:rPr>
                <w:rFonts w:asciiTheme="minorHAnsi" w:hAnsiTheme="minorHAnsi"/>
                <w:color w:val="000000"/>
                <w:sz w:val="20"/>
                <w:szCs w:val="20"/>
              </w:rPr>
            </w:pPr>
            <w:r>
              <w:rPr>
                <w:rFonts w:ascii="Calibri" w:hAnsi="Calibri"/>
                <w:color w:val="000000"/>
              </w:rPr>
              <w:t>18,640</w:t>
            </w:r>
          </w:p>
        </w:tc>
        <w:tc>
          <w:tcPr>
            <w:tcW w:w="1361" w:type="dxa"/>
            <w:tcBorders>
              <w:top w:val="nil"/>
              <w:left w:val="single" w:sz="8" w:space="0" w:color="auto"/>
              <w:bottom w:val="single" w:sz="4" w:space="0" w:color="auto"/>
              <w:right w:val="single" w:sz="8" w:space="0" w:color="auto"/>
            </w:tcBorders>
            <w:shd w:val="clear" w:color="000000" w:fill="DDEBF7"/>
            <w:noWrap/>
            <w:vAlign w:val="bottom"/>
            <w:hideMark/>
          </w:tcPr>
          <w:p w14:paraId="0CA18B05" w14:textId="77777777" w:rsidR="00013078" w:rsidRPr="00650291" w:rsidRDefault="00013078" w:rsidP="00AE0577">
            <w:pPr>
              <w:jc w:val="right"/>
              <w:rPr>
                <w:rFonts w:asciiTheme="minorHAnsi" w:hAnsiTheme="minorHAnsi"/>
                <w:b/>
                <w:bCs/>
                <w:color w:val="000000"/>
                <w:sz w:val="20"/>
                <w:szCs w:val="20"/>
              </w:rPr>
            </w:pPr>
            <w:r>
              <w:rPr>
                <w:rFonts w:ascii="Calibri" w:hAnsi="Calibri"/>
                <w:b/>
                <w:bCs/>
                <w:color w:val="000000"/>
              </w:rPr>
              <w:t>2%</w:t>
            </w:r>
          </w:p>
        </w:tc>
      </w:tr>
      <w:tr w:rsidR="00013078" w:rsidRPr="00650291" w14:paraId="226CD3CA" w14:textId="77777777" w:rsidTr="00AE0577">
        <w:trPr>
          <w:trHeight w:val="300"/>
        </w:trPr>
        <w:tc>
          <w:tcPr>
            <w:tcW w:w="2778" w:type="dxa"/>
            <w:tcBorders>
              <w:top w:val="nil"/>
              <w:left w:val="single" w:sz="8" w:space="0" w:color="auto"/>
              <w:bottom w:val="single" w:sz="4" w:space="0" w:color="auto"/>
              <w:right w:val="single" w:sz="4" w:space="0" w:color="auto"/>
            </w:tcBorders>
            <w:shd w:val="clear" w:color="auto" w:fill="auto"/>
            <w:noWrap/>
            <w:vAlign w:val="bottom"/>
            <w:hideMark/>
          </w:tcPr>
          <w:p w14:paraId="51093E59" w14:textId="77777777" w:rsidR="00013078" w:rsidRPr="00650291" w:rsidRDefault="00013078" w:rsidP="00AE0577">
            <w:pPr>
              <w:jc w:val="both"/>
              <w:rPr>
                <w:rFonts w:asciiTheme="minorHAnsi" w:hAnsiTheme="minorHAnsi"/>
                <w:color w:val="000000"/>
                <w:sz w:val="20"/>
                <w:szCs w:val="20"/>
              </w:rPr>
            </w:pPr>
            <w:r>
              <w:rPr>
                <w:rFonts w:ascii="Calibri" w:hAnsi="Calibri"/>
                <w:color w:val="000000"/>
              </w:rPr>
              <w:t>Warsaw Stock Exchange</w:t>
            </w:r>
          </w:p>
        </w:tc>
        <w:tc>
          <w:tcPr>
            <w:tcW w:w="1361" w:type="dxa"/>
            <w:tcBorders>
              <w:top w:val="nil"/>
              <w:left w:val="nil"/>
              <w:bottom w:val="single" w:sz="4" w:space="0" w:color="auto"/>
              <w:right w:val="single" w:sz="4" w:space="0" w:color="auto"/>
            </w:tcBorders>
            <w:shd w:val="clear" w:color="auto" w:fill="auto"/>
            <w:noWrap/>
            <w:vAlign w:val="bottom"/>
            <w:hideMark/>
          </w:tcPr>
          <w:p w14:paraId="6AA9C95A" w14:textId="77777777" w:rsidR="00013078" w:rsidRPr="00650291" w:rsidRDefault="00013078" w:rsidP="00AE0577">
            <w:pPr>
              <w:jc w:val="right"/>
              <w:rPr>
                <w:rFonts w:asciiTheme="minorHAnsi" w:hAnsiTheme="minorHAnsi"/>
                <w:color w:val="000000"/>
                <w:sz w:val="20"/>
                <w:szCs w:val="20"/>
              </w:rPr>
            </w:pPr>
            <w:r>
              <w:rPr>
                <w:rFonts w:ascii="Calibri" w:hAnsi="Calibri"/>
                <w:color w:val="000000"/>
              </w:rPr>
              <w:t>103,135</w:t>
            </w:r>
          </w:p>
        </w:tc>
        <w:tc>
          <w:tcPr>
            <w:tcW w:w="1361" w:type="dxa"/>
            <w:tcBorders>
              <w:top w:val="nil"/>
              <w:left w:val="nil"/>
              <w:bottom w:val="single" w:sz="4" w:space="0" w:color="auto"/>
              <w:right w:val="single" w:sz="4" w:space="0" w:color="auto"/>
            </w:tcBorders>
            <w:shd w:val="clear" w:color="auto" w:fill="auto"/>
            <w:noWrap/>
            <w:vAlign w:val="bottom"/>
            <w:hideMark/>
          </w:tcPr>
          <w:p w14:paraId="0E9E668D" w14:textId="77777777" w:rsidR="00013078" w:rsidRPr="00650291" w:rsidRDefault="00013078" w:rsidP="00AE0577">
            <w:pPr>
              <w:jc w:val="right"/>
              <w:rPr>
                <w:rFonts w:asciiTheme="minorHAnsi" w:hAnsiTheme="minorHAnsi"/>
                <w:color w:val="000000"/>
                <w:sz w:val="20"/>
                <w:szCs w:val="20"/>
              </w:rPr>
            </w:pPr>
            <w:r>
              <w:rPr>
                <w:rFonts w:ascii="Calibri" w:hAnsi="Calibri"/>
                <w:color w:val="000000"/>
              </w:rPr>
              <w:t>108,057</w:t>
            </w:r>
          </w:p>
        </w:tc>
        <w:tc>
          <w:tcPr>
            <w:tcW w:w="1361" w:type="dxa"/>
            <w:tcBorders>
              <w:top w:val="nil"/>
              <w:left w:val="nil"/>
              <w:bottom w:val="single" w:sz="4" w:space="0" w:color="auto"/>
              <w:right w:val="single" w:sz="4" w:space="0" w:color="auto"/>
            </w:tcBorders>
            <w:shd w:val="clear" w:color="auto" w:fill="auto"/>
            <w:noWrap/>
            <w:vAlign w:val="bottom"/>
            <w:hideMark/>
          </w:tcPr>
          <w:p w14:paraId="6DD0F56E" w14:textId="77777777" w:rsidR="00013078" w:rsidRPr="00650291" w:rsidRDefault="00013078" w:rsidP="00AE0577">
            <w:pPr>
              <w:jc w:val="right"/>
              <w:rPr>
                <w:rFonts w:asciiTheme="minorHAnsi" w:hAnsiTheme="minorHAnsi"/>
                <w:color w:val="000000"/>
                <w:sz w:val="20"/>
                <w:szCs w:val="20"/>
              </w:rPr>
            </w:pPr>
            <w:r>
              <w:rPr>
                <w:rFonts w:ascii="Calibri" w:hAnsi="Calibri"/>
                <w:color w:val="000000"/>
              </w:rPr>
              <w:t>109,117</w:t>
            </w:r>
          </w:p>
        </w:tc>
        <w:tc>
          <w:tcPr>
            <w:tcW w:w="1361" w:type="dxa"/>
            <w:tcBorders>
              <w:top w:val="nil"/>
              <w:left w:val="nil"/>
              <w:bottom w:val="single" w:sz="4" w:space="0" w:color="auto"/>
              <w:right w:val="nil"/>
            </w:tcBorders>
            <w:shd w:val="clear" w:color="auto" w:fill="auto"/>
            <w:noWrap/>
            <w:vAlign w:val="bottom"/>
            <w:hideMark/>
          </w:tcPr>
          <w:p w14:paraId="04645E5F" w14:textId="77777777" w:rsidR="00013078" w:rsidRPr="00650291" w:rsidRDefault="00013078" w:rsidP="00AE0577">
            <w:pPr>
              <w:jc w:val="right"/>
              <w:rPr>
                <w:rFonts w:asciiTheme="minorHAnsi" w:hAnsiTheme="minorHAnsi"/>
                <w:color w:val="000000"/>
                <w:sz w:val="20"/>
                <w:szCs w:val="20"/>
              </w:rPr>
            </w:pPr>
            <w:r>
              <w:rPr>
                <w:rFonts w:ascii="Calibri" w:hAnsi="Calibri"/>
                <w:color w:val="000000"/>
              </w:rPr>
              <w:t>108,180</w:t>
            </w:r>
          </w:p>
        </w:tc>
        <w:tc>
          <w:tcPr>
            <w:tcW w:w="1361" w:type="dxa"/>
            <w:tcBorders>
              <w:top w:val="nil"/>
              <w:left w:val="single" w:sz="8" w:space="0" w:color="auto"/>
              <w:bottom w:val="single" w:sz="4" w:space="0" w:color="auto"/>
              <w:right w:val="single" w:sz="8" w:space="0" w:color="auto"/>
            </w:tcBorders>
            <w:shd w:val="clear" w:color="000000" w:fill="DDEBF7"/>
            <w:noWrap/>
            <w:vAlign w:val="bottom"/>
            <w:hideMark/>
          </w:tcPr>
          <w:p w14:paraId="19851B16" w14:textId="77777777" w:rsidR="00013078" w:rsidRPr="00650291" w:rsidRDefault="00013078" w:rsidP="00AE0577">
            <w:pPr>
              <w:jc w:val="right"/>
              <w:rPr>
                <w:rFonts w:asciiTheme="minorHAnsi" w:hAnsiTheme="minorHAnsi"/>
                <w:b/>
                <w:bCs/>
                <w:color w:val="000000"/>
                <w:sz w:val="20"/>
                <w:szCs w:val="20"/>
              </w:rPr>
            </w:pPr>
            <w:r>
              <w:rPr>
                <w:rFonts w:ascii="Calibri" w:hAnsi="Calibri"/>
                <w:b/>
                <w:bCs/>
                <w:color w:val="000000"/>
              </w:rPr>
              <w:t>5%</w:t>
            </w:r>
          </w:p>
        </w:tc>
      </w:tr>
      <w:tr w:rsidR="00013078" w:rsidRPr="00650291" w14:paraId="05ED1ACB" w14:textId="77777777" w:rsidTr="00AE0577">
        <w:trPr>
          <w:trHeight w:val="315"/>
        </w:trPr>
        <w:tc>
          <w:tcPr>
            <w:tcW w:w="2778" w:type="dxa"/>
            <w:tcBorders>
              <w:top w:val="nil"/>
              <w:left w:val="single" w:sz="8" w:space="0" w:color="auto"/>
              <w:bottom w:val="nil"/>
              <w:right w:val="single" w:sz="4" w:space="0" w:color="auto"/>
            </w:tcBorders>
            <w:shd w:val="clear" w:color="auto" w:fill="auto"/>
            <w:noWrap/>
            <w:vAlign w:val="bottom"/>
            <w:hideMark/>
          </w:tcPr>
          <w:p w14:paraId="4405BA15" w14:textId="35551C01" w:rsidR="00013078" w:rsidRPr="00650291" w:rsidRDefault="00013078" w:rsidP="00AE0577">
            <w:pPr>
              <w:jc w:val="both"/>
              <w:rPr>
                <w:rFonts w:asciiTheme="minorHAnsi" w:hAnsiTheme="minorHAnsi"/>
                <w:color w:val="000000"/>
                <w:sz w:val="20"/>
                <w:szCs w:val="20"/>
              </w:rPr>
            </w:pPr>
            <w:r>
              <w:rPr>
                <w:rFonts w:ascii="Calibri" w:hAnsi="Calibri"/>
                <w:color w:val="000000"/>
              </w:rPr>
              <w:t xml:space="preserve">Wiener </w:t>
            </w:r>
            <w:r w:rsidR="00492E53">
              <w:rPr>
                <w:rFonts w:ascii="Calibri" w:hAnsi="Calibri"/>
                <w:color w:val="000000"/>
              </w:rPr>
              <w:t>Boerse</w:t>
            </w:r>
          </w:p>
        </w:tc>
        <w:tc>
          <w:tcPr>
            <w:tcW w:w="1361" w:type="dxa"/>
            <w:tcBorders>
              <w:top w:val="nil"/>
              <w:left w:val="nil"/>
              <w:bottom w:val="nil"/>
              <w:right w:val="single" w:sz="4" w:space="0" w:color="auto"/>
            </w:tcBorders>
            <w:shd w:val="clear" w:color="auto" w:fill="auto"/>
            <w:noWrap/>
            <w:vAlign w:val="bottom"/>
            <w:hideMark/>
          </w:tcPr>
          <w:p w14:paraId="2AC09F55" w14:textId="77777777" w:rsidR="00013078" w:rsidRPr="00650291" w:rsidRDefault="00013078" w:rsidP="00AE0577">
            <w:pPr>
              <w:jc w:val="right"/>
              <w:rPr>
                <w:rFonts w:asciiTheme="minorHAnsi" w:hAnsiTheme="minorHAnsi"/>
                <w:color w:val="000000"/>
                <w:sz w:val="20"/>
                <w:szCs w:val="20"/>
              </w:rPr>
            </w:pPr>
            <w:r>
              <w:rPr>
                <w:rFonts w:ascii="Calibri" w:hAnsi="Calibri"/>
                <w:color w:val="000000"/>
              </w:rPr>
              <w:t>14,400</w:t>
            </w:r>
          </w:p>
        </w:tc>
        <w:tc>
          <w:tcPr>
            <w:tcW w:w="1361" w:type="dxa"/>
            <w:tcBorders>
              <w:top w:val="nil"/>
              <w:left w:val="nil"/>
              <w:bottom w:val="nil"/>
              <w:right w:val="single" w:sz="4" w:space="0" w:color="auto"/>
            </w:tcBorders>
            <w:shd w:val="clear" w:color="auto" w:fill="auto"/>
            <w:noWrap/>
            <w:vAlign w:val="bottom"/>
            <w:hideMark/>
          </w:tcPr>
          <w:p w14:paraId="3AAD4257" w14:textId="77777777" w:rsidR="00013078" w:rsidRPr="00650291" w:rsidRDefault="00013078" w:rsidP="00AE0577">
            <w:pPr>
              <w:jc w:val="right"/>
              <w:rPr>
                <w:rFonts w:asciiTheme="minorHAnsi" w:hAnsiTheme="minorHAnsi"/>
                <w:color w:val="000000"/>
                <w:sz w:val="20"/>
                <w:szCs w:val="20"/>
              </w:rPr>
            </w:pPr>
            <w:r>
              <w:rPr>
                <w:rFonts w:ascii="Calibri" w:hAnsi="Calibri"/>
                <w:color w:val="000000"/>
              </w:rPr>
              <w:t>14,400</w:t>
            </w:r>
          </w:p>
        </w:tc>
        <w:tc>
          <w:tcPr>
            <w:tcW w:w="1361" w:type="dxa"/>
            <w:tcBorders>
              <w:top w:val="nil"/>
              <w:left w:val="nil"/>
              <w:bottom w:val="nil"/>
              <w:right w:val="single" w:sz="4" w:space="0" w:color="auto"/>
            </w:tcBorders>
            <w:shd w:val="clear" w:color="auto" w:fill="auto"/>
            <w:noWrap/>
            <w:vAlign w:val="bottom"/>
            <w:hideMark/>
          </w:tcPr>
          <w:p w14:paraId="23D6E1DE" w14:textId="77777777" w:rsidR="00013078" w:rsidRPr="00650291" w:rsidRDefault="00013078" w:rsidP="00AE0577">
            <w:pPr>
              <w:jc w:val="right"/>
              <w:rPr>
                <w:rFonts w:asciiTheme="minorHAnsi" w:hAnsiTheme="minorHAnsi"/>
                <w:color w:val="000000"/>
                <w:sz w:val="20"/>
                <w:szCs w:val="20"/>
              </w:rPr>
            </w:pPr>
            <w:r>
              <w:rPr>
                <w:rFonts w:ascii="Calibri" w:hAnsi="Calibri"/>
                <w:color w:val="000000"/>
              </w:rPr>
              <w:t>15,600</w:t>
            </w:r>
          </w:p>
        </w:tc>
        <w:tc>
          <w:tcPr>
            <w:tcW w:w="1361" w:type="dxa"/>
            <w:tcBorders>
              <w:top w:val="nil"/>
              <w:left w:val="nil"/>
              <w:bottom w:val="nil"/>
              <w:right w:val="nil"/>
            </w:tcBorders>
            <w:shd w:val="clear" w:color="auto" w:fill="auto"/>
            <w:noWrap/>
            <w:vAlign w:val="bottom"/>
            <w:hideMark/>
          </w:tcPr>
          <w:p w14:paraId="05A3C876" w14:textId="77777777" w:rsidR="00013078" w:rsidRPr="00650291" w:rsidRDefault="00013078" w:rsidP="00AE0577">
            <w:pPr>
              <w:jc w:val="right"/>
              <w:rPr>
                <w:rFonts w:asciiTheme="minorHAnsi" w:hAnsiTheme="minorHAnsi"/>
                <w:color w:val="000000"/>
                <w:sz w:val="20"/>
                <w:szCs w:val="20"/>
              </w:rPr>
            </w:pPr>
            <w:r>
              <w:rPr>
                <w:rFonts w:ascii="Calibri" w:hAnsi="Calibri"/>
                <w:color w:val="000000"/>
              </w:rPr>
              <w:t>16,800</w:t>
            </w:r>
          </w:p>
        </w:tc>
        <w:tc>
          <w:tcPr>
            <w:tcW w:w="1361" w:type="dxa"/>
            <w:tcBorders>
              <w:top w:val="nil"/>
              <w:left w:val="single" w:sz="8" w:space="0" w:color="auto"/>
              <w:bottom w:val="single" w:sz="4" w:space="0" w:color="auto"/>
              <w:right w:val="single" w:sz="8" w:space="0" w:color="auto"/>
            </w:tcBorders>
            <w:shd w:val="clear" w:color="000000" w:fill="DDEBF7"/>
            <w:noWrap/>
            <w:vAlign w:val="bottom"/>
            <w:hideMark/>
          </w:tcPr>
          <w:p w14:paraId="774DFCED" w14:textId="77777777" w:rsidR="00013078" w:rsidRPr="00650291" w:rsidRDefault="00013078" w:rsidP="00AE0577">
            <w:pPr>
              <w:jc w:val="right"/>
              <w:rPr>
                <w:rFonts w:asciiTheme="minorHAnsi" w:hAnsiTheme="minorHAnsi"/>
                <w:b/>
                <w:bCs/>
                <w:color w:val="000000"/>
                <w:sz w:val="20"/>
                <w:szCs w:val="20"/>
              </w:rPr>
            </w:pPr>
            <w:r>
              <w:rPr>
                <w:rFonts w:ascii="Calibri" w:hAnsi="Calibri"/>
                <w:b/>
                <w:bCs/>
                <w:color w:val="000000"/>
              </w:rPr>
              <w:t>17%</w:t>
            </w:r>
          </w:p>
        </w:tc>
      </w:tr>
      <w:tr w:rsidR="00013078" w:rsidRPr="00650291" w14:paraId="006600F2" w14:textId="77777777" w:rsidTr="00AE0577">
        <w:trPr>
          <w:trHeight w:val="315"/>
        </w:trPr>
        <w:tc>
          <w:tcPr>
            <w:tcW w:w="2778" w:type="dxa"/>
            <w:tcBorders>
              <w:top w:val="single" w:sz="8" w:space="0" w:color="auto"/>
              <w:left w:val="single" w:sz="8" w:space="0" w:color="auto"/>
              <w:bottom w:val="single" w:sz="8" w:space="0" w:color="auto"/>
              <w:right w:val="single" w:sz="4" w:space="0" w:color="auto"/>
            </w:tcBorders>
            <w:shd w:val="clear" w:color="DDEBF7" w:fill="DDEBF7"/>
            <w:noWrap/>
            <w:vAlign w:val="bottom"/>
            <w:hideMark/>
          </w:tcPr>
          <w:p w14:paraId="7429999C" w14:textId="77777777" w:rsidR="00013078" w:rsidRPr="00650291" w:rsidRDefault="00013078" w:rsidP="00AE0577">
            <w:pPr>
              <w:jc w:val="both"/>
              <w:rPr>
                <w:rFonts w:asciiTheme="minorHAnsi" w:hAnsiTheme="minorHAnsi"/>
                <w:b/>
                <w:bCs/>
                <w:color w:val="000000"/>
                <w:sz w:val="20"/>
                <w:szCs w:val="20"/>
              </w:rPr>
            </w:pPr>
            <w:r>
              <w:rPr>
                <w:rFonts w:ascii="Calibri" w:hAnsi="Calibri"/>
                <w:b/>
                <w:bCs/>
                <w:color w:val="000000"/>
              </w:rPr>
              <w:t>Grand Total</w:t>
            </w:r>
          </w:p>
        </w:tc>
        <w:tc>
          <w:tcPr>
            <w:tcW w:w="1361" w:type="dxa"/>
            <w:tcBorders>
              <w:top w:val="single" w:sz="8" w:space="0" w:color="auto"/>
              <w:left w:val="nil"/>
              <w:bottom w:val="single" w:sz="8" w:space="0" w:color="auto"/>
              <w:right w:val="single" w:sz="4" w:space="0" w:color="auto"/>
            </w:tcBorders>
            <w:shd w:val="clear" w:color="DDEBF7" w:fill="DDEBF7"/>
            <w:noWrap/>
            <w:vAlign w:val="bottom"/>
            <w:hideMark/>
          </w:tcPr>
          <w:p w14:paraId="7AF6FAE4" w14:textId="77777777" w:rsidR="00013078" w:rsidRPr="00650291" w:rsidRDefault="00013078" w:rsidP="00AE0577">
            <w:pPr>
              <w:jc w:val="right"/>
              <w:rPr>
                <w:rFonts w:asciiTheme="minorHAnsi" w:hAnsiTheme="minorHAnsi"/>
                <w:b/>
                <w:bCs/>
                <w:color w:val="000000"/>
                <w:sz w:val="20"/>
                <w:szCs w:val="20"/>
              </w:rPr>
            </w:pPr>
            <w:r>
              <w:rPr>
                <w:rFonts w:ascii="Calibri" w:hAnsi="Calibri"/>
                <w:b/>
                <w:bCs/>
                <w:color w:val="000000"/>
              </w:rPr>
              <w:t>605,602</w:t>
            </w:r>
          </w:p>
        </w:tc>
        <w:tc>
          <w:tcPr>
            <w:tcW w:w="1361" w:type="dxa"/>
            <w:tcBorders>
              <w:top w:val="single" w:sz="8" w:space="0" w:color="auto"/>
              <w:left w:val="nil"/>
              <w:bottom w:val="single" w:sz="8" w:space="0" w:color="auto"/>
              <w:right w:val="single" w:sz="4" w:space="0" w:color="auto"/>
            </w:tcBorders>
            <w:shd w:val="clear" w:color="DDEBF7" w:fill="DDEBF7"/>
            <w:noWrap/>
            <w:vAlign w:val="bottom"/>
            <w:hideMark/>
          </w:tcPr>
          <w:p w14:paraId="7003FB87" w14:textId="77777777" w:rsidR="00013078" w:rsidRPr="00650291" w:rsidRDefault="00013078" w:rsidP="00AE0577">
            <w:pPr>
              <w:jc w:val="right"/>
              <w:rPr>
                <w:rFonts w:asciiTheme="minorHAnsi" w:hAnsiTheme="minorHAnsi"/>
                <w:b/>
                <w:bCs/>
                <w:color w:val="000000"/>
                <w:sz w:val="20"/>
                <w:szCs w:val="20"/>
              </w:rPr>
            </w:pPr>
            <w:r>
              <w:rPr>
                <w:rFonts w:ascii="Calibri" w:hAnsi="Calibri"/>
                <w:b/>
                <w:bCs/>
                <w:color w:val="000000"/>
              </w:rPr>
              <w:t>637,690</w:t>
            </w:r>
          </w:p>
        </w:tc>
        <w:tc>
          <w:tcPr>
            <w:tcW w:w="1361" w:type="dxa"/>
            <w:tcBorders>
              <w:top w:val="single" w:sz="8" w:space="0" w:color="auto"/>
              <w:left w:val="nil"/>
              <w:bottom w:val="single" w:sz="8" w:space="0" w:color="auto"/>
              <w:right w:val="single" w:sz="4" w:space="0" w:color="auto"/>
            </w:tcBorders>
            <w:shd w:val="clear" w:color="DDEBF7" w:fill="DDEBF7"/>
            <w:noWrap/>
            <w:vAlign w:val="bottom"/>
            <w:hideMark/>
          </w:tcPr>
          <w:p w14:paraId="63D5703D" w14:textId="77777777" w:rsidR="00013078" w:rsidRPr="00650291" w:rsidRDefault="00013078" w:rsidP="00AE0577">
            <w:pPr>
              <w:jc w:val="right"/>
              <w:rPr>
                <w:rFonts w:asciiTheme="minorHAnsi" w:hAnsiTheme="minorHAnsi"/>
                <w:b/>
                <w:bCs/>
                <w:color w:val="000000"/>
                <w:sz w:val="20"/>
                <w:szCs w:val="20"/>
              </w:rPr>
            </w:pPr>
            <w:r>
              <w:rPr>
                <w:rFonts w:ascii="Calibri" w:hAnsi="Calibri"/>
                <w:b/>
                <w:bCs/>
                <w:color w:val="000000"/>
              </w:rPr>
              <w:t>722,349</w:t>
            </w:r>
          </w:p>
        </w:tc>
        <w:tc>
          <w:tcPr>
            <w:tcW w:w="1361" w:type="dxa"/>
            <w:tcBorders>
              <w:top w:val="single" w:sz="8" w:space="0" w:color="auto"/>
              <w:left w:val="nil"/>
              <w:bottom w:val="single" w:sz="8" w:space="0" w:color="auto"/>
              <w:right w:val="nil"/>
            </w:tcBorders>
            <w:shd w:val="clear" w:color="DDEBF7" w:fill="DDEBF7"/>
            <w:noWrap/>
            <w:vAlign w:val="bottom"/>
            <w:hideMark/>
          </w:tcPr>
          <w:p w14:paraId="0E3FBA4A" w14:textId="77777777" w:rsidR="00013078" w:rsidRPr="00650291" w:rsidRDefault="00013078" w:rsidP="00AE0577">
            <w:pPr>
              <w:jc w:val="right"/>
              <w:rPr>
                <w:rFonts w:asciiTheme="minorHAnsi" w:hAnsiTheme="minorHAnsi"/>
                <w:b/>
                <w:bCs/>
                <w:color w:val="000000"/>
                <w:sz w:val="20"/>
                <w:szCs w:val="20"/>
              </w:rPr>
            </w:pPr>
            <w:r>
              <w:rPr>
                <w:rFonts w:ascii="Calibri" w:hAnsi="Calibri"/>
                <w:b/>
                <w:bCs/>
                <w:color w:val="000000"/>
              </w:rPr>
              <w:t>733,116</w:t>
            </w:r>
          </w:p>
        </w:tc>
        <w:tc>
          <w:tcPr>
            <w:tcW w:w="1361" w:type="dxa"/>
            <w:tcBorders>
              <w:top w:val="single" w:sz="8" w:space="0" w:color="auto"/>
              <w:left w:val="single" w:sz="8" w:space="0" w:color="auto"/>
              <w:bottom w:val="single" w:sz="8" w:space="0" w:color="auto"/>
              <w:right w:val="single" w:sz="8" w:space="0" w:color="auto"/>
            </w:tcBorders>
            <w:shd w:val="clear" w:color="000000" w:fill="DDEBF7"/>
            <w:noWrap/>
            <w:vAlign w:val="bottom"/>
            <w:hideMark/>
          </w:tcPr>
          <w:p w14:paraId="3DDA7276" w14:textId="77777777" w:rsidR="00013078" w:rsidRPr="00650291" w:rsidRDefault="00013078" w:rsidP="00AE0577">
            <w:pPr>
              <w:jc w:val="right"/>
              <w:rPr>
                <w:rFonts w:asciiTheme="minorHAnsi" w:hAnsiTheme="minorHAnsi"/>
                <w:b/>
                <w:bCs/>
                <w:color w:val="000000"/>
                <w:sz w:val="20"/>
                <w:szCs w:val="20"/>
              </w:rPr>
            </w:pPr>
            <w:r>
              <w:rPr>
                <w:rFonts w:ascii="Calibri" w:hAnsi="Calibri"/>
                <w:b/>
                <w:bCs/>
                <w:color w:val="000000"/>
              </w:rPr>
              <w:t>21%</w:t>
            </w:r>
          </w:p>
        </w:tc>
      </w:tr>
    </w:tbl>
    <w:p w14:paraId="643F02DA" w14:textId="77777777" w:rsidR="00013078" w:rsidRPr="00650291" w:rsidRDefault="00013078" w:rsidP="00013078">
      <w:pPr>
        <w:jc w:val="both"/>
        <w:rPr>
          <w:rFonts w:asciiTheme="minorHAnsi" w:eastAsia="Calibri" w:hAnsiTheme="minorHAnsi"/>
        </w:rPr>
      </w:pPr>
    </w:p>
    <w:p w14:paraId="605D5537" w14:textId="77777777" w:rsidR="00013078" w:rsidRPr="00650291" w:rsidRDefault="00013078" w:rsidP="00013078">
      <w:pPr>
        <w:jc w:val="both"/>
        <w:rPr>
          <w:rFonts w:asciiTheme="minorHAnsi" w:eastAsia="Calibri" w:hAnsiTheme="minorHAnsi"/>
        </w:rPr>
      </w:pPr>
    </w:p>
    <w:p w14:paraId="779AF60B" w14:textId="77777777" w:rsidR="00013078" w:rsidRPr="00650291" w:rsidRDefault="00013078" w:rsidP="00013078">
      <w:pPr>
        <w:jc w:val="both"/>
        <w:rPr>
          <w:rFonts w:asciiTheme="minorHAnsi" w:eastAsia="Calibri" w:hAnsiTheme="minorHAnsi"/>
          <w:b/>
        </w:rPr>
      </w:pPr>
      <w:r w:rsidRPr="00650291">
        <w:rPr>
          <w:rFonts w:asciiTheme="minorHAnsi" w:eastAsia="Calibri" w:hAnsiTheme="minorHAnsi"/>
          <w:b/>
        </w:rPr>
        <w:t>Table 4c – Year-on-year market data spend (non-display other usage – includes risk/compliance and other non-trading usage)</w:t>
      </w:r>
    </w:p>
    <w:tbl>
      <w:tblPr>
        <w:tblW w:w="9583" w:type="dxa"/>
        <w:tblLook w:val="04A0" w:firstRow="1" w:lastRow="0" w:firstColumn="1" w:lastColumn="0" w:noHBand="0" w:noVBand="1"/>
      </w:tblPr>
      <w:tblGrid>
        <w:gridCol w:w="2778"/>
        <w:gridCol w:w="1361"/>
        <w:gridCol w:w="1361"/>
        <w:gridCol w:w="1361"/>
        <w:gridCol w:w="1361"/>
        <w:gridCol w:w="1361"/>
      </w:tblGrid>
      <w:tr w:rsidR="00013078" w:rsidRPr="00650291" w14:paraId="7691A962" w14:textId="77777777" w:rsidTr="00AE0577">
        <w:trPr>
          <w:trHeight w:val="300"/>
        </w:trPr>
        <w:tc>
          <w:tcPr>
            <w:tcW w:w="2778" w:type="dxa"/>
            <w:tcBorders>
              <w:top w:val="single" w:sz="8" w:space="0" w:color="auto"/>
              <w:left w:val="single" w:sz="8" w:space="0" w:color="auto"/>
              <w:bottom w:val="single" w:sz="4" w:space="0" w:color="auto"/>
              <w:right w:val="single" w:sz="4" w:space="0" w:color="auto"/>
            </w:tcBorders>
            <w:shd w:val="clear" w:color="000000" w:fill="44546A"/>
            <w:noWrap/>
            <w:vAlign w:val="bottom"/>
            <w:hideMark/>
          </w:tcPr>
          <w:p w14:paraId="0EDE06C0" w14:textId="77777777" w:rsidR="00013078" w:rsidRPr="0086576B" w:rsidRDefault="00013078" w:rsidP="00AE0577">
            <w:pPr>
              <w:jc w:val="both"/>
              <w:rPr>
                <w:rFonts w:asciiTheme="minorHAnsi" w:hAnsiTheme="minorHAnsi"/>
                <w:b/>
                <w:bCs/>
                <w:sz w:val="20"/>
                <w:szCs w:val="20"/>
              </w:rPr>
            </w:pPr>
            <w:r w:rsidRPr="0086576B">
              <w:rPr>
                <w:rFonts w:ascii="Calibri" w:hAnsi="Calibri"/>
                <w:b/>
                <w:bCs/>
              </w:rPr>
              <w:t>Exchange</w:t>
            </w:r>
          </w:p>
        </w:tc>
        <w:tc>
          <w:tcPr>
            <w:tcW w:w="1361" w:type="dxa"/>
            <w:tcBorders>
              <w:top w:val="single" w:sz="8" w:space="0" w:color="auto"/>
              <w:left w:val="nil"/>
              <w:bottom w:val="single" w:sz="4" w:space="0" w:color="auto"/>
              <w:right w:val="single" w:sz="4" w:space="0" w:color="auto"/>
            </w:tcBorders>
            <w:shd w:val="clear" w:color="000000" w:fill="44546A"/>
            <w:noWrap/>
            <w:vAlign w:val="bottom"/>
            <w:hideMark/>
          </w:tcPr>
          <w:p w14:paraId="76B5A5E0" w14:textId="77777777" w:rsidR="00013078" w:rsidRPr="0086576B" w:rsidRDefault="00013078" w:rsidP="00AE0577">
            <w:pPr>
              <w:jc w:val="both"/>
              <w:rPr>
                <w:rFonts w:asciiTheme="minorHAnsi" w:hAnsiTheme="minorHAnsi"/>
                <w:b/>
                <w:bCs/>
                <w:sz w:val="20"/>
                <w:szCs w:val="20"/>
              </w:rPr>
            </w:pPr>
            <w:r w:rsidRPr="0086576B">
              <w:rPr>
                <w:rFonts w:ascii="Calibri" w:hAnsi="Calibri"/>
                <w:b/>
                <w:bCs/>
              </w:rPr>
              <w:t>Sum of 2016 Total in EUR</w:t>
            </w:r>
          </w:p>
        </w:tc>
        <w:tc>
          <w:tcPr>
            <w:tcW w:w="1361" w:type="dxa"/>
            <w:tcBorders>
              <w:top w:val="single" w:sz="8" w:space="0" w:color="auto"/>
              <w:left w:val="nil"/>
              <w:bottom w:val="single" w:sz="4" w:space="0" w:color="auto"/>
              <w:right w:val="single" w:sz="4" w:space="0" w:color="auto"/>
            </w:tcBorders>
            <w:shd w:val="clear" w:color="000000" w:fill="44546A"/>
            <w:noWrap/>
            <w:vAlign w:val="bottom"/>
            <w:hideMark/>
          </w:tcPr>
          <w:p w14:paraId="31A97012" w14:textId="77777777" w:rsidR="00013078" w:rsidRPr="0086576B" w:rsidRDefault="00013078" w:rsidP="00AE0577">
            <w:pPr>
              <w:jc w:val="both"/>
              <w:rPr>
                <w:rFonts w:asciiTheme="minorHAnsi" w:hAnsiTheme="minorHAnsi"/>
                <w:b/>
                <w:bCs/>
                <w:sz w:val="20"/>
                <w:szCs w:val="20"/>
              </w:rPr>
            </w:pPr>
            <w:r w:rsidRPr="0086576B">
              <w:rPr>
                <w:rFonts w:ascii="Calibri" w:hAnsi="Calibri"/>
                <w:b/>
                <w:bCs/>
              </w:rPr>
              <w:t>Sum of 2017 Total in EUR</w:t>
            </w:r>
          </w:p>
        </w:tc>
        <w:tc>
          <w:tcPr>
            <w:tcW w:w="1361" w:type="dxa"/>
            <w:tcBorders>
              <w:top w:val="single" w:sz="8" w:space="0" w:color="auto"/>
              <w:left w:val="nil"/>
              <w:bottom w:val="single" w:sz="4" w:space="0" w:color="auto"/>
              <w:right w:val="single" w:sz="4" w:space="0" w:color="auto"/>
            </w:tcBorders>
            <w:shd w:val="clear" w:color="000000" w:fill="44546A"/>
            <w:noWrap/>
            <w:vAlign w:val="bottom"/>
            <w:hideMark/>
          </w:tcPr>
          <w:p w14:paraId="4C3D3961" w14:textId="77777777" w:rsidR="00013078" w:rsidRPr="0086576B" w:rsidRDefault="00013078" w:rsidP="00AE0577">
            <w:pPr>
              <w:jc w:val="both"/>
              <w:rPr>
                <w:rFonts w:asciiTheme="minorHAnsi" w:hAnsiTheme="minorHAnsi"/>
                <w:b/>
                <w:bCs/>
                <w:sz w:val="20"/>
                <w:szCs w:val="20"/>
              </w:rPr>
            </w:pPr>
            <w:r w:rsidRPr="0086576B">
              <w:rPr>
                <w:rFonts w:ascii="Calibri" w:hAnsi="Calibri"/>
                <w:b/>
                <w:bCs/>
              </w:rPr>
              <w:t>Sum of 2018 Total in EUR</w:t>
            </w:r>
          </w:p>
        </w:tc>
        <w:tc>
          <w:tcPr>
            <w:tcW w:w="1361" w:type="dxa"/>
            <w:tcBorders>
              <w:top w:val="single" w:sz="8" w:space="0" w:color="auto"/>
              <w:left w:val="nil"/>
              <w:bottom w:val="single" w:sz="4" w:space="0" w:color="auto"/>
              <w:right w:val="nil"/>
            </w:tcBorders>
            <w:shd w:val="clear" w:color="000000" w:fill="44546A"/>
            <w:noWrap/>
            <w:vAlign w:val="bottom"/>
            <w:hideMark/>
          </w:tcPr>
          <w:p w14:paraId="63CF2C15" w14:textId="77777777" w:rsidR="00013078" w:rsidRPr="0086576B" w:rsidRDefault="00013078" w:rsidP="00AE0577">
            <w:pPr>
              <w:jc w:val="both"/>
              <w:rPr>
                <w:rFonts w:asciiTheme="minorHAnsi" w:hAnsiTheme="minorHAnsi"/>
                <w:b/>
                <w:bCs/>
                <w:sz w:val="20"/>
                <w:szCs w:val="20"/>
              </w:rPr>
            </w:pPr>
            <w:r w:rsidRPr="0086576B">
              <w:rPr>
                <w:rFonts w:ascii="Calibri" w:hAnsi="Calibri"/>
                <w:b/>
                <w:bCs/>
              </w:rPr>
              <w:t>Sum of 2019 Total in EUR</w:t>
            </w:r>
          </w:p>
        </w:tc>
        <w:tc>
          <w:tcPr>
            <w:tcW w:w="1361" w:type="dxa"/>
            <w:tcBorders>
              <w:top w:val="single" w:sz="8" w:space="0" w:color="auto"/>
              <w:left w:val="single" w:sz="8" w:space="0" w:color="auto"/>
              <w:bottom w:val="single" w:sz="4" w:space="0" w:color="auto"/>
              <w:right w:val="single" w:sz="8" w:space="0" w:color="auto"/>
            </w:tcBorders>
            <w:shd w:val="clear" w:color="000000" w:fill="44546A"/>
            <w:noWrap/>
            <w:vAlign w:val="bottom"/>
            <w:hideMark/>
          </w:tcPr>
          <w:p w14:paraId="1DDB0669" w14:textId="77777777" w:rsidR="00013078" w:rsidRPr="0086576B" w:rsidRDefault="00013078" w:rsidP="00AE0577">
            <w:pPr>
              <w:jc w:val="both"/>
              <w:rPr>
                <w:rFonts w:asciiTheme="minorHAnsi" w:hAnsiTheme="minorHAnsi"/>
                <w:b/>
                <w:bCs/>
                <w:sz w:val="20"/>
                <w:szCs w:val="20"/>
              </w:rPr>
            </w:pPr>
            <w:r w:rsidRPr="0086576B">
              <w:rPr>
                <w:rFonts w:ascii="Calibri" w:hAnsi="Calibri"/>
                <w:b/>
                <w:bCs/>
              </w:rPr>
              <w:t>% Change 2016-19</w:t>
            </w:r>
          </w:p>
        </w:tc>
      </w:tr>
      <w:tr w:rsidR="00013078" w:rsidRPr="00650291" w14:paraId="1B097C5C" w14:textId="77777777" w:rsidTr="00AE0577">
        <w:trPr>
          <w:trHeight w:val="300"/>
        </w:trPr>
        <w:tc>
          <w:tcPr>
            <w:tcW w:w="2778" w:type="dxa"/>
            <w:tcBorders>
              <w:top w:val="nil"/>
              <w:left w:val="single" w:sz="8" w:space="0" w:color="auto"/>
              <w:bottom w:val="single" w:sz="4" w:space="0" w:color="auto"/>
              <w:right w:val="single" w:sz="4" w:space="0" w:color="auto"/>
            </w:tcBorders>
            <w:shd w:val="clear" w:color="auto" w:fill="auto"/>
            <w:noWrap/>
            <w:vAlign w:val="bottom"/>
            <w:hideMark/>
          </w:tcPr>
          <w:p w14:paraId="4D1BFA21" w14:textId="77777777" w:rsidR="00013078" w:rsidRPr="00650291" w:rsidRDefault="00013078" w:rsidP="00AE0577">
            <w:pPr>
              <w:jc w:val="both"/>
              <w:rPr>
                <w:rFonts w:asciiTheme="minorHAnsi" w:hAnsiTheme="minorHAnsi"/>
                <w:color w:val="000000"/>
                <w:sz w:val="20"/>
                <w:szCs w:val="20"/>
              </w:rPr>
            </w:pPr>
            <w:proofErr w:type="spellStart"/>
            <w:r>
              <w:rPr>
                <w:rFonts w:ascii="Calibri" w:hAnsi="Calibri"/>
                <w:color w:val="000000"/>
              </w:rPr>
              <w:t>Bolsas</w:t>
            </w:r>
            <w:proofErr w:type="spellEnd"/>
            <w:r>
              <w:rPr>
                <w:rFonts w:ascii="Calibri" w:hAnsi="Calibri"/>
                <w:color w:val="000000"/>
              </w:rPr>
              <w:t xml:space="preserve"> y Mercado </w:t>
            </w:r>
            <w:proofErr w:type="spellStart"/>
            <w:r>
              <w:rPr>
                <w:rFonts w:ascii="Calibri" w:hAnsi="Calibri"/>
                <w:color w:val="000000"/>
              </w:rPr>
              <w:t>Espanoles</w:t>
            </w:r>
            <w:proofErr w:type="spellEnd"/>
          </w:p>
        </w:tc>
        <w:tc>
          <w:tcPr>
            <w:tcW w:w="1361" w:type="dxa"/>
            <w:tcBorders>
              <w:top w:val="nil"/>
              <w:left w:val="nil"/>
              <w:bottom w:val="single" w:sz="4" w:space="0" w:color="auto"/>
              <w:right w:val="single" w:sz="4" w:space="0" w:color="auto"/>
            </w:tcBorders>
            <w:shd w:val="clear" w:color="auto" w:fill="auto"/>
            <w:noWrap/>
            <w:vAlign w:val="bottom"/>
            <w:hideMark/>
          </w:tcPr>
          <w:p w14:paraId="4557A29F" w14:textId="77777777" w:rsidR="00013078" w:rsidRPr="00650291" w:rsidRDefault="00013078" w:rsidP="00AE0577">
            <w:pPr>
              <w:jc w:val="right"/>
              <w:rPr>
                <w:rFonts w:asciiTheme="minorHAnsi" w:hAnsiTheme="minorHAnsi"/>
                <w:color w:val="000000"/>
                <w:sz w:val="20"/>
                <w:szCs w:val="20"/>
              </w:rPr>
            </w:pPr>
            <w:r>
              <w:rPr>
                <w:rFonts w:ascii="Calibri" w:hAnsi="Calibri"/>
                <w:color w:val="000000"/>
              </w:rPr>
              <w:t>5,616</w:t>
            </w:r>
          </w:p>
        </w:tc>
        <w:tc>
          <w:tcPr>
            <w:tcW w:w="1361" w:type="dxa"/>
            <w:tcBorders>
              <w:top w:val="nil"/>
              <w:left w:val="nil"/>
              <w:bottom w:val="single" w:sz="4" w:space="0" w:color="auto"/>
              <w:right w:val="single" w:sz="4" w:space="0" w:color="auto"/>
            </w:tcBorders>
            <w:shd w:val="clear" w:color="auto" w:fill="auto"/>
            <w:noWrap/>
            <w:vAlign w:val="bottom"/>
            <w:hideMark/>
          </w:tcPr>
          <w:p w14:paraId="4E069769" w14:textId="77777777" w:rsidR="00013078" w:rsidRPr="00650291" w:rsidRDefault="00013078" w:rsidP="00AE0577">
            <w:pPr>
              <w:jc w:val="right"/>
              <w:rPr>
                <w:rFonts w:asciiTheme="minorHAnsi" w:hAnsiTheme="minorHAnsi"/>
                <w:color w:val="000000"/>
                <w:sz w:val="20"/>
                <w:szCs w:val="20"/>
              </w:rPr>
            </w:pPr>
            <w:r>
              <w:rPr>
                <w:rFonts w:ascii="Calibri" w:hAnsi="Calibri"/>
                <w:color w:val="000000"/>
              </w:rPr>
              <w:t>5,616</w:t>
            </w:r>
          </w:p>
        </w:tc>
        <w:tc>
          <w:tcPr>
            <w:tcW w:w="1361" w:type="dxa"/>
            <w:tcBorders>
              <w:top w:val="nil"/>
              <w:left w:val="nil"/>
              <w:bottom w:val="single" w:sz="4" w:space="0" w:color="auto"/>
              <w:right w:val="single" w:sz="4" w:space="0" w:color="auto"/>
            </w:tcBorders>
            <w:shd w:val="clear" w:color="auto" w:fill="auto"/>
            <w:noWrap/>
            <w:vAlign w:val="bottom"/>
            <w:hideMark/>
          </w:tcPr>
          <w:p w14:paraId="6DEB7554" w14:textId="77777777" w:rsidR="00013078" w:rsidRPr="00650291" w:rsidRDefault="00013078" w:rsidP="00AE0577">
            <w:pPr>
              <w:jc w:val="right"/>
              <w:rPr>
                <w:rFonts w:asciiTheme="minorHAnsi" w:hAnsiTheme="minorHAnsi"/>
                <w:color w:val="000000"/>
                <w:sz w:val="20"/>
                <w:szCs w:val="20"/>
              </w:rPr>
            </w:pPr>
            <w:r>
              <w:rPr>
                <w:rFonts w:ascii="Calibri" w:hAnsi="Calibri"/>
                <w:color w:val="000000"/>
              </w:rPr>
              <w:t>5,904</w:t>
            </w:r>
          </w:p>
        </w:tc>
        <w:tc>
          <w:tcPr>
            <w:tcW w:w="1361" w:type="dxa"/>
            <w:tcBorders>
              <w:top w:val="nil"/>
              <w:left w:val="nil"/>
              <w:bottom w:val="single" w:sz="4" w:space="0" w:color="auto"/>
              <w:right w:val="nil"/>
            </w:tcBorders>
            <w:shd w:val="clear" w:color="auto" w:fill="auto"/>
            <w:noWrap/>
            <w:vAlign w:val="bottom"/>
            <w:hideMark/>
          </w:tcPr>
          <w:p w14:paraId="7D00FDB7" w14:textId="77777777" w:rsidR="00013078" w:rsidRPr="00650291" w:rsidRDefault="00013078" w:rsidP="00AE0577">
            <w:pPr>
              <w:jc w:val="right"/>
              <w:rPr>
                <w:rFonts w:asciiTheme="minorHAnsi" w:hAnsiTheme="minorHAnsi"/>
                <w:color w:val="000000"/>
                <w:sz w:val="20"/>
                <w:szCs w:val="20"/>
              </w:rPr>
            </w:pPr>
            <w:r>
              <w:rPr>
                <w:rFonts w:ascii="Calibri" w:hAnsi="Calibri"/>
                <w:color w:val="000000"/>
              </w:rPr>
              <w:t>5,904</w:t>
            </w:r>
          </w:p>
        </w:tc>
        <w:tc>
          <w:tcPr>
            <w:tcW w:w="1361" w:type="dxa"/>
            <w:tcBorders>
              <w:top w:val="nil"/>
              <w:left w:val="single" w:sz="8" w:space="0" w:color="auto"/>
              <w:bottom w:val="single" w:sz="4" w:space="0" w:color="auto"/>
              <w:right w:val="single" w:sz="8" w:space="0" w:color="auto"/>
            </w:tcBorders>
            <w:shd w:val="clear" w:color="000000" w:fill="DDEBF7"/>
            <w:noWrap/>
            <w:vAlign w:val="bottom"/>
            <w:hideMark/>
          </w:tcPr>
          <w:p w14:paraId="2A124C65" w14:textId="77777777" w:rsidR="00013078" w:rsidRPr="00650291" w:rsidRDefault="00013078" w:rsidP="00AE0577">
            <w:pPr>
              <w:jc w:val="right"/>
              <w:rPr>
                <w:rFonts w:asciiTheme="minorHAnsi" w:hAnsiTheme="minorHAnsi"/>
                <w:b/>
                <w:bCs/>
                <w:color w:val="000000"/>
                <w:sz w:val="20"/>
                <w:szCs w:val="20"/>
              </w:rPr>
            </w:pPr>
            <w:r>
              <w:rPr>
                <w:rFonts w:ascii="Calibri" w:hAnsi="Calibri"/>
                <w:b/>
                <w:bCs/>
                <w:color w:val="000000"/>
              </w:rPr>
              <w:t>5%</w:t>
            </w:r>
          </w:p>
        </w:tc>
      </w:tr>
      <w:tr w:rsidR="00013078" w:rsidRPr="00650291" w14:paraId="54C5AD79" w14:textId="77777777" w:rsidTr="00AE0577">
        <w:trPr>
          <w:trHeight w:val="300"/>
        </w:trPr>
        <w:tc>
          <w:tcPr>
            <w:tcW w:w="2778" w:type="dxa"/>
            <w:tcBorders>
              <w:top w:val="nil"/>
              <w:left w:val="single" w:sz="8" w:space="0" w:color="auto"/>
              <w:bottom w:val="single" w:sz="4" w:space="0" w:color="auto"/>
              <w:right w:val="single" w:sz="4" w:space="0" w:color="auto"/>
            </w:tcBorders>
            <w:shd w:val="clear" w:color="auto" w:fill="auto"/>
            <w:noWrap/>
            <w:vAlign w:val="bottom"/>
            <w:hideMark/>
          </w:tcPr>
          <w:p w14:paraId="55F49BB4" w14:textId="77777777" w:rsidR="00013078" w:rsidRPr="00650291" w:rsidRDefault="00013078" w:rsidP="00AE0577">
            <w:pPr>
              <w:jc w:val="both"/>
              <w:rPr>
                <w:rFonts w:asciiTheme="minorHAnsi" w:hAnsiTheme="minorHAnsi"/>
                <w:color w:val="000000"/>
                <w:sz w:val="20"/>
                <w:szCs w:val="20"/>
              </w:rPr>
            </w:pPr>
            <w:proofErr w:type="spellStart"/>
            <w:r>
              <w:rPr>
                <w:rFonts w:ascii="Calibri" w:hAnsi="Calibri"/>
                <w:color w:val="000000"/>
              </w:rPr>
              <w:t>Borsa</w:t>
            </w:r>
            <w:proofErr w:type="spellEnd"/>
            <w:r>
              <w:rPr>
                <w:rFonts w:ascii="Calibri" w:hAnsi="Calibri"/>
                <w:color w:val="000000"/>
              </w:rPr>
              <w:t xml:space="preserve"> </w:t>
            </w:r>
            <w:proofErr w:type="spellStart"/>
            <w:r>
              <w:rPr>
                <w:rFonts w:ascii="Calibri" w:hAnsi="Calibri"/>
                <w:color w:val="000000"/>
              </w:rPr>
              <w:t>Italiana</w:t>
            </w:r>
            <w:proofErr w:type="spellEnd"/>
          </w:p>
        </w:tc>
        <w:tc>
          <w:tcPr>
            <w:tcW w:w="1361" w:type="dxa"/>
            <w:tcBorders>
              <w:top w:val="nil"/>
              <w:left w:val="nil"/>
              <w:bottom w:val="single" w:sz="4" w:space="0" w:color="auto"/>
              <w:right w:val="single" w:sz="4" w:space="0" w:color="auto"/>
            </w:tcBorders>
            <w:shd w:val="clear" w:color="auto" w:fill="auto"/>
            <w:noWrap/>
            <w:vAlign w:val="bottom"/>
            <w:hideMark/>
          </w:tcPr>
          <w:p w14:paraId="240630C5" w14:textId="77777777" w:rsidR="00013078" w:rsidRPr="00650291" w:rsidRDefault="00013078" w:rsidP="00AE0577">
            <w:pPr>
              <w:jc w:val="right"/>
              <w:rPr>
                <w:rFonts w:asciiTheme="minorHAnsi" w:hAnsiTheme="minorHAnsi"/>
                <w:color w:val="000000"/>
                <w:sz w:val="20"/>
                <w:szCs w:val="20"/>
              </w:rPr>
            </w:pPr>
            <w:r>
              <w:rPr>
                <w:rFonts w:ascii="Calibri" w:hAnsi="Calibri"/>
                <w:color w:val="000000"/>
              </w:rPr>
              <w:t>6,300</w:t>
            </w:r>
          </w:p>
        </w:tc>
        <w:tc>
          <w:tcPr>
            <w:tcW w:w="1361" w:type="dxa"/>
            <w:tcBorders>
              <w:top w:val="nil"/>
              <w:left w:val="nil"/>
              <w:bottom w:val="single" w:sz="4" w:space="0" w:color="auto"/>
              <w:right w:val="single" w:sz="4" w:space="0" w:color="auto"/>
            </w:tcBorders>
            <w:shd w:val="clear" w:color="auto" w:fill="auto"/>
            <w:noWrap/>
            <w:vAlign w:val="bottom"/>
            <w:hideMark/>
          </w:tcPr>
          <w:p w14:paraId="1C89AA05" w14:textId="77777777" w:rsidR="00013078" w:rsidRPr="00650291" w:rsidRDefault="00013078" w:rsidP="00AE0577">
            <w:pPr>
              <w:jc w:val="right"/>
              <w:rPr>
                <w:rFonts w:asciiTheme="minorHAnsi" w:hAnsiTheme="minorHAnsi"/>
                <w:color w:val="000000"/>
                <w:sz w:val="20"/>
                <w:szCs w:val="20"/>
              </w:rPr>
            </w:pPr>
            <w:r>
              <w:rPr>
                <w:rFonts w:ascii="Calibri" w:hAnsi="Calibri"/>
                <w:color w:val="000000"/>
              </w:rPr>
              <w:t>11,340</w:t>
            </w:r>
          </w:p>
        </w:tc>
        <w:tc>
          <w:tcPr>
            <w:tcW w:w="1361" w:type="dxa"/>
            <w:tcBorders>
              <w:top w:val="nil"/>
              <w:left w:val="nil"/>
              <w:bottom w:val="single" w:sz="4" w:space="0" w:color="auto"/>
              <w:right w:val="single" w:sz="4" w:space="0" w:color="auto"/>
            </w:tcBorders>
            <w:shd w:val="clear" w:color="auto" w:fill="auto"/>
            <w:noWrap/>
            <w:vAlign w:val="bottom"/>
            <w:hideMark/>
          </w:tcPr>
          <w:p w14:paraId="684C3AFC" w14:textId="77777777" w:rsidR="00013078" w:rsidRPr="00650291" w:rsidRDefault="00013078" w:rsidP="00AE0577">
            <w:pPr>
              <w:jc w:val="right"/>
              <w:rPr>
                <w:rFonts w:asciiTheme="minorHAnsi" w:hAnsiTheme="minorHAnsi"/>
                <w:color w:val="000000"/>
                <w:sz w:val="20"/>
                <w:szCs w:val="20"/>
              </w:rPr>
            </w:pPr>
            <w:r>
              <w:rPr>
                <w:rFonts w:ascii="Calibri" w:hAnsi="Calibri"/>
                <w:color w:val="000000"/>
              </w:rPr>
              <w:t>11,340</w:t>
            </w:r>
          </w:p>
        </w:tc>
        <w:tc>
          <w:tcPr>
            <w:tcW w:w="1361" w:type="dxa"/>
            <w:tcBorders>
              <w:top w:val="nil"/>
              <w:left w:val="nil"/>
              <w:bottom w:val="single" w:sz="4" w:space="0" w:color="auto"/>
              <w:right w:val="nil"/>
            </w:tcBorders>
            <w:shd w:val="clear" w:color="auto" w:fill="auto"/>
            <w:noWrap/>
            <w:vAlign w:val="bottom"/>
            <w:hideMark/>
          </w:tcPr>
          <w:p w14:paraId="4F7FC617" w14:textId="77777777" w:rsidR="00013078" w:rsidRPr="00650291" w:rsidRDefault="00013078" w:rsidP="00AE0577">
            <w:pPr>
              <w:jc w:val="right"/>
              <w:rPr>
                <w:rFonts w:asciiTheme="minorHAnsi" w:hAnsiTheme="minorHAnsi"/>
                <w:color w:val="000000"/>
                <w:sz w:val="20"/>
                <w:szCs w:val="20"/>
              </w:rPr>
            </w:pPr>
            <w:r>
              <w:rPr>
                <w:rFonts w:ascii="Calibri" w:hAnsi="Calibri"/>
                <w:color w:val="000000"/>
              </w:rPr>
              <w:t>11,570</w:t>
            </w:r>
          </w:p>
        </w:tc>
        <w:tc>
          <w:tcPr>
            <w:tcW w:w="1361" w:type="dxa"/>
            <w:tcBorders>
              <w:top w:val="nil"/>
              <w:left w:val="single" w:sz="8" w:space="0" w:color="auto"/>
              <w:bottom w:val="single" w:sz="4" w:space="0" w:color="auto"/>
              <w:right w:val="single" w:sz="8" w:space="0" w:color="auto"/>
            </w:tcBorders>
            <w:shd w:val="clear" w:color="000000" w:fill="DDEBF7"/>
            <w:noWrap/>
            <w:vAlign w:val="bottom"/>
            <w:hideMark/>
          </w:tcPr>
          <w:p w14:paraId="73DF3373" w14:textId="77777777" w:rsidR="00013078" w:rsidRPr="00650291" w:rsidRDefault="00013078" w:rsidP="00AE0577">
            <w:pPr>
              <w:jc w:val="right"/>
              <w:rPr>
                <w:rFonts w:asciiTheme="minorHAnsi" w:hAnsiTheme="minorHAnsi"/>
                <w:b/>
                <w:bCs/>
                <w:color w:val="000000"/>
                <w:sz w:val="20"/>
                <w:szCs w:val="20"/>
              </w:rPr>
            </w:pPr>
            <w:r>
              <w:rPr>
                <w:rFonts w:ascii="Calibri" w:hAnsi="Calibri"/>
                <w:b/>
                <w:bCs/>
                <w:color w:val="000000"/>
              </w:rPr>
              <w:t>84%</w:t>
            </w:r>
          </w:p>
        </w:tc>
      </w:tr>
      <w:tr w:rsidR="00013078" w:rsidRPr="00650291" w14:paraId="5F41C410" w14:textId="77777777" w:rsidTr="00AE0577">
        <w:trPr>
          <w:trHeight w:val="300"/>
        </w:trPr>
        <w:tc>
          <w:tcPr>
            <w:tcW w:w="2778" w:type="dxa"/>
            <w:tcBorders>
              <w:top w:val="nil"/>
              <w:left w:val="single" w:sz="8" w:space="0" w:color="auto"/>
              <w:bottom w:val="single" w:sz="4" w:space="0" w:color="auto"/>
              <w:right w:val="single" w:sz="4" w:space="0" w:color="auto"/>
            </w:tcBorders>
            <w:shd w:val="clear" w:color="auto" w:fill="auto"/>
            <w:noWrap/>
            <w:vAlign w:val="bottom"/>
            <w:hideMark/>
          </w:tcPr>
          <w:p w14:paraId="3E9CEDF9" w14:textId="751EC624" w:rsidR="00013078" w:rsidRPr="00650291" w:rsidRDefault="00013078" w:rsidP="00AE0577">
            <w:pPr>
              <w:jc w:val="both"/>
              <w:rPr>
                <w:rFonts w:asciiTheme="minorHAnsi" w:hAnsiTheme="minorHAnsi"/>
                <w:color w:val="000000"/>
                <w:sz w:val="20"/>
                <w:szCs w:val="20"/>
              </w:rPr>
            </w:pPr>
            <w:r>
              <w:rPr>
                <w:rFonts w:ascii="Calibri" w:hAnsi="Calibri"/>
                <w:color w:val="000000"/>
              </w:rPr>
              <w:t xml:space="preserve">Deutsche </w:t>
            </w:r>
            <w:r w:rsidR="00492E53">
              <w:rPr>
                <w:rFonts w:ascii="Calibri" w:hAnsi="Calibri"/>
                <w:color w:val="000000"/>
              </w:rPr>
              <w:t>Boerse</w:t>
            </w:r>
          </w:p>
        </w:tc>
        <w:tc>
          <w:tcPr>
            <w:tcW w:w="1361" w:type="dxa"/>
            <w:tcBorders>
              <w:top w:val="nil"/>
              <w:left w:val="nil"/>
              <w:bottom w:val="single" w:sz="4" w:space="0" w:color="auto"/>
              <w:right w:val="single" w:sz="4" w:space="0" w:color="auto"/>
            </w:tcBorders>
            <w:shd w:val="clear" w:color="auto" w:fill="auto"/>
            <w:noWrap/>
            <w:vAlign w:val="bottom"/>
            <w:hideMark/>
          </w:tcPr>
          <w:p w14:paraId="25623C54" w14:textId="77777777" w:rsidR="00013078" w:rsidRPr="00650291" w:rsidRDefault="00013078" w:rsidP="00AE0577">
            <w:pPr>
              <w:jc w:val="right"/>
              <w:rPr>
                <w:rFonts w:asciiTheme="minorHAnsi" w:hAnsiTheme="minorHAnsi"/>
                <w:color w:val="000000"/>
                <w:sz w:val="20"/>
                <w:szCs w:val="20"/>
              </w:rPr>
            </w:pPr>
            <w:r>
              <w:rPr>
                <w:rFonts w:ascii="Calibri" w:hAnsi="Calibri"/>
                <w:color w:val="000000"/>
              </w:rPr>
              <w:t>0</w:t>
            </w:r>
          </w:p>
        </w:tc>
        <w:tc>
          <w:tcPr>
            <w:tcW w:w="1361" w:type="dxa"/>
            <w:tcBorders>
              <w:top w:val="nil"/>
              <w:left w:val="nil"/>
              <w:bottom w:val="single" w:sz="4" w:space="0" w:color="auto"/>
              <w:right w:val="single" w:sz="4" w:space="0" w:color="auto"/>
            </w:tcBorders>
            <w:shd w:val="clear" w:color="auto" w:fill="auto"/>
            <w:noWrap/>
            <w:vAlign w:val="bottom"/>
            <w:hideMark/>
          </w:tcPr>
          <w:p w14:paraId="44B1384F" w14:textId="77777777" w:rsidR="00013078" w:rsidRPr="00650291" w:rsidRDefault="00013078" w:rsidP="00AE0577">
            <w:pPr>
              <w:jc w:val="right"/>
              <w:rPr>
                <w:rFonts w:asciiTheme="minorHAnsi" w:hAnsiTheme="minorHAnsi"/>
                <w:color w:val="000000"/>
                <w:sz w:val="20"/>
                <w:szCs w:val="20"/>
              </w:rPr>
            </w:pPr>
            <w:r>
              <w:rPr>
                <w:rFonts w:ascii="Calibri" w:hAnsi="Calibri"/>
                <w:color w:val="000000"/>
              </w:rPr>
              <w:t>0</w:t>
            </w:r>
          </w:p>
        </w:tc>
        <w:tc>
          <w:tcPr>
            <w:tcW w:w="1361" w:type="dxa"/>
            <w:tcBorders>
              <w:top w:val="nil"/>
              <w:left w:val="nil"/>
              <w:bottom w:val="single" w:sz="4" w:space="0" w:color="auto"/>
              <w:right w:val="single" w:sz="4" w:space="0" w:color="auto"/>
            </w:tcBorders>
            <w:shd w:val="clear" w:color="auto" w:fill="auto"/>
            <w:noWrap/>
            <w:vAlign w:val="bottom"/>
            <w:hideMark/>
          </w:tcPr>
          <w:p w14:paraId="5DCA07B6" w14:textId="77777777" w:rsidR="00013078" w:rsidRPr="00650291" w:rsidRDefault="00013078" w:rsidP="00AE0577">
            <w:pPr>
              <w:jc w:val="right"/>
              <w:rPr>
                <w:rFonts w:asciiTheme="minorHAnsi" w:hAnsiTheme="minorHAnsi"/>
                <w:color w:val="000000"/>
                <w:sz w:val="20"/>
                <w:szCs w:val="20"/>
              </w:rPr>
            </w:pPr>
            <w:r>
              <w:rPr>
                <w:rFonts w:ascii="Calibri" w:hAnsi="Calibri"/>
                <w:color w:val="000000"/>
              </w:rPr>
              <w:t>49,200</w:t>
            </w:r>
          </w:p>
        </w:tc>
        <w:tc>
          <w:tcPr>
            <w:tcW w:w="1361" w:type="dxa"/>
            <w:tcBorders>
              <w:top w:val="nil"/>
              <w:left w:val="nil"/>
              <w:bottom w:val="single" w:sz="4" w:space="0" w:color="auto"/>
              <w:right w:val="nil"/>
            </w:tcBorders>
            <w:shd w:val="clear" w:color="auto" w:fill="auto"/>
            <w:noWrap/>
            <w:vAlign w:val="bottom"/>
            <w:hideMark/>
          </w:tcPr>
          <w:p w14:paraId="2A96C93B" w14:textId="77777777" w:rsidR="00013078" w:rsidRPr="00650291" w:rsidRDefault="00013078" w:rsidP="00AE0577">
            <w:pPr>
              <w:jc w:val="right"/>
              <w:rPr>
                <w:rFonts w:asciiTheme="minorHAnsi" w:hAnsiTheme="minorHAnsi"/>
                <w:color w:val="000000"/>
                <w:sz w:val="20"/>
                <w:szCs w:val="20"/>
              </w:rPr>
            </w:pPr>
            <w:r>
              <w:rPr>
                <w:rFonts w:ascii="Calibri" w:hAnsi="Calibri"/>
                <w:color w:val="000000"/>
              </w:rPr>
              <w:t>55,584</w:t>
            </w:r>
          </w:p>
        </w:tc>
        <w:tc>
          <w:tcPr>
            <w:tcW w:w="1361" w:type="dxa"/>
            <w:tcBorders>
              <w:top w:val="nil"/>
              <w:left w:val="single" w:sz="8" w:space="0" w:color="auto"/>
              <w:bottom w:val="single" w:sz="4" w:space="0" w:color="auto"/>
              <w:right w:val="single" w:sz="8" w:space="0" w:color="auto"/>
            </w:tcBorders>
            <w:shd w:val="clear" w:color="000000" w:fill="DDEBF7"/>
            <w:noWrap/>
            <w:vAlign w:val="bottom"/>
            <w:hideMark/>
          </w:tcPr>
          <w:p w14:paraId="75B2966D" w14:textId="77777777" w:rsidR="00013078" w:rsidRPr="00650291" w:rsidRDefault="00013078" w:rsidP="00AE0577">
            <w:pPr>
              <w:jc w:val="right"/>
              <w:rPr>
                <w:rFonts w:asciiTheme="minorHAnsi" w:hAnsiTheme="minorHAnsi"/>
                <w:b/>
                <w:bCs/>
                <w:color w:val="000000"/>
                <w:sz w:val="20"/>
                <w:szCs w:val="20"/>
              </w:rPr>
            </w:pPr>
            <w:r>
              <w:rPr>
                <w:rFonts w:ascii="Calibri" w:hAnsi="Calibri"/>
                <w:b/>
                <w:bCs/>
                <w:color w:val="000000"/>
              </w:rPr>
              <w:t>-</w:t>
            </w:r>
          </w:p>
        </w:tc>
      </w:tr>
      <w:tr w:rsidR="00013078" w:rsidRPr="00650291" w14:paraId="1E6BB687" w14:textId="77777777" w:rsidTr="00AE0577">
        <w:trPr>
          <w:trHeight w:val="300"/>
        </w:trPr>
        <w:tc>
          <w:tcPr>
            <w:tcW w:w="2778" w:type="dxa"/>
            <w:tcBorders>
              <w:top w:val="nil"/>
              <w:left w:val="single" w:sz="8" w:space="0" w:color="auto"/>
              <w:bottom w:val="single" w:sz="4" w:space="0" w:color="auto"/>
              <w:right w:val="single" w:sz="4" w:space="0" w:color="auto"/>
            </w:tcBorders>
            <w:shd w:val="clear" w:color="auto" w:fill="auto"/>
            <w:noWrap/>
            <w:vAlign w:val="bottom"/>
            <w:hideMark/>
          </w:tcPr>
          <w:p w14:paraId="790B8C60" w14:textId="77777777" w:rsidR="00013078" w:rsidRPr="00650291" w:rsidRDefault="00013078" w:rsidP="00AE0577">
            <w:pPr>
              <w:jc w:val="both"/>
              <w:rPr>
                <w:rFonts w:asciiTheme="minorHAnsi" w:hAnsiTheme="minorHAnsi"/>
                <w:color w:val="000000"/>
                <w:sz w:val="20"/>
                <w:szCs w:val="20"/>
              </w:rPr>
            </w:pPr>
            <w:r>
              <w:rPr>
                <w:rFonts w:ascii="Calibri" w:hAnsi="Calibri"/>
                <w:color w:val="000000"/>
              </w:rPr>
              <w:t>Euronext</w:t>
            </w:r>
          </w:p>
        </w:tc>
        <w:tc>
          <w:tcPr>
            <w:tcW w:w="1361" w:type="dxa"/>
            <w:tcBorders>
              <w:top w:val="nil"/>
              <w:left w:val="nil"/>
              <w:bottom w:val="single" w:sz="4" w:space="0" w:color="auto"/>
              <w:right w:val="single" w:sz="4" w:space="0" w:color="auto"/>
            </w:tcBorders>
            <w:shd w:val="clear" w:color="auto" w:fill="auto"/>
            <w:noWrap/>
            <w:vAlign w:val="bottom"/>
            <w:hideMark/>
          </w:tcPr>
          <w:p w14:paraId="4B1534A9" w14:textId="77777777" w:rsidR="00013078" w:rsidRPr="00650291" w:rsidRDefault="00013078" w:rsidP="00AE0577">
            <w:pPr>
              <w:jc w:val="right"/>
              <w:rPr>
                <w:rFonts w:asciiTheme="minorHAnsi" w:hAnsiTheme="minorHAnsi"/>
                <w:color w:val="000000"/>
                <w:sz w:val="20"/>
                <w:szCs w:val="20"/>
              </w:rPr>
            </w:pPr>
            <w:r>
              <w:rPr>
                <w:rFonts w:ascii="Calibri" w:hAnsi="Calibri"/>
                <w:color w:val="000000"/>
              </w:rPr>
              <w:t>17,400</w:t>
            </w:r>
          </w:p>
        </w:tc>
        <w:tc>
          <w:tcPr>
            <w:tcW w:w="1361" w:type="dxa"/>
            <w:tcBorders>
              <w:top w:val="nil"/>
              <w:left w:val="nil"/>
              <w:bottom w:val="single" w:sz="4" w:space="0" w:color="auto"/>
              <w:right w:val="single" w:sz="4" w:space="0" w:color="auto"/>
            </w:tcBorders>
            <w:shd w:val="clear" w:color="auto" w:fill="auto"/>
            <w:noWrap/>
            <w:vAlign w:val="bottom"/>
            <w:hideMark/>
          </w:tcPr>
          <w:p w14:paraId="079225EB" w14:textId="77777777" w:rsidR="00013078" w:rsidRPr="00650291" w:rsidRDefault="00013078" w:rsidP="00AE0577">
            <w:pPr>
              <w:jc w:val="right"/>
              <w:rPr>
                <w:rFonts w:asciiTheme="minorHAnsi" w:hAnsiTheme="minorHAnsi"/>
                <w:color w:val="000000"/>
                <w:sz w:val="20"/>
                <w:szCs w:val="20"/>
              </w:rPr>
            </w:pPr>
            <w:r>
              <w:rPr>
                <w:rFonts w:ascii="Calibri" w:hAnsi="Calibri"/>
                <w:color w:val="000000"/>
              </w:rPr>
              <w:t>22,620</w:t>
            </w:r>
          </w:p>
        </w:tc>
        <w:tc>
          <w:tcPr>
            <w:tcW w:w="1361" w:type="dxa"/>
            <w:tcBorders>
              <w:top w:val="nil"/>
              <w:left w:val="nil"/>
              <w:bottom w:val="single" w:sz="4" w:space="0" w:color="auto"/>
              <w:right w:val="single" w:sz="4" w:space="0" w:color="auto"/>
            </w:tcBorders>
            <w:shd w:val="clear" w:color="auto" w:fill="auto"/>
            <w:noWrap/>
            <w:vAlign w:val="bottom"/>
            <w:hideMark/>
          </w:tcPr>
          <w:p w14:paraId="0CC558C7" w14:textId="77777777" w:rsidR="00013078" w:rsidRPr="00650291" w:rsidRDefault="00013078" w:rsidP="00AE0577">
            <w:pPr>
              <w:jc w:val="right"/>
              <w:rPr>
                <w:rFonts w:asciiTheme="minorHAnsi" w:hAnsiTheme="minorHAnsi"/>
                <w:color w:val="000000"/>
                <w:sz w:val="20"/>
                <w:szCs w:val="20"/>
              </w:rPr>
            </w:pPr>
            <w:r>
              <w:rPr>
                <w:rFonts w:ascii="Calibri" w:hAnsi="Calibri"/>
                <w:color w:val="000000"/>
              </w:rPr>
              <w:t>26,790</w:t>
            </w:r>
          </w:p>
        </w:tc>
        <w:tc>
          <w:tcPr>
            <w:tcW w:w="1361" w:type="dxa"/>
            <w:tcBorders>
              <w:top w:val="nil"/>
              <w:left w:val="nil"/>
              <w:bottom w:val="single" w:sz="4" w:space="0" w:color="auto"/>
              <w:right w:val="nil"/>
            </w:tcBorders>
            <w:shd w:val="clear" w:color="auto" w:fill="auto"/>
            <w:noWrap/>
            <w:vAlign w:val="bottom"/>
            <w:hideMark/>
          </w:tcPr>
          <w:p w14:paraId="09EB8ACF" w14:textId="77777777" w:rsidR="00013078" w:rsidRPr="00650291" w:rsidRDefault="00013078" w:rsidP="00AE0577">
            <w:pPr>
              <w:jc w:val="right"/>
              <w:rPr>
                <w:rFonts w:asciiTheme="minorHAnsi" w:hAnsiTheme="minorHAnsi"/>
                <w:color w:val="000000"/>
                <w:sz w:val="20"/>
                <w:szCs w:val="20"/>
              </w:rPr>
            </w:pPr>
            <w:r>
              <w:rPr>
                <w:rFonts w:ascii="Calibri" w:hAnsi="Calibri"/>
                <w:color w:val="000000"/>
              </w:rPr>
              <w:t>27,980</w:t>
            </w:r>
          </w:p>
        </w:tc>
        <w:tc>
          <w:tcPr>
            <w:tcW w:w="1361" w:type="dxa"/>
            <w:tcBorders>
              <w:top w:val="nil"/>
              <w:left w:val="single" w:sz="8" w:space="0" w:color="auto"/>
              <w:bottom w:val="single" w:sz="4" w:space="0" w:color="auto"/>
              <w:right w:val="single" w:sz="8" w:space="0" w:color="auto"/>
            </w:tcBorders>
            <w:shd w:val="clear" w:color="000000" w:fill="DDEBF7"/>
            <w:noWrap/>
            <w:vAlign w:val="bottom"/>
            <w:hideMark/>
          </w:tcPr>
          <w:p w14:paraId="2C38E9BD" w14:textId="77777777" w:rsidR="00013078" w:rsidRPr="00650291" w:rsidRDefault="00013078" w:rsidP="00AE0577">
            <w:pPr>
              <w:jc w:val="right"/>
              <w:rPr>
                <w:rFonts w:asciiTheme="minorHAnsi" w:hAnsiTheme="minorHAnsi"/>
                <w:b/>
                <w:bCs/>
                <w:color w:val="000000"/>
                <w:sz w:val="20"/>
                <w:szCs w:val="20"/>
              </w:rPr>
            </w:pPr>
            <w:r>
              <w:rPr>
                <w:rFonts w:ascii="Calibri" w:hAnsi="Calibri"/>
                <w:b/>
                <w:bCs/>
                <w:color w:val="000000"/>
              </w:rPr>
              <w:t>61%</w:t>
            </w:r>
          </w:p>
        </w:tc>
      </w:tr>
      <w:tr w:rsidR="00013078" w:rsidRPr="00650291" w14:paraId="50697054" w14:textId="77777777" w:rsidTr="00AE0577">
        <w:trPr>
          <w:trHeight w:val="300"/>
        </w:trPr>
        <w:tc>
          <w:tcPr>
            <w:tcW w:w="2778" w:type="dxa"/>
            <w:tcBorders>
              <w:top w:val="nil"/>
              <w:left w:val="single" w:sz="8" w:space="0" w:color="auto"/>
              <w:bottom w:val="single" w:sz="4" w:space="0" w:color="auto"/>
              <w:right w:val="single" w:sz="4" w:space="0" w:color="auto"/>
            </w:tcBorders>
            <w:shd w:val="clear" w:color="auto" w:fill="auto"/>
            <w:noWrap/>
            <w:vAlign w:val="bottom"/>
            <w:hideMark/>
          </w:tcPr>
          <w:p w14:paraId="25461BBB" w14:textId="77777777" w:rsidR="00013078" w:rsidRPr="00650291" w:rsidRDefault="00013078" w:rsidP="00AE0577">
            <w:pPr>
              <w:jc w:val="both"/>
              <w:rPr>
                <w:rFonts w:asciiTheme="minorHAnsi" w:hAnsiTheme="minorHAnsi"/>
                <w:color w:val="000000"/>
                <w:sz w:val="20"/>
                <w:szCs w:val="20"/>
              </w:rPr>
            </w:pPr>
            <w:r>
              <w:rPr>
                <w:rFonts w:ascii="Calibri" w:hAnsi="Calibri"/>
                <w:color w:val="000000"/>
              </w:rPr>
              <w:t>ICE Europe</w:t>
            </w:r>
          </w:p>
        </w:tc>
        <w:tc>
          <w:tcPr>
            <w:tcW w:w="1361" w:type="dxa"/>
            <w:tcBorders>
              <w:top w:val="nil"/>
              <w:left w:val="nil"/>
              <w:bottom w:val="single" w:sz="4" w:space="0" w:color="auto"/>
              <w:right w:val="single" w:sz="4" w:space="0" w:color="auto"/>
            </w:tcBorders>
            <w:shd w:val="clear" w:color="auto" w:fill="auto"/>
            <w:noWrap/>
            <w:vAlign w:val="bottom"/>
            <w:hideMark/>
          </w:tcPr>
          <w:p w14:paraId="0DA2A1BD" w14:textId="77777777" w:rsidR="00013078" w:rsidRPr="00650291" w:rsidRDefault="00013078" w:rsidP="00AE0577">
            <w:pPr>
              <w:jc w:val="right"/>
              <w:rPr>
                <w:rFonts w:asciiTheme="minorHAnsi" w:hAnsiTheme="minorHAnsi"/>
                <w:color w:val="000000"/>
                <w:sz w:val="20"/>
                <w:szCs w:val="20"/>
              </w:rPr>
            </w:pPr>
            <w:r>
              <w:rPr>
                <w:rFonts w:ascii="Calibri" w:hAnsi="Calibri"/>
                <w:color w:val="000000"/>
              </w:rPr>
              <w:t>17,207</w:t>
            </w:r>
          </w:p>
        </w:tc>
        <w:tc>
          <w:tcPr>
            <w:tcW w:w="1361" w:type="dxa"/>
            <w:tcBorders>
              <w:top w:val="nil"/>
              <w:left w:val="nil"/>
              <w:bottom w:val="single" w:sz="4" w:space="0" w:color="auto"/>
              <w:right w:val="single" w:sz="4" w:space="0" w:color="auto"/>
            </w:tcBorders>
            <w:shd w:val="clear" w:color="auto" w:fill="auto"/>
            <w:noWrap/>
            <w:vAlign w:val="bottom"/>
            <w:hideMark/>
          </w:tcPr>
          <w:p w14:paraId="33238A1B" w14:textId="77777777" w:rsidR="00013078" w:rsidRPr="00650291" w:rsidRDefault="00013078" w:rsidP="00AE0577">
            <w:pPr>
              <w:jc w:val="right"/>
              <w:rPr>
                <w:rFonts w:asciiTheme="minorHAnsi" w:hAnsiTheme="minorHAnsi"/>
                <w:color w:val="000000"/>
                <w:sz w:val="20"/>
                <w:szCs w:val="20"/>
              </w:rPr>
            </w:pPr>
            <w:r>
              <w:rPr>
                <w:rFonts w:ascii="Calibri" w:hAnsi="Calibri"/>
                <w:color w:val="000000"/>
              </w:rPr>
              <w:t>16,664</w:t>
            </w:r>
          </w:p>
        </w:tc>
        <w:tc>
          <w:tcPr>
            <w:tcW w:w="1361" w:type="dxa"/>
            <w:tcBorders>
              <w:top w:val="nil"/>
              <w:left w:val="nil"/>
              <w:bottom w:val="single" w:sz="4" w:space="0" w:color="auto"/>
              <w:right w:val="single" w:sz="4" w:space="0" w:color="auto"/>
            </w:tcBorders>
            <w:shd w:val="clear" w:color="auto" w:fill="auto"/>
            <w:noWrap/>
            <w:vAlign w:val="bottom"/>
            <w:hideMark/>
          </w:tcPr>
          <w:p w14:paraId="7575FB5B" w14:textId="77777777" w:rsidR="00013078" w:rsidRPr="00650291" w:rsidRDefault="00013078" w:rsidP="00AE0577">
            <w:pPr>
              <w:jc w:val="right"/>
              <w:rPr>
                <w:rFonts w:asciiTheme="minorHAnsi" w:hAnsiTheme="minorHAnsi"/>
                <w:color w:val="000000"/>
                <w:sz w:val="20"/>
                <w:szCs w:val="20"/>
              </w:rPr>
            </w:pPr>
            <w:r>
              <w:rPr>
                <w:rFonts w:ascii="Calibri" w:hAnsi="Calibri"/>
                <w:color w:val="000000"/>
              </w:rPr>
              <w:t>19,029</w:t>
            </w:r>
          </w:p>
        </w:tc>
        <w:tc>
          <w:tcPr>
            <w:tcW w:w="1361" w:type="dxa"/>
            <w:tcBorders>
              <w:top w:val="nil"/>
              <w:left w:val="nil"/>
              <w:bottom w:val="single" w:sz="4" w:space="0" w:color="auto"/>
              <w:right w:val="nil"/>
            </w:tcBorders>
            <w:shd w:val="clear" w:color="auto" w:fill="auto"/>
            <w:noWrap/>
            <w:vAlign w:val="bottom"/>
            <w:hideMark/>
          </w:tcPr>
          <w:p w14:paraId="4A38D230" w14:textId="77777777" w:rsidR="00013078" w:rsidRPr="00650291" w:rsidRDefault="00013078" w:rsidP="00AE0577">
            <w:pPr>
              <w:jc w:val="right"/>
              <w:rPr>
                <w:rFonts w:asciiTheme="minorHAnsi" w:hAnsiTheme="minorHAnsi"/>
                <w:color w:val="000000"/>
                <w:sz w:val="20"/>
                <w:szCs w:val="20"/>
              </w:rPr>
            </w:pPr>
            <w:r>
              <w:rPr>
                <w:rFonts w:ascii="Calibri" w:hAnsi="Calibri"/>
                <w:color w:val="000000"/>
              </w:rPr>
              <w:t>19,395</w:t>
            </w:r>
          </w:p>
        </w:tc>
        <w:tc>
          <w:tcPr>
            <w:tcW w:w="1361" w:type="dxa"/>
            <w:tcBorders>
              <w:top w:val="nil"/>
              <w:left w:val="single" w:sz="8" w:space="0" w:color="auto"/>
              <w:bottom w:val="single" w:sz="4" w:space="0" w:color="auto"/>
              <w:right w:val="single" w:sz="8" w:space="0" w:color="auto"/>
            </w:tcBorders>
            <w:shd w:val="clear" w:color="000000" w:fill="DDEBF7"/>
            <w:noWrap/>
            <w:vAlign w:val="bottom"/>
            <w:hideMark/>
          </w:tcPr>
          <w:p w14:paraId="00E4464C" w14:textId="77777777" w:rsidR="00013078" w:rsidRPr="00650291" w:rsidRDefault="00013078" w:rsidP="00AE0577">
            <w:pPr>
              <w:jc w:val="right"/>
              <w:rPr>
                <w:rFonts w:asciiTheme="minorHAnsi" w:hAnsiTheme="minorHAnsi"/>
                <w:b/>
                <w:bCs/>
                <w:color w:val="000000"/>
                <w:sz w:val="20"/>
                <w:szCs w:val="20"/>
              </w:rPr>
            </w:pPr>
            <w:r>
              <w:rPr>
                <w:rFonts w:ascii="Calibri" w:hAnsi="Calibri"/>
                <w:b/>
                <w:bCs/>
                <w:color w:val="000000"/>
              </w:rPr>
              <w:t>13%</w:t>
            </w:r>
          </w:p>
        </w:tc>
      </w:tr>
      <w:tr w:rsidR="00013078" w:rsidRPr="00650291" w14:paraId="292BD6AE" w14:textId="77777777" w:rsidTr="00AE0577">
        <w:trPr>
          <w:trHeight w:val="300"/>
        </w:trPr>
        <w:tc>
          <w:tcPr>
            <w:tcW w:w="2778" w:type="dxa"/>
            <w:tcBorders>
              <w:top w:val="nil"/>
              <w:left w:val="single" w:sz="8" w:space="0" w:color="auto"/>
              <w:bottom w:val="single" w:sz="4" w:space="0" w:color="auto"/>
              <w:right w:val="single" w:sz="4" w:space="0" w:color="auto"/>
            </w:tcBorders>
            <w:shd w:val="clear" w:color="auto" w:fill="auto"/>
            <w:noWrap/>
            <w:vAlign w:val="bottom"/>
            <w:hideMark/>
          </w:tcPr>
          <w:p w14:paraId="7807327C" w14:textId="77777777" w:rsidR="00013078" w:rsidRPr="00650291" w:rsidRDefault="00013078" w:rsidP="00AE0577">
            <w:pPr>
              <w:jc w:val="both"/>
              <w:rPr>
                <w:rFonts w:asciiTheme="minorHAnsi" w:hAnsiTheme="minorHAnsi"/>
                <w:color w:val="000000"/>
                <w:sz w:val="20"/>
                <w:szCs w:val="20"/>
              </w:rPr>
            </w:pPr>
            <w:r>
              <w:rPr>
                <w:rFonts w:ascii="Calibri" w:hAnsi="Calibri"/>
                <w:color w:val="000000"/>
              </w:rPr>
              <w:t>Irish Stock Exchange</w:t>
            </w:r>
          </w:p>
        </w:tc>
        <w:tc>
          <w:tcPr>
            <w:tcW w:w="1361" w:type="dxa"/>
            <w:tcBorders>
              <w:top w:val="nil"/>
              <w:left w:val="nil"/>
              <w:bottom w:val="single" w:sz="4" w:space="0" w:color="auto"/>
              <w:right w:val="single" w:sz="4" w:space="0" w:color="auto"/>
            </w:tcBorders>
            <w:shd w:val="clear" w:color="auto" w:fill="auto"/>
            <w:noWrap/>
            <w:vAlign w:val="bottom"/>
            <w:hideMark/>
          </w:tcPr>
          <w:p w14:paraId="4728C0E6" w14:textId="77777777" w:rsidR="00013078" w:rsidRPr="00650291" w:rsidRDefault="00013078" w:rsidP="00AE0577">
            <w:pPr>
              <w:jc w:val="right"/>
              <w:rPr>
                <w:rFonts w:asciiTheme="minorHAnsi" w:hAnsiTheme="minorHAnsi"/>
                <w:color w:val="000000"/>
                <w:sz w:val="20"/>
                <w:szCs w:val="20"/>
              </w:rPr>
            </w:pPr>
            <w:r>
              <w:rPr>
                <w:rFonts w:ascii="Calibri" w:hAnsi="Calibri"/>
                <w:color w:val="000000"/>
              </w:rPr>
              <w:t>0</w:t>
            </w:r>
          </w:p>
        </w:tc>
        <w:tc>
          <w:tcPr>
            <w:tcW w:w="1361" w:type="dxa"/>
            <w:tcBorders>
              <w:top w:val="nil"/>
              <w:left w:val="nil"/>
              <w:bottom w:val="single" w:sz="4" w:space="0" w:color="auto"/>
              <w:right w:val="single" w:sz="4" w:space="0" w:color="auto"/>
            </w:tcBorders>
            <w:shd w:val="clear" w:color="auto" w:fill="auto"/>
            <w:noWrap/>
            <w:vAlign w:val="bottom"/>
            <w:hideMark/>
          </w:tcPr>
          <w:p w14:paraId="017D0928" w14:textId="77777777" w:rsidR="00013078" w:rsidRPr="00650291" w:rsidRDefault="00013078" w:rsidP="00AE0577">
            <w:pPr>
              <w:jc w:val="right"/>
              <w:rPr>
                <w:rFonts w:asciiTheme="minorHAnsi" w:hAnsiTheme="minorHAnsi"/>
                <w:color w:val="000000"/>
                <w:sz w:val="20"/>
                <w:szCs w:val="20"/>
              </w:rPr>
            </w:pPr>
            <w:r>
              <w:rPr>
                <w:rFonts w:ascii="Calibri" w:hAnsi="Calibri"/>
                <w:color w:val="000000"/>
              </w:rPr>
              <w:t>0</w:t>
            </w:r>
          </w:p>
        </w:tc>
        <w:tc>
          <w:tcPr>
            <w:tcW w:w="1361" w:type="dxa"/>
            <w:tcBorders>
              <w:top w:val="nil"/>
              <w:left w:val="nil"/>
              <w:bottom w:val="single" w:sz="4" w:space="0" w:color="auto"/>
              <w:right w:val="single" w:sz="4" w:space="0" w:color="auto"/>
            </w:tcBorders>
            <w:shd w:val="clear" w:color="auto" w:fill="auto"/>
            <w:noWrap/>
            <w:vAlign w:val="bottom"/>
            <w:hideMark/>
          </w:tcPr>
          <w:p w14:paraId="34D4EF97" w14:textId="77777777" w:rsidR="00013078" w:rsidRPr="00650291" w:rsidRDefault="00013078" w:rsidP="00AE0577">
            <w:pPr>
              <w:jc w:val="right"/>
              <w:rPr>
                <w:rFonts w:asciiTheme="minorHAnsi" w:hAnsiTheme="minorHAnsi"/>
                <w:color w:val="000000"/>
                <w:sz w:val="20"/>
                <w:szCs w:val="20"/>
              </w:rPr>
            </w:pPr>
            <w:r>
              <w:rPr>
                <w:rFonts w:ascii="Calibri" w:hAnsi="Calibri"/>
                <w:color w:val="000000"/>
              </w:rPr>
              <w:t>15,000</w:t>
            </w:r>
          </w:p>
        </w:tc>
        <w:tc>
          <w:tcPr>
            <w:tcW w:w="1361" w:type="dxa"/>
            <w:tcBorders>
              <w:top w:val="nil"/>
              <w:left w:val="nil"/>
              <w:bottom w:val="single" w:sz="4" w:space="0" w:color="auto"/>
              <w:right w:val="nil"/>
            </w:tcBorders>
            <w:shd w:val="clear" w:color="auto" w:fill="auto"/>
            <w:noWrap/>
            <w:vAlign w:val="bottom"/>
            <w:hideMark/>
          </w:tcPr>
          <w:p w14:paraId="67F84633" w14:textId="77777777" w:rsidR="00013078" w:rsidRPr="00650291" w:rsidRDefault="00013078" w:rsidP="00AE0577">
            <w:pPr>
              <w:jc w:val="right"/>
              <w:rPr>
                <w:rFonts w:asciiTheme="minorHAnsi" w:hAnsiTheme="minorHAnsi"/>
                <w:color w:val="000000"/>
                <w:sz w:val="20"/>
                <w:szCs w:val="20"/>
              </w:rPr>
            </w:pPr>
            <w:r>
              <w:rPr>
                <w:rFonts w:ascii="Calibri" w:hAnsi="Calibri"/>
                <w:color w:val="000000"/>
              </w:rPr>
              <w:t>5,670</w:t>
            </w:r>
          </w:p>
        </w:tc>
        <w:tc>
          <w:tcPr>
            <w:tcW w:w="1361" w:type="dxa"/>
            <w:tcBorders>
              <w:top w:val="nil"/>
              <w:left w:val="single" w:sz="8" w:space="0" w:color="auto"/>
              <w:bottom w:val="single" w:sz="4" w:space="0" w:color="auto"/>
              <w:right w:val="single" w:sz="8" w:space="0" w:color="auto"/>
            </w:tcBorders>
            <w:shd w:val="clear" w:color="000000" w:fill="DDEBF7"/>
            <w:noWrap/>
            <w:vAlign w:val="bottom"/>
            <w:hideMark/>
          </w:tcPr>
          <w:p w14:paraId="3AAA0FC5" w14:textId="77777777" w:rsidR="00013078" w:rsidRPr="00650291" w:rsidRDefault="00013078" w:rsidP="00AE0577">
            <w:pPr>
              <w:jc w:val="right"/>
              <w:rPr>
                <w:rFonts w:asciiTheme="minorHAnsi" w:hAnsiTheme="minorHAnsi"/>
                <w:b/>
                <w:bCs/>
                <w:color w:val="000000"/>
                <w:sz w:val="20"/>
                <w:szCs w:val="20"/>
              </w:rPr>
            </w:pPr>
            <w:r>
              <w:rPr>
                <w:rFonts w:ascii="Calibri" w:hAnsi="Calibri"/>
                <w:b/>
                <w:bCs/>
                <w:color w:val="000000"/>
              </w:rPr>
              <w:t>-</w:t>
            </w:r>
          </w:p>
        </w:tc>
      </w:tr>
      <w:tr w:rsidR="00013078" w:rsidRPr="00650291" w14:paraId="52F4088E" w14:textId="77777777" w:rsidTr="00AE0577">
        <w:trPr>
          <w:trHeight w:val="300"/>
        </w:trPr>
        <w:tc>
          <w:tcPr>
            <w:tcW w:w="2778" w:type="dxa"/>
            <w:tcBorders>
              <w:top w:val="nil"/>
              <w:left w:val="single" w:sz="8" w:space="0" w:color="auto"/>
              <w:bottom w:val="single" w:sz="4" w:space="0" w:color="auto"/>
              <w:right w:val="single" w:sz="4" w:space="0" w:color="auto"/>
            </w:tcBorders>
            <w:shd w:val="clear" w:color="auto" w:fill="auto"/>
            <w:noWrap/>
            <w:vAlign w:val="bottom"/>
            <w:hideMark/>
          </w:tcPr>
          <w:p w14:paraId="11D78A16" w14:textId="77777777" w:rsidR="00013078" w:rsidRPr="00650291" w:rsidRDefault="00013078" w:rsidP="00AE0577">
            <w:pPr>
              <w:jc w:val="both"/>
              <w:rPr>
                <w:rFonts w:asciiTheme="minorHAnsi" w:hAnsiTheme="minorHAnsi"/>
                <w:color w:val="000000"/>
                <w:sz w:val="20"/>
                <w:szCs w:val="20"/>
              </w:rPr>
            </w:pPr>
            <w:r>
              <w:rPr>
                <w:rFonts w:ascii="Calibri" w:hAnsi="Calibri"/>
                <w:color w:val="000000"/>
              </w:rPr>
              <w:t>London Stock Exchange</w:t>
            </w:r>
          </w:p>
        </w:tc>
        <w:tc>
          <w:tcPr>
            <w:tcW w:w="1361" w:type="dxa"/>
            <w:tcBorders>
              <w:top w:val="nil"/>
              <w:left w:val="nil"/>
              <w:bottom w:val="single" w:sz="4" w:space="0" w:color="auto"/>
              <w:right w:val="single" w:sz="4" w:space="0" w:color="auto"/>
            </w:tcBorders>
            <w:shd w:val="clear" w:color="auto" w:fill="auto"/>
            <w:noWrap/>
            <w:vAlign w:val="bottom"/>
            <w:hideMark/>
          </w:tcPr>
          <w:p w14:paraId="14D91C4D" w14:textId="77777777" w:rsidR="00013078" w:rsidRPr="00650291" w:rsidRDefault="00013078" w:rsidP="00AE0577">
            <w:pPr>
              <w:jc w:val="right"/>
              <w:rPr>
                <w:rFonts w:asciiTheme="minorHAnsi" w:hAnsiTheme="minorHAnsi"/>
                <w:color w:val="000000"/>
                <w:sz w:val="20"/>
                <w:szCs w:val="20"/>
              </w:rPr>
            </w:pPr>
            <w:r>
              <w:rPr>
                <w:rFonts w:ascii="Calibri" w:hAnsi="Calibri"/>
                <w:color w:val="000000"/>
              </w:rPr>
              <w:t>12,612</w:t>
            </w:r>
          </w:p>
        </w:tc>
        <w:tc>
          <w:tcPr>
            <w:tcW w:w="1361" w:type="dxa"/>
            <w:tcBorders>
              <w:top w:val="nil"/>
              <w:left w:val="nil"/>
              <w:bottom w:val="single" w:sz="4" w:space="0" w:color="auto"/>
              <w:right w:val="single" w:sz="4" w:space="0" w:color="auto"/>
            </w:tcBorders>
            <w:shd w:val="clear" w:color="auto" w:fill="auto"/>
            <w:noWrap/>
            <w:vAlign w:val="bottom"/>
            <w:hideMark/>
          </w:tcPr>
          <w:p w14:paraId="681F7330" w14:textId="77777777" w:rsidR="00013078" w:rsidRPr="00650291" w:rsidRDefault="00013078" w:rsidP="00AE0577">
            <w:pPr>
              <w:jc w:val="right"/>
              <w:rPr>
                <w:rFonts w:asciiTheme="minorHAnsi" w:hAnsiTheme="minorHAnsi"/>
                <w:color w:val="000000"/>
                <w:sz w:val="20"/>
                <w:szCs w:val="20"/>
              </w:rPr>
            </w:pPr>
            <w:r>
              <w:rPr>
                <w:rFonts w:ascii="Calibri" w:hAnsi="Calibri"/>
                <w:color w:val="000000"/>
              </w:rPr>
              <w:t>22,106</w:t>
            </w:r>
          </w:p>
        </w:tc>
        <w:tc>
          <w:tcPr>
            <w:tcW w:w="1361" w:type="dxa"/>
            <w:tcBorders>
              <w:top w:val="nil"/>
              <w:left w:val="nil"/>
              <w:bottom w:val="single" w:sz="4" w:space="0" w:color="auto"/>
              <w:right w:val="single" w:sz="4" w:space="0" w:color="auto"/>
            </w:tcBorders>
            <w:shd w:val="clear" w:color="auto" w:fill="auto"/>
            <w:noWrap/>
            <w:vAlign w:val="bottom"/>
            <w:hideMark/>
          </w:tcPr>
          <w:p w14:paraId="1992E1A4" w14:textId="77777777" w:rsidR="00013078" w:rsidRPr="00650291" w:rsidRDefault="00013078" w:rsidP="00AE0577">
            <w:pPr>
              <w:jc w:val="right"/>
              <w:rPr>
                <w:rFonts w:asciiTheme="minorHAnsi" w:hAnsiTheme="minorHAnsi"/>
                <w:color w:val="000000"/>
                <w:sz w:val="20"/>
                <w:szCs w:val="20"/>
              </w:rPr>
            </w:pPr>
            <w:r>
              <w:rPr>
                <w:rFonts w:ascii="Calibri" w:hAnsi="Calibri"/>
                <w:color w:val="000000"/>
              </w:rPr>
              <w:t>21,905</w:t>
            </w:r>
          </w:p>
        </w:tc>
        <w:tc>
          <w:tcPr>
            <w:tcW w:w="1361" w:type="dxa"/>
            <w:tcBorders>
              <w:top w:val="nil"/>
              <w:left w:val="nil"/>
              <w:bottom w:val="single" w:sz="4" w:space="0" w:color="auto"/>
              <w:right w:val="nil"/>
            </w:tcBorders>
            <w:shd w:val="clear" w:color="auto" w:fill="auto"/>
            <w:noWrap/>
            <w:vAlign w:val="bottom"/>
            <w:hideMark/>
          </w:tcPr>
          <w:p w14:paraId="32E704F4" w14:textId="77777777" w:rsidR="00013078" w:rsidRPr="00650291" w:rsidRDefault="00013078" w:rsidP="00AE0577">
            <w:pPr>
              <w:jc w:val="right"/>
              <w:rPr>
                <w:rFonts w:asciiTheme="minorHAnsi" w:hAnsiTheme="minorHAnsi"/>
                <w:color w:val="000000"/>
                <w:sz w:val="20"/>
                <w:szCs w:val="20"/>
              </w:rPr>
            </w:pPr>
            <w:r>
              <w:rPr>
                <w:rFonts w:ascii="Calibri" w:hAnsi="Calibri"/>
                <w:color w:val="000000"/>
              </w:rPr>
              <w:t>22,712</w:t>
            </w:r>
          </w:p>
        </w:tc>
        <w:tc>
          <w:tcPr>
            <w:tcW w:w="1361" w:type="dxa"/>
            <w:tcBorders>
              <w:top w:val="nil"/>
              <w:left w:val="single" w:sz="8" w:space="0" w:color="auto"/>
              <w:bottom w:val="single" w:sz="4" w:space="0" w:color="auto"/>
              <w:right w:val="single" w:sz="8" w:space="0" w:color="auto"/>
            </w:tcBorders>
            <w:shd w:val="clear" w:color="000000" w:fill="DDEBF7"/>
            <w:noWrap/>
            <w:vAlign w:val="bottom"/>
            <w:hideMark/>
          </w:tcPr>
          <w:p w14:paraId="63B5DD34" w14:textId="77777777" w:rsidR="00013078" w:rsidRPr="00650291" w:rsidRDefault="00013078" w:rsidP="00AE0577">
            <w:pPr>
              <w:jc w:val="right"/>
              <w:rPr>
                <w:rFonts w:asciiTheme="minorHAnsi" w:hAnsiTheme="minorHAnsi"/>
                <w:b/>
                <w:bCs/>
                <w:color w:val="000000"/>
                <w:sz w:val="20"/>
                <w:szCs w:val="20"/>
              </w:rPr>
            </w:pPr>
            <w:r>
              <w:rPr>
                <w:rFonts w:ascii="Calibri" w:hAnsi="Calibri"/>
                <w:b/>
                <w:bCs/>
                <w:color w:val="000000"/>
              </w:rPr>
              <w:t>80%</w:t>
            </w:r>
          </w:p>
        </w:tc>
      </w:tr>
      <w:tr w:rsidR="00013078" w:rsidRPr="00650291" w14:paraId="3D5C0C96" w14:textId="77777777" w:rsidTr="00AE0577">
        <w:trPr>
          <w:trHeight w:val="315"/>
        </w:trPr>
        <w:tc>
          <w:tcPr>
            <w:tcW w:w="2778" w:type="dxa"/>
            <w:tcBorders>
              <w:top w:val="nil"/>
              <w:left w:val="single" w:sz="8" w:space="0" w:color="auto"/>
              <w:bottom w:val="nil"/>
              <w:right w:val="single" w:sz="4" w:space="0" w:color="auto"/>
            </w:tcBorders>
            <w:shd w:val="clear" w:color="auto" w:fill="auto"/>
            <w:noWrap/>
            <w:vAlign w:val="bottom"/>
            <w:hideMark/>
          </w:tcPr>
          <w:p w14:paraId="76F9024E" w14:textId="77777777" w:rsidR="00013078" w:rsidRPr="00650291" w:rsidRDefault="00013078" w:rsidP="00AE0577">
            <w:pPr>
              <w:jc w:val="both"/>
              <w:rPr>
                <w:rFonts w:asciiTheme="minorHAnsi" w:hAnsiTheme="minorHAnsi"/>
                <w:color w:val="000000"/>
                <w:sz w:val="20"/>
                <w:szCs w:val="20"/>
              </w:rPr>
            </w:pPr>
            <w:r>
              <w:rPr>
                <w:rFonts w:ascii="Calibri" w:hAnsi="Calibri"/>
                <w:color w:val="000000"/>
              </w:rPr>
              <w:t>Warsaw Stock Exchange</w:t>
            </w:r>
          </w:p>
        </w:tc>
        <w:tc>
          <w:tcPr>
            <w:tcW w:w="1361" w:type="dxa"/>
            <w:tcBorders>
              <w:top w:val="nil"/>
              <w:left w:val="nil"/>
              <w:bottom w:val="nil"/>
              <w:right w:val="single" w:sz="4" w:space="0" w:color="auto"/>
            </w:tcBorders>
            <w:shd w:val="clear" w:color="auto" w:fill="auto"/>
            <w:noWrap/>
            <w:vAlign w:val="bottom"/>
            <w:hideMark/>
          </w:tcPr>
          <w:p w14:paraId="49DA588E" w14:textId="77777777" w:rsidR="00013078" w:rsidRPr="00650291" w:rsidRDefault="00013078" w:rsidP="00AE0577">
            <w:pPr>
              <w:jc w:val="right"/>
              <w:rPr>
                <w:rFonts w:asciiTheme="minorHAnsi" w:hAnsiTheme="minorHAnsi"/>
                <w:color w:val="000000"/>
                <w:sz w:val="20"/>
                <w:szCs w:val="20"/>
              </w:rPr>
            </w:pPr>
            <w:r>
              <w:rPr>
                <w:rFonts w:ascii="Calibri" w:hAnsi="Calibri"/>
                <w:color w:val="000000"/>
              </w:rPr>
              <w:t>4,584</w:t>
            </w:r>
          </w:p>
        </w:tc>
        <w:tc>
          <w:tcPr>
            <w:tcW w:w="1361" w:type="dxa"/>
            <w:tcBorders>
              <w:top w:val="nil"/>
              <w:left w:val="nil"/>
              <w:bottom w:val="nil"/>
              <w:right w:val="single" w:sz="4" w:space="0" w:color="auto"/>
            </w:tcBorders>
            <w:shd w:val="clear" w:color="auto" w:fill="auto"/>
            <w:noWrap/>
            <w:vAlign w:val="bottom"/>
            <w:hideMark/>
          </w:tcPr>
          <w:p w14:paraId="588420EB" w14:textId="77777777" w:rsidR="00013078" w:rsidRPr="00650291" w:rsidRDefault="00013078" w:rsidP="00AE0577">
            <w:pPr>
              <w:jc w:val="right"/>
              <w:rPr>
                <w:rFonts w:asciiTheme="minorHAnsi" w:hAnsiTheme="minorHAnsi"/>
                <w:color w:val="000000"/>
                <w:sz w:val="20"/>
                <w:szCs w:val="20"/>
              </w:rPr>
            </w:pPr>
            <w:r>
              <w:rPr>
                <w:rFonts w:ascii="Calibri" w:hAnsi="Calibri"/>
                <w:color w:val="000000"/>
              </w:rPr>
              <w:t>4,698</w:t>
            </w:r>
          </w:p>
        </w:tc>
        <w:tc>
          <w:tcPr>
            <w:tcW w:w="1361" w:type="dxa"/>
            <w:tcBorders>
              <w:top w:val="nil"/>
              <w:left w:val="nil"/>
              <w:bottom w:val="nil"/>
              <w:right w:val="single" w:sz="4" w:space="0" w:color="auto"/>
            </w:tcBorders>
            <w:shd w:val="clear" w:color="auto" w:fill="auto"/>
            <w:noWrap/>
            <w:vAlign w:val="bottom"/>
            <w:hideMark/>
          </w:tcPr>
          <w:p w14:paraId="5FEFAF56" w14:textId="77777777" w:rsidR="00013078" w:rsidRPr="00650291" w:rsidRDefault="00013078" w:rsidP="00AE0577">
            <w:pPr>
              <w:jc w:val="right"/>
              <w:rPr>
                <w:rFonts w:asciiTheme="minorHAnsi" w:hAnsiTheme="minorHAnsi"/>
                <w:color w:val="000000"/>
                <w:sz w:val="20"/>
                <w:szCs w:val="20"/>
              </w:rPr>
            </w:pPr>
            <w:r>
              <w:rPr>
                <w:rFonts w:ascii="Calibri" w:hAnsi="Calibri"/>
                <w:color w:val="000000"/>
              </w:rPr>
              <w:t>5,866</w:t>
            </w:r>
          </w:p>
        </w:tc>
        <w:tc>
          <w:tcPr>
            <w:tcW w:w="1361" w:type="dxa"/>
            <w:tcBorders>
              <w:top w:val="nil"/>
              <w:left w:val="nil"/>
              <w:bottom w:val="nil"/>
              <w:right w:val="nil"/>
            </w:tcBorders>
            <w:shd w:val="clear" w:color="auto" w:fill="auto"/>
            <w:noWrap/>
            <w:vAlign w:val="bottom"/>
            <w:hideMark/>
          </w:tcPr>
          <w:p w14:paraId="09265987" w14:textId="77777777" w:rsidR="00013078" w:rsidRPr="00650291" w:rsidRDefault="00013078" w:rsidP="00AE0577">
            <w:pPr>
              <w:jc w:val="right"/>
              <w:rPr>
                <w:rFonts w:asciiTheme="minorHAnsi" w:hAnsiTheme="minorHAnsi"/>
                <w:color w:val="000000"/>
                <w:sz w:val="20"/>
                <w:szCs w:val="20"/>
              </w:rPr>
            </w:pPr>
            <w:r>
              <w:rPr>
                <w:rFonts w:ascii="Calibri" w:hAnsi="Calibri"/>
                <w:color w:val="000000"/>
              </w:rPr>
              <w:t>5,816</w:t>
            </w:r>
          </w:p>
        </w:tc>
        <w:tc>
          <w:tcPr>
            <w:tcW w:w="1361" w:type="dxa"/>
            <w:tcBorders>
              <w:top w:val="nil"/>
              <w:left w:val="single" w:sz="8" w:space="0" w:color="auto"/>
              <w:bottom w:val="single" w:sz="4" w:space="0" w:color="auto"/>
              <w:right w:val="single" w:sz="8" w:space="0" w:color="auto"/>
            </w:tcBorders>
            <w:shd w:val="clear" w:color="000000" w:fill="DDEBF7"/>
            <w:noWrap/>
            <w:vAlign w:val="bottom"/>
            <w:hideMark/>
          </w:tcPr>
          <w:p w14:paraId="1F453702" w14:textId="77777777" w:rsidR="00013078" w:rsidRPr="00650291" w:rsidRDefault="00013078" w:rsidP="00AE0577">
            <w:pPr>
              <w:jc w:val="right"/>
              <w:rPr>
                <w:rFonts w:asciiTheme="minorHAnsi" w:hAnsiTheme="minorHAnsi"/>
                <w:b/>
                <w:bCs/>
                <w:color w:val="000000"/>
                <w:sz w:val="20"/>
                <w:szCs w:val="20"/>
              </w:rPr>
            </w:pPr>
            <w:r>
              <w:rPr>
                <w:rFonts w:ascii="Calibri" w:hAnsi="Calibri"/>
                <w:b/>
                <w:bCs/>
                <w:color w:val="000000"/>
              </w:rPr>
              <w:t>27%</w:t>
            </w:r>
          </w:p>
        </w:tc>
      </w:tr>
      <w:tr w:rsidR="00013078" w:rsidRPr="00650291" w14:paraId="39358AD5" w14:textId="77777777" w:rsidTr="00AE0577">
        <w:trPr>
          <w:trHeight w:val="315"/>
        </w:trPr>
        <w:tc>
          <w:tcPr>
            <w:tcW w:w="2778" w:type="dxa"/>
            <w:tcBorders>
              <w:top w:val="single" w:sz="8" w:space="0" w:color="auto"/>
              <w:left w:val="single" w:sz="8" w:space="0" w:color="auto"/>
              <w:bottom w:val="single" w:sz="8" w:space="0" w:color="auto"/>
              <w:right w:val="single" w:sz="4" w:space="0" w:color="auto"/>
            </w:tcBorders>
            <w:shd w:val="clear" w:color="DDEBF7" w:fill="DDEBF7"/>
            <w:noWrap/>
            <w:vAlign w:val="bottom"/>
            <w:hideMark/>
          </w:tcPr>
          <w:p w14:paraId="0F5BAD90" w14:textId="77777777" w:rsidR="00013078" w:rsidRPr="00650291" w:rsidRDefault="00013078" w:rsidP="00AE0577">
            <w:pPr>
              <w:jc w:val="both"/>
              <w:rPr>
                <w:rFonts w:asciiTheme="minorHAnsi" w:hAnsiTheme="minorHAnsi"/>
                <w:b/>
                <w:bCs/>
                <w:color w:val="000000"/>
                <w:sz w:val="20"/>
                <w:szCs w:val="20"/>
              </w:rPr>
            </w:pPr>
            <w:r>
              <w:rPr>
                <w:rFonts w:ascii="Calibri" w:hAnsi="Calibri"/>
                <w:b/>
                <w:bCs/>
                <w:color w:val="000000"/>
              </w:rPr>
              <w:t>Grand Total</w:t>
            </w:r>
          </w:p>
        </w:tc>
        <w:tc>
          <w:tcPr>
            <w:tcW w:w="1361" w:type="dxa"/>
            <w:tcBorders>
              <w:top w:val="single" w:sz="8" w:space="0" w:color="auto"/>
              <w:left w:val="nil"/>
              <w:bottom w:val="single" w:sz="8" w:space="0" w:color="auto"/>
              <w:right w:val="single" w:sz="4" w:space="0" w:color="auto"/>
            </w:tcBorders>
            <w:shd w:val="clear" w:color="DDEBF7" w:fill="DDEBF7"/>
            <w:noWrap/>
            <w:vAlign w:val="bottom"/>
            <w:hideMark/>
          </w:tcPr>
          <w:p w14:paraId="4B1E2356" w14:textId="77777777" w:rsidR="00013078" w:rsidRPr="00650291" w:rsidRDefault="00013078" w:rsidP="00AE0577">
            <w:pPr>
              <w:jc w:val="right"/>
              <w:rPr>
                <w:rFonts w:asciiTheme="minorHAnsi" w:hAnsiTheme="minorHAnsi"/>
                <w:b/>
                <w:bCs/>
                <w:color w:val="000000"/>
                <w:sz w:val="20"/>
                <w:szCs w:val="20"/>
              </w:rPr>
            </w:pPr>
            <w:r>
              <w:rPr>
                <w:rFonts w:ascii="Calibri" w:hAnsi="Calibri"/>
                <w:b/>
                <w:bCs/>
                <w:color w:val="000000"/>
              </w:rPr>
              <w:t>63,718</w:t>
            </w:r>
          </w:p>
        </w:tc>
        <w:tc>
          <w:tcPr>
            <w:tcW w:w="1361" w:type="dxa"/>
            <w:tcBorders>
              <w:top w:val="single" w:sz="8" w:space="0" w:color="auto"/>
              <w:left w:val="nil"/>
              <w:bottom w:val="single" w:sz="8" w:space="0" w:color="auto"/>
              <w:right w:val="single" w:sz="4" w:space="0" w:color="auto"/>
            </w:tcBorders>
            <w:shd w:val="clear" w:color="DDEBF7" w:fill="DDEBF7"/>
            <w:noWrap/>
            <w:vAlign w:val="bottom"/>
            <w:hideMark/>
          </w:tcPr>
          <w:p w14:paraId="5E3E72A8" w14:textId="77777777" w:rsidR="00013078" w:rsidRPr="00650291" w:rsidRDefault="00013078" w:rsidP="00AE0577">
            <w:pPr>
              <w:jc w:val="right"/>
              <w:rPr>
                <w:rFonts w:asciiTheme="minorHAnsi" w:hAnsiTheme="minorHAnsi"/>
                <w:b/>
                <w:bCs/>
                <w:color w:val="000000"/>
                <w:sz w:val="20"/>
                <w:szCs w:val="20"/>
              </w:rPr>
            </w:pPr>
            <w:r>
              <w:rPr>
                <w:rFonts w:ascii="Calibri" w:hAnsi="Calibri"/>
                <w:b/>
                <w:bCs/>
                <w:color w:val="000000"/>
              </w:rPr>
              <w:t>83,045</w:t>
            </w:r>
          </w:p>
        </w:tc>
        <w:tc>
          <w:tcPr>
            <w:tcW w:w="1361" w:type="dxa"/>
            <w:tcBorders>
              <w:top w:val="single" w:sz="8" w:space="0" w:color="auto"/>
              <w:left w:val="nil"/>
              <w:bottom w:val="single" w:sz="8" w:space="0" w:color="auto"/>
              <w:right w:val="single" w:sz="4" w:space="0" w:color="auto"/>
            </w:tcBorders>
            <w:shd w:val="clear" w:color="DDEBF7" w:fill="DDEBF7"/>
            <w:noWrap/>
            <w:vAlign w:val="bottom"/>
            <w:hideMark/>
          </w:tcPr>
          <w:p w14:paraId="1CC17DC3" w14:textId="77777777" w:rsidR="00013078" w:rsidRPr="00650291" w:rsidRDefault="00013078" w:rsidP="00AE0577">
            <w:pPr>
              <w:jc w:val="right"/>
              <w:rPr>
                <w:rFonts w:asciiTheme="minorHAnsi" w:hAnsiTheme="minorHAnsi"/>
                <w:b/>
                <w:bCs/>
                <w:color w:val="000000"/>
                <w:sz w:val="20"/>
                <w:szCs w:val="20"/>
              </w:rPr>
            </w:pPr>
            <w:r>
              <w:rPr>
                <w:rFonts w:ascii="Calibri" w:hAnsi="Calibri"/>
                <w:b/>
                <w:bCs/>
                <w:color w:val="000000"/>
              </w:rPr>
              <w:t>155,035</w:t>
            </w:r>
          </w:p>
        </w:tc>
        <w:tc>
          <w:tcPr>
            <w:tcW w:w="1361" w:type="dxa"/>
            <w:tcBorders>
              <w:top w:val="single" w:sz="8" w:space="0" w:color="auto"/>
              <w:left w:val="nil"/>
              <w:bottom w:val="single" w:sz="8" w:space="0" w:color="auto"/>
              <w:right w:val="nil"/>
            </w:tcBorders>
            <w:shd w:val="clear" w:color="DDEBF7" w:fill="DDEBF7"/>
            <w:noWrap/>
            <w:vAlign w:val="bottom"/>
            <w:hideMark/>
          </w:tcPr>
          <w:p w14:paraId="46025671" w14:textId="77777777" w:rsidR="00013078" w:rsidRPr="00650291" w:rsidRDefault="00013078" w:rsidP="00AE0577">
            <w:pPr>
              <w:jc w:val="right"/>
              <w:rPr>
                <w:rFonts w:asciiTheme="minorHAnsi" w:hAnsiTheme="minorHAnsi"/>
                <w:b/>
                <w:bCs/>
                <w:color w:val="000000"/>
                <w:sz w:val="20"/>
                <w:szCs w:val="20"/>
              </w:rPr>
            </w:pPr>
            <w:r>
              <w:rPr>
                <w:rFonts w:ascii="Calibri" w:hAnsi="Calibri"/>
                <w:b/>
                <w:bCs/>
                <w:color w:val="000000"/>
              </w:rPr>
              <w:t>154,631</w:t>
            </w:r>
          </w:p>
        </w:tc>
        <w:tc>
          <w:tcPr>
            <w:tcW w:w="1361" w:type="dxa"/>
            <w:tcBorders>
              <w:top w:val="single" w:sz="8" w:space="0" w:color="auto"/>
              <w:left w:val="single" w:sz="8" w:space="0" w:color="auto"/>
              <w:bottom w:val="single" w:sz="8" w:space="0" w:color="auto"/>
              <w:right w:val="single" w:sz="8" w:space="0" w:color="auto"/>
            </w:tcBorders>
            <w:shd w:val="clear" w:color="000000" w:fill="DDEBF7"/>
            <w:noWrap/>
            <w:vAlign w:val="bottom"/>
            <w:hideMark/>
          </w:tcPr>
          <w:p w14:paraId="62BAF428" w14:textId="77777777" w:rsidR="00013078" w:rsidRPr="00650291" w:rsidRDefault="00013078" w:rsidP="00AE0577">
            <w:pPr>
              <w:jc w:val="right"/>
              <w:rPr>
                <w:rFonts w:asciiTheme="minorHAnsi" w:hAnsiTheme="minorHAnsi"/>
                <w:b/>
                <w:bCs/>
                <w:color w:val="000000"/>
                <w:sz w:val="20"/>
                <w:szCs w:val="20"/>
              </w:rPr>
            </w:pPr>
            <w:r>
              <w:rPr>
                <w:rFonts w:ascii="Calibri" w:hAnsi="Calibri"/>
                <w:b/>
                <w:bCs/>
                <w:color w:val="000000"/>
              </w:rPr>
              <w:t>143%</w:t>
            </w:r>
          </w:p>
        </w:tc>
      </w:tr>
    </w:tbl>
    <w:p w14:paraId="561BE139" w14:textId="77777777" w:rsidR="00013078" w:rsidRPr="00650291" w:rsidRDefault="00013078" w:rsidP="00013078">
      <w:pPr>
        <w:jc w:val="both"/>
        <w:rPr>
          <w:rFonts w:asciiTheme="minorHAnsi" w:eastAsia="Calibri" w:hAnsiTheme="minorHAnsi"/>
          <w:sz w:val="20"/>
          <w:szCs w:val="20"/>
        </w:rPr>
      </w:pPr>
    </w:p>
    <w:p w14:paraId="069C2B5E" w14:textId="77777777" w:rsidR="00013078" w:rsidRPr="00650291" w:rsidRDefault="00013078" w:rsidP="00013078">
      <w:pPr>
        <w:jc w:val="both"/>
        <w:rPr>
          <w:rFonts w:asciiTheme="minorHAnsi" w:eastAsia="Calibri" w:hAnsiTheme="minorHAnsi"/>
        </w:rPr>
      </w:pPr>
    </w:p>
    <w:p w14:paraId="30385897" w14:textId="77777777" w:rsidR="00013078" w:rsidRPr="00650291" w:rsidRDefault="00013078" w:rsidP="00013078">
      <w:pPr>
        <w:jc w:val="both"/>
        <w:rPr>
          <w:rFonts w:asciiTheme="minorHAnsi" w:eastAsia="Calibri" w:hAnsiTheme="minorHAnsi"/>
          <w:b/>
        </w:rPr>
      </w:pPr>
      <w:r w:rsidRPr="00650291">
        <w:rPr>
          <w:rFonts w:asciiTheme="minorHAnsi" w:eastAsia="Calibri" w:hAnsiTheme="minorHAnsi"/>
          <w:b/>
        </w:rPr>
        <w:t>Table 4d – Year-on-year market data spend (administrative and internal distribution)</w:t>
      </w:r>
    </w:p>
    <w:tbl>
      <w:tblPr>
        <w:tblW w:w="9583" w:type="dxa"/>
        <w:tblLook w:val="04A0" w:firstRow="1" w:lastRow="0" w:firstColumn="1" w:lastColumn="0" w:noHBand="0" w:noVBand="1"/>
      </w:tblPr>
      <w:tblGrid>
        <w:gridCol w:w="2778"/>
        <w:gridCol w:w="1361"/>
        <w:gridCol w:w="1361"/>
        <w:gridCol w:w="1361"/>
        <w:gridCol w:w="1361"/>
        <w:gridCol w:w="1361"/>
      </w:tblGrid>
      <w:tr w:rsidR="00013078" w:rsidRPr="00650291" w14:paraId="6E606C5A" w14:textId="77777777" w:rsidTr="00AE0577">
        <w:trPr>
          <w:trHeight w:val="300"/>
        </w:trPr>
        <w:tc>
          <w:tcPr>
            <w:tcW w:w="2778" w:type="dxa"/>
            <w:tcBorders>
              <w:top w:val="single" w:sz="8" w:space="0" w:color="auto"/>
              <w:left w:val="single" w:sz="8" w:space="0" w:color="auto"/>
              <w:bottom w:val="single" w:sz="4" w:space="0" w:color="auto"/>
              <w:right w:val="single" w:sz="4" w:space="0" w:color="auto"/>
            </w:tcBorders>
            <w:shd w:val="clear" w:color="000000" w:fill="44546A"/>
            <w:noWrap/>
            <w:vAlign w:val="bottom"/>
            <w:hideMark/>
          </w:tcPr>
          <w:p w14:paraId="7CAB6F78" w14:textId="77777777" w:rsidR="00013078" w:rsidRPr="0086576B" w:rsidRDefault="00013078" w:rsidP="00AE0577">
            <w:pPr>
              <w:jc w:val="both"/>
              <w:rPr>
                <w:rFonts w:asciiTheme="minorHAnsi" w:hAnsiTheme="minorHAnsi"/>
                <w:b/>
                <w:bCs/>
                <w:sz w:val="20"/>
                <w:szCs w:val="20"/>
              </w:rPr>
            </w:pPr>
            <w:r w:rsidRPr="0086576B">
              <w:rPr>
                <w:rFonts w:ascii="Calibri" w:hAnsi="Calibri"/>
                <w:b/>
                <w:bCs/>
              </w:rPr>
              <w:t>Exchange</w:t>
            </w:r>
          </w:p>
        </w:tc>
        <w:tc>
          <w:tcPr>
            <w:tcW w:w="1361" w:type="dxa"/>
            <w:tcBorders>
              <w:top w:val="single" w:sz="8" w:space="0" w:color="auto"/>
              <w:left w:val="nil"/>
              <w:bottom w:val="single" w:sz="4" w:space="0" w:color="auto"/>
              <w:right w:val="single" w:sz="4" w:space="0" w:color="auto"/>
            </w:tcBorders>
            <w:shd w:val="clear" w:color="000000" w:fill="44546A"/>
            <w:noWrap/>
            <w:vAlign w:val="bottom"/>
            <w:hideMark/>
          </w:tcPr>
          <w:p w14:paraId="57E04DE5" w14:textId="77777777" w:rsidR="00013078" w:rsidRPr="0086576B" w:rsidRDefault="00013078" w:rsidP="00AE0577">
            <w:pPr>
              <w:jc w:val="both"/>
              <w:rPr>
                <w:rFonts w:asciiTheme="minorHAnsi" w:hAnsiTheme="minorHAnsi"/>
                <w:b/>
                <w:bCs/>
                <w:sz w:val="20"/>
                <w:szCs w:val="20"/>
              </w:rPr>
            </w:pPr>
            <w:r w:rsidRPr="0086576B">
              <w:rPr>
                <w:rFonts w:ascii="Calibri" w:hAnsi="Calibri"/>
                <w:b/>
                <w:bCs/>
              </w:rPr>
              <w:t>Sum of 2016 Total in EUR</w:t>
            </w:r>
          </w:p>
        </w:tc>
        <w:tc>
          <w:tcPr>
            <w:tcW w:w="1361" w:type="dxa"/>
            <w:tcBorders>
              <w:top w:val="single" w:sz="8" w:space="0" w:color="auto"/>
              <w:left w:val="nil"/>
              <w:bottom w:val="single" w:sz="4" w:space="0" w:color="auto"/>
              <w:right w:val="single" w:sz="4" w:space="0" w:color="auto"/>
            </w:tcBorders>
            <w:shd w:val="clear" w:color="000000" w:fill="44546A"/>
            <w:noWrap/>
            <w:vAlign w:val="bottom"/>
            <w:hideMark/>
          </w:tcPr>
          <w:p w14:paraId="53193B68" w14:textId="77777777" w:rsidR="00013078" w:rsidRPr="0086576B" w:rsidRDefault="00013078" w:rsidP="00AE0577">
            <w:pPr>
              <w:jc w:val="both"/>
              <w:rPr>
                <w:rFonts w:asciiTheme="minorHAnsi" w:hAnsiTheme="minorHAnsi"/>
                <w:b/>
                <w:bCs/>
                <w:sz w:val="20"/>
                <w:szCs w:val="20"/>
              </w:rPr>
            </w:pPr>
            <w:r w:rsidRPr="0086576B">
              <w:rPr>
                <w:rFonts w:ascii="Calibri" w:hAnsi="Calibri"/>
                <w:b/>
                <w:bCs/>
              </w:rPr>
              <w:t>Sum of 2017 Total in EUR</w:t>
            </w:r>
          </w:p>
        </w:tc>
        <w:tc>
          <w:tcPr>
            <w:tcW w:w="1361" w:type="dxa"/>
            <w:tcBorders>
              <w:top w:val="single" w:sz="8" w:space="0" w:color="auto"/>
              <w:left w:val="nil"/>
              <w:bottom w:val="single" w:sz="4" w:space="0" w:color="auto"/>
              <w:right w:val="single" w:sz="4" w:space="0" w:color="auto"/>
            </w:tcBorders>
            <w:shd w:val="clear" w:color="000000" w:fill="44546A"/>
            <w:noWrap/>
            <w:vAlign w:val="bottom"/>
            <w:hideMark/>
          </w:tcPr>
          <w:p w14:paraId="0A08F03B" w14:textId="77777777" w:rsidR="00013078" w:rsidRPr="0086576B" w:rsidRDefault="00013078" w:rsidP="00AE0577">
            <w:pPr>
              <w:jc w:val="both"/>
              <w:rPr>
                <w:rFonts w:asciiTheme="minorHAnsi" w:hAnsiTheme="minorHAnsi"/>
                <w:b/>
                <w:bCs/>
                <w:sz w:val="20"/>
                <w:szCs w:val="20"/>
              </w:rPr>
            </w:pPr>
            <w:r w:rsidRPr="0086576B">
              <w:rPr>
                <w:rFonts w:ascii="Calibri" w:hAnsi="Calibri"/>
                <w:b/>
                <w:bCs/>
              </w:rPr>
              <w:t>Sum of 2018 Total in EUR</w:t>
            </w:r>
          </w:p>
        </w:tc>
        <w:tc>
          <w:tcPr>
            <w:tcW w:w="1361" w:type="dxa"/>
            <w:tcBorders>
              <w:top w:val="single" w:sz="8" w:space="0" w:color="auto"/>
              <w:left w:val="nil"/>
              <w:bottom w:val="single" w:sz="4" w:space="0" w:color="auto"/>
              <w:right w:val="nil"/>
            </w:tcBorders>
            <w:shd w:val="clear" w:color="000000" w:fill="44546A"/>
            <w:noWrap/>
            <w:vAlign w:val="bottom"/>
            <w:hideMark/>
          </w:tcPr>
          <w:p w14:paraId="13F4CD0C" w14:textId="77777777" w:rsidR="00013078" w:rsidRPr="0086576B" w:rsidRDefault="00013078" w:rsidP="00AE0577">
            <w:pPr>
              <w:jc w:val="both"/>
              <w:rPr>
                <w:rFonts w:asciiTheme="minorHAnsi" w:hAnsiTheme="minorHAnsi"/>
                <w:b/>
                <w:bCs/>
                <w:sz w:val="20"/>
                <w:szCs w:val="20"/>
              </w:rPr>
            </w:pPr>
            <w:r w:rsidRPr="0086576B">
              <w:rPr>
                <w:rFonts w:ascii="Calibri" w:hAnsi="Calibri"/>
                <w:b/>
                <w:bCs/>
              </w:rPr>
              <w:t>Sum of 2019 Total in EUR</w:t>
            </w:r>
          </w:p>
        </w:tc>
        <w:tc>
          <w:tcPr>
            <w:tcW w:w="1361" w:type="dxa"/>
            <w:tcBorders>
              <w:top w:val="single" w:sz="8" w:space="0" w:color="auto"/>
              <w:left w:val="single" w:sz="8" w:space="0" w:color="auto"/>
              <w:bottom w:val="single" w:sz="4" w:space="0" w:color="auto"/>
              <w:right w:val="single" w:sz="8" w:space="0" w:color="auto"/>
            </w:tcBorders>
            <w:shd w:val="clear" w:color="000000" w:fill="44546A"/>
            <w:noWrap/>
            <w:vAlign w:val="bottom"/>
            <w:hideMark/>
          </w:tcPr>
          <w:p w14:paraId="316AEF05" w14:textId="77777777" w:rsidR="00013078" w:rsidRPr="0086576B" w:rsidRDefault="00013078" w:rsidP="00AE0577">
            <w:pPr>
              <w:jc w:val="both"/>
              <w:rPr>
                <w:rFonts w:asciiTheme="minorHAnsi" w:hAnsiTheme="minorHAnsi"/>
                <w:b/>
                <w:bCs/>
                <w:sz w:val="20"/>
                <w:szCs w:val="20"/>
              </w:rPr>
            </w:pPr>
            <w:r w:rsidRPr="0086576B">
              <w:rPr>
                <w:rFonts w:ascii="Calibri" w:hAnsi="Calibri"/>
                <w:b/>
                <w:bCs/>
              </w:rPr>
              <w:t>% Change 2016-19</w:t>
            </w:r>
          </w:p>
        </w:tc>
      </w:tr>
      <w:tr w:rsidR="00013078" w:rsidRPr="00650291" w14:paraId="49EEC14F" w14:textId="77777777" w:rsidTr="00AE0577">
        <w:trPr>
          <w:trHeight w:val="300"/>
        </w:trPr>
        <w:tc>
          <w:tcPr>
            <w:tcW w:w="2778" w:type="dxa"/>
            <w:tcBorders>
              <w:top w:val="nil"/>
              <w:left w:val="single" w:sz="8" w:space="0" w:color="auto"/>
              <w:bottom w:val="single" w:sz="4" w:space="0" w:color="auto"/>
              <w:right w:val="single" w:sz="4" w:space="0" w:color="auto"/>
            </w:tcBorders>
            <w:shd w:val="clear" w:color="auto" w:fill="auto"/>
            <w:noWrap/>
            <w:vAlign w:val="bottom"/>
            <w:hideMark/>
          </w:tcPr>
          <w:p w14:paraId="0429BB39" w14:textId="77777777" w:rsidR="00013078" w:rsidRPr="00650291" w:rsidRDefault="00013078" w:rsidP="00AE0577">
            <w:pPr>
              <w:jc w:val="both"/>
              <w:rPr>
                <w:rFonts w:asciiTheme="minorHAnsi" w:hAnsiTheme="minorHAnsi"/>
                <w:color w:val="000000"/>
                <w:sz w:val="20"/>
                <w:szCs w:val="20"/>
              </w:rPr>
            </w:pPr>
            <w:proofErr w:type="spellStart"/>
            <w:r>
              <w:rPr>
                <w:rFonts w:ascii="Calibri" w:hAnsi="Calibri"/>
                <w:color w:val="000000"/>
              </w:rPr>
              <w:lastRenderedPageBreak/>
              <w:t>Bolsas</w:t>
            </w:r>
            <w:proofErr w:type="spellEnd"/>
            <w:r>
              <w:rPr>
                <w:rFonts w:ascii="Calibri" w:hAnsi="Calibri"/>
                <w:color w:val="000000"/>
              </w:rPr>
              <w:t xml:space="preserve"> y Mercado </w:t>
            </w:r>
            <w:proofErr w:type="spellStart"/>
            <w:r>
              <w:rPr>
                <w:rFonts w:ascii="Calibri" w:hAnsi="Calibri"/>
                <w:color w:val="000000"/>
              </w:rPr>
              <w:t>Espanoles</w:t>
            </w:r>
            <w:proofErr w:type="spellEnd"/>
          </w:p>
        </w:tc>
        <w:tc>
          <w:tcPr>
            <w:tcW w:w="1361" w:type="dxa"/>
            <w:tcBorders>
              <w:top w:val="nil"/>
              <w:left w:val="nil"/>
              <w:bottom w:val="single" w:sz="4" w:space="0" w:color="auto"/>
              <w:right w:val="single" w:sz="4" w:space="0" w:color="auto"/>
            </w:tcBorders>
            <w:shd w:val="clear" w:color="auto" w:fill="auto"/>
            <w:noWrap/>
            <w:vAlign w:val="bottom"/>
            <w:hideMark/>
          </w:tcPr>
          <w:p w14:paraId="50003D5E" w14:textId="77777777" w:rsidR="00013078" w:rsidRPr="00650291" w:rsidRDefault="00013078" w:rsidP="00AE0577">
            <w:pPr>
              <w:jc w:val="right"/>
              <w:rPr>
                <w:rFonts w:asciiTheme="minorHAnsi" w:hAnsiTheme="minorHAnsi"/>
                <w:color w:val="000000"/>
                <w:sz w:val="20"/>
                <w:szCs w:val="20"/>
              </w:rPr>
            </w:pPr>
            <w:r>
              <w:rPr>
                <w:rFonts w:ascii="Calibri" w:hAnsi="Calibri"/>
                <w:color w:val="000000"/>
              </w:rPr>
              <w:t>57,000</w:t>
            </w:r>
          </w:p>
        </w:tc>
        <w:tc>
          <w:tcPr>
            <w:tcW w:w="1361" w:type="dxa"/>
            <w:tcBorders>
              <w:top w:val="nil"/>
              <w:left w:val="nil"/>
              <w:bottom w:val="single" w:sz="4" w:space="0" w:color="auto"/>
              <w:right w:val="single" w:sz="4" w:space="0" w:color="auto"/>
            </w:tcBorders>
            <w:shd w:val="clear" w:color="auto" w:fill="auto"/>
            <w:noWrap/>
            <w:vAlign w:val="bottom"/>
            <w:hideMark/>
          </w:tcPr>
          <w:p w14:paraId="343F19D0" w14:textId="77777777" w:rsidR="00013078" w:rsidRPr="00650291" w:rsidRDefault="00013078" w:rsidP="00AE0577">
            <w:pPr>
              <w:jc w:val="right"/>
              <w:rPr>
                <w:rFonts w:asciiTheme="minorHAnsi" w:hAnsiTheme="minorHAnsi"/>
                <w:color w:val="000000"/>
                <w:sz w:val="20"/>
                <w:szCs w:val="20"/>
              </w:rPr>
            </w:pPr>
            <w:r>
              <w:rPr>
                <w:rFonts w:ascii="Calibri" w:hAnsi="Calibri"/>
                <w:color w:val="000000"/>
              </w:rPr>
              <w:t>57,000</w:t>
            </w:r>
          </w:p>
        </w:tc>
        <w:tc>
          <w:tcPr>
            <w:tcW w:w="1361" w:type="dxa"/>
            <w:tcBorders>
              <w:top w:val="nil"/>
              <w:left w:val="nil"/>
              <w:bottom w:val="single" w:sz="4" w:space="0" w:color="auto"/>
              <w:right w:val="single" w:sz="4" w:space="0" w:color="auto"/>
            </w:tcBorders>
            <w:shd w:val="clear" w:color="auto" w:fill="auto"/>
            <w:noWrap/>
            <w:vAlign w:val="bottom"/>
            <w:hideMark/>
          </w:tcPr>
          <w:p w14:paraId="73CE1228" w14:textId="77777777" w:rsidR="00013078" w:rsidRPr="00650291" w:rsidRDefault="00013078" w:rsidP="00AE0577">
            <w:pPr>
              <w:jc w:val="right"/>
              <w:rPr>
                <w:rFonts w:asciiTheme="minorHAnsi" w:hAnsiTheme="minorHAnsi"/>
                <w:color w:val="000000"/>
                <w:sz w:val="20"/>
                <w:szCs w:val="20"/>
              </w:rPr>
            </w:pPr>
            <w:r>
              <w:rPr>
                <w:rFonts w:ascii="Calibri" w:hAnsi="Calibri"/>
                <w:color w:val="000000"/>
              </w:rPr>
              <w:t>57,500</w:t>
            </w:r>
          </w:p>
        </w:tc>
        <w:tc>
          <w:tcPr>
            <w:tcW w:w="1361" w:type="dxa"/>
            <w:tcBorders>
              <w:top w:val="nil"/>
              <w:left w:val="nil"/>
              <w:bottom w:val="single" w:sz="4" w:space="0" w:color="auto"/>
              <w:right w:val="nil"/>
            </w:tcBorders>
            <w:shd w:val="clear" w:color="auto" w:fill="auto"/>
            <w:noWrap/>
            <w:vAlign w:val="bottom"/>
            <w:hideMark/>
          </w:tcPr>
          <w:p w14:paraId="439B8151" w14:textId="77777777" w:rsidR="00013078" w:rsidRPr="00650291" w:rsidRDefault="00013078" w:rsidP="00AE0577">
            <w:pPr>
              <w:jc w:val="right"/>
              <w:rPr>
                <w:rFonts w:asciiTheme="minorHAnsi" w:hAnsiTheme="minorHAnsi"/>
                <w:color w:val="000000"/>
                <w:sz w:val="20"/>
                <w:szCs w:val="20"/>
              </w:rPr>
            </w:pPr>
            <w:r>
              <w:rPr>
                <w:rFonts w:ascii="Calibri" w:hAnsi="Calibri"/>
                <w:color w:val="000000"/>
              </w:rPr>
              <w:t>57,500</w:t>
            </w:r>
          </w:p>
        </w:tc>
        <w:tc>
          <w:tcPr>
            <w:tcW w:w="1361" w:type="dxa"/>
            <w:tcBorders>
              <w:top w:val="nil"/>
              <w:left w:val="single" w:sz="8" w:space="0" w:color="auto"/>
              <w:bottom w:val="single" w:sz="4" w:space="0" w:color="auto"/>
              <w:right w:val="single" w:sz="8" w:space="0" w:color="auto"/>
            </w:tcBorders>
            <w:shd w:val="clear" w:color="000000" w:fill="DDEBF7"/>
            <w:noWrap/>
            <w:vAlign w:val="bottom"/>
            <w:hideMark/>
          </w:tcPr>
          <w:p w14:paraId="3FBCD2C6" w14:textId="77777777" w:rsidR="00013078" w:rsidRPr="00650291" w:rsidRDefault="00013078" w:rsidP="00AE0577">
            <w:pPr>
              <w:jc w:val="right"/>
              <w:rPr>
                <w:rFonts w:asciiTheme="minorHAnsi" w:hAnsiTheme="minorHAnsi"/>
                <w:b/>
                <w:bCs/>
                <w:color w:val="000000"/>
                <w:sz w:val="20"/>
                <w:szCs w:val="20"/>
              </w:rPr>
            </w:pPr>
            <w:r>
              <w:rPr>
                <w:rFonts w:ascii="Calibri" w:hAnsi="Calibri"/>
                <w:b/>
                <w:bCs/>
                <w:color w:val="000000"/>
              </w:rPr>
              <w:t>1%</w:t>
            </w:r>
          </w:p>
        </w:tc>
      </w:tr>
      <w:tr w:rsidR="00013078" w:rsidRPr="00650291" w14:paraId="789FF59B" w14:textId="77777777" w:rsidTr="00AE0577">
        <w:trPr>
          <w:trHeight w:val="300"/>
        </w:trPr>
        <w:tc>
          <w:tcPr>
            <w:tcW w:w="2778" w:type="dxa"/>
            <w:tcBorders>
              <w:top w:val="nil"/>
              <w:left w:val="single" w:sz="8" w:space="0" w:color="auto"/>
              <w:bottom w:val="single" w:sz="4" w:space="0" w:color="auto"/>
              <w:right w:val="single" w:sz="4" w:space="0" w:color="auto"/>
            </w:tcBorders>
            <w:shd w:val="clear" w:color="auto" w:fill="auto"/>
            <w:noWrap/>
            <w:vAlign w:val="bottom"/>
            <w:hideMark/>
          </w:tcPr>
          <w:p w14:paraId="677AC332" w14:textId="77777777" w:rsidR="00013078" w:rsidRPr="00650291" w:rsidRDefault="00013078" w:rsidP="00AE0577">
            <w:pPr>
              <w:jc w:val="both"/>
              <w:rPr>
                <w:rFonts w:asciiTheme="minorHAnsi" w:hAnsiTheme="minorHAnsi"/>
                <w:color w:val="000000"/>
                <w:sz w:val="20"/>
                <w:szCs w:val="20"/>
              </w:rPr>
            </w:pPr>
            <w:r>
              <w:rPr>
                <w:rFonts w:ascii="Calibri" w:hAnsi="Calibri"/>
                <w:color w:val="000000"/>
              </w:rPr>
              <w:t>ICE Europe</w:t>
            </w:r>
          </w:p>
        </w:tc>
        <w:tc>
          <w:tcPr>
            <w:tcW w:w="1361" w:type="dxa"/>
            <w:tcBorders>
              <w:top w:val="nil"/>
              <w:left w:val="nil"/>
              <w:bottom w:val="single" w:sz="4" w:space="0" w:color="auto"/>
              <w:right w:val="single" w:sz="4" w:space="0" w:color="auto"/>
            </w:tcBorders>
            <w:shd w:val="clear" w:color="auto" w:fill="auto"/>
            <w:noWrap/>
            <w:vAlign w:val="bottom"/>
            <w:hideMark/>
          </w:tcPr>
          <w:p w14:paraId="6B9F4AA6" w14:textId="77777777" w:rsidR="00013078" w:rsidRPr="00650291" w:rsidRDefault="00013078" w:rsidP="00AE0577">
            <w:pPr>
              <w:jc w:val="right"/>
              <w:rPr>
                <w:rFonts w:asciiTheme="minorHAnsi" w:hAnsiTheme="minorHAnsi"/>
                <w:color w:val="000000"/>
                <w:sz w:val="20"/>
                <w:szCs w:val="20"/>
              </w:rPr>
            </w:pPr>
            <w:r>
              <w:rPr>
                <w:rFonts w:ascii="Calibri" w:hAnsi="Calibri"/>
                <w:color w:val="000000"/>
              </w:rPr>
              <w:t>26,071</w:t>
            </w:r>
          </w:p>
        </w:tc>
        <w:tc>
          <w:tcPr>
            <w:tcW w:w="1361" w:type="dxa"/>
            <w:tcBorders>
              <w:top w:val="nil"/>
              <w:left w:val="nil"/>
              <w:bottom w:val="single" w:sz="4" w:space="0" w:color="auto"/>
              <w:right w:val="single" w:sz="4" w:space="0" w:color="auto"/>
            </w:tcBorders>
            <w:shd w:val="clear" w:color="auto" w:fill="auto"/>
            <w:noWrap/>
            <w:vAlign w:val="bottom"/>
            <w:hideMark/>
          </w:tcPr>
          <w:p w14:paraId="58FFBB50" w14:textId="77777777" w:rsidR="00013078" w:rsidRPr="00650291" w:rsidRDefault="00013078" w:rsidP="00AE0577">
            <w:pPr>
              <w:jc w:val="right"/>
              <w:rPr>
                <w:rFonts w:asciiTheme="minorHAnsi" w:hAnsiTheme="minorHAnsi"/>
                <w:color w:val="000000"/>
                <w:sz w:val="20"/>
                <w:szCs w:val="20"/>
              </w:rPr>
            </w:pPr>
            <w:r>
              <w:rPr>
                <w:rFonts w:ascii="Calibri" w:hAnsi="Calibri"/>
                <w:color w:val="000000"/>
              </w:rPr>
              <w:t>25,249</w:t>
            </w:r>
          </w:p>
        </w:tc>
        <w:tc>
          <w:tcPr>
            <w:tcW w:w="1361" w:type="dxa"/>
            <w:tcBorders>
              <w:top w:val="nil"/>
              <w:left w:val="nil"/>
              <w:bottom w:val="single" w:sz="4" w:space="0" w:color="auto"/>
              <w:right w:val="single" w:sz="4" w:space="0" w:color="auto"/>
            </w:tcBorders>
            <w:shd w:val="clear" w:color="auto" w:fill="auto"/>
            <w:noWrap/>
            <w:vAlign w:val="bottom"/>
            <w:hideMark/>
          </w:tcPr>
          <w:p w14:paraId="65C1D363" w14:textId="77777777" w:rsidR="00013078" w:rsidRPr="00650291" w:rsidRDefault="00013078" w:rsidP="00AE0577">
            <w:pPr>
              <w:jc w:val="right"/>
              <w:rPr>
                <w:rFonts w:asciiTheme="minorHAnsi" w:hAnsiTheme="minorHAnsi"/>
                <w:color w:val="000000"/>
                <w:sz w:val="20"/>
                <w:szCs w:val="20"/>
              </w:rPr>
            </w:pPr>
            <w:r>
              <w:rPr>
                <w:rFonts w:ascii="Calibri" w:hAnsi="Calibri"/>
                <w:color w:val="000000"/>
              </w:rPr>
              <w:t>28,831</w:t>
            </w:r>
          </w:p>
        </w:tc>
        <w:tc>
          <w:tcPr>
            <w:tcW w:w="1361" w:type="dxa"/>
            <w:tcBorders>
              <w:top w:val="nil"/>
              <w:left w:val="nil"/>
              <w:bottom w:val="single" w:sz="4" w:space="0" w:color="auto"/>
              <w:right w:val="nil"/>
            </w:tcBorders>
            <w:shd w:val="clear" w:color="auto" w:fill="auto"/>
            <w:noWrap/>
            <w:vAlign w:val="bottom"/>
            <w:hideMark/>
          </w:tcPr>
          <w:p w14:paraId="57D7694F" w14:textId="77777777" w:rsidR="00013078" w:rsidRPr="00650291" w:rsidRDefault="00013078" w:rsidP="00AE0577">
            <w:pPr>
              <w:jc w:val="right"/>
              <w:rPr>
                <w:rFonts w:asciiTheme="minorHAnsi" w:hAnsiTheme="minorHAnsi"/>
                <w:color w:val="000000"/>
                <w:sz w:val="20"/>
                <w:szCs w:val="20"/>
              </w:rPr>
            </w:pPr>
            <w:r>
              <w:rPr>
                <w:rFonts w:ascii="Calibri" w:hAnsi="Calibri"/>
                <w:color w:val="000000"/>
              </w:rPr>
              <w:t>27,510</w:t>
            </w:r>
          </w:p>
        </w:tc>
        <w:tc>
          <w:tcPr>
            <w:tcW w:w="1361" w:type="dxa"/>
            <w:tcBorders>
              <w:top w:val="nil"/>
              <w:left w:val="single" w:sz="8" w:space="0" w:color="auto"/>
              <w:bottom w:val="single" w:sz="4" w:space="0" w:color="auto"/>
              <w:right w:val="single" w:sz="8" w:space="0" w:color="auto"/>
            </w:tcBorders>
            <w:shd w:val="clear" w:color="000000" w:fill="DDEBF7"/>
            <w:noWrap/>
            <w:vAlign w:val="bottom"/>
            <w:hideMark/>
          </w:tcPr>
          <w:p w14:paraId="7DEFEE90" w14:textId="77777777" w:rsidR="00013078" w:rsidRPr="00650291" w:rsidRDefault="00013078" w:rsidP="00AE0577">
            <w:pPr>
              <w:jc w:val="right"/>
              <w:rPr>
                <w:rFonts w:asciiTheme="minorHAnsi" w:hAnsiTheme="minorHAnsi"/>
                <w:b/>
                <w:bCs/>
                <w:color w:val="000000"/>
                <w:sz w:val="20"/>
                <w:szCs w:val="20"/>
              </w:rPr>
            </w:pPr>
            <w:r>
              <w:rPr>
                <w:rFonts w:ascii="Calibri" w:hAnsi="Calibri"/>
                <w:b/>
                <w:bCs/>
                <w:color w:val="000000"/>
              </w:rPr>
              <w:t>6%</w:t>
            </w:r>
          </w:p>
        </w:tc>
      </w:tr>
      <w:tr w:rsidR="00013078" w:rsidRPr="00650291" w14:paraId="777F9DE3" w14:textId="77777777" w:rsidTr="00AE0577">
        <w:trPr>
          <w:trHeight w:val="300"/>
        </w:trPr>
        <w:tc>
          <w:tcPr>
            <w:tcW w:w="2778" w:type="dxa"/>
            <w:tcBorders>
              <w:top w:val="nil"/>
              <w:left w:val="single" w:sz="8" w:space="0" w:color="auto"/>
              <w:bottom w:val="single" w:sz="4" w:space="0" w:color="auto"/>
              <w:right w:val="single" w:sz="4" w:space="0" w:color="auto"/>
            </w:tcBorders>
            <w:shd w:val="clear" w:color="auto" w:fill="auto"/>
            <w:noWrap/>
            <w:vAlign w:val="bottom"/>
            <w:hideMark/>
          </w:tcPr>
          <w:p w14:paraId="2B9E3FB5" w14:textId="77777777" w:rsidR="00013078" w:rsidRPr="00650291" w:rsidRDefault="00013078" w:rsidP="00AE0577">
            <w:pPr>
              <w:jc w:val="both"/>
              <w:rPr>
                <w:rFonts w:asciiTheme="minorHAnsi" w:hAnsiTheme="minorHAnsi"/>
                <w:color w:val="000000"/>
                <w:sz w:val="20"/>
                <w:szCs w:val="20"/>
              </w:rPr>
            </w:pPr>
            <w:r>
              <w:rPr>
                <w:rFonts w:ascii="Calibri" w:hAnsi="Calibri"/>
                <w:color w:val="000000"/>
              </w:rPr>
              <w:t xml:space="preserve">Nasdaq Nordic </w:t>
            </w:r>
          </w:p>
        </w:tc>
        <w:tc>
          <w:tcPr>
            <w:tcW w:w="1361" w:type="dxa"/>
            <w:tcBorders>
              <w:top w:val="nil"/>
              <w:left w:val="nil"/>
              <w:bottom w:val="single" w:sz="4" w:space="0" w:color="auto"/>
              <w:right w:val="single" w:sz="4" w:space="0" w:color="auto"/>
            </w:tcBorders>
            <w:shd w:val="clear" w:color="auto" w:fill="auto"/>
            <w:noWrap/>
            <w:vAlign w:val="bottom"/>
            <w:hideMark/>
          </w:tcPr>
          <w:p w14:paraId="70FEDB17" w14:textId="77777777" w:rsidR="00013078" w:rsidRPr="00650291" w:rsidRDefault="00013078" w:rsidP="00AE0577">
            <w:pPr>
              <w:jc w:val="right"/>
              <w:rPr>
                <w:rFonts w:asciiTheme="minorHAnsi" w:hAnsiTheme="minorHAnsi"/>
                <w:color w:val="000000"/>
                <w:sz w:val="20"/>
                <w:szCs w:val="20"/>
              </w:rPr>
            </w:pPr>
            <w:r>
              <w:rPr>
                <w:rFonts w:ascii="Calibri" w:hAnsi="Calibri"/>
                <w:color w:val="000000"/>
              </w:rPr>
              <w:t>7,000</w:t>
            </w:r>
          </w:p>
        </w:tc>
        <w:tc>
          <w:tcPr>
            <w:tcW w:w="1361" w:type="dxa"/>
            <w:tcBorders>
              <w:top w:val="nil"/>
              <w:left w:val="nil"/>
              <w:bottom w:val="single" w:sz="4" w:space="0" w:color="auto"/>
              <w:right w:val="single" w:sz="4" w:space="0" w:color="auto"/>
            </w:tcBorders>
            <w:shd w:val="clear" w:color="auto" w:fill="auto"/>
            <w:noWrap/>
            <w:vAlign w:val="bottom"/>
            <w:hideMark/>
          </w:tcPr>
          <w:p w14:paraId="7C280779" w14:textId="77777777" w:rsidR="00013078" w:rsidRPr="00650291" w:rsidRDefault="00013078" w:rsidP="00AE0577">
            <w:pPr>
              <w:jc w:val="right"/>
              <w:rPr>
                <w:rFonts w:asciiTheme="minorHAnsi" w:hAnsiTheme="minorHAnsi"/>
                <w:color w:val="000000"/>
                <w:sz w:val="20"/>
                <w:szCs w:val="20"/>
              </w:rPr>
            </w:pPr>
            <w:r>
              <w:rPr>
                <w:rFonts w:ascii="Calibri" w:hAnsi="Calibri"/>
                <w:color w:val="000000"/>
              </w:rPr>
              <w:t>6,800</w:t>
            </w:r>
          </w:p>
        </w:tc>
        <w:tc>
          <w:tcPr>
            <w:tcW w:w="1361" w:type="dxa"/>
            <w:tcBorders>
              <w:top w:val="nil"/>
              <w:left w:val="nil"/>
              <w:bottom w:val="single" w:sz="4" w:space="0" w:color="auto"/>
              <w:right w:val="single" w:sz="4" w:space="0" w:color="auto"/>
            </w:tcBorders>
            <w:shd w:val="clear" w:color="auto" w:fill="auto"/>
            <w:noWrap/>
            <w:vAlign w:val="bottom"/>
            <w:hideMark/>
          </w:tcPr>
          <w:p w14:paraId="26B3B28E" w14:textId="77777777" w:rsidR="00013078" w:rsidRPr="00650291" w:rsidRDefault="00013078" w:rsidP="00AE0577">
            <w:pPr>
              <w:jc w:val="right"/>
              <w:rPr>
                <w:rFonts w:asciiTheme="minorHAnsi" w:hAnsiTheme="minorHAnsi"/>
                <w:color w:val="000000"/>
                <w:sz w:val="20"/>
                <w:szCs w:val="20"/>
              </w:rPr>
            </w:pPr>
            <w:r>
              <w:rPr>
                <w:rFonts w:ascii="Calibri" w:hAnsi="Calibri"/>
                <w:color w:val="000000"/>
              </w:rPr>
              <w:t>7,200</w:t>
            </w:r>
          </w:p>
        </w:tc>
        <w:tc>
          <w:tcPr>
            <w:tcW w:w="1361" w:type="dxa"/>
            <w:tcBorders>
              <w:top w:val="nil"/>
              <w:left w:val="nil"/>
              <w:bottom w:val="single" w:sz="4" w:space="0" w:color="auto"/>
              <w:right w:val="nil"/>
            </w:tcBorders>
            <w:shd w:val="clear" w:color="auto" w:fill="auto"/>
            <w:noWrap/>
            <w:vAlign w:val="bottom"/>
            <w:hideMark/>
          </w:tcPr>
          <w:p w14:paraId="56D5C654" w14:textId="77777777" w:rsidR="00013078" w:rsidRPr="00650291" w:rsidRDefault="00013078" w:rsidP="00AE0577">
            <w:pPr>
              <w:jc w:val="right"/>
              <w:rPr>
                <w:rFonts w:asciiTheme="minorHAnsi" w:hAnsiTheme="minorHAnsi"/>
                <w:color w:val="000000"/>
                <w:sz w:val="20"/>
                <w:szCs w:val="20"/>
              </w:rPr>
            </w:pPr>
            <w:r>
              <w:rPr>
                <w:rFonts w:ascii="Calibri" w:hAnsi="Calibri"/>
                <w:color w:val="000000"/>
              </w:rPr>
              <w:t>7,200</w:t>
            </w:r>
          </w:p>
        </w:tc>
        <w:tc>
          <w:tcPr>
            <w:tcW w:w="1361" w:type="dxa"/>
            <w:tcBorders>
              <w:top w:val="nil"/>
              <w:left w:val="single" w:sz="8" w:space="0" w:color="auto"/>
              <w:bottom w:val="single" w:sz="4" w:space="0" w:color="auto"/>
              <w:right w:val="single" w:sz="8" w:space="0" w:color="auto"/>
            </w:tcBorders>
            <w:shd w:val="clear" w:color="000000" w:fill="DDEBF7"/>
            <w:noWrap/>
            <w:vAlign w:val="bottom"/>
            <w:hideMark/>
          </w:tcPr>
          <w:p w14:paraId="62266F10" w14:textId="77777777" w:rsidR="00013078" w:rsidRPr="00650291" w:rsidRDefault="00013078" w:rsidP="00AE0577">
            <w:pPr>
              <w:jc w:val="right"/>
              <w:rPr>
                <w:rFonts w:asciiTheme="minorHAnsi" w:hAnsiTheme="minorHAnsi"/>
                <w:b/>
                <w:bCs/>
                <w:color w:val="000000"/>
                <w:sz w:val="20"/>
                <w:szCs w:val="20"/>
              </w:rPr>
            </w:pPr>
            <w:r>
              <w:rPr>
                <w:rFonts w:ascii="Calibri" w:hAnsi="Calibri"/>
                <w:b/>
                <w:bCs/>
                <w:color w:val="000000"/>
              </w:rPr>
              <w:t>3%</w:t>
            </w:r>
          </w:p>
        </w:tc>
      </w:tr>
      <w:tr w:rsidR="00013078" w:rsidRPr="00650291" w14:paraId="7685BBB8" w14:textId="77777777" w:rsidTr="00AE0577">
        <w:trPr>
          <w:trHeight w:val="315"/>
        </w:trPr>
        <w:tc>
          <w:tcPr>
            <w:tcW w:w="2778" w:type="dxa"/>
            <w:tcBorders>
              <w:top w:val="nil"/>
              <w:left w:val="single" w:sz="8" w:space="0" w:color="auto"/>
              <w:bottom w:val="nil"/>
              <w:right w:val="single" w:sz="4" w:space="0" w:color="auto"/>
            </w:tcBorders>
            <w:shd w:val="clear" w:color="auto" w:fill="auto"/>
            <w:noWrap/>
            <w:vAlign w:val="bottom"/>
            <w:hideMark/>
          </w:tcPr>
          <w:p w14:paraId="75D90EF0" w14:textId="0EE5D354" w:rsidR="00013078" w:rsidRPr="00650291" w:rsidRDefault="00013078" w:rsidP="00AE0577">
            <w:pPr>
              <w:jc w:val="both"/>
              <w:rPr>
                <w:rFonts w:asciiTheme="minorHAnsi" w:hAnsiTheme="minorHAnsi"/>
                <w:color w:val="000000"/>
                <w:sz w:val="20"/>
                <w:szCs w:val="20"/>
              </w:rPr>
            </w:pPr>
            <w:r>
              <w:rPr>
                <w:rFonts w:ascii="Calibri" w:hAnsi="Calibri"/>
                <w:color w:val="000000"/>
              </w:rPr>
              <w:t xml:space="preserve">Wiener </w:t>
            </w:r>
            <w:r w:rsidR="00492E53">
              <w:rPr>
                <w:rFonts w:ascii="Calibri" w:hAnsi="Calibri"/>
                <w:color w:val="000000"/>
              </w:rPr>
              <w:t>Boerse</w:t>
            </w:r>
          </w:p>
        </w:tc>
        <w:tc>
          <w:tcPr>
            <w:tcW w:w="1361" w:type="dxa"/>
            <w:tcBorders>
              <w:top w:val="nil"/>
              <w:left w:val="nil"/>
              <w:bottom w:val="nil"/>
              <w:right w:val="single" w:sz="4" w:space="0" w:color="auto"/>
            </w:tcBorders>
            <w:shd w:val="clear" w:color="auto" w:fill="auto"/>
            <w:noWrap/>
            <w:vAlign w:val="bottom"/>
            <w:hideMark/>
          </w:tcPr>
          <w:p w14:paraId="231F0899" w14:textId="77777777" w:rsidR="00013078" w:rsidRPr="00650291" w:rsidRDefault="00013078" w:rsidP="00AE0577">
            <w:pPr>
              <w:jc w:val="right"/>
              <w:rPr>
                <w:rFonts w:asciiTheme="minorHAnsi" w:hAnsiTheme="minorHAnsi"/>
                <w:color w:val="000000"/>
                <w:sz w:val="20"/>
                <w:szCs w:val="20"/>
              </w:rPr>
            </w:pPr>
            <w:r>
              <w:rPr>
                <w:rFonts w:ascii="Calibri" w:hAnsi="Calibri"/>
                <w:color w:val="000000"/>
              </w:rPr>
              <w:t>6,900</w:t>
            </w:r>
          </w:p>
        </w:tc>
        <w:tc>
          <w:tcPr>
            <w:tcW w:w="1361" w:type="dxa"/>
            <w:tcBorders>
              <w:top w:val="nil"/>
              <w:left w:val="nil"/>
              <w:bottom w:val="nil"/>
              <w:right w:val="single" w:sz="4" w:space="0" w:color="auto"/>
            </w:tcBorders>
            <w:shd w:val="clear" w:color="auto" w:fill="auto"/>
            <w:noWrap/>
            <w:vAlign w:val="bottom"/>
            <w:hideMark/>
          </w:tcPr>
          <w:p w14:paraId="78998F59" w14:textId="77777777" w:rsidR="00013078" w:rsidRPr="00650291" w:rsidRDefault="00013078" w:rsidP="00AE0577">
            <w:pPr>
              <w:jc w:val="right"/>
              <w:rPr>
                <w:rFonts w:asciiTheme="minorHAnsi" w:hAnsiTheme="minorHAnsi"/>
                <w:color w:val="000000"/>
                <w:sz w:val="20"/>
                <w:szCs w:val="20"/>
              </w:rPr>
            </w:pPr>
            <w:r>
              <w:rPr>
                <w:rFonts w:ascii="Calibri" w:hAnsi="Calibri"/>
                <w:color w:val="000000"/>
              </w:rPr>
              <w:t>6,900</w:t>
            </w:r>
          </w:p>
        </w:tc>
        <w:tc>
          <w:tcPr>
            <w:tcW w:w="1361" w:type="dxa"/>
            <w:tcBorders>
              <w:top w:val="nil"/>
              <w:left w:val="nil"/>
              <w:bottom w:val="nil"/>
              <w:right w:val="single" w:sz="4" w:space="0" w:color="auto"/>
            </w:tcBorders>
            <w:shd w:val="clear" w:color="auto" w:fill="auto"/>
            <w:noWrap/>
            <w:vAlign w:val="bottom"/>
            <w:hideMark/>
          </w:tcPr>
          <w:p w14:paraId="361D4B42" w14:textId="77777777" w:rsidR="00013078" w:rsidRPr="00650291" w:rsidRDefault="00013078" w:rsidP="00AE0577">
            <w:pPr>
              <w:jc w:val="right"/>
              <w:rPr>
                <w:rFonts w:asciiTheme="minorHAnsi" w:hAnsiTheme="minorHAnsi"/>
                <w:color w:val="000000"/>
                <w:sz w:val="20"/>
                <w:szCs w:val="20"/>
              </w:rPr>
            </w:pPr>
            <w:r>
              <w:rPr>
                <w:rFonts w:ascii="Calibri" w:hAnsi="Calibri"/>
                <w:color w:val="000000"/>
              </w:rPr>
              <w:t>9,720</w:t>
            </w:r>
          </w:p>
        </w:tc>
        <w:tc>
          <w:tcPr>
            <w:tcW w:w="1361" w:type="dxa"/>
            <w:tcBorders>
              <w:top w:val="nil"/>
              <w:left w:val="nil"/>
              <w:bottom w:val="nil"/>
              <w:right w:val="nil"/>
            </w:tcBorders>
            <w:shd w:val="clear" w:color="auto" w:fill="auto"/>
            <w:noWrap/>
            <w:vAlign w:val="bottom"/>
            <w:hideMark/>
          </w:tcPr>
          <w:p w14:paraId="1CDCFB9F" w14:textId="77777777" w:rsidR="00013078" w:rsidRPr="00650291" w:rsidRDefault="00013078" w:rsidP="00AE0577">
            <w:pPr>
              <w:jc w:val="right"/>
              <w:rPr>
                <w:rFonts w:asciiTheme="minorHAnsi" w:hAnsiTheme="minorHAnsi"/>
                <w:color w:val="000000"/>
                <w:sz w:val="20"/>
                <w:szCs w:val="20"/>
              </w:rPr>
            </w:pPr>
            <w:r>
              <w:rPr>
                <w:rFonts w:ascii="Calibri" w:hAnsi="Calibri"/>
                <w:color w:val="000000"/>
              </w:rPr>
              <w:t>9,720</w:t>
            </w:r>
          </w:p>
        </w:tc>
        <w:tc>
          <w:tcPr>
            <w:tcW w:w="1361" w:type="dxa"/>
            <w:tcBorders>
              <w:top w:val="nil"/>
              <w:left w:val="single" w:sz="8" w:space="0" w:color="auto"/>
              <w:bottom w:val="single" w:sz="4" w:space="0" w:color="auto"/>
              <w:right w:val="single" w:sz="8" w:space="0" w:color="auto"/>
            </w:tcBorders>
            <w:shd w:val="clear" w:color="000000" w:fill="DDEBF7"/>
            <w:noWrap/>
            <w:vAlign w:val="bottom"/>
            <w:hideMark/>
          </w:tcPr>
          <w:p w14:paraId="64ADB1AA" w14:textId="77777777" w:rsidR="00013078" w:rsidRPr="00650291" w:rsidRDefault="00013078" w:rsidP="00AE0577">
            <w:pPr>
              <w:jc w:val="right"/>
              <w:rPr>
                <w:rFonts w:asciiTheme="minorHAnsi" w:hAnsiTheme="minorHAnsi"/>
                <w:b/>
                <w:bCs/>
                <w:color w:val="000000"/>
                <w:sz w:val="20"/>
                <w:szCs w:val="20"/>
              </w:rPr>
            </w:pPr>
            <w:r>
              <w:rPr>
                <w:rFonts w:ascii="Calibri" w:hAnsi="Calibri"/>
                <w:b/>
                <w:bCs/>
                <w:color w:val="000000"/>
              </w:rPr>
              <w:t>41%</w:t>
            </w:r>
          </w:p>
        </w:tc>
      </w:tr>
      <w:tr w:rsidR="00013078" w:rsidRPr="00650291" w14:paraId="4120171F" w14:textId="77777777" w:rsidTr="00AE0577">
        <w:trPr>
          <w:trHeight w:val="315"/>
        </w:trPr>
        <w:tc>
          <w:tcPr>
            <w:tcW w:w="2778" w:type="dxa"/>
            <w:tcBorders>
              <w:top w:val="single" w:sz="8" w:space="0" w:color="auto"/>
              <w:left w:val="single" w:sz="8" w:space="0" w:color="auto"/>
              <w:bottom w:val="single" w:sz="8" w:space="0" w:color="auto"/>
              <w:right w:val="single" w:sz="4" w:space="0" w:color="auto"/>
            </w:tcBorders>
            <w:shd w:val="clear" w:color="DDEBF7" w:fill="DDEBF7"/>
            <w:noWrap/>
            <w:vAlign w:val="bottom"/>
            <w:hideMark/>
          </w:tcPr>
          <w:p w14:paraId="037F7071" w14:textId="77777777" w:rsidR="00013078" w:rsidRPr="00650291" w:rsidRDefault="00013078" w:rsidP="00AE0577">
            <w:pPr>
              <w:jc w:val="both"/>
              <w:rPr>
                <w:rFonts w:asciiTheme="minorHAnsi" w:hAnsiTheme="minorHAnsi"/>
                <w:b/>
                <w:bCs/>
                <w:color w:val="000000"/>
                <w:sz w:val="20"/>
                <w:szCs w:val="20"/>
              </w:rPr>
            </w:pPr>
            <w:r>
              <w:rPr>
                <w:rFonts w:ascii="Calibri" w:hAnsi="Calibri"/>
                <w:b/>
                <w:bCs/>
                <w:color w:val="000000"/>
              </w:rPr>
              <w:t>Grand Total</w:t>
            </w:r>
          </w:p>
        </w:tc>
        <w:tc>
          <w:tcPr>
            <w:tcW w:w="1361" w:type="dxa"/>
            <w:tcBorders>
              <w:top w:val="single" w:sz="8" w:space="0" w:color="auto"/>
              <w:left w:val="nil"/>
              <w:bottom w:val="single" w:sz="8" w:space="0" w:color="auto"/>
              <w:right w:val="single" w:sz="4" w:space="0" w:color="auto"/>
            </w:tcBorders>
            <w:shd w:val="clear" w:color="DDEBF7" w:fill="DDEBF7"/>
            <w:noWrap/>
            <w:vAlign w:val="bottom"/>
            <w:hideMark/>
          </w:tcPr>
          <w:p w14:paraId="4B09566C" w14:textId="77777777" w:rsidR="00013078" w:rsidRPr="00650291" w:rsidRDefault="00013078" w:rsidP="00AE0577">
            <w:pPr>
              <w:jc w:val="right"/>
              <w:rPr>
                <w:rFonts w:asciiTheme="minorHAnsi" w:hAnsiTheme="minorHAnsi"/>
                <w:b/>
                <w:bCs/>
                <w:color w:val="000000"/>
                <w:sz w:val="20"/>
                <w:szCs w:val="20"/>
              </w:rPr>
            </w:pPr>
            <w:r>
              <w:rPr>
                <w:rFonts w:ascii="Calibri" w:hAnsi="Calibri"/>
                <w:b/>
                <w:bCs/>
                <w:color w:val="000000"/>
              </w:rPr>
              <w:t>96,971</w:t>
            </w:r>
          </w:p>
        </w:tc>
        <w:tc>
          <w:tcPr>
            <w:tcW w:w="1361" w:type="dxa"/>
            <w:tcBorders>
              <w:top w:val="single" w:sz="8" w:space="0" w:color="auto"/>
              <w:left w:val="nil"/>
              <w:bottom w:val="single" w:sz="8" w:space="0" w:color="auto"/>
              <w:right w:val="single" w:sz="4" w:space="0" w:color="auto"/>
            </w:tcBorders>
            <w:shd w:val="clear" w:color="DDEBF7" w:fill="DDEBF7"/>
            <w:noWrap/>
            <w:vAlign w:val="bottom"/>
            <w:hideMark/>
          </w:tcPr>
          <w:p w14:paraId="40454FFD" w14:textId="77777777" w:rsidR="00013078" w:rsidRPr="00650291" w:rsidRDefault="00013078" w:rsidP="00AE0577">
            <w:pPr>
              <w:jc w:val="right"/>
              <w:rPr>
                <w:rFonts w:asciiTheme="minorHAnsi" w:hAnsiTheme="minorHAnsi"/>
                <w:b/>
                <w:bCs/>
                <w:color w:val="000000"/>
                <w:sz w:val="20"/>
                <w:szCs w:val="20"/>
              </w:rPr>
            </w:pPr>
            <w:r>
              <w:rPr>
                <w:rFonts w:ascii="Calibri" w:hAnsi="Calibri"/>
                <w:b/>
                <w:bCs/>
                <w:color w:val="000000"/>
              </w:rPr>
              <w:t>95,949</w:t>
            </w:r>
          </w:p>
        </w:tc>
        <w:tc>
          <w:tcPr>
            <w:tcW w:w="1361" w:type="dxa"/>
            <w:tcBorders>
              <w:top w:val="single" w:sz="8" w:space="0" w:color="auto"/>
              <w:left w:val="nil"/>
              <w:bottom w:val="single" w:sz="8" w:space="0" w:color="auto"/>
              <w:right w:val="single" w:sz="4" w:space="0" w:color="auto"/>
            </w:tcBorders>
            <w:shd w:val="clear" w:color="DDEBF7" w:fill="DDEBF7"/>
            <w:noWrap/>
            <w:vAlign w:val="bottom"/>
            <w:hideMark/>
          </w:tcPr>
          <w:p w14:paraId="3E1A862F" w14:textId="77777777" w:rsidR="00013078" w:rsidRPr="00650291" w:rsidRDefault="00013078" w:rsidP="00AE0577">
            <w:pPr>
              <w:jc w:val="right"/>
              <w:rPr>
                <w:rFonts w:asciiTheme="minorHAnsi" w:hAnsiTheme="minorHAnsi"/>
                <w:b/>
                <w:bCs/>
                <w:color w:val="000000"/>
                <w:sz w:val="20"/>
                <w:szCs w:val="20"/>
              </w:rPr>
            </w:pPr>
            <w:r>
              <w:rPr>
                <w:rFonts w:ascii="Calibri" w:hAnsi="Calibri"/>
                <w:b/>
                <w:bCs/>
                <w:color w:val="000000"/>
              </w:rPr>
              <w:t>103,251</w:t>
            </w:r>
          </w:p>
        </w:tc>
        <w:tc>
          <w:tcPr>
            <w:tcW w:w="1361" w:type="dxa"/>
            <w:tcBorders>
              <w:top w:val="single" w:sz="8" w:space="0" w:color="auto"/>
              <w:left w:val="nil"/>
              <w:bottom w:val="single" w:sz="8" w:space="0" w:color="auto"/>
              <w:right w:val="nil"/>
            </w:tcBorders>
            <w:shd w:val="clear" w:color="DDEBF7" w:fill="DDEBF7"/>
            <w:noWrap/>
            <w:vAlign w:val="bottom"/>
            <w:hideMark/>
          </w:tcPr>
          <w:p w14:paraId="1A9A9AC9" w14:textId="77777777" w:rsidR="00013078" w:rsidRPr="00650291" w:rsidRDefault="00013078" w:rsidP="00AE0577">
            <w:pPr>
              <w:jc w:val="right"/>
              <w:rPr>
                <w:rFonts w:asciiTheme="minorHAnsi" w:hAnsiTheme="minorHAnsi"/>
                <w:b/>
                <w:bCs/>
                <w:color w:val="000000"/>
                <w:sz w:val="20"/>
                <w:szCs w:val="20"/>
              </w:rPr>
            </w:pPr>
            <w:r>
              <w:rPr>
                <w:rFonts w:ascii="Calibri" w:hAnsi="Calibri"/>
                <w:b/>
                <w:bCs/>
                <w:color w:val="000000"/>
              </w:rPr>
              <w:t>101,930</w:t>
            </w:r>
          </w:p>
        </w:tc>
        <w:tc>
          <w:tcPr>
            <w:tcW w:w="1361" w:type="dxa"/>
            <w:tcBorders>
              <w:top w:val="single" w:sz="8" w:space="0" w:color="auto"/>
              <w:left w:val="single" w:sz="8" w:space="0" w:color="auto"/>
              <w:bottom w:val="single" w:sz="8" w:space="0" w:color="auto"/>
              <w:right w:val="single" w:sz="8" w:space="0" w:color="auto"/>
            </w:tcBorders>
            <w:shd w:val="clear" w:color="000000" w:fill="DDEBF7"/>
            <w:noWrap/>
            <w:vAlign w:val="bottom"/>
            <w:hideMark/>
          </w:tcPr>
          <w:p w14:paraId="3830BF1A" w14:textId="77777777" w:rsidR="00013078" w:rsidRPr="00650291" w:rsidRDefault="00013078" w:rsidP="00AE0577">
            <w:pPr>
              <w:jc w:val="right"/>
              <w:rPr>
                <w:rFonts w:asciiTheme="minorHAnsi" w:hAnsiTheme="minorHAnsi"/>
                <w:b/>
                <w:bCs/>
                <w:color w:val="000000"/>
                <w:sz w:val="20"/>
                <w:szCs w:val="20"/>
              </w:rPr>
            </w:pPr>
            <w:r>
              <w:rPr>
                <w:rFonts w:ascii="Calibri" w:hAnsi="Calibri"/>
                <w:b/>
                <w:bCs/>
                <w:color w:val="000000"/>
              </w:rPr>
              <w:t>5%</w:t>
            </w:r>
          </w:p>
        </w:tc>
      </w:tr>
    </w:tbl>
    <w:p w14:paraId="0723CF77" w14:textId="77777777" w:rsidR="00013078" w:rsidRPr="00650291" w:rsidRDefault="00013078" w:rsidP="00013078">
      <w:pPr>
        <w:jc w:val="both"/>
        <w:rPr>
          <w:rFonts w:asciiTheme="minorHAnsi" w:eastAsia="Calibri" w:hAnsiTheme="minorHAnsi"/>
        </w:rPr>
      </w:pPr>
    </w:p>
    <w:p w14:paraId="03DABB7C" w14:textId="77777777" w:rsidR="00013078" w:rsidRPr="00650291" w:rsidRDefault="00013078" w:rsidP="00013078">
      <w:pPr>
        <w:jc w:val="both"/>
        <w:rPr>
          <w:rFonts w:asciiTheme="minorHAnsi" w:eastAsia="Calibri" w:hAnsiTheme="minorHAnsi"/>
        </w:rPr>
      </w:pPr>
      <w:r w:rsidRPr="00650291">
        <w:rPr>
          <w:rFonts w:asciiTheme="minorHAnsi" w:eastAsia="Calibri" w:hAnsiTheme="minorHAnsi"/>
        </w:rPr>
        <w:t>As the tables above highlight, once one drills into the detail below the top-line increase for the hypothetical firm, there is a wide variation in both the absolute costs across EU venues and the year-on-year percentage changes. Notably, the display user costs increase on a relatively modest basis</w:t>
      </w:r>
      <w:r>
        <w:rPr>
          <w:rFonts w:asciiTheme="minorHAnsi" w:eastAsia="Calibri" w:hAnsiTheme="minorHAnsi"/>
        </w:rPr>
        <w:t xml:space="preserve"> </w:t>
      </w:r>
      <w:r w:rsidRPr="00650291">
        <w:rPr>
          <w:rFonts w:asciiTheme="minorHAnsi" w:eastAsia="Calibri" w:hAnsiTheme="minorHAnsi"/>
        </w:rPr>
        <w:t>in percentage terms and have a relative low absolute cost in our model firm given the relatively low number of display users. Non-display usage accounts for the bulk of the absolute spend for our model firm and shows a larger percentage increase when compared with display use. As further explained in our response to Question 3 the largest percentage increase in costs over the period arose from non-trading uses for non-display data. The contribution here comes from a mixture of relatively large percentage increases on certain trading venues alongside other venues adding this as a new explicit pricing category from 2018.</w:t>
      </w:r>
    </w:p>
    <w:p w14:paraId="795740D0" w14:textId="77777777" w:rsidR="00013078" w:rsidRPr="00650291" w:rsidRDefault="00013078" w:rsidP="00013078">
      <w:pPr>
        <w:jc w:val="both"/>
        <w:rPr>
          <w:rFonts w:asciiTheme="minorHAnsi" w:eastAsia="Calibri" w:hAnsiTheme="minorHAnsi"/>
        </w:rPr>
      </w:pPr>
    </w:p>
    <w:p w14:paraId="235E5151" w14:textId="77777777" w:rsidR="00013078" w:rsidRPr="00650291" w:rsidRDefault="00013078" w:rsidP="00013078">
      <w:pPr>
        <w:jc w:val="both"/>
        <w:rPr>
          <w:rFonts w:asciiTheme="minorHAnsi" w:eastAsia="Calibri" w:hAnsiTheme="minorHAnsi"/>
        </w:rPr>
      </w:pPr>
      <w:r w:rsidRPr="00650291">
        <w:rPr>
          <w:rFonts w:asciiTheme="minorHAnsi" w:eastAsia="Calibri" w:hAnsiTheme="minorHAnsi"/>
        </w:rPr>
        <w:t>One of the major market structure changes arising from the implementation of MiFID 2 was the broad increase in the number of EU investment firms registering and operating systematic internalisers (SIs) in EU equities. As further set out in our response to Question 3, if our hypothetical principal trading firm had registered as an SI at the start of 2018 it would have seen a more significant increase of ~ 8</w:t>
      </w:r>
      <w:r>
        <w:rPr>
          <w:rFonts w:asciiTheme="minorHAnsi" w:eastAsia="Calibri" w:hAnsiTheme="minorHAnsi"/>
        </w:rPr>
        <w:t>3</w:t>
      </w:r>
      <w:r w:rsidRPr="00650291">
        <w:rPr>
          <w:rFonts w:asciiTheme="minorHAnsi" w:eastAsia="Calibri" w:hAnsiTheme="minorHAnsi"/>
        </w:rPr>
        <w:t xml:space="preserve">% in overall costs. </w:t>
      </w:r>
    </w:p>
    <w:p w14:paraId="74625DAD" w14:textId="77777777" w:rsidR="00013078" w:rsidRPr="00650291" w:rsidRDefault="00013078" w:rsidP="00013078">
      <w:pPr>
        <w:jc w:val="both"/>
        <w:rPr>
          <w:rFonts w:asciiTheme="minorHAnsi" w:eastAsia="Calibri" w:hAnsiTheme="minorHAnsi"/>
        </w:rPr>
      </w:pPr>
    </w:p>
    <w:p w14:paraId="7CB09A19" w14:textId="77777777" w:rsidR="00013078" w:rsidRPr="00650291" w:rsidRDefault="00013078" w:rsidP="00013078">
      <w:pPr>
        <w:jc w:val="both"/>
        <w:rPr>
          <w:rFonts w:asciiTheme="minorHAnsi" w:eastAsia="Calibri" w:hAnsiTheme="minorHAnsi"/>
          <w:b/>
        </w:rPr>
      </w:pPr>
      <w:r w:rsidRPr="00650291">
        <w:rPr>
          <w:rFonts w:asciiTheme="minorHAnsi" w:eastAsia="Calibri" w:hAnsiTheme="minorHAnsi"/>
          <w:b/>
        </w:rPr>
        <w:t xml:space="preserve">Table 5 – Year-on-year total market data spend including market data cost linked to operating an SI in EU equities from 2018. </w:t>
      </w:r>
    </w:p>
    <w:tbl>
      <w:tblPr>
        <w:tblW w:w="9583" w:type="dxa"/>
        <w:tblLook w:val="04A0" w:firstRow="1" w:lastRow="0" w:firstColumn="1" w:lastColumn="0" w:noHBand="0" w:noVBand="1"/>
      </w:tblPr>
      <w:tblGrid>
        <w:gridCol w:w="2778"/>
        <w:gridCol w:w="1361"/>
        <w:gridCol w:w="1361"/>
        <w:gridCol w:w="1361"/>
        <w:gridCol w:w="1361"/>
        <w:gridCol w:w="1361"/>
      </w:tblGrid>
      <w:tr w:rsidR="00013078" w:rsidRPr="00650291" w14:paraId="18D5EE5F" w14:textId="77777777" w:rsidTr="00AE0577">
        <w:trPr>
          <w:trHeight w:val="300"/>
        </w:trPr>
        <w:tc>
          <w:tcPr>
            <w:tcW w:w="2778" w:type="dxa"/>
            <w:tcBorders>
              <w:top w:val="single" w:sz="8" w:space="0" w:color="auto"/>
              <w:left w:val="single" w:sz="8" w:space="0" w:color="auto"/>
              <w:bottom w:val="single" w:sz="4" w:space="0" w:color="auto"/>
              <w:right w:val="single" w:sz="4" w:space="0" w:color="auto"/>
            </w:tcBorders>
            <w:shd w:val="clear" w:color="000000" w:fill="44546A"/>
            <w:noWrap/>
            <w:vAlign w:val="bottom"/>
            <w:hideMark/>
          </w:tcPr>
          <w:p w14:paraId="1E14B2C9" w14:textId="77777777" w:rsidR="00013078" w:rsidRPr="0086576B" w:rsidRDefault="00013078" w:rsidP="00AE0577">
            <w:pPr>
              <w:jc w:val="both"/>
              <w:rPr>
                <w:rFonts w:asciiTheme="minorHAnsi" w:hAnsiTheme="minorHAnsi"/>
                <w:b/>
                <w:bCs/>
                <w:sz w:val="20"/>
                <w:szCs w:val="20"/>
              </w:rPr>
            </w:pPr>
            <w:r w:rsidRPr="0086576B">
              <w:rPr>
                <w:rFonts w:ascii="Calibri" w:hAnsi="Calibri"/>
                <w:b/>
                <w:bCs/>
              </w:rPr>
              <w:t> </w:t>
            </w:r>
          </w:p>
        </w:tc>
        <w:tc>
          <w:tcPr>
            <w:tcW w:w="1361" w:type="dxa"/>
            <w:tcBorders>
              <w:top w:val="single" w:sz="8" w:space="0" w:color="auto"/>
              <w:left w:val="nil"/>
              <w:bottom w:val="single" w:sz="4" w:space="0" w:color="auto"/>
              <w:right w:val="single" w:sz="4" w:space="0" w:color="auto"/>
            </w:tcBorders>
            <w:shd w:val="clear" w:color="000000" w:fill="44546A"/>
            <w:noWrap/>
            <w:vAlign w:val="bottom"/>
            <w:hideMark/>
          </w:tcPr>
          <w:p w14:paraId="1B1B8CAF" w14:textId="77777777" w:rsidR="00013078" w:rsidRPr="0086576B" w:rsidRDefault="00013078" w:rsidP="00AE0577">
            <w:pPr>
              <w:jc w:val="both"/>
              <w:rPr>
                <w:rFonts w:asciiTheme="minorHAnsi" w:hAnsiTheme="minorHAnsi"/>
                <w:b/>
                <w:bCs/>
                <w:sz w:val="20"/>
                <w:szCs w:val="20"/>
              </w:rPr>
            </w:pPr>
            <w:r w:rsidRPr="0086576B">
              <w:rPr>
                <w:rFonts w:ascii="Calibri" w:hAnsi="Calibri"/>
                <w:b/>
                <w:bCs/>
              </w:rPr>
              <w:t>Sum of 2016 Total in EUR</w:t>
            </w:r>
          </w:p>
        </w:tc>
        <w:tc>
          <w:tcPr>
            <w:tcW w:w="1361" w:type="dxa"/>
            <w:tcBorders>
              <w:top w:val="single" w:sz="8" w:space="0" w:color="auto"/>
              <w:left w:val="nil"/>
              <w:bottom w:val="single" w:sz="4" w:space="0" w:color="auto"/>
              <w:right w:val="single" w:sz="4" w:space="0" w:color="auto"/>
            </w:tcBorders>
            <w:shd w:val="clear" w:color="000000" w:fill="44546A"/>
            <w:noWrap/>
            <w:vAlign w:val="bottom"/>
            <w:hideMark/>
          </w:tcPr>
          <w:p w14:paraId="0AF0C9E1" w14:textId="77777777" w:rsidR="00013078" w:rsidRPr="0086576B" w:rsidRDefault="00013078" w:rsidP="00AE0577">
            <w:pPr>
              <w:jc w:val="both"/>
              <w:rPr>
                <w:rFonts w:asciiTheme="minorHAnsi" w:hAnsiTheme="minorHAnsi"/>
                <w:b/>
                <w:bCs/>
                <w:sz w:val="20"/>
                <w:szCs w:val="20"/>
              </w:rPr>
            </w:pPr>
            <w:r w:rsidRPr="0086576B">
              <w:rPr>
                <w:rFonts w:ascii="Calibri" w:hAnsi="Calibri"/>
                <w:b/>
                <w:bCs/>
              </w:rPr>
              <w:t>Sum of 2017 Total in EUR</w:t>
            </w:r>
          </w:p>
        </w:tc>
        <w:tc>
          <w:tcPr>
            <w:tcW w:w="1361" w:type="dxa"/>
            <w:tcBorders>
              <w:top w:val="single" w:sz="8" w:space="0" w:color="auto"/>
              <w:left w:val="nil"/>
              <w:bottom w:val="single" w:sz="4" w:space="0" w:color="auto"/>
              <w:right w:val="single" w:sz="4" w:space="0" w:color="auto"/>
            </w:tcBorders>
            <w:shd w:val="clear" w:color="000000" w:fill="44546A"/>
            <w:noWrap/>
            <w:vAlign w:val="bottom"/>
            <w:hideMark/>
          </w:tcPr>
          <w:p w14:paraId="527D67F9" w14:textId="77777777" w:rsidR="00013078" w:rsidRPr="0086576B" w:rsidRDefault="00013078" w:rsidP="00AE0577">
            <w:pPr>
              <w:jc w:val="both"/>
              <w:rPr>
                <w:rFonts w:asciiTheme="minorHAnsi" w:hAnsiTheme="minorHAnsi"/>
                <w:b/>
                <w:bCs/>
                <w:sz w:val="20"/>
                <w:szCs w:val="20"/>
              </w:rPr>
            </w:pPr>
            <w:r w:rsidRPr="0086576B">
              <w:rPr>
                <w:rFonts w:ascii="Calibri" w:hAnsi="Calibri"/>
                <w:b/>
                <w:bCs/>
              </w:rPr>
              <w:t>Sum of 2018 Total in EUR</w:t>
            </w:r>
          </w:p>
        </w:tc>
        <w:tc>
          <w:tcPr>
            <w:tcW w:w="1361" w:type="dxa"/>
            <w:tcBorders>
              <w:top w:val="single" w:sz="8" w:space="0" w:color="auto"/>
              <w:left w:val="nil"/>
              <w:bottom w:val="single" w:sz="4" w:space="0" w:color="auto"/>
              <w:right w:val="nil"/>
            </w:tcBorders>
            <w:shd w:val="clear" w:color="000000" w:fill="44546A"/>
            <w:noWrap/>
            <w:vAlign w:val="bottom"/>
            <w:hideMark/>
          </w:tcPr>
          <w:p w14:paraId="300A8DE1" w14:textId="77777777" w:rsidR="00013078" w:rsidRPr="0086576B" w:rsidRDefault="00013078" w:rsidP="00AE0577">
            <w:pPr>
              <w:jc w:val="both"/>
              <w:rPr>
                <w:rFonts w:asciiTheme="minorHAnsi" w:hAnsiTheme="minorHAnsi"/>
                <w:b/>
                <w:bCs/>
                <w:sz w:val="20"/>
                <w:szCs w:val="20"/>
              </w:rPr>
            </w:pPr>
            <w:r w:rsidRPr="0086576B">
              <w:rPr>
                <w:rFonts w:ascii="Calibri" w:hAnsi="Calibri"/>
                <w:b/>
                <w:bCs/>
              </w:rPr>
              <w:t>Sum of 2019 Total in EUR</w:t>
            </w:r>
          </w:p>
        </w:tc>
        <w:tc>
          <w:tcPr>
            <w:tcW w:w="1361" w:type="dxa"/>
            <w:tcBorders>
              <w:top w:val="single" w:sz="8" w:space="0" w:color="auto"/>
              <w:left w:val="single" w:sz="8" w:space="0" w:color="auto"/>
              <w:bottom w:val="single" w:sz="4" w:space="0" w:color="auto"/>
              <w:right w:val="single" w:sz="8" w:space="0" w:color="auto"/>
            </w:tcBorders>
            <w:shd w:val="clear" w:color="000000" w:fill="44546A"/>
            <w:noWrap/>
            <w:vAlign w:val="bottom"/>
            <w:hideMark/>
          </w:tcPr>
          <w:p w14:paraId="1FF1C316" w14:textId="77777777" w:rsidR="00013078" w:rsidRPr="0086576B" w:rsidRDefault="00013078" w:rsidP="00AE0577">
            <w:pPr>
              <w:jc w:val="both"/>
              <w:rPr>
                <w:rFonts w:asciiTheme="minorHAnsi" w:hAnsiTheme="minorHAnsi"/>
                <w:b/>
                <w:bCs/>
                <w:sz w:val="20"/>
                <w:szCs w:val="20"/>
              </w:rPr>
            </w:pPr>
            <w:r w:rsidRPr="0086576B">
              <w:rPr>
                <w:rFonts w:ascii="Calibri" w:hAnsi="Calibri"/>
                <w:b/>
                <w:bCs/>
              </w:rPr>
              <w:t>% Change 2016-19</w:t>
            </w:r>
          </w:p>
        </w:tc>
      </w:tr>
      <w:tr w:rsidR="00013078" w:rsidRPr="00650291" w14:paraId="608457A9" w14:textId="77777777" w:rsidTr="00AE0577">
        <w:trPr>
          <w:trHeight w:val="315"/>
        </w:trPr>
        <w:tc>
          <w:tcPr>
            <w:tcW w:w="2778" w:type="dxa"/>
            <w:tcBorders>
              <w:top w:val="nil"/>
              <w:left w:val="single" w:sz="8" w:space="0" w:color="auto"/>
              <w:bottom w:val="single" w:sz="8" w:space="0" w:color="auto"/>
              <w:right w:val="single" w:sz="4" w:space="0" w:color="auto"/>
            </w:tcBorders>
            <w:shd w:val="clear" w:color="DDEBF7" w:fill="DDEBF7"/>
            <w:noWrap/>
            <w:vAlign w:val="bottom"/>
            <w:hideMark/>
          </w:tcPr>
          <w:p w14:paraId="62268202" w14:textId="77777777" w:rsidR="00013078" w:rsidRPr="00650291" w:rsidRDefault="00013078" w:rsidP="00AE0577">
            <w:pPr>
              <w:jc w:val="both"/>
              <w:rPr>
                <w:rFonts w:asciiTheme="minorHAnsi" w:hAnsiTheme="minorHAnsi"/>
                <w:b/>
                <w:bCs/>
                <w:color w:val="000000"/>
                <w:sz w:val="20"/>
                <w:szCs w:val="20"/>
              </w:rPr>
            </w:pPr>
            <w:r>
              <w:rPr>
                <w:rFonts w:ascii="Calibri" w:hAnsi="Calibri"/>
                <w:b/>
                <w:bCs/>
                <w:color w:val="000000"/>
              </w:rPr>
              <w:t>Grand Total</w:t>
            </w:r>
          </w:p>
        </w:tc>
        <w:tc>
          <w:tcPr>
            <w:tcW w:w="1361" w:type="dxa"/>
            <w:tcBorders>
              <w:top w:val="nil"/>
              <w:left w:val="nil"/>
              <w:bottom w:val="single" w:sz="8" w:space="0" w:color="auto"/>
              <w:right w:val="single" w:sz="4" w:space="0" w:color="auto"/>
            </w:tcBorders>
            <w:shd w:val="clear" w:color="DDEBF7" w:fill="DDEBF7"/>
            <w:noWrap/>
            <w:vAlign w:val="bottom"/>
            <w:hideMark/>
          </w:tcPr>
          <w:p w14:paraId="7A567C36" w14:textId="77777777" w:rsidR="00013078" w:rsidRPr="00650291" w:rsidRDefault="00013078" w:rsidP="00AE0577">
            <w:pPr>
              <w:jc w:val="right"/>
              <w:rPr>
                <w:rFonts w:asciiTheme="minorHAnsi" w:hAnsiTheme="minorHAnsi"/>
                <w:b/>
                <w:bCs/>
                <w:color w:val="000000"/>
                <w:sz w:val="20"/>
                <w:szCs w:val="20"/>
              </w:rPr>
            </w:pPr>
            <w:r>
              <w:rPr>
                <w:rFonts w:ascii="Calibri" w:hAnsi="Calibri"/>
                <w:b/>
                <w:bCs/>
                <w:color w:val="000000"/>
              </w:rPr>
              <w:t>917,287</w:t>
            </w:r>
          </w:p>
        </w:tc>
        <w:tc>
          <w:tcPr>
            <w:tcW w:w="1361" w:type="dxa"/>
            <w:tcBorders>
              <w:top w:val="nil"/>
              <w:left w:val="nil"/>
              <w:bottom w:val="single" w:sz="8" w:space="0" w:color="auto"/>
              <w:right w:val="single" w:sz="4" w:space="0" w:color="auto"/>
            </w:tcBorders>
            <w:shd w:val="clear" w:color="DDEBF7" w:fill="DDEBF7"/>
            <w:noWrap/>
            <w:vAlign w:val="bottom"/>
            <w:hideMark/>
          </w:tcPr>
          <w:p w14:paraId="62E81CA0" w14:textId="77777777" w:rsidR="00013078" w:rsidRPr="00650291" w:rsidRDefault="00013078" w:rsidP="00AE0577">
            <w:pPr>
              <w:jc w:val="right"/>
              <w:rPr>
                <w:rFonts w:asciiTheme="minorHAnsi" w:hAnsiTheme="minorHAnsi"/>
                <w:b/>
                <w:bCs/>
                <w:color w:val="000000"/>
                <w:sz w:val="20"/>
                <w:szCs w:val="20"/>
              </w:rPr>
            </w:pPr>
            <w:r>
              <w:rPr>
                <w:rFonts w:ascii="Calibri" w:hAnsi="Calibri"/>
                <w:b/>
                <w:bCs/>
                <w:color w:val="000000"/>
              </w:rPr>
              <w:t>971,250</w:t>
            </w:r>
          </w:p>
        </w:tc>
        <w:tc>
          <w:tcPr>
            <w:tcW w:w="1361" w:type="dxa"/>
            <w:tcBorders>
              <w:top w:val="nil"/>
              <w:left w:val="nil"/>
              <w:bottom w:val="single" w:sz="8" w:space="0" w:color="auto"/>
              <w:right w:val="single" w:sz="4" w:space="0" w:color="auto"/>
            </w:tcBorders>
            <w:shd w:val="clear" w:color="DDEBF7" w:fill="DDEBF7"/>
            <w:noWrap/>
            <w:vAlign w:val="bottom"/>
            <w:hideMark/>
          </w:tcPr>
          <w:p w14:paraId="7D9F0D73" w14:textId="77777777" w:rsidR="00013078" w:rsidRPr="00650291" w:rsidRDefault="00013078" w:rsidP="00AE0577">
            <w:pPr>
              <w:jc w:val="right"/>
              <w:rPr>
                <w:rFonts w:asciiTheme="minorHAnsi" w:hAnsiTheme="minorHAnsi"/>
                <w:b/>
                <w:bCs/>
                <w:color w:val="000000"/>
                <w:sz w:val="20"/>
                <w:szCs w:val="20"/>
              </w:rPr>
            </w:pPr>
            <w:r>
              <w:rPr>
                <w:rFonts w:ascii="Calibri" w:hAnsi="Calibri"/>
                <w:b/>
                <w:bCs/>
                <w:color w:val="000000"/>
              </w:rPr>
              <w:t>1,447,526</w:t>
            </w:r>
          </w:p>
        </w:tc>
        <w:tc>
          <w:tcPr>
            <w:tcW w:w="1361" w:type="dxa"/>
            <w:tcBorders>
              <w:top w:val="nil"/>
              <w:left w:val="nil"/>
              <w:bottom w:val="single" w:sz="8" w:space="0" w:color="auto"/>
              <w:right w:val="nil"/>
            </w:tcBorders>
            <w:shd w:val="clear" w:color="DDEBF7" w:fill="DDEBF7"/>
            <w:noWrap/>
            <w:vAlign w:val="bottom"/>
            <w:hideMark/>
          </w:tcPr>
          <w:p w14:paraId="59D3E11F" w14:textId="77777777" w:rsidR="00013078" w:rsidRPr="00650291" w:rsidRDefault="00013078" w:rsidP="00AE0577">
            <w:pPr>
              <w:jc w:val="right"/>
              <w:rPr>
                <w:rFonts w:asciiTheme="minorHAnsi" w:hAnsiTheme="minorHAnsi"/>
                <w:b/>
                <w:bCs/>
                <w:color w:val="000000"/>
                <w:sz w:val="20"/>
                <w:szCs w:val="20"/>
              </w:rPr>
            </w:pPr>
            <w:r>
              <w:rPr>
                <w:rFonts w:ascii="Calibri" w:hAnsi="Calibri"/>
                <w:b/>
                <w:bCs/>
                <w:color w:val="000000"/>
              </w:rPr>
              <w:t>1,682,273</w:t>
            </w:r>
          </w:p>
        </w:tc>
        <w:tc>
          <w:tcPr>
            <w:tcW w:w="1361" w:type="dxa"/>
            <w:tcBorders>
              <w:top w:val="nil"/>
              <w:left w:val="single" w:sz="8" w:space="0" w:color="auto"/>
              <w:bottom w:val="single" w:sz="8" w:space="0" w:color="auto"/>
              <w:right w:val="single" w:sz="8" w:space="0" w:color="auto"/>
            </w:tcBorders>
            <w:shd w:val="clear" w:color="000000" w:fill="DDEBF7"/>
            <w:noWrap/>
            <w:vAlign w:val="bottom"/>
            <w:hideMark/>
          </w:tcPr>
          <w:p w14:paraId="30705547" w14:textId="77777777" w:rsidR="00013078" w:rsidRPr="00650291" w:rsidRDefault="00013078" w:rsidP="00AE0577">
            <w:pPr>
              <w:jc w:val="right"/>
              <w:rPr>
                <w:rFonts w:asciiTheme="minorHAnsi" w:hAnsiTheme="minorHAnsi"/>
                <w:b/>
                <w:bCs/>
                <w:color w:val="000000"/>
                <w:sz w:val="20"/>
                <w:szCs w:val="20"/>
              </w:rPr>
            </w:pPr>
            <w:r>
              <w:rPr>
                <w:rFonts w:ascii="Calibri" w:hAnsi="Calibri"/>
                <w:b/>
                <w:bCs/>
                <w:color w:val="000000"/>
              </w:rPr>
              <w:t>83%</w:t>
            </w:r>
          </w:p>
        </w:tc>
      </w:tr>
    </w:tbl>
    <w:p w14:paraId="0417A3D7" w14:textId="0C58723E" w:rsidR="00010773" w:rsidRDefault="00010773" w:rsidP="00010773">
      <w:pPr>
        <w:rPr>
          <w:rFonts w:ascii="Arial" w:hAnsi="Arial" w:cs="Arial"/>
        </w:rPr>
      </w:pPr>
    </w:p>
    <w:permEnd w:id="478217800"/>
    <w:p w14:paraId="19F5214F" w14:textId="77777777" w:rsidR="00010773" w:rsidRDefault="00010773" w:rsidP="00010773">
      <w:pPr>
        <w:rPr>
          <w:rFonts w:ascii="Arial" w:hAnsi="Arial" w:cs="Arial"/>
        </w:rPr>
      </w:pPr>
      <w:r>
        <w:rPr>
          <w:rFonts w:ascii="Arial" w:hAnsi="Arial" w:cs="Arial"/>
        </w:rPr>
        <w:t>&lt;ESMA_QUESTION_MDA_1&gt;</w:t>
      </w:r>
    </w:p>
    <w:p w14:paraId="6C0BA1FF" w14:textId="77777777" w:rsidR="00010773" w:rsidRDefault="00010773" w:rsidP="00010773">
      <w:pPr>
        <w:rPr>
          <w:rFonts w:ascii="Arial" w:hAnsi="Arial" w:cs="Arial"/>
        </w:rPr>
      </w:pPr>
    </w:p>
    <w:p w14:paraId="1552ACB9" w14:textId="77777777" w:rsidR="00010773" w:rsidRDefault="00010773" w:rsidP="00010773">
      <w:pPr>
        <w:pStyle w:val="Questionstyle"/>
        <w:numPr>
          <w:ilvl w:val="0"/>
          <w:numId w:val="9"/>
        </w:numPr>
        <w:spacing w:after="250" w:line="276" w:lineRule="auto"/>
      </w:pPr>
      <w:r>
        <w:t xml:space="preserve">: If you are of the view that prices have increased, what are the underlying reasons for this development? </w:t>
      </w:r>
    </w:p>
    <w:p w14:paraId="1FB8FD11" w14:textId="77777777" w:rsidR="00010773" w:rsidRDefault="00010773" w:rsidP="00010773">
      <w:pPr>
        <w:rPr>
          <w:rFonts w:ascii="Arial" w:hAnsi="Arial" w:cs="Arial"/>
        </w:rPr>
      </w:pPr>
      <w:r>
        <w:rPr>
          <w:rFonts w:ascii="Arial" w:hAnsi="Arial" w:cs="Arial"/>
        </w:rPr>
        <w:t>&lt;ESMA_QUESTION_MDA_2&gt;</w:t>
      </w:r>
    </w:p>
    <w:p w14:paraId="67881FDF" w14:textId="77777777" w:rsidR="00C872EF" w:rsidRPr="00650291" w:rsidRDefault="00C872EF" w:rsidP="00C872EF">
      <w:pPr>
        <w:jc w:val="both"/>
        <w:textAlignment w:val="baseline"/>
        <w:rPr>
          <w:rFonts w:asciiTheme="minorHAnsi" w:hAnsiTheme="minorHAnsi"/>
        </w:rPr>
      </w:pPr>
      <w:permStart w:id="1311784588" w:edGrp="everyone"/>
      <w:r w:rsidRPr="00650291">
        <w:rPr>
          <w:rFonts w:asciiTheme="minorHAnsi" w:hAnsiTheme="minorHAnsi"/>
        </w:rPr>
        <w:t>As explained above under our response to Question 1, we are indeed observing price increases but are unsure as to the reasons for these increases. However, we do not believe, with one or two exceptions, that exchange feeds have undergone major transformations in the past four years.</w:t>
      </w:r>
    </w:p>
    <w:p w14:paraId="6C3BA9E7" w14:textId="77777777" w:rsidR="00C872EF" w:rsidRPr="00650291" w:rsidRDefault="00C872EF" w:rsidP="00C872EF">
      <w:pPr>
        <w:jc w:val="both"/>
        <w:textAlignment w:val="baseline"/>
        <w:rPr>
          <w:rFonts w:asciiTheme="minorHAnsi" w:hAnsiTheme="minorHAnsi"/>
        </w:rPr>
      </w:pPr>
    </w:p>
    <w:p w14:paraId="47F1FD0D" w14:textId="77777777" w:rsidR="00C872EF" w:rsidRPr="00650291" w:rsidRDefault="00C872EF" w:rsidP="00C872EF">
      <w:pPr>
        <w:jc w:val="both"/>
        <w:textAlignment w:val="baseline"/>
        <w:rPr>
          <w:rFonts w:asciiTheme="minorHAnsi" w:hAnsiTheme="minorHAnsi" w:cstheme="minorHAnsi"/>
        </w:rPr>
      </w:pPr>
      <w:r w:rsidRPr="00650291">
        <w:rPr>
          <w:rFonts w:asciiTheme="minorHAnsi" w:hAnsiTheme="minorHAnsi" w:cstheme="minorHAnsi"/>
          <w:color w:val="000000"/>
        </w:rPr>
        <w:t xml:space="preserve">FIA EPTA is unclear about the relationship between actual exchange costs for producing and disseminating market data and the fees charged to users. Given the shifting demographics of the exchanges’ user base (away from </w:t>
      </w:r>
      <w:r w:rsidRPr="00650291">
        <w:rPr>
          <w:rFonts w:asciiTheme="minorHAnsi" w:hAnsiTheme="minorHAnsi" w:cstheme="minorHAnsi"/>
        </w:rPr>
        <w:t>screen-based point-</w:t>
      </w:r>
      <w:r w:rsidRPr="00650291">
        <w:rPr>
          <w:rFonts w:asciiTheme="minorHAnsi" w:hAnsiTheme="minorHAnsi" w:cstheme="minorHAnsi"/>
        </w:rPr>
        <w:lastRenderedPageBreak/>
        <w:t xml:space="preserve">and-click trading to algorithmic trading), we would contend that exchanges have started to adopt “value-based” pricing models. </w:t>
      </w:r>
    </w:p>
    <w:p w14:paraId="2985B88F" w14:textId="77777777" w:rsidR="00C872EF" w:rsidRPr="00650291" w:rsidRDefault="00C872EF" w:rsidP="00C872EF">
      <w:pPr>
        <w:jc w:val="both"/>
        <w:textAlignment w:val="baseline"/>
        <w:rPr>
          <w:rFonts w:asciiTheme="minorHAnsi" w:hAnsiTheme="minorHAnsi" w:cstheme="minorHAnsi"/>
        </w:rPr>
      </w:pPr>
    </w:p>
    <w:p w14:paraId="0A0621D1" w14:textId="77777777" w:rsidR="00C872EF" w:rsidRPr="00650291" w:rsidRDefault="00C872EF" w:rsidP="00C872EF">
      <w:pPr>
        <w:jc w:val="both"/>
        <w:textAlignment w:val="baseline"/>
        <w:rPr>
          <w:rFonts w:asciiTheme="minorHAnsi" w:hAnsiTheme="minorHAnsi" w:cstheme="minorHAnsi"/>
        </w:rPr>
      </w:pPr>
      <w:r w:rsidRPr="00650291">
        <w:rPr>
          <w:rFonts w:asciiTheme="minorHAnsi" w:hAnsiTheme="minorHAnsi" w:cstheme="minorHAnsi"/>
        </w:rPr>
        <w:t xml:space="preserve">Over the past 15 years, FIA EPTA has witnessed two major phases of exchange evolution — (i) the transition from privately held companies largely mutually owned by exchange members to public companies, followed (ii) by a period of consolidation to create large regional and global exchange groups. As most exchanges have become publicly listed, there is pressure to provide investors with continual revenue growth. Both research analysts and shareholders typically attach much higher multiples to predictable subscription revenue streams over potentially volatile trading fees and, in particular, will actively compare individual public companies with their peers. We believe that this context may have directly or indirectly led to exchanges focusing on ways to increase their subscriber revenues, and accordingly, the pressures of being a publicly traded company may have been a contributing cause of market data fee increases. </w:t>
      </w:r>
    </w:p>
    <w:p w14:paraId="284BF691" w14:textId="77777777" w:rsidR="00C872EF" w:rsidRPr="00650291" w:rsidRDefault="00C872EF" w:rsidP="00C872EF">
      <w:pPr>
        <w:jc w:val="both"/>
        <w:textAlignment w:val="baseline"/>
        <w:rPr>
          <w:rFonts w:asciiTheme="minorHAnsi" w:hAnsiTheme="minorHAnsi" w:cstheme="minorHAnsi"/>
        </w:rPr>
      </w:pPr>
    </w:p>
    <w:p w14:paraId="053ECF87" w14:textId="77777777" w:rsidR="00C872EF" w:rsidRPr="00650291" w:rsidRDefault="00C872EF" w:rsidP="00C872EF">
      <w:pPr>
        <w:jc w:val="both"/>
        <w:textAlignment w:val="baseline"/>
        <w:rPr>
          <w:rFonts w:asciiTheme="minorHAnsi" w:hAnsiTheme="minorHAnsi" w:cstheme="minorHAnsi"/>
        </w:rPr>
      </w:pPr>
      <w:r w:rsidRPr="00650291">
        <w:rPr>
          <w:rFonts w:asciiTheme="minorHAnsi" w:hAnsiTheme="minorHAnsi" w:cstheme="minorHAnsi"/>
        </w:rPr>
        <w:t xml:space="preserve">Likewise, FIA EPTA observes that exchanges have had a tendency to converge their commercial offerings in such areas as execution pricing, market microstructure development, and market data products. For example, in the early 2000s two exchanges pioneered the concept of non-display pricing within their market data policies and price schedules. Following the success for these exchanges in implementing these changes charging for non-display usage rapidly became the norm across all major exchanges in the US, Europe and beyond. More recently, and as shown in our response to Question 1 and expanded further in our response to Question 3, the concept of applying additional charges for what we refer to in our model as “Non-display other” usage (intended to capture risk, quantitative analysis, and other non-trading use cases), is gradually becoming more widespread with a further two exchanges adding this to their market data schedules as of 2018. </w:t>
      </w:r>
    </w:p>
    <w:p w14:paraId="55AC2005" w14:textId="77777777" w:rsidR="00C872EF" w:rsidRPr="00650291" w:rsidRDefault="00C872EF" w:rsidP="00C872EF">
      <w:pPr>
        <w:jc w:val="both"/>
        <w:textAlignment w:val="baseline"/>
        <w:rPr>
          <w:rFonts w:asciiTheme="minorHAnsi" w:hAnsiTheme="minorHAnsi" w:cstheme="minorHAnsi"/>
        </w:rPr>
      </w:pPr>
    </w:p>
    <w:p w14:paraId="16D13012" w14:textId="514FA577" w:rsidR="00010773" w:rsidRPr="00C872EF" w:rsidRDefault="00C872EF" w:rsidP="00C872EF">
      <w:pPr>
        <w:jc w:val="both"/>
        <w:textAlignment w:val="baseline"/>
        <w:rPr>
          <w:rFonts w:asciiTheme="minorHAnsi" w:hAnsiTheme="minorHAnsi" w:cstheme="minorHAnsi"/>
        </w:rPr>
      </w:pPr>
      <w:r w:rsidRPr="00650291">
        <w:rPr>
          <w:rFonts w:asciiTheme="minorHAnsi" w:hAnsiTheme="minorHAnsi" w:cstheme="minorHAnsi"/>
        </w:rPr>
        <w:t>Similarly, upon the emergence of significantly more SIs as an effect of MiFID II, most exchanges further amended their market data schedules to capture additional revenues from this market structure change</w:t>
      </w:r>
      <w:r>
        <w:rPr>
          <w:rFonts w:asciiTheme="minorHAnsi" w:hAnsiTheme="minorHAnsi" w:cstheme="minorHAnsi"/>
        </w:rPr>
        <w:t>.</w:t>
      </w:r>
    </w:p>
    <w:permEnd w:id="1311784588"/>
    <w:p w14:paraId="722DF389" w14:textId="77777777" w:rsidR="00010773" w:rsidRDefault="00010773" w:rsidP="00010773">
      <w:pPr>
        <w:rPr>
          <w:rFonts w:ascii="Arial" w:hAnsi="Arial" w:cs="Arial"/>
        </w:rPr>
      </w:pPr>
      <w:r>
        <w:rPr>
          <w:rFonts w:ascii="Arial" w:hAnsi="Arial" w:cs="Arial"/>
        </w:rPr>
        <w:t>&lt;ESMA_QUESTION_MDA_2&gt;</w:t>
      </w:r>
    </w:p>
    <w:p w14:paraId="67E4B62B" w14:textId="77777777" w:rsidR="00010773" w:rsidRDefault="00010773" w:rsidP="00010773">
      <w:pPr>
        <w:rPr>
          <w:rFonts w:ascii="Arial" w:hAnsi="Arial" w:cs="Arial"/>
        </w:rPr>
      </w:pPr>
    </w:p>
    <w:p w14:paraId="4C2D82EF" w14:textId="77777777" w:rsidR="00010773" w:rsidRDefault="00010773" w:rsidP="00010773">
      <w:pPr>
        <w:pStyle w:val="Questionstyle"/>
        <w:numPr>
          <w:ilvl w:val="0"/>
          <w:numId w:val="9"/>
        </w:numPr>
        <w:spacing w:after="250" w:line="276" w:lineRule="auto"/>
      </w:pPr>
      <w:r>
        <w:t>: Following the application of MiFID II/MiFIR, are there any market data services for which new fees have been introduced (i.e. either data services that were free of charge until the application of MiFID II or any new types of market data services)?</w:t>
      </w:r>
    </w:p>
    <w:p w14:paraId="0904F992" w14:textId="77777777" w:rsidR="00010773" w:rsidRDefault="00010773" w:rsidP="00010773">
      <w:pPr>
        <w:rPr>
          <w:rFonts w:ascii="Arial" w:hAnsi="Arial" w:cs="Arial"/>
        </w:rPr>
      </w:pPr>
      <w:r>
        <w:rPr>
          <w:rFonts w:ascii="Arial" w:hAnsi="Arial" w:cs="Arial"/>
        </w:rPr>
        <w:t>&lt;ESMA_QUESTION_MDA_3&gt;</w:t>
      </w:r>
    </w:p>
    <w:p w14:paraId="3BAC830B" w14:textId="77777777" w:rsidR="009B684B" w:rsidRPr="00650291" w:rsidRDefault="009B684B" w:rsidP="009B684B">
      <w:pPr>
        <w:jc w:val="both"/>
        <w:rPr>
          <w:rFonts w:asciiTheme="minorHAnsi" w:hAnsiTheme="minorHAnsi" w:cstheme="minorHAnsi"/>
          <w:color w:val="000000"/>
        </w:rPr>
      </w:pPr>
      <w:permStart w:id="1610892805" w:edGrp="everyone"/>
      <w:r w:rsidRPr="00650291">
        <w:rPr>
          <w:rFonts w:asciiTheme="minorHAnsi" w:hAnsiTheme="minorHAnsi" w:cstheme="minorHAnsi"/>
          <w:color w:val="000000"/>
        </w:rPr>
        <w:t>A general observation over the past 15 years is that exchanges have consistently added additional usage categories to their market data schedules, and as noted above, once one or two venues successfully pioneer a new approach, it is often rapidly adopted across the industry and becomes the new status quo. Often end-users of market data do not have any other option than to accept these new charges given the lack of viable alternative sources to obtain this critical input that guides both trading and risk management practices.</w:t>
      </w:r>
    </w:p>
    <w:p w14:paraId="642C12C9" w14:textId="77777777" w:rsidR="009B684B" w:rsidRPr="00650291" w:rsidRDefault="009B684B" w:rsidP="009B684B">
      <w:pPr>
        <w:jc w:val="both"/>
        <w:rPr>
          <w:rFonts w:asciiTheme="minorHAnsi" w:hAnsiTheme="minorHAnsi" w:cstheme="minorHAnsi"/>
          <w:color w:val="000000"/>
        </w:rPr>
      </w:pPr>
    </w:p>
    <w:p w14:paraId="09D9A867" w14:textId="77777777" w:rsidR="009B684B" w:rsidRPr="00650291" w:rsidRDefault="009B684B" w:rsidP="009B684B">
      <w:pPr>
        <w:jc w:val="both"/>
        <w:rPr>
          <w:rFonts w:asciiTheme="minorHAnsi" w:hAnsiTheme="minorHAnsi" w:cstheme="minorHAnsi"/>
          <w:color w:val="000000"/>
        </w:rPr>
      </w:pPr>
      <w:r w:rsidRPr="00650291">
        <w:rPr>
          <w:rFonts w:asciiTheme="minorHAnsi" w:hAnsiTheme="minorHAnsi" w:cstheme="minorHAnsi"/>
          <w:color w:val="000000"/>
        </w:rPr>
        <w:lastRenderedPageBreak/>
        <w:t xml:space="preserve">Looking at MiFID II specifically, the two most significant fee categories adopted were (1) those relating to the use of market data for risk/compliance and other non-trading purposes and (2) those related to systematic internalisation. </w:t>
      </w:r>
    </w:p>
    <w:p w14:paraId="7E1E22CC" w14:textId="77777777" w:rsidR="009B684B" w:rsidRPr="00650291" w:rsidRDefault="009B684B" w:rsidP="009B684B">
      <w:pPr>
        <w:jc w:val="both"/>
        <w:rPr>
          <w:rFonts w:asciiTheme="minorHAnsi" w:hAnsiTheme="minorHAnsi" w:cstheme="minorHAnsi"/>
          <w:color w:val="000000"/>
        </w:rPr>
      </w:pPr>
    </w:p>
    <w:p w14:paraId="6529F2D4" w14:textId="77777777" w:rsidR="009B684B" w:rsidRPr="00650291" w:rsidRDefault="009B684B" w:rsidP="00D620F7">
      <w:pPr>
        <w:pStyle w:val="ListParagraph"/>
        <w:numPr>
          <w:ilvl w:val="0"/>
          <w:numId w:val="0"/>
        </w:numPr>
      </w:pPr>
      <w:r w:rsidRPr="00650291">
        <w:t xml:space="preserve">Ad (1): Prior to MiFID II, only a handful of exchange groups applied explicit fee categories for risk and other usage. MiFID II (Article 17(7) and subsequently RTS 6) introduced new and granular regulatory obligations on investment firms, with respect to real-time risk and compliance controls. In the period leading up to the implementation of MiFID II, and as shown in Table 4c (repeated below), EU trading venues often significantly increased these fees (on a percentage basis) or adopted the practice of explicitly charging for such use for the first time. As highlighted in our response to Question 1, this practice resulted in the largest percentage fee increase looking across the 2016-19 period. </w:t>
      </w:r>
    </w:p>
    <w:p w14:paraId="15559FA3" w14:textId="77777777" w:rsidR="009B684B" w:rsidRPr="00650291" w:rsidRDefault="009B684B" w:rsidP="00D620F7">
      <w:pPr>
        <w:pStyle w:val="ListParagraph"/>
        <w:numPr>
          <w:ilvl w:val="0"/>
          <w:numId w:val="0"/>
        </w:numPr>
      </w:pPr>
    </w:p>
    <w:p w14:paraId="10D9E3EB" w14:textId="77777777" w:rsidR="009B684B" w:rsidRPr="00650291" w:rsidRDefault="009B684B" w:rsidP="009B684B">
      <w:pPr>
        <w:jc w:val="both"/>
        <w:rPr>
          <w:rFonts w:asciiTheme="minorHAnsi" w:eastAsia="Calibri" w:hAnsiTheme="minorHAnsi"/>
          <w:b/>
        </w:rPr>
      </w:pPr>
      <w:r w:rsidRPr="00650291">
        <w:rPr>
          <w:rFonts w:asciiTheme="minorHAnsi" w:eastAsia="Calibri" w:hAnsiTheme="minorHAnsi"/>
          <w:b/>
        </w:rPr>
        <w:t>Table 4c – Year-on-year market data spend (non-display other usage – includes risk/compliance and other non-trading usage)</w:t>
      </w:r>
    </w:p>
    <w:tbl>
      <w:tblPr>
        <w:tblW w:w="9583" w:type="dxa"/>
        <w:tblLook w:val="04A0" w:firstRow="1" w:lastRow="0" w:firstColumn="1" w:lastColumn="0" w:noHBand="0" w:noVBand="1"/>
      </w:tblPr>
      <w:tblGrid>
        <w:gridCol w:w="2778"/>
        <w:gridCol w:w="1361"/>
        <w:gridCol w:w="1361"/>
        <w:gridCol w:w="1361"/>
        <w:gridCol w:w="1361"/>
        <w:gridCol w:w="1361"/>
      </w:tblGrid>
      <w:tr w:rsidR="009B684B" w:rsidRPr="00650291" w14:paraId="0BC280B3" w14:textId="77777777" w:rsidTr="00AE0577">
        <w:trPr>
          <w:trHeight w:val="300"/>
        </w:trPr>
        <w:tc>
          <w:tcPr>
            <w:tcW w:w="2778" w:type="dxa"/>
            <w:tcBorders>
              <w:top w:val="single" w:sz="8" w:space="0" w:color="auto"/>
              <w:left w:val="single" w:sz="8" w:space="0" w:color="auto"/>
              <w:bottom w:val="single" w:sz="4" w:space="0" w:color="auto"/>
              <w:right w:val="single" w:sz="4" w:space="0" w:color="auto"/>
            </w:tcBorders>
            <w:shd w:val="clear" w:color="000000" w:fill="44546A"/>
            <w:noWrap/>
            <w:vAlign w:val="bottom"/>
            <w:hideMark/>
          </w:tcPr>
          <w:p w14:paraId="12096E96" w14:textId="77777777" w:rsidR="009B684B" w:rsidRPr="0086576B" w:rsidRDefault="009B684B" w:rsidP="00AE0577">
            <w:pPr>
              <w:jc w:val="both"/>
              <w:rPr>
                <w:rFonts w:asciiTheme="minorHAnsi" w:hAnsiTheme="minorHAnsi"/>
                <w:b/>
                <w:bCs/>
                <w:sz w:val="20"/>
                <w:szCs w:val="20"/>
              </w:rPr>
            </w:pPr>
            <w:r w:rsidRPr="0086576B">
              <w:rPr>
                <w:rFonts w:ascii="Calibri" w:hAnsi="Calibri"/>
                <w:b/>
                <w:bCs/>
              </w:rPr>
              <w:t>Exchange</w:t>
            </w:r>
          </w:p>
        </w:tc>
        <w:tc>
          <w:tcPr>
            <w:tcW w:w="1361" w:type="dxa"/>
            <w:tcBorders>
              <w:top w:val="single" w:sz="8" w:space="0" w:color="auto"/>
              <w:left w:val="nil"/>
              <w:bottom w:val="single" w:sz="4" w:space="0" w:color="auto"/>
              <w:right w:val="single" w:sz="4" w:space="0" w:color="auto"/>
            </w:tcBorders>
            <w:shd w:val="clear" w:color="000000" w:fill="44546A"/>
            <w:noWrap/>
            <w:vAlign w:val="bottom"/>
            <w:hideMark/>
          </w:tcPr>
          <w:p w14:paraId="0EE43D86" w14:textId="77777777" w:rsidR="009B684B" w:rsidRPr="0086576B" w:rsidRDefault="009B684B" w:rsidP="00AE0577">
            <w:pPr>
              <w:jc w:val="both"/>
              <w:rPr>
                <w:rFonts w:asciiTheme="minorHAnsi" w:hAnsiTheme="minorHAnsi"/>
                <w:b/>
                <w:bCs/>
                <w:sz w:val="20"/>
                <w:szCs w:val="20"/>
              </w:rPr>
            </w:pPr>
            <w:r w:rsidRPr="0086576B">
              <w:rPr>
                <w:rFonts w:ascii="Calibri" w:hAnsi="Calibri"/>
                <w:b/>
                <w:bCs/>
              </w:rPr>
              <w:t>Sum of 2016 Total in EUR</w:t>
            </w:r>
          </w:p>
        </w:tc>
        <w:tc>
          <w:tcPr>
            <w:tcW w:w="1361" w:type="dxa"/>
            <w:tcBorders>
              <w:top w:val="single" w:sz="8" w:space="0" w:color="auto"/>
              <w:left w:val="nil"/>
              <w:bottom w:val="single" w:sz="4" w:space="0" w:color="auto"/>
              <w:right w:val="single" w:sz="4" w:space="0" w:color="auto"/>
            </w:tcBorders>
            <w:shd w:val="clear" w:color="000000" w:fill="44546A"/>
            <w:noWrap/>
            <w:vAlign w:val="bottom"/>
            <w:hideMark/>
          </w:tcPr>
          <w:p w14:paraId="6518E6AA" w14:textId="77777777" w:rsidR="009B684B" w:rsidRPr="0086576B" w:rsidRDefault="009B684B" w:rsidP="00AE0577">
            <w:pPr>
              <w:jc w:val="both"/>
              <w:rPr>
                <w:rFonts w:asciiTheme="minorHAnsi" w:hAnsiTheme="minorHAnsi"/>
                <w:b/>
                <w:bCs/>
                <w:sz w:val="20"/>
                <w:szCs w:val="20"/>
              </w:rPr>
            </w:pPr>
            <w:r w:rsidRPr="0086576B">
              <w:rPr>
                <w:rFonts w:ascii="Calibri" w:hAnsi="Calibri"/>
                <w:b/>
                <w:bCs/>
              </w:rPr>
              <w:t>Sum of 2017 Total in EUR</w:t>
            </w:r>
          </w:p>
        </w:tc>
        <w:tc>
          <w:tcPr>
            <w:tcW w:w="1361" w:type="dxa"/>
            <w:tcBorders>
              <w:top w:val="single" w:sz="8" w:space="0" w:color="auto"/>
              <w:left w:val="nil"/>
              <w:bottom w:val="single" w:sz="4" w:space="0" w:color="auto"/>
              <w:right w:val="single" w:sz="4" w:space="0" w:color="auto"/>
            </w:tcBorders>
            <w:shd w:val="clear" w:color="000000" w:fill="44546A"/>
            <w:noWrap/>
            <w:vAlign w:val="bottom"/>
            <w:hideMark/>
          </w:tcPr>
          <w:p w14:paraId="0755EF50" w14:textId="77777777" w:rsidR="009B684B" w:rsidRPr="0086576B" w:rsidRDefault="009B684B" w:rsidP="00AE0577">
            <w:pPr>
              <w:jc w:val="both"/>
              <w:rPr>
                <w:rFonts w:asciiTheme="minorHAnsi" w:hAnsiTheme="minorHAnsi"/>
                <w:b/>
                <w:bCs/>
                <w:sz w:val="20"/>
                <w:szCs w:val="20"/>
              </w:rPr>
            </w:pPr>
            <w:r w:rsidRPr="0086576B">
              <w:rPr>
                <w:rFonts w:ascii="Calibri" w:hAnsi="Calibri"/>
                <w:b/>
                <w:bCs/>
              </w:rPr>
              <w:t>Sum of 2018 Total in EUR</w:t>
            </w:r>
          </w:p>
        </w:tc>
        <w:tc>
          <w:tcPr>
            <w:tcW w:w="1361" w:type="dxa"/>
            <w:tcBorders>
              <w:top w:val="single" w:sz="8" w:space="0" w:color="auto"/>
              <w:left w:val="nil"/>
              <w:bottom w:val="single" w:sz="4" w:space="0" w:color="auto"/>
              <w:right w:val="nil"/>
            </w:tcBorders>
            <w:shd w:val="clear" w:color="000000" w:fill="44546A"/>
            <w:noWrap/>
            <w:vAlign w:val="bottom"/>
            <w:hideMark/>
          </w:tcPr>
          <w:p w14:paraId="06CA8497" w14:textId="77777777" w:rsidR="009B684B" w:rsidRPr="0086576B" w:rsidRDefault="009B684B" w:rsidP="00AE0577">
            <w:pPr>
              <w:jc w:val="both"/>
              <w:rPr>
                <w:rFonts w:asciiTheme="minorHAnsi" w:hAnsiTheme="minorHAnsi"/>
                <w:b/>
                <w:bCs/>
                <w:sz w:val="20"/>
                <w:szCs w:val="20"/>
              </w:rPr>
            </w:pPr>
            <w:r w:rsidRPr="0086576B">
              <w:rPr>
                <w:rFonts w:ascii="Calibri" w:hAnsi="Calibri"/>
                <w:b/>
                <w:bCs/>
              </w:rPr>
              <w:t>Sum of 2019 Total in EUR</w:t>
            </w:r>
          </w:p>
        </w:tc>
        <w:tc>
          <w:tcPr>
            <w:tcW w:w="1361" w:type="dxa"/>
            <w:tcBorders>
              <w:top w:val="single" w:sz="8" w:space="0" w:color="auto"/>
              <w:left w:val="single" w:sz="8" w:space="0" w:color="auto"/>
              <w:bottom w:val="single" w:sz="4" w:space="0" w:color="auto"/>
              <w:right w:val="single" w:sz="8" w:space="0" w:color="auto"/>
            </w:tcBorders>
            <w:shd w:val="clear" w:color="000000" w:fill="44546A"/>
            <w:noWrap/>
            <w:vAlign w:val="bottom"/>
            <w:hideMark/>
          </w:tcPr>
          <w:p w14:paraId="224D54FF" w14:textId="77777777" w:rsidR="009B684B" w:rsidRPr="0086576B" w:rsidRDefault="009B684B" w:rsidP="00AE0577">
            <w:pPr>
              <w:jc w:val="both"/>
              <w:rPr>
                <w:rFonts w:asciiTheme="minorHAnsi" w:hAnsiTheme="minorHAnsi"/>
                <w:b/>
                <w:bCs/>
                <w:sz w:val="20"/>
                <w:szCs w:val="20"/>
              </w:rPr>
            </w:pPr>
            <w:r w:rsidRPr="0086576B">
              <w:rPr>
                <w:rFonts w:ascii="Calibri" w:hAnsi="Calibri"/>
                <w:b/>
                <w:bCs/>
              </w:rPr>
              <w:t>% Change 2016-19</w:t>
            </w:r>
          </w:p>
        </w:tc>
      </w:tr>
      <w:tr w:rsidR="009B684B" w:rsidRPr="00650291" w14:paraId="3B8DADB7" w14:textId="77777777" w:rsidTr="00AE0577">
        <w:trPr>
          <w:trHeight w:val="300"/>
        </w:trPr>
        <w:tc>
          <w:tcPr>
            <w:tcW w:w="2778" w:type="dxa"/>
            <w:tcBorders>
              <w:top w:val="nil"/>
              <w:left w:val="single" w:sz="8" w:space="0" w:color="auto"/>
              <w:bottom w:val="single" w:sz="4" w:space="0" w:color="auto"/>
              <w:right w:val="single" w:sz="4" w:space="0" w:color="auto"/>
            </w:tcBorders>
            <w:shd w:val="clear" w:color="auto" w:fill="auto"/>
            <w:noWrap/>
            <w:vAlign w:val="bottom"/>
            <w:hideMark/>
          </w:tcPr>
          <w:p w14:paraId="3FD00022" w14:textId="77777777" w:rsidR="009B684B" w:rsidRPr="00650291" w:rsidRDefault="009B684B" w:rsidP="00AE0577">
            <w:pPr>
              <w:jc w:val="both"/>
              <w:rPr>
                <w:rFonts w:asciiTheme="minorHAnsi" w:hAnsiTheme="minorHAnsi"/>
                <w:color w:val="000000"/>
                <w:sz w:val="20"/>
                <w:szCs w:val="20"/>
              </w:rPr>
            </w:pPr>
            <w:proofErr w:type="spellStart"/>
            <w:r>
              <w:rPr>
                <w:rFonts w:ascii="Calibri" w:hAnsi="Calibri"/>
                <w:color w:val="000000"/>
              </w:rPr>
              <w:t>Bolsas</w:t>
            </w:r>
            <w:proofErr w:type="spellEnd"/>
            <w:r>
              <w:rPr>
                <w:rFonts w:ascii="Calibri" w:hAnsi="Calibri"/>
                <w:color w:val="000000"/>
              </w:rPr>
              <w:t xml:space="preserve"> y Mercado </w:t>
            </w:r>
            <w:proofErr w:type="spellStart"/>
            <w:r>
              <w:rPr>
                <w:rFonts w:ascii="Calibri" w:hAnsi="Calibri"/>
                <w:color w:val="000000"/>
              </w:rPr>
              <w:t>Espanoles</w:t>
            </w:r>
            <w:proofErr w:type="spellEnd"/>
          </w:p>
        </w:tc>
        <w:tc>
          <w:tcPr>
            <w:tcW w:w="1361" w:type="dxa"/>
            <w:tcBorders>
              <w:top w:val="nil"/>
              <w:left w:val="nil"/>
              <w:bottom w:val="single" w:sz="4" w:space="0" w:color="auto"/>
              <w:right w:val="single" w:sz="4" w:space="0" w:color="auto"/>
            </w:tcBorders>
            <w:shd w:val="clear" w:color="auto" w:fill="auto"/>
            <w:noWrap/>
            <w:vAlign w:val="bottom"/>
            <w:hideMark/>
          </w:tcPr>
          <w:p w14:paraId="29A1FF88" w14:textId="77777777" w:rsidR="009B684B" w:rsidRPr="00650291" w:rsidRDefault="009B684B" w:rsidP="00AE0577">
            <w:pPr>
              <w:jc w:val="right"/>
              <w:rPr>
                <w:rFonts w:asciiTheme="minorHAnsi" w:hAnsiTheme="minorHAnsi"/>
                <w:color w:val="000000"/>
                <w:sz w:val="20"/>
                <w:szCs w:val="20"/>
              </w:rPr>
            </w:pPr>
            <w:r>
              <w:rPr>
                <w:rFonts w:ascii="Calibri" w:hAnsi="Calibri"/>
                <w:color w:val="000000"/>
              </w:rPr>
              <w:t>5,616</w:t>
            </w:r>
          </w:p>
        </w:tc>
        <w:tc>
          <w:tcPr>
            <w:tcW w:w="1361" w:type="dxa"/>
            <w:tcBorders>
              <w:top w:val="nil"/>
              <w:left w:val="nil"/>
              <w:bottom w:val="single" w:sz="4" w:space="0" w:color="auto"/>
              <w:right w:val="single" w:sz="4" w:space="0" w:color="auto"/>
            </w:tcBorders>
            <w:shd w:val="clear" w:color="auto" w:fill="auto"/>
            <w:noWrap/>
            <w:vAlign w:val="bottom"/>
            <w:hideMark/>
          </w:tcPr>
          <w:p w14:paraId="46D4BC74" w14:textId="77777777" w:rsidR="009B684B" w:rsidRPr="00650291" w:rsidRDefault="009B684B" w:rsidP="00AE0577">
            <w:pPr>
              <w:jc w:val="right"/>
              <w:rPr>
                <w:rFonts w:asciiTheme="minorHAnsi" w:hAnsiTheme="minorHAnsi"/>
                <w:color w:val="000000"/>
                <w:sz w:val="20"/>
                <w:szCs w:val="20"/>
              </w:rPr>
            </w:pPr>
            <w:r>
              <w:rPr>
                <w:rFonts w:ascii="Calibri" w:hAnsi="Calibri"/>
                <w:color w:val="000000"/>
              </w:rPr>
              <w:t>5,616</w:t>
            </w:r>
          </w:p>
        </w:tc>
        <w:tc>
          <w:tcPr>
            <w:tcW w:w="1361" w:type="dxa"/>
            <w:tcBorders>
              <w:top w:val="nil"/>
              <w:left w:val="nil"/>
              <w:bottom w:val="single" w:sz="4" w:space="0" w:color="auto"/>
              <w:right w:val="single" w:sz="4" w:space="0" w:color="auto"/>
            </w:tcBorders>
            <w:shd w:val="clear" w:color="auto" w:fill="auto"/>
            <w:noWrap/>
            <w:vAlign w:val="bottom"/>
            <w:hideMark/>
          </w:tcPr>
          <w:p w14:paraId="6A4E82E2" w14:textId="77777777" w:rsidR="009B684B" w:rsidRPr="00650291" w:rsidRDefault="009B684B" w:rsidP="00AE0577">
            <w:pPr>
              <w:jc w:val="right"/>
              <w:rPr>
                <w:rFonts w:asciiTheme="minorHAnsi" w:hAnsiTheme="minorHAnsi"/>
                <w:color w:val="000000"/>
                <w:sz w:val="20"/>
                <w:szCs w:val="20"/>
              </w:rPr>
            </w:pPr>
            <w:r>
              <w:rPr>
                <w:rFonts w:ascii="Calibri" w:hAnsi="Calibri"/>
                <w:color w:val="000000"/>
              </w:rPr>
              <w:t>5,904</w:t>
            </w:r>
          </w:p>
        </w:tc>
        <w:tc>
          <w:tcPr>
            <w:tcW w:w="1361" w:type="dxa"/>
            <w:tcBorders>
              <w:top w:val="nil"/>
              <w:left w:val="nil"/>
              <w:bottom w:val="single" w:sz="4" w:space="0" w:color="auto"/>
              <w:right w:val="nil"/>
            </w:tcBorders>
            <w:shd w:val="clear" w:color="auto" w:fill="auto"/>
            <w:noWrap/>
            <w:vAlign w:val="bottom"/>
            <w:hideMark/>
          </w:tcPr>
          <w:p w14:paraId="610002A6" w14:textId="77777777" w:rsidR="009B684B" w:rsidRPr="00650291" w:rsidRDefault="009B684B" w:rsidP="00AE0577">
            <w:pPr>
              <w:jc w:val="right"/>
              <w:rPr>
                <w:rFonts w:asciiTheme="minorHAnsi" w:hAnsiTheme="minorHAnsi"/>
                <w:color w:val="000000"/>
                <w:sz w:val="20"/>
                <w:szCs w:val="20"/>
              </w:rPr>
            </w:pPr>
            <w:r>
              <w:rPr>
                <w:rFonts w:ascii="Calibri" w:hAnsi="Calibri"/>
                <w:color w:val="000000"/>
              </w:rPr>
              <w:t>5,904</w:t>
            </w:r>
          </w:p>
        </w:tc>
        <w:tc>
          <w:tcPr>
            <w:tcW w:w="1361" w:type="dxa"/>
            <w:tcBorders>
              <w:top w:val="nil"/>
              <w:left w:val="single" w:sz="8" w:space="0" w:color="auto"/>
              <w:bottom w:val="single" w:sz="4" w:space="0" w:color="auto"/>
              <w:right w:val="single" w:sz="8" w:space="0" w:color="auto"/>
            </w:tcBorders>
            <w:shd w:val="clear" w:color="000000" w:fill="DDEBF7"/>
            <w:noWrap/>
            <w:vAlign w:val="bottom"/>
            <w:hideMark/>
          </w:tcPr>
          <w:p w14:paraId="58727F62" w14:textId="77777777" w:rsidR="009B684B" w:rsidRPr="00650291" w:rsidRDefault="009B684B" w:rsidP="00AE0577">
            <w:pPr>
              <w:jc w:val="right"/>
              <w:rPr>
                <w:rFonts w:asciiTheme="minorHAnsi" w:hAnsiTheme="minorHAnsi"/>
                <w:b/>
                <w:bCs/>
                <w:color w:val="000000"/>
                <w:sz w:val="20"/>
                <w:szCs w:val="20"/>
              </w:rPr>
            </w:pPr>
            <w:r>
              <w:rPr>
                <w:rFonts w:ascii="Calibri" w:hAnsi="Calibri"/>
                <w:b/>
                <w:bCs/>
                <w:color w:val="000000"/>
              </w:rPr>
              <w:t>5%</w:t>
            </w:r>
          </w:p>
        </w:tc>
      </w:tr>
      <w:tr w:rsidR="009B684B" w:rsidRPr="00650291" w14:paraId="4250AD5E" w14:textId="77777777" w:rsidTr="00AE0577">
        <w:trPr>
          <w:trHeight w:val="300"/>
        </w:trPr>
        <w:tc>
          <w:tcPr>
            <w:tcW w:w="2778" w:type="dxa"/>
            <w:tcBorders>
              <w:top w:val="nil"/>
              <w:left w:val="single" w:sz="8" w:space="0" w:color="auto"/>
              <w:bottom w:val="single" w:sz="4" w:space="0" w:color="auto"/>
              <w:right w:val="single" w:sz="4" w:space="0" w:color="auto"/>
            </w:tcBorders>
            <w:shd w:val="clear" w:color="auto" w:fill="auto"/>
            <w:noWrap/>
            <w:vAlign w:val="bottom"/>
            <w:hideMark/>
          </w:tcPr>
          <w:p w14:paraId="454E1A86" w14:textId="77777777" w:rsidR="009B684B" w:rsidRPr="00650291" w:rsidRDefault="009B684B" w:rsidP="00AE0577">
            <w:pPr>
              <w:jc w:val="both"/>
              <w:rPr>
                <w:rFonts w:asciiTheme="minorHAnsi" w:hAnsiTheme="minorHAnsi"/>
                <w:color w:val="000000"/>
                <w:sz w:val="20"/>
                <w:szCs w:val="20"/>
              </w:rPr>
            </w:pPr>
            <w:proofErr w:type="spellStart"/>
            <w:r>
              <w:rPr>
                <w:rFonts w:ascii="Calibri" w:hAnsi="Calibri"/>
                <w:color w:val="000000"/>
              </w:rPr>
              <w:t>Borsa</w:t>
            </w:r>
            <w:proofErr w:type="spellEnd"/>
            <w:r>
              <w:rPr>
                <w:rFonts w:ascii="Calibri" w:hAnsi="Calibri"/>
                <w:color w:val="000000"/>
              </w:rPr>
              <w:t xml:space="preserve"> </w:t>
            </w:r>
            <w:proofErr w:type="spellStart"/>
            <w:r>
              <w:rPr>
                <w:rFonts w:ascii="Calibri" w:hAnsi="Calibri"/>
                <w:color w:val="000000"/>
              </w:rPr>
              <w:t>Italiana</w:t>
            </w:r>
            <w:proofErr w:type="spellEnd"/>
          </w:p>
        </w:tc>
        <w:tc>
          <w:tcPr>
            <w:tcW w:w="1361" w:type="dxa"/>
            <w:tcBorders>
              <w:top w:val="nil"/>
              <w:left w:val="nil"/>
              <w:bottom w:val="single" w:sz="4" w:space="0" w:color="auto"/>
              <w:right w:val="single" w:sz="4" w:space="0" w:color="auto"/>
            </w:tcBorders>
            <w:shd w:val="clear" w:color="auto" w:fill="auto"/>
            <w:noWrap/>
            <w:vAlign w:val="bottom"/>
            <w:hideMark/>
          </w:tcPr>
          <w:p w14:paraId="605C66BC" w14:textId="77777777" w:rsidR="009B684B" w:rsidRPr="00650291" w:rsidRDefault="009B684B" w:rsidP="00AE0577">
            <w:pPr>
              <w:jc w:val="right"/>
              <w:rPr>
                <w:rFonts w:asciiTheme="minorHAnsi" w:hAnsiTheme="minorHAnsi"/>
                <w:color w:val="000000"/>
                <w:sz w:val="20"/>
                <w:szCs w:val="20"/>
              </w:rPr>
            </w:pPr>
            <w:r>
              <w:rPr>
                <w:rFonts w:ascii="Calibri" w:hAnsi="Calibri"/>
                <w:color w:val="000000"/>
              </w:rPr>
              <w:t>6,300</w:t>
            </w:r>
          </w:p>
        </w:tc>
        <w:tc>
          <w:tcPr>
            <w:tcW w:w="1361" w:type="dxa"/>
            <w:tcBorders>
              <w:top w:val="nil"/>
              <w:left w:val="nil"/>
              <w:bottom w:val="single" w:sz="4" w:space="0" w:color="auto"/>
              <w:right w:val="single" w:sz="4" w:space="0" w:color="auto"/>
            </w:tcBorders>
            <w:shd w:val="clear" w:color="auto" w:fill="auto"/>
            <w:noWrap/>
            <w:vAlign w:val="bottom"/>
            <w:hideMark/>
          </w:tcPr>
          <w:p w14:paraId="53DE3541" w14:textId="77777777" w:rsidR="009B684B" w:rsidRPr="00650291" w:rsidRDefault="009B684B" w:rsidP="00AE0577">
            <w:pPr>
              <w:jc w:val="right"/>
              <w:rPr>
                <w:rFonts w:asciiTheme="minorHAnsi" w:hAnsiTheme="minorHAnsi"/>
                <w:color w:val="000000"/>
                <w:sz w:val="20"/>
                <w:szCs w:val="20"/>
              </w:rPr>
            </w:pPr>
            <w:r>
              <w:rPr>
                <w:rFonts w:ascii="Calibri" w:hAnsi="Calibri"/>
                <w:color w:val="000000"/>
              </w:rPr>
              <w:t>11,340</w:t>
            </w:r>
          </w:p>
        </w:tc>
        <w:tc>
          <w:tcPr>
            <w:tcW w:w="1361" w:type="dxa"/>
            <w:tcBorders>
              <w:top w:val="nil"/>
              <w:left w:val="nil"/>
              <w:bottom w:val="single" w:sz="4" w:space="0" w:color="auto"/>
              <w:right w:val="single" w:sz="4" w:space="0" w:color="auto"/>
            </w:tcBorders>
            <w:shd w:val="clear" w:color="auto" w:fill="auto"/>
            <w:noWrap/>
            <w:vAlign w:val="bottom"/>
            <w:hideMark/>
          </w:tcPr>
          <w:p w14:paraId="0EADDB3A" w14:textId="77777777" w:rsidR="009B684B" w:rsidRPr="00650291" w:rsidRDefault="009B684B" w:rsidP="00AE0577">
            <w:pPr>
              <w:jc w:val="right"/>
              <w:rPr>
                <w:rFonts w:asciiTheme="minorHAnsi" w:hAnsiTheme="minorHAnsi"/>
                <w:color w:val="000000"/>
                <w:sz w:val="20"/>
                <w:szCs w:val="20"/>
              </w:rPr>
            </w:pPr>
            <w:r>
              <w:rPr>
                <w:rFonts w:ascii="Calibri" w:hAnsi="Calibri"/>
                <w:color w:val="000000"/>
              </w:rPr>
              <w:t>11,340</w:t>
            </w:r>
          </w:p>
        </w:tc>
        <w:tc>
          <w:tcPr>
            <w:tcW w:w="1361" w:type="dxa"/>
            <w:tcBorders>
              <w:top w:val="nil"/>
              <w:left w:val="nil"/>
              <w:bottom w:val="single" w:sz="4" w:space="0" w:color="auto"/>
              <w:right w:val="nil"/>
            </w:tcBorders>
            <w:shd w:val="clear" w:color="auto" w:fill="auto"/>
            <w:noWrap/>
            <w:vAlign w:val="bottom"/>
            <w:hideMark/>
          </w:tcPr>
          <w:p w14:paraId="3EC00707" w14:textId="77777777" w:rsidR="009B684B" w:rsidRPr="00650291" w:rsidRDefault="009B684B" w:rsidP="00AE0577">
            <w:pPr>
              <w:jc w:val="right"/>
              <w:rPr>
                <w:rFonts w:asciiTheme="minorHAnsi" w:hAnsiTheme="minorHAnsi"/>
                <w:color w:val="000000"/>
                <w:sz w:val="20"/>
                <w:szCs w:val="20"/>
              </w:rPr>
            </w:pPr>
            <w:r>
              <w:rPr>
                <w:rFonts w:ascii="Calibri" w:hAnsi="Calibri"/>
                <w:color w:val="000000"/>
              </w:rPr>
              <w:t>11,570</w:t>
            </w:r>
          </w:p>
        </w:tc>
        <w:tc>
          <w:tcPr>
            <w:tcW w:w="1361" w:type="dxa"/>
            <w:tcBorders>
              <w:top w:val="nil"/>
              <w:left w:val="single" w:sz="8" w:space="0" w:color="auto"/>
              <w:bottom w:val="single" w:sz="4" w:space="0" w:color="auto"/>
              <w:right w:val="single" w:sz="8" w:space="0" w:color="auto"/>
            </w:tcBorders>
            <w:shd w:val="clear" w:color="000000" w:fill="DDEBF7"/>
            <w:noWrap/>
            <w:vAlign w:val="bottom"/>
            <w:hideMark/>
          </w:tcPr>
          <w:p w14:paraId="67DA71E8" w14:textId="77777777" w:rsidR="009B684B" w:rsidRPr="00650291" w:rsidRDefault="009B684B" w:rsidP="00AE0577">
            <w:pPr>
              <w:jc w:val="right"/>
              <w:rPr>
                <w:rFonts w:asciiTheme="minorHAnsi" w:hAnsiTheme="minorHAnsi"/>
                <w:b/>
                <w:bCs/>
                <w:color w:val="000000"/>
                <w:sz w:val="20"/>
                <w:szCs w:val="20"/>
              </w:rPr>
            </w:pPr>
            <w:r>
              <w:rPr>
                <w:rFonts w:ascii="Calibri" w:hAnsi="Calibri"/>
                <w:b/>
                <w:bCs/>
                <w:color w:val="000000"/>
              </w:rPr>
              <w:t>84%</w:t>
            </w:r>
          </w:p>
        </w:tc>
      </w:tr>
      <w:tr w:rsidR="009B684B" w:rsidRPr="00650291" w14:paraId="01B30BA5" w14:textId="77777777" w:rsidTr="00AE0577">
        <w:trPr>
          <w:trHeight w:val="300"/>
        </w:trPr>
        <w:tc>
          <w:tcPr>
            <w:tcW w:w="2778" w:type="dxa"/>
            <w:tcBorders>
              <w:top w:val="nil"/>
              <w:left w:val="single" w:sz="8" w:space="0" w:color="auto"/>
              <w:bottom w:val="single" w:sz="4" w:space="0" w:color="auto"/>
              <w:right w:val="single" w:sz="4" w:space="0" w:color="auto"/>
            </w:tcBorders>
            <w:shd w:val="clear" w:color="auto" w:fill="auto"/>
            <w:noWrap/>
            <w:vAlign w:val="bottom"/>
            <w:hideMark/>
          </w:tcPr>
          <w:p w14:paraId="2C17D20E" w14:textId="19845B05" w:rsidR="009B684B" w:rsidRPr="00650291" w:rsidRDefault="009B684B" w:rsidP="00AE0577">
            <w:pPr>
              <w:jc w:val="both"/>
              <w:rPr>
                <w:rFonts w:asciiTheme="minorHAnsi" w:hAnsiTheme="minorHAnsi"/>
                <w:color w:val="000000"/>
                <w:sz w:val="20"/>
                <w:szCs w:val="20"/>
              </w:rPr>
            </w:pPr>
            <w:r>
              <w:rPr>
                <w:rFonts w:ascii="Calibri" w:hAnsi="Calibri"/>
                <w:color w:val="000000"/>
              </w:rPr>
              <w:t xml:space="preserve">Deutsche </w:t>
            </w:r>
            <w:r w:rsidR="00492E53">
              <w:rPr>
                <w:rFonts w:ascii="Calibri" w:hAnsi="Calibri"/>
                <w:color w:val="000000"/>
              </w:rPr>
              <w:t>Boerse</w:t>
            </w:r>
          </w:p>
        </w:tc>
        <w:tc>
          <w:tcPr>
            <w:tcW w:w="1361" w:type="dxa"/>
            <w:tcBorders>
              <w:top w:val="nil"/>
              <w:left w:val="nil"/>
              <w:bottom w:val="single" w:sz="4" w:space="0" w:color="auto"/>
              <w:right w:val="single" w:sz="4" w:space="0" w:color="auto"/>
            </w:tcBorders>
            <w:shd w:val="clear" w:color="auto" w:fill="auto"/>
            <w:noWrap/>
            <w:vAlign w:val="bottom"/>
            <w:hideMark/>
          </w:tcPr>
          <w:p w14:paraId="28E233EF" w14:textId="77777777" w:rsidR="009B684B" w:rsidRPr="00650291" w:rsidRDefault="009B684B" w:rsidP="00AE0577">
            <w:pPr>
              <w:jc w:val="right"/>
              <w:rPr>
                <w:rFonts w:asciiTheme="minorHAnsi" w:hAnsiTheme="minorHAnsi"/>
                <w:color w:val="000000"/>
                <w:sz w:val="20"/>
                <w:szCs w:val="20"/>
              </w:rPr>
            </w:pPr>
            <w:r>
              <w:rPr>
                <w:rFonts w:ascii="Calibri" w:hAnsi="Calibri"/>
                <w:color w:val="000000"/>
              </w:rPr>
              <w:t>0</w:t>
            </w:r>
          </w:p>
        </w:tc>
        <w:tc>
          <w:tcPr>
            <w:tcW w:w="1361" w:type="dxa"/>
            <w:tcBorders>
              <w:top w:val="nil"/>
              <w:left w:val="nil"/>
              <w:bottom w:val="single" w:sz="4" w:space="0" w:color="auto"/>
              <w:right w:val="single" w:sz="4" w:space="0" w:color="auto"/>
            </w:tcBorders>
            <w:shd w:val="clear" w:color="auto" w:fill="auto"/>
            <w:noWrap/>
            <w:vAlign w:val="bottom"/>
            <w:hideMark/>
          </w:tcPr>
          <w:p w14:paraId="08EF314B" w14:textId="77777777" w:rsidR="009B684B" w:rsidRPr="00650291" w:rsidRDefault="009B684B" w:rsidP="00AE0577">
            <w:pPr>
              <w:jc w:val="right"/>
              <w:rPr>
                <w:rFonts w:asciiTheme="minorHAnsi" w:hAnsiTheme="minorHAnsi"/>
                <w:color w:val="000000"/>
                <w:sz w:val="20"/>
                <w:szCs w:val="20"/>
              </w:rPr>
            </w:pPr>
            <w:r>
              <w:rPr>
                <w:rFonts w:ascii="Calibri" w:hAnsi="Calibri"/>
                <w:color w:val="000000"/>
              </w:rPr>
              <w:t>0</w:t>
            </w:r>
          </w:p>
        </w:tc>
        <w:tc>
          <w:tcPr>
            <w:tcW w:w="1361" w:type="dxa"/>
            <w:tcBorders>
              <w:top w:val="nil"/>
              <w:left w:val="nil"/>
              <w:bottom w:val="single" w:sz="4" w:space="0" w:color="auto"/>
              <w:right w:val="single" w:sz="4" w:space="0" w:color="auto"/>
            </w:tcBorders>
            <w:shd w:val="clear" w:color="auto" w:fill="auto"/>
            <w:noWrap/>
            <w:vAlign w:val="bottom"/>
            <w:hideMark/>
          </w:tcPr>
          <w:p w14:paraId="5B42B913" w14:textId="77777777" w:rsidR="009B684B" w:rsidRPr="00650291" w:rsidRDefault="009B684B" w:rsidP="00AE0577">
            <w:pPr>
              <w:jc w:val="right"/>
              <w:rPr>
                <w:rFonts w:asciiTheme="minorHAnsi" w:hAnsiTheme="minorHAnsi"/>
                <w:color w:val="000000"/>
                <w:sz w:val="20"/>
                <w:szCs w:val="20"/>
              </w:rPr>
            </w:pPr>
            <w:r>
              <w:rPr>
                <w:rFonts w:ascii="Calibri" w:hAnsi="Calibri"/>
                <w:color w:val="000000"/>
              </w:rPr>
              <w:t>49,200</w:t>
            </w:r>
          </w:p>
        </w:tc>
        <w:tc>
          <w:tcPr>
            <w:tcW w:w="1361" w:type="dxa"/>
            <w:tcBorders>
              <w:top w:val="nil"/>
              <w:left w:val="nil"/>
              <w:bottom w:val="single" w:sz="4" w:space="0" w:color="auto"/>
              <w:right w:val="nil"/>
            </w:tcBorders>
            <w:shd w:val="clear" w:color="auto" w:fill="auto"/>
            <w:noWrap/>
            <w:vAlign w:val="bottom"/>
            <w:hideMark/>
          </w:tcPr>
          <w:p w14:paraId="29C2FBE6" w14:textId="77777777" w:rsidR="009B684B" w:rsidRPr="00650291" w:rsidRDefault="009B684B" w:rsidP="00AE0577">
            <w:pPr>
              <w:jc w:val="right"/>
              <w:rPr>
                <w:rFonts w:asciiTheme="minorHAnsi" w:hAnsiTheme="minorHAnsi"/>
                <w:color w:val="000000"/>
                <w:sz w:val="20"/>
                <w:szCs w:val="20"/>
              </w:rPr>
            </w:pPr>
            <w:r>
              <w:rPr>
                <w:rFonts w:ascii="Calibri" w:hAnsi="Calibri"/>
                <w:color w:val="000000"/>
              </w:rPr>
              <w:t>55,584</w:t>
            </w:r>
          </w:p>
        </w:tc>
        <w:tc>
          <w:tcPr>
            <w:tcW w:w="1361" w:type="dxa"/>
            <w:tcBorders>
              <w:top w:val="nil"/>
              <w:left w:val="single" w:sz="8" w:space="0" w:color="auto"/>
              <w:bottom w:val="single" w:sz="4" w:space="0" w:color="auto"/>
              <w:right w:val="single" w:sz="8" w:space="0" w:color="auto"/>
            </w:tcBorders>
            <w:shd w:val="clear" w:color="000000" w:fill="DDEBF7"/>
            <w:noWrap/>
            <w:vAlign w:val="bottom"/>
            <w:hideMark/>
          </w:tcPr>
          <w:p w14:paraId="384672E8" w14:textId="77777777" w:rsidR="009B684B" w:rsidRPr="00650291" w:rsidRDefault="009B684B" w:rsidP="00AE0577">
            <w:pPr>
              <w:jc w:val="right"/>
              <w:rPr>
                <w:rFonts w:asciiTheme="minorHAnsi" w:hAnsiTheme="minorHAnsi"/>
                <w:b/>
                <w:bCs/>
                <w:color w:val="000000"/>
                <w:sz w:val="20"/>
                <w:szCs w:val="20"/>
              </w:rPr>
            </w:pPr>
            <w:r>
              <w:rPr>
                <w:rFonts w:ascii="Calibri" w:hAnsi="Calibri"/>
                <w:b/>
                <w:bCs/>
                <w:color w:val="000000"/>
              </w:rPr>
              <w:t>-</w:t>
            </w:r>
          </w:p>
        </w:tc>
      </w:tr>
      <w:tr w:rsidR="009B684B" w:rsidRPr="00650291" w14:paraId="6CAAD881" w14:textId="77777777" w:rsidTr="00AE0577">
        <w:trPr>
          <w:trHeight w:val="300"/>
        </w:trPr>
        <w:tc>
          <w:tcPr>
            <w:tcW w:w="2778" w:type="dxa"/>
            <w:tcBorders>
              <w:top w:val="nil"/>
              <w:left w:val="single" w:sz="8" w:space="0" w:color="auto"/>
              <w:bottom w:val="single" w:sz="4" w:space="0" w:color="auto"/>
              <w:right w:val="single" w:sz="4" w:space="0" w:color="auto"/>
            </w:tcBorders>
            <w:shd w:val="clear" w:color="auto" w:fill="auto"/>
            <w:noWrap/>
            <w:vAlign w:val="bottom"/>
            <w:hideMark/>
          </w:tcPr>
          <w:p w14:paraId="4CD278DB" w14:textId="77777777" w:rsidR="009B684B" w:rsidRPr="00650291" w:rsidRDefault="009B684B" w:rsidP="00AE0577">
            <w:pPr>
              <w:jc w:val="both"/>
              <w:rPr>
                <w:rFonts w:asciiTheme="minorHAnsi" w:hAnsiTheme="minorHAnsi"/>
                <w:color w:val="000000"/>
                <w:sz w:val="20"/>
                <w:szCs w:val="20"/>
              </w:rPr>
            </w:pPr>
            <w:r>
              <w:rPr>
                <w:rFonts w:ascii="Calibri" w:hAnsi="Calibri"/>
                <w:color w:val="000000"/>
              </w:rPr>
              <w:t>Euronext</w:t>
            </w:r>
          </w:p>
        </w:tc>
        <w:tc>
          <w:tcPr>
            <w:tcW w:w="1361" w:type="dxa"/>
            <w:tcBorders>
              <w:top w:val="nil"/>
              <w:left w:val="nil"/>
              <w:bottom w:val="single" w:sz="4" w:space="0" w:color="auto"/>
              <w:right w:val="single" w:sz="4" w:space="0" w:color="auto"/>
            </w:tcBorders>
            <w:shd w:val="clear" w:color="auto" w:fill="auto"/>
            <w:noWrap/>
            <w:vAlign w:val="bottom"/>
            <w:hideMark/>
          </w:tcPr>
          <w:p w14:paraId="41734114" w14:textId="77777777" w:rsidR="009B684B" w:rsidRPr="00650291" w:rsidRDefault="009B684B" w:rsidP="00AE0577">
            <w:pPr>
              <w:jc w:val="right"/>
              <w:rPr>
                <w:rFonts w:asciiTheme="minorHAnsi" w:hAnsiTheme="minorHAnsi"/>
                <w:color w:val="000000"/>
                <w:sz w:val="20"/>
                <w:szCs w:val="20"/>
              </w:rPr>
            </w:pPr>
            <w:r>
              <w:rPr>
                <w:rFonts w:ascii="Calibri" w:hAnsi="Calibri"/>
                <w:color w:val="000000"/>
              </w:rPr>
              <w:t>17,400</w:t>
            </w:r>
          </w:p>
        </w:tc>
        <w:tc>
          <w:tcPr>
            <w:tcW w:w="1361" w:type="dxa"/>
            <w:tcBorders>
              <w:top w:val="nil"/>
              <w:left w:val="nil"/>
              <w:bottom w:val="single" w:sz="4" w:space="0" w:color="auto"/>
              <w:right w:val="single" w:sz="4" w:space="0" w:color="auto"/>
            </w:tcBorders>
            <w:shd w:val="clear" w:color="auto" w:fill="auto"/>
            <w:noWrap/>
            <w:vAlign w:val="bottom"/>
            <w:hideMark/>
          </w:tcPr>
          <w:p w14:paraId="7D946CBC" w14:textId="77777777" w:rsidR="009B684B" w:rsidRPr="00650291" w:rsidRDefault="009B684B" w:rsidP="00AE0577">
            <w:pPr>
              <w:jc w:val="right"/>
              <w:rPr>
                <w:rFonts w:asciiTheme="minorHAnsi" w:hAnsiTheme="minorHAnsi"/>
                <w:color w:val="000000"/>
                <w:sz w:val="20"/>
                <w:szCs w:val="20"/>
              </w:rPr>
            </w:pPr>
            <w:r>
              <w:rPr>
                <w:rFonts w:ascii="Calibri" w:hAnsi="Calibri"/>
                <w:color w:val="000000"/>
              </w:rPr>
              <w:t>22,620</w:t>
            </w:r>
          </w:p>
        </w:tc>
        <w:tc>
          <w:tcPr>
            <w:tcW w:w="1361" w:type="dxa"/>
            <w:tcBorders>
              <w:top w:val="nil"/>
              <w:left w:val="nil"/>
              <w:bottom w:val="single" w:sz="4" w:space="0" w:color="auto"/>
              <w:right w:val="single" w:sz="4" w:space="0" w:color="auto"/>
            </w:tcBorders>
            <w:shd w:val="clear" w:color="auto" w:fill="auto"/>
            <w:noWrap/>
            <w:vAlign w:val="bottom"/>
            <w:hideMark/>
          </w:tcPr>
          <w:p w14:paraId="421C6BA5" w14:textId="77777777" w:rsidR="009B684B" w:rsidRPr="00650291" w:rsidRDefault="009B684B" w:rsidP="00AE0577">
            <w:pPr>
              <w:jc w:val="right"/>
              <w:rPr>
                <w:rFonts w:asciiTheme="minorHAnsi" w:hAnsiTheme="minorHAnsi"/>
                <w:color w:val="000000"/>
                <w:sz w:val="20"/>
                <w:szCs w:val="20"/>
              </w:rPr>
            </w:pPr>
            <w:r>
              <w:rPr>
                <w:rFonts w:ascii="Calibri" w:hAnsi="Calibri"/>
                <w:color w:val="000000"/>
              </w:rPr>
              <w:t>26,790</w:t>
            </w:r>
          </w:p>
        </w:tc>
        <w:tc>
          <w:tcPr>
            <w:tcW w:w="1361" w:type="dxa"/>
            <w:tcBorders>
              <w:top w:val="nil"/>
              <w:left w:val="nil"/>
              <w:bottom w:val="single" w:sz="4" w:space="0" w:color="auto"/>
              <w:right w:val="nil"/>
            </w:tcBorders>
            <w:shd w:val="clear" w:color="auto" w:fill="auto"/>
            <w:noWrap/>
            <w:vAlign w:val="bottom"/>
            <w:hideMark/>
          </w:tcPr>
          <w:p w14:paraId="575A82D0" w14:textId="77777777" w:rsidR="009B684B" w:rsidRPr="00650291" w:rsidRDefault="009B684B" w:rsidP="00AE0577">
            <w:pPr>
              <w:jc w:val="right"/>
              <w:rPr>
                <w:rFonts w:asciiTheme="minorHAnsi" w:hAnsiTheme="minorHAnsi"/>
                <w:color w:val="000000"/>
                <w:sz w:val="20"/>
                <w:szCs w:val="20"/>
              </w:rPr>
            </w:pPr>
            <w:r>
              <w:rPr>
                <w:rFonts w:ascii="Calibri" w:hAnsi="Calibri"/>
                <w:color w:val="000000"/>
              </w:rPr>
              <w:t>27,980</w:t>
            </w:r>
          </w:p>
        </w:tc>
        <w:tc>
          <w:tcPr>
            <w:tcW w:w="1361" w:type="dxa"/>
            <w:tcBorders>
              <w:top w:val="nil"/>
              <w:left w:val="single" w:sz="8" w:space="0" w:color="auto"/>
              <w:bottom w:val="single" w:sz="4" w:space="0" w:color="auto"/>
              <w:right w:val="single" w:sz="8" w:space="0" w:color="auto"/>
            </w:tcBorders>
            <w:shd w:val="clear" w:color="000000" w:fill="DDEBF7"/>
            <w:noWrap/>
            <w:vAlign w:val="bottom"/>
            <w:hideMark/>
          </w:tcPr>
          <w:p w14:paraId="465958A7" w14:textId="77777777" w:rsidR="009B684B" w:rsidRPr="00650291" w:rsidRDefault="009B684B" w:rsidP="00AE0577">
            <w:pPr>
              <w:jc w:val="right"/>
              <w:rPr>
                <w:rFonts w:asciiTheme="minorHAnsi" w:hAnsiTheme="minorHAnsi"/>
                <w:b/>
                <w:bCs/>
                <w:color w:val="000000"/>
                <w:sz w:val="20"/>
                <w:szCs w:val="20"/>
              </w:rPr>
            </w:pPr>
            <w:r>
              <w:rPr>
                <w:rFonts w:ascii="Calibri" w:hAnsi="Calibri"/>
                <w:b/>
                <w:bCs/>
                <w:color w:val="000000"/>
              </w:rPr>
              <w:t>61%</w:t>
            </w:r>
          </w:p>
        </w:tc>
      </w:tr>
      <w:tr w:rsidR="009B684B" w:rsidRPr="00650291" w14:paraId="03C11EE8" w14:textId="77777777" w:rsidTr="00AE0577">
        <w:trPr>
          <w:trHeight w:val="300"/>
        </w:trPr>
        <w:tc>
          <w:tcPr>
            <w:tcW w:w="2778" w:type="dxa"/>
            <w:tcBorders>
              <w:top w:val="nil"/>
              <w:left w:val="single" w:sz="8" w:space="0" w:color="auto"/>
              <w:bottom w:val="single" w:sz="4" w:space="0" w:color="auto"/>
              <w:right w:val="single" w:sz="4" w:space="0" w:color="auto"/>
            </w:tcBorders>
            <w:shd w:val="clear" w:color="auto" w:fill="auto"/>
            <w:noWrap/>
            <w:vAlign w:val="bottom"/>
            <w:hideMark/>
          </w:tcPr>
          <w:p w14:paraId="7140C4E5" w14:textId="77777777" w:rsidR="009B684B" w:rsidRPr="00650291" w:rsidRDefault="009B684B" w:rsidP="00AE0577">
            <w:pPr>
              <w:jc w:val="both"/>
              <w:rPr>
                <w:rFonts w:asciiTheme="minorHAnsi" w:hAnsiTheme="minorHAnsi"/>
                <w:color w:val="000000"/>
                <w:sz w:val="20"/>
                <w:szCs w:val="20"/>
              </w:rPr>
            </w:pPr>
            <w:r>
              <w:rPr>
                <w:rFonts w:ascii="Calibri" w:hAnsi="Calibri"/>
                <w:color w:val="000000"/>
              </w:rPr>
              <w:t>ICE Europe</w:t>
            </w:r>
          </w:p>
        </w:tc>
        <w:tc>
          <w:tcPr>
            <w:tcW w:w="1361" w:type="dxa"/>
            <w:tcBorders>
              <w:top w:val="nil"/>
              <w:left w:val="nil"/>
              <w:bottom w:val="single" w:sz="4" w:space="0" w:color="auto"/>
              <w:right w:val="single" w:sz="4" w:space="0" w:color="auto"/>
            </w:tcBorders>
            <w:shd w:val="clear" w:color="auto" w:fill="auto"/>
            <w:noWrap/>
            <w:vAlign w:val="bottom"/>
            <w:hideMark/>
          </w:tcPr>
          <w:p w14:paraId="5CCE8518" w14:textId="77777777" w:rsidR="009B684B" w:rsidRPr="00650291" w:rsidRDefault="009B684B" w:rsidP="00AE0577">
            <w:pPr>
              <w:jc w:val="right"/>
              <w:rPr>
                <w:rFonts w:asciiTheme="minorHAnsi" w:hAnsiTheme="minorHAnsi"/>
                <w:color w:val="000000"/>
                <w:sz w:val="20"/>
                <w:szCs w:val="20"/>
              </w:rPr>
            </w:pPr>
            <w:r>
              <w:rPr>
                <w:rFonts w:ascii="Calibri" w:hAnsi="Calibri"/>
                <w:color w:val="000000"/>
              </w:rPr>
              <w:t>17,207</w:t>
            </w:r>
          </w:p>
        </w:tc>
        <w:tc>
          <w:tcPr>
            <w:tcW w:w="1361" w:type="dxa"/>
            <w:tcBorders>
              <w:top w:val="nil"/>
              <w:left w:val="nil"/>
              <w:bottom w:val="single" w:sz="4" w:space="0" w:color="auto"/>
              <w:right w:val="single" w:sz="4" w:space="0" w:color="auto"/>
            </w:tcBorders>
            <w:shd w:val="clear" w:color="auto" w:fill="auto"/>
            <w:noWrap/>
            <w:vAlign w:val="bottom"/>
            <w:hideMark/>
          </w:tcPr>
          <w:p w14:paraId="79D4C5F4" w14:textId="77777777" w:rsidR="009B684B" w:rsidRPr="00650291" w:rsidRDefault="009B684B" w:rsidP="00AE0577">
            <w:pPr>
              <w:jc w:val="right"/>
              <w:rPr>
                <w:rFonts w:asciiTheme="minorHAnsi" w:hAnsiTheme="minorHAnsi"/>
                <w:color w:val="000000"/>
                <w:sz w:val="20"/>
                <w:szCs w:val="20"/>
              </w:rPr>
            </w:pPr>
            <w:r>
              <w:rPr>
                <w:rFonts w:ascii="Calibri" w:hAnsi="Calibri"/>
                <w:color w:val="000000"/>
              </w:rPr>
              <w:t>16,664</w:t>
            </w:r>
          </w:p>
        </w:tc>
        <w:tc>
          <w:tcPr>
            <w:tcW w:w="1361" w:type="dxa"/>
            <w:tcBorders>
              <w:top w:val="nil"/>
              <w:left w:val="nil"/>
              <w:bottom w:val="single" w:sz="4" w:space="0" w:color="auto"/>
              <w:right w:val="single" w:sz="4" w:space="0" w:color="auto"/>
            </w:tcBorders>
            <w:shd w:val="clear" w:color="auto" w:fill="auto"/>
            <w:noWrap/>
            <w:vAlign w:val="bottom"/>
            <w:hideMark/>
          </w:tcPr>
          <w:p w14:paraId="72BB127B" w14:textId="77777777" w:rsidR="009B684B" w:rsidRPr="00650291" w:rsidRDefault="009B684B" w:rsidP="00AE0577">
            <w:pPr>
              <w:jc w:val="right"/>
              <w:rPr>
                <w:rFonts w:asciiTheme="minorHAnsi" w:hAnsiTheme="minorHAnsi"/>
                <w:color w:val="000000"/>
                <w:sz w:val="20"/>
                <w:szCs w:val="20"/>
              </w:rPr>
            </w:pPr>
            <w:r>
              <w:rPr>
                <w:rFonts w:ascii="Calibri" w:hAnsi="Calibri"/>
                <w:color w:val="000000"/>
              </w:rPr>
              <w:t>19,029</w:t>
            </w:r>
          </w:p>
        </w:tc>
        <w:tc>
          <w:tcPr>
            <w:tcW w:w="1361" w:type="dxa"/>
            <w:tcBorders>
              <w:top w:val="nil"/>
              <w:left w:val="nil"/>
              <w:bottom w:val="single" w:sz="4" w:space="0" w:color="auto"/>
              <w:right w:val="nil"/>
            </w:tcBorders>
            <w:shd w:val="clear" w:color="auto" w:fill="auto"/>
            <w:noWrap/>
            <w:vAlign w:val="bottom"/>
            <w:hideMark/>
          </w:tcPr>
          <w:p w14:paraId="0DC0E7CE" w14:textId="77777777" w:rsidR="009B684B" w:rsidRPr="00650291" w:rsidRDefault="009B684B" w:rsidP="00AE0577">
            <w:pPr>
              <w:jc w:val="right"/>
              <w:rPr>
                <w:rFonts w:asciiTheme="minorHAnsi" w:hAnsiTheme="minorHAnsi"/>
                <w:color w:val="000000"/>
                <w:sz w:val="20"/>
                <w:szCs w:val="20"/>
              </w:rPr>
            </w:pPr>
            <w:r>
              <w:rPr>
                <w:rFonts w:ascii="Calibri" w:hAnsi="Calibri"/>
                <w:color w:val="000000"/>
              </w:rPr>
              <w:t>19,395</w:t>
            </w:r>
          </w:p>
        </w:tc>
        <w:tc>
          <w:tcPr>
            <w:tcW w:w="1361" w:type="dxa"/>
            <w:tcBorders>
              <w:top w:val="nil"/>
              <w:left w:val="single" w:sz="8" w:space="0" w:color="auto"/>
              <w:bottom w:val="single" w:sz="4" w:space="0" w:color="auto"/>
              <w:right w:val="single" w:sz="8" w:space="0" w:color="auto"/>
            </w:tcBorders>
            <w:shd w:val="clear" w:color="000000" w:fill="DDEBF7"/>
            <w:noWrap/>
            <w:vAlign w:val="bottom"/>
            <w:hideMark/>
          </w:tcPr>
          <w:p w14:paraId="3C898BB3" w14:textId="77777777" w:rsidR="009B684B" w:rsidRPr="00650291" w:rsidRDefault="009B684B" w:rsidP="00AE0577">
            <w:pPr>
              <w:jc w:val="right"/>
              <w:rPr>
                <w:rFonts w:asciiTheme="minorHAnsi" w:hAnsiTheme="minorHAnsi"/>
                <w:b/>
                <w:bCs/>
                <w:color w:val="000000"/>
                <w:sz w:val="20"/>
                <w:szCs w:val="20"/>
              </w:rPr>
            </w:pPr>
            <w:r>
              <w:rPr>
                <w:rFonts w:ascii="Calibri" w:hAnsi="Calibri"/>
                <w:b/>
                <w:bCs/>
                <w:color w:val="000000"/>
              </w:rPr>
              <w:t>13%</w:t>
            </w:r>
          </w:p>
        </w:tc>
      </w:tr>
      <w:tr w:rsidR="009B684B" w:rsidRPr="00650291" w14:paraId="0C06BD33" w14:textId="77777777" w:rsidTr="00AE0577">
        <w:trPr>
          <w:trHeight w:val="300"/>
        </w:trPr>
        <w:tc>
          <w:tcPr>
            <w:tcW w:w="2778" w:type="dxa"/>
            <w:tcBorders>
              <w:top w:val="nil"/>
              <w:left w:val="single" w:sz="8" w:space="0" w:color="auto"/>
              <w:bottom w:val="single" w:sz="4" w:space="0" w:color="auto"/>
              <w:right w:val="single" w:sz="4" w:space="0" w:color="auto"/>
            </w:tcBorders>
            <w:shd w:val="clear" w:color="auto" w:fill="auto"/>
            <w:noWrap/>
            <w:vAlign w:val="bottom"/>
            <w:hideMark/>
          </w:tcPr>
          <w:p w14:paraId="22CB6BB2" w14:textId="77777777" w:rsidR="009B684B" w:rsidRPr="00650291" w:rsidRDefault="009B684B" w:rsidP="00AE0577">
            <w:pPr>
              <w:jc w:val="both"/>
              <w:rPr>
                <w:rFonts w:asciiTheme="minorHAnsi" w:hAnsiTheme="minorHAnsi"/>
                <w:color w:val="000000"/>
                <w:sz w:val="20"/>
                <w:szCs w:val="20"/>
              </w:rPr>
            </w:pPr>
            <w:r>
              <w:rPr>
                <w:rFonts w:ascii="Calibri" w:hAnsi="Calibri"/>
                <w:color w:val="000000"/>
              </w:rPr>
              <w:t>Irish Stock Exchange</w:t>
            </w:r>
          </w:p>
        </w:tc>
        <w:tc>
          <w:tcPr>
            <w:tcW w:w="1361" w:type="dxa"/>
            <w:tcBorders>
              <w:top w:val="nil"/>
              <w:left w:val="nil"/>
              <w:bottom w:val="single" w:sz="4" w:space="0" w:color="auto"/>
              <w:right w:val="single" w:sz="4" w:space="0" w:color="auto"/>
            </w:tcBorders>
            <w:shd w:val="clear" w:color="auto" w:fill="auto"/>
            <w:noWrap/>
            <w:vAlign w:val="bottom"/>
            <w:hideMark/>
          </w:tcPr>
          <w:p w14:paraId="70EF5517" w14:textId="77777777" w:rsidR="009B684B" w:rsidRPr="00650291" w:rsidRDefault="009B684B" w:rsidP="00AE0577">
            <w:pPr>
              <w:jc w:val="right"/>
              <w:rPr>
                <w:rFonts w:asciiTheme="minorHAnsi" w:hAnsiTheme="minorHAnsi"/>
                <w:color w:val="000000"/>
                <w:sz w:val="20"/>
                <w:szCs w:val="20"/>
              </w:rPr>
            </w:pPr>
            <w:r>
              <w:rPr>
                <w:rFonts w:ascii="Calibri" w:hAnsi="Calibri"/>
                <w:color w:val="000000"/>
              </w:rPr>
              <w:t>0</w:t>
            </w:r>
          </w:p>
        </w:tc>
        <w:tc>
          <w:tcPr>
            <w:tcW w:w="1361" w:type="dxa"/>
            <w:tcBorders>
              <w:top w:val="nil"/>
              <w:left w:val="nil"/>
              <w:bottom w:val="single" w:sz="4" w:space="0" w:color="auto"/>
              <w:right w:val="single" w:sz="4" w:space="0" w:color="auto"/>
            </w:tcBorders>
            <w:shd w:val="clear" w:color="auto" w:fill="auto"/>
            <w:noWrap/>
            <w:vAlign w:val="bottom"/>
            <w:hideMark/>
          </w:tcPr>
          <w:p w14:paraId="28A053DC" w14:textId="77777777" w:rsidR="009B684B" w:rsidRPr="00650291" w:rsidRDefault="009B684B" w:rsidP="00AE0577">
            <w:pPr>
              <w:jc w:val="right"/>
              <w:rPr>
                <w:rFonts w:asciiTheme="minorHAnsi" w:hAnsiTheme="minorHAnsi"/>
                <w:color w:val="000000"/>
                <w:sz w:val="20"/>
                <w:szCs w:val="20"/>
              </w:rPr>
            </w:pPr>
            <w:r>
              <w:rPr>
                <w:rFonts w:ascii="Calibri" w:hAnsi="Calibri"/>
                <w:color w:val="000000"/>
              </w:rPr>
              <w:t>0</w:t>
            </w:r>
          </w:p>
        </w:tc>
        <w:tc>
          <w:tcPr>
            <w:tcW w:w="1361" w:type="dxa"/>
            <w:tcBorders>
              <w:top w:val="nil"/>
              <w:left w:val="nil"/>
              <w:bottom w:val="single" w:sz="4" w:space="0" w:color="auto"/>
              <w:right w:val="single" w:sz="4" w:space="0" w:color="auto"/>
            </w:tcBorders>
            <w:shd w:val="clear" w:color="auto" w:fill="auto"/>
            <w:noWrap/>
            <w:vAlign w:val="bottom"/>
            <w:hideMark/>
          </w:tcPr>
          <w:p w14:paraId="29BDE62E" w14:textId="77777777" w:rsidR="009B684B" w:rsidRPr="00650291" w:rsidRDefault="009B684B" w:rsidP="00AE0577">
            <w:pPr>
              <w:jc w:val="right"/>
              <w:rPr>
                <w:rFonts w:asciiTheme="minorHAnsi" w:hAnsiTheme="minorHAnsi"/>
                <w:color w:val="000000"/>
                <w:sz w:val="20"/>
                <w:szCs w:val="20"/>
              </w:rPr>
            </w:pPr>
            <w:r>
              <w:rPr>
                <w:rFonts w:ascii="Calibri" w:hAnsi="Calibri"/>
                <w:color w:val="000000"/>
              </w:rPr>
              <w:t>15,000</w:t>
            </w:r>
          </w:p>
        </w:tc>
        <w:tc>
          <w:tcPr>
            <w:tcW w:w="1361" w:type="dxa"/>
            <w:tcBorders>
              <w:top w:val="nil"/>
              <w:left w:val="nil"/>
              <w:bottom w:val="single" w:sz="4" w:space="0" w:color="auto"/>
              <w:right w:val="nil"/>
            </w:tcBorders>
            <w:shd w:val="clear" w:color="auto" w:fill="auto"/>
            <w:noWrap/>
            <w:vAlign w:val="bottom"/>
            <w:hideMark/>
          </w:tcPr>
          <w:p w14:paraId="75344295" w14:textId="77777777" w:rsidR="009B684B" w:rsidRPr="00650291" w:rsidRDefault="009B684B" w:rsidP="00AE0577">
            <w:pPr>
              <w:jc w:val="right"/>
              <w:rPr>
                <w:rFonts w:asciiTheme="minorHAnsi" w:hAnsiTheme="minorHAnsi"/>
                <w:color w:val="000000"/>
                <w:sz w:val="20"/>
                <w:szCs w:val="20"/>
              </w:rPr>
            </w:pPr>
            <w:r>
              <w:rPr>
                <w:rFonts w:ascii="Calibri" w:hAnsi="Calibri"/>
                <w:color w:val="000000"/>
              </w:rPr>
              <w:t>5,670</w:t>
            </w:r>
          </w:p>
        </w:tc>
        <w:tc>
          <w:tcPr>
            <w:tcW w:w="1361" w:type="dxa"/>
            <w:tcBorders>
              <w:top w:val="nil"/>
              <w:left w:val="single" w:sz="8" w:space="0" w:color="auto"/>
              <w:bottom w:val="single" w:sz="4" w:space="0" w:color="auto"/>
              <w:right w:val="single" w:sz="8" w:space="0" w:color="auto"/>
            </w:tcBorders>
            <w:shd w:val="clear" w:color="000000" w:fill="DDEBF7"/>
            <w:noWrap/>
            <w:vAlign w:val="bottom"/>
            <w:hideMark/>
          </w:tcPr>
          <w:p w14:paraId="70EB4018" w14:textId="77777777" w:rsidR="009B684B" w:rsidRPr="00650291" w:rsidRDefault="009B684B" w:rsidP="00AE0577">
            <w:pPr>
              <w:jc w:val="right"/>
              <w:rPr>
                <w:rFonts w:asciiTheme="minorHAnsi" w:hAnsiTheme="minorHAnsi"/>
                <w:b/>
                <w:bCs/>
                <w:color w:val="000000"/>
                <w:sz w:val="20"/>
                <w:szCs w:val="20"/>
              </w:rPr>
            </w:pPr>
            <w:r>
              <w:rPr>
                <w:rFonts w:ascii="Calibri" w:hAnsi="Calibri"/>
                <w:b/>
                <w:bCs/>
                <w:color w:val="000000"/>
              </w:rPr>
              <w:t>-</w:t>
            </w:r>
          </w:p>
        </w:tc>
      </w:tr>
      <w:tr w:rsidR="009B684B" w:rsidRPr="00650291" w14:paraId="106A7328" w14:textId="77777777" w:rsidTr="00AE0577">
        <w:trPr>
          <w:trHeight w:val="300"/>
        </w:trPr>
        <w:tc>
          <w:tcPr>
            <w:tcW w:w="2778" w:type="dxa"/>
            <w:tcBorders>
              <w:top w:val="nil"/>
              <w:left w:val="single" w:sz="8" w:space="0" w:color="auto"/>
              <w:bottom w:val="single" w:sz="4" w:space="0" w:color="auto"/>
              <w:right w:val="single" w:sz="4" w:space="0" w:color="auto"/>
            </w:tcBorders>
            <w:shd w:val="clear" w:color="auto" w:fill="auto"/>
            <w:noWrap/>
            <w:vAlign w:val="bottom"/>
            <w:hideMark/>
          </w:tcPr>
          <w:p w14:paraId="79951754" w14:textId="77777777" w:rsidR="009B684B" w:rsidRPr="00650291" w:rsidRDefault="009B684B" w:rsidP="00AE0577">
            <w:pPr>
              <w:jc w:val="both"/>
              <w:rPr>
                <w:rFonts w:asciiTheme="minorHAnsi" w:hAnsiTheme="minorHAnsi"/>
                <w:color w:val="000000"/>
                <w:sz w:val="20"/>
                <w:szCs w:val="20"/>
              </w:rPr>
            </w:pPr>
            <w:r>
              <w:rPr>
                <w:rFonts w:ascii="Calibri" w:hAnsi="Calibri"/>
                <w:color w:val="000000"/>
              </w:rPr>
              <w:t>London Stock Exchange</w:t>
            </w:r>
          </w:p>
        </w:tc>
        <w:tc>
          <w:tcPr>
            <w:tcW w:w="1361" w:type="dxa"/>
            <w:tcBorders>
              <w:top w:val="nil"/>
              <w:left w:val="nil"/>
              <w:bottom w:val="single" w:sz="4" w:space="0" w:color="auto"/>
              <w:right w:val="single" w:sz="4" w:space="0" w:color="auto"/>
            </w:tcBorders>
            <w:shd w:val="clear" w:color="auto" w:fill="auto"/>
            <w:noWrap/>
            <w:vAlign w:val="bottom"/>
            <w:hideMark/>
          </w:tcPr>
          <w:p w14:paraId="67ACEE7E" w14:textId="77777777" w:rsidR="009B684B" w:rsidRPr="00650291" w:rsidRDefault="009B684B" w:rsidP="00AE0577">
            <w:pPr>
              <w:jc w:val="right"/>
              <w:rPr>
                <w:rFonts w:asciiTheme="minorHAnsi" w:hAnsiTheme="minorHAnsi"/>
                <w:color w:val="000000"/>
                <w:sz w:val="20"/>
                <w:szCs w:val="20"/>
              </w:rPr>
            </w:pPr>
            <w:r>
              <w:rPr>
                <w:rFonts w:ascii="Calibri" w:hAnsi="Calibri"/>
                <w:color w:val="000000"/>
              </w:rPr>
              <w:t>12,612</w:t>
            </w:r>
          </w:p>
        </w:tc>
        <w:tc>
          <w:tcPr>
            <w:tcW w:w="1361" w:type="dxa"/>
            <w:tcBorders>
              <w:top w:val="nil"/>
              <w:left w:val="nil"/>
              <w:bottom w:val="single" w:sz="4" w:space="0" w:color="auto"/>
              <w:right w:val="single" w:sz="4" w:space="0" w:color="auto"/>
            </w:tcBorders>
            <w:shd w:val="clear" w:color="auto" w:fill="auto"/>
            <w:noWrap/>
            <w:vAlign w:val="bottom"/>
            <w:hideMark/>
          </w:tcPr>
          <w:p w14:paraId="70465713" w14:textId="77777777" w:rsidR="009B684B" w:rsidRPr="00650291" w:rsidRDefault="009B684B" w:rsidP="00AE0577">
            <w:pPr>
              <w:jc w:val="right"/>
              <w:rPr>
                <w:rFonts w:asciiTheme="minorHAnsi" w:hAnsiTheme="minorHAnsi"/>
                <w:color w:val="000000"/>
                <w:sz w:val="20"/>
                <w:szCs w:val="20"/>
              </w:rPr>
            </w:pPr>
            <w:r>
              <w:rPr>
                <w:rFonts w:ascii="Calibri" w:hAnsi="Calibri"/>
                <w:color w:val="000000"/>
              </w:rPr>
              <w:t>22,106</w:t>
            </w:r>
          </w:p>
        </w:tc>
        <w:tc>
          <w:tcPr>
            <w:tcW w:w="1361" w:type="dxa"/>
            <w:tcBorders>
              <w:top w:val="nil"/>
              <w:left w:val="nil"/>
              <w:bottom w:val="single" w:sz="4" w:space="0" w:color="auto"/>
              <w:right w:val="single" w:sz="4" w:space="0" w:color="auto"/>
            </w:tcBorders>
            <w:shd w:val="clear" w:color="auto" w:fill="auto"/>
            <w:noWrap/>
            <w:vAlign w:val="bottom"/>
            <w:hideMark/>
          </w:tcPr>
          <w:p w14:paraId="5587650B" w14:textId="77777777" w:rsidR="009B684B" w:rsidRPr="00650291" w:rsidRDefault="009B684B" w:rsidP="00AE0577">
            <w:pPr>
              <w:jc w:val="right"/>
              <w:rPr>
                <w:rFonts w:asciiTheme="minorHAnsi" w:hAnsiTheme="minorHAnsi"/>
                <w:color w:val="000000"/>
                <w:sz w:val="20"/>
                <w:szCs w:val="20"/>
              </w:rPr>
            </w:pPr>
            <w:r>
              <w:rPr>
                <w:rFonts w:ascii="Calibri" w:hAnsi="Calibri"/>
                <w:color w:val="000000"/>
              </w:rPr>
              <w:t>21,905</w:t>
            </w:r>
          </w:p>
        </w:tc>
        <w:tc>
          <w:tcPr>
            <w:tcW w:w="1361" w:type="dxa"/>
            <w:tcBorders>
              <w:top w:val="nil"/>
              <w:left w:val="nil"/>
              <w:bottom w:val="single" w:sz="4" w:space="0" w:color="auto"/>
              <w:right w:val="nil"/>
            </w:tcBorders>
            <w:shd w:val="clear" w:color="auto" w:fill="auto"/>
            <w:noWrap/>
            <w:vAlign w:val="bottom"/>
            <w:hideMark/>
          </w:tcPr>
          <w:p w14:paraId="463C3BA0" w14:textId="77777777" w:rsidR="009B684B" w:rsidRPr="00650291" w:rsidRDefault="009B684B" w:rsidP="00AE0577">
            <w:pPr>
              <w:jc w:val="right"/>
              <w:rPr>
                <w:rFonts w:asciiTheme="minorHAnsi" w:hAnsiTheme="minorHAnsi"/>
                <w:color w:val="000000"/>
                <w:sz w:val="20"/>
                <w:szCs w:val="20"/>
              </w:rPr>
            </w:pPr>
            <w:r>
              <w:rPr>
                <w:rFonts w:ascii="Calibri" w:hAnsi="Calibri"/>
                <w:color w:val="000000"/>
              </w:rPr>
              <w:t>22,712</w:t>
            </w:r>
          </w:p>
        </w:tc>
        <w:tc>
          <w:tcPr>
            <w:tcW w:w="1361" w:type="dxa"/>
            <w:tcBorders>
              <w:top w:val="nil"/>
              <w:left w:val="single" w:sz="8" w:space="0" w:color="auto"/>
              <w:bottom w:val="single" w:sz="4" w:space="0" w:color="auto"/>
              <w:right w:val="single" w:sz="8" w:space="0" w:color="auto"/>
            </w:tcBorders>
            <w:shd w:val="clear" w:color="000000" w:fill="DDEBF7"/>
            <w:noWrap/>
            <w:vAlign w:val="bottom"/>
            <w:hideMark/>
          </w:tcPr>
          <w:p w14:paraId="0FC840CB" w14:textId="77777777" w:rsidR="009B684B" w:rsidRPr="00650291" w:rsidRDefault="009B684B" w:rsidP="00AE0577">
            <w:pPr>
              <w:jc w:val="right"/>
              <w:rPr>
                <w:rFonts w:asciiTheme="minorHAnsi" w:hAnsiTheme="minorHAnsi"/>
                <w:b/>
                <w:bCs/>
                <w:color w:val="000000"/>
                <w:sz w:val="20"/>
                <w:szCs w:val="20"/>
              </w:rPr>
            </w:pPr>
            <w:r>
              <w:rPr>
                <w:rFonts w:ascii="Calibri" w:hAnsi="Calibri"/>
                <w:b/>
                <w:bCs/>
                <w:color w:val="000000"/>
              </w:rPr>
              <w:t>80%</w:t>
            </w:r>
          </w:p>
        </w:tc>
      </w:tr>
      <w:tr w:rsidR="009B684B" w:rsidRPr="00650291" w14:paraId="486EE208" w14:textId="77777777" w:rsidTr="00AE0577">
        <w:trPr>
          <w:trHeight w:val="315"/>
        </w:trPr>
        <w:tc>
          <w:tcPr>
            <w:tcW w:w="2778" w:type="dxa"/>
            <w:tcBorders>
              <w:top w:val="nil"/>
              <w:left w:val="single" w:sz="8" w:space="0" w:color="auto"/>
              <w:bottom w:val="nil"/>
              <w:right w:val="single" w:sz="4" w:space="0" w:color="auto"/>
            </w:tcBorders>
            <w:shd w:val="clear" w:color="auto" w:fill="auto"/>
            <w:noWrap/>
            <w:vAlign w:val="bottom"/>
            <w:hideMark/>
          </w:tcPr>
          <w:p w14:paraId="5ED07CFA" w14:textId="77777777" w:rsidR="009B684B" w:rsidRPr="00650291" w:rsidRDefault="009B684B" w:rsidP="00AE0577">
            <w:pPr>
              <w:jc w:val="both"/>
              <w:rPr>
                <w:rFonts w:asciiTheme="minorHAnsi" w:hAnsiTheme="minorHAnsi"/>
                <w:color w:val="000000"/>
                <w:sz w:val="20"/>
                <w:szCs w:val="20"/>
              </w:rPr>
            </w:pPr>
            <w:r>
              <w:rPr>
                <w:rFonts w:ascii="Calibri" w:hAnsi="Calibri"/>
                <w:color w:val="000000"/>
              </w:rPr>
              <w:t>Warsaw Stock Exchange</w:t>
            </w:r>
          </w:p>
        </w:tc>
        <w:tc>
          <w:tcPr>
            <w:tcW w:w="1361" w:type="dxa"/>
            <w:tcBorders>
              <w:top w:val="nil"/>
              <w:left w:val="nil"/>
              <w:bottom w:val="nil"/>
              <w:right w:val="single" w:sz="4" w:space="0" w:color="auto"/>
            </w:tcBorders>
            <w:shd w:val="clear" w:color="auto" w:fill="auto"/>
            <w:noWrap/>
            <w:vAlign w:val="bottom"/>
            <w:hideMark/>
          </w:tcPr>
          <w:p w14:paraId="7F576C8A" w14:textId="77777777" w:rsidR="009B684B" w:rsidRPr="00650291" w:rsidRDefault="009B684B" w:rsidP="00AE0577">
            <w:pPr>
              <w:jc w:val="right"/>
              <w:rPr>
                <w:rFonts w:asciiTheme="minorHAnsi" w:hAnsiTheme="minorHAnsi"/>
                <w:color w:val="000000"/>
                <w:sz w:val="20"/>
                <w:szCs w:val="20"/>
              </w:rPr>
            </w:pPr>
            <w:r>
              <w:rPr>
                <w:rFonts w:ascii="Calibri" w:hAnsi="Calibri"/>
                <w:color w:val="000000"/>
              </w:rPr>
              <w:t>4,584</w:t>
            </w:r>
          </w:p>
        </w:tc>
        <w:tc>
          <w:tcPr>
            <w:tcW w:w="1361" w:type="dxa"/>
            <w:tcBorders>
              <w:top w:val="nil"/>
              <w:left w:val="nil"/>
              <w:bottom w:val="nil"/>
              <w:right w:val="single" w:sz="4" w:space="0" w:color="auto"/>
            </w:tcBorders>
            <w:shd w:val="clear" w:color="auto" w:fill="auto"/>
            <w:noWrap/>
            <w:vAlign w:val="bottom"/>
            <w:hideMark/>
          </w:tcPr>
          <w:p w14:paraId="57EBF5A6" w14:textId="77777777" w:rsidR="009B684B" w:rsidRPr="00650291" w:rsidRDefault="009B684B" w:rsidP="00AE0577">
            <w:pPr>
              <w:jc w:val="right"/>
              <w:rPr>
                <w:rFonts w:asciiTheme="minorHAnsi" w:hAnsiTheme="minorHAnsi"/>
                <w:color w:val="000000"/>
                <w:sz w:val="20"/>
                <w:szCs w:val="20"/>
              </w:rPr>
            </w:pPr>
            <w:r>
              <w:rPr>
                <w:rFonts w:ascii="Calibri" w:hAnsi="Calibri"/>
                <w:color w:val="000000"/>
              </w:rPr>
              <w:t>4,698</w:t>
            </w:r>
          </w:p>
        </w:tc>
        <w:tc>
          <w:tcPr>
            <w:tcW w:w="1361" w:type="dxa"/>
            <w:tcBorders>
              <w:top w:val="nil"/>
              <w:left w:val="nil"/>
              <w:bottom w:val="nil"/>
              <w:right w:val="single" w:sz="4" w:space="0" w:color="auto"/>
            </w:tcBorders>
            <w:shd w:val="clear" w:color="auto" w:fill="auto"/>
            <w:noWrap/>
            <w:vAlign w:val="bottom"/>
            <w:hideMark/>
          </w:tcPr>
          <w:p w14:paraId="123BC38A" w14:textId="77777777" w:rsidR="009B684B" w:rsidRPr="00650291" w:rsidRDefault="009B684B" w:rsidP="00AE0577">
            <w:pPr>
              <w:jc w:val="right"/>
              <w:rPr>
                <w:rFonts w:asciiTheme="minorHAnsi" w:hAnsiTheme="minorHAnsi"/>
                <w:color w:val="000000"/>
                <w:sz w:val="20"/>
                <w:szCs w:val="20"/>
              </w:rPr>
            </w:pPr>
            <w:r>
              <w:rPr>
                <w:rFonts w:ascii="Calibri" w:hAnsi="Calibri"/>
                <w:color w:val="000000"/>
              </w:rPr>
              <w:t>5,866</w:t>
            </w:r>
          </w:p>
        </w:tc>
        <w:tc>
          <w:tcPr>
            <w:tcW w:w="1361" w:type="dxa"/>
            <w:tcBorders>
              <w:top w:val="nil"/>
              <w:left w:val="nil"/>
              <w:bottom w:val="nil"/>
              <w:right w:val="nil"/>
            </w:tcBorders>
            <w:shd w:val="clear" w:color="auto" w:fill="auto"/>
            <w:noWrap/>
            <w:vAlign w:val="bottom"/>
            <w:hideMark/>
          </w:tcPr>
          <w:p w14:paraId="19C93DA2" w14:textId="77777777" w:rsidR="009B684B" w:rsidRPr="00650291" w:rsidRDefault="009B684B" w:rsidP="00AE0577">
            <w:pPr>
              <w:jc w:val="right"/>
              <w:rPr>
                <w:rFonts w:asciiTheme="minorHAnsi" w:hAnsiTheme="minorHAnsi"/>
                <w:color w:val="000000"/>
                <w:sz w:val="20"/>
                <w:szCs w:val="20"/>
              </w:rPr>
            </w:pPr>
            <w:r>
              <w:rPr>
                <w:rFonts w:ascii="Calibri" w:hAnsi="Calibri"/>
                <w:color w:val="000000"/>
              </w:rPr>
              <w:t>5,816</w:t>
            </w:r>
          </w:p>
        </w:tc>
        <w:tc>
          <w:tcPr>
            <w:tcW w:w="1361" w:type="dxa"/>
            <w:tcBorders>
              <w:top w:val="nil"/>
              <w:left w:val="single" w:sz="8" w:space="0" w:color="auto"/>
              <w:bottom w:val="single" w:sz="4" w:space="0" w:color="auto"/>
              <w:right w:val="single" w:sz="8" w:space="0" w:color="auto"/>
            </w:tcBorders>
            <w:shd w:val="clear" w:color="000000" w:fill="DDEBF7"/>
            <w:noWrap/>
            <w:vAlign w:val="bottom"/>
            <w:hideMark/>
          </w:tcPr>
          <w:p w14:paraId="584E21AD" w14:textId="77777777" w:rsidR="009B684B" w:rsidRPr="00650291" w:rsidRDefault="009B684B" w:rsidP="00AE0577">
            <w:pPr>
              <w:jc w:val="right"/>
              <w:rPr>
                <w:rFonts w:asciiTheme="minorHAnsi" w:hAnsiTheme="minorHAnsi"/>
                <w:b/>
                <w:bCs/>
                <w:color w:val="000000"/>
                <w:sz w:val="20"/>
                <w:szCs w:val="20"/>
              </w:rPr>
            </w:pPr>
            <w:r>
              <w:rPr>
                <w:rFonts w:ascii="Calibri" w:hAnsi="Calibri"/>
                <w:b/>
                <w:bCs/>
                <w:color w:val="000000"/>
              </w:rPr>
              <w:t>27%</w:t>
            </w:r>
          </w:p>
        </w:tc>
      </w:tr>
      <w:tr w:rsidR="009B684B" w:rsidRPr="00650291" w14:paraId="41361CDA" w14:textId="77777777" w:rsidTr="00AE0577">
        <w:trPr>
          <w:trHeight w:val="315"/>
        </w:trPr>
        <w:tc>
          <w:tcPr>
            <w:tcW w:w="2778" w:type="dxa"/>
            <w:tcBorders>
              <w:top w:val="single" w:sz="8" w:space="0" w:color="auto"/>
              <w:left w:val="single" w:sz="8" w:space="0" w:color="auto"/>
              <w:bottom w:val="single" w:sz="8" w:space="0" w:color="auto"/>
              <w:right w:val="single" w:sz="4" w:space="0" w:color="auto"/>
            </w:tcBorders>
            <w:shd w:val="clear" w:color="DDEBF7" w:fill="DDEBF7"/>
            <w:noWrap/>
            <w:vAlign w:val="bottom"/>
            <w:hideMark/>
          </w:tcPr>
          <w:p w14:paraId="60E2343B" w14:textId="77777777" w:rsidR="009B684B" w:rsidRPr="00650291" w:rsidRDefault="009B684B" w:rsidP="00AE0577">
            <w:pPr>
              <w:jc w:val="both"/>
              <w:rPr>
                <w:rFonts w:asciiTheme="minorHAnsi" w:hAnsiTheme="minorHAnsi"/>
                <w:b/>
                <w:bCs/>
                <w:color w:val="000000"/>
                <w:sz w:val="20"/>
                <w:szCs w:val="20"/>
              </w:rPr>
            </w:pPr>
            <w:r>
              <w:rPr>
                <w:rFonts w:ascii="Calibri" w:hAnsi="Calibri"/>
                <w:b/>
                <w:bCs/>
                <w:color w:val="000000"/>
              </w:rPr>
              <w:t>Grand Total</w:t>
            </w:r>
          </w:p>
        </w:tc>
        <w:tc>
          <w:tcPr>
            <w:tcW w:w="1361" w:type="dxa"/>
            <w:tcBorders>
              <w:top w:val="single" w:sz="8" w:space="0" w:color="auto"/>
              <w:left w:val="nil"/>
              <w:bottom w:val="single" w:sz="8" w:space="0" w:color="auto"/>
              <w:right w:val="single" w:sz="4" w:space="0" w:color="auto"/>
            </w:tcBorders>
            <w:shd w:val="clear" w:color="DDEBF7" w:fill="DDEBF7"/>
            <w:noWrap/>
            <w:vAlign w:val="bottom"/>
            <w:hideMark/>
          </w:tcPr>
          <w:p w14:paraId="60FAA7C7" w14:textId="77777777" w:rsidR="009B684B" w:rsidRPr="00650291" w:rsidRDefault="009B684B" w:rsidP="00AE0577">
            <w:pPr>
              <w:jc w:val="right"/>
              <w:rPr>
                <w:rFonts w:asciiTheme="minorHAnsi" w:hAnsiTheme="minorHAnsi"/>
                <w:b/>
                <w:bCs/>
                <w:color w:val="000000"/>
                <w:sz w:val="20"/>
                <w:szCs w:val="20"/>
              </w:rPr>
            </w:pPr>
            <w:r>
              <w:rPr>
                <w:rFonts w:ascii="Calibri" w:hAnsi="Calibri"/>
                <w:b/>
                <w:bCs/>
                <w:color w:val="000000"/>
              </w:rPr>
              <w:t>63,718</w:t>
            </w:r>
          </w:p>
        </w:tc>
        <w:tc>
          <w:tcPr>
            <w:tcW w:w="1361" w:type="dxa"/>
            <w:tcBorders>
              <w:top w:val="single" w:sz="8" w:space="0" w:color="auto"/>
              <w:left w:val="nil"/>
              <w:bottom w:val="single" w:sz="8" w:space="0" w:color="auto"/>
              <w:right w:val="single" w:sz="4" w:space="0" w:color="auto"/>
            </w:tcBorders>
            <w:shd w:val="clear" w:color="DDEBF7" w:fill="DDEBF7"/>
            <w:noWrap/>
            <w:vAlign w:val="bottom"/>
            <w:hideMark/>
          </w:tcPr>
          <w:p w14:paraId="0B037029" w14:textId="77777777" w:rsidR="009B684B" w:rsidRPr="00650291" w:rsidRDefault="009B684B" w:rsidP="00AE0577">
            <w:pPr>
              <w:jc w:val="right"/>
              <w:rPr>
                <w:rFonts w:asciiTheme="minorHAnsi" w:hAnsiTheme="minorHAnsi"/>
                <w:b/>
                <w:bCs/>
                <w:color w:val="000000"/>
                <w:sz w:val="20"/>
                <w:szCs w:val="20"/>
              </w:rPr>
            </w:pPr>
            <w:r>
              <w:rPr>
                <w:rFonts w:ascii="Calibri" w:hAnsi="Calibri"/>
                <w:b/>
                <w:bCs/>
                <w:color w:val="000000"/>
              </w:rPr>
              <w:t>83,045</w:t>
            </w:r>
          </w:p>
        </w:tc>
        <w:tc>
          <w:tcPr>
            <w:tcW w:w="1361" w:type="dxa"/>
            <w:tcBorders>
              <w:top w:val="single" w:sz="8" w:space="0" w:color="auto"/>
              <w:left w:val="nil"/>
              <w:bottom w:val="single" w:sz="8" w:space="0" w:color="auto"/>
              <w:right w:val="single" w:sz="4" w:space="0" w:color="auto"/>
            </w:tcBorders>
            <w:shd w:val="clear" w:color="DDEBF7" w:fill="DDEBF7"/>
            <w:noWrap/>
            <w:vAlign w:val="bottom"/>
            <w:hideMark/>
          </w:tcPr>
          <w:p w14:paraId="1DF299D5" w14:textId="77777777" w:rsidR="009B684B" w:rsidRPr="00650291" w:rsidRDefault="009B684B" w:rsidP="00AE0577">
            <w:pPr>
              <w:jc w:val="right"/>
              <w:rPr>
                <w:rFonts w:asciiTheme="minorHAnsi" w:hAnsiTheme="minorHAnsi"/>
                <w:b/>
                <w:bCs/>
                <w:color w:val="000000"/>
                <w:sz w:val="20"/>
                <w:szCs w:val="20"/>
              </w:rPr>
            </w:pPr>
            <w:r>
              <w:rPr>
                <w:rFonts w:ascii="Calibri" w:hAnsi="Calibri"/>
                <w:b/>
                <w:bCs/>
                <w:color w:val="000000"/>
              </w:rPr>
              <w:t>155,035</w:t>
            </w:r>
          </w:p>
        </w:tc>
        <w:tc>
          <w:tcPr>
            <w:tcW w:w="1361" w:type="dxa"/>
            <w:tcBorders>
              <w:top w:val="single" w:sz="8" w:space="0" w:color="auto"/>
              <w:left w:val="nil"/>
              <w:bottom w:val="single" w:sz="8" w:space="0" w:color="auto"/>
              <w:right w:val="nil"/>
            </w:tcBorders>
            <w:shd w:val="clear" w:color="DDEBF7" w:fill="DDEBF7"/>
            <w:noWrap/>
            <w:vAlign w:val="bottom"/>
            <w:hideMark/>
          </w:tcPr>
          <w:p w14:paraId="7F04380C" w14:textId="77777777" w:rsidR="009B684B" w:rsidRPr="00650291" w:rsidRDefault="009B684B" w:rsidP="00AE0577">
            <w:pPr>
              <w:jc w:val="right"/>
              <w:rPr>
                <w:rFonts w:asciiTheme="minorHAnsi" w:hAnsiTheme="minorHAnsi"/>
                <w:b/>
                <w:bCs/>
                <w:color w:val="000000"/>
                <w:sz w:val="20"/>
                <w:szCs w:val="20"/>
              </w:rPr>
            </w:pPr>
            <w:r>
              <w:rPr>
                <w:rFonts w:ascii="Calibri" w:hAnsi="Calibri"/>
                <w:b/>
                <w:bCs/>
                <w:color w:val="000000"/>
              </w:rPr>
              <w:t>154,631</w:t>
            </w:r>
          </w:p>
        </w:tc>
        <w:tc>
          <w:tcPr>
            <w:tcW w:w="1361" w:type="dxa"/>
            <w:tcBorders>
              <w:top w:val="single" w:sz="8" w:space="0" w:color="auto"/>
              <w:left w:val="single" w:sz="8" w:space="0" w:color="auto"/>
              <w:bottom w:val="single" w:sz="8" w:space="0" w:color="auto"/>
              <w:right w:val="single" w:sz="8" w:space="0" w:color="auto"/>
            </w:tcBorders>
            <w:shd w:val="clear" w:color="000000" w:fill="DDEBF7"/>
            <w:noWrap/>
            <w:vAlign w:val="bottom"/>
            <w:hideMark/>
          </w:tcPr>
          <w:p w14:paraId="5FE722FD" w14:textId="77777777" w:rsidR="009B684B" w:rsidRPr="00650291" w:rsidRDefault="009B684B" w:rsidP="00AE0577">
            <w:pPr>
              <w:jc w:val="right"/>
              <w:rPr>
                <w:rFonts w:asciiTheme="minorHAnsi" w:hAnsiTheme="minorHAnsi"/>
                <w:b/>
                <w:bCs/>
                <w:color w:val="000000"/>
                <w:sz w:val="20"/>
                <w:szCs w:val="20"/>
              </w:rPr>
            </w:pPr>
            <w:r>
              <w:rPr>
                <w:rFonts w:ascii="Calibri" w:hAnsi="Calibri"/>
                <w:b/>
                <w:bCs/>
                <w:color w:val="000000"/>
              </w:rPr>
              <w:t>143%</w:t>
            </w:r>
          </w:p>
        </w:tc>
      </w:tr>
    </w:tbl>
    <w:p w14:paraId="53FDA1F9" w14:textId="77777777" w:rsidR="009B684B" w:rsidRPr="00650291" w:rsidRDefault="009B684B" w:rsidP="00D620F7">
      <w:pPr>
        <w:pStyle w:val="ListParagraph"/>
        <w:numPr>
          <w:ilvl w:val="0"/>
          <w:numId w:val="0"/>
        </w:numPr>
      </w:pPr>
    </w:p>
    <w:p w14:paraId="443BB1F0" w14:textId="77777777" w:rsidR="009B684B" w:rsidRPr="00650291" w:rsidRDefault="009B684B" w:rsidP="00D620F7">
      <w:pPr>
        <w:pStyle w:val="ListParagraph"/>
        <w:numPr>
          <w:ilvl w:val="0"/>
          <w:numId w:val="0"/>
        </w:numPr>
      </w:pPr>
      <w:r w:rsidRPr="00650291">
        <w:t xml:space="preserve">It is worth noting that both ICE Futures Europe and </w:t>
      </w:r>
      <w:proofErr w:type="spellStart"/>
      <w:r w:rsidRPr="00650291">
        <w:t>Bolsas</w:t>
      </w:r>
      <w:proofErr w:type="spellEnd"/>
      <w:r w:rsidRPr="00650291">
        <w:t xml:space="preserve"> y Mercado </w:t>
      </w:r>
      <w:proofErr w:type="spellStart"/>
      <w:r w:rsidRPr="00650291">
        <w:t>Españoles</w:t>
      </w:r>
      <w:proofErr w:type="spellEnd"/>
      <w:r w:rsidRPr="00650291">
        <w:t xml:space="preserve"> (BME) charge for non-display usage on a per-server model whereas the other venues listed here (and in Table 4b) charge flat fees for unlimited non-display usage within their defined categories.</w:t>
      </w:r>
    </w:p>
    <w:p w14:paraId="41260DEB" w14:textId="77777777" w:rsidR="009B684B" w:rsidRPr="00650291" w:rsidRDefault="009B684B" w:rsidP="00D620F7">
      <w:pPr>
        <w:pStyle w:val="ListParagraph"/>
        <w:numPr>
          <w:ilvl w:val="0"/>
          <w:numId w:val="0"/>
        </w:numPr>
      </w:pPr>
    </w:p>
    <w:p w14:paraId="6BF0C004" w14:textId="77777777" w:rsidR="009B684B" w:rsidRPr="00650291" w:rsidRDefault="009B684B" w:rsidP="009B684B">
      <w:pPr>
        <w:contextualSpacing/>
        <w:jc w:val="both"/>
        <w:rPr>
          <w:rFonts w:asciiTheme="minorHAnsi" w:hAnsiTheme="minorHAnsi" w:cstheme="minorHAnsi"/>
          <w:color w:val="000000"/>
        </w:rPr>
      </w:pPr>
      <w:r w:rsidRPr="00650291">
        <w:rPr>
          <w:rFonts w:asciiTheme="minorHAnsi" w:hAnsiTheme="minorHAnsi" w:cstheme="minorHAnsi"/>
          <w:color w:val="000000"/>
        </w:rPr>
        <w:t xml:space="preserve">Ad (2): As has been discussed at length both by industry and policymakers, the MiFID II legislation prompted both investment banks and principal trading firms to operate their own SIs. At the same time, most exchanges introduced new fee categories or amended existing premium fee tiers to cover the use of their market data to operate an SI. As shown in Table 6 below, in 2019 our hypothetical firm, if operating an SI, would have incurred costs of </w:t>
      </w:r>
      <w:r w:rsidRPr="00650291">
        <w:rPr>
          <w:rFonts w:asciiTheme="minorHAnsi" w:hAnsiTheme="minorHAnsi"/>
          <w:color w:val="000000"/>
        </w:rPr>
        <w:t>€519k</w:t>
      </w:r>
      <w:r w:rsidRPr="00650291">
        <w:rPr>
          <w:rFonts w:asciiTheme="minorHAnsi" w:hAnsiTheme="minorHAnsi" w:cstheme="minorHAnsi"/>
          <w:color w:val="000000"/>
        </w:rPr>
        <w:t xml:space="preserve"> for this category alone. </w:t>
      </w:r>
    </w:p>
    <w:p w14:paraId="0E035CE1" w14:textId="77777777" w:rsidR="009B684B" w:rsidRPr="00650291" w:rsidRDefault="009B684B" w:rsidP="009B684B">
      <w:pPr>
        <w:contextualSpacing/>
        <w:jc w:val="both"/>
        <w:rPr>
          <w:rFonts w:asciiTheme="minorHAnsi" w:hAnsiTheme="minorHAnsi" w:cstheme="minorHAnsi"/>
          <w:color w:val="000000"/>
        </w:rPr>
      </w:pPr>
    </w:p>
    <w:p w14:paraId="320EEE4B" w14:textId="77777777" w:rsidR="009B684B" w:rsidRPr="00650291" w:rsidRDefault="009B684B" w:rsidP="009B684B">
      <w:pPr>
        <w:contextualSpacing/>
        <w:jc w:val="both"/>
        <w:rPr>
          <w:rFonts w:asciiTheme="minorHAnsi" w:hAnsiTheme="minorHAnsi" w:cstheme="minorHAnsi"/>
          <w:b/>
          <w:color w:val="000000"/>
        </w:rPr>
      </w:pPr>
      <w:r w:rsidRPr="00650291">
        <w:rPr>
          <w:rFonts w:asciiTheme="minorHAnsi" w:hAnsiTheme="minorHAnsi" w:cstheme="minorHAnsi"/>
          <w:b/>
          <w:color w:val="000000"/>
        </w:rPr>
        <w:t>Table 6 – Year-on-year market data costs associated with operating an SI in European equities</w:t>
      </w:r>
    </w:p>
    <w:tbl>
      <w:tblPr>
        <w:tblW w:w="5500" w:type="dxa"/>
        <w:tblLook w:val="04A0" w:firstRow="1" w:lastRow="0" w:firstColumn="1" w:lastColumn="0" w:noHBand="0" w:noVBand="1"/>
      </w:tblPr>
      <w:tblGrid>
        <w:gridCol w:w="2778"/>
        <w:gridCol w:w="1361"/>
        <w:gridCol w:w="1361"/>
      </w:tblGrid>
      <w:tr w:rsidR="009B684B" w:rsidRPr="00650291" w14:paraId="1AEC5842" w14:textId="77777777" w:rsidTr="00AE0577">
        <w:trPr>
          <w:trHeight w:val="300"/>
        </w:trPr>
        <w:tc>
          <w:tcPr>
            <w:tcW w:w="2778" w:type="dxa"/>
            <w:tcBorders>
              <w:top w:val="single" w:sz="8" w:space="0" w:color="auto"/>
              <w:left w:val="single" w:sz="8" w:space="0" w:color="auto"/>
              <w:bottom w:val="single" w:sz="4" w:space="0" w:color="auto"/>
              <w:right w:val="single" w:sz="4" w:space="0" w:color="auto"/>
            </w:tcBorders>
            <w:shd w:val="clear" w:color="000000" w:fill="44546A"/>
            <w:noWrap/>
            <w:vAlign w:val="bottom"/>
            <w:hideMark/>
          </w:tcPr>
          <w:p w14:paraId="01D882D3" w14:textId="77777777" w:rsidR="009B684B" w:rsidRPr="0086576B" w:rsidRDefault="009B684B" w:rsidP="00AE0577">
            <w:pPr>
              <w:jc w:val="both"/>
              <w:rPr>
                <w:rFonts w:asciiTheme="minorHAnsi" w:hAnsiTheme="minorHAnsi"/>
                <w:b/>
                <w:bCs/>
                <w:sz w:val="20"/>
                <w:szCs w:val="20"/>
              </w:rPr>
            </w:pPr>
            <w:r w:rsidRPr="0086576B">
              <w:rPr>
                <w:rFonts w:ascii="Calibri" w:hAnsi="Calibri"/>
                <w:b/>
                <w:bCs/>
              </w:rPr>
              <w:t>Exchange</w:t>
            </w:r>
          </w:p>
        </w:tc>
        <w:tc>
          <w:tcPr>
            <w:tcW w:w="1361" w:type="dxa"/>
            <w:tcBorders>
              <w:top w:val="single" w:sz="8" w:space="0" w:color="auto"/>
              <w:left w:val="nil"/>
              <w:bottom w:val="single" w:sz="4" w:space="0" w:color="auto"/>
              <w:right w:val="single" w:sz="4" w:space="0" w:color="auto"/>
            </w:tcBorders>
            <w:shd w:val="clear" w:color="000000" w:fill="44546A"/>
            <w:noWrap/>
            <w:vAlign w:val="bottom"/>
            <w:hideMark/>
          </w:tcPr>
          <w:p w14:paraId="6A1F8861" w14:textId="77777777" w:rsidR="009B684B" w:rsidRPr="0086576B" w:rsidRDefault="009B684B" w:rsidP="00AE0577">
            <w:pPr>
              <w:jc w:val="both"/>
              <w:rPr>
                <w:rFonts w:asciiTheme="minorHAnsi" w:hAnsiTheme="minorHAnsi"/>
                <w:b/>
                <w:bCs/>
                <w:sz w:val="20"/>
                <w:szCs w:val="20"/>
              </w:rPr>
            </w:pPr>
            <w:r w:rsidRPr="0086576B">
              <w:rPr>
                <w:rFonts w:ascii="Calibri" w:hAnsi="Calibri"/>
                <w:b/>
                <w:bCs/>
              </w:rPr>
              <w:t>Sum of 2018 Total in EUR</w:t>
            </w:r>
          </w:p>
        </w:tc>
        <w:tc>
          <w:tcPr>
            <w:tcW w:w="1361" w:type="dxa"/>
            <w:tcBorders>
              <w:top w:val="single" w:sz="8" w:space="0" w:color="auto"/>
              <w:left w:val="nil"/>
              <w:bottom w:val="single" w:sz="4" w:space="0" w:color="auto"/>
              <w:right w:val="single" w:sz="8" w:space="0" w:color="auto"/>
            </w:tcBorders>
            <w:shd w:val="clear" w:color="000000" w:fill="44546A"/>
            <w:noWrap/>
            <w:vAlign w:val="bottom"/>
            <w:hideMark/>
          </w:tcPr>
          <w:p w14:paraId="56BFE621" w14:textId="77777777" w:rsidR="009B684B" w:rsidRPr="0086576B" w:rsidRDefault="009B684B" w:rsidP="00AE0577">
            <w:pPr>
              <w:jc w:val="both"/>
              <w:rPr>
                <w:rFonts w:asciiTheme="minorHAnsi" w:hAnsiTheme="minorHAnsi"/>
                <w:b/>
                <w:bCs/>
                <w:sz w:val="20"/>
                <w:szCs w:val="20"/>
              </w:rPr>
            </w:pPr>
            <w:r w:rsidRPr="0086576B">
              <w:rPr>
                <w:rFonts w:ascii="Calibri" w:hAnsi="Calibri"/>
                <w:b/>
                <w:bCs/>
              </w:rPr>
              <w:t>Sum of 2019 Total in EUR</w:t>
            </w:r>
          </w:p>
        </w:tc>
      </w:tr>
      <w:tr w:rsidR="009B684B" w:rsidRPr="00650291" w14:paraId="2CBC4607" w14:textId="77777777" w:rsidTr="00AE0577">
        <w:trPr>
          <w:trHeight w:val="300"/>
        </w:trPr>
        <w:tc>
          <w:tcPr>
            <w:tcW w:w="2778" w:type="dxa"/>
            <w:tcBorders>
              <w:top w:val="nil"/>
              <w:left w:val="single" w:sz="8" w:space="0" w:color="auto"/>
              <w:bottom w:val="single" w:sz="4" w:space="0" w:color="auto"/>
              <w:right w:val="single" w:sz="4" w:space="0" w:color="auto"/>
            </w:tcBorders>
            <w:shd w:val="clear" w:color="auto" w:fill="auto"/>
            <w:noWrap/>
            <w:vAlign w:val="bottom"/>
            <w:hideMark/>
          </w:tcPr>
          <w:p w14:paraId="78028E66" w14:textId="77777777" w:rsidR="009B684B" w:rsidRPr="00650291" w:rsidRDefault="009B684B" w:rsidP="00AE0577">
            <w:pPr>
              <w:jc w:val="both"/>
              <w:rPr>
                <w:rFonts w:asciiTheme="minorHAnsi" w:hAnsiTheme="minorHAnsi"/>
                <w:color w:val="000000"/>
                <w:sz w:val="20"/>
                <w:szCs w:val="20"/>
              </w:rPr>
            </w:pPr>
            <w:proofErr w:type="spellStart"/>
            <w:r>
              <w:rPr>
                <w:rFonts w:ascii="Calibri" w:hAnsi="Calibri"/>
                <w:color w:val="000000"/>
              </w:rPr>
              <w:t>Bolsas</w:t>
            </w:r>
            <w:proofErr w:type="spellEnd"/>
            <w:r>
              <w:rPr>
                <w:rFonts w:ascii="Calibri" w:hAnsi="Calibri"/>
                <w:color w:val="000000"/>
              </w:rPr>
              <w:t xml:space="preserve"> y Mercado </w:t>
            </w:r>
            <w:proofErr w:type="spellStart"/>
            <w:r>
              <w:rPr>
                <w:rFonts w:ascii="Calibri" w:hAnsi="Calibri"/>
                <w:color w:val="000000"/>
              </w:rPr>
              <w:t>Espanoles</w:t>
            </w:r>
            <w:proofErr w:type="spellEnd"/>
          </w:p>
        </w:tc>
        <w:tc>
          <w:tcPr>
            <w:tcW w:w="1361" w:type="dxa"/>
            <w:tcBorders>
              <w:top w:val="nil"/>
              <w:left w:val="nil"/>
              <w:bottom w:val="single" w:sz="4" w:space="0" w:color="auto"/>
              <w:right w:val="single" w:sz="4" w:space="0" w:color="auto"/>
            </w:tcBorders>
            <w:shd w:val="clear" w:color="auto" w:fill="auto"/>
            <w:noWrap/>
            <w:vAlign w:val="bottom"/>
            <w:hideMark/>
          </w:tcPr>
          <w:p w14:paraId="151DE8A0" w14:textId="77777777" w:rsidR="009B684B" w:rsidRPr="00650291" w:rsidRDefault="009B684B" w:rsidP="00AE0577">
            <w:pPr>
              <w:jc w:val="right"/>
              <w:rPr>
                <w:rFonts w:asciiTheme="minorHAnsi" w:hAnsiTheme="minorHAnsi"/>
                <w:color w:val="000000"/>
                <w:sz w:val="20"/>
                <w:szCs w:val="20"/>
              </w:rPr>
            </w:pPr>
            <w:r>
              <w:rPr>
                <w:rFonts w:ascii="Calibri" w:hAnsi="Calibri"/>
                <w:color w:val="000000"/>
              </w:rPr>
              <w:t>126,000</w:t>
            </w:r>
          </w:p>
        </w:tc>
        <w:tc>
          <w:tcPr>
            <w:tcW w:w="1361" w:type="dxa"/>
            <w:tcBorders>
              <w:top w:val="nil"/>
              <w:left w:val="nil"/>
              <w:bottom w:val="single" w:sz="4" w:space="0" w:color="auto"/>
              <w:right w:val="single" w:sz="8" w:space="0" w:color="auto"/>
            </w:tcBorders>
            <w:shd w:val="clear" w:color="auto" w:fill="auto"/>
            <w:noWrap/>
            <w:vAlign w:val="bottom"/>
            <w:hideMark/>
          </w:tcPr>
          <w:p w14:paraId="3772087C" w14:textId="77777777" w:rsidR="009B684B" w:rsidRPr="00650291" w:rsidRDefault="009B684B" w:rsidP="00AE0577">
            <w:pPr>
              <w:jc w:val="right"/>
              <w:rPr>
                <w:rFonts w:asciiTheme="minorHAnsi" w:hAnsiTheme="minorHAnsi"/>
                <w:color w:val="000000"/>
                <w:sz w:val="20"/>
                <w:szCs w:val="20"/>
              </w:rPr>
            </w:pPr>
            <w:r>
              <w:rPr>
                <w:rFonts w:ascii="Calibri" w:hAnsi="Calibri"/>
                <w:color w:val="000000"/>
              </w:rPr>
              <w:t>76,000</w:t>
            </w:r>
          </w:p>
        </w:tc>
      </w:tr>
      <w:tr w:rsidR="009B684B" w:rsidRPr="00650291" w14:paraId="2F8F4900" w14:textId="77777777" w:rsidTr="00AE0577">
        <w:trPr>
          <w:trHeight w:val="300"/>
        </w:trPr>
        <w:tc>
          <w:tcPr>
            <w:tcW w:w="2778" w:type="dxa"/>
            <w:tcBorders>
              <w:top w:val="nil"/>
              <w:left w:val="single" w:sz="8" w:space="0" w:color="auto"/>
              <w:bottom w:val="single" w:sz="4" w:space="0" w:color="auto"/>
              <w:right w:val="single" w:sz="4" w:space="0" w:color="auto"/>
            </w:tcBorders>
            <w:shd w:val="clear" w:color="auto" w:fill="auto"/>
            <w:noWrap/>
            <w:vAlign w:val="bottom"/>
            <w:hideMark/>
          </w:tcPr>
          <w:p w14:paraId="4DD7513C" w14:textId="77777777" w:rsidR="009B684B" w:rsidRPr="00650291" w:rsidRDefault="009B684B" w:rsidP="00AE0577">
            <w:pPr>
              <w:jc w:val="both"/>
              <w:rPr>
                <w:rFonts w:asciiTheme="minorHAnsi" w:hAnsiTheme="minorHAnsi"/>
                <w:color w:val="000000"/>
                <w:sz w:val="20"/>
                <w:szCs w:val="20"/>
              </w:rPr>
            </w:pPr>
            <w:proofErr w:type="spellStart"/>
            <w:r>
              <w:rPr>
                <w:rFonts w:ascii="Calibri" w:hAnsi="Calibri"/>
                <w:color w:val="000000"/>
              </w:rPr>
              <w:t>Borsa</w:t>
            </w:r>
            <w:proofErr w:type="spellEnd"/>
            <w:r>
              <w:rPr>
                <w:rFonts w:ascii="Calibri" w:hAnsi="Calibri"/>
                <w:color w:val="000000"/>
              </w:rPr>
              <w:t xml:space="preserve"> </w:t>
            </w:r>
            <w:proofErr w:type="spellStart"/>
            <w:r>
              <w:rPr>
                <w:rFonts w:ascii="Calibri" w:hAnsi="Calibri"/>
                <w:color w:val="000000"/>
              </w:rPr>
              <w:t>Italiana</w:t>
            </w:r>
            <w:proofErr w:type="spellEnd"/>
          </w:p>
        </w:tc>
        <w:tc>
          <w:tcPr>
            <w:tcW w:w="1361" w:type="dxa"/>
            <w:tcBorders>
              <w:top w:val="nil"/>
              <w:left w:val="nil"/>
              <w:bottom w:val="single" w:sz="4" w:space="0" w:color="auto"/>
              <w:right w:val="single" w:sz="4" w:space="0" w:color="auto"/>
            </w:tcBorders>
            <w:shd w:val="clear" w:color="auto" w:fill="auto"/>
            <w:noWrap/>
            <w:vAlign w:val="bottom"/>
            <w:hideMark/>
          </w:tcPr>
          <w:p w14:paraId="58544AB4" w14:textId="77777777" w:rsidR="009B684B" w:rsidRPr="00650291" w:rsidRDefault="009B684B" w:rsidP="00AE0577">
            <w:pPr>
              <w:jc w:val="right"/>
              <w:rPr>
                <w:rFonts w:asciiTheme="minorHAnsi" w:hAnsiTheme="minorHAnsi"/>
                <w:color w:val="000000"/>
                <w:sz w:val="20"/>
                <w:szCs w:val="20"/>
              </w:rPr>
            </w:pPr>
            <w:r>
              <w:rPr>
                <w:rFonts w:ascii="Calibri" w:hAnsi="Calibri"/>
                <w:color w:val="000000"/>
              </w:rPr>
              <w:t>0</w:t>
            </w:r>
          </w:p>
        </w:tc>
        <w:tc>
          <w:tcPr>
            <w:tcW w:w="1361" w:type="dxa"/>
            <w:tcBorders>
              <w:top w:val="nil"/>
              <w:left w:val="nil"/>
              <w:bottom w:val="single" w:sz="4" w:space="0" w:color="auto"/>
              <w:right w:val="single" w:sz="8" w:space="0" w:color="auto"/>
            </w:tcBorders>
            <w:shd w:val="clear" w:color="auto" w:fill="auto"/>
            <w:noWrap/>
            <w:vAlign w:val="bottom"/>
            <w:hideMark/>
          </w:tcPr>
          <w:p w14:paraId="34C2C86A" w14:textId="77777777" w:rsidR="009B684B" w:rsidRPr="00650291" w:rsidRDefault="009B684B" w:rsidP="00AE0577">
            <w:pPr>
              <w:jc w:val="right"/>
              <w:rPr>
                <w:rFonts w:asciiTheme="minorHAnsi" w:hAnsiTheme="minorHAnsi"/>
                <w:color w:val="000000"/>
                <w:sz w:val="20"/>
                <w:szCs w:val="20"/>
              </w:rPr>
            </w:pPr>
            <w:r>
              <w:rPr>
                <w:rFonts w:ascii="Calibri" w:hAnsi="Calibri"/>
                <w:color w:val="000000"/>
              </w:rPr>
              <w:t>65,100</w:t>
            </w:r>
          </w:p>
        </w:tc>
      </w:tr>
      <w:tr w:rsidR="009B684B" w:rsidRPr="00650291" w14:paraId="4211F8C0" w14:textId="77777777" w:rsidTr="00AE0577">
        <w:trPr>
          <w:trHeight w:val="300"/>
        </w:trPr>
        <w:tc>
          <w:tcPr>
            <w:tcW w:w="2778" w:type="dxa"/>
            <w:tcBorders>
              <w:top w:val="nil"/>
              <w:left w:val="single" w:sz="8" w:space="0" w:color="auto"/>
              <w:bottom w:val="single" w:sz="4" w:space="0" w:color="auto"/>
              <w:right w:val="single" w:sz="4" w:space="0" w:color="auto"/>
            </w:tcBorders>
            <w:shd w:val="clear" w:color="auto" w:fill="auto"/>
            <w:noWrap/>
            <w:vAlign w:val="bottom"/>
            <w:hideMark/>
          </w:tcPr>
          <w:p w14:paraId="26F04B36" w14:textId="17715785" w:rsidR="009B684B" w:rsidRPr="00650291" w:rsidRDefault="009B684B" w:rsidP="00AE0577">
            <w:pPr>
              <w:jc w:val="both"/>
              <w:rPr>
                <w:rFonts w:asciiTheme="minorHAnsi" w:hAnsiTheme="minorHAnsi"/>
                <w:color w:val="000000"/>
                <w:sz w:val="20"/>
                <w:szCs w:val="20"/>
              </w:rPr>
            </w:pPr>
            <w:r>
              <w:rPr>
                <w:rFonts w:ascii="Calibri" w:hAnsi="Calibri"/>
                <w:color w:val="000000"/>
              </w:rPr>
              <w:lastRenderedPageBreak/>
              <w:t xml:space="preserve">Deutsche </w:t>
            </w:r>
            <w:r w:rsidR="00492E53">
              <w:rPr>
                <w:rFonts w:ascii="Calibri" w:hAnsi="Calibri"/>
                <w:color w:val="000000"/>
              </w:rPr>
              <w:t>Boerse</w:t>
            </w:r>
          </w:p>
        </w:tc>
        <w:tc>
          <w:tcPr>
            <w:tcW w:w="1361" w:type="dxa"/>
            <w:tcBorders>
              <w:top w:val="nil"/>
              <w:left w:val="nil"/>
              <w:bottom w:val="single" w:sz="4" w:space="0" w:color="auto"/>
              <w:right w:val="single" w:sz="4" w:space="0" w:color="auto"/>
            </w:tcBorders>
            <w:shd w:val="clear" w:color="auto" w:fill="auto"/>
            <w:noWrap/>
            <w:vAlign w:val="bottom"/>
            <w:hideMark/>
          </w:tcPr>
          <w:p w14:paraId="6B8211A9" w14:textId="77777777" w:rsidR="009B684B" w:rsidRPr="00650291" w:rsidRDefault="009B684B" w:rsidP="00AE0577">
            <w:pPr>
              <w:jc w:val="right"/>
              <w:rPr>
                <w:rFonts w:asciiTheme="minorHAnsi" w:hAnsiTheme="minorHAnsi"/>
                <w:color w:val="000000"/>
                <w:sz w:val="20"/>
                <w:szCs w:val="20"/>
              </w:rPr>
            </w:pPr>
            <w:r>
              <w:rPr>
                <w:rFonts w:ascii="Calibri" w:hAnsi="Calibri"/>
                <w:color w:val="000000"/>
              </w:rPr>
              <w:t>30,000</w:t>
            </w:r>
          </w:p>
        </w:tc>
        <w:tc>
          <w:tcPr>
            <w:tcW w:w="1361" w:type="dxa"/>
            <w:tcBorders>
              <w:top w:val="nil"/>
              <w:left w:val="nil"/>
              <w:bottom w:val="single" w:sz="4" w:space="0" w:color="auto"/>
              <w:right w:val="single" w:sz="8" w:space="0" w:color="auto"/>
            </w:tcBorders>
            <w:shd w:val="clear" w:color="auto" w:fill="auto"/>
            <w:noWrap/>
            <w:vAlign w:val="bottom"/>
            <w:hideMark/>
          </w:tcPr>
          <w:p w14:paraId="77EC5F53" w14:textId="77777777" w:rsidR="009B684B" w:rsidRPr="00650291" w:rsidRDefault="009B684B" w:rsidP="00AE0577">
            <w:pPr>
              <w:jc w:val="right"/>
              <w:rPr>
                <w:rFonts w:asciiTheme="minorHAnsi" w:hAnsiTheme="minorHAnsi"/>
                <w:color w:val="000000"/>
                <w:sz w:val="20"/>
                <w:szCs w:val="20"/>
              </w:rPr>
            </w:pPr>
            <w:r>
              <w:rPr>
                <w:rFonts w:ascii="Calibri" w:hAnsi="Calibri"/>
                <w:color w:val="000000"/>
              </w:rPr>
              <w:t>32,100</w:t>
            </w:r>
          </w:p>
        </w:tc>
      </w:tr>
      <w:tr w:rsidR="009B684B" w:rsidRPr="00650291" w14:paraId="4B4E7BC3" w14:textId="77777777" w:rsidTr="00AE0577">
        <w:trPr>
          <w:trHeight w:val="300"/>
        </w:trPr>
        <w:tc>
          <w:tcPr>
            <w:tcW w:w="2778" w:type="dxa"/>
            <w:tcBorders>
              <w:top w:val="nil"/>
              <w:left w:val="single" w:sz="8" w:space="0" w:color="auto"/>
              <w:bottom w:val="single" w:sz="4" w:space="0" w:color="auto"/>
              <w:right w:val="single" w:sz="4" w:space="0" w:color="auto"/>
            </w:tcBorders>
            <w:shd w:val="clear" w:color="auto" w:fill="auto"/>
            <w:noWrap/>
            <w:vAlign w:val="bottom"/>
            <w:hideMark/>
          </w:tcPr>
          <w:p w14:paraId="4680B27E" w14:textId="77777777" w:rsidR="009B684B" w:rsidRPr="00650291" w:rsidRDefault="009B684B" w:rsidP="00AE0577">
            <w:pPr>
              <w:jc w:val="both"/>
              <w:rPr>
                <w:rFonts w:asciiTheme="minorHAnsi" w:hAnsiTheme="minorHAnsi"/>
                <w:color w:val="000000"/>
                <w:sz w:val="20"/>
                <w:szCs w:val="20"/>
              </w:rPr>
            </w:pPr>
            <w:r>
              <w:rPr>
                <w:rFonts w:ascii="Calibri" w:hAnsi="Calibri"/>
                <w:color w:val="000000"/>
              </w:rPr>
              <w:t>Euronext</w:t>
            </w:r>
          </w:p>
        </w:tc>
        <w:tc>
          <w:tcPr>
            <w:tcW w:w="1361" w:type="dxa"/>
            <w:tcBorders>
              <w:top w:val="nil"/>
              <w:left w:val="nil"/>
              <w:bottom w:val="single" w:sz="4" w:space="0" w:color="auto"/>
              <w:right w:val="single" w:sz="4" w:space="0" w:color="auto"/>
            </w:tcBorders>
            <w:shd w:val="clear" w:color="auto" w:fill="auto"/>
            <w:noWrap/>
            <w:vAlign w:val="bottom"/>
            <w:hideMark/>
          </w:tcPr>
          <w:p w14:paraId="524C7652" w14:textId="77777777" w:rsidR="009B684B" w:rsidRPr="00650291" w:rsidRDefault="009B684B" w:rsidP="00AE0577">
            <w:pPr>
              <w:jc w:val="right"/>
              <w:rPr>
                <w:rFonts w:asciiTheme="minorHAnsi" w:hAnsiTheme="minorHAnsi"/>
                <w:color w:val="000000"/>
                <w:sz w:val="20"/>
                <w:szCs w:val="20"/>
              </w:rPr>
            </w:pPr>
            <w:r>
              <w:rPr>
                <w:rFonts w:ascii="Calibri" w:hAnsi="Calibri"/>
                <w:color w:val="000000"/>
              </w:rPr>
              <w:t>48,000</w:t>
            </w:r>
          </w:p>
        </w:tc>
        <w:tc>
          <w:tcPr>
            <w:tcW w:w="1361" w:type="dxa"/>
            <w:tcBorders>
              <w:top w:val="nil"/>
              <w:left w:val="nil"/>
              <w:bottom w:val="single" w:sz="4" w:space="0" w:color="auto"/>
              <w:right w:val="single" w:sz="8" w:space="0" w:color="auto"/>
            </w:tcBorders>
            <w:shd w:val="clear" w:color="auto" w:fill="auto"/>
            <w:noWrap/>
            <w:vAlign w:val="bottom"/>
            <w:hideMark/>
          </w:tcPr>
          <w:p w14:paraId="5A640CDE" w14:textId="77777777" w:rsidR="009B684B" w:rsidRPr="00650291" w:rsidRDefault="009B684B" w:rsidP="00AE0577">
            <w:pPr>
              <w:jc w:val="right"/>
              <w:rPr>
                <w:rFonts w:asciiTheme="minorHAnsi" w:hAnsiTheme="minorHAnsi"/>
                <w:color w:val="000000"/>
                <w:sz w:val="20"/>
                <w:szCs w:val="20"/>
              </w:rPr>
            </w:pPr>
            <w:r>
              <w:rPr>
                <w:rFonts w:ascii="Calibri" w:hAnsi="Calibri"/>
                <w:color w:val="000000"/>
              </w:rPr>
              <w:t>48,782</w:t>
            </w:r>
          </w:p>
        </w:tc>
      </w:tr>
      <w:tr w:rsidR="009B684B" w:rsidRPr="00650291" w14:paraId="657CE705" w14:textId="77777777" w:rsidTr="00AE0577">
        <w:trPr>
          <w:trHeight w:val="300"/>
        </w:trPr>
        <w:tc>
          <w:tcPr>
            <w:tcW w:w="2778" w:type="dxa"/>
            <w:tcBorders>
              <w:top w:val="nil"/>
              <w:left w:val="single" w:sz="8" w:space="0" w:color="auto"/>
              <w:bottom w:val="single" w:sz="4" w:space="0" w:color="auto"/>
              <w:right w:val="single" w:sz="4" w:space="0" w:color="auto"/>
            </w:tcBorders>
            <w:shd w:val="clear" w:color="auto" w:fill="auto"/>
            <w:noWrap/>
            <w:vAlign w:val="bottom"/>
            <w:hideMark/>
          </w:tcPr>
          <w:p w14:paraId="1CEEBCE3" w14:textId="77777777" w:rsidR="009B684B" w:rsidRPr="00650291" w:rsidRDefault="009B684B" w:rsidP="00AE0577">
            <w:pPr>
              <w:jc w:val="both"/>
              <w:rPr>
                <w:rFonts w:asciiTheme="minorHAnsi" w:hAnsiTheme="minorHAnsi"/>
                <w:color w:val="000000"/>
                <w:sz w:val="20"/>
                <w:szCs w:val="20"/>
              </w:rPr>
            </w:pPr>
            <w:r>
              <w:rPr>
                <w:rFonts w:ascii="Calibri" w:hAnsi="Calibri"/>
                <w:color w:val="000000"/>
              </w:rPr>
              <w:t>Irish Stock Exchange</w:t>
            </w:r>
          </w:p>
        </w:tc>
        <w:tc>
          <w:tcPr>
            <w:tcW w:w="1361" w:type="dxa"/>
            <w:tcBorders>
              <w:top w:val="nil"/>
              <w:left w:val="nil"/>
              <w:bottom w:val="single" w:sz="4" w:space="0" w:color="auto"/>
              <w:right w:val="single" w:sz="4" w:space="0" w:color="auto"/>
            </w:tcBorders>
            <w:shd w:val="clear" w:color="auto" w:fill="auto"/>
            <w:noWrap/>
            <w:vAlign w:val="bottom"/>
            <w:hideMark/>
          </w:tcPr>
          <w:p w14:paraId="0DD10A2A" w14:textId="77777777" w:rsidR="009B684B" w:rsidRPr="00650291" w:rsidRDefault="009B684B" w:rsidP="00AE0577">
            <w:pPr>
              <w:jc w:val="right"/>
              <w:rPr>
                <w:rFonts w:asciiTheme="minorHAnsi" w:hAnsiTheme="minorHAnsi"/>
                <w:color w:val="000000"/>
                <w:sz w:val="20"/>
                <w:szCs w:val="20"/>
              </w:rPr>
            </w:pPr>
            <w:r>
              <w:rPr>
                <w:rFonts w:ascii="Calibri" w:hAnsi="Calibri"/>
                <w:color w:val="000000"/>
              </w:rPr>
              <w:t>7,200</w:t>
            </w:r>
          </w:p>
        </w:tc>
        <w:tc>
          <w:tcPr>
            <w:tcW w:w="1361" w:type="dxa"/>
            <w:tcBorders>
              <w:top w:val="nil"/>
              <w:left w:val="nil"/>
              <w:bottom w:val="single" w:sz="4" w:space="0" w:color="auto"/>
              <w:right w:val="single" w:sz="8" w:space="0" w:color="auto"/>
            </w:tcBorders>
            <w:shd w:val="clear" w:color="auto" w:fill="auto"/>
            <w:noWrap/>
            <w:vAlign w:val="bottom"/>
            <w:hideMark/>
          </w:tcPr>
          <w:p w14:paraId="277F9B7E" w14:textId="77777777" w:rsidR="009B684B" w:rsidRPr="00650291" w:rsidRDefault="009B684B" w:rsidP="00AE0577">
            <w:pPr>
              <w:jc w:val="right"/>
              <w:rPr>
                <w:rFonts w:asciiTheme="minorHAnsi" w:hAnsiTheme="minorHAnsi"/>
                <w:color w:val="000000"/>
                <w:sz w:val="20"/>
                <w:szCs w:val="20"/>
              </w:rPr>
            </w:pPr>
            <w:r>
              <w:rPr>
                <w:rFonts w:ascii="Calibri" w:hAnsi="Calibri"/>
                <w:color w:val="000000"/>
              </w:rPr>
              <w:t>18,293</w:t>
            </w:r>
          </w:p>
        </w:tc>
      </w:tr>
      <w:tr w:rsidR="009B684B" w:rsidRPr="00650291" w14:paraId="585F8799" w14:textId="77777777" w:rsidTr="00AE0577">
        <w:trPr>
          <w:trHeight w:val="300"/>
        </w:trPr>
        <w:tc>
          <w:tcPr>
            <w:tcW w:w="2778" w:type="dxa"/>
            <w:tcBorders>
              <w:top w:val="nil"/>
              <w:left w:val="single" w:sz="8" w:space="0" w:color="auto"/>
              <w:bottom w:val="single" w:sz="4" w:space="0" w:color="auto"/>
              <w:right w:val="single" w:sz="4" w:space="0" w:color="auto"/>
            </w:tcBorders>
            <w:shd w:val="clear" w:color="auto" w:fill="auto"/>
            <w:noWrap/>
            <w:vAlign w:val="bottom"/>
            <w:hideMark/>
          </w:tcPr>
          <w:p w14:paraId="03B79824" w14:textId="77777777" w:rsidR="009B684B" w:rsidRPr="00650291" w:rsidRDefault="009B684B" w:rsidP="00AE0577">
            <w:pPr>
              <w:jc w:val="both"/>
              <w:rPr>
                <w:rFonts w:asciiTheme="minorHAnsi" w:hAnsiTheme="minorHAnsi"/>
                <w:color w:val="000000"/>
                <w:sz w:val="20"/>
                <w:szCs w:val="20"/>
              </w:rPr>
            </w:pPr>
            <w:r>
              <w:rPr>
                <w:rFonts w:ascii="Calibri" w:hAnsi="Calibri"/>
                <w:color w:val="000000"/>
              </w:rPr>
              <w:t>London Stock Exchange</w:t>
            </w:r>
          </w:p>
        </w:tc>
        <w:tc>
          <w:tcPr>
            <w:tcW w:w="1361" w:type="dxa"/>
            <w:tcBorders>
              <w:top w:val="nil"/>
              <w:left w:val="nil"/>
              <w:bottom w:val="single" w:sz="4" w:space="0" w:color="auto"/>
              <w:right w:val="single" w:sz="4" w:space="0" w:color="auto"/>
            </w:tcBorders>
            <w:shd w:val="clear" w:color="auto" w:fill="auto"/>
            <w:noWrap/>
            <w:vAlign w:val="bottom"/>
            <w:hideMark/>
          </w:tcPr>
          <w:p w14:paraId="35545114" w14:textId="77777777" w:rsidR="009B684B" w:rsidRPr="00650291" w:rsidRDefault="009B684B" w:rsidP="00AE0577">
            <w:pPr>
              <w:jc w:val="right"/>
              <w:rPr>
                <w:rFonts w:asciiTheme="minorHAnsi" w:hAnsiTheme="minorHAnsi"/>
                <w:color w:val="000000"/>
                <w:sz w:val="20"/>
                <w:szCs w:val="20"/>
              </w:rPr>
            </w:pPr>
            <w:r>
              <w:rPr>
                <w:rFonts w:ascii="Calibri" w:hAnsi="Calibri"/>
                <w:color w:val="000000"/>
              </w:rPr>
              <w:t>36,603</w:t>
            </w:r>
          </w:p>
        </w:tc>
        <w:tc>
          <w:tcPr>
            <w:tcW w:w="1361" w:type="dxa"/>
            <w:tcBorders>
              <w:top w:val="nil"/>
              <w:left w:val="nil"/>
              <w:bottom w:val="single" w:sz="4" w:space="0" w:color="auto"/>
              <w:right w:val="single" w:sz="8" w:space="0" w:color="auto"/>
            </w:tcBorders>
            <w:shd w:val="clear" w:color="auto" w:fill="auto"/>
            <w:noWrap/>
            <w:vAlign w:val="bottom"/>
            <w:hideMark/>
          </w:tcPr>
          <w:p w14:paraId="7EB74859" w14:textId="77777777" w:rsidR="009B684B" w:rsidRPr="00650291" w:rsidRDefault="009B684B" w:rsidP="00AE0577">
            <w:pPr>
              <w:jc w:val="right"/>
              <w:rPr>
                <w:rFonts w:asciiTheme="minorHAnsi" w:hAnsiTheme="minorHAnsi"/>
                <w:color w:val="000000"/>
                <w:sz w:val="20"/>
                <w:szCs w:val="20"/>
              </w:rPr>
            </w:pPr>
            <w:r>
              <w:rPr>
                <w:rFonts w:ascii="Calibri" w:hAnsi="Calibri"/>
                <w:color w:val="000000"/>
              </w:rPr>
              <w:t>94,649</w:t>
            </w:r>
          </w:p>
        </w:tc>
      </w:tr>
      <w:tr w:rsidR="009B684B" w:rsidRPr="00650291" w14:paraId="41D98745" w14:textId="77777777" w:rsidTr="00AE0577">
        <w:trPr>
          <w:trHeight w:val="300"/>
        </w:trPr>
        <w:tc>
          <w:tcPr>
            <w:tcW w:w="2778" w:type="dxa"/>
            <w:tcBorders>
              <w:top w:val="nil"/>
              <w:left w:val="single" w:sz="8" w:space="0" w:color="auto"/>
              <w:bottom w:val="single" w:sz="4" w:space="0" w:color="auto"/>
              <w:right w:val="single" w:sz="4" w:space="0" w:color="auto"/>
            </w:tcBorders>
            <w:shd w:val="clear" w:color="auto" w:fill="auto"/>
            <w:noWrap/>
            <w:vAlign w:val="bottom"/>
            <w:hideMark/>
          </w:tcPr>
          <w:p w14:paraId="63E1EFCB" w14:textId="77777777" w:rsidR="009B684B" w:rsidRPr="00650291" w:rsidRDefault="009B684B" w:rsidP="00AE0577">
            <w:pPr>
              <w:jc w:val="both"/>
              <w:rPr>
                <w:rFonts w:asciiTheme="minorHAnsi" w:hAnsiTheme="minorHAnsi"/>
                <w:color w:val="000000"/>
                <w:sz w:val="20"/>
                <w:szCs w:val="20"/>
              </w:rPr>
            </w:pPr>
            <w:r>
              <w:rPr>
                <w:rFonts w:ascii="Calibri" w:hAnsi="Calibri"/>
                <w:color w:val="000000"/>
              </w:rPr>
              <w:t xml:space="preserve">Nasdaq Nordic </w:t>
            </w:r>
          </w:p>
        </w:tc>
        <w:tc>
          <w:tcPr>
            <w:tcW w:w="1361" w:type="dxa"/>
            <w:tcBorders>
              <w:top w:val="nil"/>
              <w:left w:val="nil"/>
              <w:bottom w:val="single" w:sz="4" w:space="0" w:color="auto"/>
              <w:right w:val="single" w:sz="4" w:space="0" w:color="auto"/>
            </w:tcBorders>
            <w:shd w:val="clear" w:color="auto" w:fill="auto"/>
            <w:noWrap/>
            <w:vAlign w:val="bottom"/>
            <w:hideMark/>
          </w:tcPr>
          <w:p w14:paraId="6DB91835" w14:textId="77777777" w:rsidR="009B684B" w:rsidRPr="00650291" w:rsidRDefault="009B684B" w:rsidP="00AE0577">
            <w:pPr>
              <w:jc w:val="right"/>
              <w:rPr>
                <w:rFonts w:asciiTheme="minorHAnsi" w:hAnsiTheme="minorHAnsi"/>
                <w:color w:val="000000"/>
                <w:sz w:val="20"/>
                <w:szCs w:val="20"/>
              </w:rPr>
            </w:pPr>
            <w:r>
              <w:rPr>
                <w:rFonts w:ascii="Calibri" w:hAnsi="Calibri"/>
                <w:color w:val="000000"/>
              </w:rPr>
              <w:t>42,000</w:t>
            </w:r>
          </w:p>
        </w:tc>
        <w:tc>
          <w:tcPr>
            <w:tcW w:w="1361" w:type="dxa"/>
            <w:tcBorders>
              <w:top w:val="nil"/>
              <w:left w:val="nil"/>
              <w:bottom w:val="single" w:sz="4" w:space="0" w:color="auto"/>
              <w:right w:val="single" w:sz="8" w:space="0" w:color="auto"/>
            </w:tcBorders>
            <w:shd w:val="clear" w:color="auto" w:fill="auto"/>
            <w:noWrap/>
            <w:vAlign w:val="bottom"/>
            <w:hideMark/>
          </w:tcPr>
          <w:p w14:paraId="70E2A4CF" w14:textId="77777777" w:rsidR="009B684B" w:rsidRPr="00650291" w:rsidRDefault="009B684B" w:rsidP="00AE0577">
            <w:pPr>
              <w:jc w:val="right"/>
              <w:rPr>
                <w:rFonts w:asciiTheme="minorHAnsi" w:hAnsiTheme="minorHAnsi"/>
                <w:color w:val="000000"/>
                <w:sz w:val="20"/>
                <w:szCs w:val="20"/>
              </w:rPr>
            </w:pPr>
            <w:r>
              <w:rPr>
                <w:rFonts w:ascii="Calibri" w:hAnsi="Calibri"/>
                <w:color w:val="000000"/>
              </w:rPr>
              <w:t>42,000</w:t>
            </w:r>
          </w:p>
        </w:tc>
      </w:tr>
      <w:tr w:rsidR="009B684B" w:rsidRPr="00650291" w14:paraId="3753B5B2" w14:textId="77777777" w:rsidTr="00AE0577">
        <w:trPr>
          <w:trHeight w:val="300"/>
        </w:trPr>
        <w:tc>
          <w:tcPr>
            <w:tcW w:w="2778" w:type="dxa"/>
            <w:tcBorders>
              <w:top w:val="nil"/>
              <w:left w:val="single" w:sz="8" w:space="0" w:color="auto"/>
              <w:bottom w:val="single" w:sz="4" w:space="0" w:color="auto"/>
              <w:right w:val="single" w:sz="4" w:space="0" w:color="auto"/>
            </w:tcBorders>
            <w:shd w:val="clear" w:color="auto" w:fill="auto"/>
            <w:noWrap/>
            <w:vAlign w:val="bottom"/>
            <w:hideMark/>
          </w:tcPr>
          <w:p w14:paraId="51273576" w14:textId="77777777" w:rsidR="009B684B" w:rsidRPr="00650291" w:rsidRDefault="009B684B" w:rsidP="00AE0577">
            <w:pPr>
              <w:jc w:val="both"/>
              <w:rPr>
                <w:rFonts w:asciiTheme="minorHAnsi" w:hAnsiTheme="minorHAnsi"/>
                <w:color w:val="000000"/>
                <w:sz w:val="20"/>
                <w:szCs w:val="20"/>
              </w:rPr>
            </w:pPr>
            <w:r>
              <w:rPr>
                <w:rFonts w:ascii="Calibri" w:hAnsi="Calibri"/>
                <w:color w:val="000000"/>
              </w:rPr>
              <w:t xml:space="preserve">Oslo </w:t>
            </w:r>
            <w:proofErr w:type="spellStart"/>
            <w:r>
              <w:rPr>
                <w:rFonts w:ascii="Calibri" w:hAnsi="Calibri"/>
                <w:color w:val="000000"/>
              </w:rPr>
              <w:t>Bors</w:t>
            </w:r>
            <w:proofErr w:type="spellEnd"/>
          </w:p>
        </w:tc>
        <w:tc>
          <w:tcPr>
            <w:tcW w:w="1361" w:type="dxa"/>
            <w:tcBorders>
              <w:top w:val="nil"/>
              <w:left w:val="nil"/>
              <w:bottom w:val="single" w:sz="4" w:space="0" w:color="auto"/>
              <w:right w:val="single" w:sz="4" w:space="0" w:color="auto"/>
            </w:tcBorders>
            <w:shd w:val="clear" w:color="auto" w:fill="auto"/>
            <w:noWrap/>
            <w:vAlign w:val="bottom"/>
            <w:hideMark/>
          </w:tcPr>
          <w:p w14:paraId="683AD013" w14:textId="77777777" w:rsidR="009B684B" w:rsidRPr="00650291" w:rsidRDefault="009B684B" w:rsidP="00AE0577">
            <w:pPr>
              <w:jc w:val="right"/>
              <w:rPr>
                <w:rFonts w:asciiTheme="minorHAnsi" w:hAnsiTheme="minorHAnsi"/>
                <w:color w:val="000000"/>
                <w:sz w:val="20"/>
                <w:szCs w:val="20"/>
              </w:rPr>
            </w:pPr>
            <w:r>
              <w:rPr>
                <w:rFonts w:ascii="Calibri" w:hAnsi="Calibri"/>
                <w:color w:val="000000"/>
              </w:rPr>
              <w:t>1,714</w:t>
            </w:r>
          </w:p>
        </w:tc>
        <w:tc>
          <w:tcPr>
            <w:tcW w:w="1361" w:type="dxa"/>
            <w:tcBorders>
              <w:top w:val="nil"/>
              <w:left w:val="nil"/>
              <w:bottom w:val="single" w:sz="4" w:space="0" w:color="auto"/>
              <w:right w:val="single" w:sz="8" w:space="0" w:color="auto"/>
            </w:tcBorders>
            <w:shd w:val="clear" w:color="auto" w:fill="auto"/>
            <w:noWrap/>
            <w:vAlign w:val="bottom"/>
            <w:hideMark/>
          </w:tcPr>
          <w:p w14:paraId="334D4B6F" w14:textId="77777777" w:rsidR="009B684B" w:rsidRPr="00650291" w:rsidRDefault="009B684B" w:rsidP="00AE0577">
            <w:pPr>
              <w:jc w:val="right"/>
              <w:rPr>
                <w:rFonts w:asciiTheme="minorHAnsi" w:hAnsiTheme="minorHAnsi"/>
                <w:color w:val="000000"/>
                <w:sz w:val="20"/>
                <w:szCs w:val="20"/>
              </w:rPr>
            </w:pPr>
            <w:r>
              <w:rPr>
                <w:rFonts w:ascii="Calibri" w:hAnsi="Calibri"/>
                <w:color w:val="000000"/>
              </w:rPr>
              <w:t>2,481</w:t>
            </w:r>
          </w:p>
        </w:tc>
      </w:tr>
      <w:tr w:rsidR="009B684B" w:rsidRPr="00650291" w14:paraId="0260980E" w14:textId="77777777" w:rsidTr="00AE0577">
        <w:trPr>
          <w:trHeight w:val="300"/>
        </w:trPr>
        <w:tc>
          <w:tcPr>
            <w:tcW w:w="2778" w:type="dxa"/>
            <w:tcBorders>
              <w:top w:val="nil"/>
              <w:left w:val="single" w:sz="8" w:space="0" w:color="auto"/>
              <w:bottom w:val="single" w:sz="4" w:space="0" w:color="auto"/>
              <w:right w:val="single" w:sz="4" w:space="0" w:color="auto"/>
            </w:tcBorders>
            <w:shd w:val="clear" w:color="auto" w:fill="auto"/>
            <w:noWrap/>
            <w:vAlign w:val="bottom"/>
            <w:hideMark/>
          </w:tcPr>
          <w:p w14:paraId="216E355F" w14:textId="77777777" w:rsidR="009B684B" w:rsidRPr="00650291" w:rsidRDefault="009B684B" w:rsidP="00AE0577">
            <w:pPr>
              <w:jc w:val="both"/>
              <w:rPr>
                <w:rFonts w:asciiTheme="minorHAnsi" w:hAnsiTheme="minorHAnsi"/>
                <w:color w:val="000000"/>
                <w:sz w:val="20"/>
                <w:szCs w:val="20"/>
              </w:rPr>
            </w:pPr>
            <w:r>
              <w:rPr>
                <w:rFonts w:ascii="Calibri" w:hAnsi="Calibri"/>
                <w:color w:val="000000"/>
              </w:rPr>
              <w:t>SIX Swiss Exchange</w:t>
            </w:r>
          </w:p>
        </w:tc>
        <w:tc>
          <w:tcPr>
            <w:tcW w:w="1361" w:type="dxa"/>
            <w:tcBorders>
              <w:top w:val="nil"/>
              <w:left w:val="nil"/>
              <w:bottom w:val="single" w:sz="4" w:space="0" w:color="auto"/>
              <w:right w:val="single" w:sz="4" w:space="0" w:color="auto"/>
            </w:tcBorders>
            <w:shd w:val="clear" w:color="auto" w:fill="auto"/>
            <w:noWrap/>
            <w:vAlign w:val="bottom"/>
            <w:hideMark/>
          </w:tcPr>
          <w:p w14:paraId="1C0250D6" w14:textId="77777777" w:rsidR="009B684B" w:rsidRPr="00650291" w:rsidRDefault="009B684B" w:rsidP="00AE0577">
            <w:pPr>
              <w:jc w:val="right"/>
              <w:rPr>
                <w:rFonts w:asciiTheme="minorHAnsi" w:hAnsiTheme="minorHAnsi"/>
                <w:color w:val="000000"/>
                <w:sz w:val="20"/>
                <w:szCs w:val="20"/>
              </w:rPr>
            </w:pPr>
            <w:r>
              <w:rPr>
                <w:rFonts w:ascii="Calibri" w:hAnsi="Calibri"/>
                <w:color w:val="000000"/>
              </w:rPr>
              <w:t>8,658</w:t>
            </w:r>
          </w:p>
        </w:tc>
        <w:tc>
          <w:tcPr>
            <w:tcW w:w="1361" w:type="dxa"/>
            <w:tcBorders>
              <w:top w:val="nil"/>
              <w:left w:val="nil"/>
              <w:bottom w:val="single" w:sz="4" w:space="0" w:color="auto"/>
              <w:right w:val="single" w:sz="8" w:space="0" w:color="auto"/>
            </w:tcBorders>
            <w:shd w:val="clear" w:color="auto" w:fill="auto"/>
            <w:noWrap/>
            <w:vAlign w:val="bottom"/>
            <w:hideMark/>
          </w:tcPr>
          <w:p w14:paraId="1FE3D49F" w14:textId="77777777" w:rsidR="009B684B" w:rsidRPr="00650291" w:rsidRDefault="009B684B" w:rsidP="00AE0577">
            <w:pPr>
              <w:jc w:val="right"/>
              <w:rPr>
                <w:rFonts w:asciiTheme="minorHAnsi" w:hAnsiTheme="minorHAnsi"/>
                <w:color w:val="000000"/>
                <w:sz w:val="20"/>
                <w:szCs w:val="20"/>
              </w:rPr>
            </w:pPr>
            <w:r>
              <w:rPr>
                <w:rFonts w:ascii="Calibri" w:hAnsi="Calibri"/>
                <w:color w:val="000000"/>
              </w:rPr>
              <w:t>8,835</w:t>
            </w:r>
          </w:p>
        </w:tc>
      </w:tr>
      <w:tr w:rsidR="009B684B" w:rsidRPr="00650291" w14:paraId="182DDAE6" w14:textId="77777777" w:rsidTr="00AE0577">
        <w:trPr>
          <w:trHeight w:val="315"/>
        </w:trPr>
        <w:tc>
          <w:tcPr>
            <w:tcW w:w="2778" w:type="dxa"/>
            <w:tcBorders>
              <w:top w:val="nil"/>
              <w:left w:val="single" w:sz="8" w:space="0" w:color="auto"/>
              <w:bottom w:val="single" w:sz="4" w:space="0" w:color="auto"/>
              <w:right w:val="single" w:sz="4" w:space="0" w:color="auto"/>
            </w:tcBorders>
            <w:shd w:val="clear" w:color="auto" w:fill="auto"/>
            <w:noWrap/>
            <w:vAlign w:val="bottom"/>
            <w:hideMark/>
          </w:tcPr>
          <w:p w14:paraId="4EB5FEB7" w14:textId="77777777" w:rsidR="009B684B" w:rsidRPr="00650291" w:rsidRDefault="009B684B" w:rsidP="00AE0577">
            <w:pPr>
              <w:jc w:val="both"/>
              <w:rPr>
                <w:rFonts w:asciiTheme="minorHAnsi" w:hAnsiTheme="minorHAnsi"/>
                <w:color w:val="000000"/>
                <w:sz w:val="20"/>
                <w:szCs w:val="20"/>
              </w:rPr>
            </w:pPr>
            <w:r>
              <w:rPr>
                <w:rFonts w:ascii="Calibri" w:hAnsi="Calibri"/>
                <w:color w:val="000000"/>
              </w:rPr>
              <w:t>Warsaw Stock Exchange</w:t>
            </w:r>
          </w:p>
        </w:tc>
        <w:tc>
          <w:tcPr>
            <w:tcW w:w="1361" w:type="dxa"/>
            <w:tcBorders>
              <w:top w:val="nil"/>
              <w:left w:val="nil"/>
              <w:bottom w:val="single" w:sz="4" w:space="0" w:color="auto"/>
              <w:right w:val="single" w:sz="4" w:space="0" w:color="auto"/>
            </w:tcBorders>
            <w:shd w:val="clear" w:color="auto" w:fill="auto"/>
            <w:noWrap/>
            <w:vAlign w:val="bottom"/>
            <w:hideMark/>
          </w:tcPr>
          <w:p w14:paraId="36F9A413" w14:textId="77777777" w:rsidR="009B684B" w:rsidRPr="00650291" w:rsidRDefault="009B684B" w:rsidP="00AE0577">
            <w:pPr>
              <w:jc w:val="right"/>
              <w:rPr>
                <w:rFonts w:asciiTheme="minorHAnsi" w:hAnsiTheme="minorHAnsi"/>
                <w:color w:val="000000"/>
                <w:sz w:val="20"/>
                <w:szCs w:val="20"/>
              </w:rPr>
            </w:pPr>
            <w:r>
              <w:rPr>
                <w:rFonts w:ascii="Calibri" w:hAnsi="Calibri"/>
                <w:color w:val="000000"/>
              </w:rPr>
              <w:t>0</w:t>
            </w:r>
          </w:p>
        </w:tc>
        <w:tc>
          <w:tcPr>
            <w:tcW w:w="1361" w:type="dxa"/>
            <w:tcBorders>
              <w:top w:val="nil"/>
              <w:left w:val="nil"/>
              <w:bottom w:val="single" w:sz="4" w:space="0" w:color="auto"/>
              <w:right w:val="single" w:sz="8" w:space="0" w:color="auto"/>
            </w:tcBorders>
            <w:shd w:val="clear" w:color="auto" w:fill="auto"/>
            <w:noWrap/>
            <w:vAlign w:val="bottom"/>
            <w:hideMark/>
          </w:tcPr>
          <w:p w14:paraId="22184578" w14:textId="77777777" w:rsidR="009B684B" w:rsidRPr="00650291" w:rsidRDefault="009B684B" w:rsidP="00AE0577">
            <w:pPr>
              <w:jc w:val="right"/>
              <w:rPr>
                <w:rFonts w:asciiTheme="minorHAnsi" w:hAnsiTheme="minorHAnsi"/>
                <w:color w:val="000000"/>
                <w:sz w:val="20"/>
                <w:szCs w:val="20"/>
              </w:rPr>
            </w:pPr>
            <w:r>
              <w:rPr>
                <w:rFonts w:ascii="Calibri" w:hAnsi="Calibri"/>
                <w:color w:val="000000"/>
              </w:rPr>
              <w:t>130,281</w:t>
            </w:r>
          </w:p>
        </w:tc>
      </w:tr>
      <w:tr w:rsidR="009B684B" w:rsidRPr="00650291" w14:paraId="462289A5" w14:textId="77777777" w:rsidTr="00AE0577">
        <w:trPr>
          <w:trHeight w:val="315"/>
        </w:trPr>
        <w:tc>
          <w:tcPr>
            <w:tcW w:w="2778" w:type="dxa"/>
            <w:tcBorders>
              <w:top w:val="single" w:sz="8" w:space="0" w:color="auto"/>
              <w:left w:val="single" w:sz="8" w:space="0" w:color="auto"/>
              <w:bottom w:val="single" w:sz="8" w:space="0" w:color="auto"/>
              <w:right w:val="single" w:sz="4" w:space="0" w:color="auto"/>
            </w:tcBorders>
            <w:shd w:val="clear" w:color="DDEBF7" w:fill="DDEBF7"/>
            <w:noWrap/>
            <w:vAlign w:val="bottom"/>
            <w:hideMark/>
          </w:tcPr>
          <w:p w14:paraId="323355EA" w14:textId="77777777" w:rsidR="009B684B" w:rsidRPr="00650291" w:rsidRDefault="009B684B" w:rsidP="00AE0577">
            <w:pPr>
              <w:jc w:val="both"/>
              <w:rPr>
                <w:rFonts w:asciiTheme="minorHAnsi" w:hAnsiTheme="minorHAnsi"/>
                <w:b/>
                <w:bCs/>
                <w:color w:val="000000"/>
                <w:sz w:val="20"/>
                <w:szCs w:val="20"/>
              </w:rPr>
            </w:pPr>
            <w:r>
              <w:rPr>
                <w:rFonts w:ascii="Calibri" w:hAnsi="Calibri"/>
                <w:b/>
                <w:bCs/>
                <w:color w:val="000000"/>
              </w:rPr>
              <w:t>Grand Total</w:t>
            </w:r>
          </w:p>
        </w:tc>
        <w:tc>
          <w:tcPr>
            <w:tcW w:w="1361" w:type="dxa"/>
            <w:tcBorders>
              <w:top w:val="single" w:sz="8" w:space="0" w:color="auto"/>
              <w:left w:val="nil"/>
              <w:bottom w:val="single" w:sz="8" w:space="0" w:color="auto"/>
              <w:right w:val="single" w:sz="4" w:space="0" w:color="auto"/>
            </w:tcBorders>
            <w:shd w:val="clear" w:color="DDEBF7" w:fill="DDEBF7"/>
            <w:noWrap/>
            <w:vAlign w:val="bottom"/>
            <w:hideMark/>
          </w:tcPr>
          <w:p w14:paraId="7673B9DC" w14:textId="77777777" w:rsidR="009B684B" w:rsidRPr="00650291" w:rsidRDefault="009B684B" w:rsidP="00AE0577">
            <w:pPr>
              <w:jc w:val="right"/>
              <w:rPr>
                <w:rFonts w:asciiTheme="minorHAnsi" w:hAnsiTheme="minorHAnsi"/>
                <w:b/>
                <w:bCs/>
                <w:color w:val="000000"/>
                <w:sz w:val="20"/>
                <w:szCs w:val="20"/>
              </w:rPr>
            </w:pPr>
            <w:r>
              <w:rPr>
                <w:rFonts w:ascii="Calibri" w:hAnsi="Calibri"/>
                <w:b/>
                <w:bCs/>
                <w:color w:val="000000"/>
              </w:rPr>
              <w:t>300,175</w:t>
            </w:r>
          </w:p>
        </w:tc>
        <w:tc>
          <w:tcPr>
            <w:tcW w:w="1361" w:type="dxa"/>
            <w:tcBorders>
              <w:top w:val="single" w:sz="8" w:space="0" w:color="auto"/>
              <w:left w:val="nil"/>
              <w:bottom w:val="single" w:sz="8" w:space="0" w:color="auto"/>
              <w:right w:val="single" w:sz="8" w:space="0" w:color="auto"/>
            </w:tcBorders>
            <w:shd w:val="clear" w:color="DDEBF7" w:fill="DDEBF7"/>
            <w:noWrap/>
            <w:vAlign w:val="bottom"/>
            <w:hideMark/>
          </w:tcPr>
          <w:p w14:paraId="50AE348B" w14:textId="77777777" w:rsidR="009B684B" w:rsidRPr="00650291" w:rsidRDefault="009B684B" w:rsidP="00AE0577">
            <w:pPr>
              <w:jc w:val="right"/>
              <w:rPr>
                <w:rFonts w:asciiTheme="minorHAnsi" w:hAnsiTheme="minorHAnsi"/>
                <w:b/>
                <w:bCs/>
                <w:color w:val="000000"/>
                <w:sz w:val="20"/>
                <w:szCs w:val="20"/>
              </w:rPr>
            </w:pPr>
            <w:r>
              <w:rPr>
                <w:rFonts w:ascii="Calibri" w:hAnsi="Calibri"/>
                <w:b/>
                <w:bCs/>
                <w:color w:val="000000"/>
              </w:rPr>
              <w:t>518,522</w:t>
            </w:r>
          </w:p>
        </w:tc>
      </w:tr>
    </w:tbl>
    <w:p w14:paraId="36074DEB" w14:textId="77777777" w:rsidR="009B684B" w:rsidRPr="00650291" w:rsidRDefault="009B684B" w:rsidP="009B684B">
      <w:pPr>
        <w:jc w:val="both"/>
        <w:textAlignment w:val="baseline"/>
        <w:rPr>
          <w:rFonts w:asciiTheme="minorHAnsi" w:hAnsiTheme="minorHAnsi" w:cstheme="minorHAnsi"/>
          <w:color w:val="000000"/>
        </w:rPr>
      </w:pPr>
    </w:p>
    <w:p w14:paraId="1EE71B5A" w14:textId="5144F514" w:rsidR="00010773" w:rsidRDefault="009B684B" w:rsidP="009B684B">
      <w:pPr>
        <w:rPr>
          <w:rFonts w:ascii="Arial" w:hAnsi="Arial" w:cs="Arial"/>
        </w:rPr>
      </w:pPr>
      <w:r w:rsidRPr="00650291">
        <w:rPr>
          <w:rFonts w:asciiTheme="minorHAnsi" w:hAnsiTheme="minorHAnsi" w:cstheme="minorHAnsi"/>
          <w:color w:val="000000"/>
        </w:rPr>
        <w:t>Some FIA EPTA members that operate SIs</w:t>
      </w:r>
      <w:r w:rsidRPr="00650291">
        <w:rPr>
          <w:rStyle w:val="FootnoteReference"/>
          <w:rFonts w:asciiTheme="minorHAnsi" w:hAnsiTheme="minorHAnsi" w:cstheme="minorHAnsi"/>
          <w:color w:val="000000"/>
        </w:rPr>
        <w:footnoteReference w:id="2"/>
      </w:r>
      <w:r w:rsidRPr="00650291">
        <w:rPr>
          <w:rFonts w:asciiTheme="minorHAnsi" w:hAnsiTheme="minorHAnsi" w:cstheme="minorHAnsi"/>
          <w:color w:val="000000"/>
        </w:rPr>
        <w:t xml:space="preserve"> feel that the fees for SI-related use are exorbitantly high and do not reflect any significant changes in the feeds (dissemination, protocol, or otherwise). Such members perceive the high fees charg</w:t>
      </w:r>
      <w:r w:rsidRPr="00F20625">
        <w:rPr>
          <w:rFonts w:asciiTheme="minorHAnsi" w:hAnsiTheme="minorHAnsi" w:cstheme="minorHAnsi"/>
          <w:color w:val="000000"/>
        </w:rPr>
        <w:t xml:space="preserve">ed or ultimately applicable to SI business models as a way for exchanges to unfairly increase the cost of doing business by potential competitors, an issue such members feel would benefit from review by competent authorities. Such members note that while most SIs opted into the regime on a voluntary basis, </w:t>
      </w:r>
      <w:r w:rsidRPr="00650291">
        <w:rPr>
          <w:rFonts w:asciiTheme="minorHAnsi" w:hAnsiTheme="minorHAnsi" w:cstheme="minorHAnsi"/>
          <w:color w:val="000000"/>
        </w:rPr>
        <w:t>MiFIR also introduces thresholds where firms operating significant off-exchange trading businesses are required to register as an SI. Sis</w:t>
      </w:r>
      <w:r>
        <w:rPr>
          <w:rFonts w:asciiTheme="minorHAnsi" w:hAnsiTheme="minorHAnsi" w:cstheme="minorHAnsi"/>
          <w:color w:val="000000"/>
        </w:rPr>
        <w:t xml:space="preserve"> </w:t>
      </w:r>
      <w:r w:rsidRPr="00650291">
        <w:rPr>
          <w:rFonts w:asciiTheme="minorHAnsi" w:hAnsiTheme="minorHAnsi" w:cstheme="minorHAnsi"/>
          <w:color w:val="000000"/>
        </w:rPr>
        <w:t>are also required to maintain their quotes closely in line with the most relevant market (which is often the primary market).</w:t>
      </w:r>
    </w:p>
    <w:permEnd w:id="1610892805"/>
    <w:p w14:paraId="2310FFD9" w14:textId="77777777" w:rsidR="00010773" w:rsidRDefault="00010773" w:rsidP="00010773">
      <w:pPr>
        <w:rPr>
          <w:rFonts w:ascii="Arial" w:hAnsi="Arial" w:cs="Arial"/>
        </w:rPr>
      </w:pPr>
      <w:r>
        <w:rPr>
          <w:rFonts w:ascii="Arial" w:hAnsi="Arial" w:cs="Arial"/>
        </w:rPr>
        <w:t>&lt;ESMA_QUESTION_MDA_3&gt;</w:t>
      </w:r>
    </w:p>
    <w:p w14:paraId="5E33EB7E" w14:textId="77777777" w:rsidR="00010773" w:rsidRDefault="00010773" w:rsidP="00010773">
      <w:pPr>
        <w:rPr>
          <w:rFonts w:ascii="Arial" w:hAnsi="Arial" w:cs="Arial"/>
        </w:rPr>
      </w:pPr>
    </w:p>
    <w:p w14:paraId="08DE1B71" w14:textId="77777777" w:rsidR="00010773" w:rsidRDefault="00010773" w:rsidP="00010773">
      <w:pPr>
        <w:pStyle w:val="Questionstyle"/>
        <w:numPr>
          <w:ilvl w:val="0"/>
          <w:numId w:val="9"/>
        </w:numPr>
        <w:spacing w:after="250" w:line="276" w:lineRule="auto"/>
      </w:pPr>
      <w:r>
        <w:t xml:space="preserve">: Do you observe other practices that may directly or indirectly impact the price for market data (e.g. complex market data policies, use of non-disclosure agreements)? Please explain and provide evidence. </w:t>
      </w:r>
    </w:p>
    <w:p w14:paraId="4BCF6949" w14:textId="77777777" w:rsidR="00010773" w:rsidRDefault="00010773" w:rsidP="00010773">
      <w:pPr>
        <w:rPr>
          <w:rFonts w:ascii="Arial" w:hAnsi="Arial" w:cs="Arial"/>
        </w:rPr>
      </w:pPr>
      <w:r>
        <w:rPr>
          <w:rFonts w:ascii="Arial" w:hAnsi="Arial" w:cs="Arial"/>
        </w:rPr>
        <w:t>&lt;ESMA_QUESTION_MDA_4&gt;</w:t>
      </w:r>
    </w:p>
    <w:p w14:paraId="136F3F9D" w14:textId="77777777" w:rsidR="00983C01" w:rsidRPr="00650291" w:rsidRDefault="00983C01" w:rsidP="00983C01">
      <w:pPr>
        <w:jc w:val="both"/>
        <w:rPr>
          <w:rFonts w:asciiTheme="minorHAnsi" w:hAnsiTheme="minorHAnsi" w:cstheme="minorHAnsi"/>
        </w:rPr>
      </w:pPr>
      <w:permStart w:id="303380406" w:edGrp="everyone"/>
      <w:r w:rsidRPr="00650291">
        <w:rPr>
          <w:rFonts w:asciiTheme="minorHAnsi" w:hAnsiTheme="minorHAnsi" w:cstheme="minorHAnsi"/>
        </w:rPr>
        <w:t xml:space="preserve">FIA EPTA members have uniformly observed increasing complexity of market data policies and agreements. Agreements that originally were short and succinct texts are now often packages of multiple lengthy documents (consisting </w:t>
      </w:r>
      <w:proofErr w:type="spellStart"/>
      <w:r w:rsidRPr="00650291">
        <w:rPr>
          <w:rFonts w:asciiTheme="minorHAnsi" w:hAnsiTheme="minorHAnsi" w:cstheme="minorHAnsi"/>
        </w:rPr>
        <w:t>i.a.</w:t>
      </w:r>
      <w:proofErr w:type="spellEnd"/>
      <w:r w:rsidRPr="00650291">
        <w:rPr>
          <w:rFonts w:asciiTheme="minorHAnsi" w:hAnsiTheme="minorHAnsi" w:cstheme="minorHAnsi"/>
        </w:rPr>
        <w:t xml:space="preserve"> of the agreement itself, fee schedules, redistribution agreements, policy guides, order forms, usage declarations, audit procedures, etc.) and require review by multiple internal stakeholders (e.g., market data, legal, compliance, and potentially even technology specialists) before sign-off. Some exchange agreements, policies and fee schedules exceed seventy-five pages. Likewise, the frequency of revisions to these documents has increased dramatically, sometimes changing every six months. </w:t>
      </w:r>
    </w:p>
    <w:p w14:paraId="2DE826CE" w14:textId="77777777" w:rsidR="00983C01" w:rsidRPr="00650291" w:rsidRDefault="00983C01" w:rsidP="00983C01">
      <w:pPr>
        <w:jc w:val="both"/>
        <w:rPr>
          <w:rFonts w:asciiTheme="minorHAnsi" w:hAnsiTheme="minorHAnsi" w:cstheme="minorHAnsi"/>
        </w:rPr>
      </w:pPr>
    </w:p>
    <w:p w14:paraId="3E256C3A" w14:textId="77777777" w:rsidR="00983C01" w:rsidRPr="00650291" w:rsidRDefault="00983C01" w:rsidP="00983C01">
      <w:pPr>
        <w:jc w:val="both"/>
        <w:rPr>
          <w:rFonts w:asciiTheme="minorHAnsi" w:hAnsiTheme="minorHAnsi" w:cstheme="minorHAnsi"/>
        </w:rPr>
      </w:pPr>
      <w:r w:rsidRPr="00650291">
        <w:rPr>
          <w:rFonts w:asciiTheme="minorHAnsi" w:hAnsiTheme="minorHAnsi" w:cstheme="minorHAnsi"/>
        </w:rPr>
        <w:t xml:space="preserve">The documentation is often so complex that even the market data teams at individual trading venues do not fully understand the agreements and schedules and are not always able to adequately explain how usage should be categorised and reported when they are queried by customers. This ever-growing complexity has resulted in some firms needing to increase headcount by hiring dedicated market data specialists, focused on reviewing and interpreting market data policies and fulfilling subsequent reporting obligations. </w:t>
      </w:r>
    </w:p>
    <w:p w14:paraId="3CB5BA2C" w14:textId="77777777" w:rsidR="00983C01" w:rsidRPr="00650291" w:rsidRDefault="00983C01" w:rsidP="00983C01">
      <w:pPr>
        <w:jc w:val="both"/>
        <w:rPr>
          <w:rFonts w:asciiTheme="minorHAnsi" w:hAnsiTheme="minorHAnsi" w:cstheme="minorHAnsi"/>
        </w:rPr>
      </w:pPr>
    </w:p>
    <w:p w14:paraId="22B4004E" w14:textId="77777777" w:rsidR="00983C01" w:rsidRPr="00650291" w:rsidRDefault="00983C01" w:rsidP="00983C01">
      <w:pPr>
        <w:jc w:val="both"/>
        <w:rPr>
          <w:rFonts w:asciiTheme="minorHAnsi" w:hAnsiTheme="minorHAnsi"/>
        </w:rPr>
      </w:pPr>
      <w:r w:rsidRPr="00650291">
        <w:rPr>
          <w:rFonts w:asciiTheme="minorHAnsi" w:hAnsiTheme="minorHAnsi" w:cstheme="minorHAnsi"/>
        </w:rPr>
        <w:t xml:space="preserve">As a result, exchange audits have also become a significant issue. While MiFID II has called for exchange costs to be predictable, FIA EPTA members have rather experienced increasingly complex policies and increased audit scrutiny. FIA EPTA believes that market data policies are now so complex that even the most sophisticated end-users struggle to fully interpret their obligations. This creates a significant compliance burden, and FIA EPTA members consider that the regulatory expectations of MiFID II have not been realised in this respect. </w:t>
      </w:r>
    </w:p>
    <w:p w14:paraId="6E7C6D66" w14:textId="77777777" w:rsidR="00983C01" w:rsidRPr="00650291" w:rsidRDefault="00983C01" w:rsidP="00983C01">
      <w:pPr>
        <w:jc w:val="both"/>
        <w:rPr>
          <w:rFonts w:asciiTheme="minorHAnsi" w:hAnsiTheme="minorHAnsi"/>
          <w:color w:val="434343"/>
          <w:highlight w:val="cyan"/>
        </w:rPr>
      </w:pPr>
    </w:p>
    <w:p w14:paraId="6F06E7F0" w14:textId="39C38A11" w:rsidR="00010773" w:rsidRPr="00983C01" w:rsidRDefault="00983C01" w:rsidP="00983C01">
      <w:pPr>
        <w:jc w:val="both"/>
        <w:rPr>
          <w:rFonts w:asciiTheme="minorHAnsi" w:hAnsiTheme="minorHAnsi"/>
        </w:rPr>
      </w:pPr>
      <w:r w:rsidRPr="00650291">
        <w:rPr>
          <w:rFonts w:asciiTheme="minorHAnsi" w:hAnsiTheme="minorHAnsi"/>
        </w:rPr>
        <w:t>By way of example, although the majority of exchanges on principle now offer ‘native user pricing’ (i.e. charging on a ‘per-user basis’ to avoid data users being charged more than once for the same market data use). In practice, it has proven to be very difficult for firms to be accepted onto that pricing structure: it involves a convoluted and uncertain process which requires considerable time, effort and manpower from firms, while at no stage firms have assurance that acceptance will be granted by the trading venue. Typically, trading venues require an audit to be conducted of the firm’s last 3-5 years of market data usage and then additionally venues will apply a three-month acceptance period. Some of our members have experienced the audit process for certain exchanges to take up to 18 months to complete, and one exchange has yet to accept any firms into its native user pricing structure. It should also be noted that some exchanges have introduced premium fees for users who would like to utili</w:t>
      </w:r>
      <w:r>
        <w:rPr>
          <w:rFonts w:asciiTheme="minorHAnsi" w:hAnsiTheme="minorHAnsi"/>
        </w:rPr>
        <w:t>s</w:t>
      </w:r>
      <w:r w:rsidRPr="00F20625">
        <w:rPr>
          <w:rFonts w:asciiTheme="minorHAnsi" w:hAnsiTheme="minorHAnsi"/>
        </w:rPr>
        <w:t>e such</w:t>
      </w:r>
      <w:r w:rsidRPr="00650291">
        <w:rPr>
          <w:rFonts w:asciiTheme="minorHAnsi" w:hAnsiTheme="minorHAnsi"/>
        </w:rPr>
        <w:t xml:space="preserve"> pricing, which FIA EPTA believe contradicts the spirit of MiFID II.</w:t>
      </w:r>
    </w:p>
    <w:permEnd w:id="303380406"/>
    <w:p w14:paraId="76FCDAE5" w14:textId="77777777" w:rsidR="00010773" w:rsidRDefault="00010773" w:rsidP="00010773">
      <w:pPr>
        <w:rPr>
          <w:rFonts w:ascii="Arial" w:hAnsi="Arial" w:cs="Arial"/>
        </w:rPr>
      </w:pPr>
      <w:r>
        <w:rPr>
          <w:rFonts w:ascii="Arial" w:hAnsi="Arial" w:cs="Arial"/>
        </w:rPr>
        <w:t>&lt;ESMA_QUESTION_MDA_4&gt;</w:t>
      </w:r>
    </w:p>
    <w:p w14:paraId="5D667502" w14:textId="77777777" w:rsidR="00010773" w:rsidRDefault="00010773" w:rsidP="00010773">
      <w:pPr>
        <w:rPr>
          <w:rFonts w:ascii="Arial" w:hAnsi="Arial" w:cs="Arial"/>
        </w:rPr>
      </w:pPr>
    </w:p>
    <w:p w14:paraId="3EA3A445" w14:textId="77777777" w:rsidR="00010773" w:rsidRDefault="00010773" w:rsidP="00010773">
      <w:pPr>
        <w:pStyle w:val="Questionstyle"/>
        <w:numPr>
          <w:ilvl w:val="0"/>
          <w:numId w:val="9"/>
        </w:numPr>
        <w:spacing w:after="250" w:line="276" w:lineRule="auto"/>
      </w:pPr>
      <w:r w:rsidRPr="00586F50">
        <w:t xml:space="preserve">: Do you agree </w:t>
      </w:r>
      <w:r>
        <w:t>that trading venues/APAs/SIs comply with the requirement of making available the information with respect to the RCB provisions</w:t>
      </w:r>
      <w:r w:rsidRPr="00586F50">
        <w:t xml:space="preserve">? If not, please explain which information is missing </w:t>
      </w:r>
      <w:r>
        <w:t>in your view and for what type of entity</w:t>
      </w:r>
      <w:r w:rsidRPr="00586F50">
        <w:t>.</w:t>
      </w:r>
    </w:p>
    <w:p w14:paraId="26E1BD0A" w14:textId="77777777" w:rsidR="00010773" w:rsidRDefault="00010773" w:rsidP="00010773">
      <w:pPr>
        <w:rPr>
          <w:rFonts w:ascii="Arial" w:hAnsi="Arial" w:cs="Arial"/>
        </w:rPr>
      </w:pPr>
      <w:r>
        <w:rPr>
          <w:rFonts w:ascii="Arial" w:hAnsi="Arial" w:cs="Arial"/>
        </w:rPr>
        <w:t>&lt;ESMA_QUESTION_MDA_5&gt;</w:t>
      </w:r>
    </w:p>
    <w:p w14:paraId="47EB23CC" w14:textId="50CA07A2" w:rsidR="00BC72C7" w:rsidRPr="00650291" w:rsidRDefault="00ED1D99" w:rsidP="00BC72C7">
      <w:pPr>
        <w:jc w:val="both"/>
        <w:rPr>
          <w:rFonts w:asciiTheme="minorHAnsi" w:hAnsiTheme="minorHAnsi"/>
        </w:rPr>
      </w:pPr>
      <w:permStart w:id="1420844914" w:edGrp="everyone"/>
      <w:r>
        <w:rPr>
          <w:rFonts w:asciiTheme="minorHAnsi" w:hAnsiTheme="minorHAnsi"/>
        </w:rPr>
        <w:t>FIA EPTA</w:t>
      </w:r>
      <w:r w:rsidR="00BC72C7" w:rsidRPr="00650291">
        <w:rPr>
          <w:rFonts w:asciiTheme="minorHAnsi" w:hAnsiTheme="minorHAnsi"/>
        </w:rPr>
        <w:t xml:space="preserve"> agree</w:t>
      </w:r>
      <w:r>
        <w:rPr>
          <w:rFonts w:asciiTheme="minorHAnsi" w:hAnsiTheme="minorHAnsi"/>
        </w:rPr>
        <w:t>s</w:t>
      </w:r>
      <w:r w:rsidR="00BC72C7" w:rsidRPr="00650291">
        <w:rPr>
          <w:rFonts w:asciiTheme="minorHAnsi" w:hAnsiTheme="minorHAnsi"/>
        </w:rPr>
        <w:t xml:space="preserve"> that the current disclosure requirements are not being fully complied with. As ESMA indicates, a significant number of trading venues and APAs are not publishing any of the required information, and others are not providing key data, such as (a) revenues from market data and (b) specific information detailing how the price for market data was established. Additionally, reporting dates and coverage periods vary significantly (from 2016 through to 2018) and we believe would benefit from ESMA guidance to standardise the approach to disclosure. We urge ESMA to recommend that this topic merits enforcement priority by NCAs.</w:t>
      </w:r>
    </w:p>
    <w:p w14:paraId="22C92D97" w14:textId="77777777" w:rsidR="00BC72C7" w:rsidRPr="00650291" w:rsidRDefault="00BC72C7" w:rsidP="00BC72C7">
      <w:pPr>
        <w:jc w:val="both"/>
        <w:rPr>
          <w:rFonts w:asciiTheme="minorHAnsi" w:hAnsiTheme="minorHAnsi"/>
        </w:rPr>
      </w:pPr>
    </w:p>
    <w:p w14:paraId="1AE6C396" w14:textId="77777777" w:rsidR="00BC72C7" w:rsidRPr="00650291" w:rsidRDefault="00BC72C7" w:rsidP="00BC72C7">
      <w:pPr>
        <w:jc w:val="both"/>
        <w:rPr>
          <w:rFonts w:asciiTheme="minorHAnsi" w:hAnsiTheme="minorHAnsi"/>
        </w:rPr>
      </w:pPr>
      <w:r w:rsidRPr="00650291">
        <w:rPr>
          <w:rFonts w:asciiTheme="minorHAnsi" w:hAnsiTheme="minorHAnsi"/>
        </w:rPr>
        <w:t>We also note that the disclosure requirements do not apply to trading venues and APAs that make market data available to the public free of charge. MiFID II requires that certain pre-trade and post-trade data be provided to the public free of charge. Compliance with that requirement should not exempt trading venues and APAs from providing the necessary disclosure to market participants regarding market data that is available for a fee. We urge ESMA to clarify the scope of this exemption such that it is not used to undermine the level of information provided to market participants and to recommend legislative changes to the extent necessary.</w:t>
      </w:r>
    </w:p>
    <w:p w14:paraId="21EA2125" w14:textId="77777777" w:rsidR="00BC72C7" w:rsidRPr="00650291" w:rsidRDefault="00BC72C7" w:rsidP="00BC72C7">
      <w:pPr>
        <w:jc w:val="both"/>
        <w:rPr>
          <w:rFonts w:asciiTheme="minorHAnsi" w:hAnsiTheme="minorHAnsi"/>
        </w:rPr>
      </w:pPr>
    </w:p>
    <w:p w14:paraId="3D1DF788" w14:textId="1B093E8B" w:rsidR="00010773" w:rsidRPr="00BC72C7" w:rsidRDefault="00BC72C7" w:rsidP="00BC72C7">
      <w:pPr>
        <w:jc w:val="both"/>
        <w:rPr>
          <w:rFonts w:asciiTheme="minorHAnsi" w:hAnsiTheme="minorHAnsi"/>
        </w:rPr>
      </w:pPr>
      <w:r w:rsidRPr="00650291">
        <w:rPr>
          <w:rFonts w:asciiTheme="minorHAnsi" w:hAnsiTheme="minorHAnsi"/>
        </w:rPr>
        <w:t xml:space="preserve">Finally, we note that for non-equity derivatives, the current interpretation of the concept “traded on a trading venue” has significantly limited the amount of transparency data </w:t>
      </w:r>
      <w:r w:rsidRPr="00650291">
        <w:rPr>
          <w:rFonts w:asciiTheme="minorHAnsi" w:hAnsiTheme="minorHAnsi"/>
        </w:rPr>
        <w:lastRenderedPageBreak/>
        <w:t>required to be published by SIs. This is because nearly all off-venue derivatives transactions are being considered out-of-scope of the MiFID II transparency regime. Until this is fixed, it is difficult to assess SI compliance with the disclosure requirements.</w:t>
      </w:r>
    </w:p>
    <w:permEnd w:id="1420844914"/>
    <w:p w14:paraId="41AE0083" w14:textId="77777777" w:rsidR="00010773" w:rsidRDefault="00010773" w:rsidP="00010773">
      <w:pPr>
        <w:rPr>
          <w:rFonts w:ascii="Arial" w:hAnsi="Arial" w:cs="Arial"/>
        </w:rPr>
      </w:pPr>
      <w:r>
        <w:rPr>
          <w:rFonts w:ascii="Arial" w:hAnsi="Arial" w:cs="Arial"/>
        </w:rPr>
        <w:t>&lt;ESMA_QUESTION_MDA_5&gt;</w:t>
      </w:r>
    </w:p>
    <w:p w14:paraId="4B566ED7" w14:textId="77777777" w:rsidR="00010773" w:rsidRDefault="00010773" w:rsidP="00010773">
      <w:pPr>
        <w:rPr>
          <w:rFonts w:ascii="Arial" w:hAnsi="Arial" w:cs="Arial"/>
        </w:rPr>
      </w:pPr>
    </w:p>
    <w:p w14:paraId="4DE7125C" w14:textId="77777777" w:rsidR="00010773" w:rsidRDefault="00010773" w:rsidP="00010773">
      <w:pPr>
        <w:pStyle w:val="Questionstyle"/>
        <w:numPr>
          <w:ilvl w:val="0"/>
          <w:numId w:val="9"/>
        </w:numPr>
        <w:spacing w:after="250" w:line="276" w:lineRule="auto"/>
      </w:pPr>
      <w:r>
        <w:t>:</w:t>
      </w:r>
      <w:r w:rsidRPr="00586F50">
        <w:t xml:space="preserve"> Do you share ESMA</w:t>
      </w:r>
      <w:r>
        <w:t>’s</w:t>
      </w:r>
      <w:r w:rsidRPr="00586F50">
        <w:t xml:space="preserve"> assessment on the quality of the RCB information </w:t>
      </w:r>
      <w:r>
        <w:t xml:space="preserve">disclosed </w:t>
      </w:r>
      <w:r w:rsidRPr="00586F50">
        <w:t xml:space="preserve">by </w:t>
      </w:r>
      <w:r>
        <w:t>trading venues</w:t>
      </w:r>
      <w:r w:rsidRPr="00586F50">
        <w:t xml:space="preserve">, APAs and SIs? </w:t>
      </w:r>
      <w:r>
        <w:t>If there are areas in which you disagree with ESMA’s assessment, please explain.</w:t>
      </w:r>
    </w:p>
    <w:p w14:paraId="34B82E9C" w14:textId="77777777" w:rsidR="00010773" w:rsidRDefault="00010773" w:rsidP="00010773">
      <w:pPr>
        <w:rPr>
          <w:rFonts w:ascii="Arial" w:hAnsi="Arial" w:cs="Arial"/>
        </w:rPr>
      </w:pPr>
      <w:r>
        <w:rPr>
          <w:rFonts w:ascii="Arial" w:hAnsi="Arial" w:cs="Arial"/>
        </w:rPr>
        <w:t>&lt;ESMA_QUESTION_MDA_6&gt;</w:t>
      </w:r>
    </w:p>
    <w:p w14:paraId="23E9334E" w14:textId="77777777" w:rsidR="00EF3482" w:rsidRPr="00650291" w:rsidRDefault="00EF3482" w:rsidP="00EF3482">
      <w:pPr>
        <w:jc w:val="both"/>
        <w:rPr>
          <w:rFonts w:asciiTheme="minorHAnsi" w:hAnsiTheme="minorHAnsi"/>
        </w:rPr>
      </w:pPr>
      <w:permStart w:id="1800023565" w:edGrp="everyone"/>
      <w:r w:rsidRPr="00650291">
        <w:rPr>
          <w:rFonts w:asciiTheme="minorHAnsi" w:hAnsiTheme="minorHAnsi"/>
        </w:rPr>
        <w:t xml:space="preserve">FIA EPTA agrees that the lack of a uniform format for disclosures makes it extremely difficult to compare across trading venues and APAs. Greater standardisation by trading venues and APAs would be appreciated in this regard, along with active enforcement to ensure that the required information is indeed disclosed in the appropriate format and manner. </w:t>
      </w:r>
    </w:p>
    <w:p w14:paraId="44620363" w14:textId="77777777" w:rsidR="00EF3482" w:rsidRPr="00650291" w:rsidRDefault="00EF3482" w:rsidP="00EF3482">
      <w:pPr>
        <w:jc w:val="both"/>
        <w:rPr>
          <w:rFonts w:asciiTheme="minorHAnsi" w:hAnsiTheme="minorHAnsi"/>
        </w:rPr>
      </w:pPr>
    </w:p>
    <w:p w14:paraId="7F28D4D0" w14:textId="77777777" w:rsidR="00EF3482" w:rsidRPr="00650291" w:rsidRDefault="00EF3482" w:rsidP="00EF3482">
      <w:pPr>
        <w:jc w:val="both"/>
        <w:rPr>
          <w:rFonts w:asciiTheme="minorHAnsi" w:hAnsiTheme="minorHAnsi"/>
        </w:rPr>
      </w:pPr>
      <w:r w:rsidRPr="00650291">
        <w:rPr>
          <w:rFonts w:asciiTheme="minorHAnsi" w:hAnsiTheme="minorHAnsi"/>
        </w:rPr>
        <w:t xml:space="preserve">In addition, FIA EPTA would highlight the relative lack of granularity and detail provided by trading venues and APAs in their RCB disclosures, particularly when compared to the length, complexity and detail included within the underlying market data policies, agreements and pricing schedules. We note a striking asymmetry, where a relatively high-level RCB disclosure of only a few pages sits alongside over 50 pages of dense legal and technical text for these other documents. </w:t>
      </w:r>
    </w:p>
    <w:permEnd w:id="1800023565"/>
    <w:p w14:paraId="08CAFF84" w14:textId="77777777" w:rsidR="00010773" w:rsidRDefault="00010773" w:rsidP="00010773">
      <w:pPr>
        <w:rPr>
          <w:rFonts w:ascii="Arial" w:hAnsi="Arial" w:cs="Arial"/>
        </w:rPr>
      </w:pPr>
      <w:r>
        <w:rPr>
          <w:rFonts w:ascii="Arial" w:hAnsi="Arial" w:cs="Arial"/>
        </w:rPr>
        <w:t>&lt;ESMA_QUESTION_MDA_6&gt;</w:t>
      </w:r>
    </w:p>
    <w:p w14:paraId="6EB9198E" w14:textId="77777777" w:rsidR="00010773" w:rsidRDefault="00010773" w:rsidP="00010773">
      <w:pPr>
        <w:rPr>
          <w:rFonts w:ascii="Arial" w:hAnsi="Arial" w:cs="Arial"/>
        </w:rPr>
      </w:pPr>
    </w:p>
    <w:p w14:paraId="4E165C0A" w14:textId="77777777" w:rsidR="00010773" w:rsidRDefault="00010773" w:rsidP="00010773">
      <w:pPr>
        <w:pStyle w:val="Questionstyle"/>
        <w:numPr>
          <w:ilvl w:val="0"/>
          <w:numId w:val="9"/>
        </w:numPr>
        <w:spacing w:after="250" w:line="276" w:lineRule="auto"/>
      </w:pPr>
      <w:r>
        <w:t>:</w:t>
      </w:r>
      <w:r w:rsidRPr="00586F50">
        <w:t xml:space="preserve"> </w:t>
      </w:r>
      <w:r>
        <w:t xml:space="preserve">Do you agree that the usability and comparability of the RCB information disclosed could be improved by issuing supervisory guidance? If yes, please specify in which areas you would consider further guidance most useful, including </w:t>
      </w:r>
      <w:r w:rsidRPr="00586F50">
        <w:t>possible solutions to</w:t>
      </w:r>
      <w:r>
        <w:t xml:space="preserve"> improve the</w:t>
      </w:r>
      <w:r w:rsidRPr="00586F50">
        <w:t xml:space="preserve"> </w:t>
      </w:r>
      <w:r>
        <w:t>usability and comparability</w:t>
      </w:r>
      <w:r w:rsidRPr="00586F50">
        <w:t xml:space="preserve"> of the information.</w:t>
      </w:r>
    </w:p>
    <w:p w14:paraId="4AD5C46C" w14:textId="77777777" w:rsidR="00010773" w:rsidRDefault="00010773" w:rsidP="00010773">
      <w:pPr>
        <w:rPr>
          <w:rFonts w:ascii="Arial" w:hAnsi="Arial" w:cs="Arial"/>
        </w:rPr>
      </w:pPr>
      <w:r>
        <w:rPr>
          <w:rFonts w:ascii="Arial" w:hAnsi="Arial" w:cs="Arial"/>
        </w:rPr>
        <w:t>&lt;ESMA_QUESTION_MDA_7&gt;</w:t>
      </w:r>
    </w:p>
    <w:p w14:paraId="05DD4671" w14:textId="7ACC3818" w:rsidR="00010773" w:rsidRPr="001A6B53" w:rsidRDefault="001A6B53" w:rsidP="001A6B53">
      <w:pPr>
        <w:jc w:val="both"/>
        <w:rPr>
          <w:rFonts w:asciiTheme="minorHAnsi" w:hAnsiTheme="minorHAnsi"/>
        </w:rPr>
      </w:pPr>
      <w:permStart w:id="322978443" w:edGrp="everyone"/>
      <w:r w:rsidRPr="00650291">
        <w:rPr>
          <w:rFonts w:asciiTheme="minorHAnsi" w:hAnsiTheme="minorHAnsi"/>
        </w:rPr>
        <w:t>FIA EPTA broadly agrees with ESMA’s assessment. Increased transparency into how the price of market data is set and standardisation of terminology are needed. We encourage ESMA to issue supervisory guidance and to clarify the standardised, quantifiable metrics that trading venues should provide. FIA EPTA members suggest that ESMA consider whether a prescribed standardised template would aid the usefulness and comparability of this data. If ESMA does decide to adopt this approach, we would encourage ESMA to seek input from both trading venues and APAs as well as from end users of market data to ensure any such template is practical and does not create an unnecessary administrative burden that would offset the benefit.</w:t>
      </w:r>
    </w:p>
    <w:permEnd w:id="322978443"/>
    <w:p w14:paraId="14E42369" w14:textId="77777777" w:rsidR="00010773" w:rsidRDefault="00010773" w:rsidP="00010773">
      <w:pPr>
        <w:rPr>
          <w:rFonts w:ascii="Arial" w:hAnsi="Arial" w:cs="Arial"/>
        </w:rPr>
      </w:pPr>
      <w:r>
        <w:rPr>
          <w:rFonts w:ascii="Arial" w:hAnsi="Arial" w:cs="Arial"/>
        </w:rPr>
        <w:t>&lt;ESMA_QUESTION_MDA_7&gt;</w:t>
      </w:r>
    </w:p>
    <w:p w14:paraId="0F2F3C21" w14:textId="77777777" w:rsidR="00010773" w:rsidRDefault="00010773" w:rsidP="00010773">
      <w:pPr>
        <w:rPr>
          <w:rFonts w:ascii="Arial" w:hAnsi="Arial" w:cs="Arial"/>
        </w:rPr>
      </w:pPr>
    </w:p>
    <w:p w14:paraId="22226E52" w14:textId="77777777" w:rsidR="00010773" w:rsidRPr="000553CD" w:rsidRDefault="00010773" w:rsidP="00010773">
      <w:pPr>
        <w:pStyle w:val="Questionstyle"/>
        <w:numPr>
          <w:ilvl w:val="0"/>
          <w:numId w:val="9"/>
        </w:numPr>
        <w:spacing w:after="250" w:line="276" w:lineRule="auto"/>
      </w:pPr>
      <w:r>
        <w:t>:</w:t>
      </w:r>
      <w:r w:rsidRPr="00BA763D">
        <w:t xml:space="preserve"> Do you think that the</w:t>
      </w:r>
      <w:r>
        <w:t xml:space="preserve"> current </w:t>
      </w:r>
      <w:r w:rsidRPr="00BA763D">
        <w:t xml:space="preserve">RCB approach </w:t>
      </w:r>
      <w:r>
        <w:t>(transparency plus) can deliver on the objective to reduce the price of market data or should it be re</w:t>
      </w:r>
      <w:r w:rsidRPr="00BA763D">
        <w:t>placed by an alternative approach</w:t>
      </w:r>
      <w:r>
        <w:t xml:space="preserve"> such as a revenue cap or LRIC+ model</w:t>
      </w:r>
      <w:r w:rsidRPr="00BA763D">
        <w:t>? Please justify your position</w:t>
      </w:r>
      <w:r>
        <w:t xml:space="preserve"> and provide examples of possible alternatives.</w:t>
      </w:r>
    </w:p>
    <w:p w14:paraId="1DEEF956" w14:textId="77777777" w:rsidR="00010773" w:rsidRDefault="00010773" w:rsidP="00010773">
      <w:pPr>
        <w:rPr>
          <w:rFonts w:ascii="Arial" w:hAnsi="Arial" w:cs="Arial"/>
        </w:rPr>
      </w:pPr>
      <w:r>
        <w:rPr>
          <w:rFonts w:ascii="Arial" w:hAnsi="Arial" w:cs="Arial"/>
        </w:rPr>
        <w:t>&lt;ESMA_QUESTION_MDA_8&gt;</w:t>
      </w:r>
    </w:p>
    <w:p w14:paraId="73E01EE6" w14:textId="6155D869" w:rsidR="00010773" w:rsidRPr="006C345E" w:rsidRDefault="00260F39" w:rsidP="006C345E">
      <w:pPr>
        <w:jc w:val="both"/>
        <w:rPr>
          <w:rFonts w:asciiTheme="minorHAnsi" w:hAnsiTheme="minorHAnsi"/>
        </w:rPr>
      </w:pPr>
      <w:permStart w:id="1461596204" w:edGrp="everyone"/>
      <w:r w:rsidRPr="00650291">
        <w:rPr>
          <w:rFonts w:asciiTheme="minorHAnsi" w:hAnsiTheme="minorHAnsi"/>
        </w:rPr>
        <w:t xml:space="preserve">FIA EPTA members believe that transparency into market data costs is lacking. However, while this may be the case FIA EPTA members agree that it is too early to </w:t>
      </w:r>
      <w:r w:rsidRPr="00650291">
        <w:rPr>
          <w:rFonts w:asciiTheme="minorHAnsi" w:hAnsiTheme="minorHAnsi"/>
        </w:rPr>
        <w:lastRenderedPageBreak/>
        <w:t xml:space="preserve">consider alternative approaches, and that the current RCB approach, in conjunction with further supervisory guidance and more visible enforcement activity, should be given additional time to evolve. </w:t>
      </w:r>
    </w:p>
    <w:permEnd w:id="1461596204"/>
    <w:p w14:paraId="780E4268" w14:textId="77777777" w:rsidR="00010773" w:rsidRDefault="00010773" w:rsidP="00010773">
      <w:pPr>
        <w:rPr>
          <w:rFonts w:ascii="Arial" w:hAnsi="Arial" w:cs="Arial"/>
        </w:rPr>
      </w:pPr>
      <w:r>
        <w:rPr>
          <w:rFonts w:ascii="Arial" w:hAnsi="Arial" w:cs="Arial"/>
        </w:rPr>
        <w:t>&lt;ESMA_QUESTION_MDA_8&gt;</w:t>
      </w:r>
    </w:p>
    <w:p w14:paraId="56167C80" w14:textId="77777777" w:rsidR="00010773" w:rsidRDefault="00010773" w:rsidP="00010773">
      <w:pPr>
        <w:rPr>
          <w:rFonts w:ascii="Arial" w:hAnsi="Arial" w:cs="Arial"/>
        </w:rPr>
      </w:pPr>
    </w:p>
    <w:p w14:paraId="37B329EB" w14:textId="77777777" w:rsidR="00010773" w:rsidRDefault="00010773" w:rsidP="00010773">
      <w:pPr>
        <w:pStyle w:val="Questionstyle"/>
        <w:numPr>
          <w:ilvl w:val="0"/>
          <w:numId w:val="9"/>
        </w:numPr>
        <w:spacing w:after="250" w:line="276" w:lineRule="auto"/>
      </w:pPr>
      <w:r>
        <w:t>: Do you consider that a revenue cap model as presented above might be a feasible approach to reduce the cost of market data? Which elements would be key for successfully implementing such a model?</w:t>
      </w:r>
    </w:p>
    <w:p w14:paraId="6F5BFA07" w14:textId="77777777" w:rsidR="00010773" w:rsidRDefault="00010773" w:rsidP="00010773">
      <w:pPr>
        <w:rPr>
          <w:rFonts w:ascii="Arial" w:hAnsi="Arial" w:cs="Arial"/>
        </w:rPr>
      </w:pPr>
      <w:r>
        <w:rPr>
          <w:rFonts w:ascii="Arial" w:hAnsi="Arial" w:cs="Arial"/>
        </w:rPr>
        <w:t>&lt;ESMA_QUESTION_MDA_9&gt;</w:t>
      </w:r>
    </w:p>
    <w:p w14:paraId="0F3CB0E1" w14:textId="77777777" w:rsidR="006C345E" w:rsidRPr="00650291" w:rsidRDefault="006C345E" w:rsidP="006C345E">
      <w:pPr>
        <w:jc w:val="both"/>
        <w:rPr>
          <w:rFonts w:asciiTheme="minorHAnsi" w:hAnsiTheme="minorHAnsi"/>
        </w:rPr>
      </w:pPr>
      <w:permStart w:id="1428574078" w:edGrp="everyone"/>
      <w:r w:rsidRPr="00650291">
        <w:rPr>
          <w:rFonts w:asciiTheme="minorHAnsi" w:hAnsiTheme="minorHAnsi"/>
        </w:rPr>
        <w:t>FIA EPTA believes that the near-term goal should be to achieve a significant improvement in cost transparency. Once there is clarity on cost, then an appropriate model can be chosen. In respect of a revenue cap specifically, FIA EPTA members believe that without improvements to transparency on the current costs and margins on market data, it would be extremely difficult to calibrate a revenue cap model. In addition, such a model may lead to unintended consequences such as pressure from shareholders on venues and vendors who are operating below the cap to increase revenues up to the capped level, resulting in an overall increase in fees. In addition, venues or vendors may look to increase their margins on unregulated revenue streams elsewhere in their business to offset the loss of revenue on market data potentially resulting in higher overall costs for end-users.</w:t>
      </w:r>
    </w:p>
    <w:p w14:paraId="265A6ABA" w14:textId="77777777" w:rsidR="006C345E" w:rsidRPr="00650291" w:rsidRDefault="006C345E" w:rsidP="006C345E">
      <w:pPr>
        <w:jc w:val="both"/>
        <w:rPr>
          <w:rFonts w:asciiTheme="minorHAnsi" w:hAnsiTheme="minorHAnsi"/>
        </w:rPr>
      </w:pPr>
    </w:p>
    <w:p w14:paraId="3693E0B2" w14:textId="00636A7C" w:rsidR="00010773" w:rsidRPr="006C345E" w:rsidRDefault="006C345E" w:rsidP="006C345E">
      <w:pPr>
        <w:jc w:val="both"/>
        <w:rPr>
          <w:rFonts w:asciiTheme="minorHAnsi" w:hAnsiTheme="minorHAnsi"/>
        </w:rPr>
      </w:pPr>
      <w:r w:rsidRPr="00650291">
        <w:rPr>
          <w:rFonts w:asciiTheme="minorHAnsi" w:hAnsiTheme="minorHAnsi"/>
        </w:rPr>
        <w:t>FIA EPTA believes that most exchanges try to find a balance between fees for trading and market data. However, demand for market data is relatively static, whereas as firms seek best execution, they have more flexibility in where to trade. Therefore, high market data fees ultimately act as a tax on efficiency.</w:t>
      </w:r>
    </w:p>
    <w:permEnd w:id="1428574078"/>
    <w:p w14:paraId="621FD3C5" w14:textId="77777777" w:rsidR="00010773" w:rsidRDefault="00010773" w:rsidP="00010773">
      <w:pPr>
        <w:rPr>
          <w:rFonts w:ascii="Arial" w:hAnsi="Arial" w:cs="Arial"/>
        </w:rPr>
      </w:pPr>
      <w:r>
        <w:rPr>
          <w:rFonts w:ascii="Arial" w:hAnsi="Arial" w:cs="Arial"/>
        </w:rPr>
        <w:t>&lt;ESMA_QUESTION_MDA_9&gt;</w:t>
      </w:r>
    </w:p>
    <w:p w14:paraId="7A0C14DD" w14:textId="77777777" w:rsidR="00010773" w:rsidRDefault="00010773" w:rsidP="00010773">
      <w:pPr>
        <w:rPr>
          <w:rFonts w:ascii="Arial" w:hAnsi="Arial" w:cs="Arial"/>
        </w:rPr>
      </w:pPr>
    </w:p>
    <w:p w14:paraId="3C895C7E" w14:textId="77777777" w:rsidR="00010773" w:rsidRDefault="00010773" w:rsidP="00010773">
      <w:pPr>
        <w:pStyle w:val="Questionstyle"/>
        <w:numPr>
          <w:ilvl w:val="0"/>
          <w:numId w:val="9"/>
        </w:numPr>
        <w:spacing w:after="250" w:line="276" w:lineRule="auto"/>
      </w:pPr>
      <w:r>
        <w:t xml:space="preserve">: Did data disaggregation result in lower costs for market data for data users? If not, please explain why? </w:t>
      </w:r>
    </w:p>
    <w:p w14:paraId="7CAE3180" w14:textId="77777777" w:rsidR="00010773" w:rsidRDefault="00010773" w:rsidP="00010773">
      <w:pPr>
        <w:rPr>
          <w:rFonts w:ascii="Arial" w:hAnsi="Arial" w:cs="Arial"/>
        </w:rPr>
      </w:pPr>
      <w:r>
        <w:rPr>
          <w:rFonts w:ascii="Arial" w:hAnsi="Arial" w:cs="Arial"/>
        </w:rPr>
        <w:t>&lt;ESMA_QUESTION_MDA_10&gt;</w:t>
      </w:r>
    </w:p>
    <w:p w14:paraId="300F2E6F" w14:textId="77777777" w:rsidR="00DD7931" w:rsidRPr="00650291" w:rsidRDefault="00DD7931" w:rsidP="00DD7931">
      <w:pPr>
        <w:jc w:val="both"/>
        <w:rPr>
          <w:rFonts w:asciiTheme="minorHAnsi" w:hAnsiTheme="minorHAnsi"/>
        </w:rPr>
      </w:pPr>
      <w:permStart w:id="1559906194" w:edGrp="everyone"/>
      <w:r w:rsidRPr="00650291">
        <w:rPr>
          <w:rFonts w:asciiTheme="minorHAnsi" w:hAnsiTheme="minorHAnsi"/>
        </w:rPr>
        <w:t xml:space="preserve">FIA EPTA has not seen data disaggregation result in lower market data costs for its data users. However, we would note that the trading profile of most FIA EPTA members is such that they are often subscribing to very broad sets of products on each trading venue; therefore, members did not expect to see material benefits arising from data disaggregation. </w:t>
      </w:r>
    </w:p>
    <w:p w14:paraId="517515FD" w14:textId="77777777" w:rsidR="00DD7931" w:rsidRPr="00650291" w:rsidRDefault="00DD7931" w:rsidP="00DD7931">
      <w:pPr>
        <w:jc w:val="both"/>
        <w:rPr>
          <w:rFonts w:asciiTheme="minorHAnsi" w:hAnsiTheme="minorHAnsi"/>
        </w:rPr>
      </w:pPr>
    </w:p>
    <w:p w14:paraId="41ADF2A3" w14:textId="073B47CD" w:rsidR="00010773" w:rsidRPr="00DD7931" w:rsidRDefault="00DD7931" w:rsidP="00DD7931">
      <w:pPr>
        <w:jc w:val="both"/>
        <w:rPr>
          <w:rFonts w:asciiTheme="minorHAnsi" w:hAnsiTheme="minorHAnsi"/>
        </w:rPr>
      </w:pPr>
      <w:r w:rsidRPr="00650291">
        <w:rPr>
          <w:rFonts w:asciiTheme="minorHAnsi" w:hAnsiTheme="minorHAnsi"/>
        </w:rPr>
        <w:t>FIA EPTA members would like to highlight their support for aggregated products covering more than one asset class or multiple trading venues within an exchange group. These are often the most cost effective way for larger users to access market data on certain venues. We have observed one instance of an aggregate product being removed from a primary market’s pricing schedule in 2019, forcing users to instead subscribe to two disaggregated products at a higher overall cost. We would encourage regulators and policy makers to continue to support these aggregated packages while at the same time ensuring that smaller users with more tailored market data needs are well served through appropriately priced disaggregated products.</w:t>
      </w:r>
    </w:p>
    <w:permEnd w:id="1559906194"/>
    <w:p w14:paraId="494229DC" w14:textId="77777777" w:rsidR="00010773" w:rsidRDefault="00010773" w:rsidP="00010773">
      <w:pPr>
        <w:rPr>
          <w:rFonts w:ascii="Arial" w:hAnsi="Arial" w:cs="Arial"/>
        </w:rPr>
      </w:pPr>
      <w:r>
        <w:rPr>
          <w:rFonts w:ascii="Arial" w:hAnsi="Arial" w:cs="Arial"/>
        </w:rPr>
        <w:t>&lt;ESMA_QUESTION_MDA_10&gt;</w:t>
      </w:r>
    </w:p>
    <w:p w14:paraId="0A4CC42D" w14:textId="77777777" w:rsidR="00010773" w:rsidRDefault="00010773" w:rsidP="00010773">
      <w:pPr>
        <w:rPr>
          <w:rFonts w:ascii="Arial" w:hAnsi="Arial" w:cs="Arial"/>
        </w:rPr>
      </w:pPr>
    </w:p>
    <w:p w14:paraId="3E0EB15D" w14:textId="77777777" w:rsidR="00010773" w:rsidRDefault="00010773" w:rsidP="00010773">
      <w:pPr>
        <w:pStyle w:val="Questionstyle"/>
        <w:numPr>
          <w:ilvl w:val="0"/>
          <w:numId w:val="9"/>
        </w:numPr>
        <w:spacing w:after="250" w:line="276" w:lineRule="auto"/>
      </w:pPr>
      <w:r>
        <w:lastRenderedPageBreak/>
        <w:t xml:space="preserve">: Why has there been only little demand in disaggregated data? </w:t>
      </w:r>
    </w:p>
    <w:p w14:paraId="54B70D68" w14:textId="77777777" w:rsidR="00010773" w:rsidRDefault="00010773" w:rsidP="00010773">
      <w:pPr>
        <w:rPr>
          <w:rFonts w:ascii="Arial" w:hAnsi="Arial" w:cs="Arial"/>
        </w:rPr>
      </w:pPr>
      <w:r>
        <w:rPr>
          <w:rFonts w:ascii="Arial" w:hAnsi="Arial" w:cs="Arial"/>
        </w:rPr>
        <w:t>&lt;ESMA_QUESTION_MDA_11&gt;</w:t>
      </w:r>
    </w:p>
    <w:p w14:paraId="0D8A39B5" w14:textId="34A14BF2" w:rsidR="00010773" w:rsidRDefault="003F0157" w:rsidP="00010773">
      <w:pPr>
        <w:rPr>
          <w:rFonts w:ascii="Arial" w:hAnsi="Arial" w:cs="Arial"/>
        </w:rPr>
      </w:pPr>
      <w:permStart w:id="922756409" w:edGrp="everyone"/>
      <w:r w:rsidRPr="00650291">
        <w:rPr>
          <w:rFonts w:asciiTheme="minorHAnsi" w:hAnsiTheme="minorHAnsi"/>
        </w:rPr>
        <w:t>As indicated above, this is not an area in which FIA EPTA members expected to see benefits following the implementation of MiFID II. As such, we cannot provide meaningful feedback on this point.</w:t>
      </w:r>
    </w:p>
    <w:permEnd w:id="922756409"/>
    <w:p w14:paraId="0AD48FF3" w14:textId="77777777" w:rsidR="00010773" w:rsidRDefault="00010773" w:rsidP="00010773">
      <w:pPr>
        <w:rPr>
          <w:rFonts w:ascii="Arial" w:hAnsi="Arial" w:cs="Arial"/>
        </w:rPr>
      </w:pPr>
      <w:r>
        <w:rPr>
          <w:rFonts w:ascii="Arial" w:hAnsi="Arial" w:cs="Arial"/>
        </w:rPr>
        <w:t>&lt;ESMA_QUESTION_MDA_11&gt;</w:t>
      </w:r>
    </w:p>
    <w:p w14:paraId="17A323CA" w14:textId="77777777" w:rsidR="00010773" w:rsidRDefault="00010773" w:rsidP="00010773">
      <w:pPr>
        <w:rPr>
          <w:rFonts w:ascii="Arial" w:hAnsi="Arial" w:cs="Arial"/>
        </w:rPr>
      </w:pPr>
    </w:p>
    <w:p w14:paraId="68A0ACEF" w14:textId="77777777" w:rsidR="00010773" w:rsidRDefault="00010773" w:rsidP="00010773">
      <w:pPr>
        <w:pStyle w:val="Questionstyle"/>
        <w:numPr>
          <w:ilvl w:val="0"/>
          <w:numId w:val="9"/>
        </w:numPr>
        <w:spacing w:after="250" w:line="276" w:lineRule="auto"/>
      </w:pPr>
      <w:r w:rsidRPr="002565E7">
        <w:t xml:space="preserve">: </w:t>
      </w:r>
      <w:r>
        <w:t>Do trading venues and APAs comply with the requirement to make available data free of charge 15 minutes after publication? If not, please explain in which areas you have identified deficiencies</w:t>
      </w:r>
    </w:p>
    <w:p w14:paraId="771741A2" w14:textId="77777777" w:rsidR="00010773" w:rsidRDefault="00010773" w:rsidP="00010773">
      <w:pPr>
        <w:rPr>
          <w:rFonts w:ascii="Arial" w:hAnsi="Arial" w:cs="Arial"/>
        </w:rPr>
      </w:pPr>
      <w:r>
        <w:rPr>
          <w:rFonts w:ascii="Arial" w:hAnsi="Arial" w:cs="Arial"/>
        </w:rPr>
        <w:t>&lt;ESMA_QUESTION_MDA_12&gt;</w:t>
      </w:r>
    </w:p>
    <w:p w14:paraId="55F6C114" w14:textId="77777777" w:rsidR="00DC3018" w:rsidRPr="00650291" w:rsidRDefault="00DC3018" w:rsidP="00DC3018">
      <w:pPr>
        <w:jc w:val="both"/>
        <w:rPr>
          <w:rFonts w:asciiTheme="minorHAnsi" w:hAnsiTheme="minorHAnsi"/>
        </w:rPr>
      </w:pPr>
      <w:permStart w:id="959788813" w:edGrp="everyone"/>
      <w:r w:rsidRPr="00650291">
        <w:rPr>
          <w:rFonts w:asciiTheme="minorHAnsi" w:hAnsiTheme="minorHAnsi"/>
        </w:rPr>
        <w:t xml:space="preserve">No, many trading venues and APAs are still not complying with the requirement to make transparency data available free of charge 15 minutes after publication. FIA EPTA members believe this is particularly problematic in the case of non-equities products, where we find that the lack of transparency information and the difficulty in accessing which information is available hurts competition and acts as a barrier for entry to new participants in these markets. </w:t>
      </w:r>
    </w:p>
    <w:p w14:paraId="7659FF51" w14:textId="77777777" w:rsidR="00DC3018" w:rsidRPr="00650291" w:rsidRDefault="00DC3018" w:rsidP="00DC3018">
      <w:pPr>
        <w:jc w:val="both"/>
        <w:rPr>
          <w:rFonts w:asciiTheme="minorHAnsi" w:hAnsiTheme="minorHAnsi"/>
        </w:rPr>
      </w:pPr>
    </w:p>
    <w:p w14:paraId="75A4CB92" w14:textId="77777777" w:rsidR="00DC3018" w:rsidRPr="00650291" w:rsidRDefault="00DC3018" w:rsidP="00DC3018">
      <w:pPr>
        <w:jc w:val="both"/>
        <w:rPr>
          <w:rFonts w:asciiTheme="minorHAnsi" w:hAnsiTheme="minorHAnsi"/>
        </w:rPr>
      </w:pPr>
      <w:r w:rsidRPr="00650291">
        <w:rPr>
          <w:rFonts w:asciiTheme="minorHAnsi" w:hAnsiTheme="minorHAnsi"/>
        </w:rPr>
        <w:t>In particular:</w:t>
      </w:r>
    </w:p>
    <w:p w14:paraId="4E2297B3" w14:textId="77777777" w:rsidR="00DC3018" w:rsidRPr="00ED1D99" w:rsidRDefault="00DC3018" w:rsidP="00D620F7">
      <w:pPr>
        <w:pStyle w:val="ListParagraph"/>
        <w:numPr>
          <w:ilvl w:val="0"/>
          <w:numId w:val="20"/>
        </w:numPr>
        <w:rPr>
          <w:sz w:val="24"/>
          <w:szCs w:val="24"/>
        </w:rPr>
      </w:pPr>
      <w:r w:rsidRPr="00ED1D99">
        <w:rPr>
          <w:sz w:val="24"/>
          <w:szCs w:val="24"/>
        </w:rPr>
        <w:t>Certain trading venues and APAs still do not provide any data free of charge.</w:t>
      </w:r>
    </w:p>
    <w:p w14:paraId="20228B04" w14:textId="77777777" w:rsidR="00DC3018" w:rsidRPr="00ED1D99" w:rsidRDefault="00DC3018" w:rsidP="00ED1D99">
      <w:pPr>
        <w:pStyle w:val="ListParagraph"/>
        <w:numPr>
          <w:ilvl w:val="0"/>
          <w:numId w:val="0"/>
        </w:numPr>
        <w:rPr>
          <w:sz w:val="24"/>
          <w:szCs w:val="24"/>
        </w:rPr>
      </w:pPr>
    </w:p>
    <w:p w14:paraId="683BDBE3" w14:textId="77777777" w:rsidR="00DC3018" w:rsidRPr="00ED1D99" w:rsidRDefault="00DC3018" w:rsidP="00D620F7">
      <w:pPr>
        <w:pStyle w:val="ListParagraph"/>
        <w:numPr>
          <w:ilvl w:val="0"/>
          <w:numId w:val="20"/>
        </w:numPr>
        <w:rPr>
          <w:sz w:val="24"/>
          <w:szCs w:val="24"/>
        </w:rPr>
      </w:pPr>
      <w:r w:rsidRPr="00ED1D99">
        <w:rPr>
          <w:sz w:val="24"/>
          <w:szCs w:val="24"/>
        </w:rPr>
        <w:t>Certain trading venues and APAs are not publishing data free of charge in a format that can be easily read, used and copied and that is machine-readable. For example, one APA, widely used for fixed income and derivative trades continues to publish pre-trade data as an image file that cannot be copied and now publishes post-trade data in 2-minute slice files that are not machine-readable. As a result, users have to manually open each 2-minute slice file in order to access the published data. This directly conflicts with the ESMA supervisory guidance, which states that “Trading venues, APAs and CTPs should publish information in an electronic format that can be directly and automatically read by a computer, and that can be accessed, read, used and copied by any potential user through computer software that is free of charge and publicly available.”</w:t>
      </w:r>
      <w:r w:rsidRPr="00ED1D99">
        <w:rPr>
          <w:rStyle w:val="FootnoteReference"/>
          <w:sz w:val="24"/>
          <w:szCs w:val="24"/>
        </w:rPr>
        <w:footnoteReference w:id="3"/>
      </w:r>
      <w:r w:rsidRPr="00ED1D99">
        <w:rPr>
          <w:sz w:val="24"/>
          <w:szCs w:val="24"/>
        </w:rPr>
        <w:t xml:space="preserve"> Other examples include ‘publishing’ data by flashing it for a very short period of time on a website, or printing data every couple of minutes and deleting it subsequently after a period of time, in both cases only to be captured and used by taking screen grabs or automated crawlers, and subsequently piecing the data together, thus severely limiting usability of the data by firms. Almost all APA offer usable, machine-readable data, for a significant fee. </w:t>
      </w:r>
    </w:p>
    <w:p w14:paraId="5B6F7F96" w14:textId="77777777" w:rsidR="00DC3018" w:rsidRPr="00ED1D99" w:rsidRDefault="00DC3018" w:rsidP="00ED1D99">
      <w:pPr>
        <w:pStyle w:val="ListParagraph"/>
        <w:numPr>
          <w:ilvl w:val="0"/>
          <w:numId w:val="0"/>
        </w:numPr>
        <w:rPr>
          <w:sz w:val="24"/>
          <w:szCs w:val="24"/>
        </w:rPr>
      </w:pPr>
    </w:p>
    <w:p w14:paraId="5F7E7B73" w14:textId="77777777" w:rsidR="00DC3018" w:rsidRPr="00ED1D99" w:rsidRDefault="00DC3018" w:rsidP="00D620F7">
      <w:pPr>
        <w:pStyle w:val="ListParagraph"/>
        <w:numPr>
          <w:ilvl w:val="0"/>
          <w:numId w:val="20"/>
        </w:numPr>
        <w:rPr>
          <w:sz w:val="24"/>
          <w:szCs w:val="24"/>
        </w:rPr>
      </w:pPr>
      <w:r w:rsidRPr="00ED1D99">
        <w:rPr>
          <w:sz w:val="24"/>
          <w:szCs w:val="24"/>
        </w:rPr>
        <w:t xml:space="preserve">Certain trading venues and APAs prohibit (through terms of use) any copying or redistribution of the data provided free of charge, even if these </w:t>
      </w:r>
      <w:r w:rsidRPr="00ED1D99">
        <w:rPr>
          <w:sz w:val="24"/>
          <w:szCs w:val="24"/>
        </w:rPr>
        <w:lastRenderedPageBreak/>
        <w:t>redistributors/third parties are providing services free of charge. This directly conflicts with the ESMA supervisory guidance, which states that “Trading venues, APAs and CTPs may not impose redistribution fees or other similar restrictions on redistributors/third parties making available data free of charge 15 minutes after the initial publication.”</w:t>
      </w:r>
      <w:r w:rsidRPr="00ED1D99">
        <w:rPr>
          <w:rStyle w:val="FootnoteReference"/>
          <w:sz w:val="24"/>
          <w:szCs w:val="24"/>
        </w:rPr>
        <w:footnoteReference w:id="4"/>
      </w:r>
    </w:p>
    <w:p w14:paraId="1252E271" w14:textId="77777777" w:rsidR="00DC3018" w:rsidRPr="00ED1D99" w:rsidRDefault="00DC3018" w:rsidP="00ED1D99">
      <w:pPr>
        <w:pStyle w:val="ListParagraph"/>
        <w:numPr>
          <w:ilvl w:val="0"/>
          <w:numId w:val="0"/>
        </w:numPr>
        <w:rPr>
          <w:sz w:val="24"/>
          <w:szCs w:val="24"/>
        </w:rPr>
      </w:pPr>
    </w:p>
    <w:p w14:paraId="523DEADF" w14:textId="7CAB7E1C" w:rsidR="00010773" w:rsidRPr="00ED1D99" w:rsidRDefault="00DC3018" w:rsidP="00D620F7">
      <w:pPr>
        <w:pStyle w:val="ListParagraph"/>
        <w:numPr>
          <w:ilvl w:val="0"/>
          <w:numId w:val="20"/>
        </w:numPr>
        <w:rPr>
          <w:sz w:val="24"/>
          <w:szCs w:val="24"/>
        </w:rPr>
      </w:pPr>
      <w:r w:rsidRPr="00ED1D99">
        <w:rPr>
          <w:sz w:val="24"/>
          <w:szCs w:val="24"/>
        </w:rPr>
        <w:t xml:space="preserve">Certain trading venues and APAs continue to provide “premium” access to market data for a fee where data is published in a different and more user-friendly format. This directly conflicts with the ESMA supervisory guidance, which states that “the data made available free of charge </w:t>
      </w:r>
      <w:r w:rsidRPr="00ED1D99">
        <w:rPr>
          <w:i/>
          <w:sz w:val="24"/>
          <w:szCs w:val="24"/>
        </w:rPr>
        <w:t>should be published in a similar format as real-time data published on a reasonable commercial basis</w:t>
      </w:r>
      <w:r w:rsidRPr="00ED1D99">
        <w:rPr>
          <w:sz w:val="24"/>
          <w:szCs w:val="24"/>
        </w:rPr>
        <w:t>.”</w:t>
      </w:r>
      <w:r w:rsidRPr="00ED1D99">
        <w:rPr>
          <w:rStyle w:val="FootnoteReference"/>
          <w:sz w:val="24"/>
          <w:szCs w:val="24"/>
        </w:rPr>
        <w:footnoteReference w:id="5"/>
      </w:r>
    </w:p>
    <w:permEnd w:id="959788813"/>
    <w:p w14:paraId="2C685324" w14:textId="77777777" w:rsidR="00010773" w:rsidRDefault="00010773" w:rsidP="00010773">
      <w:pPr>
        <w:rPr>
          <w:rFonts w:ascii="Arial" w:hAnsi="Arial" w:cs="Arial"/>
        </w:rPr>
      </w:pPr>
      <w:r>
        <w:rPr>
          <w:rFonts w:ascii="Arial" w:hAnsi="Arial" w:cs="Arial"/>
        </w:rPr>
        <w:t>&lt;ESMA_QUESTION_MDA_12&gt;</w:t>
      </w:r>
    </w:p>
    <w:p w14:paraId="394A55A9" w14:textId="77777777" w:rsidR="00010773" w:rsidRDefault="00010773" w:rsidP="00010773">
      <w:pPr>
        <w:rPr>
          <w:rFonts w:ascii="Arial" w:hAnsi="Arial" w:cs="Arial"/>
        </w:rPr>
      </w:pPr>
    </w:p>
    <w:p w14:paraId="73C4F61B" w14:textId="77777777" w:rsidR="00010773" w:rsidRDefault="00010773" w:rsidP="00010773">
      <w:pPr>
        <w:pStyle w:val="Questionstyle"/>
        <w:numPr>
          <w:ilvl w:val="0"/>
          <w:numId w:val="9"/>
        </w:numPr>
        <w:spacing w:after="250" w:line="276" w:lineRule="auto"/>
      </w:pPr>
      <w:r>
        <w:t xml:space="preserve">: </w:t>
      </w:r>
      <w:r w:rsidRPr="002565E7">
        <w:t xml:space="preserve">Do you </w:t>
      </w:r>
      <w:r>
        <w:t xml:space="preserve">consider it necessary to provide further supervisory guidance in this area (for instance by reviewing Q&amp;As 9 and/or 10) Please justify your position and explain in which area further guidance may be needed? </w:t>
      </w:r>
      <w:r w:rsidRPr="002565E7">
        <w:t>Please differentiat</w:t>
      </w:r>
      <w:r>
        <w:t>e</w:t>
      </w:r>
      <w:r w:rsidRPr="002565E7">
        <w:t xml:space="preserve"> between pre- and post-trade data. </w:t>
      </w:r>
    </w:p>
    <w:p w14:paraId="66224F1C" w14:textId="77777777" w:rsidR="00010773" w:rsidRDefault="00010773" w:rsidP="00010773">
      <w:pPr>
        <w:rPr>
          <w:rFonts w:ascii="Arial" w:hAnsi="Arial" w:cs="Arial"/>
        </w:rPr>
      </w:pPr>
      <w:r>
        <w:rPr>
          <w:rFonts w:ascii="Arial" w:hAnsi="Arial" w:cs="Arial"/>
        </w:rPr>
        <w:t>&lt;ESMA_QUESTION_MDA_13&gt;</w:t>
      </w:r>
    </w:p>
    <w:p w14:paraId="01856B93" w14:textId="77777777" w:rsidR="00307E0E" w:rsidRPr="00650291" w:rsidRDefault="00307E0E" w:rsidP="00307E0E">
      <w:pPr>
        <w:jc w:val="both"/>
        <w:rPr>
          <w:rFonts w:asciiTheme="minorHAnsi" w:hAnsiTheme="minorHAnsi"/>
        </w:rPr>
      </w:pPr>
      <w:permStart w:id="2118808857" w:edGrp="everyone"/>
      <w:r w:rsidRPr="00650291">
        <w:rPr>
          <w:rFonts w:asciiTheme="minorHAnsi" w:hAnsiTheme="minorHAnsi"/>
        </w:rPr>
        <w:t xml:space="preserve">First of all, we consider it essential that the MiFID II legislative requirements and the existing supervisory guidance are complied with by trading venues and APAs and are enforced by NCAs. The regulatory expectations are clear and should be put into practice. Suggestions that these regulatory requirements only apply to retail investors or that any use of the market data is a value-added service are completely unsupported. Moreover, as detailed above under Q12, trading venues and APAs continue to invest significant efforts in designing methods for publishing data that make the data unusable in practice and directly violate existing regulatory requirements. However, given this low level of compliance with the existing rulebook, FIA EPTA agrees that further regulatory and supervisory actions are necessary. </w:t>
      </w:r>
    </w:p>
    <w:p w14:paraId="767CA244" w14:textId="77777777" w:rsidR="00307E0E" w:rsidRPr="00650291" w:rsidRDefault="00307E0E" w:rsidP="00307E0E">
      <w:pPr>
        <w:jc w:val="both"/>
        <w:rPr>
          <w:rFonts w:asciiTheme="minorHAnsi" w:hAnsiTheme="minorHAnsi"/>
        </w:rPr>
      </w:pPr>
    </w:p>
    <w:p w14:paraId="266A0FEE" w14:textId="77777777" w:rsidR="00307E0E" w:rsidRPr="00650291" w:rsidRDefault="00307E0E" w:rsidP="00307E0E">
      <w:pPr>
        <w:jc w:val="both"/>
        <w:rPr>
          <w:rFonts w:asciiTheme="minorHAnsi" w:hAnsiTheme="minorHAnsi"/>
        </w:rPr>
      </w:pPr>
      <w:r w:rsidRPr="00650291">
        <w:rPr>
          <w:rFonts w:asciiTheme="minorHAnsi" w:hAnsiTheme="minorHAnsi"/>
        </w:rPr>
        <w:t xml:space="preserve">In that regard, we would encourage greater transparency around enforcement of the existing requirements as we believe that additional transparency would aid the consistent adoption of the current regulatory requirements. Additionally, FIA EPTA strongly urges ESMA to clearly define requirements regarding the consistent formatting of data (that can actually be machine-read), as well as regarding appropriate delivery mechanisms (both in terms of streaming and downloading/FTP end-of-day), for a reasonable period of time and at no cost. </w:t>
      </w:r>
    </w:p>
    <w:p w14:paraId="4DF1DAD4" w14:textId="77777777" w:rsidR="00307E0E" w:rsidRPr="00650291" w:rsidRDefault="00307E0E" w:rsidP="00307E0E">
      <w:pPr>
        <w:jc w:val="both"/>
        <w:rPr>
          <w:rFonts w:asciiTheme="minorHAnsi" w:hAnsiTheme="minorHAnsi"/>
        </w:rPr>
      </w:pPr>
    </w:p>
    <w:p w14:paraId="64CADC88" w14:textId="194DAA7B" w:rsidR="009B072C" w:rsidRDefault="00307E0E" w:rsidP="00307E0E">
      <w:pPr>
        <w:jc w:val="both"/>
        <w:rPr>
          <w:rFonts w:asciiTheme="minorHAnsi" w:hAnsiTheme="minorHAnsi"/>
        </w:rPr>
      </w:pPr>
      <w:r w:rsidRPr="00650291">
        <w:rPr>
          <w:rFonts w:asciiTheme="minorHAnsi" w:hAnsiTheme="minorHAnsi"/>
        </w:rPr>
        <w:t>Such improvements are essential,</w:t>
      </w:r>
      <w:r w:rsidR="00ED1D99">
        <w:rPr>
          <w:rFonts w:asciiTheme="minorHAnsi" w:hAnsiTheme="minorHAnsi"/>
        </w:rPr>
        <w:t xml:space="preserve"> we believe,</w:t>
      </w:r>
      <w:r w:rsidRPr="00650291">
        <w:rPr>
          <w:rFonts w:asciiTheme="minorHAnsi" w:hAnsiTheme="minorHAnsi"/>
        </w:rPr>
        <w:t xml:space="preserve"> in particular for bringing greater transparency to non-equities markets which otherwise remain opaque. If the current situation were to persist, the available data will continue to be of limited use. This is detrimental to the wider market and only benefiting a limited number of incumbents.</w:t>
      </w:r>
      <w:r w:rsidR="009B072C">
        <w:rPr>
          <w:rFonts w:asciiTheme="minorHAnsi" w:hAnsiTheme="minorHAnsi"/>
        </w:rPr>
        <w:t xml:space="preserve"> </w:t>
      </w:r>
    </w:p>
    <w:p w14:paraId="7557971C" w14:textId="77777777" w:rsidR="009B072C" w:rsidRDefault="009B072C" w:rsidP="00307E0E">
      <w:pPr>
        <w:jc w:val="both"/>
        <w:rPr>
          <w:rFonts w:asciiTheme="minorHAnsi" w:hAnsiTheme="minorHAnsi"/>
        </w:rPr>
      </w:pPr>
    </w:p>
    <w:p w14:paraId="5264C7CA" w14:textId="11D4AC27" w:rsidR="00307E0E" w:rsidRPr="00650291" w:rsidRDefault="009B072C" w:rsidP="00307E0E">
      <w:pPr>
        <w:jc w:val="both"/>
        <w:rPr>
          <w:rFonts w:asciiTheme="minorHAnsi" w:hAnsiTheme="minorHAnsi"/>
        </w:rPr>
      </w:pPr>
      <w:r>
        <w:rPr>
          <w:rFonts w:asciiTheme="minorHAnsi" w:hAnsiTheme="minorHAnsi"/>
        </w:rPr>
        <w:lastRenderedPageBreak/>
        <w:t xml:space="preserve">While, as a first step, we would welcome additional or updated ESMA guidance/Q&amp;As on the above issues, we would strongly favour these to be embedded in comprehensive Level 2 RTS that are directly applicable and </w:t>
      </w:r>
      <w:proofErr w:type="spellStart"/>
      <w:r>
        <w:rPr>
          <w:rFonts w:asciiTheme="minorHAnsi" w:hAnsiTheme="minorHAnsi"/>
        </w:rPr>
        <w:t>enforcable</w:t>
      </w:r>
      <w:proofErr w:type="spellEnd"/>
      <w:r>
        <w:rPr>
          <w:rFonts w:asciiTheme="minorHAnsi" w:hAnsiTheme="minorHAnsi"/>
        </w:rPr>
        <w:t xml:space="preserve"> (enabled by Level 1 amendments to MiFID II, if necessary). We would welcome for ESMA to recommend such a course to the European Commission.</w:t>
      </w:r>
    </w:p>
    <w:p w14:paraId="7F5162E0" w14:textId="77777777" w:rsidR="00307E0E" w:rsidRPr="00650291" w:rsidRDefault="00307E0E" w:rsidP="00307E0E">
      <w:pPr>
        <w:jc w:val="both"/>
        <w:rPr>
          <w:rFonts w:asciiTheme="minorHAnsi" w:hAnsiTheme="minorHAnsi"/>
        </w:rPr>
      </w:pPr>
    </w:p>
    <w:p w14:paraId="4D41D530" w14:textId="0BE4EF4D" w:rsidR="00010773" w:rsidRPr="00307E0E" w:rsidRDefault="00307E0E" w:rsidP="00307E0E">
      <w:pPr>
        <w:jc w:val="both"/>
        <w:rPr>
          <w:rFonts w:asciiTheme="minorHAnsi" w:hAnsiTheme="minorHAnsi"/>
        </w:rPr>
      </w:pPr>
      <w:r w:rsidRPr="00650291">
        <w:rPr>
          <w:rFonts w:asciiTheme="minorHAnsi" w:hAnsiTheme="minorHAnsi"/>
        </w:rPr>
        <w:t>In parallel, we also strongly suggest ESMA to consider recommending</w:t>
      </w:r>
      <w:r w:rsidR="009B072C">
        <w:rPr>
          <w:rFonts w:asciiTheme="minorHAnsi" w:hAnsiTheme="minorHAnsi"/>
        </w:rPr>
        <w:t xml:space="preserve"> to the European Commission</w:t>
      </w:r>
      <w:r w:rsidRPr="00650291">
        <w:rPr>
          <w:rFonts w:asciiTheme="minorHAnsi" w:hAnsiTheme="minorHAnsi"/>
        </w:rPr>
        <w:t xml:space="preserve"> a Level</w:t>
      </w:r>
      <w:r w:rsidR="009B072C">
        <w:rPr>
          <w:rFonts w:asciiTheme="minorHAnsi" w:hAnsiTheme="minorHAnsi"/>
        </w:rPr>
        <w:t xml:space="preserve"> </w:t>
      </w:r>
      <w:r w:rsidRPr="00650291">
        <w:rPr>
          <w:rFonts w:asciiTheme="minorHAnsi" w:hAnsiTheme="minorHAnsi"/>
        </w:rPr>
        <w:t>1 change</w:t>
      </w:r>
      <w:r w:rsidR="009B072C">
        <w:rPr>
          <w:rFonts w:asciiTheme="minorHAnsi" w:hAnsiTheme="minorHAnsi"/>
        </w:rPr>
        <w:t xml:space="preserve"> to MiFID II</w:t>
      </w:r>
      <w:r w:rsidRPr="00650291">
        <w:rPr>
          <w:rFonts w:asciiTheme="minorHAnsi" w:hAnsiTheme="minorHAnsi"/>
        </w:rPr>
        <w:t xml:space="preserve"> that would prohibit trading venues and APAs from charging for regulatorily-required post-trade data at all, as this would remove the commercial incentive to make the freely available data unusable in practice.</w:t>
      </w:r>
    </w:p>
    <w:permEnd w:id="2118808857"/>
    <w:p w14:paraId="719C817B" w14:textId="77777777" w:rsidR="00010773" w:rsidRDefault="00010773" w:rsidP="00010773">
      <w:pPr>
        <w:rPr>
          <w:rFonts w:ascii="Arial" w:hAnsi="Arial" w:cs="Arial"/>
        </w:rPr>
      </w:pPr>
      <w:r>
        <w:rPr>
          <w:rFonts w:ascii="Arial" w:hAnsi="Arial" w:cs="Arial"/>
        </w:rPr>
        <w:t>&lt;ESMA_QUESTION_MDA_13&gt;</w:t>
      </w:r>
    </w:p>
    <w:p w14:paraId="1C202CDE" w14:textId="77777777" w:rsidR="00010773" w:rsidRDefault="00010773" w:rsidP="00010773">
      <w:pPr>
        <w:rPr>
          <w:rFonts w:ascii="Arial" w:hAnsi="Arial" w:cs="Arial"/>
        </w:rPr>
      </w:pPr>
    </w:p>
    <w:p w14:paraId="19660AC1" w14:textId="77777777" w:rsidR="00010773" w:rsidRDefault="00010773" w:rsidP="00010773">
      <w:pPr>
        <w:pStyle w:val="Questionstyle"/>
        <w:numPr>
          <w:ilvl w:val="0"/>
          <w:numId w:val="9"/>
        </w:numPr>
        <w:spacing w:after="250" w:line="276" w:lineRule="auto"/>
      </w:pPr>
      <w:r w:rsidRPr="00225998">
        <w:t xml:space="preserve">: Do you agree </w:t>
      </w:r>
      <w:r>
        <w:t>that the identified reasons, in particular the regulatory framework and competition by non-regulated entities, make it unattractive to operate an equity</w:t>
      </w:r>
      <w:r w:rsidRPr="00225998">
        <w:t xml:space="preserve"> CT? </w:t>
      </w:r>
    </w:p>
    <w:p w14:paraId="7AB75A3D" w14:textId="77777777" w:rsidR="00010773" w:rsidRDefault="00010773" w:rsidP="00010773">
      <w:pPr>
        <w:rPr>
          <w:rFonts w:ascii="Arial" w:hAnsi="Arial" w:cs="Arial"/>
        </w:rPr>
      </w:pPr>
      <w:r>
        <w:rPr>
          <w:rFonts w:ascii="Arial" w:hAnsi="Arial" w:cs="Arial"/>
        </w:rPr>
        <w:t>&lt;ESMA_QUESTION_MDA_14&gt;</w:t>
      </w:r>
    </w:p>
    <w:p w14:paraId="755AD810" w14:textId="77777777" w:rsidR="00FC10A7" w:rsidRPr="00650291" w:rsidRDefault="00FC10A7" w:rsidP="00FC10A7">
      <w:pPr>
        <w:autoSpaceDE w:val="0"/>
        <w:autoSpaceDN w:val="0"/>
        <w:adjustRightInd w:val="0"/>
        <w:jc w:val="both"/>
        <w:rPr>
          <w:rFonts w:asciiTheme="minorHAnsi" w:hAnsiTheme="minorHAnsi"/>
        </w:rPr>
      </w:pPr>
      <w:permStart w:id="1826112031" w:edGrp="everyone"/>
      <w:r w:rsidRPr="00650291">
        <w:rPr>
          <w:rFonts w:asciiTheme="minorHAnsi" w:hAnsiTheme="minorHAnsi"/>
        </w:rPr>
        <w:t xml:space="preserve">FIA EPTA agrees that there has been, to date, no consolidated tape provider (CTP), despite the </w:t>
      </w:r>
      <w:r w:rsidRPr="00650291">
        <w:rPr>
          <w:rFonts w:asciiTheme="minorHAnsi" w:eastAsia="Calibri" w:hAnsiTheme="minorHAnsi"/>
        </w:rPr>
        <w:t>MiFID II</w:t>
      </w:r>
      <w:r w:rsidRPr="00650291">
        <w:rPr>
          <w:rFonts w:asciiTheme="minorHAnsi" w:hAnsiTheme="minorHAnsi"/>
        </w:rPr>
        <w:t xml:space="preserve"> provisions catering for its creation, because the cost has been perceived as too high without adequate financial incentives. However, we believe this can be addressed by clarifying that trading venues and APAs must mandatorily contribute post-trade data to the CTP at no charge. We detail our reasoning below.</w:t>
      </w:r>
    </w:p>
    <w:p w14:paraId="391FE139" w14:textId="77777777" w:rsidR="00FC10A7" w:rsidRPr="00650291" w:rsidRDefault="00FC10A7" w:rsidP="00FC10A7">
      <w:pPr>
        <w:autoSpaceDE w:val="0"/>
        <w:autoSpaceDN w:val="0"/>
        <w:adjustRightInd w:val="0"/>
        <w:jc w:val="both"/>
        <w:rPr>
          <w:rFonts w:asciiTheme="minorHAnsi" w:hAnsiTheme="minorHAnsi"/>
        </w:rPr>
      </w:pPr>
    </w:p>
    <w:p w14:paraId="17102D3D" w14:textId="77777777" w:rsidR="00FC10A7" w:rsidRPr="00650291" w:rsidRDefault="00FC10A7" w:rsidP="00FC10A7">
      <w:pPr>
        <w:autoSpaceDE w:val="0"/>
        <w:autoSpaceDN w:val="0"/>
        <w:adjustRightInd w:val="0"/>
        <w:jc w:val="both"/>
        <w:rPr>
          <w:rFonts w:asciiTheme="minorHAnsi" w:hAnsiTheme="minorHAnsi"/>
          <w:u w:val="single"/>
        </w:rPr>
      </w:pPr>
      <w:r w:rsidRPr="00650291">
        <w:rPr>
          <w:rFonts w:asciiTheme="minorHAnsi" w:hAnsiTheme="minorHAnsi"/>
          <w:u w:val="single"/>
        </w:rPr>
        <w:t xml:space="preserve">Assumption 1: Trading venues and APAs will charge the CTP for the provision of post-trade data </w:t>
      </w:r>
    </w:p>
    <w:p w14:paraId="62A4355B" w14:textId="77777777" w:rsidR="00FC10A7" w:rsidRPr="00650291" w:rsidRDefault="00FC10A7" w:rsidP="00FC10A7">
      <w:pPr>
        <w:autoSpaceDE w:val="0"/>
        <w:autoSpaceDN w:val="0"/>
        <w:adjustRightInd w:val="0"/>
        <w:jc w:val="both"/>
        <w:rPr>
          <w:rFonts w:asciiTheme="minorHAnsi" w:hAnsiTheme="minorHAnsi"/>
        </w:rPr>
      </w:pPr>
      <w:r w:rsidRPr="00650291">
        <w:rPr>
          <w:rFonts w:asciiTheme="minorHAnsi" w:hAnsiTheme="minorHAnsi"/>
        </w:rPr>
        <w:t xml:space="preserve">ESMA assumes in section 4.2.1 that a CTP would face challenges putting a business case together to consolidate all post-trade data on equity instruments as, in the majority of cases, trading venues and APAs will ask for a fee for the provision of such data. </w:t>
      </w:r>
    </w:p>
    <w:p w14:paraId="509FC6BD" w14:textId="77777777" w:rsidR="00FC10A7" w:rsidRPr="00650291" w:rsidRDefault="00FC10A7" w:rsidP="00FC10A7">
      <w:pPr>
        <w:autoSpaceDE w:val="0"/>
        <w:autoSpaceDN w:val="0"/>
        <w:adjustRightInd w:val="0"/>
        <w:jc w:val="both"/>
        <w:rPr>
          <w:rFonts w:asciiTheme="minorHAnsi" w:hAnsiTheme="minorHAnsi"/>
        </w:rPr>
      </w:pPr>
    </w:p>
    <w:p w14:paraId="1C9822F8" w14:textId="77777777" w:rsidR="00FC10A7" w:rsidRPr="00650291" w:rsidRDefault="00FC10A7" w:rsidP="00FC10A7">
      <w:pPr>
        <w:autoSpaceDE w:val="0"/>
        <w:autoSpaceDN w:val="0"/>
        <w:adjustRightInd w:val="0"/>
        <w:jc w:val="both"/>
        <w:rPr>
          <w:rFonts w:asciiTheme="minorHAnsi" w:hAnsiTheme="minorHAnsi"/>
        </w:rPr>
      </w:pPr>
      <w:r w:rsidRPr="00650291">
        <w:rPr>
          <w:rFonts w:asciiTheme="minorHAnsi" w:hAnsiTheme="minorHAnsi"/>
        </w:rPr>
        <w:t xml:space="preserve">However, this does not have to be the case, and indeed, </w:t>
      </w:r>
      <w:r w:rsidRPr="00650291">
        <w:rPr>
          <w:rFonts w:asciiTheme="minorHAnsi" w:eastAsia="Calibri" w:hAnsiTheme="minorHAnsi"/>
        </w:rPr>
        <w:t>FIA EPTA believes</w:t>
      </w:r>
      <w:r w:rsidRPr="00650291">
        <w:rPr>
          <w:rFonts w:asciiTheme="minorHAnsi" w:hAnsiTheme="minorHAnsi"/>
        </w:rPr>
        <w:t xml:space="preserve"> in order to facilitate the viability of a CTP, it should be clarified that trading venues and APAs must mandatorily contribute post-trade data at no charge.</w:t>
      </w:r>
    </w:p>
    <w:p w14:paraId="13824390" w14:textId="77777777" w:rsidR="00FC10A7" w:rsidRPr="00650291" w:rsidRDefault="00FC10A7" w:rsidP="00FC10A7">
      <w:pPr>
        <w:autoSpaceDE w:val="0"/>
        <w:autoSpaceDN w:val="0"/>
        <w:adjustRightInd w:val="0"/>
        <w:jc w:val="both"/>
        <w:rPr>
          <w:rFonts w:asciiTheme="minorHAnsi" w:hAnsiTheme="minorHAnsi"/>
        </w:rPr>
      </w:pPr>
    </w:p>
    <w:p w14:paraId="07669906" w14:textId="77777777" w:rsidR="00FC10A7" w:rsidRPr="00650291" w:rsidRDefault="00FC10A7" w:rsidP="00FC10A7">
      <w:pPr>
        <w:autoSpaceDE w:val="0"/>
        <w:autoSpaceDN w:val="0"/>
        <w:adjustRightInd w:val="0"/>
        <w:jc w:val="both"/>
        <w:rPr>
          <w:rFonts w:asciiTheme="minorHAnsi" w:hAnsiTheme="minorHAnsi"/>
          <w:u w:val="single"/>
        </w:rPr>
      </w:pPr>
      <w:r w:rsidRPr="00650291">
        <w:rPr>
          <w:rFonts w:asciiTheme="minorHAnsi" w:hAnsiTheme="minorHAnsi"/>
          <w:u w:val="single"/>
        </w:rPr>
        <w:t>Assumption 2: Significant demand for real-time consolidated data unlikely due to high fees</w:t>
      </w:r>
    </w:p>
    <w:p w14:paraId="06092704" w14:textId="77777777" w:rsidR="00FC10A7" w:rsidRPr="00650291" w:rsidRDefault="00FC10A7" w:rsidP="00FC10A7">
      <w:pPr>
        <w:jc w:val="both"/>
        <w:rPr>
          <w:rFonts w:asciiTheme="minorHAnsi" w:hAnsiTheme="minorHAnsi"/>
        </w:rPr>
      </w:pPr>
      <w:r w:rsidRPr="00650291">
        <w:rPr>
          <w:rFonts w:asciiTheme="minorHAnsi" w:hAnsiTheme="minorHAnsi"/>
        </w:rPr>
        <w:t>In the same section, paragraph 116, ESMA assumes it is unlikely there will ever be significant demand for real-time consolidated data in view of the high fees a CTP would have to charge in order to recover its expenses.</w:t>
      </w:r>
    </w:p>
    <w:p w14:paraId="282A81E5" w14:textId="77777777" w:rsidR="00FC10A7" w:rsidRPr="00650291" w:rsidRDefault="00FC10A7" w:rsidP="00FC10A7">
      <w:pPr>
        <w:jc w:val="both"/>
        <w:rPr>
          <w:rFonts w:asciiTheme="minorHAnsi" w:eastAsia="Calibri" w:hAnsiTheme="minorHAnsi"/>
        </w:rPr>
      </w:pPr>
    </w:p>
    <w:p w14:paraId="01C605F0" w14:textId="77777777" w:rsidR="00FC10A7" w:rsidRPr="00650291" w:rsidRDefault="00FC10A7" w:rsidP="00FC10A7">
      <w:pPr>
        <w:autoSpaceDE w:val="0"/>
        <w:autoSpaceDN w:val="0"/>
        <w:adjustRightInd w:val="0"/>
        <w:jc w:val="both"/>
        <w:rPr>
          <w:rFonts w:asciiTheme="minorHAnsi" w:hAnsiTheme="minorHAnsi"/>
        </w:rPr>
      </w:pPr>
      <w:r w:rsidRPr="00650291">
        <w:rPr>
          <w:rFonts w:asciiTheme="minorHAnsi" w:hAnsiTheme="minorHAnsi"/>
        </w:rPr>
        <w:t xml:space="preserve">However, if Assumption 1 no longer holds true, </w:t>
      </w:r>
      <w:r w:rsidRPr="00650291">
        <w:rPr>
          <w:rFonts w:asciiTheme="minorHAnsi" w:eastAsia="Calibri" w:hAnsiTheme="minorHAnsi"/>
        </w:rPr>
        <w:t xml:space="preserve">FIA EPTA considers </w:t>
      </w:r>
      <w:r w:rsidRPr="00650291">
        <w:rPr>
          <w:rFonts w:asciiTheme="minorHAnsi" w:hAnsiTheme="minorHAnsi"/>
        </w:rPr>
        <w:t>Assumption 2 can be challenged as well. When trading venues and APAs are required to contribute post-trade data to the CTP free of charge, the CTP has a lower expense base to recover by means of fees charged to users. This makes the business case for a CTP much more viable and increases the chances of achieving the goal that the consolidated tape can serve as a transparency tool at an affordable price for ordinary investors.</w:t>
      </w:r>
    </w:p>
    <w:p w14:paraId="24DE7034" w14:textId="77777777" w:rsidR="00FC10A7" w:rsidRPr="00650291" w:rsidRDefault="00FC10A7" w:rsidP="00FC10A7">
      <w:pPr>
        <w:autoSpaceDE w:val="0"/>
        <w:autoSpaceDN w:val="0"/>
        <w:adjustRightInd w:val="0"/>
        <w:jc w:val="both"/>
        <w:rPr>
          <w:rFonts w:asciiTheme="minorHAnsi" w:hAnsiTheme="minorHAnsi"/>
        </w:rPr>
      </w:pPr>
    </w:p>
    <w:p w14:paraId="04832E39" w14:textId="77777777" w:rsidR="00FC10A7" w:rsidRPr="00650291" w:rsidRDefault="00FC10A7" w:rsidP="00FC10A7">
      <w:pPr>
        <w:autoSpaceDE w:val="0"/>
        <w:autoSpaceDN w:val="0"/>
        <w:adjustRightInd w:val="0"/>
        <w:jc w:val="both"/>
        <w:rPr>
          <w:rFonts w:asciiTheme="minorHAnsi" w:hAnsiTheme="minorHAnsi"/>
          <w:u w:val="single"/>
        </w:rPr>
      </w:pPr>
      <w:r w:rsidRPr="00650291">
        <w:rPr>
          <w:rFonts w:asciiTheme="minorHAnsi" w:hAnsiTheme="minorHAnsi"/>
          <w:u w:val="single"/>
        </w:rPr>
        <w:t>Assumption 3: A CTP will struggle to compete with real-time data products from trading venues/APAs</w:t>
      </w:r>
    </w:p>
    <w:p w14:paraId="3790F515" w14:textId="77777777" w:rsidR="00FC10A7" w:rsidRPr="00650291" w:rsidRDefault="00FC10A7" w:rsidP="00FC10A7">
      <w:pPr>
        <w:jc w:val="both"/>
        <w:rPr>
          <w:rFonts w:asciiTheme="minorHAnsi" w:hAnsiTheme="minorHAnsi"/>
        </w:rPr>
      </w:pPr>
      <w:r w:rsidRPr="00650291">
        <w:rPr>
          <w:rFonts w:asciiTheme="minorHAnsi" w:hAnsiTheme="minorHAnsi"/>
        </w:rPr>
        <w:lastRenderedPageBreak/>
        <w:t>ESMA points out that because the CTP will experience inevitable latency in collecting and consolidating data from multiple sources, it will always compete with (and may lose out to) real-time data feeds provided directly from trading venues.</w:t>
      </w:r>
      <w:r w:rsidRPr="00650291">
        <w:rPr>
          <w:rFonts w:asciiTheme="minorHAnsi" w:eastAsia="Calibri" w:hAnsiTheme="minorHAnsi"/>
        </w:rPr>
        <w:t xml:space="preserve"> FIA EPTA does</w:t>
      </w:r>
      <w:r w:rsidRPr="00650291">
        <w:rPr>
          <w:rFonts w:asciiTheme="minorHAnsi" w:hAnsiTheme="minorHAnsi"/>
        </w:rPr>
        <w:t xml:space="preserve"> not believe these two things are in competition as we believe the CTP has a very different use case from real-time direct data feeds. </w:t>
      </w:r>
    </w:p>
    <w:p w14:paraId="4F16FF32" w14:textId="77777777" w:rsidR="00FC10A7" w:rsidRPr="00650291" w:rsidRDefault="00FC10A7" w:rsidP="00FC10A7">
      <w:pPr>
        <w:autoSpaceDE w:val="0"/>
        <w:autoSpaceDN w:val="0"/>
        <w:adjustRightInd w:val="0"/>
        <w:jc w:val="both"/>
        <w:rPr>
          <w:rFonts w:asciiTheme="minorHAnsi" w:hAnsiTheme="minorHAnsi"/>
        </w:rPr>
      </w:pPr>
    </w:p>
    <w:p w14:paraId="4048EF77" w14:textId="77777777" w:rsidR="00FC10A7" w:rsidRPr="00650291" w:rsidRDefault="00FC10A7" w:rsidP="00FC10A7">
      <w:pPr>
        <w:autoSpaceDE w:val="0"/>
        <w:autoSpaceDN w:val="0"/>
        <w:adjustRightInd w:val="0"/>
        <w:jc w:val="both"/>
        <w:rPr>
          <w:rFonts w:asciiTheme="minorHAnsi" w:hAnsiTheme="minorHAnsi"/>
        </w:rPr>
      </w:pPr>
      <w:r w:rsidRPr="00650291">
        <w:rPr>
          <w:rFonts w:asciiTheme="minorHAnsi" w:hAnsiTheme="minorHAnsi"/>
        </w:rPr>
        <w:t xml:space="preserve">A post‐trade CT would provide significant added value to the market by providing a high‐quality consolidated view </w:t>
      </w:r>
      <w:r w:rsidRPr="00650291">
        <w:rPr>
          <w:rFonts w:asciiTheme="minorHAnsi" w:eastAsia="Calibri" w:hAnsiTheme="minorHAnsi"/>
        </w:rPr>
        <w:t>regarding</w:t>
      </w:r>
      <w:r w:rsidRPr="00650291">
        <w:rPr>
          <w:rFonts w:asciiTheme="minorHAnsi" w:hAnsiTheme="minorHAnsi"/>
        </w:rPr>
        <w:t xml:space="preserve"> the venues, volumes and prices </w:t>
      </w:r>
      <w:r w:rsidRPr="00650291">
        <w:rPr>
          <w:rFonts w:asciiTheme="minorHAnsi" w:eastAsia="Calibri" w:hAnsiTheme="minorHAnsi"/>
        </w:rPr>
        <w:t xml:space="preserve">at which </w:t>
      </w:r>
      <w:r w:rsidRPr="00650291">
        <w:rPr>
          <w:rFonts w:asciiTheme="minorHAnsi" w:hAnsiTheme="minorHAnsi"/>
        </w:rPr>
        <w:t>equities or other instruments were traded. Nevertheless, we envision a CT will first and foremost be used for evaluation of post‐trade best execution. Other use cases may include benchmarking, portfolio construction, market abuse monitoring, accurate sizing of market in each security, valuation and accurately determining addressable liquidity.</w:t>
      </w:r>
    </w:p>
    <w:p w14:paraId="49177AF3" w14:textId="77777777" w:rsidR="00FC10A7" w:rsidRPr="00650291" w:rsidRDefault="00FC10A7" w:rsidP="00FC10A7">
      <w:pPr>
        <w:autoSpaceDE w:val="0"/>
        <w:autoSpaceDN w:val="0"/>
        <w:adjustRightInd w:val="0"/>
        <w:jc w:val="both"/>
        <w:rPr>
          <w:rFonts w:asciiTheme="minorHAnsi" w:hAnsiTheme="minorHAnsi"/>
        </w:rPr>
      </w:pPr>
    </w:p>
    <w:p w14:paraId="24D4AA80" w14:textId="77777777" w:rsidR="00FC10A7" w:rsidRPr="00650291" w:rsidRDefault="00FC10A7" w:rsidP="00FC10A7">
      <w:pPr>
        <w:autoSpaceDE w:val="0"/>
        <w:autoSpaceDN w:val="0"/>
        <w:adjustRightInd w:val="0"/>
        <w:jc w:val="both"/>
        <w:rPr>
          <w:rFonts w:asciiTheme="minorHAnsi" w:hAnsiTheme="minorHAnsi"/>
        </w:rPr>
      </w:pPr>
      <w:r w:rsidRPr="00650291">
        <w:rPr>
          <w:rFonts w:asciiTheme="minorHAnsi" w:hAnsiTheme="minorHAnsi"/>
        </w:rPr>
        <w:t>For trade execution, pre-trade market data has more merit than a post‐trade tape. We</w:t>
      </w:r>
      <w:r w:rsidRPr="00650291">
        <w:rPr>
          <w:rFonts w:asciiTheme="minorHAnsi" w:eastAsia="Calibri" w:hAnsiTheme="minorHAnsi"/>
        </w:rPr>
        <w:t>,</w:t>
      </w:r>
      <w:r w:rsidRPr="00650291">
        <w:rPr>
          <w:rFonts w:asciiTheme="minorHAnsi" w:hAnsiTheme="minorHAnsi"/>
        </w:rPr>
        <w:t xml:space="preserve"> therefore</w:t>
      </w:r>
      <w:r w:rsidRPr="00650291">
        <w:rPr>
          <w:rFonts w:asciiTheme="minorHAnsi" w:eastAsia="Calibri" w:hAnsiTheme="minorHAnsi"/>
        </w:rPr>
        <w:t>,</w:t>
      </w:r>
      <w:r w:rsidRPr="00650291">
        <w:rPr>
          <w:rFonts w:asciiTheme="minorHAnsi" w:hAnsiTheme="minorHAnsi"/>
        </w:rPr>
        <w:t xml:space="preserve"> do not view a post-trade CT to be in competition with the direct data products provided by exchanges; rather, a CT would be complementary to such. Professional investing market participants and intermediaries, in particular those that are latency sensitive, will continue to require low-latency, real-time pre-trade data.</w:t>
      </w:r>
    </w:p>
    <w:p w14:paraId="0D9DAB66" w14:textId="77777777" w:rsidR="00FC10A7" w:rsidRPr="00650291" w:rsidRDefault="00FC10A7" w:rsidP="00FC10A7">
      <w:pPr>
        <w:autoSpaceDE w:val="0"/>
        <w:autoSpaceDN w:val="0"/>
        <w:adjustRightInd w:val="0"/>
        <w:jc w:val="both"/>
        <w:rPr>
          <w:rFonts w:asciiTheme="minorHAnsi" w:hAnsiTheme="minorHAnsi"/>
        </w:rPr>
      </w:pPr>
      <w:r w:rsidRPr="00650291">
        <w:rPr>
          <w:rFonts w:asciiTheme="minorHAnsi" w:hAnsiTheme="minorHAnsi"/>
        </w:rPr>
        <w:t xml:space="preserve"> </w:t>
      </w:r>
    </w:p>
    <w:p w14:paraId="74C512B0" w14:textId="77777777" w:rsidR="00FC10A7" w:rsidRPr="00650291" w:rsidRDefault="00FC10A7" w:rsidP="00FC10A7">
      <w:pPr>
        <w:autoSpaceDE w:val="0"/>
        <w:autoSpaceDN w:val="0"/>
        <w:adjustRightInd w:val="0"/>
        <w:jc w:val="both"/>
        <w:rPr>
          <w:rFonts w:asciiTheme="minorHAnsi" w:hAnsiTheme="minorHAnsi"/>
        </w:rPr>
      </w:pPr>
      <w:r w:rsidRPr="00650291">
        <w:rPr>
          <w:rFonts w:asciiTheme="minorHAnsi" w:hAnsiTheme="minorHAnsi"/>
        </w:rPr>
        <w:t>However</w:t>
      </w:r>
      <w:r w:rsidRPr="00650291">
        <w:rPr>
          <w:rFonts w:asciiTheme="minorHAnsi" w:eastAsia="Calibri" w:hAnsiTheme="minorHAnsi"/>
        </w:rPr>
        <w:t>,</w:t>
      </w:r>
      <w:r w:rsidRPr="00650291">
        <w:rPr>
          <w:rFonts w:asciiTheme="minorHAnsi" w:hAnsiTheme="minorHAnsi"/>
        </w:rPr>
        <w:t xml:space="preserve"> even a post‐trade CT will add value to participants in making informed business decisions with respect to execution, in particular for non-professional investors, provided it is as close to real‐time as possible. </w:t>
      </w:r>
    </w:p>
    <w:p w14:paraId="476AD157" w14:textId="77777777" w:rsidR="00FC10A7" w:rsidRPr="00650291" w:rsidRDefault="00FC10A7" w:rsidP="00FC10A7">
      <w:pPr>
        <w:autoSpaceDE w:val="0"/>
        <w:autoSpaceDN w:val="0"/>
        <w:adjustRightInd w:val="0"/>
        <w:jc w:val="both"/>
        <w:rPr>
          <w:rFonts w:asciiTheme="minorHAnsi" w:hAnsiTheme="minorHAnsi"/>
        </w:rPr>
      </w:pPr>
    </w:p>
    <w:p w14:paraId="67EDC38E" w14:textId="77777777" w:rsidR="00FC10A7" w:rsidRPr="00650291" w:rsidRDefault="00FC10A7" w:rsidP="00FC10A7">
      <w:pPr>
        <w:autoSpaceDE w:val="0"/>
        <w:autoSpaceDN w:val="0"/>
        <w:adjustRightInd w:val="0"/>
        <w:jc w:val="both"/>
        <w:rPr>
          <w:rFonts w:asciiTheme="minorHAnsi" w:hAnsiTheme="minorHAnsi"/>
          <w:u w:val="single"/>
        </w:rPr>
      </w:pPr>
      <w:r w:rsidRPr="00650291">
        <w:rPr>
          <w:rFonts w:asciiTheme="minorHAnsi" w:hAnsiTheme="minorHAnsi"/>
          <w:u w:val="single"/>
        </w:rPr>
        <w:t>Assumption 4: Non-regulated entities have a significant competitive advantage over a potential CTP</w:t>
      </w:r>
    </w:p>
    <w:p w14:paraId="27740D55" w14:textId="77777777" w:rsidR="00FC10A7" w:rsidRPr="00650291" w:rsidRDefault="00FC10A7" w:rsidP="00FC10A7">
      <w:pPr>
        <w:autoSpaceDE w:val="0"/>
        <w:autoSpaceDN w:val="0"/>
        <w:adjustRightInd w:val="0"/>
        <w:jc w:val="both"/>
        <w:rPr>
          <w:rFonts w:asciiTheme="minorHAnsi" w:hAnsiTheme="minorHAnsi"/>
        </w:rPr>
      </w:pPr>
      <w:r w:rsidRPr="00650291">
        <w:rPr>
          <w:rFonts w:asciiTheme="minorHAnsi" w:hAnsiTheme="minorHAnsi"/>
        </w:rPr>
        <w:t>Because the activity of providing consolidated information on the market is not mandated to be regulated, other entities could provide the same service and not be subject to the authorisation process and ongoing supervision as a CTP would, nor the requirements to provide the CT on a reasonable commercial basis (RCB) and free of charge after 15 minutes.</w:t>
      </w:r>
    </w:p>
    <w:p w14:paraId="2A303B30" w14:textId="77777777" w:rsidR="00FC10A7" w:rsidRPr="00650291" w:rsidRDefault="00FC10A7" w:rsidP="00FC10A7">
      <w:pPr>
        <w:autoSpaceDE w:val="0"/>
        <w:autoSpaceDN w:val="0"/>
        <w:adjustRightInd w:val="0"/>
        <w:jc w:val="both"/>
        <w:rPr>
          <w:rFonts w:asciiTheme="minorHAnsi" w:hAnsiTheme="minorHAnsi"/>
        </w:rPr>
      </w:pPr>
    </w:p>
    <w:p w14:paraId="175B7AF4" w14:textId="77777777" w:rsidR="00FC10A7" w:rsidRPr="00650291" w:rsidRDefault="00FC10A7" w:rsidP="00FC10A7">
      <w:pPr>
        <w:autoSpaceDE w:val="0"/>
        <w:autoSpaceDN w:val="0"/>
        <w:adjustRightInd w:val="0"/>
        <w:jc w:val="both"/>
        <w:rPr>
          <w:rFonts w:asciiTheme="minorHAnsi" w:hAnsiTheme="minorHAnsi"/>
        </w:rPr>
      </w:pPr>
      <w:r w:rsidRPr="00650291">
        <w:rPr>
          <w:rFonts w:asciiTheme="minorHAnsi" w:hAnsiTheme="minorHAnsi"/>
        </w:rPr>
        <w:t>Indeed,</w:t>
      </w:r>
      <w:r w:rsidRPr="00650291">
        <w:rPr>
          <w:rFonts w:asciiTheme="minorHAnsi" w:eastAsia="Calibri" w:hAnsiTheme="minorHAnsi"/>
        </w:rPr>
        <w:t xml:space="preserve"> FIA EPTA agrees that</w:t>
      </w:r>
      <w:r w:rsidRPr="00650291">
        <w:rPr>
          <w:rFonts w:asciiTheme="minorHAnsi" w:hAnsiTheme="minorHAnsi"/>
        </w:rPr>
        <w:t xml:space="preserve"> certain existing data vendors, e.g. Bloomberg, already have products that look like the consolidated tape. However,</w:t>
      </w:r>
      <w:r w:rsidRPr="00650291">
        <w:rPr>
          <w:rFonts w:asciiTheme="minorHAnsi" w:eastAsia="Calibri" w:hAnsiTheme="minorHAnsi"/>
        </w:rPr>
        <w:t xml:space="preserve"> we would caution that</w:t>
      </w:r>
      <w:r w:rsidRPr="00650291">
        <w:rPr>
          <w:rFonts w:asciiTheme="minorHAnsi" w:hAnsiTheme="minorHAnsi"/>
        </w:rPr>
        <w:t xml:space="preserve"> these products are cost prohibitive for many participants in the market due to the high aggregate cost of data. </w:t>
      </w:r>
    </w:p>
    <w:p w14:paraId="2B88A64D" w14:textId="77777777" w:rsidR="00FC10A7" w:rsidRPr="00650291" w:rsidRDefault="00FC10A7" w:rsidP="00FC10A7">
      <w:pPr>
        <w:autoSpaceDE w:val="0"/>
        <w:autoSpaceDN w:val="0"/>
        <w:adjustRightInd w:val="0"/>
        <w:jc w:val="both"/>
        <w:rPr>
          <w:rFonts w:asciiTheme="minorHAnsi" w:hAnsiTheme="minorHAnsi"/>
        </w:rPr>
      </w:pPr>
    </w:p>
    <w:p w14:paraId="670DC4FA" w14:textId="1B6B6D8B" w:rsidR="00010773" w:rsidRPr="00E91939" w:rsidRDefault="00FC10A7" w:rsidP="00E91939">
      <w:pPr>
        <w:autoSpaceDE w:val="0"/>
        <w:autoSpaceDN w:val="0"/>
        <w:adjustRightInd w:val="0"/>
        <w:jc w:val="both"/>
        <w:rPr>
          <w:rFonts w:asciiTheme="minorHAnsi" w:hAnsiTheme="minorHAnsi"/>
        </w:rPr>
      </w:pPr>
      <w:r w:rsidRPr="00650291">
        <w:rPr>
          <w:rFonts w:asciiTheme="minorHAnsi" w:hAnsiTheme="minorHAnsi"/>
        </w:rPr>
        <w:t>If Assumption 1 no longer holds true, Assumption 4 can be challenged as well: while we do not see the CTP as a pure public utility, we do believe it is appropriate that the CTP can and should have a different cost base than purely commercial data vendors – i.e. trading venues and APAs will be required to submit real-time post-trade data to the CTP. This should enable the CT to be accessible from a cost perspective for the majority of market participants.</w:t>
      </w:r>
    </w:p>
    <w:permEnd w:id="1826112031"/>
    <w:p w14:paraId="164A9D8A" w14:textId="77777777" w:rsidR="00010773" w:rsidRDefault="00010773" w:rsidP="00010773">
      <w:pPr>
        <w:rPr>
          <w:rFonts w:ascii="Arial" w:hAnsi="Arial" w:cs="Arial"/>
        </w:rPr>
      </w:pPr>
      <w:r>
        <w:rPr>
          <w:rFonts w:ascii="Arial" w:hAnsi="Arial" w:cs="Arial"/>
        </w:rPr>
        <w:t>&lt;ESMA_QUESTION_MDA_14&gt;</w:t>
      </w:r>
    </w:p>
    <w:p w14:paraId="478A6E21" w14:textId="77777777" w:rsidR="00010773" w:rsidRDefault="00010773" w:rsidP="00010773">
      <w:pPr>
        <w:rPr>
          <w:rFonts w:ascii="Arial" w:hAnsi="Arial" w:cs="Arial"/>
        </w:rPr>
      </w:pPr>
    </w:p>
    <w:p w14:paraId="24AFCE44" w14:textId="77777777" w:rsidR="00010773" w:rsidRDefault="00010773" w:rsidP="00010773">
      <w:pPr>
        <w:pStyle w:val="Questionstyle"/>
        <w:numPr>
          <w:ilvl w:val="0"/>
          <w:numId w:val="9"/>
        </w:numPr>
        <w:spacing w:after="250" w:line="276" w:lineRule="auto"/>
      </w:pPr>
      <w:r w:rsidRPr="00225998">
        <w:t xml:space="preserve">: Do you consider that </w:t>
      </w:r>
      <w:r>
        <w:t>further elements hinder the establishment of</w:t>
      </w:r>
      <w:r w:rsidRPr="00225998">
        <w:t xml:space="preserve"> an equity CT? If yes, please explain</w:t>
      </w:r>
      <w:r>
        <w:t xml:space="preserve"> which elements are missing and why they matter</w:t>
      </w:r>
      <w:r w:rsidRPr="00225998">
        <w:t>.</w:t>
      </w:r>
    </w:p>
    <w:p w14:paraId="0788DE39" w14:textId="77777777" w:rsidR="00010773" w:rsidRDefault="00010773" w:rsidP="00010773">
      <w:pPr>
        <w:rPr>
          <w:rFonts w:ascii="Arial" w:hAnsi="Arial" w:cs="Arial"/>
        </w:rPr>
      </w:pPr>
      <w:r>
        <w:rPr>
          <w:rFonts w:ascii="Arial" w:hAnsi="Arial" w:cs="Arial"/>
        </w:rPr>
        <w:t>&lt;ESMA_QUESTION_MDA_15&gt;</w:t>
      </w:r>
    </w:p>
    <w:p w14:paraId="1EE907AC" w14:textId="77777777" w:rsidR="007C799F" w:rsidRPr="00650291" w:rsidRDefault="007C799F" w:rsidP="007C799F">
      <w:pPr>
        <w:autoSpaceDE w:val="0"/>
        <w:autoSpaceDN w:val="0"/>
        <w:adjustRightInd w:val="0"/>
        <w:jc w:val="both"/>
        <w:rPr>
          <w:rFonts w:asciiTheme="minorHAnsi" w:hAnsiTheme="minorHAnsi"/>
        </w:rPr>
      </w:pPr>
      <w:permStart w:id="1355380769" w:edGrp="everyone"/>
      <w:r w:rsidRPr="00650291">
        <w:rPr>
          <w:rFonts w:asciiTheme="minorHAnsi" w:eastAsia="Calibri" w:hAnsiTheme="minorHAnsi"/>
        </w:rPr>
        <w:lastRenderedPageBreak/>
        <w:t>FIA EPTA believes</w:t>
      </w:r>
      <w:r w:rsidRPr="00650291">
        <w:rPr>
          <w:rFonts w:asciiTheme="minorHAnsi" w:hAnsiTheme="minorHAnsi"/>
        </w:rPr>
        <w:t xml:space="preserve"> an additional element that has hindered the establishment of an equity CT is the complexity of exchange market data contracts. In establishing a CTP, we believe a more efficient model would be to harmonise a standard contract form and require input contributors to contract with a central CTP administrator, rather than requiring multiple, bilateral contracts with individual venues/APAs.</w:t>
      </w:r>
    </w:p>
    <w:permEnd w:id="1355380769"/>
    <w:p w14:paraId="3241A667" w14:textId="77777777" w:rsidR="00010773" w:rsidRDefault="00010773" w:rsidP="00010773">
      <w:pPr>
        <w:rPr>
          <w:rFonts w:ascii="Arial" w:hAnsi="Arial" w:cs="Arial"/>
        </w:rPr>
      </w:pPr>
      <w:r>
        <w:rPr>
          <w:rFonts w:ascii="Arial" w:hAnsi="Arial" w:cs="Arial"/>
        </w:rPr>
        <w:t>&lt;ESMA_QUESTION_MDA_15&gt;</w:t>
      </w:r>
    </w:p>
    <w:p w14:paraId="1B998008" w14:textId="77777777" w:rsidR="00010773" w:rsidRDefault="00010773" w:rsidP="00010773">
      <w:pPr>
        <w:rPr>
          <w:rFonts w:ascii="Arial" w:hAnsi="Arial" w:cs="Arial"/>
        </w:rPr>
      </w:pPr>
    </w:p>
    <w:p w14:paraId="6AD178BD" w14:textId="77777777" w:rsidR="00010773" w:rsidRDefault="00010773" w:rsidP="00010773">
      <w:pPr>
        <w:pStyle w:val="Questionstyle"/>
        <w:numPr>
          <w:ilvl w:val="0"/>
          <w:numId w:val="9"/>
        </w:numPr>
        <w:spacing w:after="250" w:line="276" w:lineRule="auto"/>
      </w:pPr>
      <w:r>
        <w:t>: Please explain what CTP would best meet the needs of users and the market?</w:t>
      </w:r>
    </w:p>
    <w:p w14:paraId="0111CF98" w14:textId="77777777" w:rsidR="00010773" w:rsidRDefault="00010773" w:rsidP="00010773">
      <w:pPr>
        <w:rPr>
          <w:rFonts w:ascii="Arial" w:hAnsi="Arial" w:cs="Arial"/>
        </w:rPr>
      </w:pPr>
      <w:r>
        <w:rPr>
          <w:rFonts w:ascii="Arial" w:hAnsi="Arial" w:cs="Arial"/>
        </w:rPr>
        <w:t>&lt;ESMA_QUESTION_MDA_16&gt;</w:t>
      </w:r>
    </w:p>
    <w:p w14:paraId="3BEB6756" w14:textId="77777777" w:rsidR="009740A1" w:rsidRPr="00650291" w:rsidRDefault="009740A1" w:rsidP="009740A1">
      <w:pPr>
        <w:autoSpaceDE w:val="0"/>
        <w:autoSpaceDN w:val="0"/>
        <w:adjustRightInd w:val="0"/>
        <w:jc w:val="both"/>
        <w:rPr>
          <w:rFonts w:asciiTheme="minorHAnsi" w:hAnsiTheme="minorHAnsi"/>
        </w:rPr>
      </w:pPr>
      <w:permStart w:id="1610811230" w:edGrp="everyone"/>
      <w:r w:rsidRPr="00650291">
        <w:rPr>
          <w:rFonts w:asciiTheme="minorHAnsi" w:hAnsiTheme="minorHAnsi"/>
        </w:rPr>
        <w:t xml:space="preserve">FIA EPTA believes a CT should be a real-time, post-trade tape that democratises the latency of market data and allows small investors to have low-cost access to comparable </w:t>
      </w:r>
      <w:r w:rsidRPr="00650291">
        <w:rPr>
          <w:rFonts w:asciiTheme="minorHAnsi" w:eastAsia="Calibri" w:hAnsiTheme="minorHAnsi"/>
        </w:rPr>
        <w:t>information</w:t>
      </w:r>
      <w:r w:rsidRPr="00650291">
        <w:rPr>
          <w:rFonts w:asciiTheme="minorHAnsi" w:hAnsiTheme="minorHAnsi"/>
        </w:rPr>
        <w:t xml:space="preserve"> as large investors. This should contribute to creating a more integrated European market, ensuring that consistent and accurate data is made available to market participants, and allowing investors to obtain a full picture of the trading volumes of a product listed across multiple exchanges. A consolidated tape should help to stitch together Europe’s fragmented equities market landscape and help more ETFs in Europe to be traded on exchanges.</w:t>
      </w:r>
    </w:p>
    <w:p w14:paraId="50E81D24" w14:textId="77777777" w:rsidR="009740A1" w:rsidRPr="00650291" w:rsidRDefault="009740A1" w:rsidP="009740A1">
      <w:pPr>
        <w:autoSpaceDE w:val="0"/>
        <w:autoSpaceDN w:val="0"/>
        <w:adjustRightInd w:val="0"/>
        <w:jc w:val="both"/>
        <w:rPr>
          <w:rFonts w:asciiTheme="minorHAnsi" w:hAnsiTheme="minorHAnsi"/>
        </w:rPr>
      </w:pPr>
    </w:p>
    <w:p w14:paraId="73B2D22E" w14:textId="77777777" w:rsidR="009740A1" w:rsidRPr="00650291" w:rsidRDefault="009740A1" w:rsidP="009740A1">
      <w:pPr>
        <w:autoSpaceDE w:val="0"/>
        <w:autoSpaceDN w:val="0"/>
        <w:adjustRightInd w:val="0"/>
        <w:jc w:val="both"/>
        <w:rPr>
          <w:rFonts w:asciiTheme="minorHAnsi" w:hAnsiTheme="minorHAnsi"/>
        </w:rPr>
      </w:pPr>
      <w:r w:rsidRPr="00650291">
        <w:rPr>
          <w:rFonts w:asciiTheme="minorHAnsi" w:hAnsiTheme="minorHAnsi"/>
        </w:rPr>
        <w:t>We believe a CT will be a tool for investors and professionals alike to monitor executions and transaction costs. We see it being used primarily for best execution, transaction cost, and portfolio composition analysis as well as for regulatory compliance, but we do not underestimate the importance of properly sequenced, last traded price information for trading purposes. In this sense</w:t>
      </w:r>
      <w:r>
        <w:rPr>
          <w:rFonts w:asciiTheme="minorHAnsi" w:hAnsiTheme="minorHAnsi"/>
        </w:rPr>
        <w:t>,</w:t>
      </w:r>
      <w:r w:rsidRPr="00650291">
        <w:rPr>
          <w:rFonts w:asciiTheme="minorHAnsi" w:hAnsiTheme="minorHAnsi"/>
        </w:rPr>
        <w:t xml:space="preserve"> we believe the post-trade CT may have value for informing pre-trade routing decisions for some investors. </w:t>
      </w:r>
    </w:p>
    <w:p w14:paraId="2E362254" w14:textId="77777777" w:rsidR="009740A1" w:rsidRPr="00650291" w:rsidRDefault="009740A1" w:rsidP="009740A1">
      <w:pPr>
        <w:autoSpaceDE w:val="0"/>
        <w:autoSpaceDN w:val="0"/>
        <w:adjustRightInd w:val="0"/>
        <w:jc w:val="both"/>
        <w:rPr>
          <w:rFonts w:asciiTheme="minorHAnsi" w:hAnsiTheme="minorHAnsi"/>
        </w:rPr>
      </w:pPr>
    </w:p>
    <w:p w14:paraId="6DCFAE7B" w14:textId="77777777" w:rsidR="009740A1" w:rsidRPr="00650291" w:rsidRDefault="009740A1" w:rsidP="009740A1">
      <w:pPr>
        <w:autoSpaceDE w:val="0"/>
        <w:autoSpaceDN w:val="0"/>
        <w:adjustRightInd w:val="0"/>
        <w:jc w:val="both"/>
        <w:rPr>
          <w:rFonts w:asciiTheme="minorHAnsi" w:hAnsiTheme="minorHAnsi"/>
        </w:rPr>
      </w:pPr>
      <w:r w:rsidRPr="00650291">
        <w:rPr>
          <w:rFonts w:asciiTheme="minorHAnsi" w:hAnsiTheme="minorHAnsi"/>
        </w:rPr>
        <w:t>We believe the CTP should begin with equities coverage, given the relative better quality of data, but should ultimately encompass other asset classes like bonds and OTC derivatives. An alternative is to allow different firms to start work on separate CTPs per asset class simultaneously, as the CTPs for non-equities and equities will likely be somewhat different in format anyway.</w:t>
      </w:r>
    </w:p>
    <w:p w14:paraId="536586D7" w14:textId="77777777" w:rsidR="009740A1" w:rsidRPr="00650291" w:rsidRDefault="009740A1" w:rsidP="009740A1">
      <w:pPr>
        <w:autoSpaceDE w:val="0"/>
        <w:autoSpaceDN w:val="0"/>
        <w:adjustRightInd w:val="0"/>
        <w:jc w:val="both"/>
        <w:rPr>
          <w:rFonts w:asciiTheme="minorHAnsi" w:hAnsiTheme="minorHAnsi"/>
        </w:rPr>
      </w:pPr>
      <w:r w:rsidRPr="00650291">
        <w:rPr>
          <w:rFonts w:asciiTheme="minorHAnsi" w:hAnsiTheme="minorHAnsi"/>
        </w:rPr>
        <w:t xml:space="preserve"> </w:t>
      </w:r>
    </w:p>
    <w:p w14:paraId="78F2BE25" w14:textId="77777777" w:rsidR="009740A1" w:rsidRPr="00650291" w:rsidRDefault="009740A1" w:rsidP="009740A1">
      <w:pPr>
        <w:autoSpaceDE w:val="0"/>
        <w:autoSpaceDN w:val="0"/>
        <w:adjustRightInd w:val="0"/>
        <w:jc w:val="both"/>
        <w:rPr>
          <w:rFonts w:asciiTheme="minorHAnsi" w:hAnsiTheme="minorHAnsi"/>
        </w:rPr>
      </w:pPr>
      <w:r w:rsidRPr="00650291">
        <w:rPr>
          <w:rFonts w:asciiTheme="minorHAnsi" w:hAnsiTheme="minorHAnsi"/>
        </w:rPr>
        <w:t xml:space="preserve">To provide a complete picture of liquidity across the fragmented European market landscape, it should absolutely capture SI and OTC activity. Even non-price forming trades should be included, provided they are flagged properly. </w:t>
      </w:r>
    </w:p>
    <w:p w14:paraId="13757BB1" w14:textId="77777777" w:rsidR="009740A1" w:rsidRPr="00650291" w:rsidRDefault="009740A1" w:rsidP="009740A1">
      <w:pPr>
        <w:autoSpaceDE w:val="0"/>
        <w:autoSpaceDN w:val="0"/>
        <w:adjustRightInd w:val="0"/>
        <w:jc w:val="both"/>
        <w:rPr>
          <w:rFonts w:asciiTheme="minorHAnsi" w:hAnsiTheme="minorHAnsi"/>
        </w:rPr>
      </w:pPr>
    </w:p>
    <w:p w14:paraId="2355A11C" w14:textId="7169E9EA" w:rsidR="00010773" w:rsidRPr="009740A1" w:rsidRDefault="009740A1" w:rsidP="009740A1">
      <w:pPr>
        <w:autoSpaceDE w:val="0"/>
        <w:autoSpaceDN w:val="0"/>
        <w:adjustRightInd w:val="0"/>
        <w:jc w:val="both"/>
        <w:rPr>
          <w:rFonts w:asciiTheme="minorHAnsi" w:hAnsiTheme="minorHAnsi"/>
        </w:rPr>
      </w:pPr>
      <w:r w:rsidRPr="00650291">
        <w:rPr>
          <w:rFonts w:asciiTheme="minorHAnsi" w:hAnsiTheme="minorHAnsi"/>
        </w:rPr>
        <w:t xml:space="preserve">The CT should not be mandatory to consume (like in the US), nor should we introduce a protected quote rule in the EU. </w:t>
      </w:r>
    </w:p>
    <w:permEnd w:id="1610811230"/>
    <w:p w14:paraId="27126D11" w14:textId="77777777" w:rsidR="00010773" w:rsidRDefault="00010773" w:rsidP="00010773">
      <w:pPr>
        <w:rPr>
          <w:rFonts w:ascii="Arial" w:hAnsi="Arial" w:cs="Arial"/>
        </w:rPr>
      </w:pPr>
      <w:r>
        <w:rPr>
          <w:rFonts w:ascii="Arial" w:hAnsi="Arial" w:cs="Arial"/>
        </w:rPr>
        <w:t>&lt;ESMA_QUESTION_MDA_16&gt;</w:t>
      </w:r>
    </w:p>
    <w:p w14:paraId="08EEE581" w14:textId="77777777" w:rsidR="00010773" w:rsidRDefault="00010773" w:rsidP="00010773">
      <w:pPr>
        <w:rPr>
          <w:rFonts w:ascii="Arial" w:hAnsi="Arial" w:cs="Arial"/>
        </w:rPr>
      </w:pPr>
    </w:p>
    <w:p w14:paraId="4FE74A29" w14:textId="77777777" w:rsidR="00010773" w:rsidRDefault="00010773" w:rsidP="00010773">
      <w:pPr>
        <w:pStyle w:val="Questionstyle"/>
        <w:numPr>
          <w:ilvl w:val="0"/>
          <w:numId w:val="9"/>
        </w:numPr>
        <w:spacing w:after="250" w:line="276" w:lineRule="auto"/>
      </w:pPr>
      <w:r w:rsidRPr="00BC23CC">
        <w:t xml:space="preserve">: </w:t>
      </w:r>
      <w:r>
        <w:t>Do you agree that real-time post-trade data is available from both trading venues and APAs as well as data vendors and that the data is currently not covering 100% of the market, i.e. including all equity trading venues in the EU and all APAs reporting transactions in equity instruments? If not, please explain.</w:t>
      </w:r>
    </w:p>
    <w:p w14:paraId="7714E33E" w14:textId="77777777" w:rsidR="00010773" w:rsidRDefault="00010773" w:rsidP="00010773">
      <w:pPr>
        <w:rPr>
          <w:rFonts w:ascii="Arial" w:hAnsi="Arial" w:cs="Arial"/>
        </w:rPr>
      </w:pPr>
      <w:r>
        <w:rPr>
          <w:rFonts w:ascii="Arial" w:hAnsi="Arial" w:cs="Arial"/>
        </w:rPr>
        <w:t>&lt;ESMA_QUESTION_MDA_17&gt;</w:t>
      </w:r>
    </w:p>
    <w:p w14:paraId="3E43F8E7" w14:textId="77777777" w:rsidR="00B3152D" w:rsidRPr="00650291" w:rsidRDefault="00B3152D" w:rsidP="00B3152D">
      <w:pPr>
        <w:autoSpaceDE w:val="0"/>
        <w:autoSpaceDN w:val="0"/>
        <w:adjustRightInd w:val="0"/>
        <w:jc w:val="both"/>
        <w:rPr>
          <w:rFonts w:asciiTheme="minorHAnsi" w:hAnsiTheme="minorHAnsi"/>
        </w:rPr>
      </w:pPr>
      <w:permStart w:id="867970739" w:edGrp="everyone"/>
      <w:r w:rsidRPr="00650291">
        <w:rPr>
          <w:rFonts w:asciiTheme="minorHAnsi" w:eastAsia="Calibri" w:hAnsiTheme="minorHAnsi"/>
        </w:rPr>
        <w:t>FIA EPTA agrees</w:t>
      </w:r>
      <w:r w:rsidRPr="00650291">
        <w:rPr>
          <w:rFonts w:asciiTheme="minorHAnsi" w:hAnsiTheme="minorHAnsi"/>
        </w:rPr>
        <w:t xml:space="preserve"> that post-trade data is available from trading venues and APAs. While trades are reported, however, they are reported to different places, in different formats, making it difficult to assess the true liquidity. In particular</w:t>
      </w:r>
      <w:r>
        <w:rPr>
          <w:rFonts w:asciiTheme="minorHAnsi" w:hAnsiTheme="minorHAnsi"/>
        </w:rPr>
        <w:t>,</w:t>
      </w:r>
      <w:r w:rsidRPr="00650291">
        <w:rPr>
          <w:rFonts w:asciiTheme="minorHAnsi" w:hAnsiTheme="minorHAnsi"/>
        </w:rPr>
        <w:t xml:space="preserve"> APA data quality is </w:t>
      </w:r>
      <w:r w:rsidRPr="00650291">
        <w:rPr>
          <w:rFonts w:asciiTheme="minorHAnsi" w:hAnsiTheme="minorHAnsi"/>
        </w:rPr>
        <w:lastRenderedPageBreak/>
        <w:t>far from consistent, and delivery mechanisms are disparate and not easily machine</w:t>
      </w:r>
      <w:r>
        <w:rPr>
          <w:rFonts w:asciiTheme="minorHAnsi" w:hAnsiTheme="minorHAnsi"/>
        </w:rPr>
        <w:t>-</w:t>
      </w:r>
      <w:r w:rsidRPr="00650291">
        <w:rPr>
          <w:rFonts w:asciiTheme="minorHAnsi" w:hAnsiTheme="minorHAnsi"/>
        </w:rPr>
        <w:t xml:space="preserve">readable. </w:t>
      </w:r>
      <w:r w:rsidRPr="00650291">
        <w:rPr>
          <w:rFonts w:asciiTheme="minorHAnsi" w:eastAsia="Calibri" w:hAnsiTheme="minorHAnsi"/>
        </w:rPr>
        <w:t xml:space="preserve"> </w:t>
      </w:r>
      <w:r w:rsidRPr="00650291">
        <w:rPr>
          <w:rFonts w:asciiTheme="minorHAnsi" w:hAnsiTheme="minorHAnsi"/>
        </w:rPr>
        <w:t>The aggregate cost of all of these fragmented offerings is also extremely high</w:t>
      </w:r>
      <w:r w:rsidRPr="00650291">
        <w:rPr>
          <w:rFonts w:asciiTheme="minorHAnsi" w:eastAsia="Calibri" w:hAnsiTheme="minorHAnsi"/>
        </w:rPr>
        <w:t xml:space="preserve">. </w:t>
      </w:r>
      <w:bookmarkStart w:id="4" w:name="_Hlk17905158"/>
      <w:r w:rsidRPr="00650291">
        <w:rPr>
          <w:rFonts w:asciiTheme="minorHAnsi" w:eastAsia="Calibri" w:hAnsiTheme="minorHAnsi"/>
        </w:rPr>
        <w:t>In this regard</w:t>
      </w:r>
      <w:r>
        <w:rPr>
          <w:rFonts w:asciiTheme="minorHAnsi" w:eastAsia="Calibri" w:hAnsiTheme="minorHAnsi"/>
        </w:rPr>
        <w:t>,</w:t>
      </w:r>
      <w:r w:rsidRPr="00650291">
        <w:rPr>
          <w:rFonts w:asciiTheme="minorHAnsi" w:eastAsia="Calibri" w:hAnsiTheme="minorHAnsi"/>
        </w:rPr>
        <w:t xml:space="preserve"> we also make reference to our response to Questions 12 and 13 above</w:t>
      </w:r>
      <w:r w:rsidRPr="00650291">
        <w:rPr>
          <w:rFonts w:asciiTheme="minorHAnsi" w:hAnsiTheme="minorHAnsi"/>
        </w:rPr>
        <w:t>.</w:t>
      </w:r>
    </w:p>
    <w:bookmarkEnd w:id="4"/>
    <w:permEnd w:id="867970739"/>
    <w:p w14:paraId="05A017E9" w14:textId="77777777" w:rsidR="00010773" w:rsidRDefault="00010773" w:rsidP="00010773">
      <w:pPr>
        <w:rPr>
          <w:rFonts w:ascii="Arial" w:hAnsi="Arial" w:cs="Arial"/>
        </w:rPr>
      </w:pPr>
      <w:r>
        <w:rPr>
          <w:rFonts w:ascii="Arial" w:hAnsi="Arial" w:cs="Arial"/>
        </w:rPr>
        <w:t>&lt;ESMA_QUESTION_MDA_17&gt;</w:t>
      </w:r>
    </w:p>
    <w:p w14:paraId="69C1F2D3" w14:textId="77777777" w:rsidR="00010773" w:rsidRDefault="00010773" w:rsidP="00010773">
      <w:pPr>
        <w:rPr>
          <w:rFonts w:ascii="Arial" w:hAnsi="Arial" w:cs="Arial"/>
        </w:rPr>
      </w:pPr>
    </w:p>
    <w:p w14:paraId="508D76CC" w14:textId="77777777" w:rsidR="00010773" w:rsidRDefault="00010773" w:rsidP="00010773">
      <w:pPr>
        <w:pStyle w:val="Questionstyle"/>
        <w:numPr>
          <w:ilvl w:val="0"/>
          <w:numId w:val="9"/>
        </w:numPr>
        <w:spacing w:after="250" w:line="276" w:lineRule="auto"/>
      </w:pPr>
      <w:r w:rsidRPr="000553CD">
        <w:t>: Do you agree that post-trade data is provided on a timely basis and meets the requirements set out in MiFID II/MiFIR and in the level 2 provisions? If not, please explain.</w:t>
      </w:r>
    </w:p>
    <w:p w14:paraId="5E134A65" w14:textId="77777777" w:rsidR="00010773" w:rsidRDefault="00010773" w:rsidP="00010773">
      <w:pPr>
        <w:rPr>
          <w:rFonts w:ascii="Arial" w:hAnsi="Arial" w:cs="Arial"/>
        </w:rPr>
      </w:pPr>
      <w:r>
        <w:rPr>
          <w:rFonts w:ascii="Arial" w:hAnsi="Arial" w:cs="Arial"/>
        </w:rPr>
        <w:t>&lt;ESMA_QUESTION_MDA_18&gt;</w:t>
      </w:r>
    </w:p>
    <w:p w14:paraId="251A002D" w14:textId="29D5FB89" w:rsidR="00010773" w:rsidRPr="009F1107" w:rsidRDefault="009F1107" w:rsidP="009F1107">
      <w:pPr>
        <w:autoSpaceDE w:val="0"/>
        <w:autoSpaceDN w:val="0"/>
        <w:adjustRightInd w:val="0"/>
        <w:jc w:val="both"/>
        <w:rPr>
          <w:rFonts w:asciiTheme="minorHAnsi" w:hAnsiTheme="minorHAnsi"/>
        </w:rPr>
      </w:pPr>
      <w:permStart w:id="1366194646" w:edGrp="everyone"/>
      <w:r w:rsidRPr="00650291">
        <w:rPr>
          <w:rFonts w:asciiTheme="minorHAnsi" w:hAnsiTheme="minorHAnsi"/>
        </w:rPr>
        <w:t xml:space="preserve">As above, </w:t>
      </w:r>
      <w:r w:rsidRPr="00650291">
        <w:rPr>
          <w:rFonts w:asciiTheme="minorHAnsi" w:eastAsia="Calibri" w:hAnsiTheme="minorHAnsi"/>
        </w:rPr>
        <w:t>FIA EPTA believes</w:t>
      </w:r>
      <w:r w:rsidRPr="00650291">
        <w:rPr>
          <w:rFonts w:asciiTheme="minorHAnsi" w:hAnsiTheme="minorHAnsi"/>
        </w:rPr>
        <w:t xml:space="preserve"> the current challenge lies with the inconsistency of data quality and disparate delivery mechanisms (such as flashing information on websites) that make it difficult for market participants to actually use the post-trade data. </w:t>
      </w:r>
      <w:r w:rsidRPr="00650291">
        <w:rPr>
          <w:rFonts w:asciiTheme="minorHAnsi" w:eastAsia="Calibri" w:hAnsiTheme="minorHAnsi"/>
        </w:rPr>
        <w:t>In this regard</w:t>
      </w:r>
      <w:r>
        <w:rPr>
          <w:rFonts w:asciiTheme="minorHAnsi" w:eastAsia="Calibri" w:hAnsiTheme="minorHAnsi"/>
        </w:rPr>
        <w:t>,</w:t>
      </w:r>
      <w:r w:rsidRPr="00650291">
        <w:rPr>
          <w:rFonts w:asciiTheme="minorHAnsi" w:eastAsia="Calibri" w:hAnsiTheme="minorHAnsi"/>
        </w:rPr>
        <w:t xml:space="preserve"> we also make reference to our response to Questions 12 and 13 above.</w:t>
      </w:r>
    </w:p>
    <w:permEnd w:id="1366194646"/>
    <w:p w14:paraId="71857F02" w14:textId="77777777" w:rsidR="00010773" w:rsidRDefault="00010773" w:rsidP="00010773">
      <w:pPr>
        <w:rPr>
          <w:rFonts w:ascii="Arial" w:hAnsi="Arial" w:cs="Arial"/>
        </w:rPr>
      </w:pPr>
      <w:r>
        <w:rPr>
          <w:rFonts w:ascii="Arial" w:hAnsi="Arial" w:cs="Arial"/>
        </w:rPr>
        <w:t>&lt;ESMA_QUESTION_MDA_18&gt;</w:t>
      </w:r>
    </w:p>
    <w:p w14:paraId="29666691" w14:textId="77777777" w:rsidR="00010773" w:rsidRDefault="00010773" w:rsidP="00010773">
      <w:pPr>
        <w:rPr>
          <w:rFonts w:ascii="Arial" w:hAnsi="Arial" w:cs="Arial"/>
        </w:rPr>
      </w:pPr>
    </w:p>
    <w:p w14:paraId="58797F72" w14:textId="77777777" w:rsidR="00010773" w:rsidRDefault="00010773" w:rsidP="00010773">
      <w:pPr>
        <w:pStyle w:val="Questionstyle"/>
        <w:numPr>
          <w:ilvl w:val="0"/>
          <w:numId w:val="9"/>
        </w:numPr>
        <w:spacing w:after="250" w:line="276" w:lineRule="auto"/>
      </w:pPr>
      <w:r w:rsidRPr="000553CD">
        <w:t xml:space="preserve">: Do you agree with the issues on the content of data and the use different data standards identified or do you consider that important issues are missing and/or not correctly presented? </w:t>
      </w:r>
    </w:p>
    <w:p w14:paraId="481B3026" w14:textId="77777777" w:rsidR="00010773" w:rsidRDefault="00010773" w:rsidP="00010773">
      <w:pPr>
        <w:rPr>
          <w:rFonts w:ascii="Arial" w:hAnsi="Arial" w:cs="Arial"/>
        </w:rPr>
      </w:pPr>
      <w:r>
        <w:rPr>
          <w:rFonts w:ascii="Arial" w:hAnsi="Arial" w:cs="Arial"/>
        </w:rPr>
        <w:t>&lt;ESMA_QUESTION_MDA_19&gt;</w:t>
      </w:r>
    </w:p>
    <w:p w14:paraId="561305AF" w14:textId="25152401" w:rsidR="00010773" w:rsidRPr="00482034" w:rsidRDefault="00482034" w:rsidP="00482034">
      <w:pPr>
        <w:autoSpaceDE w:val="0"/>
        <w:autoSpaceDN w:val="0"/>
        <w:adjustRightInd w:val="0"/>
        <w:jc w:val="both"/>
        <w:rPr>
          <w:rFonts w:asciiTheme="minorHAnsi" w:hAnsiTheme="minorHAnsi"/>
        </w:rPr>
      </w:pPr>
      <w:permStart w:id="6962216" w:edGrp="everyone"/>
      <w:r w:rsidRPr="00650291">
        <w:rPr>
          <w:rFonts w:asciiTheme="minorHAnsi" w:eastAsia="Calibri" w:hAnsiTheme="minorHAnsi"/>
        </w:rPr>
        <w:t>FIA EPTA agrees</w:t>
      </w:r>
      <w:r w:rsidRPr="00650291">
        <w:rPr>
          <w:rFonts w:asciiTheme="minorHAnsi" w:hAnsiTheme="minorHAnsi"/>
        </w:rPr>
        <w:t xml:space="preserve"> with ESMA that a first and indispensable step is to ensure a high degree of data quality and the use of the same, or at least easily comparable data standards, across trading venues and APAs. However, we would not let “better” be the enemy of “good” and would recommend starting on a CTP as soon as possible, using its existence to further leverage and enforce data quality improvements.</w:t>
      </w:r>
    </w:p>
    <w:permEnd w:id="6962216"/>
    <w:p w14:paraId="32CDE949" w14:textId="77777777" w:rsidR="00010773" w:rsidRDefault="00010773" w:rsidP="00010773">
      <w:pPr>
        <w:rPr>
          <w:rFonts w:ascii="Arial" w:hAnsi="Arial" w:cs="Arial"/>
        </w:rPr>
      </w:pPr>
      <w:r>
        <w:rPr>
          <w:rFonts w:ascii="Arial" w:hAnsi="Arial" w:cs="Arial"/>
        </w:rPr>
        <w:t>&lt;ESMA_QUESTION_MDA_19&gt;</w:t>
      </w:r>
    </w:p>
    <w:p w14:paraId="207B5FC7" w14:textId="77777777" w:rsidR="00010773" w:rsidRDefault="00010773" w:rsidP="00010773">
      <w:pPr>
        <w:rPr>
          <w:rFonts w:ascii="Arial" w:hAnsi="Arial" w:cs="Arial"/>
        </w:rPr>
      </w:pPr>
    </w:p>
    <w:p w14:paraId="381608FF" w14:textId="77777777" w:rsidR="00010773" w:rsidRDefault="00010773" w:rsidP="00010773">
      <w:pPr>
        <w:pStyle w:val="Questionstyle"/>
        <w:numPr>
          <w:ilvl w:val="0"/>
          <w:numId w:val="9"/>
        </w:numPr>
        <w:spacing w:after="250" w:line="276" w:lineRule="auto"/>
      </w:pPr>
      <w:r w:rsidRPr="000553CD">
        <w:t>:</w:t>
      </w:r>
      <w:r>
        <w:t xml:space="preserve"> </w:t>
      </w:r>
      <w:r w:rsidRPr="000553CD">
        <w:t>Do you agree that the observed deficiencies make it challenging to consolidate data in a real-time data feed? If yes, how could those deficiencies best be tackled in your view?</w:t>
      </w:r>
    </w:p>
    <w:p w14:paraId="4063DEDA" w14:textId="77777777" w:rsidR="00010773" w:rsidRDefault="00010773" w:rsidP="00010773">
      <w:pPr>
        <w:rPr>
          <w:rFonts w:ascii="Arial" w:hAnsi="Arial" w:cs="Arial"/>
        </w:rPr>
      </w:pPr>
      <w:r>
        <w:rPr>
          <w:rFonts w:ascii="Arial" w:hAnsi="Arial" w:cs="Arial"/>
        </w:rPr>
        <w:t>&lt;ESMA_QUESTION_MDA_20&gt;</w:t>
      </w:r>
    </w:p>
    <w:p w14:paraId="191970ED" w14:textId="77777777" w:rsidR="00336C49" w:rsidRPr="00650291" w:rsidRDefault="00336C49" w:rsidP="00336C49">
      <w:pPr>
        <w:autoSpaceDE w:val="0"/>
        <w:autoSpaceDN w:val="0"/>
        <w:adjustRightInd w:val="0"/>
        <w:jc w:val="both"/>
        <w:rPr>
          <w:rFonts w:asciiTheme="minorHAnsi" w:hAnsiTheme="minorHAnsi"/>
        </w:rPr>
      </w:pPr>
      <w:permStart w:id="971839347" w:edGrp="everyone"/>
      <w:r w:rsidRPr="00650291">
        <w:rPr>
          <w:rFonts w:asciiTheme="minorHAnsi" w:hAnsiTheme="minorHAnsi"/>
        </w:rPr>
        <w:t xml:space="preserve">Currently, given that not all trading venues use a common standard, brokers have no standard to use which makes it more difficult to compare data. This is reflected in the lack of consistency between broker reports. A harmonised standard, such as </w:t>
      </w:r>
      <w:r w:rsidRPr="00650291">
        <w:rPr>
          <w:rFonts w:asciiTheme="minorHAnsi" w:eastAsia="Calibri" w:hAnsiTheme="minorHAnsi"/>
        </w:rPr>
        <w:t>the Market Model Typology (</w:t>
      </w:r>
      <w:r w:rsidRPr="00650291">
        <w:rPr>
          <w:rFonts w:asciiTheme="minorHAnsi" w:hAnsiTheme="minorHAnsi"/>
        </w:rPr>
        <w:t>MMT</w:t>
      </w:r>
      <w:r w:rsidRPr="00650291">
        <w:rPr>
          <w:rFonts w:asciiTheme="minorHAnsi" w:eastAsia="Calibri" w:hAnsiTheme="minorHAnsi"/>
        </w:rPr>
        <w:t>),</w:t>
      </w:r>
      <w:r w:rsidRPr="00650291">
        <w:rPr>
          <w:rFonts w:asciiTheme="minorHAnsi" w:hAnsiTheme="minorHAnsi"/>
        </w:rPr>
        <w:t xml:space="preserve"> that would be enforced would be helpful. The long</w:t>
      </w:r>
      <w:r w:rsidRPr="00650291">
        <w:rPr>
          <w:rFonts w:asciiTheme="minorHAnsi" w:eastAsia="Calibri" w:hAnsiTheme="minorHAnsi"/>
        </w:rPr>
        <w:t>-</w:t>
      </w:r>
      <w:r w:rsidRPr="00650291">
        <w:rPr>
          <w:rFonts w:asciiTheme="minorHAnsi" w:hAnsiTheme="minorHAnsi"/>
        </w:rPr>
        <w:t>term benefit would be worth the one</w:t>
      </w:r>
      <w:r w:rsidRPr="00650291">
        <w:rPr>
          <w:rFonts w:asciiTheme="minorHAnsi" w:eastAsia="Calibri" w:hAnsiTheme="minorHAnsi"/>
        </w:rPr>
        <w:t>-</w:t>
      </w:r>
      <w:r w:rsidRPr="00650291">
        <w:rPr>
          <w:rFonts w:asciiTheme="minorHAnsi" w:hAnsiTheme="minorHAnsi"/>
        </w:rPr>
        <w:t>off cost for change (in particular IT cost). Moreover, it would improve data exchange in the future and thus reduce recurring costs.</w:t>
      </w:r>
    </w:p>
    <w:p w14:paraId="000E0074" w14:textId="77777777" w:rsidR="00336C49" w:rsidRPr="00650291" w:rsidRDefault="00336C49" w:rsidP="00336C49">
      <w:pPr>
        <w:autoSpaceDE w:val="0"/>
        <w:autoSpaceDN w:val="0"/>
        <w:adjustRightInd w:val="0"/>
        <w:jc w:val="both"/>
        <w:rPr>
          <w:rFonts w:asciiTheme="minorHAnsi" w:hAnsiTheme="minorHAnsi"/>
        </w:rPr>
      </w:pPr>
    </w:p>
    <w:p w14:paraId="34341924" w14:textId="77777777" w:rsidR="00336C49" w:rsidRPr="00650291" w:rsidRDefault="00336C49" w:rsidP="00336C49">
      <w:pPr>
        <w:autoSpaceDE w:val="0"/>
        <w:autoSpaceDN w:val="0"/>
        <w:adjustRightInd w:val="0"/>
        <w:jc w:val="both"/>
        <w:rPr>
          <w:rFonts w:asciiTheme="minorHAnsi" w:hAnsiTheme="minorHAnsi"/>
        </w:rPr>
      </w:pPr>
      <w:r w:rsidRPr="00650291">
        <w:rPr>
          <w:rFonts w:asciiTheme="minorHAnsi" w:hAnsiTheme="minorHAnsi"/>
        </w:rPr>
        <w:t>However, we would not let “better” be the enemy of “good” and would recommend starting on a CTP as soon as possible, using its existence to further leverage and enforce data quality improvements. As noted by ESMA, data vendors already have demonstrated that post-trade data can be successfully consolidated.</w:t>
      </w:r>
    </w:p>
    <w:p w14:paraId="4DB539FE" w14:textId="77777777" w:rsidR="00336C49" w:rsidRPr="00650291" w:rsidRDefault="00336C49" w:rsidP="00336C49">
      <w:pPr>
        <w:autoSpaceDE w:val="0"/>
        <w:autoSpaceDN w:val="0"/>
        <w:adjustRightInd w:val="0"/>
        <w:jc w:val="both"/>
        <w:rPr>
          <w:rFonts w:asciiTheme="minorHAnsi" w:hAnsiTheme="minorHAnsi"/>
        </w:rPr>
      </w:pPr>
    </w:p>
    <w:p w14:paraId="3C7EAA6D" w14:textId="77777777" w:rsidR="00336C49" w:rsidRPr="00650291" w:rsidRDefault="00336C49" w:rsidP="00336C49">
      <w:pPr>
        <w:autoSpaceDE w:val="0"/>
        <w:autoSpaceDN w:val="0"/>
        <w:adjustRightInd w:val="0"/>
        <w:jc w:val="both"/>
        <w:rPr>
          <w:rFonts w:asciiTheme="minorHAnsi" w:hAnsiTheme="minorHAnsi"/>
        </w:rPr>
      </w:pPr>
      <w:r w:rsidRPr="00650291">
        <w:rPr>
          <w:rFonts w:asciiTheme="minorHAnsi" w:hAnsiTheme="minorHAnsi"/>
          <w:u w:val="single"/>
        </w:rPr>
        <w:t>Industry standard</w:t>
      </w:r>
      <w:r w:rsidRPr="00650291">
        <w:rPr>
          <w:rFonts w:asciiTheme="minorHAnsi" w:hAnsiTheme="minorHAnsi"/>
        </w:rPr>
        <w:t xml:space="preserve">: </w:t>
      </w:r>
      <w:r w:rsidRPr="00650291">
        <w:rPr>
          <w:rFonts w:asciiTheme="minorHAnsi" w:eastAsia="Calibri" w:hAnsiTheme="minorHAnsi"/>
        </w:rPr>
        <w:t>FIA EPTA believes</w:t>
      </w:r>
      <w:r w:rsidRPr="00650291">
        <w:rPr>
          <w:rFonts w:asciiTheme="minorHAnsi" w:hAnsiTheme="minorHAnsi"/>
        </w:rPr>
        <w:t xml:space="preserve"> one way in which to tackle these deficiencies would be to make </w:t>
      </w:r>
      <w:r w:rsidRPr="00650291">
        <w:rPr>
          <w:rFonts w:asciiTheme="minorHAnsi" w:eastAsia="Calibri" w:hAnsiTheme="minorHAnsi"/>
        </w:rPr>
        <w:t>compulsory</w:t>
      </w:r>
      <w:r w:rsidRPr="00650291">
        <w:rPr>
          <w:rFonts w:asciiTheme="minorHAnsi" w:hAnsiTheme="minorHAnsi"/>
        </w:rPr>
        <w:t xml:space="preserve"> the use of the MMT</w:t>
      </w:r>
      <w:r w:rsidRPr="00650291">
        <w:rPr>
          <w:rFonts w:asciiTheme="minorHAnsi" w:eastAsia="Calibri" w:hAnsiTheme="minorHAnsi"/>
        </w:rPr>
        <w:t xml:space="preserve"> </w:t>
      </w:r>
      <w:r w:rsidRPr="00650291">
        <w:rPr>
          <w:rFonts w:asciiTheme="minorHAnsi" w:hAnsiTheme="minorHAnsi"/>
        </w:rPr>
        <w:t>industry standard</w:t>
      </w:r>
      <w:r w:rsidRPr="00650291">
        <w:rPr>
          <w:rFonts w:asciiTheme="minorHAnsi" w:eastAsia="Calibri" w:hAnsiTheme="minorHAnsi"/>
        </w:rPr>
        <w:t xml:space="preserve">. </w:t>
      </w:r>
      <w:r w:rsidRPr="00650291">
        <w:rPr>
          <w:rFonts w:asciiTheme="minorHAnsi" w:hAnsiTheme="minorHAnsi"/>
        </w:rPr>
        <w:t xml:space="preserve">MMT is an </w:t>
      </w:r>
      <w:r w:rsidRPr="00650291">
        <w:rPr>
          <w:rFonts w:asciiTheme="minorHAnsi" w:hAnsiTheme="minorHAnsi"/>
        </w:rPr>
        <w:lastRenderedPageBreak/>
        <w:t xml:space="preserve">industry initiative that is overseen by </w:t>
      </w:r>
      <w:r w:rsidRPr="00650291">
        <w:rPr>
          <w:rFonts w:asciiTheme="minorHAnsi" w:eastAsia="Calibri" w:hAnsiTheme="minorHAnsi"/>
        </w:rPr>
        <w:t xml:space="preserve">the </w:t>
      </w:r>
      <w:r w:rsidRPr="00650291">
        <w:rPr>
          <w:rFonts w:asciiTheme="minorHAnsi" w:hAnsiTheme="minorHAnsi"/>
        </w:rPr>
        <w:t xml:space="preserve">FIX </w:t>
      </w:r>
      <w:r w:rsidRPr="00650291">
        <w:rPr>
          <w:rFonts w:asciiTheme="minorHAnsi" w:eastAsia="Calibri" w:hAnsiTheme="minorHAnsi"/>
        </w:rPr>
        <w:t>Trading Community</w:t>
      </w:r>
      <w:r w:rsidRPr="00650291">
        <w:rPr>
          <w:rFonts w:asciiTheme="minorHAnsi" w:hAnsiTheme="minorHAnsi"/>
        </w:rPr>
        <w:t xml:space="preserve"> and adopted by trading venues such as exchanges and SIs. Almost all exchanges contributed to the development of MMT, and it was developed by market data experts. MMT helps to pass the same information in the same format down the line to improve the visibility of data based on clear implementation documentation. It has been optimised for and is compatible with </w:t>
      </w:r>
      <w:r w:rsidRPr="00650291">
        <w:rPr>
          <w:rFonts w:asciiTheme="minorHAnsi" w:eastAsia="Calibri" w:hAnsiTheme="minorHAnsi"/>
        </w:rPr>
        <w:t xml:space="preserve">MiFID II </w:t>
      </w:r>
      <w:r w:rsidRPr="00650291">
        <w:rPr>
          <w:rFonts w:asciiTheme="minorHAnsi" w:hAnsiTheme="minorHAnsi"/>
        </w:rPr>
        <w:t>RTS1 and RTS2, and the fact that there has been no need for change since MiFID II was introduced attests to its stability. It is already applied by almost all major European stock exchanges.</w:t>
      </w:r>
    </w:p>
    <w:p w14:paraId="625CF9AD" w14:textId="77777777" w:rsidR="00336C49" w:rsidRPr="00650291" w:rsidRDefault="00336C49" w:rsidP="00336C49">
      <w:pPr>
        <w:autoSpaceDE w:val="0"/>
        <w:autoSpaceDN w:val="0"/>
        <w:adjustRightInd w:val="0"/>
        <w:jc w:val="both"/>
        <w:rPr>
          <w:rFonts w:asciiTheme="minorHAnsi" w:hAnsiTheme="minorHAnsi"/>
        </w:rPr>
      </w:pPr>
    </w:p>
    <w:p w14:paraId="23E35923" w14:textId="77777777" w:rsidR="00336C49" w:rsidRPr="00650291" w:rsidRDefault="00336C49" w:rsidP="00336C49">
      <w:pPr>
        <w:autoSpaceDE w:val="0"/>
        <w:autoSpaceDN w:val="0"/>
        <w:adjustRightInd w:val="0"/>
        <w:jc w:val="both"/>
        <w:rPr>
          <w:rFonts w:asciiTheme="minorHAnsi" w:hAnsiTheme="minorHAnsi"/>
        </w:rPr>
      </w:pPr>
      <w:r w:rsidRPr="00650291">
        <w:rPr>
          <w:rFonts w:asciiTheme="minorHAnsi" w:hAnsiTheme="minorHAnsi"/>
        </w:rPr>
        <w:t xml:space="preserve">One drawback may be that MMT is </w:t>
      </w:r>
      <w:r w:rsidRPr="00650291">
        <w:rPr>
          <w:rFonts w:asciiTheme="minorHAnsi" w:eastAsia="Calibri" w:hAnsiTheme="minorHAnsi"/>
        </w:rPr>
        <w:t>perceived</w:t>
      </w:r>
      <w:r w:rsidRPr="00650291">
        <w:rPr>
          <w:rFonts w:asciiTheme="minorHAnsi" w:hAnsiTheme="minorHAnsi"/>
        </w:rPr>
        <w:t xml:space="preserve"> as equity focused and not as generally adopted in fixed income. However, as above, we recommend the CTP look to the better data quality of equities as a way forward as the CT extends to additional asset classes.</w:t>
      </w:r>
    </w:p>
    <w:p w14:paraId="63DF4DC8" w14:textId="77777777" w:rsidR="00336C49" w:rsidRPr="00650291" w:rsidRDefault="00336C49" w:rsidP="00336C49">
      <w:pPr>
        <w:autoSpaceDE w:val="0"/>
        <w:autoSpaceDN w:val="0"/>
        <w:adjustRightInd w:val="0"/>
        <w:jc w:val="both"/>
        <w:rPr>
          <w:rFonts w:asciiTheme="minorHAnsi" w:hAnsiTheme="minorHAnsi"/>
        </w:rPr>
      </w:pPr>
    </w:p>
    <w:p w14:paraId="08B7E918" w14:textId="77777777" w:rsidR="00336C49" w:rsidRPr="00650291" w:rsidRDefault="00336C49" w:rsidP="00336C49">
      <w:pPr>
        <w:autoSpaceDE w:val="0"/>
        <w:autoSpaceDN w:val="0"/>
        <w:adjustRightInd w:val="0"/>
        <w:jc w:val="both"/>
        <w:rPr>
          <w:rFonts w:asciiTheme="minorHAnsi" w:hAnsiTheme="minorHAnsi"/>
        </w:rPr>
      </w:pPr>
      <w:r w:rsidRPr="00650291">
        <w:rPr>
          <w:rFonts w:asciiTheme="minorHAnsi" w:hAnsiTheme="minorHAnsi"/>
          <w:u w:val="single"/>
        </w:rPr>
        <w:t>Responsibility</w:t>
      </w:r>
      <w:r w:rsidRPr="00650291">
        <w:rPr>
          <w:rFonts w:asciiTheme="minorHAnsi" w:hAnsiTheme="minorHAnsi"/>
        </w:rPr>
        <w:t>: The quality of reference data (FITRS and FIRDS databases) also requires attention. In particular, errors in these databases</w:t>
      </w:r>
      <w:r w:rsidRPr="00650291">
        <w:rPr>
          <w:rFonts w:asciiTheme="minorHAnsi" w:eastAsia="Calibri" w:hAnsiTheme="minorHAnsi"/>
        </w:rPr>
        <w:t>,</w:t>
      </w:r>
      <w:r w:rsidRPr="00650291">
        <w:rPr>
          <w:rFonts w:asciiTheme="minorHAnsi" w:hAnsiTheme="minorHAnsi"/>
        </w:rPr>
        <w:t xml:space="preserve"> if unaddressed</w:t>
      </w:r>
      <w:r w:rsidRPr="00650291">
        <w:rPr>
          <w:rFonts w:asciiTheme="minorHAnsi" w:eastAsia="Calibri" w:hAnsiTheme="minorHAnsi"/>
        </w:rPr>
        <w:t>,</w:t>
      </w:r>
      <w:r w:rsidRPr="00650291">
        <w:rPr>
          <w:rFonts w:asciiTheme="minorHAnsi" w:hAnsiTheme="minorHAnsi"/>
        </w:rPr>
        <w:t xml:space="preserve"> feed through into further uses of the data. Another key way to tackle data deficiencies is to clarify who in the market is end-responsible for data quality. In this regard, we believe ESMA is best placed for the overall oversight of data quality. Currently, responsibility appears to reside with market participants. </w:t>
      </w:r>
    </w:p>
    <w:p w14:paraId="127605BA" w14:textId="77777777" w:rsidR="00336C49" w:rsidRPr="00650291" w:rsidRDefault="00336C49" w:rsidP="00336C49">
      <w:pPr>
        <w:autoSpaceDE w:val="0"/>
        <w:autoSpaceDN w:val="0"/>
        <w:adjustRightInd w:val="0"/>
        <w:jc w:val="both"/>
        <w:rPr>
          <w:rFonts w:asciiTheme="minorHAnsi" w:hAnsiTheme="minorHAnsi"/>
        </w:rPr>
      </w:pPr>
    </w:p>
    <w:p w14:paraId="54C67966" w14:textId="77777777" w:rsidR="00336C49" w:rsidRPr="00650291" w:rsidRDefault="00336C49" w:rsidP="00336C49">
      <w:pPr>
        <w:autoSpaceDE w:val="0"/>
        <w:autoSpaceDN w:val="0"/>
        <w:adjustRightInd w:val="0"/>
        <w:jc w:val="both"/>
        <w:rPr>
          <w:rFonts w:asciiTheme="minorHAnsi" w:hAnsiTheme="minorHAnsi"/>
        </w:rPr>
      </w:pPr>
      <w:r w:rsidRPr="00650291">
        <w:rPr>
          <w:rFonts w:asciiTheme="minorHAnsi" w:hAnsiTheme="minorHAnsi"/>
          <w:u w:val="single"/>
        </w:rPr>
        <w:t>Enforcement</w:t>
      </w:r>
      <w:r w:rsidRPr="00650291">
        <w:rPr>
          <w:rFonts w:asciiTheme="minorHAnsi" w:hAnsiTheme="minorHAnsi"/>
        </w:rPr>
        <w:t>: Finally, enforcement is another critical tool for obtaining data quality. Adapting IT systems may not be a priority for smaller market participants, but it should not be cheaper to pay a fine for not fulfilling the legal requirements on data than it is to comply. Likewise, we understand that, while quality is improving, the overall data quality of APAs is sub-par compared to exchanges. This is one reason we believe APA data is currently less in demand, as there is no guarantee regarding the overall data quality.</w:t>
      </w:r>
    </w:p>
    <w:p w14:paraId="5D2C2D2C" w14:textId="77777777" w:rsidR="00336C49" w:rsidRPr="00650291" w:rsidRDefault="00336C49" w:rsidP="00336C49">
      <w:pPr>
        <w:autoSpaceDE w:val="0"/>
        <w:autoSpaceDN w:val="0"/>
        <w:adjustRightInd w:val="0"/>
        <w:jc w:val="both"/>
        <w:rPr>
          <w:rFonts w:asciiTheme="minorHAnsi" w:hAnsiTheme="minorHAnsi"/>
        </w:rPr>
      </w:pPr>
    </w:p>
    <w:p w14:paraId="02CDD924" w14:textId="77777777" w:rsidR="00336C49" w:rsidRPr="00650291" w:rsidRDefault="00336C49" w:rsidP="00336C49">
      <w:pPr>
        <w:autoSpaceDE w:val="0"/>
        <w:autoSpaceDN w:val="0"/>
        <w:adjustRightInd w:val="0"/>
        <w:jc w:val="both"/>
        <w:rPr>
          <w:rFonts w:asciiTheme="minorHAnsi" w:hAnsiTheme="minorHAnsi"/>
        </w:rPr>
      </w:pPr>
      <w:r w:rsidRPr="00650291">
        <w:rPr>
          <w:rFonts w:asciiTheme="minorHAnsi" w:hAnsiTheme="minorHAnsi"/>
        </w:rPr>
        <w:t>One reason for the inferior data quality is attributed to a lack of enforcement. Guidance by ESMA on appropriate flags would therefore be welcomed. Furthermore,</w:t>
      </w:r>
      <w:r w:rsidRPr="00650291">
        <w:rPr>
          <w:rFonts w:asciiTheme="minorHAnsi" w:eastAsia="Calibri" w:hAnsiTheme="minorHAnsi"/>
        </w:rPr>
        <w:t xml:space="preserve"> FIA EPTA believes</w:t>
      </w:r>
      <w:r w:rsidRPr="00650291">
        <w:rPr>
          <w:rFonts w:asciiTheme="minorHAnsi" w:hAnsiTheme="minorHAnsi"/>
        </w:rPr>
        <w:t xml:space="preserve"> ESMA is the most appropriate body to supervise overall data quality, including mandating the use of MMT. The mandate should be complemented with proper standards on how to implement MMT to limit room for interpretation. In order to ensure a level playing field and the consistent application of the relevant rules across the Union, we believe ESMA should be charged with the supervision and enforcement of trade reporting and should carry out regular audits of trading venues and APAs. </w:t>
      </w:r>
    </w:p>
    <w:p w14:paraId="2E0FD9A0" w14:textId="77777777" w:rsidR="00336C49" w:rsidRPr="00650291" w:rsidRDefault="00336C49" w:rsidP="00336C49">
      <w:pPr>
        <w:autoSpaceDE w:val="0"/>
        <w:autoSpaceDN w:val="0"/>
        <w:adjustRightInd w:val="0"/>
        <w:jc w:val="both"/>
        <w:rPr>
          <w:rFonts w:asciiTheme="minorHAnsi" w:hAnsiTheme="minorHAnsi"/>
        </w:rPr>
      </w:pPr>
    </w:p>
    <w:p w14:paraId="52691E39" w14:textId="3C825FBA" w:rsidR="00010773" w:rsidRPr="00336C49" w:rsidRDefault="00336C49" w:rsidP="00336C49">
      <w:pPr>
        <w:autoSpaceDE w:val="0"/>
        <w:autoSpaceDN w:val="0"/>
        <w:adjustRightInd w:val="0"/>
        <w:jc w:val="both"/>
        <w:rPr>
          <w:rFonts w:asciiTheme="minorHAnsi" w:hAnsiTheme="minorHAnsi"/>
        </w:rPr>
      </w:pPr>
      <w:r w:rsidRPr="00650291">
        <w:rPr>
          <w:rFonts w:asciiTheme="minorHAnsi" w:hAnsiTheme="minorHAnsi"/>
        </w:rPr>
        <w:t>Data quality should be safeguarded throughout the chain of transmission, with accountability at all levels (venue, APA, CTP). Situated at the end of the chain, a CTP would have no way to check and correct data that is handed to it. In this way, we believe we need cascading enforcement of standards: with overall responsibility vested in ESMA, and APAs, in turn, controlling and enforcing the data quality of SIs and OTC reporters.</w:t>
      </w:r>
    </w:p>
    <w:permEnd w:id="971839347"/>
    <w:p w14:paraId="25B9400F" w14:textId="77777777" w:rsidR="00010773" w:rsidRDefault="00010773" w:rsidP="00010773">
      <w:pPr>
        <w:rPr>
          <w:rFonts w:ascii="Arial" w:hAnsi="Arial" w:cs="Arial"/>
        </w:rPr>
      </w:pPr>
      <w:r>
        <w:rPr>
          <w:rFonts w:ascii="Arial" w:hAnsi="Arial" w:cs="Arial"/>
        </w:rPr>
        <w:t>&lt;ESMA_QUESTION_MDA_20&gt;</w:t>
      </w:r>
    </w:p>
    <w:p w14:paraId="4EDB40A3" w14:textId="77777777" w:rsidR="00010773" w:rsidRDefault="00010773" w:rsidP="00010773">
      <w:pPr>
        <w:rPr>
          <w:rFonts w:ascii="Arial" w:hAnsi="Arial" w:cs="Arial"/>
        </w:rPr>
      </w:pPr>
    </w:p>
    <w:p w14:paraId="4C4B881A" w14:textId="77777777" w:rsidR="00010773" w:rsidRDefault="00010773" w:rsidP="00010773">
      <w:pPr>
        <w:pStyle w:val="Questionstyle"/>
        <w:numPr>
          <w:ilvl w:val="0"/>
          <w:numId w:val="9"/>
        </w:numPr>
        <w:spacing w:after="250" w:line="276" w:lineRule="auto"/>
      </w:pPr>
      <w:r w:rsidRPr="00DB161B">
        <w:t>:</w:t>
      </w:r>
      <w:r>
        <w:t xml:space="preserve"> </w:t>
      </w:r>
      <w:r w:rsidRPr="00DB161B">
        <w:t xml:space="preserve">What are the risks of not having a CTP and the benefits of having </w:t>
      </w:r>
      <w:r>
        <w:t>one</w:t>
      </w:r>
      <w:r w:rsidRPr="00DB161B">
        <w:t>?</w:t>
      </w:r>
    </w:p>
    <w:p w14:paraId="08B133F3" w14:textId="77777777" w:rsidR="00010773" w:rsidRDefault="00010773" w:rsidP="00010773">
      <w:pPr>
        <w:rPr>
          <w:rFonts w:ascii="Arial" w:hAnsi="Arial" w:cs="Arial"/>
        </w:rPr>
      </w:pPr>
      <w:r>
        <w:rPr>
          <w:rFonts w:ascii="Arial" w:hAnsi="Arial" w:cs="Arial"/>
        </w:rPr>
        <w:t>&lt;ESMA_QUESTION_MDA_21&gt;</w:t>
      </w:r>
    </w:p>
    <w:p w14:paraId="25861E6D" w14:textId="77777777" w:rsidR="00B142C7" w:rsidRPr="00650291" w:rsidRDefault="00B142C7" w:rsidP="00B142C7">
      <w:pPr>
        <w:jc w:val="both"/>
        <w:rPr>
          <w:rFonts w:asciiTheme="minorHAnsi" w:hAnsiTheme="minorHAnsi"/>
        </w:rPr>
      </w:pPr>
      <w:permStart w:id="1442348646" w:edGrp="everyone"/>
      <w:r w:rsidRPr="00650291">
        <w:rPr>
          <w:rFonts w:asciiTheme="minorHAnsi" w:eastAsia="Calibri" w:hAnsiTheme="minorHAnsi"/>
        </w:rPr>
        <w:lastRenderedPageBreak/>
        <w:t>FIA EPTA agrees</w:t>
      </w:r>
      <w:r w:rsidRPr="00650291">
        <w:rPr>
          <w:rFonts w:asciiTheme="minorHAnsi" w:hAnsiTheme="minorHAnsi"/>
        </w:rPr>
        <w:t xml:space="preserve"> with ESMA that a CTP would provide consolidated post-trade data in a timely manner; invest in improving data quality; and make it viable to use post-trade data to view the liquidity landscape for the same (type of) instrument traded across fragmented venues. </w:t>
      </w:r>
      <w:r w:rsidRPr="00650291">
        <w:rPr>
          <w:rFonts w:asciiTheme="minorHAnsi" w:eastAsia="Calibri" w:hAnsiTheme="minorHAnsi"/>
        </w:rPr>
        <w:t>While not every principal trading firm or other market participant would be interested to use such service to the same extent (or at all), the CT would bring best execution closer to investors: they can verify and monitor this better by having access to an effective CT.</w:t>
      </w:r>
    </w:p>
    <w:p w14:paraId="2549FD89" w14:textId="77777777" w:rsidR="00B142C7" w:rsidRPr="00650291" w:rsidRDefault="00B142C7" w:rsidP="00B142C7">
      <w:pPr>
        <w:jc w:val="both"/>
        <w:rPr>
          <w:rFonts w:asciiTheme="minorHAnsi" w:eastAsia="Calibri" w:hAnsiTheme="minorHAnsi"/>
        </w:rPr>
      </w:pPr>
    </w:p>
    <w:p w14:paraId="2290449E" w14:textId="77777777" w:rsidR="00B142C7" w:rsidRPr="00F20625" w:rsidRDefault="00B142C7" w:rsidP="00B142C7">
      <w:pPr>
        <w:jc w:val="both"/>
        <w:rPr>
          <w:rFonts w:asciiTheme="minorHAnsi" w:eastAsia="Calibri" w:hAnsiTheme="minorHAnsi"/>
        </w:rPr>
      </w:pPr>
      <w:r w:rsidRPr="00650291">
        <w:rPr>
          <w:rFonts w:asciiTheme="minorHAnsi" w:hAnsiTheme="minorHAnsi"/>
        </w:rPr>
        <w:t>Also, while we agree with ESMA that some of the cost of not having a CTP could be reduced simply by requiring trading venues and APAs to provide post-trade data in a more standardi</w:t>
      </w:r>
      <w:r>
        <w:rPr>
          <w:rFonts w:asciiTheme="minorHAnsi" w:hAnsiTheme="minorHAnsi"/>
        </w:rPr>
        <w:t>s</w:t>
      </w:r>
      <w:r w:rsidRPr="00650291">
        <w:rPr>
          <w:rFonts w:asciiTheme="minorHAnsi" w:hAnsiTheme="minorHAnsi"/>
        </w:rPr>
        <w:t xml:space="preserve">ed format, this would not provide the benefits of a CTP. A real-time post-trade CTP provides a neutral and reliable source of the current market price, giving investors’ confidence to trade and supporting best execution. </w:t>
      </w:r>
      <w:r w:rsidRPr="00650291">
        <w:rPr>
          <w:rFonts w:asciiTheme="minorHAnsi" w:eastAsia="Calibri" w:hAnsiTheme="minorHAnsi"/>
        </w:rPr>
        <w:t>It also consolidates EU financial markets, supporting a more integrated CMU.</w:t>
      </w:r>
    </w:p>
    <w:p w14:paraId="13A51EB1" w14:textId="77777777" w:rsidR="00B142C7" w:rsidRPr="00650291" w:rsidRDefault="00B142C7" w:rsidP="00B142C7">
      <w:pPr>
        <w:jc w:val="both"/>
        <w:rPr>
          <w:rFonts w:asciiTheme="minorHAnsi" w:hAnsiTheme="minorHAnsi"/>
        </w:rPr>
      </w:pPr>
    </w:p>
    <w:p w14:paraId="4097361B" w14:textId="77777777" w:rsidR="00B142C7" w:rsidRPr="00650291" w:rsidRDefault="00B142C7" w:rsidP="00B142C7">
      <w:pPr>
        <w:jc w:val="both"/>
        <w:rPr>
          <w:rFonts w:asciiTheme="minorHAnsi" w:eastAsia="Calibri" w:hAnsiTheme="minorHAnsi"/>
        </w:rPr>
      </w:pPr>
      <w:r w:rsidRPr="00650291">
        <w:rPr>
          <w:rFonts w:asciiTheme="minorHAnsi" w:eastAsia="Calibri" w:hAnsiTheme="minorHAnsi"/>
        </w:rPr>
        <w:t>In fact, a well-functioning, high-quality CT would act as a catalyst for further integration of European capital markets and the realisation of an EU Capital Markets Union (CMU). We believe a CT will stitch together Europe’s fragmented equities market landscape and promote on-venue trading, particularly in ETPs not subject to the trading obligation. As such, a CT will benefit financial markets as a whole, including retail investors who (directly or indirectly) will have access to better prices and increased transparency. It’s possible a CT would also help to counteract the growing European trend of volume consolidating at market close or in the end-of-day auction, by reinforcing the public’s confidence in intraday prices.</w:t>
      </w:r>
    </w:p>
    <w:p w14:paraId="0403806E" w14:textId="77777777" w:rsidR="00B142C7" w:rsidRPr="00650291" w:rsidRDefault="00B142C7" w:rsidP="00B142C7">
      <w:pPr>
        <w:jc w:val="both"/>
        <w:rPr>
          <w:rFonts w:asciiTheme="minorHAnsi" w:eastAsia="Calibri" w:hAnsiTheme="minorHAnsi"/>
        </w:rPr>
      </w:pPr>
    </w:p>
    <w:p w14:paraId="1562AE8A" w14:textId="77777777" w:rsidR="00B142C7" w:rsidRPr="00650291" w:rsidRDefault="00B142C7" w:rsidP="00B142C7">
      <w:pPr>
        <w:autoSpaceDE w:val="0"/>
        <w:autoSpaceDN w:val="0"/>
        <w:adjustRightInd w:val="0"/>
        <w:jc w:val="both"/>
        <w:rPr>
          <w:rFonts w:asciiTheme="minorHAnsi" w:hAnsiTheme="minorHAnsi"/>
        </w:rPr>
      </w:pPr>
      <w:r w:rsidRPr="00650291">
        <w:rPr>
          <w:rFonts w:asciiTheme="minorHAnsi" w:hAnsiTheme="minorHAnsi"/>
        </w:rPr>
        <w:t xml:space="preserve">The risk of not having a CTP is that a reliable view on liquidity in post-MiFID II fragmented markets will remain inaccessible for the majority of market participants. This is why the inclusion of pure OTC and SI data is a key element of a successful post‐trade tape. Moreover, FIA EPTA believes it is essential that the CTP be as close to real time as possible and avoid too much freedom with regard to deferrals (national discretion with regard to the deferrals should be removed). </w:t>
      </w:r>
    </w:p>
    <w:p w14:paraId="05CEAEEA" w14:textId="77777777" w:rsidR="00B142C7" w:rsidRPr="00650291" w:rsidRDefault="00B142C7" w:rsidP="00B142C7">
      <w:pPr>
        <w:autoSpaceDE w:val="0"/>
        <w:autoSpaceDN w:val="0"/>
        <w:adjustRightInd w:val="0"/>
        <w:jc w:val="both"/>
        <w:rPr>
          <w:rFonts w:asciiTheme="minorHAnsi" w:hAnsiTheme="minorHAnsi"/>
        </w:rPr>
      </w:pPr>
    </w:p>
    <w:p w14:paraId="1122B757" w14:textId="32700698" w:rsidR="00010773" w:rsidRPr="00B142C7" w:rsidRDefault="00B142C7" w:rsidP="00010773">
      <w:pPr>
        <w:rPr>
          <w:rFonts w:asciiTheme="minorHAnsi" w:hAnsiTheme="minorHAnsi" w:cstheme="minorHAnsi"/>
        </w:rPr>
      </w:pPr>
      <w:r w:rsidRPr="00650291">
        <w:rPr>
          <w:rFonts w:asciiTheme="minorHAnsi" w:hAnsiTheme="minorHAnsi" w:cstheme="minorHAnsi"/>
        </w:rPr>
        <w:t>A final point, noting a recent exchange outage that resulted in postponed opening of shares trading, is that outages on primary European markets tend to all-but halt trading activity also on other venues like MTFs. We understand that this is in part because the EU does not have a consolidated tape to provide market participants with market-wide price data. As the same dynamic is not present in the case of exchange outages in the US, it may be because there the consolidated tape gives market participants more confidence in real-time prices in order to continue trading.</w:t>
      </w:r>
    </w:p>
    <w:permEnd w:id="1442348646"/>
    <w:p w14:paraId="7BE031B5" w14:textId="77777777" w:rsidR="00010773" w:rsidRDefault="00010773" w:rsidP="00010773">
      <w:pPr>
        <w:rPr>
          <w:rFonts w:ascii="Arial" w:hAnsi="Arial" w:cs="Arial"/>
        </w:rPr>
      </w:pPr>
      <w:r>
        <w:rPr>
          <w:rFonts w:ascii="Arial" w:hAnsi="Arial" w:cs="Arial"/>
        </w:rPr>
        <w:t>&lt;ESMA_QUESTION_MDA_21&gt;</w:t>
      </w:r>
    </w:p>
    <w:p w14:paraId="62DFFA4B" w14:textId="77777777" w:rsidR="00010773" w:rsidRDefault="00010773" w:rsidP="00010773">
      <w:pPr>
        <w:rPr>
          <w:rFonts w:ascii="Arial" w:hAnsi="Arial" w:cs="Arial"/>
        </w:rPr>
      </w:pPr>
    </w:p>
    <w:p w14:paraId="4591EDBB" w14:textId="77777777" w:rsidR="00010773" w:rsidRDefault="00010773" w:rsidP="00010773">
      <w:pPr>
        <w:pStyle w:val="Questionstyle"/>
        <w:numPr>
          <w:ilvl w:val="0"/>
          <w:numId w:val="9"/>
        </w:numPr>
        <w:spacing w:after="250" w:line="276" w:lineRule="auto"/>
      </w:pPr>
      <w:r w:rsidRPr="000553CD">
        <w:t>: Would you be supportive of an industry-led initiative to further improve data quality and the use of harmonised standards or would you prefer ESMA guidance? Please explain.</w:t>
      </w:r>
    </w:p>
    <w:p w14:paraId="0A59FAA6" w14:textId="77777777" w:rsidR="00010773" w:rsidRDefault="00010773" w:rsidP="00010773">
      <w:pPr>
        <w:rPr>
          <w:rFonts w:ascii="Arial" w:hAnsi="Arial" w:cs="Arial"/>
        </w:rPr>
      </w:pPr>
      <w:r>
        <w:rPr>
          <w:rFonts w:ascii="Arial" w:hAnsi="Arial" w:cs="Arial"/>
        </w:rPr>
        <w:t>&lt;ESMA_QUESTION_MDA_22&gt;</w:t>
      </w:r>
    </w:p>
    <w:p w14:paraId="38F1725E" w14:textId="65CF78F3" w:rsidR="00010773" w:rsidRPr="00822CB0" w:rsidRDefault="00822CB0" w:rsidP="00822CB0">
      <w:pPr>
        <w:jc w:val="both"/>
        <w:rPr>
          <w:rFonts w:asciiTheme="minorHAnsi" w:hAnsiTheme="minorHAnsi"/>
        </w:rPr>
      </w:pPr>
      <w:permStart w:id="423907283" w:edGrp="everyone"/>
      <w:r w:rsidRPr="00650291">
        <w:rPr>
          <w:rFonts w:asciiTheme="minorHAnsi" w:hAnsiTheme="minorHAnsi"/>
        </w:rPr>
        <w:t>FIA EPTA would support adopting the industry-led initiative on data quality (MMT); however we believe there is still a need for guidance from ESMA on appropriate flagging. We would also strongly support choosing ESMA to be the body end-responsible for overall data quality in Europe. Please see</w:t>
      </w:r>
      <w:r w:rsidRPr="00650291">
        <w:rPr>
          <w:rFonts w:asciiTheme="minorHAnsi" w:eastAsia="Calibri" w:hAnsiTheme="minorHAnsi"/>
        </w:rPr>
        <w:t xml:space="preserve"> our</w:t>
      </w:r>
      <w:r w:rsidRPr="00650291">
        <w:rPr>
          <w:rFonts w:asciiTheme="minorHAnsi" w:hAnsiTheme="minorHAnsi"/>
        </w:rPr>
        <w:t xml:space="preserve"> above answer to Q20 for further detail.</w:t>
      </w:r>
    </w:p>
    <w:permEnd w:id="423907283"/>
    <w:p w14:paraId="21BD659B" w14:textId="77777777" w:rsidR="00010773" w:rsidRDefault="00010773" w:rsidP="00010773">
      <w:pPr>
        <w:rPr>
          <w:rFonts w:ascii="Arial" w:hAnsi="Arial" w:cs="Arial"/>
        </w:rPr>
      </w:pPr>
      <w:r>
        <w:rPr>
          <w:rFonts w:ascii="Arial" w:hAnsi="Arial" w:cs="Arial"/>
        </w:rPr>
        <w:t>&lt;ESMA_QUESTION_MDA_22&gt;</w:t>
      </w:r>
    </w:p>
    <w:p w14:paraId="79EF9C89" w14:textId="77777777" w:rsidR="00010773" w:rsidRDefault="00010773" w:rsidP="00010773">
      <w:pPr>
        <w:rPr>
          <w:rFonts w:ascii="Arial" w:hAnsi="Arial" w:cs="Arial"/>
        </w:rPr>
      </w:pPr>
    </w:p>
    <w:p w14:paraId="78551A91" w14:textId="77777777" w:rsidR="00010773" w:rsidRDefault="00010773" w:rsidP="00010773">
      <w:pPr>
        <w:pStyle w:val="Questionstyle"/>
        <w:numPr>
          <w:ilvl w:val="0"/>
          <w:numId w:val="9"/>
        </w:numPr>
        <w:spacing w:after="250" w:line="276" w:lineRule="auto"/>
      </w:pPr>
      <w:r w:rsidRPr="000553CD">
        <w:t>: In addition to the standardisation of the reporting and format, as described before, did you identify any further relevant data quality issue to be considered for the successful establishment of CTPs?</w:t>
      </w:r>
    </w:p>
    <w:p w14:paraId="73E934F8" w14:textId="77777777" w:rsidR="00010773" w:rsidRDefault="00010773" w:rsidP="00010773">
      <w:pPr>
        <w:rPr>
          <w:rFonts w:ascii="Arial" w:hAnsi="Arial" w:cs="Arial"/>
        </w:rPr>
      </w:pPr>
      <w:r>
        <w:rPr>
          <w:rFonts w:ascii="Arial" w:hAnsi="Arial" w:cs="Arial"/>
        </w:rPr>
        <w:t>&lt;ESMA_QUESTION_MDA_23&gt;</w:t>
      </w:r>
    </w:p>
    <w:p w14:paraId="7D572A37" w14:textId="77777777" w:rsidR="0058665D" w:rsidRPr="00650291" w:rsidRDefault="0058665D" w:rsidP="0058665D">
      <w:pPr>
        <w:autoSpaceDE w:val="0"/>
        <w:autoSpaceDN w:val="0"/>
        <w:adjustRightInd w:val="0"/>
        <w:jc w:val="both"/>
        <w:rPr>
          <w:rFonts w:asciiTheme="minorHAnsi" w:hAnsiTheme="minorHAnsi"/>
        </w:rPr>
      </w:pPr>
      <w:permStart w:id="1331854606" w:edGrp="everyone"/>
      <w:r w:rsidRPr="00650291">
        <w:rPr>
          <w:rFonts w:asciiTheme="minorHAnsi" w:hAnsiTheme="minorHAnsi"/>
        </w:rPr>
        <w:t xml:space="preserve">FIA EPTA believes it is important, for the CT to achieve a complete picture of Europe’s fragmented liquidity, for the CT to include </w:t>
      </w:r>
      <w:r w:rsidRPr="00650291">
        <w:rPr>
          <w:rFonts w:asciiTheme="minorHAnsi" w:hAnsiTheme="minorHAnsi"/>
          <w:i/>
        </w:rPr>
        <w:t>all</w:t>
      </w:r>
      <w:r w:rsidRPr="00650291">
        <w:rPr>
          <w:rFonts w:asciiTheme="minorHAnsi" w:hAnsiTheme="minorHAnsi"/>
        </w:rPr>
        <w:t xml:space="preserve"> trade-related information. Nothing should be left out – rather, we should allow market participants to filter what information they find useful. </w:t>
      </w:r>
    </w:p>
    <w:p w14:paraId="13FB8954" w14:textId="77777777" w:rsidR="0058665D" w:rsidRPr="00650291" w:rsidRDefault="0058665D" w:rsidP="0058665D">
      <w:pPr>
        <w:autoSpaceDE w:val="0"/>
        <w:autoSpaceDN w:val="0"/>
        <w:adjustRightInd w:val="0"/>
        <w:jc w:val="both"/>
        <w:rPr>
          <w:rFonts w:asciiTheme="minorHAnsi" w:hAnsiTheme="minorHAnsi"/>
        </w:rPr>
      </w:pPr>
    </w:p>
    <w:p w14:paraId="33D00D0B" w14:textId="77777777" w:rsidR="0058665D" w:rsidRPr="00650291" w:rsidRDefault="0058665D" w:rsidP="0058665D">
      <w:pPr>
        <w:autoSpaceDE w:val="0"/>
        <w:autoSpaceDN w:val="0"/>
        <w:adjustRightInd w:val="0"/>
        <w:jc w:val="both"/>
        <w:rPr>
          <w:rFonts w:asciiTheme="minorHAnsi" w:hAnsiTheme="minorHAnsi"/>
        </w:rPr>
      </w:pPr>
      <w:r w:rsidRPr="00650291">
        <w:rPr>
          <w:rFonts w:asciiTheme="minorHAnsi" w:hAnsiTheme="minorHAnsi"/>
        </w:rPr>
        <w:t xml:space="preserve">From a policy perspective, we also believe a comprehensive overview of addressable vs. non-addressable liquidity may be illuminating to policymakers, regulators and market participants. A complete CT, by highlighting the amount of liquidity in the EU that is addressable to some but not to all market participants, will help </w:t>
      </w:r>
      <w:r w:rsidRPr="00650291">
        <w:rPr>
          <w:rFonts w:asciiTheme="minorHAnsi" w:eastAsia="Calibri" w:hAnsiTheme="minorHAnsi"/>
        </w:rPr>
        <w:t>all market stakeholders</w:t>
      </w:r>
      <w:r w:rsidRPr="00650291">
        <w:rPr>
          <w:rFonts w:asciiTheme="minorHAnsi" w:hAnsiTheme="minorHAnsi"/>
        </w:rPr>
        <w:t xml:space="preserve"> collectively evaluate whether the rules underpinning European market structure are succeeding in creating the market quality we seek. </w:t>
      </w:r>
    </w:p>
    <w:p w14:paraId="4F913B4F" w14:textId="77777777" w:rsidR="0058665D" w:rsidRPr="00650291" w:rsidRDefault="0058665D" w:rsidP="0058665D">
      <w:pPr>
        <w:autoSpaceDE w:val="0"/>
        <w:autoSpaceDN w:val="0"/>
        <w:adjustRightInd w:val="0"/>
        <w:jc w:val="both"/>
        <w:rPr>
          <w:rFonts w:asciiTheme="minorHAnsi" w:hAnsiTheme="minorHAnsi"/>
        </w:rPr>
      </w:pPr>
    </w:p>
    <w:p w14:paraId="119D1726" w14:textId="77777777" w:rsidR="0058665D" w:rsidRPr="00650291" w:rsidRDefault="0058665D" w:rsidP="0058665D">
      <w:pPr>
        <w:autoSpaceDE w:val="0"/>
        <w:autoSpaceDN w:val="0"/>
        <w:adjustRightInd w:val="0"/>
        <w:jc w:val="both"/>
        <w:rPr>
          <w:rFonts w:asciiTheme="minorHAnsi" w:eastAsia="Calibri" w:hAnsiTheme="minorHAnsi"/>
          <w:lang w:eastAsia="nl-NL"/>
        </w:rPr>
      </w:pPr>
      <w:r w:rsidRPr="00650291">
        <w:rPr>
          <w:rFonts w:asciiTheme="minorHAnsi" w:hAnsiTheme="minorHAnsi"/>
        </w:rPr>
        <w:t xml:space="preserve">Furthermore, as certain securities and ETFs can be listed on multiple exchanges and sometimes in different currencies at each exchange, rather than face the complexity (and latency implications) of converting these currencies, we believe the CT can be just as effective by providing a single stream for the same ISIN with </w:t>
      </w:r>
      <w:r w:rsidRPr="00650291">
        <w:rPr>
          <w:rFonts w:asciiTheme="minorHAnsi" w:eastAsia="Calibri" w:hAnsiTheme="minorHAnsi"/>
        </w:rPr>
        <w:t xml:space="preserve"> </w:t>
      </w:r>
      <w:r w:rsidRPr="00650291">
        <w:rPr>
          <w:rFonts w:asciiTheme="minorHAnsi" w:hAnsiTheme="minorHAnsi"/>
        </w:rPr>
        <w:t xml:space="preserve">the currency specifically called out. </w:t>
      </w:r>
      <w:r w:rsidRPr="00650291">
        <w:rPr>
          <w:rFonts w:asciiTheme="minorHAnsi" w:eastAsia="Calibri" w:hAnsiTheme="minorHAnsi"/>
          <w:lang w:eastAsia="nl-NL"/>
        </w:rPr>
        <w:t>The CTP should not be required to pinpoint a conversion rate into Euro.</w:t>
      </w:r>
    </w:p>
    <w:p w14:paraId="528DD14A" w14:textId="77777777" w:rsidR="0058665D" w:rsidRPr="00650291" w:rsidRDefault="0058665D" w:rsidP="0058665D">
      <w:pPr>
        <w:autoSpaceDE w:val="0"/>
        <w:autoSpaceDN w:val="0"/>
        <w:adjustRightInd w:val="0"/>
        <w:jc w:val="both"/>
        <w:rPr>
          <w:rFonts w:asciiTheme="minorHAnsi" w:eastAsia="Calibri" w:hAnsiTheme="minorHAnsi"/>
          <w:lang w:eastAsia="nl-NL"/>
        </w:rPr>
      </w:pPr>
    </w:p>
    <w:p w14:paraId="54A1F784" w14:textId="6F0E6FD2" w:rsidR="00010773" w:rsidRPr="0058665D" w:rsidRDefault="0058665D" w:rsidP="0058665D">
      <w:pPr>
        <w:autoSpaceDE w:val="0"/>
        <w:autoSpaceDN w:val="0"/>
        <w:adjustRightInd w:val="0"/>
        <w:jc w:val="both"/>
        <w:rPr>
          <w:rFonts w:asciiTheme="minorHAnsi" w:eastAsia="Calibri" w:hAnsiTheme="minorHAnsi"/>
          <w:lang w:eastAsia="nl-NL"/>
        </w:rPr>
      </w:pPr>
      <w:bookmarkStart w:id="5" w:name="_Hlk17982752"/>
      <w:r w:rsidRPr="006A078F">
        <w:rPr>
          <w:rFonts w:asciiTheme="minorHAnsi" w:eastAsia="Calibri" w:hAnsiTheme="minorHAnsi"/>
          <w:lang w:eastAsia="nl-NL"/>
        </w:rPr>
        <w:t xml:space="preserve">Finally, the data </w:t>
      </w:r>
      <w:r>
        <w:rPr>
          <w:rFonts w:asciiTheme="minorHAnsi" w:eastAsia="Calibri" w:hAnsiTheme="minorHAnsi"/>
          <w:lang w:eastAsia="nl-NL"/>
        </w:rPr>
        <w:t xml:space="preserve">flowing to the </w:t>
      </w:r>
      <w:r w:rsidRPr="006A078F">
        <w:rPr>
          <w:rFonts w:asciiTheme="minorHAnsi" w:eastAsia="Calibri" w:hAnsiTheme="minorHAnsi"/>
          <w:lang w:eastAsia="nl-NL"/>
        </w:rPr>
        <w:t xml:space="preserve">CTP should </w:t>
      </w:r>
      <w:r>
        <w:rPr>
          <w:rFonts w:asciiTheme="minorHAnsi" w:eastAsia="Calibri" w:hAnsiTheme="minorHAnsi"/>
          <w:lang w:eastAsia="nl-NL"/>
        </w:rPr>
        <w:t>be</w:t>
      </w:r>
      <w:r w:rsidRPr="006A078F">
        <w:rPr>
          <w:rFonts w:asciiTheme="minorHAnsi" w:eastAsia="Calibri" w:hAnsiTheme="minorHAnsi"/>
          <w:lang w:eastAsia="nl-NL"/>
        </w:rPr>
        <w:t xml:space="preserve"> </w:t>
      </w:r>
      <w:r>
        <w:rPr>
          <w:rFonts w:asciiTheme="minorHAnsi" w:eastAsia="Calibri" w:hAnsiTheme="minorHAnsi"/>
          <w:lang w:eastAsia="nl-NL"/>
        </w:rPr>
        <w:t xml:space="preserve">submitted </w:t>
      </w:r>
      <w:r w:rsidRPr="006A078F">
        <w:rPr>
          <w:rFonts w:asciiTheme="minorHAnsi" w:eastAsia="Calibri" w:hAnsiTheme="minorHAnsi"/>
          <w:lang w:eastAsia="nl-NL"/>
        </w:rPr>
        <w:t xml:space="preserve">on a need-to-know basis only. The </w:t>
      </w:r>
      <w:r>
        <w:rPr>
          <w:rFonts w:asciiTheme="minorHAnsi" w:eastAsia="Calibri" w:hAnsiTheme="minorHAnsi"/>
          <w:lang w:eastAsia="nl-NL"/>
        </w:rPr>
        <w:t>objective</w:t>
      </w:r>
      <w:r w:rsidRPr="006A078F">
        <w:rPr>
          <w:rFonts w:asciiTheme="minorHAnsi" w:eastAsia="Calibri" w:hAnsiTheme="minorHAnsi"/>
          <w:lang w:eastAsia="nl-NL"/>
        </w:rPr>
        <w:t xml:space="preserve"> </w:t>
      </w:r>
      <w:r>
        <w:rPr>
          <w:rFonts w:asciiTheme="minorHAnsi" w:eastAsia="Calibri" w:hAnsiTheme="minorHAnsi"/>
          <w:lang w:eastAsia="nl-NL"/>
        </w:rPr>
        <w:t>would be</w:t>
      </w:r>
      <w:r w:rsidRPr="006A078F">
        <w:rPr>
          <w:rFonts w:asciiTheme="minorHAnsi" w:eastAsia="Calibri" w:hAnsiTheme="minorHAnsi"/>
          <w:lang w:eastAsia="nl-NL"/>
        </w:rPr>
        <w:t xml:space="preserve"> to have a consolidated tape of transactions, for </w:t>
      </w:r>
      <w:r>
        <w:rPr>
          <w:rFonts w:asciiTheme="minorHAnsi" w:eastAsia="Calibri" w:hAnsiTheme="minorHAnsi"/>
          <w:lang w:eastAsia="nl-NL"/>
        </w:rPr>
        <w:t xml:space="preserve">the </w:t>
      </w:r>
      <w:r w:rsidRPr="006A078F">
        <w:rPr>
          <w:rFonts w:asciiTheme="minorHAnsi" w:eastAsia="Calibri" w:hAnsiTheme="minorHAnsi"/>
          <w:lang w:eastAsia="nl-NL"/>
        </w:rPr>
        <w:t>verification of best</w:t>
      </w:r>
      <w:r>
        <w:rPr>
          <w:rFonts w:asciiTheme="minorHAnsi" w:eastAsia="Calibri" w:hAnsiTheme="minorHAnsi"/>
          <w:lang w:eastAsia="nl-NL"/>
        </w:rPr>
        <w:t xml:space="preserve"> </w:t>
      </w:r>
      <w:r w:rsidRPr="006A078F">
        <w:rPr>
          <w:rFonts w:asciiTheme="minorHAnsi" w:eastAsia="Calibri" w:hAnsiTheme="minorHAnsi"/>
          <w:lang w:eastAsia="nl-NL"/>
        </w:rPr>
        <w:t xml:space="preserve">execution and similar purposes. </w:t>
      </w:r>
      <w:r>
        <w:rPr>
          <w:rFonts w:asciiTheme="minorHAnsi" w:eastAsia="Calibri" w:hAnsiTheme="minorHAnsi"/>
          <w:lang w:eastAsia="nl-NL"/>
        </w:rPr>
        <w:t>It should be noted that n</w:t>
      </w:r>
      <w:r w:rsidRPr="006A078F">
        <w:rPr>
          <w:rFonts w:asciiTheme="minorHAnsi" w:eastAsia="Calibri" w:hAnsiTheme="minorHAnsi"/>
          <w:lang w:eastAsia="nl-NL"/>
        </w:rPr>
        <w:t xml:space="preserve">ot all data that participants </w:t>
      </w:r>
      <w:r>
        <w:rPr>
          <w:rFonts w:asciiTheme="minorHAnsi" w:eastAsia="Calibri" w:hAnsiTheme="minorHAnsi"/>
          <w:lang w:eastAsia="nl-NL"/>
        </w:rPr>
        <w:t>submit</w:t>
      </w:r>
      <w:r w:rsidRPr="006A078F">
        <w:rPr>
          <w:rFonts w:asciiTheme="minorHAnsi" w:eastAsia="Calibri" w:hAnsiTheme="minorHAnsi"/>
          <w:lang w:eastAsia="nl-NL"/>
        </w:rPr>
        <w:t xml:space="preserve"> to APAs is </w:t>
      </w:r>
      <w:r>
        <w:rPr>
          <w:rFonts w:asciiTheme="minorHAnsi" w:eastAsia="Calibri" w:hAnsiTheme="minorHAnsi"/>
          <w:lang w:eastAsia="nl-NL"/>
        </w:rPr>
        <w:t>needed</w:t>
      </w:r>
      <w:r w:rsidRPr="006A078F">
        <w:rPr>
          <w:rFonts w:asciiTheme="minorHAnsi" w:eastAsia="Calibri" w:hAnsiTheme="minorHAnsi"/>
          <w:lang w:eastAsia="nl-NL"/>
        </w:rPr>
        <w:t xml:space="preserve"> </w:t>
      </w:r>
      <w:r>
        <w:rPr>
          <w:rFonts w:asciiTheme="minorHAnsi" w:eastAsia="Calibri" w:hAnsiTheme="minorHAnsi"/>
          <w:lang w:eastAsia="nl-NL"/>
        </w:rPr>
        <w:t xml:space="preserve">for realising that </w:t>
      </w:r>
      <w:r w:rsidRPr="00873050">
        <w:rPr>
          <w:rFonts w:asciiTheme="minorHAnsi" w:eastAsia="Calibri" w:hAnsiTheme="minorHAnsi"/>
          <w:lang w:eastAsia="nl-NL"/>
        </w:rPr>
        <w:t>objective</w:t>
      </w:r>
      <w:r w:rsidRPr="006A078F">
        <w:rPr>
          <w:rFonts w:asciiTheme="minorHAnsi" w:eastAsia="Calibri" w:hAnsiTheme="minorHAnsi"/>
          <w:lang w:eastAsia="nl-NL"/>
        </w:rPr>
        <w:t xml:space="preserve">. </w:t>
      </w:r>
      <w:r w:rsidRPr="00873050">
        <w:rPr>
          <w:rFonts w:asciiTheme="minorHAnsi" w:eastAsia="Calibri" w:hAnsiTheme="minorHAnsi"/>
          <w:lang w:eastAsia="nl-NL"/>
        </w:rPr>
        <w:t xml:space="preserve">Notably, data </w:t>
      </w:r>
      <w:r w:rsidRPr="00873050">
        <w:rPr>
          <w:rFonts w:ascii="Calibri" w:hAnsi="Calibri" w:cs="Calibri"/>
          <w:bCs/>
        </w:rPr>
        <w:t xml:space="preserve">that exceeds what eventually ends up in the CT, or </w:t>
      </w:r>
      <w:r w:rsidRPr="00873050">
        <w:rPr>
          <w:rFonts w:asciiTheme="minorHAnsi" w:eastAsia="Calibri" w:hAnsiTheme="minorHAnsi"/>
          <w:lang w:eastAsia="nl-NL"/>
        </w:rPr>
        <w:t>data enabling any third parties to reconstruct the trading behaviour of other participants, are</w:t>
      </w:r>
      <w:r w:rsidRPr="006A078F">
        <w:rPr>
          <w:rFonts w:asciiTheme="minorHAnsi" w:eastAsia="Calibri" w:hAnsiTheme="minorHAnsi"/>
          <w:lang w:eastAsia="nl-NL"/>
        </w:rPr>
        <w:t xml:space="preserve"> not relevant for</w:t>
      </w:r>
      <w:r w:rsidRPr="00873050">
        <w:rPr>
          <w:rFonts w:asciiTheme="minorHAnsi" w:eastAsia="Calibri" w:hAnsiTheme="minorHAnsi"/>
          <w:lang w:eastAsia="nl-NL"/>
        </w:rPr>
        <w:t xml:space="preserve"> the</w:t>
      </w:r>
      <w:r w:rsidRPr="006A078F">
        <w:rPr>
          <w:rFonts w:asciiTheme="minorHAnsi" w:eastAsia="Calibri" w:hAnsiTheme="minorHAnsi"/>
          <w:lang w:eastAsia="nl-NL"/>
        </w:rPr>
        <w:t xml:space="preserve"> purposes of the CT and should</w:t>
      </w:r>
      <w:r w:rsidRPr="00873050">
        <w:rPr>
          <w:rFonts w:asciiTheme="minorHAnsi" w:eastAsia="Calibri" w:hAnsiTheme="minorHAnsi"/>
          <w:lang w:eastAsia="nl-NL"/>
        </w:rPr>
        <w:t>, therefore,</w:t>
      </w:r>
      <w:r w:rsidRPr="006A078F">
        <w:rPr>
          <w:rFonts w:asciiTheme="minorHAnsi" w:eastAsia="Calibri" w:hAnsiTheme="minorHAnsi"/>
          <w:lang w:eastAsia="nl-NL"/>
        </w:rPr>
        <w:t xml:space="preserve"> be excluded from the feeds accessible </w:t>
      </w:r>
      <w:r w:rsidRPr="00873050">
        <w:rPr>
          <w:rFonts w:asciiTheme="minorHAnsi" w:eastAsia="Calibri" w:hAnsiTheme="minorHAnsi"/>
          <w:lang w:eastAsia="nl-NL"/>
        </w:rPr>
        <w:t>to</w:t>
      </w:r>
      <w:r w:rsidRPr="006A078F">
        <w:rPr>
          <w:rFonts w:asciiTheme="minorHAnsi" w:eastAsia="Calibri" w:hAnsiTheme="minorHAnsi"/>
          <w:lang w:eastAsia="nl-NL"/>
        </w:rPr>
        <w:t xml:space="preserve"> the CTP</w:t>
      </w:r>
      <w:r w:rsidRPr="00873050">
        <w:rPr>
          <w:rFonts w:asciiTheme="minorHAnsi" w:eastAsia="Calibri" w:hAnsiTheme="minorHAnsi"/>
          <w:lang w:eastAsia="nl-NL"/>
        </w:rPr>
        <w:t xml:space="preserve">. </w:t>
      </w:r>
      <w:r w:rsidRPr="00873050">
        <w:rPr>
          <w:rFonts w:ascii="Calibri" w:hAnsi="Calibri" w:cs="Calibri"/>
          <w:bCs/>
        </w:rPr>
        <w:t>This is to ensure that</w:t>
      </w:r>
      <w:r w:rsidRPr="00873050">
        <w:rPr>
          <w:rFonts w:ascii="Calibri" w:hAnsi="Calibri" w:cs="Calibri"/>
        </w:rPr>
        <w:t xml:space="preserve"> </w:t>
      </w:r>
      <w:r w:rsidRPr="00873050">
        <w:rPr>
          <w:rFonts w:ascii="Calibri" w:hAnsi="Calibri" w:cs="Calibri"/>
          <w:bCs/>
        </w:rPr>
        <w:t xml:space="preserve">the CTP or other market participants </w:t>
      </w:r>
      <w:r w:rsidRPr="00873050">
        <w:rPr>
          <w:rFonts w:asciiTheme="minorHAnsi" w:eastAsia="Calibri" w:hAnsiTheme="minorHAnsi"/>
          <w:lang w:eastAsia="nl-NL"/>
        </w:rPr>
        <w:t>will not be able to piece</w:t>
      </w:r>
      <w:r w:rsidRPr="006A078F">
        <w:rPr>
          <w:rFonts w:asciiTheme="minorHAnsi" w:eastAsia="Calibri" w:hAnsiTheme="minorHAnsi"/>
          <w:lang w:eastAsia="nl-NL"/>
        </w:rPr>
        <w:t xml:space="preserve"> fragmented APA data together </w:t>
      </w:r>
      <w:r w:rsidRPr="00873050">
        <w:rPr>
          <w:rFonts w:asciiTheme="minorHAnsi" w:eastAsia="Calibri" w:hAnsiTheme="minorHAnsi"/>
          <w:lang w:eastAsia="nl-NL"/>
        </w:rPr>
        <w:t>so as to</w:t>
      </w:r>
      <w:r w:rsidRPr="006A078F">
        <w:rPr>
          <w:rFonts w:asciiTheme="minorHAnsi" w:eastAsia="Calibri" w:hAnsiTheme="minorHAnsi"/>
          <w:lang w:eastAsia="nl-NL"/>
        </w:rPr>
        <w:t xml:space="preserve"> reverse-engineer </w:t>
      </w:r>
      <w:r w:rsidRPr="00873050">
        <w:rPr>
          <w:rFonts w:asciiTheme="minorHAnsi" w:eastAsia="Calibri" w:hAnsiTheme="minorHAnsi"/>
          <w:lang w:eastAsia="nl-NL"/>
        </w:rPr>
        <w:t xml:space="preserve">firms’ </w:t>
      </w:r>
      <w:r w:rsidRPr="006A078F">
        <w:rPr>
          <w:rFonts w:asciiTheme="minorHAnsi" w:eastAsia="Calibri" w:hAnsiTheme="minorHAnsi"/>
          <w:lang w:eastAsia="nl-NL"/>
        </w:rPr>
        <w:t xml:space="preserve">trading strategies </w:t>
      </w:r>
      <w:r w:rsidRPr="00873050">
        <w:rPr>
          <w:rFonts w:asciiTheme="minorHAnsi" w:eastAsia="Calibri" w:hAnsiTheme="minorHAnsi"/>
          <w:lang w:eastAsia="nl-NL"/>
        </w:rPr>
        <w:t>and/</w:t>
      </w:r>
      <w:r w:rsidRPr="006A078F">
        <w:rPr>
          <w:rFonts w:asciiTheme="minorHAnsi" w:eastAsia="Calibri" w:hAnsiTheme="minorHAnsi"/>
          <w:lang w:eastAsia="nl-NL"/>
        </w:rPr>
        <w:t xml:space="preserve">or derive other highly </w:t>
      </w:r>
      <w:r w:rsidRPr="00873050">
        <w:rPr>
          <w:rFonts w:asciiTheme="minorHAnsi" w:eastAsia="Calibri" w:hAnsiTheme="minorHAnsi"/>
          <w:lang w:eastAsia="nl-NL"/>
        </w:rPr>
        <w:t>sensitive</w:t>
      </w:r>
      <w:r w:rsidRPr="006A078F">
        <w:rPr>
          <w:rFonts w:asciiTheme="minorHAnsi" w:eastAsia="Calibri" w:hAnsiTheme="minorHAnsi"/>
          <w:lang w:eastAsia="nl-NL"/>
        </w:rPr>
        <w:t xml:space="preserve"> </w:t>
      </w:r>
      <w:r w:rsidRPr="00873050">
        <w:rPr>
          <w:rFonts w:asciiTheme="minorHAnsi" w:eastAsia="Calibri" w:hAnsiTheme="minorHAnsi"/>
          <w:lang w:eastAsia="nl-NL"/>
        </w:rPr>
        <w:t xml:space="preserve">information from the CTP’s </w:t>
      </w:r>
      <w:r w:rsidRPr="006A078F">
        <w:rPr>
          <w:rFonts w:asciiTheme="minorHAnsi" w:eastAsia="Calibri" w:hAnsiTheme="minorHAnsi"/>
          <w:lang w:eastAsia="nl-NL"/>
        </w:rPr>
        <w:t>unique position</w:t>
      </w:r>
      <w:r w:rsidRPr="00873050">
        <w:rPr>
          <w:rFonts w:asciiTheme="minorHAnsi" w:eastAsia="Calibri" w:hAnsiTheme="minorHAnsi"/>
          <w:lang w:eastAsia="nl-NL"/>
        </w:rPr>
        <w:t>. Additionally, the CTP should not be allowed to develop any derived commercial products (other than the CT itself) on the basis of the data feeds it receives</w:t>
      </w:r>
      <w:r w:rsidRPr="006A078F">
        <w:rPr>
          <w:rFonts w:asciiTheme="minorHAnsi" w:eastAsia="Calibri" w:hAnsiTheme="minorHAnsi"/>
          <w:lang w:eastAsia="nl-NL"/>
        </w:rPr>
        <w:t>.</w:t>
      </w:r>
      <w:bookmarkEnd w:id="5"/>
    </w:p>
    <w:permEnd w:id="1331854606"/>
    <w:p w14:paraId="64A172AB" w14:textId="77777777" w:rsidR="00010773" w:rsidRDefault="00010773" w:rsidP="00010773">
      <w:pPr>
        <w:rPr>
          <w:rFonts w:ascii="Arial" w:hAnsi="Arial" w:cs="Arial"/>
        </w:rPr>
      </w:pPr>
      <w:r>
        <w:rPr>
          <w:rFonts w:ascii="Arial" w:hAnsi="Arial" w:cs="Arial"/>
        </w:rPr>
        <w:t>&lt;ESMA_QUESTION_MDA_23&gt;</w:t>
      </w:r>
    </w:p>
    <w:p w14:paraId="20B903A8" w14:textId="77777777" w:rsidR="00010773" w:rsidRDefault="00010773" w:rsidP="00010773">
      <w:pPr>
        <w:rPr>
          <w:rFonts w:ascii="Arial" w:hAnsi="Arial" w:cs="Arial"/>
        </w:rPr>
      </w:pPr>
    </w:p>
    <w:p w14:paraId="74CE0F55" w14:textId="77777777" w:rsidR="00010773" w:rsidRDefault="00010773" w:rsidP="00010773">
      <w:pPr>
        <w:pStyle w:val="Questionstyle"/>
        <w:numPr>
          <w:ilvl w:val="0"/>
          <w:numId w:val="9"/>
        </w:numPr>
        <w:spacing w:after="250" w:line="276" w:lineRule="auto"/>
      </w:pPr>
      <w:r w:rsidRPr="000553CD">
        <w:t>: Do you agree that the mandatory contribution from trading venues and APAs to a CTP would favour the establishment of CT?</w:t>
      </w:r>
    </w:p>
    <w:p w14:paraId="202F1EC6" w14:textId="77777777" w:rsidR="00010773" w:rsidRDefault="00010773" w:rsidP="00010773">
      <w:pPr>
        <w:rPr>
          <w:rFonts w:ascii="Arial" w:hAnsi="Arial" w:cs="Arial"/>
        </w:rPr>
      </w:pPr>
      <w:r>
        <w:rPr>
          <w:rFonts w:ascii="Arial" w:hAnsi="Arial" w:cs="Arial"/>
        </w:rPr>
        <w:t>&lt;ESMA_QUESTION_MDA_24&gt;</w:t>
      </w:r>
    </w:p>
    <w:p w14:paraId="4ABC652D" w14:textId="22B3B46D" w:rsidR="00010773" w:rsidRPr="00B214A2" w:rsidRDefault="00B214A2" w:rsidP="00B214A2">
      <w:pPr>
        <w:jc w:val="both"/>
        <w:rPr>
          <w:rFonts w:asciiTheme="minorHAnsi" w:hAnsiTheme="minorHAnsi"/>
        </w:rPr>
      </w:pPr>
      <w:permStart w:id="68295434" w:edGrp="everyone"/>
      <w:r w:rsidRPr="00650291">
        <w:rPr>
          <w:rFonts w:asciiTheme="minorHAnsi" w:hAnsiTheme="minorHAnsi"/>
        </w:rPr>
        <w:t xml:space="preserve">Yes, FIA EPTA strongly </w:t>
      </w:r>
      <w:r w:rsidRPr="00650291">
        <w:rPr>
          <w:rFonts w:asciiTheme="minorHAnsi" w:eastAsia="Calibri" w:hAnsiTheme="minorHAnsi"/>
        </w:rPr>
        <w:t>agrees</w:t>
      </w:r>
      <w:r w:rsidRPr="00650291">
        <w:rPr>
          <w:rFonts w:asciiTheme="minorHAnsi" w:hAnsiTheme="minorHAnsi"/>
        </w:rPr>
        <w:t>. Please see also our answer to Q14.</w:t>
      </w:r>
    </w:p>
    <w:permEnd w:id="68295434"/>
    <w:p w14:paraId="3882419F" w14:textId="77777777" w:rsidR="00010773" w:rsidRDefault="00010773" w:rsidP="00010773">
      <w:pPr>
        <w:rPr>
          <w:rFonts w:ascii="Arial" w:hAnsi="Arial" w:cs="Arial"/>
        </w:rPr>
      </w:pPr>
      <w:r>
        <w:rPr>
          <w:rFonts w:ascii="Arial" w:hAnsi="Arial" w:cs="Arial"/>
        </w:rPr>
        <w:t>&lt;ESMA_QUESTION_MDA_24&gt;</w:t>
      </w:r>
    </w:p>
    <w:p w14:paraId="781C352B" w14:textId="77777777" w:rsidR="00010773" w:rsidRDefault="00010773" w:rsidP="00010773">
      <w:pPr>
        <w:rPr>
          <w:rFonts w:ascii="Arial" w:hAnsi="Arial" w:cs="Arial"/>
        </w:rPr>
      </w:pPr>
    </w:p>
    <w:p w14:paraId="6D30AC9A" w14:textId="77777777" w:rsidR="00010773" w:rsidRDefault="00010773" w:rsidP="00010773">
      <w:pPr>
        <w:pStyle w:val="Questionstyle"/>
        <w:numPr>
          <w:ilvl w:val="0"/>
          <w:numId w:val="9"/>
        </w:numPr>
        <w:spacing w:after="250" w:line="276" w:lineRule="auto"/>
      </w:pPr>
      <w:r w:rsidRPr="000553CD">
        <w:t>: Do you have preferences between the option of (i) requiring trading venues and APAs to contribute data to the CT, or, in alternative (ii) setting forth criteria to determine the price that CTPs should pay to TVs and APAs for the data? If so, please explain why.</w:t>
      </w:r>
    </w:p>
    <w:p w14:paraId="7F5A850E" w14:textId="77777777" w:rsidR="00010773" w:rsidRDefault="00010773" w:rsidP="00010773">
      <w:pPr>
        <w:rPr>
          <w:rFonts w:ascii="Arial" w:hAnsi="Arial" w:cs="Arial"/>
        </w:rPr>
      </w:pPr>
      <w:r>
        <w:rPr>
          <w:rFonts w:ascii="Arial" w:hAnsi="Arial" w:cs="Arial"/>
        </w:rPr>
        <w:t>&lt;ESMA_QUESTION_MDA_25&gt;</w:t>
      </w:r>
    </w:p>
    <w:p w14:paraId="4EAF66B1" w14:textId="50A25AA1" w:rsidR="00010773" w:rsidRPr="00375A1C" w:rsidRDefault="00ED1D99" w:rsidP="00375A1C">
      <w:pPr>
        <w:jc w:val="both"/>
        <w:rPr>
          <w:rFonts w:asciiTheme="minorHAnsi" w:hAnsiTheme="minorHAnsi"/>
        </w:rPr>
      </w:pPr>
      <w:permStart w:id="198205146" w:edGrp="everyone"/>
      <w:r>
        <w:rPr>
          <w:rFonts w:asciiTheme="minorHAnsi" w:hAnsiTheme="minorHAnsi"/>
        </w:rPr>
        <w:t xml:space="preserve">FIA EPTA </w:t>
      </w:r>
      <w:r w:rsidR="00375A1C" w:rsidRPr="00650291">
        <w:rPr>
          <w:rFonts w:asciiTheme="minorHAnsi" w:hAnsiTheme="minorHAnsi"/>
        </w:rPr>
        <w:t>believe</w:t>
      </w:r>
      <w:r>
        <w:rPr>
          <w:rFonts w:asciiTheme="minorHAnsi" w:hAnsiTheme="minorHAnsi"/>
        </w:rPr>
        <w:t>s</w:t>
      </w:r>
      <w:r w:rsidR="00375A1C" w:rsidRPr="00650291">
        <w:rPr>
          <w:rFonts w:asciiTheme="minorHAnsi" w:hAnsiTheme="minorHAnsi"/>
        </w:rPr>
        <w:t xml:space="preserve"> mandatory contribution of data to the CTP is the simplest and cleanest structure to make a CT viable. Regarding setting forth criteria to determine the price that CTPs should pay to TVs and APAs for data, we believe this route is at risk of entanglement in the same issues that have complicated the determination of what RCB should be with respect to the cost of market data from trading venues.</w:t>
      </w:r>
    </w:p>
    <w:permEnd w:id="198205146"/>
    <w:p w14:paraId="3A0370D7" w14:textId="77777777" w:rsidR="00010773" w:rsidRDefault="00010773" w:rsidP="00010773">
      <w:pPr>
        <w:rPr>
          <w:rFonts w:ascii="Arial" w:hAnsi="Arial" w:cs="Arial"/>
        </w:rPr>
      </w:pPr>
      <w:r>
        <w:rPr>
          <w:rFonts w:ascii="Arial" w:hAnsi="Arial" w:cs="Arial"/>
        </w:rPr>
        <w:t>&lt;ESMA_QUESTION_MDA_25&gt;</w:t>
      </w:r>
    </w:p>
    <w:p w14:paraId="310CA818" w14:textId="77777777" w:rsidR="00010773" w:rsidRDefault="00010773" w:rsidP="00010773">
      <w:pPr>
        <w:rPr>
          <w:rFonts w:ascii="Arial" w:hAnsi="Arial" w:cs="Arial"/>
        </w:rPr>
      </w:pPr>
    </w:p>
    <w:p w14:paraId="4D997F34" w14:textId="77777777" w:rsidR="00010773" w:rsidRDefault="00010773" w:rsidP="00010773">
      <w:pPr>
        <w:pStyle w:val="Questionstyle"/>
        <w:numPr>
          <w:ilvl w:val="0"/>
          <w:numId w:val="9"/>
        </w:numPr>
        <w:spacing w:after="250" w:line="276" w:lineRule="auto"/>
      </w:pPr>
      <w:r w:rsidRPr="002E0F73">
        <w:t>: Do you agree that the mandatory</w:t>
      </w:r>
      <w:r>
        <w:t xml:space="preserve"> consumption</w:t>
      </w:r>
      <w:r w:rsidRPr="002E0F73">
        <w:t xml:space="preserve"> </w:t>
      </w:r>
      <w:r>
        <w:t>c</w:t>
      </w:r>
      <w:r w:rsidRPr="002E0F73">
        <w:t xml:space="preserve">ould favour the establishment of </w:t>
      </w:r>
      <w:r>
        <w:t xml:space="preserve">a </w:t>
      </w:r>
      <w:r w:rsidRPr="002E0F73">
        <w:t>CT?</w:t>
      </w:r>
      <w:r>
        <w:t xml:space="preserve">  If not, please explain your concerns associated with the mandatory consumption.</w:t>
      </w:r>
    </w:p>
    <w:p w14:paraId="14B1C99B" w14:textId="77777777" w:rsidR="00010773" w:rsidRDefault="00010773" w:rsidP="00010773">
      <w:pPr>
        <w:rPr>
          <w:rFonts w:ascii="Arial" w:hAnsi="Arial" w:cs="Arial"/>
        </w:rPr>
      </w:pPr>
      <w:r>
        <w:rPr>
          <w:rFonts w:ascii="Arial" w:hAnsi="Arial" w:cs="Arial"/>
        </w:rPr>
        <w:t>&lt;ESMA_QUESTION_MDA_26&gt;</w:t>
      </w:r>
    </w:p>
    <w:p w14:paraId="038FFF60" w14:textId="1A6BC588" w:rsidR="00010773" w:rsidRPr="00A124E0" w:rsidRDefault="00A124E0" w:rsidP="00A124E0">
      <w:pPr>
        <w:jc w:val="both"/>
        <w:rPr>
          <w:rFonts w:asciiTheme="minorHAnsi" w:hAnsiTheme="minorHAnsi"/>
        </w:rPr>
      </w:pPr>
      <w:permStart w:id="1199266109" w:edGrp="everyone"/>
      <w:r w:rsidRPr="00650291">
        <w:rPr>
          <w:rFonts w:asciiTheme="minorHAnsi" w:hAnsiTheme="minorHAnsi"/>
        </w:rPr>
        <w:t>FIA EPTA believes mandatory consumption would be misguided. We understand that some participants believe mandatory use of the CT would provide economic incentives to provide a CT, but we believe those incentives already exist under a model wherein venues and APAs mandatorily contribute input data. The use of the consolidated tape by market participants should be optional. We believe, rather, we should make the European CT a product of genuine utility and value for large and small investors, such that the demand for it arises naturally.</w:t>
      </w:r>
    </w:p>
    <w:permEnd w:id="1199266109"/>
    <w:p w14:paraId="4644C4F7" w14:textId="77777777" w:rsidR="00010773" w:rsidRDefault="00010773" w:rsidP="00010773">
      <w:pPr>
        <w:rPr>
          <w:rFonts w:ascii="Arial" w:hAnsi="Arial" w:cs="Arial"/>
        </w:rPr>
      </w:pPr>
      <w:r>
        <w:rPr>
          <w:rFonts w:ascii="Arial" w:hAnsi="Arial" w:cs="Arial"/>
        </w:rPr>
        <w:t>&lt;ESMA_QUESTION_MDA_26&gt;</w:t>
      </w:r>
    </w:p>
    <w:p w14:paraId="57450F52" w14:textId="77777777" w:rsidR="00010773" w:rsidRDefault="00010773" w:rsidP="00010773">
      <w:pPr>
        <w:rPr>
          <w:rFonts w:ascii="Arial" w:hAnsi="Arial" w:cs="Arial"/>
        </w:rPr>
      </w:pPr>
    </w:p>
    <w:p w14:paraId="0F69A398" w14:textId="77777777" w:rsidR="00010773" w:rsidRDefault="00010773" w:rsidP="00010773">
      <w:pPr>
        <w:pStyle w:val="Questionstyle"/>
        <w:numPr>
          <w:ilvl w:val="0"/>
          <w:numId w:val="9"/>
        </w:numPr>
        <w:spacing w:after="250" w:line="276" w:lineRule="auto"/>
      </w:pPr>
      <w:r w:rsidRPr="000553CD">
        <w:t xml:space="preserve">: </w:t>
      </w:r>
      <w:r>
        <w:t xml:space="preserve">Would mandatory consumption impact other rules in MiFID II and if yes, how? </w:t>
      </w:r>
    </w:p>
    <w:p w14:paraId="62B5B9C9" w14:textId="77777777" w:rsidR="00010773" w:rsidRDefault="00010773" w:rsidP="00010773">
      <w:pPr>
        <w:rPr>
          <w:rFonts w:ascii="Arial" w:hAnsi="Arial" w:cs="Arial"/>
        </w:rPr>
      </w:pPr>
      <w:r>
        <w:rPr>
          <w:rFonts w:ascii="Arial" w:hAnsi="Arial" w:cs="Arial"/>
        </w:rPr>
        <w:t>&lt;ESMA_QUESTION_MDA_27&gt;</w:t>
      </w:r>
    </w:p>
    <w:p w14:paraId="70A53D5E" w14:textId="693BD4F5" w:rsidR="00010773" w:rsidRPr="0095294E" w:rsidRDefault="0095294E" w:rsidP="0095294E">
      <w:pPr>
        <w:jc w:val="both"/>
        <w:rPr>
          <w:rFonts w:asciiTheme="minorHAnsi" w:hAnsiTheme="minorHAnsi"/>
        </w:rPr>
      </w:pPr>
      <w:permStart w:id="1537346215" w:edGrp="everyone"/>
      <w:r w:rsidRPr="00650291">
        <w:rPr>
          <w:rFonts w:asciiTheme="minorHAnsi" w:hAnsiTheme="minorHAnsi"/>
        </w:rPr>
        <w:t>Please see our answer to Q26 above.</w:t>
      </w:r>
    </w:p>
    <w:permEnd w:id="1537346215"/>
    <w:p w14:paraId="0E3027D4" w14:textId="77777777" w:rsidR="00010773" w:rsidRDefault="00010773" w:rsidP="00010773">
      <w:pPr>
        <w:rPr>
          <w:rFonts w:ascii="Arial" w:hAnsi="Arial" w:cs="Arial"/>
        </w:rPr>
      </w:pPr>
      <w:r>
        <w:rPr>
          <w:rFonts w:ascii="Arial" w:hAnsi="Arial" w:cs="Arial"/>
        </w:rPr>
        <w:t>&lt;ESMA_QUESTION_MDA_27&gt;</w:t>
      </w:r>
    </w:p>
    <w:p w14:paraId="68749A0C" w14:textId="77777777" w:rsidR="00010773" w:rsidRDefault="00010773" w:rsidP="00010773">
      <w:pPr>
        <w:rPr>
          <w:rFonts w:ascii="Arial" w:hAnsi="Arial" w:cs="Arial"/>
        </w:rPr>
      </w:pPr>
    </w:p>
    <w:p w14:paraId="5C46BABD" w14:textId="77777777" w:rsidR="00010773" w:rsidRDefault="00010773" w:rsidP="00010773">
      <w:pPr>
        <w:pStyle w:val="Questionstyle"/>
        <w:numPr>
          <w:ilvl w:val="0"/>
          <w:numId w:val="9"/>
        </w:numPr>
        <w:spacing w:after="250" w:line="276" w:lineRule="auto"/>
      </w:pPr>
      <w:r>
        <w:t>: Do you consider it necessary that the CT covers all trading venues and APAs and the whole scope of equity instruments or would you be supportive of limiting the coverage of the CT? Please provide reasons for your preference and explain your preferred approach.</w:t>
      </w:r>
    </w:p>
    <w:p w14:paraId="2076D295" w14:textId="77777777" w:rsidR="00010773" w:rsidRDefault="00010773" w:rsidP="00010773">
      <w:pPr>
        <w:rPr>
          <w:rFonts w:ascii="Arial" w:hAnsi="Arial" w:cs="Arial"/>
        </w:rPr>
      </w:pPr>
      <w:r>
        <w:rPr>
          <w:rFonts w:ascii="Arial" w:hAnsi="Arial" w:cs="Arial"/>
        </w:rPr>
        <w:t>&lt;ESMA_QUESTION_MDA_28&gt;</w:t>
      </w:r>
    </w:p>
    <w:p w14:paraId="09796384" w14:textId="501C06AE" w:rsidR="00010773" w:rsidRPr="00035DBD" w:rsidRDefault="00ED1D99" w:rsidP="00035DBD">
      <w:pPr>
        <w:autoSpaceDE w:val="0"/>
        <w:autoSpaceDN w:val="0"/>
        <w:adjustRightInd w:val="0"/>
        <w:jc w:val="both"/>
        <w:rPr>
          <w:rFonts w:asciiTheme="minorHAnsi" w:hAnsiTheme="minorHAnsi"/>
        </w:rPr>
      </w:pPr>
      <w:permStart w:id="1911820905" w:edGrp="everyone"/>
      <w:r>
        <w:rPr>
          <w:rFonts w:asciiTheme="minorHAnsi" w:hAnsiTheme="minorHAnsi"/>
        </w:rPr>
        <w:t>FIA EPTA</w:t>
      </w:r>
      <w:r w:rsidR="00035DBD" w:rsidRPr="00650291">
        <w:rPr>
          <w:rFonts w:asciiTheme="minorHAnsi" w:hAnsiTheme="minorHAnsi"/>
        </w:rPr>
        <w:t xml:space="preserve"> believe</w:t>
      </w:r>
      <w:r>
        <w:rPr>
          <w:rFonts w:asciiTheme="minorHAnsi" w:hAnsiTheme="minorHAnsi"/>
        </w:rPr>
        <w:t>s</w:t>
      </w:r>
      <w:r w:rsidR="00035DBD" w:rsidRPr="00650291">
        <w:rPr>
          <w:rFonts w:asciiTheme="minorHAnsi" w:hAnsiTheme="minorHAnsi"/>
        </w:rPr>
        <w:t xml:space="preserve"> 100% coverage is vital, as otherwise the added value of the tape would be limited and information would still be fragmented, as currently is the case. Moreover, with respect to equity-like instruments, it is already a legal requirement. The tape would also be relevant as a reference for non‐liquid instruments</w:t>
      </w:r>
      <w:r w:rsidR="00035DBD">
        <w:rPr>
          <w:rFonts w:asciiTheme="minorHAnsi" w:hAnsiTheme="minorHAnsi"/>
        </w:rPr>
        <w:t>.</w:t>
      </w:r>
    </w:p>
    <w:permEnd w:id="1911820905"/>
    <w:p w14:paraId="10EB7A13" w14:textId="77777777" w:rsidR="00010773" w:rsidRDefault="00010773" w:rsidP="00010773">
      <w:pPr>
        <w:rPr>
          <w:rFonts w:ascii="Arial" w:hAnsi="Arial" w:cs="Arial"/>
        </w:rPr>
      </w:pPr>
      <w:r>
        <w:rPr>
          <w:rFonts w:ascii="Arial" w:hAnsi="Arial" w:cs="Arial"/>
        </w:rPr>
        <w:t>&lt;ESMA_QUESTION_MDA_28&gt;</w:t>
      </w:r>
    </w:p>
    <w:p w14:paraId="34B6EA71" w14:textId="77777777" w:rsidR="00010773" w:rsidRDefault="00010773" w:rsidP="00010773">
      <w:pPr>
        <w:rPr>
          <w:rFonts w:ascii="Arial" w:hAnsi="Arial" w:cs="Arial"/>
        </w:rPr>
      </w:pPr>
    </w:p>
    <w:p w14:paraId="453524BE" w14:textId="77777777" w:rsidR="00010773" w:rsidRDefault="00010773" w:rsidP="00010773">
      <w:pPr>
        <w:rPr>
          <w:rFonts w:ascii="Arial" w:hAnsi="Arial" w:cs="Arial"/>
        </w:rPr>
      </w:pPr>
    </w:p>
    <w:p w14:paraId="22CF68AA" w14:textId="77777777" w:rsidR="00010773" w:rsidRDefault="00010773" w:rsidP="00010773">
      <w:pPr>
        <w:pStyle w:val="Questionstyle"/>
        <w:numPr>
          <w:ilvl w:val="0"/>
          <w:numId w:val="9"/>
        </w:numPr>
        <w:spacing w:after="250" w:line="276" w:lineRule="auto"/>
      </w:pPr>
      <w:r w:rsidRPr="000553CD">
        <w:t>: Do you agree with ESMA’s preferred model of real-time CT? If you consider that, on the contrary, the delayed or tape of record CT are preferable, please indicate the reasons of your preference.</w:t>
      </w:r>
    </w:p>
    <w:p w14:paraId="09EEFADB" w14:textId="2B3F8D14" w:rsidR="00010773" w:rsidRDefault="00010773" w:rsidP="00010773">
      <w:pPr>
        <w:rPr>
          <w:rFonts w:ascii="Arial" w:hAnsi="Arial" w:cs="Arial"/>
        </w:rPr>
      </w:pPr>
      <w:r>
        <w:rPr>
          <w:rFonts w:ascii="Arial" w:hAnsi="Arial" w:cs="Arial"/>
        </w:rPr>
        <w:t>&lt;ESMA_QUESTION_MDA_</w:t>
      </w:r>
      <w:r w:rsidR="00440A7A">
        <w:rPr>
          <w:rFonts w:ascii="Arial" w:hAnsi="Arial" w:cs="Arial"/>
        </w:rPr>
        <w:t>29</w:t>
      </w:r>
      <w:r>
        <w:rPr>
          <w:rFonts w:ascii="Arial" w:hAnsi="Arial" w:cs="Arial"/>
        </w:rPr>
        <w:t>&gt;</w:t>
      </w:r>
    </w:p>
    <w:p w14:paraId="47CCBB70" w14:textId="77777777" w:rsidR="00192896" w:rsidRPr="00650291" w:rsidRDefault="00192896" w:rsidP="00192896">
      <w:pPr>
        <w:autoSpaceDE w:val="0"/>
        <w:autoSpaceDN w:val="0"/>
        <w:adjustRightInd w:val="0"/>
        <w:jc w:val="both"/>
        <w:rPr>
          <w:rFonts w:asciiTheme="minorHAnsi" w:hAnsiTheme="minorHAnsi"/>
        </w:rPr>
      </w:pPr>
      <w:permStart w:id="1052057623" w:edGrp="everyone"/>
      <w:r w:rsidRPr="00650291">
        <w:rPr>
          <w:rFonts w:asciiTheme="minorHAnsi" w:hAnsiTheme="minorHAnsi"/>
        </w:rPr>
        <w:t>Yes, FIA EPTA agrees with ESMA’s preferred model of real-time CT. We believe real-time data is crucial if the CT aims to provide a neutral and reliable source of the current market price, giving investors’ confidence to trade and supporting best execution. Providing a real-time view of trading activity also consolidates EU financial markets, supporting a more integrated CMU.</w:t>
      </w:r>
    </w:p>
    <w:p w14:paraId="143FA250" w14:textId="77777777" w:rsidR="00192896" w:rsidRPr="00650291" w:rsidRDefault="00192896" w:rsidP="00192896">
      <w:pPr>
        <w:autoSpaceDE w:val="0"/>
        <w:autoSpaceDN w:val="0"/>
        <w:adjustRightInd w:val="0"/>
        <w:jc w:val="both"/>
        <w:rPr>
          <w:rFonts w:asciiTheme="minorHAnsi" w:hAnsiTheme="minorHAnsi"/>
        </w:rPr>
      </w:pPr>
    </w:p>
    <w:p w14:paraId="301A66C5" w14:textId="2D911107" w:rsidR="00010773" w:rsidRPr="00192896" w:rsidRDefault="00192896" w:rsidP="00192896">
      <w:pPr>
        <w:autoSpaceDE w:val="0"/>
        <w:autoSpaceDN w:val="0"/>
        <w:adjustRightInd w:val="0"/>
        <w:jc w:val="both"/>
        <w:rPr>
          <w:rFonts w:asciiTheme="minorHAnsi" w:hAnsiTheme="minorHAnsi"/>
        </w:rPr>
      </w:pPr>
      <w:r w:rsidRPr="00650291">
        <w:rPr>
          <w:rFonts w:asciiTheme="minorHAnsi" w:hAnsiTheme="minorHAnsi"/>
        </w:rPr>
        <w:t>Beyond this, we also believe there is no reason why the CT cannot be real-time given the technological sophistication of the market as a whole and the low burden, from a technology perspective, of republishing trade events. To the extent any systems would need to be adapted to accommodate real-time reporting, we believe the cost of that investment is more than worthwhile to promote a cohesive view of liquidity across European markets accessible to all investors.</w:t>
      </w:r>
    </w:p>
    <w:permEnd w:id="1052057623"/>
    <w:p w14:paraId="7FE56AC8" w14:textId="4AB7D366" w:rsidR="00010773" w:rsidRDefault="00010773" w:rsidP="00010773">
      <w:pPr>
        <w:rPr>
          <w:rFonts w:ascii="Arial" w:hAnsi="Arial" w:cs="Arial"/>
        </w:rPr>
      </w:pPr>
      <w:r>
        <w:rPr>
          <w:rFonts w:ascii="Arial" w:hAnsi="Arial" w:cs="Arial"/>
        </w:rPr>
        <w:t>&lt;ESMA_QUESTION_MDA_</w:t>
      </w:r>
      <w:r w:rsidR="00440A7A">
        <w:rPr>
          <w:rFonts w:ascii="Arial" w:hAnsi="Arial" w:cs="Arial"/>
        </w:rPr>
        <w:t>29</w:t>
      </w:r>
      <w:r>
        <w:rPr>
          <w:rFonts w:ascii="Arial" w:hAnsi="Arial" w:cs="Arial"/>
        </w:rPr>
        <w:t>&gt;</w:t>
      </w:r>
    </w:p>
    <w:p w14:paraId="1F3E64FB" w14:textId="77777777" w:rsidR="00010773" w:rsidRDefault="00010773" w:rsidP="00010773">
      <w:pPr>
        <w:rPr>
          <w:rFonts w:ascii="Arial" w:hAnsi="Arial" w:cs="Arial"/>
        </w:rPr>
      </w:pPr>
    </w:p>
    <w:p w14:paraId="37B4C16F" w14:textId="77777777" w:rsidR="00010773" w:rsidRDefault="00010773" w:rsidP="00010773">
      <w:pPr>
        <w:pStyle w:val="Questionstyle"/>
        <w:numPr>
          <w:ilvl w:val="0"/>
          <w:numId w:val="9"/>
        </w:numPr>
        <w:spacing w:after="250" w:line="276" w:lineRule="auto"/>
      </w:pPr>
      <w:r>
        <w:t>: Are there any measures (either technical or regulatory) that can be taken in order to mitigate the latency impacts?</w:t>
      </w:r>
    </w:p>
    <w:p w14:paraId="2C6D8768" w14:textId="70F95791" w:rsidR="00010773" w:rsidRDefault="00010773" w:rsidP="00010773">
      <w:pPr>
        <w:rPr>
          <w:rFonts w:ascii="Arial" w:hAnsi="Arial" w:cs="Arial"/>
        </w:rPr>
      </w:pPr>
      <w:r>
        <w:rPr>
          <w:rFonts w:ascii="Arial" w:hAnsi="Arial" w:cs="Arial"/>
        </w:rPr>
        <w:t>&lt;ESMA_QUESTION_MDA_3</w:t>
      </w:r>
      <w:r w:rsidR="00440A7A">
        <w:rPr>
          <w:rFonts w:ascii="Arial" w:hAnsi="Arial" w:cs="Arial"/>
        </w:rPr>
        <w:t>0</w:t>
      </w:r>
      <w:r>
        <w:rPr>
          <w:rFonts w:ascii="Arial" w:hAnsi="Arial" w:cs="Arial"/>
        </w:rPr>
        <w:t>&gt;</w:t>
      </w:r>
    </w:p>
    <w:p w14:paraId="00F07096" w14:textId="70721C51" w:rsidR="00010773" w:rsidRPr="00AF1590" w:rsidRDefault="00ED1D99" w:rsidP="00AF1590">
      <w:pPr>
        <w:autoSpaceDE w:val="0"/>
        <w:autoSpaceDN w:val="0"/>
        <w:adjustRightInd w:val="0"/>
        <w:jc w:val="both"/>
        <w:rPr>
          <w:rFonts w:asciiTheme="minorHAnsi" w:hAnsiTheme="minorHAnsi"/>
        </w:rPr>
      </w:pPr>
      <w:permStart w:id="584346855" w:edGrp="everyone"/>
      <w:r>
        <w:rPr>
          <w:rFonts w:asciiTheme="minorHAnsi" w:hAnsiTheme="minorHAnsi"/>
        </w:rPr>
        <w:t>FIA EPTA members consider that in order t</w:t>
      </w:r>
      <w:r w:rsidR="00AF1590" w:rsidRPr="00650291">
        <w:rPr>
          <w:rFonts w:asciiTheme="minorHAnsi" w:hAnsiTheme="minorHAnsi"/>
        </w:rPr>
        <w:t>o make the CT robust and usable as a real-time tape, all the possible deferrals and delayed reporting periods of MiFID II should be revisited and reduced.</w:t>
      </w:r>
    </w:p>
    <w:permEnd w:id="584346855"/>
    <w:p w14:paraId="231BC8C4" w14:textId="4D438EB2" w:rsidR="00010773" w:rsidRDefault="00010773" w:rsidP="00010773">
      <w:pPr>
        <w:rPr>
          <w:rFonts w:ascii="Arial" w:hAnsi="Arial" w:cs="Arial"/>
        </w:rPr>
      </w:pPr>
      <w:r>
        <w:rPr>
          <w:rFonts w:ascii="Arial" w:hAnsi="Arial" w:cs="Arial"/>
        </w:rPr>
        <w:t>&lt;ESMA_QUESTION_MDA_3</w:t>
      </w:r>
      <w:r w:rsidR="00440A7A">
        <w:rPr>
          <w:rFonts w:ascii="Arial" w:hAnsi="Arial" w:cs="Arial"/>
        </w:rPr>
        <w:t>0</w:t>
      </w:r>
      <w:r>
        <w:rPr>
          <w:rFonts w:ascii="Arial" w:hAnsi="Arial" w:cs="Arial"/>
        </w:rPr>
        <w:t>&gt;</w:t>
      </w:r>
    </w:p>
    <w:p w14:paraId="7BF1C95D" w14:textId="77777777" w:rsidR="00010773" w:rsidRDefault="00010773" w:rsidP="00010773">
      <w:pPr>
        <w:rPr>
          <w:rFonts w:ascii="Arial" w:hAnsi="Arial" w:cs="Arial"/>
        </w:rPr>
      </w:pPr>
    </w:p>
    <w:p w14:paraId="05C6E90A" w14:textId="77777777" w:rsidR="00010773" w:rsidRDefault="00010773" w:rsidP="00010773">
      <w:pPr>
        <w:pStyle w:val="Questionstyle"/>
        <w:numPr>
          <w:ilvl w:val="0"/>
          <w:numId w:val="9"/>
        </w:numPr>
        <w:spacing w:after="250" w:line="276" w:lineRule="auto"/>
      </w:pPr>
      <w:r w:rsidRPr="00C50580">
        <w:t xml:space="preserve">: Do you </w:t>
      </w:r>
      <w:r>
        <w:t xml:space="preserve">agree that the CT should be operated on an exclusive basis? To what extent should other entities (e.g. APA or data vendors) be allowed to compete with the CTP? </w:t>
      </w:r>
    </w:p>
    <w:p w14:paraId="3AE6E43F" w14:textId="53AD621C" w:rsidR="00010773" w:rsidRDefault="00010773" w:rsidP="00010773">
      <w:pPr>
        <w:rPr>
          <w:rFonts w:ascii="Arial" w:hAnsi="Arial" w:cs="Arial"/>
        </w:rPr>
      </w:pPr>
      <w:r>
        <w:rPr>
          <w:rFonts w:ascii="Arial" w:hAnsi="Arial" w:cs="Arial"/>
        </w:rPr>
        <w:t>&lt;ESMA_QUESTION_MDA_3</w:t>
      </w:r>
      <w:r w:rsidR="00440A7A">
        <w:rPr>
          <w:rFonts w:ascii="Arial" w:hAnsi="Arial" w:cs="Arial"/>
        </w:rPr>
        <w:t>1</w:t>
      </w:r>
      <w:r>
        <w:rPr>
          <w:rFonts w:ascii="Arial" w:hAnsi="Arial" w:cs="Arial"/>
        </w:rPr>
        <w:t>&gt;</w:t>
      </w:r>
    </w:p>
    <w:p w14:paraId="46CF26E5" w14:textId="137ABEC5" w:rsidR="00010773" w:rsidRPr="00C709B3" w:rsidRDefault="00C709B3" w:rsidP="00C709B3">
      <w:pPr>
        <w:jc w:val="both"/>
        <w:rPr>
          <w:rFonts w:asciiTheme="minorHAnsi" w:hAnsiTheme="minorHAnsi"/>
        </w:rPr>
      </w:pPr>
      <w:permStart w:id="905464300" w:edGrp="everyone"/>
      <w:r w:rsidRPr="00650291">
        <w:rPr>
          <w:rFonts w:asciiTheme="minorHAnsi" w:hAnsiTheme="minorHAnsi"/>
        </w:rPr>
        <w:t>FIA EPTA believes, fundamentally, in competition to promote innovation and prevent monopolistic structures from developing. However, we believe the primary benefit of a CT is to overcome the fragmentation of European markets and therefore support a single, reliable source for a consolidated overview. We also acknowledge that requiring trading venues and APAs to contribute input data on a mandatory basis would be an operational burden if data had to be directed to more than one CTP. Limiting the operation of the CT to a single provider minimi</w:t>
      </w:r>
      <w:r>
        <w:rPr>
          <w:rFonts w:asciiTheme="minorHAnsi" w:hAnsiTheme="minorHAnsi"/>
        </w:rPr>
        <w:t>s</w:t>
      </w:r>
      <w:r w:rsidRPr="00F20625">
        <w:rPr>
          <w:rFonts w:asciiTheme="minorHAnsi" w:hAnsiTheme="minorHAnsi"/>
        </w:rPr>
        <w:t>es this potential burden and increases the economic viability of the CTP business model, in addition to preserving a single, “golden source.” We do, however, envision that different asset classes may be able to be operated by diffe</w:t>
      </w:r>
      <w:r w:rsidRPr="00650291">
        <w:rPr>
          <w:rFonts w:asciiTheme="minorHAnsi" w:hAnsiTheme="minorHAnsi"/>
        </w:rPr>
        <w:t>rent CTPs.</w:t>
      </w:r>
    </w:p>
    <w:permEnd w:id="905464300"/>
    <w:p w14:paraId="1413E926" w14:textId="4C7F5BDF" w:rsidR="00010773" w:rsidRDefault="00010773" w:rsidP="00010773">
      <w:pPr>
        <w:rPr>
          <w:rFonts w:ascii="Arial" w:hAnsi="Arial" w:cs="Arial"/>
        </w:rPr>
      </w:pPr>
      <w:r>
        <w:rPr>
          <w:rFonts w:ascii="Arial" w:hAnsi="Arial" w:cs="Arial"/>
        </w:rPr>
        <w:t>&lt;ESMA_QUESTION_MDA_3</w:t>
      </w:r>
      <w:r w:rsidR="00440A7A">
        <w:rPr>
          <w:rFonts w:ascii="Arial" w:hAnsi="Arial" w:cs="Arial"/>
        </w:rPr>
        <w:t>1</w:t>
      </w:r>
      <w:r>
        <w:rPr>
          <w:rFonts w:ascii="Arial" w:hAnsi="Arial" w:cs="Arial"/>
        </w:rPr>
        <w:t>&gt;</w:t>
      </w:r>
    </w:p>
    <w:p w14:paraId="5AE414FE" w14:textId="77777777" w:rsidR="00010773" w:rsidRDefault="00010773" w:rsidP="00010773">
      <w:pPr>
        <w:rPr>
          <w:rFonts w:ascii="Arial" w:hAnsi="Arial" w:cs="Arial"/>
        </w:rPr>
      </w:pPr>
    </w:p>
    <w:p w14:paraId="7B064B55" w14:textId="77777777" w:rsidR="00010773" w:rsidRDefault="00010773" w:rsidP="00010773">
      <w:pPr>
        <w:pStyle w:val="Questionstyle"/>
        <w:numPr>
          <w:ilvl w:val="0"/>
          <w:numId w:val="9"/>
        </w:numPr>
        <w:spacing w:after="250" w:line="276" w:lineRule="auto"/>
      </w:pPr>
      <w:r w:rsidRPr="000553CD">
        <w:t xml:space="preserve">: Should the contract duration of an appointed CTP be limited? If yes, to how many years? </w:t>
      </w:r>
    </w:p>
    <w:p w14:paraId="3B84EDC5" w14:textId="541C458C" w:rsidR="00010773" w:rsidRDefault="00010773" w:rsidP="00010773">
      <w:pPr>
        <w:rPr>
          <w:rFonts w:ascii="Arial" w:hAnsi="Arial" w:cs="Arial"/>
        </w:rPr>
      </w:pPr>
      <w:r>
        <w:rPr>
          <w:rFonts w:ascii="Arial" w:hAnsi="Arial" w:cs="Arial"/>
        </w:rPr>
        <w:t>&lt;ESMA_QUESTION_MDA_3</w:t>
      </w:r>
      <w:r w:rsidR="00440A7A">
        <w:rPr>
          <w:rFonts w:ascii="Arial" w:hAnsi="Arial" w:cs="Arial"/>
        </w:rPr>
        <w:t>2</w:t>
      </w:r>
      <w:r>
        <w:rPr>
          <w:rFonts w:ascii="Arial" w:hAnsi="Arial" w:cs="Arial"/>
        </w:rPr>
        <w:t>&gt;</w:t>
      </w:r>
    </w:p>
    <w:p w14:paraId="3D77D1BD" w14:textId="1EC15FA0" w:rsidR="00F02F2F" w:rsidRPr="00650291" w:rsidRDefault="00ED1D99" w:rsidP="00F02F2F">
      <w:pPr>
        <w:jc w:val="both"/>
        <w:rPr>
          <w:rFonts w:asciiTheme="minorHAnsi" w:hAnsiTheme="minorHAnsi"/>
        </w:rPr>
      </w:pPr>
      <w:permStart w:id="1019550232" w:edGrp="everyone"/>
      <w:r>
        <w:rPr>
          <w:rFonts w:asciiTheme="minorHAnsi" w:hAnsiTheme="minorHAnsi"/>
        </w:rPr>
        <w:t xml:space="preserve">As </w:t>
      </w:r>
      <w:r w:rsidR="00F02F2F" w:rsidRPr="00650291">
        <w:rPr>
          <w:rFonts w:asciiTheme="minorHAnsi" w:hAnsiTheme="minorHAnsi"/>
        </w:rPr>
        <w:t xml:space="preserve">noted above, </w:t>
      </w:r>
      <w:r w:rsidR="00F02F2F" w:rsidRPr="00650291">
        <w:rPr>
          <w:rFonts w:asciiTheme="minorHAnsi" w:eastAsia="Calibri" w:hAnsiTheme="minorHAnsi"/>
        </w:rPr>
        <w:t>FIA EPTA believes</w:t>
      </w:r>
      <w:r w:rsidR="00F02F2F" w:rsidRPr="00650291">
        <w:rPr>
          <w:rFonts w:asciiTheme="minorHAnsi" w:hAnsiTheme="minorHAnsi"/>
        </w:rPr>
        <w:t xml:space="preserve"> a single provider should operate the CT to have one reliable source, to minimi</w:t>
      </w:r>
      <w:r w:rsidR="00F02F2F">
        <w:rPr>
          <w:rFonts w:asciiTheme="minorHAnsi" w:hAnsiTheme="minorHAnsi"/>
        </w:rPr>
        <w:t>s</w:t>
      </w:r>
      <w:r w:rsidR="00F02F2F" w:rsidRPr="00F20625">
        <w:rPr>
          <w:rFonts w:asciiTheme="minorHAnsi" w:hAnsiTheme="minorHAnsi"/>
        </w:rPr>
        <w:t>e operational burden on contributors, and to concentrate subscribers and make the business model more attractive. We agree with ESMA that the presence of numerous CTPs would by definition diminish the number of users per CTP and result in a commercially less attractive opportunity for provider</w:t>
      </w:r>
      <w:r w:rsidR="00F02F2F" w:rsidRPr="00650291">
        <w:rPr>
          <w:rFonts w:asciiTheme="minorHAnsi" w:hAnsiTheme="minorHAnsi"/>
        </w:rPr>
        <w:t>s. Therefore, we believe ESMA should put out a tender based on a fixed contract period, which should be at least 3-5 years (provided all requirements continue to be met).</w:t>
      </w:r>
    </w:p>
    <w:p w14:paraId="38B60771" w14:textId="77777777" w:rsidR="00F02F2F" w:rsidRPr="00650291" w:rsidRDefault="00F02F2F" w:rsidP="00F02F2F">
      <w:pPr>
        <w:jc w:val="both"/>
        <w:rPr>
          <w:rFonts w:asciiTheme="minorHAnsi" w:eastAsia="Calibri" w:hAnsiTheme="minorHAnsi"/>
        </w:rPr>
      </w:pPr>
    </w:p>
    <w:p w14:paraId="75A27C00" w14:textId="0B4AA086" w:rsidR="00010773" w:rsidRPr="00F02F2F" w:rsidRDefault="00F02F2F" w:rsidP="00F02F2F">
      <w:pPr>
        <w:jc w:val="both"/>
        <w:rPr>
          <w:rFonts w:asciiTheme="minorHAnsi" w:hAnsiTheme="minorHAnsi"/>
        </w:rPr>
      </w:pPr>
      <w:r w:rsidRPr="00650291">
        <w:rPr>
          <w:rFonts w:asciiTheme="minorHAnsi" w:hAnsiTheme="minorHAnsi"/>
        </w:rPr>
        <w:t>Regardless of contract duration, the top-level governance of any CTP remains critical. This should be required to include a diverse set of market stakeholders and avoid giving any group</w:t>
      </w:r>
      <w:r w:rsidRPr="00650291">
        <w:rPr>
          <w:rFonts w:asciiTheme="minorHAnsi" w:eastAsia="Calibri" w:hAnsiTheme="minorHAnsi"/>
        </w:rPr>
        <w:t xml:space="preserve"> of (incumbent) stakeholders</w:t>
      </w:r>
      <w:r w:rsidRPr="00650291">
        <w:rPr>
          <w:rFonts w:asciiTheme="minorHAnsi" w:hAnsiTheme="minorHAnsi"/>
        </w:rPr>
        <w:t xml:space="preserve"> exclusive rights. This is the most important safeguard against the risks of monopoly or conflicts of interest.</w:t>
      </w:r>
    </w:p>
    <w:permEnd w:id="1019550232"/>
    <w:p w14:paraId="757BF93E" w14:textId="62431C38" w:rsidR="00010773" w:rsidRDefault="00010773" w:rsidP="00010773">
      <w:pPr>
        <w:rPr>
          <w:rFonts w:ascii="Arial" w:hAnsi="Arial" w:cs="Arial"/>
        </w:rPr>
      </w:pPr>
      <w:r>
        <w:rPr>
          <w:rFonts w:ascii="Arial" w:hAnsi="Arial" w:cs="Arial"/>
        </w:rPr>
        <w:t>&lt;ESMA_QUESTION_MDA_3</w:t>
      </w:r>
      <w:r w:rsidR="00440A7A">
        <w:rPr>
          <w:rFonts w:ascii="Arial" w:hAnsi="Arial" w:cs="Arial"/>
        </w:rPr>
        <w:t>2</w:t>
      </w:r>
      <w:r>
        <w:rPr>
          <w:rFonts w:ascii="Arial" w:hAnsi="Arial" w:cs="Arial"/>
        </w:rPr>
        <w:t>&gt;</w:t>
      </w:r>
    </w:p>
    <w:p w14:paraId="3015B96F" w14:textId="77777777" w:rsidR="00010773" w:rsidRDefault="00010773" w:rsidP="00010773">
      <w:pPr>
        <w:rPr>
          <w:rFonts w:ascii="Arial" w:hAnsi="Arial" w:cs="Arial"/>
        </w:rPr>
      </w:pPr>
    </w:p>
    <w:p w14:paraId="4C779F2E" w14:textId="77777777" w:rsidR="00010773" w:rsidRDefault="00010773" w:rsidP="00010773">
      <w:pPr>
        <w:pStyle w:val="Questionstyle"/>
        <w:numPr>
          <w:ilvl w:val="0"/>
          <w:numId w:val="9"/>
        </w:numPr>
        <w:spacing w:after="250" w:line="276" w:lineRule="auto"/>
      </w:pPr>
      <w:r>
        <w:t>:</w:t>
      </w:r>
      <w:r w:rsidRPr="000553CD">
        <w:t xml:space="preserve"> </w:t>
      </w:r>
      <w:r>
        <w:t>P</w:t>
      </w:r>
      <w:r w:rsidRPr="000553CD">
        <w:t>lease indicate what would be, in your view and on the basis of your experience with TVs and data vendors, a fair monthly or annual fee to be charged by a CTP for the real-time consolidation per user?</w:t>
      </w:r>
    </w:p>
    <w:p w14:paraId="242288F8" w14:textId="341C480B" w:rsidR="00010773" w:rsidRDefault="00010773" w:rsidP="00010773">
      <w:pPr>
        <w:rPr>
          <w:rFonts w:ascii="Arial" w:hAnsi="Arial" w:cs="Arial"/>
        </w:rPr>
      </w:pPr>
      <w:r>
        <w:rPr>
          <w:rFonts w:ascii="Arial" w:hAnsi="Arial" w:cs="Arial"/>
        </w:rPr>
        <w:t>&lt;ESMA_QUESTION_MDA_3</w:t>
      </w:r>
      <w:r w:rsidR="00440A7A">
        <w:rPr>
          <w:rFonts w:ascii="Arial" w:hAnsi="Arial" w:cs="Arial"/>
        </w:rPr>
        <w:t>3</w:t>
      </w:r>
      <w:r>
        <w:rPr>
          <w:rFonts w:ascii="Arial" w:hAnsi="Arial" w:cs="Arial"/>
        </w:rPr>
        <w:t>&gt;</w:t>
      </w:r>
    </w:p>
    <w:p w14:paraId="5BED6317" w14:textId="1B9579C9" w:rsidR="00010773" w:rsidRPr="009C07AA" w:rsidRDefault="009C07AA" w:rsidP="009C07AA">
      <w:pPr>
        <w:jc w:val="both"/>
        <w:rPr>
          <w:rFonts w:asciiTheme="minorHAnsi" w:hAnsiTheme="minorHAnsi"/>
        </w:rPr>
      </w:pPr>
      <w:permStart w:id="1374687207" w:edGrp="everyone"/>
      <w:r w:rsidRPr="00650291">
        <w:rPr>
          <w:rFonts w:asciiTheme="minorHAnsi" w:eastAsia="Calibri" w:hAnsiTheme="minorHAnsi"/>
        </w:rPr>
        <w:t>FIA EPTA agrees</w:t>
      </w:r>
      <w:r w:rsidRPr="00650291">
        <w:rPr>
          <w:rFonts w:asciiTheme="minorHAnsi" w:hAnsiTheme="minorHAnsi"/>
        </w:rPr>
        <w:t xml:space="preserve"> with ESMA’s proposal that CTPs should be allowed to recover the costs for consolidation and distribution of the data plus an appropriate margin to be further specified by ESMA.</w:t>
      </w:r>
    </w:p>
    <w:permEnd w:id="1374687207"/>
    <w:p w14:paraId="3CFF50C2" w14:textId="170F8C4B" w:rsidR="00010773" w:rsidRDefault="00010773" w:rsidP="00010773">
      <w:pPr>
        <w:rPr>
          <w:rFonts w:ascii="Arial" w:hAnsi="Arial" w:cs="Arial"/>
        </w:rPr>
      </w:pPr>
      <w:r>
        <w:rPr>
          <w:rFonts w:ascii="Arial" w:hAnsi="Arial" w:cs="Arial"/>
        </w:rPr>
        <w:t>&lt;ESMA_QUESTION_MDA_3</w:t>
      </w:r>
      <w:r w:rsidR="00440A7A">
        <w:rPr>
          <w:rFonts w:ascii="Arial" w:hAnsi="Arial" w:cs="Arial"/>
        </w:rPr>
        <w:t>3</w:t>
      </w:r>
      <w:r>
        <w:rPr>
          <w:rFonts w:ascii="Arial" w:hAnsi="Arial" w:cs="Arial"/>
        </w:rPr>
        <w:t>&gt;</w:t>
      </w:r>
    </w:p>
    <w:p w14:paraId="29C9EF6E" w14:textId="77777777" w:rsidR="00010773" w:rsidRDefault="00010773" w:rsidP="00010773">
      <w:pPr>
        <w:rPr>
          <w:rFonts w:ascii="Arial" w:hAnsi="Arial" w:cs="Arial"/>
        </w:rPr>
      </w:pPr>
    </w:p>
    <w:p w14:paraId="42F31758" w14:textId="77777777" w:rsidR="00010773" w:rsidRDefault="00010773" w:rsidP="00010773">
      <w:pPr>
        <w:pStyle w:val="Questionstyle"/>
        <w:numPr>
          <w:ilvl w:val="0"/>
          <w:numId w:val="9"/>
        </w:numPr>
        <w:spacing w:after="250" w:line="276" w:lineRule="auto"/>
      </w:pPr>
      <w:r w:rsidRPr="000553CD">
        <w:t>: Would you agree with the abovementioned model for the CT to charge for the provision of consolidated date and redistribute part of the revenues to contributing entities? If not please explain.</w:t>
      </w:r>
    </w:p>
    <w:p w14:paraId="02D35048" w14:textId="6E1A1EBB" w:rsidR="00010773" w:rsidRDefault="00010773" w:rsidP="00010773">
      <w:pPr>
        <w:rPr>
          <w:rFonts w:ascii="Arial" w:hAnsi="Arial" w:cs="Arial"/>
        </w:rPr>
      </w:pPr>
      <w:r>
        <w:rPr>
          <w:rFonts w:ascii="Arial" w:hAnsi="Arial" w:cs="Arial"/>
        </w:rPr>
        <w:t>&lt;ESMA_QUESTION_MDA_3</w:t>
      </w:r>
      <w:r w:rsidR="00440A7A">
        <w:rPr>
          <w:rFonts w:ascii="Arial" w:hAnsi="Arial" w:cs="Arial"/>
        </w:rPr>
        <w:t>4</w:t>
      </w:r>
      <w:r>
        <w:rPr>
          <w:rFonts w:ascii="Arial" w:hAnsi="Arial" w:cs="Arial"/>
        </w:rPr>
        <w:t>&gt;</w:t>
      </w:r>
    </w:p>
    <w:p w14:paraId="610061BC" w14:textId="77777777" w:rsidR="0018355C" w:rsidRPr="00650291" w:rsidRDefault="0018355C" w:rsidP="0018355C">
      <w:pPr>
        <w:jc w:val="both"/>
        <w:rPr>
          <w:rFonts w:asciiTheme="minorHAnsi" w:hAnsiTheme="minorHAnsi"/>
        </w:rPr>
      </w:pPr>
      <w:permStart w:id="1067719572" w:edGrp="everyone"/>
      <w:r w:rsidRPr="00650291">
        <w:rPr>
          <w:rFonts w:asciiTheme="minorHAnsi" w:hAnsiTheme="minorHAnsi"/>
        </w:rPr>
        <w:t>FIA EPTA agrees with ESMA’s proposed model for redistribution of revenues to contributing entities. We believe revenues should be allocated back to exchanges/APAs based on contribution to executed liquidity, weighted by value (e.g. price-forming trades weighted more heavily than trades executed under a waiver or in auction (lesser value to price formation)). Coupled with this should be seriously deterrent penalties on trading venues/APAs for incorrect or late data (with APAs, in turn, policing SIs and OTC reporters for their post-trade reporting).</w:t>
      </w:r>
    </w:p>
    <w:p w14:paraId="66B241A3" w14:textId="77777777" w:rsidR="0018355C" w:rsidRPr="00650291" w:rsidRDefault="0018355C" w:rsidP="0018355C">
      <w:pPr>
        <w:jc w:val="both"/>
        <w:rPr>
          <w:rFonts w:asciiTheme="minorHAnsi" w:eastAsia="Calibri" w:hAnsiTheme="minorHAnsi"/>
        </w:rPr>
      </w:pPr>
    </w:p>
    <w:p w14:paraId="7FBB8E4E" w14:textId="31580393" w:rsidR="00010773" w:rsidRPr="0018355C" w:rsidRDefault="0018355C" w:rsidP="0018355C">
      <w:pPr>
        <w:jc w:val="both"/>
        <w:rPr>
          <w:rFonts w:asciiTheme="minorHAnsi" w:hAnsiTheme="minorHAnsi"/>
        </w:rPr>
      </w:pPr>
      <w:r w:rsidRPr="00650291">
        <w:rPr>
          <w:rFonts w:asciiTheme="minorHAnsi" w:hAnsiTheme="minorHAnsi"/>
        </w:rPr>
        <w:t>In any case</w:t>
      </w:r>
      <w:r w:rsidRPr="00650291">
        <w:rPr>
          <w:rFonts w:asciiTheme="minorHAnsi" w:eastAsia="Calibri" w:hAnsiTheme="minorHAnsi"/>
        </w:rPr>
        <w:t>,</w:t>
      </w:r>
      <w:r w:rsidRPr="00650291">
        <w:rPr>
          <w:rFonts w:asciiTheme="minorHAnsi" w:hAnsiTheme="minorHAnsi"/>
        </w:rPr>
        <w:t xml:space="preserve"> we would</w:t>
      </w:r>
      <w:r w:rsidRPr="00650291">
        <w:rPr>
          <w:rFonts w:asciiTheme="minorHAnsi" w:eastAsia="Calibri" w:hAnsiTheme="minorHAnsi"/>
        </w:rPr>
        <w:t xml:space="preserve"> strongly</w:t>
      </w:r>
      <w:r w:rsidRPr="00650291">
        <w:rPr>
          <w:rFonts w:asciiTheme="minorHAnsi" w:hAnsiTheme="minorHAnsi"/>
        </w:rPr>
        <w:t xml:space="preserve"> caution against copying the US system of remunerating exchanges for contributing data to the tape, as that has created dysfunctional incentives for venues to register as exchanges in order to be eligible for tape revenues and even to game revenue allocation through specific</w:t>
      </w:r>
      <w:r w:rsidRPr="00650291">
        <w:rPr>
          <w:rFonts w:asciiTheme="minorHAnsi" w:hAnsiTheme="minorHAnsi"/>
          <w:color w:val="000000"/>
          <w:shd w:val="clear" w:color="auto" w:fill="FFFFFF"/>
        </w:rPr>
        <w:t xml:space="preserve"> order types or market data revenue sharing programs, without genuinely contributing executions.</w:t>
      </w:r>
    </w:p>
    <w:permEnd w:id="1067719572"/>
    <w:p w14:paraId="594F305C" w14:textId="2BFAD2AC" w:rsidR="00010773" w:rsidRDefault="00010773" w:rsidP="00010773">
      <w:pPr>
        <w:rPr>
          <w:rFonts w:ascii="Arial" w:hAnsi="Arial" w:cs="Arial"/>
        </w:rPr>
      </w:pPr>
      <w:r>
        <w:rPr>
          <w:rFonts w:ascii="Arial" w:hAnsi="Arial" w:cs="Arial"/>
        </w:rPr>
        <w:t>&lt;ESMA_QUESTION_MDA_3</w:t>
      </w:r>
      <w:r w:rsidR="00440A7A">
        <w:rPr>
          <w:rFonts w:ascii="Arial" w:hAnsi="Arial" w:cs="Arial"/>
        </w:rPr>
        <w:t>4</w:t>
      </w:r>
      <w:r>
        <w:rPr>
          <w:rFonts w:ascii="Arial" w:hAnsi="Arial" w:cs="Arial"/>
        </w:rPr>
        <w:t>&gt;</w:t>
      </w:r>
    </w:p>
    <w:p w14:paraId="4DFF2B16" w14:textId="77777777" w:rsidR="00010773" w:rsidRDefault="00010773" w:rsidP="00010773">
      <w:pPr>
        <w:rPr>
          <w:rFonts w:ascii="Arial" w:hAnsi="Arial" w:cs="Arial"/>
        </w:rPr>
      </w:pPr>
    </w:p>
    <w:p w14:paraId="5124D9E3" w14:textId="77777777" w:rsidR="00010773" w:rsidRDefault="00010773" w:rsidP="00010773">
      <w:pPr>
        <w:pStyle w:val="Questionstyle"/>
        <w:numPr>
          <w:ilvl w:val="0"/>
          <w:numId w:val="9"/>
        </w:numPr>
        <w:spacing w:after="250" w:line="276" w:lineRule="auto"/>
      </w:pPr>
      <w:r w:rsidRPr="00713393">
        <w:t xml:space="preserve">: How would Brexit impact the establishment of a CT? Would an EU27 CTP consolidating only EU27 transactions be of added value or would a CT that lacks UK data not be perceived as attractive? </w:t>
      </w:r>
    </w:p>
    <w:p w14:paraId="0DC7ACB7" w14:textId="12FD7051" w:rsidR="00010773" w:rsidRDefault="00010773" w:rsidP="00010773">
      <w:pPr>
        <w:rPr>
          <w:rFonts w:ascii="Arial" w:hAnsi="Arial" w:cs="Arial"/>
        </w:rPr>
      </w:pPr>
      <w:r>
        <w:rPr>
          <w:rFonts w:ascii="Arial" w:hAnsi="Arial" w:cs="Arial"/>
        </w:rPr>
        <w:t>&lt;ESMA_QUESTION_MDA_3</w:t>
      </w:r>
      <w:r w:rsidR="00440A7A">
        <w:rPr>
          <w:rFonts w:ascii="Arial" w:hAnsi="Arial" w:cs="Arial"/>
        </w:rPr>
        <w:t>5</w:t>
      </w:r>
      <w:r>
        <w:rPr>
          <w:rFonts w:ascii="Arial" w:hAnsi="Arial" w:cs="Arial"/>
        </w:rPr>
        <w:t>&gt;</w:t>
      </w:r>
    </w:p>
    <w:p w14:paraId="40399464" w14:textId="6E5945DA" w:rsidR="00010773" w:rsidRPr="00D56450" w:rsidRDefault="00D56450" w:rsidP="00D56450">
      <w:pPr>
        <w:jc w:val="both"/>
        <w:rPr>
          <w:rFonts w:asciiTheme="minorHAnsi" w:hAnsiTheme="minorHAnsi"/>
        </w:rPr>
      </w:pPr>
      <w:permStart w:id="850608286" w:edGrp="everyone"/>
      <w:r w:rsidRPr="00650291">
        <w:rPr>
          <w:rFonts w:asciiTheme="minorHAnsi" w:hAnsiTheme="minorHAnsi"/>
        </w:rPr>
        <w:t xml:space="preserve">As stated above, </w:t>
      </w:r>
      <w:r w:rsidR="00ED1D99">
        <w:rPr>
          <w:rFonts w:asciiTheme="minorHAnsi" w:hAnsiTheme="minorHAnsi"/>
        </w:rPr>
        <w:t>FIA EPTA</w:t>
      </w:r>
      <w:r w:rsidRPr="00650291">
        <w:rPr>
          <w:rFonts w:asciiTheme="minorHAnsi" w:hAnsiTheme="minorHAnsi"/>
        </w:rPr>
        <w:t xml:space="preserve"> believe</w:t>
      </w:r>
      <w:r w:rsidR="00ED1D99">
        <w:rPr>
          <w:rFonts w:asciiTheme="minorHAnsi" w:hAnsiTheme="minorHAnsi"/>
        </w:rPr>
        <w:t>s</w:t>
      </w:r>
      <w:r w:rsidRPr="00650291">
        <w:rPr>
          <w:rFonts w:asciiTheme="minorHAnsi" w:hAnsiTheme="minorHAnsi"/>
        </w:rPr>
        <w:t xml:space="preserve"> a primary benefit of a consolidated tape is to overcome fragmentation. An EU27 CT would still be very valuable in this respect, but we would definitely prefer to see one consolidated source reflecting data from the </w:t>
      </w:r>
      <w:r w:rsidRPr="00650291">
        <w:rPr>
          <w:rFonts w:asciiTheme="minorHAnsi" w:eastAsia="Calibri" w:hAnsiTheme="minorHAnsi"/>
        </w:rPr>
        <w:t>EEA</w:t>
      </w:r>
      <w:r w:rsidRPr="00650291">
        <w:rPr>
          <w:rFonts w:asciiTheme="minorHAnsi" w:hAnsiTheme="minorHAnsi"/>
        </w:rPr>
        <w:t>, UK and Switzerland.</w:t>
      </w:r>
    </w:p>
    <w:permEnd w:id="850608286"/>
    <w:p w14:paraId="7BFE84BC" w14:textId="374FE178" w:rsidR="00010773" w:rsidRDefault="00010773" w:rsidP="00010773">
      <w:pPr>
        <w:rPr>
          <w:rFonts w:ascii="Arial" w:hAnsi="Arial" w:cs="Arial"/>
        </w:rPr>
      </w:pPr>
      <w:r>
        <w:rPr>
          <w:rFonts w:ascii="Arial" w:hAnsi="Arial" w:cs="Arial"/>
        </w:rPr>
        <w:t>&lt;ESMA_QUESTION_MDA_3</w:t>
      </w:r>
      <w:r w:rsidR="00440A7A">
        <w:rPr>
          <w:rFonts w:ascii="Arial" w:hAnsi="Arial" w:cs="Arial"/>
        </w:rPr>
        <w:t>5</w:t>
      </w:r>
      <w:r>
        <w:rPr>
          <w:rFonts w:ascii="Arial" w:hAnsi="Arial" w:cs="Arial"/>
        </w:rPr>
        <w:t>&gt;</w:t>
      </w:r>
    </w:p>
    <w:p w14:paraId="6E371A47" w14:textId="77777777" w:rsidR="00010773" w:rsidRDefault="00010773" w:rsidP="00010773">
      <w:pPr>
        <w:rPr>
          <w:rFonts w:ascii="Arial" w:hAnsi="Arial" w:cs="Arial"/>
        </w:rPr>
      </w:pPr>
    </w:p>
    <w:p w14:paraId="52F80AE8" w14:textId="77777777" w:rsidR="00010773" w:rsidRDefault="00010773" w:rsidP="00010773">
      <w:pPr>
        <w:pStyle w:val="Questionstyle"/>
        <w:numPr>
          <w:ilvl w:val="0"/>
          <w:numId w:val="9"/>
        </w:numPr>
        <w:spacing w:after="250" w:line="276" w:lineRule="auto"/>
      </w:pPr>
      <w:r w:rsidRPr="00713393">
        <w:t xml:space="preserve">: In your view, how would an EU27 CT impact the level playing field between the EU27 and the UK? Please explain. </w:t>
      </w:r>
    </w:p>
    <w:p w14:paraId="10C73C87" w14:textId="4FF9F007" w:rsidR="00010773" w:rsidRDefault="00010773" w:rsidP="00010773">
      <w:pPr>
        <w:rPr>
          <w:rFonts w:ascii="Arial" w:hAnsi="Arial" w:cs="Arial"/>
        </w:rPr>
      </w:pPr>
      <w:r>
        <w:rPr>
          <w:rFonts w:ascii="Arial" w:hAnsi="Arial" w:cs="Arial"/>
        </w:rPr>
        <w:t>&lt;ESMA_QUESTION_MDA_3</w:t>
      </w:r>
      <w:r w:rsidR="00440A7A">
        <w:rPr>
          <w:rFonts w:ascii="Arial" w:hAnsi="Arial" w:cs="Arial"/>
        </w:rPr>
        <w:t>6</w:t>
      </w:r>
      <w:r>
        <w:rPr>
          <w:rFonts w:ascii="Arial" w:hAnsi="Arial" w:cs="Arial"/>
        </w:rPr>
        <w:t>&gt;</w:t>
      </w:r>
    </w:p>
    <w:p w14:paraId="278904B9" w14:textId="6555CB22" w:rsidR="0094198C" w:rsidRPr="00650291" w:rsidRDefault="0094198C" w:rsidP="0094198C">
      <w:pPr>
        <w:jc w:val="both"/>
        <w:rPr>
          <w:rFonts w:asciiTheme="minorHAnsi" w:hAnsiTheme="minorHAnsi"/>
        </w:rPr>
      </w:pPr>
      <w:permStart w:id="1640906000" w:edGrp="everyone"/>
      <w:r w:rsidRPr="00650291">
        <w:rPr>
          <w:rFonts w:asciiTheme="minorHAnsi" w:hAnsiTheme="minorHAnsi"/>
        </w:rPr>
        <w:t xml:space="preserve">Based on the proposed model for a CTP set out herein (with mandatory contribution by trading venues and APAs, and reasonable costs for users), </w:t>
      </w:r>
      <w:r w:rsidR="00ED1D99">
        <w:rPr>
          <w:rFonts w:asciiTheme="minorHAnsi" w:hAnsiTheme="minorHAnsi"/>
        </w:rPr>
        <w:t xml:space="preserve">FIA EPTA members </w:t>
      </w:r>
      <w:r w:rsidRPr="00650291">
        <w:rPr>
          <w:rFonts w:asciiTheme="minorHAnsi" w:hAnsiTheme="minorHAnsi"/>
        </w:rPr>
        <w:t>do</w:t>
      </w:r>
      <w:r w:rsidR="00ED1D99">
        <w:rPr>
          <w:rFonts w:asciiTheme="minorHAnsi" w:hAnsiTheme="minorHAnsi"/>
        </w:rPr>
        <w:t xml:space="preserve"> no</w:t>
      </w:r>
      <w:r w:rsidRPr="00650291">
        <w:rPr>
          <w:rFonts w:asciiTheme="minorHAnsi" w:hAnsiTheme="minorHAnsi"/>
        </w:rPr>
        <w:t>t envision any negative implications from an EU27 consolidated tape on European participants, as may otherwise be the case if the economics imposed significant costs on EU users.</w:t>
      </w:r>
    </w:p>
    <w:p w14:paraId="4E870193" w14:textId="77777777" w:rsidR="0094198C" w:rsidRPr="00650291" w:rsidRDefault="0094198C" w:rsidP="0094198C">
      <w:pPr>
        <w:jc w:val="both"/>
        <w:rPr>
          <w:rFonts w:asciiTheme="minorHAnsi" w:hAnsiTheme="minorHAnsi"/>
        </w:rPr>
      </w:pPr>
    </w:p>
    <w:p w14:paraId="2C545279" w14:textId="77777777" w:rsidR="0094198C" w:rsidRPr="00650291" w:rsidRDefault="0094198C" w:rsidP="0094198C">
      <w:pPr>
        <w:jc w:val="both"/>
        <w:rPr>
          <w:rFonts w:asciiTheme="minorHAnsi" w:hAnsiTheme="minorHAnsi"/>
        </w:rPr>
      </w:pPr>
      <w:r w:rsidRPr="00650291">
        <w:rPr>
          <w:rFonts w:asciiTheme="minorHAnsi" w:hAnsiTheme="minorHAnsi"/>
        </w:rPr>
        <w:t xml:space="preserve">Rather, provided our assumptions hold, we believe an EU27 CT (though preferably including UK and Swiss data) will create a more integrated European market, allow investors to obtain a full picture of the trading volumes of a product listed across multiple exchanges, and help more securities and ETFs in Europe to be traded on exchanges. </w:t>
      </w:r>
    </w:p>
    <w:p w14:paraId="39ECBF47" w14:textId="77777777" w:rsidR="0094198C" w:rsidRPr="00650291" w:rsidRDefault="0094198C" w:rsidP="0094198C">
      <w:pPr>
        <w:jc w:val="both"/>
        <w:rPr>
          <w:rFonts w:asciiTheme="minorHAnsi" w:hAnsiTheme="minorHAnsi"/>
        </w:rPr>
      </w:pPr>
    </w:p>
    <w:p w14:paraId="4669BD24" w14:textId="3396CBBB" w:rsidR="00010773" w:rsidRPr="0094198C" w:rsidRDefault="0094198C" w:rsidP="0094198C">
      <w:pPr>
        <w:jc w:val="both"/>
        <w:rPr>
          <w:rFonts w:asciiTheme="minorHAnsi" w:eastAsia="Calibri" w:hAnsiTheme="minorHAnsi"/>
        </w:rPr>
      </w:pPr>
      <w:r w:rsidRPr="00650291">
        <w:rPr>
          <w:rFonts w:asciiTheme="minorHAnsi" w:eastAsia="Calibri" w:hAnsiTheme="minorHAnsi"/>
        </w:rPr>
        <w:t xml:space="preserve">The existence of a EU27 CTP or an EU27 CTP including Swiss and UK data would contribute to the realisation of a European CMU and would promote a more vibrant and dynamic capital market. Should the EU commit to creating a CTP, we believe it would act as a “pull” factor, attracting more investors to participate on financial markets. </w:t>
      </w:r>
    </w:p>
    <w:permEnd w:id="1640906000"/>
    <w:p w14:paraId="6189ED76" w14:textId="62F2A5AA" w:rsidR="00010773" w:rsidRDefault="00010773" w:rsidP="00010773">
      <w:pPr>
        <w:rPr>
          <w:rFonts w:ascii="Arial" w:hAnsi="Arial" w:cs="Arial"/>
        </w:rPr>
      </w:pPr>
      <w:r>
        <w:rPr>
          <w:rFonts w:ascii="Arial" w:hAnsi="Arial" w:cs="Arial"/>
        </w:rPr>
        <w:t>&lt;ESMA_QUESTION_MDA_3</w:t>
      </w:r>
      <w:r w:rsidR="00440A7A">
        <w:rPr>
          <w:rFonts w:ascii="Arial" w:hAnsi="Arial" w:cs="Arial"/>
        </w:rPr>
        <w:t>6</w:t>
      </w:r>
      <w:r>
        <w:rPr>
          <w:rFonts w:ascii="Arial" w:hAnsi="Arial" w:cs="Arial"/>
        </w:rPr>
        <w:t>&gt;</w:t>
      </w:r>
    </w:p>
    <w:p w14:paraId="0367AA7A" w14:textId="77777777" w:rsidR="00010773" w:rsidRDefault="00010773" w:rsidP="00010773">
      <w:pPr>
        <w:rPr>
          <w:rFonts w:ascii="Arial" w:hAnsi="Arial" w:cs="Arial"/>
        </w:rPr>
      </w:pPr>
    </w:p>
    <w:p w14:paraId="3B03BF4C" w14:textId="77777777" w:rsidR="00010773" w:rsidRPr="007B52B2" w:rsidRDefault="00010773" w:rsidP="00010773">
      <w:pPr>
        <w:rPr>
          <w:rFonts w:ascii="Arial" w:hAnsi="Arial" w:cs="Arial"/>
        </w:rPr>
      </w:pPr>
    </w:p>
    <w:bookmarkEnd w:id="1"/>
    <w:p w14:paraId="4EE539DC" w14:textId="77777777" w:rsidR="00010773" w:rsidRDefault="00010773" w:rsidP="00C1698A">
      <w:pPr>
        <w:spacing w:line="276" w:lineRule="auto"/>
        <w:rPr>
          <w:rFonts w:asciiTheme="minorHAnsi" w:hAnsiTheme="minorHAnsi" w:cstheme="minorHAnsi"/>
          <w:b/>
          <w:sz w:val="28"/>
          <w:szCs w:val="28"/>
        </w:rPr>
      </w:pPr>
    </w:p>
    <w:sectPr w:rsidR="00010773" w:rsidSect="00C85C8B">
      <w:headerReference w:type="default" r:id="rId19"/>
      <w:footerReference w:type="default" r:id="rId20"/>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D9B53F" w14:textId="77777777" w:rsidR="001543FD" w:rsidRDefault="001543FD" w:rsidP="007E7997">
      <w:r>
        <w:separator/>
      </w:r>
    </w:p>
  </w:endnote>
  <w:endnote w:type="continuationSeparator" w:id="0">
    <w:p w14:paraId="3AA64B9A" w14:textId="77777777" w:rsidR="001543FD" w:rsidRDefault="001543FD" w:rsidP="007E7997">
      <w:r>
        <w:continuationSeparator/>
      </w:r>
    </w:p>
  </w:endnote>
  <w:endnote w:type="continuationNotice" w:id="1">
    <w:p w14:paraId="1507F92B" w14:textId="77777777" w:rsidR="001543FD" w:rsidRDefault="001543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4752671"/>
      <w:docPartObj>
        <w:docPartGallery w:val="Page Numbers (Bottom of Page)"/>
        <w:docPartUnique/>
      </w:docPartObj>
    </w:sdtPr>
    <w:sdtEndPr>
      <w:rPr>
        <w:noProof/>
      </w:rPr>
    </w:sdtEndPr>
    <w:sdtContent>
      <w:p w14:paraId="0CF5505D" w14:textId="212D7D4F" w:rsidR="00AE0577" w:rsidRDefault="00AE0577">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3A18C8B1" w14:textId="77777777" w:rsidR="00AE0577" w:rsidRDefault="00AE05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2F3915" w14:textId="0282C8DD" w:rsidR="00AE0577" w:rsidRDefault="00AE0577" w:rsidP="007A160F">
    <w:pPr>
      <w:pStyle w:val="Footer"/>
    </w:pPr>
    <w:r>
      <w:rPr>
        <w:rFonts w:asciiTheme="majorHAnsi" w:hAnsiTheme="majorHAnsi"/>
        <w:color w:val="FFFFFF" w:themeColor="background1"/>
      </w:rPr>
      <w:tab/>
    </w:r>
    <w:r>
      <w:rPr>
        <w:rFonts w:asciiTheme="majorHAnsi" w:hAnsiTheme="majorHAnsi"/>
        <w:color w:val="FFFFFF" w:themeColor="background1"/>
      </w:rPr>
      <w:tab/>
      <w:t xml:space="preserve">12 July 2019 </w:t>
    </w:r>
    <w:r w:rsidRPr="00F76B68">
      <w:rPr>
        <w:rFonts w:asciiTheme="majorHAnsi" w:hAnsiTheme="majorHAnsi"/>
        <w:color w:val="FFFFFF" w:themeColor="background1"/>
      </w:rPr>
      <w:t>ESMA70-156-1471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23752247"/>
      <w:docPartObj>
        <w:docPartGallery w:val="Page Numbers (Bottom of Page)"/>
        <w:docPartUnique/>
      </w:docPartObj>
    </w:sdtPr>
    <w:sdtEndPr>
      <w:rPr>
        <w:noProof/>
      </w:rPr>
    </w:sdtEndPr>
    <w:sdtContent>
      <w:p w14:paraId="4C9B3DBF" w14:textId="6ECC1B82" w:rsidR="00AE0577" w:rsidRDefault="00AE0577">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5EAB6EC7" w14:textId="1F85019A" w:rsidR="00AE0577" w:rsidRDefault="00AE0577" w:rsidP="00FB24ED">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703716" w14:textId="77777777" w:rsidR="001543FD" w:rsidRDefault="001543FD" w:rsidP="007E7997">
      <w:r>
        <w:separator/>
      </w:r>
    </w:p>
  </w:footnote>
  <w:footnote w:type="continuationSeparator" w:id="0">
    <w:p w14:paraId="54951BB3" w14:textId="77777777" w:rsidR="001543FD" w:rsidRDefault="001543FD" w:rsidP="007E7997">
      <w:r>
        <w:continuationSeparator/>
      </w:r>
    </w:p>
  </w:footnote>
  <w:footnote w:type="continuationNotice" w:id="1">
    <w:p w14:paraId="01B307B5" w14:textId="77777777" w:rsidR="001543FD" w:rsidRDefault="001543FD"/>
  </w:footnote>
  <w:footnote w:id="2">
    <w:p w14:paraId="5D7AEFC2" w14:textId="77777777" w:rsidR="00AE0577" w:rsidRPr="00ED1D99" w:rsidRDefault="00AE0577" w:rsidP="00ED1D99">
      <w:pPr>
        <w:pStyle w:val="FootnoteText"/>
      </w:pPr>
      <w:r w:rsidRPr="00ED1D99">
        <w:rPr>
          <w:rStyle w:val="FootnoteReference"/>
          <w:rFonts w:asciiTheme="minorHAnsi" w:hAnsiTheme="minorHAnsi"/>
          <w:sz w:val="20"/>
        </w:rPr>
        <w:footnoteRef/>
      </w:r>
      <w:r w:rsidRPr="00ED1D99">
        <w:t xml:space="preserve"> Note: 11 out of 28 FIA EPTA members have registered as SIs since the inception of MiFID II: </w:t>
      </w:r>
      <w:hyperlink r:id="rId1" w:history="1">
        <w:r w:rsidRPr="00ED1D99">
          <w:rPr>
            <w:rStyle w:val="Hyperlink"/>
          </w:rPr>
          <w:t>https://registers.esma.europa.eu/publicatio</w:t>
        </w:r>
        <w:bookmarkStart w:id="2" w:name="_Hlt17818939"/>
        <w:bookmarkStart w:id="3" w:name="_Hlt17818940"/>
        <w:r w:rsidRPr="00ED1D99">
          <w:rPr>
            <w:rStyle w:val="Hyperlink"/>
          </w:rPr>
          <w:t>n</w:t>
        </w:r>
        <w:bookmarkEnd w:id="2"/>
        <w:bookmarkEnd w:id="3"/>
        <w:r w:rsidRPr="00ED1D99">
          <w:rPr>
            <w:rStyle w:val="Hyperlink"/>
          </w:rPr>
          <w:t>/searchRegister?core=esma_registers_upreg</w:t>
        </w:r>
      </w:hyperlink>
    </w:p>
  </w:footnote>
  <w:footnote w:id="3">
    <w:p w14:paraId="0D54336A" w14:textId="77777777" w:rsidR="00AE0577" w:rsidRPr="00A91475" w:rsidRDefault="00AE0577" w:rsidP="00ED1D99">
      <w:pPr>
        <w:pStyle w:val="FootnoteText"/>
      </w:pPr>
      <w:r w:rsidRPr="00A91475">
        <w:rPr>
          <w:rStyle w:val="FootnoteReference"/>
        </w:rPr>
        <w:footnoteRef/>
      </w:r>
      <w:r w:rsidRPr="00A91475">
        <w:t xml:space="preserve"> ESMA Questions and Answers on MiFID II and MiFIR transparency topics – Answer to Q10 (last updated 14/11/2018), available at: </w:t>
      </w:r>
      <w:hyperlink r:id="rId2" w:history="1">
        <w:r w:rsidRPr="00A91475">
          <w:rPr>
            <w:rStyle w:val="Hyperlink"/>
            <w:rFonts w:eastAsia="Arial"/>
          </w:rPr>
          <w:t>https://www.esma.europa.eu/sites/default/files/library/esma70-872942901-35_qas_transparency_issues.pdf</w:t>
        </w:r>
      </w:hyperlink>
    </w:p>
  </w:footnote>
  <w:footnote w:id="4">
    <w:p w14:paraId="72453362" w14:textId="77777777" w:rsidR="00AE0577" w:rsidRPr="00A91475" w:rsidRDefault="00AE0577" w:rsidP="00ED1D99">
      <w:pPr>
        <w:pStyle w:val="FootnoteText"/>
      </w:pPr>
      <w:r w:rsidRPr="00A91475">
        <w:rPr>
          <w:rStyle w:val="FootnoteReference"/>
        </w:rPr>
        <w:footnoteRef/>
      </w:r>
      <w:r w:rsidRPr="00A91475">
        <w:t xml:space="preserve"> ESMA Questions and Answers on MiFID II and MiFIR transparency topics – Answer to Q9 (last updated 15/11/2017), available at: </w:t>
      </w:r>
      <w:hyperlink r:id="rId3" w:history="1">
        <w:r w:rsidRPr="00A91475">
          <w:rPr>
            <w:rStyle w:val="Hyperlink"/>
            <w:rFonts w:eastAsia="Arial"/>
          </w:rPr>
          <w:t>https://www.esma.europa.eu/sites/default/files/library/esma70-872942901-35_qas_transparency_issues.pdf</w:t>
        </w:r>
      </w:hyperlink>
    </w:p>
  </w:footnote>
  <w:footnote w:id="5">
    <w:p w14:paraId="63D13A8C" w14:textId="77777777" w:rsidR="00AE0577" w:rsidRPr="00A91475" w:rsidRDefault="00AE0577" w:rsidP="00ED1D99">
      <w:pPr>
        <w:pStyle w:val="FootnoteText"/>
      </w:pPr>
      <w:r w:rsidRPr="00A91475">
        <w:rPr>
          <w:rStyle w:val="FootnoteReference"/>
        </w:rPr>
        <w:footnoteRef/>
      </w:r>
      <w:r w:rsidRPr="00A91475">
        <w:t xml:space="preserve"> ESMA Questions and Answers on MiFID II and MiFIR transparency topics – Answer to Q10 (last updated 14/11/2018), available at: </w:t>
      </w:r>
      <w:hyperlink r:id="rId4" w:history="1">
        <w:r w:rsidRPr="00A91475">
          <w:rPr>
            <w:rStyle w:val="Hyperlink"/>
            <w:rFonts w:eastAsia="Arial"/>
          </w:rPr>
          <w:t>https://www.esma.europa.eu/sites/default/files/library/esma70-872942901-35_qas_transparency_issues.pdf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956F7" w14:textId="77777777" w:rsidR="00AE0577" w:rsidRDefault="00AE0577">
    <w:pPr>
      <w:pStyle w:val="Header"/>
    </w:pPr>
  </w:p>
  <w:p w14:paraId="59FA3C9D" w14:textId="77777777" w:rsidR="00AE0577" w:rsidRDefault="00AE05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391035" w14:textId="77777777" w:rsidR="00AE0577" w:rsidRDefault="00AE0577">
    <w:pPr>
      <w:pStyle w:val="Header"/>
    </w:pPr>
    <w:r>
      <w:rPr>
        <w:noProof/>
      </w:rPr>
      <w:drawing>
        <wp:anchor distT="0" distB="0" distL="114300" distR="114300" simplePos="0" relativeHeight="251658752" behindDoc="0" locked="0" layoutInCell="1" allowOverlap="1" wp14:anchorId="4D6D79BE" wp14:editId="7BE45F50">
          <wp:simplePos x="0" y="0"/>
          <wp:positionH relativeFrom="page">
            <wp:posOffset>366395</wp:posOffset>
          </wp:positionH>
          <wp:positionV relativeFrom="page">
            <wp:posOffset>372745</wp:posOffset>
          </wp:positionV>
          <wp:extent cx="2209800" cy="904875"/>
          <wp:effectExtent l="0" t="0" r="0" b="9525"/>
          <wp:wrapNone/>
          <wp:docPr id="5" name="Picture 5"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1" locked="0" layoutInCell="1" allowOverlap="1" wp14:anchorId="0329727B" wp14:editId="68199A3E">
          <wp:simplePos x="0" y="0"/>
          <wp:positionH relativeFrom="page">
            <wp:align>right</wp:align>
          </wp:positionH>
          <wp:positionV relativeFrom="page">
            <wp:align>bottom</wp:align>
          </wp:positionV>
          <wp:extent cx="7560310" cy="6800850"/>
          <wp:effectExtent l="0" t="0" r="2540" b="0"/>
          <wp:wrapNone/>
          <wp:docPr id="9" name="Picture 9"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AB6EC4" w14:textId="5E62980F" w:rsidR="00AE0577" w:rsidRDefault="00AE0577" w:rsidP="00B50534">
    <w:pPr>
      <w:pStyle w:val="Header"/>
      <w:jc w:val="right"/>
      <w:rPr>
        <w:b/>
        <w:color w:val="FF0000"/>
      </w:rPr>
    </w:pPr>
    <w:r w:rsidRPr="008D5F86">
      <w:rPr>
        <w:rFonts w:ascii="Arial" w:hAnsi="Arial" w:cs="Arial"/>
        <w:noProof/>
      </w:rPr>
      <mc:AlternateContent>
        <mc:Choice Requires="wps">
          <w:drawing>
            <wp:anchor distT="0" distB="0" distL="114300" distR="114300" simplePos="0" relativeHeight="251656704" behindDoc="0" locked="0" layoutInCell="1" allowOverlap="1" wp14:anchorId="5EAB6ECC" wp14:editId="5EAB6ECD">
              <wp:simplePos x="0" y="0"/>
              <wp:positionH relativeFrom="page">
                <wp:posOffset>1594061</wp:posOffset>
              </wp:positionH>
              <wp:positionV relativeFrom="page">
                <wp:posOffset>461010</wp:posOffset>
              </wp:positionV>
              <wp:extent cx="0" cy="558165"/>
              <wp:effectExtent l="14605" t="12065" r="13970" b="1079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BDC9A4" id="Line 16"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5.5pt,36.3pt" to="125.5pt,8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" strokecolor="#283583" strokeweight="1pt">
              <w10:wrap anchorx="page" anchory="page"/>
            </v:line>
          </w:pict>
        </mc:Fallback>
      </mc:AlternateContent>
    </w:r>
  </w:p>
  <w:p w14:paraId="5EAB6EC5" w14:textId="74FAFBAA" w:rsidR="00AE0577" w:rsidRPr="00D13661" w:rsidRDefault="00AE0577" w:rsidP="00B50534">
    <w:pPr>
      <w:pStyle w:val="Header"/>
      <w:jc w:val="right"/>
      <w:rPr>
        <w:rFonts w:asciiTheme="minorHAnsi" w:hAnsiTheme="minorHAnsi" w:cstheme="minorHAnsi"/>
        <w:color w:val="2F5496" w:themeColor="accent5" w:themeShade="BF"/>
        <w:sz w:val="20"/>
      </w:rPr>
    </w:pPr>
    <w:r w:rsidRPr="00D13661">
      <w:rPr>
        <w:rFonts w:asciiTheme="minorHAnsi" w:hAnsiTheme="minorHAnsi" w:cstheme="minorHAnsi"/>
        <w:noProof/>
        <w:color w:val="2F5496" w:themeColor="accent5" w:themeShade="BF"/>
        <w:sz w:val="20"/>
      </w:rPr>
      <w:drawing>
        <wp:anchor distT="0" distB="0" distL="114300" distR="114300" simplePos="0" relativeHeight="251655680" behindDoc="0" locked="0" layoutInCell="1" allowOverlap="1" wp14:anchorId="5EAB6ECE" wp14:editId="5EAB6ECF">
          <wp:simplePos x="0" y="0"/>
          <wp:positionH relativeFrom="page">
            <wp:posOffset>899795</wp:posOffset>
          </wp:positionH>
          <wp:positionV relativeFrom="page">
            <wp:posOffset>448945</wp:posOffset>
          </wp:positionV>
          <wp:extent cx="561975" cy="561975"/>
          <wp:effectExtent l="0" t="0" r="9525" b="9525"/>
          <wp:wrapNone/>
          <wp:docPr id="4" name="Picture 4"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pic:spPr>
              </pic:pic>
            </a:graphicData>
          </a:graphic>
          <wp14:sizeRelH relativeFrom="page">
            <wp14:pctWidth>0</wp14:pctWidth>
          </wp14:sizeRelH>
          <wp14:sizeRelV relativeFrom="page">
            <wp14:pctHeight>0</wp14:pctHeight>
          </wp14:sizeRelV>
        </wp:anchor>
      </w:drawing>
    </w:r>
    <w:r w:rsidRPr="00D13661">
      <w:rPr>
        <w:rFonts w:asciiTheme="minorHAnsi" w:hAnsiTheme="minorHAnsi" w:cstheme="minorHAnsi"/>
        <w:color w:val="2F5496" w:themeColor="accent5" w:themeShade="BF"/>
        <w:sz w:val="20"/>
      </w:rPr>
      <w:t>ESMA REGULAR USE</w:t>
    </w:r>
  </w:p>
  <w:p w14:paraId="276D8625" w14:textId="77777777" w:rsidR="00AE0577" w:rsidRPr="00C3170E" w:rsidRDefault="00AE0577" w:rsidP="00B50534">
    <w:pPr>
      <w:pStyle w:val="Header"/>
      <w:jc w:val="right"/>
      <w:rPr>
        <w:color w:val="2F5496" w:themeColor="accent5" w:themeShade="BF"/>
        <w:sz w:val="20"/>
      </w:rPr>
    </w:pPr>
  </w:p>
  <w:p w14:paraId="5EAB6EC6" w14:textId="77777777" w:rsidR="00AE0577" w:rsidRPr="00B50534" w:rsidRDefault="00AE0577" w:rsidP="00B50534">
    <w:pPr>
      <w:pStyle w:val="Header"/>
      <w:jc w:val="right"/>
      <w:rPr>
        <w:b/>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9521C"/>
    <w:multiLevelType w:val="multilevel"/>
    <w:tmpl w:val="7194BC3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 w15:restartNumberingAfterBreak="0">
    <w:nsid w:val="28806DE5"/>
    <w:multiLevelType w:val="multilevel"/>
    <w:tmpl w:val="7F2AD2EE"/>
    <w:lvl w:ilvl="0">
      <w:start w:val="1"/>
      <w:numFmt w:val="decimal"/>
      <w:pStyle w:val="Title1"/>
      <w:lvlText w:val="%1."/>
      <w:lvlJc w:val="left"/>
      <w:pPr>
        <w:ind w:left="360" w:hanging="360"/>
      </w:pPr>
    </w:lvl>
    <w:lvl w:ilvl="1">
      <w:start w:val="1"/>
      <w:numFmt w:val="decimal"/>
      <w:pStyle w:val="Title2"/>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B9E089E"/>
    <w:multiLevelType w:val="hybridMultilevel"/>
    <w:tmpl w:val="87960D64"/>
    <w:lvl w:ilvl="0" w:tplc="4F30587E">
      <w:start w:val="1"/>
      <w:numFmt w:val="lowerLetter"/>
      <w:pStyle w:val="Heading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2D181D69"/>
    <w:multiLevelType w:val="hybridMultilevel"/>
    <w:tmpl w:val="90DCB4B0"/>
    <w:lvl w:ilvl="0" w:tplc="550295DC">
      <w:start w:val="1"/>
      <w:numFmt w:val="upperLetter"/>
      <w:pStyle w:val="ListParagraph"/>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4" w15:restartNumberingAfterBreak="0">
    <w:nsid w:val="323C6B88"/>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339052AF"/>
    <w:multiLevelType w:val="hybridMultilevel"/>
    <w:tmpl w:val="99F85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2973CD"/>
    <w:multiLevelType w:val="hybridMultilevel"/>
    <w:tmpl w:val="A1301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52232B"/>
    <w:multiLevelType w:val="hybridMultilevel"/>
    <w:tmpl w:val="93D60914"/>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9" w15:restartNumberingAfterBreak="0">
    <w:nsid w:val="44261A85"/>
    <w:multiLevelType w:val="hybridMultilevel"/>
    <w:tmpl w:val="5A5CEE6E"/>
    <w:lvl w:ilvl="0" w:tplc="0F768706">
      <w:start w:val="1"/>
      <w:numFmt w:val="decimal"/>
      <w:pStyle w:val="04aNumbering"/>
      <w:lvlText w:val="%1."/>
      <w:lvlJc w:val="left"/>
      <w:pPr>
        <w:tabs>
          <w:tab w:val="num" w:pos="284"/>
        </w:tabs>
        <w:ind w:left="284" w:hanging="284"/>
      </w:pPr>
      <w:rPr>
        <w:rFonts w:ascii="Georgia" w:hAnsi="Georgia" w:hint="default"/>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15:restartNumberingAfterBreak="0">
    <w:nsid w:val="5F766C17"/>
    <w:multiLevelType w:val="hybridMultilevel"/>
    <w:tmpl w:val="F4E47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0F4367C"/>
    <w:multiLevelType w:val="hybridMultilevel"/>
    <w:tmpl w:val="E8BC2FAE"/>
    <w:lvl w:ilvl="0" w:tplc="08090001">
      <w:start w:val="1"/>
      <w:numFmt w:val="bullet"/>
      <w:lvlText w:val=""/>
      <w:lvlJc w:val="left"/>
      <w:pPr>
        <w:ind w:left="928" w:hanging="360"/>
      </w:pPr>
      <w:rPr>
        <w:rFonts w:ascii="Symbol" w:hAnsi="Symbol" w:hint="default"/>
      </w:r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6BAD1101"/>
    <w:multiLevelType w:val="multilevel"/>
    <w:tmpl w:val="766C753E"/>
    <w:lvl w:ilvl="0">
      <w:start w:val="1"/>
      <w:numFmt w:val="upperRoman"/>
      <w:pStyle w:val="Heading1"/>
      <w:lvlText w:val="%1."/>
      <w:lvlJc w:val="righ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15:restartNumberingAfterBreak="0">
    <w:nsid w:val="71494B32"/>
    <w:multiLevelType w:val="hybridMultilevel"/>
    <w:tmpl w:val="066A8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2D76F3F"/>
    <w:multiLevelType w:val="hybridMultilevel"/>
    <w:tmpl w:val="221AC284"/>
    <w:lvl w:ilvl="0" w:tplc="E0F01CF2">
      <w:start w:val="1"/>
      <w:numFmt w:val="decimal"/>
      <w:pStyle w:val="Questionstyle"/>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5145C8C"/>
    <w:multiLevelType w:val="hybridMultilevel"/>
    <w:tmpl w:val="D2744510"/>
    <w:lvl w:ilvl="0" w:tplc="F82C7A26">
      <w:start w:val="1"/>
      <w:numFmt w:val="decimal"/>
      <w:lvlText w:val="%1."/>
      <w:lvlJc w:val="left"/>
      <w:pPr>
        <w:ind w:left="928" w:hanging="360"/>
      </w:p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
  </w:num>
  <w:num w:numId="2">
    <w:abstractNumId w:val="1"/>
  </w:num>
  <w:num w:numId="3">
    <w:abstractNumId w:val="12"/>
  </w:num>
  <w:num w:numId="4">
    <w:abstractNumId w:val="2"/>
  </w:num>
  <w:num w:numId="5">
    <w:abstractNumId w:val="9"/>
  </w:num>
  <w:num w:numId="6">
    <w:abstractNumId w:val="14"/>
  </w:num>
  <w:num w:numId="7">
    <w:abstractNumId w:val="8"/>
  </w:num>
  <w:num w:numId="8">
    <w:abstractNumId w:val="3"/>
  </w:num>
  <w:num w:numId="9">
    <w:abstractNumId w:val="7"/>
  </w:num>
  <w:num w:numId="10">
    <w:abstractNumId w:val="5"/>
  </w:num>
  <w:num w:numId="11">
    <w:abstractNumId w:val="4"/>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11"/>
  </w:num>
  <w:num w:numId="16">
    <w:abstractNumId w:val="13"/>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0"/>
  </w:num>
  <w:num w:numId="20">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ctiveWritingStyle w:appName="MSWord" w:lang="fr-BE"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BE" w:vendorID="64" w:dllVersion="0" w:nlCheck="1" w:checkStyle="0"/>
  <w:activeWritingStyle w:appName="MSWord" w:lang="es-ES_tradnl" w:vendorID="64" w:dllVersion="0" w:nlCheck="1" w:checkStyle="0"/>
  <w:proofState w:spelling="clean"/>
  <w:attachedTemplate r:id="rId1"/>
  <w:documentProtection w:edit="readOnly" w:enforcement="1" w:cryptProviderType="rsaAES" w:cryptAlgorithmClass="hash" w:cryptAlgorithmType="typeAny" w:cryptAlgorithmSid="14" w:cryptSpinCount="100000" w:hash="C4DvcWkTv2Sf1JbNA6eNye2rAQ3XcZ4TU7wnvCMiZNv7mQB5O4J4tQ2chk3GuEkROUfdM+q+C7HoXk16kr7R1A==" w:salt="k5D1zs1Ojc9JjaRgACtlxA=="/>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QzNjAxNTQzNDIAAiUdpeDU4uLM/DyQAuNaAFC57LMsAAAA"/>
  </w:docVars>
  <w:rsids>
    <w:rsidRoot w:val="004B1842"/>
    <w:rsid w:val="0000380B"/>
    <w:rsid w:val="00005505"/>
    <w:rsid w:val="00006275"/>
    <w:rsid w:val="00006971"/>
    <w:rsid w:val="00010773"/>
    <w:rsid w:val="00011F6C"/>
    <w:rsid w:val="0001249B"/>
    <w:rsid w:val="00012D68"/>
    <w:rsid w:val="00013078"/>
    <w:rsid w:val="000142BB"/>
    <w:rsid w:val="0001633D"/>
    <w:rsid w:val="0001726F"/>
    <w:rsid w:val="00020098"/>
    <w:rsid w:val="00020300"/>
    <w:rsid w:val="00021A9A"/>
    <w:rsid w:val="00022ADA"/>
    <w:rsid w:val="00026327"/>
    <w:rsid w:val="00027EC9"/>
    <w:rsid w:val="00033934"/>
    <w:rsid w:val="00035DBD"/>
    <w:rsid w:val="00036C09"/>
    <w:rsid w:val="000372BF"/>
    <w:rsid w:val="00040A52"/>
    <w:rsid w:val="00044C5A"/>
    <w:rsid w:val="00044E0A"/>
    <w:rsid w:val="00054E00"/>
    <w:rsid w:val="00061B2B"/>
    <w:rsid w:val="0006448C"/>
    <w:rsid w:val="0006449B"/>
    <w:rsid w:val="000655AD"/>
    <w:rsid w:val="00066FD1"/>
    <w:rsid w:val="00072BF9"/>
    <w:rsid w:val="00073DF9"/>
    <w:rsid w:val="0007767E"/>
    <w:rsid w:val="0007796D"/>
    <w:rsid w:val="000830DA"/>
    <w:rsid w:val="00083FBB"/>
    <w:rsid w:val="000921E6"/>
    <w:rsid w:val="00093239"/>
    <w:rsid w:val="000A03C9"/>
    <w:rsid w:val="000A12CC"/>
    <w:rsid w:val="000A2738"/>
    <w:rsid w:val="000A2DF1"/>
    <w:rsid w:val="000A3D10"/>
    <w:rsid w:val="000A409B"/>
    <w:rsid w:val="000A66FC"/>
    <w:rsid w:val="000A741E"/>
    <w:rsid w:val="000B1615"/>
    <w:rsid w:val="000B2AAF"/>
    <w:rsid w:val="000B2E26"/>
    <w:rsid w:val="000B5D3D"/>
    <w:rsid w:val="000C0CE0"/>
    <w:rsid w:val="000C2400"/>
    <w:rsid w:val="000C299C"/>
    <w:rsid w:val="000C5ACC"/>
    <w:rsid w:val="000D0293"/>
    <w:rsid w:val="000D0850"/>
    <w:rsid w:val="000D1038"/>
    <w:rsid w:val="000D11A9"/>
    <w:rsid w:val="000D2D7B"/>
    <w:rsid w:val="000E2232"/>
    <w:rsid w:val="000E3DB1"/>
    <w:rsid w:val="000F0169"/>
    <w:rsid w:val="000F0951"/>
    <w:rsid w:val="000F2598"/>
    <w:rsid w:val="000F29C0"/>
    <w:rsid w:val="000F2BE6"/>
    <w:rsid w:val="000F474D"/>
    <w:rsid w:val="000F5C90"/>
    <w:rsid w:val="000F5EA6"/>
    <w:rsid w:val="000F7998"/>
    <w:rsid w:val="001000D7"/>
    <w:rsid w:val="00100ADC"/>
    <w:rsid w:val="0010429A"/>
    <w:rsid w:val="00105424"/>
    <w:rsid w:val="001075EC"/>
    <w:rsid w:val="00113D82"/>
    <w:rsid w:val="00120F0D"/>
    <w:rsid w:val="001214DA"/>
    <w:rsid w:val="0012722A"/>
    <w:rsid w:val="00130EF9"/>
    <w:rsid w:val="001319C7"/>
    <w:rsid w:val="001355E6"/>
    <w:rsid w:val="0013644A"/>
    <w:rsid w:val="00140BA6"/>
    <w:rsid w:val="00141946"/>
    <w:rsid w:val="00143DCA"/>
    <w:rsid w:val="00144AAD"/>
    <w:rsid w:val="001455E7"/>
    <w:rsid w:val="0014624E"/>
    <w:rsid w:val="001543FD"/>
    <w:rsid w:val="001608B2"/>
    <w:rsid w:val="00160FE0"/>
    <w:rsid w:val="00163913"/>
    <w:rsid w:val="00163AB3"/>
    <w:rsid w:val="00165047"/>
    <w:rsid w:val="00165FF8"/>
    <w:rsid w:val="0016669F"/>
    <w:rsid w:val="00170AD6"/>
    <w:rsid w:val="001735B8"/>
    <w:rsid w:val="00177AA7"/>
    <w:rsid w:val="00180917"/>
    <w:rsid w:val="00180E53"/>
    <w:rsid w:val="00181CB7"/>
    <w:rsid w:val="0018355C"/>
    <w:rsid w:val="001862A5"/>
    <w:rsid w:val="00186A70"/>
    <w:rsid w:val="00191035"/>
    <w:rsid w:val="001918E5"/>
    <w:rsid w:val="00192896"/>
    <w:rsid w:val="00192A7A"/>
    <w:rsid w:val="001A1EF4"/>
    <w:rsid w:val="001A6B53"/>
    <w:rsid w:val="001A7046"/>
    <w:rsid w:val="001A710D"/>
    <w:rsid w:val="001A7E6F"/>
    <w:rsid w:val="001B0A77"/>
    <w:rsid w:val="001B1727"/>
    <w:rsid w:val="001B2151"/>
    <w:rsid w:val="001B3CFF"/>
    <w:rsid w:val="001B4957"/>
    <w:rsid w:val="001B4996"/>
    <w:rsid w:val="001C0E59"/>
    <w:rsid w:val="001C432D"/>
    <w:rsid w:val="001C469E"/>
    <w:rsid w:val="001C56C3"/>
    <w:rsid w:val="001C5D8C"/>
    <w:rsid w:val="001C7E0A"/>
    <w:rsid w:val="001D0112"/>
    <w:rsid w:val="001D19F5"/>
    <w:rsid w:val="001D385A"/>
    <w:rsid w:val="001D6B39"/>
    <w:rsid w:val="001E1ECD"/>
    <w:rsid w:val="001E3E0D"/>
    <w:rsid w:val="001E4A45"/>
    <w:rsid w:val="001E5E30"/>
    <w:rsid w:val="001F0479"/>
    <w:rsid w:val="001F1F10"/>
    <w:rsid w:val="001F3999"/>
    <w:rsid w:val="001F3D9D"/>
    <w:rsid w:val="00200894"/>
    <w:rsid w:val="00202333"/>
    <w:rsid w:val="00202FA8"/>
    <w:rsid w:val="002034B8"/>
    <w:rsid w:val="00205922"/>
    <w:rsid w:val="00206FB8"/>
    <w:rsid w:val="0020766F"/>
    <w:rsid w:val="00207A07"/>
    <w:rsid w:val="00210498"/>
    <w:rsid w:val="0021147A"/>
    <w:rsid w:val="00213BFB"/>
    <w:rsid w:val="002156A3"/>
    <w:rsid w:val="00217478"/>
    <w:rsid w:val="00220938"/>
    <w:rsid w:val="00224806"/>
    <w:rsid w:val="00232F8E"/>
    <w:rsid w:val="00233071"/>
    <w:rsid w:val="00235E99"/>
    <w:rsid w:val="0024299F"/>
    <w:rsid w:val="002449D8"/>
    <w:rsid w:val="00244B86"/>
    <w:rsid w:val="00244C97"/>
    <w:rsid w:val="0024512F"/>
    <w:rsid w:val="00245406"/>
    <w:rsid w:val="002455D7"/>
    <w:rsid w:val="00245D2E"/>
    <w:rsid w:val="00246E1D"/>
    <w:rsid w:val="00246F07"/>
    <w:rsid w:val="002472F6"/>
    <w:rsid w:val="0025020D"/>
    <w:rsid w:val="00254CC2"/>
    <w:rsid w:val="002574D1"/>
    <w:rsid w:val="00260F39"/>
    <w:rsid w:val="00261CCB"/>
    <w:rsid w:val="002630C0"/>
    <w:rsid w:val="0026332A"/>
    <w:rsid w:val="002645A8"/>
    <w:rsid w:val="0026493B"/>
    <w:rsid w:val="00265566"/>
    <w:rsid w:val="00265F44"/>
    <w:rsid w:val="002665E3"/>
    <w:rsid w:val="0027199C"/>
    <w:rsid w:val="00272C4E"/>
    <w:rsid w:val="002751FC"/>
    <w:rsid w:val="002753BD"/>
    <w:rsid w:val="00282D38"/>
    <w:rsid w:val="00282FBE"/>
    <w:rsid w:val="00284AF2"/>
    <w:rsid w:val="0028536B"/>
    <w:rsid w:val="00285CED"/>
    <w:rsid w:val="00285EB5"/>
    <w:rsid w:val="00287C8F"/>
    <w:rsid w:val="00290893"/>
    <w:rsid w:val="002917B9"/>
    <w:rsid w:val="00291A55"/>
    <w:rsid w:val="0029394C"/>
    <w:rsid w:val="002A13B0"/>
    <w:rsid w:val="002A2C91"/>
    <w:rsid w:val="002A6C21"/>
    <w:rsid w:val="002A780E"/>
    <w:rsid w:val="002B144C"/>
    <w:rsid w:val="002B53F3"/>
    <w:rsid w:val="002C03FD"/>
    <w:rsid w:val="002C044D"/>
    <w:rsid w:val="002C0F78"/>
    <w:rsid w:val="002C1AA5"/>
    <w:rsid w:val="002C2A46"/>
    <w:rsid w:val="002C3048"/>
    <w:rsid w:val="002D2992"/>
    <w:rsid w:val="002D37A0"/>
    <w:rsid w:val="002D5AB5"/>
    <w:rsid w:val="002D6667"/>
    <w:rsid w:val="002D79F3"/>
    <w:rsid w:val="002E1C11"/>
    <w:rsid w:val="002E3D0B"/>
    <w:rsid w:val="002E3E7D"/>
    <w:rsid w:val="002F6279"/>
    <w:rsid w:val="003013B7"/>
    <w:rsid w:val="00301993"/>
    <w:rsid w:val="00301E55"/>
    <w:rsid w:val="00307397"/>
    <w:rsid w:val="00307E0E"/>
    <w:rsid w:val="003101EF"/>
    <w:rsid w:val="00312BDD"/>
    <w:rsid w:val="00314117"/>
    <w:rsid w:val="00317EDF"/>
    <w:rsid w:val="003279E7"/>
    <w:rsid w:val="00327B62"/>
    <w:rsid w:val="00331FE9"/>
    <w:rsid w:val="0033324D"/>
    <w:rsid w:val="0033587C"/>
    <w:rsid w:val="00336BF9"/>
    <w:rsid w:val="00336C49"/>
    <w:rsid w:val="003371E8"/>
    <w:rsid w:val="00337471"/>
    <w:rsid w:val="0034151D"/>
    <w:rsid w:val="00342B5B"/>
    <w:rsid w:val="00343532"/>
    <w:rsid w:val="00345469"/>
    <w:rsid w:val="003454ED"/>
    <w:rsid w:val="00345EB9"/>
    <w:rsid w:val="0035030F"/>
    <w:rsid w:val="00353C4B"/>
    <w:rsid w:val="003545A6"/>
    <w:rsid w:val="00356C60"/>
    <w:rsid w:val="003578D1"/>
    <w:rsid w:val="00363639"/>
    <w:rsid w:val="00366D42"/>
    <w:rsid w:val="0036748C"/>
    <w:rsid w:val="00372615"/>
    <w:rsid w:val="00373A3C"/>
    <w:rsid w:val="00375A1C"/>
    <w:rsid w:val="00376233"/>
    <w:rsid w:val="00380B30"/>
    <w:rsid w:val="00381784"/>
    <w:rsid w:val="00381EB0"/>
    <w:rsid w:val="00382A72"/>
    <w:rsid w:val="00382EBA"/>
    <w:rsid w:val="0038331A"/>
    <w:rsid w:val="0039135B"/>
    <w:rsid w:val="003A34E7"/>
    <w:rsid w:val="003A3CB1"/>
    <w:rsid w:val="003A3D55"/>
    <w:rsid w:val="003A73A4"/>
    <w:rsid w:val="003B102E"/>
    <w:rsid w:val="003B4E3D"/>
    <w:rsid w:val="003C167E"/>
    <w:rsid w:val="003C481D"/>
    <w:rsid w:val="003C4EB5"/>
    <w:rsid w:val="003D2CED"/>
    <w:rsid w:val="003D344A"/>
    <w:rsid w:val="003D3BB8"/>
    <w:rsid w:val="003D7C07"/>
    <w:rsid w:val="003E13FD"/>
    <w:rsid w:val="003E1C24"/>
    <w:rsid w:val="003E61FC"/>
    <w:rsid w:val="003E77BC"/>
    <w:rsid w:val="003F0157"/>
    <w:rsid w:val="003F0EDF"/>
    <w:rsid w:val="003F20C7"/>
    <w:rsid w:val="003F39B1"/>
    <w:rsid w:val="00400D9C"/>
    <w:rsid w:val="00400FBE"/>
    <w:rsid w:val="004022CF"/>
    <w:rsid w:val="004029B1"/>
    <w:rsid w:val="004038F1"/>
    <w:rsid w:val="00404282"/>
    <w:rsid w:val="0040743A"/>
    <w:rsid w:val="00407623"/>
    <w:rsid w:val="00407A74"/>
    <w:rsid w:val="004114D5"/>
    <w:rsid w:val="00414210"/>
    <w:rsid w:val="004159DB"/>
    <w:rsid w:val="00420FD4"/>
    <w:rsid w:val="004242B3"/>
    <w:rsid w:val="00426D62"/>
    <w:rsid w:val="00427A89"/>
    <w:rsid w:val="00430C5B"/>
    <w:rsid w:val="00431968"/>
    <w:rsid w:val="00433936"/>
    <w:rsid w:val="0043475E"/>
    <w:rsid w:val="00435FE9"/>
    <w:rsid w:val="00436279"/>
    <w:rsid w:val="00440A7A"/>
    <w:rsid w:val="0044199E"/>
    <w:rsid w:val="0044206D"/>
    <w:rsid w:val="00444803"/>
    <w:rsid w:val="00445696"/>
    <w:rsid w:val="00446E5F"/>
    <w:rsid w:val="00450C4E"/>
    <w:rsid w:val="00455577"/>
    <w:rsid w:val="00456795"/>
    <w:rsid w:val="0046150E"/>
    <w:rsid w:val="00461CC8"/>
    <w:rsid w:val="00462B2F"/>
    <w:rsid w:val="00465EAA"/>
    <w:rsid w:val="004708CA"/>
    <w:rsid w:val="004709E7"/>
    <w:rsid w:val="00470ADE"/>
    <w:rsid w:val="004712C7"/>
    <w:rsid w:val="004759EB"/>
    <w:rsid w:val="00477919"/>
    <w:rsid w:val="00482034"/>
    <w:rsid w:val="00482611"/>
    <w:rsid w:val="00482A27"/>
    <w:rsid w:val="00487DCE"/>
    <w:rsid w:val="00492E53"/>
    <w:rsid w:val="004950B7"/>
    <w:rsid w:val="00497FEA"/>
    <w:rsid w:val="004B07B2"/>
    <w:rsid w:val="004B0955"/>
    <w:rsid w:val="004B1842"/>
    <w:rsid w:val="004B25D0"/>
    <w:rsid w:val="004B3553"/>
    <w:rsid w:val="004B5E92"/>
    <w:rsid w:val="004C0A30"/>
    <w:rsid w:val="004C357C"/>
    <w:rsid w:val="004C3D18"/>
    <w:rsid w:val="004D42B1"/>
    <w:rsid w:val="004D526F"/>
    <w:rsid w:val="004E19C0"/>
    <w:rsid w:val="004E1C54"/>
    <w:rsid w:val="004E2C37"/>
    <w:rsid w:val="004E5285"/>
    <w:rsid w:val="004F0CF3"/>
    <w:rsid w:val="004F5740"/>
    <w:rsid w:val="004F58C9"/>
    <w:rsid w:val="005028B9"/>
    <w:rsid w:val="00505E17"/>
    <w:rsid w:val="00511A59"/>
    <w:rsid w:val="00511C3B"/>
    <w:rsid w:val="00514440"/>
    <w:rsid w:val="005166C3"/>
    <w:rsid w:val="00520F7C"/>
    <w:rsid w:val="00523974"/>
    <w:rsid w:val="00526E5D"/>
    <w:rsid w:val="00531432"/>
    <w:rsid w:val="00532BC8"/>
    <w:rsid w:val="005333E8"/>
    <w:rsid w:val="00534912"/>
    <w:rsid w:val="005370E7"/>
    <w:rsid w:val="005409B7"/>
    <w:rsid w:val="00545E62"/>
    <w:rsid w:val="00551070"/>
    <w:rsid w:val="00552C8A"/>
    <w:rsid w:val="00555156"/>
    <w:rsid w:val="0055535B"/>
    <w:rsid w:val="00560A96"/>
    <w:rsid w:val="005619CB"/>
    <w:rsid w:val="00561B71"/>
    <w:rsid w:val="00561F98"/>
    <w:rsid w:val="00564607"/>
    <w:rsid w:val="00565193"/>
    <w:rsid w:val="005725BD"/>
    <w:rsid w:val="005730B0"/>
    <w:rsid w:val="00575DCC"/>
    <w:rsid w:val="005821B0"/>
    <w:rsid w:val="0058665D"/>
    <w:rsid w:val="0059175F"/>
    <w:rsid w:val="00591AAC"/>
    <w:rsid w:val="00595F08"/>
    <w:rsid w:val="00595FBE"/>
    <w:rsid w:val="005A1C55"/>
    <w:rsid w:val="005B169D"/>
    <w:rsid w:val="005B4ACA"/>
    <w:rsid w:val="005B6B12"/>
    <w:rsid w:val="005C19E9"/>
    <w:rsid w:val="005C2DBC"/>
    <w:rsid w:val="005C5F13"/>
    <w:rsid w:val="005C65F9"/>
    <w:rsid w:val="005C6B0E"/>
    <w:rsid w:val="005C7E1F"/>
    <w:rsid w:val="005D1B9E"/>
    <w:rsid w:val="005D1F6B"/>
    <w:rsid w:val="005D2DE7"/>
    <w:rsid w:val="005D331C"/>
    <w:rsid w:val="005D6355"/>
    <w:rsid w:val="005D7AAF"/>
    <w:rsid w:val="005E0C59"/>
    <w:rsid w:val="005E18DE"/>
    <w:rsid w:val="005E1DA3"/>
    <w:rsid w:val="005E306B"/>
    <w:rsid w:val="005E53D0"/>
    <w:rsid w:val="005E5785"/>
    <w:rsid w:val="005E6098"/>
    <w:rsid w:val="005E7969"/>
    <w:rsid w:val="005F0C93"/>
    <w:rsid w:val="005F3F22"/>
    <w:rsid w:val="005F4FC0"/>
    <w:rsid w:val="005F540F"/>
    <w:rsid w:val="005F5491"/>
    <w:rsid w:val="005F6144"/>
    <w:rsid w:val="005F6573"/>
    <w:rsid w:val="00601541"/>
    <w:rsid w:val="0060361E"/>
    <w:rsid w:val="00604A25"/>
    <w:rsid w:val="00606683"/>
    <w:rsid w:val="00613BF6"/>
    <w:rsid w:val="00616D27"/>
    <w:rsid w:val="006234FE"/>
    <w:rsid w:val="00623840"/>
    <w:rsid w:val="006255EC"/>
    <w:rsid w:val="00625A25"/>
    <w:rsid w:val="0062736A"/>
    <w:rsid w:val="0063565E"/>
    <w:rsid w:val="00636E02"/>
    <w:rsid w:val="00641DB1"/>
    <w:rsid w:val="00642297"/>
    <w:rsid w:val="00644A34"/>
    <w:rsid w:val="00654824"/>
    <w:rsid w:val="00661766"/>
    <w:rsid w:val="00662882"/>
    <w:rsid w:val="0066298C"/>
    <w:rsid w:val="00663008"/>
    <w:rsid w:val="00663093"/>
    <w:rsid w:val="00665A7C"/>
    <w:rsid w:val="00665B0B"/>
    <w:rsid w:val="006705CD"/>
    <w:rsid w:val="00671363"/>
    <w:rsid w:val="00672780"/>
    <w:rsid w:val="00672842"/>
    <w:rsid w:val="00676CFC"/>
    <w:rsid w:val="00677133"/>
    <w:rsid w:val="00681482"/>
    <w:rsid w:val="00687BF0"/>
    <w:rsid w:val="006904CF"/>
    <w:rsid w:val="006912FB"/>
    <w:rsid w:val="00695AF2"/>
    <w:rsid w:val="00696A2B"/>
    <w:rsid w:val="00696BD5"/>
    <w:rsid w:val="006A04AE"/>
    <w:rsid w:val="006A0AE4"/>
    <w:rsid w:val="006A23F3"/>
    <w:rsid w:val="006A2CF3"/>
    <w:rsid w:val="006A5047"/>
    <w:rsid w:val="006A7A10"/>
    <w:rsid w:val="006B0DA4"/>
    <w:rsid w:val="006B1B6B"/>
    <w:rsid w:val="006B2C57"/>
    <w:rsid w:val="006B79E0"/>
    <w:rsid w:val="006C1633"/>
    <w:rsid w:val="006C345E"/>
    <w:rsid w:val="006C5BF8"/>
    <w:rsid w:val="006C7CCB"/>
    <w:rsid w:val="006D6009"/>
    <w:rsid w:val="006D7D41"/>
    <w:rsid w:val="006E2F4D"/>
    <w:rsid w:val="006E3FDD"/>
    <w:rsid w:val="006E58FB"/>
    <w:rsid w:val="006E5D82"/>
    <w:rsid w:val="006E66B2"/>
    <w:rsid w:val="006E6C50"/>
    <w:rsid w:val="006E7900"/>
    <w:rsid w:val="006E7A69"/>
    <w:rsid w:val="006E7DE4"/>
    <w:rsid w:val="006F0F63"/>
    <w:rsid w:val="006F53E8"/>
    <w:rsid w:val="006F5FB8"/>
    <w:rsid w:val="0070017B"/>
    <w:rsid w:val="0070427E"/>
    <w:rsid w:val="00704D53"/>
    <w:rsid w:val="007056C3"/>
    <w:rsid w:val="00706072"/>
    <w:rsid w:val="00713644"/>
    <w:rsid w:val="00721256"/>
    <w:rsid w:val="007217AD"/>
    <w:rsid w:val="00723BA1"/>
    <w:rsid w:val="00724A1B"/>
    <w:rsid w:val="0073173E"/>
    <w:rsid w:val="007319C3"/>
    <w:rsid w:val="0073454F"/>
    <w:rsid w:val="00735C00"/>
    <w:rsid w:val="007364C6"/>
    <w:rsid w:val="00740BF3"/>
    <w:rsid w:val="00741D5C"/>
    <w:rsid w:val="0074352F"/>
    <w:rsid w:val="00747C5E"/>
    <w:rsid w:val="00750210"/>
    <w:rsid w:val="00754B57"/>
    <w:rsid w:val="0075671D"/>
    <w:rsid w:val="007572D6"/>
    <w:rsid w:val="0076002F"/>
    <w:rsid w:val="0076038B"/>
    <w:rsid w:val="00761744"/>
    <w:rsid w:val="00764582"/>
    <w:rsid w:val="00765FA3"/>
    <w:rsid w:val="00766961"/>
    <w:rsid w:val="00766B5A"/>
    <w:rsid w:val="00770C33"/>
    <w:rsid w:val="007741C3"/>
    <w:rsid w:val="00777BE0"/>
    <w:rsid w:val="00780923"/>
    <w:rsid w:val="0078131F"/>
    <w:rsid w:val="007844C6"/>
    <w:rsid w:val="007876EF"/>
    <w:rsid w:val="00790306"/>
    <w:rsid w:val="0079364C"/>
    <w:rsid w:val="007942B9"/>
    <w:rsid w:val="00796C7F"/>
    <w:rsid w:val="00797E0C"/>
    <w:rsid w:val="007A160F"/>
    <w:rsid w:val="007A48BC"/>
    <w:rsid w:val="007B0BC1"/>
    <w:rsid w:val="007B354B"/>
    <w:rsid w:val="007B4FC3"/>
    <w:rsid w:val="007B73F3"/>
    <w:rsid w:val="007B7EE5"/>
    <w:rsid w:val="007C1C28"/>
    <w:rsid w:val="007C2A2C"/>
    <w:rsid w:val="007C3577"/>
    <w:rsid w:val="007C5E08"/>
    <w:rsid w:val="007C799F"/>
    <w:rsid w:val="007D0002"/>
    <w:rsid w:val="007D7A59"/>
    <w:rsid w:val="007E53F5"/>
    <w:rsid w:val="007E6E9E"/>
    <w:rsid w:val="007E7637"/>
    <w:rsid w:val="007E7997"/>
    <w:rsid w:val="007F014A"/>
    <w:rsid w:val="007F04EF"/>
    <w:rsid w:val="007F0763"/>
    <w:rsid w:val="007F1DE9"/>
    <w:rsid w:val="007F25C2"/>
    <w:rsid w:val="007F4F88"/>
    <w:rsid w:val="007F5822"/>
    <w:rsid w:val="007F5B86"/>
    <w:rsid w:val="00800A7F"/>
    <w:rsid w:val="0080285D"/>
    <w:rsid w:val="0081028F"/>
    <w:rsid w:val="008107D9"/>
    <w:rsid w:val="0081093B"/>
    <w:rsid w:val="008116D9"/>
    <w:rsid w:val="00811936"/>
    <w:rsid w:val="00813059"/>
    <w:rsid w:val="008157C8"/>
    <w:rsid w:val="008173E2"/>
    <w:rsid w:val="008201C3"/>
    <w:rsid w:val="00820422"/>
    <w:rsid w:val="00820655"/>
    <w:rsid w:val="008227D7"/>
    <w:rsid w:val="00822CB0"/>
    <w:rsid w:val="008249A1"/>
    <w:rsid w:val="00825D43"/>
    <w:rsid w:val="0082632D"/>
    <w:rsid w:val="00832500"/>
    <w:rsid w:val="00832787"/>
    <w:rsid w:val="00835805"/>
    <w:rsid w:val="0083595F"/>
    <w:rsid w:val="008372B6"/>
    <w:rsid w:val="00843A1A"/>
    <w:rsid w:val="00846433"/>
    <w:rsid w:val="008472C2"/>
    <w:rsid w:val="008510D9"/>
    <w:rsid w:val="00851EE3"/>
    <w:rsid w:val="00853121"/>
    <w:rsid w:val="008555E4"/>
    <w:rsid w:val="00864E60"/>
    <w:rsid w:val="0086576B"/>
    <w:rsid w:val="00866A09"/>
    <w:rsid w:val="008712BF"/>
    <w:rsid w:val="00872209"/>
    <w:rsid w:val="00873656"/>
    <w:rsid w:val="00880140"/>
    <w:rsid w:val="0088311E"/>
    <w:rsid w:val="008842F7"/>
    <w:rsid w:val="00885B94"/>
    <w:rsid w:val="0089075A"/>
    <w:rsid w:val="00890F80"/>
    <w:rsid w:val="00891700"/>
    <w:rsid w:val="00892BFD"/>
    <w:rsid w:val="0089338A"/>
    <w:rsid w:val="00894199"/>
    <w:rsid w:val="008948BE"/>
    <w:rsid w:val="008A1E27"/>
    <w:rsid w:val="008A2C86"/>
    <w:rsid w:val="008A6000"/>
    <w:rsid w:val="008A70A8"/>
    <w:rsid w:val="008A7FAC"/>
    <w:rsid w:val="008B1FD9"/>
    <w:rsid w:val="008B2AF1"/>
    <w:rsid w:val="008B5191"/>
    <w:rsid w:val="008B710D"/>
    <w:rsid w:val="008B7CA1"/>
    <w:rsid w:val="008C0177"/>
    <w:rsid w:val="008C0389"/>
    <w:rsid w:val="008C27D3"/>
    <w:rsid w:val="008C4B2B"/>
    <w:rsid w:val="008C5E91"/>
    <w:rsid w:val="008C686D"/>
    <w:rsid w:val="008C6B18"/>
    <w:rsid w:val="008C75E6"/>
    <w:rsid w:val="008C767A"/>
    <w:rsid w:val="008C7A73"/>
    <w:rsid w:val="008D0569"/>
    <w:rsid w:val="008D5C28"/>
    <w:rsid w:val="008E2D26"/>
    <w:rsid w:val="008E4076"/>
    <w:rsid w:val="008E7DBA"/>
    <w:rsid w:val="008F3386"/>
    <w:rsid w:val="008F3AD9"/>
    <w:rsid w:val="008F4642"/>
    <w:rsid w:val="008F4E00"/>
    <w:rsid w:val="008F761D"/>
    <w:rsid w:val="00900D44"/>
    <w:rsid w:val="00902520"/>
    <w:rsid w:val="00906DC4"/>
    <w:rsid w:val="0091457F"/>
    <w:rsid w:val="0091729E"/>
    <w:rsid w:val="0093261E"/>
    <w:rsid w:val="0094008E"/>
    <w:rsid w:val="0094198C"/>
    <w:rsid w:val="00941C0C"/>
    <w:rsid w:val="009437F2"/>
    <w:rsid w:val="0094528B"/>
    <w:rsid w:val="0095294E"/>
    <w:rsid w:val="00960A8B"/>
    <w:rsid w:val="00965128"/>
    <w:rsid w:val="00973F43"/>
    <w:rsid w:val="009740A1"/>
    <w:rsid w:val="0097785D"/>
    <w:rsid w:val="0098011D"/>
    <w:rsid w:val="00981912"/>
    <w:rsid w:val="009819C0"/>
    <w:rsid w:val="00983C01"/>
    <w:rsid w:val="00987A75"/>
    <w:rsid w:val="00991A8A"/>
    <w:rsid w:val="00992611"/>
    <w:rsid w:val="00994303"/>
    <w:rsid w:val="0099526D"/>
    <w:rsid w:val="009A0054"/>
    <w:rsid w:val="009A0F6E"/>
    <w:rsid w:val="009A1E12"/>
    <w:rsid w:val="009A5548"/>
    <w:rsid w:val="009B072C"/>
    <w:rsid w:val="009B25C1"/>
    <w:rsid w:val="009B684B"/>
    <w:rsid w:val="009B7B79"/>
    <w:rsid w:val="009C0383"/>
    <w:rsid w:val="009C07AA"/>
    <w:rsid w:val="009C145B"/>
    <w:rsid w:val="009C3E04"/>
    <w:rsid w:val="009C4FB0"/>
    <w:rsid w:val="009C75D1"/>
    <w:rsid w:val="009C7694"/>
    <w:rsid w:val="009D0570"/>
    <w:rsid w:val="009D3E5C"/>
    <w:rsid w:val="009D495C"/>
    <w:rsid w:val="009D570F"/>
    <w:rsid w:val="009D5E88"/>
    <w:rsid w:val="009D6E1A"/>
    <w:rsid w:val="009D7294"/>
    <w:rsid w:val="009E1690"/>
    <w:rsid w:val="009E18AF"/>
    <w:rsid w:val="009E2C9D"/>
    <w:rsid w:val="009E2CDD"/>
    <w:rsid w:val="009E3545"/>
    <w:rsid w:val="009E4FCE"/>
    <w:rsid w:val="009E522E"/>
    <w:rsid w:val="009F0ABA"/>
    <w:rsid w:val="009F0AF5"/>
    <w:rsid w:val="009F1107"/>
    <w:rsid w:val="00A02199"/>
    <w:rsid w:val="00A026A4"/>
    <w:rsid w:val="00A04044"/>
    <w:rsid w:val="00A11D0C"/>
    <w:rsid w:val="00A124E0"/>
    <w:rsid w:val="00A16579"/>
    <w:rsid w:val="00A24843"/>
    <w:rsid w:val="00A26D48"/>
    <w:rsid w:val="00A31C7C"/>
    <w:rsid w:val="00A367AA"/>
    <w:rsid w:val="00A378DF"/>
    <w:rsid w:val="00A37AC6"/>
    <w:rsid w:val="00A410CC"/>
    <w:rsid w:val="00A42B43"/>
    <w:rsid w:val="00A42BD0"/>
    <w:rsid w:val="00A433DC"/>
    <w:rsid w:val="00A460CD"/>
    <w:rsid w:val="00A50761"/>
    <w:rsid w:val="00A51DF2"/>
    <w:rsid w:val="00A53AF0"/>
    <w:rsid w:val="00A54ED7"/>
    <w:rsid w:val="00A61561"/>
    <w:rsid w:val="00A63249"/>
    <w:rsid w:val="00A6691F"/>
    <w:rsid w:val="00A67E6A"/>
    <w:rsid w:val="00A70F49"/>
    <w:rsid w:val="00A72203"/>
    <w:rsid w:val="00A7281F"/>
    <w:rsid w:val="00A73949"/>
    <w:rsid w:val="00A76707"/>
    <w:rsid w:val="00A7697E"/>
    <w:rsid w:val="00A76E20"/>
    <w:rsid w:val="00A8284E"/>
    <w:rsid w:val="00A870EE"/>
    <w:rsid w:val="00A91D91"/>
    <w:rsid w:val="00A96F81"/>
    <w:rsid w:val="00A9709D"/>
    <w:rsid w:val="00AA054E"/>
    <w:rsid w:val="00AA0A10"/>
    <w:rsid w:val="00AA2094"/>
    <w:rsid w:val="00AA2947"/>
    <w:rsid w:val="00AB1894"/>
    <w:rsid w:val="00AB22DF"/>
    <w:rsid w:val="00AB30EA"/>
    <w:rsid w:val="00AB458B"/>
    <w:rsid w:val="00AB45E4"/>
    <w:rsid w:val="00AB6157"/>
    <w:rsid w:val="00AB7542"/>
    <w:rsid w:val="00AC022D"/>
    <w:rsid w:val="00AC0629"/>
    <w:rsid w:val="00AC70C7"/>
    <w:rsid w:val="00AC79E0"/>
    <w:rsid w:val="00AD32CE"/>
    <w:rsid w:val="00AD5187"/>
    <w:rsid w:val="00AD6B11"/>
    <w:rsid w:val="00AD6B34"/>
    <w:rsid w:val="00AD6F90"/>
    <w:rsid w:val="00AE0286"/>
    <w:rsid w:val="00AE0577"/>
    <w:rsid w:val="00AE247F"/>
    <w:rsid w:val="00AE4A24"/>
    <w:rsid w:val="00AE4FC7"/>
    <w:rsid w:val="00AF01E3"/>
    <w:rsid w:val="00AF1590"/>
    <w:rsid w:val="00AF23AE"/>
    <w:rsid w:val="00AF2EF7"/>
    <w:rsid w:val="00AF3741"/>
    <w:rsid w:val="00AF3B5C"/>
    <w:rsid w:val="00B0014A"/>
    <w:rsid w:val="00B00B50"/>
    <w:rsid w:val="00B00DB2"/>
    <w:rsid w:val="00B016E3"/>
    <w:rsid w:val="00B02B0B"/>
    <w:rsid w:val="00B03180"/>
    <w:rsid w:val="00B03817"/>
    <w:rsid w:val="00B04283"/>
    <w:rsid w:val="00B05BA8"/>
    <w:rsid w:val="00B0741D"/>
    <w:rsid w:val="00B07AD8"/>
    <w:rsid w:val="00B07B20"/>
    <w:rsid w:val="00B1081B"/>
    <w:rsid w:val="00B142C7"/>
    <w:rsid w:val="00B14F01"/>
    <w:rsid w:val="00B15525"/>
    <w:rsid w:val="00B15C0B"/>
    <w:rsid w:val="00B174BA"/>
    <w:rsid w:val="00B17AF3"/>
    <w:rsid w:val="00B214A2"/>
    <w:rsid w:val="00B223B5"/>
    <w:rsid w:val="00B229AD"/>
    <w:rsid w:val="00B237BC"/>
    <w:rsid w:val="00B26EBB"/>
    <w:rsid w:val="00B27499"/>
    <w:rsid w:val="00B3152D"/>
    <w:rsid w:val="00B335C4"/>
    <w:rsid w:val="00B3369E"/>
    <w:rsid w:val="00B33D9A"/>
    <w:rsid w:val="00B40D81"/>
    <w:rsid w:val="00B424F5"/>
    <w:rsid w:val="00B43167"/>
    <w:rsid w:val="00B435BE"/>
    <w:rsid w:val="00B43A9D"/>
    <w:rsid w:val="00B467B0"/>
    <w:rsid w:val="00B4689E"/>
    <w:rsid w:val="00B47F9B"/>
    <w:rsid w:val="00B50534"/>
    <w:rsid w:val="00B51FCB"/>
    <w:rsid w:val="00B5289B"/>
    <w:rsid w:val="00B52E10"/>
    <w:rsid w:val="00B5331D"/>
    <w:rsid w:val="00B543D6"/>
    <w:rsid w:val="00B556B0"/>
    <w:rsid w:val="00B57687"/>
    <w:rsid w:val="00B578E3"/>
    <w:rsid w:val="00B57CE5"/>
    <w:rsid w:val="00B648F2"/>
    <w:rsid w:val="00B655D1"/>
    <w:rsid w:val="00B73FF2"/>
    <w:rsid w:val="00B74CBA"/>
    <w:rsid w:val="00B74ED3"/>
    <w:rsid w:val="00B768CF"/>
    <w:rsid w:val="00B81A44"/>
    <w:rsid w:val="00B86BB5"/>
    <w:rsid w:val="00B91072"/>
    <w:rsid w:val="00B91B6E"/>
    <w:rsid w:val="00B94B2C"/>
    <w:rsid w:val="00B96F7D"/>
    <w:rsid w:val="00B970D0"/>
    <w:rsid w:val="00BA49F4"/>
    <w:rsid w:val="00BA5C41"/>
    <w:rsid w:val="00BA6ACA"/>
    <w:rsid w:val="00BA7232"/>
    <w:rsid w:val="00BA7809"/>
    <w:rsid w:val="00BB449C"/>
    <w:rsid w:val="00BB44D7"/>
    <w:rsid w:val="00BB4CCD"/>
    <w:rsid w:val="00BC2561"/>
    <w:rsid w:val="00BC3E3E"/>
    <w:rsid w:val="00BC422A"/>
    <w:rsid w:val="00BC5128"/>
    <w:rsid w:val="00BC5608"/>
    <w:rsid w:val="00BC72C7"/>
    <w:rsid w:val="00BD04C9"/>
    <w:rsid w:val="00BD3536"/>
    <w:rsid w:val="00BD37FD"/>
    <w:rsid w:val="00BE0B46"/>
    <w:rsid w:val="00BE225E"/>
    <w:rsid w:val="00BE237E"/>
    <w:rsid w:val="00BE3703"/>
    <w:rsid w:val="00BE567F"/>
    <w:rsid w:val="00BF0630"/>
    <w:rsid w:val="00BF0A29"/>
    <w:rsid w:val="00BF25CD"/>
    <w:rsid w:val="00BF5553"/>
    <w:rsid w:val="00BF75CD"/>
    <w:rsid w:val="00C00F1C"/>
    <w:rsid w:val="00C0346D"/>
    <w:rsid w:val="00C0358F"/>
    <w:rsid w:val="00C03BB0"/>
    <w:rsid w:val="00C041CF"/>
    <w:rsid w:val="00C0696A"/>
    <w:rsid w:val="00C12034"/>
    <w:rsid w:val="00C1396B"/>
    <w:rsid w:val="00C1698A"/>
    <w:rsid w:val="00C17E6C"/>
    <w:rsid w:val="00C249CC"/>
    <w:rsid w:val="00C24E5F"/>
    <w:rsid w:val="00C255B6"/>
    <w:rsid w:val="00C26F3A"/>
    <w:rsid w:val="00C2770B"/>
    <w:rsid w:val="00C30296"/>
    <w:rsid w:val="00C3170E"/>
    <w:rsid w:val="00C31947"/>
    <w:rsid w:val="00C40053"/>
    <w:rsid w:val="00C4294D"/>
    <w:rsid w:val="00C444C8"/>
    <w:rsid w:val="00C452DD"/>
    <w:rsid w:val="00C45856"/>
    <w:rsid w:val="00C46603"/>
    <w:rsid w:val="00C54316"/>
    <w:rsid w:val="00C55208"/>
    <w:rsid w:val="00C5527D"/>
    <w:rsid w:val="00C61B1A"/>
    <w:rsid w:val="00C62A53"/>
    <w:rsid w:val="00C709B3"/>
    <w:rsid w:val="00C709F9"/>
    <w:rsid w:val="00C73A70"/>
    <w:rsid w:val="00C76054"/>
    <w:rsid w:val="00C779A2"/>
    <w:rsid w:val="00C80546"/>
    <w:rsid w:val="00C83CAD"/>
    <w:rsid w:val="00C8419E"/>
    <w:rsid w:val="00C851D7"/>
    <w:rsid w:val="00C85C8B"/>
    <w:rsid w:val="00C867AD"/>
    <w:rsid w:val="00C872EF"/>
    <w:rsid w:val="00C87F9F"/>
    <w:rsid w:val="00C9545D"/>
    <w:rsid w:val="00C9625C"/>
    <w:rsid w:val="00C978C6"/>
    <w:rsid w:val="00C97F2A"/>
    <w:rsid w:val="00CA112D"/>
    <w:rsid w:val="00CA1F9F"/>
    <w:rsid w:val="00CA2179"/>
    <w:rsid w:val="00CA3D8A"/>
    <w:rsid w:val="00CA488F"/>
    <w:rsid w:val="00CB4B3E"/>
    <w:rsid w:val="00CB50EF"/>
    <w:rsid w:val="00CB5DA8"/>
    <w:rsid w:val="00CB623F"/>
    <w:rsid w:val="00CB791A"/>
    <w:rsid w:val="00CB7D1B"/>
    <w:rsid w:val="00CC11DF"/>
    <w:rsid w:val="00CC1A6E"/>
    <w:rsid w:val="00CC3F62"/>
    <w:rsid w:val="00CC536E"/>
    <w:rsid w:val="00CC59DD"/>
    <w:rsid w:val="00CC7FC6"/>
    <w:rsid w:val="00CD47B2"/>
    <w:rsid w:val="00CD5AFD"/>
    <w:rsid w:val="00CD74EB"/>
    <w:rsid w:val="00CE49F8"/>
    <w:rsid w:val="00CE4E1E"/>
    <w:rsid w:val="00CE66B5"/>
    <w:rsid w:val="00CF52DF"/>
    <w:rsid w:val="00CF5832"/>
    <w:rsid w:val="00CF5911"/>
    <w:rsid w:val="00CF7221"/>
    <w:rsid w:val="00CF724E"/>
    <w:rsid w:val="00D059F5"/>
    <w:rsid w:val="00D117F5"/>
    <w:rsid w:val="00D13661"/>
    <w:rsid w:val="00D142BD"/>
    <w:rsid w:val="00D146DE"/>
    <w:rsid w:val="00D17FEC"/>
    <w:rsid w:val="00D200E7"/>
    <w:rsid w:val="00D21427"/>
    <w:rsid w:val="00D22164"/>
    <w:rsid w:val="00D22B86"/>
    <w:rsid w:val="00D22F2F"/>
    <w:rsid w:val="00D24194"/>
    <w:rsid w:val="00D2460F"/>
    <w:rsid w:val="00D2590F"/>
    <w:rsid w:val="00D27150"/>
    <w:rsid w:val="00D27EB3"/>
    <w:rsid w:val="00D35E02"/>
    <w:rsid w:val="00D41425"/>
    <w:rsid w:val="00D46275"/>
    <w:rsid w:val="00D467CA"/>
    <w:rsid w:val="00D4759B"/>
    <w:rsid w:val="00D500A4"/>
    <w:rsid w:val="00D51205"/>
    <w:rsid w:val="00D516FC"/>
    <w:rsid w:val="00D51F2D"/>
    <w:rsid w:val="00D535EE"/>
    <w:rsid w:val="00D54FC4"/>
    <w:rsid w:val="00D56450"/>
    <w:rsid w:val="00D574C1"/>
    <w:rsid w:val="00D57615"/>
    <w:rsid w:val="00D577C9"/>
    <w:rsid w:val="00D606B7"/>
    <w:rsid w:val="00D61A94"/>
    <w:rsid w:val="00D620F7"/>
    <w:rsid w:val="00D62282"/>
    <w:rsid w:val="00D6356C"/>
    <w:rsid w:val="00D64A32"/>
    <w:rsid w:val="00D6553A"/>
    <w:rsid w:val="00D657CA"/>
    <w:rsid w:val="00D73338"/>
    <w:rsid w:val="00D775F3"/>
    <w:rsid w:val="00D77868"/>
    <w:rsid w:val="00D77F25"/>
    <w:rsid w:val="00D84C2A"/>
    <w:rsid w:val="00D9064B"/>
    <w:rsid w:val="00D978C6"/>
    <w:rsid w:val="00DA03F6"/>
    <w:rsid w:val="00DA134A"/>
    <w:rsid w:val="00DA1A2E"/>
    <w:rsid w:val="00DA3413"/>
    <w:rsid w:val="00DA426E"/>
    <w:rsid w:val="00DA4339"/>
    <w:rsid w:val="00DA4B1B"/>
    <w:rsid w:val="00DA4EFC"/>
    <w:rsid w:val="00DA648D"/>
    <w:rsid w:val="00DA726D"/>
    <w:rsid w:val="00DB3DEA"/>
    <w:rsid w:val="00DB40BD"/>
    <w:rsid w:val="00DB4B8E"/>
    <w:rsid w:val="00DB4F4B"/>
    <w:rsid w:val="00DC070F"/>
    <w:rsid w:val="00DC3018"/>
    <w:rsid w:val="00DC3858"/>
    <w:rsid w:val="00DC3A57"/>
    <w:rsid w:val="00DC7A95"/>
    <w:rsid w:val="00DD55C2"/>
    <w:rsid w:val="00DD759E"/>
    <w:rsid w:val="00DD7931"/>
    <w:rsid w:val="00DE314E"/>
    <w:rsid w:val="00DE4CFB"/>
    <w:rsid w:val="00DF045B"/>
    <w:rsid w:val="00DF1ED8"/>
    <w:rsid w:val="00DF3785"/>
    <w:rsid w:val="00DF3D27"/>
    <w:rsid w:val="00DF6074"/>
    <w:rsid w:val="00E02239"/>
    <w:rsid w:val="00E047EC"/>
    <w:rsid w:val="00E07D42"/>
    <w:rsid w:val="00E163E9"/>
    <w:rsid w:val="00E240F5"/>
    <w:rsid w:val="00E30004"/>
    <w:rsid w:val="00E333AC"/>
    <w:rsid w:val="00E3456B"/>
    <w:rsid w:val="00E35C16"/>
    <w:rsid w:val="00E36085"/>
    <w:rsid w:val="00E36813"/>
    <w:rsid w:val="00E42382"/>
    <w:rsid w:val="00E603DF"/>
    <w:rsid w:val="00E63745"/>
    <w:rsid w:val="00E6699F"/>
    <w:rsid w:val="00E67B40"/>
    <w:rsid w:val="00E703AE"/>
    <w:rsid w:val="00E72373"/>
    <w:rsid w:val="00E76AF9"/>
    <w:rsid w:val="00E84EF0"/>
    <w:rsid w:val="00E8649C"/>
    <w:rsid w:val="00E87886"/>
    <w:rsid w:val="00E87CDE"/>
    <w:rsid w:val="00E91939"/>
    <w:rsid w:val="00E91FC1"/>
    <w:rsid w:val="00E92D54"/>
    <w:rsid w:val="00E9323C"/>
    <w:rsid w:val="00E93734"/>
    <w:rsid w:val="00E95FD8"/>
    <w:rsid w:val="00EA0283"/>
    <w:rsid w:val="00EA5DE1"/>
    <w:rsid w:val="00EB0C86"/>
    <w:rsid w:val="00EB0E16"/>
    <w:rsid w:val="00EB1EB6"/>
    <w:rsid w:val="00EB236F"/>
    <w:rsid w:val="00EB237E"/>
    <w:rsid w:val="00EC1546"/>
    <w:rsid w:val="00EC5B23"/>
    <w:rsid w:val="00EC5DED"/>
    <w:rsid w:val="00EC6BD8"/>
    <w:rsid w:val="00ED0356"/>
    <w:rsid w:val="00ED0D71"/>
    <w:rsid w:val="00ED1D99"/>
    <w:rsid w:val="00ED3DCD"/>
    <w:rsid w:val="00ED3DD5"/>
    <w:rsid w:val="00ED56BE"/>
    <w:rsid w:val="00ED74D7"/>
    <w:rsid w:val="00EE40F8"/>
    <w:rsid w:val="00EE6DD6"/>
    <w:rsid w:val="00EF0867"/>
    <w:rsid w:val="00EF1A10"/>
    <w:rsid w:val="00EF1A9F"/>
    <w:rsid w:val="00EF1B27"/>
    <w:rsid w:val="00EF3482"/>
    <w:rsid w:val="00EF4370"/>
    <w:rsid w:val="00EF5AD7"/>
    <w:rsid w:val="00F02F2F"/>
    <w:rsid w:val="00F03FA7"/>
    <w:rsid w:val="00F048EF"/>
    <w:rsid w:val="00F06AAD"/>
    <w:rsid w:val="00F146BE"/>
    <w:rsid w:val="00F22013"/>
    <w:rsid w:val="00F22356"/>
    <w:rsid w:val="00F226E0"/>
    <w:rsid w:val="00F2522F"/>
    <w:rsid w:val="00F30180"/>
    <w:rsid w:val="00F31A29"/>
    <w:rsid w:val="00F3279A"/>
    <w:rsid w:val="00F37236"/>
    <w:rsid w:val="00F44634"/>
    <w:rsid w:val="00F505EC"/>
    <w:rsid w:val="00F5088F"/>
    <w:rsid w:val="00F51657"/>
    <w:rsid w:val="00F5223C"/>
    <w:rsid w:val="00F57787"/>
    <w:rsid w:val="00F61E82"/>
    <w:rsid w:val="00F6243A"/>
    <w:rsid w:val="00F63323"/>
    <w:rsid w:val="00F636FE"/>
    <w:rsid w:val="00F648B2"/>
    <w:rsid w:val="00F67EBD"/>
    <w:rsid w:val="00F70EA4"/>
    <w:rsid w:val="00F76B68"/>
    <w:rsid w:val="00F77851"/>
    <w:rsid w:val="00F80FAB"/>
    <w:rsid w:val="00F81E3B"/>
    <w:rsid w:val="00F827E1"/>
    <w:rsid w:val="00F927B5"/>
    <w:rsid w:val="00F94BD0"/>
    <w:rsid w:val="00F95403"/>
    <w:rsid w:val="00F96705"/>
    <w:rsid w:val="00F96750"/>
    <w:rsid w:val="00F9704D"/>
    <w:rsid w:val="00FA0166"/>
    <w:rsid w:val="00FA2400"/>
    <w:rsid w:val="00FA33E9"/>
    <w:rsid w:val="00FA55C8"/>
    <w:rsid w:val="00FA74C6"/>
    <w:rsid w:val="00FB24ED"/>
    <w:rsid w:val="00FB29AF"/>
    <w:rsid w:val="00FB313D"/>
    <w:rsid w:val="00FB4003"/>
    <w:rsid w:val="00FB4EBA"/>
    <w:rsid w:val="00FB7086"/>
    <w:rsid w:val="00FC10A7"/>
    <w:rsid w:val="00FC6733"/>
    <w:rsid w:val="00FD2677"/>
    <w:rsid w:val="00FD28B8"/>
    <w:rsid w:val="00FE0BD8"/>
    <w:rsid w:val="00FE1709"/>
    <w:rsid w:val="00FE1FC9"/>
    <w:rsid w:val="00FF32DE"/>
    <w:rsid w:val="00FF4205"/>
    <w:rsid w:val="00FF5858"/>
    <w:rsid w:val="00FF693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AB6E44"/>
  <w15:docId w15:val="{623B9E68-3536-4AAD-8A38-AE12768B4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0169"/>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next w:val="Normal"/>
    <w:link w:val="Heading1Char"/>
    <w:qFormat/>
    <w:rsid w:val="00FE0BD8"/>
    <w:pPr>
      <w:keepNext/>
      <w:keepLines/>
      <w:numPr>
        <w:numId w:val="3"/>
      </w:numPr>
      <w:spacing w:before="320"/>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nhideWhenUsed/>
    <w:qFormat/>
    <w:rsid w:val="003C167E"/>
    <w:pPr>
      <w:keepNext/>
      <w:keepLines/>
      <w:numPr>
        <w:ilvl w:val="1"/>
        <w:numId w:val="3"/>
      </w:numPr>
      <w:spacing w:before="320"/>
      <w:outlineLvl w:val="1"/>
    </w:pPr>
    <w:rPr>
      <w:rFonts w:asciiTheme="majorHAnsi" w:eastAsiaTheme="majorEastAsia" w:hAnsiTheme="majorHAnsi" w:cstheme="majorBidi"/>
      <w:b/>
      <w:sz w:val="28"/>
      <w:szCs w:val="28"/>
    </w:rPr>
  </w:style>
  <w:style w:type="paragraph" w:styleId="Heading3">
    <w:name w:val="heading 3"/>
    <w:basedOn w:val="Normal"/>
    <w:next w:val="Normal"/>
    <w:link w:val="Heading3Char"/>
    <w:unhideWhenUsed/>
    <w:qFormat/>
    <w:rsid w:val="00020300"/>
    <w:pPr>
      <w:keepNext/>
      <w:keepLines/>
      <w:numPr>
        <w:ilvl w:val="2"/>
        <w:numId w:val="3"/>
      </w:numPr>
      <w:spacing w:before="320"/>
      <w:outlineLvl w:val="2"/>
    </w:pPr>
    <w:rPr>
      <w:rFonts w:asciiTheme="majorHAnsi" w:eastAsiaTheme="majorEastAsia" w:hAnsiTheme="majorHAnsi" w:cstheme="majorBidi"/>
    </w:rPr>
  </w:style>
  <w:style w:type="paragraph" w:styleId="Heading4">
    <w:name w:val="heading 4"/>
    <w:basedOn w:val="Normal"/>
    <w:next w:val="Normal"/>
    <w:link w:val="Heading4Char"/>
    <w:unhideWhenUsed/>
    <w:qFormat/>
    <w:rsid w:val="00020300"/>
    <w:pPr>
      <w:keepNext/>
      <w:keepLines/>
      <w:numPr>
        <w:ilvl w:val="3"/>
        <w:numId w:val="3"/>
      </w:numPr>
      <w:spacing w:before="320"/>
      <w:ind w:left="862" w:hanging="862"/>
      <w:outlineLvl w:val="3"/>
    </w:pPr>
    <w:rPr>
      <w:rFonts w:asciiTheme="majorHAnsi" w:eastAsiaTheme="majorEastAsia" w:hAnsiTheme="majorHAnsi" w:cstheme="majorBidi"/>
      <w:szCs w:val="22"/>
    </w:rPr>
  </w:style>
  <w:style w:type="paragraph" w:styleId="Heading5">
    <w:name w:val="heading 5"/>
    <w:basedOn w:val="Normal"/>
    <w:next w:val="Normal"/>
    <w:link w:val="Heading5Char"/>
    <w:uiPriority w:val="9"/>
    <w:unhideWhenUsed/>
    <w:qFormat/>
    <w:rsid w:val="007E7997"/>
    <w:pPr>
      <w:keepNext/>
      <w:keepLines/>
      <w:numPr>
        <w:numId w:val="4"/>
      </w:numPr>
      <w:spacing w:before="40"/>
      <w:outlineLvl w:val="4"/>
    </w:pPr>
    <w:rPr>
      <w:rFonts w:asciiTheme="majorHAnsi" w:eastAsiaTheme="majorEastAsia" w:hAnsiTheme="majorHAnsi" w:cstheme="majorBidi"/>
      <w:szCs w:val="22"/>
    </w:rPr>
  </w:style>
  <w:style w:type="paragraph" w:styleId="Heading6">
    <w:name w:val="heading 6"/>
    <w:basedOn w:val="Normal"/>
    <w:next w:val="Normal"/>
    <w:link w:val="Heading6Char"/>
    <w:unhideWhenUsed/>
    <w:qFormat/>
    <w:rsid w:val="00AA054E"/>
    <w:pPr>
      <w:keepNext/>
      <w:keepLines/>
      <w:numPr>
        <w:ilvl w:val="5"/>
        <w:numId w:val="3"/>
      </w:numPr>
      <w:spacing w:before="4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nhideWhenUsed/>
    <w:qFormat/>
    <w:rsid w:val="00AA054E"/>
    <w:pPr>
      <w:keepNext/>
      <w:keepLines/>
      <w:numPr>
        <w:ilvl w:val="6"/>
        <w:numId w:val="3"/>
      </w:numPr>
      <w:spacing w:before="4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nhideWhenUsed/>
    <w:qFormat/>
    <w:rsid w:val="00AA054E"/>
    <w:pPr>
      <w:keepNext/>
      <w:keepLines/>
      <w:numPr>
        <w:ilvl w:val="7"/>
        <w:numId w:val="3"/>
      </w:numPr>
      <w:spacing w:before="4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nhideWhenUsed/>
    <w:qFormat/>
    <w:rsid w:val="00AA054E"/>
    <w:pPr>
      <w:keepNext/>
      <w:keepLines/>
      <w:numPr>
        <w:ilvl w:val="8"/>
        <w:numId w:val="3"/>
      </w:numPr>
      <w:spacing w:before="4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B6B12"/>
    <w:pPr>
      <w:spacing w:after="0" w:line="240" w:lineRule="auto"/>
    </w:pPr>
    <w:rPr>
      <w:lang w:val="en-GB"/>
    </w:rPr>
  </w:style>
  <w:style w:type="character" w:customStyle="1" w:styleId="Heading4Char">
    <w:name w:val="Heading 4 Char"/>
    <w:basedOn w:val="DefaultParagraphFont"/>
    <w:link w:val="Heading4"/>
    <w:rsid w:val="00020300"/>
    <w:rPr>
      <w:rFonts w:asciiTheme="majorHAnsi" w:eastAsiaTheme="majorEastAsia" w:hAnsiTheme="majorHAnsi" w:cstheme="majorBidi"/>
      <w:sz w:val="24"/>
      <w:szCs w:val="22"/>
      <w:lang w:val="en-GB" w:eastAsia="en-GB"/>
    </w:rPr>
  </w:style>
  <w:style w:type="character" w:customStyle="1" w:styleId="Heading3Char">
    <w:name w:val="Heading 3 Char"/>
    <w:basedOn w:val="DefaultParagraphFont"/>
    <w:link w:val="Heading3"/>
    <w:rsid w:val="00020300"/>
    <w:rPr>
      <w:rFonts w:asciiTheme="majorHAnsi" w:eastAsiaTheme="majorEastAsia" w:hAnsiTheme="majorHAnsi" w:cstheme="majorBidi"/>
      <w:sz w:val="24"/>
      <w:szCs w:val="24"/>
      <w:lang w:val="en-GB" w:eastAsia="en-GB"/>
    </w:rPr>
  </w:style>
  <w:style w:type="character" w:customStyle="1" w:styleId="Heading1Char">
    <w:name w:val="Heading 1 Char"/>
    <w:basedOn w:val="DefaultParagraphFont"/>
    <w:link w:val="Heading1"/>
    <w:rsid w:val="00FE0BD8"/>
    <w:rPr>
      <w:rFonts w:asciiTheme="majorHAnsi" w:eastAsiaTheme="majorEastAsia" w:hAnsiTheme="majorHAnsi" w:cstheme="majorBidi"/>
      <w:b/>
      <w:sz w:val="32"/>
      <w:szCs w:val="32"/>
      <w:lang w:val="en-GB" w:eastAsia="en-GB"/>
    </w:rPr>
  </w:style>
  <w:style w:type="character" w:customStyle="1" w:styleId="Heading2Char">
    <w:name w:val="Heading 2 Char"/>
    <w:basedOn w:val="DefaultParagraphFont"/>
    <w:link w:val="Heading2"/>
    <w:rsid w:val="003C167E"/>
    <w:rPr>
      <w:rFonts w:asciiTheme="majorHAnsi" w:eastAsiaTheme="majorEastAsia" w:hAnsiTheme="majorHAnsi" w:cstheme="majorBidi"/>
      <w:b/>
      <w:sz w:val="28"/>
      <w:szCs w:val="28"/>
      <w:lang w:val="en-GB" w:eastAsia="en-GB"/>
    </w:rPr>
  </w:style>
  <w:style w:type="paragraph" w:customStyle="1" w:styleId="Subtitle1">
    <w:name w:val="Subtitle1"/>
    <w:basedOn w:val="Normal"/>
    <w:link w:val="Subtitle1Char"/>
    <w:autoRedefine/>
    <w:rsid w:val="003C4EB5"/>
    <w:pPr>
      <w:tabs>
        <w:tab w:val="left" w:pos="414"/>
      </w:tabs>
    </w:pPr>
    <w:rPr>
      <w:b/>
    </w:rPr>
  </w:style>
  <w:style w:type="character" w:customStyle="1" w:styleId="Subtitle1Char">
    <w:name w:val="Subtitle1 Char"/>
    <w:basedOn w:val="DefaultParagraphFont"/>
    <w:link w:val="Subtitle1"/>
    <w:rsid w:val="003C4EB5"/>
    <w:rPr>
      <w:rFonts w:cs="Times New Roman"/>
      <w:b/>
      <w:sz w:val="20"/>
      <w:szCs w:val="24"/>
      <w:lang w:val="en-GB" w:eastAsia="de-DE"/>
    </w:rPr>
  </w:style>
  <w:style w:type="paragraph" w:customStyle="1" w:styleId="Title1">
    <w:name w:val="Title 1"/>
    <w:basedOn w:val="ListParagraph"/>
    <w:link w:val="Title1Char"/>
    <w:autoRedefine/>
    <w:rsid w:val="002574D1"/>
    <w:pPr>
      <w:numPr>
        <w:numId w:val="2"/>
      </w:numPr>
    </w:pPr>
    <w:rPr>
      <w:b/>
      <w:sz w:val="28"/>
    </w:rPr>
  </w:style>
  <w:style w:type="character" w:customStyle="1" w:styleId="Title1Char">
    <w:name w:val="Title 1 Char"/>
    <w:basedOn w:val="DefaultParagraphFont"/>
    <w:link w:val="Title1"/>
    <w:rsid w:val="003C4EB5"/>
    <w:rPr>
      <w:rFonts w:eastAsiaTheme="majorEastAsia" w:cstheme="minorHAnsi"/>
      <w:b/>
      <w:sz w:val="28"/>
      <w:szCs w:val="22"/>
      <w:lang w:val="en-GB" w:eastAsia="en-GB"/>
    </w:rPr>
  </w:style>
  <w:style w:type="paragraph" w:styleId="ListParagraph">
    <w:name w:val="List Paragraph"/>
    <w:aliases w:val="Paragraphe EI,Paragraphe de liste1,EC,Paragraphe de liste,Normal Nivel 1,List Paragraph Main,List first level,List Paragraph_Sections"/>
    <w:basedOn w:val="Normal"/>
    <w:link w:val="ListParagraphChar"/>
    <w:autoRedefine/>
    <w:uiPriority w:val="34"/>
    <w:qFormat/>
    <w:rsid w:val="00D620F7"/>
    <w:pPr>
      <w:numPr>
        <w:numId w:val="8"/>
      </w:numPr>
      <w:tabs>
        <w:tab w:val="left" w:pos="0"/>
        <w:tab w:val="left" w:pos="142"/>
        <w:tab w:val="left" w:pos="284"/>
        <w:tab w:val="left" w:pos="567"/>
      </w:tabs>
      <w:autoSpaceDE w:val="0"/>
      <w:autoSpaceDN w:val="0"/>
      <w:adjustRightInd w:val="0"/>
      <w:ind w:left="0"/>
      <w:jc w:val="both"/>
    </w:pPr>
    <w:rPr>
      <w:rFonts w:asciiTheme="minorHAnsi" w:eastAsiaTheme="majorEastAsia" w:hAnsiTheme="minorHAnsi" w:cstheme="minorHAnsi"/>
      <w:sz w:val="22"/>
      <w:szCs w:val="22"/>
    </w:rPr>
  </w:style>
  <w:style w:type="paragraph" w:customStyle="1" w:styleId="Title3">
    <w:name w:val="Title 3"/>
    <w:basedOn w:val="ListParagraph"/>
    <w:link w:val="Title3Char"/>
    <w:autoRedefine/>
    <w:rsid w:val="002574D1"/>
    <w:pPr>
      <w:numPr>
        <w:ilvl w:val="3"/>
        <w:numId w:val="2"/>
      </w:numPr>
    </w:pPr>
  </w:style>
  <w:style w:type="character" w:customStyle="1" w:styleId="Title3Char">
    <w:name w:val="Title 3 Char"/>
    <w:basedOn w:val="DefaultParagraphFont"/>
    <w:link w:val="Title3"/>
    <w:rsid w:val="003C4EB5"/>
    <w:rPr>
      <w:rFonts w:eastAsiaTheme="majorEastAsia" w:cstheme="minorHAnsi"/>
      <w:sz w:val="22"/>
      <w:szCs w:val="22"/>
      <w:lang w:val="en-GB" w:eastAsia="en-GB"/>
    </w:rPr>
  </w:style>
  <w:style w:type="paragraph" w:customStyle="1" w:styleId="Title2">
    <w:name w:val="Title 2"/>
    <w:basedOn w:val="Title1"/>
    <w:link w:val="Title2Char"/>
    <w:autoRedefine/>
    <w:rsid w:val="002574D1"/>
    <w:pPr>
      <w:numPr>
        <w:ilvl w:val="1"/>
        <w:numId w:val="1"/>
      </w:numPr>
      <w:ind w:left="0" w:firstLine="0"/>
    </w:pPr>
  </w:style>
  <w:style w:type="character" w:customStyle="1" w:styleId="Title2Char">
    <w:name w:val="Title 2 Char"/>
    <w:basedOn w:val="Title1Char"/>
    <w:link w:val="Title2"/>
    <w:rsid w:val="002574D1"/>
    <w:rPr>
      <w:rFonts w:eastAsiaTheme="majorEastAsia" w:cstheme="minorHAnsi"/>
      <w:b/>
      <w:sz w:val="28"/>
      <w:szCs w:val="22"/>
      <w:lang w:val="en-GB" w:eastAsia="en-GB"/>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eastAsiaTheme="majorEastAsia" w:hAnsiTheme="majorHAnsi" w:cstheme="majorBidi"/>
      <w:sz w:val="22"/>
      <w:szCs w:val="22"/>
      <w:lang w:val="fr-BE" w:eastAsia="en-GB"/>
    </w:rPr>
  </w:style>
  <w:style w:type="paragraph" w:customStyle="1" w:styleId="DocumentTitle">
    <w:name w:val="Document Title"/>
    <w:basedOn w:val="Normal"/>
    <w:link w:val="DocumentTitleChar"/>
    <w:autoRedefine/>
    <w:rsid w:val="003C4EB5"/>
    <w:pPr>
      <w:framePr w:hSpace="8505" w:wrap="around" w:vAnchor="page" w:hAnchor="page" w:x="1248" w:y="4401"/>
      <w:spacing w:line="400" w:lineRule="exact"/>
    </w:pPr>
    <w:rPr>
      <w:rFonts w:asciiTheme="majorHAnsi" w:hAnsiTheme="majorHAnsi"/>
      <w:b/>
      <w:color w:val="2D4190"/>
      <w:sz w:val="48"/>
    </w:rPr>
  </w:style>
  <w:style w:type="character" w:customStyle="1" w:styleId="DocumentTitleChar">
    <w:name w:val="Document Title Char"/>
    <w:basedOn w:val="DefaultParagraphFont"/>
    <w:link w:val="DocumentTitle"/>
    <w:rsid w:val="003C4EB5"/>
    <w:rPr>
      <w:rFonts w:asciiTheme="majorHAnsi" w:hAnsiTheme="majorHAnsi" w:cs="Times New Roman"/>
      <w:b/>
      <w:color w:val="2D4190"/>
      <w:sz w:val="48"/>
      <w:szCs w:val="24"/>
      <w:lang w:val="en-GB" w:eastAsia="de-DE"/>
    </w:rPr>
  </w:style>
  <w:style w:type="paragraph" w:customStyle="1" w:styleId="DocumentSubtitle">
    <w:name w:val="Document Subtitle"/>
    <w:basedOn w:val="Normal"/>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DefaultParagraphFont"/>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Normal"/>
    <w:link w:val="IntroductiontitleChar"/>
    <w:autoRedefine/>
    <w:rsid w:val="003C4EB5"/>
    <w:rPr>
      <w:rFonts w:asciiTheme="majorHAnsi" w:hAnsiTheme="majorHAnsi"/>
      <w:b/>
      <w:sz w:val="28"/>
      <w:lang w:eastAsia="de-DE"/>
    </w:rPr>
  </w:style>
  <w:style w:type="character" w:customStyle="1" w:styleId="IntroductiontitleChar">
    <w:name w:val="Introduction title Char"/>
    <w:basedOn w:val="DefaultParagraphFont"/>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Normal"/>
    <w:link w:val="IntroductionsubtitleChar"/>
    <w:autoRedefine/>
    <w:rsid w:val="003C4EB5"/>
    <w:pPr>
      <w:tabs>
        <w:tab w:val="left" w:pos="414"/>
      </w:tabs>
    </w:pPr>
    <w:rPr>
      <w:rFonts w:asciiTheme="majorHAnsi" w:hAnsiTheme="majorHAnsi"/>
      <w:b/>
      <w:lang w:eastAsia="de-DE"/>
    </w:rPr>
  </w:style>
  <w:style w:type="character" w:customStyle="1" w:styleId="IntroductionsubtitleChar">
    <w:name w:val="Introduction subtitle Char"/>
    <w:basedOn w:val="DefaultParagraphFont"/>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Normal"/>
    <w:link w:val="IntroductionheadingChar"/>
    <w:autoRedefine/>
    <w:rsid w:val="00044C5A"/>
    <w:pPr>
      <w:spacing w:line="300" w:lineRule="exact"/>
    </w:pPr>
    <w:rPr>
      <w:b/>
      <w:sz w:val="28"/>
      <w:lang w:eastAsia="de-DE"/>
    </w:rPr>
  </w:style>
  <w:style w:type="character" w:customStyle="1" w:styleId="IntroductionheadingChar">
    <w:name w:val="Introduction heading Char"/>
    <w:basedOn w:val="DefaultParagraphFont"/>
    <w:link w:val="Introductionheading"/>
    <w:rsid w:val="00044C5A"/>
    <w:rPr>
      <w:rFonts w:ascii="Arial" w:eastAsia="Times New Roman" w:hAnsi="Arial" w:cs="Times New Roman"/>
      <w:b/>
      <w:sz w:val="28"/>
      <w:szCs w:val="24"/>
      <w:lang w:val="en-GB" w:eastAsia="de-DE"/>
    </w:rPr>
  </w:style>
  <w:style w:type="character" w:customStyle="1" w:styleId="Heading5Char">
    <w:name w:val="Heading 5 Char"/>
    <w:basedOn w:val="DefaultParagraphFont"/>
    <w:link w:val="Heading5"/>
    <w:uiPriority w:val="9"/>
    <w:rsid w:val="007E7997"/>
    <w:rPr>
      <w:rFonts w:asciiTheme="majorHAnsi" w:eastAsiaTheme="majorEastAsia" w:hAnsiTheme="majorHAnsi" w:cstheme="majorBidi"/>
      <w:sz w:val="24"/>
      <w:szCs w:val="22"/>
      <w:lang w:val="en-GB" w:eastAsia="en-GB"/>
    </w:rPr>
  </w:style>
  <w:style w:type="paragraph" w:styleId="BodyText">
    <w:name w:val="Body Text"/>
    <w:basedOn w:val="Normal"/>
    <w:link w:val="BodyTextChar"/>
    <w:uiPriority w:val="99"/>
    <w:semiHidden/>
    <w:unhideWhenUsed/>
    <w:rsid w:val="00044C5A"/>
  </w:style>
  <w:style w:type="character" w:customStyle="1" w:styleId="BodyTextChar">
    <w:name w:val="Body Text Char"/>
    <w:basedOn w:val="DefaultParagraphFont"/>
    <w:link w:val="BodyText"/>
    <w:uiPriority w:val="99"/>
    <w:semiHidden/>
    <w:rsid w:val="00044C5A"/>
    <w:rPr>
      <w:rFonts w:ascii="Arial" w:eastAsiaTheme="minorEastAsia" w:hAnsi="Arial"/>
    </w:rPr>
  </w:style>
  <w:style w:type="paragraph" w:styleId="BodyTextFirstIndent">
    <w:name w:val="Body Text First Indent"/>
    <w:basedOn w:val="BodyText"/>
    <w:link w:val="BodyTextFirstIndentChar"/>
    <w:uiPriority w:val="99"/>
    <w:semiHidden/>
    <w:unhideWhenUsed/>
    <w:rsid w:val="00044C5A"/>
    <w:pPr>
      <w:ind w:firstLine="360"/>
    </w:pPr>
  </w:style>
  <w:style w:type="character" w:customStyle="1" w:styleId="BodyTextFirstIndentChar">
    <w:name w:val="Body Text First Indent Char"/>
    <w:basedOn w:val="BodyTextChar"/>
    <w:link w:val="BodyTextFirstIndent"/>
    <w:uiPriority w:val="99"/>
    <w:semiHidden/>
    <w:rsid w:val="00044C5A"/>
    <w:rPr>
      <w:rFonts w:ascii="Arial" w:eastAsiaTheme="minorEastAsia" w:hAnsi="Arial"/>
    </w:rPr>
  </w:style>
  <w:style w:type="character" w:customStyle="1" w:styleId="Heading6Char">
    <w:name w:val="Heading 6 Char"/>
    <w:basedOn w:val="DefaultParagraphFont"/>
    <w:link w:val="Heading6"/>
    <w:rsid w:val="00AA054E"/>
    <w:rPr>
      <w:rFonts w:asciiTheme="majorHAnsi" w:eastAsiaTheme="majorEastAsia" w:hAnsiTheme="majorHAnsi" w:cstheme="majorBidi"/>
      <w:i/>
      <w:iCs/>
      <w:color w:val="44546A" w:themeColor="text2"/>
      <w:sz w:val="21"/>
      <w:szCs w:val="21"/>
      <w:lang w:val="en-GB" w:eastAsia="en-GB"/>
    </w:rPr>
  </w:style>
  <w:style w:type="paragraph" w:styleId="Title">
    <w:name w:val="Title"/>
    <w:basedOn w:val="Normal"/>
    <w:next w:val="Normal"/>
    <w:link w:val="TitleChar"/>
    <w:uiPriority w:val="10"/>
    <w:qFormat/>
    <w:rsid w:val="008F4642"/>
    <w:pPr>
      <w:contextualSpacing/>
    </w:pPr>
    <w:rPr>
      <w:rFonts w:asciiTheme="majorHAnsi" w:eastAsiaTheme="majorEastAsia" w:hAnsiTheme="majorHAnsi" w:cstheme="majorBidi"/>
      <w:b/>
      <w:color w:val="2F5496" w:themeColor="accent5" w:themeShade="BF"/>
      <w:spacing w:val="-10"/>
      <w:sz w:val="56"/>
      <w:szCs w:val="56"/>
    </w:rPr>
  </w:style>
  <w:style w:type="character" w:customStyle="1" w:styleId="TitleChar">
    <w:name w:val="Title Char"/>
    <w:basedOn w:val="DefaultParagraphFont"/>
    <w:link w:val="Title"/>
    <w:uiPriority w:val="10"/>
    <w:rsid w:val="008F4642"/>
    <w:rPr>
      <w:rFonts w:asciiTheme="majorHAnsi" w:eastAsiaTheme="majorEastAsia" w:hAnsiTheme="majorHAnsi" w:cstheme="majorBidi"/>
      <w:b/>
      <w:color w:val="2F5496" w:themeColor="accent5" w:themeShade="BF"/>
      <w:spacing w:val="-10"/>
      <w:sz w:val="56"/>
      <w:szCs w:val="56"/>
      <w:lang w:val="en-GB"/>
    </w:rPr>
  </w:style>
  <w:style w:type="paragraph" w:styleId="Subtitle">
    <w:name w:val="Subtitle"/>
    <w:basedOn w:val="Normal"/>
    <w:next w:val="Normal"/>
    <w:link w:val="SubtitleChar"/>
    <w:uiPriority w:val="11"/>
    <w:qFormat/>
    <w:rsid w:val="00366D42"/>
    <w:pPr>
      <w:numPr>
        <w:ilvl w:val="1"/>
      </w:numPr>
    </w:pPr>
    <w:rPr>
      <w:rFonts w:asciiTheme="majorHAnsi" w:eastAsiaTheme="majorEastAsia" w:hAnsiTheme="majorHAnsi" w:cstheme="majorBidi"/>
      <w:b/>
      <w:sz w:val="28"/>
    </w:rPr>
  </w:style>
  <w:style w:type="character" w:customStyle="1" w:styleId="SubtitleChar">
    <w:name w:val="Subtitle Char"/>
    <w:basedOn w:val="DefaultParagraphFont"/>
    <w:link w:val="Subtitle"/>
    <w:uiPriority w:val="11"/>
    <w:rsid w:val="00366D42"/>
    <w:rPr>
      <w:rFonts w:asciiTheme="majorHAnsi" w:eastAsiaTheme="majorEastAsia" w:hAnsiTheme="majorHAnsi" w:cstheme="majorBidi"/>
      <w:b/>
      <w:sz w:val="28"/>
      <w:szCs w:val="24"/>
      <w:lang w:val="en-GB"/>
    </w:rPr>
  </w:style>
  <w:style w:type="character" w:customStyle="1" w:styleId="Heading7Char">
    <w:name w:val="Heading 7 Char"/>
    <w:basedOn w:val="DefaultParagraphFont"/>
    <w:link w:val="Heading7"/>
    <w:rsid w:val="00AA054E"/>
    <w:rPr>
      <w:rFonts w:asciiTheme="majorHAnsi" w:eastAsiaTheme="majorEastAsia" w:hAnsiTheme="majorHAnsi" w:cstheme="majorBidi"/>
      <w:i/>
      <w:iCs/>
      <w:color w:val="1F4E79" w:themeColor="accent1" w:themeShade="80"/>
      <w:sz w:val="21"/>
      <w:szCs w:val="21"/>
      <w:lang w:val="en-GB" w:eastAsia="en-GB"/>
    </w:rPr>
  </w:style>
  <w:style w:type="character" w:customStyle="1" w:styleId="Heading8Char">
    <w:name w:val="Heading 8 Char"/>
    <w:basedOn w:val="DefaultParagraphFont"/>
    <w:link w:val="Heading8"/>
    <w:rsid w:val="00AA054E"/>
    <w:rPr>
      <w:rFonts w:asciiTheme="majorHAnsi" w:eastAsiaTheme="majorEastAsia" w:hAnsiTheme="majorHAnsi" w:cstheme="majorBidi"/>
      <w:b/>
      <w:bCs/>
      <w:color w:val="44546A" w:themeColor="text2"/>
      <w:sz w:val="24"/>
      <w:szCs w:val="24"/>
      <w:lang w:val="en-GB" w:eastAsia="en-GB"/>
    </w:rPr>
  </w:style>
  <w:style w:type="character" w:customStyle="1" w:styleId="Heading9Char">
    <w:name w:val="Heading 9 Char"/>
    <w:basedOn w:val="DefaultParagraphFont"/>
    <w:link w:val="Heading9"/>
    <w:rsid w:val="00AA054E"/>
    <w:rPr>
      <w:rFonts w:asciiTheme="majorHAnsi" w:eastAsiaTheme="majorEastAsia" w:hAnsiTheme="majorHAnsi" w:cstheme="majorBidi"/>
      <w:b/>
      <w:bCs/>
      <w:i/>
      <w:iCs/>
      <w:color w:val="44546A" w:themeColor="text2"/>
      <w:sz w:val="24"/>
      <w:szCs w:val="24"/>
      <w:lang w:val="en-GB" w:eastAsia="en-GB"/>
    </w:rPr>
  </w:style>
  <w:style w:type="paragraph" w:styleId="Caption">
    <w:name w:val="caption"/>
    <w:basedOn w:val="Normal"/>
    <w:next w:val="Normal"/>
    <w:uiPriority w:val="35"/>
    <w:semiHidden/>
    <w:unhideWhenUsed/>
    <w:qFormat/>
    <w:rsid w:val="00AA054E"/>
    <w:rPr>
      <w:b/>
      <w:bCs/>
      <w:smallCaps/>
      <w:color w:val="595959" w:themeColor="text1" w:themeTint="A6"/>
      <w:spacing w:val="6"/>
    </w:rPr>
  </w:style>
  <w:style w:type="character" w:styleId="Strong">
    <w:name w:val="Strong"/>
    <w:basedOn w:val="DefaultParagraphFont"/>
    <w:uiPriority w:val="22"/>
    <w:qFormat/>
    <w:rsid w:val="00AA054E"/>
    <w:rPr>
      <w:b/>
      <w:bCs/>
    </w:rPr>
  </w:style>
  <w:style w:type="character" w:styleId="Emphasis">
    <w:name w:val="Emphasis"/>
    <w:basedOn w:val="DefaultParagraphFont"/>
    <w:uiPriority w:val="20"/>
    <w:qFormat/>
    <w:rsid w:val="00AA054E"/>
    <w:rPr>
      <w:i/>
      <w:iCs/>
    </w:rPr>
  </w:style>
  <w:style w:type="paragraph" w:styleId="Quote">
    <w:name w:val="Quote"/>
    <w:basedOn w:val="Normal"/>
    <w:next w:val="Normal"/>
    <w:link w:val="QuoteChar"/>
    <w:uiPriority w:val="29"/>
    <w:qFormat/>
    <w:rsid w:val="00AA054E"/>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AA054E"/>
    <w:rPr>
      <w:i/>
      <w:iCs/>
      <w:color w:val="404040" w:themeColor="text1" w:themeTint="BF"/>
    </w:rPr>
  </w:style>
  <w:style w:type="paragraph" w:styleId="IntenseQuote">
    <w:name w:val="Intense Quote"/>
    <w:basedOn w:val="Normal"/>
    <w:next w:val="Normal"/>
    <w:link w:val="IntenseQuoteChar"/>
    <w:uiPriority w:val="30"/>
    <w:qFormat/>
    <w:rsid w:val="00AA054E"/>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AA054E"/>
    <w:rPr>
      <w:rFonts w:asciiTheme="majorHAnsi" w:eastAsiaTheme="majorEastAsia" w:hAnsiTheme="majorHAnsi" w:cstheme="majorBidi"/>
      <w:color w:val="5B9BD5" w:themeColor="accent1"/>
      <w:sz w:val="28"/>
      <w:szCs w:val="28"/>
    </w:rPr>
  </w:style>
  <w:style w:type="character" w:styleId="SubtleEmphasis">
    <w:name w:val="Subtle Emphasis"/>
    <w:aliases w:val="Text,Emphase pâle,Diskret betoning"/>
    <w:basedOn w:val="DefaultParagraphFont"/>
    <w:uiPriority w:val="19"/>
    <w:qFormat/>
    <w:rsid w:val="00287C8F"/>
    <w:rPr>
      <w:rFonts w:asciiTheme="majorHAnsi" w:hAnsiTheme="majorHAnsi"/>
      <w:i/>
      <w:iCs/>
      <w:color w:val="auto"/>
      <w:sz w:val="22"/>
    </w:rPr>
  </w:style>
  <w:style w:type="character" w:styleId="IntenseEmphasis">
    <w:name w:val="Intense Emphasis"/>
    <w:basedOn w:val="DefaultParagraphFont"/>
    <w:uiPriority w:val="21"/>
    <w:qFormat/>
    <w:rsid w:val="00AA054E"/>
    <w:rPr>
      <w:b/>
      <w:bCs/>
      <w:i/>
      <w:iCs/>
    </w:rPr>
  </w:style>
  <w:style w:type="character" w:styleId="SubtleReference">
    <w:name w:val="Subtle Reference"/>
    <w:basedOn w:val="DefaultParagraphFont"/>
    <w:uiPriority w:val="31"/>
    <w:qFormat/>
    <w:rsid w:val="00AA054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AA054E"/>
    <w:rPr>
      <w:b/>
      <w:bCs/>
      <w:smallCaps/>
      <w:spacing w:val="5"/>
      <w:u w:val="single"/>
    </w:rPr>
  </w:style>
  <w:style w:type="character" w:styleId="BookTitle">
    <w:name w:val="Book Title"/>
    <w:basedOn w:val="DefaultParagraphFont"/>
    <w:uiPriority w:val="33"/>
    <w:qFormat/>
    <w:rsid w:val="00AA054E"/>
    <w:rPr>
      <w:b/>
      <w:bCs/>
      <w:smallCaps/>
    </w:rPr>
  </w:style>
  <w:style w:type="paragraph" w:styleId="TOCHeading">
    <w:name w:val="TOC Heading"/>
    <w:basedOn w:val="Heading1"/>
    <w:next w:val="Normal"/>
    <w:uiPriority w:val="39"/>
    <w:unhideWhenUsed/>
    <w:qFormat/>
    <w:rsid w:val="00AA054E"/>
    <w:pPr>
      <w:outlineLvl w:val="9"/>
    </w:pPr>
  </w:style>
  <w:style w:type="character" w:customStyle="1" w:styleId="NoSpacingChar">
    <w:name w:val="No Spacing Char"/>
    <w:basedOn w:val="DefaultParagraphFont"/>
    <w:link w:val="NoSpacing"/>
    <w:uiPriority w:val="1"/>
    <w:rsid w:val="005B6B12"/>
    <w:rPr>
      <w:lang w:val="en-GB"/>
    </w:rPr>
  </w:style>
  <w:style w:type="paragraph" w:styleId="Header">
    <w:name w:val="header"/>
    <w:basedOn w:val="Normal"/>
    <w:link w:val="HeaderChar"/>
    <w:unhideWhenUsed/>
    <w:rsid w:val="007E7997"/>
    <w:pPr>
      <w:tabs>
        <w:tab w:val="center" w:pos="4536"/>
        <w:tab w:val="right" w:pos="9072"/>
      </w:tabs>
    </w:pPr>
  </w:style>
  <w:style w:type="character" w:customStyle="1" w:styleId="HeaderChar">
    <w:name w:val="Header Char"/>
    <w:basedOn w:val="DefaultParagraphFont"/>
    <w:link w:val="Header"/>
    <w:uiPriority w:val="99"/>
    <w:rsid w:val="007E7997"/>
    <w:rPr>
      <w:sz w:val="22"/>
    </w:rPr>
  </w:style>
  <w:style w:type="paragraph" w:styleId="Footer">
    <w:name w:val="footer"/>
    <w:basedOn w:val="Normal"/>
    <w:link w:val="FooterChar"/>
    <w:uiPriority w:val="99"/>
    <w:unhideWhenUsed/>
    <w:rsid w:val="007E7997"/>
    <w:pPr>
      <w:tabs>
        <w:tab w:val="center" w:pos="4536"/>
        <w:tab w:val="right" w:pos="9072"/>
      </w:tabs>
    </w:pPr>
  </w:style>
  <w:style w:type="character" w:customStyle="1" w:styleId="FooterChar">
    <w:name w:val="Footer Char"/>
    <w:basedOn w:val="DefaultParagraphFont"/>
    <w:link w:val="Footer"/>
    <w:uiPriority w:val="99"/>
    <w:rsid w:val="007E7997"/>
    <w:rPr>
      <w:sz w:val="22"/>
    </w:rPr>
  </w:style>
  <w:style w:type="paragraph" w:customStyle="1" w:styleId="00aPagenumber">
    <w:name w:val="00a_Page number"/>
    <w:basedOn w:val="Normal"/>
    <w:rsid w:val="007E7997"/>
    <w:pPr>
      <w:spacing w:line="280" w:lineRule="atLeast"/>
      <w:jc w:val="right"/>
    </w:pPr>
    <w:rPr>
      <w:rFonts w:ascii="Georgia" w:hAnsi="Georgia"/>
      <w:color w:val="000000"/>
      <w:lang w:eastAsia="de-DE"/>
    </w:rPr>
  </w:style>
  <w:style w:type="paragraph" w:customStyle="1" w:styleId="02Date">
    <w:name w:val="02_Date"/>
    <w:basedOn w:val="Normal"/>
    <w:rsid w:val="00636E02"/>
    <w:pPr>
      <w:spacing w:line="220" w:lineRule="exact"/>
    </w:pPr>
    <w:rPr>
      <w:rFonts w:ascii="Georgia" w:hAnsi="Georgia"/>
      <w:sz w:val="17"/>
      <w:lang w:eastAsia="de-DE"/>
    </w:rPr>
  </w:style>
  <w:style w:type="paragraph" w:styleId="TOC1">
    <w:name w:val="toc 1"/>
    <w:basedOn w:val="Normal"/>
    <w:next w:val="Normal"/>
    <w:autoRedefine/>
    <w:uiPriority w:val="39"/>
    <w:unhideWhenUsed/>
    <w:rsid w:val="00B81A44"/>
    <w:pPr>
      <w:tabs>
        <w:tab w:val="left" w:pos="440"/>
        <w:tab w:val="right" w:leader="dot" w:pos="9062"/>
      </w:tabs>
      <w:spacing w:after="100"/>
    </w:pPr>
  </w:style>
  <w:style w:type="paragraph" w:styleId="TOC2">
    <w:name w:val="toc 2"/>
    <w:basedOn w:val="Normal"/>
    <w:next w:val="Normal"/>
    <w:autoRedefine/>
    <w:uiPriority w:val="39"/>
    <w:unhideWhenUsed/>
    <w:rsid w:val="00BC422A"/>
    <w:pPr>
      <w:spacing w:after="100"/>
      <w:ind w:left="220"/>
    </w:pPr>
  </w:style>
  <w:style w:type="paragraph" w:styleId="TOC3">
    <w:name w:val="toc 3"/>
    <w:basedOn w:val="Normal"/>
    <w:next w:val="Normal"/>
    <w:autoRedefine/>
    <w:uiPriority w:val="39"/>
    <w:unhideWhenUsed/>
    <w:rsid w:val="00BC422A"/>
    <w:pPr>
      <w:spacing w:after="100"/>
      <w:ind w:left="440"/>
    </w:pPr>
  </w:style>
  <w:style w:type="character" w:styleId="Hyperlink">
    <w:name w:val="Hyperlink"/>
    <w:basedOn w:val="DefaultParagraphFont"/>
    <w:uiPriority w:val="99"/>
    <w:unhideWhenUsed/>
    <w:rsid w:val="00BC422A"/>
    <w:rPr>
      <w:color w:val="0563C1" w:themeColor="hyperlink"/>
      <w:u w:val="single"/>
    </w:rPr>
  </w:style>
  <w:style w:type="paragraph" w:customStyle="1" w:styleId="Questionstyle">
    <w:name w:val="Question style"/>
    <w:basedOn w:val="Normal"/>
    <w:next w:val="Normal"/>
    <w:link w:val="QuestionstyleChar"/>
    <w:autoRedefine/>
    <w:qFormat/>
    <w:rsid w:val="00F77851"/>
    <w:pPr>
      <w:numPr>
        <w:numId w:val="6"/>
      </w:numPr>
      <w:contextualSpacing/>
      <w:jc w:val="both"/>
    </w:pPr>
    <w:rPr>
      <w:rFonts w:asciiTheme="minorHAnsi" w:hAnsiTheme="minorHAnsi" w:cstheme="minorHAnsi"/>
      <w:sz w:val="22"/>
      <w:szCs w:val="22"/>
    </w:rPr>
  </w:style>
  <w:style w:type="character" w:customStyle="1" w:styleId="QuestionstyleChar">
    <w:name w:val="Question style Char"/>
    <w:basedOn w:val="DefaultParagraphFont"/>
    <w:link w:val="Questionstyle"/>
    <w:rsid w:val="00F77851"/>
    <w:rPr>
      <w:rFonts w:eastAsia="Times New Roman" w:cstheme="minorHAnsi"/>
      <w:sz w:val="22"/>
      <w:szCs w:val="22"/>
      <w:lang w:val="en-GB" w:eastAsia="en-GB"/>
    </w:rPr>
  </w:style>
  <w:style w:type="paragraph" w:customStyle="1" w:styleId="Listing2">
    <w:name w:val="Listing2"/>
    <w:basedOn w:val="Normal"/>
    <w:link w:val="Listing2Char"/>
    <w:autoRedefine/>
    <w:rsid w:val="00DF3785"/>
  </w:style>
  <w:style w:type="character" w:customStyle="1" w:styleId="Listing2Char">
    <w:name w:val="Listing2 Char"/>
    <w:basedOn w:val="DefaultParagraphFont"/>
    <w:link w:val="Listing2"/>
    <w:rsid w:val="00DF3785"/>
    <w:rPr>
      <w:lang w:val="en-GB"/>
    </w:rPr>
  </w:style>
  <w:style w:type="table" w:styleId="TableGrid">
    <w:name w:val="Table Grid"/>
    <w:basedOn w:val="TableNormal"/>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B50534"/>
  </w:style>
  <w:style w:type="character" w:customStyle="1" w:styleId="EndnoteTextChar">
    <w:name w:val="Endnote Text Char"/>
    <w:basedOn w:val="DefaultParagraphFont"/>
    <w:link w:val="EndnoteText"/>
    <w:uiPriority w:val="99"/>
    <w:semiHidden/>
    <w:rsid w:val="00B50534"/>
    <w:rPr>
      <w:lang w:val="en-GB"/>
    </w:rPr>
  </w:style>
  <w:style w:type="character" w:styleId="EndnoteReference">
    <w:name w:val="endnote reference"/>
    <w:basedOn w:val="DefaultParagraphFont"/>
    <w:uiPriority w:val="99"/>
    <w:semiHidden/>
    <w:unhideWhenUsed/>
    <w:rsid w:val="00B50534"/>
    <w:rPr>
      <w:vertAlign w:val="superscript"/>
    </w:rPr>
  </w:style>
  <w:style w:type="paragraph" w:styleId="FootnoteText">
    <w:name w:val="footnote text"/>
    <w:basedOn w:val="Normal"/>
    <w:link w:val="FootnoteTextChar"/>
    <w:autoRedefine/>
    <w:uiPriority w:val="99"/>
    <w:unhideWhenUsed/>
    <w:qFormat/>
    <w:rsid w:val="00ED1D99"/>
    <w:rPr>
      <w:rFonts w:asciiTheme="minorHAnsi" w:hAnsiTheme="minorHAnsi" w:cstheme="minorHAnsi"/>
      <w:sz w:val="20"/>
      <w:szCs w:val="20"/>
    </w:rPr>
  </w:style>
  <w:style w:type="character" w:customStyle="1" w:styleId="FootnoteTextChar">
    <w:name w:val="Footnote Text Char"/>
    <w:basedOn w:val="DefaultParagraphFont"/>
    <w:link w:val="FootnoteText"/>
    <w:uiPriority w:val="99"/>
    <w:rsid w:val="00ED1D99"/>
    <w:rPr>
      <w:rFonts w:eastAsia="Times New Roman" w:cstheme="minorHAnsi"/>
      <w:lang w:val="en-GB" w:eastAsia="en-GB"/>
    </w:rPr>
  </w:style>
  <w:style w:type="character" w:styleId="FootnoteReference">
    <w:name w:val="footnote reference"/>
    <w:aliases w:val="SUPERS,Footnote reference number,Footnote symbol,note TESI,-E Fußnotenzeichen,number,BVI fnr,Footnote Reference Superscript,(Footnote Reference),EN Footnote Reference,Voetnootverwijzing,Times 10 Point,Exposant 3 Poi,16 Point, BVI fnr"/>
    <w:basedOn w:val="DefaultParagraphFont"/>
    <w:uiPriority w:val="99"/>
    <w:unhideWhenUsed/>
    <w:qFormat/>
    <w:rsid w:val="00A91D91"/>
    <w:rPr>
      <w:rFonts w:asciiTheme="majorHAnsi" w:hAnsiTheme="majorHAnsi"/>
      <w:sz w:val="16"/>
      <w:vertAlign w:val="superscript"/>
    </w:rPr>
  </w:style>
  <w:style w:type="paragraph" w:customStyle="1" w:styleId="Footnote">
    <w:name w:val="Footnote"/>
    <w:basedOn w:val="FootnoteText"/>
    <w:link w:val="FootnoteChar"/>
    <w:rsid w:val="00B50534"/>
    <w:rPr>
      <w:lang w:val="nl-BE"/>
    </w:rPr>
  </w:style>
  <w:style w:type="character" w:customStyle="1" w:styleId="FootnoteChar">
    <w:name w:val="Footnote Char"/>
    <w:basedOn w:val="FootnoteTextChar"/>
    <w:link w:val="Footnote"/>
    <w:rsid w:val="00B50534"/>
    <w:rPr>
      <w:rFonts w:eastAsia="Times New Roman" w:cstheme="minorHAnsi"/>
      <w:sz w:val="16"/>
      <w:lang w:val="en-GB" w:eastAsia="en-GB"/>
    </w:rPr>
  </w:style>
  <w:style w:type="table" w:customStyle="1" w:styleId="GridTable4-Accent11">
    <w:name w:val="Grid Table 4 - Accent 11"/>
    <w:basedOn w:val="TableNormal"/>
    <w:uiPriority w:val="49"/>
    <w:rsid w:val="00B15C0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04aNumbering">
    <w:name w:val="04a_Numbering"/>
    <w:basedOn w:val="Normal"/>
    <w:rsid w:val="00287C8F"/>
    <w:pPr>
      <w:numPr>
        <w:numId w:val="5"/>
      </w:numPr>
      <w:tabs>
        <w:tab w:val="clear" w:pos="284"/>
        <w:tab w:val="num" w:pos="567"/>
      </w:tabs>
      <w:ind w:left="567" w:hanging="454"/>
    </w:pPr>
    <w:rPr>
      <w:rFonts w:ascii="Georgia" w:hAnsi="Georgia"/>
      <w:sz w:val="20"/>
      <w:lang w:eastAsia="de-DE"/>
    </w:rPr>
  </w:style>
  <w:style w:type="paragraph" w:styleId="BalloonText">
    <w:name w:val="Balloon Text"/>
    <w:basedOn w:val="Normal"/>
    <w:link w:val="BalloonTextChar"/>
    <w:uiPriority w:val="99"/>
    <w:semiHidden/>
    <w:unhideWhenUsed/>
    <w:rsid w:val="003C167E"/>
    <w:rPr>
      <w:rFonts w:ascii="Tahoma" w:hAnsi="Tahoma" w:cs="Tahoma"/>
      <w:sz w:val="16"/>
      <w:szCs w:val="16"/>
    </w:rPr>
  </w:style>
  <w:style w:type="character" w:customStyle="1" w:styleId="BalloonTextChar">
    <w:name w:val="Balloon Text Char"/>
    <w:basedOn w:val="DefaultParagraphFont"/>
    <w:link w:val="BalloonText"/>
    <w:uiPriority w:val="99"/>
    <w:semiHidden/>
    <w:rsid w:val="003C167E"/>
    <w:rPr>
      <w:rFonts w:ascii="Tahoma" w:hAnsi="Tahoma" w:cs="Tahoma"/>
      <w:sz w:val="16"/>
      <w:szCs w:val="16"/>
      <w:lang w:val="en-GB"/>
    </w:rPr>
  </w:style>
  <w:style w:type="character" w:styleId="CommentReference">
    <w:name w:val="annotation reference"/>
    <w:basedOn w:val="DefaultParagraphFont"/>
    <w:uiPriority w:val="99"/>
    <w:semiHidden/>
    <w:unhideWhenUsed/>
    <w:rsid w:val="00FA2400"/>
    <w:rPr>
      <w:sz w:val="16"/>
      <w:szCs w:val="16"/>
    </w:rPr>
  </w:style>
  <w:style w:type="paragraph" w:styleId="CommentText">
    <w:name w:val="annotation text"/>
    <w:basedOn w:val="Normal"/>
    <w:link w:val="CommentTextChar"/>
    <w:uiPriority w:val="99"/>
    <w:unhideWhenUsed/>
    <w:rsid w:val="00FA2400"/>
    <w:rPr>
      <w:sz w:val="20"/>
    </w:rPr>
  </w:style>
  <w:style w:type="character" w:customStyle="1" w:styleId="CommentTextChar">
    <w:name w:val="Comment Text Char"/>
    <w:basedOn w:val="DefaultParagraphFont"/>
    <w:link w:val="CommentText"/>
    <w:uiPriority w:val="99"/>
    <w:rsid w:val="00FA2400"/>
    <w:rPr>
      <w:lang w:val="en-GB"/>
    </w:rPr>
  </w:style>
  <w:style w:type="paragraph" w:styleId="CommentSubject">
    <w:name w:val="annotation subject"/>
    <w:basedOn w:val="CommentText"/>
    <w:next w:val="CommentText"/>
    <w:link w:val="CommentSubjectChar"/>
    <w:uiPriority w:val="99"/>
    <w:semiHidden/>
    <w:unhideWhenUsed/>
    <w:rsid w:val="00FA2400"/>
    <w:rPr>
      <w:b/>
      <w:bCs/>
    </w:rPr>
  </w:style>
  <w:style w:type="character" w:customStyle="1" w:styleId="CommentSubjectChar">
    <w:name w:val="Comment Subject Char"/>
    <w:basedOn w:val="CommentTextChar"/>
    <w:link w:val="CommentSubject"/>
    <w:uiPriority w:val="99"/>
    <w:semiHidden/>
    <w:rsid w:val="00FA2400"/>
    <w:rPr>
      <w:b/>
      <w:bCs/>
      <w:lang w:val="en-GB"/>
    </w:rPr>
  </w:style>
  <w:style w:type="paragraph" w:styleId="Revision">
    <w:name w:val="Revision"/>
    <w:hidden/>
    <w:uiPriority w:val="99"/>
    <w:semiHidden/>
    <w:rsid w:val="00FD2677"/>
    <w:pPr>
      <w:spacing w:after="0" w:line="240" w:lineRule="auto"/>
    </w:pPr>
    <w:rPr>
      <w:sz w:val="22"/>
      <w:lang w:val="en-GB"/>
    </w:rPr>
  </w:style>
  <w:style w:type="paragraph" w:customStyle="1" w:styleId="body">
    <w:name w:val="body"/>
    <w:qFormat/>
    <w:rsid w:val="00750210"/>
    <w:pPr>
      <w:spacing w:before="240" w:line="276" w:lineRule="auto"/>
      <w:jc w:val="both"/>
    </w:pPr>
    <w:rPr>
      <w:sz w:val="22"/>
      <w:szCs w:val="24"/>
      <w:lang w:val="en-US"/>
    </w:rPr>
  </w:style>
  <w:style w:type="character" w:styleId="FollowedHyperlink">
    <w:name w:val="FollowedHyperlink"/>
    <w:basedOn w:val="DefaultParagraphFont"/>
    <w:uiPriority w:val="99"/>
    <w:semiHidden/>
    <w:unhideWhenUsed/>
    <w:rsid w:val="007B354B"/>
    <w:rPr>
      <w:color w:val="954F72" w:themeColor="followedHyperlink"/>
      <w:u w:val="single"/>
    </w:rPr>
  </w:style>
  <w:style w:type="paragraph" w:styleId="NormalWeb">
    <w:name w:val="Normal (Web)"/>
    <w:basedOn w:val="Normal"/>
    <w:uiPriority w:val="99"/>
    <w:semiHidden/>
    <w:unhideWhenUsed/>
    <w:rsid w:val="00B424F5"/>
    <w:pPr>
      <w:spacing w:before="100" w:beforeAutospacing="1" w:after="100" w:afterAutospacing="1"/>
    </w:pPr>
  </w:style>
  <w:style w:type="character" w:customStyle="1" w:styleId="outputecliaff">
    <w:name w:val="outputecliaff"/>
    <w:basedOn w:val="DefaultParagraphFont"/>
    <w:rsid w:val="00595F08"/>
  </w:style>
  <w:style w:type="paragraph" w:customStyle="1" w:styleId="05HeadlinenoIndex">
    <w:name w:val="05_Headline no Index"/>
    <w:basedOn w:val="Normal"/>
    <w:rsid w:val="005C7E1F"/>
    <w:pPr>
      <w:spacing w:after="250" w:line="300" w:lineRule="exact"/>
      <w:jc w:val="both"/>
    </w:pPr>
    <w:rPr>
      <w:rFonts w:ascii="Georgia" w:hAnsi="Georgia"/>
      <w:b/>
      <w:lang w:eastAsia="de-DE"/>
    </w:rPr>
  </w:style>
  <w:style w:type="paragraph" w:customStyle="1" w:styleId="04BodyText">
    <w:name w:val="04_Body Text"/>
    <w:basedOn w:val="Normal"/>
    <w:link w:val="04BodyTextChar"/>
    <w:uiPriority w:val="99"/>
    <w:rsid w:val="00BC5128"/>
    <w:pPr>
      <w:spacing w:after="250" w:line="276" w:lineRule="auto"/>
      <w:jc w:val="both"/>
    </w:pPr>
    <w:rPr>
      <w:rFonts w:ascii="Georgia" w:hAnsi="Georgia"/>
      <w:sz w:val="20"/>
      <w:lang w:eastAsia="de-DE"/>
    </w:rPr>
  </w:style>
  <w:style w:type="character" w:customStyle="1" w:styleId="04BodyTextChar">
    <w:name w:val="04_Body Text Char"/>
    <w:link w:val="04BodyText"/>
    <w:uiPriority w:val="99"/>
    <w:rsid w:val="00BC5128"/>
    <w:rPr>
      <w:rFonts w:ascii="Georgia" w:eastAsia="Times New Roman" w:hAnsi="Georgia" w:cs="Times New Roman"/>
      <w:szCs w:val="24"/>
      <w:lang w:val="en-GB" w:eastAsia="de-DE"/>
    </w:rPr>
  </w:style>
  <w:style w:type="table" w:customStyle="1" w:styleId="TableGrid1">
    <w:name w:val="Table Grid1"/>
    <w:basedOn w:val="TableNormal"/>
    <w:next w:val="TableGrid"/>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Paragraphe EI Char,Paragraphe de liste1 Char,EC Char,Paragraphe de liste Char,Normal Nivel 1 Char,List Paragraph Main Char,List first level Char,List Paragraph_Sections Char"/>
    <w:basedOn w:val="DefaultParagraphFont"/>
    <w:link w:val="ListParagraph"/>
    <w:uiPriority w:val="34"/>
    <w:rsid w:val="00D620F7"/>
    <w:rPr>
      <w:rFonts w:eastAsiaTheme="majorEastAsia" w:cstheme="minorHAnsi"/>
      <w:sz w:val="22"/>
      <w:szCs w:val="22"/>
      <w:lang w:val="en-GB" w:eastAsia="en-GB"/>
    </w:rPr>
  </w:style>
  <w:style w:type="table" w:customStyle="1" w:styleId="TableGrid3">
    <w:name w:val="Table Grid3"/>
    <w:basedOn w:val="TableNormal"/>
    <w:uiPriority w:val="59"/>
    <w:rsid w:val="00F372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A2C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312966">
      <w:bodyDiv w:val="1"/>
      <w:marLeft w:val="0"/>
      <w:marRight w:val="0"/>
      <w:marTop w:val="0"/>
      <w:marBottom w:val="0"/>
      <w:divBdr>
        <w:top w:val="none" w:sz="0" w:space="0" w:color="auto"/>
        <w:left w:val="none" w:sz="0" w:space="0" w:color="auto"/>
        <w:bottom w:val="none" w:sz="0" w:space="0" w:color="auto"/>
        <w:right w:val="none" w:sz="0" w:space="0" w:color="auto"/>
      </w:divBdr>
    </w:div>
    <w:div w:id="79907767">
      <w:bodyDiv w:val="1"/>
      <w:marLeft w:val="0"/>
      <w:marRight w:val="0"/>
      <w:marTop w:val="0"/>
      <w:marBottom w:val="0"/>
      <w:divBdr>
        <w:top w:val="none" w:sz="0" w:space="0" w:color="auto"/>
        <w:left w:val="none" w:sz="0" w:space="0" w:color="auto"/>
        <w:bottom w:val="none" w:sz="0" w:space="0" w:color="auto"/>
        <w:right w:val="none" w:sz="0" w:space="0" w:color="auto"/>
      </w:divBdr>
    </w:div>
    <w:div w:id="195436536">
      <w:bodyDiv w:val="1"/>
      <w:marLeft w:val="0"/>
      <w:marRight w:val="0"/>
      <w:marTop w:val="0"/>
      <w:marBottom w:val="0"/>
      <w:divBdr>
        <w:top w:val="none" w:sz="0" w:space="0" w:color="auto"/>
        <w:left w:val="none" w:sz="0" w:space="0" w:color="auto"/>
        <w:bottom w:val="none" w:sz="0" w:space="0" w:color="auto"/>
        <w:right w:val="none" w:sz="0" w:space="0" w:color="auto"/>
      </w:divBdr>
      <w:divsChild>
        <w:div w:id="2053576486">
          <w:marLeft w:val="547"/>
          <w:marRight w:val="0"/>
          <w:marTop w:val="120"/>
          <w:marBottom w:val="120"/>
          <w:divBdr>
            <w:top w:val="none" w:sz="0" w:space="0" w:color="auto"/>
            <w:left w:val="none" w:sz="0" w:space="0" w:color="auto"/>
            <w:bottom w:val="none" w:sz="0" w:space="0" w:color="auto"/>
            <w:right w:val="none" w:sz="0" w:space="0" w:color="auto"/>
          </w:divBdr>
        </w:div>
      </w:divsChild>
    </w:div>
    <w:div w:id="308559352">
      <w:bodyDiv w:val="1"/>
      <w:marLeft w:val="0"/>
      <w:marRight w:val="0"/>
      <w:marTop w:val="0"/>
      <w:marBottom w:val="0"/>
      <w:divBdr>
        <w:top w:val="none" w:sz="0" w:space="0" w:color="auto"/>
        <w:left w:val="none" w:sz="0" w:space="0" w:color="auto"/>
        <w:bottom w:val="none" w:sz="0" w:space="0" w:color="auto"/>
        <w:right w:val="none" w:sz="0" w:space="0" w:color="auto"/>
      </w:divBdr>
    </w:div>
    <w:div w:id="558631356">
      <w:bodyDiv w:val="1"/>
      <w:marLeft w:val="0"/>
      <w:marRight w:val="0"/>
      <w:marTop w:val="0"/>
      <w:marBottom w:val="0"/>
      <w:divBdr>
        <w:top w:val="none" w:sz="0" w:space="0" w:color="auto"/>
        <w:left w:val="none" w:sz="0" w:space="0" w:color="auto"/>
        <w:bottom w:val="none" w:sz="0" w:space="0" w:color="auto"/>
        <w:right w:val="none" w:sz="0" w:space="0" w:color="auto"/>
      </w:divBdr>
    </w:div>
    <w:div w:id="607393598">
      <w:bodyDiv w:val="1"/>
      <w:marLeft w:val="0"/>
      <w:marRight w:val="0"/>
      <w:marTop w:val="0"/>
      <w:marBottom w:val="0"/>
      <w:divBdr>
        <w:top w:val="none" w:sz="0" w:space="0" w:color="auto"/>
        <w:left w:val="none" w:sz="0" w:space="0" w:color="auto"/>
        <w:bottom w:val="none" w:sz="0" w:space="0" w:color="auto"/>
        <w:right w:val="none" w:sz="0" w:space="0" w:color="auto"/>
      </w:divBdr>
      <w:divsChild>
        <w:div w:id="719549589">
          <w:marLeft w:val="0"/>
          <w:marRight w:val="0"/>
          <w:marTop w:val="0"/>
          <w:marBottom w:val="0"/>
          <w:divBdr>
            <w:top w:val="none" w:sz="0" w:space="0" w:color="auto"/>
            <w:left w:val="none" w:sz="0" w:space="0" w:color="auto"/>
            <w:bottom w:val="none" w:sz="0" w:space="0" w:color="auto"/>
            <w:right w:val="none" w:sz="0" w:space="0" w:color="auto"/>
          </w:divBdr>
          <w:divsChild>
            <w:div w:id="715467520">
              <w:marLeft w:val="0"/>
              <w:marRight w:val="0"/>
              <w:marTop w:val="0"/>
              <w:marBottom w:val="0"/>
              <w:divBdr>
                <w:top w:val="none" w:sz="0" w:space="0" w:color="auto"/>
                <w:left w:val="none" w:sz="0" w:space="0" w:color="auto"/>
                <w:bottom w:val="none" w:sz="0" w:space="0" w:color="auto"/>
                <w:right w:val="none" w:sz="0" w:space="0" w:color="auto"/>
              </w:divBdr>
              <w:divsChild>
                <w:div w:id="1683974626">
                  <w:marLeft w:val="0"/>
                  <w:marRight w:val="0"/>
                  <w:marTop w:val="0"/>
                  <w:marBottom w:val="0"/>
                  <w:divBdr>
                    <w:top w:val="none" w:sz="0" w:space="0" w:color="auto"/>
                    <w:left w:val="none" w:sz="0" w:space="0" w:color="auto"/>
                    <w:bottom w:val="none" w:sz="0" w:space="0" w:color="auto"/>
                    <w:right w:val="none" w:sz="0" w:space="0" w:color="auto"/>
                  </w:divBdr>
                  <w:divsChild>
                    <w:div w:id="1551724287">
                      <w:marLeft w:val="1"/>
                      <w:marRight w:val="1"/>
                      <w:marTop w:val="0"/>
                      <w:marBottom w:val="0"/>
                      <w:divBdr>
                        <w:top w:val="none" w:sz="0" w:space="0" w:color="auto"/>
                        <w:left w:val="none" w:sz="0" w:space="0" w:color="auto"/>
                        <w:bottom w:val="none" w:sz="0" w:space="0" w:color="auto"/>
                        <w:right w:val="none" w:sz="0" w:space="0" w:color="auto"/>
                      </w:divBdr>
                      <w:divsChild>
                        <w:div w:id="1105809413">
                          <w:marLeft w:val="0"/>
                          <w:marRight w:val="0"/>
                          <w:marTop w:val="0"/>
                          <w:marBottom w:val="0"/>
                          <w:divBdr>
                            <w:top w:val="none" w:sz="0" w:space="0" w:color="auto"/>
                            <w:left w:val="none" w:sz="0" w:space="0" w:color="auto"/>
                            <w:bottom w:val="none" w:sz="0" w:space="0" w:color="auto"/>
                            <w:right w:val="none" w:sz="0" w:space="0" w:color="auto"/>
                          </w:divBdr>
                          <w:divsChild>
                            <w:div w:id="527523748">
                              <w:marLeft w:val="0"/>
                              <w:marRight w:val="0"/>
                              <w:marTop w:val="0"/>
                              <w:marBottom w:val="360"/>
                              <w:divBdr>
                                <w:top w:val="none" w:sz="0" w:space="0" w:color="auto"/>
                                <w:left w:val="none" w:sz="0" w:space="0" w:color="auto"/>
                                <w:bottom w:val="none" w:sz="0" w:space="0" w:color="auto"/>
                                <w:right w:val="none" w:sz="0" w:space="0" w:color="auto"/>
                              </w:divBdr>
                              <w:divsChild>
                                <w:div w:id="1643266757">
                                  <w:marLeft w:val="0"/>
                                  <w:marRight w:val="0"/>
                                  <w:marTop w:val="0"/>
                                  <w:marBottom w:val="0"/>
                                  <w:divBdr>
                                    <w:top w:val="none" w:sz="0" w:space="0" w:color="auto"/>
                                    <w:left w:val="none" w:sz="0" w:space="0" w:color="auto"/>
                                    <w:bottom w:val="none" w:sz="0" w:space="0" w:color="auto"/>
                                    <w:right w:val="none" w:sz="0" w:space="0" w:color="auto"/>
                                  </w:divBdr>
                                  <w:divsChild>
                                    <w:div w:id="79509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5310116">
      <w:bodyDiv w:val="1"/>
      <w:marLeft w:val="0"/>
      <w:marRight w:val="0"/>
      <w:marTop w:val="0"/>
      <w:marBottom w:val="0"/>
      <w:divBdr>
        <w:top w:val="none" w:sz="0" w:space="0" w:color="auto"/>
        <w:left w:val="none" w:sz="0" w:space="0" w:color="auto"/>
        <w:bottom w:val="none" w:sz="0" w:space="0" w:color="auto"/>
        <w:right w:val="none" w:sz="0" w:space="0" w:color="auto"/>
      </w:divBdr>
      <w:divsChild>
        <w:div w:id="2113477775">
          <w:marLeft w:val="0"/>
          <w:marRight w:val="0"/>
          <w:marTop w:val="0"/>
          <w:marBottom w:val="0"/>
          <w:divBdr>
            <w:top w:val="none" w:sz="0" w:space="0" w:color="auto"/>
            <w:left w:val="none" w:sz="0" w:space="0" w:color="auto"/>
            <w:bottom w:val="none" w:sz="0" w:space="0" w:color="auto"/>
            <w:right w:val="none" w:sz="0" w:space="0" w:color="auto"/>
          </w:divBdr>
          <w:divsChild>
            <w:div w:id="1261253972">
              <w:marLeft w:val="0"/>
              <w:marRight w:val="0"/>
              <w:marTop w:val="0"/>
              <w:marBottom w:val="0"/>
              <w:divBdr>
                <w:top w:val="none" w:sz="0" w:space="0" w:color="auto"/>
                <w:left w:val="none" w:sz="0" w:space="0" w:color="auto"/>
                <w:bottom w:val="none" w:sz="0" w:space="0" w:color="auto"/>
                <w:right w:val="none" w:sz="0" w:space="0" w:color="auto"/>
              </w:divBdr>
              <w:divsChild>
                <w:div w:id="517893123">
                  <w:marLeft w:val="0"/>
                  <w:marRight w:val="0"/>
                  <w:marTop w:val="0"/>
                  <w:marBottom w:val="0"/>
                  <w:divBdr>
                    <w:top w:val="none" w:sz="0" w:space="0" w:color="auto"/>
                    <w:left w:val="none" w:sz="0" w:space="0" w:color="auto"/>
                    <w:bottom w:val="none" w:sz="0" w:space="0" w:color="auto"/>
                    <w:right w:val="none" w:sz="0" w:space="0" w:color="auto"/>
                  </w:divBdr>
                  <w:divsChild>
                    <w:div w:id="1599218891">
                      <w:marLeft w:val="1"/>
                      <w:marRight w:val="1"/>
                      <w:marTop w:val="0"/>
                      <w:marBottom w:val="0"/>
                      <w:divBdr>
                        <w:top w:val="none" w:sz="0" w:space="0" w:color="auto"/>
                        <w:left w:val="none" w:sz="0" w:space="0" w:color="auto"/>
                        <w:bottom w:val="none" w:sz="0" w:space="0" w:color="auto"/>
                        <w:right w:val="none" w:sz="0" w:space="0" w:color="auto"/>
                      </w:divBdr>
                      <w:divsChild>
                        <w:div w:id="1515613444">
                          <w:marLeft w:val="0"/>
                          <w:marRight w:val="0"/>
                          <w:marTop w:val="0"/>
                          <w:marBottom w:val="0"/>
                          <w:divBdr>
                            <w:top w:val="none" w:sz="0" w:space="0" w:color="auto"/>
                            <w:left w:val="none" w:sz="0" w:space="0" w:color="auto"/>
                            <w:bottom w:val="none" w:sz="0" w:space="0" w:color="auto"/>
                            <w:right w:val="none" w:sz="0" w:space="0" w:color="auto"/>
                          </w:divBdr>
                          <w:divsChild>
                            <w:div w:id="639384916">
                              <w:marLeft w:val="0"/>
                              <w:marRight w:val="0"/>
                              <w:marTop w:val="0"/>
                              <w:marBottom w:val="360"/>
                              <w:divBdr>
                                <w:top w:val="none" w:sz="0" w:space="0" w:color="auto"/>
                                <w:left w:val="none" w:sz="0" w:space="0" w:color="auto"/>
                                <w:bottom w:val="none" w:sz="0" w:space="0" w:color="auto"/>
                                <w:right w:val="none" w:sz="0" w:space="0" w:color="auto"/>
                              </w:divBdr>
                              <w:divsChild>
                                <w:div w:id="1081947748">
                                  <w:marLeft w:val="0"/>
                                  <w:marRight w:val="0"/>
                                  <w:marTop w:val="0"/>
                                  <w:marBottom w:val="0"/>
                                  <w:divBdr>
                                    <w:top w:val="none" w:sz="0" w:space="0" w:color="auto"/>
                                    <w:left w:val="none" w:sz="0" w:space="0" w:color="auto"/>
                                    <w:bottom w:val="none" w:sz="0" w:space="0" w:color="auto"/>
                                    <w:right w:val="none" w:sz="0" w:space="0" w:color="auto"/>
                                  </w:divBdr>
                                  <w:divsChild>
                                    <w:div w:id="40056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1907172">
      <w:bodyDiv w:val="1"/>
      <w:marLeft w:val="0"/>
      <w:marRight w:val="0"/>
      <w:marTop w:val="0"/>
      <w:marBottom w:val="0"/>
      <w:divBdr>
        <w:top w:val="none" w:sz="0" w:space="0" w:color="auto"/>
        <w:left w:val="none" w:sz="0" w:space="0" w:color="auto"/>
        <w:bottom w:val="none" w:sz="0" w:space="0" w:color="auto"/>
        <w:right w:val="none" w:sz="0" w:space="0" w:color="auto"/>
      </w:divBdr>
    </w:div>
    <w:div w:id="654142365">
      <w:bodyDiv w:val="1"/>
      <w:marLeft w:val="0"/>
      <w:marRight w:val="0"/>
      <w:marTop w:val="0"/>
      <w:marBottom w:val="0"/>
      <w:divBdr>
        <w:top w:val="none" w:sz="0" w:space="0" w:color="auto"/>
        <w:left w:val="none" w:sz="0" w:space="0" w:color="auto"/>
        <w:bottom w:val="none" w:sz="0" w:space="0" w:color="auto"/>
        <w:right w:val="none" w:sz="0" w:space="0" w:color="auto"/>
      </w:divBdr>
      <w:divsChild>
        <w:div w:id="829757675">
          <w:marLeft w:val="547"/>
          <w:marRight w:val="0"/>
          <w:marTop w:val="120"/>
          <w:marBottom w:val="120"/>
          <w:divBdr>
            <w:top w:val="none" w:sz="0" w:space="0" w:color="auto"/>
            <w:left w:val="none" w:sz="0" w:space="0" w:color="auto"/>
            <w:bottom w:val="none" w:sz="0" w:space="0" w:color="auto"/>
            <w:right w:val="none" w:sz="0" w:space="0" w:color="auto"/>
          </w:divBdr>
        </w:div>
        <w:div w:id="1430617638">
          <w:marLeft w:val="547"/>
          <w:marRight w:val="0"/>
          <w:marTop w:val="120"/>
          <w:marBottom w:val="120"/>
          <w:divBdr>
            <w:top w:val="none" w:sz="0" w:space="0" w:color="auto"/>
            <w:left w:val="none" w:sz="0" w:space="0" w:color="auto"/>
            <w:bottom w:val="none" w:sz="0" w:space="0" w:color="auto"/>
            <w:right w:val="none" w:sz="0" w:space="0" w:color="auto"/>
          </w:divBdr>
        </w:div>
      </w:divsChild>
    </w:div>
    <w:div w:id="667555890">
      <w:bodyDiv w:val="1"/>
      <w:marLeft w:val="0"/>
      <w:marRight w:val="0"/>
      <w:marTop w:val="0"/>
      <w:marBottom w:val="0"/>
      <w:divBdr>
        <w:top w:val="none" w:sz="0" w:space="0" w:color="auto"/>
        <w:left w:val="none" w:sz="0" w:space="0" w:color="auto"/>
        <w:bottom w:val="none" w:sz="0" w:space="0" w:color="auto"/>
        <w:right w:val="none" w:sz="0" w:space="0" w:color="auto"/>
      </w:divBdr>
      <w:divsChild>
        <w:div w:id="627320154">
          <w:marLeft w:val="547"/>
          <w:marRight w:val="0"/>
          <w:marTop w:val="120"/>
          <w:marBottom w:val="120"/>
          <w:divBdr>
            <w:top w:val="none" w:sz="0" w:space="0" w:color="auto"/>
            <w:left w:val="none" w:sz="0" w:space="0" w:color="auto"/>
            <w:bottom w:val="none" w:sz="0" w:space="0" w:color="auto"/>
            <w:right w:val="none" w:sz="0" w:space="0" w:color="auto"/>
          </w:divBdr>
        </w:div>
        <w:div w:id="437221792">
          <w:marLeft w:val="547"/>
          <w:marRight w:val="0"/>
          <w:marTop w:val="120"/>
          <w:marBottom w:val="120"/>
          <w:divBdr>
            <w:top w:val="none" w:sz="0" w:space="0" w:color="auto"/>
            <w:left w:val="none" w:sz="0" w:space="0" w:color="auto"/>
            <w:bottom w:val="none" w:sz="0" w:space="0" w:color="auto"/>
            <w:right w:val="none" w:sz="0" w:space="0" w:color="auto"/>
          </w:divBdr>
        </w:div>
      </w:divsChild>
    </w:div>
    <w:div w:id="805780515">
      <w:bodyDiv w:val="1"/>
      <w:marLeft w:val="0"/>
      <w:marRight w:val="0"/>
      <w:marTop w:val="0"/>
      <w:marBottom w:val="0"/>
      <w:divBdr>
        <w:top w:val="none" w:sz="0" w:space="0" w:color="auto"/>
        <w:left w:val="none" w:sz="0" w:space="0" w:color="auto"/>
        <w:bottom w:val="none" w:sz="0" w:space="0" w:color="auto"/>
        <w:right w:val="none" w:sz="0" w:space="0" w:color="auto"/>
      </w:divBdr>
      <w:divsChild>
        <w:div w:id="1467972504">
          <w:marLeft w:val="547"/>
          <w:marRight w:val="0"/>
          <w:marTop w:val="120"/>
          <w:marBottom w:val="120"/>
          <w:divBdr>
            <w:top w:val="none" w:sz="0" w:space="0" w:color="auto"/>
            <w:left w:val="none" w:sz="0" w:space="0" w:color="auto"/>
            <w:bottom w:val="none" w:sz="0" w:space="0" w:color="auto"/>
            <w:right w:val="none" w:sz="0" w:space="0" w:color="auto"/>
          </w:divBdr>
        </w:div>
        <w:div w:id="1093010987">
          <w:marLeft w:val="547"/>
          <w:marRight w:val="0"/>
          <w:marTop w:val="120"/>
          <w:marBottom w:val="120"/>
          <w:divBdr>
            <w:top w:val="none" w:sz="0" w:space="0" w:color="auto"/>
            <w:left w:val="none" w:sz="0" w:space="0" w:color="auto"/>
            <w:bottom w:val="none" w:sz="0" w:space="0" w:color="auto"/>
            <w:right w:val="none" w:sz="0" w:space="0" w:color="auto"/>
          </w:divBdr>
        </w:div>
      </w:divsChild>
    </w:div>
    <w:div w:id="821391096">
      <w:bodyDiv w:val="1"/>
      <w:marLeft w:val="0"/>
      <w:marRight w:val="0"/>
      <w:marTop w:val="0"/>
      <w:marBottom w:val="0"/>
      <w:divBdr>
        <w:top w:val="none" w:sz="0" w:space="0" w:color="auto"/>
        <w:left w:val="none" w:sz="0" w:space="0" w:color="auto"/>
        <w:bottom w:val="none" w:sz="0" w:space="0" w:color="auto"/>
        <w:right w:val="none" w:sz="0" w:space="0" w:color="auto"/>
      </w:divBdr>
    </w:div>
    <w:div w:id="828716617">
      <w:bodyDiv w:val="1"/>
      <w:marLeft w:val="0"/>
      <w:marRight w:val="0"/>
      <w:marTop w:val="0"/>
      <w:marBottom w:val="0"/>
      <w:divBdr>
        <w:top w:val="none" w:sz="0" w:space="0" w:color="auto"/>
        <w:left w:val="none" w:sz="0" w:space="0" w:color="auto"/>
        <w:bottom w:val="none" w:sz="0" w:space="0" w:color="auto"/>
        <w:right w:val="none" w:sz="0" w:space="0" w:color="auto"/>
      </w:divBdr>
    </w:div>
    <w:div w:id="843976993">
      <w:bodyDiv w:val="1"/>
      <w:marLeft w:val="0"/>
      <w:marRight w:val="0"/>
      <w:marTop w:val="0"/>
      <w:marBottom w:val="0"/>
      <w:divBdr>
        <w:top w:val="none" w:sz="0" w:space="0" w:color="auto"/>
        <w:left w:val="none" w:sz="0" w:space="0" w:color="auto"/>
        <w:bottom w:val="none" w:sz="0" w:space="0" w:color="auto"/>
        <w:right w:val="none" w:sz="0" w:space="0" w:color="auto"/>
      </w:divBdr>
    </w:div>
    <w:div w:id="871646249">
      <w:bodyDiv w:val="1"/>
      <w:marLeft w:val="0"/>
      <w:marRight w:val="0"/>
      <w:marTop w:val="0"/>
      <w:marBottom w:val="0"/>
      <w:divBdr>
        <w:top w:val="none" w:sz="0" w:space="0" w:color="auto"/>
        <w:left w:val="none" w:sz="0" w:space="0" w:color="auto"/>
        <w:bottom w:val="none" w:sz="0" w:space="0" w:color="auto"/>
        <w:right w:val="none" w:sz="0" w:space="0" w:color="auto"/>
      </w:divBdr>
      <w:divsChild>
        <w:div w:id="531115712">
          <w:marLeft w:val="547"/>
          <w:marRight w:val="0"/>
          <w:marTop w:val="120"/>
          <w:marBottom w:val="120"/>
          <w:divBdr>
            <w:top w:val="none" w:sz="0" w:space="0" w:color="auto"/>
            <w:left w:val="none" w:sz="0" w:space="0" w:color="auto"/>
            <w:bottom w:val="none" w:sz="0" w:space="0" w:color="auto"/>
            <w:right w:val="none" w:sz="0" w:space="0" w:color="auto"/>
          </w:divBdr>
        </w:div>
        <w:div w:id="1251349587">
          <w:marLeft w:val="547"/>
          <w:marRight w:val="0"/>
          <w:marTop w:val="120"/>
          <w:marBottom w:val="120"/>
          <w:divBdr>
            <w:top w:val="none" w:sz="0" w:space="0" w:color="auto"/>
            <w:left w:val="none" w:sz="0" w:space="0" w:color="auto"/>
            <w:bottom w:val="none" w:sz="0" w:space="0" w:color="auto"/>
            <w:right w:val="none" w:sz="0" w:space="0" w:color="auto"/>
          </w:divBdr>
        </w:div>
      </w:divsChild>
    </w:div>
    <w:div w:id="974680293">
      <w:bodyDiv w:val="1"/>
      <w:marLeft w:val="0"/>
      <w:marRight w:val="0"/>
      <w:marTop w:val="0"/>
      <w:marBottom w:val="0"/>
      <w:divBdr>
        <w:top w:val="none" w:sz="0" w:space="0" w:color="auto"/>
        <w:left w:val="none" w:sz="0" w:space="0" w:color="auto"/>
        <w:bottom w:val="none" w:sz="0" w:space="0" w:color="auto"/>
        <w:right w:val="none" w:sz="0" w:space="0" w:color="auto"/>
      </w:divBdr>
    </w:div>
    <w:div w:id="1084842750">
      <w:bodyDiv w:val="1"/>
      <w:marLeft w:val="0"/>
      <w:marRight w:val="0"/>
      <w:marTop w:val="0"/>
      <w:marBottom w:val="0"/>
      <w:divBdr>
        <w:top w:val="none" w:sz="0" w:space="0" w:color="auto"/>
        <w:left w:val="none" w:sz="0" w:space="0" w:color="auto"/>
        <w:bottom w:val="none" w:sz="0" w:space="0" w:color="auto"/>
        <w:right w:val="none" w:sz="0" w:space="0" w:color="auto"/>
      </w:divBdr>
      <w:divsChild>
        <w:div w:id="1170751860">
          <w:marLeft w:val="547"/>
          <w:marRight w:val="0"/>
          <w:marTop w:val="120"/>
          <w:marBottom w:val="120"/>
          <w:divBdr>
            <w:top w:val="none" w:sz="0" w:space="0" w:color="auto"/>
            <w:left w:val="none" w:sz="0" w:space="0" w:color="auto"/>
            <w:bottom w:val="none" w:sz="0" w:space="0" w:color="auto"/>
            <w:right w:val="none" w:sz="0" w:space="0" w:color="auto"/>
          </w:divBdr>
        </w:div>
        <w:div w:id="1558198995">
          <w:marLeft w:val="547"/>
          <w:marRight w:val="0"/>
          <w:marTop w:val="120"/>
          <w:marBottom w:val="120"/>
          <w:divBdr>
            <w:top w:val="none" w:sz="0" w:space="0" w:color="auto"/>
            <w:left w:val="none" w:sz="0" w:space="0" w:color="auto"/>
            <w:bottom w:val="none" w:sz="0" w:space="0" w:color="auto"/>
            <w:right w:val="none" w:sz="0" w:space="0" w:color="auto"/>
          </w:divBdr>
        </w:div>
      </w:divsChild>
    </w:div>
    <w:div w:id="1106535437">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335379244">
      <w:bodyDiv w:val="1"/>
      <w:marLeft w:val="0"/>
      <w:marRight w:val="0"/>
      <w:marTop w:val="0"/>
      <w:marBottom w:val="0"/>
      <w:divBdr>
        <w:top w:val="none" w:sz="0" w:space="0" w:color="auto"/>
        <w:left w:val="none" w:sz="0" w:space="0" w:color="auto"/>
        <w:bottom w:val="none" w:sz="0" w:space="0" w:color="auto"/>
        <w:right w:val="none" w:sz="0" w:space="0" w:color="auto"/>
      </w:divBdr>
    </w:div>
    <w:div w:id="1349058892">
      <w:bodyDiv w:val="1"/>
      <w:marLeft w:val="0"/>
      <w:marRight w:val="0"/>
      <w:marTop w:val="0"/>
      <w:marBottom w:val="0"/>
      <w:divBdr>
        <w:top w:val="none" w:sz="0" w:space="0" w:color="auto"/>
        <w:left w:val="none" w:sz="0" w:space="0" w:color="auto"/>
        <w:bottom w:val="none" w:sz="0" w:space="0" w:color="auto"/>
        <w:right w:val="none" w:sz="0" w:space="0" w:color="auto"/>
      </w:divBdr>
      <w:divsChild>
        <w:div w:id="1554805026">
          <w:marLeft w:val="547"/>
          <w:marRight w:val="0"/>
          <w:marTop w:val="120"/>
          <w:marBottom w:val="120"/>
          <w:divBdr>
            <w:top w:val="none" w:sz="0" w:space="0" w:color="auto"/>
            <w:left w:val="none" w:sz="0" w:space="0" w:color="auto"/>
            <w:bottom w:val="none" w:sz="0" w:space="0" w:color="auto"/>
            <w:right w:val="none" w:sz="0" w:space="0" w:color="auto"/>
          </w:divBdr>
        </w:div>
        <w:div w:id="1500736113">
          <w:marLeft w:val="1267"/>
          <w:marRight w:val="0"/>
          <w:marTop w:val="120"/>
          <w:marBottom w:val="120"/>
          <w:divBdr>
            <w:top w:val="none" w:sz="0" w:space="0" w:color="auto"/>
            <w:left w:val="none" w:sz="0" w:space="0" w:color="auto"/>
            <w:bottom w:val="none" w:sz="0" w:space="0" w:color="auto"/>
            <w:right w:val="none" w:sz="0" w:space="0" w:color="auto"/>
          </w:divBdr>
        </w:div>
        <w:div w:id="1184972619">
          <w:marLeft w:val="1267"/>
          <w:marRight w:val="0"/>
          <w:marTop w:val="120"/>
          <w:marBottom w:val="120"/>
          <w:divBdr>
            <w:top w:val="none" w:sz="0" w:space="0" w:color="auto"/>
            <w:left w:val="none" w:sz="0" w:space="0" w:color="auto"/>
            <w:bottom w:val="none" w:sz="0" w:space="0" w:color="auto"/>
            <w:right w:val="none" w:sz="0" w:space="0" w:color="auto"/>
          </w:divBdr>
        </w:div>
        <w:div w:id="1378621289">
          <w:marLeft w:val="547"/>
          <w:marRight w:val="0"/>
          <w:marTop w:val="120"/>
          <w:marBottom w:val="120"/>
          <w:divBdr>
            <w:top w:val="none" w:sz="0" w:space="0" w:color="auto"/>
            <w:left w:val="none" w:sz="0" w:space="0" w:color="auto"/>
            <w:bottom w:val="none" w:sz="0" w:space="0" w:color="auto"/>
            <w:right w:val="none" w:sz="0" w:space="0" w:color="auto"/>
          </w:divBdr>
        </w:div>
        <w:div w:id="1932665473">
          <w:marLeft w:val="547"/>
          <w:marRight w:val="0"/>
          <w:marTop w:val="120"/>
          <w:marBottom w:val="120"/>
          <w:divBdr>
            <w:top w:val="none" w:sz="0" w:space="0" w:color="auto"/>
            <w:left w:val="none" w:sz="0" w:space="0" w:color="auto"/>
            <w:bottom w:val="none" w:sz="0" w:space="0" w:color="auto"/>
            <w:right w:val="none" w:sz="0" w:space="0" w:color="auto"/>
          </w:divBdr>
        </w:div>
      </w:divsChild>
    </w:div>
    <w:div w:id="1358581502">
      <w:bodyDiv w:val="1"/>
      <w:marLeft w:val="0"/>
      <w:marRight w:val="0"/>
      <w:marTop w:val="0"/>
      <w:marBottom w:val="0"/>
      <w:divBdr>
        <w:top w:val="none" w:sz="0" w:space="0" w:color="auto"/>
        <w:left w:val="none" w:sz="0" w:space="0" w:color="auto"/>
        <w:bottom w:val="none" w:sz="0" w:space="0" w:color="auto"/>
        <w:right w:val="none" w:sz="0" w:space="0" w:color="auto"/>
      </w:divBdr>
      <w:divsChild>
        <w:div w:id="1146043688">
          <w:marLeft w:val="0"/>
          <w:marRight w:val="0"/>
          <w:marTop w:val="0"/>
          <w:marBottom w:val="0"/>
          <w:divBdr>
            <w:top w:val="none" w:sz="0" w:space="0" w:color="auto"/>
            <w:left w:val="none" w:sz="0" w:space="0" w:color="auto"/>
            <w:bottom w:val="none" w:sz="0" w:space="0" w:color="auto"/>
            <w:right w:val="none" w:sz="0" w:space="0" w:color="auto"/>
          </w:divBdr>
          <w:divsChild>
            <w:div w:id="1355889373">
              <w:marLeft w:val="0"/>
              <w:marRight w:val="0"/>
              <w:marTop w:val="0"/>
              <w:marBottom w:val="0"/>
              <w:divBdr>
                <w:top w:val="none" w:sz="0" w:space="0" w:color="auto"/>
                <w:left w:val="none" w:sz="0" w:space="0" w:color="auto"/>
                <w:bottom w:val="none" w:sz="0" w:space="0" w:color="auto"/>
                <w:right w:val="none" w:sz="0" w:space="0" w:color="auto"/>
              </w:divBdr>
              <w:divsChild>
                <w:div w:id="2025665832">
                  <w:marLeft w:val="0"/>
                  <w:marRight w:val="0"/>
                  <w:marTop w:val="0"/>
                  <w:marBottom w:val="0"/>
                  <w:divBdr>
                    <w:top w:val="none" w:sz="0" w:space="0" w:color="auto"/>
                    <w:left w:val="none" w:sz="0" w:space="0" w:color="auto"/>
                    <w:bottom w:val="none" w:sz="0" w:space="0" w:color="auto"/>
                    <w:right w:val="none" w:sz="0" w:space="0" w:color="auto"/>
                  </w:divBdr>
                  <w:divsChild>
                    <w:div w:id="470754153">
                      <w:marLeft w:val="1"/>
                      <w:marRight w:val="1"/>
                      <w:marTop w:val="0"/>
                      <w:marBottom w:val="0"/>
                      <w:divBdr>
                        <w:top w:val="none" w:sz="0" w:space="0" w:color="auto"/>
                        <w:left w:val="none" w:sz="0" w:space="0" w:color="auto"/>
                        <w:bottom w:val="none" w:sz="0" w:space="0" w:color="auto"/>
                        <w:right w:val="none" w:sz="0" w:space="0" w:color="auto"/>
                      </w:divBdr>
                      <w:divsChild>
                        <w:div w:id="1547788802">
                          <w:marLeft w:val="0"/>
                          <w:marRight w:val="0"/>
                          <w:marTop w:val="0"/>
                          <w:marBottom w:val="0"/>
                          <w:divBdr>
                            <w:top w:val="none" w:sz="0" w:space="0" w:color="auto"/>
                            <w:left w:val="none" w:sz="0" w:space="0" w:color="auto"/>
                            <w:bottom w:val="none" w:sz="0" w:space="0" w:color="auto"/>
                            <w:right w:val="none" w:sz="0" w:space="0" w:color="auto"/>
                          </w:divBdr>
                          <w:divsChild>
                            <w:div w:id="1744714415">
                              <w:marLeft w:val="0"/>
                              <w:marRight w:val="0"/>
                              <w:marTop w:val="0"/>
                              <w:marBottom w:val="360"/>
                              <w:divBdr>
                                <w:top w:val="none" w:sz="0" w:space="0" w:color="auto"/>
                                <w:left w:val="none" w:sz="0" w:space="0" w:color="auto"/>
                                <w:bottom w:val="none" w:sz="0" w:space="0" w:color="auto"/>
                                <w:right w:val="none" w:sz="0" w:space="0" w:color="auto"/>
                              </w:divBdr>
                              <w:divsChild>
                                <w:div w:id="88623802">
                                  <w:marLeft w:val="0"/>
                                  <w:marRight w:val="0"/>
                                  <w:marTop w:val="0"/>
                                  <w:marBottom w:val="0"/>
                                  <w:divBdr>
                                    <w:top w:val="none" w:sz="0" w:space="0" w:color="auto"/>
                                    <w:left w:val="none" w:sz="0" w:space="0" w:color="auto"/>
                                    <w:bottom w:val="none" w:sz="0" w:space="0" w:color="auto"/>
                                    <w:right w:val="none" w:sz="0" w:space="0" w:color="auto"/>
                                  </w:divBdr>
                                  <w:divsChild>
                                    <w:div w:id="706103141">
                                      <w:marLeft w:val="0"/>
                                      <w:marRight w:val="0"/>
                                      <w:marTop w:val="0"/>
                                      <w:marBottom w:val="0"/>
                                      <w:divBdr>
                                        <w:top w:val="none" w:sz="0" w:space="0" w:color="auto"/>
                                        <w:left w:val="none" w:sz="0" w:space="0" w:color="auto"/>
                                        <w:bottom w:val="none" w:sz="0" w:space="0" w:color="auto"/>
                                        <w:right w:val="none" w:sz="0" w:space="0" w:color="auto"/>
                                      </w:divBdr>
                                      <w:divsChild>
                                        <w:div w:id="601651463">
                                          <w:marLeft w:val="0"/>
                                          <w:marRight w:val="0"/>
                                          <w:marTop w:val="0"/>
                                          <w:marBottom w:val="0"/>
                                          <w:divBdr>
                                            <w:top w:val="none" w:sz="0" w:space="0" w:color="auto"/>
                                            <w:left w:val="none" w:sz="0" w:space="0" w:color="auto"/>
                                            <w:bottom w:val="none" w:sz="0" w:space="0" w:color="auto"/>
                                            <w:right w:val="none" w:sz="0" w:space="0" w:color="auto"/>
                                          </w:divBdr>
                                          <w:divsChild>
                                            <w:div w:id="2028939348">
                                              <w:marLeft w:val="0"/>
                                              <w:marRight w:val="0"/>
                                              <w:marTop w:val="0"/>
                                              <w:marBottom w:val="0"/>
                                              <w:divBdr>
                                                <w:top w:val="none" w:sz="0" w:space="0" w:color="auto"/>
                                                <w:left w:val="none" w:sz="0" w:space="0" w:color="auto"/>
                                                <w:bottom w:val="none" w:sz="0" w:space="0" w:color="auto"/>
                                                <w:right w:val="none" w:sz="0" w:space="0" w:color="auto"/>
                                              </w:divBdr>
                                              <w:divsChild>
                                                <w:div w:id="1912084995">
                                                  <w:marLeft w:val="0"/>
                                                  <w:marRight w:val="0"/>
                                                  <w:marTop w:val="0"/>
                                                  <w:marBottom w:val="0"/>
                                                  <w:divBdr>
                                                    <w:top w:val="none" w:sz="0" w:space="0" w:color="auto"/>
                                                    <w:left w:val="none" w:sz="0" w:space="0" w:color="auto"/>
                                                    <w:bottom w:val="none" w:sz="0" w:space="0" w:color="auto"/>
                                                    <w:right w:val="none" w:sz="0" w:space="0" w:color="auto"/>
                                                  </w:divBdr>
                                                  <w:divsChild>
                                                    <w:div w:id="87150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96989097">
      <w:bodyDiv w:val="1"/>
      <w:marLeft w:val="0"/>
      <w:marRight w:val="0"/>
      <w:marTop w:val="0"/>
      <w:marBottom w:val="0"/>
      <w:divBdr>
        <w:top w:val="none" w:sz="0" w:space="0" w:color="auto"/>
        <w:left w:val="none" w:sz="0" w:space="0" w:color="auto"/>
        <w:bottom w:val="none" w:sz="0" w:space="0" w:color="auto"/>
        <w:right w:val="none" w:sz="0" w:space="0" w:color="auto"/>
      </w:divBdr>
    </w:div>
    <w:div w:id="1498619144">
      <w:bodyDiv w:val="1"/>
      <w:marLeft w:val="0"/>
      <w:marRight w:val="0"/>
      <w:marTop w:val="0"/>
      <w:marBottom w:val="0"/>
      <w:divBdr>
        <w:top w:val="none" w:sz="0" w:space="0" w:color="auto"/>
        <w:left w:val="none" w:sz="0" w:space="0" w:color="auto"/>
        <w:bottom w:val="none" w:sz="0" w:space="0" w:color="auto"/>
        <w:right w:val="none" w:sz="0" w:space="0" w:color="auto"/>
      </w:divBdr>
      <w:divsChild>
        <w:div w:id="1910724800">
          <w:marLeft w:val="547"/>
          <w:marRight w:val="0"/>
          <w:marTop w:val="120"/>
          <w:marBottom w:val="120"/>
          <w:divBdr>
            <w:top w:val="none" w:sz="0" w:space="0" w:color="auto"/>
            <w:left w:val="none" w:sz="0" w:space="0" w:color="auto"/>
            <w:bottom w:val="none" w:sz="0" w:space="0" w:color="auto"/>
            <w:right w:val="none" w:sz="0" w:space="0" w:color="auto"/>
          </w:divBdr>
        </w:div>
        <w:div w:id="1334718046">
          <w:marLeft w:val="547"/>
          <w:marRight w:val="0"/>
          <w:marTop w:val="120"/>
          <w:marBottom w:val="120"/>
          <w:divBdr>
            <w:top w:val="none" w:sz="0" w:space="0" w:color="auto"/>
            <w:left w:val="none" w:sz="0" w:space="0" w:color="auto"/>
            <w:bottom w:val="none" w:sz="0" w:space="0" w:color="auto"/>
            <w:right w:val="none" w:sz="0" w:space="0" w:color="auto"/>
          </w:divBdr>
        </w:div>
      </w:divsChild>
    </w:div>
    <w:div w:id="1503087984">
      <w:bodyDiv w:val="1"/>
      <w:marLeft w:val="0"/>
      <w:marRight w:val="0"/>
      <w:marTop w:val="0"/>
      <w:marBottom w:val="0"/>
      <w:divBdr>
        <w:top w:val="none" w:sz="0" w:space="0" w:color="auto"/>
        <w:left w:val="none" w:sz="0" w:space="0" w:color="auto"/>
        <w:bottom w:val="none" w:sz="0" w:space="0" w:color="auto"/>
        <w:right w:val="none" w:sz="0" w:space="0" w:color="auto"/>
      </w:divBdr>
    </w:div>
    <w:div w:id="1623803368">
      <w:bodyDiv w:val="1"/>
      <w:marLeft w:val="0"/>
      <w:marRight w:val="0"/>
      <w:marTop w:val="0"/>
      <w:marBottom w:val="0"/>
      <w:divBdr>
        <w:top w:val="none" w:sz="0" w:space="0" w:color="auto"/>
        <w:left w:val="none" w:sz="0" w:space="0" w:color="auto"/>
        <w:bottom w:val="none" w:sz="0" w:space="0" w:color="auto"/>
        <w:right w:val="none" w:sz="0" w:space="0" w:color="auto"/>
      </w:divBdr>
    </w:div>
    <w:div w:id="1634559279">
      <w:bodyDiv w:val="1"/>
      <w:marLeft w:val="0"/>
      <w:marRight w:val="0"/>
      <w:marTop w:val="0"/>
      <w:marBottom w:val="0"/>
      <w:divBdr>
        <w:top w:val="none" w:sz="0" w:space="0" w:color="auto"/>
        <w:left w:val="none" w:sz="0" w:space="0" w:color="auto"/>
        <w:bottom w:val="none" w:sz="0" w:space="0" w:color="auto"/>
        <w:right w:val="none" w:sz="0" w:space="0" w:color="auto"/>
      </w:divBdr>
    </w:div>
    <w:div w:id="2072077721">
      <w:bodyDiv w:val="1"/>
      <w:marLeft w:val="0"/>
      <w:marRight w:val="0"/>
      <w:marTop w:val="0"/>
      <w:marBottom w:val="0"/>
      <w:divBdr>
        <w:top w:val="none" w:sz="0" w:space="0" w:color="auto"/>
        <w:left w:val="none" w:sz="0" w:space="0" w:color="auto"/>
        <w:bottom w:val="none" w:sz="0" w:space="0" w:color="auto"/>
        <w:right w:val="none" w:sz="0" w:space="0" w:color="auto"/>
      </w:divBdr>
    </w:div>
    <w:div w:id="2085683279">
      <w:bodyDiv w:val="1"/>
      <w:marLeft w:val="0"/>
      <w:marRight w:val="0"/>
      <w:marTop w:val="0"/>
      <w:marBottom w:val="0"/>
      <w:divBdr>
        <w:top w:val="none" w:sz="0" w:space="0" w:color="auto"/>
        <w:left w:val="none" w:sz="0" w:space="0" w:color="auto"/>
        <w:bottom w:val="none" w:sz="0" w:space="0" w:color="auto"/>
        <w:right w:val="none" w:sz="0" w:space="0" w:color="auto"/>
      </w:divBdr>
      <w:divsChild>
        <w:div w:id="1322007622">
          <w:marLeft w:val="547"/>
          <w:marRight w:val="0"/>
          <w:marTop w:val="120"/>
          <w:marBottom w:val="120"/>
          <w:divBdr>
            <w:top w:val="none" w:sz="0" w:space="0" w:color="auto"/>
            <w:left w:val="none" w:sz="0" w:space="0" w:color="auto"/>
            <w:bottom w:val="none" w:sz="0" w:space="0" w:color="auto"/>
            <w:right w:val="none" w:sz="0" w:space="0" w:color="auto"/>
          </w:divBdr>
        </w:div>
        <w:div w:id="1156873382">
          <w:marLeft w:val="1267"/>
          <w:marRight w:val="0"/>
          <w:marTop w:val="120"/>
          <w:marBottom w:val="120"/>
          <w:divBdr>
            <w:top w:val="none" w:sz="0" w:space="0" w:color="auto"/>
            <w:left w:val="none" w:sz="0" w:space="0" w:color="auto"/>
            <w:bottom w:val="none" w:sz="0" w:space="0" w:color="auto"/>
            <w:right w:val="none" w:sz="0" w:space="0" w:color="auto"/>
          </w:divBdr>
        </w:div>
        <w:div w:id="384447457">
          <w:marLeft w:val="1267"/>
          <w:marRight w:val="0"/>
          <w:marTop w:val="120"/>
          <w:marBottom w:val="120"/>
          <w:divBdr>
            <w:top w:val="none" w:sz="0" w:space="0" w:color="auto"/>
            <w:left w:val="none" w:sz="0" w:space="0" w:color="auto"/>
            <w:bottom w:val="none" w:sz="0" w:space="0" w:color="auto"/>
            <w:right w:val="none" w:sz="0" w:space="0" w:color="auto"/>
          </w:divBdr>
        </w:div>
        <w:div w:id="1197542969">
          <w:marLeft w:val="547"/>
          <w:marRight w:val="0"/>
          <w:marTop w:val="120"/>
          <w:marBottom w:val="120"/>
          <w:divBdr>
            <w:top w:val="none" w:sz="0" w:space="0" w:color="auto"/>
            <w:left w:val="none" w:sz="0" w:space="0" w:color="auto"/>
            <w:bottom w:val="none" w:sz="0" w:space="0" w:color="auto"/>
            <w:right w:val="none" w:sz="0" w:space="0" w:color="auto"/>
          </w:divBdr>
        </w:div>
        <w:div w:id="1085809987">
          <w:marLeft w:val="547"/>
          <w:marRight w:val="0"/>
          <w:marTop w:val="12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www.esma.europa.eu/legal-notice"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esma.europa.eu" TargetMode="Externa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esma.europa.eu" TargetMode="Externa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esma.europa.eu/sites/default/files/library/esma70-872942901-35_qas_transparency_issues.pdf" TargetMode="External"/><Relationship Id="rId2" Type="http://schemas.openxmlformats.org/officeDocument/2006/relationships/hyperlink" Target="https://www.esma.europa.eu/sites/default/files/library/esma70-872942901-35_qas_transparency_issues.pdf" TargetMode="External"/><Relationship Id="rId1" Type="http://schemas.openxmlformats.org/officeDocument/2006/relationships/hyperlink" Target="https://registers.esma.europa.eu/publication/searchRegister?core=esma_registers_upreg" TargetMode="External"/><Relationship Id="rId4" Type="http://schemas.openxmlformats.org/officeDocument/2006/relationships/hyperlink" Target="https://www.esma.europa.eu/sites/default/files/library/esma70-872942901-35_qas_transparency_issues.pdf"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lisovskij\Desktop\Template%20to%20Upload\Guidelines%20and%20Recommendations%20Templates\GuidelinesAndRecommendations_Template_Regul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BB5125868DD164F979D685E1741D1BD" ma:contentTypeVersion="9" ma:contentTypeDescription="Create a new document." ma:contentTypeScope="" ma:versionID="07ddbebdd0cafc6296f48db4b417bfc1">
  <xsd:schema xmlns:xsd="http://www.w3.org/2001/XMLSchema" xmlns:xs="http://www.w3.org/2001/XMLSchema" xmlns:p="http://schemas.microsoft.com/office/2006/metadata/properties" xmlns:ns2="cd8cd0e2-fecb-441a-a76e-fb96239463f3" targetNamespace="http://schemas.microsoft.com/office/2006/metadata/properties" ma:root="true" ma:fieldsID="382e6b03d7d574e8736cb8f62c879b32" ns2:_="">
    <xsd:import namespace="cd8cd0e2-fecb-441a-a76e-fb96239463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8cd0e2-fecb-441a-a76e-fb96239463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2455EB-3D3A-4C02-9873-6A72D376E4F0}">
  <ds:schemaRefs>
    <ds:schemaRef ds:uri="http://schemas.microsoft.com/sharepoint/v3/contenttype/forms"/>
  </ds:schemaRefs>
</ds:datastoreItem>
</file>

<file path=customXml/itemProps2.xml><?xml version="1.0" encoding="utf-8"?>
<ds:datastoreItem xmlns:ds="http://schemas.openxmlformats.org/officeDocument/2006/customXml" ds:itemID="{8337F5EE-E87B-49CE-96B5-F95CE63A0DF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78680BA-94EC-4D97-BE46-979E8B85BA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8cd0e2-fecb-441a-a76e-fb96239463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903B5A-7358-4B46-BDEE-93083F601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GuidelinesAndRecommendations_Template_Regular</Template>
  <TotalTime>1</TotalTime>
  <Pages>25</Pages>
  <Words>10665</Words>
  <Characters>60796</Characters>
  <Application>Microsoft Office Word</Application>
  <DocSecurity>8</DocSecurity>
  <Lines>506</Lines>
  <Paragraphs>142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ESMA</Company>
  <LinksUpToDate>false</LinksUpToDate>
  <CharactersWithSpaces>71319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Alina.Dragomir@esma.europa.eu</dc:creator>
  <cp:keywords/>
  <cp:lastModifiedBy>Piebe Teeboom</cp:lastModifiedBy>
  <cp:revision>2</cp:revision>
  <cp:lastPrinted>2017-07-24T14:47:00Z</cp:lastPrinted>
  <dcterms:created xsi:type="dcterms:W3CDTF">2019-09-06T09:46:00Z</dcterms:created>
  <dcterms:modified xsi:type="dcterms:W3CDTF">2019-09-06T09:46:00Z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maAudience">
    <vt:lpwstr/>
  </property>
  <property fmtid="{D5CDD505-2E9C-101B-9397-08002B2CF9AE}" pid="3" name="ConfidentialityLevel">
    <vt:lpwstr>14;#Regular|07f1e362-856b-423d-bea6-a14079762141</vt:lpwstr>
  </property>
  <property fmtid="{D5CDD505-2E9C-101B-9397-08002B2CF9AE}" pid="4" name="ContentTypeId">
    <vt:lpwstr>0x0101003BB5125868DD164F979D685E1741D1BD</vt:lpwstr>
  </property>
  <property fmtid="{D5CDD505-2E9C-101B-9397-08002B2CF9AE}" pid="5" name="_dlc_DocIdItemGuid">
    <vt:lpwstr>97ebee69-54f5-417a-bf0d-8f67cce386ec</vt:lpwstr>
  </property>
  <property fmtid="{D5CDD505-2E9C-101B-9397-08002B2CF9AE}" pid="6" name="DocumentType">
    <vt:lpwstr>13;#Guidelines|c96fde18-57b6-49e7-940f-682f491fa8d9</vt:lpwstr>
  </property>
  <property fmtid="{D5CDD505-2E9C-101B-9397-08002B2CF9AE}" pid="7" name="Topic">
    <vt:lpwstr>434;#MiFID reports|3c5cc422-10d2-4956-abed-da9583ea216a</vt:lpwstr>
  </property>
  <property fmtid="{D5CDD505-2E9C-101B-9397-08002B2CF9AE}" pid="8" name="_docset_NoMedatataSyncRequired">
    <vt:lpwstr>False</vt:lpwstr>
  </property>
  <property fmtid="{D5CDD505-2E9C-101B-9397-08002B2CF9AE}" pid="9" name="Document_x0020_Language">
    <vt:lpwstr/>
  </property>
  <property fmtid="{D5CDD505-2E9C-101B-9397-08002B2CF9AE}" pid="10" name="Document Language">
    <vt:lpwstr/>
  </property>
  <property fmtid="{D5CDD505-2E9C-101B-9397-08002B2CF9AE}" pid="11" name="TeamName">
    <vt:lpwstr>4;#Post-Trading|edaa1ce6-4b9b-4aac-a462-2b226ce43f53</vt:lpwstr>
  </property>
  <property fmtid="{D5CDD505-2E9C-101B-9397-08002B2CF9AE}" pid="12" name="LegalInstrument">
    <vt:lpwstr>27;#Guidelines|5e144655-8ff3-49e5-b82a-b036da8a9173</vt:lpwstr>
  </property>
  <property fmtid="{D5CDD505-2E9C-101B-9397-08002B2CF9AE}" pid="13" name="MemberState">
    <vt:lpwstr/>
  </property>
  <property fmtid="{D5CDD505-2E9C-101B-9397-08002B2CF9AE}" pid="14" name="Stakeholder">
    <vt:lpwstr/>
  </property>
  <property fmtid="{D5CDD505-2E9C-101B-9397-08002B2CF9AE}" pid="15" name="LegalAct">
    <vt:lpwstr>30;#ESMA Regulation|1f6010a2-1a2c-44cf-adf8-f8fd9b166bb1</vt:lpwstr>
  </property>
  <property fmtid="{D5CDD505-2E9C-101B-9397-08002B2CF9AE}" pid="16" name="Related Legal Acts">
    <vt:lpwstr/>
  </property>
  <property fmtid="{D5CDD505-2E9C-101B-9397-08002B2CF9AE}" pid="17" name="SubTopic">
    <vt:lpwstr>475;#MiFID reports – MiFID II 90(2) MiFIR 52(7) pre- and post-trade data and CT equity|72214b64-e7d5-4d95-ac91-8142901b6637</vt:lpwstr>
  </property>
</Properties>
</file>