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271678">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271678">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D31ECA1" w:rsidR="00C85C8B" w:rsidRPr="00C85C8B" w:rsidRDefault="004E2BDE" w:rsidP="004E2BDE">
                <w:pPr>
                  <w:rPr>
                    <w:rFonts w:ascii="Arial" w:hAnsi="Arial" w:cs="Arial"/>
                    <w:color w:val="808080"/>
                    <w:sz w:val="20"/>
                    <w:lang w:eastAsia="de-DE"/>
                  </w:rPr>
                </w:pPr>
                <w:r>
                  <w:rPr>
                    <w:rFonts w:ascii="Arial" w:hAnsi="Arial" w:cs="Arial"/>
                    <w:color w:val="808080"/>
                    <w:sz w:val="20"/>
                    <w:lang w:eastAsia="de-DE"/>
                  </w:rPr>
                  <w:t>Citadel</w:t>
                </w:r>
              </w:p>
            </w:tc>
          </w:sdtContent>
        </w:sdt>
      </w:tr>
      <w:tr w:rsidR="00C85C8B" w:rsidRPr="00C85C8B" w14:paraId="216F3E57" w14:textId="77777777" w:rsidTr="00271678">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D5E5405" w:rsidR="00C85C8B" w:rsidRPr="00C85C8B" w:rsidRDefault="00C303A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E2BDE">
                  <w:rPr>
                    <w:rFonts w:ascii="Arial" w:hAnsi="Arial" w:cs="Arial"/>
                    <w:sz w:val="20"/>
                    <w:lang w:eastAsia="de-DE"/>
                  </w:rPr>
                  <w:t>Other Financial service providers</w:t>
                </w:r>
              </w:sdtContent>
            </w:sdt>
          </w:p>
        </w:tc>
      </w:tr>
      <w:tr w:rsidR="00C85C8B" w:rsidRPr="00C85C8B" w14:paraId="0D216581" w14:textId="77777777" w:rsidTr="00271678">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271678">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4D0C8E2" w:rsidR="00C85C8B" w:rsidRPr="00C85C8B" w:rsidRDefault="004E2BDE"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53419C42" w14:textId="2F09CF6A" w:rsidR="00D24847" w:rsidRPr="004E2BDE" w:rsidRDefault="004E2BDE" w:rsidP="004E2BDE">
      <w:pPr>
        <w:rPr>
          <w:rFonts w:ascii="Arial" w:hAnsi="Arial" w:cs="Arial"/>
        </w:rPr>
      </w:pPr>
      <w:permStart w:id="885457707" w:edGrp="everyone"/>
      <w:r>
        <w:rPr>
          <w:rFonts w:ascii="Arial" w:hAnsi="Arial" w:cs="Arial"/>
        </w:rPr>
        <w:t>TYPE YOUR TEXT HERE</w:t>
      </w: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39782635" w14:textId="77777777" w:rsidR="001F4656" w:rsidRDefault="001F4656" w:rsidP="001F4656">
      <w:pPr>
        <w:rPr>
          <w:rFonts w:ascii="Arial" w:hAnsi="Arial" w:cs="Arial"/>
        </w:rPr>
      </w:pPr>
      <w:permStart w:id="478217800" w:edGrp="everyone"/>
      <w:r>
        <w:rPr>
          <w:rFonts w:ascii="Arial" w:hAnsi="Arial" w:cs="Arial"/>
        </w:rPr>
        <w:t>TYPE YOUR TEXT HERE</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6BE2A660" w14:textId="77777777" w:rsidR="001F4656" w:rsidRDefault="001F4656" w:rsidP="001F4656">
      <w:pPr>
        <w:rPr>
          <w:rFonts w:ascii="Arial" w:hAnsi="Arial" w:cs="Arial"/>
        </w:rPr>
      </w:pPr>
      <w:permStart w:id="1311784588" w:edGrp="everyone"/>
      <w:r>
        <w:rPr>
          <w:rFonts w:ascii="Arial" w:hAnsi="Arial" w:cs="Arial"/>
        </w:rPr>
        <w:t>TYPE YOUR TEXT HERE</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48ED7F14" w14:textId="77777777" w:rsidR="001F4656" w:rsidRDefault="001F4656" w:rsidP="001F4656">
      <w:pPr>
        <w:rPr>
          <w:rFonts w:ascii="Arial" w:hAnsi="Arial" w:cs="Arial"/>
        </w:rPr>
      </w:pPr>
      <w:permStart w:id="1610892805" w:edGrp="everyone"/>
      <w:r>
        <w:rPr>
          <w:rFonts w:ascii="Arial" w:hAnsi="Arial" w:cs="Arial"/>
        </w:rPr>
        <w:t>TYPE YOUR TEXT HERE</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049C34B2" w14:textId="77777777" w:rsidR="001F4656" w:rsidRDefault="001F4656" w:rsidP="001F4656">
      <w:pPr>
        <w:rPr>
          <w:rFonts w:ascii="Arial" w:hAnsi="Arial" w:cs="Arial"/>
        </w:rPr>
      </w:pPr>
      <w:permStart w:id="303380406" w:edGrp="everyone"/>
      <w:r>
        <w:rPr>
          <w:rFonts w:ascii="Arial" w:hAnsi="Arial" w:cs="Arial"/>
        </w:rPr>
        <w:t>TYPE YOUR TEXT HERE</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66462781" w14:textId="33C6DEEA" w:rsidR="008660DF" w:rsidRDefault="008660DF" w:rsidP="001E505E">
      <w:pPr>
        <w:jc w:val="both"/>
        <w:rPr>
          <w:rFonts w:ascii="Arial" w:hAnsi="Arial" w:cs="Arial"/>
        </w:rPr>
      </w:pPr>
      <w:permStart w:id="1420844914" w:edGrp="everyone"/>
      <w:r>
        <w:rPr>
          <w:rFonts w:ascii="Arial" w:hAnsi="Arial" w:cs="Arial"/>
        </w:rPr>
        <w:t>ESMA’s assessment found that approximately 10% of trading venues and APAs do not publish the required information on their website.  In addition, a greater percentage failed to disclose (a) how price</w:t>
      </w:r>
      <w:r w:rsidR="006F754E">
        <w:rPr>
          <w:rFonts w:ascii="Arial" w:hAnsi="Arial" w:cs="Arial"/>
        </w:rPr>
        <w:t>s for market data were</w:t>
      </w:r>
      <w:r>
        <w:rPr>
          <w:rFonts w:ascii="Arial" w:hAnsi="Arial" w:cs="Arial"/>
        </w:rPr>
        <w:t xml:space="preserve"> set and (b) overall revenues from market data, both of which are important </w:t>
      </w:r>
      <w:r w:rsidR="006C2309">
        <w:rPr>
          <w:rFonts w:ascii="Arial" w:hAnsi="Arial" w:cs="Arial"/>
        </w:rPr>
        <w:t>components</w:t>
      </w:r>
      <w:r>
        <w:rPr>
          <w:rFonts w:ascii="Arial" w:hAnsi="Arial" w:cs="Arial"/>
        </w:rPr>
        <w:t xml:space="preserve"> of the </w:t>
      </w:r>
      <w:r w:rsidR="00482A93">
        <w:rPr>
          <w:rFonts w:ascii="Arial" w:hAnsi="Arial" w:cs="Arial"/>
        </w:rPr>
        <w:t>reasonable commercial basis (“</w:t>
      </w:r>
      <w:r>
        <w:rPr>
          <w:rFonts w:ascii="Arial" w:hAnsi="Arial" w:cs="Arial"/>
        </w:rPr>
        <w:t>RCB</w:t>
      </w:r>
      <w:r w:rsidR="00482A93">
        <w:rPr>
          <w:rFonts w:ascii="Arial" w:hAnsi="Arial" w:cs="Arial"/>
        </w:rPr>
        <w:t>”)</w:t>
      </w:r>
      <w:r>
        <w:rPr>
          <w:rFonts w:ascii="Arial" w:hAnsi="Arial" w:cs="Arial"/>
        </w:rPr>
        <w:t xml:space="preserve"> disclosure framework.  In our view, these non-compliance rates are still too high and </w:t>
      </w:r>
      <w:r w:rsidR="00E736DE">
        <w:rPr>
          <w:rFonts w:ascii="Arial" w:hAnsi="Arial" w:cs="Arial"/>
        </w:rPr>
        <w:t>justify a continued emphasis on enforcement.</w:t>
      </w:r>
    </w:p>
    <w:p w14:paraId="28D277BD" w14:textId="313C1E8A" w:rsidR="00E736DE" w:rsidRDefault="00E736DE" w:rsidP="001E505E">
      <w:pPr>
        <w:jc w:val="both"/>
        <w:rPr>
          <w:rFonts w:ascii="Arial" w:hAnsi="Arial" w:cs="Arial"/>
        </w:rPr>
      </w:pPr>
    </w:p>
    <w:p w14:paraId="46299688" w14:textId="72919A36" w:rsidR="00D866CC" w:rsidRDefault="006C2309" w:rsidP="001E505E">
      <w:pPr>
        <w:jc w:val="both"/>
        <w:rPr>
          <w:rFonts w:ascii="Arial" w:hAnsi="Arial" w:cs="Arial"/>
        </w:rPr>
      </w:pPr>
      <w:r>
        <w:rPr>
          <w:rFonts w:ascii="Arial" w:hAnsi="Arial" w:cs="Arial"/>
        </w:rPr>
        <w:t>We also</w:t>
      </w:r>
      <w:r w:rsidR="00E736DE">
        <w:rPr>
          <w:rFonts w:ascii="Arial" w:hAnsi="Arial" w:cs="Arial"/>
        </w:rPr>
        <w:t xml:space="preserve"> recommend that ESMA clarify that the </w:t>
      </w:r>
      <w:r>
        <w:rPr>
          <w:rFonts w:ascii="Arial" w:hAnsi="Arial" w:cs="Arial"/>
        </w:rPr>
        <w:t xml:space="preserve">disclosure exception for trading venues and APAs that make market data available </w:t>
      </w:r>
      <w:r w:rsidR="00163CF3">
        <w:rPr>
          <w:rFonts w:ascii="Arial" w:hAnsi="Arial" w:cs="Arial"/>
        </w:rPr>
        <w:t>to the public free of charge is limited</w:t>
      </w:r>
      <w:r>
        <w:rPr>
          <w:rFonts w:ascii="Arial" w:hAnsi="Arial" w:cs="Arial"/>
        </w:rPr>
        <w:t xml:space="preserve"> to </w:t>
      </w:r>
      <w:r w:rsidR="00163CF3">
        <w:rPr>
          <w:rFonts w:ascii="Arial" w:hAnsi="Arial" w:cs="Arial"/>
        </w:rPr>
        <w:t>specific m</w:t>
      </w:r>
      <w:r>
        <w:rPr>
          <w:rFonts w:ascii="Arial" w:hAnsi="Arial" w:cs="Arial"/>
        </w:rPr>
        <w:t xml:space="preserve">arket data that is </w:t>
      </w:r>
      <w:r w:rsidR="00B73493">
        <w:rPr>
          <w:rFonts w:ascii="Arial" w:hAnsi="Arial" w:cs="Arial"/>
        </w:rPr>
        <w:t>actually</w:t>
      </w:r>
      <w:r w:rsidR="00CB7895">
        <w:rPr>
          <w:rFonts w:ascii="Arial" w:hAnsi="Arial" w:cs="Arial"/>
        </w:rPr>
        <w:t xml:space="preserve"> </w:t>
      </w:r>
      <w:r>
        <w:rPr>
          <w:rFonts w:ascii="Arial" w:hAnsi="Arial" w:cs="Arial"/>
        </w:rPr>
        <w:t xml:space="preserve">published real-time free of charge.  </w:t>
      </w:r>
      <w:r w:rsidR="00016ABB">
        <w:rPr>
          <w:rFonts w:ascii="Arial" w:hAnsi="Arial" w:cs="Arial"/>
        </w:rPr>
        <w:t>For example, c</w:t>
      </w:r>
      <w:r w:rsidR="00163CF3">
        <w:rPr>
          <w:rFonts w:ascii="Arial" w:hAnsi="Arial" w:cs="Arial"/>
        </w:rPr>
        <w:t>omplyi</w:t>
      </w:r>
      <w:r>
        <w:rPr>
          <w:rFonts w:ascii="Arial" w:hAnsi="Arial" w:cs="Arial"/>
        </w:rPr>
        <w:t xml:space="preserve">ng with MiFID II requirements to publish </w:t>
      </w:r>
      <w:r>
        <w:rPr>
          <w:rFonts w:ascii="Arial" w:hAnsi="Arial" w:cs="Arial"/>
        </w:rPr>
        <w:lastRenderedPageBreak/>
        <w:t xml:space="preserve">delayed data free of charge should not </w:t>
      </w:r>
      <w:r w:rsidR="00163CF3">
        <w:rPr>
          <w:rFonts w:ascii="Arial" w:hAnsi="Arial" w:cs="Arial"/>
        </w:rPr>
        <w:t xml:space="preserve">provide trading venues and APAs with </w:t>
      </w:r>
      <w:r w:rsidR="00970A48">
        <w:rPr>
          <w:rFonts w:ascii="Arial" w:hAnsi="Arial" w:cs="Arial"/>
        </w:rPr>
        <w:t>an</w:t>
      </w:r>
      <w:r w:rsidR="00435CF5">
        <w:rPr>
          <w:rFonts w:ascii="Arial" w:hAnsi="Arial" w:cs="Arial"/>
        </w:rPr>
        <w:t xml:space="preserve"> </w:t>
      </w:r>
      <w:r w:rsidR="002742AC">
        <w:rPr>
          <w:rFonts w:ascii="Arial" w:hAnsi="Arial" w:cs="Arial"/>
        </w:rPr>
        <w:t>exemption</w:t>
      </w:r>
      <w:r w:rsidR="00435CF5">
        <w:rPr>
          <w:rFonts w:ascii="Arial" w:hAnsi="Arial" w:cs="Arial"/>
        </w:rPr>
        <w:t xml:space="preserve"> from disclosing the costs associated with real-time market data.</w:t>
      </w:r>
    </w:p>
    <w:p w14:paraId="5D27B2E4" w14:textId="58B7E708" w:rsidR="00163CF3" w:rsidRDefault="00163CF3" w:rsidP="001E505E">
      <w:pPr>
        <w:jc w:val="both"/>
        <w:rPr>
          <w:rFonts w:ascii="Arial" w:hAnsi="Arial" w:cs="Arial"/>
        </w:rPr>
      </w:pPr>
    </w:p>
    <w:p w14:paraId="296C56BE" w14:textId="4A53A6CA" w:rsidR="002742AC" w:rsidRPr="002742AC" w:rsidRDefault="00435CF5" w:rsidP="001E505E">
      <w:pPr>
        <w:jc w:val="both"/>
        <w:rPr>
          <w:rFonts w:ascii="Arial" w:hAnsi="Arial" w:cs="Arial"/>
        </w:rPr>
      </w:pPr>
      <w:r>
        <w:rPr>
          <w:rFonts w:ascii="Arial" w:hAnsi="Arial" w:cs="Arial"/>
        </w:rPr>
        <w:t>With respect to the publication</w:t>
      </w:r>
      <w:r w:rsidR="002742AC">
        <w:rPr>
          <w:rFonts w:ascii="Arial" w:hAnsi="Arial" w:cs="Arial"/>
        </w:rPr>
        <w:t xml:space="preserve"> practices of SIs, we note that, for non-equities, ESMA may have received limited feedback due in part to the current interpretation of the phrase “traded on a trading venue” (ToTV).  Since ESMA has </w:t>
      </w:r>
      <w:r w:rsidR="002742AC" w:rsidRPr="002742AC">
        <w:rPr>
          <w:rFonts w:ascii="Arial" w:hAnsi="Arial" w:cs="Arial"/>
        </w:rPr>
        <w:t>interpreted ToTV to mean that an instrument must share the exact</w:t>
      </w:r>
      <w:r w:rsidR="002742AC">
        <w:rPr>
          <w:rFonts w:ascii="Arial" w:hAnsi="Arial" w:cs="Arial"/>
        </w:rPr>
        <w:t xml:space="preserve"> </w:t>
      </w:r>
      <w:r w:rsidR="002742AC" w:rsidRPr="002742AC">
        <w:rPr>
          <w:rFonts w:ascii="Arial" w:hAnsi="Arial" w:cs="Arial"/>
        </w:rPr>
        <w:t>same reference data details as an instrument on a trading venue that has been reported to the ESMA</w:t>
      </w:r>
      <w:r w:rsidR="002742AC">
        <w:rPr>
          <w:rFonts w:ascii="Arial" w:hAnsi="Arial" w:cs="Arial"/>
        </w:rPr>
        <w:t xml:space="preserve"> </w:t>
      </w:r>
      <w:r w:rsidR="002742AC" w:rsidRPr="002742AC">
        <w:rPr>
          <w:rFonts w:ascii="Arial" w:hAnsi="Arial" w:cs="Arial"/>
        </w:rPr>
        <w:t>FIRDS database (i.e. all refer</w:t>
      </w:r>
      <w:r w:rsidR="002742AC">
        <w:rPr>
          <w:rFonts w:ascii="Arial" w:hAnsi="Arial" w:cs="Arial"/>
        </w:rPr>
        <w:t xml:space="preserve">ence data fields must “match”), </w:t>
      </w:r>
      <w:r w:rsidR="002742AC" w:rsidRPr="002742AC">
        <w:rPr>
          <w:rFonts w:ascii="Arial" w:hAnsi="Arial" w:cs="Arial"/>
        </w:rPr>
        <w:t xml:space="preserve">almost all off-venue OTC derivatives </w:t>
      </w:r>
      <w:r w:rsidR="002742AC">
        <w:rPr>
          <w:rFonts w:ascii="Arial" w:hAnsi="Arial" w:cs="Arial"/>
        </w:rPr>
        <w:t>transactions are</w:t>
      </w:r>
      <w:r w:rsidR="002742AC" w:rsidRPr="002742AC">
        <w:rPr>
          <w:rFonts w:ascii="Arial" w:hAnsi="Arial" w:cs="Arial"/>
        </w:rPr>
        <w:t xml:space="preserve"> not being considered ToTV </w:t>
      </w:r>
      <w:r w:rsidR="00FB1ED8">
        <w:rPr>
          <w:rFonts w:ascii="Arial" w:hAnsi="Arial" w:cs="Arial"/>
        </w:rPr>
        <w:t>(and therefore will not be published by SIs)</w:t>
      </w:r>
      <w:r w:rsidR="002742AC">
        <w:rPr>
          <w:rFonts w:ascii="Arial" w:hAnsi="Arial" w:cs="Arial"/>
        </w:rPr>
        <w:t>.  A</w:t>
      </w:r>
      <w:r w:rsidR="002742AC" w:rsidRPr="002742AC">
        <w:rPr>
          <w:rFonts w:ascii="Arial" w:hAnsi="Arial" w:cs="Arial"/>
        </w:rPr>
        <w:t xml:space="preserve">ccording to data from ANNA-DSB, only ~2% of all OTC ISINs have </w:t>
      </w:r>
      <w:r w:rsidR="002742AC">
        <w:rPr>
          <w:rFonts w:ascii="Arial" w:hAnsi="Arial" w:cs="Arial"/>
        </w:rPr>
        <w:t>b</w:t>
      </w:r>
      <w:r w:rsidR="002742AC" w:rsidRPr="002742AC">
        <w:rPr>
          <w:rFonts w:ascii="Arial" w:hAnsi="Arial" w:cs="Arial"/>
        </w:rPr>
        <w:t>een reported to the ESMA</w:t>
      </w:r>
      <w:r w:rsidR="002742AC">
        <w:rPr>
          <w:rFonts w:ascii="Arial" w:hAnsi="Arial" w:cs="Arial"/>
        </w:rPr>
        <w:t xml:space="preserve"> </w:t>
      </w:r>
      <w:r w:rsidR="002742AC" w:rsidRPr="002742AC">
        <w:rPr>
          <w:rFonts w:ascii="Arial" w:hAnsi="Arial" w:cs="Arial"/>
        </w:rPr>
        <w:t>FIRDS Transparency System</w:t>
      </w:r>
      <w:r w:rsidR="002742AC">
        <w:rPr>
          <w:rFonts w:ascii="Arial" w:hAnsi="Arial" w:cs="Arial"/>
        </w:rPr>
        <w:t>.</w:t>
      </w:r>
      <w:r w:rsidR="002742AC">
        <w:rPr>
          <w:rStyle w:val="FootnoteReference"/>
          <w:rFonts w:cs="Arial"/>
        </w:rPr>
        <w:footnoteReference w:id="2"/>
      </w:r>
    </w:p>
    <w:p w14:paraId="48380B8C" w14:textId="6C11CA4C" w:rsidR="006F67B1" w:rsidRDefault="006F67B1" w:rsidP="001E505E">
      <w:pPr>
        <w:jc w:val="both"/>
        <w:rPr>
          <w:rFonts w:ascii="Arial" w:hAnsi="Arial" w:cs="Arial"/>
        </w:rPr>
      </w:pPr>
    </w:p>
    <w:p w14:paraId="6DDA2B06" w14:textId="4B411A36" w:rsidR="00D866CC" w:rsidRDefault="00AC0A20" w:rsidP="001E505E">
      <w:pPr>
        <w:jc w:val="both"/>
        <w:rPr>
          <w:rFonts w:ascii="Arial" w:hAnsi="Arial" w:cs="Arial"/>
        </w:rPr>
      </w:pPr>
      <w:r>
        <w:rPr>
          <w:rFonts w:ascii="Arial" w:hAnsi="Arial" w:cs="Arial"/>
        </w:rPr>
        <w:t xml:space="preserve">In connection with assessing the publication practices of SIs, we recommend that ESMA determine the approximate percentage of total SI quoting activity that is </w:t>
      </w:r>
      <w:r w:rsidR="00CB7895">
        <w:rPr>
          <w:rFonts w:ascii="Arial" w:hAnsi="Arial" w:cs="Arial"/>
        </w:rPr>
        <w:t>required to be made available to market participants</w:t>
      </w:r>
      <w:r>
        <w:rPr>
          <w:rFonts w:ascii="Arial" w:hAnsi="Arial" w:cs="Arial"/>
        </w:rPr>
        <w:t xml:space="preserve">.  This will provide </w:t>
      </w:r>
      <w:r w:rsidR="00482A93">
        <w:rPr>
          <w:rFonts w:ascii="Arial" w:hAnsi="Arial" w:cs="Arial"/>
        </w:rPr>
        <w:t xml:space="preserve">helpful </w:t>
      </w:r>
      <w:r>
        <w:rPr>
          <w:rFonts w:ascii="Arial" w:hAnsi="Arial" w:cs="Arial"/>
        </w:rPr>
        <w:t xml:space="preserve">context regarding the materiality of the current obligation for SIs to make quotes public on a </w:t>
      </w:r>
      <w:r w:rsidR="00482A93">
        <w:rPr>
          <w:rFonts w:ascii="Arial" w:hAnsi="Arial" w:cs="Arial"/>
        </w:rPr>
        <w:t>RCB</w:t>
      </w:r>
      <w:r>
        <w:rPr>
          <w:rFonts w:ascii="Arial" w:hAnsi="Arial" w:cs="Arial"/>
        </w:rPr>
        <w:t>.</w:t>
      </w:r>
      <w:r w:rsidR="00482A93">
        <w:rPr>
          <w:rFonts w:ascii="Arial" w:hAnsi="Arial" w:cs="Arial"/>
        </w:rPr>
        <w:t xml:space="preserve">  In addition, we recommend that ESMA re-assess the current interpretation of ToTV in order to ensure that </w:t>
      </w:r>
      <w:r w:rsidR="00016ABB">
        <w:rPr>
          <w:rFonts w:ascii="Arial" w:hAnsi="Arial" w:cs="Arial"/>
        </w:rPr>
        <w:t>more</w:t>
      </w:r>
      <w:r w:rsidR="00482A93">
        <w:rPr>
          <w:rFonts w:ascii="Arial" w:hAnsi="Arial" w:cs="Arial"/>
        </w:rPr>
        <w:t xml:space="preserve"> off-venue trading activity in non-equities is subject to MiFID II transparency requirements</w:t>
      </w:r>
      <w:r w:rsidR="006F754E">
        <w:rPr>
          <w:rFonts w:ascii="Arial" w:hAnsi="Arial" w:cs="Arial"/>
        </w:rPr>
        <w:t xml:space="preserve"> (and </w:t>
      </w:r>
      <w:r w:rsidR="00CB7895">
        <w:rPr>
          <w:rFonts w:ascii="Arial" w:hAnsi="Arial" w:cs="Arial"/>
        </w:rPr>
        <w:t xml:space="preserve">potentially </w:t>
      </w:r>
      <w:r w:rsidR="006F754E">
        <w:rPr>
          <w:rFonts w:ascii="Arial" w:hAnsi="Arial" w:cs="Arial"/>
        </w:rPr>
        <w:t>RCB obligations)</w:t>
      </w:r>
      <w:r w:rsidR="00482A93">
        <w:rPr>
          <w:rFonts w:ascii="Arial" w:hAnsi="Arial" w:cs="Arial"/>
        </w:rPr>
        <w:t>.</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23504DDE" w14:textId="77777777" w:rsidR="009225A8" w:rsidRDefault="009225A8" w:rsidP="009225A8">
      <w:pPr>
        <w:rPr>
          <w:rFonts w:ascii="Arial" w:hAnsi="Arial" w:cs="Arial"/>
        </w:rPr>
      </w:pPr>
      <w:permStart w:id="1800023565" w:edGrp="everyone"/>
      <w:r>
        <w:rPr>
          <w:rFonts w:ascii="Arial" w:hAnsi="Arial" w:cs="Arial"/>
        </w:rPr>
        <w:t>TYPE YOUR TEXT HERE</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39895346" w14:textId="2EC53A0F" w:rsidR="00FC2489" w:rsidRDefault="00624C78" w:rsidP="001E505E">
      <w:pPr>
        <w:jc w:val="both"/>
        <w:rPr>
          <w:rFonts w:ascii="Arial" w:hAnsi="Arial" w:cs="Arial"/>
        </w:rPr>
      </w:pPr>
      <w:permStart w:id="322978443" w:edGrp="everyone"/>
      <w:r>
        <w:rPr>
          <w:rFonts w:ascii="Arial" w:hAnsi="Arial" w:cs="Arial"/>
        </w:rPr>
        <w:t xml:space="preserve">We would support both additional supervisory guidance designed to increase the utility of the </w:t>
      </w:r>
      <w:r w:rsidR="00C25BD2">
        <w:rPr>
          <w:rFonts w:ascii="Arial" w:hAnsi="Arial" w:cs="Arial"/>
        </w:rPr>
        <w:t xml:space="preserve">RCB </w:t>
      </w:r>
      <w:r>
        <w:rPr>
          <w:rFonts w:ascii="Arial" w:hAnsi="Arial" w:cs="Arial"/>
        </w:rPr>
        <w:t xml:space="preserve">disclosures and a continued emphasis on enforcement.  </w:t>
      </w:r>
    </w:p>
    <w:p w14:paraId="73A994AB" w14:textId="77777777" w:rsidR="00FC2489" w:rsidRDefault="00FC2489" w:rsidP="001E505E">
      <w:pPr>
        <w:jc w:val="both"/>
        <w:rPr>
          <w:rFonts w:ascii="Arial" w:hAnsi="Arial" w:cs="Arial"/>
        </w:rPr>
      </w:pPr>
    </w:p>
    <w:p w14:paraId="7ECCF846" w14:textId="73DC6CF6" w:rsidR="0023158D" w:rsidRDefault="00624C78" w:rsidP="001E505E">
      <w:pPr>
        <w:jc w:val="both"/>
        <w:rPr>
          <w:rFonts w:ascii="Arial" w:hAnsi="Arial" w:cs="Arial"/>
        </w:rPr>
      </w:pPr>
      <w:r>
        <w:rPr>
          <w:rFonts w:ascii="Arial" w:hAnsi="Arial" w:cs="Arial"/>
        </w:rPr>
        <w:t>One area where fur</w:t>
      </w:r>
      <w:r w:rsidR="00165987">
        <w:rPr>
          <w:rFonts w:ascii="Arial" w:hAnsi="Arial" w:cs="Arial"/>
        </w:rPr>
        <w:t>ther guidance would be useful is</w:t>
      </w:r>
      <w:r>
        <w:rPr>
          <w:rFonts w:ascii="Arial" w:hAnsi="Arial" w:cs="Arial"/>
        </w:rPr>
        <w:t xml:space="preserve"> increasing the amount of information that tra</w:t>
      </w:r>
      <w:r w:rsidR="00165987">
        <w:rPr>
          <w:rFonts w:ascii="Arial" w:hAnsi="Arial" w:cs="Arial"/>
        </w:rPr>
        <w:t>ding venues,</w:t>
      </w:r>
      <w:r>
        <w:rPr>
          <w:rFonts w:ascii="Arial" w:hAnsi="Arial" w:cs="Arial"/>
        </w:rPr>
        <w:t xml:space="preserve"> APAs</w:t>
      </w:r>
      <w:r w:rsidR="00165987">
        <w:rPr>
          <w:rFonts w:ascii="Arial" w:hAnsi="Arial" w:cs="Arial"/>
        </w:rPr>
        <w:t>, and SIs</w:t>
      </w:r>
      <w:r>
        <w:rPr>
          <w:rFonts w:ascii="Arial" w:hAnsi="Arial" w:cs="Arial"/>
        </w:rPr>
        <w:t xml:space="preserve"> disclose regarding the content of the market data </w:t>
      </w:r>
      <w:r w:rsidR="00F172C7">
        <w:rPr>
          <w:rFonts w:ascii="Arial" w:hAnsi="Arial" w:cs="Arial"/>
        </w:rPr>
        <w:t xml:space="preserve">that is being charged for </w:t>
      </w:r>
      <w:r>
        <w:rPr>
          <w:rFonts w:ascii="Arial" w:hAnsi="Arial" w:cs="Arial"/>
        </w:rPr>
        <w:t xml:space="preserve">(as required by CDR 2017/565 and CDR 2017/567).  </w:t>
      </w:r>
      <w:r w:rsidR="00A351A5">
        <w:rPr>
          <w:rFonts w:ascii="Arial" w:hAnsi="Arial" w:cs="Arial"/>
        </w:rPr>
        <w:t>Given the number of waivers and deferrals from MiFID II transparency requirements, it</w:t>
      </w:r>
      <w:r w:rsidR="00165987">
        <w:rPr>
          <w:rFonts w:ascii="Arial" w:hAnsi="Arial" w:cs="Arial"/>
        </w:rPr>
        <w:t xml:space="preserve"> would be extremely helpful </w:t>
      </w:r>
      <w:r w:rsidR="00A351A5">
        <w:rPr>
          <w:rFonts w:ascii="Arial" w:hAnsi="Arial" w:cs="Arial"/>
        </w:rPr>
        <w:t xml:space="preserve">to </w:t>
      </w:r>
      <w:r w:rsidR="00165987">
        <w:rPr>
          <w:rFonts w:ascii="Arial" w:hAnsi="Arial" w:cs="Arial"/>
        </w:rPr>
        <w:t>understand</w:t>
      </w:r>
      <w:r w:rsidR="00A351A5">
        <w:rPr>
          <w:rFonts w:ascii="Arial" w:hAnsi="Arial" w:cs="Arial"/>
        </w:rPr>
        <w:t xml:space="preserve"> the percentage of trading activity</w:t>
      </w:r>
      <w:r w:rsidR="00165987">
        <w:rPr>
          <w:rFonts w:ascii="Arial" w:hAnsi="Arial" w:cs="Arial"/>
        </w:rPr>
        <w:t xml:space="preserve"> on the relevant trading venue, APA</w:t>
      </w:r>
      <w:r w:rsidR="00A351A5">
        <w:rPr>
          <w:rFonts w:ascii="Arial" w:hAnsi="Arial" w:cs="Arial"/>
        </w:rPr>
        <w:t>,</w:t>
      </w:r>
      <w:r w:rsidR="00165987">
        <w:rPr>
          <w:rFonts w:ascii="Arial" w:hAnsi="Arial" w:cs="Arial"/>
        </w:rPr>
        <w:t xml:space="preserve"> or SI,</w:t>
      </w:r>
      <w:r w:rsidR="00A351A5">
        <w:rPr>
          <w:rFonts w:ascii="Arial" w:hAnsi="Arial" w:cs="Arial"/>
        </w:rPr>
        <w:t xml:space="preserve"> p</w:t>
      </w:r>
      <w:r w:rsidR="00165987">
        <w:rPr>
          <w:rFonts w:ascii="Arial" w:hAnsi="Arial" w:cs="Arial"/>
        </w:rPr>
        <w:t>er sub-asset class, that is included in the real-time data</w:t>
      </w:r>
      <w:r w:rsidR="00A351A5">
        <w:rPr>
          <w:rFonts w:ascii="Arial" w:hAnsi="Arial" w:cs="Arial"/>
        </w:rPr>
        <w:t xml:space="preserve">.  </w:t>
      </w:r>
      <w:r w:rsidR="002D5E88" w:rsidRPr="002D5E88">
        <w:rPr>
          <w:rFonts w:ascii="Arial" w:hAnsi="Arial" w:cs="Arial"/>
        </w:rPr>
        <w:t xml:space="preserve">For </w:t>
      </w:r>
      <w:r w:rsidR="002D5E88" w:rsidRPr="002D5E88">
        <w:rPr>
          <w:rFonts w:ascii="Arial" w:hAnsi="Arial" w:cs="Arial"/>
        </w:rPr>
        <w:lastRenderedPageBreak/>
        <w:t>example,</w:t>
      </w:r>
      <w:r w:rsidR="002D5E88">
        <w:rPr>
          <w:rFonts w:ascii="Arial" w:hAnsi="Arial" w:cs="Arial"/>
        </w:rPr>
        <w:t xml:space="preserve"> </w:t>
      </w:r>
      <w:r w:rsidR="002D5E88" w:rsidRPr="002D5E88">
        <w:rPr>
          <w:rFonts w:ascii="Arial" w:hAnsi="Arial" w:cs="Arial"/>
        </w:rPr>
        <w:t>analysis of available data suggests that approximately 72% of aggregate volume (by notional) in</w:t>
      </w:r>
      <w:r w:rsidR="002D5E88">
        <w:rPr>
          <w:rFonts w:ascii="Arial" w:hAnsi="Arial" w:cs="Arial"/>
        </w:rPr>
        <w:t xml:space="preserve"> </w:t>
      </w:r>
      <w:r w:rsidR="002D5E88" w:rsidRPr="002D5E88">
        <w:rPr>
          <w:rFonts w:ascii="Arial" w:hAnsi="Arial" w:cs="Arial"/>
        </w:rPr>
        <w:t>EUR interest rate swaps is b</w:t>
      </w:r>
      <w:r w:rsidR="002D5E88">
        <w:rPr>
          <w:rFonts w:ascii="Arial" w:hAnsi="Arial" w:cs="Arial"/>
        </w:rPr>
        <w:t>eing reported with a deferral</w:t>
      </w:r>
      <w:r w:rsidR="00165987">
        <w:rPr>
          <w:rFonts w:ascii="Arial" w:hAnsi="Arial" w:cs="Arial"/>
        </w:rPr>
        <w:t>,</w:t>
      </w:r>
      <w:r w:rsidR="002D5E88">
        <w:rPr>
          <w:rStyle w:val="FootnoteReference"/>
          <w:rFonts w:cs="Arial"/>
        </w:rPr>
        <w:footnoteReference w:id="3"/>
      </w:r>
      <w:r w:rsidR="00165987">
        <w:rPr>
          <w:rFonts w:ascii="Arial" w:hAnsi="Arial" w:cs="Arial"/>
        </w:rPr>
        <w:t xml:space="preserve"> which reduces the value of </w:t>
      </w:r>
      <w:r w:rsidR="004553F5">
        <w:rPr>
          <w:rFonts w:ascii="Arial" w:hAnsi="Arial" w:cs="Arial"/>
        </w:rPr>
        <w:t xml:space="preserve">the </w:t>
      </w:r>
      <w:r w:rsidR="00165987">
        <w:rPr>
          <w:rFonts w:ascii="Arial" w:hAnsi="Arial" w:cs="Arial"/>
        </w:rPr>
        <w:t>real-time data published for these instruments.</w:t>
      </w:r>
      <w:r w:rsidR="002D5E88">
        <w:rPr>
          <w:rFonts w:ascii="Arial" w:hAnsi="Arial" w:cs="Arial"/>
        </w:rPr>
        <w:t xml:space="preserve">  </w:t>
      </w:r>
      <w:r w:rsidR="00A351A5">
        <w:rPr>
          <w:rFonts w:ascii="Arial" w:hAnsi="Arial" w:cs="Arial"/>
        </w:rPr>
        <w:t xml:space="preserve">This </w:t>
      </w:r>
      <w:r w:rsidR="00165987">
        <w:rPr>
          <w:rFonts w:ascii="Arial" w:hAnsi="Arial" w:cs="Arial"/>
        </w:rPr>
        <w:t xml:space="preserve">additional information regarding the content of the market data being charged for by trading venues, APAs, and SIs </w:t>
      </w:r>
      <w:r w:rsidR="00A351A5">
        <w:rPr>
          <w:rFonts w:ascii="Arial" w:hAnsi="Arial" w:cs="Arial"/>
        </w:rPr>
        <w:t xml:space="preserve">will </w:t>
      </w:r>
      <w:r w:rsidR="00165987">
        <w:rPr>
          <w:rFonts w:ascii="Arial" w:hAnsi="Arial" w:cs="Arial"/>
        </w:rPr>
        <w:t xml:space="preserve">greatly </w:t>
      </w:r>
      <w:r w:rsidR="00A351A5">
        <w:rPr>
          <w:rFonts w:ascii="Arial" w:hAnsi="Arial" w:cs="Arial"/>
        </w:rPr>
        <w:t xml:space="preserve">assist market participants in evaluating </w:t>
      </w:r>
      <w:r w:rsidR="00165987">
        <w:rPr>
          <w:rFonts w:ascii="Arial" w:hAnsi="Arial" w:cs="Arial"/>
        </w:rPr>
        <w:t>its value relative to its cost.</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04F59F5C" w14:textId="77777777" w:rsidR="00F57CA2" w:rsidRDefault="00F57CA2" w:rsidP="00010773">
      <w:pPr>
        <w:rPr>
          <w:rFonts w:ascii="Arial" w:hAnsi="Arial" w:cs="Arial"/>
        </w:rPr>
      </w:pPr>
      <w:permStart w:id="1461596204" w:edGrp="everyone"/>
      <w:r>
        <w:rPr>
          <w:rFonts w:ascii="Arial" w:hAnsi="Arial" w:cs="Arial"/>
        </w:rPr>
        <w:t xml:space="preserve">TYPE YOUR TEXT HERE </w:t>
      </w:r>
    </w:p>
    <w:permEnd w:id="1461596204"/>
    <w:p w14:paraId="780E4268" w14:textId="5914906E"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10B74FBC" w14:textId="77777777" w:rsidR="001C4C7E" w:rsidRDefault="001C4C7E" w:rsidP="00010773">
      <w:pPr>
        <w:rPr>
          <w:rFonts w:ascii="Arial" w:hAnsi="Arial" w:cs="Arial"/>
        </w:rPr>
      </w:pPr>
      <w:permStart w:id="1428574078" w:edGrp="everyone"/>
      <w:r>
        <w:rPr>
          <w:rFonts w:ascii="Arial" w:hAnsi="Arial" w:cs="Arial"/>
        </w:rPr>
        <w:t xml:space="preserve">TYPE YOUR TEXT HERE </w:t>
      </w:r>
    </w:p>
    <w:permEnd w:id="1428574078"/>
    <w:p w14:paraId="621FD3C5" w14:textId="2A22B645"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1ADF2A3" w14:textId="77777777" w:rsidR="00010773" w:rsidRDefault="00010773" w:rsidP="00010773">
      <w:pPr>
        <w:rPr>
          <w:rFonts w:ascii="Arial" w:hAnsi="Arial" w:cs="Arial"/>
        </w:rPr>
      </w:pPr>
      <w:permStart w:id="1559906194" w:edGrp="everyone"/>
      <w:r>
        <w:rPr>
          <w:rFonts w:ascii="Arial" w:hAnsi="Arial" w:cs="Arial"/>
        </w:rPr>
        <w:t>TYPE YOUR TEXT HERE</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77777777" w:rsidR="00010773" w:rsidRDefault="00010773" w:rsidP="00010773">
      <w:pPr>
        <w:rPr>
          <w:rFonts w:ascii="Arial" w:hAnsi="Arial" w:cs="Arial"/>
        </w:rPr>
      </w:pPr>
      <w:permStart w:id="922756409" w:edGrp="everyone"/>
      <w:r>
        <w:rPr>
          <w:rFonts w:ascii="Arial" w:hAnsi="Arial" w:cs="Arial"/>
        </w:rPr>
        <w:t>TYPE YOUR TEXT HERE</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61804083" w14:textId="1BF96E44" w:rsidR="00832E06" w:rsidRPr="003372BB" w:rsidRDefault="00B3652D" w:rsidP="00320208">
      <w:pPr>
        <w:jc w:val="both"/>
        <w:rPr>
          <w:rFonts w:ascii="Arial" w:hAnsi="Arial" w:cs="Arial"/>
        </w:rPr>
      </w:pPr>
      <w:permStart w:id="959788813" w:edGrp="everyone"/>
      <w:r>
        <w:rPr>
          <w:rFonts w:ascii="Arial" w:hAnsi="Arial" w:cs="Arial"/>
        </w:rPr>
        <w:t xml:space="preserve">No, </w:t>
      </w:r>
      <w:r w:rsidR="00B8099F">
        <w:rPr>
          <w:rFonts w:ascii="Arial" w:hAnsi="Arial" w:cs="Arial"/>
        </w:rPr>
        <w:t>despite regulatory attention to the issue and recent</w:t>
      </w:r>
      <w:r w:rsidR="0049506B">
        <w:rPr>
          <w:rFonts w:ascii="Arial" w:hAnsi="Arial" w:cs="Arial"/>
        </w:rPr>
        <w:t xml:space="preserve"> improvement</w:t>
      </w:r>
      <w:r w:rsidR="007E1968">
        <w:rPr>
          <w:rFonts w:ascii="Arial" w:hAnsi="Arial" w:cs="Arial"/>
        </w:rPr>
        <w:t>s</w:t>
      </w:r>
      <w:r w:rsidR="0049506B">
        <w:rPr>
          <w:rFonts w:ascii="Arial" w:hAnsi="Arial" w:cs="Arial"/>
        </w:rPr>
        <w:t xml:space="preserve"> in the overall</w:t>
      </w:r>
      <w:r w:rsidR="00B8099F">
        <w:rPr>
          <w:rFonts w:ascii="Arial" w:hAnsi="Arial" w:cs="Arial"/>
        </w:rPr>
        <w:t xml:space="preserve"> compliance</w:t>
      </w:r>
      <w:r w:rsidR="0049506B">
        <w:rPr>
          <w:rFonts w:ascii="Arial" w:hAnsi="Arial" w:cs="Arial"/>
        </w:rPr>
        <w:t xml:space="preserve"> rate</w:t>
      </w:r>
      <w:r w:rsidR="00B8099F">
        <w:rPr>
          <w:rFonts w:ascii="Arial" w:hAnsi="Arial" w:cs="Arial"/>
        </w:rPr>
        <w:t xml:space="preserve">, several </w:t>
      </w:r>
      <w:r>
        <w:rPr>
          <w:rFonts w:ascii="Arial" w:hAnsi="Arial" w:cs="Arial"/>
        </w:rPr>
        <w:t xml:space="preserve">trading venues and APAs are still not complying with the MiFID II requirement to provide data free of charge 15 minutes after publication.  As </w:t>
      </w:r>
      <w:r w:rsidRPr="003372BB">
        <w:rPr>
          <w:rFonts w:ascii="Arial" w:hAnsi="Arial" w:cs="Arial"/>
        </w:rPr>
        <w:t>clarified by ESMA supervisory guidance, this requirement means that trading venues and APAs must publish data free of charge</w:t>
      </w:r>
      <w:r w:rsidR="00057186" w:rsidRPr="003372BB">
        <w:rPr>
          <w:rFonts w:ascii="Arial" w:hAnsi="Arial" w:cs="Arial"/>
        </w:rPr>
        <w:t xml:space="preserve"> in a format that is</w:t>
      </w:r>
      <w:r w:rsidRPr="003372BB">
        <w:rPr>
          <w:rFonts w:ascii="Arial" w:hAnsi="Arial" w:cs="Arial"/>
        </w:rPr>
        <w:t>:</w:t>
      </w:r>
    </w:p>
    <w:p w14:paraId="7D4AC289" w14:textId="3B71F51E" w:rsidR="00B3652D" w:rsidRPr="003372BB" w:rsidRDefault="00B3652D" w:rsidP="00320208">
      <w:pPr>
        <w:jc w:val="both"/>
        <w:rPr>
          <w:rFonts w:ascii="Arial" w:hAnsi="Arial" w:cs="Arial"/>
        </w:rPr>
      </w:pPr>
    </w:p>
    <w:p w14:paraId="1DD5588B" w14:textId="643EBFCF" w:rsidR="00B3652D" w:rsidRPr="003372BB" w:rsidRDefault="00F57296" w:rsidP="00320208">
      <w:pPr>
        <w:pStyle w:val="ListParagraph"/>
        <w:jc w:val="both"/>
        <w:rPr>
          <w:sz w:val="24"/>
          <w:szCs w:val="24"/>
        </w:rPr>
      </w:pPr>
      <w:r w:rsidRPr="003372BB">
        <w:rPr>
          <w:sz w:val="24"/>
          <w:szCs w:val="24"/>
        </w:rPr>
        <w:lastRenderedPageBreak/>
        <w:t>M</w:t>
      </w:r>
      <w:r w:rsidR="00057186" w:rsidRPr="003372BB">
        <w:rPr>
          <w:sz w:val="24"/>
          <w:szCs w:val="24"/>
        </w:rPr>
        <w:t>achine-readable</w:t>
      </w:r>
      <w:r w:rsidR="00A76AFD" w:rsidRPr="003372BB">
        <w:rPr>
          <w:sz w:val="24"/>
          <w:szCs w:val="24"/>
        </w:rPr>
        <w:t xml:space="preserve"> (i.e. in an electronic format that can be directly and automatically read by a computer, and that can be accessed, read, used and copied by any potential user through computer software that is free of charge and publicly available);</w:t>
      </w:r>
    </w:p>
    <w:p w14:paraId="15F36F6B" w14:textId="77777777" w:rsidR="00A76AFD" w:rsidRPr="003372BB" w:rsidRDefault="00A76AFD" w:rsidP="00320208">
      <w:pPr>
        <w:tabs>
          <w:tab w:val="left" w:pos="720"/>
        </w:tabs>
        <w:ind w:left="540"/>
        <w:jc w:val="both"/>
      </w:pPr>
    </w:p>
    <w:p w14:paraId="6810773F" w14:textId="238A8C2B" w:rsidR="00B3652D" w:rsidRPr="003372BB" w:rsidRDefault="00F57296" w:rsidP="00320208">
      <w:pPr>
        <w:pStyle w:val="ListParagraph"/>
        <w:jc w:val="both"/>
        <w:rPr>
          <w:sz w:val="24"/>
          <w:szCs w:val="24"/>
        </w:rPr>
      </w:pPr>
      <w:r w:rsidRPr="003372BB">
        <w:rPr>
          <w:sz w:val="24"/>
          <w:szCs w:val="24"/>
        </w:rPr>
        <w:t>A</w:t>
      </w:r>
      <w:r w:rsidR="00A76AFD" w:rsidRPr="003372BB">
        <w:rPr>
          <w:sz w:val="24"/>
          <w:szCs w:val="24"/>
        </w:rPr>
        <w:t>ccessible to everyone;</w:t>
      </w:r>
    </w:p>
    <w:p w14:paraId="467777D1" w14:textId="77777777" w:rsidR="00057186" w:rsidRPr="003372BB" w:rsidRDefault="00057186" w:rsidP="00320208">
      <w:pPr>
        <w:tabs>
          <w:tab w:val="left" w:pos="720"/>
        </w:tabs>
        <w:ind w:left="540"/>
        <w:jc w:val="both"/>
      </w:pPr>
    </w:p>
    <w:p w14:paraId="30284084" w14:textId="05C5D51F" w:rsidR="00057186" w:rsidRPr="003372BB" w:rsidRDefault="00F57296" w:rsidP="00320208">
      <w:pPr>
        <w:pStyle w:val="ListParagraph"/>
        <w:jc w:val="both"/>
        <w:rPr>
          <w:sz w:val="24"/>
          <w:szCs w:val="24"/>
        </w:rPr>
      </w:pPr>
      <w:r w:rsidRPr="003372BB">
        <w:rPr>
          <w:sz w:val="24"/>
          <w:szCs w:val="24"/>
        </w:rPr>
        <w:t>A</w:t>
      </w:r>
      <w:r w:rsidR="00057186" w:rsidRPr="003372BB">
        <w:rPr>
          <w:sz w:val="24"/>
          <w:szCs w:val="24"/>
        </w:rPr>
        <w:t>vailable for at least 24 hours after publication; and</w:t>
      </w:r>
    </w:p>
    <w:p w14:paraId="102C8248" w14:textId="77777777" w:rsidR="00A76AFD" w:rsidRPr="003372BB" w:rsidRDefault="00A76AFD" w:rsidP="00320208">
      <w:pPr>
        <w:tabs>
          <w:tab w:val="left" w:pos="720"/>
        </w:tabs>
        <w:ind w:left="540"/>
        <w:jc w:val="both"/>
      </w:pPr>
    </w:p>
    <w:p w14:paraId="36B536D8" w14:textId="69A0EE9A" w:rsidR="00A76AFD" w:rsidRPr="003372BB" w:rsidRDefault="00F57296" w:rsidP="00320208">
      <w:pPr>
        <w:pStyle w:val="ListParagraph"/>
        <w:jc w:val="both"/>
        <w:rPr>
          <w:sz w:val="24"/>
          <w:szCs w:val="24"/>
        </w:rPr>
      </w:pPr>
      <w:r w:rsidRPr="003372BB">
        <w:rPr>
          <w:sz w:val="24"/>
          <w:szCs w:val="24"/>
        </w:rPr>
        <w:t>S</w:t>
      </w:r>
      <w:r w:rsidR="00BF6F2C" w:rsidRPr="003372BB">
        <w:rPr>
          <w:sz w:val="24"/>
          <w:szCs w:val="24"/>
        </w:rPr>
        <w:t xml:space="preserve">imilar to the format </w:t>
      </w:r>
      <w:r w:rsidR="00D1735C" w:rsidRPr="003372BB">
        <w:rPr>
          <w:sz w:val="24"/>
          <w:szCs w:val="24"/>
        </w:rPr>
        <w:t>used to publish information</w:t>
      </w:r>
      <w:r w:rsidR="00A76AFD" w:rsidRPr="003372BB">
        <w:rPr>
          <w:sz w:val="24"/>
          <w:szCs w:val="24"/>
        </w:rPr>
        <w:t xml:space="preserve"> o</w:t>
      </w:r>
      <w:r w:rsidR="00057186" w:rsidRPr="003372BB">
        <w:rPr>
          <w:sz w:val="24"/>
          <w:szCs w:val="24"/>
        </w:rPr>
        <w:t>n a reasonable commercial basis.</w:t>
      </w:r>
    </w:p>
    <w:p w14:paraId="649DF544" w14:textId="77777777" w:rsidR="00832E06" w:rsidRPr="003372BB" w:rsidRDefault="00832E06" w:rsidP="00320208">
      <w:pPr>
        <w:jc w:val="both"/>
        <w:rPr>
          <w:rFonts w:ascii="Arial" w:hAnsi="Arial" w:cs="Arial"/>
        </w:rPr>
      </w:pPr>
    </w:p>
    <w:p w14:paraId="68946D7B" w14:textId="0EFE6D57" w:rsidR="00832E06" w:rsidRPr="003372BB" w:rsidRDefault="00E867EF" w:rsidP="00320208">
      <w:pPr>
        <w:jc w:val="both"/>
        <w:rPr>
          <w:rFonts w:ascii="Arial" w:hAnsi="Arial" w:cs="Arial"/>
        </w:rPr>
      </w:pPr>
      <w:r w:rsidRPr="003372BB">
        <w:rPr>
          <w:rFonts w:ascii="Arial" w:hAnsi="Arial" w:cs="Arial"/>
        </w:rPr>
        <w:t>Please refer to our annex for specific examples</w:t>
      </w:r>
      <w:r w:rsidR="0049506B" w:rsidRPr="003372BB">
        <w:rPr>
          <w:rFonts w:ascii="Arial" w:hAnsi="Arial" w:cs="Arial"/>
        </w:rPr>
        <w:t xml:space="preserve"> of trading venues and APAs failing to comply with these requirements</w:t>
      </w:r>
      <w:r w:rsidRPr="003372BB">
        <w:rPr>
          <w:rFonts w:ascii="Arial" w:hAnsi="Arial" w:cs="Arial"/>
        </w:rPr>
        <w:t>.</w:t>
      </w:r>
      <w:r w:rsidR="00C303A0">
        <w:rPr>
          <w:rStyle w:val="FootnoteReference"/>
          <w:rFonts w:cs="Arial"/>
        </w:rPr>
        <w:footnoteReference w:id="4"/>
      </w:r>
    </w:p>
    <w:p w14:paraId="5780552F" w14:textId="67673C01" w:rsidR="00566618" w:rsidRPr="00F57296" w:rsidRDefault="00566618" w:rsidP="001E505E">
      <w:pPr>
        <w:jc w:val="both"/>
        <w:rPr>
          <w:rFonts w:ascii="Arial" w:hAnsi="Arial" w:cs="Arial"/>
        </w:rPr>
      </w:pPr>
    </w:p>
    <w:p w14:paraId="032DDBCF" w14:textId="290A86CD" w:rsidR="00BA2513" w:rsidRDefault="00566618" w:rsidP="001E505E">
      <w:pPr>
        <w:jc w:val="both"/>
        <w:rPr>
          <w:rFonts w:ascii="Arial" w:hAnsi="Arial" w:cs="Arial"/>
        </w:rPr>
      </w:pPr>
      <w:r w:rsidRPr="00F57296">
        <w:rPr>
          <w:rFonts w:ascii="Arial" w:hAnsi="Arial" w:cs="Arial"/>
        </w:rPr>
        <w:t>In addition, we note that other trading venues</w:t>
      </w:r>
      <w:r w:rsidR="0049506B" w:rsidRPr="00F57296">
        <w:rPr>
          <w:rFonts w:ascii="Arial" w:hAnsi="Arial" w:cs="Arial"/>
        </w:rPr>
        <w:t xml:space="preserve"> and APAs</w:t>
      </w:r>
      <w:r w:rsidRPr="00F57296">
        <w:rPr>
          <w:rFonts w:ascii="Arial" w:hAnsi="Arial" w:cs="Arial"/>
        </w:rPr>
        <w:t xml:space="preserve">, while publishing the required data free of charge, purport to impose terms </w:t>
      </w:r>
      <w:r w:rsidR="007E1968" w:rsidRPr="00F57296">
        <w:rPr>
          <w:rFonts w:ascii="Arial" w:hAnsi="Arial" w:cs="Arial"/>
        </w:rPr>
        <w:t xml:space="preserve">of use </w:t>
      </w:r>
      <w:r w:rsidR="005A4FA8" w:rsidRPr="00F57296">
        <w:rPr>
          <w:rFonts w:ascii="Arial" w:hAnsi="Arial" w:cs="Arial"/>
        </w:rPr>
        <w:t xml:space="preserve">on market participants </w:t>
      </w:r>
      <w:r w:rsidRPr="00F57296">
        <w:rPr>
          <w:rFonts w:ascii="Arial" w:hAnsi="Arial" w:cs="Arial"/>
        </w:rPr>
        <w:t>that conflict with elements of the ESMA supervisory guidance</w:t>
      </w:r>
      <w:r w:rsidR="007E1968" w:rsidRPr="00F57296">
        <w:rPr>
          <w:rFonts w:ascii="Arial" w:hAnsi="Arial" w:cs="Arial"/>
        </w:rPr>
        <w:t xml:space="preserve">.  For example, several trading venues and APAs impose terms of use that prohibit any copying </w:t>
      </w:r>
      <w:r w:rsidR="00A33FF0">
        <w:rPr>
          <w:rFonts w:ascii="Arial" w:hAnsi="Arial" w:cs="Arial"/>
        </w:rPr>
        <w:t xml:space="preserve">or aggregation </w:t>
      </w:r>
      <w:r w:rsidR="007E1968" w:rsidRPr="00F57296">
        <w:rPr>
          <w:rFonts w:ascii="Arial" w:hAnsi="Arial" w:cs="Arial"/>
        </w:rPr>
        <w:t>of the data (even for internal use)</w:t>
      </w:r>
      <w:r w:rsidR="0070536D">
        <w:rPr>
          <w:rFonts w:ascii="Arial" w:hAnsi="Arial" w:cs="Arial"/>
        </w:rPr>
        <w:t xml:space="preserve"> or</w:t>
      </w:r>
      <w:r w:rsidR="00DE5272">
        <w:rPr>
          <w:rFonts w:ascii="Arial" w:hAnsi="Arial" w:cs="Arial"/>
        </w:rPr>
        <w:t xml:space="preserve"> that</w:t>
      </w:r>
      <w:r w:rsidR="0070536D">
        <w:rPr>
          <w:rFonts w:ascii="Arial" w:hAnsi="Arial" w:cs="Arial"/>
        </w:rPr>
        <w:t xml:space="preserve"> specify that the data is being provided on a “view only” basis</w:t>
      </w:r>
      <w:r w:rsidR="007E1968" w:rsidRPr="00F57296">
        <w:rPr>
          <w:rFonts w:ascii="Arial" w:hAnsi="Arial" w:cs="Arial"/>
        </w:rPr>
        <w:t xml:space="preserve">.  This </w:t>
      </w:r>
      <w:r w:rsidR="004A2D3F" w:rsidRPr="00F57296">
        <w:rPr>
          <w:rFonts w:ascii="Arial" w:hAnsi="Arial" w:cs="Arial"/>
        </w:rPr>
        <w:t xml:space="preserve">clearly </w:t>
      </w:r>
      <w:r w:rsidR="007E1968" w:rsidRPr="00F57296">
        <w:rPr>
          <w:rFonts w:ascii="Arial" w:hAnsi="Arial" w:cs="Arial"/>
        </w:rPr>
        <w:t>violates</w:t>
      </w:r>
      <w:r w:rsidR="007E1968">
        <w:rPr>
          <w:rFonts w:ascii="Arial" w:hAnsi="Arial" w:cs="Arial"/>
        </w:rPr>
        <w:t xml:space="preserve"> the ESMA supervisory guidance and </w:t>
      </w:r>
      <w:r w:rsidR="00320208">
        <w:rPr>
          <w:rFonts w:ascii="Arial" w:hAnsi="Arial" w:cs="Arial"/>
        </w:rPr>
        <w:t>removes</w:t>
      </w:r>
      <w:r w:rsidR="007E1968">
        <w:rPr>
          <w:rFonts w:ascii="Arial" w:hAnsi="Arial" w:cs="Arial"/>
        </w:rPr>
        <w:t xml:space="preserve"> any benefit that market participants could derive from </w:t>
      </w:r>
      <w:r w:rsidR="005A4FA8">
        <w:rPr>
          <w:rFonts w:ascii="Arial" w:hAnsi="Arial" w:cs="Arial"/>
        </w:rPr>
        <w:t xml:space="preserve">the </w:t>
      </w:r>
      <w:r w:rsidR="007E1968">
        <w:rPr>
          <w:rFonts w:ascii="Arial" w:hAnsi="Arial" w:cs="Arial"/>
        </w:rPr>
        <w:t>published data</w:t>
      </w:r>
      <w:r>
        <w:rPr>
          <w:rFonts w:ascii="Arial" w:hAnsi="Arial" w:cs="Arial"/>
        </w:rPr>
        <w:t>.</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332C1342" w14:textId="773A1D44" w:rsidR="00160F1B" w:rsidRDefault="005C0395" w:rsidP="001E505E">
      <w:pPr>
        <w:jc w:val="both"/>
        <w:rPr>
          <w:rFonts w:ascii="Arial" w:hAnsi="Arial" w:cs="Arial"/>
        </w:rPr>
      </w:pPr>
      <w:permStart w:id="2118808857" w:edGrp="everyone"/>
      <w:r>
        <w:rPr>
          <w:rFonts w:ascii="Arial" w:hAnsi="Arial" w:cs="Arial"/>
        </w:rPr>
        <w:t xml:space="preserve">In our view, </w:t>
      </w:r>
      <w:r w:rsidR="00160F1B">
        <w:rPr>
          <w:rFonts w:ascii="Arial" w:hAnsi="Arial" w:cs="Arial"/>
        </w:rPr>
        <w:t xml:space="preserve">the primary focus should be </w:t>
      </w:r>
      <w:r w:rsidR="00680B24">
        <w:rPr>
          <w:rFonts w:ascii="Arial" w:hAnsi="Arial" w:cs="Arial"/>
        </w:rPr>
        <w:t xml:space="preserve">on </w:t>
      </w:r>
      <w:r w:rsidR="00160F1B">
        <w:rPr>
          <w:rFonts w:ascii="Arial" w:hAnsi="Arial" w:cs="Arial"/>
        </w:rPr>
        <w:t xml:space="preserve">ensuring the consistent enforcement of </w:t>
      </w:r>
      <w:r>
        <w:rPr>
          <w:rFonts w:ascii="Arial" w:hAnsi="Arial" w:cs="Arial"/>
        </w:rPr>
        <w:t xml:space="preserve">the existing </w:t>
      </w:r>
      <w:r w:rsidR="00160F1B">
        <w:rPr>
          <w:rFonts w:ascii="Arial" w:hAnsi="Arial" w:cs="Arial"/>
        </w:rPr>
        <w:t xml:space="preserve">MiFID II requirement and ESMA supervisory guidance, both of which are clear.  </w:t>
      </w:r>
    </w:p>
    <w:p w14:paraId="7481474E" w14:textId="1A8B57DC" w:rsidR="00160F1B" w:rsidRDefault="00160F1B" w:rsidP="001E505E">
      <w:pPr>
        <w:jc w:val="both"/>
        <w:rPr>
          <w:rFonts w:ascii="Arial" w:hAnsi="Arial" w:cs="Arial"/>
        </w:rPr>
      </w:pPr>
    </w:p>
    <w:p w14:paraId="6EB65502" w14:textId="0E0975CF" w:rsidR="00160F1B" w:rsidRPr="003372BB" w:rsidRDefault="00680B24" w:rsidP="003372BB">
      <w:pPr>
        <w:jc w:val="both"/>
        <w:rPr>
          <w:rFonts w:ascii="Arial" w:hAnsi="Arial" w:cs="Arial"/>
        </w:rPr>
      </w:pPr>
      <w:r>
        <w:rPr>
          <w:rFonts w:ascii="Arial" w:hAnsi="Arial" w:cs="Arial"/>
        </w:rPr>
        <w:t>Trading venues and APAs must not be permitted to evade this regulatory requirement through spurious arguments, such as asserting that data should only be made available free of charge to retail investors and that machine-readable data is therefore unnecessary.  First, the MiFID II requirement is clear that all market participants should have access to delayed data free of charge 15 minu</w:t>
      </w:r>
      <w:r w:rsidR="00780886">
        <w:rPr>
          <w:rFonts w:ascii="Arial" w:hAnsi="Arial" w:cs="Arial"/>
        </w:rPr>
        <w:t xml:space="preserve">tes after publication.  Second, given the number of trading venues and APAs, the only way this data will be useful to </w:t>
      </w:r>
      <w:r w:rsidR="00780886" w:rsidRPr="003372BB">
        <w:rPr>
          <w:rFonts w:ascii="Arial" w:hAnsi="Arial" w:cs="Arial"/>
        </w:rPr>
        <w:t>anyone (including retail investors) is if it is published in a machine-readable format that enables the data to be aggregated and analysed.</w:t>
      </w:r>
      <w:r w:rsidR="001A5779" w:rsidRPr="003372BB">
        <w:rPr>
          <w:rFonts w:ascii="Arial" w:hAnsi="Arial" w:cs="Arial"/>
        </w:rPr>
        <w:t xml:space="preserve">  This </w:t>
      </w:r>
      <w:r w:rsidR="00320208">
        <w:rPr>
          <w:rFonts w:ascii="Arial" w:hAnsi="Arial" w:cs="Arial"/>
        </w:rPr>
        <w:t>will enable</w:t>
      </w:r>
      <w:r w:rsidR="001A5779" w:rsidRPr="003372BB">
        <w:rPr>
          <w:rFonts w:ascii="Arial" w:hAnsi="Arial" w:cs="Arial"/>
        </w:rPr>
        <w:t xml:space="preserve"> market participants and third parties to </w:t>
      </w:r>
      <w:r w:rsidR="00320208">
        <w:rPr>
          <w:rFonts w:ascii="Arial" w:hAnsi="Arial" w:cs="Arial"/>
        </w:rPr>
        <w:t>produce</w:t>
      </w:r>
      <w:r w:rsidR="00CC6615" w:rsidRPr="003372BB">
        <w:rPr>
          <w:rFonts w:ascii="Arial" w:hAnsi="Arial" w:cs="Arial"/>
        </w:rPr>
        <w:t xml:space="preserve"> market research and commentary and </w:t>
      </w:r>
      <w:r w:rsidR="00320208">
        <w:rPr>
          <w:rFonts w:ascii="Arial" w:hAnsi="Arial" w:cs="Arial"/>
        </w:rPr>
        <w:t xml:space="preserve">apply </w:t>
      </w:r>
      <w:r w:rsidR="00CC6615" w:rsidRPr="003372BB">
        <w:rPr>
          <w:rFonts w:ascii="Arial" w:hAnsi="Arial" w:cs="Arial"/>
        </w:rPr>
        <w:t>more sophisticated transaction cost analysis tools,</w:t>
      </w:r>
      <w:r w:rsidR="001A5779" w:rsidRPr="003372BB">
        <w:rPr>
          <w:rFonts w:ascii="Arial" w:hAnsi="Arial" w:cs="Arial"/>
        </w:rPr>
        <w:t xml:space="preserve"> </w:t>
      </w:r>
      <w:r w:rsidR="00320208">
        <w:rPr>
          <w:rFonts w:ascii="Arial" w:hAnsi="Arial" w:cs="Arial"/>
        </w:rPr>
        <w:t>both of which</w:t>
      </w:r>
      <w:r w:rsidR="001A5779" w:rsidRPr="003372BB">
        <w:rPr>
          <w:rFonts w:ascii="Arial" w:hAnsi="Arial" w:cs="Arial"/>
        </w:rPr>
        <w:t xml:space="preserve"> benefit all market participan</w:t>
      </w:r>
      <w:r w:rsidR="00CC6615" w:rsidRPr="003372BB">
        <w:rPr>
          <w:rFonts w:ascii="Arial" w:hAnsi="Arial" w:cs="Arial"/>
        </w:rPr>
        <w:t>ts (including retail investors)</w:t>
      </w:r>
      <w:r w:rsidR="001A5779" w:rsidRPr="003372BB">
        <w:rPr>
          <w:rFonts w:ascii="Arial" w:hAnsi="Arial" w:cs="Arial"/>
        </w:rPr>
        <w:t>.</w:t>
      </w:r>
    </w:p>
    <w:p w14:paraId="1A2D3341" w14:textId="1258EBED" w:rsidR="00160F1B" w:rsidRPr="003372BB" w:rsidRDefault="00160F1B" w:rsidP="003372BB">
      <w:pPr>
        <w:jc w:val="both"/>
        <w:rPr>
          <w:rFonts w:ascii="Arial" w:hAnsi="Arial" w:cs="Arial"/>
        </w:rPr>
      </w:pPr>
    </w:p>
    <w:p w14:paraId="785F9C0A" w14:textId="6BC9FBEA" w:rsidR="007A025D" w:rsidRPr="003372BB" w:rsidRDefault="00344661" w:rsidP="003372BB">
      <w:pPr>
        <w:jc w:val="both"/>
        <w:rPr>
          <w:rFonts w:ascii="Arial" w:hAnsi="Arial" w:cs="Arial"/>
        </w:rPr>
      </w:pPr>
      <w:r w:rsidRPr="003372BB">
        <w:rPr>
          <w:rFonts w:ascii="Arial" w:hAnsi="Arial" w:cs="Arial"/>
        </w:rPr>
        <w:t xml:space="preserve">In addition to </w:t>
      </w:r>
      <w:r w:rsidR="00DE53D3" w:rsidRPr="003372BB">
        <w:rPr>
          <w:rFonts w:ascii="Arial" w:hAnsi="Arial" w:cs="Arial"/>
        </w:rPr>
        <w:t xml:space="preserve">continuing to </w:t>
      </w:r>
      <w:r w:rsidRPr="003372BB">
        <w:rPr>
          <w:rFonts w:ascii="Arial" w:hAnsi="Arial" w:cs="Arial"/>
        </w:rPr>
        <w:t>focus on enforcement efforts, we recommend that ESMA consider:</w:t>
      </w:r>
    </w:p>
    <w:p w14:paraId="07BB8C02" w14:textId="283E7F49" w:rsidR="00344661" w:rsidRPr="003372BB" w:rsidRDefault="00344661" w:rsidP="003372BB">
      <w:pPr>
        <w:jc w:val="both"/>
        <w:rPr>
          <w:rFonts w:ascii="Arial" w:hAnsi="Arial" w:cs="Arial"/>
        </w:rPr>
      </w:pPr>
    </w:p>
    <w:p w14:paraId="00A5EBDD" w14:textId="512507F8" w:rsidR="00344661" w:rsidRPr="003372BB" w:rsidRDefault="00344661" w:rsidP="003372BB">
      <w:pPr>
        <w:pStyle w:val="ListParagraph"/>
        <w:jc w:val="both"/>
        <w:rPr>
          <w:sz w:val="24"/>
          <w:szCs w:val="24"/>
        </w:rPr>
      </w:pPr>
      <w:r w:rsidRPr="003372BB">
        <w:rPr>
          <w:sz w:val="24"/>
          <w:szCs w:val="24"/>
        </w:rPr>
        <w:lastRenderedPageBreak/>
        <w:t>Clarifying that</w:t>
      </w:r>
      <w:r w:rsidR="00B91A7E" w:rsidRPr="003372BB">
        <w:rPr>
          <w:sz w:val="24"/>
          <w:szCs w:val="24"/>
        </w:rPr>
        <w:t xml:space="preserve"> the</w:t>
      </w:r>
      <w:r w:rsidRPr="003372BB">
        <w:rPr>
          <w:sz w:val="24"/>
          <w:szCs w:val="24"/>
        </w:rPr>
        <w:t xml:space="preserve"> terms of use imposed by trading venues and APAs </w:t>
      </w:r>
      <w:r w:rsidR="00DE53D3" w:rsidRPr="003372BB">
        <w:rPr>
          <w:sz w:val="24"/>
          <w:szCs w:val="24"/>
        </w:rPr>
        <w:t xml:space="preserve">with respect to the use of published data </w:t>
      </w:r>
      <w:r w:rsidR="00B91A7E" w:rsidRPr="003372BB">
        <w:rPr>
          <w:sz w:val="24"/>
          <w:szCs w:val="24"/>
        </w:rPr>
        <w:t>cannot conflict with MiFID II regulatory requirements, as further clarified by ESMA supervisory guidance (see our response to Q12 for relevant examples).</w:t>
      </w:r>
    </w:p>
    <w:p w14:paraId="74C00E4A" w14:textId="77777777" w:rsidR="00B91A7E" w:rsidRPr="003372BB" w:rsidRDefault="00B91A7E" w:rsidP="003372BB">
      <w:pPr>
        <w:ind w:left="720"/>
        <w:jc w:val="both"/>
      </w:pPr>
    </w:p>
    <w:p w14:paraId="216BC8C1" w14:textId="188BEACD" w:rsidR="00741A0D" w:rsidRPr="003372BB" w:rsidRDefault="000E4F27" w:rsidP="003372BB">
      <w:pPr>
        <w:pStyle w:val="ListParagraph"/>
        <w:jc w:val="both"/>
        <w:rPr>
          <w:rFonts w:ascii="Arial" w:hAnsi="Arial" w:cs="Arial"/>
          <w:sz w:val="24"/>
          <w:szCs w:val="24"/>
        </w:rPr>
      </w:pPr>
      <w:r w:rsidRPr="003372BB">
        <w:rPr>
          <w:sz w:val="24"/>
          <w:szCs w:val="24"/>
        </w:rPr>
        <w:t xml:space="preserve">Recommending that the machine-readable requirement </w:t>
      </w:r>
      <w:r w:rsidR="00DE53D3" w:rsidRPr="003372BB">
        <w:rPr>
          <w:sz w:val="24"/>
          <w:szCs w:val="24"/>
        </w:rPr>
        <w:t xml:space="preserve">for trading venues </w:t>
      </w:r>
      <w:r w:rsidRPr="003372BB">
        <w:rPr>
          <w:sz w:val="24"/>
          <w:szCs w:val="24"/>
        </w:rPr>
        <w:t>be formally codified in either Level 1 or Level 2.</w:t>
      </w:r>
    </w:p>
    <w:p w14:paraId="5A761B17" w14:textId="77777777" w:rsidR="000E4F27" w:rsidRPr="003372BB" w:rsidRDefault="000E4F27" w:rsidP="003372BB">
      <w:pPr>
        <w:ind w:left="720"/>
        <w:jc w:val="both"/>
      </w:pPr>
    </w:p>
    <w:p w14:paraId="6BF489F9" w14:textId="2057C00A" w:rsidR="00A76AFD" w:rsidRPr="003372BB" w:rsidRDefault="00DE53D3" w:rsidP="003372BB">
      <w:pPr>
        <w:pStyle w:val="ListParagraph"/>
        <w:jc w:val="both"/>
        <w:rPr>
          <w:rFonts w:ascii="Arial" w:hAnsi="Arial" w:cs="Arial"/>
          <w:sz w:val="24"/>
          <w:szCs w:val="24"/>
        </w:rPr>
      </w:pPr>
      <w:r w:rsidRPr="003372BB">
        <w:rPr>
          <w:sz w:val="24"/>
          <w:szCs w:val="24"/>
        </w:rPr>
        <w:t>G</w:t>
      </w:r>
      <w:r w:rsidR="000F007F" w:rsidRPr="003372BB">
        <w:rPr>
          <w:sz w:val="24"/>
          <w:szCs w:val="24"/>
        </w:rPr>
        <w:t xml:space="preserve">iven the </w:t>
      </w:r>
      <w:r w:rsidRPr="003372BB">
        <w:rPr>
          <w:sz w:val="24"/>
          <w:szCs w:val="24"/>
        </w:rPr>
        <w:t xml:space="preserve">ongoing </w:t>
      </w:r>
      <w:r w:rsidR="000F007F" w:rsidRPr="003372BB">
        <w:rPr>
          <w:sz w:val="24"/>
          <w:szCs w:val="24"/>
        </w:rPr>
        <w:t>difficulties in securing compliance with current regulatory requirement</w:t>
      </w:r>
      <w:r w:rsidR="00320208">
        <w:rPr>
          <w:sz w:val="24"/>
          <w:szCs w:val="24"/>
        </w:rPr>
        <w:t>s</w:t>
      </w:r>
      <w:r w:rsidR="000F007F" w:rsidRPr="003372BB">
        <w:rPr>
          <w:sz w:val="24"/>
          <w:szCs w:val="24"/>
        </w:rPr>
        <w:t xml:space="preserve">, </w:t>
      </w:r>
      <w:r w:rsidRPr="003372BB">
        <w:rPr>
          <w:sz w:val="24"/>
          <w:szCs w:val="24"/>
        </w:rPr>
        <w:t xml:space="preserve">recommending that trading venues and APAs not be permitted to charge for regulatory-required post-trade transparency data, even prior to the expiration of the 15 minute delay period.  This will remove the commercial incentive trading venues and APAs currently have to decrease the quality of the data published free of charge in order to </w:t>
      </w:r>
      <w:r w:rsidRPr="003372BB">
        <w:rPr>
          <w:rFonts w:ascii="Arial" w:hAnsi="Arial" w:cs="Arial"/>
          <w:sz w:val="24"/>
          <w:szCs w:val="24"/>
        </w:rPr>
        <w:t xml:space="preserve">compel market participants to subscribe to expensive real-time data packages.  We note that this approach is consistent with </w:t>
      </w:r>
      <w:r w:rsidR="00122D74" w:rsidRPr="003372BB">
        <w:rPr>
          <w:rFonts w:ascii="Arial" w:hAnsi="Arial" w:cs="Arial"/>
          <w:sz w:val="24"/>
          <w:szCs w:val="24"/>
        </w:rPr>
        <w:t>how post-trade transparency generally operate</w:t>
      </w:r>
      <w:r w:rsidR="005A4FA8" w:rsidRPr="003372BB">
        <w:rPr>
          <w:rFonts w:ascii="Arial" w:hAnsi="Arial" w:cs="Arial"/>
          <w:sz w:val="24"/>
          <w:szCs w:val="24"/>
        </w:rPr>
        <w:t>s</w:t>
      </w:r>
      <w:r w:rsidR="00122D74" w:rsidRPr="003372BB">
        <w:rPr>
          <w:rFonts w:ascii="Arial" w:hAnsi="Arial" w:cs="Arial"/>
          <w:sz w:val="24"/>
          <w:szCs w:val="24"/>
        </w:rPr>
        <w:t xml:space="preserve"> in the US.</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35BF3417" w14:textId="77777777" w:rsidR="00492CB5" w:rsidRDefault="00492CB5" w:rsidP="001E505E">
      <w:pPr>
        <w:jc w:val="both"/>
        <w:rPr>
          <w:rFonts w:ascii="Arial" w:hAnsi="Arial" w:cs="Arial"/>
        </w:rPr>
      </w:pPr>
      <w:permStart w:id="1826112031" w:edGrp="everyone"/>
      <w:r>
        <w:rPr>
          <w:rFonts w:ascii="Arial" w:hAnsi="Arial" w:cs="Arial"/>
        </w:rPr>
        <w:t xml:space="preserve">We agree that ESMA has correctly identified reasons why it is commercially unattractive to operate an equity CT under the current regulatory framework. </w:t>
      </w:r>
    </w:p>
    <w:p w14:paraId="444ED5B2" w14:textId="77777777" w:rsidR="00492CB5" w:rsidRDefault="00492CB5" w:rsidP="001E505E">
      <w:pPr>
        <w:jc w:val="both"/>
        <w:rPr>
          <w:rFonts w:ascii="Arial" w:hAnsi="Arial" w:cs="Arial"/>
        </w:rPr>
      </w:pPr>
    </w:p>
    <w:p w14:paraId="0934CF8C" w14:textId="66606E6A" w:rsidR="001D0DBD" w:rsidRDefault="002F6E06" w:rsidP="001E505E">
      <w:pPr>
        <w:jc w:val="both"/>
        <w:rPr>
          <w:rFonts w:ascii="Arial" w:hAnsi="Arial" w:cs="Arial"/>
        </w:rPr>
      </w:pPr>
      <w:r>
        <w:rPr>
          <w:rFonts w:ascii="Arial" w:hAnsi="Arial" w:cs="Arial"/>
        </w:rPr>
        <w:t>However, all of these issues can be</w:t>
      </w:r>
      <w:r w:rsidR="00492CB5">
        <w:rPr>
          <w:rFonts w:ascii="Arial" w:hAnsi="Arial" w:cs="Arial"/>
        </w:rPr>
        <w:t xml:space="preserve"> addressed </w:t>
      </w:r>
      <w:r>
        <w:rPr>
          <w:rFonts w:ascii="Arial" w:hAnsi="Arial" w:cs="Arial"/>
        </w:rPr>
        <w:t>by requiring</w:t>
      </w:r>
      <w:r w:rsidR="00492CB5">
        <w:rPr>
          <w:rFonts w:ascii="Arial" w:hAnsi="Arial" w:cs="Arial"/>
        </w:rPr>
        <w:t xml:space="preserve"> trading venues and APAs to provide the relevant data to the CT</w:t>
      </w:r>
      <w:r w:rsidR="00114D3B">
        <w:rPr>
          <w:rFonts w:ascii="Arial" w:hAnsi="Arial" w:cs="Arial"/>
        </w:rPr>
        <w:t>P</w:t>
      </w:r>
      <w:r w:rsidR="00492CB5">
        <w:rPr>
          <w:rFonts w:ascii="Arial" w:hAnsi="Arial" w:cs="Arial"/>
        </w:rPr>
        <w:t xml:space="preserve"> free of charge.  </w:t>
      </w:r>
      <w:r w:rsidR="00142457">
        <w:rPr>
          <w:rFonts w:ascii="Arial" w:hAnsi="Arial" w:cs="Arial"/>
        </w:rPr>
        <w:t>This would immediately transform the business case, as the CT</w:t>
      </w:r>
      <w:r w:rsidR="00114D3B">
        <w:rPr>
          <w:rFonts w:ascii="Arial" w:hAnsi="Arial" w:cs="Arial"/>
        </w:rPr>
        <w:t>P</w:t>
      </w:r>
      <w:r w:rsidR="00142457">
        <w:rPr>
          <w:rFonts w:ascii="Arial" w:hAnsi="Arial" w:cs="Arial"/>
        </w:rPr>
        <w:t xml:space="preserve"> would no longer be required to individually negotiate with more than 150 trading venues and APAs in order to obtain the necessary data (which ESMA estimates may end up costing </w:t>
      </w:r>
      <w:r w:rsidR="00887FAB">
        <w:rPr>
          <w:rFonts w:ascii="Arial" w:hAnsi="Arial" w:cs="Arial"/>
        </w:rPr>
        <w:t xml:space="preserve">at least </w:t>
      </w:r>
      <w:r w:rsidR="00142457">
        <w:rPr>
          <w:rFonts w:ascii="Arial" w:hAnsi="Arial" w:cs="Arial"/>
        </w:rPr>
        <w:t xml:space="preserve">10 million EUR per year).  </w:t>
      </w:r>
      <w:r w:rsidR="0089270C">
        <w:rPr>
          <w:rFonts w:ascii="Arial" w:hAnsi="Arial" w:cs="Arial"/>
        </w:rPr>
        <w:t>Under this framework, the equity CT</w:t>
      </w:r>
      <w:r w:rsidR="00114D3B">
        <w:rPr>
          <w:rFonts w:ascii="Arial" w:hAnsi="Arial" w:cs="Arial"/>
        </w:rPr>
        <w:t>P</w:t>
      </w:r>
      <w:r w:rsidR="0089270C">
        <w:rPr>
          <w:rFonts w:ascii="Arial" w:hAnsi="Arial" w:cs="Arial"/>
        </w:rPr>
        <w:t xml:space="preserve"> would have a critical adva</w:t>
      </w:r>
      <w:r w:rsidR="00887FAB">
        <w:rPr>
          <w:rFonts w:ascii="Arial" w:hAnsi="Arial" w:cs="Arial"/>
        </w:rPr>
        <w:t>n</w:t>
      </w:r>
      <w:r w:rsidR="0089270C">
        <w:rPr>
          <w:rFonts w:ascii="Arial" w:hAnsi="Arial" w:cs="Arial"/>
        </w:rPr>
        <w:t>tage over non-regulated entities and the corresponding regulatory requirements associated with operating a CT would appear much more sensible and proportionate.</w:t>
      </w:r>
    </w:p>
    <w:p w14:paraId="29DA7238" w14:textId="07815F88" w:rsidR="001D0DBD" w:rsidRDefault="001D0DBD" w:rsidP="001E505E">
      <w:pPr>
        <w:jc w:val="both"/>
        <w:rPr>
          <w:rFonts w:ascii="Arial" w:hAnsi="Arial" w:cs="Arial"/>
        </w:rPr>
      </w:pPr>
    </w:p>
    <w:p w14:paraId="77EABF2E" w14:textId="3CA7AEA2" w:rsidR="004428F3" w:rsidRDefault="0089270C" w:rsidP="001E505E">
      <w:pPr>
        <w:jc w:val="both"/>
        <w:rPr>
          <w:rFonts w:ascii="Arial" w:hAnsi="Arial" w:cs="Arial"/>
        </w:rPr>
      </w:pPr>
      <w:r>
        <w:rPr>
          <w:rFonts w:ascii="Arial" w:hAnsi="Arial" w:cs="Arial"/>
        </w:rPr>
        <w:t>We note that mandatory contribution is a key element of every post-trade transparency framework imp</w:t>
      </w:r>
      <w:r w:rsidR="00887FAB">
        <w:rPr>
          <w:rFonts w:ascii="Arial" w:hAnsi="Arial" w:cs="Arial"/>
        </w:rPr>
        <w:t>lemented in the US, including for</w:t>
      </w:r>
      <w:r>
        <w:rPr>
          <w:rFonts w:ascii="Arial" w:hAnsi="Arial" w:cs="Arial"/>
        </w:rPr>
        <w:t xml:space="preserve"> equities, corporate bonds, municipal bonds, and OTC derivatives.</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8C1EA2E" w14:textId="1786480D" w:rsidR="00010773" w:rsidRDefault="00887FAB" w:rsidP="001E505E">
      <w:pPr>
        <w:jc w:val="both"/>
        <w:rPr>
          <w:rFonts w:ascii="Arial" w:hAnsi="Arial" w:cs="Arial"/>
        </w:rPr>
      </w:pPr>
      <w:permStart w:id="1355380769" w:edGrp="everyone"/>
      <w:r>
        <w:rPr>
          <w:rFonts w:ascii="Arial" w:hAnsi="Arial" w:cs="Arial"/>
        </w:rPr>
        <w:t>Please see our response to Question 14 regard</w:t>
      </w:r>
      <w:r w:rsidR="00BE7E72">
        <w:rPr>
          <w:rFonts w:ascii="Arial" w:hAnsi="Arial" w:cs="Arial"/>
        </w:rPr>
        <w:t>i</w:t>
      </w:r>
      <w:r>
        <w:rPr>
          <w:rFonts w:ascii="Arial" w:hAnsi="Arial" w:cs="Arial"/>
        </w:rPr>
        <w:t>ng the importance of requiring trading venues and APAs to provide the relevant data to the CT</w:t>
      </w:r>
      <w:r w:rsidR="00114D3B">
        <w:rPr>
          <w:rFonts w:ascii="Arial" w:hAnsi="Arial" w:cs="Arial"/>
        </w:rPr>
        <w:t>P</w:t>
      </w:r>
      <w:r>
        <w:rPr>
          <w:rFonts w:ascii="Arial" w:hAnsi="Arial" w:cs="Arial"/>
        </w:rPr>
        <w:t xml:space="preserve"> free of charge.</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lastRenderedPageBreak/>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3141A5CA" w14:textId="7924C1E4" w:rsidR="00A85045" w:rsidRPr="00DA1492" w:rsidRDefault="00802691" w:rsidP="00DA1492">
      <w:pPr>
        <w:jc w:val="both"/>
        <w:rPr>
          <w:rFonts w:ascii="Arial" w:hAnsi="Arial" w:cs="Arial"/>
        </w:rPr>
      </w:pPr>
      <w:permStart w:id="1610811230" w:edGrp="everyone"/>
      <w:r>
        <w:rPr>
          <w:rFonts w:ascii="Arial" w:hAnsi="Arial" w:cs="Arial"/>
        </w:rPr>
        <w:t xml:space="preserve">The initial focus should be on introducing a post-trade CT for as many asset classes as </w:t>
      </w:r>
      <w:r w:rsidRPr="00DA1492">
        <w:rPr>
          <w:rFonts w:ascii="Arial" w:hAnsi="Arial" w:cs="Arial"/>
        </w:rPr>
        <w:t>possible.  A post-trade CT meaningfully improves post-trade transparency for market participants if it is:</w:t>
      </w:r>
    </w:p>
    <w:p w14:paraId="6F0E1707" w14:textId="55D27476" w:rsidR="00802691" w:rsidRPr="00DA1492" w:rsidRDefault="00802691" w:rsidP="00DA1492">
      <w:pPr>
        <w:jc w:val="both"/>
        <w:rPr>
          <w:rFonts w:ascii="Arial" w:hAnsi="Arial" w:cs="Arial"/>
        </w:rPr>
      </w:pPr>
    </w:p>
    <w:p w14:paraId="05CAB853" w14:textId="2FA18F1A" w:rsidR="00802691" w:rsidRPr="00DA1492" w:rsidRDefault="00802691" w:rsidP="00DA1492">
      <w:pPr>
        <w:pStyle w:val="ListParagraph"/>
        <w:jc w:val="both"/>
        <w:rPr>
          <w:b/>
          <w:sz w:val="24"/>
          <w:szCs w:val="24"/>
        </w:rPr>
      </w:pPr>
      <w:r w:rsidRPr="00DA1492">
        <w:rPr>
          <w:b/>
          <w:sz w:val="24"/>
          <w:szCs w:val="24"/>
        </w:rPr>
        <w:t>Comprehensive</w:t>
      </w:r>
      <w:r w:rsidRPr="00DA1492">
        <w:rPr>
          <w:sz w:val="24"/>
          <w:szCs w:val="24"/>
        </w:rPr>
        <w:t xml:space="preserve">.  </w:t>
      </w:r>
      <w:r w:rsidR="00562846" w:rsidRPr="00DA1492">
        <w:rPr>
          <w:sz w:val="24"/>
          <w:szCs w:val="24"/>
        </w:rPr>
        <w:t xml:space="preserve">A post-trade CT should provide market participants with a consolidated view of all trading activity in a particular instrument (both on-venue and off-venue).  Comprehensive coverage is critical to </w:t>
      </w:r>
      <w:r w:rsidR="00D83810" w:rsidRPr="00DA1492">
        <w:rPr>
          <w:sz w:val="24"/>
          <w:szCs w:val="24"/>
        </w:rPr>
        <w:t>being able to use</w:t>
      </w:r>
      <w:r w:rsidR="00562846" w:rsidRPr="00DA1492">
        <w:rPr>
          <w:sz w:val="24"/>
          <w:szCs w:val="24"/>
        </w:rPr>
        <w:t xml:space="preserve"> the post-trade CT for transaction cost analysis and best execution assessments, as well as for more general market research and commentary that will benefit all investors.  At the moment, market participants must attempt to access and aggregate </w:t>
      </w:r>
      <w:r w:rsidR="002F204A" w:rsidRPr="00DA1492">
        <w:rPr>
          <w:sz w:val="24"/>
          <w:szCs w:val="24"/>
        </w:rPr>
        <w:t xml:space="preserve">post-trade </w:t>
      </w:r>
      <w:r w:rsidR="00562846" w:rsidRPr="00DA1492">
        <w:rPr>
          <w:sz w:val="24"/>
          <w:szCs w:val="24"/>
        </w:rPr>
        <w:t>data from hundreds of trading venues and APAs, which is extremely costly and burdensome.</w:t>
      </w:r>
    </w:p>
    <w:p w14:paraId="064D3BC5" w14:textId="77777777" w:rsidR="00802691" w:rsidRPr="00DA1492" w:rsidRDefault="00802691" w:rsidP="00DA1492">
      <w:pPr>
        <w:ind w:left="720"/>
        <w:jc w:val="both"/>
      </w:pPr>
    </w:p>
    <w:p w14:paraId="2E716E0D" w14:textId="32C3C6BD" w:rsidR="00802691" w:rsidRPr="00DA1492" w:rsidRDefault="00802691" w:rsidP="00DA1492">
      <w:pPr>
        <w:pStyle w:val="ListParagraph"/>
        <w:jc w:val="both"/>
        <w:rPr>
          <w:sz w:val="24"/>
          <w:szCs w:val="24"/>
        </w:rPr>
      </w:pPr>
      <w:r w:rsidRPr="00DA1492">
        <w:rPr>
          <w:b/>
          <w:sz w:val="24"/>
          <w:szCs w:val="24"/>
        </w:rPr>
        <w:t>Real-time</w:t>
      </w:r>
      <w:r w:rsidRPr="00DA1492">
        <w:rPr>
          <w:sz w:val="24"/>
          <w:szCs w:val="24"/>
        </w:rPr>
        <w:t>.</w:t>
      </w:r>
      <w:r w:rsidR="00562846" w:rsidRPr="00DA1492">
        <w:rPr>
          <w:sz w:val="24"/>
          <w:szCs w:val="24"/>
        </w:rPr>
        <w:t xml:space="preserve">  A post-trade CT should provide market participants</w:t>
      </w:r>
      <w:r w:rsidR="00D83810" w:rsidRPr="00DA1492">
        <w:rPr>
          <w:sz w:val="24"/>
          <w:szCs w:val="24"/>
        </w:rPr>
        <w:t xml:space="preserve"> with data as close </w:t>
      </w:r>
      <w:r w:rsidR="002435A7" w:rsidRPr="00DA1492">
        <w:rPr>
          <w:sz w:val="24"/>
          <w:szCs w:val="24"/>
        </w:rPr>
        <w:t xml:space="preserve">to real-time as possible.  Real-time data enables market participants to use the post-trade CT to </w:t>
      </w:r>
      <w:r w:rsidR="00BD0EC4" w:rsidRPr="00DA1492">
        <w:rPr>
          <w:sz w:val="24"/>
          <w:szCs w:val="24"/>
        </w:rPr>
        <w:t xml:space="preserve">more confidently </w:t>
      </w:r>
      <w:r w:rsidR="002435A7" w:rsidRPr="00DA1492">
        <w:rPr>
          <w:sz w:val="24"/>
          <w:szCs w:val="24"/>
        </w:rPr>
        <w:t>assess current market dynamics, which increases investor confidence and is particularly important duri</w:t>
      </w:r>
      <w:r w:rsidR="00BD0EC4" w:rsidRPr="00DA1492">
        <w:rPr>
          <w:sz w:val="24"/>
          <w:szCs w:val="24"/>
        </w:rPr>
        <w:t xml:space="preserve">ng times of market volatility.  In addition, real-time data reduces existing information asymmetries, where </w:t>
      </w:r>
      <w:r w:rsidR="00C204B6" w:rsidRPr="00DA1492">
        <w:rPr>
          <w:sz w:val="24"/>
          <w:szCs w:val="24"/>
        </w:rPr>
        <w:t>certain</w:t>
      </w:r>
      <w:r w:rsidR="00BD0EC4" w:rsidRPr="00DA1492">
        <w:rPr>
          <w:sz w:val="24"/>
          <w:szCs w:val="24"/>
        </w:rPr>
        <w:t xml:space="preserve"> ma</w:t>
      </w:r>
      <w:r w:rsidR="00473E75" w:rsidRPr="00DA1492">
        <w:rPr>
          <w:sz w:val="24"/>
          <w:szCs w:val="24"/>
        </w:rPr>
        <w:t xml:space="preserve">rket participants </w:t>
      </w:r>
      <w:r w:rsidR="00C204B6" w:rsidRPr="00DA1492">
        <w:rPr>
          <w:sz w:val="24"/>
          <w:szCs w:val="24"/>
        </w:rPr>
        <w:t xml:space="preserve">may </w:t>
      </w:r>
      <w:r w:rsidR="00473E75" w:rsidRPr="00DA1492">
        <w:rPr>
          <w:sz w:val="24"/>
          <w:szCs w:val="24"/>
        </w:rPr>
        <w:t>have greater knowledge</w:t>
      </w:r>
      <w:r w:rsidR="00BD0EC4" w:rsidRPr="00DA1492">
        <w:rPr>
          <w:sz w:val="24"/>
          <w:szCs w:val="24"/>
        </w:rPr>
        <w:t xml:space="preserve"> regarding ongoing trading activity than other investors.  </w:t>
      </w:r>
      <w:r w:rsidR="00DA134C" w:rsidRPr="00DA1492">
        <w:rPr>
          <w:sz w:val="24"/>
          <w:szCs w:val="24"/>
        </w:rPr>
        <w:t>Leveling the playing field with respect to access to information regarding ongoing trading activity helps investors hold liquidity providers accountable and promotes overall market competition.</w:t>
      </w:r>
    </w:p>
    <w:p w14:paraId="6599018C" w14:textId="77777777" w:rsidR="00CF54C6" w:rsidRPr="00DA1492" w:rsidRDefault="00CF54C6" w:rsidP="00DA1492">
      <w:pPr>
        <w:ind w:left="720"/>
        <w:jc w:val="both"/>
        <w:rPr>
          <w:rFonts w:asciiTheme="minorHAnsi" w:hAnsiTheme="minorHAnsi" w:cstheme="minorHAnsi"/>
        </w:rPr>
      </w:pPr>
    </w:p>
    <w:p w14:paraId="62A5A29D" w14:textId="1C9E5519" w:rsidR="00CF54C6" w:rsidRPr="00DA1492" w:rsidRDefault="00CF54C6" w:rsidP="00DA1492">
      <w:pPr>
        <w:spacing w:line="264" w:lineRule="auto"/>
        <w:ind w:left="720"/>
        <w:jc w:val="both"/>
        <w:rPr>
          <w:rFonts w:asciiTheme="minorHAnsi" w:hAnsiTheme="minorHAnsi" w:cstheme="minorHAnsi"/>
        </w:rPr>
      </w:pPr>
      <w:r w:rsidRPr="00DA1492">
        <w:rPr>
          <w:rFonts w:asciiTheme="minorHAnsi" w:hAnsiTheme="minorHAnsi" w:cstheme="minorHAnsi"/>
        </w:rPr>
        <w:t xml:space="preserve">We note that, in certain asset classes, the current calibration of liquidity assessments and deferrals means that a significant </w:t>
      </w:r>
      <w:r w:rsidR="00B73493" w:rsidRPr="00DA1492">
        <w:rPr>
          <w:rFonts w:asciiTheme="minorHAnsi" w:hAnsiTheme="minorHAnsi" w:cstheme="minorHAnsi"/>
        </w:rPr>
        <w:t>percentage</w:t>
      </w:r>
      <w:r w:rsidRPr="00DA1492">
        <w:rPr>
          <w:rFonts w:asciiTheme="minorHAnsi" w:hAnsiTheme="minorHAnsi" w:cstheme="minorHAnsi"/>
        </w:rPr>
        <w:t xml:space="preserve"> of trading activity is not subject to post-trade transparency until four weeks later.  For example, data shows that over 70% of trading </w:t>
      </w:r>
      <w:r w:rsidR="00B73493" w:rsidRPr="00DA1492">
        <w:rPr>
          <w:rFonts w:asciiTheme="minorHAnsi" w:hAnsiTheme="minorHAnsi" w:cstheme="minorHAnsi"/>
        </w:rPr>
        <w:t>volume</w:t>
      </w:r>
      <w:r w:rsidRPr="00DA1492">
        <w:rPr>
          <w:rFonts w:asciiTheme="minorHAnsi" w:hAnsiTheme="minorHAnsi" w:cstheme="minorHAnsi"/>
        </w:rPr>
        <w:t xml:space="preserve"> in EUR IRS is currently subject to a four week deferral.</w:t>
      </w:r>
      <w:r w:rsidRPr="00DA1492">
        <w:rPr>
          <w:rStyle w:val="FootnoteReference"/>
          <w:rFonts w:asciiTheme="minorHAnsi" w:hAnsiTheme="minorHAnsi" w:cstheme="minorHAnsi"/>
          <w:sz w:val="24"/>
        </w:rPr>
        <w:footnoteReference w:id="5"/>
      </w:r>
      <w:r w:rsidRPr="00DA1492">
        <w:rPr>
          <w:rFonts w:asciiTheme="minorHAnsi" w:hAnsiTheme="minorHAnsi" w:cstheme="minorHAnsi"/>
        </w:rPr>
        <w:t xml:space="preserve">  In connection with implementing a post-trade CT in a particular asset class, we encourage ESMA and NCAs to assess the operation of existing post-trade deferrals (including the percentage of transactions currently qualifying for the maximum deferrals, based on both trade count and trading volume) and make changes as necessary to ensure the post-trade transparency framework is operating as intended and</w:t>
      </w:r>
      <w:r w:rsidR="00D73BBE" w:rsidRPr="00DA1492">
        <w:rPr>
          <w:rFonts w:asciiTheme="minorHAnsi" w:hAnsiTheme="minorHAnsi" w:cstheme="minorHAnsi"/>
        </w:rPr>
        <w:t xml:space="preserve"> is</w:t>
      </w:r>
      <w:r w:rsidRPr="00DA1492">
        <w:rPr>
          <w:rFonts w:asciiTheme="minorHAnsi" w:hAnsiTheme="minorHAnsi" w:cstheme="minorHAnsi"/>
        </w:rPr>
        <w:t xml:space="preserve"> benefiting investors.</w:t>
      </w:r>
    </w:p>
    <w:p w14:paraId="2FC7E062" w14:textId="77777777" w:rsidR="00802691" w:rsidRPr="00DA1492" w:rsidRDefault="00802691" w:rsidP="00DA1492">
      <w:pPr>
        <w:spacing w:line="264" w:lineRule="auto"/>
        <w:ind w:left="720"/>
        <w:jc w:val="both"/>
        <w:rPr>
          <w:rFonts w:asciiTheme="majorHAnsi" w:hAnsiTheme="majorHAnsi" w:cstheme="majorHAnsi"/>
        </w:rPr>
      </w:pPr>
    </w:p>
    <w:p w14:paraId="7230ADB1" w14:textId="38E024AA" w:rsidR="00802691" w:rsidRPr="00DA1492" w:rsidRDefault="00802691" w:rsidP="00DA1492">
      <w:pPr>
        <w:pStyle w:val="ListParagraph"/>
        <w:jc w:val="both"/>
        <w:rPr>
          <w:sz w:val="24"/>
          <w:szCs w:val="24"/>
        </w:rPr>
      </w:pPr>
      <w:r w:rsidRPr="00DA1492">
        <w:rPr>
          <w:b/>
          <w:sz w:val="24"/>
          <w:szCs w:val="24"/>
        </w:rPr>
        <w:t>Low cost (or free of charge)</w:t>
      </w:r>
      <w:r w:rsidRPr="00DA1492">
        <w:rPr>
          <w:sz w:val="24"/>
          <w:szCs w:val="24"/>
        </w:rPr>
        <w:t xml:space="preserve">.  </w:t>
      </w:r>
      <w:r w:rsidR="009C72FE" w:rsidRPr="00DA1492">
        <w:rPr>
          <w:sz w:val="24"/>
          <w:szCs w:val="24"/>
        </w:rPr>
        <w:t xml:space="preserve">A post-trade CT must be low cost (or free of charge) in order to be accessible by all investors and to level the playing with respect to access to information regarding market </w:t>
      </w:r>
      <w:r w:rsidR="009C72FE" w:rsidRPr="00DA1492">
        <w:rPr>
          <w:sz w:val="24"/>
          <w:szCs w:val="24"/>
        </w:rPr>
        <w:lastRenderedPageBreak/>
        <w:t>trading activity.  This can be achieved by requiring trading venues and APAs to submit post-trade data to the CTP free of charge.</w:t>
      </w:r>
    </w:p>
    <w:p w14:paraId="0DE8AE01" w14:textId="68BF8B5D" w:rsidR="00A85045" w:rsidRPr="00DA1492" w:rsidRDefault="00A85045" w:rsidP="00DA1492">
      <w:pPr>
        <w:jc w:val="both"/>
        <w:rPr>
          <w:rFonts w:ascii="Arial" w:hAnsi="Arial" w:cs="Arial"/>
        </w:rPr>
      </w:pPr>
    </w:p>
    <w:p w14:paraId="4FA75649" w14:textId="2FA75EB5" w:rsidR="00ED453A" w:rsidRPr="00DA1492" w:rsidRDefault="004651B0" w:rsidP="00DA1492">
      <w:pPr>
        <w:jc w:val="both"/>
        <w:rPr>
          <w:rFonts w:ascii="Arial" w:hAnsi="Arial" w:cs="Arial"/>
        </w:rPr>
      </w:pPr>
      <w:r w:rsidRPr="00DA1492">
        <w:rPr>
          <w:rFonts w:ascii="Arial" w:hAnsi="Arial" w:cs="Arial"/>
        </w:rPr>
        <w:t>We note that the US has successfully implemented a post-trade CT in both equities (e.g. the SIP) and non-equities (e.g. TRACE for corporate bonds,</w:t>
      </w:r>
      <w:r w:rsidRPr="00DA1492">
        <w:rPr>
          <w:rStyle w:val="FootnoteReference"/>
          <w:rFonts w:cs="Arial"/>
          <w:sz w:val="24"/>
        </w:rPr>
        <w:footnoteReference w:id="6"/>
      </w:r>
      <w:r w:rsidRPr="00DA1492">
        <w:rPr>
          <w:rFonts w:ascii="Arial" w:hAnsi="Arial" w:cs="Arial"/>
        </w:rPr>
        <w:t xml:space="preserve"> EMMA for municipal bonds,</w:t>
      </w:r>
      <w:r w:rsidRPr="00DA1492">
        <w:rPr>
          <w:rStyle w:val="FootnoteReference"/>
          <w:rFonts w:cs="Arial"/>
          <w:sz w:val="24"/>
        </w:rPr>
        <w:footnoteReference w:id="7"/>
      </w:r>
      <w:r w:rsidRPr="00DA1492">
        <w:rPr>
          <w:rFonts w:ascii="Arial" w:hAnsi="Arial" w:cs="Arial"/>
        </w:rPr>
        <w:t xml:space="preserve"> and the DTCC DDR for OTC derivatives</w:t>
      </w:r>
      <w:r w:rsidRPr="00DA1492">
        <w:rPr>
          <w:rStyle w:val="FootnoteReference"/>
          <w:rFonts w:cs="Arial"/>
          <w:sz w:val="24"/>
        </w:rPr>
        <w:footnoteReference w:id="8"/>
      </w:r>
      <w:r w:rsidRPr="00DA1492">
        <w:rPr>
          <w:rFonts w:ascii="Arial" w:hAnsi="Arial" w:cs="Arial"/>
        </w:rPr>
        <w:t>).  Importantly, each post-trade CT satisfies the three criteria above in that it is comprehensive, real-time, and low cost (or free of charge).</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64EDE140" w14:textId="21C333AF" w:rsidR="003049B9" w:rsidRDefault="003049B9" w:rsidP="001E505E">
      <w:pPr>
        <w:jc w:val="both"/>
        <w:rPr>
          <w:rFonts w:ascii="Arial" w:hAnsi="Arial" w:cs="Arial"/>
        </w:rPr>
      </w:pPr>
      <w:permStart w:id="867970739" w:edGrp="everyone"/>
      <w:r>
        <w:rPr>
          <w:rFonts w:ascii="Arial" w:hAnsi="Arial" w:cs="Arial"/>
        </w:rPr>
        <w:t xml:space="preserve">In connection with assessing the availability of real-time post-trade data, we encourage ESMA to </w:t>
      </w:r>
      <w:r w:rsidR="003F11DE">
        <w:rPr>
          <w:rFonts w:ascii="Arial" w:hAnsi="Arial" w:cs="Arial"/>
        </w:rPr>
        <w:t>take into account</w:t>
      </w:r>
      <w:r>
        <w:rPr>
          <w:rFonts w:ascii="Arial" w:hAnsi="Arial" w:cs="Arial"/>
        </w:rPr>
        <w:t xml:space="preserve"> the associated costs</w:t>
      </w:r>
      <w:r w:rsidR="003F11DE">
        <w:rPr>
          <w:rFonts w:ascii="Arial" w:hAnsi="Arial" w:cs="Arial"/>
        </w:rPr>
        <w:t xml:space="preserve"> to market participants</w:t>
      </w:r>
      <w:r>
        <w:rPr>
          <w:rFonts w:ascii="Arial" w:hAnsi="Arial" w:cs="Arial"/>
        </w:rPr>
        <w:t>.  If it is too costly for an average market participant to obtain the data, then it is not actually being made available in practice.  ESMA has estimated that the co</w:t>
      </w:r>
      <w:r w:rsidR="003F11DE">
        <w:rPr>
          <w:rFonts w:ascii="Arial" w:hAnsi="Arial" w:cs="Arial"/>
        </w:rPr>
        <w:t>st of obtaining data from equities</w:t>
      </w:r>
      <w:r>
        <w:rPr>
          <w:rFonts w:ascii="Arial" w:hAnsi="Arial" w:cs="Arial"/>
        </w:rPr>
        <w:t xml:space="preserve"> trading venues and APAs may amount to 10 million EUR per year.</w:t>
      </w:r>
    </w:p>
    <w:permEnd w:id="867970739"/>
    <w:p w14:paraId="05A017E9" w14:textId="777BD6D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22E56084" w:rsidR="00010773" w:rsidRDefault="00D24847" w:rsidP="00010773">
      <w:pPr>
        <w:rPr>
          <w:rFonts w:ascii="Arial" w:hAnsi="Arial" w:cs="Arial"/>
        </w:rPr>
      </w:pPr>
      <w:permStart w:id="1366194646" w:edGrp="everyone"/>
      <w:r>
        <w:rPr>
          <w:rFonts w:ascii="Arial" w:hAnsi="Arial" w:cs="Arial"/>
        </w:rPr>
        <w:t>TYPE YOUR TEXT HERE</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0BC7CB45" w14:textId="2BE37FAD" w:rsidR="00003752" w:rsidRDefault="00C93E37" w:rsidP="00FF4912">
      <w:pPr>
        <w:jc w:val="both"/>
        <w:rPr>
          <w:rFonts w:ascii="Arial" w:hAnsi="Arial" w:cs="Arial"/>
        </w:rPr>
      </w:pPr>
      <w:permStart w:id="6962216" w:edGrp="everyone"/>
      <w:r>
        <w:rPr>
          <w:rFonts w:ascii="Arial" w:hAnsi="Arial" w:cs="Arial"/>
        </w:rPr>
        <w:t xml:space="preserve">We agree that </w:t>
      </w:r>
      <w:r w:rsidR="00B30479">
        <w:rPr>
          <w:rFonts w:ascii="Arial" w:hAnsi="Arial" w:cs="Arial"/>
        </w:rPr>
        <w:t xml:space="preserve">improving data quality should remain a priority issue for both ESMA and NCAs.  </w:t>
      </w:r>
      <w:r w:rsidR="00003752">
        <w:rPr>
          <w:rFonts w:ascii="Arial" w:hAnsi="Arial" w:cs="Arial"/>
        </w:rPr>
        <w:t>In this context, we encourage ESMA to assess data quality for both equities and non-equities asset classes in order to identify areas where further guidance, or enforcement of existing rules and guidance, is required.  For example, despite ESMA issuing further guidance in September 2018, it appears that market participants are still incorrectly completing the “Delivery Type” field for interest rate swaps.</w:t>
      </w:r>
      <w:r w:rsidR="00003752">
        <w:rPr>
          <w:rStyle w:val="FootnoteReference"/>
          <w:rFonts w:cs="Arial"/>
        </w:rPr>
        <w:footnoteReference w:id="9"/>
      </w:r>
      <w:r w:rsidR="00EB2F5C">
        <w:rPr>
          <w:rFonts w:ascii="Arial" w:hAnsi="Arial" w:cs="Arial"/>
        </w:rPr>
        <w:t xml:space="preserve">  It is critical that reporting rules and supervisory guidance are implemented in a consistent manner by market participants.</w:t>
      </w:r>
    </w:p>
    <w:permEnd w:id="6962216"/>
    <w:p w14:paraId="32CDE949" w14:textId="2DF0D929"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40B7F1AF" w:rsidR="00010773" w:rsidRDefault="00C53228" w:rsidP="001E505E">
      <w:pPr>
        <w:jc w:val="both"/>
        <w:rPr>
          <w:rFonts w:ascii="Arial" w:hAnsi="Arial" w:cs="Arial"/>
        </w:rPr>
      </w:pPr>
      <w:permStart w:id="971839347" w:edGrp="everyone"/>
      <w:r>
        <w:rPr>
          <w:rFonts w:ascii="Arial" w:hAnsi="Arial" w:cs="Arial"/>
        </w:rPr>
        <w:t xml:space="preserve">Existing data quality issues should not prevent the establishment of a real-time post-trade CT.  While it is important to continue to take steps to improve data quality, </w:t>
      </w:r>
      <w:r w:rsidR="00233EB9">
        <w:rPr>
          <w:rFonts w:ascii="Arial" w:hAnsi="Arial" w:cs="Arial"/>
        </w:rPr>
        <w:t>data</w:t>
      </w:r>
      <w:r>
        <w:rPr>
          <w:rFonts w:ascii="Arial" w:hAnsi="Arial" w:cs="Arial"/>
        </w:rPr>
        <w:t xml:space="preserve"> vendors have </w:t>
      </w:r>
      <w:r w:rsidR="00E14521">
        <w:rPr>
          <w:rFonts w:ascii="Arial" w:hAnsi="Arial" w:cs="Arial"/>
        </w:rPr>
        <w:t xml:space="preserve">already </w:t>
      </w:r>
      <w:r>
        <w:rPr>
          <w:rFonts w:ascii="Arial" w:hAnsi="Arial" w:cs="Arial"/>
        </w:rPr>
        <w:t xml:space="preserve">demonstrated that </w:t>
      </w:r>
      <w:r w:rsidR="00BA1862">
        <w:rPr>
          <w:rFonts w:ascii="Arial" w:hAnsi="Arial" w:cs="Arial"/>
        </w:rPr>
        <w:t xml:space="preserve">it is possible to aggregate </w:t>
      </w:r>
      <w:r>
        <w:rPr>
          <w:rFonts w:ascii="Arial" w:hAnsi="Arial" w:cs="Arial"/>
        </w:rPr>
        <w:t>existing data.  In a</w:t>
      </w:r>
      <w:r w:rsidR="00BA1862">
        <w:rPr>
          <w:rFonts w:ascii="Arial" w:hAnsi="Arial" w:cs="Arial"/>
        </w:rPr>
        <w:t>ddition, the data published by a</w:t>
      </w:r>
      <w:r>
        <w:rPr>
          <w:rFonts w:ascii="Arial" w:hAnsi="Arial" w:cs="Arial"/>
        </w:rPr>
        <w:t xml:space="preserve"> CT</w:t>
      </w:r>
      <w:r w:rsidR="00114D3B">
        <w:rPr>
          <w:rFonts w:ascii="Arial" w:hAnsi="Arial" w:cs="Arial"/>
        </w:rPr>
        <w:t>P</w:t>
      </w:r>
      <w:r>
        <w:rPr>
          <w:rFonts w:ascii="Arial" w:hAnsi="Arial" w:cs="Arial"/>
        </w:rPr>
        <w:t xml:space="preserve"> may include </w:t>
      </w:r>
      <w:r w:rsidR="00BA1862">
        <w:rPr>
          <w:rFonts w:ascii="Arial" w:hAnsi="Arial" w:cs="Arial"/>
        </w:rPr>
        <w:t>a fewer number of data fields than other MiFID II reporting</w:t>
      </w:r>
      <w:r>
        <w:rPr>
          <w:rFonts w:ascii="Arial" w:hAnsi="Arial" w:cs="Arial"/>
        </w:rPr>
        <w:t>, and therefore may suffer from fewer data quality issues.</w:t>
      </w:r>
      <w:r w:rsidR="00151D56">
        <w:rPr>
          <w:rFonts w:ascii="Arial" w:hAnsi="Arial" w:cs="Arial"/>
        </w:rPr>
        <w:t xml:space="preserve"> Finally, a CTP should be expected to establish a consistent set of standards regarding data submission, which should </w:t>
      </w:r>
      <w:r w:rsidR="00BA1862">
        <w:rPr>
          <w:rFonts w:ascii="Arial" w:hAnsi="Arial" w:cs="Arial"/>
        </w:rPr>
        <w:t xml:space="preserve">help to </w:t>
      </w:r>
      <w:r w:rsidR="00151D56">
        <w:rPr>
          <w:rFonts w:ascii="Arial" w:hAnsi="Arial" w:cs="Arial"/>
        </w:rPr>
        <w:t>improve overall market dat</w:t>
      </w:r>
      <w:r w:rsidR="00BA1862">
        <w:rPr>
          <w:rFonts w:ascii="Arial" w:hAnsi="Arial" w:cs="Arial"/>
        </w:rPr>
        <w:t>a quality</w:t>
      </w:r>
      <w:r w:rsidR="00151D56">
        <w:rPr>
          <w:rFonts w:ascii="Arial" w:hAnsi="Arial" w:cs="Arial"/>
        </w:rPr>
        <w:t>.</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686F550" w14:textId="6D41010D" w:rsidR="009D1CD6" w:rsidRPr="007A62E1" w:rsidRDefault="000B149B" w:rsidP="001E505E">
      <w:pPr>
        <w:jc w:val="both"/>
        <w:rPr>
          <w:rFonts w:ascii="Arial" w:hAnsi="Arial" w:cs="Arial"/>
        </w:rPr>
      </w:pPr>
      <w:permStart w:id="1442348646" w:edGrp="everyone"/>
      <w:r>
        <w:rPr>
          <w:rFonts w:ascii="Arial" w:hAnsi="Arial" w:cs="Arial"/>
        </w:rPr>
        <w:t xml:space="preserve">A </w:t>
      </w:r>
      <w:r w:rsidRPr="00F57296">
        <w:rPr>
          <w:rFonts w:ascii="Arial" w:hAnsi="Arial" w:cs="Arial"/>
        </w:rPr>
        <w:t xml:space="preserve">well-designed post-trade CT that is comprehensive, real-time, and low cost (or free of charge) </w:t>
      </w:r>
      <w:r w:rsidRPr="007A62E1">
        <w:rPr>
          <w:rFonts w:ascii="Arial" w:hAnsi="Arial" w:cs="Arial"/>
        </w:rPr>
        <w:t>meaningfully improves post-trade transparency and benefits all investors in EU financial markets by:</w:t>
      </w:r>
    </w:p>
    <w:p w14:paraId="71D2492E" w14:textId="6D4DE6FB" w:rsidR="000B149B" w:rsidRPr="007A62E1" w:rsidRDefault="000B149B" w:rsidP="00010773">
      <w:pPr>
        <w:rPr>
          <w:rFonts w:ascii="Arial" w:hAnsi="Arial" w:cs="Arial"/>
        </w:rPr>
      </w:pPr>
    </w:p>
    <w:p w14:paraId="60A3197A" w14:textId="1817423D" w:rsidR="000B149B" w:rsidRPr="007A62E1" w:rsidRDefault="000B149B" w:rsidP="00847206">
      <w:pPr>
        <w:pStyle w:val="ListParagraph"/>
        <w:rPr>
          <w:sz w:val="24"/>
          <w:szCs w:val="24"/>
        </w:rPr>
      </w:pPr>
      <w:r w:rsidRPr="007A62E1">
        <w:rPr>
          <w:b/>
          <w:sz w:val="24"/>
          <w:szCs w:val="24"/>
        </w:rPr>
        <w:t>Facilitating more accurate assessments of execution qualit</w:t>
      </w:r>
      <w:r w:rsidRPr="007A62E1">
        <w:rPr>
          <w:sz w:val="24"/>
          <w:szCs w:val="24"/>
        </w:rPr>
        <w:t>y.  A post-trade CT can be used for transaction cost analysis and best execution assessments</w:t>
      </w:r>
      <w:r w:rsidR="00E06851" w:rsidRPr="007A62E1">
        <w:rPr>
          <w:sz w:val="24"/>
          <w:szCs w:val="24"/>
        </w:rPr>
        <w:t>, as it provides a neutral and reliable source of current market trading activity and pricing</w:t>
      </w:r>
      <w:r w:rsidRPr="007A62E1">
        <w:rPr>
          <w:sz w:val="24"/>
          <w:szCs w:val="24"/>
        </w:rPr>
        <w:t>.</w:t>
      </w:r>
    </w:p>
    <w:p w14:paraId="4E09D0A7" w14:textId="77777777" w:rsidR="000B149B" w:rsidRPr="007A62E1" w:rsidRDefault="000B149B" w:rsidP="002C5317">
      <w:pPr>
        <w:ind w:left="720"/>
      </w:pPr>
    </w:p>
    <w:p w14:paraId="125A8E36" w14:textId="10A7E534" w:rsidR="000B149B" w:rsidRPr="007A62E1" w:rsidRDefault="000B149B" w:rsidP="00847206">
      <w:pPr>
        <w:pStyle w:val="ListParagraph"/>
        <w:rPr>
          <w:sz w:val="24"/>
          <w:szCs w:val="24"/>
        </w:rPr>
      </w:pPr>
      <w:r w:rsidRPr="007A62E1">
        <w:rPr>
          <w:b/>
          <w:sz w:val="24"/>
          <w:szCs w:val="24"/>
        </w:rPr>
        <w:t>Leveling the playing field with respect to access to information</w:t>
      </w:r>
      <w:r w:rsidRPr="007A62E1">
        <w:rPr>
          <w:sz w:val="24"/>
          <w:szCs w:val="24"/>
        </w:rPr>
        <w:t xml:space="preserve">.  </w:t>
      </w:r>
      <w:r w:rsidR="00C204B6" w:rsidRPr="007A62E1">
        <w:rPr>
          <w:sz w:val="24"/>
          <w:szCs w:val="24"/>
        </w:rPr>
        <w:t>A post-trade CT removes existing information asymmetries, where certain market participants may have greater knowledge regarding ongoing trading activity than other investors.  This enables investors to more confidently assess current market dynamics, increasing</w:t>
      </w:r>
      <w:r w:rsidRPr="007A62E1">
        <w:rPr>
          <w:sz w:val="24"/>
          <w:szCs w:val="24"/>
        </w:rPr>
        <w:t xml:space="preserve"> </w:t>
      </w:r>
      <w:r w:rsidR="00C204B6" w:rsidRPr="007A62E1">
        <w:rPr>
          <w:sz w:val="24"/>
          <w:szCs w:val="24"/>
        </w:rPr>
        <w:t xml:space="preserve">overall </w:t>
      </w:r>
      <w:r w:rsidRPr="007A62E1">
        <w:rPr>
          <w:sz w:val="24"/>
          <w:szCs w:val="24"/>
        </w:rPr>
        <w:t>investor confidence</w:t>
      </w:r>
      <w:r w:rsidR="00F5338B" w:rsidRPr="007A62E1">
        <w:rPr>
          <w:sz w:val="24"/>
          <w:szCs w:val="24"/>
        </w:rPr>
        <w:t>, particularly during times of market volatility</w:t>
      </w:r>
      <w:r w:rsidRPr="007A62E1">
        <w:rPr>
          <w:sz w:val="24"/>
          <w:szCs w:val="24"/>
        </w:rPr>
        <w:t>.</w:t>
      </w:r>
    </w:p>
    <w:p w14:paraId="6905A3F6" w14:textId="77777777" w:rsidR="000B149B" w:rsidRPr="007A62E1" w:rsidRDefault="000B149B" w:rsidP="002C5317">
      <w:pPr>
        <w:ind w:left="720"/>
      </w:pPr>
    </w:p>
    <w:p w14:paraId="1F2F3741" w14:textId="4827B52B" w:rsidR="000B149B" w:rsidRPr="007A62E1" w:rsidRDefault="000B149B" w:rsidP="00847206">
      <w:pPr>
        <w:pStyle w:val="ListParagraph"/>
        <w:rPr>
          <w:sz w:val="24"/>
          <w:szCs w:val="24"/>
        </w:rPr>
      </w:pPr>
      <w:r w:rsidRPr="007A62E1">
        <w:rPr>
          <w:b/>
          <w:sz w:val="24"/>
          <w:szCs w:val="24"/>
        </w:rPr>
        <w:t>Prom</w:t>
      </w:r>
      <w:r w:rsidR="00494198" w:rsidRPr="007A62E1">
        <w:rPr>
          <w:b/>
          <w:sz w:val="24"/>
          <w:szCs w:val="24"/>
        </w:rPr>
        <w:t>o</w:t>
      </w:r>
      <w:r w:rsidRPr="007A62E1">
        <w:rPr>
          <w:b/>
          <w:sz w:val="24"/>
          <w:szCs w:val="24"/>
        </w:rPr>
        <w:t>ting competition</w:t>
      </w:r>
      <w:r w:rsidRPr="007A62E1">
        <w:rPr>
          <w:sz w:val="24"/>
          <w:szCs w:val="24"/>
        </w:rPr>
        <w:t>.</w:t>
      </w:r>
      <w:r w:rsidR="00C204B6" w:rsidRPr="007A62E1">
        <w:rPr>
          <w:sz w:val="24"/>
          <w:szCs w:val="24"/>
        </w:rPr>
        <w:t xml:space="preserve"> By enabling investors to compare the prices they receive from liquidity providers with concurrent trading activity across the market, a post-trade CT promotes price competition as investors are able to demand more accountability from their liquidity providers.  In addition, </w:t>
      </w:r>
      <w:r w:rsidR="00F15030" w:rsidRPr="007A62E1">
        <w:rPr>
          <w:sz w:val="24"/>
          <w:szCs w:val="24"/>
        </w:rPr>
        <w:t>new liquidity providers are more likely to enter the market, as they are able to access information regarding current market dynamics, including trading volumes and pricing</w:t>
      </w:r>
      <w:r w:rsidR="00F5338B" w:rsidRPr="007A62E1">
        <w:rPr>
          <w:sz w:val="24"/>
          <w:szCs w:val="24"/>
        </w:rPr>
        <w:t>, on an equal basis compared to existing liquidity providers</w:t>
      </w:r>
      <w:r w:rsidR="00F15030" w:rsidRPr="007A62E1">
        <w:rPr>
          <w:sz w:val="24"/>
          <w:szCs w:val="24"/>
        </w:rPr>
        <w:t>.</w:t>
      </w:r>
    </w:p>
    <w:p w14:paraId="52C550B1" w14:textId="77777777" w:rsidR="000B149B" w:rsidRPr="007A62E1" w:rsidRDefault="000B149B" w:rsidP="002C5317">
      <w:pPr>
        <w:ind w:left="720"/>
      </w:pPr>
    </w:p>
    <w:p w14:paraId="5AF16941" w14:textId="2C4F47EE" w:rsidR="00F15030" w:rsidRPr="007A62E1" w:rsidRDefault="000B149B" w:rsidP="00847206">
      <w:pPr>
        <w:pStyle w:val="ListParagraph"/>
        <w:rPr>
          <w:sz w:val="24"/>
          <w:szCs w:val="24"/>
        </w:rPr>
      </w:pPr>
      <w:r w:rsidRPr="007A62E1">
        <w:rPr>
          <w:b/>
          <w:sz w:val="24"/>
          <w:szCs w:val="24"/>
        </w:rPr>
        <w:t>Promoting market resiliency</w:t>
      </w:r>
      <w:r w:rsidRPr="007A62E1">
        <w:rPr>
          <w:sz w:val="24"/>
          <w:szCs w:val="24"/>
        </w:rPr>
        <w:t xml:space="preserve">. </w:t>
      </w:r>
      <w:r w:rsidR="00F5338B" w:rsidRPr="007A62E1">
        <w:rPr>
          <w:sz w:val="24"/>
          <w:szCs w:val="24"/>
        </w:rPr>
        <w:t>The removal of existing information asymmetries contributes to market resiliency by ensuring that changes in supply and demand are more efficiently reflected in current price levels.  In addition, without a neutral and reliable source of current market trading activity, investors may be more likely to pull ba</w:t>
      </w:r>
      <w:r w:rsidR="007F3BF5" w:rsidRPr="007A62E1">
        <w:rPr>
          <w:sz w:val="24"/>
          <w:szCs w:val="24"/>
        </w:rPr>
        <w:t>ck during times of volatility.</w:t>
      </w:r>
    </w:p>
    <w:p w14:paraId="61730544" w14:textId="77777777" w:rsidR="007F3BF5" w:rsidRPr="007A62E1" w:rsidRDefault="007F3BF5" w:rsidP="002C5317">
      <w:pPr>
        <w:ind w:left="720"/>
      </w:pPr>
    </w:p>
    <w:p w14:paraId="78873D9D" w14:textId="03396D97" w:rsidR="007F3BF5" w:rsidRPr="007A62E1" w:rsidRDefault="007F3BF5" w:rsidP="00847206">
      <w:pPr>
        <w:pStyle w:val="ListParagraph"/>
        <w:rPr>
          <w:sz w:val="24"/>
          <w:szCs w:val="24"/>
        </w:rPr>
      </w:pPr>
      <w:r w:rsidRPr="007A62E1">
        <w:rPr>
          <w:b/>
          <w:sz w:val="24"/>
          <w:szCs w:val="24"/>
        </w:rPr>
        <w:lastRenderedPageBreak/>
        <w:t>Supporting the CMU</w:t>
      </w:r>
      <w:r w:rsidRPr="007A62E1">
        <w:rPr>
          <w:sz w:val="24"/>
          <w:szCs w:val="24"/>
        </w:rPr>
        <w:t>.  A post-trade CT strengthen</w:t>
      </w:r>
      <w:r w:rsidR="000310E0" w:rsidRPr="007A62E1">
        <w:rPr>
          <w:sz w:val="24"/>
          <w:szCs w:val="24"/>
        </w:rPr>
        <w:t>s</w:t>
      </w:r>
      <w:r w:rsidRPr="007A62E1">
        <w:rPr>
          <w:sz w:val="24"/>
          <w:szCs w:val="24"/>
        </w:rPr>
        <w:t xml:space="preserve"> EU </w:t>
      </w:r>
      <w:r w:rsidR="00742F5C" w:rsidRPr="007A62E1">
        <w:rPr>
          <w:sz w:val="24"/>
          <w:szCs w:val="24"/>
        </w:rPr>
        <w:t>capital</w:t>
      </w:r>
      <w:r w:rsidRPr="007A62E1">
        <w:rPr>
          <w:sz w:val="24"/>
          <w:szCs w:val="24"/>
        </w:rPr>
        <w:t xml:space="preserve"> markets by </w:t>
      </w:r>
      <w:r w:rsidR="000310E0" w:rsidRPr="007A62E1">
        <w:rPr>
          <w:sz w:val="24"/>
          <w:szCs w:val="24"/>
        </w:rPr>
        <w:t xml:space="preserve">linking together the disparate trading venues and APAs across the EU, enhancing investor confidence and access to liquidity.  Stronger </w:t>
      </w:r>
      <w:r w:rsidR="00250216" w:rsidRPr="007A62E1">
        <w:rPr>
          <w:sz w:val="24"/>
          <w:szCs w:val="24"/>
        </w:rPr>
        <w:t xml:space="preserve">and more liquid </w:t>
      </w:r>
      <w:r w:rsidR="000310E0" w:rsidRPr="007A62E1">
        <w:rPr>
          <w:sz w:val="24"/>
          <w:szCs w:val="24"/>
        </w:rPr>
        <w:t>EU capital markets promote capital formation, job creation, and economic growth.</w:t>
      </w:r>
    </w:p>
    <w:p w14:paraId="7228C22A" w14:textId="2196A7C5" w:rsidR="000310E0" w:rsidRPr="007A62E1" w:rsidRDefault="000310E0" w:rsidP="000310E0">
      <w:pPr>
        <w:rPr>
          <w:rFonts w:asciiTheme="minorHAnsi" w:hAnsiTheme="minorHAnsi" w:cstheme="minorHAnsi"/>
        </w:rPr>
      </w:pPr>
    </w:p>
    <w:p w14:paraId="2BAEF474" w14:textId="4F1501CE" w:rsidR="000310E0" w:rsidRPr="001D5419" w:rsidRDefault="00880672" w:rsidP="00C92423">
      <w:pPr>
        <w:pStyle w:val="BodyText"/>
        <w:jc w:val="both"/>
        <w:rPr>
          <w:rFonts w:asciiTheme="minorHAnsi" w:hAnsiTheme="minorHAnsi" w:cstheme="minorHAnsi"/>
        </w:rPr>
      </w:pPr>
      <w:r w:rsidRPr="007A62E1">
        <w:rPr>
          <w:rFonts w:asciiTheme="minorHAnsi" w:hAnsiTheme="minorHAnsi" w:cstheme="minorHAnsi"/>
        </w:rPr>
        <w:t>Academic research has clearly found that post-trade transparency delivers tangible benefits to investors.  In the US</w:t>
      </w:r>
      <w:r w:rsidR="001D5419" w:rsidRPr="007A62E1">
        <w:rPr>
          <w:rFonts w:asciiTheme="minorHAnsi" w:hAnsiTheme="minorHAnsi" w:cstheme="minorHAnsi"/>
        </w:rPr>
        <w:t xml:space="preserve"> corporate bond market</w:t>
      </w:r>
      <w:r w:rsidRPr="007A62E1">
        <w:rPr>
          <w:rFonts w:asciiTheme="minorHAnsi" w:hAnsiTheme="minorHAnsi" w:cstheme="minorHAnsi"/>
        </w:rPr>
        <w:t>, for example, academic research has found that post-trade transparency has improved liquidity and has reduced transaction costs</w:t>
      </w:r>
      <w:r w:rsidR="001D5419" w:rsidRPr="007A62E1">
        <w:rPr>
          <w:rFonts w:asciiTheme="minorHAnsi" w:hAnsiTheme="minorHAnsi" w:cstheme="minorHAnsi"/>
        </w:rPr>
        <w:t>.</w:t>
      </w:r>
      <w:r w:rsidR="001D5419" w:rsidRPr="007A62E1">
        <w:rPr>
          <w:rStyle w:val="FootnoteReference"/>
          <w:rFonts w:asciiTheme="minorHAnsi" w:hAnsiTheme="minorHAnsi" w:cstheme="minorHAnsi"/>
          <w:sz w:val="24"/>
        </w:rPr>
        <w:footnoteReference w:id="10"/>
      </w:r>
      <w:r w:rsidR="001D5419" w:rsidRPr="007A62E1">
        <w:rPr>
          <w:rFonts w:asciiTheme="minorHAnsi" w:hAnsiTheme="minorHAnsi" w:cstheme="minorHAnsi"/>
        </w:rPr>
        <w:t xml:space="preserve">  Post-trade transparency has benefited not only retail investors, but also institutional inve</w:t>
      </w:r>
      <w:r w:rsidR="001D5419" w:rsidRPr="001D5419">
        <w:rPr>
          <w:rFonts w:asciiTheme="minorHAnsi" w:hAnsiTheme="minorHAnsi" w:cstheme="minorHAnsi"/>
        </w:rPr>
        <w:t>stors transacting in larger size, as customer bargaining power increases and liquidity providers can be held more accountable.</w:t>
      </w:r>
      <w:r w:rsidR="001D5419" w:rsidRPr="001D5419">
        <w:rPr>
          <w:rStyle w:val="FootnoteReference"/>
          <w:rFonts w:asciiTheme="minorHAnsi" w:eastAsiaTheme="majorEastAsia" w:hAnsiTheme="minorHAnsi" w:cstheme="minorHAnsi"/>
          <w:sz w:val="24"/>
        </w:rPr>
        <w:footnoteReference w:id="11"/>
      </w:r>
      <w:r w:rsidR="001D5419" w:rsidRPr="001D5419">
        <w:rPr>
          <w:rFonts w:asciiTheme="minorHAnsi" w:hAnsiTheme="minorHAnsi" w:cstheme="minorHAnsi"/>
        </w:rPr>
        <w:t xml:space="preserve">  </w:t>
      </w:r>
      <w:r w:rsidR="001D5419">
        <w:rPr>
          <w:rFonts w:asciiTheme="minorHAnsi" w:hAnsiTheme="minorHAnsi" w:cstheme="minorHAnsi"/>
        </w:rPr>
        <w:t>Importantly, p</w:t>
      </w:r>
      <w:r w:rsidR="001D5419" w:rsidRPr="001D5419">
        <w:rPr>
          <w:rFonts w:asciiTheme="minorHAnsi" w:hAnsiTheme="minorHAnsi" w:cstheme="minorHAnsi"/>
        </w:rPr>
        <w:t>ost-trade transparency has caused “trading costs to decline significantly for the entire bond market</w:t>
      </w:r>
      <w:r w:rsidR="001D5419">
        <w:rPr>
          <w:rFonts w:asciiTheme="minorHAnsi" w:hAnsiTheme="minorHAnsi" w:cstheme="minorHAnsi"/>
        </w:rPr>
        <w:t>.</w:t>
      </w:r>
      <w:r w:rsidR="001D5419" w:rsidRPr="001D5419">
        <w:rPr>
          <w:rFonts w:asciiTheme="minorHAnsi" w:hAnsiTheme="minorHAnsi" w:cstheme="minorHAnsi"/>
        </w:rPr>
        <w:t>”</w:t>
      </w:r>
      <w:r w:rsidR="001D5419" w:rsidRPr="001D5419">
        <w:rPr>
          <w:rStyle w:val="FootnoteReference"/>
          <w:rFonts w:asciiTheme="minorHAnsi" w:eastAsiaTheme="majorEastAsia" w:hAnsiTheme="minorHAnsi" w:cstheme="minorHAnsi"/>
          <w:sz w:val="24"/>
        </w:rPr>
        <w:footnoteReference w:id="12"/>
      </w:r>
      <w:r w:rsidR="001D5419">
        <w:rPr>
          <w:rFonts w:asciiTheme="minorHAnsi" w:hAnsiTheme="minorHAnsi" w:cstheme="minorHAnsi"/>
        </w:rPr>
        <w:t xml:space="preserve">  </w:t>
      </w:r>
      <w:r w:rsidR="00C92423">
        <w:rPr>
          <w:rFonts w:asciiTheme="minorHAnsi" w:hAnsiTheme="minorHAnsi" w:cstheme="minorHAnsi"/>
        </w:rPr>
        <w:t>Similar results are evident in the US OTC derivatives market, with academic research finding that increased post-trade transparency has contributed to improvements in liquidity.</w:t>
      </w:r>
      <w:r w:rsidR="00C92423">
        <w:rPr>
          <w:rStyle w:val="FootnoteReference"/>
          <w:rFonts w:cstheme="minorHAnsi"/>
        </w:rPr>
        <w:footnoteReference w:id="13"/>
      </w:r>
    </w:p>
    <w:p w14:paraId="593145E9" w14:textId="77777777" w:rsidR="00F15030" w:rsidRPr="001D5419" w:rsidRDefault="00F15030" w:rsidP="002C5317">
      <w:pPr>
        <w:ind w:left="720"/>
      </w:pPr>
    </w:p>
    <w:p w14:paraId="60882B15" w14:textId="2AC2EAEB" w:rsidR="00C16C6B" w:rsidRPr="0064332B" w:rsidRDefault="00250216" w:rsidP="00544041">
      <w:pPr>
        <w:rPr>
          <w:rFonts w:asciiTheme="minorHAnsi" w:hAnsiTheme="minorHAnsi" w:cstheme="minorHAnsi"/>
        </w:rPr>
      </w:pPr>
      <w:r>
        <w:rPr>
          <w:rFonts w:asciiTheme="minorHAnsi" w:hAnsiTheme="minorHAnsi" w:cstheme="minorHAnsi"/>
        </w:rPr>
        <w:t xml:space="preserve">For these reasons, </w:t>
      </w:r>
      <w:r w:rsidR="0064332B">
        <w:rPr>
          <w:rFonts w:asciiTheme="minorHAnsi" w:hAnsiTheme="minorHAnsi" w:cstheme="minorHAnsi"/>
        </w:rPr>
        <w:t xml:space="preserve">we strongly support introducing a post-trade CT in both equities and non-equities asset classes.  The benefits of post-trade transparency cannot be fully realized until investors have access to a </w:t>
      </w:r>
      <w:r w:rsidR="0064332B" w:rsidRPr="00F57296">
        <w:rPr>
          <w:rFonts w:ascii="Arial" w:hAnsi="Arial" w:cs="Arial"/>
        </w:rPr>
        <w:t>comprehensive, real-time, and low cost (or free of charge)</w:t>
      </w:r>
      <w:r w:rsidR="0064332B">
        <w:rPr>
          <w:rFonts w:ascii="Arial" w:hAnsi="Arial" w:cs="Arial"/>
        </w:rPr>
        <w:t xml:space="preserve"> post-trade CT that aggregates information from the hundreds of EU trading venues and APAs.</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2ECA7E58" w:rsidR="00010773" w:rsidRDefault="00E07671" w:rsidP="00010773">
      <w:pPr>
        <w:rPr>
          <w:rFonts w:ascii="Arial" w:hAnsi="Arial" w:cs="Arial"/>
        </w:rPr>
      </w:pPr>
      <w:permStart w:id="423907283" w:edGrp="everyone"/>
      <w:r>
        <w:rPr>
          <w:rFonts w:ascii="Arial" w:hAnsi="Arial" w:cs="Arial"/>
        </w:rPr>
        <w:t>TYPE YOUR TEXT HERE</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lastRenderedPageBreak/>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77777777" w:rsidR="00010773" w:rsidRDefault="00010773" w:rsidP="00010773">
      <w:pPr>
        <w:rPr>
          <w:rFonts w:ascii="Arial" w:hAnsi="Arial" w:cs="Arial"/>
        </w:rPr>
      </w:pPr>
      <w:permStart w:id="1331854606" w:edGrp="everyone"/>
      <w:r>
        <w:rPr>
          <w:rFonts w:ascii="Arial" w:hAnsi="Arial" w:cs="Arial"/>
        </w:rPr>
        <w:t>TYPE YOUR TEXT HERE</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5C067FA8" w:rsidR="00010773" w:rsidRDefault="008E2150" w:rsidP="001E505E">
      <w:pPr>
        <w:jc w:val="both"/>
        <w:rPr>
          <w:rFonts w:ascii="Arial" w:hAnsi="Arial" w:cs="Arial"/>
        </w:rPr>
      </w:pPr>
      <w:permStart w:id="68295434" w:edGrp="everyone"/>
      <w:r>
        <w:rPr>
          <w:rFonts w:ascii="Arial" w:hAnsi="Arial" w:cs="Arial"/>
        </w:rPr>
        <w:t>Yes, as detailed in our response to Question 14, we believe it is critical to require trading venues and APAs to provide the relevant data to the CT</w:t>
      </w:r>
      <w:r w:rsidR="00114D3B">
        <w:rPr>
          <w:rFonts w:ascii="Arial" w:hAnsi="Arial" w:cs="Arial"/>
        </w:rPr>
        <w:t>P</w:t>
      </w:r>
      <w:r>
        <w:rPr>
          <w:rFonts w:ascii="Arial" w:hAnsi="Arial" w:cs="Arial"/>
        </w:rPr>
        <w:t xml:space="preserve"> free of charge.  This will enable the CT</w:t>
      </w:r>
      <w:r w:rsidR="00114D3B">
        <w:rPr>
          <w:rFonts w:ascii="Arial" w:hAnsi="Arial" w:cs="Arial"/>
        </w:rPr>
        <w:t>P</w:t>
      </w:r>
      <w:r w:rsidR="008B7332">
        <w:rPr>
          <w:rFonts w:ascii="Arial" w:hAnsi="Arial" w:cs="Arial"/>
        </w:rPr>
        <w:t xml:space="preserve"> to provide a low </w:t>
      </w:r>
      <w:r>
        <w:rPr>
          <w:rFonts w:ascii="Arial" w:hAnsi="Arial" w:cs="Arial"/>
        </w:rPr>
        <w:t xml:space="preserve">cost </w:t>
      </w:r>
      <w:r w:rsidR="008B7332">
        <w:rPr>
          <w:rFonts w:ascii="Arial" w:hAnsi="Arial" w:cs="Arial"/>
        </w:rPr>
        <w:t>(or free</w:t>
      </w:r>
      <w:r w:rsidR="002D78DD">
        <w:rPr>
          <w:rFonts w:ascii="Arial" w:hAnsi="Arial" w:cs="Arial"/>
        </w:rPr>
        <w:t xml:space="preserve"> of charge</w:t>
      </w:r>
      <w:r w:rsidR="008B7332">
        <w:rPr>
          <w:rFonts w:ascii="Arial" w:hAnsi="Arial" w:cs="Arial"/>
        </w:rPr>
        <w:t>)</w:t>
      </w:r>
      <w:r w:rsidR="008273FF">
        <w:rPr>
          <w:rFonts w:ascii="Arial" w:hAnsi="Arial" w:cs="Arial"/>
        </w:rPr>
        <w:t xml:space="preserve"> and comprehensive</w:t>
      </w:r>
      <w:r>
        <w:rPr>
          <w:rFonts w:ascii="Arial" w:hAnsi="Arial" w:cs="Arial"/>
        </w:rPr>
        <w:t xml:space="preserve"> solution to market participants</w:t>
      </w:r>
      <w:r w:rsidR="008273FF">
        <w:rPr>
          <w:rFonts w:ascii="Arial" w:hAnsi="Arial" w:cs="Arial"/>
        </w:rPr>
        <w:t>,</w:t>
      </w:r>
      <w:r>
        <w:rPr>
          <w:rFonts w:ascii="Arial" w:hAnsi="Arial" w:cs="Arial"/>
        </w:rPr>
        <w:t xml:space="preserve"> and </w:t>
      </w:r>
      <w:r w:rsidR="008273FF">
        <w:rPr>
          <w:rFonts w:ascii="Arial" w:hAnsi="Arial" w:cs="Arial"/>
        </w:rPr>
        <w:t>will serve to differentiate the CTP from</w:t>
      </w:r>
      <w:r>
        <w:rPr>
          <w:rFonts w:ascii="Arial" w:hAnsi="Arial" w:cs="Arial"/>
        </w:rPr>
        <w:t xml:space="preserve"> unregulated data vendors</w:t>
      </w:r>
      <w:r w:rsidR="00114D3B">
        <w:rPr>
          <w:rFonts w:ascii="Arial" w:hAnsi="Arial" w:cs="Arial"/>
        </w:rPr>
        <w:t xml:space="preserve"> that may </w:t>
      </w:r>
      <w:r w:rsidR="00922A85">
        <w:rPr>
          <w:rFonts w:ascii="Arial" w:hAnsi="Arial" w:cs="Arial"/>
        </w:rPr>
        <w:t>offer similar products</w:t>
      </w:r>
      <w:r>
        <w:rPr>
          <w:rFonts w:ascii="Arial" w:hAnsi="Arial" w:cs="Arial"/>
        </w:rPr>
        <w:t>.</w:t>
      </w:r>
      <w:r w:rsidR="00DB23C6">
        <w:rPr>
          <w:rFonts w:ascii="Arial" w:hAnsi="Arial" w:cs="Arial"/>
        </w:rPr>
        <w:t xml:space="preserve">  In addition, requiring trading venues and APAs to contribute to the CTP means that the CTP will be well-placed to establish a consistent set of standards governing data submission, which should improve overall market data quality to the benefit of all market participants.  </w:t>
      </w:r>
    </w:p>
    <w:p w14:paraId="232E2081" w14:textId="6465573E" w:rsidR="00AC2E6A" w:rsidRDefault="00AC2E6A" w:rsidP="001E505E">
      <w:pPr>
        <w:jc w:val="both"/>
        <w:rPr>
          <w:rFonts w:ascii="Arial" w:hAnsi="Arial" w:cs="Arial"/>
        </w:rPr>
      </w:pPr>
    </w:p>
    <w:p w14:paraId="5D7723C6" w14:textId="6FFF98E2" w:rsidR="00AC2E6A" w:rsidRDefault="00AC2E6A" w:rsidP="001E505E">
      <w:pPr>
        <w:jc w:val="both"/>
        <w:rPr>
          <w:rFonts w:ascii="Arial" w:hAnsi="Arial" w:cs="Arial"/>
        </w:rPr>
      </w:pPr>
      <w:r>
        <w:rPr>
          <w:rFonts w:ascii="Arial" w:hAnsi="Arial" w:cs="Arial"/>
        </w:rPr>
        <w:t>We note that mandatory contribution is a key element of every post-trade transparency framework implemented in the US, including for equities, corporate bonds, municipal bonds, and OTC derivatives.</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344237AA" w14:textId="75421125" w:rsidR="00F15E35" w:rsidRDefault="008273FF" w:rsidP="001E505E">
      <w:pPr>
        <w:jc w:val="both"/>
        <w:rPr>
          <w:rFonts w:ascii="Arial" w:hAnsi="Arial" w:cs="Arial"/>
        </w:rPr>
      </w:pPr>
      <w:permStart w:id="198205146" w:edGrp="everyone"/>
      <w:r>
        <w:rPr>
          <w:rFonts w:ascii="Arial" w:hAnsi="Arial" w:cs="Arial"/>
        </w:rPr>
        <w:t>As noted in Questions 14 and 24, w</w:t>
      </w:r>
      <w:r w:rsidR="00114D3B">
        <w:rPr>
          <w:rFonts w:ascii="Arial" w:hAnsi="Arial" w:cs="Arial"/>
        </w:rPr>
        <w:t xml:space="preserve">e believe it is critical to require trading venues and APAs to provide the relevant data to the CTP free of charge.  </w:t>
      </w:r>
    </w:p>
    <w:p w14:paraId="519F7EF8" w14:textId="77777777" w:rsidR="00F15E35" w:rsidRDefault="00F15E35" w:rsidP="001E505E">
      <w:pPr>
        <w:jc w:val="both"/>
        <w:rPr>
          <w:rFonts w:ascii="Arial" w:hAnsi="Arial" w:cs="Arial"/>
        </w:rPr>
      </w:pPr>
    </w:p>
    <w:p w14:paraId="1DBD5872" w14:textId="6AE65F16" w:rsidR="00F15E35" w:rsidRDefault="00114D3B" w:rsidP="001E505E">
      <w:pPr>
        <w:jc w:val="both"/>
        <w:rPr>
          <w:rFonts w:ascii="Arial" w:hAnsi="Arial" w:cs="Arial"/>
        </w:rPr>
      </w:pPr>
      <w:r>
        <w:rPr>
          <w:rFonts w:ascii="Arial" w:hAnsi="Arial" w:cs="Arial"/>
        </w:rPr>
        <w:t xml:space="preserve">First, this ensures that the CTP will not have to engage in bilateral negotiations with each trading venue and APA in order to obtain the necessary data, which would be an extremely onerous </w:t>
      </w:r>
      <w:r w:rsidR="00D13638">
        <w:rPr>
          <w:rFonts w:ascii="Arial" w:hAnsi="Arial" w:cs="Arial"/>
        </w:rPr>
        <w:t xml:space="preserve">and costly </w:t>
      </w:r>
      <w:r>
        <w:rPr>
          <w:rFonts w:ascii="Arial" w:hAnsi="Arial" w:cs="Arial"/>
        </w:rPr>
        <w:t>undertaking</w:t>
      </w:r>
      <w:r w:rsidR="006105DA">
        <w:rPr>
          <w:rFonts w:ascii="Arial" w:hAnsi="Arial" w:cs="Arial"/>
        </w:rPr>
        <w:t xml:space="preserve"> given the number of</w:t>
      </w:r>
      <w:r w:rsidR="008273FF">
        <w:rPr>
          <w:rFonts w:ascii="Arial" w:hAnsi="Arial" w:cs="Arial"/>
        </w:rPr>
        <w:t xml:space="preserve"> EU</w:t>
      </w:r>
      <w:r w:rsidR="006105DA">
        <w:rPr>
          <w:rFonts w:ascii="Arial" w:hAnsi="Arial" w:cs="Arial"/>
        </w:rPr>
        <w:t xml:space="preserve"> trading venues and APAs</w:t>
      </w:r>
      <w:r>
        <w:rPr>
          <w:rFonts w:ascii="Arial" w:hAnsi="Arial" w:cs="Arial"/>
        </w:rPr>
        <w:t xml:space="preserve">.  </w:t>
      </w:r>
    </w:p>
    <w:p w14:paraId="4DE972F4" w14:textId="77777777" w:rsidR="00F15E35" w:rsidRDefault="00F15E35" w:rsidP="001E505E">
      <w:pPr>
        <w:jc w:val="both"/>
        <w:rPr>
          <w:rFonts w:ascii="Arial" w:hAnsi="Arial" w:cs="Arial"/>
        </w:rPr>
      </w:pPr>
    </w:p>
    <w:p w14:paraId="150BF2C8" w14:textId="40B3E708" w:rsidR="00410594" w:rsidRDefault="00114D3B" w:rsidP="001E505E">
      <w:pPr>
        <w:jc w:val="both"/>
        <w:rPr>
          <w:rFonts w:ascii="Arial" w:hAnsi="Arial" w:cs="Arial"/>
        </w:rPr>
      </w:pPr>
      <w:r>
        <w:rPr>
          <w:rFonts w:ascii="Arial" w:hAnsi="Arial" w:cs="Arial"/>
        </w:rPr>
        <w:t xml:space="preserve">Second, requiring mandatory contribution for free is the only approach </w:t>
      </w:r>
      <w:r w:rsidR="00F15E35">
        <w:rPr>
          <w:rFonts w:ascii="Arial" w:hAnsi="Arial" w:cs="Arial"/>
        </w:rPr>
        <w:t>that ensures</w:t>
      </w:r>
      <w:r w:rsidR="008B7332">
        <w:rPr>
          <w:rFonts w:ascii="Arial" w:hAnsi="Arial" w:cs="Arial"/>
        </w:rPr>
        <w:t xml:space="preserve"> the CTP can provide a low c</w:t>
      </w:r>
      <w:r>
        <w:rPr>
          <w:rFonts w:ascii="Arial" w:hAnsi="Arial" w:cs="Arial"/>
        </w:rPr>
        <w:t>ost</w:t>
      </w:r>
      <w:r w:rsidR="008B7332">
        <w:rPr>
          <w:rFonts w:ascii="Arial" w:hAnsi="Arial" w:cs="Arial"/>
        </w:rPr>
        <w:t xml:space="preserve"> (or free</w:t>
      </w:r>
      <w:r w:rsidR="002D78DD">
        <w:rPr>
          <w:rFonts w:ascii="Arial" w:hAnsi="Arial" w:cs="Arial"/>
        </w:rPr>
        <w:t xml:space="preserve"> of charge</w:t>
      </w:r>
      <w:r w:rsidR="008B7332">
        <w:rPr>
          <w:rFonts w:ascii="Arial" w:hAnsi="Arial" w:cs="Arial"/>
        </w:rPr>
        <w:t>)</w:t>
      </w:r>
      <w:r w:rsidR="008273FF">
        <w:rPr>
          <w:rFonts w:ascii="Arial" w:hAnsi="Arial" w:cs="Arial"/>
        </w:rPr>
        <w:t xml:space="preserve"> </w:t>
      </w:r>
      <w:r>
        <w:rPr>
          <w:rFonts w:ascii="Arial" w:hAnsi="Arial" w:cs="Arial"/>
        </w:rPr>
        <w:t>and comprehensive solution</w:t>
      </w:r>
      <w:r w:rsidR="00D13638">
        <w:rPr>
          <w:rFonts w:ascii="Arial" w:hAnsi="Arial" w:cs="Arial"/>
        </w:rPr>
        <w:t xml:space="preserve"> to market participants, which is critical to </w:t>
      </w:r>
      <w:r w:rsidR="005B5760">
        <w:rPr>
          <w:rFonts w:ascii="Arial" w:hAnsi="Arial" w:cs="Arial"/>
        </w:rPr>
        <w:t>maximising demand</w:t>
      </w:r>
      <w:r>
        <w:rPr>
          <w:rFonts w:ascii="Arial" w:hAnsi="Arial" w:cs="Arial"/>
        </w:rPr>
        <w:t xml:space="preserve">.  The current problems identified with respect to the interpretation of the RCB standard demonstrate that, regardless of how granular the </w:t>
      </w:r>
      <w:r w:rsidR="000A5A48">
        <w:rPr>
          <w:rFonts w:ascii="Arial" w:hAnsi="Arial" w:cs="Arial"/>
        </w:rPr>
        <w:t xml:space="preserve">regulatory </w:t>
      </w:r>
      <w:r>
        <w:rPr>
          <w:rFonts w:ascii="Arial" w:hAnsi="Arial" w:cs="Arial"/>
        </w:rPr>
        <w:t>criteria are, trading venues and APAs</w:t>
      </w:r>
      <w:r w:rsidR="000A5A48">
        <w:rPr>
          <w:rFonts w:ascii="Arial" w:hAnsi="Arial" w:cs="Arial"/>
        </w:rPr>
        <w:t xml:space="preserve"> </w:t>
      </w:r>
      <w:r w:rsidR="006105DA">
        <w:rPr>
          <w:rFonts w:ascii="Arial" w:hAnsi="Arial" w:cs="Arial"/>
        </w:rPr>
        <w:t>will seek to maximis</w:t>
      </w:r>
      <w:r w:rsidR="000A5A48">
        <w:rPr>
          <w:rFonts w:ascii="Arial" w:hAnsi="Arial" w:cs="Arial"/>
        </w:rPr>
        <w:t>e market data revenues as long as they</w:t>
      </w:r>
      <w:r>
        <w:rPr>
          <w:rFonts w:ascii="Arial" w:hAnsi="Arial" w:cs="Arial"/>
        </w:rPr>
        <w:t xml:space="preserve"> are permitted</w:t>
      </w:r>
      <w:r w:rsidR="000A5A48">
        <w:rPr>
          <w:rFonts w:ascii="Arial" w:hAnsi="Arial" w:cs="Arial"/>
        </w:rPr>
        <w:t xml:space="preserve"> to charge for market data.  </w:t>
      </w:r>
    </w:p>
    <w:p w14:paraId="06F4C2E7" w14:textId="77777777" w:rsidR="00410594" w:rsidRDefault="00410594" w:rsidP="001E505E">
      <w:pPr>
        <w:jc w:val="both"/>
        <w:rPr>
          <w:rFonts w:ascii="Arial" w:hAnsi="Arial" w:cs="Arial"/>
        </w:rPr>
      </w:pPr>
    </w:p>
    <w:p w14:paraId="4EAF66B1" w14:textId="2AE0A3B3" w:rsidR="00010773" w:rsidRDefault="006105DA" w:rsidP="001E505E">
      <w:pPr>
        <w:jc w:val="both"/>
        <w:rPr>
          <w:rFonts w:ascii="Arial" w:hAnsi="Arial" w:cs="Arial"/>
        </w:rPr>
      </w:pPr>
      <w:r>
        <w:rPr>
          <w:rFonts w:ascii="Arial" w:hAnsi="Arial" w:cs="Arial"/>
        </w:rPr>
        <w:t>We note that starting with a post-trade CT means that trading venues and APAs will still be permitted to charge for pre-trade transparency data, direct data feeds, and other data-related products under this approach.</w:t>
      </w:r>
      <w:r w:rsidR="00927750">
        <w:rPr>
          <w:rFonts w:ascii="Arial" w:hAnsi="Arial" w:cs="Arial"/>
        </w:rPr>
        <w:t xml:space="preserve">  In addition, </w:t>
      </w:r>
      <w:r w:rsidR="00927750">
        <w:rPr>
          <w:rFonts w:ascii="Arial" w:hAnsi="Arial" w:cs="Arial"/>
        </w:rPr>
        <w:lastRenderedPageBreak/>
        <w:t>trading venues and APAs may be permitted to share in any revenues of the CTP.</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6ABED8DF" w14:textId="12D49A68" w:rsidR="00C16C6B" w:rsidRDefault="008B7332" w:rsidP="00410594">
      <w:pPr>
        <w:jc w:val="both"/>
        <w:rPr>
          <w:rFonts w:ascii="Arial" w:hAnsi="Arial" w:cs="Arial"/>
        </w:rPr>
      </w:pPr>
      <w:permStart w:id="1199266109" w:edGrp="everyone"/>
      <w:r>
        <w:rPr>
          <w:rFonts w:ascii="Arial" w:hAnsi="Arial" w:cs="Arial"/>
        </w:rPr>
        <w:t>In our view, mandatory consumption is not necessary for a successful CT, and may raise a number of issues to the extent the CT is not free of charge.  Instead, we recommend that the focus be on ensuring the CTP ca</w:t>
      </w:r>
      <w:r w:rsidR="007D01A2">
        <w:rPr>
          <w:rFonts w:ascii="Arial" w:hAnsi="Arial" w:cs="Arial"/>
        </w:rPr>
        <w:t>n provide a low cost (or free</w:t>
      </w:r>
      <w:r w:rsidR="002D78DD">
        <w:rPr>
          <w:rFonts w:ascii="Arial" w:hAnsi="Arial" w:cs="Arial"/>
        </w:rPr>
        <w:t xml:space="preserve"> of charge</w:t>
      </w:r>
      <w:r w:rsidR="007D01A2">
        <w:rPr>
          <w:rFonts w:ascii="Arial" w:hAnsi="Arial" w:cs="Arial"/>
        </w:rPr>
        <w:t xml:space="preserve">), real-time and comprehensive solution to market participants.  This will ensure </w:t>
      </w:r>
      <w:r w:rsidR="00410594">
        <w:rPr>
          <w:rFonts w:ascii="Arial" w:hAnsi="Arial" w:cs="Arial"/>
        </w:rPr>
        <w:t>sufficient</w:t>
      </w:r>
      <w:r w:rsidR="007D01A2">
        <w:rPr>
          <w:rFonts w:ascii="Arial" w:hAnsi="Arial" w:cs="Arial"/>
        </w:rPr>
        <w:t xml:space="preserve"> demand for the post-trade CT</w:t>
      </w:r>
      <w:r w:rsidR="00C06A64">
        <w:rPr>
          <w:rFonts w:ascii="Arial" w:hAnsi="Arial" w:cs="Arial"/>
        </w:rPr>
        <w:t>, as demonstrated in the US across a wide range of asset classes.</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39376BF9" w14:textId="418B184C" w:rsidR="00F2692C" w:rsidRDefault="00F2692C" w:rsidP="000B2344">
      <w:pPr>
        <w:jc w:val="both"/>
        <w:rPr>
          <w:rFonts w:ascii="Arial" w:hAnsi="Arial" w:cs="Arial"/>
        </w:rPr>
      </w:pPr>
      <w:permStart w:id="1911820905" w:edGrp="everyone"/>
      <w:r>
        <w:rPr>
          <w:rFonts w:ascii="Arial" w:hAnsi="Arial" w:cs="Arial"/>
        </w:rPr>
        <w:t xml:space="preserve">With respect to a particular instrument, it is critical that a post-trade CT </w:t>
      </w:r>
      <w:r w:rsidR="0000313C" w:rsidRPr="0000313C">
        <w:rPr>
          <w:rFonts w:ascii="Arial" w:hAnsi="Arial" w:cs="Arial"/>
        </w:rPr>
        <w:t>provide market participants with a consolidated view of all trading activity</w:t>
      </w:r>
      <w:r>
        <w:rPr>
          <w:rFonts w:ascii="Arial" w:hAnsi="Arial" w:cs="Arial"/>
        </w:rPr>
        <w:t xml:space="preserve"> in that instrument</w:t>
      </w:r>
      <w:r w:rsidR="00271678">
        <w:rPr>
          <w:rFonts w:ascii="Arial" w:hAnsi="Arial" w:cs="Arial"/>
        </w:rPr>
        <w:t xml:space="preserve"> (both on-venue and off-venue)</w:t>
      </w:r>
      <w:r>
        <w:rPr>
          <w:rFonts w:ascii="Arial" w:hAnsi="Arial" w:cs="Arial"/>
        </w:rPr>
        <w:t xml:space="preserve">.  </w:t>
      </w:r>
      <w:r w:rsidR="0000739E" w:rsidRPr="0000739E">
        <w:rPr>
          <w:rFonts w:ascii="Arial" w:hAnsi="Arial" w:cs="Arial"/>
        </w:rPr>
        <w:t>Comprehensive coverage is critical to being able to use the post-trade CT for transaction cost analysis and best execution assessments, as well as for more general market research and commentary that will benefit all investors.  At the moment, market participants must attempt to access and aggregate post-trade data from hundreds of trading venues and APAs, which is extremely costly and burdensome</w:t>
      </w:r>
      <w:r w:rsidR="0000739E">
        <w:rPr>
          <w:rFonts w:ascii="Arial" w:hAnsi="Arial" w:cs="Arial"/>
        </w:rPr>
        <w:t xml:space="preserve">.  </w:t>
      </w:r>
      <w:r w:rsidR="00271678">
        <w:rPr>
          <w:rFonts w:ascii="Arial" w:hAnsi="Arial" w:cs="Arial"/>
        </w:rPr>
        <w:t xml:space="preserve">We note that the US has successfully implemented comprehensive post-trade transparency frameworks </w:t>
      </w:r>
      <w:r w:rsidR="003747FD">
        <w:rPr>
          <w:rFonts w:ascii="Arial" w:hAnsi="Arial" w:cs="Arial"/>
        </w:rPr>
        <w:t>that cover</w:t>
      </w:r>
      <w:r w:rsidR="00271678">
        <w:rPr>
          <w:rFonts w:ascii="Arial" w:hAnsi="Arial" w:cs="Arial"/>
        </w:rPr>
        <w:t xml:space="preserve"> all trading activity in a wide range of asset classes, including equities, corporate bonds, municipal bonds, and OTC derivatives.</w:t>
      </w:r>
    </w:p>
    <w:p w14:paraId="530C2147" w14:textId="1415994E" w:rsidR="00F2692C" w:rsidRDefault="00F2692C" w:rsidP="000B2344">
      <w:pPr>
        <w:jc w:val="both"/>
        <w:rPr>
          <w:rFonts w:ascii="Arial" w:hAnsi="Arial" w:cs="Arial"/>
        </w:rPr>
      </w:pPr>
    </w:p>
    <w:p w14:paraId="5ADBADB0" w14:textId="0A53B29E" w:rsidR="0000313C" w:rsidRDefault="00271678" w:rsidP="000B2344">
      <w:pPr>
        <w:jc w:val="both"/>
        <w:rPr>
          <w:rFonts w:ascii="Arial" w:hAnsi="Arial" w:cs="Arial"/>
        </w:rPr>
      </w:pPr>
      <w:r>
        <w:rPr>
          <w:rFonts w:ascii="Arial" w:hAnsi="Arial" w:cs="Arial"/>
        </w:rPr>
        <w:t xml:space="preserve">With respect to the scope of instruments covered, </w:t>
      </w:r>
      <w:r w:rsidR="0080261B">
        <w:rPr>
          <w:rFonts w:ascii="Arial" w:hAnsi="Arial" w:cs="Arial"/>
        </w:rPr>
        <w:t xml:space="preserve">we recommend </w:t>
      </w:r>
      <w:r w:rsidR="003747FD">
        <w:rPr>
          <w:rFonts w:ascii="Arial" w:hAnsi="Arial" w:cs="Arial"/>
        </w:rPr>
        <w:t>t</w:t>
      </w:r>
      <w:r w:rsidR="00FB0A6E">
        <w:rPr>
          <w:rFonts w:ascii="Arial" w:hAnsi="Arial" w:cs="Arial"/>
        </w:rPr>
        <w:t>hat the</w:t>
      </w:r>
      <w:r w:rsidR="003747FD">
        <w:rPr>
          <w:rFonts w:ascii="Arial" w:hAnsi="Arial" w:cs="Arial"/>
        </w:rPr>
        <w:t xml:space="preserve"> post-trade </w:t>
      </w:r>
      <w:r w:rsidR="00FB0A6E">
        <w:rPr>
          <w:rFonts w:ascii="Arial" w:hAnsi="Arial" w:cs="Arial"/>
        </w:rPr>
        <w:t xml:space="preserve">equities </w:t>
      </w:r>
      <w:r w:rsidR="003747FD">
        <w:rPr>
          <w:rFonts w:ascii="Arial" w:hAnsi="Arial" w:cs="Arial"/>
        </w:rPr>
        <w:t xml:space="preserve">CT </w:t>
      </w:r>
      <w:r w:rsidR="0000739E">
        <w:rPr>
          <w:rFonts w:ascii="Arial" w:hAnsi="Arial" w:cs="Arial"/>
        </w:rPr>
        <w:t xml:space="preserve">be as broad as possible in order to ensure that investors have access to information relating to correlated instruments (e.g. shares and ETFs).  </w:t>
      </w:r>
      <w:r w:rsidR="003E0D9A">
        <w:rPr>
          <w:rFonts w:ascii="Arial" w:hAnsi="Arial" w:cs="Arial"/>
        </w:rPr>
        <w:t>Foc</w:t>
      </w:r>
      <w:r w:rsidR="00B1701D">
        <w:rPr>
          <w:rFonts w:ascii="Arial" w:hAnsi="Arial" w:cs="Arial"/>
        </w:rPr>
        <w:t>u</w:t>
      </w:r>
      <w:r w:rsidR="003E0D9A">
        <w:rPr>
          <w:rFonts w:ascii="Arial" w:hAnsi="Arial" w:cs="Arial"/>
        </w:rPr>
        <w:t>sing solely on shares is unlikely to significantly simplify the structure of the post-trade CT or materially reduce the number of r</w:t>
      </w:r>
      <w:r w:rsidR="0000739E">
        <w:rPr>
          <w:rFonts w:ascii="Arial" w:hAnsi="Arial" w:cs="Arial"/>
        </w:rPr>
        <w:t>elevant trading venues and APAs.  In our view, a post-trade CT should be implemented in as many asset classes as possible, including both equities and non-equities.</w:t>
      </w:r>
    </w:p>
    <w:permEnd w:id="1911820905"/>
    <w:p w14:paraId="10EB7A13" w14:textId="2C618480"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60AF29E9" w14:textId="04EF3B48" w:rsidR="00826DA1" w:rsidRPr="00826DA1" w:rsidRDefault="00826DA1" w:rsidP="00826DA1">
      <w:pPr>
        <w:jc w:val="both"/>
        <w:rPr>
          <w:rFonts w:ascii="Arial" w:hAnsi="Arial" w:cs="Arial"/>
        </w:rPr>
      </w:pPr>
      <w:permStart w:id="1052057623" w:edGrp="everyone"/>
      <w:r>
        <w:rPr>
          <w:rFonts w:ascii="Arial" w:hAnsi="Arial" w:cs="Arial"/>
        </w:rPr>
        <w:t>Yes, we agree that the</w:t>
      </w:r>
      <w:r w:rsidRPr="00826DA1">
        <w:rPr>
          <w:rFonts w:ascii="Arial" w:hAnsi="Arial" w:cs="Arial"/>
        </w:rPr>
        <w:t xml:space="preserve"> post-trade CT should provide market participants with data as close to real-time as possible</w:t>
      </w:r>
      <w:r>
        <w:rPr>
          <w:rFonts w:ascii="Arial" w:hAnsi="Arial" w:cs="Arial"/>
        </w:rPr>
        <w:t xml:space="preserve"> regarding each </w:t>
      </w:r>
      <w:r w:rsidR="00B73493">
        <w:rPr>
          <w:rFonts w:ascii="Arial" w:hAnsi="Arial" w:cs="Arial"/>
        </w:rPr>
        <w:t>transaction</w:t>
      </w:r>
      <w:r>
        <w:rPr>
          <w:rFonts w:ascii="Arial" w:hAnsi="Arial" w:cs="Arial"/>
        </w:rPr>
        <w:t xml:space="preserve"> that is executed in the relevant instrument</w:t>
      </w:r>
      <w:r w:rsidRPr="00826DA1">
        <w:rPr>
          <w:rFonts w:ascii="Arial" w:hAnsi="Arial" w:cs="Arial"/>
        </w:rPr>
        <w:t xml:space="preserve">.  Real-time data enables market participants to use the post-trade CT to more confidently assess current market dynamics, which increases investor confidence and is particularly important during times of market volatility.  In addition, real-time data reduces existing information asymmetries, where </w:t>
      </w:r>
      <w:r>
        <w:rPr>
          <w:rFonts w:ascii="Arial" w:hAnsi="Arial" w:cs="Arial"/>
        </w:rPr>
        <w:t>certain</w:t>
      </w:r>
      <w:r w:rsidRPr="00826DA1">
        <w:rPr>
          <w:rFonts w:ascii="Arial" w:hAnsi="Arial" w:cs="Arial"/>
        </w:rPr>
        <w:t xml:space="preserve"> market participants</w:t>
      </w:r>
      <w:r>
        <w:rPr>
          <w:rFonts w:ascii="Arial" w:hAnsi="Arial" w:cs="Arial"/>
        </w:rPr>
        <w:t xml:space="preserve"> may</w:t>
      </w:r>
      <w:r w:rsidRPr="00826DA1">
        <w:rPr>
          <w:rFonts w:ascii="Arial" w:hAnsi="Arial" w:cs="Arial"/>
        </w:rPr>
        <w:t xml:space="preserve"> have greater knowledge regarding ongoing trading activity than other investors.  Leveling the playing field with respect to access to information regarding ongoing trading activity helps investors hold liquidity providers accountable and promotes overall market competition.</w:t>
      </w:r>
    </w:p>
    <w:p w14:paraId="3AE7B1A7" w14:textId="77777777" w:rsidR="00826DA1" w:rsidRPr="00826DA1" w:rsidRDefault="00826DA1" w:rsidP="00826DA1">
      <w:pPr>
        <w:jc w:val="both"/>
        <w:rPr>
          <w:rFonts w:ascii="Arial" w:hAnsi="Arial" w:cs="Arial"/>
        </w:rPr>
      </w:pPr>
    </w:p>
    <w:p w14:paraId="7AD74669" w14:textId="76F1A5ED" w:rsidR="00FB0A6E" w:rsidRDefault="00826DA1" w:rsidP="00826DA1">
      <w:pPr>
        <w:jc w:val="both"/>
        <w:rPr>
          <w:rFonts w:ascii="Arial" w:hAnsi="Arial" w:cs="Arial"/>
        </w:rPr>
      </w:pPr>
      <w:r w:rsidRPr="00826DA1">
        <w:rPr>
          <w:rFonts w:ascii="Arial" w:hAnsi="Arial" w:cs="Arial"/>
        </w:rPr>
        <w:t xml:space="preserve">We note that, in certain asset classes, the current calibration of liquidity assessments and deferrals means that a significant </w:t>
      </w:r>
      <w:r w:rsidR="00B73493" w:rsidRPr="00826DA1">
        <w:rPr>
          <w:rFonts w:ascii="Arial" w:hAnsi="Arial" w:cs="Arial"/>
        </w:rPr>
        <w:t>percentage</w:t>
      </w:r>
      <w:r w:rsidRPr="00826DA1">
        <w:rPr>
          <w:rFonts w:ascii="Arial" w:hAnsi="Arial" w:cs="Arial"/>
        </w:rPr>
        <w:t xml:space="preserve"> of trading activity is not subject to post-trade transparency until four weeks later.  For example, data shows that over 70% of trading </w:t>
      </w:r>
      <w:r w:rsidR="00B73493" w:rsidRPr="00826DA1">
        <w:rPr>
          <w:rFonts w:ascii="Arial" w:hAnsi="Arial" w:cs="Arial"/>
        </w:rPr>
        <w:t>volume</w:t>
      </w:r>
      <w:r w:rsidRPr="00826DA1">
        <w:rPr>
          <w:rFonts w:ascii="Arial" w:hAnsi="Arial" w:cs="Arial"/>
        </w:rPr>
        <w:t xml:space="preserve"> in EUR IRS is currently subject to a four week deferral.</w:t>
      </w:r>
      <w:r w:rsidRPr="00F57296">
        <w:rPr>
          <w:rStyle w:val="FootnoteReference"/>
          <w:rFonts w:asciiTheme="minorHAnsi" w:hAnsiTheme="minorHAnsi" w:cstheme="minorHAnsi"/>
          <w:sz w:val="24"/>
        </w:rPr>
        <w:footnoteReference w:id="14"/>
      </w:r>
      <w:r w:rsidRPr="00826DA1">
        <w:rPr>
          <w:rFonts w:ascii="Arial" w:hAnsi="Arial" w:cs="Arial"/>
        </w:rPr>
        <w:t xml:space="preserve">  In connection with implementing a post-trade CT in a particular asset class, we encourage ESMA and NCAs to assess the operation of existing post-trade deferrals (including the percentage of transactions currently qualifying for the maximum deferrals, based on both trade count and trading volume) and make changes as necessary to ensure the post-trade transparency framework is operating as intended and is benefiting investors.</w:t>
      </w:r>
    </w:p>
    <w:p w14:paraId="5DB9ED4A" w14:textId="2CB59C9F" w:rsidR="00481290" w:rsidRDefault="00481290" w:rsidP="00010773">
      <w:pPr>
        <w:rPr>
          <w:rFonts w:ascii="Arial" w:hAnsi="Arial" w:cs="Arial"/>
        </w:rPr>
      </w:pPr>
    </w:p>
    <w:p w14:paraId="461B101D" w14:textId="51E26542" w:rsidR="00EB39A5" w:rsidRDefault="00826DA1" w:rsidP="00010773">
      <w:pPr>
        <w:rPr>
          <w:rFonts w:ascii="Arial" w:hAnsi="Arial" w:cs="Arial"/>
        </w:rPr>
      </w:pPr>
      <w:r>
        <w:rPr>
          <w:rFonts w:ascii="Arial" w:hAnsi="Arial" w:cs="Arial"/>
        </w:rPr>
        <w:t>We note that real-time access to data is a key component of all of the US post-trade transparency frameworks for equities, corporate bonds, municipal bonds, and OTC derivatives.</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59823691" w:rsidR="00010773" w:rsidRDefault="00D24847" w:rsidP="00010773">
      <w:pPr>
        <w:rPr>
          <w:rFonts w:ascii="Arial" w:hAnsi="Arial" w:cs="Arial"/>
        </w:rPr>
      </w:pPr>
      <w:permStart w:id="584346855" w:edGrp="everyone"/>
      <w:r>
        <w:rPr>
          <w:rFonts w:ascii="Arial" w:hAnsi="Arial" w:cs="Arial"/>
        </w:rPr>
        <w:t>TYPE YOUR TEXT HERE</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55A8E72" w14:textId="7825931D" w:rsidR="00BC5A6B" w:rsidRDefault="000B1FC9" w:rsidP="0071008C">
      <w:pPr>
        <w:jc w:val="both"/>
        <w:rPr>
          <w:rFonts w:ascii="Arial" w:hAnsi="Arial" w:cs="Arial"/>
        </w:rPr>
      </w:pPr>
      <w:permStart w:id="905464300" w:edGrp="everyone"/>
      <w:r>
        <w:rPr>
          <w:rFonts w:ascii="Arial" w:hAnsi="Arial" w:cs="Arial"/>
        </w:rPr>
        <w:t xml:space="preserve">We agree that the optimal structure is </w:t>
      </w:r>
      <w:r w:rsidR="005D500A">
        <w:rPr>
          <w:rFonts w:ascii="Arial" w:hAnsi="Arial" w:cs="Arial"/>
        </w:rPr>
        <w:t xml:space="preserve">for there to be </w:t>
      </w:r>
      <w:r>
        <w:rPr>
          <w:rFonts w:ascii="Arial" w:hAnsi="Arial" w:cs="Arial"/>
        </w:rPr>
        <w:t xml:space="preserve">one registered CTP per asset class.  This will maximise demand for the post-trade CT, while simplifying operational workflows for </w:t>
      </w:r>
      <w:r w:rsidR="005D500A">
        <w:rPr>
          <w:rFonts w:ascii="Arial" w:hAnsi="Arial" w:cs="Arial"/>
        </w:rPr>
        <w:t xml:space="preserve">the </w:t>
      </w:r>
      <w:r>
        <w:rPr>
          <w:rFonts w:ascii="Arial" w:hAnsi="Arial" w:cs="Arial"/>
        </w:rPr>
        <w:t>trading venues and APAs</w:t>
      </w:r>
      <w:r w:rsidR="005D500A">
        <w:rPr>
          <w:rFonts w:ascii="Arial" w:hAnsi="Arial" w:cs="Arial"/>
        </w:rPr>
        <w:t xml:space="preserve"> submitting data</w:t>
      </w:r>
      <w:r>
        <w:rPr>
          <w:rFonts w:ascii="Arial" w:hAnsi="Arial" w:cs="Arial"/>
        </w:rPr>
        <w:t xml:space="preserve">.  </w:t>
      </w:r>
      <w:r w:rsidR="003323B3">
        <w:rPr>
          <w:rFonts w:ascii="Arial" w:hAnsi="Arial" w:cs="Arial"/>
        </w:rPr>
        <w:t xml:space="preserve">In addition, </w:t>
      </w:r>
      <w:r w:rsidR="003F5F47">
        <w:rPr>
          <w:rFonts w:ascii="Arial" w:hAnsi="Arial" w:cs="Arial"/>
        </w:rPr>
        <w:t>having a</w:t>
      </w:r>
      <w:r w:rsidR="003323B3">
        <w:rPr>
          <w:rFonts w:ascii="Arial" w:hAnsi="Arial" w:cs="Arial"/>
        </w:rPr>
        <w:t xml:space="preserve"> </w:t>
      </w:r>
      <w:r w:rsidR="005D500A">
        <w:rPr>
          <w:rFonts w:ascii="Arial" w:hAnsi="Arial" w:cs="Arial"/>
        </w:rPr>
        <w:t xml:space="preserve">single CTP establish and enforce a </w:t>
      </w:r>
      <w:r>
        <w:rPr>
          <w:rFonts w:ascii="Arial" w:hAnsi="Arial" w:cs="Arial"/>
        </w:rPr>
        <w:t xml:space="preserve">consistent set of </w:t>
      </w:r>
      <w:r>
        <w:rPr>
          <w:rFonts w:ascii="Arial" w:hAnsi="Arial" w:cs="Arial"/>
        </w:rPr>
        <w:lastRenderedPageBreak/>
        <w:t>standards governing data submission</w:t>
      </w:r>
      <w:r w:rsidR="003F5F47">
        <w:rPr>
          <w:rFonts w:ascii="Arial" w:hAnsi="Arial" w:cs="Arial"/>
        </w:rPr>
        <w:t xml:space="preserve"> </w:t>
      </w:r>
      <w:r w:rsidR="005D500A">
        <w:rPr>
          <w:rFonts w:ascii="Arial" w:hAnsi="Arial" w:cs="Arial"/>
        </w:rPr>
        <w:t>should</w:t>
      </w:r>
      <w:r w:rsidR="003F5F47">
        <w:rPr>
          <w:rFonts w:ascii="Arial" w:hAnsi="Arial" w:cs="Arial"/>
        </w:rPr>
        <w:t xml:space="preserve"> improve overall market data quality</w:t>
      </w:r>
      <w:r w:rsidR="003323B3">
        <w:rPr>
          <w:rFonts w:ascii="Arial" w:hAnsi="Arial" w:cs="Arial"/>
        </w:rPr>
        <w:t>.</w:t>
      </w:r>
    </w:p>
    <w:p w14:paraId="18A3C18F" w14:textId="40F80894" w:rsidR="000B1FC9" w:rsidRDefault="000B1FC9" w:rsidP="0071008C">
      <w:pPr>
        <w:jc w:val="both"/>
        <w:rPr>
          <w:rFonts w:ascii="Arial" w:hAnsi="Arial" w:cs="Arial"/>
        </w:rPr>
      </w:pPr>
    </w:p>
    <w:p w14:paraId="46CF26E5" w14:textId="6B3E38DB" w:rsidR="00010773" w:rsidRDefault="00D00E8D" w:rsidP="0071008C">
      <w:pPr>
        <w:jc w:val="both"/>
        <w:rPr>
          <w:rFonts w:ascii="Arial" w:hAnsi="Arial" w:cs="Arial"/>
        </w:rPr>
      </w:pPr>
      <w:r>
        <w:rPr>
          <w:rFonts w:ascii="Arial" w:hAnsi="Arial" w:cs="Arial"/>
        </w:rPr>
        <w:t>We note that</w:t>
      </w:r>
      <w:r w:rsidR="005D500A">
        <w:rPr>
          <w:rFonts w:ascii="Arial" w:hAnsi="Arial" w:cs="Arial"/>
        </w:rPr>
        <w:t xml:space="preserve"> </w:t>
      </w:r>
      <w:r>
        <w:rPr>
          <w:rFonts w:ascii="Arial" w:hAnsi="Arial" w:cs="Arial"/>
        </w:rPr>
        <w:t xml:space="preserve">the registered CTP </w:t>
      </w:r>
      <w:r w:rsidR="005D500A">
        <w:rPr>
          <w:rFonts w:ascii="Arial" w:hAnsi="Arial" w:cs="Arial"/>
        </w:rPr>
        <w:t xml:space="preserve">could be appointed by asset class, such that multiple firms could serve as a CTP </w:t>
      </w:r>
      <w:r w:rsidR="008E0DC0">
        <w:rPr>
          <w:rFonts w:ascii="Arial" w:hAnsi="Arial" w:cs="Arial"/>
        </w:rPr>
        <w:t>simultaneo</w:t>
      </w:r>
      <w:r w:rsidR="005D500A">
        <w:rPr>
          <w:rFonts w:ascii="Arial" w:hAnsi="Arial" w:cs="Arial"/>
        </w:rPr>
        <w:t>usly as additional post-trade CTs are introduced</w:t>
      </w:r>
      <w:r>
        <w:rPr>
          <w:rFonts w:ascii="Arial" w:hAnsi="Arial" w:cs="Arial"/>
        </w:rPr>
        <w:t xml:space="preserve">.  This may </w:t>
      </w:r>
      <w:r w:rsidR="005D500A">
        <w:rPr>
          <w:rFonts w:ascii="Arial" w:hAnsi="Arial" w:cs="Arial"/>
        </w:rPr>
        <w:t>create</w:t>
      </w:r>
      <w:r>
        <w:rPr>
          <w:rFonts w:ascii="Arial" w:hAnsi="Arial" w:cs="Arial"/>
        </w:rPr>
        <w:t xml:space="preserve"> healthy competition as more than one firm gains experience in operating as a CTP, and can </w:t>
      </w:r>
      <w:r w:rsidR="00B44A98">
        <w:rPr>
          <w:rFonts w:ascii="Arial" w:hAnsi="Arial" w:cs="Arial"/>
        </w:rPr>
        <w:t>then</w:t>
      </w:r>
      <w:r>
        <w:rPr>
          <w:rFonts w:ascii="Arial" w:hAnsi="Arial" w:cs="Arial"/>
        </w:rPr>
        <w:t xml:space="preserve"> challenge for the role in other asset classes as re-appointments occur. </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24E99299" w:rsidR="00010773" w:rsidRDefault="00D00E8D" w:rsidP="00B44A98">
      <w:pPr>
        <w:jc w:val="both"/>
        <w:rPr>
          <w:rFonts w:ascii="Arial" w:hAnsi="Arial" w:cs="Arial"/>
        </w:rPr>
      </w:pPr>
      <w:permStart w:id="1019550232" w:edGrp="everyone"/>
      <w:r>
        <w:rPr>
          <w:rFonts w:ascii="Arial" w:hAnsi="Arial" w:cs="Arial"/>
        </w:rPr>
        <w:t>Yes, to the extent only one CTP is permitted per asset cl</w:t>
      </w:r>
      <w:r w:rsidR="00883C92">
        <w:rPr>
          <w:rFonts w:ascii="Arial" w:hAnsi="Arial" w:cs="Arial"/>
        </w:rPr>
        <w:t xml:space="preserve">ass, it is important to </w:t>
      </w:r>
      <w:r w:rsidR="00025171">
        <w:rPr>
          <w:rFonts w:ascii="Arial" w:hAnsi="Arial" w:cs="Arial"/>
        </w:rPr>
        <w:t xml:space="preserve">ensure </w:t>
      </w:r>
      <w:r w:rsidR="00883C92">
        <w:rPr>
          <w:rFonts w:ascii="Arial" w:hAnsi="Arial" w:cs="Arial"/>
        </w:rPr>
        <w:t xml:space="preserve"> </w:t>
      </w:r>
      <w:r>
        <w:rPr>
          <w:rFonts w:ascii="Arial" w:hAnsi="Arial" w:cs="Arial"/>
        </w:rPr>
        <w:t>accountability and competition through a regular re-tendering process.  We suggest that the registered CTP be appointed every three years.</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49298B13" w14:textId="77777777" w:rsidR="00764CEA" w:rsidRDefault="00764CEA" w:rsidP="00764CEA">
      <w:pPr>
        <w:jc w:val="both"/>
        <w:rPr>
          <w:rFonts w:ascii="Arial" w:hAnsi="Arial" w:cs="Arial"/>
        </w:rPr>
      </w:pPr>
      <w:permStart w:id="1374687207" w:edGrp="everyone"/>
      <w:r w:rsidRPr="00764CEA">
        <w:rPr>
          <w:rFonts w:ascii="Arial" w:hAnsi="Arial" w:cs="Arial"/>
        </w:rPr>
        <w:t xml:space="preserve">A post-trade CT must be low cost (or free of charge) in order to be accessible by all investors and to level the playing with respect to access to information regarding market trading activity.  </w:t>
      </w:r>
    </w:p>
    <w:p w14:paraId="4D38D5DA" w14:textId="77777777" w:rsidR="00764CEA" w:rsidRDefault="00764CEA" w:rsidP="00764CEA">
      <w:pPr>
        <w:jc w:val="both"/>
        <w:rPr>
          <w:rFonts w:ascii="Arial" w:hAnsi="Arial" w:cs="Arial"/>
        </w:rPr>
      </w:pPr>
    </w:p>
    <w:p w14:paraId="01303F1A" w14:textId="0EF32CA3" w:rsidR="00E34DCA" w:rsidRDefault="00764CEA" w:rsidP="00764CEA">
      <w:pPr>
        <w:jc w:val="both"/>
        <w:rPr>
          <w:rFonts w:ascii="Arial" w:hAnsi="Arial" w:cs="Arial"/>
        </w:rPr>
      </w:pPr>
      <w:r>
        <w:rPr>
          <w:rFonts w:ascii="Arial" w:hAnsi="Arial" w:cs="Arial"/>
        </w:rPr>
        <w:t xml:space="preserve">In order to achieve this, it is critical that </w:t>
      </w:r>
      <w:r w:rsidRPr="00764CEA">
        <w:rPr>
          <w:rFonts w:ascii="Arial" w:hAnsi="Arial" w:cs="Arial"/>
        </w:rPr>
        <w:t xml:space="preserve">trading venues and APAs </w:t>
      </w:r>
      <w:r>
        <w:rPr>
          <w:rFonts w:ascii="Arial" w:hAnsi="Arial" w:cs="Arial"/>
        </w:rPr>
        <w:t xml:space="preserve">are required </w:t>
      </w:r>
      <w:r w:rsidRPr="00764CEA">
        <w:rPr>
          <w:rFonts w:ascii="Arial" w:hAnsi="Arial" w:cs="Arial"/>
        </w:rPr>
        <w:t>to submit post-trade data to the CTP free of charge</w:t>
      </w:r>
      <w:r>
        <w:rPr>
          <w:rFonts w:ascii="Arial" w:hAnsi="Arial" w:cs="Arial"/>
        </w:rPr>
        <w:t>.  This should enable the CTP to minimise its fees, even if permitted to earn a specified margin for its services.</w:t>
      </w:r>
    </w:p>
    <w:p w14:paraId="22042DC7" w14:textId="6E059EB1" w:rsidR="00764CEA" w:rsidRDefault="00764CEA" w:rsidP="00764CEA">
      <w:pPr>
        <w:jc w:val="both"/>
        <w:rPr>
          <w:rFonts w:ascii="Arial" w:hAnsi="Arial" w:cs="Arial"/>
        </w:rPr>
      </w:pPr>
    </w:p>
    <w:p w14:paraId="5D6E0B8A" w14:textId="28D49718" w:rsidR="002C5317" w:rsidRPr="00847206" w:rsidRDefault="00764CEA" w:rsidP="00764CEA">
      <w:pPr>
        <w:jc w:val="both"/>
        <w:rPr>
          <w:rFonts w:ascii="Arial" w:hAnsi="Arial" w:cs="Arial"/>
        </w:rPr>
      </w:pPr>
      <w:r w:rsidRPr="00847206">
        <w:rPr>
          <w:rFonts w:ascii="Arial" w:hAnsi="Arial" w:cs="Arial"/>
        </w:rPr>
        <w:t xml:space="preserve">We note that the fee schedules </w:t>
      </w:r>
      <w:r w:rsidR="004C79A1">
        <w:rPr>
          <w:rFonts w:ascii="Arial" w:hAnsi="Arial" w:cs="Arial"/>
        </w:rPr>
        <w:t>used for</w:t>
      </w:r>
      <w:r w:rsidRPr="00847206">
        <w:rPr>
          <w:rFonts w:ascii="Arial" w:hAnsi="Arial" w:cs="Arial"/>
        </w:rPr>
        <w:t xml:space="preserve"> </w:t>
      </w:r>
      <w:r w:rsidR="002C5317" w:rsidRPr="00847206">
        <w:rPr>
          <w:rFonts w:ascii="Arial" w:hAnsi="Arial" w:cs="Arial"/>
        </w:rPr>
        <w:t>US post-trade transparency frameworks may be instructive:</w:t>
      </w:r>
    </w:p>
    <w:p w14:paraId="78A01857" w14:textId="77777777" w:rsidR="002C5317" w:rsidRPr="00847206" w:rsidRDefault="002C5317" w:rsidP="00764CEA">
      <w:pPr>
        <w:jc w:val="both"/>
        <w:rPr>
          <w:rFonts w:ascii="Arial" w:hAnsi="Arial" w:cs="Arial"/>
        </w:rPr>
      </w:pPr>
    </w:p>
    <w:p w14:paraId="68A5D7D2" w14:textId="227C20A0" w:rsidR="00764CEA" w:rsidRPr="00847206" w:rsidRDefault="002C5317" w:rsidP="00847206">
      <w:pPr>
        <w:pStyle w:val="ListParagraph"/>
        <w:rPr>
          <w:sz w:val="24"/>
          <w:szCs w:val="24"/>
        </w:rPr>
      </w:pPr>
      <w:r w:rsidRPr="00847206">
        <w:rPr>
          <w:sz w:val="24"/>
          <w:szCs w:val="24"/>
        </w:rPr>
        <w:t xml:space="preserve">SIP (note </w:t>
      </w:r>
      <w:r w:rsidR="00847206" w:rsidRPr="00847206">
        <w:rPr>
          <w:sz w:val="24"/>
          <w:szCs w:val="24"/>
        </w:rPr>
        <w:t>i</w:t>
      </w:r>
      <w:r w:rsidRPr="00847206">
        <w:rPr>
          <w:sz w:val="24"/>
          <w:szCs w:val="24"/>
        </w:rPr>
        <w:t>nclude</w:t>
      </w:r>
      <w:r w:rsidR="00847206" w:rsidRPr="00847206">
        <w:rPr>
          <w:sz w:val="24"/>
          <w:szCs w:val="24"/>
        </w:rPr>
        <w:t>s</w:t>
      </w:r>
      <w:r w:rsidRPr="00847206">
        <w:rPr>
          <w:sz w:val="24"/>
          <w:szCs w:val="24"/>
        </w:rPr>
        <w:t xml:space="preserve"> both pre-trade and post-trade data): </w:t>
      </w:r>
      <w:hyperlink r:id="rId20" w:history="1">
        <w:r w:rsidRPr="00847206">
          <w:rPr>
            <w:rStyle w:val="Hyperlink"/>
            <w:sz w:val="24"/>
            <w:szCs w:val="24"/>
          </w:rPr>
          <w:t>https://www.ctaplan.com/publicdocs/ctaplan/notifications/trader-update/Schedule%20Of%20Market%20Data%20Charges%20-%20January%201,%202015.pdf</w:t>
        </w:r>
      </w:hyperlink>
      <w:r w:rsidRPr="00847206">
        <w:rPr>
          <w:sz w:val="24"/>
          <w:szCs w:val="24"/>
        </w:rPr>
        <w:t xml:space="preserve"> / </w:t>
      </w:r>
      <w:hyperlink r:id="rId21" w:history="1">
        <w:r w:rsidRPr="00847206">
          <w:rPr>
            <w:rStyle w:val="Hyperlink"/>
            <w:sz w:val="24"/>
            <w:szCs w:val="24"/>
          </w:rPr>
          <w:t>https://www.utpplan.com/doc/DataPolicies.pdf</w:t>
        </w:r>
      </w:hyperlink>
    </w:p>
    <w:p w14:paraId="361C6F4F" w14:textId="77777777" w:rsidR="002C5317" w:rsidRPr="00847206" w:rsidRDefault="002C5317" w:rsidP="00847206">
      <w:pPr>
        <w:ind w:left="720"/>
      </w:pPr>
    </w:p>
    <w:p w14:paraId="7ECD6C30" w14:textId="486E20C3" w:rsidR="002C5317" w:rsidRPr="00847206" w:rsidRDefault="002C5317" w:rsidP="00847206">
      <w:pPr>
        <w:pStyle w:val="ListParagraph"/>
        <w:rPr>
          <w:sz w:val="24"/>
          <w:szCs w:val="24"/>
        </w:rPr>
      </w:pPr>
      <w:r w:rsidRPr="00847206">
        <w:rPr>
          <w:sz w:val="24"/>
          <w:szCs w:val="24"/>
        </w:rPr>
        <w:t xml:space="preserve">TRACE: </w:t>
      </w:r>
      <w:hyperlink r:id="rId22" w:history="1">
        <w:r w:rsidRPr="00847206">
          <w:rPr>
            <w:rStyle w:val="Hyperlink"/>
            <w:sz w:val="24"/>
            <w:szCs w:val="24"/>
          </w:rPr>
          <w:t>https://www.finra.org/industry/trace-pricing</w:t>
        </w:r>
      </w:hyperlink>
    </w:p>
    <w:p w14:paraId="72A5B04C" w14:textId="77777777" w:rsidR="002C5317" w:rsidRPr="00847206" w:rsidRDefault="002C5317" w:rsidP="00847206">
      <w:pPr>
        <w:ind w:left="720"/>
      </w:pPr>
    </w:p>
    <w:p w14:paraId="43EBAF9B" w14:textId="2C38721F" w:rsidR="002C5317" w:rsidRPr="00847206" w:rsidRDefault="002C5317" w:rsidP="00847206">
      <w:pPr>
        <w:pStyle w:val="ListParagraph"/>
        <w:rPr>
          <w:sz w:val="24"/>
          <w:szCs w:val="24"/>
        </w:rPr>
      </w:pPr>
      <w:r w:rsidRPr="00847206">
        <w:rPr>
          <w:sz w:val="24"/>
          <w:szCs w:val="24"/>
        </w:rPr>
        <w:t xml:space="preserve">EMMA: </w:t>
      </w:r>
      <w:hyperlink r:id="rId23" w:history="1">
        <w:r w:rsidRPr="00847206">
          <w:rPr>
            <w:rStyle w:val="Hyperlink"/>
            <w:sz w:val="24"/>
            <w:szCs w:val="24"/>
          </w:rPr>
          <w:t>http://www.msrb.org/msrb1/pdfs/MSRBSubscriptionServicesPriceList.pdf</w:t>
        </w:r>
      </w:hyperlink>
    </w:p>
    <w:p w14:paraId="343E8B98" w14:textId="77777777" w:rsidR="002C5317" w:rsidRPr="00847206" w:rsidRDefault="002C5317" w:rsidP="00847206">
      <w:pPr>
        <w:ind w:left="720"/>
      </w:pPr>
    </w:p>
    <w:p w14:paraId="68782936" w14:textId="7694A2E1" w:rsidR="00E34DCA" w:rsidRPr="00847206" w:rsidRDefault="002C5317" w:rsidP="00847206">
      <w:pPr>
        <w:pStyle w:val="ListParagraph"/>
        <w:rPr>
          <w:rFonts w:ascii="Arial" w:hAnsi="Arial" w:cs="Arial"/>
          <w:sz w:val="24"/>
          <w:szCs w:val="24"/>
        </w:rPr>
      </w:pPr>
      <w:r w:rsidRPr="00847206">
        <w:rPr>
          <w:sz w:val="24"/>
          <w:szCs w:val="24"/>
        </w:rPr>
        <w:t>DTCC DDR: Free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lastRenderedPageBreak/>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7B979A8" w14:textId="56548ACE" w:rsidR="00E34DCA" w:rsidRDefault="00E4794D" w:rsidP="005030E0">
      <w:pPr>
        <w:jc w:val="both"/>
        <w:rPr>
          <w:rFonts w:ascii="Arial" w:hAnsi="Arial" w:cs="Arial"/>
        </w:rPr>
      </w:pPr>
      <w:permStart w:id="1067719572" w:edGrp="everyone"/>
      <w:r>
        <w:rPr>
          <w:rFonts w:ascii="Arial" w:hAnsi="Arial" w:cs="Arial"/>
        </w:rPr>
        <w:t xml:space="preserve">To the extent </w:t>
      </w:r>
      <w:r w:rsidR="005030E0">
        <w:rPr>
          <w:rFonts w:ascii="Arial" w:hAnsi="Arial" w:cs="Arial"/>
        </w:rPr>
        <w:t xml:space="preserve">trading venues and APAs </w:t>
      </w:r>
      <w:r>
        <w:rPr>
          <w:rFonts w:ascii="Arial" w:hAnsi="Arial" w:cs="Arial"/>
        </w:rPr>
        <w:t xml:space="preserve">are permitted </w:t>
      </w:r>
      <w:r w:rsidR="005030E0">
        <w:rPr>
          <w:rFonts w:ascii="Arial" w:hAnsi="Arial" w:cs="Arial"/>
        </w:rPr>
        <w:t xml:space="preserve">to share in the </w:t>
      </w:r>
      <w:r w:rsidR="00B73493">
        <w:rPr>
          <w:rFonts w:ascii="Arial" w:hAnsi="Arial" w:cs="Arial"/>
        </w:rPr>
        <w:t>revenues</w:t>
      </w:r>
      <w:r w:rsidR="005030E0">
        <w:rPr>
          <w:rFonts w:ascii="Arial" w:hAnsi="Arial" w:cs="Arial"/>
        </w:rPr>
        <w:t xml:space="preserve"> of the post-trade CT, it </w:t>
      </w:r>
      <w:r>
        <w:rPr>
          <w:rFonts w:ascii="Arial" w:hAnsi="Arial" w:cs="Arial"/>
        </w:rPr>
        <w:t xml:space="preserve">will be </w:t>
      </w:r>
      <w:r w:rsidR="005030E0">
        <w:rPr>
          <w:rFonts w:ascii="Arial" w:hAnsi="Arial" w:cs="Arial"/>
        </w:rPr>
        <w:t>important to impose adequate transparency</w:t>
      </w:r>
      <w:r w:rsidR="000C1563">
        <w:rPr>
          <w:rFonts w:ascii="Arial" w:hAnsi="Arial" w:cs="Arial"/>
        </w:rPr>
        <w:t xml:space="preserve">.  For example, market participants should be aware of </w:t>
      </w:r>
      <w:r w:rsidR="003372BB">
        <w:rPr>
          <w:rFonts w:ascii="Arial" w:hAnsi="Arial" w:cs="Arial"/>
        </w:rPr>
        <w:t>the total revenues and operating expenses of the CTP and how profits are divided among the contributing entities.</w:t>
      </w:r>
    </w:p>
    <w:p w14:paraId="494D5390" w14:textId="4E3325E8" w:rsidR="003372BB" w:rsidRDefault="003372BB" w:rsidP="005030E0">
      <w:pPr>
        <w:jc w:val="both"/>
        <w:rPr>
          <w:rFonts w:ascii="Arial" w:hAnsi="Arial" w:cs="Arial"/>
        </w:rPr>
      </w:pPr>
    </w:p>
    <w:p w14:paraId="52C45189" w14:textId="0B9D067E" w:rsidR="008A1B57" w:rsidRDefault="003372BB" w:rsidP="005030E0">
      <w:pPr>
        <w:jc w:val="both"/>
        <w:rPr>
          <w:rFonts w:ascii="Arial" w:hAnsi="Arial" w:cs="Arial"/>
        </w:rPr>
      </w:pPr>
      <w:r>
        <w:rPr>
          <w:rFonts w:ascii="Arial" w:hAnsi="Arial" w:cs="Arial"/>
        </w:rPr>
        <w:t xml:space="preserve">We note that the optimal commercial model may vary by asset class.  For example, in the US, contributing firms share in the revenues of the </w:t>
      </w:r>
      <w:r w:rsidR="00E4794D">
        <w:rPr>
          <w:rFonts w:ascii="Arial" w:hAnsi="Arial" w:cs="Arial"/>
        </w:rPr>
        <w:t xml:space="preserve">equities </w:t>
      </w:r>
      <w:r>
        <w:rPr>
          <w:rFonts w:ascii="Arial" w:hAnsi="Arial" w:cs="Arial"/>
        </w:rPr>
        <w:t xml:space="preserve">SIP, </w:t>
      </w:r>
      <w:r w:rsidR="00E4794D">
        <w:rPr>
          <w:rFonts w:ascii="Arial" w:hAnsi="Arial" w:cs="Arial"/>
        </w:rPr>
        <w:t>which</w:t>
      </w:r>
      <w:r>
        <w:rPr>
          <w:rFonts w:ascii="Arial" w:hAnsi="Arial" w:cs="Arial"/>
        </w:rPr>
        <w:t xml:space="preserve"> includes both pre-trade and post-trade data.  Other asset classes, such as bonds and OTC derivatives, </w:t>
      </w:r>
      <w:r w:rsidR="00E4794D">
        <w:rPr>
          <w:rFonts w:ascii="Arial" w:hAnsi="Arial" w:cs="Arial"/>
        </w:rPr>
        <w:t>focus exclusively on post-trade transparency and have not implemented a similar revenue-sharing model.</w:t>
      </w:r>
    </w:p>
    <w:p w14:paraId="13B9A649" w14:textId="6A6B93EA" w:rsidR="00764CEA" w:rsidRDefault="00764CEA" w:rsidP="00010773">
      <w:pPr>
        <w:rPr>
          <w:rFonts w:ascii="Arial" w:hAnsi="Arial" w:cs="Arial"/>
        </w:rPr>
      </w:pPr>
    </w:p>
    <w:p w14:paraId="078B7EF9" w14:textId="0CB2E6A3" w:rsidR="00764CEA" w:rsidRDefault="00E4794D" w:rsidP="004A3691">
      <w:pPr>
        <w:jc w:val="both"/>
        <w:rPr>
          <w:rFonts w:ascii="Arial" w:hAnsi="Arial" w:cs="Arial"/>
        </w:rPr>
      </w:pPr>
      <w:r>
        <w:rPr>
          <w:rFonts w:ascii="Arial" w:hAnsi="Arial" w:cs="Arial"/>
        </w:rPr>
        <w:t>In addition, w</w:t>
      </w:r>
      <w:r w:rsidR="00543DFA">
        <w:rPr>
          <w:rFonts w:ascii="Arial" w:hAnsi="Arial" w:cs="Arial"/>
        </w:rPr>
        <w:t>e note that starting with a post-trade CT means that trading venues and APAs will still be permitted to charge for pre-trade transparency data, direct data feeds, and other data-related products</w:t>
      </w:r>
      <w:r w:rsidR="00013DD8">
        <w:rPr>
          <w:rFonts w:ascii="Arial" w:hAnsi="Arial" w:cs="Arial"/>
        </w:rPr>
        <w:t>, and therefore CTP-related revenues may be less meaningful</w:t>
      </w:r>
      <w:r w:rsidR="00543DFA">
        <w:rPr>
          <w:rFonts w:ascii="Arial" w:hAnsi="Arial" w:cs="Arial"/>
        </w:rPr>
        <w:t>.</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19B2FC75" w:rsidR="00010773" w:rsidRDefault="006145F1" w:rsidP="0005001D">
      <w:pPr>
        <w:jc w:val="both"/>
        <w:rPr>
          <w:rFonts w:ascii="Arial" w:hAnsi="Arial" w:cs="Arial"/>
        </w:rPr>
      </w:pPr>
      <w:permStart w:id="850608286" w:edGrp="everyone"/>
      <w:r>
        <w:rPr>
          <w:rFonts w:ascii="Arial" w:hAnsi="Arial" w:cs="Arial"/>
        </w:rPr>
        <w:t xml:space="preserve">A post-trade CT should provide market participants with the most comprehensive view of market trading activity as possible.  Therefore, it would be preferable to include UK data post-Brexit.  However, an EU27 CT would still create </w:t>
      </w:r>
      <w:r w:rsidR="00427721">
        <w:rPr>
          <w:rFonts w:ascii="Arial" w:hAnsi="Arial" w:cs="Arial"/>
        </w:rPr>
        <w:t>material</w:t>
      </w:r>
      <w:r>
        <w:rPr>
          <w:rFonts w:ascii="Arial" w:hAnsi="Arial" w:cs="Arial"/>
        </w:rPr>
        <w:t xml:space="preserve"> benefits for market participants in EU financial markets compared to the current situation, where post-trade data is extremely costly </w:t>
      </w:r>
      <w:r w:rsidR="00427721">
        <w:rPr>
          <w:rFonts w:ascii="Arial" w:hAnsi="Arial" w:cs="Arial"/>
        </w:rPr>
        <w:t xml:space="preserve">to obtain </w:t>
      </w:r>
      <w:r>
        <w:rPr>
          <w:rFonts w:ascii="Arial" w:hAnsi="Arial" w:cs="Arial"/>
        </w:rPr>
        <w:t xml:space="preserve">and </w:t>
      </w:r>
      <w:r w:rsidR="00197DCA">
        <w:rPr>
          <w:rFonts w:ascii="Arial" w:hAnsi="Arial" w:cs="Arial"/>
        </w:rPr>
        <w:t xml:space="preserve">is </w:t>
      </w:r>
      <w:r>
        <w:rPr>
          <w:rFonts w:ascii="Arial" w:hAnsi="Arial" w:cs="Arial"/>
        </w:rPr>
        <w:t>fragmented across hundreds of trading venues and APAs.</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39B89CA7" w14:textId="77777777" w:rsidR="006145F1" w:rsidRDefault="006145F1" w:rsidP="006145F1">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C2C0" w14:textId="77777777" w:rsidR="00271678" w:rsidRDefault="00271678" w:rsidP="007E7997">
      <w:r>
        <w:separator/>
      </w:r>
    </w:p>
  </w:endnote>
  <w:endnote w:type="continuationSeparator" w:id="0">
    <w:p w14:paraId="45E78670" w14:textId="77777777" w:rsidR="00271678" w:rsidRDefault="00271678" w:rsidP="007E7997">
      <w:r>
        <w:continuationSeparator/>
      </w:r>
    </w:p>
  </w:endnote>
  <w:endnote w:type="continuationNotice" w:id="1">
    <w:p w14:paraId="23B5D317" w14:textId="77777777" w:rsidR="00271678" w:rsidRDefault="00271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271678" w:rsidRDefault="0027167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271678" w:rsidRDefault="0027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0282C8DD" w:rsidR="00271678" w:rsidRDefault="00271678"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12 July 2019 </w:t>
    </w:r>
    <w:r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633D9A14" w:rsidR="00271678" w:rsidRDefault="00271678">
        <w:pPr>
          <w:pStyle w:val="Footer"/>
          <w:jc w:val="center"/>
        </w:pPr>
        <w:r>
          <w:fldChar w:fldCharType="begin"/>
        </w:r>
        <w:r>
          <w:instrText xml:space="preserve"> PAGE   \* MERGEFORMAT </w:instrText>
        </w:r>
        <w:r>
          <w:fldChar w:fldCharType="separate"/>
        </w:r>
        <w:r w:rsidR="00C303A0">
          <w:rPr>
            <w:noProof/>
          </w:rPr>
          <w:t>4</w:t>
        </w:r>
        <w:r>
          <w:rPr>
            <w:noProof/>
          </w:rPr>
          <w:fldChar w:fldCharType="end"/>
        </w:r>
      </w:p>
    </w:sdtContent>
  </w:sdt>
  <w:p w14:paraId="5EAB6EC7" w14:textId="1F85019A" w:rsidR="00271678" w:rsidRDefault="00271678"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2AE7" w14:textId="77777777" w:rsidR="00271678" w:rsidRDefault="00271678" w:rsidP="007E7997">
      <w:r>
        <w:separator/>
      </w:r>
    </w:p>
  </w:footnote>
  <w:footnote w:type="continuationSeparator" w:id="0">
    <w:p w14:paraId="709A180E" w14:textId="77777777" w:rsidR="00271678" w:rsidRDefault="00271678" w:rsidP="007E7997">
      <w:r>
        <w:continuationSeparator/>
      </w:r>
    </w:p>
  </w:footnote>
  <w:footnote w:type="continuationNotice" w:id="1">
    <w:p w14:paraId="400D8C14" w14:textId="77777777" w:rsidR="00271678" w:rsidRDefault="00271678"/>
  </w:footnote>
  <w:footnote w:id="2">
    <w:p w14:paraId="57352F38" w14:textId="6513AA53" w:rsidR="00271678" w:rsidRPr="002D5E88" w:rsidRDefault="00271678" w:rsidP="002742AC">
      <w:pPr>
        <w:pStyle w:val="FootnoteText"/>
        <w:rPr>
          <w:lang w:val="en-US"/>
        </w:rPr>
      </w:pPr>
      <w:r w:rsidRPr="002D5E88">
        <w:rPr>
          <w:rStyle w:val="FootnoteReference"/>
          <w:sz w:val="20"/>
        </w:rPr>
        <w:footnoteRef/>
      </w:r>
      <w:r w:rsidRPr="002D5E88">
        <w:t xml:space="preserve"> See </w:t>
      </w:r>
      <w:hyperlink r:id="rId1" w:history="1">
        <w:r w:rsidRPr="002D5E88">
          <w:rPr>
            <w:rStyle w:val="Hyperlink"/>
          </w:rPr>
          <w:t>https://www.anna-dsb.com/2018/05/04/firds-data-analysis-for-april-2018/</w:t>
        </w:r>
      </w:hyperlink>
      <w:r w:rsidRPr="002D5E88">
        <w:t>.</w:t>
      </w:r>
    </w:p>
  </w:footnote>
  <w:footnote w:id="3">
    <w:p w14:paraId="7BFCA575" w14:textId="77777777" w:rsidR="00271678" w:rsidRPr="002D5E88" w:rsidRDefault="00271678" w:rsidP="002D5E88">
      <w:pPr>
        <w:pStyle w:val="FootnoteText"/>
      </w:pPr>
      <w:r w:rsidRPr="002D5E88">
        <w:rPr>
          <w:rStyle w:val="FootnoteReference"/>
          <w:sz w:val="20"/>
        </w:rPr>
        <w:footnoteRef/>
      </w:r>
      <w:r w:rsidRPr="002D5E88">
        <w:t xml:space="preserve"> See “MiFID II Transparency Update,” Clarus Financial Technology (April 17, 2019), available at:</w:t>
      </w:r>
    </w:p>
    <w:p w14:paraId="7C1F98B0" w14:textId="29B5209E" w:rsidR="00271678" w:rsidRPr="002D5E88" w:rsidRDefault="00C303A0" w:rsidP="002D5E88">
      <w:pPr>
        <w:pStyle w:val="FootnoteText"/>
        <w:rPr>
          <w:lang w:val="en-US"/>
        </w:rPr>
      </w:pPr>
      <w:hyperlink r:id="rId2" w:history="1">
        <w:r w:rsidR="00271678" w:rsidRPr="002D5E88">
          <w:rPr>
            <w:rStyle w:val="Hyperlink"/>
          </w:rPr>
          <w:t>https://www.clarusft.com/mifid-ii-transparency-update/</w:t>
        </w:r>
      </w:hyperlink>
      <w:r w:rsidR="00271678" w:rsidRPr="002D5E88">
        <w:t>.</w:t>
      </w:r>
    </w:p>
  </w:footnote>
  <w:footnote w:id="4">
    <w:p w14:paraId="51B56B83" w14:textId="70A6DDDD" w:rsidR="00C303A0" w:rsidRPr="00C303A0" w:rsidRDefault="00C303A0">
      <w:pPr>
        <w:pStyle w:val="FootnoteText"/>
        <w:rPr>
          <w:lang w:val="en-US"/>
        </w:rPr>
      </w:pPr>
      <w:r>
        <w:rPr>
          <w:rStyle w:val="FootnoteReference"/>
        </w:rPr>
        <w:footnoteRef/>
      </w:r>
      <w:r>
        <w:t xml:space="preserve"> </w:t>
      </w:r>
      <w:r>
        <w:rPr>
          <w:lang w:val="en-US"/>
        </w:rPr>
        <w:t xml:space="preserve">See also </w:t>
      </w:r>
      <w:hyperlink r:id="rId3" w:history="1">
        <w:r>
          <w:rPr>
            <w:rStyle w:val="Hyperlink"/>
            <w:rFonts w:eastAsiaTheme="majorEastAsia"/>
          </w:rPr>
          <w:t>https://www.clarusft.com/5-things-that-are-making-mifid-ii-data-useless/</w:t>
        </w:r>
      </w:hyperlink>
      <w:r>
        <w:t>.</w:t>
      </w:r>
      <w:bookmarkStart w:id="1" w:name="_GoBack"/>
      <w:bookmarkEnd w:id="1"/>
    </w:p>
  </w:footnote>
  <w:footnote w:id="5">
    <w:p w14:paraId="72C57C75" w14:textId="40DCE9F5" w:rsidR="00CF54C6" w:rsidRPr="00CF54C6" w:rsidRDefault="00CF54C6">
      <w:pPr>
        <w:pStyle w:val="FootnoteText"/>
        <w:rPr>
          <w:lang w:val="en-US"/>
        </w:rPr>
      </w:pPr>
      <w:r>
        <w:rPr>
          <w:rStyle w:val="FootnoteReference"/>
        </w:rPr>
        <w:footnoteRef/>
      </w:r>
      <w:r>
        <w:t xml:space="preserve"> </w:t>
      </w:r>
      <w:r w:rsidRPr="000E27B2">
        <w:rPr>
          <w:i/>
        </w:rPr>
        <w:t xml:space="preserve">See </w:t>
      </w:r>
      <w:r>
        <w:t xml:space="preserve">“MiFID II Transparency Update,” Clarus Financial Technology (April 17, 2019), available at: </w:t>
      </w:r>
      <w:hyperlink r:id="rId4" w:history="1">
        <w:r>
          <w:rPr>
            <w:rStyle w:val="Hyperlink"/>
            <w:rFonts w:eastAsiaTheme="majorEastAsia"/>
          </w:rPr>
          <w:t>https://www.clarusft.com/mifid-ii-transparency-update/</w:t>
        </w:r>
      </w:hyperlink>
    </w:p>
  </w:footnote>
  <w:footnote w:id="6">
    <w:p w14:paraId="6AE5AD93" w14:textId="7D85D023" w:rsidR="004651B0" w:rsidRPr="004651B0" w:rsidRDefault="004651B0">
      <w:pPr>
        <w:pStyle w:val="FootnoteText"/>
        <w:rPr>
          <w:lang w:val="en-US"/>
        </w:rPr>
      </w:pPr>
      <w:r>
        <w:rPr>
          <w:rStyle w:val="FootnoteReference"/>
        </w:rPr>
        <w:footnoteRef/>
      </w:r>
      <w:r>
        <w:t xml:space="preserve"> </w:t>
      </w:r>
      <w:hyperlink r:id="rId5" w:history="1">
        <w:r>
          <w:rPr>
            <w:rStyle w:val="Hyperlink"/>
            <w:rFonts w:eastAsiaTheme="majorEastAsia"/>
          </w:rPr>
          <w:t>http://finra-markets.morningstar.com/BondCenter/Default.jsp</w:t>
        </w:r>
      </w:hyperlink>
    </w:p>
  </w:footnote>
  <w:footnote w:id="7">
    <w:p w14:paraId="7AE84720" w14:textId="3EEAB159" w:rsidR="004651B0" w:rsidRPr="004651B0" w:rsidRDefault="004651B0">
      <w:pPr>
        <w:pStyle w:val="FootnoteText"/>
        <w:rPr>
          <w:lang w:val="en-US"/>
        </w:rPr>
      </w:pPr>
      <w:r>
        <w:rPr>
          <w:rStyle w:val="FootnoteReference"/>
        </w:rPr>
        <w:footnoteRef/>
      </w:r>
      <w:r>
        <w:t xml:space="preserve"> </w:t>
      </w:r>
      <w:hyperlink r:id="rId6" w:history="1">
        <w:r>
          <w:rPr>
            <w:rStyle w:val="Hyperlink"/>
            <w:rFonts w:eastAsiaTheme="majorEastAsia"/>
          </w:rPr>
          <w:t>https://emma.msrb.org/TradeData/MostActivelyTraded</w:t>
        </w:r>
      </w:hyperlink>
    </w:p>
  </w:footnote>
  <w:footnote w:id="8">
    <w:p w14:paraId="26BF820D" w14:textId="592147FD" w:rsidR="004651B0" w:rsidRPr="004651B0" w:rsidRDefault="004651B0">
      <w:pPr>
        <w:pStyle w:val="FootnoteText"/>
        <w:rPr>
          <w:lang w:val="en-US"/>
        </w:rPr>
      </w:pPr>
      <w:r>
        <w:rPr>
          <w:rStyle w:val="FootnoteReference"/>
        </w:rPr>
        <w:footnoteRef/>
      </w:r>
      <w:r>
        <w:t xml:space="preserve"> </w:t>
      </w:r>
      <w:hyperlink r:id="rId7" w:history="1">
        <w:r>
          <w:rPr>
            <w:rStyle w:val="Hyperlink"/>
            <w:rFonts w:eastAsiaTheme="majorEastAsia"/>
          </w:rPr>
          <w:t>https://rtdata.dtcc.com/gtr/</w:t>
        </w:r>
      </w:hyperlink>
    </w:p>
  </w:footnote>
  <w:footnote w:id="9">
    <w:p w14:paraId="54746855" w14:textId="6A6C867A" w:rsidR="00003752" w:rsidRPr="00003752" w:rsidRDefault="00003752">
      <w:pPr>
        <w:pStyle w:val="FootnoteText"/>
        <w:rPr>
          <w:lang w:val="en-US"/>
        </w:rPr>
      </w:pPr>
      <w:r>
        <w:rPr>
          <w:rStyle w:val="FootnoteReference"/>
        </w:rPr>
        <w:footnoteRef/>
      </w:r>
      <w:r>
        <w:t xml:space="preserve"> </w:t>
      </w:r>
      <w:r w:rsidRPr="00003752">
        <w:rPr>
          <w:i/>
          <w:lang w:val="en-US"/>
        </w:rPr>
        <w:t>See</w:t>
      </w:r>
      <w:r>
        <w:rPr>
          <w:lang w:val="en-US"/>
        </w:rPr>
        <w:t xml:space="preserve"> Section 16 at </w:t>
      </w:r>
      <w:hyperlink r:id="rId8" w:history="1">
        <w:r>
          <w:rPr>
            <w:rStyle w:val="Hyperlink"/>
            <w:rFonts w:eastAsiaTheme="majorEastAsia"/>
          </w:rPr>
          <w:t>https://www.esma.europa.eu/sites/default/files/library/esma70-1861941480-56_qas_mifir_data_reporting.pdf</w:t>
        </w:r>
      </w:hyperlink>
    </w:p>
  </w:footnote>
  <w:footnote w:id="10">
    <w:p w14:paraId="7AA76E22" w14:textId="130C11FA" w:rsidR="001D5419" w:rsidRPr="001D5419" w:rsidRDefault="001D5419">
      <w:pPr>
        <w:pStyle w:val="FootnoteText"/>
        <w:rPr>
          <w:lang w:val="en-US"/>
        </w:rPr>
      </w:pPr>
      <w:r>
        <w:rPr>
          <w:rStyle w:val="FootnoteReference"/>
        </w:rPr>
        <w:footnoteRef/>
      </w:r>
      <w:r>
        <w:t xml:space="preserve"> </w:t>
      </w:r>
      <w:r w:rsidRPr="006C7503">
        <w:rPr>
          <w:i/>
        </w:rPr>
        <w:t>See, e.g.,</w:t>
      </w:r>
      <w:r>
        <w:rPr>
          <w:i/>
        </w:rPr>
        <w:t xml:space="preserve"> </w:t>
      </w:r>
      <w:r w:rsidRPr="00A063D0">
        <w:t>Bessembinder, H.,</w:t>
      </w:r>
      <w:r>
        <w:t xml:space="preserve"> et al.,</w:t>
      </w:r>
      <w:r w:rsidRPr="00A063D0">
        <w:t xml:space="preserve"> </w:t>
      </w:r>
      <w:r>
        <w:t>“</w:t>
      </w:r>
      <w:r w:rsidRPr="00A063D0">
        <w:t>Market transparency, liquidity externalities, and institutional t</w:t>
      </w:r>
      <w:r>
        <w:t xml:space="preserve">rading costs in corporate bonds” (2006) Journal of Financial Economics, available at: </w:t>
      </w:r>
      <w:hyperlink r:id="rId9" w:history="1">
        <w:r>
          <w:rPr>
            <w:rStyle w:val="Hyperlink"/>
            <w:rFonts w:eastAsiaTheme="majorEastAsia"/>
          </w:rPr>
          <w:t>https://www.researchgate.net/publication/222515781_Market_Transparency_Liquidity_Externalities_and_Institutional_Trading_Costs_in_Corporate_Bonds</w:t>
        </w:r>
      </w:hyperlink>
      <w:r>
        <w:t xml:space="preserve">; </w:t>
      </w:r>
      <w:r w:rsidRPr="00A063D0">
        <w:t xml:space="preserve">Edwards, A. K., </w:t>
      </w:r>
      <w:r>
        <w:t>et al.</w:t>
      </w:r>
      <w:r w:rsidRPr="00A063D0">
        <w:t xml:space="preserve">, </w:t>
      </w:r>
      <w:r>
        <w:t>“</w:t>
      </w:r>
      <w:r w:rsidRPr="00A063D0">
        <w:t>Corporate bond market transact</w:t>
      </w:r>
      <w:r>
        <w:t>ion costs and transparency”</w:t>
      </w:r>
      <w:r w:rsidRPr="00A063D0">
        <w:t xml:space="preserve"> </w:t>
      </w:r>
      <w:r>
        <w:t xml:space="preserve">(2007) </w:t>
      </w:r>
      <w:r w:rsidRPr="00A063D0">
        <w:t>The Journal of Finance</w:t>
      </w:r>
      <w:r>
        <w:t xml:space="preserve">, available at: </w:t>
      </w:r>
      <w:hyperlink r:id="rId10" w:history="1">
        <w:r>
          <w:rPr>
            <w:rStyle w:val="Hyperlink"/>
            <w:rFonts w:eastAsiaTheme="majorEastAsia"/>
          </w:rPr>
          <w:t>https://papers.ssrn.com/sol3/papers.cfm?abstract_id=593823</w:t>
        </w:r>
      </w:hyperlink>
      <w:r w:rsidRPr="00A063D0">
        <w:t xml:space="preserve">; </w:t>
      </w:r>
      <w:r>
        <w:t xml:space="preserve">and </w:t>
      </w:r>
      <w:r w:rsidRPr="00A063D0">
        <w:t xml:space="preserve">Goldstein, M. A., </w:t>
      </w:r>
      <w:r>
        <w:t>et al</w:t>
      </w:r>
      <w:r w:rsidRPr="00A063D0">
        <w:t xml:space="preserve">., </w:t>
      </w:r>
      <w:r>
        <w:t>“</w:t>
      </w:r>
      <w:r w:rsidRPr="00A063D0">
        <w:t>Transparency and liquidity: A controlle</w:t>
      </w:r>
      <w:r>
        <w:t xml:space="preserve">d experiment on corporate bonds” (2007) Review of Financial Studies, available at: </w:t>
      </w:r>
      <w:hyperlink r:id="rId11" w:history="1">
        <w:r>
          <w:rPr>
            <w:rStyle w:val="Hyperlink"/>
            <w:rFonts w:eastAsiaTheme="majorEastAsia"/>
          </w:rPr>
          <w:t>https://papers.ssrn.com/sol3/papers.cfm?abstract_id=686324</w:t>
        </w:r>
      </w:hyperlink>
    </w:p>
  </w:footnote>
  <w:footnote w:id="11">
    <w:p w14:paraId="40F1F7C4" w14:textId="30AB4C31" w:rsidR="001D5419" w:rsidRDefault="001D5419" w:rsidP="001D5419">
      <w:pPr>
        <w:pStyle w:val="FootnoteText"/>
      </w:pPr>
      <w:r>
        <w:rPr>
          <w:rStyle w:val="FootnoteReference"/>
          <w:rFonts w:eastAsiaTheme="majorEastAsia"/>
        </w:rPr>
        <w:footnoteRef/>
      </w:r>
      <w:r>
        <w:t xml:space="preserve"> </w:t>
      </w:r>
      <w:r w:rsidRPr="006C7503">
        <w:rPr>
          <w:i/>
        </w:rPr>
        <w:t>See, e.g.,</w:t>
      </w:r>
      <w:r w:rsidRPr="000D0511">
        <w:t xml:space="preserve"> </w:t>
      </w:r>
      <w:r>
        <w:t>Asquith, P., et al., “</w:t>
      </w:r>
      <w:r w:rsidRPr="000D0511">
        <w:t>The Effects of Mandatory Transparency in Financial Market Design: Evidence from the Corporate Bond Market</w:t>
      </w:r>
      <w:r>
        <w:t xml:space="preserve">” (April 2019) at page 29, available at: </w:t>
      </w:r>
      <w:hyperlink r:id="rId12" w:history="1">
        <w:r w:rsidRPr="0019371C">
          <w:rPr>
            <w:rStyle w:val="Hyperlink"/>
            <w:rFonts w:eastAsiaTheme="majorEastAsia"/>
          </w:rPr>
          <w:t>https://www.nber.org/papers/w19417</w:t>
        </w:r>
      </w:hyperlink>
      <w:r>
        <w:t xml:space="preserve">; </w:t>
      </w:r>
      <w:r w:rsidR="00C92423">
        <w:t xml:space="preserve">and </w:t>
      </w:r>
      <w:r>
        <w:t xml:space="preserve">Jacobsen, S., et al., “Does trade reporting improve market quality in an institutional market? Evidence from 144A corporate bonds” (2018) at pages 1 and 7, available at: </w:t>
      </w:r>
      <w:hyperlink r:id="rId13" w:history="1">
        <w:r>
          <w:rPr>
            <w:rStyle w:val="Hyperlink"/>
            <w:rFonts w:eastAsiaTheme="majorEastAsia"/>
          </w:rPr>
          <w:t>https://papers.ssrn.com/sol3/papers.cfm?abstract_id=3171056</w:t>
        </w:r>
      </w:hyperlink>
    </w:p>
  </w:footnote>
  <w:footnote w:id="12">
    <w:p w14:paraId="1DBB0008" w14:textId="73D7081B" w:rsidR="001D5419" w:rsidRDefault="001D5419" w:rsidP="001D5419">
      <w:pPr>
        <w:pStyle w:val="FootnoteText"/>
      </w:pPr>
      <w:r>
        <w:rPr>
          <w:rStyle w:val="FootnoteReference"/>
          <w:rFonts w:eastAsiaTheme="majorEastAsia"/>
        </w:rPr>
        <w:footnoteRef/>
      </w:r>
      <w:r>
        <w:t xml:space="preserve"> Asquith, P., et al., “</w:t>
      </w:r>
      <w:r w:rsidRPr="000D0511">
        <w:t>The Effects of Mandatory Transparency in Financial Market Design: Evidence from the Corporate Bond Market</w:t>
      </w:r>
      <w:r>
        <w:t xml:space="preserve">” (April 2019) at page 29, available at: </w:t>
      </w:r>
      <w:hyperlink r:id="rId14" w:history="1">
        <w:r>
          <w:rPr>
            <w:rStyle w:val="Hyperlink"/>
            <w:rFonts w:eastAsiaTheme="majorEastAsia"/>
          </w:rPr>
          <w:t>https://www.nber.org/papers/w19417</w:t>
        </w:r>
      </w:hyperlink>
    </w:p>
  </w:footnote>
  <w:footnote w:id="13">
    <w:p w14:paraId="73F32542" w14:textId="3E247AF7" w:rsidR="00C92423" w:rsidRPr="00C92423" w:rsidRDefault="00C92423">
      <w:pPr>
        <w:pStyle w:val="FootnoteText"/>
        <w:rPr>
          <w:lang w:val="en-US"/>
        </w:rPr>
      </w:pPr>
      <w:r>
        <w:rPr>
          <w:rStyle w:val="FootnoteReference"/>
        </w:rPr>
        <w:footnoteRef/>
      </w:r>
      <w:r>
        <w:t xml:space="preserve"> </w:t>
      </w:r>
      <w:r w:rsidR="00A75E9F" w:rsidRPr="005F14A6">
        <w:rPr>
          <w:i/>
        </w:rPr>
        <w:t>See, e.g.,</w:t>
      </w:r>
      <w:r w:rsidR="00A75E9F" w:rsidRPr="005F14A6">
        <w:t xml:space="preserve"> Loon, Y. C., Zhong, Z. K. The impact of central clearing on counterparty risk, liquidity, and trading: Evidence from the credit default swap market. Journal of Financial Economics 112 (1), 91-115</w:t>
      </w:r>
      <w:r w:rsidR="00A75E9F">
        <w:t xml:space="preserve"> (2014), available at: </w:t>
      </w:r>
      <w:hyperlink r:id="rId15" w:history="1">
        <w:r w:rsidR="00A75E9F" w:rsidRPr="00A0721A">
          <w:rPr>
            <w:rStyle w:val="Hyperlink"/>
            <w:rFonts w:eastAsiaTheme="majorEastAsia"/>
          </w:rPr>
          <w:t>https://papers.ssrn.com/sol3/papers.cfm?abstract_id=2176561</w:t>
        </w:r>
      </w:hyperlink>
      <w:r w:rsidR="00A75E9F" w:rsidRPr="005F14A6">
        <w:t xml:space="preserve">; </w:t>
      </w:r>
      <w:r w:rsidR="00A75E9F">
        <w:t>and Loon, Y. C., Zhong, Z. K</w:t>
      </w:r>
      <w:r w:rsidR="00A75E9F" w:rsidRPr="00941F39">
        <w:t>. Does Dodd-Frank affect OTC transaction costs and liquidity? Evidence from real-time CDS trade reports. Journal of Financial Economics</w:t>
      </w:r>
      <w:r w:rsidR="00A75E9F">
        <w:t xml:space="preserve">, </w:t>
      </w:r>
      <w:r w:rsidR="00A75E9F" w:rsidRPr="00941F39">
        <w:t>119 (3), 645–672</w:t>
      </w:r>
      <w:r w:rsidR="00A75E9F">
        <w:t xml:space="preserve"> (2016), available at: </w:t>
      </w:r>
      <w:hyperlink r:id="rId16" w:history="1">
        <w:r w:rsidR="00A75E9F" w:rsidRPr="001A2EAE">
          <w:rPr>
            <w:rStyle w:val="Hyperlink"/>
            <w:rFonts w:eastAsiaTheme="majorEastAsia"/>
          </w:rPr>
          <w:t>http://papers.ssrn.com/sol3/papers.cfm?abstract_id=2443654</w:t>
        </w:r>
      </w:hyperlink>
    </w:p>
  </w:footnote>
  <w:footnote w:id="14">
    <w:p w14:paraId="7E6FF079" w14:textId="77777777" w:rsidR="00826DA1" w:rsidRPr="00CF54C6" w:rsidRDefault="00826DA1" w:rsidP="00826DA1">
      <w:pPr>
        <w:pStyle w:val="FootnoteText"/>
        <w:rPr>
          <w:lang w:val="en-US"/>
        </w:rPr>
      </w:pPr>
      <w:r>
        <w:rPr>
          <w:rStyle w:val="FootnoteReference"/>
        </w:rPr>
        <w:footnoteRef/>
      </w:r>
      <w:r>
        <w:t xml:space="preserve"> </w:t>
      </w:r>
      <w:r w:rsidRPr="000E27B2">
        <w:rPr>
          <w:i/>
        </w:rPr>
        <w:t xml:space="preserve">See </w:t>
      </w:r>
      <w:r>
        <w:t xml:space="preserve">“MiFID II Transparency Update,” Clarus Financial Technology (April 17, 2019), available at: </w:t>
      </w:r>
      <w:hyperlink r:id="rId17" w:history="1">
        <w:r>
          <w:rPr>
            <w:rStyle w:val="Hyperlink"/>
            <w:rFonts w:eastAsiaTheme="majorEastAsia"/>
          </w:rPr>
          <w:t>https://www.clarusft.com/mifid-ii-transparency-update/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271678" w:rsidRDefault="00271678">
    <w:pPr>
      <w:pStyle w:val="Header"/>
    </w:pPr>
  </w:p>
  <w:p w14:paraId="59FA3C9D" w14:textId="77777777" w:rsidR="00271678" w:rsidRDefault="00271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271678" w:rsidRDefault="00271678">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271678" w:rsidRDefault="00271678"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271678" w:rsidRPr="00D13661" w:rsidRDefault="00271678"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271678" w:rsidRPr="00C3170E" w:rsidRDefault="00271678" w:rsidP="00B50534">
    <w:pPr>
      <w:pStyle w:val="Header"/>
      <w:jc w:val="right"/>
      <w:rPr>
        <w:color w:val="2F5496" w:themeColor="accent5" w:themeShade="BF"/>
        <w:sz w:val="20"/>
      </w:rPr>
    </w:pPr>
  </w:p>
  <w:p w14:paraId="5EAB6EC6" w14:textId="77777777" w:rsidR="00271678" w:rsidRPr="00B50534" w:rsidRDefault="00271678"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8C7388A"/>
    <w:multiLevelType w:val="hybridMultilevel"/>
    <w:tmpl w:val="16BA1EA8"/>
    <w:lvl w:ilvl="0" w:tplc="5DA4E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0D7D22"/>
    <w:multiLevelType w:val="hybridMultilevel"/>
    <w:tmpl w:val="B8C0552C"/>
    <w:lvl w:ilvl="0" w:tplc="D4509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5106C"/>
    <w:multiLevelType w:val="hybridMultilevel"/>
    <w:tmpl w:val="AF42FCEC"/>
    <w:lvl w:ilvl="0" w:tplc="A5B80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0FC32BA"/>
    <w:multiLevelType w:val="hybridMultilevel"/>
    <w:tmpl w:val="E0F6C09C"/>
    <w:lvl w:ilvl="0" w:tplc="B4D6E6D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2"/>
  </w:num>
  <w:num w:numId="4">
    <w:abstractNumId w:val="1"/>
  </w:num>
  <w:num w:numId="5">
    <w:abstractNumId w:val="7"/>
  </w:num>
  <w:num w:numId="6">
    <w:abstractNumId w:val="15"/>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8"/>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1"/>
  <w:activeWritingStyle w:appName="MSWord" w:lang="en-US" w:vendorID="64" w:dllVersion="131078" w:nlCheck="1" w:checkStyle="1"/>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13C"/>
    <w:rsid w:val="00003752"/>
    <w:rsid w:val="0000380B"/>
    <w:rsid w:val="00005505"/>
    <w:rsid w:val="00006275"/>
    <w:rsid w:val="00006971"/>
    <w:rsid w:val="0000739E"/>
    <w:rsid w:val="00010773"/>
    <w:rsid w:val="00011F6C"/>
    <w:rsid w:val="0001249B"/>
    <w:rsid w:val="00012D68"/>
    <w:rsid w:val="00013DD8"/>
    <w:rsid w:val="000142BB"/>
    <w:rsid w:val="0001633D"/>
    <w:rsid w:val="00016ABB"/>
    <w:rsid w:val="0001726F"/>
    <w:rsid w:val="00020098"/>
    <w:rsid w:val="00020300"/>
    <w:rsid w:val="00021A9A"/>
    <w:rsid w:val="00022ADA"/>
    <w:rsid w:val="00025171"/>
    <w:rsid w:val="00026327"/>
    <w:rsid w:val="00027EC9"/>
    <w:rsid w:val="000310E0"/>
    <w:rsid w:val="00033934"/>
    <w:rsid w:val="00036C09"/>
    <w:rsid w:val="000372BF"/>
    <w:rsid w:val="00037B06"/>
    <w:rsid w:val="00040A52"/>
    <w:rsid w:val="00042332"/>
    <w:rsid w:val="00044C5A"/>
    <w:rsid w:val="00044E0A"/>
    <w:rsid w:val="0005001D"/>
    <w:rsid w:val="00054B08"/>
    <w:rsid w:val="00054E00"/>
    <w:rsid w:val="00057186"/>
    <w:rsid w:val="00061B2B"/>
    <w:rsid w:val="0006448C"/>
    <w:rsid w:val="0006449B"/>
    <w:rsid w:val="000655AD"/>
    <w:rsid w:val="00066FD1"/>
    <w:rsid w:val="00072BF9"/>
    <w:rsid w:val="00073DF9"/>
    <w:rsid w:val="0007767E"/>
    <w:rsid w:val="0007796D"/>
    <w:rsid w:val="00081739"/>
    <w:rsid w:val="000830DA"/>
    <w:rsid w:val="00083FBB"/>
    <w:rsid w:val="000921E6"/>
    <w:rsid w:val="00093239"/>
    <w:rsid w:val="000A03C9"/>
    <w:rsid w:val="000A12CC"/>
    <w:rsid w:val="000A2738"/>
    <w:rsid w:val="000A2DF1"/>
    <w:rsid w:val="000A3D10"/>
    <w:rsid w:val="000A409B"/>
    <w:rsid w:val="000A5A48"/>
    <w:rsid w:val="000A66FC"/>
    <w:rsid w:val="000A741E"/>
    <w:rsid w:val="000B149B"/>
    <w:rsid w:val="000B1615"/>
    <w:rsid w:val="000B1FC9"/>
    <w:rsid w:val="000B2344"/>
    <w:rsid w:val="000B2AAF"/>
    <w:rsid w:val="000B2E26"/>
    <w:rsid w:val="000B5D3D"/>
    <w:rsid w:val="000C0CE0"/>
    <w:rsid w:val="000C1563"/>
    <w:rsid w:val="000C2400"/>
    <w:rsid w:val="000C299C"/>
    <w:rsid w:val="000C57B8"/>
    <w:rsid w:val="000C5ACC"/>
    <w:rsid w:val="000D0293"/>
    <w:rsid w:val="000D0850"/>
    <w:rsid w:val="000D1038"/>
    <w:rsid w:val="000D11A9"/>
    <w:rsid w:val="000D2D7B"/>
    <w:rsid w:val="000E2232"/>
    <w:rsid w:val="000E3DB1"/>
    <w:rsid w:val="000E4F27"/>
    <w:rsid w:val="000F007F"/>
    <w:rsid w:val="000F0169"/>
    <w:rsid w:val="000F0951"/>
    <w:rsid w:val="000F2598"/>
    <w:rsid w:val="000F29C0"/>
    <w:rsid w:val="000F2BE6"/>
    <w:rsid w:val="000F474D"/>
    <w:rsid w:val="000F5C90"/>
    <w:rsid w:val="000F5EA6"/>
    <w:rsid w:val="000F73E6"/>
    <w:rsid w:val="000F7998"/>
    <w:rsid w:val="001000D7"/>
    <w:rsid w:val="00100ADC"/>
    <w:rsid w:val="0010429A"/>
    <w:rsid w:val="00105424"/>
    <w:rsid w:val="001075EC"/>
    <w:rsid w:val="00107AFA"/>
    <w:rsid w:val="00113D82"/>
    <w:rsid w:val="00114D3B"/>
    <w:rsid w:val="00120F0D"/>
    <w:rsid w:val="001214DA"/>
    <w:rsid w:val="00122D74"/>
    <w:rsid w:val="0012722A"/>
    <w:rsid w:val="00130EF9"/>
    <w:rsid w:val="001319C7"/>
    <w:rsid w:val="001355E6"/>
    <w:rsid w:val="0013644A"/>
    <w:rsid w:val="001377ED"/>
    <w:rsid w:val="00140BA6"/>
    <w:rsid w:val="00141946"/>
    <w:rsid w:val="00142457"/>
    <w:rsid w:val="00143DCA"/>
    <w:rsid w:val="00144AAD"/>
    <w:rsid w:val="001455E7"/>
    <w:rsid w:val="0014624E"/>
    <w:rsid w:val="00151D56"/>
    <w:rsid w:val="001608B2"/>
    <w:rsid w:val="00160F1B"/>
    <w:rsid w:val="00160FE0"/>
    <w:rsid w:val="00163AB3"/>
    <w:rsid w:val="00163CF3"/>
    <w:rsid w:val="00165047"/>
    <w:rsid w:val="00165987"/>
    <w:rsid w:val="00165FF8"/>
    <w:rsid w:val="0016669F"/>
    <w:rsid w:val="00170AD6"/>
    <w:rsid w:val="001720DD"/>
    <w:rsid w:val="001735B8"/>
    <w:rsid w:val="00177172"/>
    <w:rsid w:val="00177AA7"/>
    <w:rsid w:val="00180917"/>
    <w:rsid w:val="00180E53"/>
    <w:rsid w:val="00181CB7"/>
    <w:rsid w:val="001862A5"/>
    <w:rsid w:val="00186A70"/>
    <w:rsid w:val="00191035"/>
    <w:rsid w:val="001918E5"/>
    <w:rsid w:val="00192A7A"/>
    <w:rsid w:val="00197DCA"/>
    <w:rsid w:val="001A1EF4"/>
    <w:rsid w:val="001A2490"/>
    <w:rsid w:val="001A5779"/>
    <w:rsid w:val="001A7046"/>
    <w:rsid w:val="001A710D"/>
    <w:rsid w:val="001A7E6F"/>
    <w:rsid w:val="001B0A77"/>
    <w:rsid w:val="001B1727"/>
    <w:rsid w:val="001B2151"/>
    <w:rsid w:val="001B3CFF"/>
    <w:rsid w:val="001B4957"/>
    <w:rsid w:val="001B4996"/>
    <w:rsid w:val="001C08B7"/>
    <w:rsid w:val="001C0E59"/>
    <w:rsid w:val="001C132A"/>
    <w:rsid w:val="001C432D"/>
    <w:rsid w:val="001C469E"/>
    <w:rsid w:val="001C4C7E"/>
    <w:rsid w:val="001C56C3"/>
    <w:rsid w:val="001C5D8C"/>
    <w:rsid w:val="001C7E0A"/>
    <w:rsid w:val="001D0112"/>
    <w:rsid w:val="001D0DBD"/>
    <w:rsid w:val="001D19F5"/>
    <w:rsid w:val="001D385A"/>
    <w:rsid w:val="001D5419"/>
    <w:rsid w:val="001D6B39"/>
    <w:rsid w:val="001E1ECD"/>
    <w:rsid w:val="001E3E0D"/>
    <w:rsid w:val="001E4A45"/>
    <w:rsid w:val="001E505E"/>
    <w:rsid w:val="001E5E30"/>
    <w:rsid w:val="001F0479"/>
    <w:rsid w:val="001F1F10"/>
    <w:rsid w:val="001F3999"/>
    <w:rsid w:val="001F3D9D"/>
    <w:rsid w:val="001F4656"/>
    <w:rsid w:val="001F5F65"/>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2B94"/>
    <w:rsid w:val="00224806"/>
    <w:rsid w:val="0023158D"/>
    <w:rsid w:val="00232F8E"/>
    <w:rsid w:val="00233071"/>
    <w:rsid w:val="00233EB9"/>
    <w:rsid w:val="00235E99"/>
    <w:rsid w:val="0024299F"/>
    <w:rsid w:val="002435A7"/>
    <w:rsid w:val="002449D8"/>
    <w:rsid w:val="00244B86"/>
    <w:rsid w:val="00244C97"/>
    <w:rsid w:val="0024512F"/>
    <w:rsid w:val="00245406"/>
    <w:rsid w:val="002455D7"/>
    <w:rsid w:val="00245D2E"/>
    <w:rsid w:val="00246E1D"/>
    <w:rsid w:val="002472F6"/>
    <w:rsid w:val="0025020D"/>
    <w:rsid w:val="00250216"/>
    <w:rsid w:val="00254CC2"/>
    <w:rsid w:val="00257418"/>
    <w:rsid w:val="002574D1"/>
    <w:rsid w:val="00261CCB"/>
    <w:rsid w:val="002630C0"/>
    <w:rsid w:val="0026332A"/>
    <w:rsid w:val="002645A8"/>
    <w:rsid w:val="0026493B"/>
    <w:rsid w:val="00265566"/>
    <w:rsid w:val="00265F44"/>
    <w:rsid w:val="002665E3"/>
    <w:rsid w:val="00271678"/>
    <w:rsid w:val="0027199C"/>
    <w:rsid w:val="00272C4E"/>
    <w:rsid w:val="002742AC"/>
    <w:rsid w:val="002751FC"/>
    <w:rsid w:val="002753BD"/>
    <w:rsid w:val="00282D38"/>
    <w:rsid w:val="00282FBE"/>
    <w:rsid w:val="00284AF2"/>
    <w:rsid w:val="0028536B"/>
    <w:rsid w:val="00285CED"/>
    <w:rsid w:val="00285EB5"/>
    <w:rsid w:val="00287C8F"/>
    <w:rsid w:val="00290893"/>
    <w:rsid w:val="002917B9"/>
    <w:rsid w:val="00291A55"/>
    <w:rsid w:val="0029394C"/>
    <w:rsid w:val="002957AF"/>
    <w:rsid w:val="002A13B0"/>
    <w:rsid w:val="002A2C91"/>
    <w:rsid w:val="002A6C21"/>
    <w:rsid w:val="002A780E"/>
    <w:rsid w:val="002B144C"/>
    <w:rsid w:val="002B53F3"/>
    <w:rsid w:val="002C03FD"/>
    <w:rsid w:val="002C044D"/>
    <w:rsid w:val="002C0F78"/>
    <w:rsid w:val="002C1AA5"/>
    <w:rsid w:val="002C2A46"/>
    <w:rsid w:val="002C3048"/>
    <w:rsid w:val="002C5317"/>
    <w:rsid w:val="002D22D9"/>
    <w:rsid w:val="002D2992"/>
    <w:rsid w:val="002D37A0"/>
    <w:rsid w:val="002D5AB5"/>
    <w:rsid w:val="002D5E88"/>
    <w:rsid w:val="002D6667"/>
    <w:rsid w:val="002D78DD"/>
    <w:rsid w:val="002D79F3"/>
    <w:rsid w:val="002E1C11"/>
    <w:rsid w:val="002E3D0B"/>
    <w:rsid w:val="002E3E7D"/>
    <w:rsid w:val="002F204A"/>
    <w:rsid w:val="002F2595"/>
    <w:rsid w:val="002F3452"/>
    <w:rsid w:val="002F6279"/>
    <w:rsid w:val="002F6E06"/>
    <w:rsid w:val="003013B7"/>
    <w:rsid w:val="00301993"/>
    <w:rsid w:val="00301E55"/>
    <w:rsid w:val="003049B9"/>
    <w:rsid w:val="00307397"/>
    <w:rsid w:val="003101EF"/>
    <w:rsid w:val="00312BDD"/>
    <w:rsid w:val="00314117"/>
    <w:rsid w:val="00317EDF"/>
    <w:rsid w:val="00320208"/>
    <w:rsid w:val="00327900"/>
    <w:rsid w:val="003279E7"/>
    <w:rsid w:val="00327B62"/>
    <w:rsid w:val="00331FE9"/>
    <w:rsid w:val="003323B3"/>
    <w:rsid w:val="0033324D"/>
    <w:rsid w:val="0033587C"/>
    <w:rsid w:val="00336BF9"/>
    <w:rsid w:val="003371E8"/>
    <w:rsid w:val="003372BB"/>
    <w:rsid w:val="00337471"/>
    <w:rsid w:val="0034151D"/>
    <w:rsid w:val="00342B5B"/>
    <w:rsid w:val="00343532"/>
    <w:rsid w:val="00344661"/>
    <w:rsid w:val="00345469"/>
    <w:rsid w:val="003454ED"/>
    <w:rsid w:val="00345EB9"/>
    <w:rsid w:val="0035030F"/>
    <w:rsid w:val="00353C4B"/>
    <w:rsid w:val="003545A6"/>
    <w:rsid w:val="00356C60"/>
    <w:rsid w:val="003578D1"/>
    <w:rsid w:val="00363639"/>
    <w:rsid w:val="00365F9D"/>
    <w:rsid w:val="003660BB"/>
    <w:rsid w:val="00366D42"/>
    <w:rsid w:val="0036748C"/>
    <w:rsid w:val="00372615"/>
    <w:rsid w:val="00373A3C"/>
    <w:rsid w:val="003747FD"/>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0D9A"/>
    <w:rsid w:val="003E13FD"/>
    <w:rsid w:val="003E1C24"/>
    <w:rsid w:val="003E61FC"/>
    <w:rsid w:val="003E77BC"/>
    <w:rsid w:val="003F0EDF"/>
    <w:rsid w:val="003F11DE"/>
    <w:rsid w:val="003F20C7"/>
    <w:rsid w:val="003F39B1"/>
    <w:rsid w:val="003F5F47"/>
    <w:rsid w:val="00400D9C"/>
    <w:rsid w:val="00400FBE"/>
    <w:rsid w:val="00401875"/>
    <w:rsid w:val="004022CF"/>
    <w:rsid w:val="004029B1"/>
    <w:rsid w:val="00402DCF"/>
    <w:rsid w:val="004038F1"/>
    <w:rsid w:val="00404282"/>
    <w:rsid w:val="0040743A"/>
    <w:rsid w:val="00407623"/>
    <w:rsid w:val="00407A74"/>
    <w:rsid w:val="00410594"/>
    <w:rsid w:val="004114D5"/>
    <w:rsid w:val="00414210"/>
    <w:rsid w:val="004159DB"/>
    <w:rsid w:val="00420FD4"/>
    <w:rsid w:val="004242B3"/>
    <w:rsid w:val="00426D62"/>
    <w:rsid w:val="00427721"/>
    <w:rsid w:val="00427A89"/>
    <w:rsid w:val="00430C5B"/>
    <w:rsid w:val="00431968"/>
    <w:rsid w:val="00433936"/>
    <w:rsid w:val="0043475E"/>
    <w:rsid w:val="00435CF5"/>
    <w:rsid w:val="00435FE9"/>
    <w:rsid w:val="00436279"/>
    <w:rsid w:val="00437801"/>
    <w:rsid w:val="00440A7A"/>
    <w:rsid w:val="0044199E"/>
    <w:rsid w:val="0044206D"/>
    <w:rsid w:val="004428F3"/>
    <w:rsid w:val="00444803"/>
    <w:rsid w:val="00445696"/>
    <w:rsid w:val="00446020"/>
    <w:rsid w:val="00446E5F"/>
    <w:rsid w:val="00450C4E"/>
    <w:rsid w:val="00451AF1"/>
    <w:rsid w:val="004553F5"/>
    <w:rsid w:val="00455577"/>
    <w:rsid w:val="00456795"/>
    <w:rsid w:val="0046150E"/>
    <w:rsid w:val="00461CC8"/>
    <w:rsid w:val="00462B2F"/>
    <w:rsid w:val="004651B0"/>
    <w:rsid w:val="00465EAA"/>
    <w:rsid w:val="004708CA"/>
    <w:rsid w:val="004709E7"/>
    <w:rsid w:val="00470ADE"/>
    <w:rsid w:val="004712C7"/>
    <w:rsid w:val="00473E75"/>
    <w:rsid w:val="004759EB"/>
    <w:rsid w:val="00477919"/>
    <w:rsid w:val="00481290"/>
    <w:rsid w:val="00482611"/>
    <w:rsid w:val="00482A27"/>
    <w:rsid w:val="00482A93"/>
    <w:rsid w:val="00487DCE"/>
    <w:rsid w:val="00492CB5"/>
    <w:rsid w:val="00494198"/>
    <w:rsid w:val="0049506B"/>
    <w:rsid w:val="004950B7"/>
    <w:rsid w:val="00495DD5"/>
    <w:rsid w:val="00497FEA"/>
    <w:rsid w:val="004A2926"/>
    <w:rsid w:val="004A2D3F"/>
    <w:rsid w:val="004A3691"/>
    <w:rsid w:val="004A5DFF"/>
    <w:rsid w:val="004B07B2"/>
    <w:rsid w:val="004B0955"/>
    <w:rsid w:val="004B1842"/>
    <w:rsid w:val="004B25D0"/>
    <w:rsid w:val="004B3553"/>
    <w:rsid w:val="004B5E92"/>
    <w:rsid w:val="004C0A30"/>
    <w:rsid w:val="004C2473"/>
    <w:rsid w:val="004C357C"/>
    <w:rsid w:val="004C3D18"/>
    <w:rsid w:val="004C79A1"/>
    <w:rsid w:val="004D154B"/>
    <w:rsid w:val="004D42B1"/>
    <w:rsid w:val="004D526F"/>
    <w:rsid w:val="004E19C0"/>
    <w:rsid w:val="004E1C54"/>
    <w:rsid w:val="004E2BDE"/>
    <w:rsid w:val="004E2C37"/>
    <w:rsid w:val="004E5285"/>
    <w:rsid w:val="004F0A0F"/>
    <w:rsid w:val="004F0CF3"/>
    <w:rsid w:val="004F5740"/>
    <w:rsid w:val="004F58C9"/>
    <w:rsid w:val="005028B9"/>
    <w:rsid w:val="005030E0"/>
    <w:rsid w:val="00505E17"/>
    <w:rsid w:val="00511A59"/>
    <w:rsid w:val="00511C3B"/>
    <w:rsid w:val="00514440"/>
    <w:rsid w:val="005166C3"/>
    <w:rsid w:val="00520F7C"/>
    <w:rsid w:val="00522747"/>
    <w:rsid w:val="00523974"/>
    <w:rsid w:val="00526E5D"/>
    <w:rsid w:val="00531432"/>
    <w:rsid w:val="00532BC8"/>
    <w:rsid w:val="005333E8"/>
    <w:rsid w:val="00534912"/>
    <w:rsid w:val="005370E7"/>
    <w:rsid w:val="005409B7"/>
    <w:rsid w:val="00543DFA"/>
    <w:rsid w:val="00544041"/>
    <w:rsid w:val="00545E62"/>
    <w:rsid w:val="0054678D"/>
    <w:rsid w:val="00551070"/>
    <w:rsid w:val="00552C8A"/>
    <w:rsid w:val="00555156"/>
    <w:rsid w:val="0055535B"/>
    <w:rsid w:val="00560A96"/>
    <w:rsid w:val="005619CB"/>
    <w:rsid w:val="00561B71"/>
    <w:rsid w:val="00561F98"/>
    <w:rsid w:val="00562846"/>
    <w:rsid w:val="00564607"/>
    <w:rsid w:val="00565193"/>
    <w:rsid w:val="00566618"/>
    <w:rsid w:val="005725BD"/>
    <w:rsid w:val="005730B0"/>
    <w:rsid w:val="00575DCC"/>
    <w:rsid w:val="00576A2F"/>
    <w:rsid w:val="005821B0"/>
    <w:rsid w:val="005844EA"/>
    <w:rsid w:val="0059175F"/>
    <w:rsid w:val="00591AAC"/>
    <w:rsid w:val="00595F08"/>
    <w:rsid w:val="00595FBE"/>
    <w:rsid w:val="005A1C55"/>
    <w:rsid w:val="005A4FA8"/>
    <w:rsid w:val="005B169D"/>
    <w:rsid w:val="005B4ACA"/>
    <w:rsid w:val="005B5760"/>
    <w:rsid w:val="005B6B12"/>
    <w:rsid w:val="005B7604"/>
    <w:rsid w:val="005C0289"/>
    <w:rsid w:val="005C0395"/>
    <w:rsid w:val="005C19E9"/>
    <w:rsid w:val="005C2DBC"/>
    <w:rsid w:val="005C5F13"/>
    <w:rsid w:val="005C65F9"/>
    <w:rsid w:val="005C6B0E"/>
    <w:rsid w:val="005C7E1F"/>
    <w:rsid w:val="005D1B9E"/>
    <w:rsid w:val="005D1F6B"/>
    <w:rsid w:val="005D2DE7"/>
    <w:rsid w:val="005D331C"/>
    <w:rsid w:val="005D500A"/>
    <w:rsid w:val="005D6355"/>
    <w:rsid w:val="005D7AAF"/>
    <w:rsid w:val="005E0C59"/>
    <w:rsid w:val="005E18DE"/>
    <w:rsid w:val="005E1DA3"/>
    <w:rsid w:val="005E1F03"/>
    <w:rsid w:val="005E258B"/>
    <w:rsid w:val="005E306B"/>
    <w:rsid w:val="005E53D0"/>
    <w:rsid w:val="005E5785"/>
    <w:rsid w:val="005E6098"/>
    <w:rsid w:val="005E7969"/>
    <w:rsid w:val="005F0C93"/>
    <w:rsid w:val="005F1130"/>
    <w:rsid w:val="005F3F22"/>
    <w:rsid w:val="005F4FC0"/>
    <w:rsid w:val="005F540F"/>
    <w:rsid w:val="005F5491"/>
    <w:rsid w:val="005F6144"/>
    <w:rsid w:val="005F6573"/>
    <w:rsid w:val="00601541"/>
    <w:rsid w:val="0060361E"/>
    <w:rsid w:val="00604A25"/>
    <w:rsid w:val="00606683"/>
    <w:rsid w:val="006105DA"/>
    <w:rsid w:val="00610B72"/>
    <w:rsid w:val="00613BF6"/>
    <w:rsid w:val="006145F1"/>
    <w:rsid w:val="0061698B"/>
    <w:rsid w:val="00616D27"/>
    <w:rsid w:val="006234FE"/>
    <w:rsid w:val="00623840"/>
    <w:rsid w:val="00624C78"/>
    <w:rsid w:val="006255EC"/>
    <w:rsid w:val="00625A25"/>
    <w:rsid w:val="0062736A"/>
    <w:rsid w:val="006340B5"/>
    <w:rsid w:val="0063565E"/>
    <w:rsid w:val="00636E02"/>
    <w:rsid w:val="00640F87"/>
    <w:rsid w:val="00641DB1"/>
    <w:rsid w:val="00642297"/>
    <w:rsid w:val="0064332B"/>
    <w:rsid w:val="00644A34"/>
    <w:rsid w:val="00651DD8"/>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0B24"/>
    <w:rsid w:val="00681482"/>
    <w:rsid w:val="00687BF0"/>
    <w:rsid w:val="006904CF"/>
    <w:rsid w:val="006912FB"/>
    <w:rsid w:val="00692619"/>
    <w:rsid w:val="006939AC"/>
    <w:rsid w:val="00695AF2"/>
    <w:rsid w:val="00696A2B"/>
    <w:rsid w:val="00696BD5"/>
    <w:rsid w:val="006A04AE"/>
    <w:rsid w:val="006A0AE4"/>
    <w:rsid w:val="006A15C5"/>
    <w:rsid w:val="006A23F3"/>
    <w:rsid w:val="006A2CF3"/>
    <w:rsid w:val="006A5047"/>
    <w:rsid w:val="006A7A10"/>
    <w:rsid w:val="006B0DA4"/>
    <w:rsid w:val="006B1B6B"/>
    <w:rsid w:val="006B2C57"/>
    <w:rsid w:val="006B79E0"/>
    <w:rsid w:val="006C1633"/>
    <w:rsid w:val="006C2309"/>
    <w:rsid w:val="006C5BF8"/>
    <w:rsid w:val="006C7CCB"/>
    <w:rsid w:val="006D0237"/>
    <w:rsid w:val="006D6009"/>
    <w:rsid w:val="006D7D41"/>
    <w:rsid w:val="006E2F4D"/>
    <w:rsid w:val="006E3FDD"/>
    <w:rsid w:val="006E44CF"/>
    <w:rsid w:val="006E58FB"/>
    <w:rsid w:val="006E5D82"/>
    <w:rsid w:val="006E66B2"/>
    <w:rsid w:val="006E6C50"/>
    <w:rsid w:val="006E7A69"/>
    <w:rsid w:val="006E7DE4"/>
    <w:rsid w:val="006F53E8"/>
    <w:rsid w:val="006F5FB8"/>
    <w:rsid w:val="006F67B1"/>
    <w:rsid w:val="006F754E"/>
    <w:rsid w:val="0070017B"/>
    <w:rsid w:val="00702F50"/>
    <w:rsid w:val="0070427E"/>
    <w:rsid w:val="00704D53"/>
    <w:rsid w:val="0070536D"/>
    <w:rsid w:val="007056C3"/>
    <w:rsid w:val="00706072"/>
    <w:rsid w:val="0071008C"/>
    <w:rsid w:val="00710726"/>
    <w:rsid w:val="00713644"/>
    <w:rsid w:val="00717851"/>
    <w:rsid w:val="00721256"/>
    <w:rsid w:val="007217AD"/>
    <w:rsid w:val="00723BA1"/>
    <w:rsid w:val="00724A1B"/>
    <w:rsid w:val="0073173E"/>
    <w:rsid w:val="007319C3"/>
    <w:rsid w:val="0073454F"/>
    <w:rsid w:val="00735C00"/>
    <w:rsid w:val="007364C6"/>
    <w:rsid w:val="00740BF3"/>
    <w:rsid w:val="00741A0D"/>
    <w:rsid w:val="00741D5C"/>
    <w:rsid w:val="00742F5C"/>
    <w:rsid w:val="0074352F"/>
    <w:rsid w:val="00747C5E"/>
    <w:rsid w:val="00750210"/>
    <w:rsid w:val="00754B57"/>
    <w:rsid w:val="0075671D"/>
    <w:rsid w:val="0076002F"/>
    <w:rsid w:val="0076038B"/>
    <w:rsid w:val="00761744"/>
    <w:rsid w:val="007633C1"/>
    <w:rsid w:val="00764582"/>
    <w:rsid w:val="00764CEA"/>
    <w:rsid w:val="00765FA3"/>
    <w:rsid w:val="00766961"/>
    <w:rsid w:val="00766B5A"/>
    <w:rsid w:val="00770C33"/>
    <w:rsid w:val="007741C3"/>
    <w:rsid w:val="00777BE0"/>
    <w:rsid w:val="00780886"/>
    <w:rsid w:val="00780923"/>
    <w:rsid w:val="0078131F"/>
    <w:rsid w:val="0078185C"/>
    <w:rsid w:val="00783D30"/>
    <w:rsid w:val="007844C6"/>
    <w:rsid w:val="007876EF"/>
    <w:rsid w:val="00790306"/>
    <w:rsid w:val="0079364C"/>
    <w:rsid w:val="007942B9"/>
    <w:rsid w:val="00796C7F"/>
    <w:rsid w:val="00797E0C"/>
    <w:rsid w:val="007A025D"/>
    <w:rsid w:val="007A160F"/>
    <w:rsid w:val="007A48BC"/>
    <w:rsid w:val="007A4FFC"/>
    <w:rsid w:val="007A62E1"/>
    <w:rsid w:val="007B0BC1"/>
    <w:rsid w:val="007B354B"/>
    <w:rsid w:val="007B4FC3"/>
    <w:rsid w:val="007B73F3"/>
    <w:rsid w:val="007B7EE5"/>
    <w:rsid w:val="007C1C28"/>
    <w:rsid w:val="007C2A2C"/>
    <w:rsid w:val="007C3577"/>
    <w:rsid w:val="007C5E08"/>
    <w:rsid w:val="007D0002"/>
    <w:rsid w:val="007D01A2"/>
    <w:rsid w:val="007D3B24"/>
    <w:rsid w:val="007D7A59"/>
    <w:rsid w:val="007E1968"/>
    <w:rsid w:val="007E53F5"/>
    <w:rsid w:val="007E6B70"/>
    <w:rsid w:val="007E6E9E"/>
    <w:rsid w:val="007E7637"/>
    <w:rsid w:val="007E7997"/>
    <w:rsid w:val="007F014A"/>
    <w:rsid w:val="007F04EF"/>
    <w:rsid w:val="007F0763"/>
    <w:rsid w:val="007F1DE9"/>
    <w:rsid w:val="007F25C2"/>
    <w:rsid w:val="007F3BF5"/>
    <w:rsid w:val="007F4F88"/>
    <w:rsid w:val="007F5822"/>
    <w:rsid w:val="007F5B86"/>
    <w:rsid w:val="00800A7F"/>
    <w:rsid w:val="0080261B"/>
    <w:rsid w:val="00802691"/>
    <w:rsid w:val="0080285D"/>
    <w:rsid w:val="008060F6"/>
    <w:rsid w:val="0081028F"/>
    <w:rsid w:val="008107D9"/>
    <w:rsid w:val="0081093B"/>
    <w:rsid w:val="008116D9"/>
    <w:rsid w:val="00811936"/>
    <w:rsid w:val="00813059"/>
    <w:rsid w:val="008157C8"/>
    <w:rsid w:val="008173E2"/>
    <w:rsid w:val="00817BF6"/>
    <w:rsid w:val="008201C3"/>
    <w:rsid w:val="00820422"/>
    <w:rsid w:val="00820655"/>
    <w:rsid w:val="008227D7"/>
    <w:rsid w:val="008249A1"/>
    <w:rsid w:val="00825D43"/>
    <w:rsid w:val="0082632D"/>
    <w:rsid w:val="00826DA1"/>
    <w:rsid w:val="008273FF"/>
    <w:rsid w:val="00832500"/>
    <w:rsid w:val="00832787"/>
    <w:rsid w:val="00832E06"/>
    <w:rsid w:val="00835805"/>
    <w:rsid w:val="0083595F"/>
    <w:rsid w:val="008372B6"/>
    <w:rsid w:val="00843A1A"/>
    <w:rsid w:val="00846433"/>
    <w:rsid w:val="00847206"/>
    <w:rsid w:val="008472C2"/>
    <w:rsid w:val="00847D09"/>
    <w:rsid w:val="008510D9"/>
    <w:rsid w:val="0085172C"/>
    <w:rsid w:val="00851EE3"/>
    <w:rsid w:val="00853121"/>
    <w:rsid w:val="00853E08"/>
    <w:rsid w:val="008555E4"/>
    <w:rsid w:val="00862BFF"/>
    <w:rsid w:val="00864E60"/>
    <w:rsid w:val="008660DF"/>
    <w:rsid w:val="00866A09"/>
    <w:rsid w:val="008712BF"/>
    <w:rsid w:val="00872209"/>
    <w:rsid w:val="00873092"/>
    <w:rsid w:val="00873656"/>
    <w:rsid w:val="00880140"/>
    <w:rsid w:val="00880672"/>
    <w:rsid w:val="00883C92"/>
    <w:rsid w:val="008842F7"/>
    <w:rsid w:val="00885B94"/>
    <w:rsid w:val="00887682"/>
    <w:rsid w:val="00887FAB"/>
    <w:rsid w:val="0089075A"/>
    <w:rsid w:val="00890F80"/>
    <w:rsid w:val="0089270C"/>
    <w:rsid w:val="00892BFD"/>
    <w:rsid w:val="0089338A"/>
    <w:rsid w:val="00894199"/>
    <w:rsid w:val="008948BE"/>
    <w:rsid w:val="00896D4C"/>
    <w:rsid w:val="00897DFE"/>
    <w:rsid w:val="008A1B57"/>
    <w:rsid w:val="008A1E27"/>
    <w:rsid w:val="008A271B"/>
    <w:rsid w:val="008A2C86"/>
    <w:rsid w:val="008A6000"/>
    <w:rsid w:val="008A70A8"/>
    <w:rsid w:val="008A7FAC"/>
    <w:rsid w:val="008B1FD9"/>
    <w:rsid w:val="008B2AF1"/>
    <w:rsid w:val="008B5191"/>
    <w:rsid w:val="008B710D"/>
    <w:rsid w:val="008B7332"/>
    <w:rsid w:val="008B7CA1"/>
    <w:rsid w:val="008C0177"/>
    <w:rsid w:val="008C0389"/>
    <w:rsid w:val="008C27D3"/>
    <w:rsid w:val="008C4B2B"/>
    <w:rsid w:val="008C5E91"/>
    <w:rsid w:val="008C629C"/>
    <w:rsid w:val="008C686D"/>
    <w:rsid w:val="008C6B18"/>
    <w:rsid w:val="008C75E6"/>
    <w:rsid w:val="008C767A"/>
    <w:rsid w:val="008C7A73"/>
    <w:rsid w:val="008D0569"/>
    <w:rsid w:val="008D5C28"/>
    <w:rsid w:val="008E0DC0"/>
    <w:rsid w:val="008E2150"/>
    <w:rsid w:val="008E2D26"/>
    <w:rsid w:val="008E4076"/>
    <w:rsid w:val="008E7DBA"/>
    <w:rsid w:val="008F3386"/>
    <w:rsid w:val="008F3AD9"/>
    <w:rsid w:val="008F4642"/>
    <w:rsid w:val="008F4E00"/>
    <w:rsid w:val="008F761D"/>
    <w:rsid w:val="00900D44"/>
    <w:rsid w:val="00902520"/>
    <w:rsid w:val="00906DC4"/>
    <w:rsid w:val="0091457F"/>
    <w:rsid w:val="0091729E"/>
    <w:rsid w:val="009225A8"/>
    <w:rsid w:val="00922A85"/>
    <w:rsid w:val="00927750"/>
    <w:rsid w:val="0093261E"/>
    <w:rsid w:val="0093687C"/>
    <w:rsid w:val="0094008E"/>
    <w:rsid w:val="00941C0C"/>
    <w:rsid w:val="009437F2"/>
    <w:rsid w:val="0094528B"/>
    <w:rsid w:val="00960A8B"/>
    <w:rsid w:val="009627F5"/>
    <w:rsid w:val="00965128"/>
    <w:rsid w:val="00970A4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F08"/>
    <w:rsid w:val="009B7B79"/>
    <w:rsid w:val="009C0383"/>
    <w:rsid w:val="009C145B"/>
    <w:rsid w:val="009C3E04"/>
    <w:rsid w:val="009C4FB0"/>
    <w:rsid w:val="009C72FE"/>
    <w:rsid w:val="009C75D1"/>
    <w:rsid w:val="009C7694"/>
    <w:rsid w:val="009D0570"/>
    <w:rsid w:val="009D1CD6"/>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55C6"/>
    <w:rsid w:val="00A02199"/>
    <w:rsid w:val="00A026A4"/>
    <w:rsid w:val="00A04044"/>
    <w:rsid w:val="00A11D0C"/>
    <w:rsid w:val="00A16579"/>
    <w:rsid w:val="00A24843"/>
    <w:rsid w:val="00A26D48"/>
    <w:rsid w:val="00A31C7C"/>
    <w:rsid w:val="00A33FF0"/>
    <w:rsid w:val="00A351A5"/>
    <w:rsid w:val="00A367AA"/>
    <w:rsid w:val="00A378DF"/>
    <w:rsid w:val="00A37AC6"/>
    <w:rsid w:val="00A410CC"/>
    <w:rsid w:val="00A42B43"/>
    <w:rsid w:val="00A42BD0"/>
    <w:rsid w:val="00A433DC"/>
    <w:rsid w:val="00A460CD"/>
    <w:rsid w:val="00A47930"/>
    <w:rsid w:val="00A50761"/>
    <w:rsid w:val="00A51DF2"/>
    <w:rsid w:val="00A52407"/>
    <w:rsid w:val="00A53AF0"/>
    <w:rsid w:val="00A54ED7"/>
    <w:rsid w:val="00A607ED"/>
    <w:rsid w:val="00A61561"/>
    <w:rsid w:val="00A63249"/>
    <w:rsid w:val="00A6691F"/>
    <w:rsid w:val="00A67E6A"/>
    <w:rsid w:val="00A70F49"/>
    <w:rsid w:val="00A72203"/>
    <w:rsid w:val="00A7281F"/>
    <w:rsid w:val="00A73949"/>
    <w:rsid w:val="00A75E9F"/>
    <w:rsid w:val="00A76707"/>
    <w:rsid w:val="00A7697E"/>
    <w:rsid w:val="00A769B8"/>
    <w:rsid w:val="00A76AFD"/>
    <w:rsid w:val="00A76E20"/>
    <w:rsid w:val="00A8284E"/>
    <w:rsid w:val="00A85045"/>
    <w:rsid w:val="00A870EE"/>
    <w:rsid w:val="00A91D91"/>
    <w:rsid w:val="00A96F81"/>
    <w:rsid w:val="00A9709D"/>
    <w:rsid w:val="00AA054E"/>
    <w:rsid w:val="00AA0A10"/>
    <w:rsid w:val="00AA2094"/>
    <w:rsid w:val="00AA2454"/>
    <w:rsid w:val="00AA2947"/>
    <w:rsid w:val="00AB1894"/>
    <w:rsid w:val="00AB22DF"/>
    <w:rsid w:val="00AB30EA"/>
    <w:rsid w:val="00AB458B"/>
    <w:rsid w:val="00AB45E4"/>
    <w:rsid w:val="00AB6157"/>
    <w:rsid w:val="00AB7542"/>
    <w:rsid w:val="00AC022D"/>
    <w:rsid w:val="00AC0629"/>
    <w:rsid w:val="00AC0A20"/>
    <w:rsid w:val="00AC2E6A"/>
    <w:rsid w:val="00AC70C7"/>
    <w:rsid w:val="00AC79E0"/>
    <w:rsid w:val="00AD32CE"/>
    <w:rsid w:val="00AD5187"/>
    <w:rsid w:val="00AD6B11"/>
    <w:rsid w:val="00AD6B34"/>
    <w:rsid w:val="00AD6F90"/>
    <w:rsid w:val="00AD7A6C"/>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26"/>
    <w:rsid w:val="00B05BA8"/>
    <w:rsid w:val="00B0741D"/>
    <w:rsid w:val="00B07AD8"/>
    <w:rsid w:val="00B07B20"/>
    <w:rsid w:val="00B1081B"/>
    <w:rsid w:val="00B14F01"/>
    <w:rsid w:val="00B15525"/>
    <w:rsid w:val="00B15C0B"/>
    <w:rsid w:val="00B1701D"/>
    <w:rsid w:val="00B174BA"/>
    <w:rsid w:val="00B17AF3"/>
    <w:rsid w:val="00B223B5"/>
    <w:rsid w:val="00B229AD"/>
    <w:rsid w:val="00B237BC"/>
    <w:rsid w:val="00B26EBB"/>
    <w:rsid w:val="00B27499"/>
    <w:rsid w:val="00B30479"/>
    <w:rsid w:val="00B32DFB"/>
    <w:rsid w:val="00B335C4"/>
    <w:rsid w:val="00B3369E"/>
    <w:rsid w:val="00B33D9A"/>
    <w:rsid w:val="00B3652D"/>
    <w:rsid w:val="00B40D81"/>
    <w:rsid w:val="00B424F5"/>
    <w:rsid w:val="00B43167"/>
    <w:rsid w:val="00B435BE"/>
    <w:rsid w:val="00B43A9D"/>
    <w:rsid w:val="00B44A98"/>
    <w:rsid w:val="00B4515E"/>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493"/>
    <w:rsid w:val="00B73FF2"/>
    <w:rsid w:val="00B74CBA"/>
    <w:rsid w:val="00B74ED3"/>
    <w:rsid w:val="00B768CF"/>
    <w:rsid w:val="00B8099F"/>
    <w:rsid w:val="00B81A44"/>
    <w:rsid w:val="00B850EC"/>
    <w:rsid w:val="00B86BB5"/>
    <w:rsid w:val="00B91072"/>
    <w:rsid w:val="00B91A7E"/>
    <w:rsid w:val="00B91B6E"/>
    <w:rsid w:val="00B94B2C"/>
    <w:rsid w:val="00B950CC"/>
    <w:rsid w:val="00B96F7D"/>
    <w:rsid w:val="00B970D0"/>
    <w:rsid w:val="00BA1862"/>
    <w:rsid w:val="00BA2513"/>
    <w:rsid w:val="00BA49F4"/>
    <w:rsid w:val="00BA5C41"/>
    <w:rsid w:val="00BA6ACA"/>
    <w:rsid w:val="00BA7232"/>
    <w:rsid w:val="00BA7809"/>
    <w:rsid w:val="00BB057A"/>
    <w:rsid w:val="00BB449C"/>
    <w:rsid w:val="00BB44D7"/>
    <w:rsid w:val="00BB5171"/>
    <w:rsid w:val="00BB5B9C"/>
    <w:rsid w:val="00BC2561"/>
    <w:rsid w:val="00BC3E3E"/>
    <w:rsid w:val="00BC422A"/>
    <w:rsid w:val="00BC5128"/>
    <w:rsid w:val="00BC5608"/>
    <w:rsid w:val="00BC5A6B"/>
    <w:rsid w:val="00BD04C9"/>
    <w:rsid w:val="00BD0EC4"/>
    <w:rsid w:val="00BD3536"/>
    <w:rsid w:val="00BD37FD"/>
    <w:rsid w:val="00BD52A7"/>
    <w:rsid w:val="00BE0B46"/>
    <w:rsid w:val="00BE225E"/>
    <w:rsid w:val="00BE237E"/>
    <w:rsid w:val="00BE3703"/>
    <w:rsid w:val="00BE567F"/>
    <w:rsid w:val="00BE7E72"/>
    <w:rsid w:val="00BF0A29"/>
    <w:rsid w:val="00BF13A3"/>
    <w:rsid w:val="00BF25CD"/>
    <w:rsid w:val="00BF5553"/>
    <w:rsid w:val="00BF6F2C"/>
    <w:rsid w:val="00BF75CD"/>
    <w:rsid w:val="00C00F1C"/>
    <w:rsid w:val="00C0346D"/>
    <w:rsid w:val="00C0358F"/>
    <w:rsid w:val="00C03BB0"/>
    <w:rsid w:val="00C03FFF"/>
    <w:rsid w:val="00C041CF"/>
    <w:rsid w:val="00C0696A"/>
    <w:rsid w:val="00C06A64"/>
    <w:rsid w:val="00C12034"/>
    <w:rsid w:val="00C1396B"/>
    <w:rsid w:val="00C1698A"/>
    <w:rsid w:val="00C16C6B"/>
    <w:rsid w:val="00C17E6C"/>
    <w:rsid w:val="00C204B6"/>
    <w:rsid w:val="00C22DA6"/>
    <w:rsid w:val="00C249CC"/>
    <w:rsid w:val="00C24E5F"/>
    <w:rsid w:val="00C255B6"/>
    <w:rsid w:val="00C25BD2"/>
    <w:rsid w:val="00C26F3A"/>
    <w:rsid w:val="00C2770B"/>
    <w:rsid w:val="00C30296"/>
    <w:rsid w:val="00C303A0"/>
    <w:rsid w:val="00C3170E"/>
    <w:rsid w:val="00C31947"/>
    <w:rsid w:val="00C37EC3"/>
    <w:rsid w:val="00C40053"/>
    <w:rsid w:val="00C4294D"/>
    <w:rsid w:val="00C444C8"/>
    <w:rsid w:val="00C452DD"/>
    <w:rsid w:val="00C45856"/>
    <w:rsid w:val="00C46603"/>
    <w:rsid w:val="00C53228"/>
    <w:rsid w:val="00C54316"/>
    <w:rsid w:val="00C5497F"/>
    <w:rsid w:val="00C55208"/>
    <w:rsid w:val="00C5527D"/>
    <w:rsid w:val="00C61B1A"/>
    <w:rsid w:val="00C62A53"/>
    <w:rsid w:val="00C637DC"/>
    <w:rsid w:val="00C67B81"/>
    <w:rsid w:val="00C704FF"/>
    <w:rsid w:val="00C709F9"/>
    <w:rsid w:val="00C7179B"/>
    <w:rsid w:val="00C73A70"/>
    <w:rsid w:val="00C76054"/>
    <w:rsid w:val="00C779A2"/>
    <w:rsid w:val="00C80546"/>
    <w:rsid w:val="00C83CAD"/>
    <w:rsid w:val="00C8419E"/>
    <w:rsid w:val="00C851D7"/>
    <w:rsid w:val="00C85C8B"/>
    <w:rsid w:val="00C867AD"/>
    <w:rsid w:val="00C87039"/>
    <w:rsid w:val="00C87F9F"/>
    <w:rsid w:val="00C92423"/>
    <w:rsid w:val="00C93E37"/>
    <w:rsid w:val="00C9545D"/>
    <w:rsid w:val="00C9625C"/>
    <w:rsid w:val="00C978C6"/>
    <w:rsid w:val="00C97F2A"/>
    <w:rsid w:val="00CA112D"/>
    <w:rsid w:val="00CA1F9F"/>
    <w:rsid w:val="00CA2179"/>
    <w:rsid w:val="00CA3D8A"/>
    <w:rsid w:val="00CB4B3E"/>
    <w:rsid w:val="00CB50EF"/>
    <w:rsid w:val="00CB623F"/>
    <w:rsid w:val="00CB7895"/>
    <w:rsid w:val="00CB791A"/>
    <w:rsid w:val="00CB7D1B"/>
    <w:rsid w:val="00CC11DF"/>
    <w:rsid w:val="00CC1A6E"/>
    <w:rsid w:val="00CC3F62"/>
    <w:rsid w:val="00CC536E"/>
    <w:rsid w:val="00CC59DD"/>
    <w:rsid w:val="00CC6615"/>
    <w:rsid w:val="00CC7FC6"/>
    <w:rsid w:val="00CD47B2"/>
    <w:rsid w:val="00CD5AFD"/>
    <w:rsid w:val="00CD74EB"/>
    <w:rsid w:val="00CE49F8"/>
    <w:rsid w:val="00CE4E1E"/>
    <w:rsid w:val="00CE66B5"/>
    <w:rsid w:val="00CF52DF"/>
    <w:rsid w:val="00CF54C6"/>
    <w:rsid w:val="00CF5832"/>
    <w:rsid w:val="00CF5911"/>
    <w:rsid w:val="00CF7221"/>
    <w:rsid w:val="00CF724E"/>
    <w:rsid w:val="00D00E8D"/>
    <w:rsid w:val="00D059F5"/>
    <w:rsid w:val="00D117F5"/>
    <w:rsid w:val="00D13638"/>
    <w:rsid w:val="00D13661"/>
    <w:rsid w:val="00D142BD"/>
    <w:rsid w:val="00D146DE"/>
    <w:rsid w:val="00D1735C"/>
    <w:rsid w:val="00D17FEC"/>
    <w:rsid w:val="00D200E7"/>
    <w:rsid w:val="00D21427"/>
    <w:rsid w:val="00D22164"/>
    <w:rsid w:val="00D22B86"/>
    <w:rsid w:val="00D22F2F"/>
    <w:rsid w:val="00D24194"/>
    <w:rsid w:val="00D2460F"/>
    <w:rsid w:val="00D24847"/>
    <w:rsid w:val="00D2590F"/>
    <w:rsid w:val="00D27150"/>
    <w:rsid w:val="00D27EB3"/>
    <w:rsid w:val="00D330E0"/>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3BBE"/>
    <w:rsid w:val="00D775F3"/>
    <w:rsid w:val="00D77868"/>
    <w:rsid w:val="00D77F25"/>
    <w:rsid w:val="00D83810"/>
    <w:rsid w:val="00D84C2A"/>
    <w:rsid w:val="00D866CC"/>
    <w:rsid w:val="00D9064B"/>
    <w:rsid w:val="00D978C6"/>
    <w:rsid w:val="00DA03F6"/>
    <w:rsid w:val="00DA134A"/>
    <w:rsid w:val="00DA134C"/>
    <w:rsid w:val="00DA1492"/>
    <w:rsid w:val="00DA1A2E"/>
    <w:rsid w:val="00DA3413"/>
    <w:rsid w:val="00DA426E"/>
    <w:rsid w:val="00DA4339"/>
    <w:rsid w:val="00DA4B1B"/>
    <w:rsid w:val="00DA4EFC"/>
    <w:rsid w:val="00DA648D"/>
    <w:rsid w:val="00DA726D"/>
    <w:rsid w:val="00DB23C6"/>
    <w:rsid w:val="00DB3DEA"/>
    <w:rsid w:val="00DB40BD"/>
    <w:rsid w:val="00DB4B8E"/>
    <w:rsid w:val="00DB4F4B"/>
    <w:rsid w:val="00DC070F"/>
    <w:rsid w:val="00DC3858"/>
    <w:rsid w:val="00DC3A57"/>
    <w:rsid w:val="00DC52E7"/>
    <w:rsid w:val="00DC7A95"/>
    <w:rsid w:val="00DD55C2"/>
    <w:rsid w:val="00DD759E"/>
    <w:rsid w:val="00DE314E"/>
    <w:rsid w:val="00DE4CFB"/>
    <w:rsid w:val="00DE5272"/>
    <w:rsid w:val="00DE53D3"/>
    <w:rsid w:val="00DF045B"/>
    <w:rsid w:val="00DF1ED8"/>
    <w:rsid w:val="00DF3785"/>
    <w:rsid w:val="00DF3D27"/>
    <w:rsid w:val="00DF6074"/>
    <w:rsid w:val="00E02239"/>
    <w:rsid w:val="00E047EC"/>
    <w:rsid w:val="00E06851"/>
    <w:rsid w:val="00E07671"/>
    <w:rsid w:val="00E07D42"/>
    <w:rsid w:val="00E14521"/>
    <w:rsid w:val="00E14D4F"/>
    <w:rsid w:val="00E163E9"/>
    <w:rsid w:val="00E240F5"/>
    <w:rsid w:val="00E30004"/>
    <w:rsid w:val="00E32A60"/>
    <w:rsid w:val="00E333AC"/>
    <w:rsid w:val="00E3456B"/>
    <w:rsid w:val="00E34DCA"/>
    <w:rsid w:val="00E35C16"/>
    <w:rsid w:val="00E36085"/>
    <w:rsid w:val="00E36813"/>
    <w:rsid w:val="00E42382"/>
    <w:rsid w:val="00E4794D"/>
    <w:rsid w:val="00E603DF"/>
    <w:rsid w:val="00E60E9E"/>
    <w:rsid w:val="00E63745"/>
    <w:rsid w:val="00E6699F"/>
    <w:rsid w:val="00E67B40"/>
    <w:rsid w:val="00E703AE"/>
    <w:rsid w:val="00E71274"/>
    <w:rsid w:val="00E72373"/>
    <w:rsid w:val="00E736DE"/>
    <w:rsid w:val="00E76AF9"/>
    <w:rsid w:val="00E77B3B"/>
    <w:rsid w:val="00E84EF0"/>
    <w:rsid w:val="00E8649C"/>
    <w:rsid w:val="00E867EF"/>
    <w:rsid w:val="00E87886"/>
    <w:rsid w:val="00E87CDE"/>
    <w:rsid w:val="00E91FC1"/>
    <w:rsid w:val="00E92D54"/>
    <w:rsid w:val="00E9323C"/>
    <w:rsid w:val="00E95FD8"/>
    <w:rsid w:val="00EA0283"/>
    <w:rsid w:val="00EA035B"/>
    <w:rsid w:val="00EA0A50"/>
    <w:rsid w:val="00EA5DE1"/>
    <w:rsid w:val="00EB0C86"/>
    <w:rsid w:val="00EB0E16"/>
    <w:rsid w:val="00EB236F"/>
    <w:rsid w:val="00EB237E"/>
    <w:rsid w:val="00EB2F5C"/>
    <w:rsid w:val="00EB39A5"/>
    <w:rsid w:val="00EC1546"/>
    <w:rsid w:val="00EC5B23"/>
    <w:rsid w:val="00EC5DED"/>
    <w:rsid w:val="00EC6BD8"/>
    <w:rsid w:val="00ED0356"/>
    <w:rsid w:val="00ED0D71"/>
    <w:rsid w:val="00ED3DCD"/>
    <w:rsid w:val="00ED3DD5"/>
    <w:rsid w:val="00ED4393"/>
    <w:rsid w:val="00ED453A"/>
    <w:rsid w:val="00ED56BE"/>
    <w:rsid w:val="00ED74D7"/>
    <w:rsid w:val="00EE40F8"/>
    <w:rsid w:val="00EE6DD6"/>
    <w:rsid w:val="00EF0445"/>
    <w:rsid w:val="00EF0867"/>
    <w:rsid w:val="00EF1A10"/>
    <w:rsid w:val="00EF1A9F"/>
    <w:rsid w:val="00EF1B27"/>
    <w:rsid w:val="00EF4370"/>
    <w:rsid w:val="00EF5AD7"/>
    <w:rsid w:val="00F03FA7"/>
    <w:rsid w:val="00F048EF"/>
    <w:rsid w:val="00F06AAD"/>
    <w:rsid w:val="00F073B2"/>
    <w:rsid w:val="00F077B8"/>
    <w:rsid w:val="00F146BE"/>
    <w:rsid w:val="00F15030"/>
    <w:rsid w:val="00F15E35"/>
    <w:rsid w:val="00F172C7"/>
    <w:rsid w:val="00F20768"/>
    <w:rsid w:val="00F22013"/>
    <w:rsid w:val="00F22356"/>
    <w:rsid w:val="00F226E0"/>
    <w:rsid w:val="00F2522F"/>
    <w:rsid w:val="00F2692C"/>
    <w:rsid w:val="00F30180"/>
    <w:rsid w:val="00F31A29"/>
    <w:rsid w:val="00F3279A"/>
    <w:rsid w:val="00F37236"/>
    <w:rsid w:val="00F44634"/>
    <w:rsid w:val="00F505EC"/>
    <w:rsid w:val="00F5088F"/>
    <w:rsid w:val="00F51657"/>
    <w:rsid w:val="00F5223C"/>
    <w:rsid w:val="00F5338B"/>
    <w:rsid w:val="00F57296"/>
    <w:rsid w:val="00F57787"/>
    <w:rsid w:val="00F57CA2"/>
    <w:rsid w:val="00F61E82"/>
    <w:rsid w:val="00F6243A"/>
    <w:rsid w:val="00F63323"/>
    <w:rsid w:val="00F636FE"/>
    <w:rsid w:val="00F648B2"/>
    <w:rsid w:val="00F67EBD"/>
    <w:rsid w:val="00F70EA4"/>
    <w:rsid w:val="00F735E9"/>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0A6E"/>
    <w:rsid w:val="00FB1ED8"/>
    <w:rsid w:val="00FB24ED"/>
    <w:rsid w:val="00FB29AF"/>
    <w:rsid w:val="00FB313D"/>
    <w:rsid w:val="00FB4003"/>
    <w:rsid w:val="00FB4EBA"/>
    <w:rsid w:val="00FB7086"/>
    <w:rsid w:val="00FC2489"/>
    <w:rsid w:val="00FC6733"/>
    <w:rsid w:val="00FD2677"/>
    <w:rsid w:val="00FD28B8"/>
    <w:rsid w:val="00FD6263"/>
    <w:rsid w:val="00FE0BD8"/>
    <w:rsid w:val="00FE1709"/>
    <w:rsid w:val="00FE1FC9"/>
    <w:rsid w:val="00FF32DE"/>
    <w:rsid w:val="00FF4205"/>
    <w:rsid w:val="00FF4912"/>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47206"/>
    <w:pPr>
      <w:numPr>
        <w:numId w:val="21"/>
      </w:numPr>
      <w:tabs>
        <w:tab w:val="left" w:pos="0"/>
        <w:tab w:val="left" w:pos="142"/>
        <w:tab w:val="left" w:pos="284"/>
        <w:tab w:val="left" w:pos="720"/>
      </w:tabs>
      <w:autoSpaceDE w:val="0"/>
      <w:autoSpaceDN w:val="0"/>
      <w:adjustRightInd w:val="0"/>
      <w:spacing w:line="264" w:lineRule="auto"/>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T,Car,Footnote Text Char1,Footnote Text Char Char,fn Char Char,Footnote Text Char1 Char1 Char,Footnote Text Char Char Char1 Char,Footnote Text Char1 Char Char Char,Footnote Text Char Char Char Char Char,Footnote Text Char Char1,fn,Char3"/>
    <w:basedOn w:val="Normal"/>
    <w:link w:val="FootnoteTextChar"/>
    <w:autoRedefine/>
    <w:uiPriority w:val="19"/>
    <w:unhideWhenUsed/>
    <w:qFormat/>
    <w:rsid w:val="002742AC"/>
    <w:rPr>
      <w:sz w:val="20"/>
      <w:szCs w:val="20"/>
    </w:rPr>
  </w:style>
  <w:style w:type="character" w:customStyle="1" w:styleId="FootnoteTextChar">
    <w:name w:val="Footnote Text Char"/>
    <w:aliases w:val="FT Char,Car Char,Footnote Text Char1 Char,Footnote Text Char Char Char,fn Char Char Char,Footnote Text Char1 Char1 Char Char,Footnote Text Char Char Char1 Char Char,Footnote Text Char1 Char Char Char Char,Footnote Text Char Char1 Char"/>
    <w:basedOn w:val="DefaultParagraphFont"/>
    <w:link w:val="FootnoteText"/>
    <w:uiPriority w:val="99"/>
    <w:rsid w:val="002742AC"/>
    <w:rPr>
      <w:rFonts w:ascii="Times New Roman" w:eastAsia="Times New Roman" w:hAnsi="Times New Roman" w:cs="Times New Roman"/>
      <w:lang w:val="en-GB" w:eastAsia="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1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rFonts w:ascii="Times New Roman" w:eastAsia="Times New Roman" w:hAnsi="Times New Roman" w:cs="Times New Roman"/>
      <w:sz w:val="16"/>
      <w:lang w:val="en-GB" w:eastAsia="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47206"/>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tpplan.com/doc/DataPolicies.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ctaplan.com/publicdocs/ctaplan/notifications/trader-update/Schedule%20Of%20Market%20Data%20Charges%20-%20January%201,%20201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srb.org/msrb1/pdfs/MSRBSubscriptionServicesPriceList.pdf" TargetMode="Externa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finra.org/industry/trace-pricin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esma70-1861941480-56_qas_mifir_data_reporting.pdf" TargetMode="External"/><Relationship Id="rId13" Type="http://schemas.openxmlformats.org/officeDocument/2006/relationships/hyperlink" Target="https://papers.ssrn.com/sol3/papers.cfm?abstract_id=3171056" TargetMode="External"/><Relationship Id="rId3" Type="http://schemas.openxmlformats.org/officeDocument/2006/relationships/hyperlink" Target="https://www.clarusft.com/5-things-that-are-making-mifid-ii-data-useless/" TargetMode="External"/><Relationship Id="rId7" Type="http://schemas.openxmlformats.org/officeDocument/2006/relationships/hyperlink" Target="https://rtdata.dtcc.com/gtr/" TargetMode="External"/><Relationship Id="rId12" Type="http://schemas.openxmlformats.org/officeDocument/2006/relationships/hyperlink" Target="https://www.nber.org/papers/w19417" TargetMode="External"/><Relationship Id="rId17" Type="http://schemas.openxmlformats.org/officeDocument/2006/relationships/hyperlink" Target="https://www.clarusft.com/mifid-ii-transparency-update/" TargetMode="External"/><Relationship Id="rId2" Type="http://schemas.openxmlformats.org/officeDocument/2006/relationships/hyperlink" Target="https://www.clarusft.com/mifid-ii-transparency-update/" TargetMode="External"/><Relationship Id="rId16" Type="http://schemas.openxmlformats.org/officeDocument/2006/relationships/hyperlink" Target="http://papers.ssrn.com/sol3/papers.cfm?abstract_id=2443654" TargetMode="External"/><Relationship Id="rId1" Type="http://schemas.openxmlformats.org/officeDocument/2006/relationships/hyperlink" Target="https://www.anna-dsb.com/2018/05/04/firds-data-analysis-for-april-2018/" TargetMode="External"/><Relationship Id="rId6" Type="http://schemas.openxmlformats.org/officeDocument/2006/relationships/hyperlink" Target="https://emma.msrb.org/TradeData/MostActivelyTraded" TargetMode="External"/><Relationship Id="rId11" Type="http://schemas.openxmlformats.org/officeDocument/2006/relationships/hyperlink" Target="https://papers.ssrn.com/sol3/papers.cfm?abstract_id=686324" TargetMode="External"/><Relationship Id="rId5" Type="http://schemas.openxmlformats.org/officeDocument/2006/relationships/hyperlink" Target="http://finra-markets.morningstar.com/BondCenter/Default.jsp" TargetMode="External"/><Relationship Id="rId15" Type="http://schemas.openxmlformats.org/officeDocument/2006/relationships/hyperlink" Target="https://papers.ssrn.com/sol3/papers.cfm?abstract_id=2176561" TargetMode="External"/><Relationship Id="rId10" Type="http://schemas.openxmlformats.org/officeDocument/2006/relationships/hyperlink" Target="https://papers.ssrn.com/sol3/papers.cfm?abstract_id=593823" TargetMode="External"/><Relationship Id="rId4" Type="http://schemas.openxmlformats.org/officeDocument/2006/relationships/hyperlink" Target="https://www.clarusft.com/mifid-ii-transparency-update/" TargetMode="External"/><Relationship Id="rId9" Type="http://schemas.openxmlformats.org/officeDocument/2006/relationships/hyperlink" Target="https://www.researchgate.net/publication/222515781_Market_Transparency_Liquidity_Externalities_and_Institutional_Trading_Costs_in_Corporate_Bonds" TargetMode="External"/><Relationship Id="rId14" Type="http://schemas.openxmlformats.org/officeDocument/2006/relationships/hyperlink" Target="https://www.nber.org/papers/w1941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schemas.microsoft.com/sharepoint/v3"/>
    <ds:schemaRef ds:uri="http://purl.org/dc/elements/1.1/"/>
    <ds:schemaRef ds:uri="20fbe147-bbda-4e53-b6b1-7e8bbff3fe19"/>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6F786B-00FC-4900-B20E-4D38A5E9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2425</TotalTime>
  <Pages>19</Pages>
  <Words>5566</Words>
  <Characters>31729</Characters>
  <Application>Microsoft Office Word</Application>
  <DocSecurity>8</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Platt, Jonah</cp:lastModifiedBy>
  <cp:revision>271</cp:revision>
  <cp:lastPrinted>2017-07-24T14:47:00Z</cp:lastPrinted>
  <dcterms:created xsi:type="dcterms:W3CDTF">2019-07-31T16:07:00Z</dcterms:created>
  <dcterms:modified xsi:type="dcterms:W3CDTF">2019-09-06T16:48:00Z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