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berschrift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bersch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5575C2B0" w:rsidR="00C85C8B" w:rsidRPr="00C85C8B" w:rsidRDefault="001A7222" w:rsidP="001A7222">
                <w:pPr>
                  <w:rPr>
                    <w:rFonts w:ascii="Arial" w:hAnsi="Arial" w:cs="Arial"/>
                    <w:color w:val="808080"/>
                    <w:sz w:val="20"/>
                    <w:lang w:eastAsia="de-DE"/>
                  </w:rPr>
                </w:pPr>
                <w:r>
                  <w:rPr>
                    <w:rFonts w:ascii="Arial" w:hAnsi="Arial" w:cs="Arial"/>
                    <w:color w:val="808080"/>
                    <w:sz w:val="20"/>
                    <w:lang w:eastAsia="de-DE"/>
                  </w:rPr>
                  <w:t>Börse Stuttgart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F684935" w:rsidR="00C85C8B" w:rsidRPr="00C85C8B" w:rsidRDefault="006E2F77"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A7222">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49CC6C4D" w:rsidR="00C85C8B" w:rsidRPr="00C85C8B" w:rsidRDefault="001A7222"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1A02DB2" w:rsidR="00C85C8B" w:rsidRPr="00C85C8B" w:rsidRDefault="001A7222" w:rsidP="00C85C8B">
                <w:pPr>
                  <w:rPr>
                    <w:rFonts w:ascii="Arial" w:hAnsi="Arial" w:cs="Arial"/>
                    <w:sz w:val="20"/>
                    <w:lang w:eastAsia="de-DE"/>
                  </w:rPr>
                </w:pPr>
                <w:r>
                  <w:rPr>
                    <w:rFonts w:ascii="Arial" w:hAnsi="Arial" w:cs="Arial"/>
                    <w:sz w:val="20"/>
                    <w:lang w:eastAsia="de-DE"/>
                  </w:rPr>
                  <w:t>Germany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2CE3AD5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6606BF11" w14:textId="19E252C1" w:rsidR="001A7222" w:rsidRDefault="001A7222" w:rsidP="001A7222">
      <w:pPr>
        <w:spacing w:line="276" w:lineRule="auto"/>
        <w:rPr>
          <w:rFonts w:ascii="Arial" w:hAnsi="Arial" w:cs="Arial"/>
          <w:lang w:val="en-US"/>
        </w:rPr>
      </w:pPr>
      <w:permStart w:id="478217800" w:edGrp="everyone"/>
      <w:r w:rsidRPr="00FA5C0A">
        <w:rPr>
          <w:rFonts w:ascii="Arial" w:hAnsi="Arial" w:cs="Arial"/>
          <w:lang w:val="en-US"/>
        </w:rPr>
        <w:t>Börse Stuttgart response underlines that market data is the outcome of a dynamic price formation process and is a joint product with trade execution — i.e. it is not possible to generate one without the other, and most activities undertaken by a</w:t>
      </w:r>
      <w:r w:rsidR="00807B4E">
        <w:rPr>
          <w:rFonts w:ascii="Arial" w:hAnsi="Arial" w:cs="Arial"/>
          <w:lang w:val="en-US"/>
        </w:rPr>
        <w:t>n</w:t>
      </w:r>
      <w:r w:rsidRPr="00FA5C0A">
        <w:rPr>
          <w:rFonts w:ascii="Arial" w:hAnsi="Arial" w:cs="Arial"/>
          <w:lang w:val="en-US"/>
        </w:rPr>
        <w:t xml:space="preserve"> exchange deliver both trading and price formation. There is a need to inform and focus the public policy debate on market data with emphasis on the nature and role exchange market data has in protecting investors.</w:t>
      </w:r>
    </w:p>
    <w:p w14:paraId="7447341B" w14:textId="77777777" w:rsidR="001A7222" w:rsidRPr="00FA5C0A" w:rsidRDefault="001A7222" w:rsidP="001A7222">
      <w:pPr>
        <w:spacing w:line="276" w:lineRule="auto"/>
        <w:rPr>
          <w:rFonts w:ascii="Arial" w:hAnsi="Arial" w:cs="Arial"/>
          <w:lang w:val="en-US"/>
        </w:rPr>
      </w:pPr>
    </w:p>
    <w:p w14:paraId="2BDCD1EF" w14:textId="6A04E599" w:rsidR="001A7222" w:rsidRDefault="001A7222" w:rsidP="001A7222">
      <w:pPr>
        <w:spacing w:line="276" w:lineRule="auto"/>
        <w:rPr>
          <w:rFonts w:ascii="Arial" w:hAnsi="Arial" w:cs="Arial"/>
          <w:lang w:val="en-US"/>
        </w:rPr>
      </w:pPr>
      <w:r w:rsidRPr="001259A8">
        <w:rPr>
          <w:rFonts w:ascii="Arial" w:hAnsi="Arial" w:cs="Arial"/>
          <w:lang w:val="en-US"/>
        </w:rPr>
        <w:t>MiFID II/</w:t>
      </w:r>
      <w:proofErr w:type="spellStart"/>
      <w:r w:rsidRPr="001259A8">
        <w:rPr>
          <w:rFonts w:ascii="Arial" w:hAnsi="Arial" w:cs="Arial"/>
          <w:lang w:val="en-US"/>
        </w:rPr>
        <w:t>MiFIR</w:t>
      </w:r>
      <w:proofErr w:type="spellEnd"/>
      <w:r w:rsidRPr="001259A8">
        <w:rPr>
          <w:rFonts w:ascii="Arial" w:hAnsi="Arial" w:cs="Arial"/>
          <w:lang w:val="en-US"/>
        </w:rPr>
        <w:t xml:space="preserve"> has resulted in some price adjustments, with price increases but also price decreases. Börse Stuttgart’s market data revenues have been small on average: 4% of overall revenues in 2018. They did not increase substantially in recent years taking into account that the number of clients grew. </w:t>
      </w:r>
      <w:proofErr w:type="spellStart"/>
      <w:r w:rsidRPr="001259A8">
        <w:rPr>
          <w:rFonts w:ascii="Arial" w:hAnsi="Arial" w:cs="Arial"/>
          <w:lang w:val="en-US"/>
        </w:rPr>
        <w:t>Oxera</w:t>
      </w:r>
      <w:proofErr w:type="spellEnd"/>
      <w:r w:rsidRPr="001259A8">
        <w:rPr>
          <w:rFonts w:ascii="Arial" w:hAnsi="Arial" w:cs="Arial"/>
          <w:lang w:val="en-US"/>
        </w:rPr>
        <w:t xml:space="preserve"> (2019, “The design of equity trading markets in Europe”) shows – for a sample of exchanges</w:t>
      </w:r>
      <w:r w:rsidRPr="00FA5C0A">
        <w:rPr>
          <w:rFonts w:ascii="Arial" w:hAnsi="Arial" w:cs="Arial"/>
          <w:lang w:val="en-US"/>
        </w:rPr>
        <w:t xml:space="preserve"> that are members of the Federation of European Securities Exchanges – that this is also true for the aggregate securities market data </w:t>
      </w:r>
      <w:r>
        <w:rPr>
          <w:rFonts w:ascii="Arial" w:hAnsi="Arial" w:cs="Arial"/>
          <w:lang w:val="en-US"/>
        </w:rPr>
        <w:t xml:space="preserve">revenues </w:t>
      </w:r>
      <w:r w:rsidRPr="00FA5C0A">
        <w:rPr>
          <w:rFonts w:ascii="Arial" w:hAnsi="Arial" w:cs="Arial"/>
          <w:lang w:val="en-US"/>
        </w:rPr>
        <w:t xml:space="preserve">which amounted to approximately 245m Euro in 2018 and increased in recent years </w:t>
      </w:r>
      <w:r w:rsidRPr="001259A8">
        <w:rPr>
          <w:rFonts w:ascii="Arial" w:hAnsi="Arial" w:cs="Arial"/>
          <w:lang w:val="en-US"/>
        </w:rPr>
        <w:t>by around only 1% per year in real terms (p. 71).</w:t>
      </w:r>
    </w:p>
    <w:p w14:paraId="2631215D" w14:textId="77777777" w:rsidR="001A7222" w:rsidRPr="001259A8" w:rsidRDefault="001A7222" w:rsidP="001A7222">
      <w:pPr>
        <w:spacing w:line="276" w:lineRule="auto"/>
        <w:rPr>
          <w:rFonts w:ascii="Arial" w:hAnsi="Arial" w:cs="Arial"/>
          <w:lang w:val="en-US"/>
        </w:rPr>
      </w:pPr>
    </w:p>
    <w:p w14:paraId="516E80BC" w14:textId="62176603" w:rsidR="001A7222" w:rsidRDefault="001A7222" w:rsidP="001A7222">
      <w:pPr>
        <w:spacing w:line="276" w:lineRule="auto"/>
        <w:rPr>
          <w:rFonts w:ascii="Arial" w:hAnsi="Arial" w:cs="Arial"/>
          <w:lang w:val="en-US"/>
        </w:rPr>
      </w:pPr>
      <w:r w:rsidRPr="001259A8">
        <w:rPr>
          <w:rFonts w:ascii="Arial" w:hAnsi="Arial" w:cs="Arial"/>
          <w:lang w:val="en-US"/>
        </w:rPr>
        <w:t xml:space="preserve">Börse Stuttgart highlights the need to proceed with caution when assessing increases based on information on single individual license fees for specific products. For example, Börse Stuttgart changed its license model for real-time market data usage with a non-display license reflecting changes within the industry in October 2018. Some clients experienced an increase in the cost of market data but some experienced a significant decrease in the cost of market data. In the following, we refer to single real-world examples of Börse Stuttgart customers with price decreases, since we are aware that other market participants focus on the increases only. </w:t>
      </w:r>
    </w:p>
    <w:p w14:paraId="36B15C34" w14:textId="77777777" w:rsidR="001A7222" w:rsidRPr="001259A8" w:rsidRDefault="001A7222" w:rsidP="001A7222">
      <w:pPr>
        <w:spacing w:line="276" w:lineRule="auto"/>
        <w:rPr>
          <w:rFonts w:ascii="Arial" w:hAnsi="Arial" w:cs="Arial"/>
          <w:lang w:val="en-US"/>
        </w:rPr>
      </w:pPr>
    </w:p>
    <w:tbl>
      <w:tblPr>
        <w:tblStyle w:val="Tabellenraster"/>
        <w:tblW w:w="0" w:type="auto"/>
        <w:jc w:val="center"/>
        <w:tblLook w:val="04A0" w:firstRow="1" w:lastRow="0" w:firstColumn="1" w:lastColumn="0" w:noHBand="0" w:noVBand="1"/>
      </w:tblPr>
      <w:tblGrid>
        <w:gridCol w:w="1701"/>
        <w:gridCol w:w="1417"/>
        <w:gridCol w:w="1417"/>
        <w:gridCol w:w="1417"/>
      </w:tblGrid>
      <w:tr w:rsidR="001A7222" w:rsidRPr="000329C7" w14:paraId="154D90CF" w14:textId="77777777" w:rsidTr="006C605C">
        <w:trPr>
          <w:jc w:val="center"/>
        </w:trPr>
        <w:tc>
          <w:tcPr>
            <w:tcW w:w="5952" w:type="dxa"/>
            <w:gridSpan w:val="4"/>
          </w:tcPr>
          <w:p w14:paraId="174D8E02" w14:textId="77777777" w:rsidR="001A7222" w:rsidRPr="00807B4E" w:rsidRDefault="001A7222" w:rsidP="001A7222">
            <w:pPr>
              <w:spacing w:line="276" w:lineRule="auto"/>
              <w:rPr>
                <w:rFonts w:ascii="Arial" w:hAnsi="Arial" w:cs="Arial"/>
                <w:sz w:val="22"/>
                <w:szCs w:val="22"/>
                <w:lang w:val="en-US"/>
              </w:rPr>
            </w:pPr>
            <w:r w:rsidRPr="00807B4E">
              <w:rPr>
                <w:rFonts w:ascii="Arial" w:hAnsi="Arial" w:cs="Arial"/>
                <w:sz w:val="22"/>
                <w:szCs w:val="22"/>
                <w:lang w:val="en-US"/>
              </w:rPr>
              <w:t>Börse Stuttgart Examples of Real-Time Market Data Usage with a Non-Display License (Euro/month)</w:t>
            </w:r>
          </w:p>
        </w:tc>
      </w:tr>
      <w:tr w:rsidR="001A7222" w:rsidRPr="001259A8" w14:paraId="7F1361E1" w14:textId="77777777" w:rsidTr="006C605C">
        <w:trPr>
          <w:jc w:val="center"/>
        </w:trPr>
        <w:tc>
          <w:tcPr>
            <w:tcW w:w="1701" w:type="dxa"/>
          </w:tcPr>
          <w:p w14:paraId="5BB923DF" w14:textId="77777777" w:rsidR="001A7222" w:rsidRPr="00807B4E" w:rsidRDefault="001A7222" w:rsidP="001A7222">
            <w:pPr>
              <w:spacing w:line="276" w:lineRule="auto"/>
              <w:rPr>
                <w:rFonts w:ascii="Arial" w:hAnsi="Arial" w:cs="Arial"/>
                <w:sz w:val="22"/>
                <w:szCs w:val="22"/>
                <w:lang w:val="en-US"/>
              </w:rPr>
            </w:pPr>
          </w:p>
        </w:tc>
        <w:tc>
          <w:tcPr>
            <w:tcW w:w="1417" w:type="dxa"/>
          </w:tcPr>
          <w:p w14:paraId="68A21792" w14:textId="77777777" w:rsidR="001A7222" w:rsidRPr="00807B4E" w:rsidRDefault="001A7222" w:rsidP="001A7222">
            <w:pPr>
              <w:spacing w:line="276" w:lineRule="auto"/>
              <w:jc w:val="right"/>
              <w:rPr>
                <w:rFonts w:ascii="Arial" w:hAnsi="Arial" w:cs="Arial"/>
                <w:sz w:val="22"/>
                <w:szCs w:val="22"/>
                <w:lang w:val="en-US"/>
              </w:rPr>
            </w:pPr>
            <w:r w:rsidRPr="00807B4E">
              <w:rPr>
                <w:rFonts w:ascii="Arial" w:hAnsi="Arial" w:cs="Arial"/>
                <w:sz w:val="22"/>
                <w:szCs w:val="22"/>
                <w:lang w:val="en-US"/>
              </w:rPr>
              <w:t>2018</w:t>
            </w:r>
          </w:p>
        </w:tc>
        <w:tc>
          <w:tcPr>
            <w:tcW w:w="1417" w:type="dxa"/>
          </w:tcPr>
          <w:p w14:paraId="2D6F3C05" w14:textId="77777777" w:rsidR="001A7222" w:rsidRPr="00807B4E" w:rsidRDefault="001A7222" w:rsidP="001A7222">
            <w:pPr>
              <w:spacing w:line="276" w:lineRule="auto"/>
              <w:jc w:val="right"/>
              <w:rPr>
                <w:rFonts w:ascii="Arial" w:hAnsi="Arial" w:cs="Arial"/>
                <w:sz w:val="22"/>
                <w:szCs w:val="22"/>
                <w:lang w:val="en-US"/>
              </w:rPr>
            </w:pPr>
            <w:r w:rsidRPr="00807B4E">
              <w:rPr>
                <w:rFonts w:ascii="Arial" w:hAnsi="Arial" w:cs="Arial"/>
                <w:sz w:val="22"/>
                <w:szCs w:val="22"/>
                <w:lang w:val="en-US"/>
              </w:rPr>
              <w:t>2019</w:t>
            </w:r>
          </w:p>
        </w:tc>
        <w:tc>
          <w:tcPr>
            <w:tcW w:w="1417" w:type="dxa"/>
          </w:tcPr>
          <w:p w14:paraId="1F5E4896" w14:textId="77777777" w:rsidR="001A7222" w:rsidRPr="00807B4E" w:rsidRDefault="001A7222" w:rsidP="001A7222">
            <w:pPr>
              <w:spacing w:line="276" w:lineRule="auto"/>
              <w:rPr>
                <w:rFonts w:ascii="Arial" w:hAnsi="Arial" w:cs="Arial"/>
                <w:sz w:val="22"/>
                <w:szCs w:val="22"/>
                <w:lang w:val="en-US"/>
              </w:rPr>
            </w:pPr>
          </w:p>
        </w:tc>
      </w:tr>
      <w:tr w:rsidR="001A7222" w:rsidRPr="001259A8" w14:paraId="16C48A01" w14:textId="77777777" w:rsidTr="006C605C">
        <w:trPr>
          <w:jc w:val="center"/>
        </w:trPr>
        <w:tc>
          <w:tcPr>
            <w:tcW w:w="1701" w:type="dxa"/>
          </w:tcPr>
          <w:p w14:paraId="259EE834" w14:textId="77777777" w:rsidR="001A7222" w:rsidRPr="00807B4E" w:rsidRDefault="001A7222" w:rsidP="001A7222">
            <w:pPr>
              <w:spacing w:line="276" w:lineRule="auto"/>
              <w:rPr>
                <w:rFonts w:ascii="Arial" w:hAnsi="Arial" w:cs="Arial"/>
                <w:sz w:val="22"/>
                <w:szCs w:val="22"/>
                <w:lang w:val="en-US"/>
              </w:rPr>
            </w:pPr>
            <w:r w:rsidRPr="00807B4E">
              <w:rPr>
                <w:rFonts w:ascii="Arial" w:hAnsi="Arial" w:cs="Arial"/>
                <w:sz w:val="22"/>
                <w:szCs w:val="22"/>
                <w:lang w:val="en-US"/>
              </w:rPr>
              <w:t>Customer 1</w:t>
            </w:r>
          </w:p>
        </w:tc>
        <w:tc>
          <w:tcPr>
            <w:tcW w:w="1417" w:type="dxa"/>
          </w:tcPr>
          <w:p w14:paraId="5C3EE948" w14:textId="77777777" w:rsidR="001A7222" w:rsidRPr="00807B4E" w:rsidRDefault="001A7222" w:rsidP="001A7222">
            <w:pPr>
              <w:spacing w:line="276" w:lineRule="auto"/>
              <w:jc w:val="right"/>
              <w:rPr>
                <w:rFonts w:ascii="Arial" w:hAnsi="Arial" w:cs="Arial"/>
                <w:sz w:val="22"/>
                <w:szCs w:val="22"/>
                <w:lang w:val="en-US"/>
              </w:rPr>
            </w:pPr>
            <w:r w:rsidRPr="00807B4E">
              <w:rPr>
                <w:rFonts w:ascii="Arial" w:hAnsi="Arial" w:cs="Arial"/>
                <w:sz w:val="22"/>
                <w:szCs w:val="22"/>
                <w:lang w:val="en-US"/>
              </w:rPr>
              <w:t>375</w:t>
            </w:r>
          </w:p>
        </w:tc>
        <w:tc>
          <w:tcPr>
            <w:tcW w:w="1417" w:type="dxa"/>
          </w:tcPr>
          <w:p w14:paraId="7488598D" w14:textId="77777777" w:rsidR="001A7222" w:rsidRPr="00807B4E" w:rsidRDefault="001A7222" w:rsidP="001A7222">
            <w:pPr>
              <w:spacing w:line="276" w:lineRule="auto"/>
              <w:jc w:val="right"/>
              <w:rPr>
                <w:rFonts w:ascii="Arial" w:hAnsi="Arial" w:cs="Arial"/>
                <w:sz w:val="22"/>
                <w:szCs w:val="22"/>
                <w:lang w:val="en-US"/>
              </w:rPr>
            </w:pPr>
            <w:r w:rsidRPr="00807B4E">
              <w:rPr>
                <w:rFonts w:ascii="Arial" w:hAnsi="Arial" w:cs="Arial"/>
                <w:sz w:val="22"/>
                <w:szCs w:val="22"/>
                <w:lang w:val="en-US"/>
              </w:rPr>
              <w:t>180</w:t>
            </w:r>
          </w:p>
        </w:tc>
        <w:tc>
          <w:tcPr>
            <w:tcW w:w="1417" w:type="dxa"/>
          </w:tcPr>
          <w:p w14:paraId="2DE073BB" w14:textId="77777777" w:rsidR="001A7222" w:rsidRPr="00807B4E" w:rsidRDefault="001A7222" w:rsidP="001A7222">
            <w:pPr>
              <w:spacing w:line="276" w:lineRule="auto"/>
              <w:jc w:val="right"/>
              <w:rPr>
                <w:rFonts w:ascii="Arial" w:hAnsi="Arial" w:cs="Arial"/>
                <w:sz w:val="22"/>
                <w:szCs w:val="22"/>
                <w:lang w:val="en-US"/>
              </w:rPr>
            </w:pPr>
            <w:r w:rsidRPr="00807B4E">
              <w:rPr>
                <w:rFonts w:ascii="Arial" w:hAnsi="Arial" w:cs="Arial"/>
                <w:sz w:val="22"/>
                <w:szCs w:val="22"/>
                <w:lang w:val="en-US"/>
              </w:rPr>
              <w:t>-52%</w:t>
            </w:r>
          </w:p>
        </w:tc>
      </w:tr>
      <w:tr w:rsidR="001A7222" w:rsidRPr="001259A8" w14:paraId="6313663C" w14:textId="77777777" w:rsidTr="006C605C">
        <w:trPr>
          <w:jc w:val="center"/>
        </w:trPr>
        <w:tc>
          <w:tcPr>
            <w:tcW w:w="1701" w:type="dxa"/>
          </w:tcPr>
          <w:p w14:paraId="0CEEFD44" w14:textId="77777777" w:rsidR="001A7222" w:rsidRPr="00807B4E" w:rsidRDefault="001A7222" w:rsidP="001A7222">
            <w:pPr>
              <w:spacing w:line="276" w:lineRule="auto"/>
              <w:rPr>
                <w:rFonts w:ascii="Arial" w:hAnsi="Arial" w:cs="Arial"/>
                <w:sz w:val="22"/>
                <w:szCs w:val="22"/>
                <w:lang w:val="en-US"/>
              </w:rPr>
            </w:pPr>
            <w:r w:rsidRPr="00807B4E">
              <w:rPr>
                <w:rFonts w:ascii="Arial" w:hAnsi="Arial" w:cs="Arial"/>
                <w:sz w:val="22"/>
                <w:szCs w:val="22"/>
                <w:lang w:val="en-US"/>
              </w:rPr>
              <w:t>Customer 2</w:t>
            </w:r>
          </w:p>
        </w:tc>
        <w:tc>
          <w:tcPr>
            <w:tcW w:w="1417" w:type="dxa"/>
          </w:tcPr>
          <w:p w14:paraId="4776D652" w14:textId="77777777" w:rsidR="001A7222" w:rsidRPr="00807B4E" w:rsidRDefault="001A7222" w:rsidP="001A7222">
            <w:pPr>
              <w:spacing w:line="276" w:lineRule="auto"/>
              <w:jc w:val="right"/>
              <w:rPr>
                <w:rFonts w:ascii="Arial" w:hAnsi="Arial" w:cs="Arial"/>
                <w:sz w:val="22"/>
                <w:szCs w:val="22"/>
                <w:lang w:val="en-US"/>
              </w:rPr>
            </w:pPr>
            <w:r w:rsidRPr="00807B4E">
              <w:rPr>
                <w:rFonts w:ascii="Arial" w:hAnsi="Arial" w:cs="Arial"/>
                <w:sz w:val="22"/>
                <w:szCs w:val="22"/>
                <w:lang w:val="en-US"/>
              </w:rPr>
              <w:t>1.125</w:t>
            </w:r>
          </w:p>
        </w:tc>
        <w:tc>
          <w:tcPr>
            <w:tcW w:w="1417" w:type="dxa"/>
          </w:tcPr>
          <w:p w14:paraId="3508DF9B" w14:textId="77777777" w:rsidR="001A7222" w:rsidRPr="00807B4E" w:rsidRDefault="001A7222" w:rsidP="001A7222">
            <w:pPr>
              <w:spacing w:line="276" w:lineRule="auto"/>
              <w:jc w:val="right"/>
              <w:rPr>
                <w:rFonts w:ascii="Arial" w:hAnsi="Arial" w:cs="Arial"/>
                <w:sz w:val="22"/>
                <w:szCs w:val="22"/>
                <w:lang w:val="en-US"/>
              </w:rPr>
            </w:pPr>
            <w:r w:rsidRPr="00807B4E">
              <w:rPr>
                <w:rFonts w:ascii="Arial" w:hAnsi="Arial" w:cs="Arial"/>
                <w:sz w:val="22"/>
                <w:szCs w:val="22"/>
                <w:lang w:val="en-US"/>
              </w:rPr>
              <w:t>500</w:t>
            </w:r>
          </w:p>
        </w:tc>
        <w:tc>
          <w:tcPr>
            <w:tcW w:w="1417" w:type="dxa"/>
          </w:tcPr>
          <w:p w14:paraId="307712A7" w14:textId="77777777" w:rsidR="001A7222" w:rsidRPr="00807B4E" w:rsidRDefault="001A7222" w:rsidP="001A7222">
            <w:pPr>
              <w:spacing w:line="276" w:lineRule="auto"/>
              <w:jc w:val="right"/>
              <w:rPr>
                <w:rFonts w:ascii="Arial" w:hAnsi="Arial" w:cs="Arial"/>
                <w:sz w:val="22"/>
                <w:szCs w:val="22"/>
                <w:lang w:val="en-US"/>
              </w:rPr>
            </w:pPr>
            <w:r w:rsidRPr="00807B4E">
              <w:rPr>
                <w:rFonts w:ascii="Arial" w:hAnsi="Arial" w:cs="Arial"/>
                <w:sz w:val="22"/>
                <w:szCs w:val="22"/>
                <w:lang w:val="en-US"/>
              </w:rPr>
              <w:t>-55%</w:t>
            </w:r>
          </w:p>
        </w:tc>
      </w:tr>
      <w:tr w:rsidR="001A7222" w:rsidRPr="001259A8" w14:paraId="202421B1" w14:textId="77777777" w:rsidTr="006C605C">
        <w:trPr>
          <w:jc w:val="center"/>
        </w:trPr>
        <w:tc>
          <w:tcPr>
            <w:tcW w:w="1701" w:type="dxa"/>
          </w:tcPr>
          <w:p w14:paraId="7A45F644" w14:textId="77777777" w:rsidR="001A7222" w:rsidRPr="00807B4E" w:rsidRDefault="001A7222" w:rsidP="001A7222">
            <w:pPr>
              <w:spacing w:line="276" w:lineRule="auto"/>
              <w:rPr>
                <w:rFonts w:ascii="Arial" w:hAnsi="Arial" w:cs="Arial"/>
                <w:sz w:val="22"/>
                <w:szCs w:val="22"/>
                <w:lang w:val="en-US"/>
              </w:rPr>
            </w:pPr>
            <w:r w:rsidRPr="00807B4E">
              <w:rPr>
                <w:rFonts w:ascii="Arial" w:hAnsi="Arial" w:cs="Arial"/>
                <w:sz w:val="22"/>
                <w:szCs w:val="22"/>
                <w:lang w:val="en-US"/>
              </w:rPr>
              <w:t>Customer 3</w:t>
            </w:r>
          </w:p>
        </w:tc>
        <w:tc>
          <w:tcPr>
            <w:tcW w:w="1417" w:type="dxa"/>
          </w:tcPr>
          <w:p w14:paraId="6905932D" w14:textId="77777777" w:rsidR="001A7222" w:rsidRPr="00807B4E" w:rsidRDefault="001A7222" w:rsidP="001A7222">
            <w:pPr>
              <w:spacing w:line="276" w:lineRule="auto"/>
              <w:jc w:val="right"/>
              <w:rPr>
                <w:rFonts w:ascii="Arial" w:hAnsi="Arial" w:cs="Arial"/>
                <w:sz w:val="22"/>
                <w:szCs w:val="22"/>
                <w:lang w:val="en-US"/>
              </w:rPr>
            </w:pPr>
            <w:r w:rsidRPr="00807B4E">
              <w:rPr>
                <w:rFonts w:ascii="Arial" w:hAnsi="Arial" w:cs="Arial"/>
                <w:sz w:val="22"/>
                <w:szCs w:val="22"/>
                <w:lang w:val="en-US"/>
              </w:rPr>
              <w:t>750</w:t>
            </w:r>
          </w:p>
        </w:tc>
        <w:tc>
          <w:tcPr>
            <w:tcW w:w="1417" w:type="dxa"/>
          </w:tcPr>
          <w:p w14:paraId="15EC0496" w14:textId="77777777" w:rsidR="001A7222" w:rsidRPr="00807B4E" w:rsidRDefault="001A7222" w:rsidP="001A7222">
            <w:pPr>
              <w:spacing w:line="276" w:lineRule="auto"/>
              <w:jc w:val="right"/>
              <w:rPr>
                <w:rFonts w:ascii="Arial" w:hAnsi="Arial" w:cs="Arial"/>
                <w:sz w:val="22"/>
                <w:szCs w:val="22"/>
                <w:lang w:val="en-US"/>
              </w:rPr>
            </w:pPr>
            <w:r w:rsidRPr="00807B4E">
              <w:rPr>
                <w:rFonts w:ascii="Arial" w:hAnsi="Arial" w:cs="Arial"/>
                <w:sz w:val="22"/>
                <w:szCs w:val="22"/>
                <w:lang w:val="en-US"/>
              </w:rPr>
              <w:t>500</w:t>
            </w:r>
          </w:p>
        </w:tc>
        <w:tc>
          <w:tcPr>
            <w:tcW w:w="1417" w:type="dxa"/>
          </w:tcPr>
          <w:p w14:paraId="1A789CCD" w14:textId="77777777" w:rsidR="001A7222" w:rsidRPr="00807B4E" w:rsidRDefault="001A7222" w:rsidP="001A7222">
            <w:pPr>
              <w:spacing w:line="276" w:lineRule="auto"/>
              <w:jc w:val="right"/>
              <w:rPr>
                <w:rFonts w:ascii="Arial" w:hAnsi="Arial" w:cs="Arial"/>
                <w:sz w:val="22"/>
                <w:szCs w:val="22"/>
                <w:lang w:val="en-US"/>
              </w:rPr>
            </w:pPr>
            <w:r w:rsidRPr="00807B4E">
              <w:rPr>
                <w:rFonts w:ascii="Arial" w:hAnsi="Arial" w:cs="Arial"/>
                <w:sz w:val="22"/>
                <w:szCs w:val="22"/>
                <w:lang w:val="en-US"/>
              </w:rPr>
              <w:t>-33%</w:t>
            </w:r>
          </w:p>
        </w:tc>
      </w:tr>
    </w:tbl>
    <w:p w14:paraId="7B71C751" w14:textId="77777777" w:rsidR="001A7222" w:rsidRDefault="001A7222" w:rsidP="001A7222">
      <w:pPr>
        <w:spacing w:before="160" w:line="276" w:lineRule="auto"/>
        <w:rPr>
          <w:rFonts w:ascii="Arial" w:hAnsi="Arial" w:cs="Arial"/>
          <w:lang w:val="en-US"/>
        </w:rPr>
      </w:pPr>
    </w:p>
    <w:p w14:paraId="252D4624" w14:textId="6528470D" w:rsidR="001A7222" w:rsidRDefault="001A7222" w:rsidP="001A7222">
      <w:pPr>
        <w:spacing w:before="160" w:line="276" w:lineRule="auto"/>
        <w:rPr>
          <w:rFonts w:ascii="Arial" w:hAnsi="Arial" w:cs="Arial"/>
          <w:lang w:val="en-US"/>
        </w:rPr>
      </w:pPr>
      <w:r w:rsidRPr="001259A8">
        <w:rPr>
          <w:rFonts w:ascii="Arial" w:hAnsi="Arial" w:cs="Arial"/>
          <w:lang w:val="en-US"/>
        </w:rPr>
        <w:lastRenderedPageBreak/>
        <w:t>Another example is Börse Stuttgart’s new license structure for real-time market data usage with a display license. If you were to solely look at the license and ignore the broader context, it may suggest an increase in the cost of market data. However, the new structure significantly deceases market data costs for smaller entities which are one of the main customer groups of Börse Stuttgart. The change became effective in January 2018.</w:t>
      </w:r>
      <w:r w:rsidRPr="00FA5C0A">
        <w:rPr>
          <w:rFonts w:ascii="Arial" w:hAnsi="Arial" w:cs="Arial"/>
          <w:lang w:val="en-US"/>
        </w:rPr>
        <w:t xml:space="preserve">  </w:t>
      </w:r>
    </w:p>
    <w:p w14:paraId="553A9816" w14:textId="77777777" w:rsidR="001A7222" w:rsidRPr="00FA5C0A" w:rsidRDefault="001A7222" w:rsidP="001A7222">
      <w:pPr>
        <w:spacing w:line="276" w:lineRule="auto"/>
        <w:rPr>
          <w:rFonts w:ascii="Arial" w:hAnsi="Arial" w:cs="Arial"/>
          <w:lang w:val="en-US"/>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7"/>
        <w:gridCol w:w="850"/>
        <w:gridCol w:w="1417"/>
        <w:gridCol w:w="850"/>
        <w:gridCol w:w="1417"/>
        <w:gridCol w:w="850"/>
        <w:gridCol w:w="1417"/>
        <w:gridCol w:w="850"/>
      </w:tblGrid>
      <w:tr w:rsidR="001A7222" w:rsidRPr="000329C7" w14:paraId="77A145B4" w14:textId="77777777" w:rsidTr="006C605C">
        <w:trPr>
          <w:jc w:val="center"/>
        </w:trPr>
        <w:tc>
          <w:tcPr>
            <w:tcW w:w="9068" w:type="dxa"/>
            <w:gridSpan w:val="8"/>
            <w:tcMar>
              <w:top w:w="0" w:type="dxa"/>
              <w:left w:w="108" w:type="dxa"/>
              <w:bottom w:w="0" w:type="dxa"/>
              <w:right w:w="108" w:type="dxa"/>
            </w:tcMar>
          </w:tcPr>
          <w:p w14:paraId="54E88774" w14:textId="34BDAD05" w:rsidR="001A7222" w:rsidRPr="00807B4E" w:rsidRDefault="001A7222" w:rsidP="001A7222">
            <w:pPr>
              <w:pStyle w:val="Listenabsatz"/>
              <w:spacing w:line="276" w:lineRule="auto"/>
              <w:ind w:left="0"/>
              <w:rPr>
                <w:rFonts w:ascii="Arial" w:hAnsi="Arial" w:cs="Arial"/>
                <w:lang w:val="en-US"/>
              </w:rPr>
            </w:pPr>
            <w:r w:rsidRPr="00807B4E">
              <w:rPr>
                <w:rFonts w:ascii="Arial" w:hAnsi="Arial" w:cs="Arial"/>
                <w:lang w:val="en-US"/>
              </w:rPr>
              <w:t>Börse Stuttgart License Structure for Real-Time Market Data Usage with a</w:t>
            </w:r>
            <w:r w:rsidRPr="00807B4E">
              <w:rPr>
                <w:rFonts w:ascii="Arial" w:hAnsi="Arial" w:cs="Arial"/>
                <w:lang w:val="en-US"/>
              </w:rPr>
              <w:br/>
              <w:t>Display License</w:t>
            </w:r>
            <w:r w:rsidR="00807B4E">
              <w:rPr>
                <w:rFonts w:ascii="Arial" w:hAnsi="Arial" w:cs="Arial"/>
                <w:lang w:val="en-US"/>
              </w:rPr>
              <w:t xml:space="preserve"> (Euro/month)</w:t>
            </w:r>
          </w:p>
        </w:tc>
      </w:tr>
      <w:tr w:rsidR="001A7222" w:rsidRPr="00FA5C0A" w14:paraId="389A42EE" w14:textId="77777777" w:rsidTr="006C605C">
        <w:trPr>
          <w:jc w:val="center"/>
        </w:trPr>
        <w:tc>
          <w:tcPr>
            <w:tcW w:w="4534" w:type="dxa"/>
            <w:gridSpan w:val="4"/>
            <w:tcMar>
              <w:top w:w="0" w:type="dxa"/>
              <w:left w:w="108" w:type="dxa"/>
              <w:bottom w:w="0" w:type="dxa"/>
              <w:right w:w="108" w:type="dxa"/>
            </w:tcMar>
          </w:tcPr>
          <w:p w14:paraId="00FBFF0F" w14:textId="77777777" w:rsidR="001A7222" w:rsidRPr="00807B4E" w:rsidRDefault="001A7222" w:rsidP="00807B4E">
            <w:pPr>
              <w:pStyle w:val="Listenabsatz"/>
              <w:numPr>
                <w:ilvl w:val="0"/>
                <w:numId w:val="0"/>
              </w:numPr>
              <w:spacing w:line="276" w:lineRule="auto"/>
              <w:jc w:val="center"/>
              <w:rPr>
                <w:rFonts w:ascii="Arial" w:hAnsi="Arial" w:cs="Arial"/>
                <w:lang w:val="en-US"/>
              </w:rPr>
            </w:pPr>
            <w:r w:rsidRPr="00807B4E">
              <w:rPr>
                <w:rFonts w:ascii="Arial" w:hAnsi="Arial" w:cs="Arial"/>
                <w:lang w:val="en-US"/>
              </w:rPr>
              <w:t>2017</w:t>
            </w:r>
          </w:p>
        </w:tc>
        <w:tc>
          <w:tcPr>
            <w:tcW w:w="4534" w:type="dxa"/>
            <w:gridSpan w:val="4"/>
            <w:tcMar>
              <w:top w:w="0" w:type="dxa"/>
              <w:left w:w="108" w:type="dxa"/>
              <w:bottom w:w="0" w:type="dxa"/>
              <w:right w:w="108" w:type="dxa"/>
            </w:tcMar>
          </w:tcPr>
          <w:p w14:paraId="5E748EE1" w14:textId="77777777" w:rsidR="001A7222" w:rsidRPr="00807B4E" w:rsidRDefault="001A7222" w:rsidP="00807B4E">
            <w:pPr>
              <w:pStyle w:val="Listenabsatz"/>
              <w:numPr>
                <w:ilvl w:val="0"/>
                <w:numId w:val="0"/>
              </w:numPr>
              <w:spacing w:line="276" w:lineRule="auto"/>
              <w:jc w:val="center"/>
              <w:rPr>
                <w:rFonts w:ascii="Arial" w:hAnsi="Arial" w:cs="Arial"/>
                <w:lang w:val="en-US"/>
              </w:rPr>
            </w:pPr>
            <w:r w:rsidRPr="00807B4E">
              <w:rPr>
                <w:rFonts w:ascii="Arial" w:hAnsi="Arial" w:cs="Arial"/>
                <w:lang w:val="en-US"/>
              </w:rPr>
              <w:t>2018</w:t>
            </w:r>
          </w:p>
        </w:tc>
      </w:tr>
      <w:tr w:rsidR="001A7222" w:rsidRPr="00FA5C0A" w14:paraId="23A96554" w14:textId="77777777" w:rsidTr="006C605C">
        <w:trPr>
          <w:jc w:val="center"/>
        </w:trPr>
        <w:tc>
          <w:tcPr>
            <w:tcW w:w="2267" w:type="dxa"/>
            <w:gridSpan w:val="2"/>
            <w:tcMar>
              <w:top w:w="0" w:type="dxa"/>
              <w:left w:w="108" w:type="dxa"/>
              <w:bottom w:w="0" w:type="dxa"/>
              <w:right w:w="108" w:type="dxa"/>
            </w:tcMar>
          </w:tcPr>
          <w:p w14:paraId="110666B3" w14:textId="77777777" w:rsidR="001A7222" w:rsidRPr="00807B4E" w:rsidRDefault="001A7222" w:rsidP="00807B4E">
            <w:pPr>
              <w:pStyle w:val="Listenabsatz"/>
              <w:numPr>
                <w:ilvl w:val="0"/>
                <w:numId w:val="0"/>
              </w:numPr>
              <w:spacing w:line="276" w:lineRule="auto"/>
              <w:jc w:val="center"/>
              <w:rPr>
                <w:rFonts w:ascii="Arial" w:hAnsi="Arial" w:cs="Arial"/>
                <w:lang w:val="en-US"/>
              </w:rPr>
            </w:pPr>
            <w:r w:rsidRPr="00807B4E">
              <w:rPr>
                <w:rFonts w:ascii="Arial" w:hAnsi="Arial" w:cs="Arial"/>
                <w:lang w:val="en-US"/>
              </w:rPr>
              <w:t>Finance Websites</w:t>
            </w:r>
          </w:p>
        </w:tc>
        <w:tc>
          <w:tcPr>
            <w:tcW w:w="2267" w:type="dxa"/>
            <w:gridSpan w:val="2"/>
            <w:tcMar>
              <w:top w:w="0" w:type="dxa"/>
              <w:left w:w="108" w:type="dxa"/>
              <w:bottom w:w="0" w:type="dxa"/>
              <w:right w:w="108" w:type="dxa"/>
            </w:tcMar>
          </w:tcPr>
          <w:p w14:paraId="3D9EAA62" w14:textId="77777777" w:rsidR="001A7222" w:rsidRPr="00807B4E" w:rsidRDefault="001A7222" w:rsidP="00807B4E">
            <w:pPr>
              <w:pStyle w:val="Listenabsatz"/>
              <w:numPr>
                <w:ilvl w:val="0"/>
                <w:numId w:val="0"/>
              </w:numPr>
              <w:spacing w:line="276" w:lineRule="auto"/>
              <w:jc w:val="center"/>
              <w:rPr>
                <w:rFonts w:ascii="Arial" w:hAnsi="Arial" w:cs="Arial"/>
                <w:lang w:val="en-US"/>
              </w:rPr>
            </w:pPr>
            <w:r w:rsidRPr="00807B4E">
              <w:rPr>
                <w:rFonts w:ascii="Arial" w:hAnsi="Arial" w:cs="Arial"/>
                <w:lang w:val="en-US"/>
              </w:rPr>
              <w:t>Other Websites</w:t>
            </w:r>
          </w:p>
        </w:tc>
        <w:tc>
          <w:tcPr>
            <w:tcW w:w="2267" w:type="dxa"/>
            <w:gridSpan w:val="2"/>
            <w:tcMar>
              <w:top w:w="0" w:type="dxa"/>
              <w:left w:w="108" w:type="dxa"/>
              <w:bottom w:w="0" w:type="dxa"/>
              <w:right w:w="108" w:type="dxa"/>
            </w:tcMar>
          </w:tcPr>
          <w:p w14:paraId="0AFB44C7" w14:textId="77777777" w:rsidR="001A7222" w:rsidRPr="00807B4E" w:rsidRDefault="001A7222" w:rsidP="00807B4E">
            <w:pPr>
              <w:pStyle w:val="Listenabsatz"/>
              <w:numPr>
                <w:ilvl w:val="0"/>
                <w:numId w:val="0"/>
              </w:numPr>
              <w:spacing w:line="276" w:lineRule="auto"/>
              <w:jc w:val="center"/>
              <w:rPr>
                <w:rFonts w:ascii="Arial" w:hAnsi="Arial" w:cs="Arial"/>
                <w:lang w:val="en-US"/>
              </w:rPr>
            </w:pPr>
            <w:r w:rsidRPr="00807B4E">
              <w:rPr>
                <w:rFonts w:ascii="Arial" w:hAnsi="Arial" w:cs="Arial"/>
                <w:lang w:val="en-US"/>
              </w:rPr>
              <w:t>Pull Mode</w:t>
            </w:r>
          </w:p>
        </w:tc>
        <w:tc>
          <w:tcPr>
            <w:tcW w:w="2267" w:type="dxa"/>
            <w:gridSpan w:val="2"/>
            <w:tcMar>
              <w:top w:w="0" w:type="dxa"/>
              <w:left w:w="108" w:type="dxa"/>
              <w:bottom w:w="0" w:type="dxa"/>
              <w:right w:w="108" w:type="dxa"/>
            </w:tcMar>
          </w:tcPr>
          <w:p w14:paraId="648A2B3B" w14:textId="77777777" w:rsidR="001A7222" w:rsidRPr="00807B4E" w:rsidRDefault="001A7222" w:rsidP="00807B4E">
            <w:pPr>
              <w:pStyle w:val="Listenabsatz"/>
              <w:numPr>
                <w:ilvl w:val="0"/>
                <w:numId w:val="0"/>
              </w:numPr>
              <w:spacing w:line="276" w:lineRule="auto"/>
              <w:jc w:val="center"/>
              <w:rPr>
                <w:rFonts w:ascii="Arial" w:hAnsi="Arial" w:cs="Arial"/>
                <w:lang w:val="en-US"/>
              </w:rPr>
            </w:pPr>
            <w:r w:rsidRPr="00807B4E">
              <w:rPr>
                <w:rFonts w:ascii="Arial" w:hAnsi="Arial" w:cs="Arial"/>
                <w:lang w:val="en-US"/>
              </w:rPr>
              <w:t>Push Mode</w:t>
            </w:r>
          </w:p>
        </w:tc>
      </w:tr>
      <w:tr w:rsidR="001A7222" w:rsidRPr="00FA5C0A" w14:paraId="39398872" w14:textId="77777777" w:rsidTr="006C605C">
        <w:trPr>
          <w:jc w:val="center"/>
        </w:trPr>
        <w:tc>
          <w:tcPr>
            <w:tcW w:w="1417" w:type="dxa"/>
            <w:tcMar>
              <w:top w:w="0" w:type="dxa"/>
              <w:left w:w="108" w:type="dxa"/>
              <w:bottom w:w="0" w:type="dxa"/>
              <w:right w:w="108" w:type="dxa"/>
            </w:tcMar>
            <w:hideMark/>
          </w:tcPr>
          <w:p w14:paraId="34A11AC3" w14:textId="77777777" w:rsidR="001A7222" w:rsidRPr="00807B4E" w:rsidRDefault="001A7222" w:rsidP="00807B4E">
            <w:pPr>
              <w:pStyle w:val="Listenabsatz"/>
              <w:numPr>
                <w:ilvl w:val="0"/>
                <w:numId w:val="0"/>
              </w:numPr>
              <w:spacing w:line="276" w:lineRule="auto"/>
              <w:jc w:val="center"/>
              <w:rPr>
                <w:rFonts w:ascii="Arial" w:hAnsi="Arial" w:cs="Arial"/>
                <w:lang w:val="en-US"/>
              </w:rPr>
            </w:pPr>
            <w:r w:rsidRPr="00807B4E">
              <w:rPr>
                <w:rFonts w:ascii="Arial" w:hAnsi="Arial" w:cs="Arial"/>
                <w:lang w:val="en-US"/>
              </w:rPr>
              <w:t># PI</w:t>
            </w:r>
          </w:p>
        </w:tc>
        <w:tc>
          <w:tcPr>
            <w:tcW w:w="850" w:type="dxa"/>
            <w:tcMar>
              <w:top w:w="0" w:type="dxa"/>
              <w:left w:w="108" w:type="dxa"/>
              <w:bottom w:w="0" w:type="dxa"/>
              <w:right w:w="108" w:type="dxa"/>
            </w:tcMar>
            <w:hideMark/>
          </w:tcPr>
          <w:p w14:paraId="238C7D1D" w14:textId="77777777" w:rsidR="001A7222" w:rsidRPr="00807B4E" w:rsidRDefault="001A7222" w:rsidP="00807B4E">
            <w:pPr>
              <w:pStyle w:val="Listenabsatz"/>
              <w:numPr>
                <w:ilvl w:val="0"/>
                <w:numId w:val="0"/>
              </w:numPr>
              <w:spacing w:line="276" w:lineRule="auto"/>
              <w:jc w:val="center"/>
              <w:rPr>
                <w:rFonts w:ascii="Arial" w:hAnsi="Arial" w:cs="Arial"/>
                <w:lang w:val="en-US"/>
              </w:rPr>
            </w:pPr>
            <w:r w:rsidRPr="00807B4E">
              <w:rPr>
                <w:rFonts w:ascii="Arial" w:hAnsi="Arial" w:cs="Arial"/>
                <w:lang w:val="en-US"/>
              </w:rPr>
              <w:t>Fee</w:t>
            </w:r>
          </w:p>
        </w:tc>
        <w:tc>
          <w:tcPr>
            <w:tcW w:w="1417" w:type="dxa"/>
            <w:tcMar>
              <w:top w:w="0" w:type="dxa"/>
              <w:left w:w="108" w:type="dxa"/>
              <w:bottom w:w="0" w:type="dxa"/>
              <w:right w:w="108" w:type="dxa"/>
            </w:tcMar>
            <w:hideMark/>
          </w:tcPr>
          <w:p w14:paraId="5FA885F1" w14:textId="77777777" w:rsidR="001A7222" w:rsidRPr="00807B4E" w:rsidRDefault="001A7222" w:rsidP="00807B4E">
            <w:pPr>
              <w:pStyle w:val="Listenabsatz"/>
              <w:numPr>
                <w:ilvl w:val="0"/>
                <w:numId w:val="0"/>
              </w:numPr>
              <w:spacing w:line="276" w:lineRule="auto"/>
              <w:jc w:val="center"/>
              <w:rPr>
                <w:rFonts w:ascii="Arial" w:hAnsi="Arial" w:cs="Arial"/>
                <w:lang w:val="en-US"/>
              </w:rPr>
            </w:pPr>
            <w:r w:rsidRPr="00807B4E">
              <w:rPr>
                <w:rFonts w:ascii="Arial" w:hAnsi="Arial" w:cs="Arial"/>
                <w:lang w:val="en-US"/>
              </w:rPr>
              <w:t># PI</w:t>
            </w:r>
          </w:p>
        </w:tc>
        <w:tc>
          <w:tcPr>
            <w:tcW w:w="850" w:type="dxa"/>
            <w:tcMar>
              <w:top w:w="0" w:type="dxa"/>
              <w:left w:w="108" w:type="dxa"/>
              <w:bottom w:w="0" w:type="dxa"/>
              <w:right w:w="108" w:type="dxa"/>
            </w:tcMar>
            <w:hideMark/>
          </w:tcPr>
          <w:p w14:paraId="5F276888" w14:textId="77777777" w:rsidR="001A7222" w:rsidRPr="00807B4E" w:rsidRDefault="001A7222" w:rsidP="00807B4E">
            <w:pPr>
              <w:pStyle w:val="Listenabsatz"/>
              <w:numPr>
                <w:ilvl w:val="0"/>
                <w:numId w:val="0"/>
              </w:numPr>
              <w:spacing w:line="276" w:lineRule="auto"/>
              <w:jc w:val="center"/>
              <w:rPr>
                <w:rFonts w:ascii="Arial" w:hAnsi="Arial" w:cs="Arial"/>
                <w:lang w:val="en-US"/>
              </w:rPr>
            </w:pPr>
            <w:r w:rsidRPr="00807B4E">
              <w:rPr>
                <w:rFonts w:ascii="Arial" w:hAnsi="Arial" w:cs="Arial"/>
                <w:lang w:val="en-US"/>
              </w:rPr>
              <w:t>Fee</w:t>
            </w:r>
          </w:p>
        </w:tc>
        <w:tc>
          <w:tcPr>
            <w:tcW w:w="1417" w:type="dxa"/>
            <w:tcMar>
              <w:top w:w="0" w:type="dxa"/>
              <w:left w:w="108" w:type="dxa"/>
              <w:bottom w:w="0" w:type="dxa"/>
              <w:right w:w="108" w:type="dxa"/>
            </w:tcMar>
            <w:hideMark/>
          </w:tcPr>
          <w:p w14:paraId="05E21E86" w14:textId="77777777" w:rsidR="001A7222" w:rsidRPr="00807B4E" w:rsidRDefault="001A7222" w:rsidP="00807B4E">
            <w:pPr>
              <w:pStyle w:val="Listenabsatz"/>
              <w:numPr>
                <w:ilvl w:val="0"/>
                <w:numId w:val="0"/>
              </w:numPr>
              <w:spacing w:line="276" w:lineRule="auto"/>
              <w:jc w:val="center"/>
              <w:rPr>
                <w:rFonts w:ascii="Arial" w:hAnsi="Arial" w:cs="Arial"/>
                <w:lang w:val="en-US"/>
              </w:rPr>
            </w:pPr>
            <w:r w:rsidRPr="00807B4E">
              <w:rPr>
                <w:rFonts w:ascii="Arial" w:hAnsi="Arial" w:cs="Arial"/>
                <w:lang w:val="en-US"/>
              </w:rPr>
              <w:t># PI</w:t>
            </w:r>
          </w:p>
        </w:tc>
        <w:tc>
          <w:tcPr>
            <w:tcW w:w="850" w:type="dxa"/>
            <w:tcMar>
              <w:top w:w="0" w:type="dxa"/>
              <w:left w:w="108" w:type="dxa"/>
              <w:bottom w:w="0" w:type="dxa"/>
              <w:right w:w="108" w:type="dxa"/>
            </w:tcMar>
            <w:hideMark/>
          </w:tcPr>
          <w:p w14:paraId="4EB9AA7C" w14:textId="77777777" w:rsidR="001A7222" w:rsidRPr="00807B4E" w:rsidRDefault="001A7222" w:rsidP="00807B4E">
            <w:pPr>
              <w:pStyle w:val="Listenabsatz"/>
              <w:numPr>
                <w:ilvl w:val="0"/>
                <w:numId w:val="0"/>
              </w:numPr>
              <w:spacing w:line="276" w:lineRule="auto"/>
              <w:jc w:val="center"/>
              <w:rPr>
                <w:rFonts w:ascii="Arial" w:hAnsi="Arial" w:cs="Arial"/>
                <w:lang w:val="en-US"/>
              </w:rPr>
            </w:pPr>
            <w:r w:rsidRPr="00807B4E">
              <w:rPr>
                <w:rFonts w:ascii="Arial" w:hAnsi="Arial" w:cs="Arial"/>
                <w:lang w:val="en-US"/>
              </w:rPr>
              <w:t>Fee</w:t>
            </w:r>
          </w:p>
        </w:tc>
        <w:tc>
          <w:tcPr>
            <w:tcW w:w="1417" w:type="dxa"/>
            <w:tcMar>
              <w:top w:w="0" w:type="dxa"/>
              <w:left w:w="108" w:type="dxa"/>
              <w:bottom w:w="0" w:type="dxa"/>
              <w:right w:w="108" w:type="dxa"/>
            </w:tcMar>
            <w:hideMark/>
          </w:tcPr>
          <w:p w14:paraId="43CE2C8A" w14:textId="77777777" w:rsidR="001A7222" w:rsidRPr="00807B4E" w:rsidRDefault="001A7222" w:rsidP="00807B4E">
            <w:pPr>
              <w:pStyle w:val="Listenabsatz"/>
              <w:numPr>
                <w:ilvl w:val="0"/>
                <w:numId w:val="0"/>
              </w:numPr>
              <w:spacing w:line="276" w:lineRule="auto"/>
              <w:jc w:val="center"/>
              <w:rPr>
                <w:rFonts w:ascii="Arial" w:hAnsi="Arial" w:cs="Arial"/>
                <w:lang w:val="en-US"/>
              </w:rPr>
            </w:pPr>
            <w:r w:rsidRPr="00807B4E">
              <w:rPr>
                <w:rFonts w:ascii="Arial" w:hAnsi="Arial" w:cs="Arial"/>
                <w:lang w:val="en-US"/>
              </w:rPr>
              <w:t># PI</w:t>
            </w:r>
          </w:p>
        </w:tc>
        <w:tc>
          <w:tcPr>
            <w:tcW w:w="850" w:type="dxa"/>
            <w:tcMar>
              <w:top w:w="0" w:type="dxa"/>
              <w:left w:w="108" w:type="dxa"/>
              <w:bottom w:w="0" w:type="dxa"/>
              <w:right w:w="108" w:type="dxa"/>
            </w:tcMar>
            <w:hideMark/>
          </w:tcPr>
          <w:p w14:paraId="578F8DA3" w14:textId="77777777" w:rsidR="001A7222" w:rsidRPr="00807B4E" w:rsidRDefault="001A7222" w:rsidP="00807B4E">
            <w:pPr>
              <w:pStyle w:val="Listenabsatz"/>
              <w:numPr>
                <w:ilvl w:val="0"/>
                <w:numId w:val="0"/>
              </w:numPr>
              <w:spacing w:line="276" w:lineRule="auto"/>
              <w:jc w:val="center"/>
              <w:rPr>
                <w:rFonts w:ascii="Arial" w:hAnsi="Arial" w:cs="Arial"/>
                <w:lang w:val="en-US"/>
              </w:rPr>
            </w:pPr>
            <w:r w:rsidRPr="00807B4E">
              <w:rPr>
                <w:rFonts w:ascii="Arial" w:hAnsi="Arial" w:cs="Arial"/>
                <w:lang w:val="en-US"/>
              </w:rPr>
              <w:t>Fee</w:t>
            </w:r>
          </w:p>
        </w:tc>
      </w:tr>
      <w:tr w:rsidR="001A7222" w:rsidRPr="00FA5C0A" w14:paraId="179260EA" w14:textId="77777777" w:rsidTr="006C605C">
        <w:trPr>
          <w:jc w:val="center"/>
        </w:trPr>
        <w:tc>
          <w:tcPr>
            <w:tcW w:w="1417" w:type="dxa"/>
            <w:tcMar>
              <w:top w:w="0" w:type="dxa"/>
              <w:left w:w="108" w:type="dxa"/>
              <w:bottom w:w="0" w:type="dxa"/>
              <w:right w:w="108" w:type="dxa"/>
            </w:tcMar>
            <w:hideMark/>
          </w:tcPr>
          <w:p w14:paraId="6F345C45" w14:textId="77777777" w:rsidR="001A7222" w:rsidRPr="00807B4E" w:rsidRDefault="001A7222" w:rsidP="00807B4E">
            <w:pPr>
              <w:pStyle w:val="Listenabsatz"/>
              <w:numPr>
                <w:ilvl w:val="0"/>
                <w:numId w:val="0"/>
              </w:numPr>
              <w:spacing w:line="276" w:lineRule="auto"/>
              <w:rPr>
                <w:rFonts w:ascii="Arial" w:hAnsi="Arial" w:cs="Arial"/>
                <w:lang w:val="en-US"/>
              </w:rPr>
            </w:pPr>
            <w:r w:rsidRPr="00807B4E">
              <w:rPr>
                <w:rFonts w:ascii="Arial" w:hAnsi="Arial" w:cs="Arial"/>
                <w:lang w:val="en-US"/>
              </w:rPr>
              <w:t>&lt; 2m</w:t>
            </w:r>
          </w:p>
        </w:tc>
        <w:tc>
          <w:tcPr>
            <w:tcW w:w="850" w:type="dxa"/>
            <w:tcMar>
              <w:top w:w="0" w:type="dxa"/>
              <w:left w:w="108" w:type="dxa"/>
              <w:bottom w:w="0" w:type="dxa"/>
              <w:right w:w="108" w:type="dxa"/>
            </w:tcMar>
            <w:hideMark/>
          </w:tcPr>
          <w:p w14:paraId="46C4C19F" w14:textId="77777777" w:rsidR="001A7222" w:rsidRPr="00807B4E" w:rsidRDefault="001A7222" w:rsidP="00807B4E">
            <w:pPr>
              <w:pStyle w:val="Listenabsatz"/>
              <w:numPr>
                <w:ilvl w:val="0"/>
                <w:numId w:val="0"/>
              </w:numPr>
              <w:spacing w:line="276" w:lineRule="auto"/>
              <w:jc w:val="center"/>
              <w:rPr>
                <w:rFonts w:ascii="Arial" w:hAnsi="Arial" w:cs="Arial"/>
                <w:lang w:val="en-US"/>
              </w:rPr>
            </w:pPr>
            <w:r w:rsidRPr="00807B4E">
              <w:rPr>
                <w:rFonts w:ascii="Arial" w:hAnsi="Arial" w:cs="Arial"/>
                <w:lang w:val="en-US"/>
              </w:rPr>
              <w:t>1.000</w:t>
            </w:r>
          </w:p>
        </w:tc>
        <w:tc>
          <w:tcPr>
            <w:tcW w:w="1417" w:type="dxa"/>
            <w:tcMar>
              <w:top w:w="0" w:type="dxa"/>
              <w:left w:w="108" w:type="dxa"/>
              <w:bottom w:w="0" w:type="dxa"/>
              <w:right w:w="108" w:type="dxa"/>
            </w:tcMar>
            <w:hideMark/>
          </w:tcPr>
          <w:p w14:paraId="0544C2AA" w14:textId="77777777" w:rsidR="001A7222" w:rsidRPr="00807B4E" w:rsidRDefault="001A7222" w:rsidP="00807B4E">
            <w:pPr>
              <w:pStyle w:val="Listenabsatz"/>
              <w:numPr>
                <w:ilvl w:val="0"/>
                <w:numId w:val="0"/>
              </w:numPr>
              <w:spacing w:line="276" w:lineRule="auto"/>
              <w:rPr>
                <w:rFonts w:ascii="Arial" w:hAnsi="Arial" w:cs="Arial"/>
                <w:lang w:val="en-US"/>
              </w:rPr>
            </w:pPr>
            <w:r w:rsidRPr="00807B4E">
              <w:rPr>
                <w:rFonts w:ascii="Arial" w:hAnsi="Arial" w:cs="Arial"/>
                <w:lang w:val="en-US"/>
              </w:rPr>
              <w:t>&lt; 10m</w:t>
            </w:r>
          </w:p>
        </w:tc>
        <w:tc>
          <w:tcPr>
            <w:tcW w:w="850" w:type="dxa"/>
            <w:tcMar>
              <w:top w:w="0" w:type="dxa"/>
              <w:left w:w="108" w:type="dxa"/>
              <w:bottom w:w="0" w:type="dxa"/>
              <w:right w:w="108" w:type="dxa"/>
            </w:tcMar>
            <w:hideMark/>
          </w:tcPr>
          <w:p w14:paraId="39EC9554" w14:textId="77777777" w:rsidR="001A7222" w:rsidRPr="00807B4E" w:rsidRDefault="001A7222" w:rsidP="00807B4E">
            <w:pPr>
              <w:pStyle w:val="Listenabsatz"/>
              <w:numPr>
                <w:ilvl w:val="0"/>
                <w:numId w:val="0"/>
              </w:numPr>
              <w:spacing w:line="276" w:lineRule="auto"/>
              <w:jc w:val="center"/>
              <w:rPr>
                <w:rFonts w:ascii="Arial" w:hAnsi="Arial" w:cs="Arial"/>
                <w:lang w:val="en-US"/>
              </w:rPr>
            </w:pPr>
            <w:r w:rsidRPr="00807B4E">
              <w:rPr>
                <w:rFonts w:ascii="Arial" w:hAnsi="Arial" w:cs="Arial"/>
                <w:lang w:val="en-US"/>
              </w:rPr>
              <w:t>1.000</w:t>
            </w:r>
          </w:p>
        </w:tc>
        <w:tc>
          <w:tcPr>
            <w:tcW w:w="1417" w:type="dxa"/>
            <w:tcMar>
              <w:top w:w="0" w:type="dxa"/>
              <w:left w:w="108" w:type="dxa"/>
              <w:bottom w:w="0" w:type="dxa"/>
              <w:right w:w="108" w:type="dxa"/>
            </w:tcMar>
            <w:hideMark/>
          </w:tcPr>
          <w:p w14:paraId="44297961" w14:textId="77777777" w:rsidR="001A7222" w:rsidRPr="00807B4E" w:rsidRDefault="001A7222" w:rsidP="00807B4E">
            <w:pPr>
              <w:pStyle w:val="Listenabsatz"/>
              <w:numPr>
                <w:ilvl w:val="0"/>
                <w:numId w:val="0"/>
              </w:numPr>
              <w:spacing w:line="276" w:lineRule="auto"/>
              <w:rPr>
                <w:rFonts w:ascii="Arial" w:hAnsi="Arial" w:cs="Arial"/>
              </w:rPr>
            </w:pPr>
            <w:r w:rsidRPr="00807B4E">
              <w:rPr>
                <w:rFonts w:ascii="Arial" w:hAnsi="Arial" w:cs="Arial"/>
                <w:lang w:val="en-US"/>
              </w:rPr>
              <w:t xml:space="preserve">&lt; </w:t>
            </w:r>
            <w:r w:rsidRPr="00807B4E">
              <w:rPr>
                <w:rFonts w:ascii="Arial" w:hAnsi="Arial" w:cs="Arial"/>
              </w:rPr>
              <w:t>100k</w:t>
            </w:r>
          </w:p>
        </w:tc>
        <w:tc>
          <w:tcPr>
            <w:tcW w:w="850" w:type="dxa"/>
            <w:tcMar>
              <w:top w:w="0" w:type="dxa"/>
              <w:left w:w="108" w:type="dxa"/>
              <w:bottom w:w="0" w:type="dxa"/>
              <w:right w:w="108" w:type="dxa"/>
            </w:tcMar>
            <w:hideMark/>
          </w:tcPr>
          <w:p w14:paraId="06224B1E" w14:textId="77777777" w:rsidR="001A7222" w:rsidRPr="00807B4E" w:rsidRDefault="001A7222" w:rsidP="00807B4E">
            <w:pPr>
              <w:pStyle w:val="Listenabsatz"/>
              <w:numPr>
                <w:ilvl w:val="0"/>
                <w:numId w:val="0"/>
              </w:numPr>
              <w:spacing w:line="276" w:lineRule="auto"/>
              <w:jc w:val="right"/>
              <w:rPr>
                <w:rFonts w:ascii="Arial" w:hAnsi="Arial" w:cs="Arial"/>
              </w:rPr>
            </w:pPr>
            <w:r w:rsidRPr="00807B4E">
              <w:rPr>
                <w:rFonts w:ascii="Arial" w:hAnsi="Arial" w:cs="Arial"/>
              </w:rPr>
              <w:t>50</w:t>
            </w:r>
          </w:p>
        </w:tc>
        <w:tc>
          <w:tcPr>
            <w:tcW w:w="1417" w:type="dxa"/>
            <w:tcMar>
              <w:top w:w="0" w:type="dxa"/>
              <w:left w:w="108" w:type="dxa"/>
              <w:bottom w:w="0" w:type="dxa"/>
              <w:right w:w="108" w:type="dxa"/>
            </w:tcMar>
            <w:hideMark/>
          </w:tcPr>
          <w:p w14:paraId="6CA87F4F" w14:textId="77777777" w:rsidR="001A7222" w:rsidRPr="00807B4E" w:rsidRDefault="001A7222" w:rsidP="00807B4E">
            <w:pPr>
              <w:pStyle w:val="Listenabsatz"/>
              <w:numPr>
                <w:ilvl w:val="0"/>
                <w:numId w:val="0"/>
              </w:numPr>
              <w:spacing w:line="276" w:lineRule="auto"/>
              <w:rPr>
                <w:rFonts w:ascii="Arial" w:hAnsi="Arial" w:cs="Arial"/>
              </w:rPr>
            </w:pPr>
            <w:r w:rsidRPr="00807B4E">
              <w:rPr>
                <w:rFonts w:ascii="Arial" w:hAnsi="Arial" w:cs="Arial"/>
              </w:rPr>
              <w:t>0-2m</w:t>
            </w:r>
          </w:p>
        </w:tc>
        <w:tc>
          <w:tcPr>
            <w:tcW w:w="850" w:type="dxa"/>
            <w:tcMar>
              <w:top w:w="0" w:type="dxa"/>
              <w:left w:w="108" w:type="dxa"/>
              <w:bottom w:w="0" w:type="dxa"/>
              <w:right w:w="108" w:type="dxa"/>
            </w:tcMar>
            <w:hideMark/>
          </w:tcPr>
          <w:p w14:paraId="1728E97F" w14:textId="77777777" w:rsidR="001A7222" w:rsidRPr="00807B4E" w:rsidRDefault="001A7222" w:rsidP="00807B4E">
            <w:pPr>
              <w:pStyle w:val="Listenabsatz"/>
              <w:numPr>
                <w:ilvl w:val="0"/>
                <w:numId w:val="0"/>
              </w:numPr>
              <w:spacing w:line="276" w:lineRule="auto"/>
              <w:jc w:val="center"/>
              <w:rPr>
                <w:rFonts w:ascii="Arial" w:hAnsi="Arial" w:cs="Arial"/>
              </w:rPr>
            </w:pPr>
            <w:r w:rsidRPr="00807B4E">
              <w:rPr>
                <w:rFonts w:ascii="Arial" w:hAnsi="Arial" w:cs="Arial"/>
              </w:rPr>
              <w:t>1.000</w:t>
            </w:r>
          </w:p>
        </w:tc>
      </w:tr>
      <w:tr w:rsidR="001A7222" w:rsidRPr="00FA5C0A" w14:paraId="417B8BA5" w14:textId="77777777" w:rsidTr="006C605C">
        <w:trPr>
          <w:jc w:val="center"/>
        </w:trPr>
        <w:tc>
          <w:tcPr>
            <w:tcW w:w="1417" w:type="dxa"/>
            <w:tcMar>
              <w:top w:w="0" w:type="dxa"/>
              <w:left w:w="108" w:type="dxa"/>
              <w:bottom w:w="0" w:type="dxa"/>
              <w:right w:w="108" w:type="dxa"/>
            </w:tcMar>
            <w:hideMark/>
          </w:tcPr>
          <w:p w14:paraId="659CB830" w14:textId="77777777" w:rsidR="001A7222" w:rsidRPr="00807B4E" w:rsidRDefault="001A7222" w:rsidP="00807B4E">
            <w:pPr>
              <w:pStyle w:val="Listenabsatz"/>
              <w:numPr>
                <w:ilvl w:val="0"/>
                <w:numId w:val="0"/>
              </w:numPr>
              <w:spacing w:line="276" w:lineRule="auto"/>
              <w:rPr>
                <w:rFonts w:ascii="Arial" w:hAnsi="Arial" w:cs="Arial"/>
              </w:rPr>
            </w:pPr>
            <w:r w:rsidRPr="00807B4E">
              <w:rPr>
                <w:rFonts w:ascii="Arial" w:hAnsi="Arial" w:cs="Arial"/>
              </w:rPr>
              <w:t>2-4m</w:t>
            </w:r>
          </w:p>
        </w:tc>
        <w:tc>
          <w:tcPr>
            <w:tcW w:w="850" w:type="dxa"/>
            <w:tcMar>
              <w:top w:w="0" w:type="dxa"/>
              <w:left w:w="108" w:type="dxa"/>
              <w:bottom w:w="0" w:type="dxa"/>
              <w:right w:w="108" w:type="dxa"/>
            </w:tcMar>
            <w:hideMark/>
          </w:tcPr>
          <w:p w14:paraId="4852F8B5" w14:textId="77777777" w:rsidR="001A7222" w:rsidRPr="00807B4E" w:rsidRDefault="001A7222" w:rsidP="00807B4E">
            <w:pPr>
              <w:pStyle w:val="Listenabsatz"/>
              <w:numPr>
                <w:ilvl w:val="0"/>
                <w:numId w:val="0"/>
              </w:numPr>
              <w:spacing w:line="276" w:lineRule="auto"/>
              <w:jc w:val="center"/>
              <w:rPr>
                <w:rFonts w:ascii="Arial" w:hAnsi="Arial" w:cs="Arial"/>
              </w:rPr>
            </w:pPr>
            <w:r w:rsidRPr="00807B4E">
              <w:rPr>
                <w:rFonts w:ascii="Arial" w:hAnsi="Arial" w:cs="Arial"/>
              </w:rPr>
              <w:t>2.000</w:t>
            </w:r>
          </w:p>
        </w:tc>
        <w:tc>
          <w:tcPr>
            <w:tcW w:w="1417" w:type="dxa"/>
            <w:tcMar>
              <w:top w:w="0" w:type="dxa"/>
              <w:left w:w="108" w:type="dxa"/>
              <w:bottom w:w="0" w:type="dxa"/>
              <w:right w:w="108" w:type="dxa"/>
            </w:tcMar>
            <w:hideMark/>
          </w:tcPr>
          <w:p w14:paraId="321C077B" w14:textId="77777777" w:rsidR="001A7222" w:rsidRPr="00807B4E" w:rsidRDefault="001A7222" w:rsidP="00807B4E">
            <w:pPr>
              <w:pStyle w:val="Listenabsatz"/>
              <w:numPr>
                <w:ilvl w:val="0"/>
                <w:numId w:val="0"/>
              </w:numPr>
              <w:spacing w:line="276" w:lineRule="auto"/>
              <w:rPr>
                <w:rFonts w:ascii="Arial" w:hAnsi="Arial" w:cs="Arial"/>
              </w:rPr>
            </w:pPr>
            <w:r w:rsidRPr="00807B4E">
              <w:rPr>
                <w:rFonts w:ascii="Arial" w:hAnsi="Arial" w:cs="Arial"/>
              </w:rPr>
              <w:t>10-20m</w:t>
            </w:r>
          </w:p>
        </w:tc>
        <w:tc>
          <w:tcPr>
            <w:tcW w:w="850" w:type="dxa"/>
            <w:tcMar>
              <w:top w:w="0" w:type="dxa"/>
              <w:left w:w="108" w:type="dxa"/>
              <w:bottom w:w="0" w:type="dxa"/>
              <w:right w:w="108" w:type="dxa"/>
            </w:tcMar>
            <w:hideMark/>
          </w:tcPr>
          <w:p w14:paraId="7857B759" w14:textId="77777777" w:rsidR="001A7222" w:rsidRPr="00807B4E" w:rsidRDefault="001A7222" w:rsidP="00807B4E">
            <w:pPr>
              <w:pStyle w:val="Listenabsatz"/>
              <w:numPr>
                <w:ilvl w:val="0"/>
                <w:numId w:val="0"/>
              </w:numPr>
              <w:spacing w:line="276" w:lineRule="auto"/>
              <w:jc w:val="center"/>
              <w:rPr>
                <w:rFonts w:ascii="Arial" w:hAnsi="Arial" w:cs="Arial"/>
              </w:rPr>
            </w:pPr>
            <w:r w:rsidRPr="00807B4E">
              <w:rPr>
                <w:rFonts w:ascii="Arial" w:hAnsi="Arial" w:cs="Arial"/>
              </w:rPr>
              <w:t>2.000</w:t>
            </w:r>
          </w:p>
        </w:tc>
        <w:tc>
          <w:tcPr>
            <w:tcW w:w="1417" w:type="dxa"/>
            <w:tcMar>
              <w:top w:w="0" w:type="dxa"/>
              <w:left w:w="108" w:type="dxa"/>
              <w:bottom w:w="0" w:type="dxa"/>
              <w:right w:w="108" w:type="dxa"/>
            </w:tcMar>
            <w:hideMark/>
          </w:tcPr>
          <w:p w14:paraId="5821BDFA" w14:textId="77777777" w:rsidR="001A7222" w:rsidRPr="00807B4E" w:rsidRDefault="001A7222" w:rsidP="00807B4E">
            <w:pPr>
              <w:pStyle w:val="Listenabsatz"/>
              <w:numPr>
                <w:ilvl w:val="0"/>
                <w:numId w:val="0"/>
              </w:numPr>
              <w:spacing w:line="276" w:lineRule="auto"/>
              <w:rPr>
                <w:rFonts w:ascii="Arial" w:hAnsi="Arial" w:cs="Arial"/>
              </w:rPr>
            </w:pPr>
            <w:r w:rsidRPr="00807B4E">
              <w:rPr>
                <w:rFonts w:ascii="Arial" w:hAnsi="Arial" w:cs="Arial"/>
              </w:rPr>
              <w:t>100k-200k</w:t>
            </w:r>
          </w:p>
        </w:tc>
        <w:tc>
          <w:tcPr>
            <w:tcW w:w="850" w:type="dxa"/>
            <w:tcMar>
              <w:top w:w="0" w:type="dxa"/>
              <w:left w:w="108" w:type="dxa"/>
              <w:bottom w:w="0" w:type="dxa"/>
              <w:right w:w="108" w:type="dxa"/>
            </w:tcMar>
            <w:hideMark/>
          </w:tcPr>
          <w:p w14:paraId="21820859" w14:textId="77777777" w:rsidR="001A7222" w:rsidRPr="00807B4E" w:rsidRDefault="001A7222" w:rsidP="00807B4E">
            <w:pPr>
              <w:pStyle w:val="Listenabsatz"/>
              <w:numPr>
                <w:ilvl w:val="0"/>
                <w:numId w:val="0"/>
              </w:numPr>
              <w:spacing w:line="276" w:lineRule="auto"/>
              <w:jc w:val="right"/>
              <w:rPr>
                <w:rFonts w:ascii="Arial" w:hAnsi="Arial" w:cs="Arial"/>
              </w:rPr>
            </w:pPr>
            <w:r w:rsidRPr="00807B4E">
              <w:rPr>
                <w:rFonts w:ascii="Arial" w:hAnsi="Arial" w:cs="Arial"/>
              </w:rPr>
              <w:t>100</w:t>
            </w:r>
          </w:p>
        </w:tc>
        <w:tc>
          <w:tcPr>
            <w:tcW w:w="1417" w:type="dxa"/>
            <w:tcMar>
              <w:top w:w="0" w:type="dxa"/>
              <w:left w:w="108" w:type="dxa"/>
              <w:bottom w:w="0" w:type="dxa"/>
              <w:right w:w="108" w:type="dxa"/>
            </w:tcMar>
            <w:hideMark/>
          </w:tcPr>
          <w:p w14:paraId="148700B9" w14:textId="77777777" w:rsidR="001A7222" w:rsidRPr="00807B4E" w:rsidRDefault="001A7222" w:rsidP="00807B4E">
            <w:pPr>
              <w:pStyle w:val="Listenabsatz"/>
              <w:numPr>
                <w:ilvl w:val="0"/>
                <w:numId w:val="0"/>
              </w:numPr>
              <w:spacing w:line="276" w:lineRule="auto"/>
              <w:rPr>
                <w:rFonts w:ascii="Arial" w:hAnsi="Arial" w:cs="Arial"/>
              </w:rPr>
            </w:pPr>
            <w:r w:rsidRPr="00807B4E">
              <w:rPr>
                <w:rFonts w:ascii="Arial" w:hAnsi="Arial" w:cs="Arial"/>
              </w:rPr>
              <w:t>2-4m</w:t>
            </w:r>
          </w:p>
        </w:tc>
        <w:tc>
          <w:tcPr>
            <w:tcW w:w="850" w:type="dxa"/>
            <w:tcMar>
              <w:top w:w="0" w:type="dxa"/>
              <w:left w:w="108" w:type="dxa"/>
              <w:bottom w:w="0" w:type="dxa"/>
              <w:right w:w="108" w:type="dxa"/>
            </w:tcMar>
            <w:hideMark/>
          </w:tcPr>
          <w:p w14:paraId="1A336A23" w14:textId="77777777" w:rsidR="001A7222" w:rsidRPr="00807B4E" w:rsidRDefault="001A7222" w:rsidP="00807B4E">
            <w:pPr>
              <w:pStyle w:val="Listenabsatz"/>
              <w:numPr>
                <w:ilvl w:val="0"/>
                <w:numId w:val="0"/>
              </w:numPr>
              <w:spacing w:line="276" w:lineRule="auto"/>
              <w:jc w:val="center"/>
              <w:rPr>
                <w:rFonts w:ascii="Arial" w:hAnsi="Arial" w:cs="Arial"/>
              </w:rPr>
            </w:pPr>
            <w:r w:rsidRPr="00807B4E">
              <w:rPr>
                <w:rFonts w:ascii="Arial" w:hAnsi="Arial" w:cs="Arial"/>
              </w:rPr>
              <w:t>2.000</w:t>
            </w:r>
          </w:p>
        </w:tc>
      </w:tr>
      <w:tr w:rsidR="001A7222" w:rsidRPr="00FA5C0A" w14:paraId="57FB2967" w14:textId="77777777" w:rsidTr="006C605C">
        <w:trPr>
          <w:jc w:val="center"/>
        </w:trPr>
        <w:tc>
          <w:tcPr>
            <w:tcW w:w="1417" w:type="dxa"/>
            <w:tcMar>
              <w:top w:w="0" w:type="dxa"/>
              <w:left w:w="108" w:type="dxa"/>
              <w:bottom w:w="0" w:type="dxa"/>
              <w:right w:w="108" w:type="dxa"/>
            </w:tcMar>
            <w:hideMark/>
          </w:tcPr>
          <w:p w14:paraId="3BA904FF" w14:textId="77777777" w:rsidR="001A7222" w:rsidRPr="00807B4E" w:rsidRDefault="001A7222" w:rsidP="00807B4E">
            <w:pPr>
              <w:pStyle w:val="Listenabsatz"/>
              <w:numPr>
                <w:ilvl w:val="0"/>
                <w:numId w:val="0"/>
              </w:numPr>
              <w:spacing w:line="276" w:lineRule="auto"/>
              <w:rPr>
                <w:rFonts w:ascii="Arial" w:hAnsi="Arial" w:cs="Arial"/>
              </w:rPr>
            </w:pPr>
            <w:r w:rsidRPr="00807B4E">
              <w:rPr>
                <w:rFonts w:ascii="Arial" w:hAnsi="Arial" w:cs="Arial"/>
              </w:rPr>
              <w:t>4-8m</w:t>
            </w:r>
          </w:p>
        </w:tc>
        <w:tc>
          <w:tcPr>
            <w:tcW w:w="850" w:type="dxa"/>
            <w:tcMar>
              <w:top w:w="0" w:type="dxa"/>
              <w:left w:w="108" w:type="dxa"/>
              <w:bottom w:w="0" w:type="dxa"/>
              <w:right w:w="108" w:type="dxa"/>
            </w:tcMar>
            <w:hideMark/>
          </w:tcPr>
          <w:p w14:paraId="5E316C1F" w14:textId="77777777" w:rsidR="001A7222" w:rsidRPr="00807B4E" w:rsidRDefault="001A7222" w:rsidP="00807B4E">
            <w:pPr>
              <w:pStyle w:val="Listenabsatz"/>
              <w:numPr>
                <w:ilvl w:val="0"/>
                <w:numId w:val="0"/>
              </w:numPr>
              <w:spacing w:line="276" w:lineRule="auto"/>
              <w:jc w:val="center"/>
              <w:rPr>
                <w:rFonts w:ascii="Arial" w:hAnsi="Arial" w:cs="Arial"/>
              </w:rPr>
            </w:pPr>
            <w:r w:rsidRPr="00807B4E">
              <w:rPr>
                <w:rFonts w:ascii="Arial" w:hAnsi="Arial" w:cs="Arial"/>
              </w:rPr>
              <w:t>3.000</w:t>
            </w:r>
          </w:p>
        </w:tc>
        <w:tc>
          <w:tcPr>
            <w:tcW w:w="1417" w:type="dxa"/>
            <w:tcMar>
              <w:top w:w="0" w:type="dxa"/>
              <w:left w:w="108" w:type="dxa"/>
              <w:bottom w:w="0" w:type="dxa"/>
              <w:right w:w="108" w:type="dxa"/>
            </w:tcMar>
            <w:hideMark/>
          </w:tcPr>
          <w:p w14:paraId="290DD806" w14:textId="77777777" w:rsidR="001A7222" w:rsidRPr="00807B4E" w:rsidRDefault="001A7222" w:rsidP="00807B4E">
            <w:pPr>
              <w:pStyle w:val="Listenabsatz"/>
              <w:numPr>
                <w:ilvl w:val="0"/>
                <w:numId w:val="0"/>
              </w:numPr>
              <w:spacing w:line="276" w:lineRule="auto"/>
              <w:rPr>
                <w:rFonts w:ascii="Arial" w:hAnsi="Arial" w:cs="Arial"/>
              </w:rPr>
            </w:pPr>
            <w:r w:rsidRPr="00807B4E">
              <w:rPr>
                <w:rFonts w:ascii="Arial" w:hAnsi="Arial" w:cs="Arial"/>
              </w:rPr>
              <w:t>20-30m</w:t>
            </w:r>
          </w:p>
        </w:tc>
        <w:tc>
          <w:tcPr>
            <w:tcW w:w="850" w:type="dxa"/>
            <w:tcMar>
              <w:top w:w="0" w:type="dxa"/>
              <w:left w:w="108" w:type="dxa"/>
              <w:bottom w:w="0" w:type="dxa"/>
              <w:right w:w="108" w:type="dxa"/>
            </w:tcMar>
            <w:hideMark/>
          </w:tcPr>
          <w:p w14:paraId="13253433" w14:textId="77777777" w:rsidR="001A7222" w:rsidRPr="00807B4E" w:rsidRDefault="001A7222" w:rsidP="00807B4E">
            <w:pPr>
              <w:pStyle w:val="Listenabsatz"/>
              <w:numPr>
                <w:ilvl w:val="0"/>
                <w:numId w:val="0"/>
              </w:numPr>
              <w:spacing w:line="276" w:lineRule="auto"/>
              <w:jc w:val="center"/>
              <w:rPr>
                <w:rFonts w:ascii="Arial" w:hAnsi="Arial" w:cs="Arial"/>
              </w:rPr>
            </w:pPr>
            <w:r w:rsidRPr="00807B4E">
              <w:rPr>
                <w:rFonts w:ascii="Arial" w:hAnsi="Arial" w:cs="Arial"/>
              </w:rPr>
              <w:t>3.000</w:t>
            </w:r>
          </w:p>
        </w:tc>
        <w:tc>
          <w:tcPr>
            <w:tcW w:w="1417" w:type="dxa"/>
            <w:tcMar>
              <w:top w:w="0" w:type="dxa"/>
              <w:left w:w="108" w:type="dxa"/>
              <w:bottom w:w="0" w:type="dxa"/>
              <w:right w:w="108" w:type="dxa"/>
            </w:tcMar>
            <w:hideMark/>
          </w:tcPr>
          <w:p w14:paraId="15505016" w14:textId="77777777" w:rsidR="001A7222" w:rsidRPr="00807B4E" w:rsidRDefault="001A7222" w:rsidP="00807B4E">
            <w:pPr>
              <w:pStyle w:val="Listenabsatz"/>
              <w:numPr>
                <w:ilvl w:val="0"/>
                <w:numId w:val="0"/>
              </w:numPr>
              <w:spacing w:line="276" w:lineRule="auto"/>
              <w:rPr>
                <w:rFonts w:ascii="Arial" w:hAnsi="Arial" w:cs="Arial"/>
              </w:rPr>
            </w:pPr>
            <w:r w:rsidRPr="00807B4E">
              <w:rPr>
                <w:rFonts w:ascii="Arial" w:hAnsi="Arial" w:cs="Arial"/>
              </w:rPr>
              <w:t>200-400k</w:t>
            </w:r>
          </w:p>
        </w:tc>
        <w:tc>
          <w:tcPr>
            <w:tcW w:w="850" w:type="dxa"/>
            <w:tcMar>
              <w:top w:w="0" w:type="dxa"/>
              <w:left w:w="108" w:type="dxa"/>
              <w:bottom w:w="0" w:type="dxa"/>
              <w:right w:w="108" w:type="dxa"/>
            </w:tcMar>
            <w:hideMark/>
          </w:tcPr>
          <w:p w14:paraId="451D2160" w14:textId="77777777" w:rsidR="001A7222" w:rsidRPr="00807B4E" w:rsidRDefault="001A7222" w:rsidP="00807B4E">
            <w:pPr>
              <w:pStyle w:val="Listenabsatz"/>
              <w:numPr>
                <w:ilvl w:val="0"/>
                <w:numId w:val="0"/>
              </w:numPr>
              <w:spacing w:line="276" w:lineRule="auto"/>
              <w:jc w:val="right"/>
              <w:rPr>
                <w:rFonts w:ascii="Arial" w:hAnsi="Arial" w:cs="Arial"/>
              </w:rPr>
            </w:pPr>
            <w:r w:rsidRPr="00807B4E">
              <w:rPr>
                <w:rFonts w:ascii="Arial" w:hAnsi="Arial" w:cs="Arial"/>
              </w:rPr>
              <w:t>200</w:t>
            </w:r>
          </w:p>
        </w:tc>
        <w:tc>
          <w:tcPr>
            <w:tcW w:w="1417" w:type="dxa"/>
            <w:tcMar>
              <w:top w:w="0" w:type="dxa"/>
              <w:left w:w="108" w:type="dxa"/>
              <w:bottom w:w="0" w:type="dxa"/>
              <w:right w:w="108" w:type="dxa"/>
            </w:tcMar>
            <w:hideMark/>
          </w:tcPr>
          <w:p w14:paraId="0996415C" w14:textId="77777777" w:rsidR="001A7222" w:rsidRPr="00807B4E" w:rsidRDefault="001A7222" w:rsidP="00807B4E">
            <w:pPr>
              <w:pStyle w:val="Listenabsatz"/>
              <w:numPr>
                <w:ilvl w:val="0"/>
                <w:numId w:val="0"/>
              </w:numPr>
              <w:spacing w:line="276" w:lineRule="auto"/>
              <w:rPr>
                <w:rFonts w:ascii="Arial" w:hAnsi="Arial" w:cs="Arial"/>
              </w:rPr>
            </w:pPr>
            <w:r w:rsidRPr="00807B4E">
              <w:rPr>
                <w:rFonts w:ascii="Arial" w:hAnsi="Arial" w:cs="Arial"/>
              </w:rPr>
              <w:t>4-6m</w:t>
            </w:r>
          </w:p>
        </w:tc>
        <w:tc>
          <w:tcPr>
            <w:tcW w:w="850" w:type="dxa"/>
            <w:tcMar>
              <w:top w:w="0" w:type="dxa"/>
              <w:left w:w="108" w:type="dxa"/>
              <w:bottom w:w="0" w:type="dxa"/>
              <w:right w:w="108" w:type="dxa"/>
            </w:tcMar>
            <w:hideMark/>
          </w:tcPr>
          <w:p w14:paraId="645625F6" w14:textId="77777777" w:rsidR="001A7222" w:rsidRPr="00807B4E" w:rsidRDefault="001A7222" w:rsidP="00807B4E">
            <w:pPr>
              <w:pStyle w:val="Listenabsatz"/>
              <w:numPr>
                <w:ilvl w:val="0"/>
                <w:numId w:val="0"/>
              </w:numPr>
              <w:spacing w:line="276" w:lineRule="auto"/>
              <w:jc w:val="center"/>
              <w:rPr>
                <w:rFonts w:ascii="Arial" w:hAnsi="Arial" w:cs="Arial"/>
              </w:rPr>
            </w:pPr>
            <w:r w:rsidRPr="00807B4E">
              <w:rPr>
                <w:rFonts w:ascii="Arial" w:hAnsi="Arial" w:cs="Arial"/>
              </w:rPr>
              <w:t>3.000</w:t>
            </w:r>
          </w:p>
        </w:tc>
      </w:tr>
      <w:tr w:rsidR="001A7222" w:rsidRPr="00FA5C0A" w14:paraId="3064362A" w14:textId="77777777" w:rsidTr="006C605C">
        <w:trPr>
          <w:jc w:val="center"/>
        </w:trPr>
        <w:tc>
          <w:tcPr>
            <w:tcW w:w="1417" w:type="dxa"/>
            <w:tcMar>
              <w:top w:w="0" w:type="dxa"/>
              <w:left w:w="108" w:type="dxa"/>
              <w:bottom w:w="0" w:type="dxa"/>
              <w:right w:w="108" w:type="dxa"/>
            </w:tcMar>
            <w:hideMark/>
          </w:tcPr>
          <w:p w14:paraId="597048DB" w14:textId="77777777" w:rsidR="001A7222" w:rsidRPr="00807B4E" w:rsidRDefault="001A7222" w:rsidP="00807B4E">
            <w:pPr>
              <w:pStyle w:val="Listenabsatz"/>
              <w:numPr>
                <w:ilvl w:val="0"/>
                <w:numId w:val="0"/>
              </w:numPr>
              <w:spacing w:line="276" w:lineRule="auto"/>
              <w:rPr>
                <w:rFonts w:ascii="Arial" w:hAnsi="Arial" w:cs="Arial"/>
              </w:rPr>
            </w:pPr>
            <w:r w:rsidRPr="00807B4E">
              <w:rPr>
                <w:rFonts w:ascii="Arial" w:hAnsi="Arial" w:cs="Arial"/>
              </w:rPr>
              <w:t>8-10m</w:t>
            </w:r>
          </w:p>
        </w:tc>
        <w:tc>
          <w:tcPr>
            <w:tcW w:w="850" w:type="dxa"/>
            <w:tcMar>
              <w:top w:w="0" w:type="dxa"/>
              <w:left w:w="108" w:type="dxa"/>
              <w:bottom w:w="0" w:type="dxa"/>
              <w:right w:w="108" w:type="dxa"/>
            </w:tcMar>
            <w:hideMark/>
          </w:tcPr>
          <w:p w14:paraId="43A7DDBD" w14:textId="77777777" w:rsidR="001A7222" w:rsidRPr="00807B4E" w:rsidRDefault="001A7222" w:rsidP="00807B4E">
            <w:pPr>
              <w:pStyle w:val="Listenabsatz"/>
              <w:numPr>
                <w:ilvl w:val="0"/>
                <w:numId w:val="0"/>
              </w:numPr>
              <w:spacing w:line="276" w:lineRule="auto"/>
              <w:jc w:val="center"/>
              <w:rPr>
                <w:rFonts w:ascii="Arial" w:hAnsi="Arial" w:cs="Arial"/>
              </w:rPr>
            </w:pPr>
            <w:r w:rsidRPr="00807B4E">
              <w:rPr>
                <w:rFonts w:ascii="Arial" w:hAnsi="Arial" w:cs="Arial"/>
              </w:rPr>
              <w:t>4.000</w:t>
            </w:r>
          </w:p>
        </w:tc>
        <w:tc>
          <w:tcPr>
            <w:tcW w:w="1417" w:type="dxa"/>
            <w:tcMar>
              <w:top w:w="0" w:type="dxa"/>
              <w:left w:w="108" w:type="dxa"/>
              <w:bottom w:w="0" w:type="dxa"/>
              <w:right w:w="108" w:type="dxa"/>
            </w:tcMar>
            <w:hideMark/>
          </w:tcPr>
          <w:p w14:paraId="19F26FE2" w14:textId="77777777" w:rsidR="001A7222" w:rsidRPr="00807B4E" w:rsidRDefault="001A7222" w:rsidP="00807B4E">
            <w:pPr>
              <w:pStyle w:val="Listenabsatz"/>
              <w:numPr>
                <w:ilvl w:val="0"/>
                <w:numId w:val="0"/>
              </w:numPr>
              <w:spacing w:line="276" w:lineRule="auto"/>
              <w:rPr>
                <w:rFonts w:ascii="Arial" w:hAnsi="Arial" w:cs="Arial"/>
              </w:rPr>
            </w:pPr>
            <w:r w:rsidRPr="00807B4E">
              <w:rPr>
                <w:rFonts w:ascii="Arial" w:hAnsi="Arial" w:cs="Arial"/>
              </w:rPr>
              <w:t>30-40m</w:t>
            </w:r>
          </w:p>
        </w:tc>
        <w:tc>
          <w:tcPr>
            <w:tcW w:w="850" w:type="dxa"/>
            <w:tcMar>
              <w:top w:w="0" w:type="dxa"/>
              <w:left w:w="108" w:type="dxa"/>
              <w:bottom w:w="0" w:type="dxa"/>
              <w:right w:w="108" w:type="dxa"/>
            </w:tcMar>
            <w:hideMark/>
          </w:tcPr>
          <w:p w14:paraId="04BAEAE0" w14:textId="77777777" w:rsidR="001A7222" w:rsidRPr="00807B4E" w:rsidRDefault="001A7222" w:rsidP="00807B4E">
            <w:pPr>
              <w:pStyle w:val="Listenabsatz"/>
              <w:numPr>
                <w:ilvl w:val="0"/>
                <w:numId w:val="0"/>
              </w:numPr>
              <w:spacing w:line="276" w:lineRule="auto"/>
              <w:jc w:val="center"/>
              <w:rPr>
                <w:rFonts w:ascii="Arial" w:hAnsi="Arial" w:cs="Arial"/>
              </w:rPr>
            </w:pPr>
            <w:r w:rsidRPr="00807B4E">
              <w:rPr>
                <w:rFonts w:ascii="Arial" w:hAnsi="Arial" w:cs="Arial"/>
              </w:rPr>
              <w:t>4.000</w:t>
            </w:r>
          </w:p>
        </w:tc>
        <w:tc>
          <w:tcPr>
            <w:tcW w:w="1417" w:type="dxa"/>
            <w:tcMar>
              <w:top w:w="0" w:type="dxa"/>
              <w:left w:w="108" w:type="dxa"/>
              <w:bottom w:w="0" w:type="dxa"/>
              <w:right w:w="108" w:type="dxa"/>
            </w:tcMar>
            <w:hideMark/>
          </w:tcPr>
          <w:p w14:paraId="11D14894" w14:textId="7CF64BA4" w:rsidR="001A7222" w:rsidRPr="00807B4E" w:rsidRDefault="00807B4E" w:rsidP="00807B4E">
            <w:pPr>
              <w:pStyle w:val="Listenabsatz"/>
              <w:numPr>
                <w:ilvl w:val="0"/>
                <w:numId w:val="0"/>
              </w:numPr>
              <w:spacing w:line="276" w:lineRule="auto"/>
              <w:rPr>
                <w:rFonts w:ascii="Arial" w:hAnsi="Arial" w:cs="Arial"/>
              </w:rPr>
            </w:pPr>
            <w:r w:rsidRPr="00807B4E">
              <w:rPr>
                <w:rFonts w:ascii="Arial" w:hAnsi="Arial" w:cs="Arial"/>
              </w:rPr>
              <w:t>4</w:t>
            </w:r>
            <w:r w:rsidR="001A7222" w:rsidRPr="00807B4E">
              <w:rPr>
                <w:rFonts w:ascii="Arial" w:hAnsi="Arial" w:cs="Arial"/>
              </w:rPr>
              <w:t>00-800k</w:t>
            </w:r>
          </w:p>
        </w:tc>
        <w:tc>
          <w:tcPr>
            <w:tcW w:w="850" w:type="dxa"/>
            <w:tcMar>
              <w:top w:w="0" w:type="dxa"/>
              <w:left w:w="108" w:type="dxa"/>
              <w:bottom w:w="0" w:type="dxa"/>
              <w:right w:w="108" w:type="dxa"/>
            </w:tcMar>
            <w:hideMark/>
          </w:tcPr>
          <w:p w14:paraId="24DA07E5" w14:textId="77777777" w:rsidR="001A7222" w:rsidRPr="00807B4E" w:rsidRDefault="001A7222" w:rsidP="00807B4E">
            <w:pPr>
              <w:pStyle w:val="Listenabsatz"/>
              <w:numPr>
                <w:ilvl w:val="0"/>
                <w:numId w:val="0"/>
              </w:numPr>
              <w:spacing w:line="276" w:lineRule="auto"/>
              <w:jc w:val="right"/>
              <w:rPr>
                <w:rFonts w:ascii="Arial" w:hAnsi="Arial" w:cs="Arial"/>
              </w:rPr>
            </w:pPr>
            <w:r w:rsidRPr="00807B4E">
              <w:rPr>
                <w:rFonts w:ascii="Arial" w:hAnsi="Arial" w:cs="Arial"/>
              </w:rPr>
              <w:t>400</w:t>
            </w:r>
          </w:p>
        </w:tc>
        <w:tc>
          <w:tcPr>
            <w:tcW w:w="1417" w:type="dxa"/>
            <w:tcMar>
              <w:top w:w="0" w:type="dxa"/>
              <w:left w:w="108" w:type="dxa"/>
              <w:bottom w:w="0" w:type="dxa"/>
              <w:right w:w="108" w:type="dxa"/>
            </w:tcMar>
            <w:hideMark/>
          </w:tcPr>
          <w:p w14:paraId="5B6DA386" w14:textId="77777777" w:rsidR="001A7222" w:rsidRPr="00807B4E" w:rsidRDefault="001A7222" w:rsidP="00807B4E">
            <w:pPr>
              <w:pStyle w:val="Listenabsatz"/>
              <w:numPr>
                <w:ilvl w:val="0"/>
                <w:numId w:val="0"/>
              </w:numPr>
              <w:spacing w:line="276" w:lineRule="auto"/>
              <w:rPr>
                <w:rFonts w:ascii="Arial" w:hAnsi="Arial" w:cs="Arial"/>
              </w:rPr>
            </w:pPr>
            <w:r w:rsidRPr="00807B4E">
              <w:rPr>
                <w:rFonts w:ascii="Arial" w:hAnsi="Arial" w:cs="Arial"/>
              </w:rPr>
              <w:t>6-8m</w:t>
            </w:r>
          </w:p>
        </w:tc>
        <w:tc>
          <w:tcPr>
            <w:tcW w:w="850" w:type="dxa"/>
            <w:tcMar>
              <w:top w:w="0" w:type="dxa"/>
              <w:left w:w="108" w:type="dxa"/>
              <w:bottom w:w="0" w:type="dxa"/>
              <w:right w:w="108" w:type="dxa"/>
            </w:tcMar>
            <w:hideMark/>
          </w:tcPr>
          <w:p w14:paraId="18272286" w14:textId="77777777" w:rsidR="001A7222" w:rsidRPr="00807B4E" w:rsidRDefault="001A7222" w:rsidP="00807B4E">
            <w:pPr>
              <w:pStyle w:val="Listenabsatz"/>
              <w:numPr>
                <w:ilvl w:val="0"/>
                <w:numId w:val="0"/>
              </w:numPr>
              <w:spacing w:line="276" w:lineRule="auto"/>
              <w:jc w:val="center"/>
              <w:rPr>
                <w:rFonts w:ascii="Arial" w:hAnsi="Arial" w:cs="Arial"/>
              </w:rPr>
            </w:pPr>
            <w:r w:rsidRPr="00807B4E">
              <w:rPr>
                <w:rFonts w:ascii="Arial" w:hAnsi="Arial" w:cs="Arial"/>
              </w:rPr>
              <w:t>4.000</w:t>
            </w:r>
          </w:p>
        </w:tc>
      </w:tr>
      <w:tr w:rsidR="001A7222" w:rsidRPr="00FA5C0A" w14:paraId="37CF0415" w14:textId="77777777" w:rsidTr="006C605C">
        <w:trPr>
          <w:jc w:val="center"/>
        </w:trPr>
        <w:tc>
          <w:tcPr>
            <w:tcW w:w="1417" w:type="dxa"/>
            <w:tcMar>
              <w:top w:w="0" w:type="dxa"/>
              <w:left w:w="108" w:type="dxa"/>
              <w:bottom w:w="0" w:type="dxa"/>
              <w:right w:w="108" w:type="dxa"/>
            </w:tcMar>
            <w:hideMark/>
          </w:tcPr>
          <w:p w14:paraId="0F7EA7AD" w14:textId="77777777" w:rsidR="001A7222" w:rsidRPr="00807B4E" w:rsidRDefault="001A7222" w:rsidP="00807B4E">
            <w:pPr>
              <w:pStyle w:val="Listenabsatz"/>
              <w:numPr>
                <w:ilvl w:val="0"/>
                <w:numId w:val="0"/>
              </w:numPr>
              <w:spacing w:line="276" w:lineRule="auto"/>
              <w:rPr>
                <w:rFonts w:ascii="Arial" w:hAnsi="Arial" w:cs="Arial"/>
              </w:rPr>
            </w:pPr>
            <w:r w:rsidRPr="00807B4E">
              <w:rPr>
                <w:rFonts w:ascii="Arial" w:hAnsi="Arial" w:cs="Arial"/>
              </w:rPr>
              <w:t>&gt; 10m</w:t>
            </w:r>
          </w:p>
        </w:tc>
        <w:tc>
          <w:tcPr>
            <w:tcW w:w="850" w:type="dxa"/>
            <w:tcMar>
              <w:top w:w="0" w:type="dxa"/>
              <w:left w:w="108" w:type="dxa"/>
              <w:bottom w:w="0" w:type="dxa"/>
              <w:right w:w="108" w:type="dxa"/>
            </w:tcMar>
            <w:hideMark/>
          </w:tcPr>
          <w:p w14:paraId="08F35717" w14:textId="77777777" w:rsidR="001A7222" w:rsidRPr="00807B4E" w:rsidRDefault="001A7222" w:rsidP="00807B4E">
            <w:pPr>
              <w:pStyle w:val="Listenabsatz"/>
              <w:numPr>
                <w:ilvl w:val="0"/>
                <w:numId w:val="0"/>
              </w:numPr>
              <w:spacing w:line="276" w:lineRule="auto"/>
              <w:jc w:val="center"/>
              <w:rPr>
                <w:rFonts w:ascii="Arial" w:hAnsi="Arial" w:cs="Arial"/>
              </w:rPr>
            </w:pPr>
            <w:r w:rsidRPr="00807B4E">
              <w:rPr>
                <w:rFonts w:ascii="Arial" w:hAnsi="Arial" w:cs="Arial"/>
              </w:rPr>
              <w:t>5.000</w:t>
            </w:r>
          </w:p>
        </w:tc>
        <w:tc>
          <w:tcPr>
            <w:tcW w:w="1417" w:type="dxa"/>
            <w:tcMar>
              <w:top w:w="0" w:type="dxa"/>
              <w:left w:w="108" w:type="dxa"/>
              <w:bottom w:w="0" w:type="dxa"/>
              <w:right w:w="108" w:type="dxa"/>
            </w:tcMar>
            <w:hideMark/>
          </w:tcPr>
          <w:p w14:paraId="7A60CC84" w14:textId="77777777" w:rsidR="001A7222" w:rsidRPr="00807B4E" w:rsidRDefault="001A7222" w:rsidP="00807B4E">
            <w:pPr>
              <w:pStyle w:val="Listenabsatz"/>
              <w:numPr>
                <w:ilvl w:val="0"/>
                <w:numId w:val="0"/>
              </w:numPr>
              <w:spacing w:line="276" w:lineRule="auto"/>
              <w:rPr>
                <w:rFonts w:ascii="Arial" w:hAnsi="Arial" w:cs="Arial"/>
              </w:rPr>
            </w:pPr>
            <w:r w:rsidRPr="00807B4E">
              <w:rPr>
                <w:rFonts w:ascii="Arial" w:hAnsi="Arial" w:cs="Arial"/>
              </w:rPr>
              <w:t>&lt; 40m</w:t>
            </w:r>
          </w:p>
        </w:tc>
        <w:tc>
          <w:tcPr>
            <w:tcW w:w="850" w:type="dxa"/>
            <w:tcMar>
              <w:top w:w="0" w:type="dxa"/>
              <w:left w:w="108" w:type="dxa"/>
              <w:bottom w:w="0" w:type="dxa"/>
              <w:right w:w="108" w:type="dxa"/>
            </w:tcMar>
            <w:hideMark/>
          </w:tcPr>
          <w:p w14:paraId="6E92E8E0" w14:textId="77777777" w:rsidR="001A7222" w:rsidRPr="00807B4E" w:rsidRDefault="001A7222" w:rsidP="00807B4E">
            <w:pPr>
              <w:pStyle w:val="Listenabsatz"/>
              <w:numPr>
                <w:ilvl w:val="0"/>
                <w:numId w:val="0"/>
              </w:numPr>
              <w:spacing w:line="276" w:lineRule="auto"/>
              <w:jc w:val="center"/>
              <w:rPr>
                <w:rFonts w:ascii="Arial" w:hAnsi="Arial" w:cs="Arial"/>
              </w:rPr>
            </w:pPr>
            <w:r w:rsidRPr="00807B4E">
              <w:rPr>
                <w:rFonts w:ascii="Arial" w:hAnsi="Arial" w:cs="Arial"/>
              </w:rPr>
              <w:t>5.000</w:t>
            </w:r>
          </w:p>
        </w:tc>
        <w:tc>
          <w:tcPr>
            <w:tcW w:w="1417" w:type="dxa"/>
            <w:tcMar>
              <w:top w:w="0" w:type="dxa"/>
              <w:left w:w="108" w:type="dxa"/>
              <w:bottom w:w="0" w:type="dxa"/>
              <w:right w:w="108" w:type="dxa"/>
            </w:tcMar>
            <w:hideMark/>
          </w:tcPr>
          <w:p w14:paraId="14FCBC35" w14:textId="77777777" w:rsidR="001A7222" w:rsidRPr="00807B4E" w:rsidRDefault="001A7222" w:rsidP="00807B4E">
            <w:pPr>
              <w:pStyle w:val="Listenabsatz"/>
              <w:numPr>
                <w:ilvl w:val="0"/>
                <w:numId w:val="0"/>
              </w:numPr>
              <w:spacing w:line="276" w:lineRule="auto"/>
              <w:rPr>
                <w:rFonts w:ascii="Arial" w:hAnsi="Arial" w:cs="Arial"/>
              </w:rPr>
            </w:pPr>
            <w:r w:rsidRPr="00807B4E">
              <w:rPr>
                <w:rFonts w:ascii="Arial" w:hAnsi="Arial" w:cs="Arial"/>
              </w:rPr>
              <w:t>800k-1,6m</w:t>
            </w:r>
          </w:p>
        </w:tc>
        <w:tc>
          <w:tcPr>
            <w:tcW w:w="850" w:type="dxa"/>
            <w:tcMar>
              <w:top w:w="0" w:type="dxa"/>
              <w:left w:w="108" w:type="dxa"/>
              <w:bottom w:w="0" w:type="dxa"/>
              <w:right w:w="108" w:type="dxa"/>
            </w:tcMar>
            <w:hideMark/>
          </w:tcPr>
          <w:p w14:paraId="3ECD0735" w14:textId="77777777" w:rsidR="001A7222" w:rsidRPr="00807B4E" w:rsidRDefault="001A7222" w:rsidP="00807B4E">
            <w:pPr>
              <w:pStyle w:val="Listenabsatz"/>
              <w:numPr>
                <w:ilvl w:val="0"/>
                <w:numId w:val="0"/>
              </w:numPr>
              <w:spacing w:line="276" w:lineRule="auto"/>
              <w:jc w:val="right"/>
              <w:rPr>
                <w:rFonts w:ascii="Arial" w:hAnsi="Arial" w:cs="Arial"/>
              </w:rPr>
            </w:pPr>
            <w:r w:rsidRPr="00807B4E">
              <w:rPr>
                <w:rFonts w:ascii="Arial" w:hAnsi="Arial" w:cs="Arial"/>
              </w:rPr>
              <w:t>800</w:t>
            </w:r>
          </w:p>
        </w:tc>
        <w:tc>
          <w:tcPr>
            <w:tcW w:w="1417" w:type="dxa"/>
            <w:tcMar>
              <w:top w:w="0" w:type="dxa"/>
              <w:left w:w="108" w:type="dxa"/>
              <w:bottom w:w="0" w:type="dxa"/>
              <w:right w:w="108" w:type="dxa"/>
            </w:tcMar>
            <w:hideMark/>
          </w:tcPr>
          <w:p w14:paraId="5A9A60CE" w14:textId="77777777" w:rsidR="001A7222" w:rsidRPr="00807B4E" w:rsidRDefault="001A7222" w:rsidP="00807B4E">
            <w:pPr>
              <w:pStyle w:val="Listenabsatz"/>
              <w:numPr>
                <w:ilvl w:val="0"/>
                <w:numId w:val="0"/>
              </w:numPr>
              <w:spacing w:line="276" w:lineRule="auto"/>
              <w:rPr>
                <w:rFonts w:ascii="Arial" w:hAnsi="Arial" w:cs="Arial"/>
              </w:rPr>
            </w:pPr>
            <w:r w:rsidRPr="00807B4E">
              <w:rPr>
                <w:rFonts w:ascii="Arial" w:hAnsi="Arial" w:cs="Arial"/>
              </w:rPr>
              <w:t>&gt; 8m</w:t>
            </w:r>
          </w:p>
        </w:tc>
        <w:tc>
          <w:tcPr>
            <w:tcW w:w="850" w:type="dxa"/>
            <w:tcMar>
              <w:top w:w="0" w:type="dxa"/>
              <w:left w:w="108" w:type="dxa"/>
              <w:bottom w:w="0" w:type="dxa"/>
              <w:right w:w="108" w:type="dxa"/>
            </w:tcMar>
            <w:hideMark/>
          </w:tcPr>
          <w:p w14:paraId="6F80B5E5" w14:textId="77777777" w:rsidR="001A7222" w:rsidRPr="00807B4E" w:rsidRDefault="001A7222" w:rsidP="00807B4E">
            <w:pPr>
              <w:pStyle w:val="Listenabsatz"/>
              <w:numPr>
                <w:ilvl w:val="0"/>
                <w:numId w:val="0"/>
              </w:numPr>
              <w:spacing w:line="276" w:lineRule="auto"/>
              <w:jc w:val="center"/>
              <w:rPr>
                <w:rFonts w:ascii="Arial" w:hAnsi="Arial" w:cs="Arial"/>
              </w:rPr>
            </w:pPr>
            <w:r w:rsidRPr="00807B4E">
              <w:rPr>
                <w:rFonts w:ascii="Arial" w:hAnsi="Arial" w:cs="Arial"/>
              </w:rPr>
              <w:t>5.000</w:t>
            </w:r>
          </w:p>
        </w:tc>
      </w:tr>
    </w:tbl>
    <w:p w14:paraId="1BDC7711" w14:textId="77777777" w:rsidR="001A7222" w:rsidRPr="00FA5C0A" w:rsidRDefault="001A7222" w:rsidP="001A7222">
      <w:pPr>
        <w:spacing w:before="160" w:line="276" w:lineRule="auto"/>
        <w:rPr>
          <w:rFonts w:ascii="Arial" w:hAnsi="Arial" w:cs="Arial"/>
          <w:sz w:val="16"/>
          <w:szCs w:val="16"/>
          <w:lang w:val="en-US"/>
        </w:rPr>
      </w:pPr>
      <w:r w:rsidRPr="00FA5C0A">
        <w:rPr>
          <w:rFonts w:ascii="Arial" w:hAnsi="Arial" w:cs="Arial"/>
          <w:sz w:val="16"/>
          <w:szCs w:val="16"/>
          <w:lang w:val="en-US"/>
        </w:rPr>
        <w:t>PI = Page Impressions</w:t>
      </w:r>
    </w:p>
    <w:p w14:paraId="4B3B1541" w14:textId="77777777" w:rsidR="001A7222" w:rsidRDefault="001A7222" w:rsidP="001A7222">
      <w:pPr>
        <w:spacing w:line="276" w:lineRule="auto"/>
        <w:rPr>
          <w:rFonts w:ascii="Arial" w:hAnsi="Arial" w:cs="Arial"/>
          <w:lang w:val="en-US"/>
        </w:rPr>
      </w:pPr>
    </w:p>
    <w:p w14:paraId="73D08E0E" w14:textId="521AAD1B" w:rsidR="001A7222" w:rsidRDefault="001A7222" w:rsidP="001A7222">
      <w:pPr>
        <w:spacing w:line="276" w:lineRule="auto"/>
        <w:rPr>
          <w:rFonts w:ascii="Arial" w:hAnsi="Arial" w:cs="Arial"/>
          <w:lang w:val="en-US"/>
        </w:rPr>
      </w:pPr>
      <w:r w:rsidRPr="00FA5C0A">
        <w:rPr>
          <w:rFonts w:ascii="Arial" w:hAnsi="Arial" w:cs="Arial"/>
          <w:lang w:val="en-US"/>
        </w:rPr>
        <w:t>The examples emphasize the importance of a holistic approach towards assessing prices of market data. Evaluating the price of market data based individual fees for market data or a single (or only a few) market participants can result in a biased view. Individual fees for market data or a single (or only a few) market participants do not represent the development of the overall cost of market data for market participants.</w:t>
      </w:r>
    </w:p>
    <w:p w14:paraId="646FB79A" w14:textId="77777777" w:rsidR="001A7222" w:rsidRPr="00FA5C0A" w:rsidRDefault="001A7222" w:rsidP="001A7222">
      <w:pPr>
        <w:spacing w:line="276" w:lineRule="auto"/>
        <w:rPr>
          <w:rFonts w:ascii="Arial" w:hAnsi="Arial" w:cs="Arial"/>
          <w:lang w:val="en-US"/>
        </w:rPr>
      </w:pPr>
    </w:p>
    <w:p w14:paraId="22E6A8D9" w14:textId="77777777" w:rsidR="001A7222" w:rsidRDefault="001A7222" w:rsidP="001A7222">
      <w:pPr>
        <w:spacing w:line="276" w:lineRule="auto"/>
        <w:rPr>
          <w:rFonts w:ascii="Arial" w:hAnsi="Arial" w:cs="Arial"/>
          <w:lang w:val="en-US"/>
        </w:rPr>
      </w:pPr>
      <w:r w:rsidRPr="00FA5C0A">
        <w:rPr>
          <w:rFonts w:ascii="Arial" w:hAnsi="Arial" w:cs="Arial"/>
          <w:lang w:val="en-US"/>
        </w:rPr>
        <w:t>Exchanges are also often not “the last mile” of data distribution. Data redistributors and intermediaries play an important role in the value chain of market data, thus reinforcing the necessity of a holistic approach recognizing the full scale and nature of the market data value chain. Changes in prices faced by end</w:t>
      </w:r>
      <w:r>
        <w:rPr>
          <w:rFonts w:ascii="Arial" w:hAnsi="Arial" w:cs="Arial"/>
          <w:lang w:val="en-US"/>
        </w:rPr>
        <w:t xml:space="preserve"> investors</w:t>
      </w:r>
      <w:r w:rsidRPr="00FA5C0A">
        <w:rPr>
          <w:rFonts w:ascii="Arial" w:hAnsi="Arial" w:cs="Arial"/>
          <w:lang w:val="en-US"/>
        </w:rPr>
        <w:t xml:space="preserve"> are therefore not only due to </w:t>
      </w:r>
      <w:r>
        <w:rPr>
          <w:rFonts w:ascii="Arial" w:hAnsi="Arial" w:cs="Arial"/>
          <w:lang w:val="en-US"/>
        </w:rPr>
        <w:t>exchanges, meaning that there is a risk that any cost reduction at exchange level will not be passed to the end investors – given the fact that d</w:t>
      </w:r>
      <w:r w:rsidRPr="00FA5C0A">
        <w:rPr>
          <w:rFonts w:ascii="Arial" w:hAnsi="Arial" w:cs="Arial"/>
          <w:lang w:val="en-US"/>
        </w:rPr>
        <w:t>ata redistributors and intermediaries</w:t>
      </w:r>
      <w:r>
        <w:rPr>
          <w:rFonts w:ascii="Arial" w:hAnsi="Arial" w:cs="Arial"/>
          <w:lang w:val="en-US"/>
        </w:rPr>
        <w:t xml:space="preserve"> are not covered by MiFID II/</w:t>
      </w:r>
      <w:proofErr w:type="spellStart"/>
      <w:r>
        <w:rPr>
          <w:rFonts w:ascii="Arial" w:hAnsi="Arial" w:cs="Arial"/>
          <w:lang w:val="en-US"/>
        </w:rPr>
        <w:t>MiFIR</w:t>
      </w:r>
      <w:proofErr w:type="spellEnd"/>
      <w:r>
        <w:rPr>
          <w:rFonts w:ascii="Arial" w:hAnsi="Arial" w:cs="Arial"/>
          <w:lang w:val="en-US"/>
        </w:rPr>
        <w:t>.</w:t>
      </w:r>
    </w:p>
    <w:p w14:paraId="1B79E0A3" w14:textId="4C75AF0C" w:rsidR="001A7222" w:rsidRDefault="001A7222" w:rsidP="001A7222">
      <w:pPr>
        <w:spacing w:line="276" w:lineRule="auto"/>
        <w:rPr>
          <w:rFonts w:ascii="Arial" w:hAnsi="Arial" w:cs="Arial"/>
          <w:lang w:val="en-US"/>
        </w:rPr>
      </w:pPr>
      <w:r>
        <w:rPr>
          <w:rFonts w:ascii="Arial" w:hAnsi="Arial" w:cs="Arial"/>
          <w:lang w:val="en-US"/>
        </w:rPr>
        <w:t xml:space="preserve">Börse Stuttgart believes that </w:t>
      </w:r>
      <w:r w:rsidRPr="00A2692F">
        <w:rPr>
          <w:rFonts w:ascii="Arial" w:hAnsi="Arial" w:cs="Arial"/>
          <w:lang w:val="en-US"/>
        </w:rPr>
        <w:t xml:space="preserve">a review of the development in prices for </w:t>
      </w:r>
      <w:r>
        <w:rPr>
          <w:rFonts w:ascii="Arial" w:hAnsi="Arial" w:cs="Arial"/>
          <w:lang w:val="en-US"/>
        </w:rPr>
        <w:t>market</w:t>
      </w:r>
      <w:r w:rsidRPr="00A2692F">
        <w:rPr>
          <w:rFonts w:ascii="Arial" w:hAnsi="Arial" w:cs="Arial"/>
          <w:lang w:val="en-US"/>
        </w:rPr>
        <w:t xml:space="preserve"> data which is restricted to </w:t>
      </w:r>
      <w:r>
        <w:rPr>
          <w:rFonts w:ascii="Arial" w:hAnsi="Arial" w:cs="Arial"/>
          <w:lang w:val="en-US"/>
        </w:rPr>
        <w:t>e</w:t>
      </w:r>
      <w:r w:rsidRPr="00A2692F">
        <w:rPr>
          <w:rFonts w:ascii="Arial" w:hAnsi="Arial" w:cs="Arial"/>
          <w:lang w:val="en-US"/>
        </w:rPr>
        <w:t xml:space="preserve">xchanges will have limited to no effect on the </w:t>
      </w:r>
      <w:r>
        <w:rPr>
          <w:rFonts w:ascii="Arial" w:hAnsi="Arial" w:cs="Arial"/>
          <w:lang w:val="en-US"/>
        </w:rPr>
        <w:t>“</w:t>
      </w:r>
      <w:r w:rsidRPr="00A2692F">
        <w:rPr>
          <w:rFonts w:ascii="Arial" w:hAnsi="Arial" w:cs="Arial"/>
          <w:lang w:val="en-US"/>
        </w:rPr>
        <w:t>overall cost of data</w:t>
      </w:r>
      <w:r>
        <w:rPr>
          <w:rFonts w:ascii="Arial" w:hAnsi="Arial" w:cs="Arial"/>
          <w:lang w:val="en-US"/>
        </w:rPr>
        <w:t>”</w:t>
      </w:r>
      <w:r w:rsidRPr="00A2692F">
        <w:rPr>
          <w:rFonts w:ascii="Arial" w:hAnsi="Arial" w:cs="Arial"/>
          <w:lang w:val="en-US"/>
        </w:rPr>
        <w:t xml:space="preserve"> to the end investor and could distort the market ecosystem due to its narrow and discriminatory focus.</w:t>
      </w:r>
      <w:r>
        <w:rPr>
          <w:rFonts w:ascii="Arial" w:hAnsi="Arial" w:cs="Arial"/>
          <w:lang w:val="en-US"/>
        </w:rPr>
        <w:t xml:space="preserve"> </w:t>
      </w:r>
      <w:proofErr w:type="spellStart"/>
      <w:r w:rsidRPr="00FA5C0A">
        <w:rPr>
          <w:rFonts w:ascii="Arial" w:hAnsi="Arial" w:cs="Arial"/>
          <w:lang w:val="en-US"/>
        </w:rPr>
        <w:t>Oxera</w:t>
      </w:r>
      <w:proofErr w:type="spellEnd"/>
      <w:r w:rsidRPr="00FA5C0A">
        <w:rPr>
          <w:rFonts w:ascii="Arial" w:hAnsi="Arial" w:cs="Arial"/>
          <w:lang w:val="en-US"/>
        </w:rPr>
        <w:t xml:space="preserve"> (2019, “The design of equity trading markets in Europe”) </w:t>
      </w:r>
      <w:r>
        <w:rPr>
          <w:rFonts w:ascii="Arial" w:hAnsi="Arial" w:cs="Arial"/>
          <w:lang w:val="en-US"/>
        </w:rPr>
        <w:t>shows clearly that exchanges</w:t>
      </w:r>
      <w:r w:rsidRPr="00DF4C8E">
        <w:rPr>
          <w:rFonts w:ascii="Arial" w:hAnsi="Arial" w:cs="Arial"/>
          <w:lang w:val="en-US"/>
        </w:rPr>
        <w:t xml:space="preserve"> are only a small part of a longer value chain</w:t>
      </w:r>
      <w:r>
        <w:rPr>
          <w:rFonts w:ascii="Arial" w:hAnsi="Arial" w:cs="Arial"/>
          <w:lang w:val="en-US"/>
        </w:rPr>
        <w:t xml:space="preserve">: The </w:t>
      </w:r>
      <w:r w:rsidRPr="00DF4C8E">
        <w:rPr>
          <w:rFonts w:ascii="Arial" w:hAnsi="Arial" w:cs="Arial"/>
          <w:lang w:val="en-US"/>
        </w:rPr>
        <w:t xml:space="preserve">contribution of market data provided by European </w:t>
      </w:r>
      <w:r>
        <w:rPr>
          <w:rFonts w:ascii="Arial" w:hAnsi="Arial" w:cs="Arial"/>
          <w:lang w:val="en-US"/>
        </w:rPr>
        <w:t>e</w:t>
      </w:r>
      <w:r w:rsidRPr="00DF4C8E">
        <w:rPr>
          <w:rFonts w:ascii="Arial" w:hAnsi="Arial" w:cs="Arial"/>
          <w:lang w:val="en-US"/>
        </w:rPr>
        <w:t>xchanges only represents around 15% of the total European spending on market data and analysis</w:t>
      </w:r>
      <w:r>
        <w:rPr>
          <w:rFonts w:ascii="Arial" w:hAnsi="Arial" w:cs="Arial"/>
          <w:lang w:val="en-US"/>
        </w:rPr>
        <w:t xml:space="preserve"> (p. 68).</w:t>
      </w:r>
    </w:p>
    <w:permEnd w:id="478217800"/>
    <w:p w14:paraId="19F5214F" w14:textId="38AB376B" w:rsidR="00010773" w:rsidRDefault="00010773" w:rsidP="00010773">
      <w:pPr>
        <w:rPr>
          <w:rFonts w:ascii="Arial" w:hAnsi="Arial" w:cs="Arial"/>
        </w:rPr>
      </w:pPr>
      <w:proofErr w:type="gramStart"/>
      <w:r>
        <w:rPr>
          <w:rFonts w:ascii="Arial" w:hAnsi="Arial" w:cs="Arial"/>
        </w:rPr>
        <w:t>&lt;</w:t>
      </w:r>
      <w:proofErr w:type="gramEnd"/>
      <w:r>
        <w:rPr>
          <w:rFonts w:ascii="Arial" w:hAnsi="Arial" w:cs="Arial"/>
        </w:rPr>
        <w: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4ACB1F85" w14:textId="5919A8BC" w:rsidR="001A7222" w:rsidRDefault="001A7222" w:rsidP="001A7222">
      <w:pPr>
        <w:spacing w:line="276" w:lineRule="auto"/>
        <w:rPr>
          <w:rFonts w:ascii="Arial" w:hAnsi="Arial" w:cs="Arial"/>
          <w:lang w:val="en-US"/>
        </w:rPr>
      </w:pPr>
      <w:permStart w:id="1311784588" w:edGrp="everyone"/>
      <w:r w:rsidRPr="00FA02D2">
        <w:rPr>
          <w:rFonts w:ascii="Arial" w:hAnsi="Arial" w:cs="Arial"/>
          <w:lang w:val="en-US"/>
        </w:rPr>
        <w:t>Market data is the outcome of a dynamic price formation process and is a joint product with trade execution. Therefore, changes in costs attributable to market data production and distribution, including both the direct costs of market data dissemination and the changes to the appropriate share of joint costs can lead to price changes. Following the application of MiFID II/</w:t>
      </w:r>
      <w:proofErr w:type="spellStart"/>
      <w:r w:rsidRPr="00FA02D2">
        <w:rPr>
          <w:rFonts w:ascii="Arial" w:hAnsi="Arial" w:cs="Arial"/>
          <w:lang w:val="en-US"/>
        </w:rPr>
        <w:t>MiFIR</w:t>
      </w:r>
      <w:proofErr w:type="spellEnd"/>
      <w:r w:rsidRPr="00FA02D2">
        <w:rPr>
          <w:rFonts w:ascii="Arial" w:hAnsi="Arial" w:cs="Arial"/>
          <w:lang w:val="en-US"/>
        </w:rPr>
        <w:t xml:space="preserve">, Börse Stuttgart had to adapt to regulatory requirements affecting the provision of market data. This has led to license structure changes and also to cost increases of market data production (e.g. clock synchronization requirements) and distribution (e.g. data disaggregation). </w:t>
      </w:r>
    </w:p>
    <w:p w14:paraId="486B133B" w14:textId="77777777" w:rsidR="001A7222" w:rsidRPr="00FA02D2" w:rsidRDefault="001A7222" w:rsidP="001A7222">
      <w:pPr>
        <w:spacing w:line="276" w:lineRule="auto"/>
        <w:rPr>
          <w:rFonts w:ascii="Arial" w:hAnsi="Arial" w:cs="Arial"/>
          <w:lang w:val="en-US"/>
        </w:rPr>
      </w:pPr>
    </w:p>
    <w:p w14:paraId="6D851F62" w14:textId="35A13445" w:rsidR="001A7222" w:rsidRDefault="001A7222" w:rsidP="001A7222">
      <w:pPr>
        <w:spacing w:line="276" w:lineRule="auto"/>
        <w:rPr>
          <w:rFonts w:ascii="Arial" w:hAnsi="Arial" w:cs="Arial"/>
          <w:lang w:val="en-US"/>
        </w:rPr>
      </w:pPr>
      <w:r w:rsidRPr="00FA02D2">
        <w:rPr>
          <w:rFonts w:ascii="Arial" w:hAnsi="Arial" w:cs="Arial"/>
          <w:lang w:val="en-US"/>
        </w:rPr>
        <w:t>Börse Stuttgart always based its price adaptations – even before MiFID II/</w:t>
      </w:r>
      <w:proofErr w:type="spellStart"/>
      <w:r w:rsidRPr="00FA02D2">
        <w:rPr>
          <w:rFonts w:ascii="Arial" w:hAnsi="Arial" w:cs="Arial"/>
          <w:lang w:val="en-US"/>
        </w:rPr>
        <w:t>MiFIR</w:t>
      </w:r>
      <w:proofErr w:type="spellEnd"/>
      <w:r w:rsidRPr="00FA02D2">
        <w:rPr>
          <w:rFonts w:ascii="Arial" w:hAnsi="Arial" w:cs="Arial"/>
          <w:lang w:val="en-US"/>
        </w:rPr>
        <w:t xml:space="preserve"> became applicable – on cost changes attributable to market data production and dissemination. In addition, we take into account how market participants use the data. Given this general policy, fee adaptions reflect our increased costs to handle a steadily increasing amount of data and the client value. For instance, the coverage of Börse Stuttgart’s pre- and post-trade data – defined by the number of instruments – rose substantially. The number of listed instruments at Börse Stuttgart increased by over 40% between 2015 and mid-2019: </w:t>
      </w:r>
    </w:p>
    <w:p w14:paraId="045F0208" w14:textId="77777777" w:rsidR="001A7222" w:rsidRPr="00FA02D2" w:rsidRDefault="001A7222" w:rsidP="001A7222">
      <w:pPr>
        <w:spacing w:line="276" w:lineRule="auto"/>
        <w:rPr>
          <w:rFonts w:ascii="Arial" w:hAnsi="Arial" w:cs="Arial"/>
          <w:lang w:val="en-US"/>
        </w:rPr>
      </w:pPr>
    </w:p>
    <w:p w14:paraId="2711EC49" w14:textId="6AA8183F" w:rsidR="001A7222" w:rsidRDefault="001A7222" w:rsidP="001A7222">
      <w:pPr>
        <w:spacing w:line="276" w:lineRule="auto"/>
        <w:rPr>
          <w:rFonts w:ascii="Arial" w:hAnsi="Arial" w:cs="Arial"/>
          <w:lang w:val="en-US"/>
        </w:rPr>
      </w:pPr>
      <w:r w:rsidRPr="00FA02D2">
        <w:rPr>
          <w:rFonts w:ascii="Arial" w:hAnsi="Arial" w:cs="Arial"/>
          <w:lang w:val="en-US"/>
        </w:rPr>
        <w:t>By 30.06.2019: 1.883.351 listed instruments; by 31.12.2018: 1.717.321 listed instruments; by 31.12.2017: 1.608.334 listed instruments; by 31.12.2016: 1.367.986 instruments; by 31.12.2015: 1.315.334 listed instruments</w:t>
      </w:r>
    </w:p>
    <w:p w14:paraId="4DB708B8" w14:textId="77777777" w:rsidR="001A7222" w:rsidRPr="00FA02D2" w:rsidRDefault="001A7222" w:rsidP="001A7222">
      <w:pPr>
        <w:spacing w:line="276" w:lineRule="auto"/>
        <w:rPr>
          <w:rFonts w:ascii="Arial" w:hAnsi="Arial" w:cs="Arial"/>
          <w:lang w:val="en-US"/>
        </w:rPr>
      </w:pPr>
    </w:p>
    <w:p w14:paraId="16D13012" w14:textId="75A285C2" w:rsidR="00010773" w:rsidRDefault="001A7222" w:rsidP="001A7222">
      <w:pPr>
        <w:spacing w:line="276" w:lineRule="auto"/>
        <w:rPr>
          <w:rFonts w:ascii="Arial" w:hAnsi="Arial" w:cs="Arial"/>
        </w:rPr>
      </w:pPr>
      <w:r w:rsidRPr="00FA02D2">
        <w:rPr>
          <w:rFonts w:ascii="Arial" w:hAnsi="Arial" w:cs="Arial"/>
          <w:lang w:val="en-US"/>
        </w:rPr>
        <w:t>Finally, it must be noted that data redistributors and intermediaries play an important role in the value chain of market data. For this reason, it is not possible to undertake an assessment of the price of market data without looking at the role of data redistributors and intermediaries.</w:t>
      </w:r>
    </w:p>
    <w:permEnd w:id="1311784588"/>
    <w:p w14:paraId="722DF389" w14:textId="77777777" w:rsidR="00010773" w:rsidRDefault="00010773" w:rsidP="00010773">
      <w:pPr>
        <w:rPr>
          <w:rFonts w:ascii="Arial" w:hAnsi="Arial" w:cs="Arial"/>
        </w:rPr>
      </w:pPr>
      <w:r>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t>&lt;ESMA_QUESTION_MDA_3&gt;</w:t>
      </w:r>
    </w:p>
    <w:p w14:paraId="1EE71B5A" w14:textId="02E9953B" w:rsidR="00010773" w:rsidRDefault="001A7222" w:rsidP="001A7222">
      <w:pPr>
        <w:spacing w:line="276" w:lineRule="auto"/>
        <w:rPr>
          <w:rFonts w:ascii="Arial" w:hAnsi="Arial" w:cs="Arial"/>
        </w:rPr>
      </w:pPr>
      <w:permStart w:id="1610892805" w:edGrp="everyone"/>
      <w:r w:rsidRPr="001259A8">
        <w:rPr>
          <w:rFonts w:ascii="Arial" w:hAnsi="Arial" w:cs="Arial"/>
          <w:lang w:val="en-US"/>
        </w:rPr>
        <w:t xml:space="preserve">Following the introduction of disaggregation requirements by MIFIR, we adjusted our license structure to provide more granularity (e.g. disaggregated pre- and post-trade data offering, introduction of an “Access ID” and a “Physical User-ID”, adaptions reflecting license structure changes within the industry). This particularly benefits smaller users which now have the option to pay only for the data they are using. </w:t>
      </w:r>
      <w:r w:rsidRPr="001259A8">
        <w:rPr>
          <w:rFonts w:ascii="Arial" w:hAnsi="Arial" w:cs="Arial"/>
          <w:lang w:val="en-US"/>
        </w:rPr>
        <w:lastRenderedPageBreak/>
        <w:t>Börse Stuttgart did not introduce any new fees for data services that were free of charge until MiFID II became effective.</w:t>
      </w:r>
    </w:p>
    <w:permEnd w:id="1610892805"/>
    <w:p w14:paraId="2310FFD9" w14:textId="77777777" w:rsidR="00010773" w:rsidRDefault="00010773" w:rsidP="00010773">
      <w:pPr>
        <w:rPr>
          <w:rFonts w:ascii="Arial" w:hAnsi="Arial" w:cs="Arial"/>
        </w:rPr>
      </w:pPr>
      <w:r>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36DB8603" w14:textId="44B8E40D" w:rsidR="001A7222" w:rsidRDefault="001A7222" w:rsidP="001A7222">
      <w:pPr>
        <w:spacing w:line="276" w:lineRule="auto"/>
        <w:rPr>
          <w:rFonts w:ascii="Arial" w:hAnsi="Arial" w:cs="Arial"/>
          <w:lang w:val="en-US"/>
        </w:rPr>
      </w:pPr>
      <w:permStart w:id="303380406" w:edGrp="everyone"/>
      <w:r w:rsidRPr="001259A8">
        <w:rPr>
          <w:rFonts w:ascii="Arial" w:hAnsi="Arial" w:cs="Arial"/>
          <w:lang w:val="en-US"/>
        </w:rPr>
        <w:t>It is important to recognize the scale and nature of the market data value chain when considering the price of market data. MiFID II/</w:t>
      </w:r>
      <w:proofErr w:type="spellStart"/>
      <w:r w:rsidRPr="001259A8">
        <w:rPr>
          <w:rFonts w:ascii="Arial" w:hAnsi="Arial" w:cs="Arial"/>
          <w:lang w:val="en-US"/>
        </w:rPr>
        <w:t>MiFIR</w:t>
      </w:r>
      <w:proofErr w:type="spellEnd"/>
      <w:r w:rsidRPr="001259A8">
        <w:rPr>
          <w:rFonts w:ascii="Arial" w:hAnsi="Arial" w:cs="Arial"/>
          <w:lang w:val="en-US"/>
        </w:rPr>
        <w:t xml:space="preserve"> introduced rules on the provision and pricing of market data by trading venues (and APAs as well as CTPs). But </w:t>
      </w:r>
      <w:r w:rsidR="00807B4E">
        <w:rPr>
          <w:rFonts w:ascii="Arial" w:hAnsi="Arial" w:cs="Arial"/>
          <w:lang w:val="en-US"/>
        </w:rPr>
        <w:t>e</w:t>
      </w:r>
      <w:r w:rsidRPr="001259A8">
        <w:rPr>
          <w:rFonts w:ascii="Arial" w:hAnsi="Arial" w:cs="Arial"/>
          <w:lang w:val="en-US"/>
        </w:rPr>
        <w:t>xchanges are often not “the last mile” of data distribution. Data redistributors and intermediaries play an important role in the value chain of market data, thus reinforcing the necessity of a holistic approach. Please refer for more details to our answer on Q1.</w:t>
      </w:r>
    </w:p>
    <w:p w14:paraId="12687C9D" w14:textId="77777777" w:rsidR="001A7222" w:rsidRPr="001259A8" w:rsidRDefault="001A7222" w:rsidP="001A7222">
      <w:pPr>
        <w:spacing w:line="276" w:lineRule="auto"/>
        <w:rPr>
          <w:rFonts w:ascii="Arial" w:hAnsi="Arial" w:cs="Arial"/>
          <w:lang w:val="en-US"/>
        </w:rPr>
      </w:pPr>
    </w:p>
    <w:p w14:paraId="1EB0F34A" w14:textId="2EB229E2" w:rsidR="001A7222" w:rsidRDefault="001A7222" w:rsidP="001A7222">
      <w:pPr>
        <w:spacing w:line="276" w:lineRule="auto"/>
        <w:rPr>
          <w:rFonts w:ascii="Arial" w:hAnsi="Arial" w:cs="Arial"/>
          <w:lang w:val="en-US"/>
        </w:rPr>
      </w:pPr>
      <w:r w:rsidRPr="001259A8">
        <w:rPr>
          <w:rFonts w:ascii="Arial" w:hAnsi="Arial" w:cs="Arial"/>
          <w:lang w:val="en-US"/>
        </w:rPr>
        <w:t xml:space="preserve">Börse Stuttgart </w:t>
      </w:r>
      <w:r w:rsidRPr="001259A8">
        <w:rPr>
          <w:rFonts w:ascii="Arial" w:hAnsi="Arial" w:cs="Arial"/>
          <w:lang w:val="en-US"/>
        </w:rPr>
        <w:t>observe</w:t>
      </w:r>
      <w:r>
        <w:rPr>
          <w:rFonts w:ascii="Arial" w:hAnsi="Arial" w:cs="Arial"/>
          <w:lang w:val="en-US"/>
        </w:rPr>
        <w:t>d</w:t>
      </w:r>
      <w:r w:rsidRPr="001259A8">
        <w:rPr>
          <w:rFonts w:ascii="Arial" w:hAnsi="Arial" w:cs="Arial"/>
          <w:lang w:val="en-US"/>
        </w:rPr>
        <w:t xml:space="preserve"> </w:t>
      </w:r>
      <w:r w:rsidRPr="001259A8">
        <w:rPr>
          <w:rFonts w:ascii="Arial" w:hAnsi="Arial" w:cs="Arial"/>
          <w:lang w:val="en-US"/>
        </w:rPr>
        <w:t xml:space="preserve">for its own data products a shift in data consumption towards non-display data products. Trading-based activities are normally covered under a non-display license. We see this as evidence for the ongoing automation of activities using market data as (one) input source, e.g. algorithmic trading. </w:t>
      </w:r>
    </w:p>
    <w:p w14:paraId="03FD88F0" w14:textId="77777777" w:rsidR="001A7222" w:rsidRPr="001259A8" w:rsidRDefault="001A7222" w:rsidP="001A7222">
      <w:pPr>
        <w:spacing w:line="276" w:lineRule="auto"/>
        <w:rPr>
          <w:rFonts w:ascii="Arial" w:hAnsi="Arial" w:cs="Arial"/>
          <w:lang w:val="en-US"/>
        </w:rPr>
      </w:pPr>
    </w:p>
    <w:p w14:paraId="41933B63" w14:textId="77777777" w:rsidR="001A7222" w:rsidRDefault="001A7222" w:rsidP="001A7222">
      <w:pPr>
        <w:spacing w:line="276" w:lineRule="auto"/>
        <w:rPr>
          <w:rFonts w:ascii="Arial" w:hAnsi="Arial" w:cs="Arial"/>
          <w:lang w:val="en-US"/>
        </w:rPr>
      </w:pPr>
      <w:r w:rsidRPr="001259A8">
        <w:rPr>
          <w:rFonts w:ascii="Arial" w:hAnsi="Arial" w:cs="Arial"/>
          <w:lang w:val="en-US"/>
        </w:rPr>
        <w:t>Börse Stuttgart’s belie</w:t>
      </w:r>
      <w:r>
        <w:rPr>
          <w:rFonts w:ascii="Arial" w:hAnsi="Arial" w:cs="Arial"/>
          <w:lang w:val="en-US"/>
        </w:rPr>
        <w:t>ve</w:t>
      </w:r>
      <w:r w:rsidRPr="001259A8">
        <w:rPr>
          <w:rFonts w:ascii="Arial" w:hAnsi="Arial" w:cs="Arial"/>
          <w:lang w:val="en-US"/>
        </w:rPr>
        <w:t>s that its data policies are reasonable and understandable for market participants. In particular, they did not become much more granular and more difficult after MiFID II/</w:t>
      </w:r>
      <w:proofErr w:type="spellStart"/>
      <w:r w:rsidRPr="001259A8">
        <w:rPr>
          <w:rFonts w:ascii="Arial" w:hAnsi="Arial" w:cs="Arial"/>
          <w:lang w:val="en-US"/>
        </w:rPr>
        <w:t>MiFIR</w:t>
      </w:r>
      <w:proofErr w:type="spellEnd"/>
      <w:r w:rsidRPr="001259A8">
        <w:rPr>
          <w:rFonts w:ascii="Arial" w:hAnsi="Arial" w:cs="Arial"/>
          <w:lang w:val="en-US"/>
        </w:rPr>
        <w:t xml:space="preserve"> became applicable. We estimate that the number of pages increased by 10% recently. Mainly due to the fact that Börse Stuttgart now offers – due to regulatory requirements – disaggregated data products which was not the case before. Börse Stuttgart does not require customers to sign non-disclosure agreements when entering into market data agreements, which prohibit them from sharing information on the level of fees paid.</w:t>
      </w:r>
    </w:p>
    <w:permEnd w:id="303380406"/>
    <w:p w14:paraId="76FCDAE5" w14:textId="38E8445B" w:rsidR="00010773" w:rsidRDefault="00010773" w:rsidP="00010773">
      <w:pPr>
        <w:rPr>
          <w:rFonts w:ascii="Arial" w:hAnsi="Arial" w:cs="Arial"/>
        </w:rPr>
      </w:pPr>
      <w:proofErr w:type="gramStart"/>
      <w:r>
        <w:rPr>
          <w:rFonts w:ascii="Arial" w:hAnsi="Arial" w:cs="Arial"/>
        </w:rPr>
        <w:t>&lt;</w:t>
      </w:r>
      <w:proofErr w:type="gramEnd"/>
      <w:r>
        <w:rPr>
          <w:rFonts w:ascii="Arial" w:hAnsi="Arial" w:cs="Arial"/>
        </w:rPr>
        <w: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3D1DF788" w14:textId="39C1E117" w:rsidR="00010773" w:rsidRDefault="001A7222" w:rsidP="001A7222">
      <w:pPr>
        <w:spacing w:line="276" w:lineRule="auto"/>
        <w:rPr>
          <w:rFonts w:ascii="Arial" w:hAnsi="Arial" w:cs="Arial"/>
        </w:rPr>
      </w:pPr>
      <w:permStart w:id="1420844914" w:edGrp="everyone"/>
      <w:r>
        <w:rPr>
          <w:rFonts w:ascii="Arial" w:hAnsi="Arial" w:cs="Arial"/>
          <w:lang w:val="en-US"/>
        </w:rPr>
        <w:t>Börse Stuttgart</w:t>
      </w:r>
      <w:r w:rsidRPr="006A461F">
        <w:rPr>
          <w:rFonts w:ascii="Arial" w:hAnsi="Arial" w:cs="Arial"/>
          <w:lang w:val="en-US"/>
        </w:rPr>
        <w:t xml:space="preserve"> </w:t>
      </w:r>
      <w:r>
        <w:rPr>
          <w:rFonts w:ascii="Arial" w:hAnsi="Arial" w:cs="Arial"/>
          <w:lang w:val="en-US"/>
        </w:rPr>
        <w:t xml:space="preserve">discloses </w:t>
      </w:r>
      <w:r w:rsidRPr="006A461F">
        <w:rPr>
          <w:rFonts w:ascii="Arial" w:hAnsi="Arial" w:cs="Arial"/>
          <w:lang w:val="en-US"/>
        </w:rPr>
        <w:t xml:space="preserve">RCB information </w:t>
      </w:r>
      <w:r>
        <w:rPr>
          <w:rFonts w:ascii="Arial" w:hAnsi="Arial" w:cs="Arial"/>
          <w:lang w:val="en-US"/>
        </w:rPr>
        <w:t>in line with</w:t>
      </w:r>
      <w:r w:rsidRPr="006A461F">
        <w:rPr>
          <w:rFonts w:ascii="Arial" w:hAnsi="Arial" w:cs="Arial"/>
          <w:lang w:val="en-US"/>
        </w:rPr>
        <w:t xml:space="preserve"> MiFID II/</w:t>
      </w:r>
      <w:proofErr w:type="spellStart"/>
      <w:r w:rsidRPr="006A461F">
        <w:rPr>
          <w:rFonts w:ascii="Arial" w:hAnsi="Arial" w:cs="Arial"/>
          <w:lang w:val="en-US"/>
        </w:rPr>
        <w:t>MiFIR</w:t>
      </w:r>
      <w:proofErr w:type="spellEnd"/>
      <w:r w:rsidRPr="006A461F">
        <w:rPr>
          <w:rFonts w:ascii="Arial" w:hAnsi="Arial" w:cs="Arial"/>
          <w:lang w:val="en-US"/>
        </w:rPr>
        <w:t>.</w:t>
      </w:r>
      <w:r>
        <w:rPr>
          <w:rFonts w:ascii="Arial" w:hAnsi="Arial" w:cs="Arial"/>
          <w:lang w:val="en-US"/>
        </w:rPr>
        <w:t xml:space="preserve"> We think that this is the case for the vast majority of trading venues. </w:t>
      </w:r>
      <w:r w:rsidRPr="00340005">
        <w:rPr>
          <w:rFonts w:ascii="Arial" w:hAnsi="Arial" w:cs="Arial"/>
          <w:lang w:val="en-US"/>
        </w:rPr>
        <w:t>There is</w:t>
      </w:r>
      <w:r>
        <w:rPr>
          <w:rFonts w:ascii="Arial" w:hAnsi="Arial" w:cs="Arial"/>
          <w:lang w:val="en-US"/>
        </w:rPr>
        <w:t>,</w:t>
      </w:r>
      <w:r w:rsidRPr="00340005">
        <w:rPr>
          <w:rFonts w:ascii="Arial" w:hAnsi="Arial" w:cs="Arial"/>
          <w:lang w:val="en-US"/>
        </w:rPr>
        <w:t xml:space="preserve"> however</w:t>
      </w:r>
      <w:r>
        <w:rPr>
          <w:rFonts w:ascii="Arial" w:hAnsi="Arial" w:cs="Arial"/>
          <w:lang w:val="en-US"/>
        </w:rPr>
        <w:t>,</w:t>
      </w:r>
      <w:r w:rsidRPr="00340005">
        <w:rPr>
          <w:rFonts w:ascii="Arial" w:hAnsi="Arial" w:cs="Arial"/>
          <w:lang w:val="en-US"/>
        </w:rPr>
        <w:t xml:space="preserve"> only very limited information available regarding the application of the RCB provisions by SIs.</w:t>
      </w:r>
    </w:p>
    <w:permEnd w:id="1420844914"/>
    <w:p w14:paraId="41AE0083" w14:textId="77777777" w:rsidR="00010773" w:rsidRDefault="00010773" w:rsidP="00010773">
      <w:pPr>
        <w:rPr>
          <w:rFonts w:ascii="Arial" w:hAnsi="Arial" w:cs="Arial"/>
        </w:rPr>
      </w:pPr>
      <w:r>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lastRenderedPageBreak/>
        <w:t>&lt;ESMA_QUESTION_MDA_6&gt;</w:t>
      </w:r>
    </w:p>
    <w:p w14:paraId="72FE3FC0" w14:textId="77777777" w:rsidR="001A7222" w:rsidRDefault="001A7222" w:rsidP="001A7222">
      <w:pPr>
        <w:spacing w:line="276" w:lineRule="auto"/>
        <w:rPr>
          <w:rFonts w:ascii="Arial" w:hAnsi="Arial" w:cs="Arial"/>
          <w:lang w:val="en-US"/>
        </w:rPr>
      </w:pPr>
      <w:permStart w:id="1800023565" w:edGrp="everyone"/>
      <w:r>
        <w:rPr>
          <w:rFonts w:ascii="Arial" w:hAnsi="Arial" w:cs="Arial"/>
          <w:lang w:val="en-US"/>
        </w:rPr>
        <w:t>Börse Stuttgart</w:t>
      </w:r>
      <w:r w:rsidRPr="006A461F">
        <w:rPr>
          <w:rFonts w:ascii="Arial" w:hAnsi="Arial" w:cs="Arial"/>
          <w:lang w:val="en-US"/>
        </w:rPr>
        <w:t xml:space="preserve"> believes that the quality of the RCB information disclosed by </w:t>
      </w:r>
      <w:r>
        <w:rPr>
          <w:rFonts w:ascii="Arial" w:hAnsi="Arial" w:cs="Arial"/>
          <w:lang w:val="en-US"/>
        </w:rPr>
        <w:t>e</w:t>
      </w:r>
      <w:r w:rsidRPr="006A461F">
        <w:rPr>
          <w:rFonts w:ascii="Arial" w:hAnsi="Arial" w:cs="Arial"/>
          <w:lang w:val="en-US"/>
        </w:rPr>
        <w:t>xchanges is good and has further improved since the introduction of MiFID II/</w:t>
      </w:r>
      <w:proofErr w:type="spellStart"/>
      <w:r w:rsidRPr="006A461F">
        <w:rPr>
          <w:rFonts w:ascii="Arial" w:hAnsi="Arial" w:cs="Arial"/>
          <w:lang w:val="en-US"/>
        </w:rPr>
        <w:t>MiFIR</w:t>
      </w:r>
      <w:proofErr w:type="spellEnd"/>
      <w:r w:rsidRPr="006A461F">
        <w:rPr>
          <w:rFonts w:ascii="Arial" w:hAnsi="Arial" w:cs="Arial"/>
          <w:lang w:val="en-US"/>
        </w:rPr>
        <w:t>.</w:t>
      </w:r>
      <w:r>
        <w:rPr>
          <w:rFonts w:ascii="Arial" w:hAnsi="Arial" w:cs="Arial"/>
          <w:lang w:val="en-US"/>
        </w:rPr>
        <w:t xml:space="preserve"> </w:t>
      </w:r>
      <w:r w:rsidRPr="006A461F">
        <w:rPr>
          <w:rFonts w:ascii="Arial" w:hAnsi="Arial" w:cs="Arial"/>
          <w:lang w:val="en-US"/>
        </w:rPr>
        <w:t xml:space="preserve">Best practices are still emerging and therefore </w:t>
      </w:r>
      <w:r>
        <w:rPr>
          <w:rFonts w:ascii="Arial" w:hAnsi="Arial" w:cs="Arial"/>
          <w:lang w:val="en-US"/>
        </w:rPr>
        <w:t>we</w:t>
      </w:r>
      <w:r w:rsidRPr="006A461F">
        <w:rPr>
          <w:rFonts w:ascii="Arial" w:hAnsi="Arial" w:cs="Arial"/>
          <w:lang w:val="en-US"/>
        </w:rPr>
        <w:t xml:space="preserve"> believe that issuing any further guidance would be premature.</w:t>
      </w:r>
    </w:p>
    <w:permEnd w:id="1800023565"/>
    <w:p w14:paraId="08CAFF84" w14:textId="64E9A8D1" w:rsidR="00010773" w:rsidRDefault="00010773" w:rsidP="00010773">
      <w:pPr>
        <w:rPr>
          <w:rFonts w:ascii="Arial" w:hAnsi="Arial" w:cs="Arial"/>
        </w:rPr>
      </w:pPr>
      <w:proofErr w:type="gramStart"/>
      <w:r>
        <w:rPr>
          <w:rFonts w:ascii="Arial" w:hAnsi="Arial" w:cs="Arial"/>
        </w:rPr>
        <w:t>&lt;</w:t>
      </w:r>
      <w:proofErr w:type="gramEnd"/>
      <w:r>
        <w:rPr>
          <w:rFonts w:ascii="Arial" w:hAnsi="Arial" w:cs="Arial"/>
        </w:rPr>
        <w: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05DD4671" w14:textId="6F86CB51" w:rsidR="00010773" w:rsidRDefault="001A7222" w:rsidP="001A7222">
      <w:pPr>
        <w:spacing w:line="276" w:lineRule="auto"/>
        <w:rPr>
          <w:rFonts w:ascii="Arial" w:hAnsi="Arial" w:cs="Arial"/>
        </w:rPr>
      </w:pPr>
      <w:permStart w:id="322978443" w:edGrp="everyone"/>
      <w:r w:rsidRPr="00340005">
        <w:rPr>
          <w:rFonts w:ascii="Arial" w:hAnsi="Arial" w:cs="Arial"/>
          <w:lang w:val="en-US"/>
        </w:rPr>
        <w:t>Börse Stuttgart belie</w:t>
      </w:r>
      <w:r>
        <w:rPr>
          <w:rFonts w:ascii="Arial" w:hAnsi="Arial" w:cs="Arial"/>
          <w:lang w:val="en-US"/>
        </w:rPr>
        <w:t>ve</w:t>
      </w:r>
      <w:r w:rsidRPr="00340005">
        <w:rPr>
          <w:rFonts w:ascii="Arial" w:hAnsi="Arial" w:cs="Arial"/>
          <w:lang w:val="en-US"/>
        </w:rPr>
        <w:t xml:space="preserve">s that </w:t>
      </w:r>
      <w:r>
        <w:rPr>
          <w:rFonts w:ascii="Arial" w:hAnsi="Arial" w:cs="Arial"/>
          <w:lang w:val="en-US"/>
        </w:rPr>
        <w:t xml:space="preserve">limited comparability is a </w:t>
      </w:r>
      <w:r w:rsidRPr="00340005">
        <w:rPr>
          <w:rFonts w:ascii="Arial" w:hAnsi="Arial" w:cs="Arial"/>
          <w:lang w:val="en-US"/>
        </w:rPr>
        <w:t>direct consequence of fragmentation of capital markets in Europe, which is, in itself,</w:t>
      </w:r>
      <w:r>
        <w:rPr>
          <w:rFonts w:ascii="Arial" w:hAnsi="Arial" w:cs="Arial"/>
          <w:lang w:val="en-US"/>
        </w:rPr>
        <w:t xml:space="preserve"> also</w:t>
      </w:r>
      <w:r w:rsidRPr="00340005">
        <w:rPr>
          <w:rFonts w:ascii="Arial" w:hAnsi="Arial" w:cs="Arial"/>
          <w:lang w:val="en-US"/>
        </w:rPr>
        <w:t xml:space="preserve"> a consequence of </w:t>
      </w:r>
      <w:r>
        <w:rPr>
          <w:rFonts w:ascii="Arial" w:hAnsi="Arial" w:cs="Arial"/>
          <w:lang w:val="en-US"/>
        </w:rPr>
        <w:t xml:space="preserve">MiFID I and </w:t>
      </w:r>
      <w:r w:rsidRPr="00340005">
        <w:rPr>
          <w:rFonts w:ascii="Arial" w:hAnsi="Arial" w:cs="Arial"/>
          <w:lang w:val="en-US"/>
        </w:rPr>
        <w:t>MiFID II/</w:t>
      </w:r>
      <w:proofErr w:type="spellStart"/>
      <w:r w:rsidRPr="00340005">
        <w:rPr>
          <w:rFonts w:ascii="Arial" w:hAnsi="Arial" w:cs="Arial"/>
          <w:lang w:val="en-US"/>
        </w:rPr>
        <w:t>MiFIR</w:t>
      </w:r>
      <w:proofErr w:type="spellEnd"/>
      <w:r>
        <w:rPr>
          <w:rFonts w:ascii="Arial" w:hAnsi="Arial" w:cs="Arial"/>
          <w:lang w:val="en-US"/>
        </w:rPr>
        <w:t xml:space="preserve"> </w:t>
      </w:r>
      <w:r w:rsidRPr="00DF4B04">
        <w:rPr>
          <w:rFonts w:ascii="Arial" w:hAnsi="Arial" w:cs="Arial"/>
          <w:lang w:val="en-US"/>
        </w:rPr>
        <w:t>which has allowed for a further diversified of the relevant market players</w:t>
      </w:r>
      <w:r>
        <w:rPr>
          <w:rFonts w:ascii="Arial" w:hAnsi="Arial" w:cs="Arial"/>
          <w:lang w:val="en-US"/>
        </w:rPr>
        <w:t xml:space="preserve">. </w:t>
      </w:r>
      <w:r w:rsidRPr="00340005">
        <w:rPr>
          <w:rFonts w:ascii="Arial" w:hAnsi="Arial" w:cs="Arial"/>
          <w:lang w:val="en-US"/>
        </w:rPr>
        <w:t xml:space="preserve">In a competitive market, market data </w:t>
      </w:r>
      <w:r>
        <w:rPr>
          <w:rFonts w:ascii="Arial" w:hAnsi="Arial" w:cs="Arial"/>
          <w:lang w:val="en-US"/>
        </w:rPr>
        <w:t xml:space="preserve">products </w:t>
      </w:r>
      <w:r w:rsidRPr="00340005">
        <w:rPr>
          <w:rFonts w:ascii="Arial" w:hAnsi="Arial" w:cs="Arial"/>
          <w:lang w:val="en-US"/>
        </w:rPr>
        <w:t>may not necessarily be fully comparable</w:t>
      </w:r>
      <w:r>
        <w:rPr>
          <w:rFonts w:ascii="Arial" w:hAnsi="Arial" w:cs="Arial"/>
          <w:lang w:val="en-US"/>
        </w:rPr>
        <w:t xml:space="preserve">. </w:t>
      </w:r>
      <w:r w:rsidRPr="006A461F">
        <w:rPr>
          <w:rFonts w:ascii="Arial" w:hAnsi="Arial" w:cs="Arial"/>
          <w:lang w:val="en-US"/>
        </w:rPr>
        <w:t xml:space="preserve">Best practices are still emerging and therefore </w:t>
      </w:r>
      <w:r>
        <w:rPr>
          <w:rFonts w:ascii="Arial" w:hAnsi="Arial" w:cs="Arial"/>
          <w:lang w:val="en-US"/>
        </w:rPr>
        <w:t>we</w:t>
      </w:r>
      <w:r w:rsidRPr="006A461F">
        <w:rPr>
          <w:rFonts w:ascii="Arial" w:hAnsi="Arial" w:cs="Arial"/>
          <w:lang w:val="en-US"/>
        </w:rPr>
        <w:t xml:space="preserve"> believe that issuing any further guidance would be premature.</w:t>
      </w:r>
    </w:p>
    <w:permEnd w:id="322978443"/>
    <w:p w14:paraId="14E42369" w14:textId="77777777" w:rsidR="00010773" w:rsidRDefault="00010773" w:rsidP="00010773">
      <w:pPr>
        <w:rPr>
          <w:rFonts w:ascii="Arial" w:hAnsi="Arial" w:cs="Arial"/>
        </w:rPr>
      </w:pPr>
      <w:r>
        <w:rPr>
          <w:rFonts w:ascii="Arial" w:hAnsi="Arial" w:cs="Arial"/>
        </w:rPr>
        <w:t>&lt;ESMA_QUESTION_MDA_7&gt;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t>&lt;ESMA_QUESTION_MDA_8&gt;</w:t>
      </w:r>
    </w:p>
    <w:p w14:paraId="73E01EE6" w14:textId="72583DB8" w:rsidR="00010773" w:rsidRDefault="001A7222" w:rsidP="001A7222">
      <w:pPr>
        <w:spacing w:line="276" w:lineRule="auto"/>
        <w:rPr>
          <w:rFonts w:ascii="Arial" w:hAnsi="Arial" w:cs="Arial"/>
        </w:rPr>
      </w:pPr>
      <w:permStart w:id="1461596204" w:edGrp="everyone"/>
      <w:r w:rsidRPr="001B3D09">
        <w:rPr>
          <w:rFonts w:ascii="Arial" w:hAnsi="Arial" w:cs="Arial"/>
          <w:lang w:val="en-US"/>
        </w:rPr>
        <w:t>Börse Stuttgart belie</w:t>
      </w:r>
      <w:r>
        <w:rPr>
          <w:rFonts w:ascii="Arial" w:hAnsi="Arial" w:cs="Arial"/>
          <w:lang w:val="en-US"/>
        </w:rPr>
        <w:t>ve</w:t>
      </w:r>
      <w:r w:rsidRPr="001B3D09">
        <w:rPr>
          <w:rFonts w:ascii="Arial" w:hAnsi="Arial" w:cs="Arial"/>
          <w:lang w:val="en-US"/>
        </w:rPr>
        <w:t>s that the RCB approach (transparency plus) is sufficient and should not be replaced.</w:t>
      </w:r>
      <w:r>
        <w:rPr>
          <w:rFonts w:ascii="Arial" w:hAnsi="Arial" w:cs="Arial"/>
          <w:lang w:val="en-US"/>
        </w:rPr>
        <w:t xml:space="preserve"> We think – as far as we can comment and observe – that the development of market data prices is consistent with the notion of what constitutes a reasonable commercial basis. The </w:t>
      </w:r>
      <w:r w:rsidRPr="005F689F">
        <w:rPr>
          <w:rFonts w:ascii="Arial" w:hAnsi="Arial" w:cs="Arial"/>
          <w:lang w:val="en-US"/>
        </w:rPr>
        <w:t>current legal framework already contains an ample selection of requirements</w:t>
      </w:r>
      <w:r>
        <w:rPr>
          <w:rFonts w:ascii="Arial" w:hAnsi="Arial" w:cs="Arial"/>
          <w:lang w:val="en-US"/>
        </w:rPr>
        <w:t xml:space="preserve"> </w:t>
      </w:r>
      <w:r w:rsidRPr="005F689F">
        <w:rPr>
          <w:rFonts w:ascii="Arial" w:hAnsi="Arial" w:cs="Arial"/>
          <w:lang w:val="en-US"/>
        </w:rPr>
        <w:t>to ensure that prices are transparent, reasonable, commercial and non-discriminatory</w:t>
      </w:r>
      <w:r>
        <w:rPr>
          <w:rFonts w:ascii="Arial" w:hAnsi="Arial" w:cs="Arial"/>
          <w:lang w:val="en-US"/>
        </w:rPr>
        <w:t>.</w:t>
      </w:r>
    </w:p>
    <w:permEnd w:id="1461596204"/>
    <w:p w14:paraId="780E4268" w14:textId="77777777" w:rsidR="00010773" w:rsidRDefault="00010773" w:rsidP="00010773">
      <w:pPr>
        <w:rPr>
          <w:rFonts w:ascii="Arial" w:hAnsi="Arial" w:cs="Arial"/>
        </w:rPr>
      </w:pPr>
      <w:r>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3693E0B2" w14:textId="533B655B" w:rsidR="00010773" w:rsidRDefault="001A7222" w:rsidP="001A7222">
      <w:pPr>
        <w:spacing w:line="276" w:lineRule="auto"/>
        <w:rPr>
          <w:rFonts w:ascii="Arial" w:hAnsi="Arial" w:cs="Arial"/>
        </w:rPr>
      </w:pPr>
      <w:permStart w:id="1428574078" w:edGrp="everyone"/>
      <w:r>
        <w:rPr>
          <w:rFonts w:ascii="Arial" w:hAnsi="Arial" w:cs="Arial"/>
          <w:lang w:val="en-US"/>
        </w:rPr>
        <w:t>Börse Stuttgart</w:t>
      </w:r>
      <w:r w:rsidRPr="001B3D09">
        <w:rPr>
          <w:rFonts w:ascii="Arial" w:hAnsi="Arial" w:cs="Arial"/>
          <w:lang w:val="en-US"/>
        </w:rPr>
        <w:t xml:space="preserve"> encourage</w:t>
      </w:r>
      <w:r>
        <w:rPr>
          <w:rFonts w:ascii="Arial" w:hAnsi="Arial" w:cs="Arial"/>
          <w:lang w:val="en-US"/>
        </w:rPr>
        <w:t>s</w:t>
      </w:r>
      <w:r w:rsidRPr="001B3D09">
        <w:rPr>
          <w:rFonts w:ascii="Arial" w:hAnsi="Arial" w:cs="Arial"/>
          <w:lang w:val="en-US"/>
        </w:rPr>
        <w:t xml:space="preserve"> ESMA to reject more intrusive approaches such as implementing a revenue share limitation or limiting market data charges by reference to costs, such as a LRIC+ or revenue cap model. </w:t>
      </w:r>
      <w:r>
        <w:rPr>
          <w:rFonts w:ascii="Arial" w:hAnsi="Arial" w:cs="Arial"/>
          <w:lang w:val="en-US"/>
        </w:rPr>
        <w:t>We</w:t>
      </w:r>
      <w:r w:rsidRPr="001B3D09">
        <w:rPr>
          <w:rFonts w:ascii="Arial" w:hAnsi="Arial" w:cs="Arial"/>
          <w:lang w:val="en-US"/>
        </w:rPr>
        <w:t xml:space="preserve"> call for the current RCB approach to be maintained. The current approach is more </w:t>
      </w:r>
      <w:r>
        <w:rPr>
          <w:rFonts w:ascii="Arial" w:hAnsi="Arial" w:cs="Arial"/>
          <w:lang w:val="en-US"/>
        </w:rPr>
        <w:t>proportionate</w:t>
      </w:r>
      <w:r w:rsidRPr="001B3D09">
        <w:rPr>
          <w:rFonts w:ascii="Arial" w:hAnsi="Arial" w:cs="Arial"/>
          <w:lang w:val="en-US"/>
        </w:rPr>
        <w:t xml:space="preserve"> </w:t>
      </w:r>
      <w:r w:rsidRPr="001B3D09">
        <w:rPr>
          <w:rFonts w:ascii="Arial" w:hAnsi="Arial" w:cs="Arial"/>
          <w:lang w:val="en-US"/>
        </w:rPr>
        <w:t>and feasible and best suited to the reality and complexity of the market data environment, value chain and entire financial markets.</w:t>
      </w:r>
      <w:r>
        <w:rPr>
          <w:rFonts w:ascii="Arial" w:hAnsi="Arial" w:cs="Arial"/>
          <w:lang w:val="en-US"/>
        </w:rPr>
        <w:t xml:space="preserve"> We believe that a revenue cap model </w:t>
      </w:r>
      <w:r w:rsidRPr="00372CC0">
        <w:rPr>
          <w:rFonts w:ascii="Arial" w:hAnsi="Arial" w:cs="Arial"/>
          <w:lang w:val="en-US"/>
        </w:rPr>
        <w:t xml:space="preserve">or other </w:t>
      </w:r>
      <w:r w:rsidRPr="00372CC0">
        <w:rPr>
          <w:rFonts w:ascii="Arial" w:hAnsi="Arial" w:cs="Arial"/>
          <w:lang w:val="en-US"/>
        </w:rPr>
        <w:lastRenderedPageBreak/>
        <w:t xml:space="preserve">forms of price control </w:t>
      </w:r>
      <w:r>
        <w:rPr>
          <w:rFonts w:ascii="Arial" w:hAnsi="Arial" w:cs="Arial"/>
          <w:lang w:val="en-US"/>
        </w:rPr>
        <w:t xml:space="preserve">would be disproportionate and unjustified. Moreover, it is important to recognize that exchanges </w:t>
      </w:r>
      <w:r w:rsidRPr="00FA5C0A">
        <w:rPr>
          <w:rFonts w:ascii="Arial" w:hAnsi="Arial" w:cs="Arial"/>
          <w:lang w:val="en-US"/>
        </w:rPr>
        <w:t>are often not “the last mile” of data distribution. Data redistributors and intermediaries play an important role in the value chain of market data, thus reinforcing the necessity of a holistic approach.</w:t>
      </w:r>
      <w:r>
        <w:rPr>
          <w:rFonts w:ascii="Arial" w:hAnsi="Arial" w:cs="Arial"/>
          <w:lang w:val="en-US"/>
        </w:rPr>
        <w:t xml:space="preserve"> Lastly, it is paramount that </w:t>
      </w:r>
      <w:r w:rsidRPr="005F689F">
        <w:rPr>
          <w:rFonts w:ascii="Arial" w:hAnsi="Arial" w:cs="Arial"/>
          <w:lang w:val="en-US"/>
        </w:rPr>
        <w:t xml:space="preserve">policymakers and the market as a whole do not overlook the activities undertaken by </w:t>
      </w:r>
      <w:r>
        <w:rPr>
          <w:rFonts w:ascii="Arial" w:hAnsi="Arial" w:cs="Arial"/>
          <w:lang w:val="en-US"/>
        </w:rPr>
        <w:t>e</w:t>
      </w:r>
      <w:r w:rsidRPr="005F689F">
        <w:rPr>
          <w:rFonts w:ascii="Arial" w:hAnsi="Arial" w:cs="Arial"/>
          <w:lang w:val="en-US"/>
        </w:rPr>
        <w:t xml:space="preserve">xchanges </w:t>
      </w:r>
      <w:r>
        <w:rPr>
          <w:rFonts w:ascii="Arial" w:hAnsi="Arial" w:cs="Arial"/>
          <w:lang w:val="en-US"/>
        </w:rPr>
        <w:t xml:space="preserve">to </w:t>
      </w:r>
      <w:r w:rsidRPr="005F689F">
        <w:rPr>
          <w:rFonts w:ascii="Arial" w:hAnsi="Arial" w:cs="Arial"/>
          <w:lang w:val="en-US"/>
        </w:rPr>
        <w:t>contribute to a reliable price formation process.</w:t>
      </w:r>
    </w:p>
    <w:permEnd w:id="1428574078"/>
    <w:p w14:paraId="621FD3C5" w14:textId="77777777" w:rsidR="00010773" w:rsidRDefault="00010773" w:rsidP="00010773">
      <w:pPr>
        <w:rPr>
          <w:rFonts w:ascii="Arial" w:hAnsi="Arial" w:cs="Arial"/>
        </w:rPr>
      </w:pPr>
      <w:r>
        <w:rPr>
          <w:rFonts w:ascii="Arial" w:hAnsi="Arial" w:cs="Arial"/>
        </w:rPr>
        <w:t>&lt;ESMA_QUESTION_MDA_9&gt;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p w14:paraId="41ADF2A3" w14:textId="61127370" w:rsidR="00010773" w:rsidRDefault="001A7222" w:rsidP="001A7222">
      <w:pPr>
        <w:spacing w:line="276" w:lineRule="auto"/>
        <w:rPr>
          <w:rFonts w:ascii="Arial" w:hAnsi="Arial" w:cs="Arial"/>
        </w:rPr>
      </w:pPr>
      <w:permStart w:id="1559906194" w:edGrp="everyone"/>
      <w:r w:rsidRPr="00A84863">
        <w:rPr>
          <w:rFonts w:ascii="Arial" w:hAnsi="Arial" w:cs="Arial"/>
          <w:lang w:val="en-US"/>
        </w:rPr>
        <w:t xml:space="preserve">Börse Stuttgart has registered very little demand for disaggregated market data. </w:t>
      </w:r>
      <w:r>
        <w:rPr>
          <w:rFonts w:ascii="Arial" w:hAnsi="Arial" w:cs="Arial"/>
          <w:lang w:val="en-US"/>
        </w:rPr>
        <w:t>We witness some appetite for disaggregated pre- and post-trade using non-display licenses. W</w:t>
      </w:r>
      <w:r w:rsidRPr="00A84863">
        <w:rPr>
          <w:rFonts w:ascii="Arial" w:hAnsi="Arial" w:cs="Arial"/>
          <w:lang w:val="en-US"/>
        </w:rPr>
        <w:t xml:space="preserve">hile trading venues have borne the costs of implementing these requirements, it is important to note that the benefits will not necessarily flow to end users unless all key participants in the value chain, </w:t>
      </w:r>
      <w:r>
        <w:rPr>
          <w:rFonts w:ascii="Arial" w:hAnsi="Arial" w:cs="Arial"/>
          <w:lang w:val="en-US"/>
        </w:rPr>
        <w:t xml:space="preserve">i.e. </w:t>
      </w:r>
      <w:r w:rsidRPr="00FA02D2">
        <w:rPr>
          <w:rFonts w:ascii="Arial" w:hAnsi="Arial" w:cs="Arial"/>
          <w:lang w:val="en-US"/>
        </w:rPr>
        <w:t>data redistributors and intermediaries</w:t>
      </w:r>
      <w:r w:rsidRPr="00A84863">
        <w:rPr>
          <w:rFonts w:ascii="Arial" w:hAnsi="Arial" w:cs="Arial"/>
          <w:lang w:val="en-US"/>
        </w:rPr>
        <w:t>, adapt their infrastructure and pricing models to support disaggregation.</w:t>
      </w:r>
    </w:p>
    <w:permEnd w:id="1559906194"/>
    <w:p w14:paraId="494229DC" w14:textId="77777777" w:rsidR="00010773" w:rsidRDefault="00010773" w:rsidP="00010773">
      <w:pPr>
        <w:rPr>
          <w:rFonts w:ascii="Arial" w:hAnsi="Arial" w:cs="Arial"/>
        </w:rPr>
      </w:pPr>
      <w:r>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t>&lt;ESMA_QUESTION_MDA_11&gt;</w:t>
      </w:r>
    </w:p>
    <w:p w14:paraId="0D8A39B5" w14:textId="7D46D487" w:rsidR="00010773" w:rsidRDefault="001A7222" w:rsidP="001A7222">
      <w:pPr>
        <w:spacing w:line="276" w:lineRule="auto"/>
        <w:rPr>
          <w:rFonts w:ascii="Arial" w:hAnsi="Arial" w:cs="Arial"/>
        </w:rPr>
      </w:pPr>
      <w:permStart w:id="922756409" w:edGrp="everyone"/>
      <w:r w:rsidRPr="00A84863">
        <w:rPr>
          <w:rFonts w:ascii="Arial" w:hAnsi="Arial" w:cs="Arial"/>
          <w:lang w:val="en-US"/>
        </w:rPr>
        <w:t xml:space="preserve">Börse Stuttgart has registered very little demand for disaggregated market data. </w:t>
      </w:r>
      <w:r>
        <w:rPr>
          <w:rFonts w:ascii="Arial" w:hAnsi="Arial" w:cs="Arial"/>
          <w:lang w:val="en-US"/>
        </w:rPr>
        <w:t>We witness some appetite for disaggregated pre- and post-trade using non-display licenses. W</w:t>
      </w:r>
      <w:r w:rsidRPr="00A84863">
        <w:rPr>
          <w:rFonts w:ascii="Arial" w:hAnsi="Arial" w:cs="Arial"/>
          <w:lang w:val="en-US"/>
        </w:rPr>
        <w:t xml:space="preserve">hile trading venues have borne the costs of implementing these requirements, it is important to note that the benefits will not necessarily flow to end users unless all key participants in the value chain, </w:t>
      </w:r>
      <w:r>
        <w:rPr>
          <w:rFonts w:ascii="Arial" w:hAnsi="Arial" w:cs="Arial"/>
          <w:lang w:val="en-US"/>
        </w:rPr>
        <w:t xml:space="preserve">i.e. </w:t>
      </w:r>
      <w:r w:rsidRPr="00FA02D2">
        <w:rPr>
          <w:rFonts w:ascii="Arial" w:hAnsi="Arial" w:cs="Arial"/>
          <w:lang w:val="en-US"/>
        </w:rPr>
        <w:t>data redistributors and intermediaries</w:t>
      </w:r>
      <w:r w:rsidRPr="00A84863">
        <w:rPr>
          <w:rFonts w:ascii="Arial" w:hAnsi="Arial" w:cs="Arial"/>
          <w:lang w:val="en-US"/>
        </w:rPr>
        <w:t>, adapt their infrastructure and pricing models to support disaggregation.</w:t>
      </w:r>
    </w:p>
    <w:permEnd w:id="922756409"/>
    <w:p w14:paraId="0AD48FF3" w14:textId="77777777" w:rsidR="00010773" w:rsidRDefault="00010773" w:rsidP="00010773">
      <w:pPr>
        <w:rPr>
          <w:rFonts w:ascii="Arial" w:hAnsi="Arial" w:cs="Arial"/>
        </w:rPr>
      </w:pPr>
      <w:r>
        <w:rPr>
          <w:rFonts w:ascii="Arial" w:hAnsi="Arial" w:cs="Arial"/>
        </w:rPr>
        <w:t>&lt;ESMA_QUESTION_MDA_11&gt;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t>&lt;ESMA_QUESTION_MDA_12&gt;</w:t>
      </w:r>
    </w:p>
    <w:p w14:paraId="523DEADF" w14:textId="36AB8DF2" w:rsidR="00010773" w:rsidRDefault="001A7222" w:rsidP="001A7222">
      <w:pPr>
        <w:spacing w:line="276" w:lineRule="auto"/>
        <w:rPr>
          <w:rFonts w:ascii="Arial" w:hAnsi="Arial" w:cs="Arial"/>
        </w:rPr>
      </w:pPr>
      <w:permStart w:id="959788813" w:edGrp="everyone"/>
      <w:r>
        <w:rPr>
          <w:rFonts w:ascii="Arial" w:hAnsi="Arial" w:cs="Arial"/>
          <w:lang w:val="en-US"/>
        </w:rPr>
        <w:t>Börse Stuttgart sees</w:t>
      </w:r>
      <w:r w:rsidRPr="006E7B55">
        <w:rPr>
          <w:rFonts w:ascii="Arial" w:hAnsi="Arial" w:cs="Arial"/>
          <w:lang w:val="en-US"/>
        </w:rPr>
        <w:t xml:space="preserve"> significant efforts to comply with the requirement to make data available free of charge 15 minutes after publication</w:t>
      </w:r>
      <w:r>
        <w:rPr>
          <w:rFonts w:ascii="Arial" w:hAnsi="Arial" w:cs="Arial"/>
          <w:lang w:val="en-US"/>
        </w:rPr>
        <w:t xml:space="preserve"> across trading venues and APAs</w:t>
      </w:r>
      <w:r w:rsidRPr="006E7B55">
        <w:rPr>
          <w:rFonts w:ascii="Arial" w:hAnsi="Arial" w:cs="Arial"/>
          <w:lang w:val="en-US"/>
        </w:rPr>
        <w:t>. Börse Stuttgart</w:t>
      </w:r>
      <w:r>
        <w:rPr>
          <w:rFonts w:ascii="Arial" w:hAnsi="Arial" w:cs="Arial"/>
          <w:lang w:val="en-US"/>
        </w:rPr>
        <w:t xml:space="preserve">, itself, </w:t>
      </w:r>
      <w:r w:rsidRPr="006E7B55">
        <w:rPr>
          <w:rFonts w:ascii="Arial" w:hAnsi="Arial" w:cs="Arial"/>
          <w:lang w:val="en-US"/>
        </w:rPr>
        <w:t xml:space="preserve">makes available market data free of charge </w:t>
      </w:r>
      <w:r>
        <w:rPr>
          <w:rFonts w:ascii="Arial" w:hAnsi="Arial" w:cs="Arial"/>
          <w:lang w:val="en-US"/>
        </w:rPr>
        <w:t>via interface and on its website in line with</w:t>
      </w:r>
      <w:r w:rsidRPr="006A461F">
        <w:rPr>
          <w:rFonts w:ascii="Arial" w:hAnsi="Arial" w:cs="Arial"/>
          <w:lang w:val="en-US"/>
        </w:rPr>
        <w:t xml:space="preserve"> </w:t>
      </w:r>
      <w:r>
        <w:rPr>
          <w:rFonts w:ascii="Arial" w:hAnsi="Arial" w:cs="Arial"/>
          <w:lang w:val="en-US"/>
        </w:rPr>
        <w:t xml:space="preserve">the </w:t>
      </w:r>
      <w:proofErr w:type="spellStart"/>
      <w:r w:rsidRPr="006A461F">
        <w:rPr>
          <w:rFonts w:ascii="Arial" w:hAnsi="Arial" w:cs="Arial"/>
          <w:lang w:val="en-US"/>
        </w:rPr>
        <w:t>MiFIR</w:t>
      </w:r>
      <w:proofErr w:type="spellEnd"/>
      <w:r>
        <w:rPr>
          <w:rFonts w:ascii="Arial" w:hAnsi="Arial" w:cs="Arial"/>
          <w:lang w:val="en-US"/>
        </w:rPr>
        <w:t xml:space="preserve"> requirements.</w:t>
      </w:r>
    </w:p>
    <w:permEnd w:id="959788813"/>
    <w:p w14:paraId="2C685324" w14:textId="77777777" w:rsidR="00010773" w:rsidRDefault="00010773" w:rsidP="00010773">
      <w:pPr>
        <w:rPr>
          <w:rFonts w:ascii="Arial" w:hAnsi="Arial" w:cs="Arial"/>
        </w:rPr>
      </w:pPr>
      <w:r>
        <w:rPr>
          <w:rFonts w:ascii="Arial" w:hAnsi="Arial" w:cs="Arial"/>
        </w:rPr>
        <w:t>&lt;ESMA_QUESTION_MDA_12&gt;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t xml:space="preserve">: </w:t>
      </w:r>
      <w:r w:rsidRPr="002565E7">
        <w:t xml:space="preserve">Do you </w:t>
      </w:r>
      <w:r>
        <w:t xml:space="preserve">consider it necessary to provide further supervisory guidance in this area (for instance by reviewing Q&amp;As 9 and/or 10) Please justify your position and </w:t>
      </w:r>
      <w:r>
        <w:lastRenderedPageBreak/>
        <w:t xml:space="preserve">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4D41D530" w14:textId="77777777" w:rsidR="00010773" w:rsidRDefault="00010773" w:rsidP="00010773">
      <w:pPr>
        <w:rPr>
          <w:rFonts w:ascii="Arial" w:hAnsi="Arial" w:cs="Arial"/>
        </w:rPr>
      </w:pPr>
      <w:permStart w:id="2118808857" w:edGrp="everyone"/>
      <w:r>
        <w:rPr>
          <w:rFonts w:ascii="Arial" w:hAnsi="Arial" w:cs="Arial"/>
        </w:rPr>
        <w:t>TYPE YOUR TEXT HERE</w:t>
      </w:r>
    </w:p>
    <w:permEnd w:id="2118808857"/>
    <w:p w14:paraId="719C817B" w14:textId="77777777" w:rsidR="00010773" w:rsidRDefault="00010773" w:rsidP="00010773">
      <w:pPr>
        <w:rPr>
          <w:rFonts w:ascii="Arial" w:hAnsi="Arial" w:cs="Arial"/>
        </w:rPr>
      </w:pPr>
      <w:r>
        <w:rPr>
          <w:rFonts w:ascii="Arial" w:hAnsi="Arial" w:cs="Arial"/>
        </w:rPr>
        <w:t>&lt;ESMA_QUESTION_MDA_13&gt;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t>&lt;ESMA_QUESTION_MDA_14&gt;</w:t>
      </w:r>
    </w:p>
    <w:p w14:paraId="40978D9F" w14:textId="782164CB" w:rsidR="001A7222" w:rsidRDefault="001A7222" w:rsidP="001A7222">
      <w:pPr>
        <w:spacing w:line="276" w:lineRule="auto"/>
        <w:rPr>
          <w:rFonts w:ascii="Arial" w:hAnsi="Arial" w:cs="Arial"/>
          <w:lang w:val="en-US"/>
        </w:rPr>
      </w:pPr>
      <w:permStart w:id="1826112031" w:edGrp="everyone"/>
      <w:r w:rsidRPr="00047CE2">
        <w:rPr>
          <w:rFonts w:ascii="Arial" w:hAnsi="Arial" w:cs="Arial"/>
          <w:lang w:val="en-US"/>
        </w:rPr>
        <w:t xml:space="preserve">Börse Stuttgart believes that the discussion should not focus on the question why an equity CT has not yet emerged. It should rather address the intended objectives, its purpose and the role of a CT within the European market structure framework. Two fundamental issues need to be taken into account: Firstly, the specificities of the European market do not allow to simply replicate third country CT models. Secondly, </w:t>
      </w:r>
      <w:r w:rsidRPr="003A3CE0">
        <w:rPr>
          <w:rFonts w:ascii="Arial" w:hAnsi="Arial" w:cs="Arial"/>
          <w:lang w:val="en-US"/>
        </w:rPr>
        <w:t>one may legitimately question the pertinence and relevance of an EU27 CT</w:t>
      </w:r>
      <w:r>
        <w:rPr>
          <w:rFonts w:ascii="Arial" w:hAnsi="Arial" w:cs="Arial"/>
          <w:lang w:val="en-US"/>
        </w:rPr>
        <w:t xml:space="preserve"> post </w:t>
      </w:r>
      <w:proofErr w:type="spellStart"/>
      <w:r>
        <w:rPr>
          <w:rFonts w:ascii="Arial" w:hAnsi="Arial" w:cs="Arial"/>
          <w:lang w:val="en-US"/>
        </w:rPr>
        <w:t>Brexit</w:t>
      </w:r>
      <w:proofErr w:type="spellEnd"/>
      <w:r w:rsidRPr="00047CE2">
        <w:rPr>
          <w:rFonts w:ascii="Arial" w:hAnsi="Arial" w:cs="Arial"/>
          <w:lang w:val="en-US"/>
        </w:rPr>
        <w:t xml:space="preserve">. </w:t>
      </w:r>
    </w:p>
    <w:p w14:paraId="3424B370" w14:textId="77777777" w:rsidR="001A7222" w:rsidRPr="00047CE2" w:rsidRDefault="001A7222" w:rsidP="001A7222">
      <w:pPr>
        <w:spacing w:line="276" w:lineRule="auto"/>
        <w:rPr>
          <w:rFonts w:ascii="Arial" w:hAnsi="Arial" w:cs="Arial"/>
          <w:lang w:val="en-US"/>
        </w:rPr>
      </w:pPr>
    </w:p>
    <w:p w14:paraId="670DC4FA" w14:textId="1120E0E9" w:rsidR="00010773" w:rsidRDefault="001A7222" w:rsidP="001A7222">
      <w:pPr>
        <w:spacing w:line="276" w:lineRule="auto"/>
        <w:rPr>
          <w:rFonts w:ascii="Arial" w:hAnsi="Arial" w:cs="Arial"/>
        </w:rPr>
      </w:pPr>
      <w:r w:rsidRPr="00047CE2">
        <w:rPr>
          <w:rFonts w:ascii="Arial" w:hAnsi="Arial" w:cs="Arial"/>
          <w:lang w:val="en-US"/>
        </w:rPr>
        <w:t>Beyond these general starting points, three main issues need to be addressed when analyzing potential approaches on the CT: Firstly, the scope of a CT is critical. Börse Stuttgart believes that a CT will only be attractive if it shows overall liquidity – 100% coverage of transactions in the market (including SI and OTC transactions) – within the EU market at instrument level. Secondly, a CT should be based on good quality data. Without improving the completeness, consistency and quality of SI and OTC data, one cannot expect EU capital markets to benefit from a CT. Thirdly, assuming an adequate compensation to trading venues for the use of their data an end-of-day tape of record would represent a cost effective CT solution. We think that the cost of providing a real-time CT (i.e. cost of building, maintenance costs) and its inherent latency will not serve the purpose. Market participants – seeking to use real-time data for trading purposes – would still need to access market data via the lowest latency sources, preferably directly from trading venues or indirectly from data vendors.</w:t>
      </w:r>
    </w:p>
    <w:permEnd w:id="1826112031"/>
    <w:p w14:paraId="164A9D8A" w14:textId="77777777" w:rsidR="00010773" w:rsidRDefault="00010773" w:rsidP="00010773">
      <w:pPr>
        <w:rPr>
          <w:rFonts w:ascii="Arial" w:hAnsi="Arial" w:cs="Arial"/>
        </w:rPr>
      </w:pPr>
      <w:r>
        <w:rPr>
          <w:rFonts w:ascii="Arial" w:hAnsi="Arial" w:cs="Arial"/>
        </w:rPr>
        <w:t>&lt;ESMA_QUESTION_MDA_14&gt;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t>&lt;ESMA_QUESTION_MDA_15&gt;</w:t>
      </w:r>
    </w:p>
    <w:p w14:paraId="5D81EF0A" w14:textId="77777777" w:rsidR="001A7222" w:rsidRDefault="001A7222" w:rsidP="001A7222">
      <w:pPr>
        <w:spacing w:line="276" w:lineRule="auto"/>
        <w:rPr>
          <w:rFonts w:ascii="Arial" w:hAnsi="Arial" w:cs="Arial"/>
          <w:lang w:val="en-US"/>
        </w:rPr>
      </w:pPr>
      <w:permStart w:id="1355380769" w:edGrp="everyone"/>
      <w:r w:rsidRPr="00047CE2">
        <w:rPr>
          <w:rFonts w:ascii="Arial" w:hAnsi="Arial" w:cs="Arial"/>
          <w:lang w:val="en-US"/>
        </w:rPr>
        <w:t>Börse Stuttgart believes that quality, consistency and completeness of non-trading venue data (i.e. SI and OTC transactions) and is the main obstacle to establish an equity CT. Without improving the completeness, consistency and quality of SI and OTC data, one cannot expect EU capital markets to benefit from a CT.</w:t>
      </w:r>
    </w:p>
    <w:permEnd w:id="1355380769"/>
    <w:p w14:paraId="3241A667" w14:textId="2B119B5C" w:rsidR="00010773" w:rsidRDefault="00010773" w:rsidP="00010773">
      <w:pPr>
        <w:rPr>
          <w:rFonts w:ascii="Arial" w:hAnsi="Arial" w:cs="Arial"/>
        </w:rPr>
      </w:pPr>
      <w:r>
        <w:rPr>
          <w:rFonts w:ascii="Arial" w:hAnsi="Arial" w:cs="Arial"/>
        </w:rPr>
        <w:t>&lt;ESMA_QUESTION_MDA_15&gt;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lastRenderedPageBreak/>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635A164B" w14:textId="339F95AC" w:rsidR="001A7222" w:rsidRDefault="001A7222" w:rsidP="001A7222">
      <w:pPr>
        <w:spacing w:line="276" w:lineRule="auto"/>
        <w:rPr>
          <w:rFonts w:ascii="Arial" w:hAnsi="Arial" w:cs="Arial"/>
          <w:lang w:val="en-US"/>
        </w:rPr>
      </w:pPr>
      <w:permStart w:id="1610811230" w:edGrp="everyone"/>
      <w:r w:rsidRPr="00047CE2">
        <w:rPr>
          <w:rFonts w:ascii="Arial" w:hAnsi="Arial" w:cs="Arial"/>
          <w:lang w:val="en-US"/>
        </w:rPr>
        <w:t>As noted earlier, Börse Stuttgart believes that three main issues need to be addressed when analyzing potential approaches on the CT: Firstly, Börse Stuttgart believes that a CT will only be attractive if it shows overall liquidity – 100% coverage of transactions in the market (including SI and OTC transactions) – within the EU market at instrument level. Secondly, a CT should be based on good quality data. Without improving the completeness, consistency and quality of SI and OTC data, one cannot expect EU capital markets to benefit from a CT. Thirdly, assuming an adequate compensation to trading venues for the use of their data an end-of-day tape of record would represent a cost effective CT solution. We think that the cost of providing a real-time CT (i.e. cost of building, maintenance costs) and its inherent latency will not serve the purpose. Market participants – seeking to use real-time data for trading purposes – would still need to access market data via the lowest latency sources, preferably directly from trading venues or indirectly from data vendors.</w:t>
      </w:r>
    </w:p>
    <w:p w14:paraId="0C3DB018" w14:textId="77777777" w:rsidR="001A7222" w:rsidRPr="00047CE2" w:rsidRDefault="001A7222" w:rsidP="001A7222">
      <w:pPr>
        <w:spacing w:line="276" w:lineRule="auto"/>
        <w:rPr>
          <w:rFonts w:ascii="Arial" w:hAnsi="Arial" w:cs="Arial"/>
          <w:lang w:val="en-US"/>
        </w:rPr>
      </w:pPr>
    </w:p>
    <w:p w14:paraId="05245337" w14:textId="77777777" w:rsidR="001A7222" w:rsidRDefault="001A7222" w:rsidP="001A7222">
      <w:pPr>
        <w:spacing w:line="276" w:lineRule="auto"/>
        <w:rPr>
          <w:rFonts w:ascii="Arial" w:hAnsi="Arial" w:cs="Arial"/>
          <w:lang w:val="en-US"/>
        </w:rPr>
      </w:pPr>
      <w:r>
        <w:rPr>
          <w:rFonts w:ascii="Arial" w:hAnsi="Arial" w:cs="Arial"/>
          <w:lang w:val="en-US"/>
        </w:rPr>
        <w:t>A</w:t>
      </w:r>
      <w:r w:rsidRPr="00047CE2">
        <w:rPr>
          <w:rFonts w:ascii="Arial" w:hAnsi="Arial" w:cs="Arial"/>
          <w:lang w:val="en-US"/>
        </w:rPr>
        <w:t xml:space="preserve">n end-of-day tape would – based on enhanced data quality and consistency – deliver an exhaustive view of trade execution, covering Regulated Market, MTF, SI and OTC transactions. It would certainly involve cheaper technological infrastructure. This option would, however, require an amendment to MiFID II. Alongside this, provisions in </w:t>
      </w:r>
      <w:proofErr w:type="spellStart"/>
      <w:r w:rsidRPr="00047CE2">
        <w:rPr>
          <w:rFonts w:ascii="Arial" w:hAnsi="Arial" w:cs="Arial"/>
          <w:lang w:val="en-US"/>
        </w:rPr>
        <w:t>MiFIR</w:t>
      </w:r>
      <w:proofErr w:type="spellEnd"/>
      <w:r w:rsidRPr="00047CE2">
        <w:rPr>
          <w:rFonts w:ascii="Arial" w:hAnsi="Arial" w:cs="Arial"/>
          <w:lang w:val="en-US"/>
        </w:rPr>
        <w:t xml:space="preserve"> governing deferred publication </w:t>
      </w:r>
      <w:r>
        <w:rPr>
          <w:rFonts w:ascii="Arial" w:hAnsi="Arial" w:cs="Arial"/>
          <w:lang w:val="en-US"/>
        </w:rPr>
        <w:t>increase the challenges of consolidate all data sources in a synchronized and reliable way</w:t>
      </w:r>
      <w:r w:rsidRPr="00047CE2">
        <w:rPr>
          <w:rFonts w:ascii="Arial" w:hAnsi="Arial" w:cs="Arial"/>
          <w:lang w:val="en-US"/>
        </w:rPr>
        <w:t>.</w:t>
      </w:r>
    </w:p>
    <w:permEnd w:id="1610811230"/>
    <w:p w14:paraId="27126D11" w14:textId="65EB0B7B" w:rsidR="00010773" w:rsidRDefault="00010773" w:rsidP="00010773">
      <w:pPr>
        <w:rPr>
          <w:rFonts w:ascii="Arial" w:hAnsi="Arial" w:cs="Arial"/>
        </w:rPr>
      </w:pPr>
      <w:proofErr w:type="gramStart"/>
      <w:r>
        <w:rPr>
          <w:rFonts w:ascii="Arial" w:hAnsi="Arial" w:cs="Arial"/>
        </w:rPr>
        <w:t>&lt;</w:t>
      </w:r>
      <w:proofErr w:type="gramEnd"/>
      <w:r>
        <w:rPr>
          <w:rFonts w:ascii="Arial" w:hAnsi="Arial" w:cs="Arial"/>
        </w:rPr>
        <w: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775EA9AC" w14:textId="62D25F2A" w:rsidR="00010773" w:rsidRDefault="001A7222" w:rsidP="00010773">
      <w:pPr>
        <w:rPr>
          <w:rFonts w:ascii="Arial" w:hAnsi="Arial" w:cs="Arial"/>
        </w:rPr>
      </w:pPr>
      <w:permStart w:id="867970739" w:edGrp="everyone"/>
      <w:r w:rsidRPr="00047CE2">
        <w:rPr>
          <w:rFonts w:ascii="Arial" w:hAnsi="Arial" w:cs="Arial"/>
          <w:lang w:val="en-US"/>
        </w:rPr>
        <w:t>Yes, Börse Stuttgart agrees.</w:t>
      </w:r>
    </w:p>
    <w:permEnd w:id="867970739"/>
    <w:p w14:paraId="05A017E9" w14:textId="77777777" w:rsidR="00010773" w:rsidRDefault="00010773" w:rsidP="00010773">
      <w:pPr>
        <w:rPr>
          <w:rFonts w:ascii="Arial" w:hAnsi="Arial" w:cs="Arial"/>
        </w:rPr>
      </w:pPr>
      <w:r>
        <w:rPr>
          <w:rFonts w:ascii="Arial" w:hAnsi="Arial" w:cs="Arial"/>
        </w:rPr>
        <w:t>&lt;ESMA_QUESTION_MDA_17&gt;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251A002D" w14:textId="758E2B93" w:rsidR="00010773" w:rsidRDefault="001A7222" w:rsidP="001A7222">
      <w:pPr>
        <w:spacing w:line="276" w:lineRule="auto"/>
        <w:rPr>
          <w:rFonts w:ascii="Arial" w:hAnsi="Arial" w:cs="Arial"/>
        </w:rPr>
      </w:pPr>
      <w:permStart w:id="1366194646" w:edGrp="everyone"/>
      <w:r w:rsidRPr="00047CE2">
        <w:rPr>
          <w:rFonts w:ascii="Arial" w:hAnsi="Arial" w:cs="Arial"/>
          <w:lang w:val="en-US"/>
        </w:rPr>
        <w:t>Börse Stuttgart agrees that trading venue post-trade data is made available in a timely manner in line with the requirements set out in MiFID II/</w:t>
      </w:r>
      <w:proofErr w:type="spellStart"/>
      <w:r w:rsidRPr="00047CE2">
        <w:rPr>
          <w:rFonts w:ascii="Arial" w:hAnsi="Arial" w:cs="Arial"/>
          <w:lang w:val="en-US"/>
        </w:rPr>
        <w:t>MiFIR</w:t>
      </w:r>
      <w:proofErr w:type="spellEnd"/>
      <w:r w:rsidRPr="00047CE2">
        <w:rPr>
          <w:rFonts w:ascii="Arial" w:hAnsi="Arial" w:cs="Arial"/>
          <w:lang w:val="en-US"/>
        </w:rPr>
        <w:t xml:space="preserve"> and in the Level 2 provisions. This is not necessarily the case for SI and OTC transaction data, which creates major challenges for consolidating and having a full view of the entire market.</w:t>
      </w:r>
    </w:p>
    <w:permEnd w:id="1366194646"/>
    <w:p w14:paraId="71857F02" w14:textId="77777777" w:rsidR="00010773" w:rsidRDefault="00010773" w:rsidP="00010773">
      <w:pPr>
        <w:rPr>
          <w:rFonts w:ascii="Arial" w:hAnsi="Arial" w:cs="Arial"/>
        </w:rPr>
      </w:pPr>
      <w:r>
        <w:rPr>
          <w:rFonts w:ascii="Arial" w:hAnsi="Arial" w:cs="Arial"/>
        </w:rPr>
        <w:t>&lt;ESMA_QUESTION_MDA_18&gt;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lastRenderedPageBreak/>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t>&lt;ESMA_QUESTION_MDA_19&gt;</w:t>
      </w:r>
    </w:p>
    <w:p w14:paraId="561305AF" w14:textId="086B7A50" w:rsidR="00010773" w:rsidRDefault="001A7222" w:rsidP="001A7222">
      <w:pPr>
        <w:spacing w:line="276" w:lineRule="auto"/>
        <w:rPr>
          <w:rFonts w:ascii="Arial" w:hAnsi="Arial" w:cs="Arial"/>
        </w:rPr>
      </w:pPr>
      <w:permStart w:id="6962216" w:edGrp="everyone"/>
      <w:r w:rsidRPr="00047CE2">
        <w:rPr>
          <w:rFonts w:ascii="Arial" w:hAnsi="Arial" w:cs="Arial"/>
          <w:lang w:val="en-US"/>
        </w:rPr>
        <w:t>Börse Stuttgart agrees with the identified shortcomings on the quality of the content of market data, in particular for SI and OTC transactions in shares. We also agree with ESMA’s assessment that a first and indispensable step is to ensure a high degree of data quality and consistency across the industry. We do not agree with ESMA</w:t>
      </w:r>
      <w:r w:rsidR="00701D26">
        <w:rPr>
          <w:rFonts w:ascii="Arial" w:hAnsi="Arial" w:cs="Arial"/>
          <w:lang w:val="en-US"/>
        </w:rPr>
        <w:t>,</w:t>
      </w:r>
      <w:r w:rsidRPr="00047CE2">
        <w:rPr>
          <w:rFonts w:ascii="Arial" w:hAnsi="Arial" w:cs="Arial"/>
          <w:lang w:val="en-US"/>
        </w:rPr>
        <w:t xml:space="preserve"> however, that trading venues need to be further regulated as regards providing data in a machine-readable format, as data is already machine-readable in exchange feeds.</w:t>
      </w:r>
    </w:p>
    <w:permEnd w:id="6962216"/>
    <w:p w14:paraId="32CDE949" w14:textId="77777777" w:rsidR="00010773" w:rsidRDefault="00010773" w:rsidP="00010773">
      <w:pPr>
        <w:rPr>
          <w:rFonts w:ascii="Arial" w:hAnsi="Arial" w:cs="Arial"/>
        </w:rPr>
      </w:pPr>
      <w:r>
        <w:rPr>
          <w:rFonts w:ascii="Arial" w:hAnsi="Arial" w:cs="Arial"/>
        </w:rPr>
        <w:t>&lt;ESMA_QUESTION_MDA_19&gt;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t>&lt;ESMA_QUESTION_MDA_20&gt;</w:t>
      </w:r>
    </w:p>
    <w:p w14:paraId="52691E39" w14:textId="70625F47" w:rsidR="00010773" w:rsidRDefault="001A7222" w:rsidP="001A7222">
      <w:pPr>
        <w:spacing w:line="276" w:lineRule="auto"/>
        <w:rPr>
          <w:rFonts w:ascii="Arial" w:hAnsi="Arial" w:cs="Arial"/>
        </w:rPr>
      </w:pPr>
      <w:permStart w:id="971839347" w:edGrp="everyone"/>
      <w:r w:rsidRPr="00047CE2">
        <w:rPr>
          <w:rFonts w:ascii="Arial" w:hAnsi="Arial" w:cs="Arial"/>
          <w:lang w:val="en-US"/>
        </w:rPr>
        <w:t>As noted earlier, Börse Stuttgart believes that the pre-requisite to the development of a CT is to improve the completeness, consistency and quality of SI and OTC data. However, while improvements would deviate many of the obstacles, significant issues would remain in respect of consolidating data in a real-time data feed. In our view, there is a fundamental issue of latency in respect of a real-time CT. As ESMA itself highlights, there are currently 1</w:t>
      </w:r>
      <w:r>
        <w:rPr>
          <w:rFonts w:ascii="Arial" w:hAnsi="Arial" w:cs="Arial"/>
          <w:lang w:val="en-US"/>
        </w:rPr>
        <w:t>7</w:t>
      </w:r>
      <w:r w:rsidRPr="00047CE2">
        <w:rPr>
          <w:rFonts w:ascii="Arial" w:hAnsi="Arial" w:cs="Arial"/>
          <w:lang w:val="en-US"/>
        </w:rPr>
        <w:t>0 equity trading venues</w:t>
      </w:r>
      <w:r>
        <w:rPr>
          <w:rFonts w:ascii="Arial" w:hAnsi="Arial" w:cs="Arial"/>
          <w:lang w:val="en-US"/>
        </w:rPr>
        <w:t xml:space="preserve"> </w:t>
      </w:r>
      <w:r w:rsidRPr="00C45105">
        <w:rPr>
          <w:rFonts w:ascii="Arial" w:hAnsi="Arial" w:cs="Arial"/>
          <w:lang w:val="en-US"/>
        </w:rPr>
        <w:t>and APAs dealing with equity instruments in 28 different jurisdictions</w:t>
      </w:r>
      <w:r w:rsidRPr="00047CE2">
        <w:rPr>
          <w:rFonts w:ascii="Arial" w:hAnsi="Arial" w:cs="Arial"/>
          <w:lang w:val="en-US"/>
        </w:rPr>
        <w:t xml:space="preserve"> in Europe. Real-time aggregation of data from these </w:t>
      </w:r>
      <w:r>
        <w:rPr>
          <w:rFonts w:ascii="Arial" w:hAnsi="Arial" w:cs="Arial"/>
          <w:lang w:val="en-US"/>
        </w:rPr>
        <w:t xml:space="preserve">trading </w:t>
      </w:r>
      <w:r w:rsidRPr="00047CE2">
        <w:rPr>
          <w:rFonts w:ascii="Arial" w:hAnsi="Arial" w:cs="Arial"/>
          <w:lang w:val="en-US"/>
        </w:rPr>
        <w:t xml:space="preserve">venues plus other sources (e.g. APAs) into a single </w:t>
      </w:r>
      <w:r>
        <w:rPr>
          <w:rFonts w:ascii="Arial" w:hAnsi="Arial" w:cs="Arial"/>
          <w:lang w:val="en-US"/>
        </w:rPr>
        <w:t xml:space="preserve">CT </w:t>
      </w:r>
      <w:r w:rsidRPr="00047CE2">
        <w:rPr>
          <w:rFonts w:ascii="Arial" w:hAnsi="Arial" w:cs="Arial"/>
          <w:lang w:val="en-US"/>
        </w:rPr>
        <w:t>would not be easy and would inevitably come at a higher latency. Market participants – seeking to use real-time data for trading purposes – would still need to access market data via the lowest latency sources, preferably directly from trading venues or indirectly from data vendors.</w:t>
      </w:r>
    </w:p>
    <w:permEnd w:id="971839347"/>
    <w:p w14:paraId="25B9400F" w14:textId="77777777" w:rsidR="00010773" w:rsidRDefault="00010773" w:rsidP="00010773">
      <w:pPr>
        <w:rPr>
          <w:rFonts w:ascii="Arial" w:hAnsi="Arial" w:cs="Arial"/>
        </w:rPr>
      </w:pPr>
      <w:r>
        <w:rPr>
          <w:rFonts w:ascii="Arial" w:hAnsi="Arial" w:cs="Arial"/>
        </w:rPr>
        <w:t>&lt;ESMA_QUESTION_MDA_20&gt;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0565983C" w14:textId="77777777" w:rsidR="001A7222" w:rsidRPr="00047CE2" w:rsidRDefault="001A7222" w:rsidP="001A7222">
      <w:pPr>
        <w:spacing w:line="276" w:lineRule="auto"/>
        <w:rPr>
          <w:rFonts w:ascii="Arial" w:hAnsi="Arial" w:cs="Arial"/>
          <w:lang w:val="en-US"/>
        </w:rPr>
      </w:pPr>
      <w:permStart w:id="1442348646" w:edGrp="everyone"/>
      <w:r w:rsidRPr="00047CE2">
        <w:rPr>
          <w:rFonts w:ascii="Arial" w:hAnsi="Arial" w:cs="Arial"/>
          <w:lang w:val="en-US"/>
        </w:rPr>
        <w:t xml:space="preserve">Börse Stuttgart believes that the risks of not having a CTP and the benefits of having one can only be discussed taking the intended objectives, its purpose and the role of a CT within the European market structure framework into account. As noted earlier, we think that a real-time CT designed for trading purposes would </w:t>
      </w:r>
      <w:r>
        <w:rPr>
          <w:rFonts w:ascii="Arial" w:hAnsi="Arial" w:cs="Arial"/>
          <w:lang w:val="en-US"/>
        </w:rPr>
        <w:t xml:space="preserve">most </w:t>
      </w:r>
      <w:r w:rsidRPr="00047CE2">
        <w:rPr>
          <w:rFonts w:ascii="Arial" w:hAnsi="Arial" w:cs="Arial"/>
          <w:lang w:val="en-US"/>
        </w:rPr>
        <w:t xml:space="preserve">likely fail and lead to an increase in overall costs to the market. </w:t>
      </w:r>
      <w:r>
        <w:rPr>
          <w:rFonts w:ascii="Arial" w:hAnsi="Arial" w:cs="Arial"/>
          <w:lang w:val="en-US"/>
        </w:rPr>
        <w:t xml:space="preserve">It would, for economic reasons, probably have to be funded by mandatory contribution and use. </w:t>
      </w:r>
      <w:r w:rsidRPr="00047CE2">
        <w:rPr>
          <w:rFonts w:ascii="Arial" w:hAnsi="Arial" w:cs="Arial"/>
          <w:lang w:val="en-US"/>
        </w:rPr>
        <w:t xml:space="preserve">In contrast, assuming an adequate compensation to trading venues for the use of their data an end-of-day tape of record would represent a cost effective CT solution. </w:t>
      </w:r>
    </w:p>
    <w:p w14:paraId="1122B757" w14:textId="172A54D7" w:rsidR="00010773" w:rsidRDefault="001A7222" w:rsidP="001A7222">
      <w:pPr>
        <w:spacing w:line="276" w:lineRule="auto"/>
        <w:rPr>
          <w:rFonts w:ascii="Arial" w:hAnsi="Arial" w:cs="Arial"/>
        </w:rPr>
      </w:pPr>
      <w:r w:rsidRPr="00047CE2">
        <w:rPr>
          <w:rFonts w:ascii="Arial" w:hAnsi="Arial" w:cs="Arial"/>
          <w:lang w:val="en-US"/>
        </w:rPr>
        <w:lastRenderedPageBreak/>
        <w:t>We disagree with ESMA’s assessment that “a CTP would invest in improving the quality of the data reported in order to provide meaningful information to market participants.” (C</w:t>
      </w:r>
      <w:r w:rsidR="00701D26">
        <w:rPr>
          <w:rFonts w:ascii="Arial" w:hAnsi="Arial" w:cs="Arial"/>
          <w:lang w:val="en-US"/>
        </w:rPr>
        <w:t>o</w:t>
      </w:r>
      <w:bookmarkStart w:id="1" w:name="_GoBack"/>
      <w:bookmarkEnd w:id="1"/>
      <w:r w:rsidRPr="00047CE2">
        <w:rPr>
          <w:rFonts w:ascii="Arial" w:hAnsi="Arial" w:cs="Arial"/>
          <w:lang w:val="en-US"/>
        </w:rPr>
        <w:t>nsultation Paper, para 156). As noted earlier, Börse Stuttgart believes that the pre-requisite to the development of a CT is to improve the completeness, consistency and quality of SI and OTC data. Neither an APA (today) or (potentially in the future) a CTP can resolve these issues.</w:t>
      </w:r>
    </w:p>
    <w:permEnd w:id="1442348646"/>
    <w:p w14:paraId="7BE031B5" w14:textId="77777777" w:rsidR="00010773" w:rsidRDefault="00010773" w:rsidP="00010773">
      <w:pPr>
        <w:rPr>
          <w:rFonts w:ascii="Arial" w:hAnsi="Arial" w:cs="Arial"/>
        </w:rPr>
      </w:pPr>
      <w:r>
        <w:rPr>
          <w:rFonts w:ascii="Arial" w:hAnsi="Arial" w:cs="Arial"/>
        </w:rPr>
        <w:t>&lt;ESMA_QUESTION_MDA_21&gt;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38F1725E" w14:textId="77777777" w:rsidR="00010773" w:rsidRDefault="00010773" w:rsidP="00010773">
      <w:pPr>
        <w:rPr>
          <w:rFonts w:ascii="Arial" w:hAnsi="Arial" w:cs="Arial"/>
        </w:rPr>
      </w:pPr>
      <w:permStart w:id="423907283" w:edGrp="everyone"/>
      <w:r>
        <w:rPr>
          <w:rFonts w:ascii="Arial" w:hAnsi="Arial" w:cs="Arial"/>
        </w:rPr>
        <w:t>TYPE YOUR TEXT HERE</w:t>
      </w:r>
    </w:p>
    <w:permEnd w:id="423907283"/>
    <w:p w14:paraId="21BD659B" w14:textId="77777777" w:rsidR="00010773" w:rsidRDefault="00010773" w:rsidP="00010773">
      <w:pPr>
        <w:rPr>
          <w:rFonts w:ascii="Arial" w:hAnsi="Arial" w:cs="Arial"/>
        </w:rPr>
      </w:pPr>
      <w:r>
        <w:rPr>
          <w:rFonts w:ascii="Arial" w:hAnsi="Arial" w:cs="Arial"/>
        </w:rPr>
        <w:t>&lt;ESMA_QUESTION_MDA_22&gt;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29DB428F" w14:textId="77777777" w:rsidR="001A7222" w:rsidRDefault="001A7222" w:rsidP="001A7222">
      <w:pPr>
        <w:spacing w:line="276" w:lineRule="auto"/>
        <w:rPr>
          <w:rFonts w:ascii="Arial" w:hAnsi="Arial" w:cs="Arial"/>
          <w:lang w:val="en-US"/>
        </w:rPr>
      </w:pPr>
      <w:permStart w:id="1331854606" w:edGrp="everyone"/>
      <w:r w:rsidRPr="00047CE2">
        <w:rPr>
          <w:rFonts w:ascii="Arial" w:hAnsi="Arial" w:cs="Arial"/>
          <w:lang w:val="en-US"/>
        </w:rPr>
        <w:t>As noted earlier, Börse Stuttgart believes that the pre-requisite to the development of a CT is to improve the completeness, consistency and quality of SI and OTC data. For more details, please refer to our answers to the questions above.</w:t>
      </w:r>
    </w:p>
    <w:permEnd w:id="1331854606"/>
    <w:p w14:paraId="64A172AB" w14:textId="163FD501" w:rsidR="00010773" w:rsidRDefault="00010773" w:rsidP="00010773">
      <w:pPr>
        <w:rPr>
          <w:rFonts w:ascii="Arial" w:hAnsi="Arial" w:cs="Arial"/>
        </w:rPr>
      </w:pPr>
      <w:proofErr w:type="gramStart"/>
      <w:r>
        <w:rPr>
          <w:rFonts w:ascii="Arial" w:hAnsi="Arial" w:cs="Arial"/>
        </w:rPr>
        <w:t>&lt;</w:t>
      </w:r>
      <w:proofErr w:type="gramEnd"/>
      <w:r>
        <w:rPr>
          <w:rFonts w:ascii="Arial" w:hAnsi="Arial" w:cs="Arial"/>
        </w:rPr>
        <w: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4ABC652D" w14:textId="3346D872" w:rsidR="00010773" w:rsidRDefault="001A7222" w:rsidP="001A7222">
      <w:pPr>
        <w:spacing w:line="276" w:lineRule="auto"/>
        <w:rPr>
          <w:rFonts w:ascii="Arial" w:hAnsi="Arial" w:cs="Arial"/>
        </w:rPr>
      </w:pPr>
      <w:permStart w:id="68295434" w:edGrp="everyone"/>
      <w:r w:rsidRPr="00047CE2">
        <w:rPr>
          <w:rFonts w:ascii="Arial" w:hAnsi="Arial" w:cs="Arial"/>
          <w:lang w:val="en-US"/>
        </w:rPr>
        <w:t xml:space="preserve">Yes, requiring mandatory contribution of market data from trading venues and APAs to the CTP, as currently foreseen in the regulation, would favor the establishment of a CT, once a </w:t>
      </w:r>
      <w:r>
        <w:rPr>
          <w:rFonts w:ascii="Arial" w:hAnsi="Arial" w:cs="Arial"/>
          <w:lang w:val="en-US"/>
        </w:rPr>
        <w:t xml:space="preserve">convincing </w:t>
      </w:r>
      <w:r w:rsidRPr="00047CE2">
        <w:rPr>
          <w:rFonts w:ascii="Arial" w:hAnsi="Arial" w:cs="Arial"/>
          <w:lang w:val="en-US"/>
        </w:rPr>
        <w:t xml:space="preserve">use case has been established. </w:t>
      </w:r>
      <w:r>
        <w:rPr>
          <w:rFonts w:ascii="Arial" w:hAnsi="Arial" w:cs="Arial"/>
          <w:lang w:val="en-US"/>
        </w:rPr>
        <w:t>E</w:t>
      </w:r>
      <w:r w:rsidRPr="00047CE2">
        <w:rPr>
          <w:rFonts w:ascii="Arial" w:hAnsi="Arial" w:cs="Arial"/>
          <w:lang w:val="en-US"/>
        </w:rPr>
        <w:t>xchanges underline the importance of ensuring by regulation that trading venues and APAs are fairly compensated for such mandatory contribution of market data to the CTP. Otherwise, this would play as a disincentive to invest in producing high quality data.</w:t>
      </w:r>
    </w:p>
    <w:permEnd w:id="68295434"/>
    <w:p w14:paraId="3882419F" w14:textId="77777777" w:rsidR="00010773" w:rsidRDefault="00010773" w:rsidP="00010773">
      <w:pPr>
        <w:rPr>
          <w:rFonts w:ascii="Arial" w:hAnsi="Arial" w:cs="Arial"/>
        </w:rPr>
      </w:pPr>
      <w:r>
        <w:rPr>
          <w:rFonts w:ascii="Arial" w:hAnsi="Arial" w:cs="Arial"/>
        </w:rPr>
        <w:t>&lt;ESMA_QUESTION_MDA_24&gt;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t>&lt;ESMA_QUESTION_MDA_25&gt;</w:t>
      </w:r>
    </w:p>
    <w:p w14:paraId="5DB198BC" w14:textId="77777777" w:rsidR="001A7222" w:rsidRPr="001A7222" w:rsidRDefault="001A7222" w:rsidP="001A7222">
      <w:pPr>
        <w:pStyle w:val="Default"/>
        <w:spacing w:after="160" w:line="276" w:lineRule="auto"/>
        <w:rPr>
          <w:color w:val="auto"/>
          <w:lang w:val="en-US"/>
        </w:rPr>
      </w:pPr>
      <w:permStart w:id="198205146" w:edGrp="everyone"/>
      <w:r w:rsidRPr="001A7222">
        <w:rPr>
          <w:lang w:val="en-US"/>
        </w:rPr>
        <w:t xml:space="preserve">Börse Stuttgart believes that the outlined options can only be discussed taking the intended objectives, its purpose and the role of a CT within the European market </w:t>
      </w:r>
      <w:r w:rsidRPr="001A7222">
        <w:rPr>
          <w:lang w:val="en-US"/>
        </w:rPr>
        <w:lastRenderedPageBreak/>
        <w:t xml:space="preserve">structure framework into account. In particular, the specificities of the European market do not allow to simply replicate third country CT models. </w:t>
      </w:r>
    </w:p>
    <w:p w14:paraId="4EAF66B1" w14:textId="013D4B07" w:rsidR="00010773" w:rsidRPr="001A7222" w:rsidRDefault="001A7222" w:rsidP="001A7222">
      <w:pPr>
        <w:spacing w:line="276" w:lineRule="auto"/>
        <w:rPr>
          <w:rFonts w:ascii="Arial" w:hAnsi="Arial" w:cs="Arial"/>
        </w:rPr>
      </w:pPr>
      <w:r w:rsidRPr="001A7222">
        <w:rPr>
          <w:rFonts w:ascii="Arial" w:hAnsi="Arial" w:cs="Arial"/>
          <w:lang w:val="en-US"/>
        </w:rPr>
        <w:t>Ideally, a pertinent CT would provide for mandatory use by every trading participant as well as mandatory payment by all trading participants. This would create an incentive for transparency and quality and ensure that the content of the tape be meaningful. Requiring trading venues and APAs to contribute data to the CT free of charge, below cost or at a very unattractive (unreasonable) margin risks seriously undermining exchanges’ role in the market, i.e. the investment in and provision of a reference price and create disincentive for investment allowing the production of such reference price in the market. It will negatively affect the price formation process within the EU, undermining transparent markets to the benefit of dark markets and most importantly to the detriment of investors. It is in fact the financing of the economy by regulated markets which is put at risk here in complete contradiction with the aims of the Capital Markets Union initiative.</w:t>
      </w:r>
    </w:p>
    <w:permEnd w:id="198205146"/>
    <w:p w14:paraId="3A0370D7" w14:textId="77777777" w:rsidR="00010773" w:rsidRDefault="00010773" w:rsidP="00010773">
      <w:pPr>
        <w:rPr>
          <w:rFonts w:ascii="Arial" w:hAnsi="Arial" w:cs="Arial"/>
        </w:rPr>
      </w:pPr>
      <w:r>
        <w:rPr>
          <w:rFonts w:ascii="Arial" w:hAnsi="Arial" w:cs="Arial"/>
        </w:rPr>
        <w:t>&lt;ESMA_QUESTION_MDA_25&gt;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t>&lt;ESMA_QUESTION_MDA_26&gt;</w:t>
      </w:r>
    </w:p>
    <w:p w14:paraId="038FFF60" w14:textId="3DBD3774" w:rsidR="00010773" w:rsidRPr="007A688F" w:rsidRDefault="007A688F" w:rsidP="007A688F">
      <w:pPr>
        <w:spacing w:line="276" w:lineRule="auto"/>
        <w:rPr>
          <w:rFonts w:ascii="Arial" w:hAnsi="Arial" w:cs="Arial"/>
        </w:rPr>
      </w:pPr>
      <w:permStart w:id="1199266109" w:edGrp="everyone"/>
      <w:r w:rsidRPr="007A688F">
        <w:rPr>
          <w:rFonts w:ascii="Arial" w:hAnsi="Arial" w:cs="Arial"/>
          <w:lang w:val="en-US"/>
        </w:rPr>
        <w:t>Yes, Börse Stuttgart believes that mandatory consumption together with mandatory payment by each market participant would favor the establishment of a CT since it would ensure funding and revenues to the CT. However, in order to ensure that the CT does not only add costs to the industry, the CT must deliver on a convincing</w:t>
      </w:r>
      <w:r w:rsidRPr="007A688F">
        <w:rPr>
          <w:rFonts w:ascii="Arial" w:hAnsi="Arial" w:cs="Arial"/>
          <w:lang w:val="en-US"/>
        </w:rPr>
        <w:t xml:space="preserve"> </w:t>
      </w:r>
      <w:r w:rsidRPr="007A688F">
        <w:rPr>
          <w:rFonts w:ascii="Arial" w:hAnsi="Arial" w:cs="Arial"/>
          <w:lang w:val="en-US"/>
        </w:rPr>
        <w:t>use case as well. It is also important to take the specificities of the European market into account which do not allow to simply replicate third country CT models. Comparing it to the US, for instance, the number of data sources (= the number of contributors) would be significantly higher in the EU. For this reason, the CT fees that exist in the US can neither be compared nor be used as a benchmark for CT fees in the EU.</w:t>
      </w:r>
    </w:p>
    <w:permEnd w:id="1199266109"/>
    <w:p w14:paraId="4644C4F7" w14:textId="77777777" w:rsidR="00010773" w:rsidRDefault="00010773" w:rsidP="00010773">
      <w:pPr>
        <w:rPr>
          <w:rFonts w:ascii="Arial" w:hAnsi="Arial" w:cs="Arial"/>
        </w:rPr>
      </w:pPr>
      <w:r>
        <w:rPr>
          <w:rFonts w:ascii="Arial" w:hAnsi="Arial" w:cs="Arial"/>
        </w:rPr>
        <w:t>&lt;ESMA_QUESTION_MDA_26&gt;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t>&lt;ESMA_QUESTION_MDA_27&gt;</w:t>
      </w:r>
    </w:p>
    <w:p w14:paraId="4C077A47" w14:textId="77777777" w:rsidR="007A688F" w:rsidRPr="007A688F" w:rsidRDefault="007A688F" w:rsidP="007A688F">
      <w:pPr>
        <w:spacing w:line="276" w:lineRule="auto"/>
        <w:rPr>
          <w:rFonts w:ascii="Arial" w:hAnsi="Arial" w:cs="Arial"/>
          <w:lang w:val="en-US"/>
        </w:rPr>
      </w:pPr>
      <w:permStart w:id="1537346215" w:edGrp="everyone"/>
      <w:r w:rsidRPr="007A688F">
        <w:rPr>
          <w:rFonts w:ascii="Arial" w:hAnsi="Arial" w:cs="Arial"/>
          <w:lang w:val="en-US"/>
        </w:rPr>
        <w:t>Yes, Börse Stuttgart believes that mandatory consumption together with mandatory payment by each market participant would favor the establishment of a CT since it would ensure funding and revenues to the CT. However, in order to ensure that the CT does not only add costs to the industry, the CT must deliver on a convincing</w:t>
      </w:r>
      <w:r w:rsidRPr="007A688F">
        <w:rPr>
          <w:rFonts w:ascii="Arial" w:hAnsi="Arial" w:cs="Arial"/>
          <w:lang w:val="en-US"/>
        </w:rPr>
        <w:t xml:space="preserve"> </w:t>
      </w:r>
      <w:r w:rsidRPr="007A688F">
        <w:rPr>
          <w:rFonts w:ascii="Arial" w:hAnsi="Arial" w:cs="Arial"/>
          <w:lang w:val="en-US"/>
        </w:rPr>
        <w:t>use case as well.</w:t>
      </w:r>
    </w:p>
    <w:permEnd w:id="1537346215"/>
    <w:p w14:paraId="0E3027D4" w14:textId="4182A52D" w:rsidR="00010773" w:rsidRDefault="00010773" w:rsidP="00010773">
      <w:pPr>
        <w:rPr>
          <w:rFonts w:ascii="Arial" w:hAnsi="Arial" w:cs="Arial"/>
        </w:rPr>
      </w:pPr>
      <w:r>
        <w:rPr>
          <w:rFonts w:ascii="Arial" w:hAnsi="Arial" w:cs="Arial"/>
        </w:rPr>
        <w:t>&lt;ESMA_QUESTION_MDA_27&gt;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t xml:space="preserve">: Do you consider it necessary that the CT covers all trading venues and APAs and the whole scope of equity instruments or would you be supportive of limiting the </w:t>
      </w:r>
      <w:r>
        <w:lastRenderedPageBreak/>
        <w:t>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t>&lt;ESMA_QUESTION_MDA_28&gt;</w:t>
      </w:r>
    </w:p>
    <w:p w14:paraId="09796384" w14:textId="443A6921" w:rsidR="00010773" w:rsidRPr="007A688F" w:rsidRDefault="007A688F" w:rsidP="007A688F">
      <w:pPr>
        <w:spacing w:line="276" w:lineRule="auto"/>
        <w:rPr>
          <w:rFonts w:ascii="Arial" w:hAnsi="Arial" w:cs="Arial"/>
        </w:rPr>
      </w:pPr>
      <w:permStart w:id="1911820905" w:edGrp="everyone"/>
      <w:r w:rsidRPr="007A688F">
        <w:rPr>
          <w:rFonts w:ascii="Arial" w:hAnsi="Arial" w:cs="Arial"/>
          <w:lang w:val="en-US"/>
        </w:rPr>
        <w:t>Börse Stuttgart believes that the scope of a CT is critical. A CT will only be attractive if it shows overall liquidity – 100% coverage of transactions in the market (including SI and OTC transactions) – within the EU market at instrument level. A CT with limited coverage, e.g. where SIs and OTCs are dispensed from contributing, would be nonsensical. It would perpetuate current completeness, consistency and quality issues of SI and OTC transactions. The current discussion, thought, as regards addressable and non-addressable liquidity is targeted at limiting transparency of off-venue transactions. Regulators should ensure sensible and fair transparency and support a CT of practical significance.</w:t>
      </w:r>
    </w:p>
    <w:permEnd w:id="1911820905"/>
    <w:p w14:paraId="10EB7A13" w14:textId="77777777" w:rsidR="00010773" w:rsidRDefault="00010773" w:rsidP="00010773">
      <w:pPr>
        <w:rPr>
          <w:rFonts w:ascii="Arial" w:hAnsi="Arial" w:cs="Arial"/>
        </w:rPr>
      </w:pPr>
      <w:r>
        <w:rPr>
          <w:rFonts w:ascii="Arial" w:hAnsi="Arial" w:cs="Arial"/>
        </w:rPr>
        <w:t>&lt;ESMA_QUESTION_MDA_28&gt;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2C8B3513" w14:textId="0383923A" w:rsidR="007A688F" w:rsidRDefault="007A688F" w:rsidP="007A688F">
      <w:pPr>
        <w:spacing w:line="276" w:lineRule="auto"/>
        <w:rPr>
          <w:rFonts w:ascii="Arial" w:hAnsi="Arial" w:cs="Arial"/>
          <w:lang w:val="en-US"/>
        </w:rPr>
      </w:pPr>
      <w:permStart w:id="1052057623" w:edGrp="everyone"/>
      <w:r>
        <w:rPr>
          <w:rFonts w:ascii="Arial" w:hAnsi="Arial" w:cs="Arial"/>
          <w:lang w:val="en-US"/>
        </w:rPr>
        <w:t xml:space="preserve">In Börse Stuttgart’s view, </w:t>
      </w:r>
      <w:r w:rsidRPr="00047CE2">
        <w:rPr>
          <w:rFonts w:ascii="Arial" w:hAnsi="Arial" w:cs="Arial"/>
          <w:lang w:val="en-US"/>
        </w:rPr>
        <w:t>there is a fundamental issue of latency in respect of a real-time CT. As ESMA itself highlights, there are currently 1</w:t>
      </w:r>
      <w:r>
        <w:rPr>
          <w:rFonts w:ascii="Arial" w:hAnsi="Arial" w:cs="Arial"/>
          <w:lang w:val="en-US"/>
        </w:rPr>
        <w:t>7</w:t>
      </w:r>
      <w:r w:rsidRPr="00047CE2">
        <w:rPr>
          <w:rFonts w:ascii="Arial" w:hAnsi="Arial" w:cs="Arial"/>
          <w:lang w:val="en-US"/>
        </w:rPr>
        <w:t>0 equity trading venues</w:t>
      </w:r>
      <w:r>
        <w:rPr>
          <w:rFonts w:ascii="Arial" w:hAnsi="Arial" w:cs="Arial"/>
          <w:lang w:val="en-US"/>
        </w:rPr>
        <w:t xml:space="preserve"> </w:t>
      </w:r>
      <w:r w:rsidRPr="00C45105">
        <w:rPr>
          <w:rFonts w:ascii="Arial" w:hAnsi="Arial" w:cs="Arial"/>
          <w:lang w:val="en-US"/>
        </w:rPr>
        <w:t>and APAs dealing with equity instruments in 28 different jurisdictions</w:t>
      </w:r>
      <w:r w:rsidRPr="00047CE2">
        <w:rPr>
          <w:rFonts w:ascii="Arial" w:hAnsi="Arial" w:cs="Arial"/>
          <w:lang w:val="en-US"/>
        </w:rPr>
        <w:t xml:space="preserve"> in Europe. Real-time aggregation of data from these </w:t>
      </w:r>
      <w:r>
        <w:rPr>
          <w:rFonts w:ascii="Arial" w:hAnsi="Arial" w:cs="Arial"/>
          <w:lang w:val="en-US"/>
        </w:rPr>
        <w:t xml:space="preserve">trading </w:t>
      </w:r>
      <w:r w:rsidRPr="00047CE2">
        <w:rPr>
          <w:rFonts w:ascii="Arial" w:hAnsi="Arial" w:cs="Arial"/>
          <w:lang w:val="en-US"/>
        </w:rPr>
        <w:t xml:space="preserve">venues plus other sources (e.g. APAs) into a single </w:t>
      </w:r>
      <w:r>
        <w:rPr>
          <w:rFonts w:ascii="Arial" w:hAnsi="Arial" w:cs="Arial"/>
          <w:lang w:val="en-US"/>
        </w:rPr>
        <w:t xml:space="preserve">CT </w:t>
      </w:r>
      <w:r w:rsidRPr="00047CE2">
        <w:rPr>
          <w:rFonts w:ascii="Arial" w:hAnsi="Arial" w:cs="Arial"/>
          <w:lang w:val="en-US"/>
        </w:rPr>
        <w:t>would not be easy and would inevitably come at a higher latency. Market participants – seeking to use real-time data for trading purposes – would still need to access market data via the lowest latency sources, preferably directly from trading venues or indirectly from data vendors.</w:t>
      </w:r>
    </w:p>
    <w:p w14:paraId="698D5F09" w14:textId="77777777" w:rsidR="007A688F" w:rsidRDefault="007A688F" w:rsidP="007A688F">
      <w:pPr>
        <w:spacing w:line="276" w:lineRule="auto"/>
        <w:rPr>
          <w:rFonts w:ascii="Arial" w:hAnsi="Arial" w:cs="Arial"/>
          <w:lang w:val="en-US"/>
        </w:rPr>
      </w:pPr>
    </w:p>
    <w:p w14:paraId="737FF28A" w14:textId="1658A70F" w:rsidR="007A688F" w:rsidRDefault="007A688F" w:rsidP="007A688F">
      <w:pPr>
        <w:spacing w:line="276" w:lineRule="auto"/>
        <w:rPr>
          <w:rFonts w:ascii="Arial" w:hAnsi="Arial" w:cs="Arial"/>
          <w:lang w:val="en-US"/>
        </w:rPr>
      </w:pPr>
      <w:r w:rsidRPr="00047CE2">
        <w:rPr>
          <w:rFonts w:ascii="Arial" w:hAnsi="Arial" w:cs="Arial"/>
          <w:lang w:val="en-US"/>
        </w:rPr>
        <w:t>We think that the cost of providing a real-time CT (i.e. cost of building, maintenance costs) and its inherent latency will not serve the purpose. Market participants – seeking to use real-time data for trading purposes – would still need to access market data via the lowest latency sources, preferably directly from trading venues or indirectly from data vendors.</w:t>
      </w:r>
    </w:p>
    <w:p w14:paraId="620DB8E6" w14:textId="77777777" w:rsidR="007A688F" w:rsidRPr="00047CE2" w:rsidRDefault="007A688F" w:rsidP="007A688F">
      <w:pPr>
        <w:spacing w:line="276" w:lineRule="auto"/>
        <w:rPr>
          <w:rFonts w:ascii="Arial" w:hAnsi="Arial" w:cs="Arial"/>
          <w:lang w:val="en-US"/>
        </w:rPr>
      </w:pPr>
    </w:p>
    <w:p w14:paraId="61137BFC" w14:textId="77777777" w:rsidR="007A688F" w:rsidRDefault="007A688F" w:rsidP="007A688F">
      <w:pPr>
        <w:spacing w:line="276" w:lineRule="auto"/>
        <w:rPr>
          <w:rFonts w:ascii="Arial" w:hAnsi="Arial" w:cs="Arial"/>
          <w:lang w:val="en-US"/>
        </w:rPr>
      </w:pPr>
      <w:r>
        <w:rPr>
          <w:rFonts w:ascii="Arial" w:hAnsi="Arial" w:cs="Arial"/>
          <w:lang w:val="en-US"/>
        </w:rPr>
        <w:t>A</w:t>
      </w:r>
      <w:r w:rsidRPr="00047CE2">
        <w:rPr>
          <w:rFonts w:ascii="Arial" w:hAnsi="Arial" w:cs="Arial"/>
          <w:lang w:val="en-US"/>
        </w:rPr>
        <w:t>n end-of-day tape</w:t>
      </w:r>
      <w:r>
        <w:rPr>
          <w:rFonts w:ascii="Arial" w:hAnsi="Arial" w:cs="Arial"/>
          <w:lang w:val="en-US"/>
        </w:rPr>
        <w:t>, however,</w:t>
      </w:r>
      <w:r w:rsidRPr="00047CE2">
        <w:rPr>
          <w:rFonts w:ascii="Arial" w:hAnsi="Arial" w:cs="Arial"/>
          <w:lang w:val="en-US"/>
        </w:rPr>
        <w:t xml:space="preserve"> would – based on enhanced data quality and consistency – deliver an exhaustive view of trade execution, covering Regulated Market, MTF, SI and OTC transactions. It would certainly involve cheaper technological infrastructure.</w:t>
      </w:r>
    </w:p>
    <w:permEnd w:id="1052057623"/>
    <w:p w14:paraId="7FE56AC8" w14:textId="00052971" w:rsidR="00010773" w:rsidRDefault="00010773" w:rsidP="00010773">
      <w:pPr>
        <w:rPr>
          <w:rFonts w:ascii="Arial" w:hAnsi="Arial" w:cs="Arial"/>
        </w:rPr>
      </w:pPr>
      <w:proofErr w:type="gramStart"/>
      <w:r>
        <w:rPr>
          <w:rFonts w:ascii="Arial" w:hAnsi="Arial" w:cs="Arial"/>
        </w:rPr>
        <w:t>&lt;</w:t>
      </w:r>
      <w:proofErr w:type="gramEnd"/>
      <w:r>
        <w:rPr>
          <w:rFonts w:ascii="Arial" w:hAnsi="Arial" w:cs="Arial"/>
        </w:rPr>
        <w:t>ESMA_QUESTION_MDA_</w:t>
      </w:r>
      <w:r w:rsidR="00440A7A">
        <w:rPr>
          <w:rFonts w:ascii="Arial" w:hAnsi="Arial" w:cs="Arial"/>
        </w:rPr>
        <w:t>29</w:t>
      </w:r>
      <w:r>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lastRenderedPageBreak/>
        <w:t>&lt;ESMA_QUESTION_MDA_3</w:t>
      </w:r>
      <w:r w:rsidR="00440A7A">
        <w:rPr>
          <w:rFonts w:ascii="Arial" w:hAnsi="Arial" w:cs="Arial"/>
        </w:rPr>
        <w:t>0</w:t>
      </w:r>
      <w:r>
        <w:rPr>
          <w:rFonts w:ascii="Arial" w:hAnsi="Arial" w:cs="Arial"/>
        </w:rPr>
        <w:t>&gt;</w:t>
      </w:r>
    </w:p>
    <w:p w14:paraId="742AC181" w14:textId="46B01CF1" w:rsidR="007A688F" w:rsidRPr="007A688F" w:rsidRDefault="007A688F" w:rsidP="007A688F">
      <w:pPr>
        <w:spacing w:line="276" w:lineRule="auto"/>
        <w:rPr>
          <w:rFonts w:ascii="Arial" w:hAnsi="Arial" w:cs="Arial"/>
          <w:lang w:val="en-US"/>
        </w:rPr>
      </w:pPr>
      <w:permStart w:id="584346855" w:edGrp="everyone"/>
      <w:r w:rsidRPr="007A688F">
        <w:rPr>
          <w:rFonts w:ascii="Arial" w:hAnsi="Arial" w:cs="Arial"/>
          <w:lang w:val="en-US"/>
        </w:rPr>
        <w:t>Börse Stuttgart is not aware of sound and reliable technology which is able to solve the fundamental issue of latency in respect of a real-time CT. As ESMA itself highlights, there are currently 170 equity trading venues and APAs dealing with equity instruments in 28 different jurisdictions in Europe. Real-time aggregation of data from these trading venues plus other sources (e.g. APAs) into a single CT would not be easy and would inevitably come at a higher latency. Market participants – seeking to use real-time data for trading purposes – would still need to access market data via the lowest latency sources, preferably directly from trading venues or indirectly from data vendors.</w:t>
      </w:r>
    </w:p>
    <w:p w14:paraId="6D5334EC" w14:textId="77777777" w:rsidR="007A688F" w:rsidRPr="007A688F" w:rsidRDefault="007A688F" w:rsidP="007A688F">
      <w:pPr>
        <w:spacing w:line="276" w:lineRule="auto"/>
        <w:rPr>
          <w:rFonts w:ascii="Arial" w:hAnsi="Arial" w:cs="Arial"/>
          <w:lang w:val="en-US"/>
        </w:rPr>
      </w:pPr>
    </w:p>
    <w:p w14:paraId="274E56CB" w14:textId="5B67A967" w:rsidR="007A688F" w:rsidRPr="007A688F" w:rsidRDefault="007A688F" w:rsidP="007A688F">
      <w:pPr>
        <w:spacing w:line="276" w:lineRule="auto"/>
        <w:rPr>
          <w:rFonts w:ascii="Arial" w:hAnsi="Arial" w:cs="Arial"/>
          <w:lang w:val="en-US"/>
        </w:rPr>
      </w:pPr>
      <w:r w:rsidRPr="007A688F">
        <w:rPr>
          <w:rFonts w:ascii="Arial" w:hAnsi="Arial" w:cs="Arial"/>
          <w:lang w:val="en-US"/>
        </w:rPr>
        <w:t>We think that the cost of providing a real-time CT (i.e. cost of building, maintenance costs) and its inherent latency will not serve the purpose. Market participants – seeking to use real-time data for trading purposes – would still need to access market data via the lowest latency sources, preferably directly from trading venues or indirectly from data vendors.</w:t>
      </w:r>
    </w:p>
    <w:p w14:paraId="32DAC869" w14:textId="77777777" w:rsidR="007A688F" w:rsidRPr="007A688F" w:rsidRDefault="007A688F" w:rsidP="007A688F">
      <w:pPr>
        <w:spacing w:line="276" w:lineRule="auto"/>
        <w:rPr>
          <w:rFonts w:ascii="Arial" w:hAnsi="Arial" w:cs="Arial"/>
          <w:lang w:val="en-US"/>
        </w:rPr>
      </w:pPr>
    </w:p>
    <w:p w14:paraId="6B03BDEE" w14:textId="77777777" w:rsidR="007A688F" w:rsidRPr="007A688F" w:rsidRDefault="007A688F" w:rsidP="007A688F">
      <w:pPr>
        <w:spacing w:line="276" w:lineRule="auto"/>
        <w:rPr>
          <w:rFonts w:ascii="Arial" w:hAnsi="Arial" w:cs="Arial"/>
          <w:lang w:val="en-US"/>
        </w:rPr>
      </w:pPr>
      <w:r w:rsidRPr="007A688F">
        <w:rPr>
          <w:rFonts w:ascii="Arial" w:hAnsi="Arial" w:cs="Arial"/>
          <w:lang w:val="en-US"/>
        </w:rPr>
        <w:t>An end-of-day tape, however, would – based on enhanced data quality and consistency – deliver an exhaustive view of trade execution, covering Regulated Market, MTF, SI and OTC transactions. It would certainly involve cheaper technological infrastructure.</w:t>
      </w:r>
    </w:p>
    <w:permEnd w:id="584346855"/>
    <w:p w14:paraId="231BC8C4" w14:textId="50E48D0B"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46CF26E5" w14:textId="77777777" w:rsidR="00010773" w:rsidRDefault="00010773" w:rsidP="00010773">
      <w:pPr>
        <w:rPr>
          <w:rFonts w:ascii="Arial" w:hAnsi="Arial" w:cs="Arial"/>
        </w:rPr>
      </w:pPr>
      <w:permStart w:id="905464300" w:edGrp="everyone"/>
      <w:r>
        <w:rPr>
          <w:rFonts w:ascii="Arial" w:hAnsi="Arial" w:cs="Arial"/>
        </w:rPr>
        <w:t>TYPE YOUR TEXT HERE</w:t>
      </w:r>
    </w:p>
    <w:permEnd w:id="905464300"/>
    <w:p w14:paraId="1413E926" w14:textId="4C7F5BDF"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75A27C00" w14:textId="77777777" w:rsidR="00010773" w:rsidRDefault="00010773" w:rsidP="00010773">
      <w:pPr>
        <w:rPr>
          <w:rFonts w:ascii="Arial" w:hAnsi="Arial" w:cs="Arial"/>
        </w:rPr>
      </w:pPr>
      <w:permStart w:id="1019550232" w:edGrp="everyone"/>
      <w:r>
        <w:rPr>
          <w:rFonts w:ascii="Arial" w:hAnsi="Arial" w:cs="Arial"/>
        </w:rPr>
        <w:t>TYPE YOUR TEXT HERE</w:t>
      </w:r>
    </w:p>
    <w:permEnd w:id="1019550232"/>
    <w:p w14:paraId="757BF93E" w14:textId="62431C38"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5BED6317" w14:textId="77777777" w:rsidR="00010773" w:rsidRDefault="00010773" w:rsidP="00010773">
      <w:pPr>
        <w:rPr>
          <w:rFonts w:ascii="Arial" w:hAnsi="Arial" w:cs="Arial"/>
        </w:rPr>
      </w:pPr>
      <w:permStart w:id="1374687207" w:edGrp="everyone"/>
      <w:r>
        <w:rPr>
          <w:rFonts w:ascii="Arial" w:hAnsi="Arial" w:cs="Arial"/>
        </w:rPr>
        <w:t>TYPE YOUR TEXT HERE</w:t>
      </w:r>
    </w:p>
    <w:permEnd w:id="1374687207"/>
    <w:p w14:paraId="3CFF50C2" w14:textId="170F8C4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lastRenderedPageBreak/>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73C94CE3" w14:textId="7BE5C79D" w:rsidR="007A688F" w:rsidRDefault="007A688F" w:rsidP="007A688F">
      <w:pPr>
        <w:spacing w:line="276" w:lineRule="auto"/>
        <w:rPr>
          <w:rFonts w:ascii="Arial" w:hAnsi="Arial" w:cs="Arial"/>
          <w:color w:val="000000"/>
          <w:lang w:val="en-US"/>
        </w:rPr>
      </w:pPr>
      <w:permStart w:id="1067719572" w:edGrp="everyone"/>
      <w:r w:rsidRPr="003A3CE0">
        <w:rPr>
          <w:rFonts w:ascii="Arial" w:hAnsi="Arial" w:cs="Arial"/>
          <w:color w:val="000000"/>
          <w:lang w:val="en-US"/>
        </w:rPr>
        <w:t xml:space="preserve">A feasible and workable CT model would have to charge for the provision of consolidated data and redistribute a meaningful part of the revenues to the contributing entities, reference price forming venues especially. Contributors cannot be asked to contribute data for no or limited fees, as this would be a disincentive to investing and operating transparent markets. </w:t>
      </w:r>
      <w:r>
        <w:rPr>
          <w:rFonts w:ascii="Arial" w:hAnsi="Arial" w:cs="Arial"/>
          <w:color w:val="000000"/>
          <w:lang w:val="en-US"/>
        </w:rPr>
        <w:t>Mandatory CT</w:t>
      </w:r>
      <w:r w:rsidRPr="003A3CE0">
        <w:rPr>
          <w:rFonts w:ascii="Arial" w:hAnsi="Arial" w:cs="Arial"/>
          <w:color w:val="000000"/>
          <w:lang w:val="en-US"/>
        </w:rPr>
        <w:t xml:space="preserve"> fees should reflect the number of data sources and the data fees of the respective data sources. It is important to underline that in the event of an EU CT, the number of data sources would be significantly higher than the number of contributors to the tapes in the US, while the number of users of the tapes would be lower than in the US. The funding model should be aligned with the overall objective of MiFID II and provide incentives to trade lit as opposed to dark and reward price forming venues. </w:t>
      </w:r>
    </w:p>
    <w:p w14:paraId="3927CC05" w14:textId="77777777" w:rsidR="007A688F" w:rsidRPr="003A3CE0" w:rsidRDefault="007A688F" w:rsidP="007A688F">
      <w:pPr>
        <w:spacing w:line="276" w:lineRule="auto"/>
        <w:rPr>
          <w:rFonts w:ascii="Arial" w:hAnsi="Arial" w:cs="Arial"/>
          <w:color w:val="000000"/>
          <w:lang w:val="en-US"/>
        </w:rPr>
      </w:pPr>
    </w:p>
    <w:p w14:paraId="7642D1DA" w14:textId="77777777" w:rsidR="007A688F" w:rsidRDefault="007A688F" w:rsidP="007A688F">
      <w:pPr>
        <w:spacing w:line="276" w:lineRule="auto"/>
        <w:rPr>
          <w:rFonts w:ascii="Arial" w:hAnsi="Arial" w:cs="Arial"/>
          <w:color w:val="000000"/>
          <w:lang w:val="en-US"/>
        </w:rPr>
      </w:pPr>
      <w:r w:rsidRPr="003A3CE0">
        <w:rPr>
          <w:rFonts w:ascii="Arial" w:hAnsi="Arial" w:cs="Arial"/>
          <w:color w:val="000000"/>
          <w:lang w:val="en-US"/>
        </w:rPr>
        <w:t xml:space="preserve">When reflecting upon the funding model for the CT, it is necessary to assess how to best ensure that data quality is preserved and enhanced and not opt for solutions that would lead to a “wealth transfer” with no impact on market quality for investors. Any requirements addressed to </w:t>
      </w:r>
      <w:r>
        <w:rPr>
          <w:rFonts w:ascii="Arial" w:hAnsi="Arial" w:cs="Arial"/>
          <w:color w:val="000000"/>
          <w:lang w:val="en-US"/>
        </w:rPr>
        <w:t>e</w:t>
      </w:r>
      <w:r w:rsidRPr="003A3CE0">
        <w:rPr>
          <w:rFonts w:ascii="Arial" w:hAnsi="Arial" w:cs="Arial"/>
          <w:color w:val="000000"/>
          <w:lang w:val="en-US"/>
        </w:rPr>
        <w:t xml:space="preserve">xchanges should be proportionate </w:t>
      </w:r>
      <w:bookmarkStart w:id="2" w:name="_cp_text_1_4"/>
      <w:r w:rsidRPr="003A3CE0">
        <w:rPr>
          <w:rFonts w:ascii="Arial" w:hAnsi="Arial" w:cs="Arial"/>
          <w:color w:val="000000"/>
          <w:lang w:val="en-US"/>
        </w:rPr>
        <w:t xml:space="preserve">and non-discriminatory </w:t>
      </w:r>
      <w:bookmarkEnd w:id="2"/>
      <w:r w:rsidRPr="003A3CE0">
        <w:rPr>
          <w:rFonts w:ascii="Arial" w:hAnsi="Arial" w:cs="Arial"/>
          <w:color w:val="000000"/>
          <w:lang w:val="en-US"/>
        </w:rPr>
        <w:t>as well.</w:t>
      </w:r>
    </w:p>
    <w:permEnd w:id="1067719572"/>
    <w:p w14:paraId="594F305C" w14:textId="61AE4967" w:rsidR="00010773" w:rsidRDefault="00010773" w:rsidP="00010773">
      <w:pPr>
        <w:rPr>
          <w:rFonts w:ascii="Arial" w:hAnsi="Arial" w:cs="Arial"/>
        </w:rPr>
      </w:pPr>
      <w:proofErr w:type="gramStart"/>
      <w:r>
        <w:rPr>
          <w:rFonts w:ascii="Arial" w:hAnsi="Arial" w:cs="Arial"/>
        </w:rPr>
        <w:t>&lt;</w:t>
      </w:r>
      <w:proofErr w:type="gramEnd"/>
      <w:r>
        <w:rPr>
          <w:rFonts w:ascii="Arial" w:hAnsi="Arial" w:cs="Arial"/>
        </w:rPr>
        <w:t>ESMA_QUESTION_MDA_3</w:t>
      </w:r>
      <w:r w:rsidR="00440A7A">
        <w:rPr>
          <w:rFonts w:ascii="Arial" w:hAnsi="Arial" w:cs="Arial"/>
        </w:rPr>
        <w:t>4</w:t>
      </w:r>
      <w:r>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2539CEE3" w14:textId="77777777" w:rsidR="007A688F" w:rsidRPr="007A688F" w:rsidRDefault="007A688F" w:rsidP="007A688F">
      <w:pPr>
        <w:spacing w:line="276" w:lineRule="auto"/>
        <w:rPr>
          <w:rFonts w:ascii="Arial" w:hAnsi="Arial" w:cs="Arial"/>
          <w:lang w:val="en-US"/>
        </w:rPr>
      </w:pPr>
      <w:permStart w:id="850608286" w:edGrp="everyone"/>
      <w:r w:rsidRPr="007A688F">
        <w:rPr>
          <w:rFonts w:ascii="Arial" w:hAnsi="Arial" w:cs="Arial"/>
          <w:lang w:val="en-US"/>
        </w:rPr>
        <w:t>In our view, one may legitimately question the pertinence and relevance of an EU27 CT. At the same time, constructing a CT across third countries is not sensible and should be discouraged.</w:t>
      </w:r>
    </w:p>
    <w:permEnd w:id="850608286"/>
    <w:p w14:paraId="7BFE84BC" w14:textId="28E2F0BA"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17413D6C" w14:textId="0D813B34" w:rsidR="007A688F" w:rsidRDefault="007A688F" w:rsidP="007A688F">
      <w:pPr>
        <w:spacing w:line="276" w:lineRule="auto"/>
        <w:rPr>
          <w:rFonts w:ascii="Arial" w:hAnsi="Arial" w:cs="Arial"/>
          <w:color w:val="000000"/>
          <w:lang w:val="en-US"/>
        </w:rPr>
      </w:pPr>
      <w:permStart w:id="1640906000" w:edGrp="everyone"/>
      <w:r w:rsidRPr="003A3CE0">
        <w:rPr>
          <w:rFonts w:ascii="Arial" w:hAnsi="Arial" w:cs="Arial"/>
          <w:color w:val="000000"/>
          <w:lang w:val="en-US"/>
        </w:rPr>
        <w:t xml:space="preserve">An EU27 CT has the potential to impact the level playing field between the EU27 and the UK as it would without a doubt increase EU </w:t>
      </w:r>
      <w:r>
        <w:rPr>
          <w:rFonts w:ascii="Arial" w:hAnsi="Arial" w:cs="Arial"/>
          <w:color w:val="000000"/>
          <w:lang w:val="en-US"/>
        </w:rPr>
        <w:t xml:space="preserve">trading </w:t>
      </w:r>
      <w:r w:rsidRPr="003A3CE0">
        <w:rPr>
          <w:rFonts w:ascii="Arial" w:hAnsi="Arial" w:cs="Arial"/>
          <w:color w:val="000000"/>
          <w:lang w:val="en-US"/>
        </w:rPr>
        <w:t xml:space="preserve">venues’ compliance-related costs and potentially have an impact on their revenues whereas </w:t>
      </w:r>
      <w:r>
        <w:rPr>
          <w:rFonts w:ascii="Arial" w:hAnsi="Arial" w:cs="Arial"/>
          <w:color w:val="000000"/>
          <w:lang w:val="en-US"/>
        </w:rPr>
        <w:t xml:space="preserve">trading </w:t>
      </w:r>
      <w:r w:rsidRPr="003A3CE0">
        <w:rPr>
          <w:rFonts w:ascii="Arial" w:hAnsi="Arial" w:cs="Arial"/>
          <w:color w:val="000000"/>
          <w:lang w:val="en-US"/>
        </w:rPr>
        <w:t>venues in the UK would not have to bear such costs. Furthermore, an EU27 CT would be powerless to enhance the quality and consistency of OTC and SI trades in the UK.</w:t>
      </w:r>
    </w:p>
    <w:permEnd w:id="1640906000"/>
    <w:p w14:paraId="6189ED76" w14:textId="30ADD13F" w:rsidR="00010773" w:rsidRDefault="00010773" w:rsidP="00010773">
      <w:pPr>
        <w:rPr>
          <w:rFonts w:ascii="Arial" w:hAnsi="Arial" w:cs="Arial"/>
        </w:rPr>
      </w:pPr>
      <w:proofErr w:type="gramStart"/>
      <w:r>
        <w:rPr>
          <w:rFonts w:ascii="Arial" w:hAnsi="Arial" w:cs="Arial"/>
        </w:rPr>
        <w:t>&lt;</w:t>
      </w:r>
      <w:proofErr w:type="gramEnd"/>
      <w:r>
        <w:rPr>
          <w:rFonts w:ascii="Arial" w:hAnsi="Arial" w:cs="Arial"/>
        </w:rPr>
        <w:t>ESMA_QUESTION_MDA_3</w:t>
      </w:r>
      <w:r w:rsidR="00440A7A">
        <w:rPr>
          <w:rFonts w:ascii="Arial" w:hAnsi="Arial" w:cs="Arial"/>
        </w:rPr>
        <w:t>6</w:t>
      </w:r>
      <w:r>
        <w:rPr>
          <w:rFonts w:ascii="Arial" w:hAnsi="Arial" w:cs="Arial"/>
        </w:rPr>
        <w:t>&gt;</w:t>
      </w:r>
    </w:p>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0"/>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8C2C0" w14:textId="77777777" w:rsidR="00B4689E" w:rsidRDefault="00B4689E" w:rsidP="007E7997">
      <w:r>
        <w:separator/>
      </w:r>
    </w:p>
  </w:endnote>
  <w:endnote w:type="continuationSeparator" w:id="0">
    <w:p w14:paraId="45E78670" w14:textId="77777777" w:rsidR="00B4689E" w:rsidRDefault="00B4689E" w:rsidP="007E7997">
      <w:r>
        <w:continuationSeparator/>
      </w:r>
    </w:p>
  </w:endnote>
  <w:endnote w:type="continuationNotice" w:id="1">
    <w:p w14:paraId="23B5D317" w14:textId="77777777" w:rsidR="00B4689E" w:rsidRDefault="00B46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0282C8DD"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2C0F78">
      <w:rPr>
        <w:rFonts w:asciiTheme="majorHAnsi" w:hAnsiTheme="majorHAnsi"/>
        <w:color w:val="FFFFFF" w:themeColor="background1"/>
      </w:rPr>
      <w:t>12</w:t>
    </w:r>
    <w:r w:rsidR="00AB6157">
      <w:rPr>
        <w:rFonts w:asciiTheme="majorHAnsi" w:hAnsiTheme="majorHAnsi"/>
        <w:color w:val="FFFFFF" w:themeColor="background1"/>
      </w:rPr>
      <w:t xml:space="preserve"> </w:t>
    </w:r>
    <w:r w:rsidR="00010773">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76B68"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2C29A18A" w:rsidR="00E36813" w:rsidRDefault="00E36813">
        <w:pPr>
          <w:pStyle w:val="Fuzeile"/>
          <w:jc w:val="center"/>
        </w:pPr>
        <w:r>
          <w:fldChar w:fldCharType="begin"/>
        </w:r>
        <w:r>
          <w:instrText xml:space="preserve"> PAGE   \* MERGEFORMAT </w:instrText>
        </w:r>
        <w:r>
          <w:fldChar w:fldCharType="separate"/>
        </w:r>
        <w:r w:rsidR="006E2F77">
          <w:rPr>
            <w:noProof/>
          </w:rPr>
          <w:t>17</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2AE7" w14:textId="77777777" w:rsidR="00B4689E" w:rsidRDefault="00B4689E" w:rsidP="007E7997">
      <w:r>
        <w:separator/>
      </w:r>
    </w:p>
  </w:footnote>
  <w:footnote w:type="continuationSeparator" w:id="0">
    <w:p w14:paraId="709A180E" w14:textId="77777777" w:rsidR="00B4689E" w:rsidRDefault="00B4689E" w:rsidP="007E7997">
      <w:r>
        <w:continuationSeparator/>
      </w:r>
    </w:p>
  </w:footnote>
  <w:footnote w:type="continuationNotice" w:id="1">
    <w:p w14:paraId="400D8C14" w14:textId="77777777" w:rsidR="00B4689E" w:rsidRDefault="00B468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Kopfzeile"/>
    </w:pPr>
    <w:r>
      <w:rPr>
        <w:noProof/>
        <w:lang w:val="de-DE" w:eastAsia="de-DE"/>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de-DE" w:eastAsia="de-DE"/>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0773"/>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222"/>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0F78"/>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A7A"/>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2F77"/>
    <w:rsid w:val="006E3FDD"/>
    <w:rsid w:val="006E58FB"/>
    <w:rsid w:val="006E5D82"/>
    <w:rsid w:val="006E66B2"/>
    <w:rsid w:val="006E6C50"/>
    <w:rsid w:val="006E7A69"/>
    <w:rsid w:val="006E7DE4"/>
    <w:rsid w:val="006F53E8"/>
    <w:rsid w:val="006F5FB8"/>
    <w:rsid w:val="0070017B"/>
    <w:rsid w:val="00701D26"/>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88F"/>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7B4E"/>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689E"/>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6B68"/>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7222"/>
    <w:pPr>
      <w:autoSpaceDE w:val="0"/>
      <w:autoSpaceDN w:val="0"/>
      <w:adjustRightInd w:val="0"/>
      <w:spacing w:after="0" w:line="240" w:lineRule="auto"/>
    </w:pPr>
    <w:rPr>
      <w:rFonts w:ascii="Arial" w:eastAsiaTheme="minorHAnsi"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documentManagement/types"/>
    <ds:schemaRef ds:uri="http://schemas.microsoft.com/sharepoint/v4"/>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20fbe147-bbda-4e53-b6b1-7e8bbff3fe19"/>
    <ds:schemaRef ds:uri="http://www.w3.org/XML/1998/namespace"/>
    <ds:schemaRef ds:uri="http://purl.org/dc/dcmitype/"/>
  </ds:schemaRefs>
</ds:datastoreItem>
</file>

<file path=customXml/itemProps3.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89DC452C-F15C-4F63-A759-05E9B2A1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18</Pages>
  <Words>5262</Words>
  <Characters>33156</Characters>
  <Application>Microsoft Office Word</Application>
  <DocSecurity>8</DocSecurity>
  <Lines>276</Lines>
  <Paragraphs>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38342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Wagener, Dr. Martin</cp:lastModifiedBy>
  <cp:revision>8</cp:revision>
  <cp:lastPrinted>2019-09-06T13:24:00Z</cp:lastPrinted>
  <dcterms:created xsi:type="dcterms:W3CDTF">2019-06-21T08:32:00Z</dcterms:created>
  <dcterms:modified xsi:type="dcterms:W3CDTF">2019-09-06T14:08:00Z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