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hAnsiTheme="minorHAnsi" w:cstheme="minorHAnsi"/>
        </w:rPr>
        <w:id w:val="-973058580"/>
        <w:docPartObj>
          <w:docPartGallery w:val="Cover Pages"/>
          <w:docPartUnique/>
        </w:docPartObj>
      </w:sdt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AF2EF7" w:rsidRPr="00B8572C" w14:paraId="55D8B106" w14:textId="77777777" w:rsidTr="00D13661">
            <w:trPr>
              <w:trHeight w:hRule="exact" w:val="1492"/>
            </w:trPr>
            <w:tc>
              <w:tcPr>
                <w:tcW w:w="10490" w:type="dxa"/>
                <w:vAlign w:val="bottom"/>
              </w:tcPr>
              <w:p w14:paraId="2A8545EF" w14:textId="3CDBB7D7" w:rsidR="00AF2EF7" w:rsidRPr="00B8572C" w:rsidRDefault="00C1698A" w:rsidP="00D13661">
                <w:pPr>
                  <w:pStyle w:val="Title"/>
                  <w:spacing w:line="276" w:lineRule="auto"/>
                  <w:ind w:right="854"/>
                  <w:rPr>
                    <w:rFonts w:asciiTheme="minorHAnsi" w:hAnsiTheme="minorHAnsi" w:cstheme="minorHAnsi"/>
                    <w:sz w:val="48"/>
                    <w:szCs w:val="48"/>
                  </w:rPr>
                </w:pPr>
                <w:r>
                  <w:rPr>
                    <w:rFonts w:asciiTheme="minorHAnsi" w:hAnsiTheme="minorHAnsi" w:cstheme="minorHAnsi"/>
                    <w:sz w:val="48"/>
                    <w:szCs w:val="48"/>
                  </w:rPr>
                  <w:t xml:space="preserve">Response Form to the </w:t>
                </w:r>
                <w:r w:rsidR="008B2AF1">
                  <w:rPr>
                    <w:rFonts w:asciiTheme="minorHAnsi" w:hAnsiTheme="minorHAnsi" w:cstheme="minorHAnsi"/>
                    <w:sz w:val="48"/>
                    <w:szCs w:val="48"/>
                  </w:rPr>
                  <w:t xml:space="preserve">Consultation Paper </w:t>
                </w:r>
              </w:p>
            </w:tc>
          </w:tr>
          <w:tr w:rsidR="00AB6157" w:rsidRPr="00B8572C" w14:paraId="76D253F5" w14:textId="77777777" w:rsidTr="00D13661">
            <w:trPr>
              <w:trHeight w:hRule="exact" w:val="747"/>
            </w:trPr>
            <w:tc>
              <w:tcPr>
                <w:tcW w:w="10490" w:type="dxa"/>
                <w:tcMar>
                  <w:top w:w="142" w:type="dxa"/>
                </w:tcMar>
              </w:tcPr>
              <w:p w14:paraId="26CF3934" w14:textId="0AE97A02" w:rsidR="00AB6157" w:rsidRPr="00B8572C" w:rsidRDefault="00220938" w:rsidP="00AB6157">
                <w:pPr>
                  <w:pStyle w:val="Heading2"/>
                  <w:numPr>
                    <w:ilvl w:val="0"/>
                    <w:numId w:val="0"/>
                  </w:numPr>
                  <w:ind w:left="576" w:hanging="576"/>
                </w:pPr>
                <w:r w:rsidRPr="00220938">
                  <w:t xml:space="preserve">Draft </w:t>
                </w:r>
                <w:r>
                  <w:t xml:space="preserve">technical </w:t>
                </w:r>
                <w:r w:rsidRPr="00220938">
                  <w:t>advice on criteria for tiering under Article 25(2a) of EMIR2.2</w:t>
                </w: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default" r:id="rId13"/>
              <w:footerReference w:type="default" r:id="rId14"/>
              <w:headerReference w:type="first" r:id="rId15"/>
              <w:footerReference w:type="first" r:id="rId16"/>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14:paraId="46CF9AD5" w14:textId="10FB09AA"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paper and in particular on the specific questions summarised in Annex </w:t>
          </w:r>
          <w:r w:rsidR="00220938" w:rsidRPr="00220938">
            <w:rPr>
              <w:rFonts w:asciiTheme="minorHAnsi" w:eastAsiaTheme="minorEastAsia" w:hAnsiTheme="minorHAnsi" w:cstheme="minorBidi"/>
              <w:sz w:val="22"/>
              <w:szCs w:val="20"/>
              <w:lang w:eastAsia="en-US"/>
            </w:rPr>
            <w:t>III</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1F821ED6"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received </w:t>
          </w:r>
          <w:r w:rsidRPr="00AF7EC4">
            <w:rPr>
              <w:rFonts w:asciiTheme="minorHAnsi" w:eastAsiaTheme="minorEastAsia" w:hAnsiTheme="minorHAnsi" w:cstheme="minorBidi"/>
              <w:sz w:val="22"/>
              <w:szCs w:val="20"/>
              <w:lang w:eastAsia="en-US"/>
            </w:rPr>
            <w:t xml:space="preserve">by </w:t>
          </w:r>
          <w:r w:rsidR="00AF7EC4" w:rsidRPr="00AF7EC4">
            <w:rPr>
              <w:rFonts w:asciiTheme="minorHAnsi" w:eastAsiaTheme="minorEastAsia" w:hAnsiTheme="minorHAnsi" w:cstheme="minorBidi"/>
              <w:b/>
              <w:sz w:val="22"/>
              <w:szCs w:val="20"/>
              <w:lang w:eastAsia="en-US"/>
            </w:rPr>
            <w:t>29</w:t>
          </w:r>
          <w:r w:rsidRPr="00AF7EC4">
            <w:rPr>
              <w:rFonts w:asciiTheme="minorHAnsi" w:eastAsiaTheme="minorEastAsia" w:hAnsiTheme="minorHAnsi" w:cstheme="minorBidi"/>
              <w:b/>
              <w:sz w:val="22"/>
              <w:szCs w:val="20"/>
              <w:lang w:eastAsia="en-US"/>
            </w:rPr>
            <w:t xml:space="preserve"> July 2019.</w:t>
          </w:r>
          <w:r w:rsidRPr="00AB6157">
            <w:rPr>
              <w:rFonts w:asciiTheme="minorHAnsi" w:eastAsiaTheme="minorEastAsia" w:hAnsiTheme="minorHAnsi" w:cstheme="minorBidi"/>
              <w:b/>
              <w:sz w:val="22"/>
              <w:szCs w:val="20"/>
              <w:lang w:eastAsia="en-US"/>
            </w:rPr>
            <w:t xml:space="preserve"> </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7"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1200930E" w14:textId="5BFB56D4" w:rsidR="00C85C8B" w:rsidRPr="00C85C8B" w:rsidRDefault="00C85C8B" w:rsidP="00E7297E">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3B16398E" w14:textId="1E9BC481"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220938">
            <w:rPr>
              <w:rFonts w:eastAsiaTheme="minorEastAsia" w:cstheme="minorBidi"/>
              <w:szCs w:val="20"/>
              <w:lang w:eastAsia="en-US"/>
            </w:rPr>
            <w:t>TATC</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7D47EE19"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220938">
            <w:rPr>
              <w:rFonts w:eastAsiaTheme="minorEastAsia" w:cstheme="minorBidi"/>
              <w:szCs w:val="20"/>
              <w:lang w:eastAsia="en-US"/>
            </w:rPr>
            <w:t>TATC</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220938">
            <w:rPr>
              <w:rFonts w:eastAsiaTheme="minorEastAsia" w:cstheme="minorBidi"/>
              <w:szCs w:val="20"/>
              <w:lang w:eastAsia="en-US"/>
            </w:rPr>
            <w:t>TATC</w:t>
          </w:r>
          <w:r w:rsidRPr="00C85C8B">
            <w:rPr>
              <w:rFonts w:eastAsiaTheme="minorEastAsia" w:cstheme="minorBidi"/>
              <w:szCs w:val="20"/>
              <w:lang w:eastAsia="en-US"/>
            </w:rPr>
            <w:t>_ABCD_RESPONSEFORM.</w:t>
          </w:r>
        </w:p>
        <w:p w14:paraId="1A9C59D6" w14:textId="34F7EAAE"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8"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“Consultation on </w:t>
          </w:r>
          <w:r w:rsidR="00AB6157">
            <w:rPr>
              <w:rFonts w:eastAsiaTheme="minorEastAsia" w:cstheme="minorBidi"/>
              <w:szCs w:val="20"/>
              <w:lang w:eastAsia="en-US"/>
            </w:rPr>
            <w:t>Position limits and position management in commodities derivatives</w:t>
          </w:r>
          <w:r w:rsidRPr="00C85C8B">
            <w:rPr>
              <w:rFonts w:eastAsiaTheme="minorEastAsia" w:cstheme="minorBidi"/>
              <w:szCs w:val="20"/>
              <w:lang w:eastAsia="en-US"/>
            </w:rPr>
            <w:t>”).</w:t>
          </w:r>
        </w:p>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lastRenderedPageBreak/>
            <w:t>Publication of responses</w:t>
          </w:r>
        </w:p>
        <w:p w14:paraId="214D8BBA"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19"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20"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2F80FC06" w14:textId="77777777" w:rsidR="00220938" w:rsidRPr="00220938" w:rsidRDefault="00220938" w:rsidP="00220938">
          <w:pPr>
            <w:spacing w:after="250" w:line="276" w:lineRule="auto"/>
            <w:jc w:val="both"/>
            <w:rPr>
              <w:rFonts w:asciiTheme="minorHAnsi" w:eastAsiaTheme="minorEastAsia" w:hAnsiTheme="minorHAnsi" w:cstheme="minorBidi"/>
              <w:sz w:val="22"/>
              <w:szCs w:val="20"/>
              <w:lang w:eastAsia="en-US"/>
            </w:rPr>
          </w:pPr>
          <w:r w:rsidRPr="00220938">
            <w:rPr>
              <w:rFonts w:asciiTheme="minorHAnsi" w:eastAsiaTheme="minorEastAsia" w:hAnsiTheme="minorHAnsi" w:cstheme="minorBidi"/>
              <w:sz w:val="22"/>
              <w:szCs w:val="20"/>
              <w:lang w:eastAsia="en-US"/>
            </w:rPr>
            <w:t>All interested stakeholders are invited to respond to this consultation paper. In particular, responses are sought from central counterparties (CCPs), clearing members and clients of clearing members.</w:t>
          </w:r>
        </w:p>
        <w:p w14:paraId="14912E5E" w14:textId="1CE85474" w:rsidR="00AF2EF7" w:rsidRPr="00B8572C" w:rsidRDefault="000631F8" w:rsidP="00AF2EF7">
          <w:pPr>
            <w:spacing w:after="120" w:line="276" w:lineRule="auto"/>
            <w:rPr>
              <w:rFonts w:asciiTheme="minorHAnsi" w:hAnsiTheme="minorHAnsi" w:cstheme="minorHAnsi"/>
            </w:rPr>
          </w:pP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Heading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1B67440D" w14:textId="0AFEED46" w:rsidR="00C85C8B" w:rsidRPr="00C85C8B" w:rsidRDefault="00DD7C0A" w:rsidP="00DD7C0A">
                <w:pPr>
                  <w:rPr>
                    <w:rFonts w:ascii="Arial" w:hAnsi="Arial" w:cs="Arial"/>
                    <w:color w:val="808080"/>
                    <w:sz w:val="20"/>
                    <w:lang w:eastAsia="de-DE"/>
                  </w:rPr>
                </w:pPr>
                <w:r>
                  <w:rPr>
                    <w:rFonts w:ascii="Arial" w:hAnsi="Arial" w:cs="Arial"/>
                    <w:color w:val="808080"/>
                    <w:sz w:val="20"/>
                    <w:lang w:eastAsia="de-DE"/>
                  </w:rPr>
                  <w:t>LME Clear Limited</w:t>
                </w:r>
              </w:p>
            </w:tc>
          </w:sdtContent>
        </w:sdt>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46A230A7" w:rsidR="00C85C8B" w:rsidRPr="00C85C8B" w:rsidRDefault="000631F8"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DD7C0A">
                  <w:rPr>
                    <w:rFonts w:ascii="Arial" w:hAnsi="Arial" w:cs="Arial"/>
                    <w:sz w:val="20"/>
                    <w:lang w:eastAsia="de-DE"/>
                  </w:rPr>
                  <w:t>Central Counterparty</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4423E1" w14:textId="2485849B" w:rsidR="00C85C8B" w:rsidRPr="00C85C8B" w:rsidRDefault="00DD7C0A" w:rsidP="00C85C8B">
                <w:pPr>
                  <w:rPr>
                    <w:rFonts w:ascii="Arial" w:hAnsi="Arial" w:cs="Arial"/>
                    <w:sz w:val="20"/>
                    <w:lang w:eastAsia="de-DE"/>
                  </w:rPr>
                </w:pPr>
                <w:r>
                  <w:rPr>
                    <w:rFonts w:ascii="MS Gothic" w:eastAsia="MS Gothic" w:hAnsi="MS Gothic" w:cs="Arial" w:hint="eastAsia"/>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5FAB92B8" w:rsidR="00C85C8B" w:rsidRPr="00C85C8B" w:rsidRDefault="00DD7C0A" w:rsidP="00C85C8B">
                <w:pPr>
                  <w:rPr>
                    <w:rFonts w:ascii="Arial" w:hAnsi="Arial" w:cs="Arial"/>
                    <w:sz w:val="20"/>
                    <w:lang w:eastAsia="de-DE"/>
                  </w:rPr>
                </w:pPr>
                <w:r>
                  <w:rPr>
                    <w:rFonts w:ascii="Arial" w:hAnsi="Arial" w:cs="Arial"/>
                    <w:sz w:val="20"/>
                    <w:lang w:eastAsia="de-DE"/>
                  </w:rPr>
                  <w:t>UK</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63DF2975"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220938">
        <w:rPr>
          <w:rFonts w:asciiTheme="minorHAnsi" w:eastAsiaTheme="minorEastAsia" w:hAnsiTheme="minorHAnsi" w:cstheme="minorBidi"/>
          <w:sz w:val="22"/>
          <w:szCs w:val="20"/>
          <w:lang w:eastAsia="en-US"/>
        </w:rPr>
        <w:t>TATC</w:t>
      </w:r>
      <w:r w:rsidRPr="00C85C8B">
        <w:rPr>
          <w:rFonts w:asciiTheme="minorHAnsi" w:eastAsiaTheme="minorEastAsia" w:hAnsiTheme="minorHAnsi" w:cstheme="minorBidi"/>
          <w:sz w:val="22"/>
          <w:szCs w:val="20"/>
          <w:lang w:eastAsia="en-US"/>
        </w:rPr>
        <w:t>_1&gt;</w:t>
      </w:r>
    </w:p>
    <w:p w14:paraId="0418F2C1" w14:textId="77777777" w:rsidR="00DD7C0A" w:rsidRPr="00DD7C0A" w:rsidRDefault="00DD7C0A" w:rsidP="00DD7C0A">
      <w:pPr>
        <w:jc w:val="both"/>
        <w:rPr>
          <w:rFonts w:asciiTheme="minorHAnsi" w:hAnsiTheme="minorHAnsi" w:cstheme="minorHAnsi"/>
          <w:sz w:val="20"/>
          <w:szCs w:val="20"/>
        </w:rPr>
      </w:pPr>
      <w:permStart w:id="885457707" w:edGrp="everyone"/>
      <w:r w:rsidRPr="00DD7C0A">
        <w:rPr>
          <w:rFonts w:asciiTheme="minorHAnsi" w:hAnsiTheme="minorHAnsi" w:cstheme="minorHAnsi"/>
          <w:sz w:val="20"/>
          <w:szCs w:val="20"/>
        </w:rPr>
        <w:t>The London Metal Exchange (“</w:t>
      </w:r>
      <w:r w:rsidRPr="00DD7C0A">
        <w:rPr>
          <w:rFonts w:asciiTheme="minorHAnsi" w:hAnsiTheme="minorHAnsi" w:cstheme="minorHAnsi"/>
          <w:b/>
          <w:sz w:val="20"/>
          <w:szCs w:val="20"/>
        </w:rPr>
        <w:t>LME</w:t>
      </w:r>
      <w:r w:rsidRPr="00DD7C0A">
        <w:rPr>
          <w:rFonts w:asciiTheme="minorHAnsi" w:hAnsiTheme="minorHAnsi" w:cstheme="minorHAnsi"/>
          <w:sz w:val="20"/>
          <w:szCs w:val="20"/>
        </w:rPr>
        <w:t>”) is a UK-based European Union (“</w:t>
      </w:r>
      <w:r w:rsidRPr="00DD7C0A">
        <w:rPr>
          <w:rFonts w:asciiTheme="minorHAnsi" w:hAnsiTheme="minorHAnsi" w:cstheme="minorHAnsi"/>
          <w:b/>
          <w:sz w:val="20"/>
          <w:szCs w:val="20"/>
        </w:rPr>
        <w:t>EU</w:t>
      </w:r>
      <w:r w:rsidRPr="00DD7C0A">
        <w:rPr>
          <w:rFonts w:asciiTheme="minorHAnsi" w:hAnsiTheme="minorHAnsi" w:cstheme="minorHAnsi"/>
          <w:sz w:val="20"/>
          <w:szCs w:val="20"/>
        </w:rPr>
        <w:t xml:space="preserve">”) Regulated Market for the trading of derivatives based on 14 underlying metals.  The LME is a US Dollar market, with all of its contracts denominated in USD (and more than 95% of transactions settled in this currency).  </w:t>
      </w:r>
    </w:p>
    <w:p w14:paraId="4C259115" w14:textId="77777777" w:rsidR="00DD7C0A" w:rsidRPr="00DD7C0A" w:rsidRDefault="00DD7C0A" w:rsidP="00DD7C0A">
      <w:pPr>
        <w:jc w:val="both"/>
        <w:rPr>
          <w:rFonts w:asciiTheme="minorHAnsi" w:hAnsiTheme="minorHAnsi" w:cstheme="minorHAnsi"/>
          <w:sz w:val="20"/>
          <w:szCs w:val="20"/>
        </w:rPr>
      </w:pPr>
    </w:p>
    <w:p w14:paraId="583BAA98" w14:textId="77777777" w:rsidR="00DD7C0A" w:rsidRPr="00DD7C0A" w:rsidRDefault="00DD7C0A" w:rsidP="00DD7C0A">
      <w:pPr>
        <w:jc w:val="both"/>
        <w:rPr>
          <w:rStyle w:val="MembernoticesubjectheadingCharChar"/>
          <w:rFonts w:asciiTheme="minorHAnsi" w:hAnsiTheme="minorHAnsi" w:cstheme="minorHAnsi"/>
          <w:b w:val="0"/>
          <w:sz w:val="20"/>
          <w:szCs w:val="20"/>
        </w:rPr>
      </w:pPr>
      <w:r w:rsidRPr="00DD7C0A">
        <w:rPr>
          <w:rStyle w:val="MembernoticesubjectheadingCharChar"/>
          <w:rFonts w:asciiTheme="minorHAnsi" w:hAnsiTheme="minorHAnsi" w:cstheme="minorHAnsi"/>
          <w:b w:val="0"/>
          <w:sz w:val="20"/>
          <w:szCs w:val="20"/>
        </w:rPr>
        <w:t>LME Clear Limited (“</w:t>
      </w:r>
      <w:r w:rsidRPr="00DD7C0A">
        <w:rPr>
          <w:rStyle w:val="MembernoticesubjectheadingCharChar"/>
          <w:rFonts w:asciiTheme="minorHAnsi" w:hAnsiTheme="minorHAnsi" w:cstheme="minorHAnsi"/>
          <w:sz w:val="20"/>
          <w:szCs w:val="20"/>
        </w:rPr>
        <w:t>LME Clear</w:t>
      </w:r>
      <w:r w:rsidRPr="00DD7C0A">
        <w:rPr>
          <w:rStyle w:val="MembernoticesubjectheadingCharChar"/>
          <w:rFonts w:asciiTheme="minorHAnsi" w:hAnsiTheme="minorHAnsi" w:cstheme="minorHAnsi"/>
          <w:b w:val="0"/>
          <w:sz w:val="20"/>
          <w:szCs w:val="20"/>
        </w:rPr>
        <w:t>”) is the dedicated clearing house for the LME market.  Launched in 2014, it was designed and built in consultation with the market to provide cost-efficient, EMIR compliant clearing services, using cutting edge technology.  Six of LME Clear’s 45 clearing members are based in the EU; these contribute approximately 6% of total cleared volume.</w:t>
      </w:r>
    </w:p>
    <w:p w14:paraId="040C6C81" w14:textId="77777777" w:rsidR="00DD7C0A" w:rsidRPr="00DD7C0A" w:rsidRDefault="00DD7C0A" w:rsidP="00DD7C0A">
      <w:pPr>
        <w:pStyle w:val="MemberNoticeHeading"/>
        <w:widowControl/>
        <w:tabs>
          <w:tab w:val="clear" w:pos="1134"/>
          <w:tab w:val="left" w:pos="709"/>
          <w:tab w:val="left" w:pos="1440"/>
          <w:tab w:val="left" w:pos="2880"/>
          <w:tab w:val="left" w:pos="3600"/>
          <w:tab w:val="left" w:pos="4320"/>
        </w:tabs>
        <w:spacing w:line="288" w:lineRule="auto"/>
        <w:ind w:right="0"/>
        <w:jc w:val="both"/>
        <w:rPr>
          <w:rStyle w:val="MembernoticesubjectheadingCharChar"/>
          <w:rFonts w:asciiTheme="minorHAnsi" w:hAnsiTheme="minorHAnsi" w:cstheme="minorHAnsi"/>
          <w:b w:val="0"/>
          <w:sz w:val="20"/>
          <w:szCs w:val="20"/>
        </w:rPr>
      </w:pPr>
    </w:p>
    <w:p w14:paraId="6BAB37D3" w14:textId="77777777" w:rsidR="00DD7C0A" w:rsidRPr="00DD7C0A" w:rsidRDefault="00DD7C0A" w:rsidP="00DD7C0A">
      <w:pPr>
        <w:jc w:val="both"/>
        <w:rPr>
          <w:rFonts w:asciiTheme="minorHAnsi" w:hAnsiTheme="minorHAnsi" w:cstheme="minorHAnsi"/>
          <w:sz w:val="20"/>
          <w:szCs w:val="20"/>
        </w:rPr>
      </w:pPr>
      <w:r w:rsidRPr="00DD7C0A">
        <w:rPr>
          <w:rFonts w:asciiTheme="minorHAnsi" w:hAnsiTheme="minorHAnsi" w:cstheme="minorHAnsi"/>
          <w:sz w:val="20"/>
          <w:szCs w:val="20"/>
        </w:rPr>
        <w:t>LME Clear welcomes the opportunity to respond to this ESMA Consultation Paper on “</w:t>
      </w:r>
      <w:r w:rsidRPr="00DD7C0A">
        <w:rPr>
          <w:rFonts w:asciiTheme="minorHAnsi" w:hAnsiTheme="minorHAnsi" w:cstheme="minorHAnsi"/>
          <w:i/>
          <w:sz w:val="20"/>
          <w:szCs w:val="20"/>
        </w:rPr>
        <w:t xml:space="preserve">Draft Technical Advice on Criteria for </w:t>
      </w:r>
      <w:proofErr w:type="spellStart"/>
      <w:r w:rsidRPr="00DD7C0A">
        <w:rPr>
          <w:rFonts w:asciiTheme="minorHAnsi" w:hAnsiTheme="minorHAnsi" w:cstheme="minorHAnsi"/>
          <w:i/>
          <w:sz w:val="20"/>
          <w:szCs w:val="20"/>
        </w:rPr>
        <w:t>Tiering</w:t>
      </w:r>
      <w:proofErr w:type="spellEnd"/>
      <w:r w:rsidRPr="00DD7C0A">
        <w:rPr>
          <w:rFonts w:asciiTheme="minorHAnsi" w:hAnsiTheme="minorHAnsi" w:cstheme="minorHAnsi"/>
          <w:i/>
          <w:sz w:val="20"/>
          <w:szCs w:val="20"/>
        </w:rPr>
        <w:t xml:space="preserve"> under Article 25(2a) of EMIR2.2</w:t>
      </w:r>
      <w:r w:rsidRPr="00DD7C0A">
        <w:rPr>
          <w:rFonts w:asciiTheme="minorHAnsi" w:hAnsiTheme="minorHAnsi" w:cstheme="minorHAnsi"/>
          <w:sz w:val="20"/>
          <w:szCs w:val="20"/>
        </w:rPr>
        <w:t>”.</w:t>
      </w:r>
    </w:p>
    <w:p w14:paraId="228984E0" w14:textId="77777777" w:rsidR="00DD7C0A" w:rsidRPr="00A977C6" w:rsidRDefault="00DD7C0A" w:rsidP="00DD7C0A">
      <w:pPr>
        <w:pStyle w:val="MemberNoticeHeading"/>
        <w:widowControl/>
        <w:tabs>
          <w:tab w:val="clear" w:pos="1134"/>
          <w:tab w:val="left" w:pos="709"/>
          <w:tab w:val="left" w:pos="1440"/>
          <w:tab w:val="left" w:pos="2880"/>
          <w:tab w:val="left" w:pos="3600"/>
          <w:tab w:val="left" w:pos="4320"/>
        </w:tabs>
        <w:spacing w:line="288" w:lineRule="auto"/>
        <w:ind w:right="0"/>
        <w:jc w:val="both"/>
        <w:rPr>
          <w:rStyle w:val="MembernoticesubjectheadingCharChar"/>
          <w:b w:val="0"/>
          <w:sz w:val="20"/>
        </w:rPr>
      </w:pPr>
    </w:p>
    <w:p w14:paraId="10BB5C85" w14:textId="77777777" w:rsidR="00DD7C0A" w:rsidRPr="00DD7C0A" w:rsidRDefault="00DD7C0A" w:rsidP="00DD7C0A">
      <w:pPr>
        <w:pStyle w:val="MemberNoticeHeading"/>
        <w:widowControl/>
        <w:tabs>
          <w:tab w:val="clear" w:pos="1134"/>
          <w:tab w:val="left" w:pos="709"/>
          <w:tab w:val="left" w:pos="1440"/>
          <w:tab w:val="left" w:pos="2880"/>
          <w:tab w:val="left" w:pos="3600"/>
          <w:tab w:val="left" w:pos="4320"/>
        </w:tabs>
        <w:spacing w:line="288" w:lineRule="auto"/>
        <w:ind w:right="0"/>
        <w:jc w:val="both"/>
        <w:rPr>
          <w:rStyle w:val="MembernoticesubjectheadingCharChar"/>
          <w:b w:val="0"/>
          <w:sz w:val="20"/>
        </w:rPr>
      </w:pPr>
      <w:r w:rsidRPr="00DD7C0A">
        <w:rPr>
          <w:rStyle w:val="MembernoticesubjectheadingCharChar"/>
          <w:b w:val="0"/>
          <w:sz w:val="20"/>
        </w:rPr>
        <w:t xml:space="preserve">As a UK CCP supporting global trade in metal, LME Clear recognises the importance of initiatives aimed at removing barriers from the cross-border provision of financial services whilst ensuring this does not introduce increased risk into domestic financial markets.  LME Clear’s six EU members form an important and valued part of its membership base.  As LME Clear prepares for the UK’s withdrawal from the EU, it has always been a key priority to maintain continued access to its clearing systems for its EU members.  LME Clear therefore supports the underlying policy objectives which ESMA seeks to meet through the </w:t>
      </w:r>
      <w:proofErr w:type="spellStart"/>
      <w:r w:rsidRPr="00DD7C0A">
        <w:rPr>
          <w:rStyle w:val="MembernoticesubjectheadingCharChar"/>
          <w:b w:val="0"/>
          <w:sz w:val="20"/>
        </w:rPr>
        <w:t>Tiering</w:t>
      </w:r>
      <w:proofErr w:type="spellEnd"/>
      <w:r w:rsidRPr="00DD7C0A">
        <w:rPr>
          <w:rStyle w:val="MembernoticesubjectheadingCharChar"/>
          <w:b w:val="0"/>
          <w:sz w:val="20"/>
        </w:rPr>
        <w:t xml:space="preserve"> criteria.</w:t>
      </w:r>
    </w:p>
    <w:p w14:paraId="7ED9174E" w14:textId="77777777" w:rsidR="00DD7C0A" w:rsidRPr="00DD7C0A" w:rsidRDefault="00DD7C0A" w:rsidP="00DD7C0A">
      <w:pPr>
        <w:pStyle w:val="MemberNoticeHeading"/>
        <w:widowControl/>
        <w:tabs>
          <w:tab w:val="clear" w:pos="1134"/>
          <w:tab w:val="left" w:pos="709"/>
          <w:tab w:val="left" w:pos="1440"/>
          <w:tab w:val="left" w:pos="2880"/>
          <w:tab w:val="left" w:pos="3600"/>
          <w:tab w:val="left" w:pos="4320"/>
        </w:tabs>
        <w:spacing w:line="288" w:lineRule="auto"/>
        <w:ind w:right="0"/>
        <w:jc w:val="both"/>
        <w:rPr>
          <w:rStyle w:val="MembernoticesubjectheadingCharChar"/>
          <w:b w:val="0"/>
          <w:sz w:val="20"/>
        </w:rPr>
      </w:pPr>
    </w:p>
    <w:p w14:paraId="696005FE" w14:textId="77777777" w:rsidR="00DD7C0A" w:rsidRPr="00DD7C0A" w:rsidRDefault="00DD7C0A" w:rsidP="00DD7C0A">
      <w:pPr>
        <w:pStyle w:val="MemberNoticeHeading"/>
        <w:widowControl/>
        <w:tabs>
          <w:tab w:val="clear" w:pos="1134"/>
          <w:tab w:val="left" w:pos="709"/>
          <w:tab w:val="left" w:pos="1440"/>
          <w:tab w:val="left" w:pos="2880"/>
          <w:tab w:val="left" w:pos="3600"/>
          <w:tab w:val="left" w:pos="4320"/>
        </w:tabs>
        <w:spacing w:line="288" w:lineRule="auto"/>
        <w:ind w:right="0"/>
        <w:jc w:val="both"/>
        <w:rPr>
          <w:rStyle w:val="MembernoticesubjectheadingCharChar"/>
          <w:b w:val="0"/>
          <w:sz w:val="20"/>
        </w:rPr>
      </w:pPr>
      <w:r w:rsidRPr="00DD7C0A">
        <w:rPr>
          <w:rStyle w:val="MembernoticesubjectheadingCharChar"/>
          <w:b w:val="0"/>
          <w:sz w:val="20"/>
        </w:rPr>
        <w:t xml:space="preserve">Given LME Clear provides clearing services in a US Dollar market to a relatively small number of EU-based clearing members, and bearing in mind the policy objective outlined as enabling EU focus and priority on those Third Country CCPs (“TC-CCPs”) that are systemically important for the financial stability of the EU (or one or more of the Member States), we consider LME Clear falls firmly into Tier 1 territory.  However, we make the following general observations to assist ESMA as it finalises its technical advice on the </w:t>
      </w:r>
      <w:proofErr w:type="spellStart"/>
      <w:r w:rsidRPr="00DD7C0A">
        <w:rPr>
          <w:rStyle w:val="MembernoticesubjectheadingCharChar"/>
          <w:b w:val="0"/>
          <w:sz w:val="20"/>
        </w:rPr>
        <w:t>Tiering</w:t>
      </w:r>
      <w:proofErr w:type="spellEnd"/>
      <w:r w:rsidRPr="00DD7C0A">
        <w:rPr>
          <w:rStyle w:val="MembernoticesubjectheadingCharChar"/>
          <w:b w:val="0"/>
          <w:sz w:val="20"/>
        </w:rPr>
        <w:t xml:space="preserve"> criteria.</w:t>
      </w:r>
    </w:p>
    <w:p w14:paraId="23D2C874" w14:textId="77777777" w:rsidR="00DD7C0A" w:rsidRPr="00DD7C0A" w:rsidRDefault="00DD7C0A" w:rsidP="00DD7C0A">
      <w:pPr>
        <w:pStyle w:val="MemberNoticeHeading"/>
        <w:widowControl/>
        <w:tabs>
          <w:tab w:val="clear" w:pos="1134"/>
          <w:tab w:val="left" w:pos="709"/>
          <w:tab w:val="left" w:pos="1440"/>
          <w:tab w:val="left" w:pos="2880"/>
          <w:tab w:val="left" w:pos="3600"/>
          <w:tab w:val="left" w:pos="4320"/>
        </w:tabs>
        <w:spacing w:line="288" w:lineRule="auto"/>
        <w:ind w:right="0"/>
        <w:jc w:val="both"/>
        <w:rPr>
          <w:rStyle w:val="MembernoticesubjectheadingCharChar"/>
          <w:b w:val="0"/>
          <w:sz w:val="20"/>
        </w:rPr>
      </w:pPr>
    </w:p>
    <w:p w14:paraId="6860C22F" w14:textId="77777777" w:rsidR="00DD7C0A" w:rsidRPr="00DD7C0A" w:rsidRDefault="00DD7C0A" w:rsidP="00DD7C0A">
      <w:pPr>
        <w:pStyle w:val="MemberNoticeHeading"/>
        <w:widowControl/>
        <w:numPr>
          <w:ilvl w:val="0"/>
          <w:numId w:val="19"/>
        </w:numPr>
        <w:tabs>
          <w:tab w:val="clear" w:pos="1134"/>
          <w:tab w:val="left" w:pos="720"/>
          <w:tab w:val="left" w:pos="1440"/>
          <w:tab w:val="left" w:pos="2880"/>
          <w:tab w:val="left" w:pos="3600"/>
          <w:tab w:val="left" w:pos="4320"/>
        </w:tabs>
        <w:spacing w:line="288" w:lineRule="auto"/>
        <w:ind w:right="0"/>
        <w:jc w:val="both"/>
        <w:rPr>
          <w:rStyle w:val="MembernoticesubjectheadingCharChar"/>
          <w:b w:val="0"/>
          <w:sz w:val="20"/>
        </w:rPr>
      </w:pPr>
      <w:r w:rsidRPr="00DD7C0A">
        <w:rPr>
          <w:rStyle w:val="MembernoticesubjectheadingCharChar"/>
          <w:b w:val="0"/>
          <w:sz w:val="20"/>
        </w:rPr>
        <w:lastRenderedPageBreak/>
        <w:t xml:space="preserve">The regime as described represents the most comprehensive and rigorous regime for access and continued supervision for TC-CCPs globally.  The increased supervisory powers and criteria available to ESMA to complete the </w:t>
      </w:r>
      <w:proofErr w:type="spellStart"/>
      <w:r w:rsidRPr="00DD7C0A">
        <w:rPr>
          <w:rStyle w:val="MembernoticesubjectheadingCharChar"/>
          <w:b w:val="0"/>
          <w:sz w:val="20"/>
        </w:rPr>
        <w:t>Tiering</w:t>
      </w:r>
      <w:proofErr w:type="spellEnd"/>
      <w:r w:rsidRPr="00DD7C0A">
        <w:rPr>
          <w:rStyle w:val="MembernoticesubjectheadingCharChar"/>
          <w:b w:val="0"/>
          <w:sz w:val="20"/>
        </w:rPr>
        <w:t xml:space="preserve"> process therefore needs to be exercised appropriately, objectively and transparently to ensure the framework does not reduce the attraction of the EU as a place to do business for TC-CCPs.</w:t>
      </w:r>
    </w:p>
    <w:p w14:paraId="6306802E" w14:textId="77777777" w:rsidR="00DD7C0A" w:rsidRPr="00DD7C0A" w:rsidRDefault="00DD7C0A" w:rsidP="00DD7C0A">
      <w:pPr>
        <w:pStyle w:val="MemberNoticeHeading"/>
        <w:widowControl/>
        <w:tabs>
          <w:tab w:val="clear" w:pos="1134"/>
          <w:tab w:val="left" w:pos="709"/>
          <w:tab w:val="left" w:pos="1440"/>
          <w:tab w:val="left" w:pos="2880"/>
          <w:tab w:val="left" w:pos="3600"/>
          <w:tab w:val="left" w:pos="4320"/>
        </w:tabs>
        <w:spacing w:line="288" w:lineRule="auto"/>
        <w:ind w:right="0"/>
        <w:jc w:val="both"/>
        <w:rPr>
          <w:rStyle w:val="MembernoticesubjectheadingCharChar"/>
          <w:b w:val="0"/>
          <w:sz w:val="20"/>
        </w:rPr>
      </w:pPr>
    </w:p>
    <w:p w14:paraId="0B704F43" w14:textId="77777777" w:rsidR="00DD7C0A" w:rsidRPr="00DD7C0A" w:rsidRDefault="00DD7C0A" w:rsidP="00DD7C0A">
      <w:pPr>
        <w:pStyle w:val="MemberNoticeHeading"/>
        <w:widowControl/>
        <w:numPr>
          <w:ilvl w:val="0"/>
          <w:numId w:val="19"/>
        </w:numPr>
        <w:tabs>
          <w:tab w:val="clear" w:pos="1134"/>
          <w:tab w:val="left" w:pos="709"/>
          <w:tab w:val="left" w:pos="1440"/>
          <w:tab w:val="left" w:pos="2880"/>
          <w:tab w:val="left" w:pos="3600"/>
          <w:tab w:val="left" w:pos="4320"/>
        </w:tabs>
        <w:spacing w:line="288" w:lineRule="auto"/>
        <w:ind w:right="0"/>
        <w:jc w:val="both"/>
        <w:rPr>
          <w:rStyle w:val="MembernoticesubjectheadingCharChar"/>
          <w:b w:val="0"/>
          <w:sz w:val="20"/>
        </w:rPr>
      </w:pPr>
      <w:r w:rsidRPr="00DD7C0A">
        <w:rPr>
          <w:rStyle w:val="MembernoticesubjectheadingCharChar"/>
          <w:b w:val="0"/>
          <w:sz w:val="20"/>
        </w:rPr>
        <w:t xml:space="preserve">Safeguarding domestic financial markets must be balanced with </w:t>
      </w:r>
      <w:proofErr w:type="gramStart"/>
      <w:r w:rsidRPr="00DD7C0A">
        <w:rPr>
          <w:rStyle w:val="MembernoticesubjectheadingCharChar"/>
          <w:b w:val="0"/>
          <w:sz w:val="20"/>
        </w:rPr>
        <w:t>a recognition</w:t>
      </w:r>
      <w:proofErr w:type="gramEnd"/>
      <w:r w:rsidRPr="00DD7C0A">
        <w:rPr>
          <w:rStyle w:val="MembernoticesubjectheadingCharChar"/>
          <w:b w:val="0"/>
          <w:sz w:val="20"/>
        </w:rPr>
        <w:t xml:space="preserve"> that financial markets are global.  To ensure the EU’s global participation is not inadvertently jeopardised, EU regulatory regimes governing third country access need to delicately balance the competing priorities to be robust yet flexible; holistic yet proportionate; and objective yet rational.  Getting this right will enable EU financial markets to remain open and competitive with the benefit of continued access to global clearing services, without introducing increased risk to the safe functioning of those markets.</w:t>
      </w:r>
    </w:p>
    <w:p w14:paraId="6E9D7C0D" w14:textId="77777777" w:rsidR="00DD7C0A" w:rsidRPr="00DD7C0A" w:rsidRDefault="00DD7C0A" w:rsidP="00DD7C0A">
      <w:pPr>
        <w:pStyle w:val="MemberNoticeHeading"/>
        <w:widowControl/>
        <w:tabs>
          <w:tab w:val="clear" w:pos="1134"/>
          <w:tab w:val="left" w:pos="709"/>
          <w:tab w:val="left" w:pos="1440"/>
          <w:tab w:val="left" w:pos="2880"/>
          <w:tab w:val="left" w:pos="3600"/>
          <w:tab w:val="left" w:pos="4320"/>
        </w:tabs>
        <w:spacing w:line="288" w:lineRule="auto"/>
        <w:ind w:right="0"/>
        <w:jc w:val="both"/>
        <w:rPr>
          <w:rStyle w:val="MembernoticesubjectheadingCharChar"/>
          <w:b w:val="0"/>
          <w:sz w:val="20"/>
        </w:rPr>
      </w:pPr>
    </w:p>
    <w:p w14:paraId="2AAD0033" w14:textId="77777777" w:rsidR="00DD7C0A" w:rsidRPr="00DD7C0A" w:rsidRDefault="00DD7C0A" w:rsidP="00DD7C0A">
      <w:pPr>
        <w:pStyle w:val="MemberNoticeHeading"/>
        <w:widowControl/>
        <w:numPr>
          <w:ilvl w:val="0"/>
          <w:numId w:val="19"/>
        </w:numPr>
        <w:tabs>
          <w:tab w:val="clear" w:pos="1134"/>
          <w:tab w:val="left" w:pos="720"/>
          <w:tab w:val="left" w:pos="1440"/>
          <w:tab w:val="left" w:pos="2880"/>
          <w:tab w:val="left" w:pos="3600"/>
          <w:tab w:val="left" w:pos="4320"/>
        </w:tabs>
        <w:spacing w:line="288" w:lineRule="auto"/>
        <w:ind w:right="0"/>
        <w:jc w:val="both"/>
        <w:rPr>
          <w:rStyle w:val="MembernoticesubjectheadingCharChar"/>
          <w:b w:val="0"/>
          <w:sz w:val="20"/>
        </w:rPr>
      </w:pPr>
      <w:r w:rsidRPr="00DD7C0A">
        <w:rPr>
          <w:sz w:val="20"/>
        </w:rPr>
        <w:t xml:space="preserve">LME Clear agrees that </w:t>
      </w:r>
      <w:r w:rsidRPr="00DD7C0A">
        <w:rPr>
          <w:rStyle w:val="MembernoticesubjectheadingCharChar"/>
          <w:b w:val="0"/>
          <w:sz w:val="20"/>
        </w:rPr>
        <w:t>the risk profile of the TC-CCP should be assessed based on a consideration of all of the criteria collectively taking into account broader regulatory outcomes, rather than identifying a single criterion as being determinative.  We note this is consistent with that required by the underlying Level 1 Regulation.  LME Clear considers r</w:t>
      </w:r>
      <w:r w:rsidRPr="00DD7C0A">
        <w:rPr>
          <w:sz w:val="20"/>
        </w:rPr>
        <w:t xml:space="preserve">egimes which take into account regulatory judgement and outcomes, as opposed to relying on definitive lists of requirements or indicators, tend to be more workable and enable better consideration of the nuances and intricacies of particular products and markets.  </w:t>
      </w:r>
    </w:p>
    <w:p w14:paraId="49ED7992" w14:textId="77777777" w:rsidR="00DD7C0A" w:rsidRPr="00DD7C0A" w:rsidRDefault="00DD7C0A" w:rsidP="00DD7C0A">
      <w:pPr>
        <w:pStyle w:val="MemberNoticeHeading"/>
        <w:widowControl/>
        <w:tabs>
          <w:tab w:val="clear" w:pos="1134"/>
          <w:tab w:val="left" w:pos="720"/>
          <w:tab w:val="left" w:pos="1440"/>
          <w:tab w:val="left" w:pos="2880"/>
          <w:tab w:val="left" w:pos="3600"/>
          <w:tab w:val="left" w:pos="4320"/>
        </w:tabs>
        <w:spacing w:line="288" w:lineRule="auto"/>
        <w:ind w:left="360" w:right="0"/>
        <w:jc w:val="both"/>
        <w:rPr>
          <w:rStyle w:val="MembernoticesubjectheadingCharChar"/>
          <w:b w:val="0"/>
          <w:sz w:val="20"/>
        </w:rPr>
      </w:pPr>
    </w:p>
    <w:p w14:paraId="365DB619" w14:textId="77777777" w:rsidR="00DD7C0A" w:rsidRPr="00DD7C0A" w:rsidRDefault="00DD7C0A" w:rsidP="00DD7C0A">
      <w:pPr>
        <w:pStyle w:val="MemberNoticeHeading"/>
        <w:widowControl/>
        <w:numPr>
          <w:ilvl w:val="0"/>
          <w:numId w:val="19"/>
        </w:numPr>
        <w:tabs>
          <w:tab w:val="clear" w:pos="1134"/>
          <w:tab w:val="left" w:pos="720"/>
          <w:tab w:val="left" w:pos="1440"/>
          <w:tab w:val="left" w:pos="2880"/>
          <w:tab w:val="left" w:pos="3600"/>
          <w:tab w:val="left" w:pos="4320"/>
        </w:tabs>
        <w:spacing w:line="288" w:lineRule="auto"/>
        <w:ind w:right="0"/>
        <w:jc w:val="both"/>
        <w:rPr>
          <w:rStyle w:val="MembernoticesubjectheadingCharChar"/>
          <w:b w:val="0"/>
          <w:sz w:val="20"/>
        </w:rPr>
      </w:pPr>
      <w:r w:rsidRPr="00DD7C0A">
        <w:rPr>
          <w:rStyle w:val="MembernoticesubjectheadingCharChar"/>
          <w:b w:val="0"/>
          <w:sz w:val="20"/>
        </w:rPr>
        <w:t>Whilst appreciating the benefits of clarity and certainty on the criteria and indicators to be used, LME Clear notes some of the criteria aren’t necessarily primary factors that are directly relevant to the financial stability of the EU.  We also note there is no definition of systemic importance upon which to make an objective determination as to where the boundary lies between Tier 1 and Tier 2.  LME Clear would therefore urge ESMA to focus its considerations more narrowly on those items that are determinative of degree of impact to the financial stability of the EU (or one or more Member States) and therefore consistent with the policy objective sought.</w:t>
      </w:r>
    </w:p>
    <w:p w14:paraId="441FB1AD" w14:textId="77777777" w:rsidR="00DD7C0A" w:rsidRPr="00DD7C0A" w:rsidRDefault="00DD7C0A" w:rsidP="00DD7C0A">
      <w:pPr>
        <w:pStyle w:val="MemberNoticeHeading"/>
        <w:widowControl/>
        <w:tabs>
          <w:tab w:val="clear" w:pos="1134"/>
          <w:tab w:val="left" w:pos="720"/>
          <w:tab w:val="left" w:pos="1440"/>
          <w:tab w:val="left" w:pos="2880"/>
          <w:tab w:val="left" w:pos="3600"/>
          <w:tab w:val="left" w:pos="4320"/>
        </w:tabs>
        <w:spacing w:line="288" w:lineRule="auto"/>
        <w:ind w:left="360" w:right="0"/>
        <w:jc w:val="both"/>
        <w:rPr>
          <w:rStyle w:val="MembernoticesubjectheadingCharChar"/>
          <w:b w:val="0"/>
          <w:sz w:val="20"/>
        </w:rPr>
      </w:pPr>
    </w:p>
    <w:p w14:paraId="0EF01676" w14:textId="77777777" w:rsidR="00DD7C0A" w:rsidRPr="00DD7C0A" w:rsidRDefault="00DD7C0A" w:rsidP="00DD7C0A">
      <w:pPr>
        <w:pStyle w:val="MemberNoticeHeading"/>
        <w:widowControl/>
        <w:tabs>
          <w:tab w:val="clear" w:pos="1134"/>
          <w:tab w:val="left" w:pos="720"/>
          <w:tab w:val="left" w:pos="1440"/>
          <w:tab w:val="left" w:pos="2880"/>
          <w:tab w:val="left" w:pos="3600"/>
          <w:tab w:val="left" w:pos="4320"/>
        </w:tabs>
        <w:spacing w:line="288" w:lineRule="auto"/>
        <w:ind w:left="360" w:right="0"/>
        <w:jc w:val="both"/>
        <w:rPr>
          <w:rStyle w:val="MembernoticesubjectheadingCharChar"/>
          <w:b w:val="0"/>
          <w:sz w:val="20"/>
        </w:rPr>
      </w:pPr>
      <w:r w:rsidRPr="00DD7C0A">
        <w:rPr>
          <w:rStyle w:val="MembernoticesubjectheadingCharChar"/>
          <w:b w:val="0"/>
          <w:sz w:val="20"/>
        </w:rPr>
        <w:t>To do so we suggest dividing the assessment into two sequential parts to reflect relative importance, focusing first on those quantifiable indicators most important to the impact on financial stability of the EU:</w:t>
      </w:r>
    </w:p>
    <w:p w14:paraId="2B9A73D3" w14:textId="77777777" w:rsidR="00DD7C0A" w:rsidRPr="00DD7C0A" w:rsidRDefault="00DD7C0A" w:rsidP="00DD7C0A">
      <w:pPr>
        <w:pStyle w:val="MemberNoticeHeading"/>
        <w:widowControl/>
        <w:tabs>
          <w:tab w:val="clear" w:pos="1134"/>
          <w:tab w:val="left" w:pos="720"/>
          <w:tab w:val="left" w:pos="1440"/>
          <w:tab w:val="left" w:pos="2880"/>
          <w:tab w:val="left" w:pos="3600"/>
          <w:tab w:val="left" w:pos="4320"/>
        </w:tabs>
        <w:spacing w:line="288" w:lineRule="auto"/>
        <w:ind w:right="0"/>
        <w:jc w:val="both"/>
        <w:rPr>
          <w:rStyle w:val="MembernoticesubjectheadingCharChar"/>
          <w:b w:val="0"/>
          <w:sz w:val="20"/>
        </w:rPr>
      </w:pPr>
    </w:p>
    <w:p w14:paraId="5F5A4004" w14:textId="77777777" w:rsidR="00DD7C0A" w:rsidRPr="00DD7C0A" w:rsidRDefault="00DD7C0A" w:rsidP="00DD7C0A">
      <w:pPr>
        <w:pStyle w:val="MemberNoticeHeading"/>
        <w:widowControl/>
        <w:numPr>
          <w:ilvl w:val="0"/>
          <w:numId w:val="18"/>
        </w:numPr>
        <w:tabs>
          <w:tab w:val="left" w:pos="426"/>
          <w:tab w:val="left" w:pos="2880"/>
          <w:tab w:val="left" w:pos="3600"/>
          <w:tab w:val="left" w:pos="4320"/>
        </w:tabs>
        <w:spacing w:line="288" w:lineRule="auto"/>
        <w:ind w:right="0"/>
        <w:jc w:val="both"/>
        <w:rPr>
          <w:rStyle w:val="MembernoticesubjectheadingCharChar"/>
          <w:b w:val="0"/>
          <w:sz w:val="20"/>
        </w:rPr>
      </w:pPr>
      <w:r w:rsidRPr="00DD7C0A">
        <w:rPr>
          <w:rStyle w:val="MembernoticesubjectheadingCharChar"/>
          <w:b w:val="0"/>
          <w:sz w:val="20"/>
        </w:rPr>
        <w:t xml:space="preserve">Quantifiable indicators directly relevant to the impact of failure of the TC-CCP on the financial stability of the EU should be the primary consideration. Specifically, for example, the exposure that EU members have to the TC-CCP and the amount of EU currencies are held by the TC-CCP. This will determine the scale of the systemic risk to the financial stability of the EU.  </w:t>
      </w:r>
    </w:p>
    <w:p w14:paraId="2456B58B" w14:textId="77777777" w:rsidR="00DD7C0A" w:rsidRPr="00DD7C0A" w:rsidRDefault="00DD7C0A" w:rsidP="00DD7C0A">
      <w:pPr>
        <w:pStyle w:val="MemberNoticeHeading"/>
        <w:widowControl/>
        <w:tabs>
          <w:tab w:val="left" w:pos="426"/>
          <w:tab w:val="left" w:pos="2880"/>
          <w:tab w:val="left" w:pos="3600"/>
          <w:tab w:val="left" w:pos="4320"/>
        </w:tabs>
        <w:spacing w:line="288" w:lineRule="auto"/>
        <w:ind w:left="720" w:right="0"/>
        <w:jc w:val="both"/>
        <w:rPr>
          <w:rStyle w:val="MembernoticesubjectheadingCharChar"/>
          <w:b w:val="0"/>
          <w:sz w:val="20"/>
        </w:rPr>
      </w:pPr>
    </w:p>
    <w:p w14:paraId="2D7F520A" w14:textId="77777777" w:rsidR="00DD7C0A" w:rsidRPr="00DD7C0A" w:rsidRDefault="00DD7C0A" w:rsidP="00DD7C0A">
      <w:pPr>
        <w:pStyle w:val="MemberNoticeHeading"/>
        <w:widowControl/>
        <w:numPr>
          <w:ilvl w:val="0"/>
          <w:numId w:val="18"/>
        </w:numPr>
        <w:tabs>
          <w:tab w:val="left" w:pos="426"/>
          <w:tab w:val="left" w:pos="2880"/>
          <w:tab w:val="left" w:pos="3600"/>
          <w:tab w:val="left" w:pos="4320"/>
        </w:tabs>
        <w:spacing w:line="288" w:lineRule="auto"/>
        <w:ind w:right="0"/>
        <w:jc w:val="both"/>
        <w:rPr>
          <w:rStyle w:val="MembernoticesubjectheadingCharChar"/>
          <w:b w:val="0"/>
          <w:sz w:val="20"/>
        </w:rPr>
      </w:pPr>
      <w:r w:rsidRPr="00DD7C0A">
        <w:rPr>
          <w:rStyle w:val="MembernoticesubjectheadingCharChar"/>
          <w:b w:val="0"/>
          <w:sz w:val="20"/>
        </w:rPr>
        <w:t>Where the potential for systemic risk as per the primary consideration is considered sufficiently large, the assessment concerning ownership structure and alternative clearing services can be viewed in contributing to the level of risk of the TC-CCP as a corporate itself.</w:t>
      </w:r>
      <w:r w:rsidRPr="00DD7C0A">
        <w:t xml:space="preserve">  </w:t>
      </w:r>
      <w:r w:rsidRPr="00DD7C0A">
        <w:rPr>
          <w:rStyle w:val="MembernoticesubjectheadingCharChar"/>
          <w:b w:val="0"/>
          <w:sz w:val="20"/>
        </w:rPr>
        <w:t>At this point, it could be useful to employ a definition of ‘systemic importance’ or a similar concept to enable CCPs to draw preliminary conclusions prior to their application.</w:t>
      </w:r>
    </w:p>
    <w:p w14:paraId="087B1A7C" w14:textId="77777777" w:rsidR="00DD7C0A" w:rsidRPr="00DD7C0A" w:rsidRDefault="00DD7C0A" w:rsidP="00DD7C0A">
      <w:pPr>
        <w:pStyle w:val="MemberNoticeHeading"/>
        <w:widowControl/>
        <w:tabs>
          <w:tab w:val="clear" w:pos="1134"/>
          <w:tab w:val="left" w:pos="720"/>
          <w:tab w:val="left" w:pos="1440"/>
          <w:tab w:val="left" w:pos="2880"/>
          <w:tab w:val="left" w:pos="3600"/>
          <w:tab w:val="left" w:pos="4320"/>
        </w:tabs>
        <w:spacing w:line="288" w:lineRule="auto"/>
        <w:ind w:right="0"/>
        <w:jc w:val="both"/>
        <w:rPr>
          <w:rStyle w:val="MembernoticesubjectheadingCharChar"/>
          <w:b w:val="0"/>
          <w:sz w:val="20"/>
        </w:rPr>
      </w:pPr>
    </w:p>
    <w:p w14:paraId="75B3BA25" w14:textId="77777777" w:rsidR="00DD7C0A" w:rsidRPr="00DD7C0A" w:rsidRDefault="00DD7C0A" w:rsidP="00DD7C0A">
      <w:pPr>
        <w:pStyle w:val="MemberNoticeHeading"/>
        <w:widowControl/>
        <w:tabs>
          <w:tab w:val="clear" w:pos="1134"/>
          <w:tab w:val="left" w:pos="720"/>
          <w:tab w:val="left" w:pos="1440"/>
          <w:tab w:val="left" w:pos="2880"/>
          <w:tab w:val="left" w:pos="3600"/>
          <w:tab w:val="left" w:pos="4320"/>
        </w:tabs>
        <w:spacing w:line="288" w:lineRule="auto"/>
        <w:ind w:left="360" w:right="0"/>
        <w:jc w:val="both"/>
        <w:rPr>
          <w:rStyle w:val="MembernoticesubjectheadingCharChar"/>
          <w:b w:val="0"/>
          <w:sz w:val="20"/>
        </w:rPr>
      </w:pPr>
      <w:r w:rsidRPr="00DD7C0A">
        <w:rPr>
          <w:rStyle w:val="MembernoticesubjectheadingCharChar"/>
          <w:b w:val="0"/>
          <w:sz w:val="20"/>
        </w:rPr>
        <w:t xml:space="preserve">This approach would ensure that the risk assessment is based primarily on the </w:t>
      </w:r>
      <w:r w:rsidRPr="00DD7C0A">
        <w:rPr>
          <w:rStyle w:val="MembernoticesubjectheadingCharChar"/>
          <w:b w:val="0"/>
          <w:i/>
          <w:sz w:val="20"/>
        </w:rPr>
        <w:t>actual</w:t>
      </w:r>
      <w:r w:rsidRPr="00DD7C0A">
        <w:rPr>
          <w:rStyle w:val="MembernoticesubjectheadingCharChar"/>
          <w:b w:val="0"/>
          <w:sz w:val="20"/>
        </w:rPr>
        <w:t xml:space="preserve"> financial stability risk posed by the TC-CCP to the EU (or one or more Member States). If that risk is considered to be sufficiently large, further criteria relating only to the CCP itself (and therefore the likelihood of that risk being crystallised) can be taken into account.</w:t>
      </w:r>
    </w:p>
    <w:p w14:paraId="0AF91900" w14:textId="77777777" w:rsidR="00DD7C0A" w:rsidRPr="00DD7C0A" w:rsidRDefault="00DD7C0A" w:rsidP="00DD7C0A">
      <w:pPr>
        <w:pStyle w:val="MemberNoticeHeading"/>
        <w:widowControl/>
        <w:tabs>
          <w:tab w:val="clear" w:pos="1134"/>
          <w:tab w:val="left" w:pos="720"/>
          <w:tab w:val="left" w:pos="1440"/>
          <w:tab w:val="left" w:pos="2880"/>
          <w:tab w:val="left" w:pos="3600"/>
          <w:tab w:val="left" w:pos="4320"/>
        </w:tabs>
        <w:spacing w:line="288" w:lineRule="auto"/>
        <w:ind w:left="360" w:right="0"/>
        <w:jc w:val="both"/>
        <w:rPr>
          <w:rStyle w:val="MembernoticesubjectheadingCharChar"/>
          <w:b w:val="0"/>
          <w:sz w:val="20"/>
        </w:rPr>
      </w:pPr>
    </w:p>
    <w:p w14:paraId="1140DCB6" w14:textId="77777777" w:rsidR="00DD7C0A" w:rsidRPr="00DD7C0A" w:rsidRDefault="00DD7C0A" w:rsidP="00DD7C0A">
      <w:pPr>
        <w:pStyle w:val="MemberNoticeHeading"/>
        <w:widowControl/>
        <w:numPr>
          <w:ilvl w:val="0"/>
          <w:numId w:val="19"/>
        </w:numPr>
        <w:tabs>
          <w:tab w:val="clear" w:pos="1134"/>
          <w:tab w:val="left" w:pos="720"/>
          <w:tab w:val="left" w:pos="1440"/>
          <w:tab w:val="left" w:pos="2880"/>
          <w:tab w:val="left" w:pos="3600"/>
          <w:tab w:val="left" w:pos="4320"/>
        </w:tabs>
        <w:spacing w:line="288" w:lineRule="auto"/>
        <w:ind w:right="0"/>
        <w:jc w:val="both"/>
        <w:rPr>
          <w:rStyle w:val="MembernoticesubjectheadingCharChar"/>
          <w:b w:val="0"/>
          <w:sz w:val="20"/>
        </w:rPr>
      </w:pPr>
      <w:r w:rsidRPr="00DD7C0A">
        <w:rPr>
          <w:rStyle w:val="MembernoticesubjectheadingCharChar"/>
          <w:b w:val="0"/>
          <w:sz w:val="20"/>
        </w:rPr>
        <w:lastRenderedPageBreak/>
        <w:t xml:space="preserve">As a general point, regarding criteria which are dealt with in international standards and local regulation (for example, cyber-resilience or recovery and resolution), we would view these issues as being more relevant to Comparable Compliance and supervisory oversight rather than being primary factors when considering the CCP’s potential impact on the financial stability of the EU. </w:t>
      </w:r>
    </w:p>
    <w:p w14:paraId="005FDF14" w14:textId="77777777" w:rsidR="00DD7C0A" w:rsidRPr="00DD7C0A" w:rsidRDefault="00DD7C0A" w:rsidP="00DD7C0A">
      <w:pPr>
        <w:pStyle w:val="MemberNoticeHeading"/>
        <w:widowControl/>
        <w:tabs>
          <w:tab w:val="clear" w:pos="1134"/>
          <w:tab w:val="left" w:pos="720"/>
          <w:tab w:val="left" w:pos="1440"/>
          <w:tab w:val="left" w:pos="2880"/>
          <w:tab w:val="left" w:pos="3600"/>
          <w:tab w:val="left" w:pos="4320"/>
        </w:tabs>
        <w:spacing w:line="288" w:lineRule="auto"/>
        <w:ind w:left="360" w:right="0"/>
        <w:jc w:val="both"/>
        <w:rPr>
          <w:rStyle w:val="MembernoticesubjectheadingCharChar"/>
          <w:b w:val="0"/>
          <w:sz w:val="20"/>
        </w:rPr>
      </w:pPr>
    </w:p>
    <w:p w14:paraId="78FDB524" w14:textId="77777777" w:rsidR="00DD7C0A" w:rsidRPr="00DD7C0A" w:rsidRDefault="00DD7C0A" w:rsidP="00DD7C0A">
      <w:pPr>
        <w:pStyle w:val="MemberNoticeHeading"/>
        <w:widowControl/>
        <w:numPr>
          <w:ilvl w:val="0"/>
          <w:numId w:val="20"/>
        </w:numPr>
        <w:tabs>
          <w:tab w:val="clear" w:pos="1134"/>
          <w:tab w:val="left" w:pos="720"/>
          <w:tab w:val="left" w:pos="1440"/>
          <w:tab w:val="left" w:pos="2880"/>
          <w:tab w:val="left" w:pos="3600"/>
          <w:tab w:val="left" w:pos="4320"/>
        </w:tabs>
        <w:spacing w:line="288" w:lineRule="auto"/>
        <w:ind w:right="0"/>
        <w:jc w:val="both"/>
        <w:rPr>
          <w:rStyle w:val="MembernoticesubjectheadingCharChar"/>
          <w:b w:val="0"/>
          <w:sz w:val="20"/>
        </w:rPr>
      </w:pPr>
      <w:r w:rsidRPr="00DD7C0A">
        <w:rPr>
          <w:rStyle w:val="MembernoticesubjectheadingCharChar"/>
          <w:b w:val="0"/>
          <w:sz w:val="20"/>
        </w:rPr>
        <w:t>As LME Clear describes in its separate response to the Consultation Paper on Comparable Compliance, it is still unclear what the supervisory regime will look like for TC-CCPs.  There we focus on the supervisory regime for Tier 2 TC-CCPs which have secured Comparable Compliance status. However, more generally we consider it would be helpful - as TC-CCPs prepare for the new regime - to have clarity on how the supervisory regime would be structured (and differentiated in each situation) going forward.</w:t>
      </w:r>
    </w:p>
    <w:p w14:paraId="381B0CBB" w14:textId="77777777" w:rsidR="00DD7C0A" w:rsidRPr="00DD7C0A" w:rsidRDefault="00DD7C0A" w:rsidP="00DD7C0A">
      <w:pPr>
        <w:pStyle w:val="MemberNoticeHeading"/>
        <w:widowControl/>
        <w:tabs>
          <w:tab w:val="clear" w:pos="1134"/>
          <w:tab w:val="left" w:pos="720"/>
          <w:tab w:val="left" w:pos="1440"/>
          <w:tab w:val="left" w:pos="2880"/>
          <w:tab w:val="left" w:pos="3600"/>
          <w:tab w:val="left" w:pos="4320"/>
        </w:tabs>
        <w:spacing w:line="288" w:lineRule="auto"/>
        <w:ind w:left="360" w:right="0"/>
        <w:jc w:val="both"/>
        <w:rPr>
          <w:rStyle w:val="MembernoticesubjectheadingCharChar"/>
          <w:b w:val="0"/>
          <w:sz w:val="20"/>
        </w:rPr>
      </w:pPr>
    </w:p>
    <w:p w14:paraId="00C44452" w14:textId="77777777" w:rsidR="00DD7C0A" w:rsidRPr="00DD7C0A" w:rsidRDefault="00DD7C0A" w:rsidP="00DD7C0A">
      <w:pPr>
        <w:pStyle w:val="MemberNoticeHeading"/>
        <w:widowControl/>
        <w:numPr>
          <w:ilvl w:val="0"/>
          <w:numId w:val="20"/>
        </w:numPr>
        <w:tabs>
          <w:tab w:val="clear" w:pos="1134"/>
          <w:tab w:val="left" w:pos="720"/>
          <w:tab w:val="left" w:pos="1440"/>
          <w:tab w:val="left" w:pos="2880"/>
          <w:tab w:val="left" w:pos="3600"/>
          <w:tab w:val="left" w:pos="4320"/>
        </w:tabs>
        <w:spacing w:line="288" w:lineRule="auto"/>
        <w:ind w:right="0"/>
        <w:jc w:val="both"/>
        <w:rPr>
          <w:rStyle w:val="MembernoticesubjectheadingCharChar"/>
          <w:b w:val="0"/>
          <w:sz w:val="20"/>
        </w:rPr>
      </w:pPr>
      <w:r w:rsidRPr="00DD7C0A">
        <w:rPr>
          <w:rStyle w:val="MembernoticesubjectheadingCharChar"/>
          <w:b w:val="0"/>
          <w:sz w:val="20"/>
        </w:rPr>
        <w:t>Finally, LME Clear would welcome clarity on likely timings on this file – particularly in light of the temporary Recognitions for UK-based CCPs (made under current EMIR) expiring in March 2020.</w:t>
      </w:r>
    </w:p>
    <w:p w14:paraId="047D9DDD" w14:textId="77777777" w:rsidR="00DD7C0A" w:rsidRPr="00DD7C0A" w:rsidRDefault="00DD7C0A" w:rsidP="00DD7C0A">
      <w:pPr>
        <w:pStyle w:val="MemberNoticeHeading"/>
        <w:widowControl/>
        <w:tabs>
          <w:tab w:val="clear" w:pos="1134"/>
          <w:tab w:val="left" w:pos="720"/>
          <w:tab w:val="left" w:pos="1440"/>
          <w:tab w:val="left" w:pos="2880"/>
          <w:tab w:val="left" w:pos="3600"/>
          <w:tab w:val="left" w:pos="4320"/>
        </w:tabs>
        <w:spacing w:line="288" w:lineRule="auto"/>
        <w:ind w:right="0"/>
        <w:jc w:val="both"/>
        <w:rPr>
          <w:rStyle w:val="MembernoticesubjectheadingCharChar"/>
          <w:b w:val="0"/>
          <w:sz w:val="20"/>
        </w:rPr>
      </w:pPr>
    </w:p>
    <w:p w14:paraId="02AF2FF9" w14:textId="621DD0DF" w:rsidR="00C85C8B" w:rsidRPr="00DD7C0A" w:rsidRDefault="00DD7C0A" w:rsidP="00DD7C0A">
      <w:pPr>
        <w:spacing w:after="250" w:line="276" w:lineRule="auto"/>
        <w:jc w:val="both"/>
        <w:rPr>
          <w:rFonts w:ascii="Arial" w:eastAsiaTheme="minorEastAsia" w:hAnsi="Arial" w:cs="Arial"/>
          <w:sz w:val="22"/>
          <w:szCs w:val="20"/>
          <w:lang w:eastAsia="en-US"/>
        </w:rPr>
      </w:pPr>
      <w:r w:rsidRPr="00DD7C0A">
        <w:rPr>
          <w:rStyle w:val="MembernoticesubjectheadingCharChar"/>
          <w:b w:val="0"/>
          <w:sz w:val="20"/>
          <w:szCs w:val="20"/>
        </w:rPr>
        <w:t>LME Clear remains committed to serving its global membership and would welcome the opportunity to discuss the proposals contained in this paper with ESMA at its convenience.</w:t>
      </w:r>
    </w:p>
    <w:permEnd w:id="885457707"/>
    <w:p w14:paraId="15D00E65" w14:textId="59329D4C"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220938">
        <w:rPr>
          <w:rFonts w:asciiTheme="minorHAnsi" w:eastAsiaTheme="minorEastAsia" w:hAnsiTheme="minorHAnsi" w:cs="Arial"/>
          <w:sz w:val="22"/>
          <w:szCs w:val="20"/>
          <w:lang w:eastAsia="en-US"/>
        </w:rPr>
        <w:t>TATC</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21C1F329"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289A1E31" w14:textId="15BD04BA" w:rsidR="00AB6157" w:rsidRDefault="00AB6157" w:rsidP="00C1698A">
      <w:pPr>
        <w:spacing w:line="276" w:lineRule="auto"/>
        <w:rPr>
          <w:rFonts w:asciiTheme="minorHAnsi" w:hAnsiTheme="minorHAnsi" w:cstheme="minorHAnsi"/>
          <w:b/>
          <w:sz w:val="28"/>
          <w:szCs w:val="28"/>
        </w:rPr>
      </w:pPr>
    </w:p>
    <w:p w14:paraId="4F146DAC" w14:textId="77777777" w:rsidR="00BE0B46" w:rsidRDefault="00BE0B46" w:rsidP="00BE0B46">
      <w:pPr>
        <w:pStyle w:val="Questionstyle"/>
        <w:numPr>
          <w:ilvl w:val="0"/>
          <w:numId w:val="17"/>
        </w:numPr>
        <w:spacing w:after="250" w:line="276" w:lineRule="auto"/>
      </w:pPr>
      <w:r>
        <w:t>: Do you generally agree with the proposed indicators (Indicators 1, 2, 3, 4 and 5) to further assess the nature, size and complexity of the CCP's business? Please elaborate and if you disagree with any specific indicator, please suggest an alternative one to measure the relevant criterion.</w:t>
      </w:r>
    </w:p>
    <w:p w14:paraId="5DC043E3" w14:textId="77777777" w:rsidR="00BE0B46" w:rsidRDefault="00BE0B46" w:rsidP="00BE0B46">
      <w:pPr>
        <w:rPr>
          <w:rFonts w:ascii="Arial" w:hAnsi="Arial" w:cs="Arial"/>
        </w:rPr>
      </w:pPr>
      <w:r>
        <w:rPr>
          <w:rFonts w:ascii="Arial" w:hAnsi="Arial" w:cs="Arial"/>
        </w:rPr>
        <w:t>&lt;ESMA_QUESTION_TATC_1&gt;</w:t>
      </w:r>
    </w:p>
    <w:p w14:paraId="0CCEA24F" w14:textId="77777777" w:rsidR="007B26C7" w:rsidRPr="007B26C7" w:rsidRDefault="007B26C7" w:rsidP="007B26C7">
      <w:pPr>
        <w:jc w:val="both"/>
        <w:rPr>
          <w:rFonts w:asciiTheme="minorHAnsi" w:hAnsiTheme="minorHAnsi" w:cstheme="minorHAnsi"/>
          <w:sz w:val="20"/>
          <w:szCs w:val="20"/>
        </w:rPr>
      </w:pPr>
      <w:permStart w:id="1720912251" w:edGrp="everyone"/>
      <w:r w:rsidRPr="007B26C7">
        <w:rPr>
          <w:rFonts w:asciiTheme="minorHAnsi" w:hAnsiTheme="minorHAnsi" w:cstheme="minorHAnsi"/>
          <w:sz w:val="20"/>
          <w:szCs w:val="20"/>
        </w:rPr>
        <w:t>As a general point, LME Clear supports a regime which takes into account regulatory judgement and outcomes, as opposed to relying on definitive lists, requirements or indicators.</w:t>
      </w:r>
    </w:p>
    <w:p w14:paraId="6E3562C0" w14:textId="77777777" w:rsidR="007B26C7" w:rsidRPr="007B26C7" w:rsidRDefault="007B26C7" w:rsidP="007B26C7">
      <w:pPr>
        <w:jc w:val="both"/>
        <w:rPr>
          <w:rFonts w:asciiTheme="minorHAnsi" w:hAnsiTheme="minorHAnsi" w:cstheme="minorHAnsi"/>
          <w:sz w:val="20"/>
          <w:szCs w:val="20"/>
        </w:rPr>
      </w:pPr>
    </w:p>
    <w:p w14:paraId="111A467B" w14:textId="77777777" w:rsidR="007B26C7" w:rsidRPr="007B26C7" w:rsidRDefault="007B26C7" w:rsidP="007B26C7">
      <w:pPr>
        <w:jc w:val="both"/>
        <w:rPr>
          <w:rFonts w:asciiTheme="minorHAnsi" w:hAnsiTheme="minorHAnsi" w:cstheme="minorHAnsi"/>
          <w:sz w:val="20"/>
          <w:szCs w:val="20"/>
        </w:rPr>
      </w:pPr>
      <w:r w:rsidRPr="007B26C7">
        <w:rPr>
          <w:rFonts w:asciiTheme="minorHAnsi" w:hAnsiTheme="minorHAnsi" w:cstheme="minorHAnsi"/>
          <w:sz w:val="20"/>
          <w:szCs w:val="20"/>
        </w:rPr>
        <w:t>Whilst appreciating the benefits of clarity and certainty on the criteria and indicators to be used, LME Clear notes some of the criteria are not necessarily primary factors that would be directly relevant to the financial stability of the EU.  We also note there is no definition of systemic importance upon which to make an objective determination as to where the boundary lies between Tier 1 and Tier 2.  LME Clear would therefore urge ESMA to focus its considerations more narrowly on those areas that are determinative of degree of impact to the financial stability of the EU (or one or more Member States) and therefore consistent with the policy objective sought.</w:t>
      </w:r>
    </w:p>
    <w:p w14:paraId="380E915C" w14:textId="77777777" w:rsidR="007B26C7" w:rsidRPr="007B26C7" w:rsidRDefault="007B26C7" w:rsidP="007B26C7">
      <w:pPr>
        <w:jc w:val="both"/>
        <w:rPr>
          <w:rFonts w:asciiTheme="minorHAnsi" w:hAnsiTheme="minorHAnsi" w:cstheme="minorHAnsi"/>
          <w:sz w:val="20"/>
          <w:szCs w:val="20"/>
        </w:rPr>
      </w:pPr>
    </w:p>
    <w:p w14:paraId="21EB4480" w14:textId="77777777" w:rsidR="007B26C7" w:rsidRPr="007B26C7" w:rsidRDefault="007B26C7" w:rsidP="006E28F7">
      <w:pPr>
        <w:jc w:val="both"/>
        <w:rPr>
          <w:rFonts w:asciiTheme="minorHAnsi" w:hAnsiTheme="minorHAnsi" w:cstheme="minorHAnsi"/>
          <w:sz w:val="20"/>
          <w:szCs w:val="20"/>
        </w:rPr>
      </w:pPr>
      <w:r w:rsidRPr="007B26C7">
        <w:rPr>
          <w:rFonts w:asciiTheme="minorHAnsi" w:hAnsiTheme="minorHAnsi" w:cstheme="minorHAnsi"/>
          <w:sz w:val="20"/>
          <w:szCs w:val="20"/>
        </w:rPr>
        <w:t>As such we suggest dividing the assessment into two sequential parts to reflect relative importance, focusing first on those indicators most important to the impact on the EU:</w:t>
      </w:r>
    </w:p>
    <w:p w14:paraId="59AFA051" w14:textId="77777777" w:rsidR="007B26C7" w:rsidRPr="007B26C7" w:rsidRDefault="007B26C7" w:rsidP="006E28F7">
      <w:pPr>
        <w:tabs>
          <w:tab w:val="left" w:pos="284"/>
        </w:tabs>
        <w:ind w:left="284"/>
        <w:jc w:val="both"/>
        <w:rPr>
          <w:rFonts w:asciiTheme="minorHAnsi" w:hAnsiTheme="minorHAnsi" w:cstheme="minorHAnsi"/>
          <w:sz w:val="20"/>
          <w:szCs w:val="20"/>
        </w:rPr>
      </w:pPr>
    </w:p>
    <w:p w14:paraId="41A617A5" w14:textId="77777777" w:rsidR="007B26C7" w:rsidRPr="007B26C7" w:rsidRDefault="007B26C7" w:rsidP="006E28F7">
      <w:pPr>
        <w:pStyle w:val="MemberNoticeHeading"/>
        <w:widowControl/>
        <w:numPr>
          <w:ilvl w:val="0"/>
          <w:numId w:val="21"/>
        </w:numPr>
        <w:tabs>
          <w:tab w:val="left" w:pos="284"/>
          <w:tab w:val="left" w:pos="426"/>
          <w:tab w:val="left" w:pos="2880"/>
          <w:tab w:val="left" w:pos="3600"/>
          <w:tab w:val="left" w:pos="4320"/>
        </w:tabs>
        <w:spacing w:line="288" w:lineRule="auto"/>
        <w:ind w:left="426" w:right="0"/>
        <w:jc w:val="both"/>
        <w:rPr>
          <w:rFonts w:asciiTheme="minorHAnsi" w:hAnsiTheme="minorHAnsi" w:cstheme="minorHAnsi"/>
          <w:sz w:val="20"/>
          <w:lang w:eastAsia="en-GB"/>
        </w:rPr>
      </w:pPr>
      <w:r w:rsidRPr="007B26C7">
        <w:rPr>
          <w:rStyle w:val="MembernoticesubjectheadingCharChar"/>
          <w:rFonts w:asciiTheme="minorHAnsi" w:hAnsiTheme="minorHAnsi" w:cstheme="minorHAnsi"/>
          <w:b w:val="0"/>
          <w:sz w:val="20"/>
          <w:szCs w:val="20"/>
        </w:rPr>
        <w:t>Quantifiable indicators directly relevant to the impact of failure of the TC-CCP on the EU to be the primary consideration. Specifically, for example, the exposure that EU members have to the TC-CCP and the amount of EU currencies are held by the TC-CCP. This will determine the scale of the systemic risk to the financial stability of the EU or one or more Member</w:t>
      </w:r>
      <w:r w:rsidRPr="007B26C7">
        <w:rPr>
          <w:rFonts w:asciiTheme="minorHAnsi" w:hAnsiTheme="minorHAnsi" w:cstheme="minorHAnsi"/>
          <w:sz w:val="20"/>
          <w:lang w:eastAsia="en-GB"/>
        </w:rPr>
        <w:t xml:space="preserve"> States.  </w:t>
      </w:r>
    </w:p>
    <w:p w14:paraId="1BE5F514" w14:textId="77777777" w:rsidR="007B26C7" w:rsidRPr="007B26C7" w:rsidRDefault="007B26C7" w:rsidP="006E28F7">
      <w:pPr>
        <w:jc w:val="both"/>
        <w:rPr>
          <w:rFonts w:asciiTheme="minorHAnsi" w:hAnsiTheme="minorHAnsi" w:cstheme="minorHAnsi"/>
          <w:sz w:val="20"/>
          <w:szCs w:val="20"/>
        </w:rPr>
      </w:pPr>
    </w:p>
    <w:p w14:paraId="5FF7B577" w14:textId="77777777" w:rsidR="007B26C7" w:rsidRPr="007B26C7" w:rsidRDefault="007B26C7" w:rsidP="006E28F7">
      <w:pPr>
        <w:pStyle w:val="MemberNoticeHeading"/>
        <w:widowControl/>
        <w:numPr>
          <w:ilvl w:val="0"/>
          <w:numId w:val="21"/>
        </w:numPr>
        <w:tabs>
          <w:tab w:val="left" w:pos="284"/>
          <w:tab w:val="left" w:pos="426"/>
          <w:tab w:val="left" w:pos="2880"/>
          <w:tab w:val="left" w:pos="3600"/>
          <w:tab w:val="left" w:pos="4320"/>
        </w:tabs>
        <w:spacing w:line="288" w:lineRule="auto"/>
        <w:ind w:left="426" w:right="0"/>
        <w:jc w:val="both"/>
        <w:rPr>
          <w:rStyle w:val="MembernoticesubjectheadingCharChar"/>
          <w:rFonts w:asciiTheme="minorHAnsi" w:hAnsiTheme="minorHAnsi" w:cstheme="minorHAnsi"/>
          <w:b w:val="0"/>
          <w:sz w:val="20"/>
          <w:szCs w:val="20"/>
        </w:rPr>
      </w:pPr>
      <w:r w:rsidRPr="007B26C7">
        <w:rPr>
          <w:rStyle w:val="MembernoticesubjectheadingCharChar"/>
          <w:rFonts w:asciiTheme="minorHAnsi" w:hAnsiTheme="minorHAnsi" w:cstheme="minorHAnsi"/>
          <w:b w:val="0"/>
          <w:sz w:val="20"/>
          <w:szCs w:val="20"/>
        </w:rPr>
        <w:t xml:space="preserve">Where the potential for systemic risk as per the primary consideration is considered sufficiently large, the assessment concerning ownership structure and alternative clearing services can be viewed in contributing to the level of risk of the TC-CCP as a corporate itself. At this point, it could be useful to employ a definition of ‘systemic importance’ or a similar concept to enable CCPs to draw preliminary conclusions prior to their application. </w:t>
      </w:r>
    </w:p>
    <w:p w14:paraId="3CF96EB9" w14:textId="77777777" w:rsidR="007B26C7" w:rsidRPr="007B26C7" w:rsidRDefault="007B26C7" w:rsidP="006E28F7">
      <w:pPr>
        <w:jc w:val="both"/>
        <w:rPr>
          <w:rFonts w:asciiTheme="minorHAnsi" w:hAnsiTheme="minorHAnsi" w:cstheme="minorHAnsi"/>
          <w:sz w:val="20"/>
          <w:szCs w:val="20"/>
        </w:rPr>
      </w:pPr>
    </w:p>
    <w:p w14:paraId="33F94497" w14:textId="4819768A" w:rsidR="00BE0B46" w:rsidRPr="007B26C7" w:rsidRDefault="007B26C7" w:rsidP="006E28F7">
      <w:pPr>
        <w:jc w:val="both"/>
        <w:rPr>
          <w:rFonts w:asciiTheme="minorHAnsi" w:hAnsiTheme="minorHAnsi" w:cstheme="minorHAnsi"/>
          <w:sz w:val="20"/>
          <w:szCs w:val="20"/>
        </w:rPr>
      </w:pPr>
      <w:r w:rsidRPr="007B26C7">
        <w:rPr>
          <w:rFonts w:asciiTheme="minorHAnsi" w:hAnsiTheme="minorHAnsi" w:cstheme="minorHAnsi"/>
          <w:sz w:val="20"/>
          <w:szCs w:val="20"/>
        </w:rPr>
        <w:t>This approach would ensure that the risk assessment is based primarily on the actual financial stability risk posed by the TC-CCP to the EU or to a single Member State. If that risk is considered to be sufficiently large, further criteria relating only to the CCP itself (and therefore the likelihood of that risk being crystallised) can be taken into account.</w:t>
      </w:r>
    </w:p>
    <w:permEnd w:id="1720912251"/>
    <w:p w14:paraId="7CC9289F" w14:textId="77777777" w:rsidR="00BE0B46" w:rsidRDefault="00BE0B46" w:rsidP="00BE0B46">
      <w:pPr>
        <w:rPr>
          <w:rFonts w:ascii="Arial" w:hAnsi="Arial" w:cs="Arial"/>
        </w:rPr>
      </w:pPr>
      <w:r>
        <w:rPr>
          <w:rFonts w:ascii="Arial" w:hAnsi="Arial" w:cs="Arial"/>
        </w:rPr>
        <w:t>&lt;ESMA_QUESTION_TATC_1&gt;</w:t>
      </w:r>
    </w:p>
    <w:p w14:paraId="4C285ED0" w14:textId="77777777" w:rsidR="00BE0B46" w:rsidRDefault="00BE0B46" w:rsidP="00BE0B46">
      <w:pPr>
        <w:rPr>
          <w:rFonts w:ascii="Arial" w:hAnsi="Arial" w:cs="Arial"/>
        </w:rPr>
      </w:pPr>
    </w:p>
    <w:p w14:paraId="43CA1F90" w14:textId="77777777" w:rsidR="00BE0B46" w:rsidRDefault="00BE0B46" w:rsidP="00BE0B46">
      <w:pPr>
        <w:pStyle w:val="Questionstyle"/>
        <w:numPr>
          <w:ilvl w:val="0"/>
          <w:numId w:val="17"/>
        </w:numPr>
        <w:spacing w:after="250" w:line="276" w:lineRule="auto"/>
        <w:rPr>
          <w:rFonts w:ascii="Arial" w:hAnsi="Arial" w:cs="Arial"/>
        </w:rPr>
      </w:pPr>
      <w:r>
        <w:t>: How would you envisage ESMA to consider risks and in particular cyber-risks in relation to the evaluation of systemic importance?</w:t>
      </w:r>
    </w:p>
    <w:p w14:paraId="3C29B486" w14:textId="77777777" w:rsidR="00BE0B46" w:rsidRDefault="00BE0B46" w:rsidP="00BE0B46">
      <w:pPr>
        <w:rPr>
          <w:rFonts w:ascii="Arial" w:hAnsi="Arial" w:cs="Arial"/>
        </w:rPr>
      </w:pPr>
      <w:r>
        <w:rPr>
          <w:rFonts w:ascii="Arial" w:hAnsi="Arial" w:cs="Arial"/>
        </w:rPr>
        <w:t>&lt;ESMA_QUESTION_TATC_2&gt;</w:t>
      </w:r>
    </w:p>
    <w:p w14:paraId="5294FC35" w14:textId="77777777" w:rsidR="007B26C7" w:rsidRPr="007B26C7" w:rsidRDefault="007B26C7" w:rsidP="006E28F7">
      <w:pPr>
        <w:jc w:val="both"/>
        <w:rPr>
          <w:rFonts w:asciiTheme="minorHAnsi" w:hAnsiTheme="minorHAnsi" w:cstheme="minorHAnsi"/>
          <w:sz w:val="20"/>
          <w:szCs w:val="20"/>
        </w:rPr>
      </w:pPr>
      <w:permStart w:id="775449928" w:edGrp="everyone"/>
      <w:r w:rsidRPr="007B26C7">
        <w:rPr>
          <w:rFonts w:asciiTheme="minorHAnsi" w:hAnsiTheme="minorHAnsi" w:cstheme="minorHAnsi"/>
          <w:sz w:val="20"/>
          <w:szCs w:val="20"/>
        </w:rPr>
        <w:t>LME Clear would urge ESMA to restrict its detailed consideration to those risks which are relevant in relation to systemic importance to the financial stability of the EU (rather than embark on broader information-gathering initiatives which may result in attention being focused away from those areas necessary to meet the policy objective).</w:t>
      </w:r>
    </w:p>
    <w:p w14:paraId="389C5179" w14:textId="77777777" w:rsidR="007B26C7" w:rsidRPr="007B26C7" w:rsidRDefault="007B26C7" w:rsidP="006E28F7">
      <w:pPr>
        <w:jc w:val="both"/>
        <w:rPr>
          <w:rFonts w:asciiTheme="minorHAnsi" w:hAnsiTheme="minorHAnsi" w:cstheme="minorHAnsi"/>
          <w:sz w:val="20"/>
          <w:szCs w:val="20"/>
        </w:rPr>
      </w:pPr>
    </w:p>
    <w:p w14:paraId="26FF5106" w14:textId="5FEE6F17" w:rsidR="00BE0B46" w:rsidRPr="007B26C7" w:rsidRDefault="007B26C7" w:rsidP="006E28F7">
      <w:pPr>
        <w:jc w:val="both"/>
        <w:rPr>
          <w:rFonts w:asciiTheme="minorHAnsi" w:hAnsiTheme="minorHAnsi" w:cstheme="minorHAnsi"/>
          <w:sz w:val="20"/>
          <w:szCs w:val="20"/>
        </w:rPr>
      </w:pPr>
      <w:r w:rsidRPr="007B26C7">
        <w:rPr>
          <w:rFonts w:asciiTheme="minorHAnsi" w:hAnsiTheme="minorHAnsi" w:cstheme="minorHAnsi"/>
          <w:sz w:val="20"/>
          <w:szCs w:val="20"/>
        </w:rPr>
        <w:t>Regarding criteria which are dealt with in international standards and local regulation (for example, cyber-resilience or recovery and resolution), LME Clear would view these issues as being more relevant to Comparable Compliance and supervisory oversight rather than being primary factors that are directly relevant to the financial stability of the EU</w:t>
      </w:r>
    </w:p>
    <w:permEnd w:id="775449928"/>
    <w:p w14:paraId="2BD40C94" w14:textId="77777777" w:rsidR="00BE0B46" w:rsidRDefault="00BE0B46" w:rsidP="00BE0B46">
      <w:pPr>
        <w:rPr>
          <w:rFonts w:ascii="Arial" w:hAnsi="Arial" w:cs="Arial"/>
        </w:rPr>
      </w:pPr>
      <w:r>
        <w:rPr>
          <w:rFonts w:ascii="Arial" w:hAnsi="Arial" w:cs="Arial"/>
        </w:rPr>
        <w:t>&lt;ESMA_QUESTION_TATC_2&gt;</w:t>
      </w:r>
    </w:p>
    <w:p w14:paraId="00F3427E" w14:textId="77777777" w:rsidR="00BE0B46" w:rsidRDefault="00BE0B46" w:rsidP="00BE0B46">
      <w:pPr>
        <w:rPr>
          <w:rFonts w:ascii="Arial" w:hAnsi="Arial" w:cs="Arial"/>
        </w:rPr>
      </w:pPr>
    </w:p>
    <w:p w14:paraId="0F4A7C25" w14:textId="4C1CB32C" w:rsidR="00BE0B46" w:rsidRDefault="00BE0B46" w:rsidP="00BE0B46">
      <w:pPr>
        <w:pStyle w:val="Questionstyle"/>
        <w:numPr>
          <w:ilvl w:val="0"/>
          <w:numId w:val="17"/>
        </w:numPr>
        <w:spacing w:after="250" w:line="276" w:lineRule="auto"/>
        <w:rPr>
          <w:rFonts w:ascii="Arial" w:hAnsi="Arial" w:cs="Arial"/>
        </w:rPr>
      </w:pPr>
      <w:r>
        <w:t>: Do you generally agree with the proposed indicators (Indicators 6, 7, 8 and 9) to further assess the effect of a failure or disruption of the CCP? Please elaborate and if you disagree with any specific indicator, please suggest an alternative one to measure the relevant criterion.</w:t>
      </w:r>
    </w:p>
    <w:p w14:paraId="37895CE7" w14:textId="77777777" w:rsidR="00BE0B46" w:rsidRDefault="00BE0B46" w:rsidP="00BE0B46">
      <w:pPr>
        <w:rPr>
          <w:rFonts w:ascii="Arial" w:hAnsi="Arial" w:cs="Arial"/>
        </w:rPr>
      </w:pPr>
      <w:r>
        <w:rPr>
          <w:rFonts w:ascii="Arial" w:hAnsi="Arial" w:cs="Arial"/>
        </w:rPr>
        <w:t>&lt;ESMA_QUESTION_TATC_3&gt;</w:t>
      </w:r>
    </w:p>
    <w:p w14:paraId="114D0AC1" w14:textId="3912DB46" w:rsidR="006E28F7" w:rsidRPr="006E28F7" w:rsidRDefault="006E28F7" w:rsidP="006E28F7">
      <w:pPr>
        <w:jc w:val="both"/>
        <w:rPr>
          <w:rFonts w:asciiTheme="minorHAnsi" w:hAnsiTheme="minorHAnsi" w:cstheme="minorHAnsi"/>
          <w:sz w:val="20"/>
          <w:szCs w:val="20"/>
        </w:rPr>
      </w:pPr>
      <w:permStart w:id="1061374134" w:edGrp="everyone"/>
      <w:r w:rsidRPr="006E28F7">
        <w:rPr>
          <w:rFonts w:asciiTheme="minorHAnsi" w:hAnsiTheme="minorHAnsi" w:cstheme="minorHAnsi"/>
          <w:sz w:val="20"/>
          <w:szCs w:val="20"/>
        </w:rPr>
        <w:t>LME Clear generally agrees that the proposed indicators may support the assessment of the effect of a failure or disruption of the TC-CCP on the financial stability of the EU where they relate to quantifiable factors (such as total collateral holdings/V</w:t>
      </w:r>
      <w:r w:rsidR="000631F8">
        <w:rPr>
          <w:rFonts w:asciiTheme="minorHAnsi" w:hAnsiTheme="minorHAnsi" w:cstheme="minorHAnsi"/>
          <w:sz w:val="20"/>
          <w:szCs w:val="20"/>
        </w:rPr>
        <w:t xml:space="preserve">ariation </w:t>
      </w:r>
      <w:r w:rsidRPr="006E28F7">
        <w:rPr>
          <w:rFonts w:asciiTheme="minorHAnsi" w:hAnsiTheme="minorHAnsi" w:cstheme="minorHAnsi"/>
          <w:sz w:val="20"/>
          <w:szCs w:val="20"/>
        </w:rPr>
        <w:t>M</w:t>
      </w:r>
      <w:r w:rsidR="000631F8">
        <w:rPr>
          <w:rFonts w:asciiTheme="minorHAnsi" w:hAnsiTheme="minorHAnsi" w:cstheme="minorHAnsi"/>
          <w:sz w:val="20"/>
          <w:szCs w:val="20"/>
        </w:rPr>
        <w:t>argin</w:t>
      </w:r>
      <w:r w:rsidRPr="006E28F7">
        <w:rPr>
          <w:rFonts w:asciiTheme="minorHAnsi" w:hAnsiTheme="minorHAnsi" w:cstheme="minorHAnsi"/>
          <w:sz w:val="20"/>
          <w:szCs w:val="20"/>
        </w:rPr>
        <w:t xml:space="preserve">).  </w:t>
      </w:r>
    </w:p>
    <w:p w14:paraId="53A23A78" w14:textId="77777777" w:rsidR="006E28F7" w:rsidRPr="006E28F7" w:rsidRDefault="006E28F7" w:rsidP="006E28F7">
      <w:pPr>
        <w:jc w:val="both"/>
        <w:rPr>
          <w:rFonts w:asciiTheme="minorHAnsi" w:hAnsiTheme="minorHAnsi" w:cstheme="minorHAnsi"/>
          <w:sz w:val="20"/>
          <w:szCs w:val="20"/>
        </w:rPr>
      </w:pPr>
    </w:p>
    <w:p w14:paraId="2BBDD782" w14:textId="11A9FBD1" w:rsidR="00BE0B46" w:rsidRPr="006E28F7" w:rsidRDefault="006E28F7" w:rsidP="006E28F7">
      <w:pPr>
        <w:jc w:val="both"/>
        <w:rPr>
          <w:rFonts w:asciiTheme="minorHAnsi" w:hAnsiTheme="minorHAnsi" w:cstheme="minorHAnsi"/>
          <w:sz w:val="20"/>
          <w:szCs w:val="20"/>
        </w:rPr>
      </w:pPr>
      <w:r w:rsidRPr="006E28F7">
        <w:rPr>
          <w:rFonts w:asciiTheme="minorHAnsi" w:hAnsiTheme="minorHAnsi" w:cstheme="minorHAnsi"/>
          <w:sz w:val="20"/>
          <w:szCs w:val="20"/>
        </w:rPr>
        <w:t>However, we would query whether some of them are actually supervisory factors or indicators that would be better dealt with under the Comparable Compliance assessments and through supervisory oversight (such as the use of central bank money or use of DLT technology)</w:t>
      </w:r>
    </w:p>
    <w:permEnd w:id="1061374134"/>
    <w:p w14:paraId="2D016042" w14:textId="77777777" w:rsidR="00BE0B46" w:rsidRDefault="00BE0B46" w:rsidP="00BE0B46">
      <w:pPr>
        <w:rPr>
          <w:rFonts w:ascii="Arial" w:hAnsi="Arial" w:cs="Arial"/>
        </w:rPr>
      </w:pPr>
      <w:r>
        <w:rPr>
          <w:rFonts w:ascii="Arial" w:hAnsi="Arial" w:cs="Arial"/>
        </w:rPr>
        <w:t>&lt;ESMA_QUESTION_TATC_3&gt;</w:t>
      </w:r>
    </w:p>
    <w:p w14:paraId="28D68923" w14:textId="77777777" w:rsidR="00BE0B46" w:rsidRDefault="00BE0B46" w:rsidP="00BE0B46">
      <w:pPr>
        <w:rPr>
          <w:rFonts w:ascii="Arial" w:hAnsi="Arial" w:cs="Arial"/>
        </w:rPr>
      </w:pPr>
    </w:p>
    <w:p w14:paraId="4957D04B" w14:textId="04126EB6" w:rsidR="00BE0B46" w:rsidRDefault="00BE0B46" w:rsidP="00BE0B46">
      <w:pPr>
        <w:pStyle w:val="Questionstyle"/>
        <w:numPr>
          <w:ilvl w:val="0"/>
          <w:numId w:val="17"/>
        </w:numPr>
        <w:spacing w:after="250" w:line="276" w:lineRule="auto"/>
        <w:rPr>
          <w:rFonts w:ascii="Arial" w:hAnsi="Arial" w:cs="Arial"/>
        </w:rPr>
      </w:pPr>
      <w:r>
        <w:t>: Do you generally agree with the proposed indicators (Indicators 10 and 11) to further assess the CCP’s clearing membership structure? Please elaborate and if you disagree with any specific indicator, please suggest an alternative one to measure the relevant criterion.</w:t>
      </w:r>
    </w:p>
    <w:p w14:paraId="48DE9926" w14:textId="77777777" w:rsidR="00BE0B46" w:rsidRDefault="00BE0B46" w:rsidP="00BE0B46">
      <w:pPr>
        <w:rPr>
          <w:rFonts w:ascii="Arial" w:hAnsi="Arial" w:cs="Arial"/>
        </w:rPr>
      </w:pPr>
      <w:r>
        <w:rPr>
          <w:rFonts w:ascii="Arial" w:hAnsi="Arial" w:cs="Arial"/>
        </w:rPr>
        <w:t>&lt;ESMA_QUESTION_TATC_4&gt;</w:t>
      </w:r>
    </w:p>
    <w:p w14:paraId="35660AB8" w14:textId="77777777" w:rsidR="006E28F7" w:rsidRPr="006E28F7" w:rsidRDefault="006E28F7" w:rsidP="006E28F7">
      <w:pPr>
        <w:jc w:val="both"/>
        <w:rPr>
          <w:rFonts w:asciiTheme="minorHAnsi" w:hAnsiTheme="minorHAnsi" w:cstheme="minorHAnsi"/>
          <w:sz w:val="20"/>
          <w:szCs w:val="20"/>
        </w:rPr>
      </w:pPr>
      <w:permStart w:id="892875730" w:edGrp="everyone"/>
      <w:r w:rsidRPr="006E28F7">
        <w:rPr>
          <w:rFonts w:asciiTheme="minorHAnsi" w:hAnsiTheme="minorHAnsi" w:cstheme="minorHAnsi"/>
          <w:sz w:val="20"/>
          <w:szCs w:val="20"/>
        </w:rPr>
        <w:t xml:space="preserve">LME Clear generally agrees that the quantifiable factors listed in indicator 10 may help to assess the CCP’s clearing membership structure. </w:t>
      </w:r>
    </w:p>
    <w:p w14:paraId="26B5FE20" w14:textId="77777777" w:rsidR="006E28F7" w:rsidRPr="006E28F7" w:rsidRDefault="006E28F7" w:rsidP="006E28F7">
      <w:pPr>
        <w:jc w:val="both"/>
        <w:rPr>
          <w:rFonts w:asciiTheme="minorHAnsi" w:hAnsiTheme="minorHAnsi" w:cstheme="minorHAnsi"/>
          <w:sz w:val="20"/>
          <w:szCs w:val="20"/>
        </w:rPr>
      </w:pPr>
    </w:p>
    <w:p w14:paraId="1EA620B9" w14:textId="72500890" w:rsidR="00BE0B46" w:rsidRPr="006E28F7" w:rsidRDefault="006E28F7" w:rsidP="006E28F7">
      <w:pPr>
        <w:jc w:val="both"/>
        <w:rPr>
          <w:rFonts w:asciiTheme="minorHAnsi" w:hAnsiTheme="minorHAnsi" w:cstheme="minorHAnsi"/>
          <w:sz w:val="20"/>
          <w:szCs w:val="20"/>
        </w:rPr>
      </w:pPr>
      <w:r w:rsidRPr="006E28F7">
        <w:rPr>
          <w:rFonts w:asciiTheme="minorHAnsi" w:hAnsiTheme="minorHAnsi" w:cstheme="minorHAnsi"/>
          <w:sz w:val="20"/>
          <w:szCs w:val="20"/>
        </w:rPr>
        <w:t>However, we query whether the factors in indicator 11 are primary factors that are directly relevant to the financial stability of the EU. These factors may be better addressed under the Comparable Compliance assessments and through supervisory oversight</w:t>
      </w:r>
      <w:r>
        <w:rPr>
          <w:rFonts w:asciiTheme="minorHAnsi" w:hAnsiTheme="minorHAnsi" w:cstheme="minorHAnsi"/>
          <w:sz w:val="20"/>
          <w:szCs w:val="20"/>
        </w:rPr>
        <w:t>.</w:t>
      </w:r>
    </w:p>
    <w:permEnd w:id="892875730"/>
    <w:p w14:paraId="66420B7B" w14:textId="77777777" w:rsidR="00BE0B46" w:rsidRDefault="00BE0B46" w:rsidP="00BE0B46">
      <w:pPr>
        <w:rPr>
          <w:rFonts w:ascii="Arial" w:hAnsi="Arial" w:cs="Arial"/>
        </w:rPr>
      </w:pPr>
      <w:r>
        <w:rPr>
          <w:rFonts w:ascii="Arial" w:hAnsi="Arial" w:cs="Arial"/>
        </w:rPr>
        <w:t>&lt;ESMA_QUESTION_TATC_4&gt;</w:t>
      </w:r>
    </w:p>
    <w:p w14:paraId="0EBF6952" w14:textId="77777777" w:rsidR="00BE0B46" w:rsidRDefault="00BE0B46" w:rsidP="00BE0B46">
      <w:pPr>
        <w:rPr>
          <w:rFonts w:ascii="Arial" w:hAnsi="Arial" w:cs="Arial"/>
        </w:rPr>
      </w:pPr>
    </w:p>
    <w:p w14:paraId="60381706" w14:textId="522DF9C8" w:rsidR="00BE0B46" w:rsidRDefault="00BE0B46" w:rsidP="00BE0B46">
      <w:pPr>
        <w:pStyle w:val="Questionstyle"/>
        <w:numPr>
          <w:ilvl w:val="0"/>
          <w:numId w:val="17"/>
        </w:numPr>
        <w:spacing w:after="250" w:line="276" w:lineRule="auto"/>
        <w:rPr>
          <w:rFonts w:ascii="Arial" w:hAnsi="Arial" w:cs="Arial"/>
        </w:rPr>
      </w:pPr>
      <w:r>
        <w:t>: Do you generally agree with the proposed indicator (Indicator 12) to further assess alternative clearing services? Please elaborate and if you disagree with any specific indicator, please suggest an alternative one to measure the relevant criterion.</w:t>
      </w:r>
    </w:p>
    <w:p w14:paraId="62D82FC6" w14:textId="77777777" w:rsidR="00BE0B46" w:rsidRDefault="00BE0B46" w:rsidP="00BE0B46">
      <w:pPr>
        <w:rPr>
          <w:rFonts w:ascii="Arial" w:hAnsi="Arial" w:cs="Arial"/>
        </w:rPr>
      </w:pPr>
      <w:r>
        <w:rPr>
          <w:rFonts w:ascii="Arial" w:hAnsi="Arial" w:cs="Arial"/>
        </w:rPr>
        <w:t>&lt;ESMA_QUESTION_TATC_5&gt;</w:t>
      </w:r>
    </w:p>
    <w:p w14:paraId="0050DF39" w14:textId="77777777" w:rsidR="006E28F7" w:rsidRPr="006E28F7" w:rsidRDefault="006E28F7" w:rsidP="006E28F7">
      <w:pPr>
        <w:jc w:val="both"/>
        <w:rPr>
          <w:rFonts w:asciiTheme="minorHAnsi" w:hAnsiTheme="minorHAnsi" w:cstheme="minorHAnsi"/>
          <w:sz w:val="20"/>
          <w:szCs w:val="20"/>
        </w:rPr>
      </w:pPr>
      <w:permStart w:id="673731843" w:edGrp="everyone"/>
      <w:r w:rsidRPr="006E28F7">
        <w:rPr>
          <w:rFonts w:asciiTheme="minorHAnsi" w:hAnsiTheme="minorHAnsi" w:cstheme="minorHAnsi"/>
          <w:sz w:val="20"/>
          <w:szCs w:val="20"/>
        </w:rPr>
        <w:t>Whilst LME Clear agrees this indicator may help assess alternative clearing services, we do not consider this should be a primary factor in the consideration of systemic importance to the financial stability of the EU (or one or more Member States).  As described in our response to question 1, we would suggest dividing the assessment into two sequential parts to more accurately reflect the relative importance of indicators to the assessment:</w:t>
      </w:r>
    </w:p>
    <w:p w14:paraId="39903CC3" w14:textId="77777777" w:rsidR="006E28F7" w:rsidRPr="006E28F7" w:rsidRDefault="006E28F7" w:rsidP="006E28F7">
      <w:pPr>
        <w:jc w:val="both"/>
        <w:rPr>
          <w:rFonts w:asciiTheme="minorHAnsi" w:hAnsiTheme="minorHAnsi" w:cstheme="minorHAnsi"/>
          <w:sz w:val="20"/>
          <w:szCs w:val="20"/>
        </w:rPr>
      </w:pPr>
    </w:p>
    <w:p w14:paraId="1F0B765D" w14:textId="77777777" w:rsidR="006E28F7" w:rsidRPr="006E28F7" w:rsidRDefault="006E28F7" w:rsidP="006E28F7">
      <w:pPr>
        <w:pStyle w:val="MemberNoticeHeading"/>
        <w:widowControl/>
        <w:numPr>
          <w:ilvl w:val="0"/>
          <w:numId w:val="22"/>
        </w:numPr>
        <w:tabs>
          <w:tab w:val="left" w:pos="284"/>
          <w:tab w:val="left" w:pos="426"/>
          <w:tab w:val="left" w:pos="2880"/>
          <w:tab w:val="left" w:pos="3600"/>
          <w:tab w:val="left" w:pos="4320"/>
        </w:tabs>
        <w:spacing w:line="288" w:lineRule="auto"/>
        <w:ind w:left="426" w:right="0"/>
        <w:jc w:val="both"/>
        <w:rPr>
          <w:rFonts w:asciiTheme="minorHAnsi" w:hAnsiTheme="minorHAnsi" w:cstheme="minorHAnsi"/>
          <w:sz w:val="20"/>
          <w:lang w:eastAsia="en-GB"/>
        </w:rPr>
      </w:pPr>
      <w:r w:rsidRPr="006E28F7">
        <w:rPr>
          <w:rStyle w:val="MembernoticesubjectheadingCharChar"/>
          <w:rFonts w:asciiTheme="minorHAnsi" w:hAnsiTheme="minorHAnsi" w:cstheme="minorHAnsi"/>
          <w:b w:val="0"/>
          <w:sz w:val="20"/>
          <w:szCs w:val="20"/>
        </w:rPr>
        <w:t>Quantifiable indicators directly relevant to the impact of failure of the TC-CCP on the EU to be the primary consideration. This will determine the scale of the systemic risk to the financial stability of the EU or one or more Member</w:t>
      </w:r>
      <w:r w:rsidRPr="006E28F7">
        <w:rPr>
          <w:rFonts w:asciiTheme="minorHAnsi" w:hAnsiTheme="minorHAnsi" w:cstheme="minorHAnsi"/>
          <w:sz w:val="20"/>
          <w:lang w:eastAsia="en-GB"/>
        </w:rPr>
        <w:t xml:space="preserve"> States.  </w:t>
      </w:r>
    </w:p>
    <w:p w14:paraId="4D2CBE4C" w14:textId="77777777" w:rsidR="006E28F7" w:rsidRPr="006E28F7" w:rsidRDefault="006E28F7" w:rsidP="006E28F7">
      <w:pPr>
        <w:pStyle w:val="MemberNoticeHeading"/>
        <w:widowControl/>
        <w:tabs>
          <w:tab w:val="left" w:pos="284"/>
          <w:tab w:val="left" w:pos="426"/>
          <w:tab w:val="left" w:pos="2880"/>
          <w:tab w:val="left" w:pos="3600"/>
          <w:tab w:val="left" w:pos="4320"/>
        </w:tabs>
        <w:spacing w:line="288" w:lineRule="auto"/>
        <w:ind w:left="426" w:right="0"/>
        <w:jc w:val="both"/>
        <w:rPr>
          <w:rStyle w:val="MembernoticesubjectheadingCharChar"/>
          <w:rFonts w:asciiTheme="minorHAnsi" w:hAnsiTheme="minorHAnsi" w:cstheme="minorHAnsi"/>
          <w:b w:val="0"/>
          <w:bCs w:val="0"/>
          <w:sz w:val="20"/>
          <w:szCs w:val="20"/>
          <w:lang w:eastAsia="en-GB"/>
        </w:rPr>
      </w:pPr>
    </w:p>
    <w:p w14:paraId="1AAD9CAB" w14:textId="488D4BD7" w:rsidR="00BE0B46" w:rsidRPr="006E28F7" w:rsidRDefault="006E28F7" w:rsidP="006E28F7">
      <w:pPr>
        <w:pStyle w:val="MemberNoticeHeading"/>
        <w:widowControl/>
        <w:numPr>
          <w:ilvl w:val="0"/>
          <w:numId w:val="22"/>
        </w:numPr>
        <w:tabs>
          <w:tab w:val="left" w:pos="284"/>
          <w:tab w:val="left" w:pos="426"/>
          <w:tab w:val="left" w:pos="2880"/>
          <w:tab w:val="left" w:pos="3600"/>
          <w:tab w:val="left" w:pos="4320"/>
        </w:tabs>
        <w:spacing w:line="288" w:lineRule="auto"/>
        <w:ind w:left="426" w:right="0"/>
        <w:jc w:val="both"/>
        <w:rPr>
          <w:rFonts w:asciiTheme="minorHAnsi" w:hAnsiTheme="minorHAnsi" w:cstheme="minorHAnsi"/>
          <w:sz w:val="20"/>
          <w:lang w:eastAsia="en-GB"/>
        </w:rPr>
      </w:pPr>
      <w:r w:rsidRPr="006E28F7">
        <w:rPr>
          <w:rStyle w:val="MembernoticesubjectheadingCharChar"/>
          <w:rFonts w:asciiTheme="minorHAnsi" w:hAnsiTheme="minorHAnsi" w:cstheme="minorHAnsi"/>
          <w:b w:val="0"/>
          <w:sz w:val="20"/>
          <w:szCs w:val="20"/>
        </w:rPr>
        <w:t>Where the potential for systemic risk as per the primary consideration is considered sufficiently large, the assessment concerning ownership structure and alternative clearing services can be viewed in contributing to the level of risk of the TC-CCP as a corporate itself</w:t>
      </w:r>
      <w:r>
        <w:rPr>
          <w:rStyle w:val="MembernoticesubjectheadingCharChar"/>
          <w:rFonts w:asciiTheme="minorHAnsi" w:hAnsiTheme="minorHAnsi" w:cstheme="minorHAnsi"/>
          <w:b w:val="0"/>
          <w:sz w:val="20"/>
          <w:szCs w:val="20"/>
        </w:rPr>
        <w:t>.</w:t>
      </w:r>
    </w:p>
    <w:permEnd w:id="673731843"/>
    <w:p w14:paraId="11600884" w14:textId="77777777" w:rsidR="00BE0B46" w:rsidRDefault="00BE0B46" w:rsidP="00BE0B46">
      <w:pPr>
        <w:rPr>
          <w:rFonts w:ascii="Arial" w:hAnsi="Arial" w:cs="Arial"/>
        </w:rPr>
      </w:pPr>
      <w:r>
        <w:rPr>
          <w:rFonts w:ascii="Arial" w:hAnsi="Arial" w:cs="Arial"/>
        </w:rPr>
        <w:t>&lt;ESMA_QUESTION_TATC_5&gt;</w:t>
      </w:r>
    </w:p>
    <w:p w14:paraId="2C3372DE" w14:textId="1599245A" w:rsidR="003D43C6" w:rsidRDefault="003D43C6">
      <w:pPr>
        <w:spacing w:after="120" w:line="264" w:lineRule="auto"/>
        <w:rPr>
          <w:rFonts w:ascii="Arial" w:hAnsi="Arial" w:cs="Arial"/>
        </w:rPr>
      </w:pPr>
      <w:r>
        <w:rPr>
          <w:rFonts w:ascii="Arial" w:hAnsi="Arial" w:cs="Arial"/>
        </w:rPr>
        <w:br w:type="page"/>
      </w:r>
    </w:p>
    <w:p w14:paraId="2F144525" w14:textId="77777777" w:rsidR="00BE0B46" w:rsidRDefault="00BE0B46" w:rsidP="00BE0B46">
      <w:pPr>
        <w:rPr>
          <w:rFonts w:ascii="Arial" w:hAnsi="Arial" w:cs="Arial"/>
        </w:rPr>
      </w:pPr>
    </w:p>
    <w:p w14:paraId="4CCA69FE" w14:textId="48D45A4D" w:rsidR="00BE0B46" w:rsidRDefault="00BE0B46" w:rsidP="00BE0B46">
      <w:pPr>
        <w:pStyle w:val="Questionstyle"/>
        <w:numPr>
          <w:ilvl w:val="0"/>
          <w:numId w:val="17"/>
        </w:numPr>
        <w:spacing w:after="250" w:line="276" w:lineRule="auto"/>
        <w:rPr>
          <w:rFonts w:ascii="Arial" w:hAnsi="Arial" w:cs="Arial"/>
        </w:rPr>
      </w:pPr>
      <w:r>
        <w:t>: Do you generally agree with the proposed indicators (Indicators 13 and 14) to further assess relationships, interdependencies, or other interactions? Please elaborate and if you disagree with any specific indicator, please suggest an alternative one to measure the relevant criterion.</w:t>
      </w:r>
    </w:p>
    <w:p w14:paraId="0C5109B9" w14:textId="77777777" w:rsidR="00BE0B46" w:rsidRDefault="00BE0B46" w:rsidP="00BE0B46">
      <w:pPr>
        <w:rPr>
          <w:rFonts w:ascii="Arial" w:hAnsi="Arial" w:cs="Arial"/>
        </w:rPr>
      </w:pPr>
      <w:r>
        <w:rPr>
          <w:rFonts w:ascii="Arial" w:hAnsi="Arial" w:cs="Arial"/>
        </w:rPr>
        <w:t>&lt;ESMA_QUESTION_TATC_6&gt;</w:t>
      </w:r>
    </w:p>
    <w:p w14:paraId="1BEEA685" w14:textId="3C2439BC" w:rsidR="00BE0B46" w:rsidRPr="006E28F7" w:rsidRDefault="006E28F7" w:rsidP="006E28F7">
      <w:pPr>
        <w:jc w:val="both"/>
        <w:rPr>
          <w:rFonts w:ascii="Arial" w:hAnsi="Arial" w:cs="Arial"/>
          <w:sz w:val="20"/>
          <w:szCs w:val="20"/>
        </w:rPr>
      </w:pPr>
      <w:permStart w:id="1494367778" w:edGrp="everyone"/>
      <w:r w:rsidRPr="006E28F7">
        <w:rPr>
          <w:rFonts w:ascii="Arial" w:hAnsi="Arial" w:cs="Arial"/>
          <w:sz w:val="20"/>
          <w:szCs w:val="20"/>
        </w:rPr>
        <w:t>LME Clear generally agrees that the proposed indicators may help to assess relationships and interdependences</w:t>
      </w:r>
    </w:p>
    <w:permEnd w:id="1494367778"/>
    <w:p w14:paraId="2D770B84" w14:textId="77777777" w:rsidR="00BE0B46" w:rsidRDefault="00BE0B46" w:rsidP="00BE0B46">
      <w:pPr>
        <w:rPr>
          <w:rFonts w:ascii="Arial" w:hAnsi="Arial" w:cs="Arial"/>
        </w:rPr>
      </w:pPr>
      <w:r>
        <w:rPr>
          <w:rFonts w:ascii="Arial" w:hAnsi="Arial" w:cs="Arial"/>
        </w:rPr>
        <w:t>&lt;ESMA_QUESTION_TATC_6&gt;</w:t>
      </w:r>
    </w:p>
    <w:p w14:paraId="4B01A091" w14:textId="77777777" w:rsidR="00BE0B46" w:rsidRDefault="00BE0B46" w:rsidP="00BE0B46">
      <w:pPr>
        <w:rPr>
          <w:rFonts w:ascii="Arial" w:hAnsi="Arial" w:cs="Arial"/>
        </w:rPr>
      </w:pPr>
    </w:p>
    <w:p w14:paraId="1879BDCF" w14:textId="77777777" w:rsidR="00BE0B46" w:rsidRDefault="00BE0B46" w:rsidP="00BE0B46">
      <w:pPr>
        <w:pStyle w:val="Questionstyle"/>
        <w:numPr>
          <w:ilvl w:val="0"/>
          <w:numId w:val="17"/>
        </w:numPr>
        <w:spacing w:after="250" w:line="276" w:lineRule="auto"/>
        <w:rPr>
          <w:rFonts w:ascii="Arial" w:hAnsi="Arial" w:cs="Arial"/>
        </w:rPr>
      </w:pPr>
      <w:r>
        <w:t>: Do you identify other benefits and costs not mentioned above associated to the proposed approach (option 3)? If you advocated for a different approach, how would it impact this section on the impact assessment? Please provide details.</w:t>
      </w:r>
    </w:p>
    <w:p w14:paraId="11736D97" w14:textId="77777777" w:rsidR="00BE0B46" w:rsidRDefault="00BE0B46" w:rsidP="00BE0B46">
      <w:pPr>
        <w:rPr>
          <w:rFonts w:ascii="Arial" w:hAnsi="Arial" w:cs="Arial"/>
        </w:rPr>
      </w:pPr>
      <w:r>
        <w:rPr>
          <w:rFonts w:ascii="Arial" w:hAnsi="Arial" w:cs="Arial"/>
        </w:rPr>
        <w:t>&lt;ESMA_QUESTION_TATC_7&gt;</w:t>
      </w:r>
    </w:p>
    <w:p w14:paraId="64165339" w14:textId="77777777" w:rsidR="006E28F7" w:rsidRPr="006E28F7" w:rsidRDefault="006E28F7" w:rsidP="006E28F7">
      <w:pPr>
        <w:jc w:val="both"/>
        <w:rPr>
          <w:rFonts w:asciiTheme="minorHAnsi" w:hAnsiTheme="minorHAnsi" w:cstheme="minorHAnsi"/>
          <w:sz w:val="20"/>
          <w:szCs w:val="20"/>
        </w:rPr>
      </w:pPr>
      <w:permStart w:id="705252928" w:edGrp="everyone"/>
      <w:r w:rsidRPr="006E28F7">
        <w:rPr>
          <w:rFonts w:asciiTheme="minorHAnsi" w:hAnsiTheme="minorHAnsi" w:cstheme="minorHAnsi"/>
          <w:sz w:val="20"/>
          <w:szCs w:val="20"/>
        </w:rPr>
        <w:t xml:space="preserve">Looking across the proposed EMIR 2.2 regime as a whole, including the </w:t>
      </w:r>
      <w:proofErr w:type="spellStart"/>
      <w:r w:rsidRPr="006E28F7">
        <w:rPr>
          <w:rFonts w:asciiTheme="minorHAnsi" w:hAnsiTheme="minorHAnsi" w:cstheme="minorHAnsi"/>
          <w:sz w:val="20"/>
          <w:szCs w:val="20"/>
        </w:rPr>
        <w:t>Tiering</w:t>
      </w:r>
      <w:proofErr w:type="spellEnd"/>
      <w:r w:rsidRPr="006E28F7">
        <w:rPr>
          <w:rFonts w:asciiTheme="minorHAnsi" w:hAnsiTheme="minorHAnsi" w:cstheme="minorHAnsi"/>
          <w:sz w:val="20"/>
          <w:szCs w:val="20"/>
        </w:rPr>
        <w:t xml:space="preserve"> and Comparable Compliance concepts (and consequent supervisory oversight), LME Clear notes it is not possible for the costs to the CCP to be fully and accurately quantified prior to engaging in the process of application.  For example:</w:t>
      </w:r>
    </w:p>
    <w:p w14:paraId="47839C68" w14:textId="77777777" w:rsidR="006E28F7" w:rsidRPr="006E28F7" w:rsidRDefault="006E28F7" w:rsidP="006E28F7">
      <w:pPr>
        <w:pStyle w:val="ListParagraph"/>
        <w:numPr>
          <w:ilvl w:val="0"/>
          <w:numId w:val="23"/>
        </w:numPr>
        <w:tabs>
          <w:tab w:val="clear" w:pos="0"/>
          <w:tab w:val="clear" w:pos="142"/>
          <w:tab w:val="clear" w:pos="284"/>
          <w:tab w:val="left" w:pos="851"/>
          <w:tab w:val="left" w:pos="992"/>
        </w:tabs>
        <w:autoSpaceDE/>
        <w:autoSpaceDN/>
        <w:adjustRightInd/>
        <w:spacing w:before="200" w:after="160" w:line="288" w:lineRule="auto"/>
        <w:contextualSpacing/>
        <w:rPr>
          <w:sz w:val="20"/>
          <w:szCs w:val="20"/>
        </w:rPr>
      </w:pPr>
      <w:r w:rsidRPr="006E28F7">
        <w:rPr>
          <w:sz w:val="20"/>
          <w:szCs w:val="20"/>
        </w:rPr>
        <w:t xml:space="preserve">Notwithstanding the criteria and indicators are laid out in the consultation document, there is no quantifiable metric or articulation of how these may combine to determine whether, in aggregate, they are “systemically important to the financial stability to the EU”.  This means it is impossible for CCPs to measure the likelihood of falling into Tier 1 or Tier 2 with any degree of certainty. </w:t>
      </w:r>
    </w:p>
    <w:p w14:paraId="6E27135D" w14:textId="77777777" w:rsidR="006E28F7" w:rsidRDefault="006E28F7" w:rsidP="006E28F7">
      <w:pPr>
        <w:pStyle w:val="ListParagraph"/>
        <w:numPr>
          <w:ilvl w:val="0"/>
          <w:numId w:val="0"/>
        </w:numPr>
        <w:tabs>
          <w:tab w:val="clear" w:pos="0"/>
          <w:tab w:val="clear" w:pos="142"/>
          <w:tab w:val="clear" w:pos="284"/>
          <w:tab w:val="left" w:pos="851"/>
          <w:tab w:val="left" w:pos="992"/>
        </w:tabs>
        <w:autoSpaceDE/>
        <w:autoSpaceDN/>
        <w:adjustRightInd/>
        <w:spacing w:before="200" w:after="160" w:line="288" w:lineRule="auto"/>
        <w:ind w:left="360"/>
        <w:contextualSpacing/>
        <w:rPr>
          <w:sz w:val="20"/>
          <w:szCs w:val="20"/>
        </w:rPr>
      </w:pPr>
    </w:p>
    <w:p w14:paraId="5F7A8B31" w14:textId="77777777" w:rsidR="006E28F7" w:rsidRPr="006E28F7" w:rsidRDefault="006E28F7" w:rsidP="006E28F7">
      <w:pPr>
        <w:pStyle w:val="ListParagraph"/>
        <w:numPr>
          <w:ilvl w:val="0"/>
          <w:numId w:val="23"/>
        </w:numPr>
        <w:tabs>
          <w:tab w:val="clear" w:pos="0"/>
          <w:tab w:val="clear" w:pos="142"/>
          <w:tab w:val="clear" w:pos="284"/>
          <w:tab w:val="left" w:pos="851"/>
          <w:tab w:val="left" w:pos="992"/>
        </w:tabs>
        <w:autoSpaceDE/>
        <w:autoSpaceDN/>
        <w:adjustRightInd/>
        <w:spacing w:before="200" w:after="160" w:line="288" w:lineRule="auto"/>
        <w:contextualSpacing/>
        <w:rPr>
          <w:sz w:val="20"/>
          <w:szCs w:val="20"/>
        </w:rPr>
      </w:pPr>
      <w:r w:rsidRPr="006E28F7">
        <w:rPr>
          <w:sz w:val="20"/>
          <w:szCs w:val="20"/>
        </w:rPr>
        <w:t xml:space="preserve">Once the </w:t>
      </w:r>
      <w:proofErr w:type="spellStart"/>
      <w:r w:rsidRPr="006E28F7">
        <w:rPr>
          <w:sz w:val="20"/>
          <w:szCs w:val="20"/>
        </w:rPr>
        <w:t>Tiering</w:t>
      </w:r>
      <w:proofErr w:type="spellEnd"/>
      <w:r w:rsidRPr="006E28F7">
        <w:rPr>
          <w:sz w:val="20"/>
          <w:szCs w:val="20"/>
        </w:rPr>
        <w:t xml:space="preserve"> has been determined, there is then no clarity on how the supervisory regime would be structured and implemented in practice – in particular how it would be differentiated in each situation for Tier 1, Tier 2, and Tier 2 with Comparable Compliance.  </w:t>
      </w:r>
    </w:p>
    <w:p w14:paraId="7B3AD2F4" w14:textId="77777777" w:rsidR="006E28F7" w:rsidRPr="006E28F7" w:rsidRDefault="006E28F7" w:rsidP="006E28F7">
      <w:pPr>
        <w:jc w:val="both"/>
        <w:rPr>
          <w:rFonts w:asciiTheme="minorHAnsi" w:hAnsiTheme="minorHAnsi" w:cstheme="minorHAnsi"/>
          <w:sz w:val="20"/>
          <w:szCs w:val="20"/>
        </w:rPr>
      </w:pPr>
      <w:bookmarkStart w:id="1" w:name="_GoBack"/>
      <w:bookmarkEnd w:id="1"/>
    </w:p>
    <w:p w14:paraId="1ABBDA05" w14:textId="77777777" w:rsidR="006E28F7" w:rsidRPr="006E28F7" w:rsidRDefault="006E28F7" w:rsidP="006E28F7">
      <w:pPr>
        <w:jc w:val="both"/>
        <w:rPr>
          <w:rFonts w:asciiTheme="minorHAnsi" w:hAnsiTheme="minorHAnsi" w:cstheme="minorHAnsi"/>
          <w:sz w:val="20"/>
          <w:szCs w:val="20"/>
        </w:rPr>
      </w:pPr>
      <w:r w:rsidRPr="006E28F7">
        <w:rPr>
          <w:rFonts w:asciiTheme="minorHAnsi" w:hAnsiTheme="minorHAnsi" w:cstheme="minorHAnsi"/>
          <w:sz w:val="20"/>
          <w:szCs w:val="20"/>
        </w:rPr>
        <w:t xml:space="preserve">Whilst LME Clear is supportive of a flexible approach to </w:t>
      </w:r>
      <w:proofErr w:type="spellStart"/>
      <w:r w:rsidRPr="006E28F7">
        <w:rPr>
          <w:rFonts w:asciiTheme="minorHAnsi" w:hAnsiTheme="minorHAnsi" w:cstheme="minorHAnsi"/>
          <w:sz w:val="20"/>
          <w:szCs w:val="20"/>
        </w:rPr>
        <w:t>Tiering</w:t>
      </w:r>
      <w:proofErr w:type="spellEnd"/>
      <w:r w:rsidRPr="006E28F7">
        <w:rPr>
          <w:rFonts w:asciiTheme="minorHAnsi" w:hAnsiTheme="minorHAnsi" w:cstheme="minorHAnsi"/>
          <w:sz w:val="20"/>
          <w:szCs w:val="20"/>
        </w:rPr>
        <w:t xml:space="preserve">, based on a consideration of all of the criteria collectively and taking into account broader regulatory outcomes, we believe further clarity and quantifiable metrics - such as those described - may enable TC-CCPs to determine whether there is a solid business case </w:t>
      </w:r>
      <w:r w:rsidRPr="006E28F7">
        <w:rPr>
          <w:rFonts w:asciiTheme="minorHAnsi" w:hAnsiTheme="minorHAnsi" w:cstheme="minorHAnsi"/>
          <w:i/>
          <w:sz w:val="20"/>
          <w:szCs w:val="20"/>
        </w:rPr>
        <w:t>before</w:t>
      </w:r>
      <w:r w:rsidRPr="006E28F7">
        <w:rPr>
          <w:rFonts w:asciiTheme="minorHAnsi" w:hAnsiTheme="minorHAnsi" w:cstheme="minorHAnsi"/>
          <w:sz w:val="20"/>
          <w:szCs w:val="20"/>
        </w:rPr>
        <w:t xml:space="preserve"> making an application and, if so, prepare themselves for the change in regime. </w:t>
      </w:r>
    </w:p>
    <w:p w14:paraId="33A7C390" w14:textId="77777777" w:rsidR="006E28F7" w:rsidRPr="006E28F7" w:rsidRDefault="006E28F7" w:rsidP="006E28F7">
      <w:pPr>
        <w:jc w:val="both"/>
        <w:rPr>
          <w:rFonts w:asciiTheme="minorHAnsi" w:hAnsiTheme="minorHAnsi" w:cstheme="minorHAnsi"/>
          <w:sz w:val="20"/>
          <w:szCs w:val="20"/>
        </w:rPr>
      </w:pPr>
    </w:p>
    <w:p w14:paraId="46064BAC" w14:textId="77777777" w:rsidR="006E28F7" w:rsidRPr="006E28F7" w:rsidRDefault="006E28F7" w:rsidP="006E28F7">
      <w:pPr>
        <w:jc w:val="both"/>
        <w:rPr>
          <w:rFonts w:asciiTheme="minorHAnsi" w:hAnsiTheme="minorHAnsi" w:cstheme="minorHAnsi"/>
          <w:sz w:val="20"/>
          <w:szCs w:val="20"/>
        </w:rPr>
      </w:pPr>
      <w:r w:rsidRPr="006E28F7">
        <w:rPr>
          <w:rFonts w:asciiTheme="minorHAnsi" w:hAnsiTheme="minorHAnsi" w:cstheme="minorHAnsi"/>
          <w:sz w:val="20"/>
          <w:szCs w:val="20"/>
        </w:rPr>
        <w:t xml:space="preserve">One solution we have laid out in this response may be to adopt a two-stage approach in the </w:t>
      </w:r>
      <w:proofErr w:type="spellStart"/>
      <w:r w:rsidRPr="006E28F7">
        <w:rPr>
          <w:rFonts w:asciiTheme="minorHAnsi" w:hAnsiTheme="minorHAnsi" w:cstheme="minorHAnsi"/>
          <w:sz w:val="20"/>
          <w:szCs w:val="20"/>
        </w:rPr>
        <w:t>Tiering</w:t>
      </w:r>
      <w:proofErr w:type="spellEnd"/>
      <w:r w:rsidRPr="006E28F7">
        <w:rPr>
          <w:rFonts w:asciiTheme="minorHAnsi" w:hAnsiTheme="minorHAnsi" w:cstheme="minorHAnsi"/>
          <w:sz w:val="20"/>
          <w:szCs w:val="20"/>
        </w:rPr>
        <w:t xml:space="preserve"> determination, the first stage being based on primary factors that directly impact the financial stability of the EU, and the second encompassing a more holistic view of the CCP.  It could also be useful to employ a definition of ‘systemic importance’ or a similar concept to enable CCPs to draw preliminary conclusions prior to their application.</w:t>
      </w:r>
    </w:p>
    <w:p w14:paraId="7A91CF96" w14:textId="77777777" w:rsidR="006E28F7" w:rsidRPr="006E28F7" w:rsidRDefault="006E28F7" w:rsidP="006E28F7">
      <w:pPr>
        <w:jc w:val="both"/>
        <w:rPr>
          <w:rFonts w:asciiTheme="minorHAnsi" w:hAnsiTheme="minorHAnsi" w:cstheme="minorHAnsi"/>
          <w:sz w:val="20"/>
          <w:szCs w:val="20"/>
        </w:rPr>
      </w:pPr>
    </w:p>
    <w:p w14:paraId="144006F6" w14:textId="3EF1C0C9" w:rsidR="00BE0B46" w:rsidRDefault="006E28F7" w:rsidP="006E28F7">
      <w:pPr>
        <w:jc w:val="both"/>
        <w:rPr>
          <w:rFonts w:ascii="Arial" w:hAnsi="Arial" w:cs="Arial"/>
        </w:rPr>
      </w:pPr>
      <w:r w:rsidRPr="006E28F7">
        <w:rPr>
          <w:rStyle w:val="MembernoticesubjectheadingCharChar"/>
          <w:rFonts w:asciiTheme="minorHAnsi" w:hAnsiTheme="minorHAnsi" w:cstheme="minorHAnsi"/>
          <w:b w:val="0"/>
          <w:sz w:val="20"/>
          <w:szCs w:val="20"/>
        </w:rPr>
        <w:t>Ultimately, whilst acknowledging and agreeing with the policy objective of focusing resource on those entities that pose greatest risk to the financial stability of the EU, we note that CCPs are global in their outlook and operation.  TC-CCPs will perform cost-benefit analyses ahead of accessing any new jurisdiction, comparing the potential revenue that can be earned against the cost of doing business there.  LME Clear therefore cautions that, in developing the regime, ESMA needs to ensure the EU does not become prohibitively expensive, burdensome or unattractive to do business in</w:t>
      </w:r>
      <w:r>
        <w:rPr>
          <w:rStyle w:val="MembernoticesubjectheadingCharChar"/>
          <w:rFonts w:asciiTheme="minorHAnsi" w:hAnsiTheme="minorHAnsi" w:cstheme="minorHAnsi"/>
          <w:b w:val="0"/>
          <w:sz w:val="20"/>
          <w:szCs w:val="20"/>
        </w:rPr>
        <w:t>.</w:t>
      </w:r>
    </w:p>
    <w:permEnd w:id="705252928"/>
    <w:p w14:paraId="7757BB51" w14:textId="77777777" w:rsidR="00BE0B46" w:rsidRDefault="00BE0B46" w:rsidP="00BE0B46">
      <w:pPr>
        <w:rPr>
          <w:rFonts w:ascii="Arial" w:hAnsi="Arial" w:cs="Arial"/>
        </w:rPr>
      </w:pPr>
      <w:r>
        <w:rPr>
          <w:rFonts w:ascii="Arial" w:hAnsi="Arial" w:cs="Arial"/>
        </w:rPr>
        <w:t>&lt;ESMA_QUESTION_TATC_7&gt;</w:t>
      </w:r>
    </w:p>
    <w:p w14:paraId="7BBA1C37" w14:textId="77777777" w:rsidR="00BE0B46" w:rsidRDefault="00BE0B46" w:rsidP="00BE0B46">
      <w:pPr>
        <w:rPr>
          <w:rFonts w:ascii="Arial" w:hAnsi="Arial" w:cs="Arial"/>
        </w:rPr>
      </w:pPr>
    </w:p>
    <w:p w14:paraId="2DD96BAF" w14:textId="77777777" w:rsidR="00BE0B46" w:rsidRDefault="00BE0B46" w:rsidP="00BE0B46">
      <w:pPr>
        <w:rPr>
          <w:rFonts w:ascii="Arial" w:hAnsi="Arial" w:cs="Arial"/>
        </w:rPr>
      </w:pPr>
    </w:p>
    <w:bookmarkEnd w:id="0"/>
    <w:p w14:paraId="0F6B052D" w14:textId="77777777" w:rsidR="00BE0B46" w:rsidRDefault="00BE0B46" w:rsidP="00C1698A">
      <w:pPr>
        <w:spacing w:line="276" w:lineRule="auto"/>
        <w:rPr>
          <w:rFonts w:asciiTheme="minorHAnsi" w:hAnsiTheme="minorHAnsi" w:cstheme="minorHAnsi"/>
          <w:b/>
          <w:sz w:val="28"/>
          <w:szCs w:val="28"/>
        </w:rPr>
      </w:pPr>
    </w:p>
    <w:sectPr w:rsidR="00BE0B46" w:rsidSect="00C85C8B">
      <w:headerReference w:type="default" r:id="rId21"/>
      <w:footerReference w:type="default" r:id="rId2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7CAFE4" w14:textId="77777777" w:rsidR="005E18DE" w:rsidRDefault="005E18DE" w:rsidP="007E7997">
      <w:r>
        <w:separator/>
      </w:r>
    </w:p>
  </w:endnote>
  <w:endnote w:type="continuationSeparator" w:id="0">
    <w:p w14:paraId="5FEEAF31" w14:textId="77777777" w:rsidR="005E18DE" w:rsidRDefault="005E18DE" w:rsidP="007E7997">
      <w:r>
        <w:continuationSeparator/>
      </w:r>
    </w:p>
  </w:endnote>
  <w:endnote w:type="continuationNotice" w:id="1">
    <w:p w14:paraId="0E977402" w14:textId="77777777" w:rsidR="005E18DE" w:rsidRDefault="005E18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F3915" w14:textId="06B21C4F"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AB6157">
      <w:rPr>
        <w:rFonts w:asciiTheme="majorHAnsi" w:hAnsiTheme="majorHAnsi"/>
        <w:color w:val="FFFFFF" w:themeColor="background1"/>
      </w:rPr>
      <w:t>2</w:t>
    </w:r>
    <w:r w:rsidR="00AF7EC4">
      <w:rPr>
        <w:rFonts w:asciiTheme="majorHAnsi" w:hAnsiTheme="majorHAnsi"/>
        <w:color w:val="FFFFFF" w:themeColor="background1"/>
      </w:rPr>
      <w:t>8</w:t>
    </w:r>
    <w:r w:rsidR="00AB6157">
      <w:rPr>
        <w:rFonts w:asciiTheme="majorHAnsi" w:hAnsiTheme="majorHAnsi"/>
        <w:color w:val="FFFFFF" w:themeColor="background1"/>
      </w:rPr>
      <w:t xml:space="preserve"> May 2019</w:t>
    </w:r>
    <w:r w:rsidR="00FF6930">
      <w:rPr>
        <w:rFonts w:asciiTheme="majorHAnsi" w:hAnsiTheme="majorHAnsi"/>
        <w:color w:val="FFFFFF" w:themeColor="background1"/>
      </w:rPr>
      <w:t xml:space="preserve"> </w:t>
    </w:r>
    <w:r w:rsidR="00FF6930" w:rsidRPr="00A17284">
      <w:rPr>
        <w:rFonts w:asciiTheme="majorHAnsi" w:hAnsiTheme="majorHAnsi"/>
        <w:color w:val="FFFFFF" w:themeColor="background1"/>
      </w:rPr>
      <w:t>ESMA</w:t>
    </w:r>
    <w:r w:rsidR="00A17284">
      <w:rPr>
        <w:rFonts w:asciiTheme="majorHAnsi" w:hAnsiTheme="majorHAnsi"/>
        <w:color w:val="FFFFFF" w:themeColor="background1"/>
      </w:rPr>
      <w:t>70-151-</w:t>
    </w:r>
    <w:r w:rsidR="00D24042">
      <w:rPr>
        <w:rFonts w:asciiTheme="majorHAnsi" w:hAnsiTheme="majorHAnsi"/>
        <w:color w:val="FFFFFF" w:themeColor="background1"/>
      </w:rPr>
      <w:t>2372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0631F8">
          <w:rPr>
            <w:noProof/>
          </w:rPr>
          <w:t>8</w:t>
        </w:r>
        <w:r>
          <w:rPr>
            <w:noProof/>
          </w:rPr>
          <w:fldChar w:fldCharType="end"/>
        </w:r>
      </w:p>
    </w:sdtContent>
  </w:sdt>
  <w:p w14:paraId="5EAB6EC7" w14:textId="1F85019A" w:rsidR="00E36813" w:rsidRDefault="00E36813" w:rsidP="00FB24E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B94A0B" w14:textId="77777777" w:rsidR="005E18DE" w:rsidRDefault="005E18DE" w:rsidP="007E7997">
      <w:r>
        <w:separator/>
      </w:r>
    </w:p>
  </w:footnote>
  <w:footnote w:type="continuationSeparator" w:id="0">
    <w:p w14:paraId="23651509" w14:textId="77777777" w:rsidR="005E18DE" w:rsidRDefault="005E18DE" w:rsidP="007E7997">
      <w:r>
        <w:continuationSeparator/>
      </w:r>
    </w:p>
  </w:footnote>
  <w:footnote w:type="continuationNotice" w:id="1">
    <w:p w14:paraId="1DFDE6A0" w14:textId="77777777" w:rsidR="005E18DE" w:rsidRDefault="005E18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91035" w14:textId="77777777" w:rsidR="00E36813" w:rsidRDefault="00E36813">
    <w:pPr>
      <w:pStyle w:val="Header"/>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B6EC4" w14:textId="5E62980F" w:rsidR="00E36813" w:rsidRDefault="00E36813"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09FD30E"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5EAB6EC5" w14:textId="74FAFBAA"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2683"/>
    <w:multiLevelType w:val="hybridMultilevel"/>
    <w:tmpl w:val="AFF006E8"/>
    <w:lvl w:ilvl="0" w:tplc="62E44D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7CA2CCE"/>
    <w:multiLevelType w:val="hybridMultilevel"/>
    <w:tmpl w:val="32E87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5">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4B105B3A"/>
    <w:multiLevelType w:val="hybridMultilevel"/>
    <w:tmpl w:val="AE3E05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59F13715"/>
    <w:multiLevelType w:val="hybridMultilevel"/>
    <w:tmpl w:val="2CE49DB0"/>
    <w:lvl w:ilvl="0" w:tplc="06F41184">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6BE2791D"/>
    <w:multiLevelType w:val="hybridMultilevel"/>
    <w:tmpl w:val="AE06A1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76A3154E"/>
    <w:multiLevelType w:val="hybridMultilevel"/>
    <w:tmpl w:val="AFF006E8"/>
    <w:lvl w:ilvl="0" w:tplc="62E44D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2"/>
  </w:num>
  <w:num w:numId="3">
    <w:abstractNumId w:val="13"/>
  </w:num>
  <w:num w:numId="4">
    <w:abstractNumId w:val="3"/>
  </w:num>
  <w:num w:numId="5">
    <w:abstractNumId w:val="9"/>
  </w:num>
  <w:num w:numId="6">
    <w:abstractNumId w:val="16"/>
  </w:num>
  <w:num w:numId="7">
    <w:abstractNumId w:val="8"/>
  </w:num>
  <w:num w:numId="8">
    <w:abstractNumId w:val="4"/>
  </w:num>
  <w:num w:numId="9">
    <w:abstractNumId w:val="7"/>
  </w:num>
  <w:num w:numId="10">
    <w:abstractNumId w:val="6"/>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2"/>
  </w:num>
  <w:num w:numId="16">
    <w:abstractNumId w:val="15"/>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4"/>
  </w:num>
  <w:num w:numId="20">
    <w:abstractNumId w:val="1"/>
  </w:num>
  <w:num w:numId="21">
    <w:abstractNumId w:val="0"/>
  </w:num>
  <w:num w:numId="22">
    <w:abstractNumId w:val="11"/>
  </w:num>
  <w:num w:numId="2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proofState w:spelling="clean" w:grammar="clean"/>
  <w:attachedTemplate r:id="rId1"/>
  <w:documentProtection w:edit="readOnly" w:enforcement="1" w:cryptProviderType="rsaAES" w:cryptAlgorithmClass="hash" w:cryptAlgorithmType="typeAny" w:cryptAlgorithmSid="14" w:cryptSpinCount="100000" w:hash="RXCUktz8AqZbJW6RItE4bDeowCDpu6rdJGMMrQuxIpYAqKnrGotGlVgx3a2Yu5Upesx4xSw+IZMVpI/Q/hJJcg==" w:salt="NQI/ukq6Kh+jh94KzWy4JQ=="/>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54E00"/>
    <w:rsid w:val="00061B2B"/>
    <w:rsid w:val="000631F8"/>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3999"/>
    <w:rsid w:val="001F3D9D"/>
    <w:rsid w:val="00200894"/>
    <w:rsid w:val="00202333"/>
    <w:rsid w:val="00202FA8"/>
    <w:rsid w:val="002034B8"/>
    <w:rsid w:val="00205922"/>
    <w:rsid w:val="00206FB8"/>
    <w:rsid w:val="0020766F"/>
    <w:rsid w:val="00207A07"/>
    <w:rsid w:val="00210498"/>
    <w:rsid w:val="0021147A"/>
    <w:rsid w:val="00213BFB"/>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D2992"/>
    <w:rsid w:val="002D37A0"/>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3C4B"/>
    <w:rsid w:val="003545A6"/>
    <w:rsid w:val="00356C60"/>
    <w:rsid w:val="003578D1"/>
    <w:rsid w:val="00366D42"/>
    <w:rsid w:val="0036748C"/>
    <w:rsid w:val="00372615"/>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43C6"/>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CC8"/>
    <w:rsid w:val="00462B2F"/>
    <w:rsid w:val="00465EAA"/>
    <w:rsid w:val="004708CA"/>
    <w:rsid w:val="004709E7"/>
    <w:rsid w:val="00470ADE"/>
    <w:rsid w:val="004712C7"/>
    <w:rsid w:val="004759EB"/>
    <w:rsid w:val="00477919"/>
    <w:rsid w:val="00482611"/>
    <w:rsid w:val="00482A27"/>
    <w:rsid w:val="00487DCE"/>
    <w:rsid w:val="004950B7"/>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673B7"/>
    <w:rsid w:val="005725BD"/>
    <w:rsid w:val="005730B0"/>
    <w:rsid w:val="00575DCC"/>
    <w:rsid w:val="005821B0"/>
    <w:rsid w:val="0059175F"/>
    <w:rsid w:val="00591AAC"/>
    <w:rsid w:val="00595F08"/>
    <w:rsid w:val="00595FBE"/>
    <w:rsid w:val="005A1C55"/>
    <w:rsid w:val="005B169D"/>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8F7"/>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26C7"/>
    <w:rsid w:val="007B354B"/>
    <w:rsid w:val="007B4FC3"/>
    <w:rsid w:val="007B73F3"/>
    <w:rsid w:val="007B7EE5"/>
    <w:rsid w:val="007C1C28"/>
    <w:rsid w:val="007C2A2C"/>
    <w:rsid w:val="007C3577"/>
    <w:rsid w:val="007C5E08"/>
    <w:rsid w:val="007D0002"/>
    <w:rsid w:val="007D7A59"/>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3059"/>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10D9"/>
    <w:rsid w:val="00851EE3"/>
    <w:rsid w:val="00853121"/>
    <w:rsid w:val="008555E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C28"/>
    <w:rsid w:val="008E2D26"/>
    <w:rsid w:val="008E4076"/>
    <w:rsid w:val="008E7DBA"/>
    <w:rsid w:val="008F3386"/>
    <w:rsid w:val="008F3AD9"/>
    <w:rsid w:val="008F4642"/>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7A75"/>
    <w:rsid w:val="00991A8A"/>
    <w:rsid w:val="00992611"/>
    <w:rsid w:val="00994303"/>
    <w:rsid w:val="0099526D"/>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D0C"/>
    <w:rsid w:val="00A16579"/>
    <w:rsid w:val="00A17284"/>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AF7EC4"/>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042"/>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4FC4"/>
    <w:rsid w:val="00D574C1"/>
    <w:rsid w:val="00D57615"/>
    <w:rsid w:val="00D577C9"/>
    <w:rsid w:val="00D606B7"/>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40BD"/>
    <w:rsid w:val="00DB4B8E"/>
    <w:rsid w:val="00DB4F4B"/>
    <w:rsid w:val="00DC070F"/>
    <w:rsid w:val="00DC3858"/>
    <w:rsid w:val="00DC3A57"/>
    <w:rsid w:val="00DC7A95"/>
    <w:rsid w:val="00DD55C2"/>
    <w:rsid w:val="00DD759E"/>
    <w:rsid w:val="00DD7C0A"/>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236F"/>
    <w:rsid w:val="00EB237E"/>
    <w:rsid w:val="00EC1546"/>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82E52"/>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AB6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bernoticesubjectheading">
    <w:name w:val="Member notice subject  heading"/>
    <w:basedOn w:val="Normal"/>
    <w:link w:val="MembernoticesubjectheadingCharChar"/>
    <w:rsid w:val="00DD7C0A"/>
    <w:pPr>
      <w:widowControl w:val="0"/>
      <w:suppressAutoHyphens/>
      <w:autoSpaceDE w:val="0"/>
      <w:autoSpaceDN w:val="0"/>
      <w:adjustRightInd w:val="0"/>
      <w:spacing w:line="288" w:lineRule="auto"/>
      <w:ind w:right="-40"/>
      <w:textAlignment w:val="center"/>
    </w:pPr>
    <w:rPr>
      <w:rFonts w:ascii="Arial" w:hAnsi="Arial"/>
      <w:b/>
      <w:bCs/>
      <w:spacing w:val="-4"/>
      <w:szCs w:val="18"/>
      <w:lang w:eastAsia="en-US"/>
    </w:rPr>
  </w:style>
  <w:style w:type="character" w:customStyle="1" w:styleId="MembernoticesubjectheadingCharChar">
    <w:name w:val="Member notice subject  heading Char Char"/>
    <w:basedOn w:val="DefaultParagraphFont"/>
    <w:link w:val="Membernoticesubjectheading"/>
    <w:rsid w:val="00DD7C0A"/>
    <w:rPr>
      <w:rFonts w:ascii="Arial" w:eastAsia="Times New Roman" w:hAnsi="Arial" w:cs="Times New Roman"/>
      <w:b/>
      <w:bCs/>
      <w:spacing w:val="-4"/>
      <w:sz w:val="24"/>
      <w:szCs w:val="18"/>
      <w:lang w:val="en-GB"/>
    </w:rPr>
  </w:style>
  <w:style w:type="paragraph" w:customStyle="1" w:styleId="MemberNoticeHeading">
    <w:name w:val="Member Notice Heading"/>
    <w:basedOn w:val="Normal"/>
    <w:rsid w:val="00DD7C0A"/>
    <w:pPr>
      <w:widowControl w:val="0"/>
      <w:tabs>
        <w:tab w:val="left" w:pos="1134"/>
      </w:tabs>
      <w:suppressAutoHyphens/>
      <w:autoSpaceDE w:val="0"/>
      <w:autoSpaceDN w:val="0"/>
      <w:adjustRightInd w:val="0"/>
      <w:spacing w:line="360" w:lineRule="auto"/>
      <w:ind w:right="-40"/>
      <w:textAlignment w:val="center"/>
    </w:pPr>
    <w:rPr>
      <w:rFonts w:ascii="Arial" w:hAnsi="Arial"/>
      <w:color w:val="000000"/>
      <w:spacing w:val="-4"/>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bernoticesubjectheading">
    <w:name w:val="Member notice subject  heading"/>
    <w:basedOn w:val="Normal"/>
    <w:link w:val="MembernoticesubjectheadingCharChar"/>
    <w:rsid w:val="00DD7C0A"/>
    <w:pPr>
      <w:widowControl w:val="0"/>
      <w:suppressAutoHyphens/>
      <w:autoSpaceDE w:val="0"/>
      <w:autoSpaceDN w:val="0"/>
      <w:adjustRightInd w:val="0"/>
      <w:spacing w:line="288" w:lineRule="auto"/>
      <w:ind w:right="-40"/>
      <w:textAlignment w:val="center"/>
    </w:pPr>
    <w:rPr>
      <w:rFonts w:ascii="Arial" w:hAnsi="Arial"/>
      <w:b/>
      <w:bCs/>
      <w:spacing w:val="-4"/>
      <w:szCs w:val="18"/>
      <w:lang w:eastAsia="en-US"/>
    </w:rPr>
  </w:style>
  <w:style w:type="character" w:customStyle="1" w:styleId="MembernoticesubjectheadingCharChar">
    <w:name w:val="Member notice subject  heading Char Char"/>
    <w:basedOn w:val="DefaultParagraphFont"/>
    <w:link w:val="Membernoticesubjectheading"/>
    <w:rsid w:val="00DD7C0A"/>
    <w:rPr>
      <w:rFonts w:ascii="Arial" w:eastAsia="Times New Roman" w:hAnsi="Arial" w:cs="Times New Roman"/>
      <w:b/>
      <w:bCs/>
      <w:spacing w:val="-4"/>
      <w:sz w:val="24"/>
      <w:szCs w:val="18"/>
      <w:lang w:val="en-GB"/>
    </w:rPr>
  </w:style>
  <w:style w:type="paragraph" w:customStyle="1" w:styleId="MemberNoticeHeading">
    <w:name w:val="Member Notice Heading"/>
    <w:basedOn w:val="Normal"/>
    <w:rsid w:val="00DD7C0A"/>
    <w:pPr>
      <w:widowControl w:val="0"/>
      <w:tabs>
        <w:tab w:val="left" w:pos="1134"/>
      </w:tabs>
      <w:suppressAutoHyphens/>
      <w:autoSpaceDE w:val="0"/>
      <w:autoSpaceDN w:val="0"/>
      <w:adjustRightInd w:val="0"/>
      <w:spacing w:line="360" w:lineRule="auto"/>
      <w:ind w:right="-40"/>
      <w:textAlignment w:val="center"/>
    </w:pPr>
    <w:rPr>
      <w:rFonts w:ascii="Arial" w:hAnsi="Arial"/>
      <w:color w:val="000000"/>
      <w:spacing w:val="-4"/>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sma.europa.eu/legal-noti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20fbe147-bbda-4e53-b6b1-7e8bbff3fe19">ESMA70-151-2372</_dlc_DocId>
    <TaxCatchAll xmlns="20fbe147-bbda-4e53-b6b1-7e8bbff3fe19">
      <Value>279</Value>
      <Value>165</Value>
      <Value>4</Value>
      <Value>2</Value>
      <Value>431</Value>
    </TaxCatchAll>
    <_dlc_DocIdUrl xmlns="20fbe147-bbda-4e53-b6b1-7e8bbff3fe19">
      <Url>https://sherpa.esma.europa.eu/sites/MKT/PTR/_layouts/15/DocIdRedir.aspx?ID=ESMA70-151-2372</Url>
      <Description>ESMA70-151-2372</Description>
    </_dlc_DocIdUrl>
    <Year xmlns="20fbe147-bbda-4e53-b6b1-7e8bbff3fe19">2017</Year>
    <MeetingDate xmlns="20fbe147-bbda-4e53-b6b1-7e8bbff3fe19">2019-05-27T22:00:00+00:00</MeetingDat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EMIR 2.2</TermName>
          <TermId xmlns="http://schemas.microsoft.com/office/infopath/2007/PartnerControls">4df16084-2afe-4fff-a8ff-88ac73e94787</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Post-Trading</TermName>
          <TermId xmlns="http://schemas.microsoft.com/office/infopath/2007/PartnerControls">edaa1ce6-4b9b-4aac-a462-2b226ce43f53</TermId>
        </TermInfo>
      </Terms>
    </bce29119141747ccb9ac7d87218ed4af>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Tiering</TermName>
          <TermId xmlns="http://schemas.microsoft.com/office/infopath/2007/PartnerControls">f9af25da-f047-498e-8d2f-59a13e51bc4f</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ost-Trading Policy Document" ma:contentTypeID="0x01010001BD15C3986B91498E0AE644B715B9EE01080087D15FE546E30B45B9BBC45FA14F869C" ma:contentTypeVersion="14" ma:contentTypeDescription="" ma:contentTypeScope="" ma:versionID="6c22cca56ce01193b119cc2461a23d90">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80fba296c37c96e7e7129886a0b5426a" ns2:_="" ns3:_="">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d082429-7842-4b54-bb20-96c85011588b"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a842971e-647d-4879-adf7-d46819988cd9"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4;#Post-Trading|edaa1ce6-4b9b-4aac-a462-2b226ce43f53"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7F5EE-E87B-49CE-96B5-F95CE63A0DF2}">
  <ds:schemaRefs>
    <ds:schemaRef ds:uri="http://schemas.microsoft.com/office/2006/documentManagement/types"/>
    <ds:schemaRef ds:uri="http://www.w3.org/XML/1998/namespace"/>
    <ds:schemaRef ds:uri="http://purl.org/dc/terms/"/>
    <ds:schemaRef ds:uri="20fbe147-bbda-4e53-b6b1-7e8bbff3fe19"/>
    <ds:schemaRef ds:uri="http://purl.org/dc/elements/1.1/"/>
    <ds:schemaRef ds:uri="http://schemas.microsoft.com/office/infopath/2007/PartnerControls"/>
    <ds:schemaRef ds:uri="http://purl.org/dc/dcmitype/"/>
    <ds:schemaRef ds:uri="http://schemas.openxmlformats.org/package/2006/metadata/core-properties"/>
    <ds:schemaRef ds:uri="http://schemas.microsoft.com/sharepoint/v4"/>
    <ds:schemaRef ds:uri="http://schemas.microsoft.com/office/2006/metadata/properties"/>
  </ds:schemaRefs>
</ds:datastoreItem>
</file>

<file path=customXml/itemProps2.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3.xml><?xml version="1.0" encoding="utf-8"?>
<ds:datastoreItem xmlns:ds="http://schemas.openxmlformats.org/officeDocument/2006/customXml" ds:itemID="{667C590C-0952-4EAA-B055-3E76033E1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5.xml><?xml version="1.0" encoding="utf-8"?>
<ds:datastoreItem xmlns:ds="http://schemas.openxmlformats.org/officeDocument/2006/customXml" ds:itemID="{29C56BDE-BFDF-4773-9306-72448FBAF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10</TotalTime>
  <Pages>9</Pages>
  <Words>2933</Words>
  <Characters>16724</Characters>
  <Application>Microsoft Office Word</Application>
  <DocSecurity>8</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19618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Alina.Dragomir@esma.europa.eu</dc:creator>
  <cp:lastModifiedBy>Gavin.Hill</cp:lastModifiedBy>
  <cp:revision>6</cp:revision>
  <cp:lastPrinted>2017-07-24T14:47:00Z</cp:lastPrinted>
  <dcterms:created xsi:type="dcterms:W3CDTF">2019-07-15T13:30:00Z</dcterms:created>
  <dcterms:modified xsi:type="dcterms:W3CDTF">2019-07-29T10:33:00Z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2;#Restricted|187aa7e6-627f-4951-b138-6ff841dc883d</vt:lpwstr>
  </property>
  <property fmtid="{D5CDD505-2E9C-101B-9397-08002B2CF9AE}" pid="4" name="ContentTypeId">
    <vt:lpwstr>0x01010001BD15C3986B91498E0AE644B715B9EE01080087D15FE546E30B45B9BBC45FA14F869C</vt:lpwstr>
  </property>
  <property fmtid="{D5CDD505-2E9C-101B-9397-08002B2CF9AE}" pid="5" name="_dlc_DocIdItemGuid">
    <vt:lpwstr>5ca84524-fdb7-4bdf-b33b-93ed3dfd0202</vt:lpwstr>
  </property>
  <property fmtid="{D5CDD505-2E9C-101B-9397-08002B2CF9AE}" pid="6" name="DocumentType">
    <vt:lpwstr>165;#Form / Request|efe27f23-61a2-47e7-916e-544dd02c80f4</vt:lpwstr>
  </property>
  <property fmtid="{D5CDD505-2E9C-101B-9397-08002B2CF9AE}" pid="7" name="Topic">
    <vt:lpwstr>279;#EMIR 2.2|4df16084-2afe-4fff-a8ff-88ac73e94787</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4;#Post-Trading|edaa1ce6-4b9b-4aac-a462-2b226ce43f53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431;#Tiering|f9af25da-f047-498e-8d2f-59a13e51bc4f</vt:lpwstr>
  </property>
</Properties>
</file>