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9D670" w14:textId="77777777" w:rsidR="004625BD" w:rsidRDefault="004625BD" w:rsidP="003B3B6A">
      <w:pPr>
        <w:spacing w:line="276" w:lineRule="auto"/>
        <w:rPr>
          <w:rFonts w:asciiTheme="minorHAnsi" w:hAnsiTheme="minorHAnsi" w:cstheme="minorHAnsi"/>
        </w:rPr>
      </w:pPr>
    </w:p>
    <w:sdt>
      <w:sdtPr>
        <w:rPr>
          <w:rFonts w:asciiTheme="minorHAnsi" w:hAnsiTheme="minorHAnsi" w:cstheme="minorHAnsi"/>
        </w:rPr>
        <w:id w:val="-973058580"/>
        <w:docPartObj>
          <w:docPartGallery w:val="Cover Pages"/>
          <w:docPartUnique/>
        </w:docPartObj>
      </w:sdtPr>
      <w:sdtEndPr/>
      <w:sdtContent>
        <w:p w14:paraId="6DBEE078" w14:textId="7D30C245" w:rsidR="003B3B6A" w:rsidRPr="00B8572C" w:rsidRDefault="003B3B6A" w:rsidP="003B3B6A">
          <w:pPr>
            <w:spacing w:line="276" w:lineRule="auto"/>
            <w:rPr>
              <w:rFonts w:asciiTheme="minorHAnsi" w:hAnsiTheme="minorHAnsi" w:cstheme="minorHAnsi"/>
              <w:color w:val="FF0000"/>
            </w:rPr>
          </w:pPr>
        </w:p>
        <w:p w14:paraId="4EB64731" w14:textId="77777777" w:rsidR="003B3B6A" w:rsidRPr="00B8572C" w:rsidRDefault="003B3B6A" w:rsidP="003B3B6A">
          <w:pPr>
            <w:spacing w:after="120" w:line="276" w:lineRule="auto"/>
            <w:rPr>
              <w:rFonts w:asciiTheme="minorHAnsi" w:hAnsiTheme="minorHAnsi" w:cstheme="minorHAnsi"/>
            </w:rPr>
          </w:pPr>
        </w:p>
        <w:p w14:paraId="41D5F659" w14:textId="77777777" w:rsidR="003B3B6A" w:rsidRPr="00B8572C" w:rsidRDefault="003B3B6A" w:rsidP="003B3B6A">
          <w:pPr>
            <w:spacing w:line="276" w:lineRule="auto"/>
            <w:rPr>
              <w:rFonts w:asciiTheme="minorHAnsi" w:hAnsiTheme="minorHAnsi" w:cstheme="minorHAnsi"/>
            </w:rPr>
          </w:pPr>
        </w:p>
        <w:p w14:paraId="48587C1D" w14:textId="77777777" w:rsidR="003B3B6A" w:rsidRPr="00B8572C" w:rsidRDefault="003B3B6A" w:rsidP="003B3B6A">
          <w:pPr>
            <w:spacing w:line="276" w:lineRule="auto"/>
            <w:rPr>
              <w:rFonts w:asciiTheme="minorHAnsi" w:hAnsiTheme="minorHAnsi" w:cstheme="minorHAnsi"/>
            </w:rPr>
          </w:pPr>
        </w:p>
        <w:p w14:paraId="059E3ED4" w14:textId="77777777" w:rsidR="003B3B6A" w:rsidRPr="00B8572C" w:rsidRDefault="003B3B6A" w:rsidP="003B3B6A">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3B3B6A" w:rsidRPr="00B8572C" w14:paraId="1266E199" w14:textId="77777777" w:rsidTr="00B8553A">
            <w:trPr>
              <w:trHeight w:hRule="exact" w:val="1492"/>
            </w:trPr>
            <w:tc>
              <w:tcPr>
                <w:tcW w:w="10490" w:type="dxa"/>
                <w:vAlign w:val="bottom"/>
              </w:tcPr>
              <w:p w14:paraId="22DCF9C6" w14:textId="77777777" w:rsidR="003B3B6A" w:rsidRPr="00B8572C" w:rsidRDefault="003B3B6A" w:rsidP="00B8553A">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Consultation Paper </w:t>
                </w:r>
              </w:p>
            </w:tc>
          </w:tr>
          <w:tr w:rsidR="003B3B6A" w:rsidRPr="00B8572C" w14:paraId="0562E74A" w14:textId="77777777" w:rsidTr="00B8553A">
            <w:trPr>
              <w:trHeight w:hRule="exact" w:val="747"/>
            </w:trPr>
            <w:tc>
              <w:tcPr>
                <w:tcW w:w="10490" w:type="dxa"/>
                <w:tcMar>
                  <w:top w:w="142" w:type="dxa"/>
                </w:tcMar>
              </w:tcPr>
              <w:p w14:paraId="0FE954B2" w14:textId="77777777" w:rsidR="003B3B6A" w:rsidRPr="00B8572C" w:rsidRDefault="003B3B6A" w:rsidP="00B8553A">
                <w:pPr>
                  <w:pStyle w:val="Heading2"/>
                  <w:numPr>
                    <w:ilvl w:val="0"/>
                    <w:numId w:val="0"/>
                  </w:numPr>
                  <w:ind w:left="576" w:hanging="576"/>
                </w:pPr>
                <w:r w:rsidRPr="00220938">
                  <w:t xml:space="preserve">Draft </w:t>
                </w:r>
                <w:r>
                  <w:t xml:space="preserve">technical </w:t>
                </w:r>
                <w:r w:rsidRPr="00220938">
                  <w:t>advice on criteria for tiering under Article 25(2a) of EMIR2.2</w:t>
                </w:r>
              </w:p>
            </w:tc>
          </w:tr>
        </w:tbl>
        <w:p w14:paraId="3E4FC552" w14:textId="77777777" w:rsidR="003B3B6A" w:rsidRPr="00B8572C" w:rsidRDefault="003B3B6A" w:rsidP="003B3B6A">
          <w:pPr>
            <w:spacing w:line="276" w:lineRule="auto"/>
            <w:rPr>
              <w:rFonts w:asciiTheme="minorHAnsi" w:hAnsiTheme="minorHAnsi" w:cstheme="minorHAnsi"/>
            </w:rPr>
          </w:pPr>
        </w:p>
        <w:p w14:paraId="1551A08D" w14:textId="77777777" w:rsidR="003B3B6A" w:rsidRPr="00B8572C" w:rsidRDefault="003B3B6A" w:rsidP="003B3B6A">
          <w:pPr>
            <w:spacing w:line="276" w:lineRule="auto"/>
            <w:rPr>
              <w:rFonts w:asciiTheme="minorHAnsi" w:hAnsiTheme="minorHAnsi" w:cstheme="minorHAnsi"/>
            </w:rPr>
            <w:sectPr w:rsidR="003B3B6A" w:rsidRPr="00B8572C"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7788F8D1" w14:textId="77777777" w:rsidR="003B3B6A" w:rsidRPr="00B8572C" w:rsidRDefault="003B3B6A" w:rsidP="003B3B6A">
          <w:pPr>
            <w:numPr>
              <w:ilvl w:val="1"/>
              <w:numId w:val="0"/>
            </w:numPr>
            <w:spacing w:after="250" w:line="276" w:lineRule="auto"/>
            <w:jc w:val="both"/>
            <w:rPr>
              <w:rFonts w:asciiTheme="majorHAnsi" w:eastAsiaTheme="majorEastAsia" w:hAnsiTheme="majorHAnsi" w:cstheme="majorBidi"/>
              <w:b/>
              <w:sz w:val="28"/>
              <w:lang w:eastAsia="en-US"/>
            </w:rPr>
          </w:pPr>
        </w:p>
        <w:p w14:paraId="5CBE6196" w14:textId="77777777" w:rsidR="003B3B6A" w:rsidRPr="00B8572C" w:rsidRDefault="003B3B6A" w:rsidP="003B3B6A">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0EB2947B" w14:textId="77777777" w:rsidR="003B3B6A" w:rsidRPr="00AB6157" w:rsidRDefault="003B3B6A" w:rsidP="003B3B6A">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73F6F61E" w14:textId="77777777" w:rsidR="003B3B6A" w:rsidRPr="00AB6157" w:rsidRDefault="003B3B6A" w:rsidP="003B3B6A">
          <w:pPr>
            <w:numPr>
              <w:ilvl w:val="0"/>
              <w:numId w:val="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44CC905" w14:textId="77777777" w:rsidR="003B3B6A" w:rsidRPr="00AB6157" w:rsidRDefault="003B3B6A" w:rsidP="003B3B6A">
          <w:pPr>
            <w:numPr>
              <w:ilvl w:val="0"/>
              <w:numId w:val="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70C8A2D9" w14:textId="77777777" w:rsidR="003B3B6A" w:rsidRPr="00AB6157" w:rsidRDefault="003B3B6A" w:rsidP="003B3B6A">
          <w:pPr>
            <w:numPr>
              <w:ilvl w:val="0"/>
              <w:numId w:val="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C1C5D76" w14:textId="77777777" w:rsidR="003B3B6A" w:rsidRPr="00AB6157" w:rsidRDefault="003B3B6A" w:rsidP="003B3B6A">
          <w:pPr>
            <w:numPr>
              <w:ilvl w:val="0"/>
              <w:numId w:val="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473A50CF" w14:textId="77777777" w:rsidR="003B3B6A" w:rsidRPr="00AB6157" w:rsidRDefault="003B3B6A" w:rsidP="003B3B6A">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w:t>
          </w:r>
          <w:r w:rsidRPr="00AF7EC4">
            <w:rPr>
              <w:rFonts w:asciiTheme="minorHAnsi" w:eastAsiaTheme="minorEastAsia" w:hAnsiTheme="minorHAnsi" w:cstheme="minorBidi"/>
              <w:sz w:val="22"/>
              <w:szCs w:val="20"/>
              <w:lang w:eastAsia="en-US"/>
            </w:rPr>
            <w:t xml:space="preserve">by </w:t>
          </w:r>
          <w:r w:rsidRPr="00AF7EC4">
            <w:rPr>
              <w:rFonts w:asciiTheme="minorHAnsi" w:eastAsiaTheme="minorEastAsia" w:hAnsiTheme="minorHAnsi" w:cstheme="minorBidi"/>
              <w:b/>
              <w:sz w:val="22"/>
              <w:szCs w:val="20"/>
              <w:lang w:eastAsia="en-US"/>
            </w:rPr>
            <w:t>29 July 2019.</w:t>
          </w:r>
          <w:r w:rsidRPr="00AB6157">
            <w:rPr>
              <w:rFonts w:asciiTheme="minorHAnsi" w:eastAsiaTheme="minorEastAsia" w:hAnsiTheme="minorHAnsi" w:cstheme="minorBidi"/>
              <w:b/>
              <w:sz w:val="22"/>
              <w:szCs w:val="20"/>
              <w:lang w:eastAsia="en-US"/>
            </w:rPr>
            <w:t xml:space="preserve"> </w:t>
          </w:r>
        </w:p>
        <w:p w14:paraId="233ADFFB" w14:textId="77777777" w:rsidR="003B3B6A" w:rsidRPr="00AB6157" w:rsidRDefault="003B3B6A" w:rsidP="003B3B6A">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5" w:history="1">
            <w:r w:rsidRPr="00AB6157">
              <w:rPr>
                <w:rFonts w:asciiTheme="minorHAnsi" w:eastAsiaTheme="minorEastAsia" w:hAnsiTheme="minorHAnsi" w:cstheme="minorBidi"/>
                <w:color w:val="0000FF"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24AF5E4D" w14:textId="77777777" w:rsidR="003B3B6A" w:rsidRPr="00C85C8B" w:rsidRDefault="003B3B6A" w:rsidP="003B3B6A">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76C179B3" w14:textId="77777777" w:rsidR="003B3B6A" w:rsidRPr="00C85C8B" w:rsidRDefault="003B3B6A" w:rsidP="003B3B6A">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7766BE09" w14:textId="77777777" w:rsidR="003B3B6A" w:rsidRPr="00C85C8B" w:rsidRDefault="003B3B6A" w:rsidP="003B3B6A">
          <w:pPr>
            <w:pStyle w:val="ListParagraph"/>
            <w:numPr>
              <w:ilvl w:val="0"/>
              <w:numId w:val="4"/>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9562C5" w14:textId="77777777" w:rsidR="003B3B6A" w:rsidRPr="00C85C8B" w:rsidRDefault="003B3B6A" w:rsidP="003B3B6A">
          <w:pPr>
            <w:pStyle w:val="ListParagraph"/>
            <w:numPr>
              <w:ilvl w:val="0"/>
              <w:numId w:val="4"/>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&lt;ESMA_QUESTION_TATC</w:t>
          </w:r>
          <w:r w:rsidRPr="00C85C8B">
            <w:rPr>
              <w:rFonts w:eastAsiaTheme="minorEastAsia" w:cstheme="minorBidi"/>
              <w:szCs w:val="20"/>
              <w:lang w:eastAsia="en-US"/>
            </w:rPr>
            <w:t>_1&gt;. Your response to each question has to be framed by the two tags corresponding to the question.</w:t>
          </w:r>
        </w:p>
        <w:p w14:paraId="6CFAF103" w14:textId="77777777" w:rsidR="003B3B6A" w:rsidRPr="00C85C8B" w:rsidRDefault="003B3B6A" w:rsidP="003B3B6A">
          <w:pPr>
            <w:pStyle w:val="ListParagraph"/>
            <w:numPr>
              <w:ilvl w:val="0"/>
              <w:numId w:val="4"/>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71FCEAEF" w14:textId="77777777" w:rsidR="003B3B6A" w:rsidRPr="00C85C8B" w:rsidRDefault="003B3B6A" w:rsidP="003B3B6A">
          <w:pPr>
            <w:pStyle w:val="ListParagraph"/>
            <w:numPr>
              <w:ilvl w:val="0"/>
              <w:numId w:val="4"/>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ESMA_TATC</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ESMA_TATC</w:t>
          </w:r>
          <w:r w:rsidRPr="00C85C8B">
            <w:rPr>
              <w:rFonts w:eastAsiaTheme="minorEastAsia" w:cstheme="minorBidi"/>
              <w:szCs w:val="20"/>
              <w:lang w:eastAsia="en-US"/>
            </w:rPr>
            <w:t>_ABCD_RESPONSEFORM.</w:t>
          </w:r>
        </w:p>
        <w:p w14:paraId="0ECDD3EE" w14:textId="77777777" w:rsidR="003B3B6A" w:rsidRPr="00C85C8B" w:rsidRDefault="003B3B6A" w:rsidP="003B3B6A">
          <w:pPr>
            <w:pStyle w:val="ListParagraph"/>
            <w:numPr>
              <w:ilvl w:val="0"/>
              <w:numId w:val="4"/>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6"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94803BE" w14:textId="77777777" w:rsidR="003B3B6A" w:rsidRDefault="003B3B6A" w:rsidP="003B3B6A">
          <w:pPr>
            <w:spacing w:after="250" w:line="276" w:lineRule="auto"/>
            <w:jc w:val="both"/>
            <w:rPr>
              <w:rFonts w:asciiTheme="minorHAnsi" w:eastAsiaTheme="minorEastAsia" w:hAnsiTheme="minorHAnsi" w:cstheme="minorBidi"/>
              <w:sz w:val="22"/>
              <w:szCs w:val="20"/>
              <w:lang w:eastAsia="en-US"/>
            </w:rPr>
          </w:pPr>
        </w:p>
        <w:p w14:paraId="2AC43EEE" w14:textId="77777777" w:rsidR="003B3B6A" w:rsidRDefault="003B3B6A" w:rsidP="003B3B6A">
          <w:pPr>
            <w:spacing w:after="250" w:line="276" w:lineRule="auto"/>
            <w:jc w:val="both"/>
            <w:rPr>
              <w:rFonts w:asciiTheme="minorHAnsi" w:eastAsiaTheme="minorEastAsia" w:hAnsiTheme="minorHAnsi" w:cstheme="minorBidi"/>
              <w:sz w:val="22"/>
              <w:szCs w:val="20"/>
              <w:lang w:eastAsia="en-US"/>
            </w:rPr>
          </w:pPr>
        </w:p>
        <w:p w14:paraId="45AEFF10" w14:textId="77777777" w:rsidR="003B3B6A" w:rsidRPr="00C1698A" w:rsidRDefault="003B3B6A" w:rsidP="003B3B6A">
          <w:pPr>
            <w:spacing w:after="250" w:line="276" w:lineRule="auto"/>
            <w:jc w:val="both"/>
            <w:rPr>
              <w:rFonts w:asciiTheme="minorHAnsi" w:eastAsiaTheme="minorEastAsia" w:hAnsiTheme="minorHAnsi" w:cstheme="minorBidi"/>
              <w:sz w:val="22"/>
              <w:szCs w:val="20"/>
              <w:lang w:eastAsia="en-US"/>
            </w:rPr>
          </w:pPr>
        </w:p>
        <w:p w14:paraId="657BD10B" w14:textId="77777777" w:rsidR="003B3B6A" w:rsidRPr="00B8572C" w:rsidRDefault="003B3B6A" w:rsidP="003B3B6A">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5A0F70BB" w14:textId="77777777" w:rsidR="003B3B6A" w:rsidRPr="00AB6157" w:rsidRDefault="003B3B6A" w:rsidP="003B3B6A">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D6498B1" w14:textId="77777777" w:rsidR="003B3B6A" w:rsidRPr="00B8572C" w:rsidRDefault="003B3B6A" w:rsidP="003B3B6A">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37428136" w14:textId="77777777" w:rsidR="003B3B6A" w:rsidRPr="00AB6157" w:rsidRDefault="003B3B6A" w:rsidP="003B3B6A">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7" w:history="1">
            <w:r w:rsidRPr="00AB6157">
              <w:rPr>
                <w:rFonts w:asciiTheme="minorHAnsi" w:eastAsiaTheme="minorEastAsia" w:hAnsiTheme="minorHAnsi" w:cstheme="minorBidi"/>
                <w:color w:val="0000FF"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8" w:history="1">
            <w:r w:rsidRPr="00AB6157">
              <w:rPr>
                <w:rFonts w:asciiTheme="minorHAnsi" w:eastAsiaTheme="minorEastAsia" w:hAnsiTheme="minorHAnsi" w:cstheme="minorBidi"/>
                <w:color w:val="0000FF"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D63D654" w14:textId="77777777" w:rsidR="003B3B6A" w:rsidRPr="00B8572C" w:rsidRDefault="003B3B6A" w:rsidP="003B3B6A">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4A220299" w14:textId="77777777" w:rsidR="003B3B6A" w:rsidRPr="00220938" w:rsidRDefault="003B3B6A" w:rsidP="003B3B6A">
          <w:pPr>
            <w:spacing w:after="250" w:line="276" w:lineRule="auto"/>
            <w:jc w:val="both"/>
            <w:rPr>
              <w:rFonts w:asciiTheme="minorHAnsi" w:eastAsiaTheme="minorEastAsia" w:hAnsiTheme="minorHAnsi" w:cstheme="minorBidi"/>
              <w:sz w:val="22"/>
              <w:szCs w:val="20"/>
              <w:lang w:eastAsia="en-US"/>
            </w:rPr>
          </w:pPr>
          <w:r w:rsidRPr="00220938">
            <w:rPr>
              <w:rFonts w:asciiTheme="minorHAnsi" w:eastAsiaTheme="minorEastAsia" w:hAnsiTheme="minorHAnsi" w:cstheme="minorBidi"/>
              <w:sz w:val="22"/>
              <w:szCs w:val="20"/>
              <w:lang w:eastAsia="en-US"/>
            </w:rPr>
            <w:t>All interested stakeholders are invited to respond to this consultation paper. In particular, responses are sought from central counterparties (CCPs), clearing members and clients of clearing members.</w:t>
          </w:r>
        </w:p>
        <w:p w14:paraId="15CA7642" w14:textId="78B8B3D9" w:rsidR="003B3B6A" w:rsidRPr="00B8572C" w:rsidRDefault="00FB2F05" w:rsidP="003B3B6A">
          <w:pPr>
            <w:spacing w:after="120" w:line="276" w:lineRule="auto"/>
            <w:rPr>
              <w:rFonts w:asciiTheme="minorHAnsi" w:hAnsiTheme="minorHAnsi" w:cstheme="minorHAnsi"/>
            </w:rPr>
          </w:pPr>
        </w:p>
      </w:sdtContent>
    </w:sdt>
    <w:p w14:paraId="1327912E" w14:textId="77777777" w:rsidR="003B3B6A" w:rsidRPr="00B8572C" w:rsidRDefault="003B3B6A" w:rsidP="003B3B6A">
      <w:pPr>
        <w:spacing w:after="120" w:line="276" w:lineRule="auto"/>
        <w:rPr>
          <w:rFonts w:asciiTheme="minorHAnsi" w:hAnsiTheme="minorHAnsi" w:cstheme="minorHAnsi"/>
        </w:rPr>
      </w:pPr>
    </w:p>
    <w:p w14:paraId="6FF944F6" w14:textId="77777777" w:rsidR="003B3B6A" w:rsidRPr="00B8572C" w:rsidRDefault="003B3B6A" w:rsidP="003B3B6A">
      <w:pPr>
        <w:spacing w:after="120" w:line="276" w:lineRule="auto"/>
        <w:rPr>
          <w:rFonts w:asciiTheme="minorHAnsi" w:hAnsiTheme="minorHAnsi" w:cstheme="minorHAnsi"/>
        </w:rPr>
      </w:pPr>
    </w:p>
    <w:p w14:paraId="48D7747F" w14:textId="77777777" w:rsidR="003B3B6A" w:rsidRPr="00C1698A" w:rsidRDefault="003B3B6A" w:rsidP="003B3B6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C9D11F8" w14:textId="77777777" w:rsidR="003B3B6A" w:rsidRDefault="003B3B6A" w:rsidP="003B3B6A">
      <w:pPr>
        <w:spacing w:line="276" w:lineRule="auto"/>
        <w:rPr>
          <w:rFonts w:asciiTheme="minorHAnsi" w:hAnsiTheme="minorHAnsi" w:cstheme="minorHAnsi"/>
          <w:b/>
          <w:sz w:val="28"/>
          <w:szCs w:val="28"/>
        </w:rPr>
      </w:pPr>
      <w:bookmarkStart w:id="0" w:name="_Toc515564428"/>
    </w:p>
    <w:p w14:paraId="00C704CE" w14:textId="77777777" w:rsidR="003B3B6A" w:rsidRDefault="003B3B6A" w:rsidP="003B3B6A">
      <w:pPr>
        <w:spacing w:line="276" w:lineRule="auto"/>
        <w:rPr>
          <w:rFonts w:asciiTheme="minorHAnsi" w:hAnsiTheme="minorHAnsi" w:cstheme="minorHAnsi"/>
          <w:b/>
          <w:sz w:val="28"/>
          <w:szCs w:val="28"/>
        </w:rPr>
      </w:pPr>
    </w:p>
    <w:p w14:paraId="6E0FFEAB" w14:textId="77777777" w:rsidR="003B3B6A" w:rsidRDefault="003B3B6A" w:rsidP="003B3B6A">
      <w:pPr>
        <w:spacing w:line="276" w:lineRule="auto"/>
        <w:rPr>
          <w:rFonts w:asciiTheme="minorHAnsi" w:hAnsiTheme="minorHAnsi" w:cstheme="minorHAnsi"/>
          <w:b/>
          <w:sz w:val="28"/>
          <w:szCs w:val="28"/>
        </w:rPr>
      </w:pPr>
    </w:p>
    <w:p w14:paraId="76A9C9EC" w14:textId="77777777" w:rsidR="003B3B6A" w:rsidRPr="00C85C8B" w:rsidRDefault="003B3B6A" w:rsidP="003B3B6A">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3B3B6A" w:rsidRPr="00C85C8B" w14:paraId="123C6969" w14:textId="77777777" w:rsidTr="00B8553A">
        <w:tc>
          <w:tcPr>
            <w:tcW w:w="3929" w:type="dxa"/>
            <w:shd w:val="clear" w:color="auto" w:fill="auto"/>
          </w:tcPr>
          <w:p w14:paraId="6AB46C60" w14:textId="77777777" w:rsidR="003B3B6A" w:rsidRPr="00C85C8B" w:rsidRDefault="003B3B6A" w:rsidP="00B8553A">
            <w:pPr>
              <w:rPr>
                <w:rFonts w:ascii="Arial" w:hAnsi="Arial" w:cs="Arial"/>
                <w:sz w:val="22"/>
                <w:lang w:eastAsia="de-DE"/>
              </w:rPr>
            </w:pPr>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26AE92A4" w14:textId="66CDBE14" w:rsidR="003B3B6A" w:rsidRPr="00C85C8B" w:rsidRDefault="00942E94" w:rsidP="006C1C0B">
                <w:pPr>
                  <w:rPr>
                    <w:rFonts w:ascii="Arial" w:hAnsi="Arial" w:cs="Arial"/>
                    <w:color w:val="808080"/>
                    <w:sz w:val="20"/>
                    <w:lang w:eastAsia="de-DE"/>
                  </w:rPr>
                </w:pPr>
                <w:r>
                  <w:rPr>
                    <w:rFonts w:ascii="Arial" w:hAnsi="Arial" w:cs="Arial"/>
                    <w:color w:val="808080"/>
                    <w:sz w:val="20"/>
                    <w:lang w:eastAsia="de-DE"/>
                  </w:rPr>
                  <w:t>CCP12, The Global Association of Central Counterparties</w:t>
                </w:r>
              </w:p>
            </w:tc>
          </w:sdtContent>
        </w:sdt>
      </w:tr>
      <w:tr w:rsidR="003B3B6A" w:rsidRPr="00C85C8B" w14:paraId="771992C5" w14:textId="77777777" w:rsidTr="00B8553A">
        <w:tc>
          <w:tcPr>
            <w:tcW w:w="3929" w:type="dxa"/>
            <w:shd w:val="clear" w:color="auto" w:fill="auto"/>
          </w:tcPr>
          <w:p w14:paraId="32A48DBA" w14:textId="77777777" w:rsidR="003B3B6A" w:rsidRPr="00C85C8B" w:rsidRDefault="003B3B6A" w:rsidP="00B8553A">
            <w:pPr>
              <w:rPr>
                <w:rFonts w:ascii="Arial" w:hAnsi="Arial" w:cs="Arial"/>
                <w:sz w:val="22"/>
                <w:lang w:eastAsia="de-DE"/>
              </w:rPr>
            </w:pPr>
            <w:r w:rsidRPr="00C85C8B">
              <w:rPr>
                <w:rFonts w:ascii="Arial" w:hAnsi="Arial" w:cs="Arial"/>
                <w:sz w:val="22"/>
                <w:lang w:eastAsia="de-DE"/>
              </w:rPr>
              <w:t>Activity</w:t>
            </w:r>
          </w:p>
        </w:tc>
        <w:tc>
          <w:tcPr>
            <w:tcW w:w="5595" w:type="dxa"/>
            <w:shd w:val="clear" w:color="auto" w:fill="auto"/>
          </w:tcPr>
          <w:p w14:paraId="6DDDF554" w14:textId="3DE14194" w:rsidR="003B3B6A" w:rsidRPr="00C85C8B" w:rsidRDefault="00FB2F05" w:rsidP="00B8553A">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42E94">
                  <w:rPr>
                    <w:rFonts w:ascii="Arial" w:hAnsi="Arial" w:cs="Arial"/>
                    <w:sz w:val="20"/>
                    <w:lang w:eastAsia="de-DE"/>
                  </w:rPr>
                  <w:t>Other Financial service providers</w:t>
                </w:r>
              </w:sdtContent>
            </w:sdt>
          </w:p>
        </w:tc>
      </w:tr>
      <w:tr w:rsidR="003B3B6A" w:rsidRPr="00C85C8B" w14:paraId="69798E92" w14:textId="77777777" w:rsidTr="00B8553A">
        <w:tc>
          <w:tcPr>
            <w:tcW w:w="3929" w:type="dxa"/>
            <w:shd w:val="clear" w:color="auto" w:fill="auto"/>
          </w:tcPr>
          <w:p w14:paraId="2B208821" w14:textId="77777777" w:rsidR="003B3B6A" w:rsidRPr="00C85C8B" w:rsidRDefault="003B3B6A" w:rsidP="00B8553A">
            <w:pPr>
              <w:rPr>
                <w:rFonts w:ascii="Arial" w:hAnsi="Arial" w:cs="Arial"/>
                <w:sz w:val="22"/>
                <w:lang w:eastAsia="de-DE"/>
              </w:rPr>
            </w:pPr>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1A131782" w14:textId="059DA07D" w:rsidR="003B3B6A" w:rsidRPr="00C85C8B" w:rsidRDefault="006C1C0B" w:rsidP="00B8553A">
                <w:pPr>
                  <w:rPr>
                    <w:rFonts w:ascii="Arial" w:hAnsi="Arial" w:cs="Arial"/>
                    <w:sz w:val="20"/>
                    <w:lang w:eastAsia="de-DE"/>
                  </w:rPr>
                </w:pPr>
                <w:r>
                  <w:rPr>
                    <w:rFonts w:ascii="MS Gothic" w:eastAsia="MS Gothic" w:hAnsi="MS Gothic" w:cs="Segoe UI Symbol" w:hint="eastAsia"/>
                    <w:sz w:val="20"/>
                    <w:lang w:eastAsia="de-DE"/>
                  </w:rPr>
                  <w:t>☒</w:t>
                </w:r>
              </w:p>
            </w:tc>
          </w:sdtContent>
        </w:sdt>
      </w:tr>
      <w:tr w:rsidR="003B3B6A" w:rsidRPr="00C85C8B" w14:paraId="1EDDE973" w14:textId="77777777" w:rsidTr="00B8553A">
        <w:tc>
          <w:tcPr>
            <w:tcW w:w="3929" w:type="dxa"/>
            <w:shd w:val="clear" w:color="auto" w:fill="auto"/>
          </w:tcPr>
          <w:p w14:paraId="775F67A7" w14:textId="77777777" w:rsidR="003B3B6A" w:rsidRPr="00C85C8B" w:rsidRDefault="003B3B6A" w:rsidP="00B8553A">
            <w:pPr>
              <w:rPr>
                <w:rFonts w:ascii="Arial" w:hAnsi="Arial" w:cs="Arial"/>
                <w:sz w:val="22"/>
                <w:lang w:eastAsia="de-DE"/>
              </w:rPr>
            </w:pPr>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2187219" w14:textId="46105FCB" w:rsidR="003B3B6A" w:rsidRPr="00C85C8B" w:rsidRDefault="00942E94" w:rsidP="00B8553A">
                <w:pPr>
                  <w:rPr>
                    <w:rFonts w:ascii="Arial" w:hAnsi="Arial" w:cs="Arial"/>
                    <w:sz w:val="20"/>
                    <w:lang w:eastAsia="de-DE"/>
                  </w:rPr>
                </w:pPr>
                <w:r>
                  <w:rPr>
                    <w:rFonts w:ascii="Arial" w:hAnsi="Arial" w:cs="Arial"/>
                    <w:sz w:val="20"/>
                    <w:lang w:eastAsia="de-DE"/>
                  </w:rPr>
                  <w:t>Asia-Pacific</w:t>
                </w:r>
              </w:p>
            </w:tc>
          </w:sdtContent>
        </w:sdt>
      </w:tr>
    </w:tbl>
    <w:p w14:paraId="42519561" w14:textId="77777777" w:rsidR="003B3B6A" w:rsidRPr="00C85C8B" w:rsidRDefault="003B3B6A" w:rsidP="003B3B6A">
      <w:pPr>
        <w:spacing w:after="120" w:line="264" w:lineRule="auto"/>
        <w:jc w:val="both"/>
        <w:rPr>
          <w:rFonts w:asciiTheme="minorHAnsi" w:eastAsiaTheme="minorEastAsia" w:hAnsiTheme="minorHAnsi" w:cstheme="minorBidi"/>
          <w:sz w:val="22"/>
          <w:szCs w:val="20"/>
          <w:lang w:eastAsia="en-US"/>
        </w:rPr>
      </w:pPr>
    </w:p>
    <w:p w14:paraId="4EDC7158" w14:textId="77777777" w:rsidR="003B3B6A" w:rsidRPr="00C85C8B" w:rsidRDefault="003B3B6A" w:rsidP="003B3B6A">
      <w:pPr>
        <w:spacing w:after="120" w:line="264" w:lineRule="auto"/>
        <w:jc w:val="both"/>
        <w:rPr>
          <w:rFonts w:asciiTheme="minorHAnsi" w:eastAsiaTheme="minorEastAsia" w:hAnsiTheme="minorHAnsi" w:cstheme="minorBidi"/>
          <w:sz w:val="22"/>
          <w:szCs w:val="20"/>
          <w:lang w:eastAsia="en-US"/>
        </w:rPr>
      </w:pPr>
    </w:p>
    <w:p w14:paraId="79F52544" w14:textId="77777777" w:rsidR="003B3B6A" w:rsidRPr="00C85C8B" w:rsidRDefault="003B3B6A" w:rsidP="003B3B6A">
      <w:pPr>
        <w:spacing w:after="120" w:line="264" w:lineRule="auto"/>
        <w:jc w:val="both"/>
        <w:rPr>
          <w:rFonts w:asciiTheme="minorHAnsi" w:eastAsiaTheme="minorEastAsia" w:hAnsiTheme="minorHAnsi" w:cstheme="minorBidi"/>
          <w:sz w:val="22"/>
          <w:szCs w:val="20"/>
          <w:lang w:eastAsia="en-US"/>
        </w:rPr>
      </w:pPr>
    </w:p>
    <w:p w14:paraId="4CA39BE9" w14:textId="77777777" w:rsidR="003B3B6A" w:rsidRPr="00C85C8B" w:rsidRDefault="003B3B6A" w:rsidP="003B3B6A">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3BA11D60" w14:textId="77777777" w:rsidR="003B3B6A" w:rsidRPr="00C85C8B" w:rsidRDefault="003B3B6A" w:rsidP="003B3B6A">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2EF0BCA6" w14:textId="77777777" w:rsidR="003B3B6A" w:rsidRPr="00C85C8B" w:rsidRDefault="003B3B6A" w:rsidP="003B3B6A">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Pr>
          <w:rFonts w:asciiTheme="minorHAnsi" w:eastAsiaTheme="minorEastAsia" w:hAnsiTheme="minorHAnsi" w:cstheme="minorBidi"/>
          <w:sz w:val="22"/>
          <w:szCs w:val="20"/>
          <w:lang w:eastAsia="en-US"/>
        </w:rPr>
        <w:t>TATC</w:t>
      </w:r>
      <w:r w:rsidRPr="00C85C8B">
        <w:rPr>
          <w:rFonts w:asciiTheme="minorHAnsi" w:eastAsiaTheme="minorEastAsia" w:hAnsiTheme="minorHAnsi" w:cstheme="minorBidi"/>
          <w:sz w:val="22"/>
          <w:szCs w:val="20"/>
          <w:lang w:eastAsia="en-US"/>
        </w:rPr>
        <w:t>_1&gt;</w:t>
      </w:r>
    </w:p>
    <w:p w14:paraId="6481FECD" w14:textId="16D569AB" w:rsidR="00255D88" w:rsidRDefault="003B3B6A" w:rsidP="00942E94">
      <w:pPr>
        <w:jc w:val="both"/>
        <w:rPr>
          <w:rFonts w:ascii="Arial" w:eastAsiaTheme="minorEastAsia" w:hAnsi="Arial" w:cs="Arial"/>
          <w:szCs w:val="20"/>
          <w:lang w:eastAsia="en-US"/>
        </w:rPr>
      </w:pPr>
      <w:bookmarkStart w:id="1" w:name="_Hlk14833944"/>
      <w:bookmarkStart w:id="2" w:name="_Hlk14833784"/>
      <w:r w:rsidRPr="00934B03">
        <w:rPr>
          <w:rFonts w:ascii="Arial" w:eastAsiaTheme="minorEastAsia" w:hAnsi="Arial" w:cs="Arial"/>
          <w:szCs w:val="20"/>
          <w:lang w:eastAsia="en-US"/>
        </w:rPr>
        <w:t xml:space="preserve">CCP12 welcomes the opportunity to comment on ESMA’s </w:t>
      </w:r>
      <w:r w:rsidR="00114BA4">
        <w:rPr>
          <w:rFonts w:ascii="Arial" w:eastAsiaTheme="minorEastAsia" w:hAnsi="Arial" w:cs="Arial"/>
          <w:szCs w:val="20"/>
          <w:lang w:eastAsia="en-US"/>
        </w:rPr>
        <w:t>C</w:t>
      </w:r>
      <w:r w:rsidR="00502074">
        <w:rPr>
          <w:rFonts w:ascii="Arial" w:eastAsiaTheme="minorEastAsia" w:hAnsi="Arial" w:cs="Arial"/>
          <w:szCs w:val="20"/>
          <w:lang w:eastAsia="en-US"/>
        </w:rPr>
        <w:t xml:space="preserve">onsultation </w:t>
      </w:r>
      <w:r w:rsidR="00114BA4">
        <w:rPr>
          <w:rFonts w:ascii="Arial" w:eastAsiaTheme="minorEastAsia" w:hAnsi="Arial" w:cs="Arial"/>
          <w:szCs w:val="20"/>
          <w:lang w:eastAsia="en-US"/>
        </w:rPr>
        <w:t>P</w:t>
      </w:r>
      <w:r w:rsidR="00502074">
        <w:rPr>
          <w:rFonts w:ascii="Arial" w:eastAsiaTheme="minorEastAsia" w:hAnsi="Arial" w:cs="Arial"/>
          <w:szCs w:val="20"/>
          <w:lang w:eastAsia="en-US"/>
        </w:rPr>
        <w:t xml:space="preserve">aper on </w:t>
      </w:r>
      <w:r w:rsidR="00C361F3">
        <w:rPr>
          <w:rFonts w:ascii="Arial" w:eastAsiaTheme="minorEastAsia" w:hAnsi="Arial" w:cs="Arial"/>
          <w:szCs w:val="20"/>
          <w:lang w:eastAsia="en-US"/>
        </w:rPr>
        <w:t>draft</w:t>
      </w:r>
      <w:r w:rsidR="00C361F3" w:rsidRPr="00942E94">
        <w:rPr>
          <w:rFonts w:ascii="Arial" w:eastAsiaTheme="minorEastAsia" w:hAnsi="Arial"/>
        </w:rPr>
        <w:t xml:space="preserve"> </w:t>
      </w:r>
      <w:r w:rsidRPr="00942E94">
        <w:rPr>
          <w:rFonts w:ascii="Arial" w:eastAsiaTheme="minorEastAsia" w:hAnsi="Arial"/>
        </w:rPr>
        <w:t>technical advice on criteria for tiering under Article 25(2a) of EMIR 2.2</w:t>
      </w:r>
      <w:r w:rsidR="00502074">
        <w:rPr>
          <w:rFonts w:ascii="Arial" w:eastAsiaTheme="minorEastAsia" w:hAnsi="Arial" w:cs="Arial"/>
          <w:szCs w:val="20"/>
          <w:lang w:eastAsia="en-US"/>
        </w:rPr>
        <w:t xml:space="preserve"> (“the Consultation Paper”)</w:t>
      </w:r>
      <w:bookmarkEnd w:id="1"/>
      <w:r w:rsidRPr="00934B03">
        <w:rPr>
          <w:rFonts w:ascii="Arial" w:eastAsiaTheme="minorEastAsia" w:hAnsi="Arial" w:cs="Arial"/>
          <w:szCs w:val="20"/>
          <w:lang w:eastAsia="en-US"/>
        </w:rPr>
        <w:t xml:space="preserve">. </w:t>
      </w:r>
      <w:bookmarkEnd w:id="2"/>
      <w:r w:rsidR="00255D88">
        <w:rPr>
          <w:rFonts w:ascii="Arial" w:hAnsi="Arial" w:cs="Arial"/>
          <w:szCs w:val="20"/>
          <w:lang w:eastAsia="en-US"/>
        </w:rPr>
        <w:t xml:space="preserve">The approach undertaken in EMIR 2.2 is a progressive and risk-based approach, which enables EU policy makers and regulators to </w:t>
      </w:r>
      <w:r w:rsidR="00502074">
        <w:rPr>
          <w:rFonts w:ascii="Arial" w:hAnsi="Arial" w:cs="Arial"/>
          <w:szCs w:val="20"/>
          <w:lang w:eastAsia="en-US"/>
        </w:rPr>
        <w:t xml:space="preserve">appropriately evaluate and </w:t>
      </w:r>
      <w:r w:rsidR="00255D88">
        <w:rPr>
          <w:rFonts w:ascii="Arial" w:hAnsi="Arial" w:cs="Arial"/>
          <w:szCs w:val="20"/>
          <w:lang w:eastAsia="en-US"/>
        </w:rPr>
        <w:t xml:space="preserve">distinguish between </w:t>
      </w:r>
      <w:r w:rsidR="00502074">
        <w:rPr>
          <w:rFonts w:ascii="Arial" w:hAnsi="Arial" w:cs="Arial"/>
          <w:szCs w:val="20"/>
          <w:lang w:eastAsia="en-US"/>
        </w:rPr>
        <w:t>third-country central counter parties (“TC-</w:t>
      </w:r>
      <w:r w:rsidR="00255D88">
        <w:rPr>
          <w:rFonts w:ascii="Arial" w:hAnsi="Arial" w:cs="Arial"/>
          <w:szCs w:val="20"/>
          <w:lang w:eastAsia="en-US"/>
        </w:rPr>
        <w:t>CCPs</w:t>
      </w:r>
      <w:r w:rsidR="00502074">
        <w:rPr>
          <w:rFonts w:ascii="Arial" w:hAnsi="Arial" w:cs="Arial"/>
          <w:szCs w:val="20"/>
          <w:lang w:eastAsia="en-US"/>
        </w:rPr>
        <w:t>”),</w:t>
      </w:r>
      <w:r w:rsidR="00255D88">
        <w:rPr>
          <w:rFonts w:ascii="Arial" w:hAnsi="Arial" w:cs="Arial"/>
          <w:szCs w:val="20"/>
          <w:lang w:eastAsia="en-US"/>
        </w:rPr>
        <w:t xml:space="preserve"> rather than apply a one-size-fits-all treatment. It allows </w:t>
      </w:r>
      <w:r w:rsidR="00502074">
        <w:rPr>
          <w:rFonts w:ascii="Arial" w:hAnsi="Arial" w:cs="Arial"/>
          <w:szCs w:val="20"/>
          <w:lang w:eastAsia="en-US"/>
        </w:rPr>
        <w:t xml:space="preserve">EU </w:t>
      </w:r>
      <w:r w:rsidR="000B1478">
        <w:rPr>
          <w:rFonts w:ascii="Arial" w:hAnsi="Arial" w:cs="Arial"/>
          <w:szCs w:val="20"/>
          <w:lang w:eastAsia="en-US"/>
        </w:rPr>
        <w:t xml:space="preserve">policy makers </w:t>
      </w:r>
      <w:r w:rsidR="00255D88">
        <w:rPr>
          <w:rFonts w:ascii="Arial" w:hAnsi="Arial" w:cs="Arial"/>
          <w:szCs w:val="20"/>
          <w:lang w:eastAsia="en-US"/>
        </w:rPr>
        <w:t xml:space="preserve">to strike the right </w:t>
      </w:r>
      <w:r w:rsidR="00A2708C">
        <w:rPr>
          <w:rFonts w:ascii="Arial" w:hAnsi="Arial" w:cs="Arial"/>
          <w:szCs w:val="20"/>
          <w:lang w:eastAsia="en-US"/>
        </w:rPr>
        <w:t>balance allowing</w:t>
      </w:r>
      <w:r w:rsidR="00502074">
        <w:rPr>
          <w:rFonts w:ascii="Arial" w:hAnsi="Arial" w:cs="Arial"/>
          <w:szCs w:val="20"/>
          <w:lang w:eastAsia="en-US"/>
        </w:rPr>
        <w:t xml:space="preserve"> EU market participants to access healthy </w:t>
      </w:r>
      <w:r w:rsidR="00D20D31">
        <w:rPr>
          <w:rFonts w:ascii="Arial" w:hAnsi="Arial" w:cs="Arial"/>
          <w:szCs w:val="20"/>
          <w:lang w:eastAsia="en-US"/>
        </w:rPr>
        <w:t>TC</w:t>
      </w:r>
      <w:r w:rsidR="0027667F">
        <w:rPr>
          <w:rFonts w:ascii="Arial" w:hAnsi="Arial" w:cs="Arial"/>
          <w:szCs w:val="20"/>
          <w:lang w:eastAsia="en-US"/>
        </w:rPr>
        <w:t>-</w:t>
      </w:r>
      <w:r w:rsidR="00D20D31">
        <w:rPr>
          <w:rFonts w:ascii="Arial" w:hAnsi="Arial" w:cs="Arial"/>
          <w:szCs w:val="20"/>
          <w:lang w:eastAsia="en-US"/>
        </w:rPr>
        <w:t>CCPs</w:t>
      </w:r>
      <w:r w:rsidR="00502074">
        <w:rPr>
          <w:rFonts w:ascii="Arial" w:hAnsi="Arial" w:cs="Arial"/>
          <w:szCs w:val="20"/>
          <w:lang w:eastAsia="en-US"/>
        </w:rPr>
        <w:t xml:space="preserve">, supported by </w:t>
      </w:r>
      <w:r w:rsidR="00255D88">
        <w:rPr>
          <w:rFonts w:ascii="Arial" w:hAnsi="Arial" w:cs="Arial"/>
          <w:szCs w:val="20"/>
          <w:lang w:eastAsia="en-US"/>
        </w:rPr>
        <w:t xml:space="preserve">well-regulated </w:t>
      </w:r>
      <w:r w:rsidR="00502074">
        <w:rPr>
          <w:rFonts w:ascii="Arial" w:hAnsi="Arial" w:cs="Arial"/>
          <w:szCs w:val="20"/>
          <w:lang w:eastAsia="en-US"/>
        </w:rPr>
        <w:t>TC-CCPs</w:t>
      </w:r>
      <w:r w:rsidR="000B1478">
        <w:rPr>
          <w:rFonts w:ascii="Arial" w:hAnsi="Arial" w:cs="Arial"/>
          <w:szCs w:val="20"/>
          <w:lang w:eastAsia="en-US"/>
        </w:rPr>
        <w:t xml:space="preserve"> and</w:t>
      </w:r>
      <w:r w:rsidR="00255D88">
        <w:rPr>
          <w:rFonts w:ascii="Arial" w:hAnsi="Arial" w:cs="Arial"/>
          <w:szCs w:val="20"/>
          <w:lang w:eastAsia="en-US"/>
        </w:rPr>
        <w:t xml:space="preserve"> </w:t>
      </w:r>
      <w:r w:rsidR="00502074">
        <w:rPr>
          <w:rFonts w:ascii="Arial" w:hAnsi="Arial" w:cs="Arial"/>
          <w:szCs w:val="20"/>
          <w:lang w:eastAsia="en-US"/>
        </w:rPr>
        <w:t xml:space="preserve">appropriately </w:t>
      </w:r>
      <w:r w:rsidR="00255D88">
        <w:rPr>
          <w:rFonts w:ascii="Arial" w:hAnsi="Arial" w:cs="Arial"/>
          <w:szCs w:val="20"/>
          <w:lang w:eastAsia="en-US"/>
        </w:rPr>
        <w:t>manag</w:t>
      </w:r>
      <w:r w:rsidR="00BF7AA4">
        <w:rPr>
          <w:rFonts w:ascii="Arial" w:hAnsi="Arial" w:cs="Arial"/>
          <w:szCs w:val="20"/>
          <w:lang w:eastAsia="en-US"/>
        </w:rPr>
        <w:t>ing</w:t>
      </w:r>
      <w:r w:rsidR="00255D88">
        <w:rPr>
          <w:rFonts w:ascii="Arial" w:hAnsi="Arial" w:cs="Arial"/>
          <w:szCs w:val="20"/>
          <w:lang w:eastAsia="en-US"/>
        </w:rPr>
        <w:t xml:space="preserve"> and </w:t>
      </w:r>
      <w:r w:rsidR="00E332D7">
        <w:rPr>
          <w:rFonts w:ascii="Arial" w:hAnsi="Arial" w:cs="Arial"/>
          <w:szCs w:val="20"/>
          <w:lang w:eastAsia="en-US"/>
        </w:rPr>
        <w:t>curtailing systemic</w:t>
      </w:r>
      <w:r w:rsidR="00255D88">
        <w:rPr>
          <w:rFonts w:ascii="Arial" w:hAnsi="Arial" w:cs="Arial"/>
          <w:szCs w:val="20"/>
          <w:lang w:eastAsia="en-US"/>
        </w:rPr>
        <w:t xml:space="preserve"> risk </w:t>
      </w:r>
      <w:r w:rsidR="00502074">
        <w:rPr>
          <w:rFonts w:ascii="Arial" w:hAnsi="Arial" w:cs="Arial"/>
          <w:szCs w:val="20"/>
          <w:lang w:eastAsia="en-US"/>
        </w:rPr>
        <w:t xml:space="preserve">to the </w:t>
      </w:r>
      <w:r w:rsidR="00E332D7">
        <w:rPr>
          <w:rFonts w:ascii="Arial" w:hAnsi="Arial" w:cs="Arial"/>
          <w:szCs w:val="20"/>
          <w:lang w:eastAsia="en-US"/>
        </w:rPr>
        <w:t>EU accordingly</w:t>
      </w:r>
      <w:r w:rsidR="00255D88">
        <w:rPr>
          <w:rFonts w:ascii="Arial" w:hAnsi="Arial" w:cs="Arial"/>
          <w:szCs w:val="20"/>
          <w:lang w:eastAsia="en-US"/>
        </w:rPr>
        <w:t>.</w:t>
      </w:r>
      <w:r w:rsidR="00621F4F">
        <w:rPr>
          <w:rFonts w:ascii="Arial" w:hAnsi="Arial" w:cs="Arial"/>
          <w:szCs w:val="20"/>
          <w:lang w:eastAsia="en-US"/>
        </w:rPr>
        <w:t xml:space="preserve"> </w:t>
      </w:r>
    </w:p>
    <w:p w14:paraId="7CFD4DC9" w14:textId="77777777" w:rsidR="00E75F3D" w:rsidRDefault="00E75F3D" w:rsidP="00E75F3D">
      <w:pPr>
        <w:jc w:val="both"/>
        <w:rPr>
          <w:rFonts w:ascii="Arial" w:eastAsiaTheme="minorEastAsia" w:hAnsi="Arial" w:cs="Arial"/>
          <w:szCs w:val="20"/>
          <w:lang w:eastAsia="en-US"/>
        </w:rPr>
      </w:pPr>
    </w:p>
    <w:p w14:paraId="4F978067" w14:textId="3684F849" w:rsidR="00E75F3D" w:rsidRDefault="003B3B6A" w:rsidP="00022FAD">
      <w:pPr>
        <w:spacing w:after="250"/>
        <w:jc w:val="both"/>
        <w:rPr>
          <w:rFonts w:ascii="Arial" w:eastAsiaTheme="minorEastAsia" w:hAnsi="Arial" w:cs="Arial"/>
          <w:szCs w:val="20"/>
          <w:lang w:eastAsia="en-US"/>
        </w:rPr>
      </w:pPr>
      <w:r w:rsidRPr="00934B03">
        <w:rPr>
          <w:rFonts w:ascii="Arial" w:eastAsiaTheme="minorEastAsia" w:hAnsi="Arial" w:cs="Arial"/>
          <w:szCs w:val="20"/>
          <w:lang w:eastAsia="en-US"/>
        </w:rPr>
        <w:t>We are supportive of the outcomes-based approach that ESMA has intended to follow, however we do not believe this was achieved</w:t>
      </w:r>
      <w:r w:rsidR="00502074">
        <w:rPr>
          <w:rFonts w:ascii="Arial" w:eastAsiaTheme="minorEastAsia" w:hAnsi="Arial" w:cs="Arial"/>
          <w:szCs w:val="20"/>
          <w:lang w:eastAsia="en-US"/>
        </w:rPr>
        <w:t xml:space="preserve"> under the proposals in the Consultation Paper</w:t>
      </w:r>
      <w:r w:rsidR="00107D80">
        <w:rPr>
          <w:rFonts w:ascii="Arial" w:eastAsiaTheme="minorEastAsia" w:hAnsi="Arial" w:cs="Arial"/>
          <w:szCs w:val="20"/>
          <w:lang w:eastAsia="en-US"/>
        </w:rPr>
        <w:t>.</w:t>
      </w:r>
      <w:r w:rsidRPr="00934B03">
        <w:rPr>
          <w:rFonts w:ascii="Arial" w:eastAsiaTheme="minorEastAsia" w:hAnsi="Arial" w:cs="Arial"/>
          <w:szCs w:val="20"/>
          <w:lang w:eastAsia="en-US"/>
        </w:rPr>
        <w:t xml:space="preserve"> </w:t>
      </w:r>
      <w:r w:rsidR="008D5B20">
        <w:rPr>
          <w:rFonts w:ascii="Arial" w:eastAsiaTheme="minorEastAsia" w:hAnsi="Arial" w:cs="Arial"/>
          <w:szCs w:val="20"/>
          <w:lang w:eastAsia="en-US"/>
        </w:rPr>
        <w:t>First, we note that</w:t>
      </w:r>
      <w:r w:rsidR="00502074">
        <w:rPr>
          <w:rFonts w:ascii="Arial" w:eastAsiaTheme="minorEastAsia" w:hAnsi="Arial" w:cs="Arial"/>
          <w:szCs w:val="20"/>
          <w:lang w:eastAsia="en-US"/>
        </w:rPr>
        <w:t>,</w:t>
      </w:r>
      <w:r w:rsidRPr="00934B03">
        <w:rPr>
          <w:rFonts w:ascii="Arial" w:eastAsiaTheme="minorEastAsia" w:hAnsi="Arial" w:cs="Arial"/>
          <w:szCs w:val="20"/>
          <w:lang w:eastAsia="en-US"/>
        </w:rPr>
        <w:t xml:space="preserve"> </w:t>
      </w:r>
      <w:r w:rsidR="00107D80">
        <w:rPr>
          <w:rFonts w:ascii="Arial" w:eastAsiaTheme="minorEastAsia" w:hAnsi="Arial" w:cs="Arial"/>
          <w:szCs w:val="20"/>
          <w:lang w:eastAsia="en-US"/>
        </w:rPr>
        <w:t xml:space="preserve">not all </w:t>
      </w:r>
      <w:r w:rsidR="00B310F3">
        <w:rPr>
          <w:rFonts w:ascii="Arial" w:eastAsiaTheme="minorEastAsia" w:hAnsi="Arial" w:cs="Arial"/>
          <w:szCs w:val="20"/>
          <w:lang w:eastAsia="en-US"/>
        </w:rPr>
        <w:t xml:space="preserve">tiers </w:t>
      </w:r>
      <w:r w:rsidR="008D5B20">
        <w:rPr>
          <w:rFonts w:ascii="Arial" w:eastAsiaTheme="minorEastAsia" w:hAnsi="Arial" w:cs="Arial"/>
          <w:szCs w:val="20"/>
          <w:lang w:eastAsia="en-US"/>
        </w:rPr>
        <w:t xml:space="preserve">for TC-CCPs </w:t>
      </w:r>
      <w:r w:rsidR="00107D80">
        <w:rPr>
          <w:rFonts w:ascii="Arial" w:eastAsiaTheme="minorEastAsia" w:hAnsi="Arial" w:cs="Arial"/>
          <w:szCs w:val="20"/>
          <w:lang w:eastAsia="en-US"/>
        </w:rPr>
        <w:t>envisioned under EMIR 2.2 are addressed</w:t>
      </w:r>
      <w:r w:rsidR="006E0F17">
        <w:rPr>
          <w:rFonts w:ascii="Arial" w:eastAsiaTheme="minorEastAsia" w:hAnsi="Arial" w:cs="Arial"/>
          <w:szCs w:val="20"/>
          <w:lang w:eastAsia="en-US"/>
        </w:rPr>
        <w:t xml:space="preserve"> </w:t>
      </w:r>
      <w:r w:rsidR="008D5B20">
        <w:rPr>
          <w:rFonts w:ascii="Arial" w:eastAsiaTheme="minorEastAsia" w:hAnsi="Arial" w:cs="Arial"/>
          <w:szCs w:val="20"/>
          <w:lang w:eastAsia="en-US"/>
        </w:rPr>
        <w:t xml:space="preserve">in this consultation. Secondly, </w:t>
      </w:r>
      <w:r w:rsidR="00107D80">
        <w:rPr>
          <w:rFonts w:ascii="Arial" w:eastAsiaTheme="minorEastAsia" w:hAnsi="Arial" w:cs="Arial"/>
          <w:szCs w:val="20"/>
          <w:lang w:eastAsia="en-US"/>
        </w:rPr>
        <w:t xml:space="preserve">it is unclear </w:t>
      </w:r>
      <w:r w:rsidRPr="00934B03">
        <w:rPr>
          <w:rFonts w:ascii="Arial" w:eastAsiaTheme="minorEastAsia" w:hAnsi="Arial" w:cs="Arial"/>
          <w:szCs w:val="20"/>
          <w:lang w:eastAsia="en-US"/>
        </w:rPr>
        <w:t xml:space="preserve">how the collection of a large amount of information as indicated throughout </w:t>
      </w:r>
      <w:r w:rsidR="00502074">
        <w:rPr>
          <w:rFonts w:ascii="Arial" w:eastAsiaTheme="minorEastAsia" w:hAnsi="Arial" w:cs="Arial"/>
          <w:szCs w:val="20"/>
          <w:lang w:eastAsia="en-US"/>
        </w:rPr>
        <w:t>the</w:t>
      </w:r>
      <w:r w:rsidR="00502074" w:rsidRPr="00934B03">
        <w:rPr>
          <w:rFonts w:ascii="Arial" w:eastAsiaTheme="minorEastAsia" w:hAnsi="Arial" w:cs="Arial"/>
          <w:szCs w:val="20"/>
          <w:lang w:eastAsia="en-US"/>
        </w:rPr>
        <w:t xml:space="preserve"> </w:t>
      </w:r>
      <w:r w:rsidRPr="00934B03">
        <w:rPr>
          <w:rFonts w:ascii="Arial" w:eastAsiaTheme="minorEastAsia" w:hAnsi="Arial" w:cs="Arial"/>
          <w:szCs w:val="20"/>
          <w:lang w:eastAsia="en-US"/>
        </w:rPr>
        <w:t>Consultation Paper will allow ESMA to assess the systemic importance of a TC-CCP</w:t>
      </w:r>
      <w:r w:rsidR="00502074">
        <w:rPr>
          <w:rFonts w:ascii="Arial" w:eastAsiaTheme="minorEastAsia" w:hAnsi="Arial" w:cs="Arial"/>
          <w:szCs w:val="20"/>
          <w:lang w:eastAsia="en-US"/>
        </w:rPr>
        <w:t xml:space="preserve"> to the </w:t>
      </w:r>
      <w:r w:rsidR="00A2708C">
        <w:rPr>
          <w:rFonts w:ascii="Arial" w:eastAsiaTheme="minorEastAsia" w:hAnsi="Arial" w:cs="Arial"/>
          <w:szCs w:val="20"/>
          <w:lang w:eastAsia="en-US"/>
        </w:rPr>
        <w:t>EU</w:t>
      </w:r>
      <w:r w:rsidR="00A2708C" w:rsidRPr="00934B03">
        <w:rPr>
          <w:rFonts w:ascii="Arial" w:eastAsiaTheme="minorEastAsia" w:hAnsi="Arial" w:cs="Arial"/>
          <w:szCs w:val="20"/>
          <w:lang w:eastAsia="en-US"/>
        </w:rPr>
        <w:t>.</w:t>
      </w:r>
      <w:r w:rsidRPr="00934B03">
        <w:rPr>
          <w:rFonts w:ascii="Arial" w:eastAsiaTheme="minorEastAsia" w:hAnsi="Arial" w:cs="Arial"/>
          <w:szCs w:val="20"/>
          <w:lang w:eastAsia="en-US"/>
        </w:rPr>
        <w:t xml:space="preserve"> We believe that some of the indicators chosen are not described in a measurable way and do not provide an indication as to whether each answer would suggest greater or lesser systemic importance. </w:t>
      </w:r>
    </w:p>
    <w:p w14:paraId="561B27A3" w14:textId="6296738C" w:rsidR="003B3B6A" w:rsidRPr="006C1C0B" w:rsidRDefault="003B3B6A" w:rsidP="00942E94">
      <w:pPr>
        <w:jc w:val="both"/>
        <w:rPr>
          <w:rFonts w:ascii="Arial" w:eastAsiaTheme="minorEastAsia" w:hAnsi="Arial" w:cs="Arial"/>
          <w:lang w:eastAsia="ja-JP"/>
        </w:rPr>
      </w:pPr>
      <w:r w:rsidRPr="00934B03">
        <w:rPr>
          <w:rFonts w:ascii="Arial" w:eastAsiaTheme="minorEastAsia" w:hAnsi="Arial" w:cs="Arial"/>
          <w:szCs w:val="20"/>
          <w:lang w:eastAsia="en-US"/>
        </w:rPr>
        <w:t>Furt</w:t>
      </w:r>
      <w:r w:rsidR="00B070F2">
        <w:rPr>
          <w:rFonts w:ascii="Arial" w:eastAsiaTheme="minorEastAsia" w:hAnsi="Arial" w:cs="Arial"/>
          <w:szCs w:val="20"/>
          <w:lang w:eastAsia="en-US"/>
        </w:rPr>
        <w:t>h</w:t>
      </w:r>
      <w:r w:rsidRPr="00934B03">
        <w:rPr>
          <w:rFonts w:ascii="Arial" w:eastAsiaTheme="minorEastAsia" w:hAnsi="Arial" w:cs="Arial"/>
          <w:szCs w:val="20"/>
          <w:lang w:eastAsia="en-US"/>
        </w:rPr>
        <w:t>er, outside of the large amount of information collected, we are concerned that in many insta</w:t>
      </w:r>
      <w:r w:rsidR="00B070F2">
        <w:rPr>
          <w:rFonts w:ascii="Arial" w:eastAsiaTheme="minorEastAsia" w:hAnsi="Arial" w:cs="Arial"/>
          <w:szCs w:val="20"/>
          <w:lang w:eastAsia="en-US"/>
        </w:rPr>
        <w:t>n</w:t>
      </w:r>
      <w:r w:rsidRPr="00934B03">
        <w:rPr>
          <w:rFonts w:ascii="Arial" w:eastAsiaTheme="minorEastAsia" w:hAnsi="Arial" w:cs="Arial"/>
          <w:szCs w:val="20"/>
          <w:lang w:eastAsia="en-US"/>
        </w:rPr>
        <w:t xml:space="preserve">ces the information does not demonstrate a TC-CCP’s nexus to the EU, which is the basis of designating a TC-CCP systemically important to the EU or one of its Member States under EMIR 2.2. In particular, pursuant to the Article 25(2a) of EMIR 2.2, the criteria for evaluating a TC-CCP are all under the objective of determining if the TC-CCP is “systemically important for the financial stability of the Union or of one </w:t>
      </w:r>
      <w:r w:rsidRPr="00934B03">
        <w:rPr>
          <w:rFonts w:ascii="Arial" w:eastAsiaTheme="minorEastAsia" w:hAnsi="Arial" w:cs="Arial"/>
          <w:szCs w:val="20"/>
          <w:lang w:eastAsia="en-US"/>
        </w:rPr>
        <w:lastRenderedPageBreak/>
        <w:t>or more of its Member States.” As such, we believe it is critical that all related indicators</w:t>
      </w:r>
      <w:r w:rsidR="00502074">
        <w:rPr>
          <w:rFonts w:ascii="Arial" w:eastAsiaTheme="minorEastAsia" w:hAnsi="Arial" w:cs="Arial"/>
          <w:szCs w:val="20"/>
          <w:lang w:eastAsia="en-US"/>
        </w:rPr>
        <w:t>,</w:t>
      </w:r>
      <w:r w:rsidRPr="00934B03">
        <w:rPr>
          <w:rFonts w:ascii="Arial" w:eastAsiaTheme="minorEastAsia" w:hAnsi="Arial" w:cs="Arial"/>
          <w:szCs w:val="20"/>
          <w:lang w:eastAsia="en-US"/>
        </w:rPr>
        <w:t xml:space="preserve"> and underlying considerations</w:t>
      </w:r>
      <w:r w:rsidR="00502074">
        <w:rPr>
          <w:rFonts w:ascii="Arial" w:eastAsiaTheme="minorEastAsia" w:hAnsi="Arial" w:cs="Arial"/>
          <w:szCs w:val="20"/>
          <w:lang w:eastAsia="en-US"/>
        </w:rPr>
        <w:t>,</w:t>
      </w:r>
      <w:r w:rsidRPr="00934B03">
        <w:rPr>
          <w:rFonts w:ascii="Arial" w:eastAsiaTheme="minorEastAsia" w:hAnsi="Arial" w:cs="Arial"/>
          <w:szCs w:val="20"/>
          <w:lang w:eastAsia="en-US"/>
        </w:rPr>
        <w:t xml:space="preserve"> clearly establish a nexus to the EU (or lack thereof) so that importance to the stability of the EU can </w:t>
      </w:r>
      <w:r w:rsidRPr="006C1C0B">
        <w:rPr>
          <w:rFonts w:ascii="Arial" w:eastAsiaTheme="minorEastAsia" w:hAnsi="Arial" w:cs="Arial"/>
          <w:lang w:eastAsia="en-US"/>
        </w:rPr>
        <w:t xml:space="preserve">accordingly be determined.      </w:t>
      </w:r>
    </w:p>
    <w:p w14:paraId="1D146D0B" w14:textId="77777777" w:rsidR="00E75F3D" w:rsidRDefault="00E75F3D" w:rsidP="00E75F3D">
      <w:pPr>
        <w:jc w:val="both"/>
        <w:rPr>
          <w:rFonts w:ascii="Arial" w:eastAsiaTheme="minorEastAsia" w:hAnsi="Arial" w:cs="Arial"/>
          <w:lang w:eastAsia="ja-JP"/>
        </w:rPr>
      </w:pPr>
    </w:p>
    <w:p w14:paraId="6ACC8E73" w14:textId="72179BF0" w:rsidR="003B3B6A" w:rsidRPr="006C1C0B" w:rsidRDefault="003B3B6A" w:rsidP="00942E94">
      <w:pPr>
        <w:jc w:val="both"/>
        <w:rPr>
          <w:rFonts w:ascii="Arial" w:eastAsiaTheme="minorEastAsia" w:hAnsi="Arial" w:cs="Arial"/>
          <w:lang w:eastAsia="ja-JP"/>
        </w:rPr>
      </w:pPr>
      <w:r w:rsidRPr="006C1C0B">
        <w:rPr>
          <w:rFonts w:ascii="Arial" w:eastAsiaTheme="minorEastAsia" w:hAnsi="Arial" w:cs="Arial"/>
          <w:lang w:eastAsia="ja-JP"/>
        </w:rPr>
        <w:t>Additionally, CCP12 is concerned that ESMA could require a large amount of information from each T</w:t>
      </w:r>
      <w:r w:rsidRPr="006C1C0B">
        <w:rPr>
          <w:rFonts w:ascii="Arial" w:eastAsiaTheme="minorEastAsia" w:hAnsi="Arial" w:cs="Arial" w:hint="eastAsia"/>
          <w:lang w:eastAsia="ja-JP"/>
        </w:rPr>
        <w:t>C</w:t>
      </w:r>
      <w:r w:rsidRPr="006C1C0B">
        <w:rPr>
          <w:rFonts w:ascii="Arial" w:eastAsiaTheme="minorEastAsia" w:hAnsi="Arial" w:cs="Arial"/>
          <w:lang w:eastAsia="ja-JP"/>
        </w:rPr>
        <w:t xml:space="preserve">-CCP to fully assess the 14 </w:t>
      </w:r>
      <w:r w:rsidR="00502074">
        <w:rPr>
          <w:rFonts w:ascii="Arial" w:eastAsiaTheme="minorEastAsia" w:hAnsi="Arial" w:cs="Arial"/>
          <w:lang w:eastAsia="ja-JP"/>
        </w:rPr>
        <w:t>indicators proposed</w:t>
      </w:r>
      <w:r w:rsidRPr="006C1C0B">
        <w:rPr>
          <w:rFonts w:ascii="Arial" w:eastAsiaTheme="minorEastAsia" w:hAnsi="Arial" w:cs="Arial"/>
          <w:lang w:eastAsia="ja-JP"/>
        </w:rPr>
        <w:t>. To reduce the burden on both TC-CCPs, a</w:t>
      </w:r>
      <w:r w:rsidR="006C16EE" w:rsidRPr="006C1C0B">
        <w:rPr>
          <w:rFonts w:ascii="Arial" w:eastAsiaTheme="minorEastAsia" w:hAnsi="Arial" w:cs="Arial"/>
          <w:lang w:eastAsia="ja-JP"/>
        </w:rPr>
        <w:t>s</w:t>
      </w:r>
      <w:r w:rsidRPr="006C1C0B">
        <w:rPr>
          <w:rFonts w:ascii="Arial" w:eastAsiaTheme="minorEastAsia" w:hAnsi="Arial" w:cs="Arial"/>
          <w:lang w:eastAsia="ja-JP"/>
        </w:rPr>
        <w:t xml:space="preserve"> well as ESMA, CCP12 suggest</w:t>
      </w:r>
      <w:r w:rsidR="006C16EE" w:rsidRPr="006C1C0B">
        <w:rPr>
          <w:rFonts w:ascii="Arial" w:eastAsiaTheme="minorEastAsia" w:hAnsi="Arial" w:cs="Arial"/>
          <w:lang w:eastAsia="ja-JP"/>
        </w:rPr>
        <w:t>s</w:t>
      </w:r>
      <w:r w:rsidRPr="006C1C0B">
        <w:rPr>
          <w:rFonts w:ascii="Arial" w:eastAsiaTheme="minorEastAsia" w:hAnsi="Arial" w:cs="Arial"/>
          <w:lang w:eastAsia="ja-JP"/>
        </w:rPr>
        <w:t xml:space="preserve"> that ESMA "pre-analyse" the relative importance of each TC-CCP based on </w:t>
      </w:r>
      <w:r w:rsidR="00792140" w:rsidRPr="006C1C0B">
        <w:rPr>
          <w:rFonts w:ascii="Arial" w:eastAsiaTheme="minorEastAsia" w:hAnsi="Arial" w:cs="Arial" w:hint="eastAsia"/>
          <w:lang w:eastAsia="ja-JP"/>
        </w:rPr>
        <w:t xml:space="preserve">a few criteria such as </w:t>
      </w:r>
      <w:r w:rsidRPr="006C1C0B">
        <w:rPr>
          <w:rFonts w:ascii="Arial" w:eastAsiaTheme="minorEastAsia" w:hAnsi="Arial" w:cs="Arial"/>
          <w:lang w:eastAsia="ja-JP"/>
        </w:rPr>
        <w:t xml:space="preserve">the </w:t>
      </w:r>
      <w:r w:rsidR="002A4AB9">
        <w:rPr>
          <w:rFonts w:ascii="Arial" w:eastAsiaTheme="minorEastAsia" w:hAnsi="Arial" w:cs="Arial"/>
          <w:lang w:eastAsia="ja-JP"/>
        </w:rPr>
        <w:t>I</w:t>
      </w:r>
      <w:r w:rsidR="006C1C0B">
        <w:rPr>
          <w:rFonts w:ascii="Arial" w:eastAsiaTheme="minorEastAsia" w:hAnsi="Arial" w:cs="Arial"/>
          <w:lang w:eastAsia="ja-JP"/>
        </w:rPr>
        <w:t>ndicator</w:t>
      </w:r>
      <w:r w:rsidR="00E75F3D">
        <w:rPr>
          <w:rFonts w:ascii="Arial" w:eastAsiaTheme="minorEastAsia" w:hAnsi="Arial" w:cs="Arial"/>
          <w:lang w:eastAsia="ja-JP"/>
        </w:rPr>
        <w:t>s</w:t>
      </w:r>
      <w:r w:rsidR="006C1C0B">
        <w:rPr>
          <w:rFonts w:ascii="Arial" w:eastAsiaTheme="minorEastAsia" w:hAnsi="Arial" w:cs="Arial"/>
          <w:lang w:eastAsia="ja-JP"/>
        </w:rPr>
        <w:t xml:space="preserve"> </w:t>
      </w:r>
      <w:r w:rsidRPr="006C1C0B">
        <w:rPr>
          <w:rFonts w:ascii="Arial" w:eastAsiaTheme="minorEastAsia" w:hAnsi="Arial" w:cs="Arial"/>
          <w:lang w:eastAsia="ja-JP"/>
        </w:rPr>
        <w:t>2</w:t>
      </w:r>
      <w:r w:rsidR="006C1C0B">
        <w:rPr>
          <w:rFonts w:ascii="Arial" w:eastAsiaTheme="minorEastAsia" w:hAnsi="Arial" w:cs="Arial"/>
          <w:lang w:eastAsia="ja-JP"/>
        </w:rPr>
        <w:t>,</w:t>
      </w:r>
      <w:r w:rsidRPr="006C1C0B">
        <w:rPr>
          <w:rFonts w:ascii="Arial" w:eastAsiaTheme="minorEastAsia" w:hAnsi="Arial" w:cs="Arial"/>
          <w:lang w:eastAsia="ja-JP"/>
        </w:rPr>
        <w:t xml:space="preserve"> 3</w:t>
      </w:r>
      <w:r w:rsidR="006C1C0B">
        <w:rPr>
          <w:rFonts w:ascii="Arial" w:eastAsiaTheme="minorEastAsia" w:hAnsi="Arial" w:cs="Arial"/>
          <w:lang w:eastAsia="ja-JP"/>
        </w:rPr>
        <w:t>, and 6</w:t>
      </w:r>
      <w:r w:rsidR="006C16EE" w:rsidRPr="006C1C0B">
        <w:rPr>
          <w:rFonts w:ascii="Arial" w:eastAsiaTheme="minorEastAsia" w:hAnsi="Arial" w:cs="Arial"/>
          <w:lang w:eastAsia="ja-JP"/>
        </w:rPr>
        <w:t xml:space="preserve">. </w:t>
      </w:r>
      <w:r w:rsidR="00E75F3D">
        <w:rPr>
          <w:rFonts w:ascii="Arial" w:eastAsiaTheme="minorEastAsia" w:hAnsi="Arial" w:cs="Arial"/>
          <w:lang w:eastAsia="ja-JP"/>
        </w:rPr>
        <w:t xml:space="preserve">Notwithstanding that we believe in some cases the information collected under the proposed indicators is irrelevant to determining a TC-CCPs systemic importance to the EU, regardless of outcomes of </w:t>
      </w:r>
      <w:r w:rsidR="002A4AB9">
        <w:rPr>
          <w:rFonts w:ascii="Arial" w:eastAsiaTheme="minorEastAsia" w:hAnsi="Arial" w:cs="Arial"/>
          <w:lang w:eastAsia="ja-JP"/>
        </w:rPr>
        <w:t>I</w:t>
      </w:r>
      <w:r w:rsidR="00E75F3D">
        <w:rPr>
          <w:rFonts w:ascii="Arial" w:eastAsiaTheme="minorEastAsia" w:hAnsi="Arial" w:cs="Arial"/>
          <w:lang w:eastAsia="ja-JP"/>
        </w:rPr>
        <w:t>ndicators 2, 3, and 6, to the extent a TC-CCP has been identified based on these indicators as being of greater potential importance to the EU</w:t>
      </w:r>
      <w:r w:rsidR="006C16EE" w:rsidRPr="006C1C0B">
        <w:rPr>
          <w:rFonts w:ascii="Arial" w:eastAsiaTheme="minorEastAsia" w:hAnsi="Arial" w:cs="Arial"/>
          <w:lang w:eastAsia="ja-JP"/>
        </w:rPr>
        <w:t xml:space="preserve">, ESMA could </w:t>
      </w:r>
      <w:r w:rsidRPr="006C1C0B">
        <w:rPr>
          <w:rFonts w:ascii="Arial" w:eastAsiaTheme="minorEastAsia" w:hAnsi="Arial" w:cs="Arial"/>
          <w:lang w:eastAsia="ja-JP"/>
        </w:rPr>
        <w:t xml:space="preserve">then request the information required for the other </w:t>
      </w:r>
      <w:r w:rsidR="00E75F3D">
        <w:rPr>
          <w:rFonts w:ascii="Arial" w:eastAsiaTheme="minorEastAsia" w:hAnsi="Arial" w:cs="Arial"/>
          <w:lang w:eastAsia="ja-JP"/>
        </w:rPr>
        <w:t>indicators</w:t>
      </w:r>
      <w:r w:rsidR="00E75F3D" w:rsidRPr="006C1C0B">
        <w:rPr>
          <w:rFonts w:ascii="Arial" w:eastAsiaTheme="minorEastAsia" w:hAnsi="Arial" w:cs="Arial"/>
          <w:lang w:eastAsia="ja-JP"/>
        </w:rPr>
        <w:t xml:space="preserve"> </w:t>
      </w:r>
      <w:r w:rsidRPr="006C1C0B">
        <w:rPr>
          <w:rFonts w:ascii="Arial" w:eastAsiaTheme="minorEastAsia" w:hAnsi="Arial" w:cs="Arial"/>
          <w:lang w:eastAsia="ja-JP"/>
        </w:rPr>
        <w:t xml:space="preserve">from those TC-CCPs. CCP12 is concerned that requesting the full set of information required to assess all 14 </w:t>
      </w:r>
      <w:r w:rsidR="00502074">
        <w:rPr>
          <w:rFonts w:ascii="Arial" w:eastAsiaTheme="minorEastAsia" w:hAnsi="Arial" w:cs="Arial"/>
          <w:lang w:eastAsia="ja-JP"/>
        </w:rPr>
        <w:t>indicators</w:t>
      </w:r>
      <w:r w:rsidR="00502074" w:rsidRPr="006C1C0B">
        <w:rPr>
          <w:rFonts w:ascii="Arial" w:eastAsiaTheme="minorEastAsia" w:hAnsi="Arial" w:cs="Arial"/>
          <w:lang w:eastAsia="ja-JP"/>
        </w:rPr>
        <w:t xml:space="preserve"> </w:t>
      </w:r>
      <w:r w:rsidRPr="006C1C0B">
        <w:rPr>
          <w:rFonts w:ascii="Arial" w:eastAsiaTheme="minorEastAsia" w:hAnsi="Arial" w:cs="Arial"/>
          <w:lang w:eastAsia="ja-JP"/>
        </w:rPr>
        <w:t>will place a high burden on relatively small TC-CCPs</w:t>
      </w:r>
      <w:r w:rsidR="006C16EE" w:rsidRPr="006C1C0B">
        <w:rPr>
          <w:rFonts w:ascii="Arial" w:eastAsiaTheme="minorEastAsia" w:hAnsi="Arial" w:cs="Arial"/>
          <w:lang w:eastAsia="ja-JP"/>
        </w:rPr>
        <w:t xml:space="preserve"> that are not systemically important </w:t>
      </w:r>
      <w:r w:rsidR="00E75F3D">
        <w:rPr>
          <w:rFonts w:ascii="Arial" w:eastAsiaTheme="minorEastAsia" w:hAnsi="Arial" w:cs="Arial"/>
          <w:lang w:eastAsia="ja-JP"/>
        </w:rPr>
        <w:t>to</w:t>
      </w:r>
      <w:r w:rsidR="00E75F3D" w:rsidRPr="006C1C0B">
        <w:rPr>
          <w:rFonts w:ascii="Arial" w:eastAsiaTheme="minorEastAsia" w:hAnsi="Arial" w:cs="Arial"/>
          <w:lang w:eastAsia="ja-JP"/>
        </w:rPr>
        <w:t xml:space="preserve"> </w:t>
      </w:r>
      <w:r w:rsidR="006C16EE" w:rsidRPr="006C1C0B">
        <w:rPr>
          <w:rFonts w:ascii="Arial" w:eastAsiaTheme="minorEastAsia" w:hAnsi="Arial" w:cs="Arial"/>
          <w:lang w:eastAsia="ja-JP"/>
        </w:rPr>
        <w:t xml:space="preserve">the </w:t>
      </w:r>
      <w:r w:rsidR="006C16EE" w:rsidRPr="006C1C0B">
        <w:rPr>
          <w:rFonts w:ascii="Arial" w:eastAsiaTheme="minorEastAsia" w:hAnsi="Arial" w:cs="Arial"/>
          <w:lang w:eastAsia="en-US"/>
        </w:rPr>
        <w:t>financial stability of the Union or of one or more of its Member States</w:t>
      </w:r>
      <w:r w:rsidRPr="006C1C0B">
        <w:rPr>
          <w:rFonts w:ascii="Arial" w:eastAsiaTheme="minorEastAsia" w:hAnsi="Arial" w:cs="Arial"/>
          <w:lang w:eastAsia="ja-JP"/>
        </w:rPr>
        <w:t>.</w:t>
      </w:r>
    </w:p>
    <w:p w14:paraId="413F3481" w14:textId="77777777" w:rsidR="003B3B6A" w:rsidRPr="00C85C8B" w:rsidRDefault="003B3B6A" w:rsidP="003B3B6A">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Pr>
          <w:rFonts w:asciiTheme="minorHAnsi" w:eastAsiaTheme="minorEastAsia" w:hAnsiTheme="minorHAnsi" w:cs="Arial"/>
          <w:sz w:val="22"/>
          <w:szCs w:val="20"/>
          <w:lang w:eastAsia="en-US"/>
        </w:rPr>
        <w:t>TATC</w:t>
      </w:r>
      <w:r w:rsidRPr="00C85C8B">
        <w:rPr>
          <w:rFonts w:asciiTheme="minorHAnsi" w:eastAsiaTheme="minorEastAsia" w:hAnsiTheme="minorHAnsi" w:cstheme="minorBidi"/>
          <w:sz w:val="22"/>
          <w:szCs w:val="20"/>
          <w:lang w:eastAsia="en-US"/>
        </w:rPr>
        <w:t>_1&gt;</w:t>
      </w:r>
    </w:p>
    <w:p w14:paraId="30CE0298" w14:textId="77777777" w:rsidR="003B3B6A" w:rsidRDefault="003B3B6A" w:rsidP="003B3B6A">
      <w:pPr>
        <w:spacing w:line="276" w:lineRule="auto"/>
        <w:rPr>
          <w:rFonts w:asciiTheme="minorHAnsi" w:hAnsiTheme="minorHAnsi" w:cstheme="minorHAnsi"/>
          <w:b/>
          <w:sz w:val="28"/>
          <w:szCs w:val="28"/>
        </w:rPr>
      </w:pPr>
    </w:p>
    <w:p w14:paraId="6A4650DE" w14:textId="77777777" w:rsidR="003B3B6A" w:rsidRDefault="003B3B6A" w:rsidP="003B3B6A">
      <w:pPr>
        <w:spacing w:line="276" w:lineRule="auto"/>
        <w:rPr>
          <w:rFonts w:asciiTheme="minorHAnsi" w:hAnsiTheme="minorHAnsi" w:cstheme="minorHAnsi"/>
          <w:b/>
          <w:sz w:val="28"/>
          <w:szCs w:val="28"/>
        </w:rPr>
      </w:pPr>
    </w:p>
    <w:p w14:paraId="269931B6" w14:textId="77777777" w:rsidR="003B3B6A" w:rsidRDefault="003B3B6A" w:rsidP="003B3B6A">
      <w:pPr>
        <w:spacing w:line="276" w:lineRule="auto"/>
        <w:rPr>
          <w:rFonts w:asciiTheme="minorHAnsi" w:hAnsiTheme="minorHAnsi" w:cstheme="minorHAnsi"/>
          <w:b/>
          <w:sz w:val="28"/>
          <w:szCs w:val="28"/>
        </w:rPr>
      </w:pPr>
    </w:p>
    <w:p w14:paraId="5E14DD85" w14:textId="77777777" w:rsidR="003B3B6A" w:rsidRDefault="003B3B6A" w:rsidP="003B3B6A">
      <w:pPr>
        <w:spacing w:line="276" w:lineRule="auto"/>
        <w:rPr>
          <w:rFonts w:asciiTheme="minorHAnsi" w:hAnsiTheme="minorHAnsi" w:cstheme="minorHAnsi"/>
          <w:b/>
          <w:sz w:val="28"/>
          <w:szCs w:val="28"/>
        </w:rPr>
      </w:pPr>
    </w:p>
    <w:p w14:paraId="61831F51" w14:textId="77777777" w:rsidR="003B3B6A" w:rsidRDefault="003B3B6A" w:rsidP="003B3B6A">
      <w:pPr>
        <w:spacing w:line="276" w:lineRule="auto"/>
        <w:rPr>
          <w:rFonts w:asciiTheme="minorHAnsi" w:hAnsiTheme="minorHAnsi" w:cstheme="minorHAnsi"/>
          <w:b/>
          <w:sz w:val="28"/>
          <w:szCs w:val="28"/>
        </w:rPr>
      </w:pPr>
    </w:p>
    <w:p w14:paraId="7E5544C2" w14:textId="77777777" w:rsidR="003B3B6A" w:rsidRDefault="003B3B6A" w:rsidP="003B3B6A">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283BBA9E" w14:textId="77777777" w:rsidR="003B3B6A" w:rsidRDefault="003B3B6A" w:rsidP="003B3B6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167307DB" w14:textId="77777777" w:rsidR="003B3B6A" w:rsidRDefault="003B3B6A" w:rsidP="003B3B6A">
      <w:pPr>
        <w:spacing w:line="276" w:lineRule="auto"/>
        <w:rPr>
          <w:rFonts w:asciiTheme="minorHAnsi" w:hAnsiTheme="minorHAnsi" w:cstheme="minorHAnsi"/>
          <w:b/>
          <w:sz w:val="28"/>
          <w:szCs w:val="28"/>
        </w:rPr>
      </w:pPr>
    </w:p>
    <w:p w14:paraId="560128D6" w14:textId="77777777" w:rsidR="003B3B6A" w:rsidRDefault="003B3B6A" w:rsidP="003B3B6A">
      <w:pPr>
        <w:pStyle w:val="Questionstyle"/>
        <w:numPr>
          <w:ilvl w:val="0"/>
          <w:numId w:val="6"/>
        </w:numPr>
      </w:pPr>
      <w:r>
        <w:t>: Do you generally agree with the proposed indicators (Indicators 1, 2, 3, 4 and 5) to further assess the nature, size and complexity of the CCP's business? Please elaborate and if you disagree with any specific indicator, please suggest an alternative one to measure the relevant criterion.</w:t>
      </w:r>
    </w:p>
    <w:p w14:paraId="05887023" w14:textId="77777777" w:rsidR="003B3B6A" w:rsidRDefault="003B3B6A" w:rsidP="003B3B6A">
      <w:pPr>
        <w:rPr>
          <w:rFonts w:ascii="Arial" w:hAnsi="Arial" w:cs="Arial"/>
        </w:rPr>
      </w:pPr>
      <w:r>
        <w:rPr>
          <w:rFonts w:ascii="Arial" w:hAnsi="Arial" w:cs="Arial"/>
        </w:rPr>
        <w:t>&lt;ESMA_QUESTION_TATC_1&gt;</w:t>
      </w:r>
    </w:p>
    <w:p w14:paraId="5E42B2C0" w14:textId="5ED3AA68" w:rsidR="003B3B6A" w:rsidRDefault="003B3B6A" w:rsidP="00942E94">
      <w:pPr>
        <w:jc w:val="both"/>
        <w:rPr>
          <w:rFonts w:ascii="Arial" w:hAnsi="Arial" w:cs="Arial"/>
        </w:rPr>
      </w:pPr>
      <w:r>
        <w:rPr>
          <w:rFonts w:ascii="Arial" w:hAnsi="Arial" w:cs="Arial"/>
        </w:rPr>
        <w:t>In line with the legislative text of EMIR 2.2</w:t>
      </w:r>
      <w:r w:rsidR="00C361F3">
        <w:rPr>
          <w:rFonts w:ascii="Arial" w:hAnsi="Arial" w:cs="Arial"/>
        </w:rPr>
        <w:t>,</w:t>
      </w:r>
      <w:r>
        <w:rPr>
          <w:rFonts w:ascii="Arial" w:hAnsi="Arial" w:cs="Arial"/>
        </w:rPr>
        <w:t xml:space="preserve"> to determine that a TC-CCP is systemically important to the stability of the EU or one of its Member States, CCP12 believes the proposed indicators to assess the nature, size and complexity of the TC-CCP’s business should more clearly focus on the nexus of the TC-CCP to the EU and in particular, its potential impact on stability, which is the overarching objective of the tiering criteria under EMIR 2.2. We believe that the indicators proposed in the Consultation Report provide a good foundation for establishing this nexus, however </w:t>
      </w:r>
      <w:r w:rsidR="00061C79">
        <w:rPr>
          <w:rFonts w:ascii="Arial" w:hAnsi="Arial" w:cs="Arial"/>
        </w:rPr>
        <w:t xml:space="preserve">in some cases, the indicators, due to their broad nature, do not establish a clear nexus to the EU, which we do not believe was the intention of ESMA. </w:t>
      </w:r>
      <w:r w:rsidR="00061C79" w:rsidRPr="005311A1">
        <w:rPr>
          <w:rFonts w:ascii="Arial" w:hAnsi="Arial" w:cs="Arial"/>
        </w:rPr>
        <w:t xml:space="preserve">In particular, the </w:t>
      </w:r>
      <w:r w:rsidR="00061C79">
        <w:rPr>
          <w:rFonts w:ascii="Arial" w:hAnsi="Arial" w:cs="Arial"/>
        </w:rPr>
        <w:t>assessment of these indicators relative to a TC-CCP’s nature, size and complexity</w:t>
      </w:r>
      <w:r w:rsidR="00061C79" w:rsidRPr="005311A1">
        <w:rPr>
          <w:rFonts w:ascii="Arial" w:hAnsi="Arial" w:cs="Arial"/>
        </w:rPr>
        <w:t xml:space="preserve"> should </w:t>
      </w:r>
      <w:r w:rsidR="00061C79">
        <w:rPr>
          <w:rFonts w:ascii="Arial" w:hAnsi="Arial" w:cs="Arial"/>
        </w:rPr>
        <w:t xml:space="preserve">clearly </w:t>
      </w:r>
      <w:r w:rsidR="00061C79" w:rsidRPr="005311A1">
        <w:rPr>
          <w:rFonts w:ascii="Arial" w:hAnsi="Arial" w:cs="Arial"/>
        </w:rPr>
        <w:t xml:space="preserve">focus on its impact to the EU. </w:t>
      </w:r>
      <w:r w:rsidR="00061C79">
        <w:rPr>
          <w:rFonts w:ascii="Arial" w:hAnsi="Arial" w:cs="Arial"/>
        </w:rPr>
        <w:t>Consequently, w</w:t>
      </w:r>
      <w:r>
        <w:rPr>
          <w:rFonts w:ascii="Arial" w:hAnsi="Arial" w:cs="Arial"/>
        </w:rPr>
        <w:t>e</w:t>
      </w:r>
      <w:r w:rsidR="00E332D7">
        <w:rPr>
          <w:rFonts w:ascii="Arial" w:hAnsi="Arial" w:cs="Arial"/>
        </w:rPr>
        <w:t xml:space="preserve"> </w:t>
      </w:r>
      <w:r>
        <w:rPr>
          <w:rFonts w:ascii="Arial" w:hAnsi="Arial" w:cs="Arial"/>
        </w:rPr>
        <w:t>have some detailed comments on each of those indicators listed below</w:t>
      </w:r>
      <w:r w:rsidR="002D2407">
        <w:rPr>
          <w:rFonts w:ascii="Arial" w:hAnsi="Arial" w:cs="Arial"/>
        </w:rPr>
        <w:t>, as well as their relative weight in assessing systemic relevance.</w:t>
      </w:r>
    </w:p>
    <w:p w14:paraId="3FD046E4" w14:textId="77777777" w:rsidR="003B3B6A" w:rsidRDefault="003B3B6A">
      <w:pPr>
        <w:jc w:val="both"/>
        <w:rPr>
          <w:rFonts w:ascii="Arial" w:hAnsi="Arial" w:cs="Arial"/>
        </w:rPr>
      </w:pPr>
    </w:p>
    <w:p w14:paraId="343C7C2F" w14:textId="2D271F7B" w:rsidR="003B3B6A" w:rsidRDefault="003B3B6A">
      <w:pPr>
        <w:jc w:val="both"/>
        <w:rPr>
          <w:rFonts w:ascii="Arial" w:hAnsi="Arial" w:cs="Arial"/>
        </w:rPr>
      </w:pPr>
      <w:r>
        <w:rPr>
          <w:rFonts w:ascii="Arial" w:hAnsi="Arial" w:cs="Arial"/>
        </w:rPr>
        <w:t>With regards to Indicator 1, we do not believe that assessing the ownership and corporate structure of a TC-CCP is appropriate or can give a good indication as to the systemic importance of the TC-CCP to the stability of the EU. CCPs</w:t>
      </w:r>
      <w:r w:rsidR="00C71F1A">
        <w:rPr>
          <w:rFonts w:ascii="Arial" w:hAnsi="Arial" w:cs="Arial"/>
        </w:rPr>
        <w:t>,</w:t>
      </w:r>
      <w:r>
        <w:rPr>
          <w:rFonts w:ascii="Arial" w:hAnsi="Arial" w:cs="Arial"/>
        </w:rPr>
        <w:t xml:space="preserve"> whether standalone entities and/or part of a broader group</w:t>
      </w:r>
      <w:r w:rsidR="00C71F1A">
        <w:rPr>
          <w:rFonts w:ascii="Arial" w:hAnsi="Arial" w:cs="Arial"/>
        </w:rPr>
        <w:t>,</w:t>
      </w:r>
      <w:r>
        <w:rPr>
          <w:rFonts w:ascii="Arial" w:hAnsi="Arial" w:cs="Arial"/>
        </w:rPr>
        <w:t xml:space="preserve"> are fully resourced to cope with any extreme but plausible market conditions under their local legal and regulatory frameworks. The ongoing ability of a CCP to meet its regulatory obligations is independent of its ownership and corporate structure. Therefore, the ownership and corporate structure of a TC-CCP do not have a bearing on its systemic importance to the stability of the EU. In line with this, we believe that Indicator 1 should be removed. </w:t>
      </w:r>
    </w:p>
    <w:p w14:paraId="0F74EB5F" w14:textId="77777777" w:rsidR="003B3B6A" w:rsidRDefault="003B3B6A">
      <w:pPr>
        <w:jc w:val="both"/>
        <w:rPr>
          <w:rFonts w:ascii="Arial" w:hAnsi="Arial" w:cs="Arial"/>
        </w:rPr>
      </w:pPr>
    </w:p>
    <w:p w14:paraId="13765C41" w14:textId="793D4207" w:rsidR="003B3B6A" w:rsidRDefault="003B3B6A">
      <w:pPr>
        <w:jc w:val="both"/>
        <w:rPr>
          <w:rFonts w:ascii="Arial" w:hAnsi="Arial" w:cs="Arial"/>
        </w:rPr>
      </w:pPr>
      <w:r>
        <w:rPr>
          <w:rFonts w:ascii="Arial" w:hAnsi="Arial" w:cs="Arial"/>
        </w:rPr>
        <w:t xml:space="preserve">Consistent with CCP12’s overarching comment that the indicators, in line with the legislative text of EMIR 2.2, should be used to determine if a TC-CCP is systemically important to the stability of the EU, </w:t>
      </w:r>
      <w:r w:rsidR="006C1E6E">
        <w:rPr>
          <w:rFonts w:ascii="Arial" w:hAnsi="Arial" w:cs="Arial"/>
        </w:rPr>
        <w:t xml:space="preserve">we agree that </w:t>
      </w:r>
      <w:r w:rsidR="002A4AB9">
        <w:rPr>
          <w:rFonts w:ascii="Arial" w:hAnsi="Arial" w:cs="Arial"/>
        </w:rPr>
        <w:t>I</w:t>
      </w:r>
      <w:r w:rsidR="006C1E6E">
        <w:rPr>
          <w:rFonts w:ascii="Arial" w:hAnsi="Arial" w:cs="Arial"/>
        </w:rPr>
        <w:t>ndicator 2 should be primarily focus</w:t>
      </w:r>
      <w:r w:rsidR="00E4077D">
        <w:rPr>
          <w:rFonts w:ascii="Arial" w:hAnsi="Arial" w:cs="Arial"/>
        </w:rPr>
        <w:t>sed</w:t>
      </w:r>
      <w:r w:rsidR="006C1E6E">
        <w:rPr>
          <w:rFonts w:ascii="Arial" w:hAnsi="Arial" w:cs="Arial"/>
        </w:rPr>
        <w:t xml:space="preserve"> on </w:t>
      </w:r>
      <w:r>
        <w:rPr>
          <w:rFonts w:ascii="Arial" w:hAnsi="Arial" w:cs="Arial"/>
        </w:rPr>
        <w:t>the TC-CCP’s clearing for financial</w:t>
      </w:r>
      <w:r w:rsidR="00C361F3">
        <w:rPr>
          <w:rFonts w:ascii="Arial" w:hAnsi="Arial" w:cs="Arial"/>
        </w:rPr>
        <w:t xml:space="preserve"> instruments denominated in EU </w:t>
      </w:r>
      <w:r w:rsidR="00E75F3D">
        <w:rPr>
          <w:rFonts w:ascii="Arial" w:hAnsi="Arial" w:cs="Arial"/>
        </w:rPr>
        <w:t>currencies, which we believe was the intent of ESMA in the Consultation Paper</w:t>
      </w:r>
      <w:r w:rsidR="00C71F1A">
        <w:rPr>
          <w:rFonts w:ascii="Arial" w:hAnsi="Arial" w:cs="Arial"/>
        </w:rPr>
        <w:t>.</w:t>
      </w:r>
      <w:r w:rsidR="006C1E6E">
        <w:rPr>
          <w:rFonts w:ascii="Arial" w:hAnsi="Arial" w:cs="Arial"/>
        </w:rPr>
        <w:t xml:space="preserve"> </w:t>
      </w:r>
      <w:r w:rsidR="00C71F1A">
        <w:rPr>
          <w:rFonts w:ascii="Arial" w:hAnsi="Arial" w:cs="Arial"/>
        </w:rPr>
        <w:t>Such an approach</w:t>
      </w:r>
      <w:r w:rsidR="006C1E6E">
        <w:rPr>
          <w:rFonts w:ascii="Arial" w:hAnsi="Arial" w:cs="Arial"/>
        </w:rPr>
        <w:t xml:space="preserve"> would capture </w:t>
      </w:r>
      <w:r w:rsidRPr="00D60A94">
        <w:rPr>
          <w:rFonts w:ascii="Arial" w:hAnsi="Arial" w:cs="Arial"/>
        </w:rPr>
        <w:t xml:space="preserve">effectively </w:t>
      </w:r>
      <w:r w:rsidR="00C71F1A">
        <w:rPr>
          <w:rFonts w:ascii="Arial" w:hAnsi="Arial" w:cs="Arial"/>
        </w:rPr>
        <w:t>those instances in which</w:t>
      </w:r>
      <w:r w:rsidR="00C71F1A" w:rsidRPr="00D60A94">
        <w:rPr>
          <w:rFonts w:ascii="Arial" w:hAnsi="Arial" w:cs="Arial"/>
        </w:rPr>
        <w:t xml:space="preserve"> </w:t>
      </w:r>
      <w:r w:rsidR="00E75F3D">
        <w:rPr>
          <w:rFonts w:ascii="Arial" w:hAnsi="Arial" w:cs="Arial"/>
        </w:rPr>
        <w:t xml:space="preserve">EU and </w:t>
      </w:r>
      <w:r w:rsidRPr="00D60A94">
        <w:rPr>
          <w:rFonts w:ascii="Arial" w:hAnsi="Arial" w:cs="Arial"/>
        </w:rPr>
        <w:t xml:space="preserve">non-EU market participants are using instruments </w:t>
      </w:r>
      <w:r w:rsidR="00C71F1A">
        <w:rPr>
          <w:rFonts w:ascii="Arial" w:hAnsi="Arial" w:cs="Arial"/>
        </w:rPr>
        <w:t>denominated in EU currencies</w:t>
      </w:r>
      <w:r w:rsidR="00C71F1A" w:rsidRPr="00D60A94">
        <w:rPr>
          <w:rFonts w:ascii="Arial" w:hAnsi="Arial" w:cs="Arial"/>
        </w:rPr>
        <w:t xml:space="preserve"> </w:t>
      </w:r>
      <w:r w:rsidRPr="00D60A94">
        <w:rPr>
          <w:rFonts w:ascii="Arial" w:hAnsi="Arial" w:cs="Arial"/>
        </w:rPr>
        <w:t>to manage their risks, which</w:t>
      </w:r>
      <w:r w:rsidR="00C71F1A">
        <w:rPr>
          <w:rFonts w:ascii="Arial" w:hAnsi="Arial" w:cs="Arial"/>
        </w:rPr>
        <w:t>,</w:t>
      </w:r>
      <w:r w:rsidRPr="00D60A94">
        <w:rPr>
          <w:rFonts w:ascii="Arial" w:hAnsi="Arial" w:cs="Arial"/>
        </w:rPr>
        <w:t xml:space="preserve"> </w:t>
      </w:r>
      <w:r w:rsidR="00C71F1A" w:rsidRPr="00D60A94">
        <w:rPr>
          <w:rFonts w:ascii="Arial" w:hAnsi="Arial" w:cs="Arial"/>
        </w:rPr>
        <w:t>assuming a significant amount of such instruments is cleared by a non-E.U. CCP</w:t>
      </w:r>
      <w:r w:rsidR="00C71F1A">
        <w:rPr>
          <w:rFonts w:ascii="Arial" w:hAnsi="Arial" w:cs="Arial"/>
        </w:rPr>
        <w:t>,</w:t>
      </w:r>
      <w:r w:rsidR="00C71F1A" w:rsidRPr="00D60A94">
        <w:rPr>
          <w:rFonts w:ascii="Arial" w:hAnsi="Arial" w:cs="Arial"/>
        </w:rPr>
        <w:t xml:space="preserve"> </w:t>
      </w:r>
      <w:r w:rsidRPr="00D60A94">
        <w:rPr>
          <w:rFonts w:ascii="Arial" w:hAnsi="Arial" w:cs="Arial"/>
        </w:rPr>
        <w:t>could impact the stability of the EU.</w:t>
      </w:r>
      <w:r>
        <w:rPr>
          <w:rFonts w:ascii="Arial" w:hAnsi="Arial" w:cs="Arial"/>
        </w:rPr>
        <w:t xml:space="preserve"> Further, CCP12 believes that a risk-based measure, such as initial margin required, </w:t>
      </w:r>
      <w:r w:rsidR="009519A8">
        <w:rPr>
          <w:rFonts w:ascii="Arial" w:hAnsi="Arial" w:cs="Arial"/>
        </w:rPr>
        <w:t xml:space="preserve">is more appropriate than </w:t>
      </w:r>
      <w:r>
        <w:rPr>
          <w:rFonts w:ascii="Arial" w:hAnsi="Arial" w:cs="Arial"/>
        </w:rPr>
        <w:t xml:space="preserve">volume or </w:t>
      </w:r>
      <w:proofErr w:type="spellStart"/>
      <w:r>
        <w:rPr>
          <w:rFonts w:ascii="Arial" w:hAnsi="Arial" w:cs="Arial"/>
        </w:rPr>
        <w:t>notionals</w:t>
      </w:r>
      <w:proofErr w:type="spellEnd"/>
      <w:r>
        <w:rPr>
          <w:rFonts w:ascii="Arial" w:hAnsi="Arial" w:cs="Arial"/>
        </w:rPr>
        <w:t xml:space="preserve"> to evaluate a TC-CCPs exposures to financial instruments</w:t>
      </w:r>
      <w:r w:rsidR="002A4AB9">
        <w:rPr>
          <w:rFonts w:ascii="Arial" w:hAnsi="Arial" w:cs="Arial"/>
        </w:rPr>
        <w:t xml:space="preserve"> denominated in EU currencies</w:t>
      </w:r>
      <w:r>
        <w:rPr>
          <w:rFonts w:ascii="Arial" w:hAnsi="Arial" w:cs="Arial"/>
        </w:rPr>
        <w:t xml:space="preserve">. </w:t>
      </w:r>
      <w:r w:rsidR="002A4AB9">
        <w:rPr>
          <w:rFonts w:ascii="Arial" w:hAnsi="Arial" w:cs="Arial"/>
        </w:rPr>
        <w:t xml:space="preserve">Since the basis for determining a TC-CCP is systemically important to the EU is a risk-based determination, a risk-based measure such as initial margin required should be used. </w:t>
      </w:r>
      <w:proofErr w:type="spellStart"/>
      <w:r>
        <w:rPr>
          <w:rFonts w:ascii="Arial" w:hAnsi="Arial" w:cs="Arial"/>
        </w:rPr>
        <w:t>Notionals</w:t>
      </w:r>
      <w:proofErr w:type="spellEnd"/>
      <w:r>
        <w:rPr>
          <w:rFonts w:ascii="Arial" w:hAnsi="Arial" w:cs="Arial"/>
        </w:rPr>
        <w:t xml:space="preserve"> and volume are not adequate measures of risk and can be misleading </w:t>
      </w:r>
      <w:r w:rsidR="00C71F1A">
        <w:rPr>
          <w:rFonts w:ascii="Arial" w:hAnsi="Arial" w:cs="Arial"/>
        </w:rPr>
        <w:t xml:space="preserve">even </w:t>
      </w:r>
      <w:r w:rsidR="009519A8">
        <w:rPr>
          <w:rFonts w:ascii="Arial" w:hAnsi="Arial" w:cs="Arial"/>
        </w:rPr>
        <w:t>though they are often easily available and transparent metrics</w:t>
      </w:r>
      <w:r>
        <w:rPr>
          <w:rFonts w:ascii="Arial" w:hAnsi="Arial" w:cs="Arial"/>
        </w:rPr>
        <w:t xml:space="preserve">. </w:t>
      </w:r>
      <w:r w:rsidR="002A4AB9">
        <w:rPr>
          <w:rFonts w:ascii="Arial" w:hAnsi="Arial" w:cs="Arial"/>
        </w:rPr>
        <w:t xml:space="preserve">CCP12 also notes </w:t>
      </w:r>
      <w:r w:rsidR="002A4AB9" w:rsidRPr="00EE2EF2">
        <w:rPr>
          <w:rFonts w:ascii="Arial" w:hAnsi="Arial" w:cs="Arial"/>
        </w:rPr>
        <w:t>that the legislative text under EMIR 2.2</w:t>
      </w:r>
      <w:r w:rsidR="002A4AB9">
        <w:rPr>
          <w:rFonts w:ascii="Arial" w:hAnsi="Arial" w:cs="Arial"/>
        </w:rPr>
        <w:t xml:space="preserve"> </w:t>
      </w:r>
      <w:r w:rsidR="002A4AB9" w:rsidRPr="00EE2EF2">
        <w:rPr>
          <w:rFonts w:ascii="Arial" w:hAnsi="Arial" w:cs="Arial"/>
        </w:rPr>
        <w:t xml:space="preserve">does not specify the metric </w:t>
      </w:r>
      <w:r w:rsidR="002A4AB9" w:rsidRPr="00EE2EF2">
        <w:rPr>
          <w:rFonts w:ascii="Arial" w:hAnsi="Arial" w:cs="Arial"/>
        </w:rPr>
        <w:lastRenderedPageBreak/>
        <w:t>by which “</w:t>
      </w:r>
      <w:r w:rsidR="002A4AB9">
        <w:rPr>
          <w:rFonts w:ascii="Arial" w:hAnsi="Arial" w:cs="Arial"/>
        </w:rPr>
        <w:t>value</w:t>
      </w:r>
      <w:r w:rsidR="002A4AB9" w:rsidRPr="00EE2EF2">
        <w:rPr>
          <w:rFonts w:ascii="Arial" w:hAnsi="Arial" w:cs="Arial"/>
        </w:rPr>
        <w:t xml:space="preserve">” of </w:t>
      </w:r>
      <w:r w:rsidR="002A4AB9">
        <w:rPr>
          <w:rFonts w:ascii="Arial" w:hAnsi="Arial" w:cs="Arial"/>
        </w:rPr>
        <w:t xml:space="preserve">financial instruments denominated in EU currencies </w:t>
      </w:r>
      <w:r w:rsidR="002A4AB9" w:rsidRPr="00EE2EF2">
        <w:rPr>
          <w:rFonts w:ascii="Arial" w:hAnsi="Arial" w:cs="Arial"/>
        </w:rPr>
        <w:t>should be determined and as such, it is not only appropriate to rely upon initial margin required</w:t>
      </w:r>
      <w:r w:rsidR="002A4AB9">
        <w:rPr>
          <w:rFonts w:ascii="Arial" w:hAnsi="Arial" w:cs="Arial"/>
        </w:rPr>
        <w:t xml:space="preserve"> </w:t>
      </w:r>
      <w:r w:rsidR="002A4AB9" w:rsidRPr="00EE2EF2">
        <w:rPr>
          <w:rFonts w:ascii="Arial" w:hAnsi="Arial" w:cs="Arial"/>
        </w:rPr>
        <w:t xml:space="preserve">but </w:t>
      </w:r>
      <w:r w:rsidR="00574BE7">
        <w:rPr>
          <w:rFonts w:ascii="Arial" w:hAnsi="Arial" w:cs="Arial"/>
        </w:rPr>
        <w:t xml:space="preserve">also </w:t>
      </w:r>
      <w:r w:rsidR="002A4AB9" w:rsidRPr="00EE2EF2">
        <w:rPr>
          <w:rFonts w:ascii="Arial" w:hAnsi="Arial" w:cs="Arial"/>
        </w:rPr>
        <w:t xml:space="preserve">permitted pursuant to the legislative text. </w:t>
      </w:r>
      <w:r>
        <w:rPr>
          <w:rFonts w:ascii="Arial" w:hAnsi="Arial" w:cs="Arial"/>
        </w:rPr>
        <w:t xml:space="preserve">As such, CCP12 recommends that it be clarified that </w:t>
      </w:r>
      <w:proofErr w:type="spellStart"/>
      <w:r>
        <w:rPr>
          <w:rFonts w:ascii="Arial" w:hAnsi="Arial" w:cs="Arial"/>
        </w:rPr>
        <w:t>i</w:t>
      </w:r>
      <w:proofErr w:type="spellEnd"/>
      <w:r>
        <w:rPr>
          <w:rFonts w:ascii="Arial" w:hAnsi="Arial" w:cs="Arial"/>
        </w:rPr>
        <w:t xml:space="preserve">) and iii) of Indicator 2 and the underlying considerations are with respect to financial instruments denominated in EU currencies and </w:t>
      </w:r>
      <w:r w:rsidR="001374AD">
        <w:rPr>
          <w:rFonts w:ascii="Arial" w:hAnsi="Arial" w:cs="Arial"/>
        </w:rPr>
        <w:t xml:space="preserve">that </w:t>
      </w:r>
      <w:r>
        <w:rPr>
          <w:rFonts w:ascii="Arial" w:hAnsi="Arial" w:cs="Arial"/>
        </w:rPr>
        <w:t xml:space="preserve">the measure for assessing such clearing be based on </w:t>
      </w:r>
      <w:r w:rsidR="00F2457F">
        <w:rPr>
          <w:rFonts w:ascii="Arial" w:hAnsi="Arial" w:cs="Arial"/>
        </w:rPr>
        <w:t>initial</w:t>
      </w:r>
      <w:r>
        <w:rPr>
          <w:rFonts w:ascii="Arial" w:hAnsi="Arial" w:cs="Arial"/>
        </w:rPr>
        <w:t xml:space="preserve"> margin required. </w:t>
      </w:r>
      <w:r w:rsidRPr="00D60A94">
        <w:rPr>
          <w:rFonts w:ascii="Arial" w:hAnsi="Arial" w:cs="Arial"/>
        </w:rPr>
        <w:t xml:space="preserve"> </w:t>
      </w:r>
      <w:r>
        <w:rPr>
          <w:rFonts w:ascii="Arial" w:hAnsi="Arial" w:cs="Arial"/>
        </w:rPr>
        <w:t xml:space="preserve"> </w:t>
      </w:r>
    </w:p>
    <w:p w14:paraId="3EBDDAB1" w14:textId="77777777" w:rsidR="003B3B6A" w:rsidRDefault="003B3B6A">
      <w:pPr>
        <w:jc w:val="both"/>
        <w:rPr>
          <w:rFonts w:ascii="Arial" w:hAnsi="Arial" w:cs="Arial"/>
        </w:rPr>
      </w:pPr>
    </w:p>
    <w:p w14:paraId="147B912B" w14:textId="1FF5106B" w:rsidR="003B3B6A" w:rsidRDefault="0068223A">
      <w:pPr>
        <w:jc w:val="both"/>
        <w:rPr>
          <w:rFonts w:ascii="Arial" w:hAnsi="Arial" w:cs="Arial"/>
        </w:rPr>
      </w:pPr>
      <w:r>
        <w:rPr>
          <w:rFonts w:ascii="Arial" w:hAnsi="Arial" w:cs="Arial"/>
        </w:rPr>
        <w:t>Similarly</w:t>
      </w:r>
      <w:r w:rsidR="003B3B6A">
        <w:rPr>
          <w:rFonts w:ascii="Arial" w:hAnsi="Arial" w:cs="Arial"/>
        </w:rPr>
        <w:t>, regarding Indicator 3</w:t>
      </w:r>
      <w:r w:rsidR="002A4AB9">
        <w:rPr>
          <w:rFonts w:ascii="Arial" w:hAnsi="Arial" w:cs="Arial"/>
        </w:rPr>
        <w:t>,</w:t>
      </w:r>
      <w:r w:rsidR="003B3B6A">
        <w:rPr>
          <w:rFonts w:ascii="Arial" w:hAnsi="Arial" w:cs="Arial"/>
        </w:rPr>
        <w:t xml:space="preserve"> the focus of the TC-CCP’s clearing for market participants should be on those market partic</w:t>
      </w:r>
      <w:r w:rsidR="00621F4F">
        <w:rPr>
          <w:rFonts w:ascii="Arial" w:hAnsi="Arial" w:cs="Arial"/>
        </w:rPr>
        <w:t>i</w:t>
      </w:r>
      <w:r w:rsidR="003B3B6A">
        <w:rPr>
          <w:rFonts w:ascii="Arial" w:hAnsi="Arial" w:cs="Arial"/>
        </w:rPr>
        <w:t>pants domiciled in the EU</w:t>
      </w:r>
      <w:r w:rsidR="002A4AB9">
        <w:rPr>
          <w:rFonts w:ascii="Arial" w:hAnsi="Arial" w:cs="Arial"/>
        </w:rPr>
        <w:t>, which we believe was the intent of ESMA in the Consultation Paper</w:t>
      </w:r>
      <w:r w:rsidR="003B3B6A">
        <w:rPr>
          <w:rFonts w:ascii="Arial" w:hAnsi="Arial" w:cs="Arial"/>
        </w:rPr>
        <w:t xml:space="preserve">. A TC-CCP’s clearing for non-EU market participants is immaterial to determining the systemic importance of a TC-CCP to the stability of the EU or one of its Member States. Further, we believe that the proposed metrics used for Indicator 3 to assess value could be misleading. </w:t>
      </w:r>
      <w:r w:rsidR="002A4AB9">
        <w:rPr>
          <w:rFonts w:ascii="Arial" w:hAnsi="Arial" w:cs="Arial"/>
        </w:rPr>
        <w:t>As note</w:t>
      </w:r>
      <w:r w:rsidR="00574BE7">
        <w:rPr>
          <w:rFonts w:ascii="Arial" w:hAnsi="Arial" w:cs="Arial"/>
        </w:rPr>
        <w:t>d</w:t>
      </w:r>
      <w:r w:rsidR="002A4AB9">
        <w:rPr>
          <w:rFonts w:ascii="Arial" w:hAnsi="Arial" w:cs="Arial"/>
        </w:rPr>
        <w:t xml:space="preserve"> above</w:t>
      </w:r>
      <w:r w:rsidR="003B3B6A">
        <w:rPr>
          <w:rFonts w:ascii="Arial" w:hAnsi="Arial" w:cs="Arial"/>
        </w:rPr>
        <w:t>, using volume and notional based metrics are not adequate measures for evaluating risk</w:t>
      </w:r>
      <w:r w:rsidR="002A4AB9">
        <w:rPr>
          <w:rFonts w:ascii="Arial" w:hAnsi="Arial" w:cs="Arial"/>
        </w:rPr>
        <w:t xml:space="preserve">. </w:t>
      </w:r>
      <w:r w:rsidR="003B3B6A">
        <w:rPr>
          <w:rFonts w:ascii="Arial" w:hAnsi="Arial" w:cs="Arial"/>
        </w:rPr>
        <w:t xml:space="preserve">By way of example, </w:t>
      </w:r>
      <w:r w:rsidR="002A4AB9">
        <w:rPr>
          <w:rFonts w:ascii="Arial" w:hAnsi="Arial" w:cs="Arial"/>
        </w:rPr>
        <w:t xml:space="preserve">as proposed under Indicator 3, </w:t>
      </w:r>
      <w:r w:rsidR="003B3B6A">
        <w:rPr>
          <w:rFonts w:ascii="Arial" w:hAnsi="Arial" w:cs="Arial"/>
        </w:rPr>
        <w:t xml:space="preserve">notional outstanding on daily volumes would only capture flows rather than actual volume, whereas initial margin required would capture the actual risk of exposures cleared by the TC-CCP. CCP12 also notes </w:t>
      </w:r>
      <w:r w:rsidR="003B3B6A" w:rsidRPr="00EE2EF2">
        <w:rPr>
          <w:rFonts w:ascii="Arial" w:hAnsi="Arial" w:cs="Arial"/>
        </w:rPr>
        <w:t>that the legislative text under EMIR 2.2</w:t>
      </w:r>
      <w:r w:rsidR="003B3B6A">
        <w:rPr>
          <w:rFonts w:ascii="Arial" w:hAnsi="Arial" w:cs="Arial"/>
        </w:rPr>
        <w:t xml:space="preserve"> </w:t>
      </w:r>
      <w:r w:rsidR="003B3B6A" w:rsidRPr="00EE2EF2">
        <w:rPr>
          <w:rFonts w:ascii="Arial" w:hAnsi="Arial" w:cs="Arial"/>
        </w:rPr>
        <w:t>does not specify the metric by which “</w:t>
      </w:r>
      <w:r w:rsidR="002A4AB9">
        <w:rPr>
          <w:rFonts w:ascii="Arial" w:hAnsi="Arial" w:cs="Arial"/>
        </w:rPr>
        <w:t>exposure</w:t>
      </w:r>
      <w:r w:rsidR="003B3B6A" w:rsidRPr="00EE2EF2">
        <w:rPr>
          <w:rFonts w:ascii="Arial" w:hAnsi="Arial" w:cs="Arial"/>
        </w:rPr>
        <w:t xml:space="preserve">” of </w:t>
      </w:r>
      <w:r w:rsidR="003B3B6A">
        <w:rPr>
          <w:rFonts w:ascii="Arial" w:hAnsi="Arial" w:cs="Arial"/>
        </w:rPr>
        <w:t xml:space="preserve">EU market participants </w:t>
      </w:r>
      <w:r w:rsidR="003B3B6A" w:rsidRPr="00EE2EF2">
        <w:rPr>
          <w:rFonts w:ascii="Arial" w:hAnsi="Arial" w:cs="Arial"/>
        </w:rPr>
        <w:t>should be determined and as such, it is not only appropriate to rely upon initial margin required</w:t>
      </w:r>
      <w:r w:rsidR="00971181">
        <w:rPr>
          <w:rFonts w:ascii="Arial" w:hAnsi="Arial" w:cs="Arial"/>
        </w:rPr>
        <w:t xml:space="preserve"> </w:t>
      </w:r>
      <w:r w:rsidR="003B3B6A" w:rsidRPr="00EE2EF2">
        <w:rPr>
          <w:rFonts w:ascii="Arial" w:hAnsi="Arial" w:cs="Arial"/>
        </w:rPr>
        <w:t xml:space="preserve">but </w:t>
      </w:r>
      <w:r w:rsidR="00A50E62">
        <w:rPr>
          <w:rFonts w:ascii="Arial" w:hAnsi="Arial" w:cs="Arial"/>
        </w:rPr>
        <w:t xml:space="preserve">it is also </w:t>
      </w:r>
      <w:r w:rsidR="003B3B6A" w:rsidRPr="00EE2EF2">
        <w:rPr>
          <w:rFonts w:ascii="Arial" w:hAnsi="Arial" w:cs="Arial"/>
        </w:rPr>
        <w:t xml:space="preserve">permitted pursuant to the legislative text. </w:t>
      </w:r>
      <w:r w:rsidR="003B3B6A">
        <w:rPr>
          <w:rFonts w:ascii="Arial" w:hAnsi="Arial" w:cs="Arial"/>
        </w:rPr>
        <w:t xml:space="preserve">As such, CCP12 recommends that Indicator 3 </w:t>
      </w:r>
      <w:r w:rsidR="00DB0198">
        <w:rPr>
          <w:rFonts w:ascii="Arial" w:hAnsi="Arial" w:cs="Arial"/>
        </w:rPr>
        <w:t xml:space="preserve">clarify that its evaluation is limited to a </w:t>
      </w:r>
      <w:r w:rsidR="003B3B6A">
        <w:rPr>
          <w:rFonts w:ascii="Arial" w:hAnsi="Arial" w:cs="Arial"/>
        </w:rPr>
        <w:t xml:space="preserve">TC-CCP’s clearing for EU market participants </w:t>
      </w:r>
      <w:r w:rsidR="00DB0198">
        <w:rPr>
          <w:rFonts w:ascii="Arial" w:hAnsi="Arial" w:cs="Arial"/>
        </w:rPr>
        <w:t>and that it be</w:t>
      </w:r>
      <w:r w:rsidR="003B3B6A">
        <w:rPr>
          <w:rFonts w:ascii="Arial" w:hAnsi="Arial" w:cs="Arial"/>
        </w:rPr>
        <w:t xml:space="preserve"> based on initial margin required.  </w:t>
      </w:r>
    </w:p>
    <w:p w14:paraId="637CE26E" w14:textId="77777777" w:rsidR="003B3B6A" w:rsidRDefault="003B3B6A">
      <w:pPr>
        <w:jc w:val="both"/>
        <w:rPr>
          <w:rFonts w:ascii="Arial" w:hAnsi="Arial" w:cs="Arial"/>
        </w:rPr>
      </w:pPr>
    </w:p>
    <w:p w14:paraId="49077E90" w14:textId="6BE87628" w:rsidR="003B3B6A" w:rsidRDefault="003B3B6A">
      <w:pPr>
        <w:jc w:val="both"/>
        <w:rPr>
          <w:rFonts w:ascii="Arial" w:hAnsi="Arial" w:cs="Arial"/>
        </w:rPr>
      </w:pPr>
      <w:r w:rsidRPr="00EE2EF2">
        <w:rPr>
          <w:rFonts w:ascii="Arial" w:hAnsi="Arial" w:cs="Arial"/>
        </w:rPr>
        <w:t>For the same reason</w:t>
      </w:r>
      <w:r>
        <w:rPr>
          <w:rFonts w:ascii="Arial" w:hAnsi="Arial" w:cs="Arial"/>
        </w:rPr>
        <w:t>s</w:t>
      </w:r>
      <w:r w:rsidRPr="00EE2EF2">
        <w:rPr>
          <w:rFonts w:ascii="Arial" w:hAnsi="Arial" w:cs="Arial"/>
        </w:rPr>
        <w:t xml:space="preserve"> outlined relative to Indicators 2 and </w:t>
      </w:r>
      <w:r>
        <w:rPr>
          <w:rFonts w:ascii="Arial" w:hAnsi="Arial" w:cs="Arial"/>
        </w:rPr>
        <w:t>3</w:t>
      </w:r>
      <w:r w:rsidRPr="00EE2EF2">
        <w:rPr>
          <w:rFonts w:ascii="Arial" w:hAnsi="Arial" w:cs="Arial"/>
        </w:rPr>
        <w:t xml:space="preserve">, regarding Indicator 4, in determining whether a </w:t>
      </w:r>
      <w:r>
        <w:rPr>
          <w:rFonts w:ascii="Arial" w:hAnsi="Arial" w:cs="Arial"/>
        </w:rPr>
        <w:t>TC-</w:t>
      </w:r>
      <w:r w:rsidRPr="00EE2EF2">
        <w:rPr>
          <w:rFonts w:ascii="Arial" w:hAnsi="Arial" w:cs="Arial"/>
        </w:rPr>
        <w:t xml:space="preserve">CCP is systemically important to the </w:t>
      </w:r>
      <w:r>
        <w:rPr>
          <w:rFonts w:ascii="Arial" w:hAnsi="Arial" w:cs="Arial"/>
        </w:rPr>
        <w:t xml:space="preserve">stability of the </w:t>
      </w:r>
      <w:r w:rsidRPr="00EE2EF2">
        <w:rPr>
          <w:rFonts w:ascii="Arial" w:hAnsi="Arial" w:cs="Arial"/>
        </w:rPr>
        <w:t>E</w:t>
      </w:r>
      <w:r>
        <w:rPr>
          <w:rFonts w:ascii="Arial" w:hAnsi="Arial" w:cs="Arial"/>
        </w:rPr>
        <w:t>U</w:t>
      </w:r>
      <w:r w:rsidRPr="00EE2EF2">
        <w:rPr>
          <w:rFonts w:ascii="Arial" w:hAnsi="Arial" w:cs="Arial"/>
        </w:rPr>
        <w:t xml:space="preserve"> relative to the “transparency and liquidity” of its markets, the focus on its markets should be on those denominated in EU currencies</w:t>
      </w:r>
      <w:r w:rsidR="00DB0198">
        <w:rPr>
          <w:rFonts w:ascii="Arial" w:hAnsi="Arial" w:cs="Arial"/>
        </w:rPr>
        <w:t>, to the extent it is necessary to evaluate this indicator</w:t>
      </w:r>
      <w:r w:rsidRPr="00EE2EF2">
        <w:rPr>
          <w:rFonts w:ascii="Arial" w:hAnsi="Arial" w:cs="Arial"/>
        </w:rPr>
        <w:t>.</w:t>
      </w:r>
      <w:r w:rsidR="00242730">
        <w:rPr>
          <w:rFonts w:ascii="Arial" w:hAnsi="Arial" w:cs="Arial"/>
        </w:rPr>
        <w:t xml:space="preserve"> </w:t>
      </w:r>
      <w:r w:rsidR="00DB0198">
        <w:rPr>
          <w:rFonts w:ascii="Arial" w:hAnsi="Arial" w:cs="Arial"/>
          <w:szCs w:val="20"/>
          <w:lang w:eastAsia="en-US"/>
        </w:rPr>
        <w:t>T</w:t>
      </w:r>
      <w:r w:rsidR="00242730">
        <w:rPr>
          <w:rFonts w:ascii="Arial" w:hAnsi="Arial" w:cs="Arial"/>
          <w:szCs w:val="20"/>
          <w:lang w:eastAsia="en-US"/>
        </w:rPr>
        <w:t>ransparency and liquidity of a relevant market are useful indicators to understand the market structure and price formation process but add limited value for assessing the systemic relevance of a market.</w:t>
      </w:r>
      <w:r>
        <w:rPr>
          <w:rFonts w:ascii="Arial" w:hAnsi="Arial" w:cs="Arial"/>
        </w:rPr>
        <w:t xml:space="preserve"> </w:t>
      </w:r>
      <w:r w:rsidR="00DB0198">
        <w:rPr>
          <w:rFonts w:ascii="Arial" w:hAnsi="Arial" w:cs="Arial"/>
          <w:szCs w:val="20"/>
          <w:lang w:eastAsia="en-US"/>
        </w:rPr>
        <w:t xml:space="preserve">Consequently, Indicator 4 could be removed. </w:t>
      </w:r>
      <w:r>
        <w:rPr>
          <w:rFonts w:ascii="Arial" w:hAnsi="Arial" w:cs="Arial"/>
        </w:rPr>
        <w:t xml:space="preserve"> </w:t>
      </w:r>
    </w:p>
    <w:p w14:paraId="3F8F23AB" w14:textId="77777777" w:rsidR="003B3B6A" w:rsidRDefault="003B3B6A">
      <w:pPr>
        <w:jc w:val="both"/>
        <w:rPr>
          <w:rFonts w:ascii="Arial" w:hAnsi="Arial" w:cs="Arial"/>
        </w:rPr>
      </w:pPr>
    </w:p>
    <w:p w14:paraId="71582A4A" w14:textId="501C3F93" w:rsidR="003B3B6A" w:rsidRDefault="003B3B6A">
      <w:pPr>
        <w:jc w:val="both"/>
        <w:rPr>
          <w:rFonts w:ascii="Arial" w:hAnsi="Arial" w:cs="Arial"/>
        </w:rPr>
      </w:pPr>
      <w:r>
        <w:rPr>
          <w:rFonts w:ascii="Arial" w:hAnsi="Arial" w:cs="Arial"/>
        </w:rPr>
        <w:t xml:space="preserve">Finally, regarding Indicator 5 and its use to assess the risk profile of a TC-CCP, we believe that assessing the risk profile of a TC-CCP only becomes relevant to the stability of the EU to the extent it has exposures to EU financial instruments and/or </w:t>
      </w:r>
      <w:r w:rsidR="00574BE7">
        <w:rPr>
          <w:rFonts w:ascii="Arial" w:hAnsi="Arial" w:cs="Arial"/>
        </w:rPr>
        <w:t xml:space="preserve">to </w:t>
      </w:r>
      <w:r>
        <w:rPr>
          <w:rFonts w:ascii="Arial" w:hAnsi="Arial" w:cs="Arial"/>
        </w:rPr>
        <w:t>EU market participants and as such, such exposures should be the trigger for the assessment of this indicator</w:t>
      </w:r>
      <w:r w:rsidR="00726F33">
        <w:rPr>
          <w:rFonts w:ascii="Arial" w:hAnsi="Arial" w:cs="Arial"/>
        </w:rPr>
        <w:t>; however, its notable that these exposure must reach a level of significance to lead to a determination that a TC-CCP is systemically important</w:t>
      </w:r>
      <w:r>
        <w:rPr>
          <w:rFonts w:ascii="Arial" w:hAnsi="Arial" w:cs="Arial"/>
        </w:rPr>
        <w:t xml:space="preserve">. We believe the information collected regarding Indicator 5 will be fairly standard </w:t>
      </w:r>
      <w:r w:rsidR="005D0197">
        <w:rPr>
          <w:rFonts w:ascii="Arial" w:hAnsi="Arial" w:cs="Arial"/>
        </w:rPr>
        <w:t xml:space="preserve">and </w:t>
      </w:r>
      <w:r>
        <w:rPr>
          <w:rFonts w:ascii="Arial" w:hAnsi="Arial" w:cs="Arial"/>
        </w:rPr>
        <w:t xml:space="preserve">is often included in every application for a licence globally. In line with this, we believe in addition to the information collected in TC-CCP’s application for recognition, the assessment of a TC-CCP’s risk profile should primarily rely on a confirmation of its adherence to the </w:t>
      </w:r>
      <w:r>
        <w:rPr>
          <w:rFonts w:ascii="Arial" w:hAnsi="Arial" w:cs="Arial"/>
          <w:i/>
        </w:rPr>
        <w:t>Pr</w:t>
      </w:r>
      <w:r w:rsidR="00242730">
        <w:rPr>
          <w:rFonts w:ascii="Arial" w:hAnsi="Arial" w:cs="Arial"/>
          <w:i/>
        </w:rPr>
        <w:t>i</w:t>
      </w:r>
      <w:r>
        <w:rPr>
          <w:rFonts w:ascii="Arial" w:hAnsi="Arial" w:cs="Arial"/>
          <w:i/>
        </w:rPr>
        <w:t>nciples for financial market inf</w:t>
      </w:r>
      <w:r w:rsidR="00242730">
        <w:rPr>
          <w:rFonts w:ascii="Arial" w:hAnsi="Arial" w:cs="Arial"/>
          <w:i/>
        </w:rPr>
        <w:t>r</w:t>
      </w:r>
      <w:r>
        <w:rPr>
          <w:rFonts w:ascii="Arial" w:hAnsi="Arial" w:cs="Arial"/>
          <w:i/>
        </w:rPr>
        <w:t xml:space="preserve">astructures </w:t>
      </w:r>
      <w:r>
        <w:rPr>
          <w:rFonts w:ascii="Arial" w:hAnsi="Arial" w:cs="Arial"/>
        </w:rPr>
        <w:t>(April 2012) (“PFMIs”) as adopted and applied by its local primary regulator.</w:t>
      </w:r>
      <w:r w:rsidR="00E623AE" w:rsidRPr="00E623AE">
        <w:rPr>
          <w:rFonts w:ascii="Arial" w:hAnsi="Arial" w:cs="Arial"/>
        </w:rPr>
        <w:t xml:space="preserve"> The PFMIs set out globally agreed upon standards for CCP risk management practices, across a variety of areas, including those referenced in EMIR 2.2, legal, operational and business risk. We believe it is critical that in evaluating the risk profile of a TC-CCP that </w:t>
      </w:r>
      <w:r w:rsidR="00A2708C" w:rsidRPr="00E623AE">
        <w:rPr>
          <w:rFonts w:ascii="Arial" w:hAnsi="Arial" w:cs="Arial"/>
        </w:rPr>
        <w:t>it</w:t>
      </w:r>
      <w:r w:rsidR="00E623AE" w:rsidRPr="00E623AE">
        <w:rPr>
          <w:rFonts w:ascii="Arial" w:hAnsi="Arial" w:cs="Arial"/>
        </w:rPr>
        <w:t xml:space="preserve"> recognizes that its risk management practices have been designed in recognition of the financial </w:t>
      </w:r>
      <w:r w:rsidR="00E623AE" w:rsidRPr="00E623AE">
        <w:rPr>
          <w:rFonts w:ascii="Arial" w:hAnsi="Arial" w:cs="Arial"/>
        </w:rPr>
        <w:lastRenderedPageBreak/>
        <w:t>instruments it clears and the market participants it serves under a regulatory regime that was adopted and is applied by its local regulatory authority. Therefore, a TC-CCP’s adherence to the PFMIs as adopted by its local regulator provide a sufficient and strong basis to evaluate a CCP’s risk profile.</w:t>
      </w:r>
    </w:p>
    <w:p w14:paraId="5E5B4A8C" w14:textId="77777777" w:rsidR="003B3B6A" w:rsidRDefault="003B3B6A" w:rsidP="003B3B6A">
      <w:pPr>
        <w:rPr>
          <w:rFonts w:ascii="Arial" w:hAnsi="Arial" w:cs="Arial"/>
        </w:rPr>
      </w:pPr>
      <w:r>
        <w:rPr>
          <w:rFonts w:ascii="Arial" w:hAnsi="Arial" w:cs="Arial"/>
        </w:rPr>
        <w:t>&lt;ESMA_QUESTION_TATC_1&gt;</w:t>
      </w:r>
    </w:p>
    <w:p w14:paraId="6F47CBD3" w14:textId="77777777" w:rsidR="003B3B6A" w:rsidRDefault="003B3B6A" w:rsidP="003B3B6A">
      <w:pPr>
        <w:rPr>
          <w:rFonts w:ascii="Arial" w:hAnsi="Arial" w:cs="Arial"/>
        </w:rPr>
      </w:pPr>
    </w:p>
    <w:p w14:paraId="30635E3B" w14:textId="77777777" w:rsidR="003B3B6A" w:rsidRDefault="003B3B6A" w:rsidP="003B3B6A">
      <w:pPr>
        <w:pStyle w:val="Questionstyle"/>
        <w:numPr>
          <w:ilvl w:val="0"/>
          <w:numId w:val="6"/>
        </w:numPr>
        <w:rPr>
          <w:rFonts w:ascii="Arial" w:hAnsi="Arial" w:cs="Arial"/>
        </w:rPr>
      </w:pPr>
      <w:r>
        <w:t>: How would you envisage ESMA to consider risks and in particular cyber-risks in relation to the evaluation of systemic importance?</w:t>
      </w:r>
    </w:p>
    <w:p w14:paraId="6F22CB95" w14:textId="77777777" w:rsidR="003B3B6A" w:rsidRDefault="003B3B6A" w:rsidP="003B3B6A">
      <w:pPr>
        <w:rPr>
          <w:rFonts w:ascii="Arial" w:hAnsi="Arial" w:cs="Arial"/>
        </w:rPr>
      </w:pPr>
      <w:r>
        <w:rPr>
          <w:rFonts w:ascii="Arial" w:hAnsi="Arial" w:cs="Arial"/>
        </w:rPr>
        <w:t>&lt;ESMA_QUESTION_TATC_2&gt;</w:t>
      </w:r>
    </w:p>
    <w:p w14:paraId="24E8FE47" w14:textId="6D98B4FA" w:rsidR="003B3B6A" w:rsidRDefault="003B3B6A" w:rsidP="00942E94">
      <w:pPr>
        <w:jc w:val="both"/>
        <w:rPr>
          <w:rFonts w:ascii="Arial" w:hAnsi="Arial" w:cs="Arial"/>
        </w:rPr>
      </w:pPr>
      <w:bookmarkStart w:id="3" w:name="_Hlk12952795"/>
      <w:bookmarkStart w:id="4" w:name="_Hlk12962448"/>
      <w:r>
        <w:rPr>
          <w:rFonts w:ascii="Arial" w:hAnsi="Arial" w:cs="Arial"/>
        </w:rPr>
        <w:t xml:space="preserve">In line with CCP12’s comments </w:t>
      </w:r>
      <w:r w:rsidR="00DB0198">
        <w:rPr>
          <w:rFonts w:ascii="Arial" w:hAnsi="Arial" w:cs="Arial"/>
        </w:rPr>
        <w:t>regarding</w:t>
      </w:r>
      <w:r>
        <w:rPr>
          <w:rFonts w:ascii="Arial" w:hAnsi="Arial" w:cs="Arial"/>
        </w:rPr>
        <w:t xml:space="preserve"> Indicator 5, </w:t>
      </w:r>
      <w:bookmarkEnd w:id="3"/>
      <w:r>
        <w:rPr>
          <w:rFonts w:ascii="Arial" w:hAnsi="Arial" w:cs="Arial"/>
        </w:rPr>
        <w:t>an assessment of a TC-CCP’s risks and in particular cyber risks should be based on a confirmation of its adherence to the PFMIs as adopted and applied by its local primary regulator</w:t>
      </w:r>
      <w:r w:rsidRPr="00A53C47">
        <w:rPr>
          <w:rFonts w:ascii="Arial" w:hAnsi="Arial" w:cs="Arial"/>
        </w:rPr>
        <w:t>.</w:t>
      </w:r>
      <w:r>
        <w:rPr>
          <w:rFonts w:ascii="Arial" w:hAnsi="Arial" w:cs="Arial"/>
        </w:rPr>
        <w:t xml:space="preserve"> </w:t>
      </w:r>
      <w:r w:rsidR="0009590F" w:rsidRPr="00934B03">
        <w:rPr>
          <w:rFonts w:ascii="Arial" w:hAnsi="Arial" w:cs="Arial"/>
        </w:rPr>
        <w:t>Principle 17</w:t>
      </w:r>
      <w:r w:rsidR="0009590F">
        <w:rPr>
          <w:rFonts w:ascii="Arial" w:hAnsi="Arial" w:cs="Arial"/>
        </w:rPr>
        <w:t xml:space="preserve"> of t</w:t>
      </w:r>
      <w:r w:rsidRPr="00934B03">
        <w:rPr>
          <w:rFonts w:ascii="Arial" w:hAnsi="Arial" w:cs="Arial"/>
        </w:rPr>
        <w:t>he PFMIs set</w:t>
      </w:r>
      <w:r w:rsidR="00574BE7">
        <w:rPr>
          <w:rFonts w:ascii="Arial" w:hAnsi="Arial" w:cs="Arial"/>
        </w:rPr>
        <w:t>s</w:t>
      </w:r>
      <w:r w:rsidRPr="00934B03">
        <w:rPr>
          <w:rFonts w:ascii="Arial" w:hAnsi="Arial" w:cs="Arial"/>
        </w:rPr>
        <w:t xml:space="preserve"> out globally agreed upon standards for CCP risk management practices</w:t>
      </w:r>
      <w:r>
        <w:rPr>
          <w:rFonts w:ascii="Arial" w:hAnsi="Arial" w:cs="Arial"/>
        </w:rPr>
        <w:t>, including those related to cyber risks</w:t>
      </w:r>
      <w:r w:rsidRPr="00934B03">
        <w:rPr>
          <w:rFonts w:ascii="Arial" w:hAnsi="Arial" w:cs="Arial"/>
        </w:rPr>
        <w:t>.</w:t>
      </w:r>
      <w:r>
        <w:rPr>
          <w:rFonts w:ascii="Arial" w:hAnsi="Arial" w:cs="Arial"/>
        </w:rPr>
        <w:t xml:space="preserve"> The assessment of a TC-CCP’s systemic importance to the stability of the EU must recognize that its risk management practices have been designed specifically for the financial instruments it clears and the market participants it serves under a regulatory regime that was adopted and is applied by its local regulatory authority.</w:t>
      </w:r>
    </w:p>
    <w:bookmarkEnd w:id="4"/>
    <w:p w14:paraId="0ACEC853" w14:textId="76EA657C" w:rsidR="00945008" w:rsidRDefault="00945008" w:rsidP="00DB0198">
      <w:pPr>
        <w:jc w:val="both"/>
        <w:rPr>
          <w:rFonts w:ascii="Arial" w:hAnsi="Arial" w:cs="Arial"/>
        </w:rPr>
      </w:pPr>
    </w:p>
    <w:p w14:paraId="19443877" w14:textId="796CF65F" w:rsidR="00945008" w:rsidRDefault="00945008" w:rsidP="00DB0198">
      <w:pPr>
        <w:jc w:val="both"/>
        <w:rPr>
          <w:rFonts w:ascii="Arial" w:hAnsi="Arial" w:cs="Arial"/>
        </w:rPr>
      </w:pPr>
      <w:r>
        <w:rPr>
          <w:rFonts w:ascii="Arial" w:hAnsi="Arial" w:cs="Arial"/>
        </w:rPr>
        <w:t>Additionally, CCP12 notes that any assessment of a TC-CCP’s broader risk profile, including cyber-risks, only becomes relevant to the stability of the EU to the extent the TC-CCP has exposures to EU financial instruments and/or EU market participants and as such, such exposures should be the trigger for the assessment of its broader risk profile.</w:t>
      </w:r>
    </w:p>
    <w:p w14:paraId="196FBA0B" w14:textId="77777777" w:rsidR="003B3B6A" w:rsidRDefault="003B3B6A" w:rsidP="003B3B6A">
      <w:pPr>
        <w:rPr>
          <w:rFonts w:ascii="Arial" w:hAnsi="Arial" w:cs="Arial"/>
        </w:rPr>
      </w:pPr>
      <w:r>
        <w:rPr>
          <w:rFonts w:ascii="Arial" w:hAnsi="Arial" w:cs="Arial"/>
        </w:rPr>
        <w:t>&lt;ESMA_QUESTION_TATC_2&gt;</w:t>
      </w:r>
    </w:p>
    <w:p w14:paraId="6E410013" w14:textId="77777777" w:rsidR="003B3B6A" w:rsidRDefault="003B3B6A" w:rsidP="003B3B6A">
      <w:pPr>
        <w:rPr>
          <w:rFonts w:ascii="Arial" w:hAnsi="Arial" w:cs="Arial"/>
        </w:rPr>
      </w:pPr>
    </w:p>
    <w:p w14:paraId="4EACCF10" w14:textId="77777777" w:rsidR="003B3B6A" w:rsidRDefault="003B3B6A" w:rsidP="003B3B6A">
      <w:pPr>
        <w:pStyle w:val="Questionstyle"/>
        <w:numPr>
          <w:ilvl w:val="0"/>
          <w:numId w:val="6"/>
        </w:numPr>
        <w:rPr>
          <w:rFonts w:ascii="Arial" w:hAnsi="Arial" w:cs="Arial"/>
        </w:rPr>
      </w:pPr>
      <w:r>
        <w:t>: Do you generally agree with the proposed indicators (Indicators 6, 7, 8 and 9) to further assess the effect of a failure or disruption of the CCP? Please elaborate and if you disagree with any specific indicator, please suggest an alternative one to measure the relevant criterion.</w:t>
      </w:r>
    </w:p>
    <w:p w14:paraId="569083E2" w14:textId="77777777" w:rsidR="003B3B6A" w:rsidRDefault="003B3B6A" w:rsidP="003B3B6A">
      <w:pPr>
        <w:rPr>
          <w:rFonts w:ascii="Arial" w:hAnsi="Arial" w:cs="Arial"/>
        </w:rPr>
      </w:pPr>
      <w:r>
        <w:rPr>
          <w:rFonts w:ascii="Arial" w:hAnsi="Arial" w:cs="Arial"/>
        </w:rPr>
        <w:t>&lt;ESMA_QUESTION_TATC_3&gt;</w:t>
      </w:r>
    </w:p>
    <w:p w14:paraId="01206499" w14:textId="5CC6D26F" w:rsidR="003B3B6A" w:rsidRDefault="00061C79" w:rsidP="00942E94">
      <w:pPr>
        <w:jc w:val="both"/>
        <w:rPr>
          <w:rFonts w:ascii="Arial" w:hAnsi="Arial" w:cs="Arial"/>
        </w:rPr>
      </w:pPr>
      <w:r>
        <w:rPr>
          <w:rFonts w:ascii="Arial" w:hAnsi="Arial" w:cs="Arial"/>
        </w:rPr>
        <w:t xml:space="preserve">While we do not believe this was the intent of ESMA, </w:t>
      </w:r>
      <w:r w:rsidR="003B3B6A">
        <w:rPr>
          <w:rFonts w:ascii="Arial" w:hAnsi="Arial" w:cs="Arial"/>
        </w:rPr>
        <w:t>CCP12</w:t>
      </w:r>
      <w:r w:rsidR="003B3B6A" w:rsidRPr="005311A1">
        <w:rPr>
          <w:rFonts w:ascii="Arial" w:hAnsi="Arial" w:cs="Arial"/>
        </w:rPr>
        <w:t xml:space="preserve"> believes the broad nature of Indicators 6, 7, 8, and 9</w:t>
      </w:r>
      <w:r>
        <w:rPr>
          <w:rFonts w:ascii="Arial" w:hAnsi="Arial" w:cs="Arial"/>
        </w:rPr>
        <w:t>,</w:t>
      </w:r>
      <w:r w:rsidR="003B3B6A" w:rsidRPr="005311A1">
        <w:rPr>
          <w:rFonts w:ascii="Arial" w:hAnsi="Arial" w:cs="Arial"/>
        </w:rPr>
        <w:t xml:space="preserve"> and the underlying considerations</w:t>
      </w:r>
      <w:r>
        <w:rPr>
          <w:rFonts w:ascii="Arial" w:hAnsi="Arial" w:cs="Arial"/>
        </w:rPr>
        <w:t>,</w:t>
      </w:r>
      <w:r w:rsidR="003B3B6A" w:rsidRPr="005311A1">
        <w:rPr>
          <w:rFonts w:ascii="Arial" w:hAnsi="Arial" w:cs="Arial"/>
        </w:rPr>
        <w:t xml:space="preserve"> are inconsistent with the objective of EMIR 2.2 to determine that a </w:t>
      </w:r>
      <w:r w:rsidR="003B3B6A">
        <w:rPr>
          <w:rFonts w:ascii="Arial" w:hAnsi="Arial" w:cs="Arial"/>
        </w:rPr>
        <w:t>TC-</w:t>
      </w:r>
      <w:r w:rsidR="003B3B6A" w:rsidRPr="005311A1">
        <w:rPr>
          <w:rFonts w:ascii="Arial" w:hAnsi="Arial" w:cs="Arial"/>
        </w:rPr>
        <w:t xml:space="preserve">CCP is systemically important based on its relevance to the stability of the </w:t>
      </w:r>
      <w:r w:rsidR="003B3B6A">
        <w:rPr>
          <w:rFonts w:ascii="Arial" w:hAnsi="Arial" w:cs="Arial"/>
        </w:rPr>
        <w:t>EU or one of its Member States</w:t>
      </w:r>
      <w:r w:rsidR="003B3B6A" w:rsidRPr="005311A1">
        <w:rPr>
          <w:rFonts w:ascii="Arial" w:hAnsi="Arial" w:cs="Arial"/>
        </w:rPr>
        <w:t xml:space="preserve"> </w:t>
      </w:r>
      <w:r w:rsidR="00BC7A8E">
        <w:rPr>
          <w:rFonts w:ascii="Arial" w:hAnsi="Arial" w:cs="Arial"/>
        </w:rPr>
        <w:t>because,</w:t>
      </w:r>
      <w:r w:rsidR="00BC7A8E" w:rsidRPr="005311A1">
        <w:rPr>
          <w:rFonts w:ascii="Arial" w:hAnsi="Arial" w:cs="Arial"/>
        </w:rPr>
        <w:t xml:space="preserve"> </w:t>
      </w:r>
      <w:r w:rsidR="003B3B6A" w:rsidRPr="005311A1">
        <w:rPr>
          <w:rFonts w:ascii="Arial" w:hAnsi="Arial" w:cs="Arial"/>
        </w:rPr>
        <w:t xml:space="preserve">in many cases, they fail to establish a nexus to the EU. In particular, the </w:t>
      </w:r>
      <w:r w:rsidR="003B3B6A">
        <w:rPr>
          <w:rFonts w:ascii="Arial" w:hAnsi="Arial" w:cs="Arial"/>
        </w:rPr>
        <w:t xml:space="preserve">assessment of </w:t>
      </w:r>
      <w:r>
        <w:rPr>
          <w:rFonts w:ascii="Arial" w:hAnsi="Arial" w:cs="Arial"/>
        </w:rPr>
        <w:t xml:space="preserve">these indicators relative to </w:t>
      </w:r>
      <w:r w:rsidR="003B3B6A">
        <w:rPr>
          <w:rFonts w:ascii="Arial" w:hAnsi="Arial" w:cs="Arial"/>
        </w:rPr>
        <w:t xml:space="preserve">the </w:t>
      </w:r>
      <w:r w:rsidR="003B3B6A" w:rsidRPr="005311A1">
        <w:rPr>
          <w:rFonts w:ascii="Arial" w:hAnsi="Arial" w:cs="Arial"/>
        </w:rPr>
        <w:t xml:space="preserve">effect the failure of or a disruption to a </w:t>
      </w:r>
      <w:r w:rsidR="003B3B6A">
        <w:rPr>
          <w:rFonts w:ascii="Arial" w:hAnsi="Arial" w:cs="Arial"/>
        </w:rPr>
        <w:t>TC-</w:t>
      </w:r>
      <w:r w:rsidR="003B3B6A" w:rsidRPr="005311A1">
        <w:rPr>
          <w:rFonts w:ascii="Arial" w:hAnsi="Arial" w:cs="Arial"/>
        </w:rPr>
        <w:t xml:space="preserve">CCP </w:t>
      </w:r>
      <w:r>
        <w:rPr>
          <w:rFonts w:ascii="Arial" w:hAnsi="Arial" w:cs="Arial"/>
        </w:rPr>
        <w:t>could have</w:t>
      </w:r>
      <w:r w:rsidR="003B3B6A" w:rsidRPr="005311A1">
        <w:rPr>
          <w:rFonts w:ascii="Arial" w:hAnsi="Arial" w:cs="Arial"/>
        </w:rPr>
        <w:t xml:space="preserve"> should </w:t>
      </w:r>
      <w:r>
        <w:rPr>
          <w:rFonts w:ascii="Arial" w:hAnsi="Arial" w:cs="Arial"/>
        </w:rPr>
        <w:t xml:space="preserve">clearly </w:t>
      </w:r>
      <w:r w:rsidR="003B3B6A" w:rsidRPr="005311A1">
        <w:rPr>
          <w:rFonts w:ascii="Arial" w:hAnsi="Arial" w:cs="Arial"/>
        </w:rPr>
        <w:t xml:space="preserve">focus on its impact to the EU. </w:t>
      </w:r>
    </w:p>
    <w:p w14:paraId="52BFFFD9" w14:textId="77777777" w:rsidR="003B3B6A" w:rsidRDefault="003B3B6A" w:rsidP="00942E94">
      <w:pPr>
        <w:jc w:val="both"/>
        <w:rPr>
          <w:rFonts w:ascii="Arial" w:hAnsi="Arial" w:cs="Arial"/>
        </w:rPr>
      </w:pPr>
    </w:p>
    <w:p w14:paraId="2AC6FF80" w14:textId="2635D46C" w:rsidR="003B3B6A" w:rsidRDefault="003B3B6A">
      <w:pPr>
        <w:jc w:val="both"/>
        <w:rPr>
          <w:rFonts w:ascii="Arial" w:hAnsi="Arial" w:cs="Arial"/>
        </w:rPr>
      </w:pPr>
      <w:r>
        <w:rPr>
          <w:rFonts w:ascii="Arial" w:hAnsi="Arial" w:cs="Arial"/>
        </w:rPr>
        <w:t xml:space="preserve">With regards to Indicator 6, CCP12 believes the evaluation of a TC-CCP’s collateral held (e.g., margins and default fund contributions) should </w:t>
      </w:r>
      <w:r w:rsidR="004E2433">
        <w:rPr>
          <w:rFonts w:ascii="Arial" w:hAnsi="Arial" w:cs="Arial"/>
        </w:rPr>
        <w:t>also include</w:t>
      </w:r>
      <w:r>
        <w:rPr>
          <w:rFonts w:ascii="Arial" w:hAnsi="Arial" w:cs="Arial"/>
        </w:rPr>
        <w:t xml:space="preserve"> </w:t>
      </w:r>
      <w:r w:rsidR="00061C79">
        <w:rPr>
          <w:rFonts w:ascii="Arial" w:hAnsi="Arial" w:cs="Arial"/>
        </w:rPr>
        <w:t xml:space="preserve">an evaluation of </w:t>
      </w:r>
      <w:r>
        <w:rPr>
          <w:rFonts w:ascii="Arial" w:hAnsi="Arial" w:cs="Arial"/>
        </w:rPr>
        <w:t>the protections for which such collateral is subject</w:t>
      </w:r>
      <w:r w:rsidR="00061C79">
        <w:rPr>
          <w:rFonts w:ascii="Arial" w:hAnsi="Arial" w:cs="Arial"/>
        </w:rPr>
        <w:t>,</w:t>
      </w:r>
      <w:r>
        <w:rPr>
          <w:rFonts w:ascii="Arial" w:hAnsi="Arial" w:cs="Arial"/>
        </w:rPr>
        <w:t xml:space="preserve"> </w:t>
      </w:r>
      <w:r w:rsidR="004E2433">
        <w:rPr>
          <w:rFonts w:ascii="Arial" w:hAnsi="Arial" w:cs="Arial"/>
        </w:rPr>
        <w:t>in addition to</w:t>
      </w:r>
      <w:r>
        <w:rPr>
          <w:rFonts w:ascii="Arial" w:hAnsi="Arial" w:cs="Arial"/>
        </w:rPr>
        <w:t xml:space="preserve"> the amount of such collateral </w:t>
      </w:r>
      <w:r w:rsidR="00F00700">
        <w:rPr>
          <w:rFonts w:ascii="Arial" w:hAnsi="Arial" w:cs="Arial"/>
        </w:rPr>
        <w:t>denominated in EU currencies and</w:t>
      </w:r>
      <w:r w:rsidR="0086705F">
        <w:rPr>
          <w:rFonts w:ascii="Arial" w:hAnsi="Arial" w:cs="Arial"/>
        </w:rPr>
        <w:t>/or collateral related to EU entities</w:t>
      </w:r>
      <w:r>
        <w:rPr>
          <w:rFonts w:ascii="Arial" w:hAnsi="Arial" w:cs="Arial"/>
        </w:rPr>
        <w:t xml:space="preserve">. A TC-CCP collects collateral from its market participants to cover potential future exposures and therefore, such practice is a risk mitigating one, so the more appropriate focus is not on the collateral holdings, but </w:t>
      </w:r>
      <w:r w:rsidR="00353859">
        <w:rPr>
          <w:rFonts w:ascii="Arial" w:hAnsi="Arial" w:cs="Arial"/>
        </w:rPr>
        <w:t>on</w:t>
      </w:r>
      <w:r>
        <w:rPr>
          <w:rFonts w:ascii="Arial" w:hAnsi="Arial" w:cs="Arial"/>
        </w:rPr>
        <w:t xml:space="preserve"> the protections for which they are subject. In particular, in the event of a TC-CCP’s failure or disruption, the potential impact to </w:t>
      </w:r>
      <w:r>
        <w:rPr>
          <w:rFonts w:ascii="Arial" w:hAnsi="Arial" w:cs="Arial"/>
        </w:rPr>
        <w:lastRenderedPageBreak/>
        <w:t xml:space="preserve">stability would </w:t>
      </w:r>
      <w:r w:rsidR="004E2433">
        <w:rPr>
          <w:rFonts w:ascii="Arial" w:hAnsi="Arial" w:cs="Arial"/>
        </w:rPr>
        <w:t xml:space="preserve">also </w:t>
      </w:r>
      <w:r>
        <w:rPr>
          <w:rFonts w:ascii="Arial" w:hAnsi="Arial" w:cs="Arial"/>
        </w:rPr>
        <w:t>be driven by the level of protections the collateral it holds are subject</w:t>
      </w:r>
      <w:r w:rsidR="00353859">
        <w:rPr>
          <w:rFonts w:ascii="Arial" w:hAnsi="Arial" w:cs="Arial"/>
        </w:rPr>
        <w:t xml:space="preserve"> – e.g., collateral being bankruptcy remote</w:t>
      </w:r>
      <w:r>
        <w:rPr>
          <w:rFonts w:ascii="Arial" w:hAnsi="Arial" w:cs="Arial"/>
        </w:rPr>
        <w:t xml:space="preserve">. By way of background, we would like to note at this stage that it is not uncommon for some TC-CCPs to hold significant amounts of EU sovereign debt as initial margin, but </w:t>
      </w:r>
      <w:r w:rsidR="00BC7A8E">
        <w:rPr>
          <w:rFonts w:ascii="Arial" w:hAnsi="Arial" w:cs="Arial"/>
        </w:rPr>
        <w:t>when evaluating</w:t>
      </w:r>
      <w:r>
        <w:rPr>
          <w:rFonts w:ascii="Arial" w:hAnsi="Arial" w:cs="Arial"/>
        </w:rPr>
        <w:t xml:space="preserve"> a TC-CCP’s systemic importance to the stability of the EU relative to the impacts of its failure</w:t>
      </w:r>
      <w:r w:rsidR="00BC7A8E">
        <w:rPr>
          <w:rFonts w:ascii="Arial" w:hAnsi="Arial" w:cs="Arial"/>
        </w:rPr>
        <w:t>, it is also important to consider</w:t>
      </w:r>
      <w:r>
        <w:rPr>
          <w:rFonts w:ascii="Arial" w:hAnsi="Arial" w:cs="Arial"/>
        </w:rPr>
        <w:t xml:space="preserve"> the manner in which such collateral is protected. Therefore, CCP12 recommends that the </w:t>
      </w:r>
      <w:r w:rsidRPr="00874E88">
        <w:rPr>
          <w:rFonts w:ascii="Arial" w:hAnsi="Arial" w:cs="Arial"/>
        </w:rPr>
        <w:t>robustness of bankruptcy remoteness arrangements for collateral would be a</w:t>
      </w:r>
      <w:r w:rsidR="00D914B0">
        <w:rPr>
          <w:rFonts w:ascii="Arial" w:hAnsi="Arial" w:cs="Arial"/>
        </w:rPr>
        <w:t>n</w:t>
      </w:r>
      <w:r w:rsidRPr="00874E88">
        <w:rPr>
          <w:rFonts w:ascii="Arial" w:hAnsi="Arial" w:cs="Arial"/>
        </w:rPr>
        <w:t xml:space="preserve"> </w:t>
      </w:r>
      <w:r w:rsidR="00E4077D">
        <w:rPr>
          <w:rFonts w:ascii="Arial" w:hAnsi="Arial" w:cs="Arial"/>
        </w:rPr>
        <w:t>additional</w:t>
      </w:r>
      <w:r w:rsidRPr="00874E88">
        <w:rPr>
          <w:rFonts w:ascii="Arial" w:hAnsi="Arial" w:cs="Arial"/>
        </w:rPr>
        <w:t xml:space="preserve"> metric to assess </w:t>
      </w:r>
      <w:r>
        <w:rPr>
          <w:rFonts w:ascii="Arial" w:hAnsi="Arial" w:cs="Arial"/>
        </w:rPr>
        <w:t>a TC-CCP’s</w:t>
      </w:r>
      <w:r w:rsidRPr="00874E88">
        <w:rPr>
          <w:rFonts w:ascii="Arial" w:hAnsi="Arial" w:cs="Arial"/>
        </w:rPr>
        <w:t xml:space="preserve"> margins, default fund contributions</w:t>
      </w:r>
      <w:r w:rsidR="007C4CB0">
        <w:rPr>
          <w:rFonts w:ascii="Arial" w:hAnsi="Arial" w:cs="Arial"/>
        </w:rPr>
        <w:t>,</w:t>
      </w:r>
      <w:r w:rsidRPr="00874E88">
        <w:rPr>
          <w:rFonts w:ascii="Arial" w:hAnsi="Arial" w:cs="Arial"/>
        </w:rPr>
        <w:t xml:space="preserve"> and eligible collateral</w:t>
      </w:r>
      <w:r>
        <w:rPr>
          <w:rFonts w:ascii="Arial" w:hAnsi="Arial" w:cs="Arial"/>
        </w:rPr>
        <w:t xml:space="preserve"> under Indicator 6. </w:t>
      </w:r>
      <w:r w:rsidR="00F37B79">
        <w:rPr>
          <w:rFonts w:ascii="Arial" w:hAnsi="Arial" w:cs="Arial"/>
        </w:rPr>
        <w:t>CCP12 also believes that ESMA’s intent was for</w:t>
      </w:r>
      <w:r w:rsidR="00627411">
        <w:rPr>
          <w:rFonts w:ascii="Arial" w:hAnsi="Arial" w:cs="Arial"/>
        </w:rPr>
        <w:t xml:space="preserve"> Indicator 6 to focus on evaluating a TC-CCP’s margins, default fund contributions, and eligible collateral denominated in EU currencies</w:t>
      </w:r>
      <w:r w:rsidR="00B67DA0">
        <w:rPr>
          <w:rFonts w:ascii="Arial" w:hAnsi="Arial" w:cs="Arial"/>
        </w:rPr>
        <w:t xml:space="preserve"> (regardless of the</w:t>
      </w:r>
      <w:r w:rsidR="00D9469D">
        <w:rPr>
          <w:rFonts w:ascii="Arial" w:hAnsi="Arial" w:cs="Arial"/>
        </w:rPr>
        <w:t xml:space="preserve"> domicile of the</w:t>
      </w:r>
      <w:r w:rsidR="00B67DA0">
        <w:rPr>
          <w:rFonts w:ascii="Arial" w:hAnsi="Arial" w:cs="Arial"/>
        </w:rPr>
        <w:t xml:space="preserve"> entity)</w:t>
      </w:r>
      <w:r w:rsidR="00627411">
        <w:rPr>
          <w:rFonts w:ascii="Arial" w:hAnsi="Arial" w:cs="Arial"/>
        </w:rPr>
        <w:t xml:space="preserve"> and/or for </w:t>
      </w:r>
      <w:r w:rsidR="00B67DA0">
        <w:rPr>
          <w:rFonts w:ascii="Arial" w:hAnsi="Arial" w:cs="Arial"/>
        </w:rPr>
        <w:t>EU entities (regardless of the currency denomination</w:t>
      </w:r>
      <w:r w:rsidR="00D9469D">
        <w:rPr>
          <w:rFonts w:ascii="Arial" w:hAnsi="Arial" w:cs="Arial"/>
        </w:rPr>
        <w:t xml:space="preserve"> of the collateral</w:t>
      </w:r>
      <w:r w:rsidR="00B67DA0">
        <w:rPr>
          <w:rFonts w:ascii="Arial" w:hAnsi="Arial" w:cs="Arial"/>
        </w:rPr>
        <w:t>)</w:t>
      </w:r>
      <w:r w:rsidR="0038794F">
        <w:rPr>
          <w:rFonts w:ascii="Arial" w:hAnsi="Arial" w:cs="Arial"/>
        </w:rPr>
        <w:t>, since this collateral could</w:t>
      </w:r>
      <w:r w:rsidR="00D9469D">
        <w:rPr>
          <w:rFonts w:ascii="Arial" w:hAnsi="Arial" w:cs="Arial"/>
        </w:rPr>
        <w:t xml:space="preserve"> potentially</w:t>
      </w:r>
      <w:r w:rsidR="0038794F">
        <w:rPr>
          <w:rFonts w:ascii="Arial" w:hAnsi="Arial" w:cs="Arial"/>
        </w:rPr>
        <w:t xml:space="preserve"> impact the stability of the EU or one of its Member States in the event the CCP fails. Unfortunately, CCP12 does </w:t>
      </w:r>
      <w:r w:rsidR="00D9469D">
        <w:rPr>
          <w:rFonts w:ascii="Arial" w:hAnsi="Arial" w:cs="Arial"/>
        </w:rPr>
        <w:t xml:space="preserve">not </w:t>
      </w:r>
      <w:r w:rsidR="0038794F">
        <w:rPr>
          <w:rFonts w:ascii="Arial" w:hAnsi="Arial" w:cs="Arial"/>
        </w:rPr>
        <w:t xml:space="preserve">believe this focus is clear, so it respectfully </w:t>
      </w:r>
      <w:r w:rsidR="00A2708C">
        <w:rPr>
          <w:rFonts w:ascii="Arial" w:hAnsi="Arial" w:cs="Arial"/>
        </w:rPr>
        <w:t>requests</w:t>
      </w:r>
      <w:r w:rsidR="0038794F">
        <w:rPr>
          <w:rFonts w:ascii="Arial" w:hAnsi="Arial" w:cs="Arial"/>
        </w:rPr>
        <w:t xml:space="preserve"> that Indicator 6 be revised to</w:t>
      </w:r>
      <w:r w:rsidR="00F12D78">
        <w:rPr>
          <w:rFonts w:ascii="Arial" w:hAnsi="Arial" w:cs="Arial"/>
        </w:rPr>
        <w:t xml:space="preserve"> clearly</w:t>
      </w:r>
      <w:r w:rsidR="0038794F">
        <w:rPr>
          <w:rFonts w:ascii="Arial" w:hAnsi="Arial" w:cs="Arial"/>
        </w:rPr>
        <w:t xml:space="preserve"> reflect </w:t>
      </w:r>
      <w:r w:rsidR="008265AE">
        <w:rPr>
          <w:rFonts w:ascii="Arial" w:hAnsi="Arial" w:cs="Arial"/>
        </w:rPr>
        <w:t>this</w:t>
      </w:r>
      <w:r w:rsidR="0038794F">
        <w:rPr>
          <w:rFonts w:ascii="Arial" w:hAnsi="Arial" w:cs="Arial"/>
        </w:rPr>
        <w:t xml:space="preserve"> focus</w:t>
      </w:r>
      <w:r w:rsidR="008265AE">
        <w:rPr>
          <w:rFonts w:ascii="Arial" w:hAnsi="Arial" w:cs="Arial"/>
        </w:rPr>
        <w:t xml:space="preserve"> alone</w:t>
      </w:r>
      <w:r w:rsidR="0038794F">
        <w:rPr>
          <w:rFonts w:ascii="Arial" w:hAnsi="Arial" w:cs="Arial"/>
        </w:rPr>
        <w:t xml:space="preserve">. </w:t>
      </w:r>
      <w:r>
        <w:rPr>
          <w:rFonts w:ascii="Arial" w:hAnsi="Arial" w:cs="Arial"/>
        </w:rPr>
        <w:t>CCP12 believes</w:t>
      </w:r>
      <w:r w:rsidR="00E332D7">
        <w:rPr>
          <w:rFonts w:ascii="Arial" w:hAnsi="Arial" w:cs="Arial"/>
        </w:rPr>
        <w:t xml:space="preserve"> </w:t>
      </w:r>
      <w:r w:rsidR="00353859">
        <w:rPr>
          <w:rFonts w:ascii="Arial" w:hAnsi="Arial" w:cs="Arial"/>
        </w:rPr>
        <w:t>its proposed recommendations for Indicator 6</w:t>
      </w:r>
      <w:bookmarkStart w:id="5" w:name="_GoBack"/>
      <w:bookmarkEnd w:id="5"/>
      <w:r>
        <w:rPr>
          <w:rFonts w:ascii="Arial" w:hAnsi="Arial" w:cs="Arial"/>
        </w:rPr>
        <w:t xml:space="preserve">, in conjunction with CCP12’s recommendations for Indicators 2 and 3 would provide a fulsome basis for assessing a TC-CCP’s systemic importance to the stability of the EU. </w:t>
      </w:r>
      <w:r w:rsidR="00353859">
        <w:rPr>
          <w:rFonts w:ascii="Arial" w:hAnsi="Arial" w:cs="Arial"/>
        </w:rPr>
        <w:t xml:space="preserve">Subject to CCP12’s recommendations, </w:t>
      </w:r>
      <w:r>
        <w:rPr>
          <w:rFonts w:ascii="Arial" w:hAnsi="Arial" w:cs="Arial"/>
        </w:rPr>
        <w:t xml:space="preserve">Indicator 6 </w:t>
      </w:r>
      <w:r w:rsidR="00353859">
        <w:rPr>
          <w:rFonts w:ascii="Arial" w:hAnsi="Arial" w:cs="Arial"/>
        </w:rPr>
        <w:t xml:space="preserve">would </w:t>
      </w:r>
      <w:r>
        <w:rPr>
          <w:rFonts w:ascii="Arial" w:hAnsi="Arial" w:cs="Arial"/>
        </w:rPr>
        <w:t xml:space="preserve">capture the protections of the collateral collected for margins </w:t>
      </w:r>
      <w:r w:rsidR="0068151A">
        <w:rPr>
          <w:rFonts w:ascii="Arial" w:hAnsi="Arial" w:cs="Arial"/>
        </w:rPr>
        <w:t>that</w:t>
      </w:r>
      <w:r>
        <w:rPr>
          <w:rFonts w:ascii="Arial" w:hAnsi="Arial" w:cs="Arial"/>
        </w:rPr>
        <w:t xml:space="preserve"> would be reported under CCP12’s recommendations for Indicators 2 and 3.</w:t>
      </w:r>
    </w:p>
    <w:p w14:paraId="2F44A45F" w14:textId="77777777" w:rsidR="003B3B6A" w:rsidRDefault="003B3B6A">
      <w:pPr>
        <w:jc w:val="both"/>
        <w:rPr>
          <w:rFonts w:ascii="Arial" w:hAnsi="Arial" w:cs="Arial"/>
        </w:rPr>
      </w:pPr>
    </w:p>
    <w:p w14:paraId="7762A64D" w14:textId="413C2422" w:rsidR="003B3B6A" w:rsidRDefault="003B3B6A">
      <w:pPr>
        <w:jc w:val="both"/>
        <w:rPr>
          <w:rFonts w:ascii="Arial" w:hAnsi="Arial" w:cs="Arial"/>
        </w:rPr>
      </w:pPr>
      <w:r>
        <w:rPr>
          <w:rFonts w:ascii="Arial" w:hAnsi="Arial" w:cs="Arial"/>
        </w:rPr>
        <w:t xml:space="preserve">In line with CCP12’s overarching comment on the determination of systemic importance being based on the TC-CCP’s relevance to the stability of the EU, with regards to Indicator 7, </w:t>
      </w:r>
      <w:r w:rsidRPr="00AB684D">
        <w:rPr>
          <w:rFonts w:ascii="Arial" w:hAnsi="Arial" w:cs="Arial"/>
        </w:rPr>
        <w:t xml:space="preserve">in </w:t>
      </w:r>
      <w:r>
        <w:rPr>
          <w:rFonts w:ascii="Arial" w:hAnsi="Arial" w:cs="Arial"/>
        </w:rPr>
        <w:t>asse</w:t>
      </w:r>
      <w:r w:rsidR="002D2407">
        <w:rPr>
          <w:rFonts w:ascii="Arial" w:hAnsi="Arial" w:cs="Arial"/>
        </w:rPr>
        <w:t>s</w:t>
      </w:r>
      <w:r>
        <w:rPr>
          <w:rFonts w:ascii="Arial" w:hAnsi="Arial" w:cs="Arial"/>
        </w:rPr>
        <w:t>sing</w:t>
      </w:r>
      <w:r w:rsidRPr="00AB684D">
        <w:rPr>
          <w:rFonts w:ascii="Arial" w:hAnsi="Arial" w:cs="Arial"/>
        </w:rPr>
        <w:t xml:space="preserve"> the effects of its failure or disruption</w:t>
      </w:r>
      <w:r w:rsidR="0068151A">
        <w:rPr>
          <w:rFonts w:ascii="Arial" w:hAnsi="Arial" w:cs="Arial"/>
        </w:rPr>
        <w:t>,</w:t>
      </w:r>
      <w:r w:rsidRPr="00AB684D">
        <w:rPr>
          <w:rFonts w:ascii="Arial" w:hAnsi="Arial" w:cs="Arial"/>
        </w:rPr>
        <w:t xml:space="preserve"> a clear nexus to the E.U. should exist</w:t>
      </w:r>
      <w:r>
        <w:rPr>
          <w:rFonts w:ascii="Arial" w:hAnsi="Arial" w:cs="Arial"/>
        </w:rPr>
        <w:t>. T</w:t>
      </w:r>
      <w:r w:rsidRPr="00AB684D">
        <w:rPr>
          <w:rFonts w:ascii="Arial" w:hAnsi="Arial" w:cs="Arial"/>
        </w:rPr>
        <w:t xml:space="preserve">herefore, the </w:t>
      </w:r>
      <w:r>
        <w:rPr>
          <w:rFonts w:ascii="Arial" w:hAnsi="Arial" w:cs="Arial"/>
        </w:rPr>
        <w:t>assessment</w:t>
      </w:r>
      <w:r w:rsidRPr="00AB684D">
        <w:rPr>
          <w:rFonts w:ascii="Arial" w:hAnsi="Arial" w:cs="Arial"/>
        </w:rPr>
        <w:t xml:space="preserve"> </w:t>
      </w:r>
      <w:r>
        <w:rPr>
          <w:rFonts w:ascii="Arial" w:hAnsi="Arial" w:cs="Arial"/>
        </w:rPr>
        <w:t xml:space="preserve">of the TC-CCP </w:t>
      </w:r>
      <w:r w:rsidRPr="00AB684D">
        <w:rPr>
          <w:rFonts w:ascii="Arial" w:hAnsi="Arial" w:cs="Arial"/>
        </w:rPr>
        <w:t xml:space="preserve">should </w:t>
      </w:r>
      <w:r>
        <w:rPr>
          <w:rFonts w:ascii="Arial" w:hAnsi="Arial" w:cs="Arial"/>
        </w:rPr>
        <w:t xml:space="preserve">primarily </w:t>
      </w:r>
      <w:r w:rsidRPr="00AB684D">
        <w:rPr>
          <w:rFonts w:ascii="Arial" w:hAnsi="Arial" w:cs="Arial"/>
        </w:rPr>
        <w:t xml:space="preserve">focus on </w:t>
      </w:r>
      <w:r>
        <w:rPr>
          <w:rFonts w:ascii="Arial" w:hAnsi="Arial" w:cs="Arial"/>
        </w:rPr>
        <w:t xml:space="preserve">its </w:t>
      </w:r>
      <w:r w:rsidRPr="00AB684D">
        <w:rPr>
          <w:rFonts w:ascii="Arial" w:hAnsi="Arial" w:cs="Arial"/>
        </w:rPr>
        <w:t xml:space="preserve">payment obligations </w:t>
      </w:r>
      <w:r w:rsidR="004E2433">
        <w:rPr>
          <w:rFonts w:ascii="Arial" w:hAnsi="Arial" w:cs="Arial"/>
        </w:rPr>
        <w:t xml:space="preserve">to EU entities </w:t>
      </w:r>
      <w:r w:rsidR="00F2457F">
        <w:rPr>
          <w:rFonts w:ascii="Arial" w:hAnsi="Arial" w:cs="Arial"/>
        </w:rPr>
        <w:t>in EU</w:t>
      </w:r>
      <w:r w:rsidR="004E2433">
        <w:rPr>
          <w:rFonts w:ascii="Arial" w:hAnsi="Arial" w:cs="Arial"/>
        </w:rPr>
        <w:t xml:space="preserve"> </w:t>
      </w:r>
      <w:r w:rsidRPr="00AB684D">
        <w:rPr>
          <w:rFonts w:ascii="Arial" w:hAnsi="Arial" w:cs="Arial"/>
        </w:rPr>
        <w:t xml:space="preserve">currencies and the related committed and uncommitted liquidity resources to address such payment obligations. Focusing on such payment obligations and resources captures the direct primary impacts a </w:t>
      </w:r>
      <w:r>
        <w:rPr>
          <w:rFonts w:ascii="Arial" w:hAnsi="Arial" w:cs="Arial"/>
        </w:rPr>
        <w:t>TC-</w:t>
      </w:r>
      <w:r w:rsidRPr="00AB684D">
        <w:rPr>
          <w:rFonts w:ascii="Arial" w:hAnsi="Arial" w:cs="Arial"/>
        </w:rPr>
        <w:t xml:space="preserve">CCP’s failure could have on the stability of the </w:t>
      </w:r>
      <w:r>
        <w:rPr>
          <w:rFonts w:ascii="Arial" w:hAnsi="Arial" w:cs="Arial"/>
        </w:rPr>
        <w:t>EU</w:t>
      </w:r>
      <w:r w:rsidRPr="00AB684D">
        <w:rPr>
          <w:rFonts w:ascii="Arial" w:hAnsi="Arial" w:cs="Arial"/>
        </w:rPr>
        <w:t xml:space="preserve"> or one of its Member States.</w:t>
      </w:r>
      <w:r>
        <w:rPr>
          <w:rFonts w:ascii="Arial" w:hAnsi="Arial" w:cs="Arial"/>
        </w:rPr>
        <w:t xml:space="preserve"> </w:t>
      </w:r>
      <w:r w:rsidR="00A42352">
        <w:rPr>
          <w:rFonts w:ascii="Arial" w:hAnsi="Arial" w:cs="Arial"/>
        </w:rPr>
        <w:t>Specifically</w:t>
      </w:r>
      <w:r>
        <w:rPr>
          <w:rFonts w:ascii="Arial" w:hAnsi="Arial" w:cs="Arial"/>
        </w:rPr>
        <w:t xml:space="preserve">, in the unlikely event of a TC-CCP’s failure or disruption, assessing payment obligations in EU currencies would capture the potential liquidity needs that would arise in such event for financial instruments denominated in EU currencies. This coupled with Indicator 7’s </w:t>
      </w:r>
      <w:r w:rsidR="0068151A">
        <w:rPr>
          <w:rFonts w:ascii="Arial" w:hAnsi="Arial" w:cs="Arial"/>
        </w:rPr>
        <w:t>current proposed</w:t>
      </w:r>
      <w:r>
        <w:rPr>
          <w:rFonts w:ascii="Arial" w:hAnsi="Arial" w:cs="Arial"/>
        </w:rPr>
        <w:t xml:space="preserve"> focus on liquidity providers domiciled in the EU, regardless of the currency in which they are providing liquidity, captures the primary effects the TC-CCP’s failure could </w:t>
      </w:r>
      <w:r w:rsidR="0068151A">
        <w:rPr>
          <w:rFonts w:ascii="Arial" w:hAnsi="Arial" w:cs="Arial"/>
        </w:rPr>
        <w:t>potentially</w:t>
      </w:r>
      <w:r>
        <w:rPr>
          <w:rFonts w:ascii="Arial" w:hAnsi="Arial" w:cs="Arial"/>
        </w:rPr>
        <w:t xml:space="preserve"> have on the stability of the EU or one of its Member States</w:t>
      </w:r>
      <w:r w:rsidRPr="00AB684D">
        <w:rPr>
          <w:rFonts w:ascii="Arial" w:hAnsi="Arial" w:cs="Arial"/>
        </w:rPr>
        <w:t>.</w:t>
      </w:r>
      <w:r>
        <w:rPr>
          <w:rFonts w:ascii="Arial" w:hAnsi="Arial" w:cs="Arial"/>
        </w:rPr>
        <w:t xml:space="preserve"> </w:t>
      </w:r>
    </w:p>
    <w:p w14:paraId="1E92D75A" w14:textId="77777777" w:rsidR="003B3B6A" w:rsidRDefault="003B3B6A">
      <w:pPr>
        <w:jc w:val="both"/>
        <w:rPr>
          <w:rFonts w:ascii="Arial" w:hAnsi="Arial" w:cs="Arial"/>
        </w:rPr>
      </w:pPr>
    </w:p>
    <w:p w14:paraId="025C6972" w14:textId="7DA82449" w:rsidR="003B3B6A" w:rsidRDefault="003B3B6A">
      <w:pPr>
        <w:jc w:val="both"/>
        <w:rPr>
          <w:rFonts w:ascii="Arial" w:hAnsi="Arial" w:cs="Arial"/>
        </w:rPr>
      </w:pPr>
      <w:r>
        <w:rPr>
          <w:rFonts w:ascii="Arial" w:hAnsi="Arial" w:cs="Arial"/>
        </w:rPr>
        <w:t xml:space="preserve">In line with CCP12’s comments regarding Indicator 5, with regards to Indicator 8 CCP12 believes that </w:t>
      </w:r>
      <w:r w:rsidRPr="00874E88">
        <w:rPr>
          <w:rFonts w:ascii="Arial" w:hAnsi="Arial" w:cs="Arial"/>
        </w:rPr>
        <w:t>ESMA’s assess</w:t>
      </w:r>
      <w:r>
        <w:rPr>
          <w:rFonts w:ascii="Arial" w:hAnsi="Arial" w:cs="Arial"/>
        </w:rPr>
        <w:t>ment of</w:t>
      </w:r>
      <w:r w:rsidRPr="00874E88">
        <w:rPr>
          <w:rFonts w:ascii="Arial" w:hAnsi="Arial" w:cs="Arial"/>
        </w:rPr>
        <w:t xml:space="preserve"> settlement and payments, including the use of central bank money for settlement </w:t>
      </w:r>
      <w:r>
        <w:rPr>
          <w:rFonts w:ascii="Arial" w:hAnsi="Arial" w:cs="Arial"/>
        </w:rPr>
        <w:t>should be based on a confirmation of its adherence to the PFMIs as adopted and applied by its local primary regulator. To the extent this approach is not taken,</w:t>
      </w:r>
      <w:r w:rsidR="00BD4E7E">
        <w:rPr>
          <w:rFonts w:ascii="Arial" w:hAnsi="Arial" w:cs="Arial"/>
        </w:rPr>
        <w:t xml:space="preserve"> </w:t>
      </w:r>
      <w:r w:rsidR="00BD4E7E" w:rsidRPr="00BD4E7E">
        <w:rPr>
          <w:rFonts w:ascii="Arial" w:hAnsi="Arial" w:cs="Arial"/>
        </w:rPr>
        <w:t xml:space="preserve">the settlement and liquidity characteristics of the products cleared should be </w:t>
      </w:r>
      <w:proofErr w:type="gramStart"/>
      <w:r w:rsidR="00BD4E7E" w:rsidRPr="00BD4E7E">
        <w:rPr>
          <w:rFonts w:ascii="Arial" w:hAnsi="Arial" w:cs="Arial"/>
        </w:rPr>
        <w:t>taken into account</w:t>
      </w:r>
      <w:proofErr w:type="gramEnd"/>
      <w:r w:rsidR="00BD4E7E" w:rsidRPr="00BD4E7E">
        <w:rPr>
          <w:rFonts w:ascii="Arial" w:hAnsi="Arial" w:cs="Arial"/>
        </w:rPr>
        <w:t xml:space="preserve"> when assessing </w:t>
      </w:r>
      <w:r w:rsidR="00022FAD" w:rsidRPr="00BD4E7E">
        <w:rPr>
          <w:rFonts w:ascii="Arial" w:hAnsi="Arial" w:cs="Arial"/>
        </w:rPr>
        <w:t>these criteria</w:t>
      </w:r>
      <w:r w:rsidR="00BD4E7E" w:rsidRPr="00BD4E7E">
        <w:rPr>
          <w:rFonts w:ascii="Arial" w:hAnsi="Arial" w:cs="Arial"/>
        </w:rPr>
        <w:t>.</w:t>
      </w:r>
      <w:r w:rsidR="00022FAD">
        <w:rPr>
          <w:rFonts w:ascii="Arial" w:hAnsi="Arial" w:cs="Arial"/>
        </w:rPr>
        <w:t xml:space="preserve"> </w:t>
      </w:r>
      <w:r>
        <w:rPr>
          <w:rFonts w:ascii="Arial" w:hAnsi="Arial" w:cs="Arial"/>
        </w:rPr>
        <w:t xml:space="preserve">Also, the trigger for evaluation of a TC-CCP’s settlement and payments should be based on </w:t>
      </w:r>
      <w:r w:rsidR="00F2457F">
        <w:rPr>
          <w:rFonts w:ascii="Arial" w:hAnsi="Arial" w:cs="Arial"/>
        </w:rPr>
        <w:t xml:space="preserve">the involvement of EU </w:t>
      </w:r>
      <w:r w:rsidR="0068151A">
        <w:rPr>
          <w:rFonts w:ascii="Arial" w:hAnsi="Arial" w:cs="Arial"/>
        </w:rPr>
        <w:t>currencies</w:t>
      </w:r>
      <w:r>
        <w:rPr>
          <w:rFonts w:ascii="Arial" w:hAnsi="Arial" w:cs="Arial"/>
        </w:rPr>
        <w:t xml:space="preserve"> for EU market participants, as that is the point at which the TC-CCP’s settlement and payments practice may be relevant</w:t>
      </w:r>
      <w:r w:rsidR="0068151A">
        <w:rPr>
          <w:rFonts w:ascii="Arial" w:hAnsi="Arial" w:cs="Arial"/>
        </w:rPr>
        <w:t xml:space="preserve"> to the stability of the EU in the unlikely event of a TC-CCPs failure</w:t>
      </w:r>
      <w:r w:rsidR="00726F33">
        <w:rPr>
          <w:rFonts w:ascii="Arial" w:hAnsi="Arial" w:cs="Arial"/>
        </w:rPr>
        <w:t xml:space="preserve">; however, its notable that the involvement </w:t>
      </w:r>
      <w:r w:rsidR="00726F33">
        <w:rPr>
          <w:rFonts w:ascii="Arial" w:hAnsi="Arial" w:cs="Arial"/>
        </w:rPr>
        <w:lastRenderedPageBreak/>
        <w:t>of EU currencies must reach a level of significance to lead to a determination that a TC-CCP is systemically important</w:t>
      </w:r>
      <w:r>
        <w:rPr>
          <w:rFonts w:ascii="Arial" w:hAnsi="Arial" w:cs="Arial"/>
        </w:rPr>
        <w:t>.</w:t>
      </w:r>
    </w:p>
    <w:p w14:paraId="2E45F469" w14:textId="77777777" w:rsidR="003B3B6A" w:rsidRDefault="003B3B6A">
      <w:pPr>
        <w:jc w:val="both"/>
        <w:rPr>
          <w:rFonts w:ascii="Arial" w:hAnsi="Arial" w:cs="Arial"/>
        </w:rPr>
      </w:pPr>
    </w:p>
    <w:p w14:paraId="4CBE2A40" w14:textId="530B364C" w:rsidR="003B3B6A" w:rsidRDefault="003B3B6A">
      <w:pPr>
        <w:jc w:val="both"/>
        <w:rPr>
          <w:rFonts w:ascii="Arial" w:hAnsi="Arial" w:cs="Arial"/>
        </w:rPr>
      </w:pPr>
      <w:r w:rsidRPr="00166E2F">
        <w:rPr>
          <w:rFonts w:ascii="Arial" w:hAnsi="Arial" w:cs="Arial"/>
        </w:rPr>
        <w:t xml:space="preserve">In line with </w:t>
      </w:r>
      <w:r>
        <w:rPr>
          <w:rFonts w:ascii="Arial" w:hAnsi="Arial" w:cs="Arial"/>
        </w:rPr>
        <w:t>CCP12’s</w:t>
      </w:r>
      <w:r w:rsidRPr="00166E2F">
        <w:rPr>
          <w:rFonts w:ascii="Arial" w:hAnsi="Arial" w:cs="Arial"/>
        </w:rPr>
        <w:t xml:space="preserve"> comments with respect to Indicators 5 and 8, regarding Indicator 9 </w:t>
      </w:r>
      <w:r>
        <w:rPr>
          <w:rFonts w:ascii="Arial" w:hAnsi="Arial" w:cs="Arial"/>
        </w:rPr>
        <w:t xml:space="preserve">we believe this indicator only becomes relevant to assessing the TC-CCP’s </w:t>
      </w:r>
      <w:r w:rsidR="0068151A">
        <w:rPr>
          <w:rFonts w:ascii="Arial" w:hAnsi="Arial" w:cs="Arial"/>
        </w:rPr>
        <w:t xml:space="preserve">relevance to the </w:t>
      </w:r>
      <w:r>
        <w:rPr>
          <w:rFonts w:ascii="Arial" w:hAnsi="Arial" w:cs="Arial"/>
        </w:rPr>
        <w:t xml:space="preserve">stability of the EU to the extent it has exposures to EU market participants and thus, such exposures should be the trigger for the assessment of this indicator. </w:t>
      </w:r>
      <w:r w:rsidR="00544259">
        <w:rPr>
          <w:rFonts w:ascii="Arial" w:hAnsi="Arial" w:cs="Arial"/>
        </w:rPr>
        <w:t>In addition</w:t>
      </w:r>
      <w:r w:rsidR="006B061B">
        <w:rPr>
          <w:rFonts w:ascii="Arial" w:hAnsi="Arial" w:cs="Arial"/>
        </w:rPr>
        <w:t>,</w:t>
      </w:r>
      <w:r w:rsidR="00544259">
        <w:rPr>
          <w:rFonts w:ascii="Arial" w:hAnsi="Arial" w:cs="Arial"/>
        </w:rPr>
        <w:t xml:space="preserve"> as per </w:t>
      </w:r>
      <w:r w:rsidR="0068151A">
        <w:rPr>
          <w:rFonts w:ascii="Arial" w:hAnsi="Arial" w:cs="Arial"/>
        </w:rPr>
        <w:t>I</w:t>
      </w:r>
      <w:r w:rsidR="00544259">
        <w:rPr>
          <w:rFonts w:ascii="Arial" w:hAnsi="Arial" w:cs="Arial"/>
        </w:rPr>
        <w:t>ndicator 8</w:t>
      </w:r>
      <w:r w:rsidR="0068151A">
        <w:rPr>
          <w:rFonts w:ascii="Arial" w:hAnsi="Arial" w:cs="Arial"/>
        </w:rPr>
        <w:t>,</w:t>
      </w:r>
      <w:r w:rsidR="00544259">
        <w:rPr>
          <w:rFonts w:ascii="Arial" w:hAnsi="Arial" w:cs="Arial"/>
        </w:rPr>
        <w:t xml:space="preserve"> </w:t>
      </w:r>
      <w:r w:rsidR="006B3BF3">
        <w:rPr>
          <w:rFonts w:ascii="Arial" w:eastAsiaTheme="minorEastAsia" w:hAnsi="Arial" w:cs="Arial" w:hint="eastAsia"/>
          <w:lang w:eastAsia="ja-JP"/>
        </w:rPr>
        <w:t xml:space="preserve">their </w:t>
      </w:r>
      <w:r w:rsidR="008E6FBE">
        <w:rPr>
          <w:rFonts w:ascii="Arial" w:eastAsiaTheme="minorEastAsia" w:hAnsi="Arial" w:cs="Arial" w:hint="eastAsia"/>
          <w:lang w:eastAsia="ja-JP"/>
        </w:rPr>
        <w:t>exposures</w:t>
      </w:r>
      <w:r w:rsidR="00D914B0">
        <w:rPr>
          <w:rFonts w:ascii="Arial" w:eastAsiaTheme="minorEastAsia" w:hAnsi="Arial" w:cs="Arial"/>
          <w:lang w:eastAsia="ja-JP"/>
        </w:rPr>
        <w:t xml:space="preserve"> </w:t>
      </w:r>
      <w:r w:rsidR="00544259">
        <w:rPr>
          <w:rFonts w:ascii="Arial" w:hAnsi="Arial" w:cs="Arial"/>
        </w:rPr>
        <w:t xml:space="preserve">in EU </w:t>
      </w:r>
      <w:r w:rsidR="0068151A">
        <w:rPr>
          <w:rFonts w:ascii="Arial" w:hAnsi="Arial" w:cs="Arial"/>
        </w:rPr>
        <w:t>currencies</w:t>
      </w:r>
      <w:r w:rsidR="00544259">
        <w:rPr>
          <w:rFonts w:ascii="Arial" w:hAnsi="Arial" w:cs="Arial"/>
        </w:rPr>
        <w:t xml:space="preserve"> will be </w:t>
      </w:r>
      <w:r w:rsidR="004D31AD">
        <w:rPr>
          <w:rFonts w:ascii="Arial" w:hAnsi="Arial" w:cs="Arial"/>
        </w:rPr>
        <w:t xml:space="preserve">a </w:t>
      </w:r>
      <w:r w:rsidR="00544259">
        <w:rPr>
          <w:rFonts w:ascii="Arial" w:hAnsi="Arial" w:cs="Arial"/>
        </w:rPr>
        <w:t xml:space="preserve">key component to this </w:t>
      </w:r>
      <w:r w:rsidR="0068151A">
        <w:rPr>
          <w:rFonts w:ascii="Arial" w:hAnsi="Arial" w:cs="Arial"/>
        </w:rPr>
        <w:t>indicator</w:t>
      </w:r>
      <w:r w:rsidR="00544259">
        <w:rPr>
          <w:rFonts w:ascii="Arial" w:hAnsi="Arial" w:cs="Arial"/>
        </w:rPr>
        <w:t xml:space="preserve">. </w:t>
      </w:r>
      <w:r w:rsidR="0068151A">
        <w:rPr>
          <w:rFonts w:ascii="Arial" w:hAnsi="Arial" w:cs="Arial"/>
        </w:rPr>
        <w:t xml:space="preserve">Given the focus of this indicator is ultimately on the effects of a TC-CCPs failure or disruption on the stability of the EU, </w:t>
      </w:r>
      <w:r w:rsidR="00726F33">
        <w:rPr>
          <w:rFonts w:ascii="Arial" w:hAnsi="Arial" w:cs="Arial"/>
        </w:rPr>
        <w:t>it’s</w:t>
      </w:r>
      <w:r w:rsidR="0068151A">
        <w:rPr>
          <w:rFonts w:ascii="Arial" w:hAnsi="Arial" w:cs="Arial"/>
        </w:rPr>
        <w:t xml:space="preserve"> appropriate for the primary trigger for evaluation being </w:t>
      </w:r>
      <w:r w:rsidR="00726F33">
        <w:rPr>
          <w:rFonts w:ascii="Arial" w:hAnsi="Arial" w:cs="Arial"/>
        </w:rPr>
        <w:t>the TC-CCP’s exposures to EU market participants, since they could be directly subject to the effects of the TC-CCPs failure; however, its notable that these exposure must reach a level of significance to lead to a determination that a TC-CCP is systemically important</w:t>
      </w:r>
      <w:r w:rsidR="0068151A">
        <w:rPr>
          <w:rFonts w:ascii="Arial" w:hAnsi="Arial" w:cs="Arial"/>
        </w:rPr>
        <w:t xml:space="preserve">. </w:t>
      </w:r>
      <w:r w:rsidR="00726F33">
        <w:rPr>
          <w:rFonts w:ascii="Arial" w:hAnsi="Arial" w:cs="Arial"/>
        </w:rPr>
        <w:t>Where these exposures exist for a TC-CCP, i</w:t>
      </w:r>
      <w:r w:rsidRPr="00166E2F">
        <w:rPr>
          <w:rFonts w:ascii="Arial" w:hAnsi="Arial" w:cs="Arial"/>
        </w:rPr>
        <w:t xml:space="preserve">n determining whether </w:t>
      </w:r>
      <w:r w:rsidR="00726F33">
        <w:rPr>
          <w:rFonts w:ascii="Arial" w:hAnsi="Arial" w:cs="Arial"/>
        </w:rPr>
        <w:t>it</w:t>
      </w:r>
      <w:r w:rsidRPr="00166E2F">
        <w:rPr>
          <w:rFonts w:ascii="Arial" w:hAnsi="Arial" w:cs="Arial"/>
        </w:rPr>
        <w:t xml:space="preserve"> is systemically important </w:t>
      </w:r>
      <w:r>
        <w:rPr>
          <w:rFonts w:ascii="Arial" w:hAnsi="Arial" w:cs="Arial"/>
        </w:rPr>
        <w:t xml:space="preserve">to the stability of </w:t>
      </w:r>
      <w:r w:rsidRPr="00166E2F">
        <w:rPr>
          <w:rFonts w:ascii="Arial" w:hAnsi="Arial" w:cs="Arial"/>
        </w:rPr>
        <w:t>EU relative to the effects of its failure or disruption as it relates to its recover</w:t>
      </w:r>
      <w:r>
        <w:rPr>
          <w:rFonts w:ascii="Arial" w:hAnsi="Arial" w:cs="Arial"/>
        </w:rPr>
        <w:t>y</w:t>
      </w:r>
      <w:r w:rsidRPr="00166E2F">
        <w:rPr>
          <w:rFonts w:ascii="Arial" w:hAnsi="Arial" w:cs="Arial"/>
        </w:rPr>
        <w:t xml:space="preserve"> and resolution framework, a </w:t>
      </w:r>
      <w:r>
        <w:rPr>
          <w:rFonts w:ascii="Arial" w:hAnsi="Arial" w:cs="Arial"/>
        </w:rPr>
        <w:t>confirmation</w:t>
      </w:r>
      <w:r w:rsidRPr="00166E2F">
        <w:rPr>
          <w:rFonts w:ascii="Arial" w:hAnsi="Arial" w:cs="Arial"/>
        </w:rPr>
        <w:t xml:space="preserve"> that </w:t>
      </w:r>
      <w:r w:rsidR="00726F33">
        <w:rPr>
          <w:rFonts w:ascii="Arial" w:hAnsi="Arial" w:cs="Arial"/>
        </w:rPr>
        <w:t>the</w:t>
      </w:r>
      <w:r w:rsidRPr="00166E2F">
        <w:rPr>
          <w:rFonts w:ascii="Arial" w:hAnsi="Arial" w:cs="Arial"/>
        </w:rPr>
        <w:t xml:space="preserve"> </w:t>
      </w:r>
      <w:r>
        <w:rPr>
          <w:rFonts w:ascii="Arial" w:hAnsi="Arial" w:cs="Arial"/>
        </w:rPr>
        <w:t>TC-</w:t>
      </w:r>
      <w:r w:rsidRPr="00166E2F">
        <w:rPr>
          <w:rFonts w:ascii="Arial" w:hAnsi="Arial" w:cs="Arial"/>
        </w:rPr>
        <w:t>CCP adheres to the PFMIs as adopted by its local regulator should be relied upon.</w:t>
      </w:r>
      <w:r>
        <w:rPr>
          <w:rFonts w:ascii="Arial" w:hAnsi="Arial" w:cs="Arial"/>
        </w:rPr>
        <w:t xml:space="preserve"> The PFMIs specifically address the requirement for a CCP to have practices in place to address recovery and orderly wind-down (i.e., resolution) scenarios, including that a CCP have appropriate plans to address scenarios that could potentially prevent it from being able to provide its critical services.</w:t>
      </w:r>
      <w:r>
        <w:rPr>
          <w:rStyle w:val="FootnoteReference"/>
          <w:rFonts w:ascii="Arial" w:hAnsi="Arial" w:cs="Arial"/>
        </w:rPr>
        <w:footnoteReference w:id="2"/>
      </w:r>
      <w:r>
        <w:rPr>
          <w:rFonts w:ascii="Arial" w:hAnsi="Arial" w:cs="Arial"/>
        </w:rPr>
        <w:t xml:space="preserve"> For same reasons as outlined relative to Indicator 5, it is critical that Indicator 9 recognize local jurisdictions’ adoptions of the PFMIs and the importance of this for a CCP to effectively manage the unique risks present in its markets.  </w:t>
      </w:r>
    </w:p>
    <w:p w14:paraId="3667BC62" w14:textId="77777777" w:rsidR="003B3B6A" w:rsidRDefault="003B3B6A" w:rsidP="003B3B6A">
      <w:pPr>
        <w:rPr>
          <w:rFonts w:ascii="Arial" w:hAnsi="Arial" w:cs="Arial"/>
        </w:rPr>
      </w:pPr>
      <w:r>
        <w:rPr>
          <w:rFonts w:ascii="Arial" w:hAnsi="Arial" w:cs="Arial"/>
        </w:rPr>
        <w:t>&lt;ESMA_QUESTION_TATC_3&gt;</w:t>
      </w:r>
    </w:p>
    <w:p w14:paraId="44B2BAFE" w14:textId="77777777" w:rsidR="003B3B6A" w:rsidRDefault="003B3B6A" w:rsidP="003B3B6A">
      <w:pPr>
        <w:rPr>
          <w:rFonts w:ascii="Arial" w:hAnsi="Arial" w:cs="Arial"/>
        </w:rPr>
      </w:pPr>
    </w:p>
    <w:p w14:paraId="17BC6F61" w14:textId="77777777" w:rsidR="003B3B6A" w:rsidRDefault="003B3B6A" w:rsidP="003B3B6A">
      <w:pPr>
        <w:pStyle w:val="Questionstyle"/>
        <w:numPr>
          <w:ilvl w:val="0"/>
          <w:numId w:val="6"/>
        </w:numPr>
        <w:rPr>
          <w:rFonts w:ascii="Arial" w:hAnsi="Arial" w:cs="Arial"/>
        </w:rPr>
      </w:pPr>
      <w:r>
        <w:t>: Do you generally agree with the proposed indicators (Indicators 10 and 11) to further assess the CCP’s clearing membership structure? Please elaborate and if you disagree with any specific indicator, please suggest an alternative one to measure the relevant criterion.</w:t>
      </w:r>
    </w:p>
    <w:p w14:paraId="33098C32" w14:textId="77777777" w:rsidR="003B3B6A" w:rsidRDefault="003B3B6A" w:rsidP="003B3B6A">
      <w:pPr>
        <w:rPr>
          <w:rFonts w:ascii="Arial" w:hAnsi="Arial" w:cs="Arial"/>
        </w:rPr>
      </w:pPr>
      <w:r>
        <w:rPr>
          <w:rFonts w:ascii="Arial" w:hAnsi="Arial" w:cs="Arial"/>
        </w:rPr>
        <w:t>&lt;ESMA_QUESTION_TATC_4&gt;</w:t>
      </w:r>
    </w:p>
    <w:p w14:paraId="7E1407A4" w14:textId="4F8A2E1B" w:rsidR="00F92C09" w:rsidRPr="00F92C09" w:rsidRDefault="00F92C09" w:rsidP="00942E94">
      <w:pPr>
        <w:jc w:val="both"/>
        <w:rPr>
          <w:rFonts w:asciiTheme="majorHAnsi" w:hAnsiTheme="majorHAnsi" w:cstheme="majorHAnsi"/>
        </w:rPr>
      </w:pPr>
      <w:r w:rsidRPr="00F92C09">
        <w:rPr>
          <w:rFonts w:asciiTheme="majorHAnsi" w:hAnsiTheme="majorHAnsi" w:cstheme="majorHAnsi"/>
          <w:color w:val="000000"/>
        </w:rPr>
        <w:t xml:space="preserve">Although we agree with ESMA’s proposal to assess and identify EU </w:t>
      </w:r>
      <w:r w:rsidR="00726F33">
        <w:rPr>
          <w:rFonts w:asciiTheme="majorHAnsi" w:hAnsiTheme="majorHAnsi" w:cstheme="majorHAnsi"/>
          <w:color w:val="000000"/>
        </w:rPr>
        <w:t>clearing members</w:t>
      </w:r>
      <w:r w:rsidRPr="00F92C09">
        <w:rPr>
          <w:rFonts w:asciiTheme="majorHAnsi" w:hAnsiTheme="majorHAnsi" w:cstheme="majorHAnsi"/>
          <w:color w:val="000000"/>
        </w:rPr>
        <w:t xml:space="preserve">, we would like to emphasise the importance that strong membership criteria play in a CCP’s lines of defences. Regarding EU </w:t>
      </w:r>
      <w:r w:rsidR="00726F33">
        <w:rPr>
          <w:rFonts w:asciiTheme="majorHAnsi" w:hAnsiTheme="majorHAnsi" w:cstheme="majorHAnsi"/>
          <w:color w:val="000000"/>
        </w:rPr>
        <w:t>clearing members</w:t>
      </w:r>
      <w:r w:rsidR="00726F33" w:rsidRPr="00F92C09">
        <w:rPr>
          <w:rFonts w:asciiTheme="majorHAnsi" w:hAnsiTheme="majorHAnsi" w:cstheme="majorHAnsi"/>
          <w:color w:val="000000"/>
        </w:rPr>
        <w:t xml:space="preserve"> </w:t>
      </w:r>
      <w:r w:rsidRPr="00F92C09">
        <w:rPr>
          <w:rFonts w:asciiTheme="majorHAnsi" w:hAnsiTheme="majorHAnsi" w:cstheme="majorHAnsi"/>
          <w:color w:val="000000"/>
        </w:rPr>
        <w:t xml:space="preserve">participation </w:t>
      </w:r>
      <w:r w:rsidR="004D31AD">
        <w:rPr>
          <w:rFonts w:asciiTheme="majorHAnsi" w:hAnsiTheme="majorHAnsi" w:cstheme="majorHAnsi"/>
          <w:color w:val="000000"/>
        </w:rPr>
        <w:t>in</w:t>
      </w:r>
      <w:r w:rsidRPr="00F92C09">
        <w:rPr>
          <w:rFonts w:asciiTheme="majorHAnsi" w:hAnsiTheme="majorHAnsi" w:cstheme="majorHAnsi"/>
          <w:color w:val="000000"/>
        </w:rPr>
        <w:t xml:space="preserve"> a TC-CCP, any TC-CCP that has a significant number of EU entities that are </w:t>
      </w:r>
      <w:r w:rsidR="00726F33">
        <w:rPr>
          <w:rFonts w:asciiTheme="majorHAnsi" w:hAnsiTheme="majorHAnsi" w:cstheme="majorHAnsi"/>
          <w:color w:val="000000"/>
        </w:rPr>
        <w:t>clearing members</w:t>
      </w:r>
      <w:r w:rsidR="00726F33" w:rsidRPr="00F92C09">
        <w:rPr>
          <w:rFonts w:asciiTheme="majorHAnsi" w:hAnsiTheme="majorHAnsi" w:cstheme="majorHAnsi"/>
          <w:color w:val="000000"/>
        </w:rPr>
        <w:t xml:space="preserve"> </w:t>
      </w:r>
      <w:r w:rsidRPr="00F92C09">
        <w:rPr>
          <w:rFonts w:asciiTheme="majorHAnsi" w:hAnsiTheme="majorHAnsi" w:cstheme="majorHAnsi"/>
          <w:color w:val="000000"/>
        </w:rPr>
        <w:t xml:space="preserve">and where those </w:t>
      </w:r>
      <w:r w:rsidR="00726F33">
        <w:rPr>
          <w:rFonts w:asciiTheme="majorHAnsi" w:hAnsiTheme="majorHAnsi" w:cstheme="majorHAnsi"/>
          <w:color w:val="000000"/>
        </w:rPr>
        <w:t>clearing members</w:t>
      </w:r>
      <w:r w:rsidR="00726F33" w:rsidRPr="00F92C09">
        <w:rPr>
          <w:rFonts w:asciiTheme="majorHAnsi" w:hAnsiTheme="majorHAnsi" w:cstheme="majorHAnsi"/>
          <w:color w:val="000000"/>
        </w:rPr>
        <w:t xml:space="preserve"> </w:t>
      </w:r>
      <w:r w:rsidRPr="00F92C09">
        <w:rPr>
          <w:rFonts w:asciiTheme="majorHAnsi" w:hAnsiTheme="majorHAnsi" w:cstheme="majorHAnsi"/>
          <w:color w:val="000000"/>
        </w:rPr>
        <w:t xml:space="preserve">offer any form of clearing services to EU clients and EU indirect clients, should be taken under consideration </w:t>
      </w:r>
      <w:r w:rsidR="002D63E5">
        <w:rPr>
          <w:rFonts w:asciiTheme="majorHAnsi" w:hAnsiTheme="majorHAnsi" w:cstheme="majorHAnsi"/>
          <w:color w:val="000000"/>
        </w:rPr>
        <w:t>in determining a TC-CCP’s systemic importance to the EU</w:t>
      </w:r>
      <w:r w:rsidRPr="00F92C09">
        <w:rPr>
          <w:rFonts w:asciiTheme="majorHAnsi" w:hAnsiTheme="majorHAnsi" w:cstheme="majorHAnsi"/>
          <w:color w:val="000000"/>
        </w:rPr>
        <w:t>.</w:t>
      </w:r>
    </w:p>
    <w:p w14:paraId="050C0DB3" w14:textId="617611BE" w:rsidR="003B3B6A" w:rsidRDefault="003B3B6A" w:rsidP="003B3B6A">
      <w:pPr>
        <w:rPr>
          <w:rFonts w:ascii="Arial" w:hAnsi="Arial" w:cs="Arial"/>
        </w:rPr>
      </w:pPr>
      <w:r>
        <w:rPr>
          <w:rFonts w:ascii="Arial" w:hAnsi="Arial" w:cs="Arial"/>
        </w:rPr>
        <w:t>&lt;ESMA_QUESTION_TATC_4&gt;</w:t>
      </w:r>
    </w:p>
    <w:p w14:paraId="3A7648A5" w14:textId="77777777" w:rsidR="003B3B6A" w:rsidRDefault="003B3B6A" w:rsidP="003B3B6A">
      <w:pPr>
        <w:rPr>
          <w:rFonts w:ascii="Arial" w:hAnsi="Arial" w:cs="Arial"/>
        </w:rPr>
      </w:pPr>
    </w:p>
    <w:p w14:paraId="66CDB9C1" w14:textId="77777777" w:rsidR="003B3B6A" w:rsidRDefault="003B3B6A" w:rsidP="003B3B6A">
      <w:pPr>
        <w:pStyle w:val="Questionstyle"/>
        <w:numPr>
          <w:ilvl w:val="0"/>
          <w:numId w:val="6"/>
        </w:numPr>
        <w:rPr>
          <w:rFonts w:ascii="Arial" w:hAnsi="Arial" w:cs="Arial"/>
        </w:rPr>
      </w:pPr>
      <w:r>
        <w:t>: Do you generally agree with the proposed indicator (Indicator 12) to further assess alternative clearing services? Please elaborate and if you disagree with any specific indicator, please suggest an alternative one to measure the relevant criterion.</w:t>
      </w:r>
    </w:p>
    <w:p w14:paraId="7D5C1CD1" w14:textId="6A2AE8F4" w:rsidR="003B3B6A" w:rsidRDefault="003B3B6A" w:rsidP="003B3B6A">
      <w:pPr>
        <w:rPr>
          <w:rFonts w:ascii="Arial" w:hAnsi="Arial" w:cs="Arial"/>
        </w:rPr>
      </w:pPr>
      <w:r>
        <w:rPr>
          <w:rFonts w:ascii="Arial" w:hAnsi="Arial" w:cs="Arial"/>
        </w:rPr>
        <w:t>&lt;ESMA_QUESTION_TATC_5&gt;</w:t>
      </w:r>
    </w:p>
    <w:p w14:paraId="5B098173" w14:textId="77777777" w:rsidR="0037341A" w:rsidRDefault="0037341A" w:rsidP="0037341A">
      <w:pPr>
        <w:rPr>
          <w:rFonts w:ascii="Arial" w:hAnsi="Arial" w:cs="Arial"/>
        </w:rPr>
      </w:pPr>
      <w:r>
        <w:rPr>
          <w:rFonts w:ascii="Arial" w:hAnsi="Arial" w:cs="Arial"/>
        </w:rPr>
        <w:t>TYPE YOUR TEXT HERE</w:t>
      </w:r>
    </w:p>
    <w:p w14:paraId="436D7278" w14:textId="77777777" w:rsidR="003B3B6A" w:rsidRDefault="003B3B6A" w:rsidP="003B3B6A">
      <w:pPr>
        <w:rPr>
          <w:rFonts w:ascii="Arial" w:hAnsi="Arial" w:cs="Arial"/>
        </w:rPr>
      </w:pPr>
      <w:r>
        <w:rPr>
          <w:rFonts w:ascii="Arial" w:hAnsi="Arial" w:cs="Arial"/>
        </w:rPr>
        <w:lastRenderedPageBreak/>
        <w:t>&lt;ESMA_QUESTION_TATC_5&gt;</w:t>
      </w:r>
    </w:p>
    <w:p w14:paraId="545DBEA0" w14:textId="77777777" w:rsidR="003B3B6A" w:rsidRDefault="003B3B6A" w:rsidP="00942E94">
      <w:pPr>
        <w:spacing w:after="120" w:line="264" w:lineRule="auto"/>
        <w:rPr>
          <w:rFonts w:ascii="Arial" w:hAnsi="Arial" w:cs="Arial"/>
        </w:rPr>
      </w:pPr>
    </w:p>
    <w:p w14:paraId="2B66E67B" w14:textId="77777777" w:rsidR="003B3B6A" w:rsidRDefault="003B3B6A" w:rsidP="003B3B6A">
      <w:pPr>
        <w:pStyle w:val="Questionstyle"/>
        <w:numPr>
          <w:ilvl w:val="0"/>
          <w:numId w:val="6"/>
        </w:numPr>
        <w:rPr>
          <w:rFonts w:ascii="Arial" w:hAnsi="Arial" w:cs="Arial"/>
        </w:rPr>
      </w:pPr>
      <w:r>
        <w:t>: Do you generally agree with the proposed indicators (Indicators 13 and 14) to further assess relationships, interdependencies, or other interactions? Please elaborate and if you disagree with any specific indicator, please suggest an alternative one to measure the relevant criterion.</w:t>
      </w:r>
    </w:p>
    <w:p w14:paraId="25A4B4CF" w14:textId="77777777" w:rsidR="003B3B6A" w:rsidRDefault="003B3B6A" w:rsidP="003B3B6A">
      <w:pPr>
        <w:rPr>
          <w:rFonts w:ascii="Arial" w:hAnsi="Arial" w:cs="Arial"/>
        </w:rPr>
      </w:pPr>
      <w:r>
        <w:rPr>
          <w:rFonts w:ascii="Arial" w:hAnsi="Arial" w:cs="Arial"/>
        </w:rPr>
        <w:t>&lt;ESMA_QUESTION_TATC_6&gt;</w:t>
      </w:r>
    </w:p>
    <w:p w14:paraId="3AB91E8C" w14:textId="3D670BBE" w:rsidR="003B3B6A" w:rsidRPr="0056374E" w:rsidRDefault="003B3B6A" w:rsidP="00942E94">
      <w:pPr>
        <w:jc w:val="both"/>
        <w:rPr>
          <w:rFonts w:ascii="Arial" w:hAnsi="Arial" w:cs="Arial"/>
        </w:rPr>
      </w:pPr>
      <w:bookmarkStart w:id="6" w:name="_Hlk12952840"/>
      <w:r w:rsidRPr="0056374E">
        <w:rPr>
          <w:rFonts w:ascii="Arial" w:hAnsi="Arial" w:cs="Arial"/>
        </w:rPr>
        <w:t xml:space="preserve">CCP12 disagrees with ESMA’s suggested parameters to assess links or connections with other </w:t>
      </w:r>
      <w:r>
        <w:rPr>
          <w:rFonts w:ascii="Arial" w:hAnsi="Arial" w:cs="Arial"/>
        </w:rPr>
        <w:t xml:space="preserve">financial market </w:t>
      </w:r>
      <w:r w:rsidR="00D914B0">
        <w:rPr>
          <w:rFonts w:ascii="Arial" w:hAnsi="Arial" w:cs="Arial"/>
        </w:rPr>
        <w:t>infrastructures</w:t>
      </w:r>
      <w:r>
        <w:rPr>
          <w:rFonts w:ascii="Arial" w:hAnsi="Arial" w:cs="Arial"/>
        </w:rPr>
        <w:t xml:space="preserve"> (“</w:t>
      </w:r>
      <w:r w:rsidRPr="0056374E">
        <w:rPr>
          <w:rFonts w:ascii="Arial" w:hAnsi="Arial" w:cs="Arial"/>
        </w:rPr>
        <w:t>FMIs</w:t>
      </w:r>
      <w:r>
        <w:rPr>
          <w:rFonts w:ascii="Arial" w:hAnsi="Arial" w:cs="Arial"/>
        </w:rPr>
        <w:t>”),</w:t>
      </w:r>
      <w:r w:rsidRPr="0056374E">
        <w:rPr>
          <w:rFonts w:ascii="Arial" w:hAnsi="Arial" w:cs="Arial"/>
        </w:rPr>
        <w:t xml:space="preserve"> other </w:t>
      </w:r>
      <w:r>
        <w:rPr>
          <w:rFonts w:ascii="Arial" w:hAnsi="Arial" w:cs="Arial"/>
        </w:rPr>
        <w:t>financial institutions,</w:t>
      </w:r>
      <w:r w:rsidRPr="0056374E">
        <w:rPr>
          <w:rFonts w:ascii="Arial" w:hAnsi="Arial" w:cs="Arial"/>
        </w:rPr>
        <w:t xml:space="preserve"> and the broader financial system. We would note, that direct connections to a </w:t>
      </w:r>
      <w:r>
        <w:rPr>
          <w:rFonts w:ascii="Arial" w:hAnsi="Arial" w:cs="Arial"/>
        </w:rPr>
        <w:t xml:space="preserve">central securities </w:t>
      </w:r>
      <w:r w:rsidR="00D914B0">
        <w:rPr>
          <w:rFonts w:ascii="Arial" w:hAnsi="Arial" w:cs="Arial"/>
        </w:rPr>
        <w:t>depository</w:t>
      </w:r>
      <w:r>
        <w:rPr>
          <w:rFonts w:ascii="Arial" w:hAnsi="Arial" w:cs="Arial"/>
        </w:rPr>
        <w:t xml:space="preserve"> (“</w:t>
      </w:r>
      <w:r w:rsidRPr="0056374E">
        <w:rPr>
          <w:rFonts w:ascii="Arial" w:hAnsi="Arial" w:cs="Arial"/>
        </w:rPr>
        <w:t>CSD</w:t>
      </w:r>
      <w:r>
        <w:rPr>
          <w:rFonts w:ascii="Arial" w:hAnsi="Arial" w:cs="Arial"/>
        </w:rPr>
        <w:t>”)</w:t>
      </w:r>
      <w:r w:rsidRPr="0056374E">
        <w:rPr>
          <w:rFonts w:ascii="Arial" w:hAnsi="Arial" w:cs="Arial"/>
        </w:rPr>
        <w:t xml:space="preserve"> or payment systems should not necessarily be perceived by ESMA as a potential risk to the </w:t>
      </w:r>
      <w:r>
        <w:rPr>
          <w:rFonts w:ascii="Arial" w:hAnsi="Arial" w:cs="Arial"/>
        </w:rPr>
        <w:t xml:space="preserve">stability of </w:t>
      </w:r>
      <w:r w:rsidRPr="0056374E">
        <w:rPr>
          <w:rFonts w:ascii="Arial" w:hAnsi="Arial" w:cs="Arial"/>
        </w:rPr>
        <w:t>EU that could lead to a higher tiering as this could incentivise a TC-CCP to use more risky indirect links</w:t>
      </w:r>
      <w:r>
        <w:rPr>
          <w:rFonts w:ascii="Arial" w:hAnsi="Arial" w:cs="Arial"/>
        </w:rPr>
        <w:t>.</w:t>
      </w:r>
    </w:p>
    <w:bookmarkEnd w:id="6"/>
    <w:p w14:paraId="6AD5C749" w14:textId="77777777" w:rsidR="003B3B6A" w:rsidRDefault="003B3B6A" w:rsidP="003B3B6A">
      <w:pPr>
        <w:rPr>
          <w:rFonts w:ascii="Arial" w:hAnsi="Arial" w:cs="Arial"/>
        </w:rPr>
      </w:pPr>
      <w:r>
        <w:rPr>
          <w:rFonts w:ascii="Arial" w:hAnsi="Arial" w:cs="Arial"/>
        </w:rPr>
        <w:t>&lt;ESMA_QUESTION_TATC_6&gt;</w:t>
      </w:r>
    </w:p>
    <w:p w14:paraId="264B20F9" w14:textId="77777777" w:rsidR="003B3B6A" w:rsidRDefault="003B3B6A" w:rsidP="003B3B6A">
      <w:pPr>
        <w:rPr>
          <w:rFonts w:ascii="Arial" w:hAnsi="Arial" w:cs="Arial"/>
        </w:rPr>
      </w:pPr>
    </w:p>
    <w:p w14:paraId="2B3CC833" w14:textId="77777777" w:rsidR="003B3B6A" w:rsidRDefault="003B3B6A" w:rsidP="003B3B6A">
      <w:pPr>
        <w:pStyle w:val="Questionstyle"/>
        <w:numPr>
          <w:ilvl w:val="0"/>
          <w:numId w:val="6"/>
        </w:numPr>
        <w:rPr>
          <w:rFonts w:ascii="Arial" w:hAnsi="Arial" w:cs="Arial"/>
        </w:rPr>
      </w:pPr>
      <w:r>
        <w:t>: Do you identify other benefits and costs not mentioned above associated to the proposed approach (option 3)? If you advocated for a different approach, how would it impact this section on the impact assessment? Please provide details.</w:t>
      </w:r>
    </w:p>
    <w:p w14:paraId="55D91AE7" w14:textId="77777777" w:rsidR="003B3B6A" w:rsidRDefault="003B3B6A" w:rsidP="003B3B6A">
      <w:pPr>
        <w:rPr>
          <w:rFonts w:ascii="Arial" w:hAnsi="Arial" w:cs="Arial"/>
        </w:rPr>
      </w:pPr>
      <w:r>
        <w:rPr>
          <w:rFonts w:ascii="Arial" w:hAnsi="Arial" w:cs="Arial"/>
        </w:rPr>
        <w:t>&lt;ESMA_QUESTION_TATC_7&gt;</w:t>
      </w:r>
    </w:p>
    <w:p w14:paraId="04E9E99C" w14:textId="77777777" w:rsidR="003B3B6A" w:rsidRDefault="003B3B6A" w:rsidP="003B3B6A">
      <w:pPr>
        <w:rPr>
          <w:rFonts w:ascii="Arial" w:hAnsi="Arial" w:cs="Arial"/>
        </w:rPr>
      </w:pPr>
      <w:r>
        <w:rPr>
          <w:rFonts w:ascii="Arial" w:hAnsi="Arial" w:cs="Arial"/>
        </w:rPr>
        <w:t>TYPE YOUR TEXT HERE</w:t>
      </w:r>
    </w:p>
    <w:p w14:paraId="1CB3C969" w14:textId="77777777" w:rsidR="003B3B6A" w:rsidRDefault="003B3B6A" w:rsidP="003B3B6A">
      <w:pPr>
        <w:rPr>
          <w:rFonts w:ascii="Arial" w:hAnsi="Arial" w:cs="Arial"/>
        </w:rPr>
      </w:pPr>
      <w:r>
        <w:rPr>
          <w:rFonts w:ascii="Arial" w:hAnsi="Arial" w:cs="Arial"/>
        </w:rPr>
        <w:t>&lt;ESMA_QUESTION_TATC_7&gt;</w:t>
      </w:r>
    </w:p>
    <w:p w14:paraId="38427C6A" w14:textId="77777777" w:rsidR="003B3B6A" w:rsidRDefault="003B3B6A" w:rsidP="003B3B6A">
      <w:pPr>
        <w:rPr>
          <w:rFonts w:ascii="Arial" w:hAnsi="Arial" w:cs="Arial"/>
        </w:rPr>
      </w:pPr>
    </w:p>
    <w:p w14:paraId="69ABBBFB" w14:textId="77777777" w:rsidR="003B3B6A" w:rsidRDefault="003B3B6A" w:rsidP="003B3B6A">
      <w:pPr>
        <w:rPr>
          <w:rFonts w:ascii="Arial" w:hAnsi="Arial" w:cs="Arial"/>
        </w:rPr>
      </w:pPr>
    </w:p>
    <w:bookmarkEnd w:id="0"/>
    <w:p w14:paraId="7C578557" w14:textId="77777777" w:rsidR="003B3B6A" w:rsidRDefault="003B3B6A" w:rsidP="003B3B6A">
      <w:pPr>
        <w:spacing w:line="276" w:lineRule="auto"/>
        <w:rPr>
          <w:rFonts w:asciiTheme="minorHAnsi" w:hAnsiTheme="minorHAnsi" w:cstheme="minorHAnsi"/>
          <w:b/>
          <w:sz w:val="28"/>
          <w:szCs w:val="28"/>
        </w:rPr>
      </w:pPr>
    </w:p>
    <w:p w14:paraId="44A34FCB" w14:textId="77777777" w:rsidR="007D1EDE" w:rsidRDefault="00FB2F05"/>
    <w:sectPr w:rsidR="007D1EDE"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2F221" w14:textId="77777777" w:rsidR="00FB2F05" w:rsidRDefault="00FB2F05" w:rsidP="003B3B6A">
      <w:r>
        <w:separator/>
      </w:r>
    </w:p>
  </w:endnote>
  <w:endnote w:type="continuationSeparator" w:id="0">
    <w:p w14:paraId="43BE43F9" w14:textId="77777777" w:rsidR="00FB2F05" w:rsidRDefault="00FB2F05" w:rsidP="003B3B6A">
      <w:r>
        <w:continuationSeparator/>
      </w:r>
    </w:p>
  </w:endnote>
  <w:endnote w:type="continuationNotice" w:id="1">
    <w:p w14:paraId="1486855A" w14:textId="77777777" w:rsidR="00FB2F05" w:rsidRDefault="00FB2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F"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09F5" w14:textId="696F5CE7" w:rsidR="003B3B6A" w:rsidRDefault="00E5518F">
    <w:pPr>
      <w:pStyle w:val="Footer"/>
      <w:jc w:val="center"/>
    </w:pPr>
    <w:r>
      <w:rPr>
        <w:noProof/>
        <w:lang w:val="en-US" w:eastAsia="zh-CN"/>
      </w:rPr>
      <mc:AlternateContent>
        <mc:Choice Requires="wps">
          <w:drawing>
            <wp:anchor distT="0" distB="0" distL="114300" distR="114300" simplePos="1" relativeHeight="251660288" behindDoc="0" locked="0" layoutInCell="0" allowOverlap="1" wp14:anchorId="704BE8D9" wp14:editId="7449EEDF">
              <wp:simplePos x="0" y="10234930"/>
              <wp:positionH relativeFrom="page">
                <wp:posOffset>0</wp:posOffset>
              </wp:positionH>
              <wp:positionV relativeFrom="page">
                <wp:posOffset>10234930</wp:posOffset>
              </wp:positionV>
              <wp:extent cx="7560310" cy="266700"/>
              <wp:effectExtent l="0" t="0" r="0" b="0"/>
              <wp:wrapNone/>
              <wp:docPr id="1" name="MSIPCM5a5b49a094734165962c4253" descr="{&quot;HashCode&quot;:-52143368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7256F3" w14:textId="4E951CB9" w:rsidR="00E5518F" w:rsidRPr="00E5518F" w:rsidRDefault="00E5518F" w:rsidP="00E5518F">
                          <w:pPr>
                            <w:rPr>
                              <w:rFonts w:ascii="Arial" w:hAnsi="Arial" w:cs="Arial"/>
                              <w:color w:val="000000"/>
                              <w:sz w:val="20"/>
                            </w:rPr>
                          </w:pPr>
                          <w:r w:rsidRPr="00E5518F">
                            <w:rPr>
                              <w:rFonts w:ascii="Arial" w:hAnsi="Arial" w:cs="Arial"/>
                              <w:color w:val="000000"/>
                              <w:sz w:val="20"/>
                            </w:rPr>
                            <w:t>DTCC Internal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04BE8D9" id="_x0000_t202" coordsize="21600,21600" o:spt="202" path="m,l,21600r21600,l21600,xe">
              <v:stroke joinstyle="miter"/>
              <v:path gradientshapeok="t" o:connecttype="rect"/>
            </v:shapetype>
            <v:shape id="MSIPCM5a5b49a094734165962c4253" o:spid="_x0000_s1026" type="#_x0000_t202" alt="{&quot;HashCode&quot;:-521433682,&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AJaBE6HgMAADcGAAAOAAAAAAAA&#10;AAAAAAAAAC4CAABkcnMvZTJvRG9jLnhtbFBLAQItABQABgAIAAAAIQBgEcYm3gAAAAsBAAAPAAAA&#10;AAAAAAAAAAAAAHgFAABkcnMvZG93bnJldi54bWxQSwUGAAAAAAQABADzAAAAgwYAAAAA&#10;" o:allowincell="f" filled="f" stroked="f" strokeweight=".5pt">
              <v:textbox inset="20pt,0,,0">
                <w:txbxContent>
                  <w:p w14:paraId="7F7256F3" w14:textId="4E951CB9" w:rsidR="00E5518F" w:rsidRPr="00E5518F" w:rsidRDefault="00E5518F" w:rsidP="00E5518F">
                    <w:pPr>
                      <w:rPr>
                        <w:rFonts w:ascii="Arial" w:hAnsi="Arial" w:cs="Arial"/>
                        <w:color w:val="000000"/>
                        <w:sz w:val="20"/>
                      </w:rPr>
                    </w:pPr>
                    <w:r w:rsidRPr="00E5518F">
                      <w:rPr>
                        <w:rFonts w:ascii="Arial" w:hAnsi="Arial" w:cs="Arial"/>
                        <w:color w:val="000000"/>
                        <w:sz w:val="20"/>
                      </w:rPr>
                      <w:t>DTCC Internal (Green)</w:t>
                    </w:r>
                  </w:p>
                </w:txbxContent>
              </v:textbox>
              <w10:wrap anchorx="page" anchory="page"/>
            </v:shape>
          </w:pict>
        </mc:Fallback>
      </mc:AlternateContent>
    </w:r>
  </w:p>
  <w:sdt>
    <w:sdtPr>
      <w:id w:val="1744752671"/>
      <w:docPartObj>
        <w:docPartGallery w:val="Page Numbers (Bottom of Page)"/>
        <w:docPartUnique/>
      </w:docPartObj>
    </w:sdtPr>
    <w:sdtEndPr>
      <w:rPr>
        <w:noProof/>
      </w:rPr>
    </w:sdtEndPr>
    <w:sdtContent>
      <w:p w14:paraId="429CEA0B" w14:textId="77777777" w:rsidR="003B3B6A" w:rsidRDefault="003B3B6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C33B433" w14:textId="77777777" w:rsidR="003B3B6A" w:rsidRDefault="003B3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9EBAB" w14:textId="52FD73A8" w:rsidR="003B3B6A" w:rsidRDefault="00E5518F" w:rsidP="007A160F">
    <w:pPr>
      <w:pStyle w:val="Footer"/>
    </w:pPr>
    <w:r>
      <w:rPr>
        <w:rFonts w:asciiTheme="majorHAnsi" w:hAnsiTheme="majorHAnsi"/>
        <w:noProof/>
        <w:color w:val="FFFFFF" w:themeColor="background1"/>
        <w:lang w:val="en-US" w:eastAsia="zh-CN"/>
      </w:rPr>
      <mc:AlternateContent>
        <mc:Choice Requires="wps">
          <w:drawing>
            <wp:anchor distT="0" distB="0" distL="114300" distR="114300" simplePos="0" relativeHeight="251661312" behindDoc="0" locked="0" layoutInCell="0" allowOverlap="1" wp14:anchorId="604ACF98" wp14:editId="38CAF5B4">
              <wp:simplePos x="0" y="0"/>
              <wp:positionH relativeFrom="page">
                <wp:posOffset>0</wp:posOffset>
              </wp:positionH>
              <wp:positionV relativeFrom="page">
                <wp:posOffset>10234930</wp:posOffset>
              </wp:positionV>
              <wp:extent cx="7560310" cy="266700"/>
              <wp:effectExtent l="0" t="0" r="0" b="0"/>
              <wp:wrapNone/>
              <wp:docPr id="3" name="MSIPCMb0ac4e1dba76cb85828a96d0" descr="{&quot;HashCode&quot;:-52143368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1AD9F" w14:textId="692D07D2" w:rsidR="00E5518F" w:rsidRPr="00E5518F" w:rsidRDefault="00E5518F" w:rsidP="00E5518F">
                          <w:pPr>
                            <w:rPr>
                              <w:rFonts w:ascii="Arial" w:hAnsi="Arial" w:cs="Arial"/>
                              <w:color w:val="000000"/>
                              <w:sz w:val="20"/>
                            </w:rPr>
                          </w:pPr>
                          <w:r w:rsidRPr="00E5518F">
                            <w:rPr>
                              <w:rFonts w:ascii="Arial" w:hAnsi="Arial" w:cs="Arial"/>
                              <w:color w:val="000000"/>
                              <w:sz w:val="20"/>
                            </w:rPr>
                            <w:t>DTCC Internal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4ACF98" id="_x0000_t202" coordsize="21600,21600" o:spt="202" path="m,l,21600r21600,l21600,xe">
              <v:stroke joinstyle="miter"/>
              <v:path gradientshapeok="t" o:connecttype="rect"/>
            </v:shapetype>
            <v:shape id="MSIPCMb0ac4e1dba76cb85828a96d0" o:spid="_x0000_s1027" type="#_x0000_t202" alt="{&quot;HashCode&quot;:-521433682,&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frtmzHgMAAEAGAAAOAAAAAAAA&#10;AAAAAAAAAC4CAABkcnMvZTJvRG9jLnhtbFBLAQItABQABgAIAAAAIQBgEcYm3gAAAAsBAAAPAAAA&#10;AAAAAAAAAAAAAHgFAABkcnMvZG93bnJldi54bWxQSwUGAAAAAAQABADzAAAAgwYAAAAA&#10;" o:allowincell="f" filled="f" stroked="f" strokeweight=".5pt">
              <v:textbox inset="20pt,0,,0">
                <w:txbxContent>
                  <w:p w14:paraId="1721AD9F" w14:textId="692D07D2" w:rsidR="00E5518F" w:rsidRPr="00E5518F" w:rsidRDefault="00E5518F" w:rsidP="00E5518F">
                    <w:pPr>
                      <w:rPr>
                        <w:rFonts w:ascii="Arial" w:hAnsi="Arial" w:cs="Arial"/>
                        <w:color w:val="000000"/>
                        <w:sz w:val="20"/>
                      </w:rPr>
                    </w:pPr>
                    <w:r w:rsidRPr="00E5518F">
                      <w:rPr>
                        <w:rFonts w:ascii="Arial" w:hAnsi="Arial" w:cs="Arial"/>
                        <w:color w:val="000000"/>
                        <w:sz w:val="20"/>
                      </w:rPr>
                      <w:t>DTCC Internal (Green)</w:t>
                    </w:r>
                  </w:p>
                </w:txbxContent>
              </v:textbox>
              <w10:wrap anchorx="page" anchory="page"/>
            </v:shape>
          </w:pict>
        </mc:Fallback>
      </mc:AlternateContent>
    </w:r>
    <w:r w:rsidR="003B3B6A">
      <w:rPr>
        <w:rFonts w:asciiTheme="majorHAnsi" w:hAnsiTheme="majorHAnsi"/>
        <w:color w:val="FFFFFF" w:themeColor="background1"/>
      </w:rPr>
      <w:tab/>
    </w:r>
    <w:r w:rsidR="003B3B6A">
      <w:rPr>
        <w:rFonts w:asciiTheme="majorHAnsi" w:hAnsiTheme="majorHAnsi"/>
        <w:color w:val="FFFFFF" w:themeColor="background1"/>
      </w:rPr>
      <w:tab/>
      <w:t xml:space="preserve">28 May 2019 </w:t>
    </w:r>
    <w:r w:rsidR="003B3B6A" w:rsidRPr="00A17284">
      <w:rPr>
        <w:rFonts w:asciiTheme="majorHAnsi" w:hAnsiTheme="majorHAnsi"/>
        <w:color w:val="FFFFFF" w:themeColor="background1"/>
      </w:rPr>
      <w:t>ESMA</w:t>
    </w:r>
    <w:r w:rsidR="003B3B6A">
      <w:rPr>
        <w:rFonts w:asciiTheme="majorHAnsi" w:hAnsiTheme="majorHAnsi"/>
        <w:color w:val="FFFFFF" w:themeColor="background1"/>
      </w:rPr>
      <w:t>70-151-2372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B0054" w14:textId="750746F1" w:rsidR="004C4BD5" w:rsidRDefault="00FB2F05">
    <w:pPr>
      <w:pStyle w:val="Footer"/>
      <w:jc w:val="center"/>
    </w:pPr>
    <w:sdt>
      <w:sdtPr>
        <w:id w:val="-723752247"/>
        <w:docPartObj>
          <w:docPartGallery w:val="Page Numbers (Bottom of Page)"/>
          <w:docPartUnique/>
        </w:docPartObj>
      </w:sdtPr>
      <w:sdtEndPr>
        <w:rPr>
          <w:noProof/>
        </w:rPr>
      </w:sdtEndPr>
      <w:sdtContent>
        <w:r w:rsidR="003B3B6A">
          <w:fldChar w:fldCharType="begin"/>
        </w:r>
        <w:r w:rsidR="003B3B6A">
          <w:instrText xml:space="preserve"> PAGE   \* MERGEFORMAT </w:instrText>
        </w:r>
        <w:r w:rsidR="003B3B6A">
          <w:fldChar w:fldCharType="separate"/>
        </w:r>
        <w:r w:rsidR="00EB01D6">
          <w:rPr>
            <w:noProof/>
          </w:rPr>
          <w:t>9</w:t>
        </w:r>
        <w:r w:rsidR="003B3B6A">
          <w:rPr>
            <w:noProof/>
          </w:rPr>
          <w:fldChar w:fldCharType="end"/>
        </w:r>
      </w:sdtContent>
    </w:sdt>
  </w:p>
  <w:p w14:paraId="45B84353" w14:textId="77777777" w:rsidR="004C4BD5" w:rsidRDefault="00FB2F05"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356A1" w14:textId="77777777" w:rsidR="00FB2F05" w:rsidRDefault="00FB2F05" w:rsidP="003B3B6A">
      <w:r>
        <w:separator/>
      </w:r>
    </w:p>
  </w:footnote>
  <w:footnote w:type="continuationSeparator" w:id="0">
    <w:p w14:paraId="3D2AAB54" w14:textId="77777777" w:rsidR="00FB2F05" w:rsidRDefault="00FB2F05" w:rsidP="003B3B6A">
      <w:r>
        <w:continuationSeparator/>
      </w:r>
    </w:p>
  </w:footnote>
  <w:footnote w:type="continuationNotice" w:id="1">
    <w:p w14:paraId="5244EF6F" w14:textId="77777777" w:rsidR="00FB2F05" w:rsidRDefault="00FB2F05"/>
  </w:footnote>
  <w:footnote w:id="2">
    <w:p w14:paraId="253D9597" w14:textId="77777777" w:rsidR="003B3B6A" w:rsidRPr="008F6FF4" w:rsidRDefault="003B3B6A" w:rsidP="003B3B6A">
      <w:pPr>
        <w:pStyle w:val="FootnoteText"/>
      </w:pPr>
      <w:r w:rsidRPr="008F6FF4">
        <w:rPr>
          <w:rStyle w:val="FootnoteReference"/>
          <w:rFonts w:ascii="Arial" w:hAnsi="Arial" w:cs="Arial"/>
          <w:szCs w:val="16"/>
        </w:rPr>
        <w:footnoteRef/>
      </w:r>
      <w:r w:rsidRPr="008F6FF4">
        <w:t xml:space="preserve"> </w:t>
      </w:r>
      <w:r w:rsidRPr="00B4203B">
        <w:rPr>
          <w:i/>
        </w:rPr>
        <w:t>See e.g.</w:t>
      </w:r>
      <w:r>
        <w:t>, Principles 3, 4, 7, and 15 of the PFMIs.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D697" w14:textId="77777777" w:rsidR="003B3B6A" w:rsidRDefault="003B3B6A">
    <w:pPr>
      <w:pStyle w:val="Header"/>
    </w:pPr>
  </w:p>
  <w:p w14:paraId="75D61434" w14:textId="77777777" w:rsidR="003B3B6A" w:rsidRDefault="003B3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04990" w14:textId="77777777" w:rsidR="003B3B6A" w:rsidRDefault="003B3B6A">
    <w:pPr>
      <w:pStyle w:val="Header"/>
    </w:pPr>
    <w:r>
      <w:rPr>
        <w:noProof/>
        <w:lang w:val="en-US" w:eastAsia="zh-CN"/>
      </w:rPr>
      <w:drawing>
        <wp:anchor distT="0" distB="0" distL="114300" distR="114300" simplePos="0" relativeHeight="251658240" behindDoc="0" locked="0" layoutInCell="1" allowOverlap="1" wp14:anchorId="6B673B83" wp14:editId="7263094C">
          <wp:simplePos x="0" y="0"/>
          <wp:positionH relativeFrom="page">
            <wp:posOffset>366395</wp:posOffset>
          </wp:positionH>
          <wp:positionV relativeFrom="page">
            <wp:posOffset>372745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6192" behindDoc="1" locked="0" layoutInCell="1" allowOverlap="1" wp14:anchorId="5C689A6D" wp14:editId="33F91E24">
          <wp:simplePos x="0" y="0"/>
          <wp:positionH relativeFrom="page">
            <wp:align>right</wp:align>
          </wp:positionH>
          <wp:positionV relativeFrom="page">
            <wp:align>bottom</wp:align>
          </wp:positionV>
          <wp:extent cx="7560310" cy="6800850"/>
          <wp:effectExtent l="0" t="0" r="2540" b="0"/>
          <wp:wrapNone/>
          <wp:docPr id="7" name="Picture 7"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9BB38" w14:textId="77777777" w:rsidR="004C4BD5" w:rsidRDefault="003B3B6A" w:rsidP="00B50534">
    <w:pPr>
      <w:pStyle w:val="Header"/>
      <w:jc w:val="right"/>
      <w:rPr>
        <w:b/>
        <w:color w:val="FF0000"/>
      </w:rPr>
    </w:pPr>
    <w:r w:rsidRPr="008D5F86">
      <w:rPr>
        <w:rFonts w:ascii="Arial" w:hAnsi="Arial" w:cs="Arial"/>
        <w:noProof/>
        <w:lang w:val="en-US" w:eastAsia="zh-CN"/>
      </w:rPr>
      <mc:AlternateContent>
        <mc:Choice Requires="wps">
          <w:drawing>
            <wp:anchor distT="0" distB="0" distL="114300" distR="114300" simplePos="0" relativeHeight="251659264" behindDoc="0" locked="0" layoutInCell="1" allowOverlap="1" wp14:anchorId="77061D0C" wp14:editId="40954A9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778C0" id="Line 1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2C7FFD15" w14:textId="77777777" w:rsidR="004C4BD5" w:rsidRPr="00D13661" w:rsidRDefault="003B3B6A" w:rsidP="00B50534">
    <w:pPr>
      <w:pStyle w:val="Header"/>
      <w:jc w:val="right"/>
      <w:rPr>
        <w:rFonts w:asciiTheme="minorHAnsi" w:hAnsiTheme="minorHAnsi" w:cstheme="minorHAnsi"/>
        <w:color w:val="31849B" w:themeColor="accent5" w:themeShade="BF"/>
        <w:sz w:val="20"/>
      </w:rPr>
    </w:pPr>
    <w:r w:rsidRPr="00D13661">
      <w:rPr>
        <w:rFonts w:asciiTheme="minorHAnsi" w:hAnsiTheme="minorHAnsi" w:cstheme="minorHAnsi"/>
        <w:noProof/>
        <w:color w:val="31849B" w:themeColor="accent5" w:themeShade="BF"/>
        <w:sz w:val="20"/>
        <w:lang w:val="en-US" w:eastAsia="zh-CN"/>
      </w:rPr>
      <w:drawing>
        <wp:anchor distT="0" distB="0" distL="114300" distR="114300" simplePos="0" relativeHeight="251657216" behindDoc="0" locked="0" layoutInCell="1" allowOverlap="1" wp14:anchorId="3A5C99F1" wp14:editId="0D8A86C6">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31849B" w:themeColor="accent5" w:themeShade="BF"/>
        <w:sz w:val="20"/>
      </w:rPr>
      <w:t>ESMA REGULAR USE</w:t>
    </w:r>
  </w:p>
  <w:p w14:paraId="451CC8C6" w14:textId="77777777" w:rsidR="004C4BD5" w:rsidRPr="00C3170E" w:rsidRDefault="00FB2F05" w:rsidP="00B50534">
    <w:pPr>
      <w:pStyle w:val="Header"/>
      <w:jc w:val="right"/>
      <w:rPr>
        <w:color w:val="31849B" w:themeColor="accent5" w:themeShade="BF"/>
        <w:sz w:val="20"/>
      </w:rPr>
    </w:pPr>
  </w:p>
  <w:p w14:paraId="7C4F2BF8" w14:textId="77777777" w:rsidR="004C4BD5" w:rsidRPr="00B50534" w:rsidRDefault="00FB2F05"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D70984"/>
    <w:multiLevelType w:val="hybridMultilevel"/>
    <w:tmpl w:val="AA59B2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E3944D74"/>
    <w:lvl w:ilvl="0" w:tplc="BDDE5F3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oNotDisplayPageBoundaries/>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B6A"/>
    <w:rsid w:val="00016F60"/>
    <w:rsid w:val="00022FAD"/>
    <w:rsid w:val="00060920"/>
    <w:rsid w:val="00061C79"/>
    <w:rsid w:val="0009590F"/>
    <w:rsid w:val="000A725E"/>
    <w:rsid w:val="000B1478"/>
    <w:rsid w:val="000D74F1"/>
    <w:rsid w:val="00107D80"/>
    <w:rsid w:val="00114BA4"/>
    <w:rsid w:val="001374AD"/>
    <w:rsid w:val="001D23FC"/>
    <w:rsid w:val="00242730"/>
    <w:rsid w:val="00255D88"/>
    <w:rsid w:val="0027667F"/>
    <w:rsid w:val="0029691D"/>
    <w:rsid w:val="002A4AB9"/>
    <w:rsid w:val="002C633B"/>
    <w:rsid w:val="002D2407"/>
    <w:rsid w:val="002D63E5"/>
    <w:rsid w:val="00314BC1"/>
    <w:rsid w:val="0032397D"/>
    <w:rsid w:val="00346B55"/>
    <w:rsid w:val="00347549"/>
    <w:rsid w:val="00353859"/>
    <w:rsid w:val="0037341A"/>
    <w:rsid w:val="0038794F"/>
    <w:rsid w:val="00390294"/>
    <w:rsid w:val="003B3B6A"/>
    <w:rsid w:val="003D07EF"/>
    <w:rsid w:val="003D5E7C"/>
    <w:rsid w:val="003E7A25"/>
    <w:rsid w:val="004625BD"/>
    <w:rsid w:val="00476B07"/>
    <w:rsid w:val="004D31AD"/>
    <w:rsid w:val="004E2433"/>
    <w:rsid w:val="00502074"/>
    <w:rsid w:val="00543AED"/>
    <w:rsid w:val="00544259"/>
    <w:rsid w:val="00574BE7"/>
    <w:rsid w:val="005D0197"/>
    <w:rsid w:val="005E3BD0"/>
    <w:rsid w:val="00621F4F"/>
    <w:rsid w:val="00627411"/>
    <w:rsid w:val="0065261C"/>
    <w:rsid w:val="00656CA5"/>
    <w:rsid w:val="0068151A"/>
    <w:rsid w:val="0068223A"/>
    <w:rsid w:val="006B061B"/>
    <w:rsid w:val="006B1F12"/>
    <w:rsid w:val="006B3BF3"/>
    <w:rsid w:val="006C056D"/>
    <w:rsid w:val="006C16EE"/>
    <w:rsid w:val="006C1C0B"/>
    <w:rsid w:val="006C1E6E"/>
    <w:rsid w:val="006E0F17"/>
    <w:rsid w:val="006F6E88"/>
    <w:rsid w:val="00722843"/>
    <w:rsid w:val="00726F33"/>
    <w:rsid w:val="00746C25"/>
    <w:rsid w:val="00792140"/>
    <w:rsid w:val="007C4CB0"/>
    <w:rsid w:val="00802798"/>
    <w:rsid w:val="008265AE"/>
    <w:rsid w:val="0086705F"/>
    <w:rsid w:val="008A12C4"/>
    <w:rsid w:val="008D215F"/>
    <w:rsid w:val="008D50B1"/>
    <w:rsid w:val="008D5B20"/>
    <w:rsid w:val="008E4CF4"/>
    <w:rsid w:val="008E6FBE"/>
    <w:rsid w:val="009245B3"/>
    <w:rsid w:val="009420B2"/>
    <w:rsid w:val="00942E94"/>
    <w:rsid w:val="00945008"/>
    <w:rsid w:val="009519A8"/>
    <w:rsid w:val="00971181"/>
    <w:rsid w:val="009932ED"/>
    <w:rsid w:val="009A5EF7"/>
    <w:rsid w:val="00A05759"/>
    <w:rsid w:val="00A2708C"/>
    <w:rsid w:val="00A42352"/>
    <w:rsid w:val="00A50E62"/>
    <w:rsid w:val="00AD697D"/>
    <w:rsid w:val="00B070F2"/>
    <w:rsid w:val="00B1464C"/>
    <w:rsid w:val="00B310F3"/>
    <w:rsid w:val="00B56D97"/>
    <w:rsid w:val="00B67DA0"/>
    <w:rsid w:val="00BC7A8E"/>
    <w:rsid w:val="00BD4E7E"/>
    <w:rsid w:val="00BF7AA4"/>
    <w:rsid w:val="00C361F3"/>
    <w:rsid w:val="00C71F1A"/>
    <w:rsid w:val="00C85B34"/>
    <w:rsid w:val="00C931D2"/>
    <w:rsid w:val="00C960D1"/>
    <w:rsid w:val="00CB49AE"/>
    <w:rsid w:val="00CC50C9"/>
    <w:rsid w:val="00CD029E"/>
    <w:rsid w:val="00D103D2"/>
    <w:rsid w:val="00D20D31"/>
    <w:rsid w:val="00D56A78"/>
    <w:rsid w:val="00D842F8"/>
    <w:rsid w:val="00D914B0"/>
    <w:rsid w:val="00D9469D"/>
    <w:rsid w:val="00DA34A6"/>
    <w:rsid w:val="00DA7999"/>
    <w:rsid w:val="00DB0198"/>
    <w:rsid w:val="00DC6440"/>
    <w:rsid w:val="00E30580"/>
    <w:rsid w:val="00E332D7"/>
    <w:rsid w:val="00E4077D"/>
    <w:rsid w:val="00E474DD"/>
    <w:rsid w:val="00E5518F"/>
    <w:rsid w:val="00E623AE"/>
    <w:rsid w:val="00E75F3D"/>
    <w:rsid w:val="00EB01D6"/>
    <w:rsid w:val="00EB3EF4"/>
    <w:rsid w:val="00EE0D6B"/>
    <w:rsid w:val="00F00700"/>
    <w:rsid w:val="00F12D78"/>
    <w:rsid w:val="00F2457F"/>
    <w:rsid w:val="00F3418B"/>
    <w:rsid w:val="00F37B79"/>
    <w:rsid w:val="00F92C09"/>
    <w:rsid w:val="00FB2F05"/>
    <w:rsid w:val="00FC6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BC39A"/>
  <w15:docId w15:val="{2F1B38C0-E8A7-485A-A975-9B14E9DA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B6A"/>
    <w:rPr>
      <w:rFonts w:ascii="Times New Roman" w:eastAsia="Times New Roman" w:hAnsi="Times New Roman" w:cs="Times New Roman"/>
      <w:kern w:val="0"/>
      <w:sz w:val="24"/>
      <w:szCs w:val="24"/>
      <w:lang w:val="en-GB" w:eastAsia="en-GB"/>
    </w:rPr>
  </w:style>
  <w:style w:type="paragraph" w:styleId="Heading1">
    <w:name w:val="heading 1"/>
    <w:basedOn w:val="Normal"/>
    <w:next w:val="Normal"/>
    <w:link w:val="Heading1Char"/>
    <w:qFormat/>
    <w:rsid w:val="003B3B6A"/>
    <w:pPr>
      <w:keepNext/>
      <w:keepLines/>
      <w:numPr>
        <w:numId w:val="1"/>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B3B6A"/>
    <w:pPr>
      <w:keepNext/>
      <w:keepLines/>
      <w:numPr>
        <w:ilvl w:val="1"/>
        <w:numId w:val="1"/>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3B3B6A"/>
    <w:pPr>
      <w:keepNext/>
      <w:keepLines/>
      <w:numPr>
        <w:ilvl w:val="2"/>
        <w:numId w:val="1"/>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3B3B6A"/>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3B3B6A"/>
    <w:pPr>
      <w:keepNext/>
      <w:keepLines/>
      <w:numPr>
        <w:ilvl w:val="5"/>
        <w:numId w:val="1"/>
      </w:numPr>
      <w:spacing w:before="4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nhideWhenUsed/>
    <w:qFormat/>
    <w:rsid w:val="003B3B6A"/>
    <w:pPr>
      <w:keepNext/>
      <w:keepLines/>
      <w:numPr>
        <w:ilvl w:val="6"/>
        <w:numId w:val="1"/>
      </w:numPr>
      <w:spacing w:before="4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nhideWhenUsed/>
    <w:qFormat/>
    <w:rsid w:val="003B3B6A"/>
    <w:pPr>
      <w:keepNext/>
      <w:keepLines/>
      <w:numPr>
        <w:ilvl w:val="7"/>
        <w:numId w:val="1"/>
      </w:numPr>
      <w:spacing w:before="4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nhideWhenUsed/>
    <w:qFormat/>
    <w:rsid w:val="003B3B6A"/>
    <w:pPr>
      <w:keepNext/>
      <w:keepLines/>
      <w:numPr>
        <w:ilvl w:val="8"/>
        <w:numId w:val="1"/>
      </w:numPr>
      <w:spacing w:before="4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3B6A"/>
    <w:rPr>
      <w:rFonts w:asciiTheme="majorHAnsi" w:eastAsiaTheme="majorEastAsia" w:hAnsiTheme="majorHAnsi" w:cstheme="majorBidi"/>
      <w:b/>
      <w:kern w:val="0"/>
      <w:sz w:val="32"/>
      <w:szCs w:val="32"/>
      <w:lang w:val="en-GB" w:eastAsia="en-GB"/>
    </w:rPr>
  </w:style>
  <w:style w:type="character" w:customStyle="1" w:styleId="Heading2Char">
    <w:name w:val="Heading 2 Char"/>
    <w:basedOn w:val="DefaultParagraphFont"/>
    <w:link w:val="Heading2"/>
    <w:rsid w:val="003B3B6A"/>
    <w:rPr>
      <w:rFonts w:asciiTheme="majorHAnsi" w:eastAsiaTheme="majorEastAsia" w:hAnsiTheme="majorHAnsi" w:cstheme="majorBidi"/>
      <w:b/>
      <w:kern w:val="0"/>
      <w:sz w:val="28"/>
      <w:szCs w:val="28"/>
      <w:lang w:val="en-GB" w:eastAsia="en-GB"/>
    </w:rPr>
  </w:style>
  <w:style w:type="character" w:customStyle="1" w:styleId="Heading3Char">
    <w:name w:val="Heading 3 Char"/>
    <w:basedOn w:val="DefaultParagraphFont"/>
    <w:link w:val="Heading3"/>
    <w:rsid w:val="003B3B6A"/>
    <w:rPr>
      <w:rFonts w:asciiTheme="majorHAnsi" w:eastAsiaTheme="majorEastAsia" w:hAnsiTheme="majorHAnsi" w:cstheme="majorBidi"/>
      <w:kern w:val="0"/>
      <w:sz w:val="24"/>
      <w:szCs w:val="24"/>
      <w:lang w:val="en-GB" w:eastAsia="en-GB"/>
    </w:rPr>
  </w:style>
  <w:style w:type="character" w:customStyle="1" w:styleId="Heading4Char">
    <w:name w:val="Heading 4 Char"/>
    <w:basedOn w:val="DefaultParagraphFont"/>
    <w:link w:val="Heading4"/>
    <w:rsid w:val="003B3B6A"/>
    <w:rPr>
      <w:rFonts w:asciiTheme="majorHAnsi" w:eastAsiaTheme="majorEastAsia" w:hAnsiTheme="majorHAnsi" w:cstheme="majorBidi"/>
      <w:kern w:val="0"/>
      <w:sz w:val="24"/>
      <w:lang w:val="en-GB" w:eastAsia="en-GB"/>
    </w:rPr>
  </w:style>
  <w:style w:type="character" w:customStyle="1" w:styleId="Heading6Char">
    <w:name w:val="Heading 6 Char"/>
    <w:basedOn w:val="DefaultParagraphFont"/>
    <w:link w:val="Heading6"/>
    <w:rsid w:val="003B3B6A"/>
    <w:rPr>
      <w:rFonts w:asciiTheme="majorHAnsi" w:eastAsiaTheme="majorEastAsia" w:hAnsiTheme="majorHAnsi" w:cstheme="majorBidi"/>
      <w:i/>
      <w:iCs/>
      <w:color w:val="1F497D" w:themeColor="text2"/>
      <w:kern w:val="0"/>
      <w:szCs w:val="21"/>
      <w:lang w:val="en-GB" w:eastAsia="en-GB"/>
    </w:rPr>
  </w:style>
  <w:style w:type="character" w:customStyle="1" w:styleId="Heading7Char">
    <w:name w:val="Heading 7 Char"/>
    <w:basedOn w:val="DefaultParagraphFont"/>
    <w:link w:val="Heading7"/>
    <w:rsid w:val="003B3B6A"/>
    <w:rPr>
      <w:rFonts w:asciiTheme="majorHAnsi" w:eastAsiaTheme="majorEastAsia" w:hAnsiTheme="majorHAnsi" w:cstheme="majorBidi"/>
      <w:i/>
      <w:iCs/>
      <w:color w:val="244061" w:themeColor="accent1" w:themeShade="80"/>
      <w:kern w:val="0"/>
      <w:szCs w:val="21"/>
      <w:lang w:val="en-GB" w:eastAsia="en-GB"/>
    </w:rPr>
  </w:style>
  <w:style w:type="character" w:customStyle="1" w:styleId="Heading8Char">
    <w:name w:val="Heading 8 Char"/>
    <w:basedOn w:val="DefaultParagraphFont"/>
    <w:link w:val="Heading8"/>
    <w:rsid w:val="003B3B6A"/>
    <w:rPr>
      <w:rFonts w:asciiTheme="majorHAnsi" w:eastAsiaTheme="majorEastAsia" w:hAnsiTheme="majorHAnsi" w:cstheme="majorBidi"/>
      <w:b/>
      <w:bCs/>
      <w:color w:val="1F497D" w:themeColor="text2"/>
      <w:kern w:val="0"/>
      <w:sz w:val="24"/>
      <w:szCs w:val="24"/>
      <w:lang w:val="en-GB" w:eastAsia="en-GB"/>
    </w:rPr>
  </w:style>
  <w:style w:type="character" w:customStyle="1" w:styleId="Heading9Char">
    <w:name w:val="Heading 9 Char"/>
    <w:basedOn w:val="DefaultParagraphFont"/>
    <w:link w:val="Heading9"/>
    <w:rsid w:val="003B3B6A"/>
    <w:rPr>
      <w:rFonts w:asciiTheme="majorHAnsi" w:eastAsiaTheme="majorEastAsia" w:hAnsiTheme="majorHAnsi" w:cstheme="majorBidi"/>
      <w:b/>
      <w:bCs/>
      <w:i/>
      <w:iCs/>
      <w:color w:val="1F497D" w:themeColor="text2"/>
      <w:kern w:val="0"/>
      <w:sz w:val="24"/>
      <w:szCs w:val="24"/>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3B3B6A"/>
    <w:pPr>
      <w:numPr>
        <w:numId w:val="2"/>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styleId="Title">
    <w:name w:val="Title"/>
    <w:basedOn w:val="Normal"/>
    <w:next w:val="Normal"/>
    <w:link w:val="TitleChar"/>
    <w:uiPriority w:val="10"/>
    <w:qFormat/>
    <w:rsid w:val="003B3B6A"/>
    <w:pPr>
      <w:contextualSpacing/>
    </w:pPr>
    <w:rPr>
      <w:rFonts w:asciiTheme="majorHAnsi" w:eastAsiaTheme="majorEastAsia" w:hAnsiTheme="majorHAnsi" w:cstheme="majorBidi"/>
      <w:b/>
      <w:color w:val="31849B" w:themeColor="accent5" w:themeShade="BF"/>
      <w:spacing w:val="-10"/>
      <w:sz w:val="56"/>
      <w:szCs w:val="56"/>
    </w:rPr>
  </w:style>
  <w:style w:type="character" w:customStyle="1" w:styleId="TitleChar">
    <w:name w:val="Title Char"/>
    <w:basedOn w:val="DefaultParagraphFont"/>
    <w:link w:val="Title"/>
    <w:uiPriority w:val="10"/>
    <w:rsid w:val="003B3B6A"/>
    <w:rPr>
      <w:rFonts w:asciiTheme="majorHAnsi" w:eastAsiaTheme="majorEastAsia" w:hAnsiTheme="majorHAnsi" w:cstheme="majorBidi"/>
      <w:b/>
      <w:color w:val="31849B" w:themeColor="accent5" w:themeShade="BF"/>
      <w:spacing w:val="-10"/>
      <w:kern w:val="0"/>
      <w:sz w:val="56"/>
      <w:szCs w:val="56"/>
      <w:lang w:val="en-GB" w:eastAsia="en-GB"/>
    </w:rPr>
  </w:style>
  <w:style w:type="paragraph" w:styleId="Header">
    <w:name w:val="header"/>
    <w:basedOn w:val="Normal"/>
    <w:link w:val="HeaderChar"/>
    <w:unhideWhenUsed/>
    <w:rsid w:val="003B3B6A"/>
    <w:pPr>
      <w:tabs>
        <w:tab w:val="center" w:pos="4536"/>
        <w:tab w:val="right" w:pos="9072"/>
      </w:tabs>
    </w:pPr>
  </w:style>
  <w:style w:type="character" w:customStyle="1" w:styleId="HeaderChar">
    <w:name w:val="Header Char"/>
    <w:basedOn w:val="DefaultParagraphFont"/>
    <w:link w:val="Header"/>
    <w:rsid w:val="003B3B6A"/>
    <w:rPr>
      <w:rFonts w:ascii="Times New Roman" w:eastAsia="Times New Roman" w:hAnsi="Times New Roman" w:cs="Times New Roman"/>
      <w:kern w:val="0"/>
      <w:sz w:val="24"/>
      <w:szCs w:val="24"/>
      <w:lang w:val="en-GB" w:eastAsia="en-GB"/>
    </w:rPr>
  </w:style>
  <w:style w:type="paragraph" w:styleId="Footer">
    <w:name w:val="footer"/>
    <w:basedOn w:val="Normal"/>
    <w:link w:val="FooterChar"/>
    <w:uiPriority w:val="99"/>
    <w:unhideWhenUsed/>
    <w:rsid w:val="003B3B6A"/>
    <w:pPr>
      <w:tabs>
        <w:tab w:val="center" w:pos="4536"/>
        <w:tab w:val="right" w:pos="9072"/>
      </w:tabs>
    </w:pPr>
  </w:style>
  <w:style w:type="character" w:customStyle="1" w:styleId="FooterChar">
    <w:name w:val="Footer Char"/>
    <w:basedOn w:val="DefaultParagraphFont"/>
    <w:link w:val="Footer"/>
    <w:uiPriority w:val="99"/>
    <w:rsid w:val="003B3B6A"/>
    <w:rPr>
      <w:rFonts w:ascii="Times New Roman" w:eastAsia="Times New Roman" w:hAnsi="Times New Roman" w:cs="Times New Roman"/>
      <w:kern w:val="0"/>
      <w:sz w:val="24"/>
      <w:szCs w:val="24"/>
      <w:lang w:val="en-GB" w:eastAsia="en-GB"/>
    </w:rPr>
  </w:style>
  <w:style w:type="paragraph" w:customStyle="1" w:styleId="Questionstyle">
    <w:name w:val="Question style"/>
    <w:basedOn w:val="Normal"/>
    <w:next w:val="Normal"/>
    <w:link w:val="QuestionstyleChar"/>
    <w:autoRedefine/>
    <w:qFormat/>
    <w:rsid w:val="003B3B6A"/>
    <w:pPr>
      <w:numPr>
        <w:numId w:val="3"/>
      </w:numPr>
      <w:spacing w:after="250" w:line="276" w:lineRule="auto"/>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3B3B6A"/>
    <w:rPr>
      <w:rFonts w:eastAsia="Times New Roman" w:cstheme="minorHAnsi"/>
      <w:kern w:val="0"/>
      <w:sz w:val="22"/>
      <w:lang w:val="en-GB" w:eastAsia="en-GB"/>
    </w:rPr>
  </w:style>
  <w:style w:type="paragraph" w:styleId="FootnoteText">
    <w:name w:val="footnote text"/>
    <w:basedOn w:val="Normal"/>
    <w:link w:val="FootnoteTextChar"/>
    <w:autoRedefine/>
    <w:uiPriority w:val="99"/>
    <w:unhideWhenUsed/>
    <w:qFormat/>
    <w:rsid w:val="003B3B6A"/>
    <w:rPr>
      <w:sz w:val="16"/>
    </w:rPr>
  </w:style>
  <w:style w:type="character" w:customStyle="1" w:styleId="FootnoteTextChar">
    <w:name w:val="Footnote Text Char"/>
    <w:basedOn w:val="DefaultParagraphFont"/>
    <w:link w:val="FootnoteText"/>
    <w:uiPriority w:val="99"/>
    <w:rsid w:val="003B3B6A"/>
    <w:rPr>
      <w:rFonts w:ascii="Times New Roman" w:eastAsia="Times New Roman" w:hAnsi="Times New Roman" w:cs="Times New Roman"/>
      <w:kern w:val="0"/>
      <w:sz w:val="16"/>
      <w:szCs w:val="24"/>
      <w:lang w:val="en-GB" w:eastAsia="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3B3B6A"/>
    <w:rPr>
      <w:rFonts w:asciiTheme="majorHAnsi" w:hAnsiTheme="majorHAnsi"/>
      <w:sz w:val="16"/>
      <w:vertAlign w:val="superscript"/>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3B3B6A"/>
    <w:rPr>
      <w:rFonts w:eastAsiaTheme="majorEastAsia" w:cstheme="minorHAnsi"/>
      <w:kern w:val="0"/>
      <w:sz w:val="22"/>
      <w:lang w:val="en-GB" w:eastAsia="en-GB"/>
    </w:rPr>
  </w:style>
  <w:style w:type="paragraph" w:styleId="BalloonText">
    <w:name w:val="Balloon Text"/>
    <w:basedOn w:val="Normal"/>
    <w:link w:val="BalloonTextChar"/>
    <w:uiPriority w:val="99"/>
    <w:semiHidden/>
    <w:unhideWhenUsed/>
    <w:rsid w:val="003B3B6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B3B6A"/>
    <w:rPr>
      <w:rFonts w:asciiTheme="majorHAnsi" w:eastAsiaTheme="majorEastAsia" w:hAnsiTheme="majorHAnsi" w:cstheme="majorBidi"/>
      <w:kern w:val="0"/>
      <w:sz w:val="18"/>
      <w:szCs w:val="18"/>
      <w:lang w:val="en-GB" w:eastAsia="en-GB"/>
    </w:rPr>
  </w:style>
  <w:style w:type="character" w:styleId="CommentReference">
    <w:name w:val="annotation reference"/>
    <w:basedOn w:val="DefaultParagraphFont"/>
    <w:uiPriority w:val="99"/>
    <w:semiHidden/>
    <w:unhideWhenUsed/>
    <w:rsid w:val="00CD029E"/>
    <w:rPr>
      <w:sz w:val="16"/>
      <w:szCs w:val="16"/>
    </w:rPr>
  </w:style>
  <w:style w:type="paragraph" w:styleId="CommentText">
    <w:name w:val="annotation text"/>
    <w:basedOn w:val="Normal"/>
    <w:link w:val="CommentTextChar"/>
    <w:uiPriority w:val="99"/>
    <w:semiHidden/>
    <w:unhideWhenUsed/>
    <w:rsid w:val="00CD029E"/>
    <w:rPr>
      <w:sz w:val="20"/>
      <w:szCs w:val="20"/>
    </w:rPr>
  </w:style>
  <w:style w:type="character" w:customStyle="1" w:styleId="CommentTextChar">
    <w:name w:val="Comment Text Char"/>
    <w:basedOn w:val="DefaultParagraphFont"/>
    <w:link w:val="CommentText"/>
    <w:uiPriority w:val="99"/>
    <w:semiHidden/>
    <w:rsid w:val="00CD029E"/>
    <w:rPr>
      <w:rFonts w:ascii="Times New Roman" w:eastAsia="Times New Roman" w:hAnsi="Times New Roman" w:cs="Times New Roman"/>
      <w:kern w:val="0"/>
      <w:sz w:val="20"/>
      <w:szCs w:val="20"/>
      <w:lang w:val="en-GB" w:eastAsia="en-GB"/>
    </w:rPr>
  </w:style>
  <w:style w:type="paragraph" w:styleId="CommentSubject">
    <w:name w:val="annotation subject"/>
    <w:basedOn w:val="CommentText"/>
    <w:next w:val="CommentText"/>
    <w:link w:val="CommentSubjectChar"/>
    <w:uiPriority w:val="99"/>
    <w:semiHidden/>
    <w:unhideWhenUsed/>
    <w:rsid w:val="00CD029E"/>
    <w:rPr>
      <w:b/>
      <w:bCs/>
    </w:rPr>
  </w:style>
  <w:style w:type="character" w:customStyle="1" w:styleId="CommentSubjectChar">
    <w:name w:val="Comment Subject Char"/>
    <w:basedOn w:val="CommentTextChar"/>
    <w:link w:val="CommentSubject"/>
    <w:uiPriority w:val="99"/>
    <w:semiHidden/>
    <w:rsid w:val="00CD029E"/>
    <w:rPr>
      <w:rFonts w:ascii="Times New Roman" w:eastAsia="Times New Roman" w:hAnsi="Times New Roman" w:cs="Times New Roman"/>
      <w:b/>
      <w:bCs/>
      <w:kern w:val="0"/>
      <w:sz w:val="20"/>
      <w:szCs w:val="20"/>
      <w:lang w:val="en-GB" w:eastAsia="en-GB"/>
    </w:rPr>
  </w:style>
  <w:style w:type="paragraph" w:customStyle="1" w:styleId="Default">
    <w:name w:val="Default"/>
    <w:rsid w:val="00E4077D"/>
    <w:pPr>
      <w:autoSpaceDE w:val="0"/>
      <w:autoSpaceDN w:val="0"/>
      <w:adjustRightInd w:val="0"/>
    </w:pPr>
    <w:rPr>
      <w:rFonts w:ascii="Calibri" w:hAnsi="Calibri" w:cs="Calibri"/>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ma.europa.e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5e216652-7cb1-42d3-a22f-fb5c7f348db5" origin="userSelected">
  <element uid="id_classification_internalonly"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ludGVybmFsb25seSIgdmFsdWU9IiIgeG1sbnM9Imh0dHA6Ly93d3cuYm9sZG9uamFtZXMuY29tLzIwMDgvMDEvc2llL2ludGVybmFsL2xhYmVsIiAvPjwvc2lzbD48VXNlck5hbWU+T0FBRFx0ajcyODwvVXNlck5hbWU+PERhdGVUaW1lPjA4LjA3LjIwMTkgMTQ6MTE6MTY8L0RhdGVUaW1lPjxMYWJlbFN0cmluZz5JbnRlcm5hb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32B1-B042-4CF2-85E8-65E29A7D756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1EB95C0-DCAA-8946-91A0-E5F4D3A81AFE}">
  <ds:schemaRefs>
    <ds:schemaRef ds:uri="http://schemas.openxmlformats.org/officeDocument/2006/bibliography"/>
  </ds:schemaRefs>
</ds:datastoreItem>
</file>

<file path=customXml/itemProps3.xml><?xml version="1.0" encoding="utf-8"?>
<ds:datastoreItem xmlns:ds="http://schemas.openxmlformats.org/officeDocument/2006/customXml" ds:itemID="{1A6F951B-38E5-40DB-8744-90C5A73ACA1A}">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98FCBCB2-BAFE-F74F-AB1E-FE703CB6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3715</Words>
  <Characters>21176</Characters>
  <Application>Microsoft Office Word</Application>
  <DocSecurity>0</DocSecurity>
  <Lines>176</Lines>
  <Paragraphs>49</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Otashiro, Tetsuo (太田代 哲男)</dc:creator>
  <cp:lastModifiedBy>Tyler Cain</cp:lastModifiedBy>
  <cp:revision>3</cp:revision>
  <cp:lastPrinted>2019-07-22T14:10:00Z</cp:lastPrinted>
  <dcterms:created xsi:type="dcterms:W3CDTF">2019-07-29T12:32:00Z</dcterms:created>
  <dcterms:modified xsi:type="dcterms:W3CDTF">2019-07-29T12:35:00Z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be2a7121-5dfc-462d-aad1-076186424e1b</vt:lpwstr>
  </property>
  <property fmtid="{D5CDD505-2E9C-101B-9397-08002B2CF9AE}" pid="3" name="bjSaver">
    <vt:lpwstr>o8jxo0ipYQWpqH3o1huht86ACJpAtCJr</vt:lpwstr>
  </property>
  <property fmtid="{D5CDD505-2E9C-101B-9397-08002B2CF9AE}" pid="4"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Internal</vt:lpwstr>
  </property>
  <property fmtid="{D5CDD505-2E9C-101B-9397-08002B2CF9AE}" pid="7" name="DBG_Classification_ID">
    <vt:lpwstr>2</vt:lpwstr>
  </property>
  <property fmtid="{D5CDD505-2E9C-101B-9397-08002B2CF9AE}" pid="8" name="DBG_Classification_Name">
    <vt:lpwstr>Internal</vt:lpwstr>
  </property>
  <property fmtid="{D5CDD505-2E9C-101B-9397-08002B2CF9AE}" pid="9" name="bjLabelHistoryID">
    <vt:lpwstr>{1A6F951B-38E5-40DB-8744-90C5A73ACA1A}</vt:lpwstr>
  </property>
  <property fmtid="{D5CDD505-2E9C-101B-9397-08002B2CF9AE}" pid="10" name="MSIP_Label_ab77315c-b517-4740-877c-0c6cb060fe38_Enabled">
    <vt:lpwstr>True</vt:lpwstr>
  </property>
  <property fmtid="{D5CDD505-2E9C-101B-9397-08002B2CF9AE}" pid="11" name="MSIP_Label_ab77315c-b517-4740-877c-0c6cb060fe38_SiteId">
    <vt:lpwstr>0465519d-7f55-4d47-998b-55e2a86f04a8</vt:lpwstr>
  </property>
  <property fmtid="{D5CDD505-2E9C-101B-9397-08002B2CF9AE}" pid="12" name="MSIP_Label_ab77315c-b517-4740-877c-0c6cb060fe38_Owner">
    <vt:lpwstr>lastrada@dtcc.com</vt:lpwstr>
  </property>
  <property fmtid="{D5CDD505-2E9C-101B-9397-08002B2CF9AE}" pid="13" name="MSIP_Label_ab77315c-b517-4740-877c-0c6cb060fe38_SetDate">
    <vt:lpwstr>2019-07-18T15:15:01.9792940Z</vt:lpwstr>
  </property>
  <property fmtid="{D5CDD505-2E9C-101B-9397-08002B2CF9AE}" pid="14" name="MSIP_Label_ab77315c-b517-4740-877c-0c6cb060fe38_Name">
    <vt:lpwstr>DTCC Internal (Green)</vt:lpwstr>
  </property>
  <property fmtid="{D5CDD505-2E9C-101B-9397-08002B2CF9AE}" pid="15" name="MSIP_Label_ab77315c-b517-4740-877c-0c6cb060fe38_Application">
    <vt:lpwstr>Microsoft Azure Information Protection</vt:lpwstr>
  </property>
  <property fmtid="{D5CDD505-2E9C-101B-9397-08002B2CF9AE}" pid="16" name="MSIP_Label_ab77315c-b517-4740-877c-0c6cb060fe38_Extended_MSFT_Method">
    <vt:lpwstr>Manual</vt:lpwstr>
  </property>
  <property fmtid="{D5CDD505-2E9C-101B-9397-08002B2CF9AE}" pid="17" name="MSIP_Label_024770cc-86a8-4dbd-aec7-670b38aa4b4d_Enabled">
    <vt:lpwstr>True</vt:lpwstr>
  </property>
  <property fmtid="{D5CDD505-2E9C-101B-9397-08002B2CF9AE}" pid="18" name="MSIP_Label_024770cc-86a8-4dbd-aec7-670b38aa4b4d_SiteId">
    <vt:lpwstr>0465519d-7f55-4d47-998b-55e2a86f04a8</vt:lpwstr>
  </property>
  <property fmtid="{D5CDD505-2E9C-101B-9397-08002B2CF9AE}" pid="19" name="MSIP_Label_024770cc-86a8-4dbd-aec7-670b38aa4b4d_Owner">
    <vt:lpwstr>lastrada@dtcc.com</vt:lpwstr>
  </property>
  <property fmtid="{D5CDD505-2E9C-101B-9397-08002B2CF9AE}" pid="20" name="MSIP_Label_024770cc-86a8-4dbd-aec7-670b38aa4b4d_SetDate">
    <vt:lpwstr>2019-07-18T15:15:01.9792940Z</vt:lpwstr>
  </property>
  <property fmtid="{D5CDD505-2E9C-101B-9397-08002B2CF9AE}" pid="21" name="MSIP_Label_024770cc-86a8-4dbd-aec7-670b38aa4b4d_Name">
    <vt:lpwstr>Default Marking</vt:lpwstr>
  </property>
  <property fmtid="{D5CDD505-2E9C-101B-9397-08002B2CF9AE}" pid="22" name="MSIP_Label_024770cc-86a8-4dbd-aec7-670b38aa4b4d_Application">
    <vt:lpwstr>Microsoft Azure Information Protection</vt:lpwstr>
  </property>
  <property fmtid="{D5CDD505-2E9C-101B-9397-08002B2CF9AE}" pid="23" name="MSIP_Label_024770cc-86a8-4dbd-aec7-670b38aa4b4d_Parent">
    <vt:lpwstr>ab77315c-b517-4740-877c-0c6cb060fe38</vt:lpwstr>
  </property>
  <property fmtid="{D5CDD505-2E9C-101B-9397-08002B2CF9AE}" pid="24" name="MSIP_Label_024770cc-86a8-4dbd-aec7-670b38aa4b4d_Extended_MSFT_Method">
    <vt:lpwstr>Manual</vt:lpwstr>
  </property>
  <property fmtid="{D5CDD505-2E9C-101B-9397-08002B2CF9AE}" pid="25" name="Sensitivity">
    <vt:lpwstr>DTCC Internal (Green) Default Marking</vt:lpwstr>
  </property>
</Properties>
</file>