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5A5DAB5D" w14:textId="77777777" w:rsidR="00D377FD" w:rsidRDefault="00D377FD" w:rsidP="00D377FD">
                <w:pPr>
                  <w:pStyle w:val="Subtitle"/>
                  <w:rPr>
                    <w:rFonts w:cs="Arial"/>
                  </w:rPr>
                </w:pPr>
                <w:r>
                  <w:rPr>
                    <w:rFonts w:cs="Arial"/>
                  </w:rPr>
                  <w:t xml:space="preserve">Technical Advice on Comparable Compliance under article 25a of EMIR   </w:t>
                </w:r>
              </w:p>
              <w:p w14:paraId="26CF3934" w14:textId="5C9850B9"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3DA068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35AE6" w:rsidRPr="00D664EB">
            <w:rPr>
              <w:rFonts w:asciiTheme="minorHAnsi" w:eastAsiaTheme="minorEastAsia" w:hAnsiTheme="minorHAnsi" w:cstheme="minorBidi"/>
              <w:b/>
              <w:sz w:val="22"/>
              <w:szCs w:val="20"/>
              <w:lang w:eastAsia="en-US"/>
            </w:rPr>
            <w:t>29</w:t>
          </w:r>
          <w:r w:rsidRPr="00D664EB">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E37AD3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220938">
            <w:rPr>
              <w:rFonts w:eastAsiaTheme="minorEastAsia" w:cstheme="minorBidi"/>
              <w:szCs w:val="20"/>
              <w:lang w:eastAsia="en-US"/>
            </w:rPr>
            <w:t>TA</w:t>
          </w:r>
          <w:r w:rsidR="0079513D">
            <w:rPr>
              <w:rFonts w:eastAsiaTheme="minorEastAsia" w:cstheme="minorBidi"/>
              <w:szCs w:val="20"/>
              <w:lang w:eastAsia="en-US"/>
            </w:rPr>
            <w:t>C</w:t>
          </w:r>
          <w:r w:rsidR="00220938">
            <w:rPr>
              <w:rFonts w:eastAsiaTheme="minorEastAsia" w:cstheme="minorBidi"/>
              <w:szCs w:val="20"/>
              <w:lang w:eastAsia="en-US"/>
            </w:rPr>
            <w:t>C</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3050D54F"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220938">
            <w:rPr>
              <w:rFonts w:eastAsiaTheme="minorEastAsia" w:cstheme="minorBidi"/>
              <w:szCs w:val="20"/>
              <w:lang w:eastAsia="en-US"/>
            </w:rPr>
            <w:t>TA</w:t>
          </w:r>
          <w:r w:rsidR="0079513D">
            <w:rPr>
              <w:rFonts w:eastAsiaTheme="minorEastAsia" w:cstheme="minorBidi"/>
              <w:szCs w:val="20"/>
              <w:lang w:eastAsia="en-US"/>
            </w:rPr>
            <w:t>CC</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220938">
            <w:rPr>
              <w:rFonts w:eastAsiaTheme="minorEastAsia" w:cstheme="minorBidi"/>
              <w:szCs w:val="20"/>
              <w:lang w:eastAsia="en-US"/>
            </w:rPr>
            <w:t>TA</w:t>
          </w:r>
          <w:r w:rsidR="0079513D">
            <w:rPr>
              <w:rFonts w:eastAsiaTheme="minorEastAsia" w:cstheme="minorBidi"/>
              <w:szCs w:val="20"/>
              <w:lang w:eastAsia="en-US"/>
            </w:rPr>
            <w:t>C</w:t>
          </w:r>
          <w:r w:rsidR="00220938">
            <w:rPr>
              <w:rFonts w:eastAsiaTheme="minorEastAsia" w:cstheme="minorBidi"/>
              <w:szCs w:val="20"/>
              <w:lang w:eastAsia="en-US"/>
            </w:rPr>
            <w:t>C</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F80FC06" w14:textId="77777777" w:rsidR="00220938" w:rsidRPr="00220938" w:rsidRDefault="00220938" w:rsidP="00220938">
          <w:pPr>
            <w:spacing w:after="250" w:line="276" w:lineRule="auto"/>
            <w:jc w:val="both"/>
            <w:rPr>
              <w:rFonts w:asciiTheme="minorHAnsi" w:eastAsiaTheme="minorEastAsia" w:hAnsiTheme="minorHAnsi" w:cstheme="minorBidi"/>
              <w:sz w:val="22"/>
              <w:szCs w:val="20"/>
              <w:lang w:eastAsia="en-US"/>
            </w:rPr>
          </w:pPr>
          <w:r w:rsidRPr="00220938">
            <w:rPr>
              <w:rFonts w:asciiTheme="minorHAnsi" w:eastAsiaTheme="minorEastAsia" w:hAnsiTheme="minorHAnsi" w:cstheme="minorBidi"/>
              <w:sz w:val="22"/>
              <w:szCs w:val="20"/>
              <w:lang w:eastAsia="en-US"/>
            </w:rPr>
            <w:t>All interested stakeholders are invited to respond to this consultation paper. In particular, responses are sought from central counterparties (CCPs), clearing members and clients of clearing members.</w:t>
          </w:r>
        </w:p>
        <w:p w14:paraId="14912E5E" w14:textId="1CE85474" w:rsidR="00AF2EF7" w:rsidRPr="00B8572C" w:rsidRDefault="00836D6D"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AE551B9" w:rsidR="00C85C8B" w:rsidRPr="00C85C8B" w:rsidRDefault="00E96D13" w:rsidP="00C85C8B">
                <w:pPr>
                  <w:rPr>
                    <w:rFonts w:ascii="Arial" w:hAnsi="Arial" w:cs="Arial"/>
                    <w:color w:val="808080"/>
                    <w:sz w:val="20"/>
                    <w:lang w:eastAsia="de-DE"/>
                  </w:rPr>
                </w:pPr>
                <w:r>
                  <w:rPr>
                    <w:rFonts w:ascii="Arial" w:hAnsi="Arial" w:cs="Arial"/>
                    <w:color w:val="808080"/>
                    <w:sz w:val="20"/>
                    <w:lang w:eastAsia="de-DE"/>
                  </w:rPr>
                  <w:t>The London Stock Exchange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DD17128" w:rsidR="00C85C8B" w:rsidRPr="00C85C8B" w:rsidRDefault="00836D6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96D13">
                  <w:rPr>
                    <w:rFonts w:ascii="Arial" w:hAnsi="Arial" w:cs="Arial"/>
                    <w:sz w:val="20"/>
                    <w:lang w:eastAsia="de-DE"/>
                  </w:rPr>
                  <w:t>Central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7F62C19" w:rsidR="00C85C8B" w:rsidRPr="00C85C8B" w:rsidRDefault="00E96D13" w:rsidP="00C85C8B">
                <w:pPr>
                  <w:rPr>
                    <w:rFonts w:ascii="Arial" w:hAnsi="Arial" w:cs="Arial"/>
                    <w:sz w:val="20"/>
                    <w:lang w:eastAsia="de-DE"/>
                  </w:rPr>
                </w:pPr>
                <w:r>
                  <w:rPr>
                    <w:rFonts w:ascii="Arial" w:hAnsi="Arial" w:cs="Arial"/>
                    <w:sz w:val="20"/>
                    <w:lang w:eastAsia="de-DE"/>
                  </w:rPr>
                  <w:t>UK</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AB9B073"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theme="minorBidi"/>
          <w:sz w:val="22"/>
          <w:szCs w:val="20"/>
          <w:lang w:eastAsia="en-US"/>
        </w:rPr>
        <w:t>TA</w:t>
      </w:r>
      <w:r w:rsidR="0079513D">
        <w:rPr>
          <w:rFonts w:asciiTheme="minorHAnsi" w:eastAsiaTheme="minorEastAsia" w:hAnsiTheme="minorHAnsi" w:cstheme="minorBidi"/>
          <w:sz w:val="22"/>
          <w:szCs w:val="20"/>
          <w:lang w:eastAsia="en-US"/>
        </w:rPr>
        <w:t>C</w:t>
      </w:r>
      <w:r w:rsidR="00220938">
        <w:rPr>
          <w:rFonts w:asciiTheme="minorHAnsi" w:eastAsiaTheme="minorEastAsia" w:hAnsiTheme="minorHAnsi" w:cstheme="minorBidi"/>
          <w:sz w:val="22"/>
          <w:szCs w:val="20"/>
          <w:lang w:eastAsia="en-US"/>
        </w:rPr>
        <w:t>C</w:t>
      </w:r>
      <w:r w:rsidRPr="00C85C8B">
        <w:rPr>
          <w:rFonts w:asciiTheme="minorHAnsi" w:eastAsiaTheme="minorEastAsia" w:hAnsiTheme="minorHAnsi" w:cstheme="minorBidi"/>
          <w:sz w:val="22"/>
          <w:szCs w:val="20"/>
          <w:lang w:eastAsia="en-US"/>
        </w:rPr>
        <w:t>_1&gt;</w:t>
      </w:r>
    </w:p>
    <w:p w14:paraId="59B634B5" w14:textId="77777777" w:rsidR="00F22FAF" w:rsidRPr="00836D6D" w:rsidRDefault="00F22FAF" w:rsidP="00836D6D">
      <w:pPr>
        <w:jc w:val="both"/>
        <w:rPr>
          <w:rFonts w:ascii="Arial" w:hAnsi="Arial" w:cs="Arial"/>
        </w:rPr>
      </w:pPr>
      <w:permStart w:id="885457707" w:edGrp="everyone"/>
      <w:r w:rsidRPr="00836D6D">
        <w:rPr>
          <w:rFonts w:ascii="Arial" w:hAnsi="Arial" w:cs="Arial"/>
        </w:rPr>
        <w:t xml:space="preserve">The London Stock Exchange Group (“LSEG” or “the Group”) is a financial market infrastructure provider, headquartered in London, with significant operations in Europe, North America and Asia.  The Group’s diversified global business focuses on capital formation, intellectual property and risk and balance sheet management. LSEG operates an open access model, offering choice and partnership to customers across </w:t>
      </w:r>
      <w:proofErr w:type="gramStart"/>
      <w:r w:rsidRPr="00836D6D">
        <w:rPr>
          <w:rFonts w:ascii="Arial" w:hAnsi="Arial" w:cs="Arial"/>
        </w:rPr>
        <w:t>all of</w:t>
      </w:r>
      <w:proofErr w:type="gramEnd"/>
      <w:r w:rsidRPr="00836D6D">
        <w:rPr>
          <w:rFonts w:ascii="Arial" w:hAnsi="Arial" w:cs="Arial"/>
        </w:rPr>
        <w:t xml:space="preserve"> its businesses. </w:t>
      </w:r>
    </w:p>
    <w:p w14:paraId="3E10F126" w14:textId="77777777" w:rsidR="00F22FAF" w:rsidRPr="00836D6D" w:rsidRDefault="00F22FAF" w:rsidP="00836D6D">
      <w:pPr>
        <w:jc w:val="both"/>
        <w:rPr>
          <w:rFonts w:ascii="Arial" w:hAnsi="Arial" w:cs="Arial"/>
        </w:rPr>
      </w:pPr>
    </w:p>
    <w:p w14:paraId="2B002023" w14:textId="77777777" w:rsidR="00F22FAF" w:rsidRPr="00836D6D" w:rsidRDefault="00F22FAF" w:rsidP="00836D6D">
      <w:pPr>
        <w:jc w:val="both"/>
        <w:rPr>
          <w:rFonts w:ascii="Arial" w:hAnsi="Arial" w:cs="Arial"/>
        </w:rPr>
      </w:pPr>
      <w:r w:rsidRPr="00836D6D">
        <w:rPr>
          <w:rFonts w:ascii="Arial" w:hAnsi="Arial" w:cs="Arial"/>
        </w:rPr>
        <w:t xml:space="preserve">LSEG operates multiple clearing houses. It has majority ownership of the multi-asset global CCP operator, LCH Group (“LCH”). LCH has legal subsidiaries in the UK (LCH Ltd) and France (LCH S.A.). It is a leading multi-asset class and international clearing house, serving major international exchanges and platforms as well as a range of OTC markets. It clears a broad range of asset classes, including: securities, exchange-traded derivatives, commodities, foreign exchange derivatives, interest rate swaps, credit default swaps and Euro, sterling and US dollar denominated bonds and repos. </w:t>
      </w:r>
    </w:p>
    <w:p w14:paraId="3EDDB6AE" w14:textId="77777777" w:rsidR="00F22FAF" w:rsidRPr="00836D6D" w:rsidRDefault="00F22FAF" w:rsidP="00836D6D">
      <w:pPr>
        <w:jc w:val="both"/>
        <w:rPr>
          <w:rFonts w:ascii="Arial" w:hAnsi="Arial" w:cs="Arial"/>
        </w:rPr>
      </w:pPr>
    </w:p>
    <w:p w14:paraId="5AB6147D" w14:textId="77777777" w:rsidR="00F22FAF" w:rsidRPr="00836D6D" w:rsidRDefault="00F22FAF" w:rsidP="00836D6D">
      <w:pPr>
        <w:jc w:val="both"/>
        <w:rPr>
          <w:rFonts w:ascii="Arial" w:hAnsi="Arial" w:cs="Arial"/>
        </w:rPr>
      </w:pPr>
      <w:r w:rsidRPr="00836D6D">
        <w:rPr>
          <w:rFonts w:ascii="Arial" w:hAnsi="Arial" w:cs="Arial"/>
        </w:rPr>
        <w:t xml:space="preserve">In addition, LSEG operates </w:t>
      </w:r>
      <w:proofErr w:type="spellStart"/>
      <w:r w:rsidRPr="00836D6D">
        <w:rPr>
          <w:rFonts w:ascii="Arial" w:hAnsi="Arial" w:cs="Arial"/>
        </w:rPr>
        <w:t>Cassa</w:t>
      </w:r>
      <w:proofErr w:type="spellEnd"/>
      <w:r w:rsidRPr="00836D6D">
        <w:rPr>
          <w:rFonts w:ascii="Arial" w:hAnsi="Arial" w:cs="Arial"/>
        </w:rPr>
        <w:t xml:space="preserve"> di </w:t>
      </w:r>
      <w:proofErr w:type="spellStart"/>
      <w:r w:rsidRPr="00836D6D">
        <w:rPr>
          <w:rFonts w:ascii="Arial" w:hAnsi="Arial" w:cs="Arial"/>
        </w:rPr>
        <w:t>Compensazione</w:t>
      </w:r>
      <w:proofErr w:type="spellEnd"/>
      <w:r w:rsidRPr="00836D6D">
        <w:rPr>
          <w:rFonts w:ascii="Arial" w:hAnsi="Arial" w:cs="Arial"/>
        </w:rPr>
        <w:t xml:space="preserve"> e </w:t>
      </w:r>
      <w:proofErr w:type="spellStart"/>
      <w:r w:rsidRPr="00836D6D">
        <w:rPr>
          <w:rFonts w:ascii="Arial" w:hAnsi="Arial" w:cs="Arial"/>
        </w:rPr>
        <w:t>Garanzia</w:t>
      </w:r>
      <w:proofErr w:type="spellEnd"/>
      <w:r w:rsidRPr="00836D6D">
        <w:rPr>
          <w:rFonts w:ascii="Arial" w:hAnsi="Arial" w:cs="Arial"/>
        </w:rPr>
        <w:t xml:space="preserve"> S.p.A. ("CC&amp;G"), the Italian clearing house, providing clearing services for a range of European securities as well as exchange traded equity and commodities derivatives.</w:t>
      </w:r>
    </w:p>
    <w:permEnd w:id="885457707"/>
    <w:p w14:paraId="15D00E65" w14:textId="30F9588E"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Arial"/>
          <w:sz w:val="22"/>
          <w:szCs w:val="20"/>
          <w:lang w:eastAsia="en-US"/>
        </w:rPr>
        <w:t>TA</w:t>
      </w:r>
      <w:r w:rsidR="0079513D">
        <w:rPr>
          <w:rFonts w:asciiTheme="minorHAnsi" w:eastAsiaTheme="minorEastAsia" w:hAnsiTheme="minorHAnsi" w:cs="Arial"/>
          <w:sz w:val="22"/>
          <w:szCs w:val="20"/>
          <w:lang w:eastAsia="en-US"/>
        </w:rPr>
        <w:t>C</w:t>
      </w:r>
      <w:r w:rsidR="00220938">
        <w:rPr>
          <w:rFonts w:asciiTheme="minorHAnsi" w:eastAsiaTheme="minorEastAsia" w:hAnsiTheme="minorHAnsi" w:cs="Arial"/>
          <w:sz w:val="22"/>
          <w:szCs w:val="20"/>
          <w:lang w:eastAsia="en-US"/>
        </w:rPr>
        <w:t>C</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8C70DA9" w:rsidR="00AB6157" w:rsidRDefault="00AB6157" w:rsidP="00C1698A">
      <w:pPr>
        <w:spacing w:line="276" w:lineRule="auto"/>
        <w:rPr>
          <w:rFonts w:asciiTheme="minorHAnsi" w:hAnsiTheme="minorHAnsi" w:cstheme="minorHAnsi"/>
          <w:b/>
          <w:sz w:val="28"/>
          <w:szCs w:val="28"/>
        </w:rPr>
      </w:pPr>
    </w:p>
    <w:p w14:paraId="2E28396E" w14:textId="77777777" w:rsidR="0079513D" w:rsidRDefault="0079513D" w:rsidP="0079513D">
      <w:pPr>
        <w:pStyle w:val="Questionstyle"/>
        <w:numPr>
          <w:ilvl w:val="0"/>
          <w:numId w:val="9"/>
        </w:numPr>
        <w:spacing w:after="250" w:line="276" w:lineRule="auto"/>
      </w:pPr>
      <w:r>
        <w:t>: Do you agree on the overall approach proposed for ESMA’s assessment for comparable compliance? What other considerations should be reflected in the assessment for comparable compliance?  </w:t>
      </w:r>
    </w:p>
    <w:p w14:paraId="58300C26" w14:textId="77777777" w:rsidR="0079513D" w:rsidRDefault="0079513D" w:rsidP="0079513D">
      <w:pPr>
        <w:rPr>
          <w:rFonts w:ascii="Arial" w:hAnsi="Arial" w:cs="Arial"/>
        </w:rPr>
      </w:pPr>
      <w:r>
        <w:rPr>
          <w:rFonts w:ascii="Arial" w:hAnsi="Arial" w:cs="Arial"/>
        </w:rPr>
        <w:t>&lt;ESMA_QUESTION_TACC_1&gt;</w:t>
      </w:r>
    </w:p>
    <w:p w14:paraId="57239C65" w14:textId="77777777" w:rsidR="00F22FAF" w:rsidRPr="00F22FAF" w:rsidRDefault="00F22FAF" w:rsidP="00836D6D">
      <w:pPr>
        <w:jc w:val="both"/>
        <w:rPr>
          <w:rFonts w:ascii="Arial" w:hAnsi="Arial" w:cs="Arial"/>
        </w:rPr>
      </w:pPr>
      <w:permStart w:id="582570390" w:edGrp="everyone"/>
      <w:r w:rsidRPr="00F22FAF">
        <w:rPr>
          <w:rFonts w:ascii="Arial" w:hAnsi="Arial" w:cs="Arial"/>
        </w:rPr>
        <w:t xml:space="preserve">We agree with the general approach proposed for ESMA’s assessment for comparable compliance. LSEG recommends that ESMA’s assessment should be measurable and consistent with its approach to how all the CCPs will be assessed. </w:t>
      </w:r>
    </w:p>
    <w:p w14:paraId="0C33A802" w14:textId="77777777" w:rsidR="00F22FAF" w:rsidRPr="00F22FAF" w:rsidRDefault="00F22FAF" w:rsidP="00836D6D">
      <w:pPr>
        <w:jc w:val="both"/>
        <w:rPr>
          <w:rFonts w:ascii="Arial" w:hAnsi="Arial" w:cs="Arial"/>
        </w:rPr>
      </w:pPr>
    </w:p>
    <w:p w14:paraId="34C11BFC" w14:textId="77777777" w:rsidR="00F22FAF" w:rsidRPr="00F22FAF" w:rsidRDefault="00F22FAF" w:rsidP="00836D6D">
      <w:pPr>
        <w:jc w:val="both"/>
        <w:rPr>
          <w:rFonts w:ascii="Arial" w:hAnsi="Arial" w:cs="Arial"/>
        </w:rPr>
      </w:pPr>
      <w:r w:rsidRPr="00F22FAF">
        <w:rPr>
          <w:rFonts w:ascii="Arial" w:hAnsi="Arial" w:cs="Arial"/>
        </w:rPr>
        <w:t xml:space="preserve">We are generally more supportive of an outcome-based approach as opposed to a requirement-by-requirement one, as the former ensures that CCPs </w:t>
      </w:r>
      <w:proofErr w:type="gramStart"/>
      <w:r w:rsidRPr="00F22FAF">
        <w:rPr>
          <w:rFonts w:ascii="Arial" w:hAnsi="Arial" w:cs="Arial"/>
        </w:rPr>
        <w:t>are in compliance with</w:t>
      </w:r>
      <w:proofErr w:type="gramEnd"/>
      <w:r w:rsidRPr="00F22FAF">
        <w:rPr>
          <w:rFonts w:ascii="Arial" w:hAnsi="Arial" w:cs="Arial"/>
        </w:rPr>
        <w:t xml:space="preserve"> all requirements and saves time and cost that may be associated with meeting each requirement using a requirement-by-requirement approach. ESMA should further develop and complete its assessment methodology for an outcome-based approach, to ensure that the requirements are holistic and that all CCPs are assessed consistently.</w:t>
      </w:r>
    </w:p>
    <w:p w14:paraId="6F5B626B" w14:textId="77777777" w:rsidR="00F22FAF" w:rsidRPr="00F22FAF" w:rsidRDefault="00F22FAF" w:rsidP="00836D6D">
      <w:pPr>
        <w:jc w:val="both"/>
        <w:rPr>
          <w:rFonts w:ascii="Arial" w:hAnsi="Arial" w:cs="Arial"/>
        </w:rPr>
      </w:pPr>
    </w:p>
    <w:p w14:paraId="1FDB94D7" w14:textId="77777777" w:rsidR="00F22FAF" w:rsidRPr="00F22FAF" w:rsidRDefault="00F22FAF" w:rsidP="00836D6D">
      <w:pPr>
        <w:jc w:val="both"/>
        <w:rPr>
          <w:rFonts w:ascii="Arial" w:hAnsi="Arial" w:cs="Arial"/>
        </w:rPr>
      </w:pPr>
      <w:r w:rsidRPr="00F22FAF">
        <w:rPr>
          <w:rFonts w:ascii="Arial" w:hAnsi="Arial" w:cs="Arial"/>
        </w:rPr>
        <w:t>In relation to a CCP that has gained comparable compliance, ESMA should clarify the implications for the CCP, when it comes to deference of ESMA’s supervisory power over the CCP. Article 18 (Section 3) in this consultation paper states that a recognised Tier 2 CCP may be requested by ESMA to provide information in accordance with Article 25c of EMIR, initiate general investigations or on-site inspections, and adopt any necessary supervisory measures for the enforcement of EMIR requirements – independently or jointly with the Third Country (TC) supervisory authority. It is not clear (</w:t>
      </w:r>
      <w:proofErr w:type="spellStart"/>
      <w:r w:rsidRPr="00F22FAF">
        <w:rPr>
          <w:rFonts w:ascii="Arial" w:hAnsi="Arial" w:cs="Arial"/>
        </w:rPr>
        <w:t>i</w:t>
      </w:r>
      <w:proofErr w:type="spellEnd"/>
      <w:r w:rsidRPr="00F22FAF">
        <w:rPr>
          <w:rFonts w:ascii="Arial" w:hAnsi="Arial" w:cs="Arial"/>
        </w:rPr>
        <w:t>) under what circumstances these additional information / measures will be taken by ESMA; and (ii) what the balance of roles or power sharing between ESMA and the supervisory authority in the respective TC will look like.</w:t>
      </w:r>
    </w:p>
    <w:p w14:paraId="45E9BA39" w14:textId="77777777" w:rsidR="00F22FAF" w:rsidRPr="00F22FAF" w:rsidRDefault="00F22FAF" w:rsidP="00836D6D">
      <w:pPr>
        <w:jc w:val="both"/>
        <w:rPr>
          <w:rFonts w:ascii="Arial" w:hAnsi="Arial" w:cs="Arial"/>
        </w:rPr>
      </w:pPr>
    </w:p>
    <w:p w14:paraId="3299E670" w14:textId="77777777" w:rsidR="00F22FAF" w:rsidRPr="00F22FAF" w:rsidRDefault="00F22FAF" w:rsidP="00836D6D">
      <w:pPr>
        <w:jc w:val="both"/>
        <w:rPr>
          <w:rFonts w:ascii="Arial" w:hAnsi="Arial" w:cs="Arial"/>
        </w:rPr>
      </w:pPr>
      <w:r w:rsidRPr="00F22FAF">
        <w:rPr>
          <w:rFonts w:ascii="Arial" w:hAnsi="Arial" w:cs="Arial"/>
        </w:rPr>
        <w:t xml:space="preserve">LSEG encourages cooperation and coordination between ESMA and the TC supervisory authorities, wherever possible. </w:t>
      </w:r>
      <w:proofErr w:type="gramStart"/>
      <w:r w:rsidRPr="00F22FAF">
        <w:rPr>
          <w:rFonts w:ascii="Arial" w:hAnsi="Arial" w:cs="Arial"/>
        </w:rPr>
        <w:t>In particular, when</w:t>
      </w:r>
      <w:proofErr w:type="gramEnd"/>
      <w:r w:rsidRPr="00F22FAF">
        <w:rPr>
          <w:rFonts w:ascii="Arial" w:hAnsi="Arial" w:cs="Arial"/>
        </w:rPr>
        <w:t xml:space="preserve"> a CCP meets comparable compliance, ESMA should coordinate with the TC supervisor to carry out supervisory activities (e.g. investigations) so to make the whole process more efficient. Generally, ESMA should have a framework in place whereby it relies on the TC supervisors for overall compliance with comparable requirements.</w:t>
      </w:r>
    </w:p>
    <w:p w14:paraId="552A2656" w14:textId="77777777" w:rsidR="00F22FAF" w:rsidRPr="00F22FAF" w:rsidRDefault="00F22FAF" w:rsidP="00836D6D">
      <w:pPr>
        <w:jc w:val="both"/>
        <w:rPr>
          <w:rFonts w:ascii="Arial" w:hAnsi="Arial" w:cs="Arial"/>
        </w:rPr>
      </w:pPr>
    </w:p>
    <w:p w14:paraId="4D0D8E4D" w14:textId="77777777" w:rsidR="00F22FAF" w:rsidRPr="00F22FAF" w:rsidRDefault="00F22FAF" w:rsidP="00836D6D">
      <w:pPr>
        <w:jc w:val="both"/>
        <w:rPr>
          <w:rFonts w:ascii="Arial" w:hAnsi="Arial" w:cs="Arial"/>
        </w:rPr>
      </w:pPr>
      <w:r w:rsidRPr="00F22FAF">
        <w:rPr>
          <w:rFonts w:ascii="Arial" w:hAnsi="Arial" w:cs="Arial"/>
        </w:rPr>
        <w:t xml:space="preserve">ESMA should also clarify the details of the process involved for a CCP once the status of comparable compliance is withdrawn from the TC CCP, i.e. what measures, policies and procedure does the CCP have to consider </w:t>
      </w:r>
      <w:proofErr w:type="gramStart"/>
      <w:r w:rsidRPr="00F22FAF">
        <w:rPr>
          <w:rFonts w:ascii="Arial" w:hAnsi="Arial" w:cs="Arial"/>
        </w:rPr>
        <w:t>in order to</w:t>
      </w:r>
      <w:proofErr w:type="gramEnd"/>
      <w:r w:rsidRPr="00F22FAF">
        <w:rPr>
          <w:rFonts w:ascii="Arial" w:hAnsi="Arial" w:cs="Arial"/>
        </w:rPr>
        <w:t xml:space="preserve"> request comparable compliance again and how much time will they be given to provide the necessary application details.</w:t>
      </w:r>
    </w:p>
    <w:p w14:paraId="1C1910BE" w14:textId="77777777" w:rsidR="00F22FAF" w:rsidRPr="00F22FAF" w:rsidRDefault="00F22FAF" w:rsidP="00836D6D">
      <w:pPr>
        <w:jc w:val="both"/>
        <w:rPr>
          <w:rFonts w:ascii="Arial" w:hAnsi="Arial" w:cs="Arial"/>
        </w:rPr>
      </w:pPr>
    </w:p>
    <w:p w14:paraId="2B7C606D" w14:textId="77777777" w:rsidR="00F22FAF" w:rsidRDefault="00F22FAF" w:rsidP="00836D6D">
      <w:pPr>
        <w:jc w:val="both"/>
        <w:rPr>
          <w:rFonts w:ascii="Arial" w:hAnsi="Arial" w:cs="Arial"/>
        </w:rPr>
      </w:pPr>
      <w:r w:rsidRPr="00F22FAF">
        <w:rPr>
          <w:rFonts w:ascii="Arial" w:hAnsi="Arial" w:cs="Arial"/>
        </w:rPr>
        <w:t>We are supportive of ESMA’s proposal to consult the TC CCP and the TC supervisor when it rejects the request for comparable compliance in respect to a given EMIR requirement before coming to a final determination. The final delegated act should reflect this.</w:t>
      </w:r>
    </w:p>
    <w:permEnd w:id="582570390"/>
    <w:p w14:paraId="5C6CD2DD" w14:textId="7D7C7AB5" w:rsidR="0079513D" w:rsidRDefault="0079513D" w:rsidP="0079513D">
      <w:pPr>
        <w:rPr>
          <w:rFonts w:ascii="Arial" w:hAnsi="Arial" w:cs="Arial"/>
        </w:rPr>
      </w:pPr>
      <w:r>
        <w:rPr>
          <w:rFonts w:ascii="Arial" w:hAnsi="Arial" w:cs="Arial"/>
        </w:rPr>
        <w:t>&lt;ESMA_QUESTION_TACC_1&gt;</w:t>
      </w:r>
    </w:p>
    <w:p w14:paraId="55E23D41" w14:textId="77777777" w:rsidR="0079513D" w:rsidRDefault="0079513D" w:rsidP="0079513D">
      <w:pPr>
        <w:rPr>
          <w:rFonts w:ascii="Arial" w:hAnsi="Arial" w:cs="Arial"/>
        </w:rPr>
      </w:pPr>
    </w:p>
    <w:p w14:paraId="382BAFDD" w14:textId="77777777" w:rsidR="0079513D" w:rsidRDefault="0079513D" w:rsidP="0079513D">
      <w:pPr>
        <w:rPr>
          <w:rFonts w:ascii="Arial" w:hAnsi="Arial" w:cs="Arial"/>
        </w:rPr>
      </w:pPr>
    </w:p>
    <w:p w14:paraId="7F067325" w14:textId="77777777" w:rsidR="0079513D" w:rsidRDefault="0079513D" w:rsidP="0079513D">
      <w:pPr>
        <w:pStyle w:val="Questionstyle"/>
        <w:numPr>
          <w:ilvl w:val="0"/>
          <w:numId w:val="9"/>
        </w:numPr>
        <w:spacing w:after="250" w:line="276" w:lineRule="auto"/>
      </w:pPr>
      <w:r>
        <w:t xml:space="preserve">: Do you agree that ESMA should accept a requirement in a third country as comparable to a corresponding requirement under EMIR where it is assessed to be, on an outcome basis, equal or at least as strict or conservative as, the corresponding requirement under EMIR? </w:t>
      </w:r>
    </w:p>
    <w:p w14:paraId="357C45AF" w14:textId="77777777" w:rsidR="0079513D" w:rsidRDefault="0079513D" w:rsidP="0079513D">
      <w:pPr>
        <w:rPr>
          <w:rFonts w:ascii="Arial" w:hAnsi="Arial" w:cs="Arial"/>
        </w:rPr>
      </w:pPr>
      <w:r>
        <w:rPr>
          <w:rFonts w:ascii="Arial" w:hAnsi="Arial" w:cs="Arial"/>
        </w:rPr>
        <w:t>&lt;ESMA_QUESTION_TACC_2&gt;</w:t>
      </w:r>
    </w:p>
    <w:p w14:paraId="68B3727B" w14:textId="77777777" w:rsidR="00836D6D" w:rsidRDefault="00F22FAF" w:rsidP="00836D6D">
      <w:pPr>
        <w:jc w:val="both"/>
        <w:rPr>
          <w:rFonts w:ascii="Arial" w:hAnsi="Arial" w:cs="Arial"/>
        </w:rPr>
      </w:pPr>
      <w:permStart w:id="206729273" w:edGrp="everyone"/>
      <w:r w:rsidRPr="00F22FAF">
        <w:rPr>
          <w:rFonts w:ascii="Arial" w:hAnsi="Arial" w:cs="Arial"/>
        </w:rPr>
        <w:t xml:space="preserve">ESMA should accept a requirement in a third country as comparable to a corresponding requirement under EMIR, on an outcome basis, equal or at least as strict or conservative as the corresponding requirement under EMIR. </w:t>
      </w:r>
    </w:p>
    <w:permEnd w:id="206729273"/>
    <w:p w14:paraId="7A007214" w14:textId="5CC41055" w:rsidR="0079513D" w:rsidRDefault="0079513D" w:rsidP="0079513D">
      <w:pPr>
        <w:rPr>
          <w:rFonts w:ascii="Arial" w:hAnsi="Arial" w:cs="Arial"/>
        </w:rPr>
      </w:pPr>
      <w:r>
        <w:rPr>
          <w:rFonts w:ascii="Arial" w:hAnsi="Arial" w:cs="Arial"/>
        </w:rPr>
        <w:t>&lt;ESMA_QUESTION_TACC_2&gt;</w:t>
      </w:r>
    </w:p>
    <w:p w14:paraId="7E2561AC" w14:textId="77777777" w:rsidR="0079513D" w:rsidRDefault="0079513D" w:rsidP="0079513D">
      <w:pPr>
        <w:rPr>
          <w:rFonts w:ascii="Arial" w:hAnsi="Arial" w:cs="Arial"/>
        </w:rPr>
      </w:pPr>
    </w:p>
    <w:p w14:paraId="7B20FFCA" w14:textId="77777777" w:rsidR="0079513D" w:rsidRDefault="0079513D" w:rsidP="0079513D">
      <w:pPr>
        <w:pStyle w:val="Questionstyle"/>
        <w:numPr>
          <w:ilvl w:val="0"/>
          <w:numId w:val="9"/>
        </w:numPr>
        <w:spacing w:after="250" w:line="276" w:lineRule="auto"/>
      </w:pPr>
      <w:r>
        <w:t>: Do you agree that the minimum elements to be specified in the Commission’s delegated act should include the core provisions listed in Table 1? What other considerations should be included as minimum elements of the assessment?</w:t>
      </w:r>
    </w:p>
    <w:p w14:paraId="3C01CF69" w14:textId="77777777" w:rsidR="0079513D" w:rsidRDefault="0079513D" w:rsidP="0079513D">
      <w:pPr>
        <w:rPr>
          <w:rFonts w:ascii="Arial" w:hAnsi="Arial" w:cs="Arial"/>
        </w:rPr>
      </w:pPr>
      <w:r>
        <w:rPr>
          <w:rFonts w:ascii="Arial" w:hAnsi="Arial" w:cs="Arial"/>
        </w:rPr>
        <w:t>&lt;ESMA_QUESTION_TACC_3&gt;</w:t>
      </w:r>
    </w:p>
    <w:p w14:paraId="5A8EEF6F" w14:textId="56B444E6" w:rsidR="00836D6D" w:rsidRDefault="00F22FAF" w:rsidP="00836D6D">
      <w:pPr>
        <w:jc w:val="both"/>
        <w:rPr>
          <w:rFonts w:ascii="Arial" w:hAnsi="Arial" w:cs="Arial"/>
        </w:rPr>
      </w:pPr>
      <w:permStart w:id="396451189" w:edGrp="everyone"/>
      <w:r w:rsidRPr="00F22FAF">
        <w:rPr>
          <w:rFonts w:ascii="Arial" w:hAnsi="Arial" w:cs="Arial"/>
        </w:rPr>
        <w:t>LSEG’s view is that in general the core provisions seem appropriate. However, we also recommend that consistency in the assessment is maintained. ESMA should also clarify the extent to which the core provisions would need to be matched, where they are assessed on a</w:t>
      </w:r>
      <w:r w:rsidR="00836D6D">
        <w:rPr>
          <w:rFonts w:ascii="Arial" w:hAnsi="Arial" w:cs="Arial"/>
        </w:rPr>
        <w:t xml:space="preserve"> </w:t>
      </w:r>
      <w:r w:rsidRPr="00F22FAF">
        <w:rPr>
          <w:rFonts w:ascii="Arial" w:hAnsi="Arial" w:cs="Arial"/>
        </w:rPr>
        <w:t>requirement-by-requirement basis.</w:t>
      </w:r>
    </w:p>
    <w:permEnd w:id="396451189"/>
    <w:p w14:paraId="158CCD42" w14:textId="57B875E0" w:rsidR="0079513D" w:rsidRDefault="0079513D" w:rsidP="0079513D">
      <w:pPr>
        <w:rPr>
          <w:rFonts w:ascii="Arial" w:hAnsi="Arial" w:cs="Arial"/>
        </w:rPr>
      </w:pPr>
      <w:r>
        <w:rPr>
          <w:rFonts w:ascii="Arial" w:hAnsi="Arial" w:cs="Arial"/>
        </w:rPr>
        <w:t>&lt;ESMA_QUESTION_TACC_3&gt;</w:t>
      </w:r>
    </w:p>
    <w:p w14:paraId="55AB1C4A" w14:textId="77777777" w:rsidR="0079513D" w:rsidRDefault="0079513D" w:rsidP="0079513D">
      <w:pPr>
        <w:rPr>
          <w:rFonts w:ascii="Arial" w:hAnsi="Arial" w:cs="Arial"/>
        </w:rPr>
      </w:pPr>
    </w:p>
    <w:p w14:paraId="20692F62" w14:textId="77777777" w:rsidR="0079513D" w:rsidRDefault="0079513D" w:rsidP="0079513D">
      <w:pPr>
        <w:pStyle w:val="Questionstyle"/>
        <w:numPr>
          <w:ilvl w:val="0"/>
          <w:numId w:val="9"/>
        </w:numPr>
        <w:spacing w:after="250" w:line="276" w:lineRule="auto"/>
      </w:pPr>
      <w:r>
        <w:t>: Do you agree that, where a third country requirement can be on average, but not always, equal or at least as strict or conservative as the core provisions listed in Table 1, it can still be accepted as comparable provided that the Tier 2 CCP adopts the corresponding EMIR requirement as a floor or minimum requirement, through adequate rules, policies and procedures?</w:t>
      </w:r>
    </w:p>
    <w:p w14:paraId="7E4B76AC" w14:textId="77777777" w:rsidR="0079513D" w:rsidRDefault="0079513D" w:rsidP="0079513D">
      <w:pPr>
        <w:rPr>
          <w:rFonts w:ascii="Arial" w:hAnsi="Arial" w:cs="Arial"/>
        </w:rPr>
      </w:pPr>
      <w:r>
        <w:rPr>
          <w:rFonts w:ascii="Arial" w:hAnsi="Arial" w:cs="Arial"/>
        </w:rPr>
        <w:t>&lt;ESMA_QUESTION_TACC_4&gt;</w:t>
      </w:r>
    </w:p>
    <w:p w14:paraId="59FCFC2D" w14:textId="77777777" w:rsidR="00836D6D" w:rsidRDefault="00F22FAF" w:rsidP="00836D6D">
      <w:pPr>
        <w:jc w:val="both"/>
        <w:rPr>
          <w:rFonts w:ascii="Arial" w:hAnsi="Arial" w:cs="Arial"/>
        </w:rPr>
      </w:pPr>
      <w:permStart w:id="895368747" w:edGrp="everyone"/>
      <w:r w:rsidRPr="00F22FAF">
        <w:rPr>
          <w:rFonts w:ascii="Arial" w:hAnsi="Arial" w:cs="Arial"/>
        </w:rPr>
        <w:t xml:space="preserve">We agree in principle, that where a TC requirement can be on average but not always as strict or conservative as core provisions, it can still be accepted as comparable, </w:t>
      </w:r>
      <w:proofErr w:type="gramStart"/>
      <w:r w:rsidRPr="00F22FAF">
        <w:rPr>
          <w:rFonts w:ascii="Arial" w:hAnsi="Arial" w:cs="Arial"/>
        </w:rPr>
        <w:t>provided that</w:t>
      </w:r>
      <w:proofErr w:type="gramEnd"/>
      <w:r w:rsidRPr="00F22FAF">
        <w:rPr>
          <w:rFonts w:ascii="Arial" w:hAnsi="Arial" w:cs="Arial"/>
        </w:rPr>
        <w:t xml:space="preserve"> Tier 2 CCP adopts an approach that is equal to, or at least as strict as the corresponding EMIR requirement as a minimum requirement.</w:t>
      </w:r>
    </w:p>
    <w:permEnd w:id="895368747"/>
    <w:p w14:paraId="246055DB" w14:textId="473BBE36" w:rsidR="0079513D" w:rsidRDefault="0079513D" w:rsidP="0079513D">
      <w:pPr>
        <w:rPr>
          <w:rFonts w:ascii="Arial" w:hAnsi="Arial" w:cs="Arial"/>
        </w:rPr>
      </w:pPr>
      <w:r>
        <w:rPr>
          <w:rFonts w:ascii="Arial" w:hAnsi="Arial" w:cs="Arial"/>
        </w:rPr>
        <w:t>&lt;ESMA_QUESTION_TACC_4&gt;</w:t>
      </w:r>
    </w:p>
    <w:p w14:paraId="1ECA6B5B" w14:textId="77777777" w:rsidR="0079513D" w:rsidRDefault="0079513D" w:rsidP="0079513D">
      <w:pPr>
        <w:rPr>
          <w:rFonts w:ascii="Arial" w:hAnsi="Arial" w:cs="Arial"/>
        </w:rPr>
      </w:pPr>
    </w:p>
    <w:p w14:paraId="56854FC2" w14:textId="45290BB9" w:rsidR="0079513D" w:rsidRDefault="0079513D" w:rsidP="0079513D">
      <w:pPr>
        <w:pStyle w:val="Questionstyle"/>
        <w:numPr>
          <w:ilvl w:val="0"/>
          <w:numId w:val="9"/>
        </w:numPr>
        <w:spacing w:after="250" w:line="276" w:lineRule="auto"/>
      </w:pPr>
      <w:r>
        <w:t xml:space="preserve">: Do you agree that, when a third country requirement is similar but not always equal or at least as strict or conservative as, the provisions not included in the minimum elements and listed in Table 2, it can still be considered to be comparable where it substantially achieves the respective regulatory objectives in accordance </w:t>
      </w:r>
      <w:r w:rsidR="00144AE2">
        <w:t>with</w:t>
      </w:r>
      <w:r>
        <w:t xml:space="preserve"> the guidance specified in Table 2?</w:t>
      </w:r>
    </w:p>
    <w:p w14:paraId="5351AD2D" w14:textId="77777777" w:rsidR="0079513D" w:rsidRDefault="0079513D" w:rsidP="0079513D">
      <w:pPr>
        <w:rPr>
          <w:rFonts w:ascii="Arial" w:hAnsi="Arial" w:cs="Arial"/>
        </w:rPr>
      </w:pPr>
      <w:r>
        <w:rPr>
          <w:rFonts w:ascii="Arial" w:hAnsi="Arial" w:cs="Arial"/>
        </w:rPr>
        <w:t>&lt;ESMA_QUESTION_TACC_5&gt;</w:t>
      </w:r>
    </w:p>
    <w:p w14:paraId="38606D1E" w14:textId="77777777" w:rsidR="00F22FAF" w:rsidRDefault="00F22FAF" w:rsidP="00836D6D">
      <w:pPr>
        <w:jc w:val="both"/>
        <w:rPr>
          <w:rFonts w:ascii="Arial" w:hAnsi="Arial" w:cs="Arial"/>
        </w:rPr>
      </w:pPr>
      <w:permStart w:id="1292568684" w:edGrp="everyone"/>
      <w:r w:rsidRPr="00F22FAF">
        <w:rPr>
          <w:rFonts w:ascii="Arial" w:hAnsi="Arial" w:cs="Arial"/>
        </w:rPr>
        <w:t>We are in general agreement with the provisions laid out for ESMA’s assessment in Table 2.</w:t>
      </w:r>
    </w:p>
    <w:permEnd w:id="1292568684"/>
    <w:p w14:paraId="26DAF63F" w14:textId="30834E52" w:rsidR="0079513D" w:rsidRDefault="0079513D" w:rsidP="0079513D">
      <w:pPr>
        <w:rPr>
          <w:rFonts w:ascii="Arial" w:hAnsi="Arial" w:cs="Arial"/>
        </w:rPr>
      </w:pPr>
      <w:r>
        <w:rPr>
          <w:rFonts w:ascii="Arial" w:hAnsi="Arial" w:cs="Arial"/>
        </w:rPr>
        <w:t>&lt;ESMA_QUESTION_TACC_5&gt;</w:t>
      </w:r>
    </w:p>
    <w:p w14:paraId="392595D8" w14:textId="77777777" w:rsidR="0079513D" w:rsidRDefault="0079513D" w:rsidP="0079513D">
      <w:pPr>
        <w:rPr>
          <w:rFonts w:ascii="Arial" w:hAnsi="Arial" w:cs="Arial"/>
        </w:rPr>
      </w:pPr>
    </w:p>
    <w:p w14:paraId="71F259D4" w14:textId="77777777" w:rsidR="0079513D" w:rsidRDefault="0079513D" w:rsidP="0079513D">
      <w:pPr>
        <w:pStyle w:val="Questionstyle"/>
        <w:numPr>
          <w:ilvl w:val="0"/>
          <w:numId w:val="9"/>
        </w:numPr>
        <w:spacing w:after="250" w:line="276" w:lineRule="auto"/>
      </w:pPr>
      <w:r>
        <w:lastRenderedPageBreak/>
        <w:t xml:space="preserve">: Do you agree on the modalities and conditions proposed for conducting the assessment for comparable compliance? What other considerations should be included in such modalities and conditions?   </w:t>
      </w:r>
    </w:p>
    <w:p w14:paraId="796D1C76" w14:textId="77777777" w:rsidR="0079513D" w:rsidRDefault="0079513D" w:rsidP="0079513D">
      <w:pPr>
        <w:rPr>
          <w:rFonts w:ascii="Arial" w:hAnsi="Arial" w:cs="Arial"/>
        </w:rPr>
      </w:pPr>
      <w:r>
        <w:rPr>
          <w:rFonts w:ascii="Arial" w:hAnsi="Arial" w:cs="Arial"/>
        </w:rPr>
        <w:t>&lt;ESMA_QUESTION_TACC_6&gt;</w:t>
      </w:r>
    </w:p>
    <w:p w14:paraId="42EEA43D" w14:textId="77777777" w:rsidR="00F22FAF" w:rsidRDefault="00F22FAF" w:rsidP="00836D6D">
      <w:pPr>
        <w:jc w:val="both"/>
        <w:rPr>
          <w:rFonts w:ascii="Arial" w:hAnsi="Arial" w:cs="Arial"/>
        </w:rPr>
      </w:pPr>
      <w:permStart w:id="1810322873" w:edGrp="everyone"/>
      <w:r w:rsidRPr="00F22FAF">
        <w:rPr>
          <w:rFonts w:ascii="Arial" w:hAnsi="Arial" w:cs="Arial"/>
        </w:rPr>
        <w:t xml:space="preserve">We agree in general with the modalities and conditions proposed and believe that it is useful to have a methodological step-by-step approach, </w:t>
      </w:r>
      <w:proofErr w:type="gramStart"/>
      <w:r w:rsidRPr="00F22FAF">
        <w:rPr>
          <w:rFonts w:ascii="Arial" w:hAnsi="Arial" w:cs="Arial"/>
        </w:rPr>
        <w:t>provided that</w:t>
      </w:r>
      <w:proofErr w:type="gramEnd"/>
      <w:r w:rsidRPr="00F22FAF">
        <w:rPr>
          <w:rFonts w:ascii="Arial" w:hAnsi="Arial" w:cs="Arial"/>
        </w:rPr>
        <w:t xml:space="preserve"> this is implemented and applied in a consistent way.</w:t>
      </w:r>
    </w:p>
    <w:permEnd w:id="1810322873"/>
    <w:p w14:paraId="4CE4C382" w14:textId="6BEB74D9" w:rsidR="0079513D" w:rsidRDefault="0079513D" w:rsidP="0079513D">
      <w:pPr>
        <w:rPr>
          <w:rFonts w:ascii="Arial" w:hAnsi="Arial" w:cs="Arial"/>
        </w:rPr>
      </w:pPr>
      <w:r>
        <w:rPr>
          <w:rFonts w:ascii="Arial" w:hAnsi="Arial" w:cs="Arial"/>
        </w:rPr>
        <w:t>&lt;ESMA_QUESTION_TACC_6&gt;</w:t>
      </w:r>
    </w:p>
    <w:p w14:paraId="7F2D2E89" w14:textId="77777777" w:rsidR="0079513D" w:rsidRDefault="0079513D" w:rsidP="0079513D">
      <w:pPr>
        <w:rPr>
          <w:rFonts w:ascii="Arial" w:hAnsi="Arial" w:cs="Arial"/>
        </w:rPr>
      </w:pPr>
    </w:p>
    <w:p w14:paraId="035F3595" w14:textId="77777777" w:rsidR="0079513D" w:rsidRDefault="0079513D" w:rsidP="0079513D">
      <w:pPr>
        <w:pStyle w:val="Questionstyle"/>
        <w:numPr>
          <w:ilvl w:val="0"/>
          <w:numId w:val="9"/>
        </w:numPr>
        <w:spacing w:after="250" w:line="276" w:lineRule="auto"/>
      </w:pPr>
      <w:r>
        <w:t>: Do you agree that the CCP reasoned request shall include (i) the mapping of the requirements under EMIR for which comparable compliance is requested against the requirements in the third country, whereby each relevant article of EMIR and related RTS (paragraph by paragraph) should be mapped with the corresponding requirement in the third country achieving the same regulatory objective, and (ii) per each mapped requirement, the reason why compliance with a requirement in the third country satisfies the corresponding requirement under EMIR?</w:t>
      </w:r>
    </w:p>
    <w:p w14:paraId="769759AF" w14:textId="77777777" w:rsidR="0079513D" w:rsidRDefault="0079513D" w:rsidP="0079513D">
      <w:pPr>
        <w:rPr>
          <w:rFonts w:ascii="Arial" w:hAnsi="Arial" w:cs="Arial"/>
        </w:rPr>
      </w:pPr>
      <w:r>
        <w:rPr>
          <w:rFonts w:ascii="Arial" w:hAnsi="Arial" w:cs="Arial"/>
        </w:rPr>
        <w:t>&lt;ESMA_QUESTION_TACC_7&gt;</w:t>
      </w:r>
    </w:p>
    <w:p w14:paraId="63E9E052" w14:textId="77777777" w:rsidR="00F22FAF" w:rsidRDefault="00F22FAF" w:rsidP="00836D6D">
      <w:pPr>
        <w:jc w:val="both"/>
        <w:rPr>
          <w:rFonts w:ascii="Arial" w:hAnsi="Arial" w:cs="Arial"/>
        </w:rPr>
      </w:pPr>
      <w:permStart w:id="971332154" w:edGrp="everyone"/>
      <w:r w:rsidRPr="00F22FAF">
        <w:rPr>
          <w:rFonts w:ascii="Arial" w:hAnsi="Arial" w:cs="Arial"/>
        </w:rPr>
        <w:t>We believe that such requirement would lead the CCP to provide the assessment of comparable compliance itself which would (</w:t>
      </w:r>
      <w:proofErr w:type="spellStart"/>
      <w:r w:rsidRPr="00F22FAF">
        <w:rPr>
          <w:rFonts w:ascii="Arial" w:hAnsi="Arial" w:cs="Arial"/>
        </w:rPr>
        <w:t>i</w:t>
      </w:r>
      <w:proofErr w:type="spellEnd"/>
      <w:r w:rsidRPr="00F22FAF">
        <w:rPr>
          <w:rFonts w:ascii="Arial" w:hAnsi="Arial" w:cs="Arial"/>
        </w:rPr>
        <w:t xml:space="preserve">) be burdensome and costly for the CCPs (ii) duplicating the assessment to be conducted by ESMA according to Article 25a, especially in case of line-by-line assessment. ESMA should have the primary responsibility for conducting the assessment, in cooperation with the home authority of the Tier 2 TC CCP’s and in constant dialogue with the CCP itself if necessary. The TC-CCP should be made aware of any additional information that ESMA may consider as part of its assessment. </w:t>
      </w:r>
    </w:p>
    <w:permEnd w:id="971332154"/>
    <w:p w14:paraId="0C924CCC" w14:textId="4E09AACA" w:rsidR="0079513D" w:rsidRDefault="0079513D" w:rsidP="0079513D">
      <w:pPr>
        <w:rPr>
          <w:rFonts w:ascii="Arial" w:hAnsi="Arial" w:cs="Arial"/>
        </w:rPr>
      </w:pPr>
      <w:r>
        <w:rPr>
          <w:rFonts w:ascii="Arial" w:hAnsi="Arial" w:cs="Arial"/>
        </w:rPr>
        <w:t>&lt;ESMA_QUESTION_TACC_7&gt;</w:t>
      </w:r>
    </w:p>
    <w:p w14:paraId="6398EC99" w14:textId="77777777" w:rsidR="0079513D" w:rsidRDefault="0079513D" w:rsidP="0079513D">
      <w:pPr>
        <w:rPr>
          <w:rFonts w:ascii="Arial" w:hAnsi="Arial" w:cs="Arial"/>
        </w:rPr>
      </w:pPr>
    </w:p>
    <w:p w14:paraId="7CB99626" w14:textId="77777777" w:rsidR="0079513D" w:rsidRDefault="0079513D" w:rsidP="0079513D">
      <w:pPr>
        <w:pStyle w:val="Questionstyle"/>
        <w:numPr>
          <w:ilvl w:val="0"/>
          <w:numId w:val="9"/>
        </w:numPr>
        <w:spacing w:after="250" w:line="276" w:lineRule="auto"/>
      </w:pPr>
      <w:r>
        <w:t>: Do you agree that ESMA may also request the CCP to include in its reasoned request (i) an opinion of the third country supervisory authority on the accuracy of the representation of the requirements applying in the third country, (ii) where necessary, a certified translation of relevant requirements in the third country, and (iii) a legal opinion confirming the accuracy of the mapping provided?</w:t>
      </w:r>
    </w:p>
    <w:p w14:paraId="76C23792" w14:textId="77777777" w:rsidR="0079513D" w:rsidRDefault="0079513D" w:rsidP="0079513D">
      <w:pPr>
        <w:rPr>
          <w:rFonts w:ascii="Arial" w:hAnsi="Arial" w:cs="Arial"/>
        </w:rPr>
      </w:pPr>
      <w:r>
        <w:rPr>
          <w:rFonts w:ascii="Arial" w:hAnsi="Arial" w:cs="Arial"/>
        </w:rPr>
        <w:t>&lt;ESMA_QUESTION_TACC_8&gt;</w:t>
      </w:r>
    </w:p>
    <w:p w14:paraId="6EFA60C5" w14:textId="77777777" w:rsidR="00F22FAF" w:rsidRPr="00F22FAF" w:rsidRDefault="00F22FAF" w:rsidP="00836D6D">
      <w:pPr>
        <w:jc w:val="both"/>
        <w:rPr>
          <w:rFonts w:ascii="Arial" w:hAnsi="Arial" w:cs="Arial"/>
        </w:rPr>
      </w:pPr>
      <w:permStart w:id="382023660" w:edGrp="everyone"/>
      <w:r w:rsidRPr="00F22FAF">
        <w:rPr>
          <w:rFonts w:ascii="Arial" w:hAnsi="Arial" w:cs="Arial"/>
        </w:rPr>
        <w:t>In addition to our response to question 7, the requirements in the reasoned request - in particular, a certified translation of requirements, and a legal opinion confirming the accuracy of the mapping - that may be requested by ESMA from a TC-CCP would be (</w:t>
      </w:r>
      <w:proofErr w:type="spellStart"/>
      <w:r w:rsidRPr="00F22FAF">
        <w:rPr>
          <w:rFonts w:ascii="Arial" w:hAnsi="Arial" w:cs="Arial"/>
        </w:rPr>
        <w:t>i</w:t>
      </w:r>
      <w:proofErr w:type="spellEnd"/>
      <w:r w:rsidRPr="00F22FAF">
        <w:rPr>
          <w:rFonts w:ascii="Arial" w:hAnsi="Arial" w:cs="Arial"/>
        </w:rPr>
        <w:t xml:space="preserve">) a challenging task for the CCPs, (ii) expensive and time consuming for the CCPs to acquire external legal opinion, and (iii) potentially duplicating work without yielding any additional benefit. In LSEG’s view, it would be </w:t>
      </w:r>
      <w:proofErr w:type="gramStart"/>
      <w:r w:rsidRPr="00F22FAF">
        <w:rPr>
          <w:rFonts w:ascii="Arial" w:hAnsi="Arial" w:cs="Arial"/>
        </w:rPr>
        <w:t>sufficient</w:t>
      </w:r>
      <w:proofErr w:type="gramEnd"/>
      <w:r w:rsidRPr="00F22FAF">
        <w:rPr>
          <w:rFonts w:ascii="Arial" w:hAnsi="Arial" w:cs="Arial"/>
        </w:rPr>
        <w:t xml:space="preserve"> to meet ESMA’s objectives if the CCP were required to obtain the consent of its home country regulator to seek comparable compliance. In addition, it is unclear how binding such legal opinion would be as: </w:t>
      </w:r>
    </w:p>
    <w:p w14:paraId="165F6074" w14:textId="77777777" w:rsidR="00F22FAF" w:rsidRPr="00F22FAF" w:rsidRDefault="00F22FAF" w:rsidP="00836D6D">
      <w:pPr>
        <w:numPr>
          <w:ilvl w:val="0"/>
          <w:numId w:val="18"/>
        </w:numPr>
        <w:jc w:val="both"/>
        <w:rPr>
          <w:rFonts w:ascii="Arial" w:hAnsi="Arial" w:cs="Arial"/>
        </w:rPr>
      </w:pPr>
      <w:r w:rsidRPr="00F22FAF">
        <w:rPr>
          <w:rFonts w:ascii="Arial" w:hAnsi="Arial" w:cs="Arial"/>
        </w:rPr>
        <w:t xml:space="preserve">if it binds ESMA, it could imply that ESMA rely on a third party’s opinion and to determine comparable compliance. </w:t>
      </w:r>
    </w:p>
    <w:p w14:paraId="6403F16B" w14:textId="77777777" w:rsidR="00F22FAF" w:rsidRPr="00F22FAF" w:rsidRDefault="00F22FAF" w:rsidP="00836D6D">
      <w:pPr>
        <w:numPr>
          <w:ilvl w:val="0"/>
          <w:numId w:val="18"/>
        </w:numPr>
        <w:jc w:val="both"/>
        <w:rPr>
          <w:rFonts w:ascii="Arial" w:hAnsi="Arial" w:cs="Arial"/>
        </w:rPr>
      </w:pPr>
      <w:r w:rsidRPr="00F22FAF">
        <w:rPr>
          <w:rFonts w:ascii="Arial" w:hAnsi="Arial" w:cs="Arial"/>
        </w:rPr>
        <w:lastRenderedPageBreak/>
        <w:t xml:space="preserve">if the legal opinion can be questioned by ESMA, it has little value and significantly increases CCPs’ costs (provided that such legal opinion can be obtained). </w:t>
      </w:r>
    </w:p>
    <w:p w14:paraId="06518751" w14:textId="77777777" w:rsidR="00F22FAF" w:rsidRPr="00F22FAF" w:rsidRDefault="00F22FAF" w:rsidP="00836D6D">
      <w:pPr>
        <w:jc w:val="both"/>
        <w:rPr>
          <w:rFonts w:ascii="Arial" w:hAnsi="Arial" w:cs="Arial"/>
        </w:rPr>
      </w:pPr>
    </w:p>
    <w:p w14:paraId="4CC347D9" w14:textId="77777777" w:rsidR="00836D6D" w:rsidRDefault="00F22FAF" w:rsidP="00836D6D">
      <w:pPr>
        <w:jc w:val="both"/>
        <w:rPr>
          <w:rFonts w:ascii="Arial" w:hAnsi="Arial" w:cs="Arial"/>
        </w:rPr>
      </w:pPr>
      <w:r w:rsidRPr="00F22FAF">
        <w:rPr>
          <w:rFonts w:ascii="Arial" w:hAnsi="Arial" w:cs="Arial"/>
        </w:rPr>
        <w:t xml:space="preserve">Overall, the additional requirements would create a substantial burden on the CCPs and a delay in ESMA’s assessment. ESMA could assist in this exercise by carrying out the mapping, and determining the accuracy of the mapping themselves, as part of their assessment of comparable compliance of the Tier 2 TC CCP. </w:t>
      </w:r>
    </w:p>
    <w:permEnd w:id="382023660"/>
    <w:p w14:paraId="4F037F7A" w14:textId="59632D07" w:rsidR="0079513D" w:rsidRDefault="0079513D" w:rsidP="0079513D">
      <w:pPr>
        <w:rPr>
          <w:rFonts w:ascii="Arial" w:hAnsi="Arial" w:cs="Arial"/>
        </w:rPr>
      </w:pPr>
      <w:r>
        <w:rPr>
          <w:rFonts w:ascii="Arial" w:hAnsi="Arial" w:cs="Arial"/>
        </w:rPr>
        <w:t>&lt;ESMA_QUESTION_TACC_8&gt;</w:t>
      </w:r>
    </w:p>
    <w:p w14:paraId="543E3FFD" w14:textId="77777777" w:rsidR="0079513D" w:rsidRDefault="0079513D" w:rsidP="0079513D">
      <w:pPr>
        <w:rPr>
          <w:rFonts w:ascii="Arial" w:hAnsi="Arial" w:cs="Arial"/>
        </w:rPr>
      </w:pPr>
    </w:p>
    <w:p w14:paraId="7329B07D" w14:textId="77777777" w:rsidR="0079513D" w:rsidRDefault="0079513D" w:rsidP="0079513D">
      <w:pPr>
        <w:pStyle w:val="Questionstyle"/>
        <w:numPr>
          <w:ilvl w:val="0"/>
          <w:numId w:val="9"/>
        </w:numPr>
        <w:spacing w:after="250" w:line="276" w:lineRule="auto"/>
      </w:pPr>
      <w:r>
        <w:t>: Do you agree on the cost benefit analysis annexed to the draft technical advice? Are there other considerations to be reflected in the cost benefit analysis?</w:t>
      </w:r>
    </w:p>
    <w:p w14:paraId="2164949D" w14:textId="77777777" w:rsidR="0079513D" w:rsidRDefault="0079513D" w:rsidP="0079513D">
      <w:pPr>
        <w:rPr>
          <w:rFonts w:ascii="Arial" w:hAnsi="Arial" w:cs="Arial"/>
        </w:rPr>
      </w:pPr>
      <w:r>
        <w:rPr>
          <w:rFonts w:ascii="Arial" w:hAnsi="Arial" w:cs="Arial"/>
        </w:rPr>
        <w:t>&lt;ESMA_QUESTION_TACC_9&gt;</w:t>
      </w:r>
    </w:p>
    <w:p w14:paraId="7DD1AA03" w14:textId="77777777" w:rsidR="00F22FAF" w:rsidRDefault="00F22FAF" w:rsidP="00836D6D">
      <w:pPr>
        <w:jc w:val="both"/>
        <w:rPr>
          <w:rFonts w:ascii="Arial" w:hAnsi="Arial" w:cs="Arial"/>
        </w:rPr>
      </w:pPr>
      <w:permStart w:id="1430013521" w:edGrp="everyone"/>
      <w:r w:rsidRPr="00F22FAF">
        <w:rPr>
          <w:rFonts w:ascii="Arial" w:hAnsi="Arial" w:cs="Arial"/>
        </w:rPr>
        <w:t>We agree with the overall assessment of general provisions and the cost benefit analysis provided. LSEG recommends that further consideration is given to the costs and benefit associated with the mapping of requirements, especially if on a granular basis.</w:t>
      </w:r>
      <w:bookmarkStart w:id="1" w:name="_GoBack"/>
      <w:bookmarkEnd w:id="1"/>
    </w:p>
    <w:permEnd w:id="1430013521"/>
    <w:p w14:paraId="3D4437B6" w14:textId="3ECA9C0E" w:rsidR="0079513D" w:rsidRDefault="0079513D" w:rsidP="0079513D">
      <w:pPr>
        <w:rPr>
          <w:rFonts w:ascii="Arial" w:hAnsi="Arial" w:cs="Arial"/>
        </w:rPr>
      </w:pPr>
      <w:r>
        <w:rPr>
          <w:rFonts w:ascii="Arial" w:hAnsi="Arial" w:cs="Arial"/>
        </w:rPr>
        <w:t>&lt;ESMA_QUESTION_TACC_9&gt;</w:t>
      </w:r>
    </w:p>
    <w:bookmarkEnd w:id="0"/>
    <w:p w14:paraId="3763F093" w14:textId="77777777" w:rsidR="0079513D" w:rsidRDefault="0079513D" w:rsidP="00C1698A">
      <w:pPr>
        <w:spacing w:line="276" w:lineRule="auto"/>
        <w:rPr>
          <w:rFonts w:asciiTheme="minorHAnsi" w:hAnsiTheme="minorHAnsi" w:cstheme="minorHAnsi"/>
          <w:b/>
          <w:sz w:val="28"/>
          <w:szCs w:val="28"/>
        </w:rPr>
      </w:pPr>
    </w:p>
    <w:sectPr w:rsidR="0079513D"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E1583" w14:textId="77777777" w:rsidR="00343D85" w:rsidRDefault="00343D85" w:rsidP="007E7997">
      <w:r>
        <w:separator/>
      </w:r>
    </w:p>
  </w:endnote>
  <w:endnote w:type="continuationSeparator" w:id="0">
    <w:p w14:paraId="71B7D8D0" w14:textId="77777777" w:rsidR="00343D85" w:rsidRDefault="00343D85" w:rsidP="007E7997">
      <w:r>
        <w:continuationSeparator/>
      </w:r>
    </w:p>
  </w:endnote>
  <w:endnote w:type="continuationNotice" w:id="1">
    <w:p w14:paraId="34B32497" w14:textId="77777777" w:rsidR="00343D85" w:rsidRDefault="00343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5FB5AD1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53142A">
      <w:rPr>
        <w:rFonts w:asciiTheme="majorHAnsi" w:hAnsiTheme="majorHAnsi"/>
        <w:color w:val="FFFFFF" w:themeColor="background1"/>
      </w:rPr>
      <w:t>8</w:t>
    </w:r>
    <w:r w:rsidR="00AB6157">
      <w:rPr>
        <w:rFonts w:asciiTheme="majorHAnsi" w:hAnsiTheme="majorHAnsi"/>
        <w:color w:val="FFFFFF" w:themeColor="background1"/>
      </w:rPr>
      <w:t xml:space="preserve"> May 2019</w:t>
    </w:r>
    <w:r w:rsidR="00B514D4">
      <w:rPr>
        <w:rFonts w:asciiTheme="majorHAnsi" w:hAnsiTheme="majorHAnsi"/>
        <w:color w:val="FFFFFF" w:themeColor="background1"/>
      </w:rPr>
      <w:t xml:space="preserve"> |</w:t>
    </w:r>
    <w:r w:rsidR="00C73550">
      <w:rPr>
        <w:rFonts w:asciiTheme="majorHAnsi" w:hAnsiTheme="majorHAnsi"/>
        <w:color w:val="FFFFFF" w:themeColor="background1"/>
      </w:rPr>
      <w:t xml:space="preserve"> </w:t>
    </w:r>
    <w:hyperlink r:id="rId1" w:history="1">
      <w:r w:rsidR="00C73550" w:rsidRPr="00C73550">
        <w:rPr>
          <w:rFonts w:asciiTheme="majorHAnsi" w:hAnsiTheme="majorHAnsi"/>
          <w:color w:val="FFFFFF" w:themeColor="background1"/>
        </w:rPr>
        <w:t>ESMA70-151-2379</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FB630" w14:textId="77777777" w:rsidR="00343D85" w:rsidRDefault="00343D85" w:rsidP="007E7997">
      <w:r>
        <w:separator/>
      </w:r>
    </w:p>
  </w:footnote>
  <w:footnote w:type="continuationSeparator" w:id="0">
    <w:p w14:paraId="2E2C3E7A" w14:textId="77777777" w:rsidR="00343D85" w:rsidRDefault="00343D85" w:rsidP="007E7997">
      <w:r>
        <w:continuationSeparator/>
      </w:r>
    </w:p>
  </w:footnote>
  <w:footnote w:type="continuationNotice" w:id="1">
    <w:p w14:paraId="3D05CBB4" w14:textId="77777777" w:rsidR="00343D85" w:rsidRDefault="00343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6" name="Picture 6"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7" name="Picture 7"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0E7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472A"/>
    <w:multiLevelType w:val="hybridMultilevel"/>
    <w:tmpl w:val="5CC6AC10"/>
    <w:lvl w:ilvl="0" w:tplc="DA12A2F0">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F00000D"/>
    <w:multiLevelType w:val="multilevel"/>
    <w:tmpl w:val="223D12AA"/>
    <w:lvl w:ilvl="0">
      <w:start w:val="1"/>
      <w:numFmt w:val="decimal"/>
      <w:lvlText w:val="%1"/>
      <w:lvlJc w:val="left"/>
      <w:pPr>
        <w:ind w:left="397" w:hanging="397"/>
        <w:jc w:val="both"/>
      </w:pPr>
      <w:rPr>
        <w:w w:val="100"/>
        <w:sz w:val="20"/>
        <w:szCs w:val="20"/>
        <w:shd w:val="clear" w:color="auto" w:fill="auto"/>
      </w:rPr>
    </w:lvl>
    <w:lvl w:ilvl="1">
      <w:start w:val="1"/>
      <w:numFmt w:val="decimal"/>
      <w:lvlText w:val="%1.%2"/>
      <w:lvlJc w:val="left"/>
      <w:pPr>
        <w:ind w:left="397" w:hanging="397"/>
        <w:jc w:val="both"/>
      </w:pPr>
      <w:rPr>
        <w:w w:val="100"/>
        <w:sz w:val="20"/>
        <w:szCs w:val="20"/>
        <w:shd w:val="clear" w:color="auto" w:fill="auto"/>
      </w:rPr>
    </w:lvl>
    <w:lvl w:ilvl="2">
      <w:start w:val="1"/>
      <w:numFmt w:val="decimal"/>
      <w:lvlText w:val=""/>
      <w:lvlJc w:val="left"/>
      <w:pPr>
        <w:ind w:left="397" w:hanging="397"/>
        <w:jc w:val="both"/>
      </w:pPr>
      <w:rPr>
        <w:w w:val="100"/>
        <w:sz w:val="20"/>
        <w:szCs w:val="20"/>
        <w:shd w:val="clear" w:color="auto" w:fill="auto"/>
      </w:rPr>
    </w:lvl>
    <w:lvl w:ilvl="3">
      <w:start w:val="1"/>
      <w:numFmt w:val="decimal"/>
      <w:lvlText w:val=""/>
      <w:lvlJc w:val="left"/>
      <w:pPr>
        <w:ind w:left="397" w:hanging="397"/>
        <w:jc w:val="both"/>
      </w:pPr>
      <w:rPr>
        <w:w w:val="100"/>
        <w:sz w:val="20"/>
        <w:szCs w:val="20"/>
        <w:shd w:val="clear" w:color="auto" w:fill="auto"/>
      </w:rPr>
    </w:lvl>
    <w:lvl w:ilvl="4">
      <w:start w:val="1"/>
      <w:numFmt w:val="decimal"/>
      <w:lvlText w:val=""/>
      <w:lvlJc w:val="left"/>
      <w:pPr>
        <w:ind w:left="397" w:hanging="397"/>
        <w:jc w:val="both"/>
      </w:pPr>
      <w:rPr>
        <w:w w:val="100"/>
        <w:sz w:val="20"/>
        <w:szCs w:val="20"/>
        <w:shd w:val="clear" w:color="auto" w:fill="auto"/>
      </w:rPr>
    </w:lvl>
    <w:lvl w:ilvl="5">
      <w:start w:val="1"/>
      <w:numFmt w:val="decimal"/>
      <w:lvlText w:val=""/>
      <w:lvlJc w:val="left"/>
      <w:pPr>
        <w:ind w:left="397" w:hanging="397"/>
        <w:jc w:val="both"/>
      </w:pPr>
      <w:rPr>
        <w:w w:val="100"/>
        <w:sz w:val="20"/>
        <w:szCs w:val="20"/>
        <w:shd w:val="clear" w:color="auto" w:fill="auto"/>
      </w:rPr>
    </w:lvl>
    <w:lvl w:ilvl="6">
      <w:start w:val="1"/>
      <w:numFmt w:val="decimal"/>
      <w:lvlText w:val=""/>
      <w:lvlJc w:val="left"/>
      <w:pPr>
        <w:ind w:left="397" w:hanging="397"/>
        <w:jc w:val="both"/>
      </w:pPr>
      <w:rPr>
        <w:w w:val="100"/>
        <w:sz w:val="20"/>
        <w:szCs w:val="20"/>
        <w:shd w:val="clear" w:color="auto" w:fill="auto"/>
      </w:rPr>
    </w:lvl>
    <w:lvl w:ilvl="7">
      <w:start w:val="1"/>
      <w:numFmt w:val="decimal"/>
      <w:lvlText w:val=""/>
      <w:lvlJc w:val="left"/>
      <w:pPr>
        <w:ind w:left="397" w:hanging="397"/>
        <w:jc w:val="both"/>
      </w:pPr>
      <w:rPr>
        <w:w w:val="100"/>
        <w:sz w:val="20"/>
        <w:szCs w:val="20"/>
        <w:shd w:val="clear" w:color="auto" w:fill="auto"/>
      </w:rPr>
    </w:lvl>
    <w:lvl w:ilvl="8">
      <w:start w:val="1"/>
      <w:numFmt w:val="decimal"/>
      <w:lvlText w:val=""/>
      <w:lvlJc w:val="left"/>
      <w:pPr>
        <w:ind w:left="397" w:hanging="397"/>
        <w:jc w:val="both"/>
      </w:pPr>
      <w:rPr>
        <w:w w:val="100"/>
        <w:sz w:val="20"/>
        <w:szCs w:val="20"/>
        <w:shd w:val="clear" w:color="auto" w:fill="auto"/>
      </w:r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1"/>
  </w:num>
  <w:num w:numId="4">
    <w:abstractNumId w:val="2"/>
  </w:num>
  <w:num w:numId="5">
    <w:abstractNumId w:val="9"/>
  </w:num>
  <w:num w:numId="6">
    <w:abstractNumId w:val="13"/>
  </w:num>
  <w:num w:numId="7">
    <w:abstractNumId w:val="8"/>
  </w:num>
  <w:num w:numId="8">
    <w:abstractNumId w:val="3"/>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2"/>
  </w:num>
  <w:num w:numId="17">
    <w:abstractNumId w:val="4"/>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TIiBLULVeGiwM2IvFu0jk7m17Sh2ds2XowvZJr1ebTY/n63iGLGIL7QOodcqpcEtT/utY+h8gZovRTYgYnTAEg==" w:salt="41+MDK1OqdyryFdcoSS3qw=="/>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4AE2"/>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9B4"/>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37D0F"/>
    <w:rsid w:val="0034151D"/>
    <w:rsid w:val="00342B5B"/>
    <w:rsid w:val="00343532"/>
    <w:rsid w:val="00343D85"/>
    <w:rsid w:val="00345469"/>
    <w:rsid w:val="003454ED"/>
    <w:rsid w:val="00345D41"/>
    <w:rsid w:val="00345EB9"/>
    <w:rsid w:val="0035030F"/>
    <w:rsid w:val="00353532"/>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2A"/>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347D"/>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513D"/>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6D6D"/>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4D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1894"/>
    <w:rsid w:val="00C249CC"/>
    <w:rsid w:val="00C24E5F"/>
    <w:rsid w:val="00C255B6"/>
    <w:rsid w:val="00C26F3A"/>
    <w:rsid w:val="00C2770B"/>
    <w:rsid w:val="00C30296"/>
    <w:rsid w:val="00C3170E"/>
    <w:rsid w:val="00C31947"/>
    <w:rsid w:val="00C35AE6"/>
    <w:rsid w:val="00C40053"/>
    <w:rsid w:val="00C4294D"/>
    <w:rsid w:val="00C444C8"/>
    <w:rsid w:val="00C452DD"/>
    <w:rsid w:val="00C45856"/>
    <w:rsid w:val="00C46603"/>
    <w:rsid w:val="00C54316"/>
    <w:rsid w:val="00C55208"/>
    <w:rsid w:val="00C5527D"/>
    <w:rsid w:val="00C61B1A"/>
    <w:rsid w:val="00C62A53"/>
    <w:rsid w:val="00C7355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2DC"/>
    <w:rsid w:val="00D27EB3"/>
    <w:rsid w:val="00D35E02"/>
    <w:rsid w:val="00D377FD"/>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4EB"/>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3E"/>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96D13"/>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2FAF"/>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2"/>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2"/>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2FAF"/>
    <w:pPr>
      <w:autoSpaceDE w:val="0"/>
      <w:autoSpaceDN w:val="0"/>
      <w:spacing w:after="0" w:line="240" w:lineRule="auto"/>
    </w:pPr>
    <w:rPr>
      <w:rFonts w:ascii="Arial" w:eastAsia="Arial" w:hAnsi="Arial" w:cs="Times New Roman"/>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PTR/_layouts/15/DocIdRedir.aspx?ID=ESMA70-151-237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ESMA70-151-2379</_dlc_DocId>
    <TaxCatchAll xmlns="20fbe147-bbda-4e53-b6b1-7e8bbff3fe19">
      <Value>279</Value>
      <Value>4</Value>
      <Value>25</Value>
      <Value>302</Value>
    </TaxCatchAll>
    <_dlc_DocIdUrl xmlns="20fbe147-bbda-4e53-b6b1-7e8bbff3fe19">
      <Url>https://sherpa.esma.europa.eu/sites/MKT/PTR/_layouts/15/DocIdRedir.aspx?ID=ESMA70-151-2379</Url>
      <Description>ESMA70-151-2379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5770-BD1E-4DD7-8C3C-E3F5033D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0fbe147-bbda-4e53-b6b1-7e8bbff3fe19"/>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350C2E71-F66E-47DA-8EF6-F44CCC31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7</TotalTime>
  <Pages>9</Pages>
  <Words>2017</Words>
  <Characters>11500</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Kagiaras, Athanasios</cp:lastModifiedBy>
  <cp:revision>5</cp:revision>
  <cp:lastPrinted>2019-07-29T14:24:00Z</cp:lastPrinted>
  <dcterms:created xsi:type="dcterms:W3CDTF">2019-07-29T12:25:00Z</dcterms:created>
  <dcterms:modified xsi:type="dcterms:W3CDTF">2019-07-29T14:50:00Z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751fc299-e02a-4e76-83e6-ff9867404bcf</vt:lpwstr>
  </property>
  <property fmtid="{D5CDD505-2E9C-101B-9397-08002B2CF9AE}" pid="6" name="DocumentType">
    <vt:lpwstr>302;#Feedback Statement (includes responses)|00bc750a-87e5-4a0d-9385-52a7c69693e1</vt:lpwstr>
  </property>
  <property fmtid="{D5CDD505-2E9C-101B-9397-08002B2CF9AE}" pid="7" name="Topic">
    <vt:lpwstr>279;#EMIR 2.2|4df16084-2afe-4fff-a8ff-88ac73e94787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