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tu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tulo"/>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Ttulo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052766">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Prrafodelista"/>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tu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052766">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0BAD5883" w:rsidR="00C85C8B" w:rsidRPr="00C85C8B" w:rsidRDefault="00052766" w:rsidP="00052766">
                <w:pPr>
                  <w:rPr>
                    <w:rFonts w:ascii="Arial" w:hAnsi="Arial" w:cs="Arial"/>
                    <w:color w:val="808080"/>
                    <w:sz w:val="20"/>
                    <w:lang w:eastAsia="de-DE"/>
                  </w:rPr>
                </w:pPr>
                <w:r>
                  <w:rPr>
                    <w:rFonts w:ascii="Arial" w:hAnsi="Arial" w:cs="Arial"/>
                    <w:color w:val="808080"/>
                    <w:sz w:val="20"/>
                    <w:lang w:eastAsia="de-DE"/>
                  </w:rPr>
                  <w:t>REGIS-TR</w:t>
                </w:r>
              </w:p>
            </w:tc>
          </w:sdtContent>
        </w:sdt>
      </w:tr>
      <w:tr w:rsidR="00C85C8B" w:rsidRPr="00C85C8B" w14:paraId="216F3E57" w14:textId="77777777" w:rsidTr="00052766">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2FEFD93" w:rsidR="00C85C8B" w:rsidRPr="00C85C8B" w:rsidRDefault="00E4319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52766">
                  <w:rPr>
                    <w:rFonts w:ascii="Arial" w:hAnsi="Arial" w:cs="Arial"/>
                    <w:sz w:val="20"/>
                    <w:lang w:eastAsia="de-DE"/>
                  </w:rPr>
                  <w:t>Other Financial service providers</w:t>
                </w:r>
              </w:sdtContent>
            </w:sdt>
          </w:p>
        </w:tc>
      </w:tr>
      <w:tr w:rsidR="00C85C8B" w:rsidRPr="00C85C8B" w14:paraId="0D216581" w14:textId="77777777" w:rsidTr="00052766">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052766">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2EFF129" w:rsidR="00C85C8B" w:rsidRPr="00C85C8B" w:rsidRDefault="00052766" w:rsidP="00052766">
                <w:pPr>
                  <w:rPr>
                    <w:rFonts w:ascii="Arial" w:hAnsi="Arial" w:cs="Arial"/>
                    <w:sz w:val="20"/>
                    <w:lang w:eastAsia="de-DE"/>
                  </w:rPr>
                </w:pPr>
                <w:r>
                  <w:rPr>
                    <w:rFonts w:ascii="Arial" w:hAnsi="Arial" w:cs="Arial"/>
                    <w:sz w:val="20"/>
                    <w:lang w:eastAsia="de-DE"/>
                  </w:rPr>
                  <w:t>Luxembourg</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02AF2FF9" w14:textId="7274692E" w:rsidR="00C85C8B" w:rsidRPr="00E711B5" w:rsidRDefault="00052766" w:rsidP="00C85C8B">
      <w:pPr>
        <w:spacing w:after="250" w:line="276" w:lineRule="auto"/>
        <w:jc w:val="both"/>
        <w:rPr>
          <w:rFonts w:asciiTheme="minorHAnsi" w:eastAsiaTheme="minorEastAsia" w:hAnsiTheme="minorHAnsi" w:cstheme="minorHAnsi"/>
          <w:color w:val="000000" w:themeColor="text1"/>
          <w:sz w:val="22"/>
          <w:szCs w:val="22"/>
          <w:lang w:eastAsia="en-US"/>
        </w:rPr>
      </w:pPr>
      <w:permStart w:id="885457707" w:edGrp="everyone"/>
      <w:r w:rsidRPr="00E711B5">
        <w:rPr>
          <w:rFonts w:asciiTheme="minorHAnsi" w:hAnsiTheme="minorHAnsi" w:cstheme="minorHAnsi"/>
          <w:color w:val="000000" w:themeColor="text1"/>
          <w:sz w:val="22"/>
          <w:szCs w:val="22"/>
        </w:rPr>
        <w:t>REGIS-TR is a European Trade Repository which enables market participants to report derivatives trades as required under the Regulation (EU) No 648/2012 of the European Parliament and of the Council of 4th July 2012 on OTC derivatives, central counterparties and trade repositories (referred to as “EMIR”). REGIS-TR thanks ESMA for the opportunity to participate in this consultation paper on SFTR reporting guidelines.</w:t>
      </w: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77777777" w:rsidR="00D62A4F" w:rsidRDefault="00D62A4F" w:rsidP="00D62A4F">
      <w:pPr>
        <w:rPr>
          <w:rFonts w:ascii="Arial" w:hAnsi="Arial" w:cs="Arial"/>
        </w:rPr>
      </w:pPr>
      <w:permStart w:id="1690923388" w:edGrp="everyone"/>
      <w:r>
        <w:rPr>
          <w:rFonts w:ascii="Arial" w:hAnsi="Arial" w:cs="Arial"/>
        </w:rPr>
        <w:t>TYPE YOUR TEXT HERE</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lastRenderedPageBreak/>
        <w:t>&lt;ESMA_QUESTION_RSFTR_7&gt;</w:t>
      </w:r>
    </w:p>
    <w:p w14:paraId="357B45FC" w14:textId="07DDC973" w:rsidR="00052766" w:rsidRPr="00E711B5" w:rsidRDefault="00052766" w:rsidP="00052766">
      <w:pPr>
        <w:rPr>
          <w:rFonts w:asciiTheme="minorHAnsi" w:hAnsiTheme="minorHAnsi" w:cstheme="minorHAnsi"/>
          <w:color w:val="000000" w:themeColor="text1"/>
          <w:sz w:val="22"/>
          <w:szCs w:val="22"/>
        </w:rPr>
      </w:pPr>
      <w:permStart w:id="1754024460" w:edGrp="everyone"/>
      <w:r w:rsidRPr="00E711B5">
        <w:rPr>
          <w:rFonts w:asciiTheme="minorHAnsi" w:hAnsiTheme="minorHAnsi" w:cstheme="minorHAnsi"/>
          <w:color w:val="000000" w:themeColor="text1"/>
          <w:sz w:val="22"/>
          <w:szCs w:val="22"/>
        </w:rPr>
        <w:t>To REGIS-TR’s understanding this question refers to t</w:t>
      </w:r>
      <w:r w:rsidR="0027786A">
        <w:rPr>
          <w:rFonts w:asciiTheme="minorHAnsi" w:hAnsiTheme="minorHAnsi" w:cstheme="minorHAnsi"/>
          <w:color w:val="000000" w:themeColor="text1"/>
          <w:sz w:val="22"/>
          <w:szCs w:val="22"/>
        </w:rPr>
        <w:t xml:space="preserve">he effect of a cancellation and </w:t>
      </w:r>
      <w:r w:rsidRPr="00E711B5">
        <w:rPr>
          <w:rFonts w:asciiTheme="minorHAnsi" w:hAnsiTheme="minorHAnsi" w:cstheme="minorHAnsi"/>
          <w:color w:val="000000" w:themeColor="text1"/>
          <w:sz w:val="22"/>
          <w:szCs w:val="22"/>
        </w:rPr>
        <w:t xml:space="preserve">replacement of the trade by the trading parties on their fees and on how could this information be included in the reported SFT. </w:t>
      </w:r>
    </w:p>
    <w:p w14:paraId="5B866C16" w14:textId="7A366141"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Concerning reporting fees, REGIS-TR charges for each submission for SFT reports. When we receive an Early Termination (ETRM) or Error (EROR) message we charge reporting fees.</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3C60AA21" w:rsidR="00D62A4F" w:rsidRPr="00E711B5" w:rsidRDefault="00052766" w:rsidP="00052766">
      <w:pPr>
        <w:jc w:val="both"/>
        <w:rPr>
          <w:rFonts w:asciiTheme="minorHAnsi" w:hAnsiTheme="minorHAnsi" w:cstheme="minorHAnsi"/>
          <w:color w:val="000000" w:themeColor="text1"/>
          <w:sz w:val="22"/>
          <w:szCs w:val="22"/>
        </w:rPr>
      </w:pPr>
      <w:permStart w:id="1110072971" w:edGrp="everyone"/>
      <w:r w:rsidRPr="00E711B5">
        <w:rPr>
          <w:rFonts w:asciiTheme="minorHAnsi" w:hAnsiTheme="minorHAnsi" w:cstheme="minorHAnsi"/>
          <w:color w:val="000000" w:themeColor="text1"/>
          <w:sz w:val="22"/>
          <w:szCs w:val="22"/>
        </w:rPr>
        <w:t>REGIS-TR agrees with the proposal. From a TR perspective, setting margin lending to zero is the only way to be compliant with the validations and only allow one margin lending per pair of counterparties and Currency.</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6F5F24C0" w:rsidR="00D62A4F" w:rsidRPr="00E711B5" w:rsidRDefault="00052766" w:rsidP="00D62A4F">
      <w:pPr>
        <w:rPr>
          <w:rFonts w:asciiTheme="minorHAnsi" w:hAnsiTheme="minorHAnsi" w:cstheme="minorHAnsi"/>
          <w:color w:val="000000" w:themeColor="text1"/>
          <w:sz w:val="22"/>
          <w:szCs w:val="22"/>
        </w:rPr>
      </w:pPr>
      <w:permStart w:id="1164643219" w:edGrp="everyone"/>
      <w:r w:rsidRPr="00E711B5">
        <w:rPr>
          <w:rFonts w:asciiTheme="minorHAnsi" w:hAnsiTheme="minorHAnsi" w:cstheme="minorHAnsi"/>
          <w:color w:val="000000" w:themeColor="text1"/>
          <w:sz w:val="22"/>
          <w:szCs w:val="22"/>
        </w:rPr>
        <w:t xml:space="preserve">On the basis that the new SFT report related to netted positions shall result in a new contract with a new UTI, the TR will not be able to validate point b of paragraph 84, as it cannot link the position-level report to the underlying trade-level reports. Therefore REGIS-TR will not </w:t>
      </w:r>
      <w:r w:rsidRPr="00E711B5">
        <w:rPr>
          <w:rFonts w:asciiTheme="minorHAnsi" w:hAnsiTheme="minorHAnsi" w:cstheme="minorHAnsi"/>
          <w:color w:val="000000" w:themeColor="text1"/>
          <w:sz w:val="22"/>
          <w:szCs w:val="22"/>
        </w:rPr>
        <w:lastRenderedPageBreak/>
        <w:t>reject position-level reports if the transaction-level reporting has not been correctly done by the counterparties.</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B4D7973" w14:textId="77777777" w:rsidR="00052766" w:rsidRPr="00E711B5" w:rsidRDefault="00052766" w:rsidP="00052766">
      <w:pPr>
        <w:jc w:val="both"/>
        <w:rPr>
          <w:rFonts w:asciiTheme="minorHAnsi" w:hAnsiTheme="minorHAnsi" w:cstheme="minorHAnsi"/>
          <w:color w:val="000000" w:themeColor="text1"/>
          <w:sz w:val="22"/>
          <w:szCs w:val="22"/>
        </w:rPr>
      </w:pPr>
      <w:permStart w:id="815811770" w:edGrp="everyone"/>
      <w:r w:rsidRPr="00E711B5">
        <w:rPr>
          <w:rFonts w:asciiTheme="minorHAnsi" w:hAnsiTheme="minorHAnsi" w:cstheme="minorHAnsi"/>
          <w:color w:val="000000" w:themeColor="text1"/>
          <w:sz w:val="22"/>
          <w:szCs w:val="22"/>
        </w:rPr>
        <w:t>REGIS-TR agrees with the proposed approach. REGIS-TR cannot identify TC-FC and SME-NFC that have fulfilled the reporting obligations in a third country. When there is an equivalence and the TC-FC reports that SFT as well as on behalf of the SME-NFC, if it passes successfully the validations of Article 1 2019/358. Then, it will go into reconciliation.</w:t>
      </w:r>
    </w:p>
    <w:p w14:paraId="3C03B798" w14:textId="2638FCD5"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REGIS-TR understands that when a TC-FC, without a branch in the EU, concludes an SFT with a FC and there is an equivalence, counterparties shall be deemed to have fulfilled their reporting obligations when the counterparties complied with the relevant obligations of that third country.</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7B449031" w14:textId="77777777" w:rsidR="00052766" w:rsidRPr="00E711B5" w:rsidRDefault="00052766" w:rsidP="00052766">
      <w:pPr>
        <w:jc w:val="both"/>
        <w:rPr>
          <w:rFonts w:asciiTheme="minorHAnsi" w:hAnsiTheme="minorHAnsi" w:cstheme="minorHAnsi"/>
          <w:color w:val="000000" w:themeColor="text1"/>
          <w:sz w:val="22"/>
          <w:szCs w:val="22"/>
        </w:rPr>
      </w:pPr>
      <w:permStart w:id="733290772" w:edGrp="everyone"/>
      <w:r w:rsidRPr="00E711B5">
        <w:rPr>
          <w:rFonts w:asciiTheme="minorHAnsi" w:hAnsiTheme="minorHAnsi" w:cstheme="minorHAnsi"/>
          <w:color w:val="000000" w:themeColor="text1"/>
          <w:sz w:val="22"/>
          <w:szCs w:val="22"/>
        </w:rPr>
        <w:t>REGIS-TR agrees with the proposed approach.</w:t>
      </w:r>
    </w:p>
    <w:p w14:paraId="105CADDA"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Point 1: Concerning mandatory delegation:</w:t>
      </w:r>
    </w:p>
    <w:p w14:paraId="4E863606"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According to par.97, REGIS-TR kindly requests ESMA to confirm if there can be cases where a fund is directly responsible for reporting. Furthermore, REGIS-TR suggests to ESMA the implementation of a “validation process” of the algorithms, the calculations and the results among different TRs to ensure the alignment of the position calculation before the deployment date.</w:t>
      </w:r>
    </w:p>
    <w:p w14:paraId="0DD35601"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Point 2: Concerning voluntary delegation, the current regulatory article specifies: </w:t>
      </w:r>
    </w:p>
    <w:p w14:paraId="7F972553" w14:textId="77777777" w:rsidR="00052766" w:rsidRPr="00E711B5" w:rsidRDefault="00052766" w:rsidP="00052766">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““2019/358 Art1(1c)</w:t>
      </w:r>
    </w:p>
    <w:p w14:paraId="647FCD7F" w14:textId="77777777" w:rsidR="00052766" w:rsidRPr="00E711B5" w:rsidRDefault="00052766" w:rsidP="00052766">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A trade repository shall verify all of the following in a received SFT report:</w:t>
      </w:r>
    </w:p>
    <w:p w14:paraId="15FB7428" w14:textId="77777777" w:rsidR="00052766" w:rsidRPr="00E711B5" w:rsidRDefault="00052766" w:rsidP="00052766">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w:t>
      </w:r>
    </w:p>
    <w:p w14:paraId="6AA3CF09" w14:textId="77777777" w:rsidR="00052766" w:rsidRPr="00E711B5" w:rsidRDefault="00052766" w:rsidP="00052766">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(c) that the report submitting entity, if different from the reporting counterparty as referred to in Field 3 of Table 1 of Annex I to Implementing Regulation (EU) 2019/363, is duly authorised to report on behalf of the reporting counterparty, except in the case provided for in Article 4(3) of Regulation (EU) 2015/2365;””</w:t>
      </w:r>
    </w:p>
    <w:p w14:paraId="3F6295E4" w14:textId="1A2DEC80"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To our understanding it is the Entity Responsible for Reporting (ERR) the one delegating their reporting and therefore having the contractual relationship with another entity and not the Reporting Counterparty (RC). Therefore, the verification that the RSE is duly authorised to report on behalf of the RC shall be made against the ERR of the SFTs submitted. That implies that the TR needs to check that the RSE has been authorised by the ERR and not the RC. </w:t>
      </w:r>
      <w:r w:rsidRPr="005B3EA6">
        <w:rPr>
          <w:rFonts w:asciiTheme="minorHAnsi" w:hAnsiTheme="minorHAnsi" w:cstheme="minorHAnsi"/>
          <w:color w:val="000000" w:themeColor="text1"/>
          <w:sz w:val="22"/>
          <w:szCs w:val="22"/>
        </w:rPr>
        <w:t xml:space="preserve">Can </w:t>
      </w:r>
      <w:r w:rsidR="005B3EA6" w:rsidRPr="005B3EA6">
        <w:rPr>
          <w:rFonts w:asciiTheme="minorHAnsi" w:hAnsiTheme="minorHAnsi" w:cstheme="minorHAnsi"/>
          <w:color w:val="000000" w:themeColor="text1"/>
          <w:sz w:val="22"/>
          <w:szCs w:val="22"/>
        </w:rPr>
        <w:t>ESMA</w:t>
      </w:r>
      <w:r w:rsidRPr="005B3EA6">
        <w:rPr>
          <w:rFonts w:asciiTheme="minorHAnsi" w:hAnsiTheme="minorHAnsi" w:cstheme="minorHAnsi"/>
          <w:color w:val="000000" w:themeColor="text1"/>
          <w:sz w:val="22"/>
          <w:szCs w:val="22"/>
        </w:rPr>
        <w:t xml:space="preserve"> confirm</w:t>
      </w:r>
      <w:r w:rsidR="005B3EA6" w:rsidRPr="005B3EA6">
        <w:rPr>
          <w:rFonts w:asciiTheme="minorHAnsi" w:hAnsiTheme="minorHAnsi" w:cstheme="minorHAnsi"/>
          <w:color w:val="000000" w:themeColor="text1"/>
          <w:sz w:val="22"/>
          <w:szCs w:val="22"/>
        </w:rPr>
        <w:t xml:space="preserve"> our understanding</w:t>
      </w:r>
      <w:r w:rsidRPr="005B3EA6">
        <w:rPr>
          <w:rFonts w:asciiTheme="minorHAnsi" w:hAnsiTheme="minorHAnsi" w:cstheme="minorHAnsi"/>
          <w:color w:val="000000" w:themeColor="text1"/>
          <w:sz w:val="22"/>
          <w:szCs w:val="22"/>
        </w:rPr>
        <w:t>?</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lastRenderedPageBreak/>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1507DAFC" w14:textId="25746CA3" w:rsidR="00D62A4F" w:rsidRDefault="00052766" w:rsidP="00D62A4F">
      <w:pPr>
        <w:rPr>
          <w:rFonts w:ascii="Arial" w:hAnsi="Arial" w:cs="Arial"/>
        </w:rPr>
      </w:pPr>
      <w:permStart w:id="2100383752" w:edGrp="everyone"/>
      <w:r w:rsidRPr="00E711B5">
        <w:rPr>
          <w:rFonts w:asciiTheme="minorHAnsi" w:hAnsiTheme="minorHAnsi" w:cstheme="minorHAnsi"/>
          <w:color w:val="000000" w:themeColor="text1"/>
          <w:sz w:val="22"/>
          <w:szCs w:val="22"/>
        </w:rPr>
        <w:t xml:space="preserve">From a TR perspective REGIS-TR agrees with the approach for reporting by NFCs. </w:t>
      </w:r>
      <w:permEnd w:id="2100383752"/>
      <w:r w:rsidR="00D62A4F">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bookmarkStart w:id="1" w:name="_GoBack"/>
      <w:bookmarkEnd w:id="1"/>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4126FE1A" w14:textId="77777777" w:rsidR="00052766" w:rsidRPr="00E711B5" w:rsidRDefault="00052766" w:rsidP="00052766">
      <w:pPr>
        <w:jc w:val="both"/>
        <w:rPr>
          <w:rFonts w:asciiTheme="minorHAnsi" w:hAnsiTheme="minorHAnsi" w:cstheme="minorHAnsi"/>
          <w:color w:val="000000" w:themeColor="text1"/>
          <w:sz w:val="22"/>
          <w:szCs w:val="22"/>
        </w:rPr>
      </w:pPr>
      <w:permStart w:id="1355967403" w:edGrp="everyone"/>
      <w:r w:rsidRPr="00E711B5">
        <w:rPr>
          <w:rFonts w:asciiTheme="minorHAnsi" w:hAnsiTheme="minorHAnsi" w:cstheme="minorHAnsi"/>
          <w:color w:val="000000" w:themeColor="text1"/>
          <w:sz w:val="22"/>
          <w:szCs w:val="22"/>
        </w:rPr>
        <w:t xml:space="preserve">REGIS-TR understands that the reporting of a modification / correction applies only to the SFT report sent for a specific event date. </w:t>
      </w:r>
    </w:p>
    <w:p w14:paraId="0FEF1493" w14:textId="77777777" w:rsidR="00052766" w:rsidRPr="00E711B5" w:rsidRDefault="00052766" w:rsidP="00052766">
      <w:pPr>
        <w:jc w:val="both"/>
        <w:rPr>
          <w:rFonts w:asciiTheme="minorHAnsi" w:hAnsiTheme="minorHAnsi" w:cstheme="minorHAnsi"/>
          <w:color w:val="000000" w:themeColor="text1"/>
          <w:sz w:val="22"/>
          <w:szCs w:val="22"/>
          <w:lang w:val="en-US"/>
        </w:rPr>
      </w:pPr>
      <w:r w:rsidRPr="00E711B5">
        <w:rPr>
          <w:rFonts w:asciiTheme="minorHAnsi" w:hAnsiTheme="minorHAnsi" w:cstheme="minorHAnsi"/>
          <w:color w:val="000000" w:themeColor="text1"/>
          <w:sz w:val="22"/>
          <w:szCs w:val="22"/>
        </w:rPr>
        <w:t>If the report is sent with an event date in the past then REGIS-TR proposal would be to store that report and make it available to the relevant entities and the Regulators in the daily activity report on the reception date but not applying it to the final status of the SFT on the event date in the past.</w:t>
      </w:r>
      <w:r w:rsidRPr="00E711B5">
        <w:rPr>
          <w:rFonts w:asciiTheme="minorHAnsi" w:hAnsiTheme="minorHAnsi" w:cstheme="minorHAnsi"/>
          <w:color w:val="000000" w:themeColor="text1"/>
          <w:sz w:val="22"/>
          <w:szCs w:val="22"/>
          <w:lang w:val="en-US"/>
        </w:rPr>
        <w:t xml:space="preserve"> Additionally, the customer shall send a modification/correction message with event date “today” should any of the terms of the SFT is to be updated.</w:t>
      </w:r>
    </w:p>
    <w:p w14:paraId="61F4F8CF" w14:textId="77777777" w:rsidR="00052766" w:rsidRPr="00E711B5" w:rsidRDefault="00052766" w:rsidP="00052766">
      <w:pPr>
        <w:jc w:val="both"/>
        <w:rPr>
          <w:rFonts w:asciiTheme="minorHAnsi" w:hAnsiTheme="minorHAnsi" w:cstheme="minorHAnsi"/>
          <w:color w:val="000000" w:themeColor="text1"/>
          <w:sz w:val="22"/>
          <w:szCs w:val="22"/>
          <w:lang w:val="en-US"/>
        </w:rPr>
      </w:pPr>
      <w:r w:rsidRPr="00E711B5">
        <w:rPr>
          <w:rFonts w:asciiTheme="minorHAnsi" w:hAnsiTheme="minorHAnsi" w:cstheme="minorHAnsi"/>
          <w:color w:val="000000" w:themeColor="text1"/>
          <w:sz w:val="22"/>
          <w:szCs w:val="22"/>
          <w:lang w:val="en-US"/>
        </w:rPr>
        <w:t>Updating the details of a trade in the past while one or more updates have been submitted past the specific event date can lead to data integrity issues and require that the RSE submits an array of corrections for each subsequent date.</w:t>
      </w:r>
    </w:p>
    <w:p w14:paraId="04D0FC5E" w14:textId="49F44764" w:rsidR="00D62A4F"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lastRenderedPageBreak/>
        <w:t>If needed the reporting parties will have to send additional modification/reports if the changes shall also be applied to the current date.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6B8BF30E" w14:textId="77777777" w:rsidR="00052766" w:rsidRPr="00E711B5" w:rsidRDefault="00052766" w:rsidP="00052766">
      <w:pPr>
        <w:jc w:val="both"/>
        <w:rPr>
          <w:rFonts w:asciiTheme="minorHAnsi" w:hAnsiTheme="minorHAnsi" w:cstheme="minorHAnsi"/>
          <w:color w:val="000000" w:themeColor="text1"/>
          <w:sz w:val="22"/>
          <w:szCs w:val="22"/>
        </w:rPr>
      </w:pPr>
      <w:permStart w:id="531385609" w:edGrp="everyone"/>
      <w:r w:rsidRPr="00E711B5">
        <w:rPr>
          <w:rFonts w:asciiTheme="minorHAnsi" w:hAnsiTheme="minorHAnsi" w:cstheme="minorHAnsi"/>
          <w:color w:val="000000" w:themeColor="text1"/>
          <w:sz w:val="22"/>
          <w:szCs w:val="22"/>
        </w:rPr>
        <w:t xml:space="preserve">REGIS-TR understands that a collateral update applies 1.to the underlying SFT report sent for the event date specified in the COLU message. Normally the event date reported in a COLU message is the date on which the COLU is submitted. </w:t>
      </w:r>
    </w:p>
    <w:p w14:paraId="72F8563F"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If the report is sent with an event date in the past then REGIS-TR proposal would be to store that report and make it available to the relevant entities and the Regulators in the daily activity report on the reception date but not applying it to the final status of the SFT on the event date in the past. </w:t>
      </w:r>
    </w:p>
    <w:p w14:paraId="3D694338" w14:textId="3C1199F6"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lang w:val="en-US"/>
        </w:rPr>
        <w:t>Updating the details of a trade in the past while one or more updates have been submitted past the specific event date can lead to data integrity issues and require that the RSE submits an array of corrections for each subsequent date.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0857B7EE" w14:textId="77777777" w:rsidR="00052766" w:rsidRPr="00E711B5" w:rsidRDefault="00052766" w:rsidP="00052766">
      <w:pPr>
        <w:jc w:val="both"/>
        <w:rPr>
          <w:rFonts w:asciiTheme="minorHAnsi" w:hAnsiTheme="minorHAnsi" w:cstheme="minorHAnsi"/>
          <w:color w:val="000000" w:themeColor="text1"/>
          <w:sz w:val="22"/>
          <w:szCs w:val="22"/>
        </w:rPr>
      </w:pPr>
      <w:permStart w:id="117392414" w:edGrp="everyone"/>
      <w:r w:rsidRPr="00E711B5">
        <w:rPr>
          <w:rFonts w:asciiTheme="minorHAnsi" w:hAnsiTheme="minorHAnsi" w:cstheme="minorHAnsi"/>
          <w:color w:val="000000" w:themeColor="text1"/>
          <w:sz w:val="22"/>
          <w:szCs w:val="22"/>
        </w:rPr>
        <w:t xml:space="preserve">REGIS-TR understands that the reporting of a valuation, margin and reuse updates apply only to the SFT report sent for a specific event date. If the report is sent with an event date in the past then REGIS-TR proposal would be to store that report and make it available to the relevant entities and the Regulators in the daily activity report on the reception date but not applying it to the final status of the SFT on the event date in the past. </w:t>
      </w:r>
    </w:p>
    <w:p w14:paraId="5AF91955" w14:textId="2837D3B2"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lang w:val="en-US"/>
        </w:rPr>
        <w:t>Updating the details of a trade in the past while one or more updates have been submitted past the specific event date can lead to data integrity issues and require that the RSE submits an array of corrections for each subsequent date.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F096269" w14:textId="77777777" w:rsidR="00052766" w:rsidRPr="00E711B5" w:rsidRDefault="00052766" w:rsidP="00052766">
      <w:pPr>
        <w:jc w:val="both"/>
        <w:rPr>
          <w:rFonts w:asciiTheme="minorHAnsi" w:hAnsiTheme="minorHAnsi" w:cstheme="minorHAnsi"/>
          <w:color w:val="000000" w:themeColor="text1"/>
          <w:sz w:val="22"/>
          <w:szCs w:val="22"/>
        </w:rPr>
      </w:pPr>
      <w:permStart w:id="1954160951" w:edGrp="everyone"/>
      <w:r w:rsidRPr="00E711B5">
        <w:rPr>
          <w:rFonts w:asciiTheme="minorHAnsi" w:hAnsiTheme="minorHAnsi" w:cstheme="minorHAnsi"/>
          <w:color w:val="000000" w:themeColor="text1"/>
          <w:sz w:val="22"/>
          <w:szCs w:val="22"/>
        </w:rPr>
        <w:t>REGIS-TR would like to request further guidance.</w:t>
      </w:r>
    </w:p>
    <w:p w14:paraId="76111801"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REGIS-TR kindly asks ESMA, on the basis that trades with the entities mentioned in Article 2(2) and (3) of SFTR are to be rejected, how are those entities to be identified (and stay up to date on ongoing basis) by TRs?</w:t>
      </w:r>
    </w:p>
    <w:p w14:paraId="06D05B0E" w14:textId="1ABFE8E0" w:rsidR="00D62A4F"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Shall the TR be provided with the detailed list, or the way to identify Entities is the one mentioned in Article 2(2) and (3) including related LEI? More specifically: "Other Members States bodies performing similar functions</w:t>
      </w:r>
      <w:proofErr w:type="gramStart"/>
      <w:r w:rsidRPr="00E711B5">
        <w:rPr>
          <w:rFonts w:asciiTheme="minorHAnsi" w:hAnsiTheme="minorHAnsi" w:cstheme="minorHAnsi"/>
          <w:color w:val="000000" w:themeColor="text1"/>
          <w:sz w:val="22"/>
          <w:szCs w:val="22"/>
        </w:rPr>
        <w:t>"  and</w:t>
      </w:r>
      <w:proofErr w:type="gramEnd"/>
      <w:r w:rsidRPr="00E711B5">
        <w:rPr>
          <w:rFonts w:asciiTheme="minorHAnsi" w:hAnsiTheme="minorHAnsi" w:cstheme="minorHAnsi"/>
          <w:color w:val="000000" w:themeColor="text1"/>
          <w:sz w:val="22"/>
          <w:szCs w:val="22"/>
        </w:rPr>
        <w:t xml:space="preserve"> "other Union public bodies charged with or intervening in, the management of the public debt".</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705568E7" w14:textId="77777777" w:rsidR="00052766" w:rsidRPr="00E711B5" w:rsidRDefault="00052766" w:rsidP="00052766">
      <w:pPr>
        <w:jc w:val="both"/>
        <w:rPr>
          <w:rFonts w:asciiTheme="minorHAnsi" w:hAnsiTheme="minorHAnsi" w:cstheme="minorHAnsi"/>
          <w:color w:val="000000" w:themeColor="text1"/>
          <w:sz w:val="22"/>
          <w:szCs w:val="22"/>
        </w:rPr>
      </w:pPr>
      <w:permStart w:id="162426900" w:edGrp="everyone"/>
      <w:r w:rsidRPr="00E711B5">
        <w:rPr>
          <w:rFonts w:asciiTheme="minorHAnsi" w:hAnsiTheme="minorHAnsi" w:cstheme="minorHAnsi"/>
          <w:color w:val="000000" w:themeColor="text1"/>
          <w:sz w:val="22"/>
          <w:szCs w:val="22"/>
        </w:rPr>
        <w:t xml:space="preserve">Proposal “A” is the most appropriate from Regis-TR’s point of view as it provides an immediate and clear way to manage all the lifecycle of </w:t>
      </w:r>
      <w:proofErr w:type="gramStart"/>
      <w:r w:rsidRPr="00E711B5">
        <w:rPr>
          <w:rFonts w:asciiTheme="minorHAnsi" w:hAnsiTheme="minorHAnsi" w:cstheme="minorHAnsi"/>
          <w:color w:val="000000" w:themeColor="text1"/>
          <w:sz w:val="22"/>
          <w:szCs w:val="22"/>
        </w:rPr>
        <w:t>a</w:t>
      </w:r>
      <w:proofErr w:type="gramEnd"/>
      <w:r w:rsidRPr="00E711B5">
        <w:rPr>
          <w:rFonts w:asciiTheme="minorHAnsi" w:hAnsiTheme="minorHAnsi" w:cstheme="minorHAnsi"/>
          <w:color w:val="000000" w:themeColor="text1"/>
          <w:sz w:val="22"/>
          <w:szCs w:val="22"/>
        </w:rPr>
        <w:t xml:space="preserve"> SFT. Nevertheless, it is Regis-TR understanding that the snapshot will only be applicable for Modification and Corrections and further guidance from ESMA shall be provided for the reasons explained here below. </w:t>
      </w:r>
    </w:p>
    <w:p w14:paraId="17A666B9"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During the discussions in the ISO Evaluation Team meeting that took place on the 17</w:t>
      </w:r>
      <w:r w:rsidRPr="00E711B5">
        <w:rPr>
          <w:rFonts w:asciiTheme="minorHAnsi" w:hAnsiTheme="minorHAnsi" w:cstheme="minorHAnsi"/>
          <w:color w:val="000000" w:themeColor="text1"/>
          <w:sz w:val="22"/>
          <w:szCs w:val="22"/>
          <w:vertAlign w:val="superscript"/>
        </w:rPr>
        <w:t>th</w:t>
      </w:r>
      <w:r w:rsidRPr="00E711B5">
        <w:rPr>
          <w:rFonts w:asciiTheme="minorHAnsi" w:hAnsiTheme="minorHAnsi" w:cstheme="minorHAnsi"/>
          <w:color w:val="000000" w:themeColor="text1"/>
          <w:sz w:val="22"/>
          <w:szCs w:val="22"/>
        </w:rPr>
        <w:t xml:space="preserve"> July 2019, it was clarified that, if the decision is to have full reporting (proposal A), all the fields that are applicable to action type </w:t>
      </w:r>
      <w:r w:rsidRPr="00E711B5">
        <w:rPr>
          <w:rFonts w:asciiTheme="minorHAnsi" w:hAnsiTheme="minorHAnsi" w:cstheme="minorHAnsi"/>
          <w:i/>
          <w:color w:val="000000" w:themeColor="text1"/>
          <w:sz w:val="22"/>
          <w:szCs w:val="22"/>
        </w:rPr>
        <w:t>New</w:t>
      </w:r>
      <w:r w:rsidRPr="00E711B5">
        <w:rPr>
          <w:rFonts w:asciiTheme="minorHAnsi" w:hAnsiTheme="minorHAnsi" w:cstheme="minorHAnsi"/>
          <w:color w:val="000000" w:themeColor="text1"/>
          <w:sz w:val="22"/>
          <w:szCs w:val="22"/>
        </w:rPr>
        <w:t xml:space="preserve"> will also be applicable to </w:t>
      </w:r>
      <w:r w:rsidRPr="00E711B5">
        <w:rPr>
          <w:rFonts w:asciiTheme="minorHAnsi" w:hAnsiTheme="minorHAnsi" w:cstheme="minorHAnsi"/>
          <w:i/>
          <w:color w:val="000000" w:themeColor="text1"/>
          <w:sz w:val="22"/>
          <w:szCs w:val="22"/>
        </w:rPr>
        <w:t>Modifications</w:t>
      </w:r>
      <w:r w:rsidRPr="00E711B5">
        <w:rPr>
          <w:rFonts w:asciiTheme="minorHAnsi" w:hAnsiTheme="minorHAnsi" w:cstheme="minorHAnsi"/>
          <w:color w:val="000000" w:themeColor="text1"/>
          <w:sz w:val="22"/>
          <w:szCs w:val="22"/>
        </w:rPr>
        <w:t xml:space="preserve"> and </w:t>
      </w:r>
      <w:r w:rsidRPr="00E711B5">
        <w:rPr>
          <w:rFonts w:asciiTheme="minorHAnsi" w:hAnsiTheme="minorHAnsi" w:cstheme="minorHAnsi"/>
          <w:i/>
          <w:color w:val="000000" w:themeColor="text1"/>
          <w:sz w:val="22"/>
          <w:szCs w:val="22"/>
        </w:rPr>
        <w:t>Corrections</w:t>
      </w:r>
      <w:r w:rsidRPr="00E711B5">
        <w:rPr>
          <w:rFonts w:asciiTheme="minorHAnsi" w:hAnsiTheme="minorHAnsi" w:cstheme="minorHAnsi"/>
          <w:color w:val="000000" w:themeColor="text1"/>
          <w:sz w:val="22"/>
          <w:szCs w:val="22"/>
        </w:rPr>
        <w:t xml:space="preserve">, however, the current version of the schema (DRAFT2auth.052.001.01) does not support this approach for </w:t>
      </w:r>
      <w:r w:rsidRPr="00E711B5">
        <w:rPr>
          <w:rFonts w:asciiTheme="minorHAnsi" w:hAnsiTheme="minorHAnsi" w:cstheme="minorHAnsi"/>
          <w:i/>
          <w:color w:val="000000" w:themeColor="text1"/>
          <w:sz w:val="22"/>
          <w:szCs w:val="22"/>
        </w:rPr>
        <w:t>Modifications</w:t>
      </w:r>
      <w:r w:rsidRPr="00E711B5">
        <w:rPr>
          <w:rFonts w:asciiTheme="minorHAnsi" w:hAnsiTheme="minorHAnsi" w:cstheme="minorHAnsi"/>
          <w:color w:val="000000" w:themeColor="text1"/>
          <w:sz w:val="22"/>
          <w:szCs w:val="22"/>
        </w:rPr>
        <w:t xml:space="preserve">. There are certain fields listed below that are not included in the </w:t>
      </w:r>
      <w:r w:rsidRPr="00E711B5">
        <w:rPr>
          <w:rFonts w:asciiTheme="minorHAnsi" w:hAnsiTheme="minorHAnsi" w:cstheme="minorHAnsi"/>
          <w:i/>
          <w:color w:val="000000" w:themeColor="text1"/>
          <w:sz w:val="22"/>
          <w:szCs w:val="22"/>
        </w:rPr>
        <w:t>Modification</w:t>
      </w:r>
      <w:r w:rsidRPr="00E711B5">
        <w:rPr>
          <w:rFonts w:asciiTheme="minorHAnsi" w:hAnsiTheme="minorHAnsi" w:cstheme="minorHAnsi"/>
          <w:color w:val="000000" w:themeColor="text1"/>
          <w:sz w:val="22"/>
          <w:szCs w:val="22"/>
        </w:rPr>
        <w:t xml:space="preserve"> node. Therefore, unless the schemas are updated, this approach will not be feasible. Additionally, ESMA shall confirm if the TRs have to implement any additional validations on fields that are currently not reportable under action type </w:t>
      </w:r>
      <w:r w:rsidRPr="00E711B5">
        <w:rPr>
          <w:rFonts w:asciiTheme="minorHAnsi" w:hAnsiTheme="minorHAnsi" w:cstheme="minorHAnsi"/>
          <w:i/>
          <w:color w:val="000000" w:themeColor="text1"/>
          <w:sz w:val="22"/>
          <w:szCs w:val="22"/>
        </w:rPr>
        <w:t>Modification</w:t>
      </w:r>
      <w:r w:rsidRPr="00E711B5">
        <w:rPr>
          <w:rFonts w:asciiTheme="minorHAnsi" w:hAnsiTheme="minorHAnsi" w:cstheme="minorHAnsi"/>
          <w:color w:val="000000" w:themeColor="text1"/>
          <w:sz w:val="22"/>
          <w:szCs w:val="22"/>
        </w:rPr>
        <w:t xml:space="preserve"> in order to ensure that its content is not updated.</w:t>
      </w:r>
    </w:p>
    <w:p w14:paraId="65BF83F9"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(2.12) Execution timestamp</w:t>
      </w:r>
    </w:p>
    <w:p w14:paraId="7F36CD35"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(2.75) Type of collateral component</w:t>
      </w:r>
    </w:p>
    <w:p w14:paraId="746B5DB7"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(2.76) Cash collateral amount</w:t>
      </w:r>
    </w:p>
    <w:p w14:paraId="55F7323C"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(2.77) Cash collateral currency</w:t>
      </w:r>
    </w:p>
    <w:p w14:paraId="074F1246"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(2.78) Identification of a security used as collateral</w:t>
      </w:r>
    </w:p>
    <w:p w14:paraId="7F7CBF2C"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(2.79) Classification of a security used as collateral</w:t>
      </w:r>
    </w:p>
    <w:p w14:paraId="6FBF0094"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(2.80) Base product</w:t>
      </w:r>
    </w:p>
    <w:p w14:paraId="0D8628E0"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(2.81) Sub - product</w:t>
      </w:r>
    </w:p>
    <w:p w14:paraId="6EDADDA2"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(2.82) Further sub - product</w:t>
      </w:r>
    </w:p>
    <w:p w14:paraId="5D757BE6"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(2.83) Collateral quantity or nominal amount</w:t>
      </w:r>
    </w:p>
    <w:p w14:paraId="7F1EFDB1"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(2.83) Collateral quantity or nominal amount </w:t>
      </w:r>
    </w:p>
    <w:p w14:paraId="62F77904"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(2.84) Collateral unit of measure</w:t>
      </w:r>
    </w:p>
    <w:p w14:paraId="4AEA8943"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(2.85) Currency of collateral nominal amount</w:t>
      </w:r>
    </w:p>
    <w:p w14:paraId="22A09E04"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(2.86) Price currency</w:t>
      </w:r>
    </w:p>
    <w:p w14:paraId="06DACEA8"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(2.87) Price per unit</w:t>
      </w:r>
    </w:p>
    <w:p w14:paraId="1336B649"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(2.88) Collateral market value</w:t>
      </w:r>
    </w:p>
    <w:p w14:paraId="34FBCB4A"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(2.89) Haircut or margin</w:t>
      </w:r>
    </w:p>
    <w:p w14:paraId="3AB29546"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(2.90) Collateral </w:t>
      </w:r>
      <w:proofErr w:type="spellStart"/>
      <w:r w:rsidRPr="00E711B5">
        <w:rPr>
          <w:rFonts w:asciiTheme="minorHAnsi" w:hAnsiTheme="minorHAnsi" w:cstheme="minorHAnsi"/>
          <w:color w:val="000000" w:themeColor="text1"/>
          <w:sz w:val="22"/>
          <w:szCs w:val="22"/>
        </w:rPr>
        <w:t>SctyQltyity</w:t>
      </w:r>
      <w:proofErr w:type="spellEnd"/>
    </w:p>
    <w:p w14:paraId="70156B87"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(2.91) Maturity of the security</w:t>
      </w:r>
    </w:p>
    <w:p w14:paraId="00CB16BA"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(2.92) Jurisdiction of the issuer</w:t>
      </w:r>
    </w:p>
    <w:p w14:paraId="0A339AA4"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(2.93) LEI of the issuer</w:t>
      </w:r>
    </w:p>
    <w:p w14:paraId="78C03A7A"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(2.94) Collateral type</w:t>
      </w:r>
    </w:p>
    <w:p w14:paraId="019048CE"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(2.95) Availability for collateral reuse </w:t>
      </w:r>
    </w:p>
    <w:p w14:paraId="1745C70D"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(2.96) Collateral basket identifier </w:t>
      </w:r>
    </w:p>
    <w:p w14:paraId="6AF20ABF"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(2.97) Portfolio code</w:t>
      </w:r>
    </w:p>
    <w:p w14:paraId="62934299"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The following analysis has been made:</w:t>
      </w:r>
    </w:p>
    <w:p w14:paraId="466EDDE5"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lastRenderedPageBreak/>
        <w:t>The implementation of option “A” is the most efficient and accurate from a TR perspective. It guarantees any type of modification/correction without applying complex validations to allow changes in fields that trigger a different set of cross validations. An example of this type of changes is the modification of the field “2.4 – Type of SFT” that implies a completely different set of validations base on the type selected. Therefore, the XSD does not provide a way to differentiate between an optional field excluded on purpose (as it does not change) and a field that want to be erased.</w:t>
      </w:r>
    </w:p>
    <w:p w14:paraId="26436CC4"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An additional benefit of this approach is the direct filtering for NCAs as all the fields used as filters will be fulfilled in each of the action types, facilitating the extraction of data and decreasing the implementation effort and cost. On the contrary, proposal “B” will force REGIS-TR to enrich the lifecycle messages with the information of the latest status of the SFT to be able to provide accurate data to the NCAs.</w:t>
      </w:r>
    </w:p>
    <w:p w14:paraId="1AF1D8C1" w14:textId="03B05520"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The snapshot approach will ease the daily activities of the TR, facilitating the compliance of the SLAs defined in the regulation, extremely important considering the high volumes SFTR will entail and the quick grow on the data to be manged by the TR.</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2E62F8B2" w14:textId="77777777" w:rsidR="00052766" w:rsidRPr="00E711B5" w:rsidRDefault="00052766" w:rsidP="00052766">
      <w:pPr>
        <w:jc w:val="both"/>
        <w:rPr>
          <w:rFonts w:asciiTheme="minorHAnsi" w:hAnsiTheme="minorHAnsi" w:cstheme="minorHAnsi"/>
          <w:color w:val="000000" w:themeColor="text1"/>
          <w:sz w:val="22"/>
          <w:szCs w:val="22"/>
        </w:rPr>
      </w:pPr>
      <w:permStart w:id="721421322" w:edGrp="everyone"/>
      <w:r w:rsidRPr="00E711B5">
        <w:rPr>
          <w:rFonts w:asciiTheme="minorHAnsi" w:hAnsiTheme="minorHAnsi" w:cstheme="minorHAnsi"/>
          <w:color w:val="000000" w:themeColor="text1"/>
          <w:sz w:val="22"/>
          <w:szCs w:val="22"/>
        </w:rPr>
        <w:t>Based on the proposed sequences, REGIS-TR understands that a trade that has been previously terminated or matured, can become again active if a modification or correction is applied on the specific date fields.</w:t>
      </w:r>
    </w:p>
    <w:p w14:paraId="25EB9E21" w14:textId="77777777" w:rsidR="00052766" w:rsidRPr="00E711B5" w:rsidRDefault="00052766" w:rsidP="00052766">
      <w:pPr>
        <w:pStyle w:val="Textocomentario"/>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Position Component allows a subsequent Correction, but the same level of validations applies to the Correction after a Position Component message and a New message, whereas New and Position Component are not fully identical in terms of reporting. Therefore, different validations should be applicable in each case in order to be consistent with the initial action type.</w:t>
      </w:r>
    </w:p>
    <w:p w14:paraId="5B1E2D2E" w14:textId="77777777" w:rsidR="00052766" w:rsidRPr="00E711B5" w:rsidRDefault="00052766" w:rsidP="00052766">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In addition to that, it is REGIS-TR understanding that Correction over a Position Component message should not enable any other type of action types, i.e. after a Correction over a Position Component the only allowed action types are Correction or Error. Guidelines should be clear in this situation.</w:t>
      </w:r>
    </w:p>
    <w:p w14:paraId="0762A7B9" w14:textId="2FB82BB5" w:rsidR="00D62A4F" w:rsidRPr="00E711B5" w:rsidRDefault="00052766" w:rsidP="00052766">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Beyond the Position Component reports case above, further guidance is required overall on the sequence of action types is order to ensure consistent use and reduce the risk for data integrity issues.</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lastRenderedPageBreak/>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1D2728BE" w14:textId="77777777" w:rsidR="006D2DC5" w:rsidRPr="00E711B5" w:rsidRDefault="006D2DC5" w:rsidP="006D2DC5">
      <w:pPr>
        <w:jc w:val="both"/>
        <w:rPr>
          <w:rFonts w:asciiTheme="minorHAnsi" w:hAnsiTheme="minorHAnsi" w:cstheme="minorHAnsi"/>
          <w:color w:val="000000" w:themeColor="text1"/>
          <w:sz w:val="22"/>
          <w:szCs w:val="22"/>
        </w:rPr>
      </w:pPr>
      <w:permStart w:id="1362588161" w:edGrp="everyone"/>
      <w:r w:rsidRPr="00E711B5">
        <w:rPr>
          <w:rFonts w:asciiTheme="minorHAnsi" w:hAnsiTheme="minorHAnsi" w:cstheme="minorHAnsi"/>
          <w:color w:val="000000" w:themeColor="text1"/>
          <w:sz w:val="22"/>
          <w:szCs w:val="22"/>
        </w:rPr>
        <w:t xml:space="preserve">From a TR perspective REGIS-TR agrees with the approach. </w:t>
      </w:r>
    </w:p>
    <w:p w14:paraId="361D3864" w14:textId="1907C5AA" w:rsidR="00D62A4F"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REGIS-TR intends to apply the following logic:</w:t>
      </w:r>
      <w:r w:rsidR="00C855E2">
        <w:rPr>
          <w:rFonts w:asciiTheme="minorHAnsi" w:hAnsiTheme="minorHAnsi" w:cstheme="minorHAnsi"/>
          <w:color w:val="000000" w:themeColor="text1"/>
          <w:sz w:val="22"/>
          <w:szCs w:val="22"/>
        </w:rPr>
        <w:t xml:space="preserve"> </w:t>
      </w:r>
      <w:r w:rsidRPr="00E711B5">
        <w:rPr>
          <w:rFonts w:asciiTheme="minorHAnsi" w:hAnsiTheme="minorHAnsi" w:cstheme="minorHAnsi"/>
          <w:color w:val="000000" w:themeColor="text1"/>
          <w:sz w:val="22"/>
          <w:szCs w:val="22"/>
        </w:rPr>
        <w:t>The backloaded SFTs will be processed as NEW reports, and will be included in the reconciliation process as done for new SFTs.</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77777777" w:rsidR="00D62A4F" w:rsidRDefault="00D62A4F" w:rsidP="00D62A4F">
      <w:pPr>
        <w:rPr>
          <w:rFonts w:ascii="Arial" w:hAnsi="Arial" w:cs="Arial"/>
        </w:rPr>
      </w:pPr>
      <w:permStart w:id="669926732" w:edGrp="everyone"/>
      <w:r>
        <w:rPr>
          <w:rFonts w:ascii="Arial" w:hAnsi="Arial" w:cs="Arial"/>
        </w:rPr>
        <w:t>TYPE YOUR TEXT HERE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4DD8F9C3" w14:textId="2CE60368" w:rsidR="006D2DC5" w:rsidRPr="00E711B5" w:rsidRDefault="006D2DC5" w:rsidP="006D2DC5">
      <w:pPr>
        <w:jc w:val="both"/>
        <w:rPr>
          <w:rFonts w:asciiTheme="minorHAnsi" w:hAnsiTheme="minorHAnsi" w:cstheme="minorHAnsi"/>
          <w:color w:val="000000" w:themeColor="text1"/>
          <w:sz w:val="22"/>
          <w:szCs w:val="22"/>
        </w:rPr>
      </w:pPr>
      <w:permStart w:id="1802378143" w:edGrp="everyone"/>
      <w:r w:rsidRPr="00E711B5">
        <w:rPr>
          <w:rFonts w:asciiTheme="minorHAnsi" w:hAnsiTheme="minorHAnsi" w:cstheme="minorHAnsi"/>
          <w:color w:val="000000" w:themeColor="text1"/>
          <w:sz w:val="22"/>
          <w:szCs w:val="22"/>
        </w:rPr>
        <w:t>From a TR perspective</w:t>
      </w:r>
      <w:r w:rsidR="0027786A">
        <w:rPr>
          <w:rFonts w:asciiTheme="minorHAnsi" w:hAnsiTheme="minorHAnsi" w:cstheme="minorHAnsi"/>
          <w:color w:val="000000" w:themeColor="text1"/>
          <w:sz w:val="22"/>
          <w:szCs w:val="22"/>
        </w:rPr>
        <w:t>,</w:t>
      </w:r>
      <w:r w:rsidRPr="00E711B5">
        <w:rPr>
          <w:rFonts w:asciiTheme="minorHAnsi" w:hAnsiTheme="minorHAnsi" w:cstheme="minorHAnsi"/>
          <w:color w:val="000000" w:themeColor="text1"/>
          <w:sz w:val="22"/>
          <w:szCs w:val="22"/>
        </w:rPr>
        <w:t xml:space="preserve"> REGIS-TR agrees </w:t>
      </w:r>
      <w:r w:rsidR="0027786A">
        <w:rPr>
          <w:rFonts w:asciiTheme="minorHAnsi" w:hAnsiTheme="minorHAnsi" w:cstheme="minorHAnsi"/>
          <w:color w:val="000000" w:themeColor="text1"/>
          <w:sz w:val="22"/>
          <w:szCs w:val="22"/>
        </w:rPr>
        <w:t>with</w:t>
      </w:r>
      <w:r w:rsidRPr="00E711B5">
        <w:rPr>
          <w:rFonts w:asciiTheme="minorHAnsi" w:hAnsiTheme="minorHAnsi" w:cstheme="minorHAnsi"/>
          <w:color w:val="000000" w:themeColor="text1"/>
          <w:sz w:val="22"/>
          <w:szCs w:val="22"/>
        </w:rPr>
        <w:t xml:space="preserve"> the approach. In addition, the following assumption is made:</w:t>
      </w:r>
    </w:p>
    <w:p w14:paraId="17F2850F"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As stated in the CP, non-banking counterparties could start SFTR reporting in advance.</w:t>
      </w:r>
    </w:p>
    <w:p w14:paraId="148EC219" w14:textId="3E9E1051" w:rsidR="00D62A4F" w:rsidRPr="00E711B5" w:rsidRDefault="006D2DC5" w:rsidP="006D2DC5">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REGIS-TR assumes that reconciliation shall be performed for these early-reported SFT including inter-TR reconciliation. All the trades received will be included in the reconciliation process, regardless of whether both counterparties have started their reporting. The same holds in case of early backloading.</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2C6A4B48" w14:textId="77777777" w:rsidR="006D2DC5" w:rsidRPr="00E711B5" w:rsidRDefault="006D2DC5" w:rsidP="006D2DC5">
      <w:pPr>
        <w:jc w:val="both"/>
        <w:rPr>
          <w:rFonts w:asciiTheme="minorHAnsi" w:hAnsiTheme="minorHAnsi" w:cstheme="minorHAnsi"/>
          <w:color w:val="000000" w:themeColor="text1"/>
          <w:sz w:val="22"/>
          <w:szCs w:val="22"/>
        </w:rPr>
      </w:pPr>
      <w:permStart w:id="178403384" w:edGrp="everyone"/>
      <w:r w:rsidRPr="00E711B5">
        <w:rPr>
          <w:rFonts w:asciiTheme="minorHAnsi" w:hAnsiTheme="minorHAnsi" w:cstheme="minorHAnsi"/>
          <w:color w:val="000000" w:themeColor="text1"/>
          <w:sz w:val="22"/>
          <w:szCs w:val="22"/>
        </w:rPr>
        <w:t xml:space="preserve">No, REGIS-TR does not believe that there are any other use cases that need to be further defined, but we need clarification regarding the population of the field </w:t>
      </w:r>
      <w:r w:rsidRPr="00E711B5">
        <w:rPr>
          <w:rFonts w:asciiTheme="minorHAnsi" w:hAnsiTheme="minorHAnsi" w:cstheme="minorHAnsi"/>
          <w:i/>
          <w:iCs/>
          <w:color w:val="000000" w:themeColor="text1"/>
          <w:sz w:val="22"/>
          <w:szCs w:val="22"/>
        </w:rPr>
        <w:t>Agent Lender</w:t>
      </w:r>
      <w:r w:rsidRPr="00E711B5">
        <w:rPr>
          <w:rFonts w:asciiTheme="minorHAnsi" w:hAnsiTheme="minorHAnsi" w:cstheme="minorHAnsi"/>
          <w:color w:val="000000" w:themeColor="text1"/>
          <w:sz w:val="22"/>
          <w:szCs w:val="22"/>
        </w:rPr>
        <w:t xml:space="preserve"> for the reasons explained here below:</w:t>
      </w:r>
    </w:p>
    <w:p w14:paraId="04D6D12B"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For the following uses cases there are discrepancies between Final report, Validation Rules and Consultation paper regarding the filling of Table 1 field 18 Agent Lender. </w:t>
      </w:r>
    </w:p>
    <w:p w14:paraId="40230117"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Non-cleared SFT with broker, agent lender and tri-party agent</w:t>
      </w:r>
    </w:p>
    <w:p w14:paraId="19ED981D"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Non-cleared SFT with broker, agent lender and tri-party agent, settled with a CSD participant different from any of the entities and voluntary delegation of reporting to a third party</w:t>
      </w:r>
    </w:p>
    <w:p w14:paraId="4AF15252"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Cleared SFT with broker, agent lender, tri-party agent</w:t>
      </w:r>
    </w:p>
    <w:p w14:paraId="26F00010"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Cleared SFT with broker, agent lender, tri-party agent settled with a CSD participant different from any of the entities and voluntary delegation of reporting to a third party</w:t>
      </w:r>
    </w:p>
    <w:p w14:paraId="603F2B58"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According to the Consultation paper (P.58) the field Agent lender (Table 1 field 18) is applicable to Repo, BSB and SL but REGIS-TR’s position is that the population of this field only is applicable to SL as specified in Final report (P.264). As you can see in the below tables this contradict the Technical Standards (COMMISSION DELEGATED REGULATION (EU) 2019/356). </w:t>
      </w:r>
    </w:p>
    <w:p w14:paraId="726EBE62"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Consultation Paper</w:t>
      </w:r>
    </w:p>
    <w:p w14:paraId="1D8AB9A1"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(P.58):</w:t>
      </w:r>
    </w:p>
    <w:p w14:paraId="6E000B0F"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noProof/>
          <w:color w:val="000000" w:themeColor="text1"/>
          <w:sz w:val="22"/>
          <w:szCs w:val="22"/>
        </w:rPr>
        <w:drawing>
          <wp:inline distT="0" distB="0" distL="0" distR="0" wp14:anchorId="7AA39775" wp14:editId="70F64B6D">
            <wp:extent cx="4119563" cy="1081707"/>
            <wp:effectExtent l="0" t="0" r="0" b="4445"/>
            <wp:docPr id="11" name="Imagen 10">
              <a:extLst xmlns:a="http://schemas.openxmlformats.org/drawingml/2006/main">
                <a:ext uri="{FF2B5EF4-FFF2-40B4-BE49-F238E27FC236}">
                  <a16:creationId xmlns:a16="http://schemas.microsoft.com/office/drawing/2014/main" id="{8E063833-9E5A-49F5-AD4D-62FF07F12A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8E063833-9E5A-49F5-AD4D-62FF07F12A1D}"/>
                        </a:ext>
                      </a:extLst>
                    </pic:cNvPr>
                    <pic:cNvPicPr>
                      <a:picLocks noChangeAspect="1"/>
                    </pic:cNvPicPr>
                  </pic:nvPicPr>
                  <pic:blipFill>
                    <a:blip r:embed="rId20"/>
                    <a:stretch>
                      <a:fillRect/>
                    </a:stretch>
                  </pic:blipFill>
                  <pic:spPr>
                    <a:xfrm>
                      <a:off x="0" y="0"/>
                      <a:ext cx="4119563" cy="1081707"/>
                    </a:xfrm>
                    <a:prstGeom prst="rect">
                      <a:avLst/>
                    </a:prstGeom>
                  </pic:spPr>
                </pic:pic>
              </a:graphicData>
            </a:graphic>
          </wp:inline>
        </w:drawing>
      </w:r>
    </w:p>
    <w:p w14:paraId="12B539C9"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Final report (P.264): </w:t>
      </w:r>
    </w:p>
    <w:p w14:paraId="4D7686E5"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noProof/>
          <w:color w:val="000000" w:themeColor="text1"/>
          <w:sz w:val="22"/>
          <w:szCs w:val="22"/>
        </w:rPr>
        <w:drawing>
          <wp:inline distT="0" distB="0" distL="0" distR="0" wp14:anchorId="33B89267" wp14:editId="4AD5525C">
            <wp:extent cx="4550414" cy="509866"/>
            <wp:effectExtent l="0" t="0" r="2540" b="5080"/>
            <wp:docPr id="7" name="Imagen 6">
              <a:extLst xmlns:a="http://schemas.openxmlformats.org/drawingml/2006/main">
                <a:ext uri="{FF2B5EF4-FFF2-40B4-BE49-F238E27FC236}">
                  <a16:creationId xmlns:a16="http://schemas.microsoft.com/office/drawing/2014/main" id="{9EA23D57-5517-4987-9F84-EF80BC2C62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9EA23D57-5517-4987-9F84-EF80BC2C627F}"/>
                        </a:ext>
                      </a:extLst>
                    </pic:cNvPr>
                    <pic:cNvPicPr>
                      <a:picLocks noChangeAspect="1"/>
                    </pic:cNvPicPr>
                  </pic:nvPicPr>
                  <pic:blipFill>
                    <a:blip r:embed="rId21"/>
                    <a:stretch>
                      <a:fillRect/>
                    </a:stretch>
                  </pic:blipFill>
                  <pic:spPr>
                    <a:xfrm>
                      <a:off x="0" y="0"/>
                      <a:ext cx="4550414" cy="509866"/>
                    </a:xfrm>
                    <a:prstGeom prst="rect">
                      <a:avLst/>
                    </a:prstGeom>
                  </pic:spPr>
                </pic:pic>
              </a:graphicData>
            </a:graphic>
          </wp:inline>
        </w:drawing>
      </w:r>
    </w:p>
    <w:p w14:paraId="5721E5D8"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Technical standards:</w:t>
      </w:r>
    </w:p>
    <w:p w14:paraId="171EF572" w14:textId="0535A989" w:rsidR="00D62A4F"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noProof/>
          <w:color w:val="000000" w:themeColor="text1"/>
          <w:sz w:val="22"/>
          <w:szCs w:val="22"/>
        </w:rPr>
        <w:drawing>
          <wp:inline distT="0" distB="0" distL="0" distR="0" wp14:anchorId="74C55E33" wp14:editId="52BBAF01">
            <wp:extent cx="3659188" cy="451025"/>
            <wp:effectExtent l="0" t="0" r="0" b="6350"/>
            <wp:docPr id="10" name="Imagen 9">
              <a:extLst xmlns:a="http://schemas.openxmlformats.org/drawingml/2006/main">
                <a:ext uri="{FF2B5EF4-FFF2-40B4-BE49-F238E27FC236}">
                  <a16:creationId xmlns:a16="http://schemas.microsoft.com/office/drawing/2014/main" id="{10F869FF-40D4-4127-AFE1-DAF80D5F01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10F869FF-40D4-4127-AFE1-DAF80D5F0132}"/>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9188" cy="451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0FDADAE5" w:rsidR="00D62A4F" w:rsidRPr="00E711B5" w:rsidRDefault="006D2DC5" w:rsidP="006D2DC5">
      <w:pPr>
        <w:jc w:val="both"/>
        <w:rPr>
          <w:rFonts w:asciiTheme="minorHAnsi" w:hAnsiTheme="minorHAnsi" w:cstheme="minorHAnsi"/>
          <w:color w:val="000000" w:themeColor="text1"/>
          <w:sz w:val="22"/>
          <w:szCs w:val="22"/>
        </w:rPr>
      </w:pPr>
      <w:permStart w:id="34804673" w:edGrp="everyone"/>
      <w:r w:rsidRPr="00E711B5">
        <w:rPr>
          <w:rFonts w:asciiTheme="minorHAnsi" w:hAnsiTheme="minorHAnsi" w:cstheme="minorHAnsi"/>
          <w:color w:val="000000" w:themeColor="text1"/>
          <w:sz w:val="22"/>
          <w:szCs w:val="22"/>
        </w:rPr>
        <w:t xml:space="preserve">REGIS-TR agrees, except with the population of the field </w:t>
      </w:r>
      <w:r w:rsidRPr="00E711B5">
        <w:rPr>
          <w:rFonts w:asciiTheme="minorHAnsi" w:hAnsiTheme="minorHAnsi" w:cstheme="minorHAnsi"/>
          <w:i/>
          <w:iCs/>
          <w:color w:val="000000" w:themeColor="text1"/>
          <w:sz w:val="22"/>
          <w:szCs w:val="22"/>
        </w:rPr>
        <w:t xml:space="preserve">Agent Lender </w:t>
      </w:r>
      <w:r w:rsidRPr="00E711B5">
        <w:rPr>
          <w:rFonts w:asciiTheme="minorHAnsi" w:hAnsiTheme="minorHAnsi" w:cstheme="minorHAnsi"/>
          <w:iCs/>
          <w:color w:val="000000" w:themeColor="text1"/>
          <w:sz w:val="22"/>
          <w:szCs w:val="22"/>
        </w:rPr>
        <w:t>for the reasons explained in Q43</w:t>
      </w:r>
      <w:r w:rsidRPr="00E711B5">
        <w:rPr>
          <w:rFonts w:asciiTheme="minorHAnsi" w:hAnsiTheme="minorHAnsi" w:cstheme="minorHAnsi"/>
          <w:color w:val="000000" w:themeColor="text1"/>
          <w:sz w:val="22"/>
          <w:szCs w:val="22"/>
        </w:rPr>
        <w:t xml:space="preserve">. </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7BAE914E" w14:textId="77777777" w:rsidR="006D2DC5" w:rsidRPr="00E711B5" w:rsidRDefault="006D2DC5" w:rsidP="006D2DC5">
      <w:pPr>
        <w:jc w:val="both"/>
        <w:rPr>
          <w:rFonts w:asciiTheme="minorHAnsi" w:hAnsiTheme="minorHAnsi" w:cstheme="minorHAnsi"/>
          <w:color w:val="000000" w:themeColor="text1"/>
          <w:sz w:val="22"/>
          <w:szCs w:val="22"/>
        </w:rPr>
      </w:pPr>
      <w:permStart w:id="21845861" w:edGrp="everyone"/>
      <w:r w:rsidRPr="00E711B5">
        <w:rPr>
          <w:rFonts w:asciiTheme="minorHAnsi" w:hAnsiTheme="minorHAnsi" w:cstheme="minorHAnsi"/>
          <w:color w:val="000000" w:themeColor="text1"/>
          <w:sz w:val="22"/>
          <w:szCs w:val="22"/>
        </w:rPr>
        <w:t>REGIS-TR would like to request further guidance.</w:t>
      </w:r>
    </w:p>
    <w:p w14:paraId="73096999"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Event date (field 2.3) definition is "Date on which the reportable event relating to the SFT and captured by the report took place."</w:t>
      </w:r>
    </w:p>
    <w:p w14:paraId="4B2513FC"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Could you confirm that in case a modification report received by the TR contains an "event date" (field 2.3) in the past, the update is pertaining only to the SFT data on that "event date". In case the current data of the SFT needs to be modified as well, then our understanding is that parties will have to submit additional reports.</w:t>
      </w:r>
    </w:p>
    <w:p w14:paraId="687C78B2"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This applies also to corrections, and updates as indicated in the replies provided for Q20, Q21, Q22:</w:t>
      </w:r>
    </w:p>
    <w:p w14:paraId="0A2F2FD1" w14:textId="77777777" w:rsidR="006D2DC5" w:rsidRPr="00E711B5" w:rsidRDefault="006D2DC5" w:rsidP="006D2DC5">
      <w:pPr>
        <w:jc w:val="both"/>
        <w:rPr>
          <w:rFonts w:asciiTheme="minorHAnsi" w:hAnsiTheme="minorHAnsi" w:cstheme="minorHAnsi"/>
          <w:i/>
          <w:color w:val="000000" w:themeColor="text1"/>
          <w:sz w:val="22"/>
          <w:szCs w:val="22"/>
          <w:lang w:val="en-US"/>
        </w:rPr>
      </w:pPr>
      <w:r w:rsidRPr="00E711B5">
        <w:rPr>
          <w:rFonts w:asciiTheme="minorHAnsi" w:hAnsiTheme="minorHAnsi" w:cstheme="minorHAnsi"/>
          <w:i/>
          <w:color w:val="000000" w:themeColor="text1"/>
          <w:sz w:val="22"/>
          <w:szCs w:val="22"/>
        </w:rPr>
        <w:t>“If the report is sent with an event date in the past then REGIS-TR proposal would be to store that report and make it available to the relevant entities and the Regulators in the daily activity report on the reception date but not applying it to the final status of the SFT on the event date in the past.</w:t>
      </w:r>
      <w:r w:rsidRPr="00E711B5">
        <w:rPr>
          <w:rFonts w:asciiTheme="minorHAnsi" w:hAnsiTheme="minorHAnsi" w:cstheme="minorHAnsi"/>
          <w:i/>
          <w:color w:val="000000" w:themeColor="text1"/>
          <w:sz w:val="22"/>
          <w:szCs w:val="22"/>
          <w:lang w:val="en-US"/>
        </w:rPr>
        <w:t xml:space="preserve"> Additionally, the customer shall send a modification/correction message with event date “today” should any of the terms of the SFT is to be updated.</w:t>
      </w:r>
    </w:p>
    <w:p w14:paraId="581C70F7" w14:textId="672149E6" w:rsidR="00D62A4F" w:rsidRPr="00E711B5" w:rsidRDefault="006D2DC5" w:rsidP="006D2DC5">
      <w:pPr>
        <w:jc w:val="both"/>
        <w:rPr>
          <w:rFonts w:asciiTheme="minorHAnsi" w:hAnsiTheme="minorHAnsi" w:cstheme="minorHAnsi"/>
          <w:i/>
          <w:color w:val="000000" w:themeColor="text1"/>
          <w:sz w:val="22"/>
          <w:szCs w:val="22"/>
          <w:lang w:val="en-US"/>
        </w:rPr>
      </w:pPr>
      <w:r w:rsidRPr="00E711B5">
        <w:rPr>
          <w:rFonts w:asciiTheme="minorHAnsi" w:hAnsiTheme="minorHAnsi" w:cstheme="minorHAnsi"/>
          <w:i/>
          <w:color w:val="000000" w:themeColor="text1"/>
          <w:sz w:val="22"/>
          <w:szCs w:val="22"/>
          <w:lang w:val="en-US"/>
        </w:rPr>
        <w:t>Updating the details of a trade in the past while one or more updates have been submitted past the specific event date can lead to data integrity issues and require that the RSE submits an array of corrections for each subsequent date.”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lastRenderedPageBreak/>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20ED704E" w:rsidR="00D62A4F" w:rsidRPr="00E711B5" w:rsidRDefault="006D2DC5" w:rsidP="006D2DC5">
      <w:pPr>
        <w:pStyle w:val="Textocomentario"/>
        <w:rPr>
          <w:rFonts w:asciiTheme="minorHAnsi" w:hAnsiTheme="minorHAnsi" w:cstheme="minorHAnsi"/>
          <w:color w:val="000000" w:themeColor="text1"/>
          <w:sz w:val="22"/>
          <w:szCs w:val="22"/>
        </w:rPr>
      </w:pPr>
      <w:permStart w:id="1207306935" w:edGrp="everyone"/>
      <w:r w:rsidRPr="00E711B5">
        <w:rPr>
          <w:rFonts w:asciiTheme="minorHAnsi" w:hAnsiTheme="minorHAnsi" w:cstheme="minorHAnsi"/>
          <w:color w:val="000000" w:themeColor="text1"/>
          <w:sz w:val="22"/>
          <w:szCs w:val="22"/>
        </w:rPr>
        <w:t>It would be worth to note all the difficulties that entail the reporting at net exposure level. The validation rules define as mandatory the UTI for action type NEW. This action type also allows setting the flag “Collateralisation of net exposure” to true and fulfilling the collateral fields. Afterwards, when updating the collateral data via a COLU, several UTIs could be affected by a message at net exposure level, obliging the TRs to update the data at trade level in order to avoid an inconsistency in the data stored. Therefore, either the validations should be enhanced to avoid the reporting of the collateral data for action type NEW or it becomes mandatory the update at UTI level of the latest state of the trade for any COLU messages received at net exposure.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23B57C31" w:rsidR="00D62A4F" w:rsidRPr="00E711B5" w:rsidRDefault="006D2DC5" w:rsidP="006D2DC5">
      <w:pPr>
        <w:jc w:val="both"/>
        <w:rPr>
          <w:rFonts w:asciiTheme="minorHAnsi" w:hAnsiTheme="minorHAnsi" w:cstheme="minorHAnsi"/>
          <w:color w:val="000000" w:themeColor="text1"/>
          <w:sz w:val="22"/>
          <w:szCs w:val="22"/>
        </w:rPr>
      </w:pPr>
      <w:permStart w:id="586638850" w:edGrp="everyone"/>
      <w:r w:rsidRPr="00E711B5">
        <w:rPr>
          <w:rFonts w:asciiTheme="minorHAnsi" w:hAnsiTheme="minorHAnsi" w:cstheme="minorHAnsi"/>
          <w:color w:val="000000" w:themeColor="text1"/>
          <w:sz w:val="22"/>
          <w:szCs w:val="22"/>
        </w:rPr>
        <w:t>To our understanding, the Value Date specified in the future in these examples is the Requested Settlement Date (Tables 59, 60).</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73DD44BF" w14:textId="77777777" w:rsidR="006D2DC5" w:rsidRPr="00E711B5" w:rsidRDefault="006D2DC5" w:rsidP="006D2DC5">
      <w:pPr>
        <w:jc w:val="both"/>
        <w:rPr>
          <w:rFonts w:asciiTheme="minorHAnsi" w:hAnsiTheme="minorHAnsi" w:cstheme="minorHAnsi"/>
          <w:color w:val="000000" w:themeColor="text1"/>
          <w:sz w:val="22"/>
          <w:szCs w:val="22"/>
        </w:rPr>
      </w:pPr>
      <w:permStart w:id="1723075977" w:edGrp="everyone"/>
      <w:r w:rsidRPr="00E711B5">
        <w:rPr>
          <w:rFonts w:asciiTheme="minorHAnsi" w:hAnsiTheme="minorHAnsi" w:cstheme="minorHAnsi"/>
          <w:color w:val="000000" w:themeColor="text1"/>
          <w:sz w:val="22"/>
          <w:szCs w:val="22"/>
        </w:rPr>
        <w:t>REGIS-TR has identified an inconsistency between what is defined in the Consultation Paper and the current version of the XSD (DRAFT2auth.052.001.01). According to the Consultation Paper (</w:t>
      </w:r>
      <w:r w:rsidRPr="00E711B5">
        <w:rPr>
          <w:rFonts w:asciiTheme="minorHAnsi" w:hAnsiTheme="minorHAnsi" w:cstheme="minorHAnsi"/>
          <w:i/>
          <w:iCs/>
          <w:color w:val="000000" w:themeColor="text1"/>
          <w:sz w:val="22"/>
          <w:szCs w:val="22"/>
        </w:rPr>
        <w:t>6.2.2.8)</w:t>
      </w:r>
      <w:r w:rsidRPr="00E711B5">
        <w:rPr>
          <w:rFonts w:asciiTheme="minorHAnsi" w:hAnsiTheme="minorHAnsi" w:cstheme="minorHAnsi"/>
          <w:color w:val="000000" w:themeColor="text1"/>
          <w:sz w:val="22"/>
          <w:szCs w:val="22"/>
        </w:rPr>
        <w:t xml:space="preserve"> open term repos can be evergreen or have no optionality, however, the schema does not allow to select Open term and to populate field 2.22 Termination optionality, which, according to the Validation Rules is a mandatory field.</w:t>
      </w:r>
    </w:p>
    <w:p w14:paraId="41F1A3ED" w14:textId="0625105D" w:rsidR="00D62A4F"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noProof/>
          <w:color w:val="000000" w:themeColor="text1"/>
          <w:sz w:val="22"/>
          <w:szCs w:val="22"/>
        </w:rPr>
        <w:lastRenderedPageBreak/>
        <w:drawing>
          <wp:inline distT="0" distB="0" distL="0" distR="0" wp14:anchorId="32698C0A" wp14:editId="162E37F3">
            <wp:extent cx="5400040" cy="1276985"/>
            <wp:effectExtent l="0" t="0" r="0" b="0"/>
            <wp:docPr id="1" name="Imagen 5">
              <a:extLst xmlns:a="http://schemas.openxmlformats.org/drawingml/2006/main">
                <a:ext uri="{FF2B5EF4-FFF2-40B4-BE49-F238E27FC236}">
                  <a16:creationId xmlns:a16="http://schemas.microsoft.com/office/drawing/2014/main" id="{C3665C08-D15D-4C2E-9E7D-F4086F32A7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3665C08-D15D-4C2E-9E7D-F4086F32A79D}"/>
                        </a:ext>
                      </a:extLst>
                    </pic:cNvPr>
                    <pic:cNvPicPr>
                      <a:picLocks noChangeAspect="1"/>
                    </pic:cNvPicPr>
                  </pic:nvPicPr>
                  <pic:blipFill>
                    <a:blip r:embed="rId23"/>
                    <a:stretch>
                      <a:fillRect/>
                    </a:stretch>
                  </pic:blipFill>
                  <pic:spPr>
                    <a:xfrm>
                      <a:off x="0" y="0"/>
                      <a:ext cx="5400040" cy="1276985"/>
                    </a:xfrm>
                    <a:prstGeom prst="rect">
                      <a:avLst/>
                    </a:prstGeom>
                  </pic:spPr>
                </pic:pic>
              </a:graphicData>
            </a:graphic>
          </wp:inline>
        </w:drawing>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55BD657A" w14:textId="77777777" w:rsidR="006D2DC5" w:rsidRPr="00E711B5" w:rsidRDefault="006D2DC5" w:rsidP="006D2DC5">
      <w:pPr>
        <w:jc w:val="both"/>
        <w:rPr>
          <w:rFonts w:asciiTheme="minorHAnsi" w:hAnsiTheme="minorHAnsi" w:cstheme="minorHAnsi"/>
          <w:color w:val="000000" w:themeColor="text1"/>
          <w:sz w:val="22"/>
          <w:szCs w:val="22"/>
        </w:rPr>
      </w:pPr>
      <w:permStart w:id="1913655379" w:edGrp="everyone"/>
      <w:r w:rsidRPr="00E711B5">
        <w:rPr>
          <w:rFonts w:asciiTheme="minorHAnsi" w:hAnsiTheme="minorHAnsi" w:cstheme="minorHAnsi"/>
          <w:color w:val="000000" w:themeColor="text1"/>
          <w:sz w:val="22"/>
          <w:szCs w:val="22"/>
        </w:rPr>
        <w:t>We would appreciate to receive confirmation if the action "NEW" shall be reported in table 70. To our view it should be a &lt;Mod&gt;, see extract of the XML message below</w:t>
      </w:r>
    </w:p>
    <w:p w14:paraId="5DEAD3AF" w14:textId="77777777" w:rsidR="006D2DC5" w:rsidRPr="00E711B5" w:rsidRDefault="006D2DC5" w:rsidP="006D2DC5">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&lt;</w:t>
      </w:r>
      <w:proofErr w:type="spellStart"/>
      <w:r w:rsidRPr="00E711B5">
        <w:rPr>
          <w:rFonts w:asciiTheme="minorHAnsi" w:hAnsiTheme="minorHAnsi" w:cstheme="minorHAnsi"/>
          <w:i/>
          <w:color w:val="000000" w:themeColor="text1"/>
          <w:sz w:val="22"/>
          <w:szCs w:val="22"/>
        </w:rPr>
        <w:t>SctiesFincgRptgTxRpt</w:t>
      </w:r>
      <w:proofErr w:type="spellEnd"/>
      <w:r w:rsidRPr="00E711B5">
        <w:rPr>
          <w:rFonts w:asciiTheme="minorHAnsi" w:hAnsiTheme="minorHAnsi" w:cstheme="minorHAnsi"/>
          <w:i/>
          <w:color w:val="000000" w:themeColor="text1"/>
          <w:sz w:val="22"/>
          <w:szCs w:val="22"/>
        </w:rPr>
        <w:t>&gt;</w:t>
      </w:r>
    </w:p>
    <w:p w14:paraId="14C7BCAA" w14:textId="77777777" w:rsidR="006D2DC5" w:rsidRPr="00E711B5" w:rsidRDefault="006D2DC5" w:rsidP="006D2DC5">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&lt;</w:t>
      </w:r>
      <w:proofErr w:type="spellStart"/>
      <w:r w:rsidRPr="00E711B5">
        <w:rPr>
          <w:rFonts w:asciiTheme="minorHAnsi" w:hAnsiTheme="minorHAnsi" w:cstheme="minorHAnsi"/>
          <w:i/>
          <w:color w:val="000000" w:themeColor="text1"/>
          <w:sz w:val="22"/>
          <w:szCs w:val="22"/>
        </w:rPr>
        <w:t>TradData</w:t>
      </w:r>
      <w:proofErr w:type="spellEnd"/>
      <w:r w:rsidRPr="00E711B5">
        <w:rPr>
          <w:rFonts w:asciiTheme="minorHAnsi" w:hAnsiTheme="minorHAnsi" w:cstheme="minorHAnsi"/>
          <w:i/>
          <w:color w:val="000000" w:themeColor="text1"/>
          <w:sz w:val="22"/>
          <w:szCs w:val="22"/>
        </w:rPr>
        <w:t>&gt;</w:t>
      </w:r>
    </w:p>
    <w:p w14:paraId="7BF3D32D" w14:textId="2E9C94D2" w:rsidR="00D62A4F" w:rsidRPr="00E711B5" w:rsidRDefault="006D2DC5" w:rsidP="006D2DC5">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&lt;New&gt;</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4E5913B0" w14:textId="77777777" w:rsidR="006D2DC5" w:rsidRPr="00E711B5" w:rsidRDefault="006D2DC5" w:rsidP="006D2DC5">
      <w:pPr>
        <w:jc w:val="both"/>
        <w:rPr>
          <w:rFonts w:asciiTheme="minorHAnsi" w:hAnsiTheme="minorHAnsi" w:cstheme="minorHAnsi"/>
          <w:color w:val="000000" w:themeColor="text1"/>
          <w:sz w:val="22"/>
          <w:szCs w:val="22"/>
        </w:rPr>
      </w:pPr>
      <w:permStart w:id="880958821" w:edGrp="everyone"/>
      <w:r w:rsidRPr="00E711B5">
        <w:rPr>
          <w:rFonts w:asciiTheme="minorHAnsi" w:hAnsiTheme="minorHAnsi" w:cstheme="minorHAnsi"/>
          <w:color w:val="000000" w:themeColor="text1"/>
          <w:sz w:val="22"/>
          <w:szCs w:val="22"/>
        </w:rPr>
        <w:t>REGIS-TR does not agree with the approach defined in the Consultation Paper (section 328) where the field 2.96 shall be populated with NTAV in case a transaction is not collateralised by a collateral basket.</w:t>
      </w:r>
    </w:p>
    <w:p w14:paraId="4A5516BC"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REGIS-TR understands that this field shall only be populated when a collateral basket exists, otherwise, it shall be left blank, as established in Article 3 Paragraph 5 of the COMMISSION DELEGATED REGULATION (EU) 2019/356 of 13 December 2018. </w:t>
      </w:r>
    </w:p>
    <w:p w14:paraId="346F83C5" w14:textId="3D56154C" w:rsidR="00D62A4F" w:rsidRPr="00E711B5" w:rsidRDefault="006D2DC5" w:rsidP="006D2DC5">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 xml:space="preserve">Further to the above, the conditional validations defined in fields 2.78, 2.79 and 2.83 to 2.95 (except 2.84 and 2.91) </w:t>
      </w:r>
      <w:r w:rsidRPr="00E711B5">
        <w:rPr>
          <w:rFonts w:asciiTheme="minorHAnsi" w:hAnsiTheme="minorHAnsi" w:cstheme="minorHAnsi"/>
          <w:i/>
          <w:color w:val="000000" w:themeColor="text1"/>
          <w:sz w:val="22"/>
          <w:szCs w:val="22"/>
        </w:rPr>
        <w:t>"If field 2.75 is populated with 'SECU' and field 2.96 is not populated with ‘NTAV’[…]”</w:t>
      </w:r>
      <w:r w:rsidRPr="00E711B5">
        <w:rPr>
          <w:rFonts w:asciiTheme="minorHAnsi" w:hAnsiTheme="minorHAnsi" w:cstheme="minorHAnsi"/>
          <w:color w:val="000000" w:themeColor="text1"/>
          <w:sz w:val="22"/>
          <w:szCs w:val="22"/>
        </w:rPr>
        <w:t xml:space="preserve"> may provoke the no population of each of the mentioned fields in the case of </w:t>
      </w:r>
      <w:r w:rsidRPr="00E711B5">
        <w:rPr>
          <w:rFonts w:asciiTheme="minorHAnsi" w:hAnsiTheme="minorHAnsi" w:cstheme="minorHAnsi"/>
          <w:color w:val="000000" w:themeColor="text1"/>
          <w:sz w:val="22"/>
          <w:szCs w:val="22"/>
        </w:rPr>
        <w:lastRenderedPageBreak/>
        <w:t>2.75=SECU and 2.96=NTAV. This would not be in line with the Article 3 Paragraph 6 of the Technical Standards</w:t>
      </w:r>
      <w:r w:rsidRPr="00E711B5">
        <w:rPr>
          <w:rStyle w:val="Refdenotaalpie"/>
          <w:rFonts w:asciiTheme="minorHAnsi" w:hAnsiTheme="minorHAnsi" w:cstheme="minorHAnsi"/>
          <w:color w:val="000000" w:themeColor="text1"/>
          <w:sz w:val="22"/>
          <w:szCs w:val="22"/>
        </w:rPr>
        <w:footnoteReference w:id="2"/>
      </w:r>
      <w:r w:rsidRPr="00E711B5">
        <w:rPr>
          <w:rFonts w:asciiTheme="minorHAnsi" w:hAnsiTheme="minorHAnsi" w:cstheme="minorHAnsi"/>
          <w:color w:val="000000" w:themeColor="text1"/>
          <w:sz w:val="22"/>
          <w:szCs w:val="22"/>
        </w:rPr>
        <w:t>. Therefore, REGIS-TR proposes to remove the second part of the wording “</w:t>
      </w:r>
      <w:r w:rsidRPr="00E711B5">
        <w:rPr>
          <w:rFonts w:asciiTheme="minorHAnsi" w:hAnsiTheme="minorHAnsi" w:cstheme="minorHAnsi"/>
          <w:i/>
          <w:color w:val="000000" w:themeColor="text1"/>
          <w:sz w:val="22"/>
          <w:szCs w:val="22"/>
        </w:rPr>
        <w:t xml:space="preserve">and field 2.96 is not populated with ‘NTAV’” </w:t>
      </w:r>
      <w:r w:rsidRPr="00E711B5">
        <w:rPr>
          <w:rFonts w:asciiTheme="minorHAnsi" w:hAnsiTheme="minorHAnsi" w:cstheme="minorHAnsi"/>
          <w:color w:val="000000" w:themeColor="text1"/>
          <w:sz w:val="22"/>
          <w:szCs w:val="22"/>
        </w:rPr>
        <w:t>in order to avoid this situation.</w:t>
      </w:r>
    </w:p>
    <w:p w14:paraId="3C35729C" w14:textId="77777777" w:rsidR="006D2DC5" w:rsidRPr="00E711B5" w:rsidRDefault="006D2DC5" w:rsidP="006D2DC5">
      <w:pPr>
        <w:rPr>
          <w:rFonts w:asciiTheme="minorHAnsi" w:hAnsiTheme="minorHAnsi" w:cstheme="minorHAnsi"/>
          <w:color w:val="000000" w:themeColor="text1"/>
          <w:sz w:val="22"/>
          <w:szCs w:val="22"/>
        </w:rPr>
      </w:pPr>
    </w:p>
    <w:p w14:paraId="50F5ACA9" w14:textId="4448E993" w:rsidR="006D2DC5" w:rsidRPr="00E711B5" w:rsidRDefault="006D2DC5" w:rsidP="006D2DC5">
      <w:pPr>
        <w:rPr>
          <w:rFonts w:asciiTheme="minorHAnsi" w:hAnsiTheme="minorHAnsi" w:cstheme="minorHAnsi"/>
          <w:color w:val="000000" w:themeColor="text1"/>
          <w:sz w:val="22"/>
          <w:szCs w:val="22"/>
        </w:rPr>
      </w:pPr>
      <w:r w:rsidRPr="00E711B5">
        <w:rPr>
          <w:rStyle w:val="Refdenotaalpie"/>
          <w:rFonts w:asciiTheme="minorHAnsi" w:hAnsiTheme="minorHAnsi" w:cstheme="minorHAnsi"/>
          <w:color w:val="000000" w:themeColor="text1"/>
          <w:sz w:val="22"/>
          <w:szCs w:val="22"/>
        </w:rPr>
        <w:footnoteRef/>
      </w:r>
      <w:r w:rsidRPr="00E711B5">
        <w:rPr>
          <w:rFonts w:asciiTheme="minorHAnsi" w:hAnsiTheme="minorHAnsi" w:cstheme="minorHAnsi"/>
          <w:color w:val="000000" w:themeColor="text1"/>
          <w:sz w:val="22"/>
          <w:szCs w:val="22"/>
        </w:rPr>
        <w:t xml:space="preserve"> "[</w:t>
      </w:r>
      <w:proofErr w:type="gramStart"/>
      <w:r w:rsidRPr="00E711B5">
        <w:rPr>
          <w:rFonts w:asciiTheme="minorHAnsi" w:hAnsiTheme="minorHAnsi" w:cstheme="minorHAnsi"/>
          <w:color w:val="000000" w:themeColor="text1"/>
          <w:sz w:val="22"/>
          <w:szCs w:val="22"/>
        </w:rPr>
        <w:t>…]the</w:t>
      </w:r>
      <w:proofErr w:type="gramEnd"/>
      <w:r w:rsidRPr="00E711B5">
        <w:rPr>
          <w:rFonts w:asciiTheme="minorHAnsi" w:hAnsiTheme="minorHAnsi" w:cstheme="minorHAnsi"/>
          <w:color w:val="000000" w:themeColor="text1"/>
          <w:sz w:val="22"/>
          <w:szCs w:val="22"/>
        </w:rPr>
        <w:t xml:space="preserve"> counterparty shall also specify the complete and accurate details of all the individual collateral components of that SFT in Fields 75 to 94 of Table 2 of the Annex […]". COMMISSION DELEGATED REGULATION (EU) 2019/356 of 13 December 2018</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119AEAB7" w14:textId="77777777" w:rsidR="006D2DC5" w:rsidRPr="00E711B5" w:rsidRDefault="006D2DC5" w:rsidP="006D2DC5">
      <w:pPr>
        <w:jc w:val="both"/>
        <w:rPr>
          <w:rFonts w:asciiTheme="minorHAnsi" w:hAnsiTheme="minorHAnsi" w:cstheme="minorHAnsi"/>
          <w:color w:val="000000" w:themeColor="text1"/>
          <w:sz w:val="22"/>
          <w:szCs w:val="22"/>
        </w:rPr>
      </w:pPr>
      <w:permStart w:id="844636493" w:edGrp="everyone"/>
      <w:r w:rsidRPr="00E711B5">
        <w:rPr>
          <w:rFonts w:asciiTheme="minorHAnsi" w:hAnsiTheme="minorHAnsi" w:cstheme="minorHAnsi"/>
          <w:color w:val="000000" w:themeColor="text1"/>
          <w:sz w:val="22"/>
          <w:szCs w:val="22"/>
        </w:rPr>
        <w:t xml:space="preserve">REGIS-TR would appreciate confirmation from ESMA if the field 2.95 ("Availability for collateral reuse") validation rule will be updated according to CP 345 (see extract below). </w:t>
      </w:r>
    </w:p>
    <w:p w14:paraId="7F2B3AAE" w14:textId="77777777" w:rsidR="006D2DC5" w:rsidRPr="00E711B5" w:rsidRDefault="006D2DC5" w:rsidP="006D2DC5">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Currently the rule for field 2.95 is only stating: If field 2.75 is populated with 'SECU' and field 2.96 is not populated with "NTAV, this field shall be populated When populated, this field shall contain one of the values: 'true' or 'false'.</w:t>
      </w:r>
    </w:p>
    <w:p w14:paraId="0A060E59" w14:textId="4C539728" w:rsidR="00D62A4F" w:rsidRPr="00E711B5" w:rsidRDefault="006D2DC5" w:rsidP="006D2DC5">
      <w:pPr>
        <w:jc w:val="both"/>
        <w:rPr>
          <w:rFonts w:asciiTheme="minorHAnsi" w:hAnsiTheme="minorHAnsi" w:cstheme="minorHAnsi"/>
          <w:i/>
          <w:color w:val="000000" w:themeColor="text1"/>
          <w:sz w:val="22"/>
          <w:szCs w:val="22"/>
        </w:rPr>
      </w:pPr>
      <w:proofErr w:type="gramStart"/>
      <w:r w:rsidRPr="00E711B5">
        <w:rPr>
          <w:rFonts w:asciiTheme="minorHAnsi" w:hAnsiTheme="minorHAnsi" w:cstheme="minorHAnsi"/>
          <w:i/>
          <w:color w:val="000000" w:themeColor="text1"/>
          <w:sz w:val="22"/>
          <w:szCs w:val="22"/>
        </w:rPr>
        <w:t>CP :</w:t>
      </w:r>
      <w:proofErr w:type="gramEnd"/>
      <w:r w:rsidRPr="00E711B5">
        <w:rPr>
          <w:rFonts w:asciiTheme="minorHAnsi" w:hAnsiTheme="minorHAnsi" w:cstheme="minorHAnsi"/>
          <w:i/>
          <w:color w:val="000000" w:themeColor="text1"/>
          <w:sz w:val="22"/>
          <w:szCs w:val="22"/>
        </w:rPr>
        <w:t xml:space="preserve"> Availability for collateral reuse   345. : Counterparties should populate the field only taking into account contractual ability to reuse collateral, not any operational/technical constraints </w:t>
      </w:r>
      <w:r w:rsidRPr="00E711B5">
        <w:rPr>
          <w:rFonts w:asciiTheme="minorHAnsi" w:hAnsiTheme="minorHAnsi" w:cstheme="minorHAnsi"/>
          <w:i/>
          <w:color w:val="000000" w:themeColor="text1"/>
          <w:sz w:val="22"/>
          <w:szCs w:val="22"/>
        </w:rPr>
        <w:lastRenderedPageBreak/>
        <w:t>(such as temporary unavailability or asset encumbrance). Therefore, when “Method used to provide collateral” (field 2.20) is reported as “TTCA” or “SIUR”, “Availability for collateral reuse” (field 2.95) should be populated with “TRUE”, even though the entity might be bound operationally to not use it, e.g. CCP when it passes the SFT collateral from one CM to the other.</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61899292" w:rsidR="00D62A4F" w:rsidRPr="00E711B5" w:rsidRDefault="006D2DC5" w:rsidP="006D2DC5">
      <w:pPr>
        <w:jc w:val="both"/>
        <w:rPr>
          <w:rFonts w:asciiTheme="minorHAnsi" w:hAnsiTheme="minorHAnsi" w:cstheme="minorHAnsi"/>
          <w:color w:val="000000" w:themeColor="text1"/>
          <w:sz w:val="22"/>
          <w:szCs w:val="22"/>
        </w:rPr>
      </w:pPr>
      <w:permStart w:id="1443438018" w:edGrp="everyone"/>
      <w:r w:rsidRPr="00E711B5">
        <w:rPr>
          <w:rFonts w:asciiTheme="minorHAnsi" w:hAnsiTheme="minorHAnsi" w:cstheme="minorHAnsi"/>
          <w:color w:val="000000" w:themeColor="text1"/>
          <w:sz w:val="22"/>
          <w:szCs w:val="22"/>
        </w:rPr>
        <w:t>TRs will not be able to verify if there is a correspondence between the ISIN and the LEI of the Issuer. It will be the responsibility of the counterparties to ensure the information provided is correct.</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334522A2" w14:textId="77777777" w:rsidR="007573F8" w:rsidRDefault="007573F8" w:rsidP="007573F8">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lastRenderedPageBreak/>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706203C7" w14:textId="77777777" w:rsidR="007573F8" w:rsidRPr="00E711B5" w:rsidRDefault="007573F8" w:rsidP="007573F8">
      <w:pPr>
        <w:jc w:val="both"/>
        <w:rPr>
          <w:rFonts w:asciiTheme="minorHAnsi" w:hAnsiTheme="minorHAnsi" w:cstheme="minorHAnsi"/>
          <w:color w:val="000000" w:themeColor="text1"/>
          <w:sz w:val="22"/>
          <w:szCs w:val="22"/>
        </w:rPr>
      </w:pPr>
      <w:permStart w:id="572730307" w:edGrp="everyone"/>
      <w:r w:rsidRPr="00E711B5">
        <w:rPr>
          <w:rFonts w:asciiTheme="minorHAnsi" w:hAnsiTheme="minorHAnsi" w:cstheme="minorHAnsi"/>
          <w:color w:val="000000" w:themeColor="text1"/>
          <w:sz w:val="22"/>
          <w:szCs w:val="22"/>
        </w:rPr>
        <w:t xml:space="preserve">From a TR perspective REGIS-TR agrees with the approach. </w:t>
      </w:r>
    </w:p>
    <w:p w14:paraId="576E5CC1" w14:textId="7B37DB8E" w:rsidR="00D62A4F" w:rsidRPr="00E711B5" w:rsidRDefault="007573F8" w:rsidP="007573F8">
      <w:pPr>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REGIS-TR understands that there is not linkage to be implemented between the SFTs (auth.052) and the Margins (auth.070) reported.</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3A043BFA" w:rsidR="00D62A4F" w:rsidRPr="00E711B5" w:rsidRDefault="007573F8" w:rsidP="007573F8">
      <w:pPr>
        <w:jc w:val="both"/>
        <w:rPr>
          <w:rFonts w:asciiTheme="minorHAnsi" w:hAnsiTheme="minorHAnsi" w:cstheme="minorHAnsi"/>
          <w:color w:val="000000" w:themeColor="text1"/>
          <w:sz w:val="22"/>
          <w:szCs w:val="22"/>
        </w:rPr>
      </w:pPr>
      <w:permStart w:id="144791521" w:edGrp="everyone"/>
      <w:r w:rsidRPr="00E711B5">
        <w:rPr>
          <w:rFonts w:asciiTheme="minorHAnsi" w:hAnsiTheme="minorHAnsi" w:cstheme="minorHAnsi"/>
          <w:color w:val="000000" w:themeColor="text1"/>
          <w:sz w:val="22"/>
          <w:szCs w:val="22"/>
        </w:rPr>
        <w:t>It would be useful if ESMA could provide an example to illustrate the usage of action NEW in the context of Collateral reuse reporting under table 4.</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2933B3AC" w:rsidR="00D62A4F" w:rsidRPr="00E711B5" w:rsidRDefault="007573F8" w:rsidP="007573F8">
      <w:pPr>
        <w:jc w:val="both"/>
        <w:rPr>
          <w:rFonts w:asciiTheme="minorHAnsi" w:hAnsiTheme="minorHAnsi" w:cstheme="minorHAnsi"/>
          <w:color w:val="000000" w:themeColor="text1"/>
          <w:sz w:val="22"/>
          <w:szCs w:val="22"/>
        </w:rPr>
      </w:pPr>
      <w:permStart w:id="446115876" w:edGrp="everyone"/>
      <w:r w:rsidRPr="00E711B5">
        <w:rPr>
          <w:rFonts w:asciiTheme="minorHAnsi" w:hAnsiTheme="minorHAnsi" w:cstheme="minorHAnsi"/>
          <w:color w:val="000000" w:themeColor="text1"/>
          <w:sz w:val="22"/>
          <w:szCs w:val="22"/>
        </w:rPr>
        <w:lastRenderedPageBreak/>
        <w:t>It would be useful if ESMA could provide an example to illustrate the usage of action NEW in the context of cash collateral reinvestment reporting under table 4.</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05C5EF20" w:rsidR="00D62A4F" w:rsidRPr="00E711B5" w:rsidRDefault="007573F8" w:rsidP="007573F8">
      <w:pPr>
        <w:jc w:val="both"/>
        <w:rPr>
          <w:rFonts w:asciiTheme="minorHAnsi" w:hAnsiTheme="minorHAnsi" w:cstheme="minorHAnsi"/>
          <w:color w:val="000000" w:themeColor="text1"/>
          <w:sz w:val="22"/>
          <w:szCs w:val="22"/>
        </w:rPr>
      </w:pPr>
      <w:permStart w:id="609573297" w:edGrp="everyone"/>
      <w:r w:rsidRPr="00E711B5">
        <w:rPr>
          <w:rFonts w:asciiTheme="minorHAnsi" w:hAnsiTheme="minorHAnsi" w:cstheme="minorHAnsi"/>
          <w:color w:val="000000" w:themeColor="text1"/>
          <w:sz w:val="22"/>
          <w:szCs w:val="22"/>
        </w:rPr>
        <w:t>Table 105 to 113 are reporting the reuse of securities / reinvestment of cash via action TYPE REUU and not NEW. REGIS-TR assumes that these are updates and that an initial reporting of the reuse/reinvestment has already been submitted to the TR.</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7B4701E9" w14:textId="77777777" w:rsidR="007573F8" w:rsidRPr="00E711B5" w:rsidRDefault="007573F8" w:rsidP="007573F8">
      <w:pPr>
        <w:jc w:val="both"/>
        <w:rPr>
          <w:rFonts w:asciiTheme="minorHAnsi" w:hAnsiTheme="minorHAnsi" w:cstheme="minorHAnsi"/>
          <w:color w:val="000000" w:themeColor="text1"/>
          <w:sz w:val="22"/>
          <w:szCs w:val="22"/>
        </w:rPr>
      </w:pPr>
      <w:permStart w:id="1962808987" w:edGrp="everyone"/>
      <w:r w:rsidRPr="00E711B5">
        <w:rPr>
          <w:rFonts w:asciiTheme="minorHAnsi" w:hAnsiTheme="minorHAnsi" w:cstheme="minorHAnsi"/>
          <w:color w:val="000000" w:themeColor="text1"/>
          <w:sz w:val="22"/>
          <w:szCs w:val="22"/>
        </w:rPr>
        <w:t>REGIS-TR intends to provide the rejection feedback related to permission, logical and business validations to the reporting counterparty, the Entity responsible for the reporting, and to the Report submitting entity when one or more of these entities have a contractual relationship with REGIS-TR and as long as this can be identified in the rejected report.</w:t>
      </w:r>
    </w:p>
    <w:p w14:paraId="6E2134BD" w14:textId="77777777" w:rsidR="007573F8" w:rsidRPr="00E711B5" w:rsidRDefault="007573F8" w:rsidP="007573F8">
      <w:pPr>
        <w:jc w:val="both"/>
        <w:rPr>
          <w:rFonts w:asciiTheme="minorHAnsi" w:hAnsiTheme="minorHAnsi" w:cstheme="minorHAnsi"/>
          <w:color w:val="000000" w:themeColor="text1"/>
          <w:sz w:val="22"/>
          <w:szCs w:val="22"/>
        </w:rPr>
      </w:pPr>
      <w:r w:rsidRPr="00E711B5">
        <w:rPr>
          <w:rFonts w:asciiTheme="minorHAnsi" w:hAnsiTheme="minorHAnsi" w:cstheme="minorHAnsi"/>
          <w:color w:val="000000" w:themeColor="text1"/>
          <w:sz w:val="22"/>
          <w:szCs w:val="22"/>
        </w:rPr>
        <w:t>Additionally, ESMA shall publish full list of error codes in order to ensure consistency in the reporting across TRs.</w:t>
      </w:r>
    </w:p>
    <w:p w14:paraId="6B958E37" w14:textId="5FC4B135" w:rsidR="00D62A4F" w:rsidRPr="00E711B5" w:rsidRDefault="007573F8" w:rsidP="007573F8">
      <w:pPr>
        <w:jc w:val="both"/>
        <w:rPr>
          <w:rFonts w:asciiTheme="minorHAnsi" w:hAnsiTheme="minorHAnsi" w:cstheme="minorHAnsi"/>
          <w:i/>
          <w:color w:val="000000" w:themeColor="text1"/>
          <w:sz w:val="22"/>
          <w:szCs w:val="22"/>
        </w:rPr>
      </w:pPr>
      <w:r w:rsidRPr="00E711B5">
        <w:rPr>
          <w:rFonts w:asciiTheme="minorHAnsi" w:hAnsiTheme="minorHAnsi" w:cstheme="minorHAnsi"/>
          <w:i/>
          <w:color w:val="000000" w:themeColor="text1"/>
          <w:sz w:val="22"/>
          <w:szCs w:val="22"/>
        </w:rPr>
        <w:t>CP. 395</w:t>
      </w:r>
      <w:proofErr w:type="gramStart"/>
      <w:r w:rsidRPr="00E711B5">
        <w:rPr>
          <w:rFonts w:asciiTheme="minorHAnsi" w:hAnsiTheme="minorHAnsi" w:cstheme="minorHAnsi"/>
          <w:i/>
          <w:color w:val="000000" w:themeColor="text1"/>
          <w:sz w:val="22"/>
          <w:szCs w:val="22"/>
        </w:rPr>
        <w:t>. :</w:t>
      </w:r>
      <w:proofErr w:type="gramEnd"/>
      <w:r w:rsidRPr="00E711B5">
        <w:rPr>
          <w:rFonts w:asciiTheme="minorHAnsi" w:hAnsiTheme="minorHAnsi" w:cstheme="minorHAnsi"/>
          <w:i/>
          <w:color w:val="000000" w:themeColor="text1"/>
          <w:sz w:val="22"/>
          <w:szCs w:val="22"/>
        </w:rPr>
        <w:t xml:space="preserve"> Further to the above information, TRs will provide to each reporting counterparty, entity responsible for reporting or report submitting entity, as applicable, with an end of day report containing the following information: ( … ).</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0CC02560" w:rsidR="00D62A4F" w:rsidRPr="00E711B5" w:rsidRDefault="007573F8" w:rsidP="007573F8">
      <w:pPr>
        <w:jc w:val="both"/>
        <w:rPr>
          <w:rFonts w:asciiTheme="minorHAnsi" w:hAnsiTheme="minorHAnsi" w:cstheme="minorHAnsi"/>
          <w:color w:val="000000" w:themeColor="text1"/>
          <w:sz w:val="22"/>
          <w:szCs w:val="22"/>
        </w:rPr>
      </w:pPr>
      <w:permStart w:id="1875119290" w:edGrp="everyone"/>
      <w:r w:rsidRPr="00E711B5">
        <w:rPr>
          <w:rFonts w:asciiTheme="minorHAnsi" w:hAnsiTheme="minorHAnsi" w:cstheme="minorHAnsi"/>
          <w:color w:val="000000" w:themeColor="text1"/>
          <w:sz w:val="22"/>
          <w:szCs w:val="22"/>
        </w:rPr>
        <w:t>REGIS-TR intends to provide the reconciliation feedback to the reporting counterparties, the Entity responsible for the reporting and the Report submitting entity (CP 397) when one or more of these entities have a contractual relationship with REGIS-TR.</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5156EA66" w:rsidR="00D62A4F" w:rsidRPr="00E711B5" w:rsidRDefault="007573F8" w:rsidP="007573F8">
      <w:pPr>
        <w:jc w:val="both"/>
        <w:rPr>
          <w:rFonts w:asciiTheme="minorHAnsi" w:hAnsiTheme="minorHAnsi" w:cstheme="minorHAnsi"/>
          <w:sz w:val="22"/>
          <w:szCs w:val="22"/>
        </w:rPr>
      </w:pPr>
      <w:permStart w:id="974880654" w:edGrp="everyone"/>
      <w:r w:rsidRPr="00E711B5">
        <w:rPr>
          <w:rFonts w:asciiTheme="minorHAnsi" w:hAnsiTheme="minorHAnsi" w:cstheme="minorHAnsi"/>
          <w:sz w:val="22"/>
          <w:szCs w:val="22"/>
        </w:rPr>
        <w:t>In regards to article 4(2) of SFTR Regulation, ideally it should also be specified how TRs are expected to filter such information (which fields have to be used) as there is certain unclearness under REGIS-TR´s perspective with letters (k), (n) and (o) of such article. Having that defined to that level of detail, would help to create a unique access form for Regulators among the different TRs, which is being demanded by NCAs.</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lastRenderedPageBreak/>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0F1D8581" w:rsidR="00D62A4F" w:rsidRPr="00E711B5" w:rsidRDefault="007573F8" w:rsidP="007573F8">
      <w:pPr>
        <w:tabs>
          <w:tab w:val="left" w:pos="6521"/>
        </w:tabs>
        <w:jc w:val="both"/>
        <w:rPr>
          <w:rFonts w:asciiTheme="minorHAnsi" w:hAnsiTheme="minorHAnsi" w:cstheme="minorHAnsi"/>
          <w:sz w:val="22"/>
          <w:szCs w:val="22"/>
        </w:rPr>
      </w:pPr>
      <w:permStart w:id="1996508027" w:edGrp="everyone"/>
      <w:r w:rsidRPr="00E711B5">
        <w:rPr>
          <w:rFonts w:asciiTheme="minorHAnsi" w:hAnsiTheme="minorHAnsi" w:cstheme="minorHAnsi"/>
          <w:sz w:val="22"/>
          <w:szCs w:val="22"/>
        </w:rPr>
        <w:t xml:space="preserve">With regard to point 410, section b, recurrent queries </w:t>
      </w:r>
      <w:proofErr w:type="gramStart"/>
      <w:r w:rsidRPr="00E711B5">
        <w:rPr>
          <w:rFonts w:asciiTheme="minorHAnsi" w:hAnsiTheme="minorHAnsi" w:cstheme="minorHAnsi"/>
          <w:sz w:val="22"/>
          <w:szCs w:val="22"/>
        </w:rPr>
        <w:t>states</w:t>
      </w:r>
      <w:proofErr w:type="gramEnd"/>
      <w:r w:rsidRPr="00E711B5">
        <w:rPr>
          <w:rFonts w:asciiTheme="minorHAnsi" w:hAnsiTheme="minorHAnsi" w:cstheme="minorHAnsi"/>
          <w:sz w:val="22"/>
          <w:szCs w:val="22"/>
        </w:rPr>
        <w:t xml:space="preserve"> the following: “the output file for such data query is generated automatically and repeatedly according to the frequency defined by the user. In case no frequency is established, the TR should provide the information on a daily basis”.  In the BRD Access to Trade Repositories Project (Phase III – SFTR scope) v.1.0 (SFTR BRD) it is written “the output file for such data query is generated automatically and repeatedly according to the frequency defined by the user”. In Trace III of EMIR the statement in the BRD Access to Trade Repositories Project v1.11 is the same as the second one and the system will be up and running with that condition: frequency is mandatory therefore the user has to define it. In order to be aligned with the rest of the regulations and also with the SFTR BRD, the reports should not be provided on a daily basis in case the frequency is not established because frequency should be mandatory. From an IT perspective</w:t>
      </w:r>
      <w:r w:rsidR="0027786A">
        <w:rPr>
          <w:rFonts w:asciiTheme="minorHAnsi" w:hAnsiTheme="minorHAnsi" w:cstheme="minorHAnsi"/>
          <w:sz w:val="22"/>
          <w:szCs w:val="22"/>
        </w:rPr>
        <w:t>,</w:t>
      </w:r>
      <w:r w:rsidRPr="00E711B5">
        <w:rPr>
          <w:rFonts w:asciiTheme="minorHAnsi" w:hAnsiTheme="minorHAnsi" w:cstheme="minorHAnsi"/>
          <w:sz w:val="22"/>
          <w:szCs w:val="22"/>
        </w:rPr>
        <w:t xml:space="preserve"> we agree with the approach above but if it will be mandatory to set up a frequency in case of no frequency is established, it will be better for the functioning of the system to choose a higher frequency (such as monthly).</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679B" w14:textId="77777777" w:rsidR="00C855E2" w:rsidRDefault="00C855E2" w:rsidP="007E7997">
      <w:r>
        <w:separator/>
      </w:r>
    </w:p>
  </w:endnote>
  <w:endnote w:type="continuationSeparator" w:id="0">
    <w:p w14:paraId="2384F21E" w14:textId="77777777" w:rsidR="00C855E2" w:rsidRDefault="00C855E2" w:rsidP="007E7997">
      <w:r>
        <w:continuationSeparator/>
      </w:r>
    </w:p>
  </w:endnote>
  <w:endnote w:type="continuationNotice" w:id="1">
    <w:p w14:paraId="19983519" w14:textId="77777777" w:rsidR="00C855E2" w:rsidRDefault="00C8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C855E2" w:rsidRDefault="00C855E2">
        <w:pPr>
          <w:pStyle w:val="Piedepgina"/>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C855E2" w:rsidRDefault="00C855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2B7DF34D" w:rsidR="00C855E2" w:rsidRDefault="00C855E2" w:rsidP="007A160F">
    <w:pPr>
      <w:pStyle w:val="Piedepgina"/>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C855E2" w:rsidRDefault="00C855E2">
        <w:pPr>
          <w:pStyle w:val="Piedepgina"/>
          <w:jc w:val="center"/>
        </w:pPr>
        <w:r>
          <w:fldChar w:fldCharType="begin"/>
        </w:r>
        <w:r>
          <w:instrText xml:space="preserve"> PAGE   \* MERGEFORMAT </w:instrText>
        </w:r>
        <w:r>
          <w:fldChar w:fldCharType="separate"/>
        </w:r>
        <w:r w:rsidR="005B3EA6">
          <w:rPr>
            <w:noProof/>
          </w:rPr>
          <w:t>20</w:t>
        </w:r>
        <w:r>
          <w:rPr>
            <w:noProof/>
          </w:rPr>
          <w:fldChar w:fldCharType="end"/>
        </w:r>
      </w:p>
    </w:sdtContent>
  </w:sdt>
  <w:p w14:paraId="5EAB6EC7" w14:textId="1F85019A" w:rsidR="00C855E2" w:rsidRDefault="00C855E2" w:rsidP="00FB24E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5A89" w14:textId="77777777" w:rsidR="00C855E2" w:rsidRDefault="00C855E2" w:rsidP="007E7997">
      <w:r>
        <w:separator/>
      </w:r>
    </w:p>
  </w:footnote>
  <w:footnote w:type="continuationSeparator" w:id="0">
    <w:p w14:paraId="383049F9" w14:textId="77777777" w:rsidR="00C855E2" w:rsidRDefault="00C855E2" w:rsidP="007E7997">
      <w:r>
        <w:continuationSeparator/>
      </w:r>
    </w:p>
  </w:footnote>
  <w:footnote w:type="continuationNotice" w:id="1">
    <w:p w14:paraId="25C9B169" w14:textId="77777777" w:rsidR="00C855E2" w:rsidRDefault="00C855E2"/>
  </w:footnote>
  <w:footnote w:id="2">
    <w:p w14:paraId="2A7BC6C6" w14:textId="77777777" w:rsidR="00C855E2" w:rsidRPr="006D2DC5" w:rsidRDefault="00C855E2" w:rsidP="006D2DC5">
      <w:pPr>
        <w:pStyle w:val="Textonotapie"/>
        <w:rPr>
          <w:lang w:val="en-US"/>
        </w:rPr>
      </w:pPr>
      <w:r>
        <w:rPr>
          <w:rStyle w:val="Refdenotaalpie"/>
        </w:rPr>
        <w:footnoteRef/>
      </w:r>
      <w:r>
        <w:t xml:space="preserve"> </w:t>
      </w:r>
      <w:r w:rsidRPr="005A5EA0">
        <w:rPr>
          <w:color w:val="0070C0"/>
        </w:rPr>
        <w:t>"[…]the counterparty shall also specify the complete and accurate details of all the individual collateral components of that SFT in Fields 75 to 94 of Table 2 of the Annex […]". COMMISSION DELEGATED REGULATION (EU) 2019/356 of 13 December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C855E2" w:rsidRDefault="00C855E2">
    <w:pPr>
      <w:pStyle w:val="Encabezado"/>
    </w:pPr>
  </w:p>
  <w:p w14:paraId="59FA3C9D" w14:textId="77777777" w:rsidR="00C855E2" w:rsidRDefault="00C855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C855E2" w:rsidRDefault="00C855E2">
    <w:pPr>
      <w:pStyle w:val="Encabezado"/>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C855E2" w:rsidRDefault="00C855E2" w:rsidP="00B50534">
    <w:pPr>
      <w:pStyle w:val="Encabezado"/>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C855E2" w:rsidRPr="00D13661" w:rsidRDefault="00C855E2" w:rsidP="00B50534">
    <w:pPr>
      <w:pStyle w:val="Encabezado"/>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C855E2" w:rsidRPr="00C3170E" w:rsidRDefault="00C855E2" w:rsidP="00B50534">
    <w:pPr>
      <w:pStyle w:val="Encabezado"/>
      <w:jc w:val="right"/>
      <w:rPr>
        <w:color w:val="2F5496" w:themeColor="accent5" w:themeShade="BF"/>
        <w:sz w:val="20"/>
      </w:rPr>
    </w:pPr>
  </w:p>
  <w:p w14:paraId="5EAB6EC6" w14:textId="77777777" w:rsidR="00C855E2" w:rsidRPr="00B50534" w:rsidRDefault="00C855E2" w:rsidP="00B50534">
    <w:pPr>
      <w:pStyle w:val="Encabezado"/>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tu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rrafodelist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tulo1"/>
      <w:lvlText w:val="%1."/>
      <w:lvlJc w:val="righ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2766"/>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786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026B"/>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3EA6"/>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2DC5"/>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573F8"/>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5E2"/>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319B"/>
    <w:rsid w:val="00E603DF"/>
    <w:rsid w:val="00E63745"/>
    <w:rsid w:val="00E6699F"/>
    <w:rsid w:val="00E67B40"/>
    <w:rsid w:val="00E703AE"/>
    <w:rsid w:val="00E711B5"/>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B733F"/>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tulo3">
    <w:name w:val="heading 3"/>
    <w:basedOn w:val="Normal"/>
    <w:next w:val="Normal"/>
    <w:link w:val="Ttulo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tulo4">
    <w:name w:val="heading 4"/>
    <w:basedOn w:val="Normal"/>
    <w:next w:val="Normal"/>
    <w:link w:val="Ttulo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tulo5">
    <w:name w:val="heading 5"/>
    <w:basedOn w:val="Normal"/>
    <w:next w:val="Normal"/>
    <w:link w:val="Ttulo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tulo6">
    <w:name w:val="heading 6"/>
    <w:basedOn w:val="Normal"/>
    <w:next w:val="Normal"/>
    <w:link w:val="Ttulo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B6B12"/>
    <w:pPr>
      <w:spacing w:after="0" w:line="240" w:lineRule="auto"/>
    </w:pPr>
    <w:rPr>
      <w:lang w:val="en-GB"/>
    </w:rPr>
  </w:style>
  <w:style w:type="character" w:customStyle="1" w:styleId="Ttulo4Car">
    <w:name w:val="Título 4 Car"/>
    <w:basedOn w:val="Fuentedeprrafopredeter"/>
    <w:link w:val="Ttulo4"/>
    <w:rsid w:val="00020300"/>
    <w:rPr>
      <w:rFonts w:asciiTheme="majorHAnsi" w:eastAsiaTheme="majorEastAsia" w:hAnsiTheme="majorHAnsi" w:cstheme="majorBidi"/>
      <w:sz w:val="24"/>
      <w:szCs w:val="22"/>
      <w:lang w:val="en-GB" w:eastAsia="en-GB"/>
    </w:rPr>
  </w:style>
  <w:style w:type="character" w:customStyle="1" w:styleId="Ttulo3Car">
    <w:name w:val="Título 3 Car"/>
    <w:basedOn w:val="Fuentedeprrafopredeter"/>
    <w:link w:val="Ttulo3"/>
    <w:rsid w:val="00020300"/>
    <w:rPr>
      <w:rFonts w:asciiTheme="majorHAnsi" w:eastAsiaTheme="majorEastAsia" w:hAnsiTheme="majorHAnsi" w:cstheme="majorBidi"/>
      <w:sz w:val="24"/>
      <w:szCs w:val="24"/>
      <w:lang w:val="en-GB" w:eastAsia="en-GB"/>
    </w:rPr>
  </w:style>
  <w:style w:type="character" w:customStyle="1" w:styleId="Ttulo1Car">
    <w:name w:val="Título 1 Car"/>
    <w:basedOn w:val="Fuentedeprrafopredeter"/>
    <w:link w:val="Ttulo1"/>
    <w:rsid w:val="00FE0BD8"/>
    <w:rPr>
      <w:rFonts w:asciiTheme="majorHAnsi" w:eastAsiaTheme="majorEastAsia" w:hAnsiTheme="majorHAnsi" w:cstheme="majorBidi"/>
      <w:b/>
      <w:sz w:val="32"/>
      <w:szCs w:val="32"/>
      <w:lang w:val="en-GB" w:eastAsia="en-GB"/>
    </w:rPr>
  </w:style>
  <w:style w:type="character" w:customStyle="1" w:styleId="Ttulo2Car">
    <w:name w:val="Título 2 Car"/>
    <w:basedOn w:val="Fuentedeprrafopredeter"/>
    <w:link w:val="Ttu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Fuentedeprrafopredeter"/>
    <w:link w:val="Subtitle1"/>
    <w:rsid w:val="003C4EB5"/>
    <w:rPr>
      <w:rFonts w:cs="Times New Roman"/>
      <w:b/>
      <w:sz w:val="20"/>
      <w:szCs w:val="24"/>
      <w:lang w:val="en-GB" w:eastAsia="de-DE"/>
    </w:rPr>
  </w:style>
  <w:style w:type="paragraph" w:customStyle="1" w:styleId="Title1">
    <w:name w:val="Title 1"/>
    <w:basedOn w:val="Prrafodelista"/>
    <w:link w:val="Title1Char"/>
    <w:autoRedefine/>
    <w:rsid w:val="002574D1"/>
    <w:pPr>
      <w:numPr>
        <w:numId w:val="2"/>
      </w:numPr>
    </w:pPr>
    <w:rPr>
      <w:b/>
      <w:sz w:val="28"/>
    </w:rPr>
  </w:style>
  <w:style w:type="character" w:customStyle="1" w:styleId="Title1Char">
    <w:name w:val="Title 1 Char"/>
    <w:basedOn w:val="Fuentedeprrafopredeter"/>
    <w:link w:val="Title1"/>
    <w:rsid w:val="003C4EB5"/>
    <w:rPr>
      <w:rFonts w:eastAsiaTheme="majorEastAsia" w:cstheme="minorHAnsi"/>
      <w:b/>
      <w:sz w:val="28"/>
      <w:szCs w:val="22"/>
      <w:lang w:val="en-GB" w:eastAsia="en-GB"/>
    </w:rPr>
  </w:style>
  <w:style w:type="paragraph" w:styleId="Prrafodelista">
    <w:name w:val="List Paragraph"/>
    <w:aliases w:val="Paragraphe EI,Paragraphe de liste1,EC,Paragraphe de liste,Normal Nivel 1,List Paragraph Main,List first level,List Paragraph_Sections"/>
    <w:basedOn w:val="Normal"/>
    <w:link w:val="Prrafodelista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rrafodelista"/>
    <w:link w:val="Title3Char"/>
    <w:autoRedefine/>
    <w:rsid w:val="002574D1"/>
    <w:pPr>
      <w:numPr>
        <w:ilvl w:val="3"/>
        <w:numId w:val="2"/>
      </w:numPr>
    </w:pPr>
  </w:style>
  <w:style w:type="character" w:customStyle="1" w:styleId="Title3Char">
    <w:name w:val="Title 3 Char"/>
    <w:basedOn w:val="Fuentedeprrafopredeter"/>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Fuentedeprrafopredeter"/>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Fuentedeprrafopredeter"/>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Fuentedeprrafopredeter"/>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Fuentedeprrafopredeter"/>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Fuentedeprrafopredeter"/>
    <w:link w:val="Introductionheading"/>
    <w:rsid w:val="00044C5A"/>
    <w:rPr>
      <w:rFonts w:ascii="Arial" w:eastAsia="Times New Roman" w:hAnsi="Arial" w:cs="Times New Roman"/>
      <w:b/>
      <w:sz w:val="28"/>
      <w:szCs w:val="24"/>
      <w:lang w:val="en-GB" w:eastAsia="de-DE"/>
    </w:rPr>
  </w:style>
  <w:style w:type="character" w:customStyle="1" w:styleId="Ttulo5Car">
    <w:name w:val="Título 5 Car"/>
    <w:basedOn w:val="Fuentedeprrafopredeter"/>
    <w:link w:val="Ttulo5"/>
    <w:uiPriority w:val="9"/>
    <w:rsid w:val="007E7997"/>
    <w:rPr>
      <w:rFonts w:asciiTheme="majorHAnsi" w:eastAsiaTheme="majorEastAsia" w:hAnsiTheme="majorHAnsi" w:cstheme="majorBidi"/>
      <w:sz w:val="24"/>
      <w:szCs w:val="22"/>
      <w:lang w:val="en-GB" w:eastAsia="en-GB"/>
    </w:rPr>
  </w:style>
  <w:style w:type="paragraph" w:styleId="Textoindependiente">
    <w:name w:val="Body Text"/>
    <w:basedOn w:val="Normal"/>
    <w:link w:val="TextoindependienteCar"/>
    <w:uiPriority w:val="99"/>
    <w:semiHidden/>
    <w:unhideWhenUsed/>
    <w:rsid w:val="00044C5A"/>
  </w:style>
  <w:style w:type="character" w:customStyle="1" w:styleId="TextoindependienteCar">
    <w:name w:val="Texto independiente Car"/>
    <w:basedOn w:val="Fuentedeprrafopredeter"/>
    <w:link w:val="Textoindependiente"/>
    <w:uiPriority w:val="99"/>
    <w:semiHidden/>
    <w:rsid w:val="00044C5A"/>
    <w:rPr>
      <w:rFonts w:ascii="Arial" w:eastAsiaTheme="minorEastAsia" w:hAnsi="Arial"/>
    </w:rPr>
  </w:style>
  <w:style w:type="paragraph" w:styleId="Textoindependienteprimerasangra">
    <w:name w:val="Body Text First Indent"/>
    <w:basedOn w:val="Textoindependiente"/>
    <w:link w:val="TextoindependienteprimerasangraCar"/>
    <w:uiPriority w:val="99"/>
    <w:semiHidden/>
    <w:unhideWhenUsed/>
    <w:rsid w:val="00044C5A"/>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44C5A"/>
    <w:rPr>
      <w:rFonts w:ascii="Arial" w:eastAsiaTheme="minorEastAsia" w:hAnsi="Arial"/>
    </w:rPr>
  </w:style>
  <w:style w:type="character" w:customStyle="1" w:styleId="Ttulo6Car">
    <w:name w:val="Título 6 Car"/>
    <w:basedOn w:val="Fuentedeprrafopredeter"/>
    <w:link w:val="Ttulo6"/>
    <w:rsid w:val="00AA054E"/>
    <w:rPr>
      <w:rFonts w:asciiTheme="majorHAnsi" w:eastAsiaTheme="majorEastAsia" w:hAnsiTheme="majorHAnsi" w:cstheme="majorBidi"/>
      <w:i/>
      <w:iCs/>
      <w:color w:val="44546A" w:themeColor="text2"/>
      <w:sz w:val="21"/>
      <w:szCs w:val="21"/>
      <w:lang w:val="en-GB" w:eastAsia="en-GB"/>
    </w:rPr>
  </w:style>
  <w:style w:type="paragraph" w:styleId="Ttulo">
    <w:name w:val="Title"/>
    <w:basedOn w:val="Normal"/>
    <w:next w:val="Normal"/>
    <w:link w:val="Ttulo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tuloCar">
    <w:name w:val="Título Car"/>
    <w:basedOn w:val="Fuentedeprrafopredeter"/>
    <w:link w:val="Ttu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tulo">
    <w:name w:val="Subtitle"/>
    <w:basedOn w:val="Normal"/>
    <w:next w:val="Normal"/>
    <w:link w:val="SubttuloCar"/>
    <w:uiPriority w:val="11"/>
    <w:qFormat/>
    <w:rsid w:val="00366D42"/>
    <w:pPr>
      <w:numPr>
        <w:ilvl w:val="1"/>
      </w:numPr>
    </w:pPr>
    <w:rPr>
      <w:rFonts w:asciiTheme="majorHAnsi" w:eastAsiaTheme="majorEastAsia" w:hAnsiTheme="majorHAnsi" w:cstheme="majorBidi"/>
      <w:b/>
      <w:sz w:val="28"/>
    </w:rPr>
  </w:style>
  <w:style w:type="character" w:customStyle="1" w:styleId="SubttuloCar">
    <w:name w:val="Subtítulo Car"/>
    <w:basedOn w:val="Fuentedeprrafopredeter"/>
    <w:link w:val="Subttulo"/>
    <w:uiPriority w:val="11"/>
    <w:rsid w:val="00366D42"/>
    <w:rPr>
      <w:rFonts w:asciiTheme="majorHAnsi" w:eastAsiaTheme="majorEastAsia" w:hAnsiTheme="majorHAnsi" w:cstheme="majorBidi"/>
      <w:b/>
      <w:sz w:val="28"/>
      <w:szCs w:val="24"/>
      <w:lang w:val="en-GB"/>
    </w:rPr>
  </w:style>
  <w:style w:type="character" w:customStyle="1" w:styleId="Ttulo7Car">
    <w:name w:val="Título 7 Car"/>
    <w:basedOn w:val="Fuentedeprrafopredeter"/>
    <w:link w:val="Ttu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tulo8Car">
    <w:name w:val="Título 8 Car"/>
    <w:basedOn w:val="Fuentedeprrafopredeter"/>
    <w:link w:val="Ttulo8"/>
    <w:rsid w:val="00AA054E"/>
    <w:rPr>
      <w:rFonts w:asciiTheme="majorHAnsi" w:eastAsiaTheme="majorEastAsia" w:hAnsiTheme="majorHAnsi" w:cstheme="majorBidi"/>
      <w:b/>
      <w:bCs/>
      <w:color w:val="44546A" w:themeColor="text2"/>
      <w:sz w:val="24"/>
      <w:szCs w:val="24"/>
      <w:lang w:val="en-GB" w:eastAsia="en-GB"/>
    </w:rPr>
  </w:style>
  <w:style w:type="character" w:customStyle="1" w:styleId="Ttulo9Car">
    <w:name w:val="Título 9 Car"/>
    <w:basedOn w:val="Fuentedeprrafopredeter"/>
    <w:link w:val="Ttulo9"/>
    <w:rsid w:val="00AA054E"/>
    <w:rPr>
      <w:rFonts w:asciiTheme="majorHAnsi" w:eastAsiaTheme="majorEastAsia" w:hAnsiTheme="majorHAnsi" w:cstheme="majorBidi"/>
      <w:b/>
      <w:bCs/>
      <w:i/>
      <w:iCs/>
      <w:color w:val="44546A" w:themeColor="text2"/>
      <w:sz w:val="24"/>
      <w:szCs w:val="24"/>
      <w:lang w:val="en-GB" w:eastAsia="en-GB"/>
    </w:rPr>
  </w:style>
  <w:style w:type="paragraph" w:styleId="Descripcin">
    <w:name w:val="caption"/>
    <w:basedOn w:val="Normal"/>
    <w:next w:val="Normal"/>
    <w:uiPriority w:val="35"/>
    <w:semiHidden/>
    <w:unhideWhenUsed/>
    <w:qFormat/>
    <w:rsid w:val="00AA054E"/>
    <w:rPr>
      <w:b/>
      <w:bCs/>
      <w:smallCaps/>
      <w:color w:val="595959" w:themeColor="text1" w:themeTint="A6"/>
      <w:spacing w:val="6"/>
    </w:rPr>
  </w:style>
  <w:style w:type="character" w:styleId="Textoennegrita">
    <w:name w:val="Strong"/>
    <w:basedOn w:val="Fuentedeprrafopredeter"/>
    <w:uiPriority w:val="22"/>
    <w:qFormat/>
    <w:rsid w:val="00AA054E"/>
    <w:rPr>
      <w:b/>
      <w:bCs/>
    </w:rPr>
  </w:style>
  <w:style w:type="character" w:styleId="nfasis">
    <w:name w:val="Emphasis"/>
    <w:basedOn w:val="Fuentedeprrafopredeter"/>
    <w:uiPriority w:val="20"/>
    <w:qFormat/>
    <w:rsid w:val="00AA054E"/>
    <w:rPr>
      <w:i/>
      <w:iCs/>
    </w:rPr>
  </w:style>
  <w:style w:type="paragraph" w:styleId="Cita">
    <w:name w:val="Quote"/>
    <w:basedOn w:val="Normal"/>
    <w:next w:val="Normal"/>
    <w:link w:val="CitaCar"/>
    <w:uiPriority w:val="29"/>
    <w:qFormat/>
    <w:rsid w:val="00AA054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AA054E"/>
    <w:rPr>
      <w:i/>
      <w:iCs/>
      <w:color w:val="404040" w:themeColor="text1" w:themeTint="BF"/>
    </w:rPr>
  </w:style>
  <w:style w:type="paragraph" w:styleId="Citadestacada">
    <w:name w:val="Intense Quote"/>
    <w:basedOn w:val="Normal"/>
    <w:next w:val="Normal"/>
    <w:link w:val="Citadestacada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AA054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287C8F"/>
    <w:rPr>
      <w:rFonts w:asciiTheme="majorHAnsi" w:hAnsiTheme="majorHAnsi"/>
      <w:i/>
      <w:iCs/>
      <w:color w:val="auto"/>
      <w:sz w:val="22"/>
    </w:rPr>
  </w:style>
  <w:style w:type="character" w:styleId="nfasisintenso">
    <w:name w:val="Intense Emphasis"/>
    <w:basedOn w:val="Fuentedeprrafopredeter"/>
    <w:uiPriority w:val="21"/>
    <w:qFormat/>
    <w:rsid w:val="00AA054E"/>
    <w:rPr>
      <w:b/>
      <w:bCs/>
      <w:i/>
      <w:iCs/>
    </w:rPr>
  </w:style>
  <w:style w:type="character" w:styleId="Referenciasutil">
    <w:name w:val="Subtle Reference"/>
    <w:basedOn w:val="Fuentedeprrafopredeter"/>
    <w:uiPriority w:val="31"/>
    <w:qFormat/>
    <w:rsid w:val="00AA054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A054E"/>
    <w:rPr>
      <w:b/>
      <w:bCs/>
      <w:smallCaps/>
      <w:spacing w:val="5"/>
      <w:u w:val="single"/>
    </w:rPr>
  </w:style>
  <w:style w:type="character" w:styleId="Ttulodellibro">
    <w:name w:val="Book Title"/>
    <w:basedOn w:val="Fuentedeprrafopredeter"/>
    <w:uiPriority w:val="33"/>
    <w:qFormat/>
    <w:rsid w:val="00AA054E"/>
    <w:rPr>
      <w:b/>
      <w:bCs/>
      <w:smallCaps/>
    </w:rPr>
  </w:style>
  <w:style w:type="paragraph" w:styleId="TtuloTDC">
    <w:name w:val="TOC Heading"/>
    <w:basedOn w:val="Ttulo1"/>
    <w:next w:val="Normal"/>
    <w:uiPriority w:val="39"/>
    <w:unhideWhenUsed/>
    <w:qFormat/>
    <w:rsid w:val="00AA054E"/>
    <w:pPr>
      <w:outlineLvl w:val="9"/>
    </w:pPr>
  </w:style>
  <w:style w:type="character" w:customStyle="1" w:styleId="SinespaciadoCar">
    <w:name w:val="Sin espaciado Car"/>
    <w:basedOn w:val="Fuentedeprrafopredeter"/>
    <w:link w:val="Sinespaciado"/>
    <w:uiPriority w:val="1"/>
    <w:rsid w:val="005B6B12"/>
    <w:rPr>
      <w:lang w:val="en-GB"/>
    </w:rPr>
  </w:style>
  <w:style w:type="paragraph" w:styleId="Encabezado">
    <w:name w:val="header"/>
    <w:basedOn w:val="Normal"/>
    <w:link w:val="EncabezadoCar"/>
    <w:unhideWhenUsed/>
    <w:rsid w:val="007E7997"/>
    <w:pPr>
      <w:tabs>
        <w:tab w:val="center" w:pos="4536"/>
        <w:tab w:val="right" w:pos="9072"/>
      </w:tabs>
    </w:pPr>
  </w:style>
  <w:style w:type="character" w:customStyle="1" w:styleId="EncabezadoCar">
    <w:name w:val="Encabezado Car"/>
    <w:basedOn w:val="Fuentedeprrafopredeter"/>
    <w:link w:val="Encabezado"/>
    <w:uiPriority w:val="99"/>
    <w:rsid w:val="007E7997"/>
    <w:rPr>
      <w:sz w:val="22"/>
    </w:rPr>
  </w:style>
  <w:style w:type="paragraph" w:styleId="Piedepgina">
    <w:name w:val="footer"/>
    <w:basedOn w:val="Normal"/>
    <w:link w:val="PiedepginaCar"/>
    <w:uiPriority w:val="99"/>
    <w:unhideWhenUsed/>
    <w:rsid w:val="007E7997"/>
    <w:pPr>
      <w:tabs>
        <w:tab w:val="center" w:pos="4536"/>
        <w:tab w:val="right" w:pos="9072"/>
      </w:tabs>
    </w:pPr>
  </w:style>
  <w:style w:type="character" w:customStyle="1" w:styleId="PiedepginaCar">
    <w:name w:val="Pie de página Car"/>
    <w:basedOn w:val="Fuentedeprrafopredeter"/>
    <w:link w:val="Piedepgina"/>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DC1">
    <w:name w:val="toc 1"/>
    <w:basedOn w:val="Normal"/>
    <w:next w:val="Normal"/>
    <w:autoRedefine/>
    <w:uiPriority w:val="39"/>
    <w:unhideWhenUsed/>
    <w:rsid w:val="00B81A44"/>
    <w:pPr>
      <w:tabs>
        <w:tab w:val="left" w:pos="440"/>
        <w:tab w:val="right" w:leader="dot" w:pos="9062"/>
      </w:tabs>
      <w:spacing w:after="100"/>
    </w:pPr>
  </w:style>
  <w:style w:type="paragraph" w:styleId="TDC2">
    <w:name w:val="toc 2"/>
    <w:basedOn w:val="Normal"/>
    <w:next w:val="Normal"/>
    <w:autoRedefine/>
    <w:uiPriority w:val="39"/>
    <w:unhideWhenUsed/>
    <w:rsid w:val="00BC422A"/>
    <w:pPr>
      <w:spacing w:after="100"/>
      <w:ind w:left="220"/>
    </w:pPr>
  </w:style>
  <w:style w:type="paragraph" w:styleId="TDC3">
    <w:name w:val="toc 3"/>
    <w:basedOn w:val="Normal"/>
    <w:next w:val="Normal"/>
    <w:autoRedefine/>
    <w:uiPriority w:val="39"/>
    <w:unhideWhenUsed/>
    <w:rsid w:val="00BC422A"/>
    <w:pPr>
      <w:spacing w:after="100"/>
      <w:ind w:left="440"/>
    </w:pPr>
  </w:style>
  <w:style w:type="character" w:styleId="Hipervnculo">
    <w:name w:val="Hyperlink"/>
    <w:basedOn w:val="Fuentedeprrafopredeter"/>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Fuentedeprrafopredeter"/>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Fuentedeprrafopredeter"/>
    <w:link w:val="Listing2"/>
    <w:rsid w:val="00DF3785"/>
    <w:rPr>
      <w:lang w:val="en-GB"/>
    </w:rPr>
  </w:style>
  <w:style w:type="table" w:styleId="Tablaconcuadrcula">
    <w:name w:val="Table Grid"/>
    <w:basedOn w:val="Tabla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50534"/>
  </w:style>
  <w:style w:type="character" w:customStyle="1" w:styleId="TextonotaalfinalCar">
    <w:name w:val="Texto nota al final Car"/>
    <w:basedOn w:val="Fuentedeprrafopredeter"/>
    <w:link w:val="Textonotaalfinal"/>
    <w:uiPriority w:val="99"/>
    <w:semiHidden/>
    <w:rsid w:val="00B50534"/>
    <w:rPr>
      <w:lang w:val="en-GB"/>
    </w:rPr>
  </w:style>
  <w:style w:type="character" w:styleId="Refdenotaalfinal">
    <w:name w:val="endnote reference"/>
    <w:basedOn w:val="Fuentedeprrafopredeter"/>
    <w:uiPriority w:val="99"/>
    <w:semiHidden/>
    <w:unhideWhenUsed/>
    <w:rsid w:val="00B50534"/>
    <w:rPr>
      <w:vertAlign w:val="superscript"/>
    </w:rPr>
  </w:style>
  <w:style w:type="paragraph" w:styleId="Textonotapie">
    <w:name w:val="footnote text"/>
    <w:basedOn w:val="Normal"/>
    <w:link w:val="TextonotapieCar"/>
    <w:autoRedefine/>
    <w:uiPriority w:val="99"/>
    <w:semiHidden/>
    <w:unhideWhenUsed/>
    <w:qFormat/>
    <w:rsid w:val="006F53E8"/>
    <w:rPr>
      <w:sz w:val="16"/>
    </w:rPr>
  </w:style>
  <w:style w:type="character" w:customStyle="1" w:styleId="TextonotapieCar">
    <w:name w:val="Texto nota pie Car"/>
    <w:basedOn w:val="Fuentedeprrafopredeter"/>
    <w:link w:val="Textonotapie"/>
    <w:uiPriority w:val="99"/>
    <w:semiHidden/>
    <w:rsid w:val="006F53E8"/>
    <w:rPr>
      <w:sz w:val="16"/>
      <w:lang w:val="en-GB"/>
    </w:rPr>
  </w:style>
  <w:style w:type="character" w:styleId="Refdenotaalpie">
    <w:name w:val="footnote reference"/>
    <w:aliases w:val="SUPERS,Footnote reference number,Footnote symbol,note TESI,-E Fußnotenzeichen,number,BVI fnr,Footnote Reference Superscript,(Footnote Reference),EN Footnote Reference,Voetnootverwijzing,Times 10 Point,Exposant 3 Poi,16 Point, BVI fnr"/>
    <w:basedOn w:val="Fuentedeprrafopredeter"/>
    <w:uiPriority w:val="99"/>
    <w:unhideWhenUsed/>
    <w:qFormat/>
    <w:rsid w:val="00A91D91"/>
    <w:rPr>
      <w:rFonts w:asciiTheme="majorHAnsi" w:hAnsiTheme="majorHAnsi"/>
      <w:sz w:val="16"/>
      <w:vertAlign w:val="superscript"/>
    </w:rPr>
  </w:style>
  <w:style w:type="paragraph" w:customStyle="1" w:styleId="Footnote">
    <w:name w:val="Footnote"/>
    <w:basedOn w:val="Textonotapie"/>
    <w:link w:val="FootnoteChar"/>
    <w:rsid w:val="00B50534"/>
    <w:rPr>
      <w:lang w:val="nl-BE"/>
    </w:rPr>
  </w:style>
  <w:style w:type="character" w:customStyle="1" w:styleId="FootnoteChar">
    <w:name w:val="Footnote Char"/>
    <w:basedOn w:val="TextonotapieCar"/>
    <w:link w:val="Footnote"/>
    <w:rsid w:val="00B50534"/>
    <w:rPr>
      <w:sz w:val="16"/>
      <w:lang w:val="en-GB"/>
    </w:rPr>
  </w:style>
  <w:style w:type="table" w:customStyle="1" w:styleId="GridTable4-Accent11">
    <w:name w:val="Grid Table 4 - Accent 11"/>
    <w:basedOn w:val="Tabla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odeglobo">
    <w:name w:val="Balloon Text"/>
    <w:basedOn w:val="Normal"/>
    <w:link w:val="TextodegloboCar"/>
    <w:uiPriority w:val="99"/>
    <w:semiHidden/>
    <w:unhideWhenUsed/>
    <w:rsid w:val="003C1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7E"/>
    <w:rPr>
      <w:rFonts w:ascii="Tahoma" w:hAnsi="Tahoma" w:cs="Tahoma"/>
      <w:sz w:val="16"/>
      <w:szCs w:val="16"/>
      <w:lang w:val="en-GB"/>
    </w:rPr>
  </w:style>
  <w:style w:type="character" w:styleId="Refdecomentario">
    <w:name w:val="annotation reference"/>
    <w:basedOn w:val="Fuentedeprrafopredeter"/>
    <w:uiPriority w:val="99"/>
    <w:semiHidden/>
    <w:unhideWhenUsed/>
    <w:rsid w:val="00FA2400"/>
    <w:rPr>
      <w:sz w:val="16"/>
      <w:szCs w:val="16"/>
    </w:rPr>
  </w:style>
  <w:style w:type="paragraph" w:styleId="Textocomentario">
    <w:name w:val="annotation text"/>
    <w:basedOn w:val="Normal"/>
    <w:link w:val="TextocomentarioCar"/>
    <w:uiPriority w:val="99"/>
    <w:unhideWhenUsed/>
    <w:rsid w:val="00FA2400"/>
    <w:rPr>
      <w:sz w:val="20"/>
    </w:rPr>
  </w:style>
  <w:style w:type="character" w:customStyle="1" w:styleId="TextocomentarioCar">
    <w:name w:val="Texto comentario Car"/>
    <w:basedOn w:val="Fuentedeprrafopredeter"/>
    <w:link w:val="Textocomentario"/>
    <w:uiPriority w:val="99"/>
    <w:rsid w:val="00FA2400"/>
    <w:rPr>
      <w:lang w:val="en-GB"/>
    </w:rPr>
  </w:style>
  <w:style w:type="paragraph" w:styleId="Asuntodelcomentario">
    <w:name w:val="annotation subject"/>
    <w:basedOn w:val="Textocomentario"/>
    <w:next w:val="Textocomentario"/>
    <w:link w:val="AsuntodelcomentarioCar"/>
    <w:uiPriority w:val="99"/>
    <w:semiHidden/>
    <w:unhideWhenUsed/>
    <w:rsid w:val="00FA2400"/>
    <w:rPr>
      <w:b/>
      <w:bCs/>
    </w:rPr>
  </w:style>
  <w:style w:type="character" w:customStyle="1" w:styleId="AsuntodelcomentarioCar">
    <w:name w:val="Asunto del comentario Car"/>
    <w:basedOn w:val="TextocomentarioCar"/>
    <w:link w:val="Asuntodelcomentario"/>
    <w:uiPriority w:val="99"/>
    <w:semiHidden/>
    <w:rsid w:val="00FA2400"/>
    <w:rPr>
      <w:b/>
      <w:bCs/>
      <w:lang w:val="en-GB"/>
    </w:rPr>
  </w:style>
  <w:style w:type="paragraph" w:styleId="Revisi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Hipervnculovisitado">
    <w:name w:val="FollowedHyperlink"/>
    <w:basedOn w:val="Fuentedeprrafopredeter"/>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Fuentedeprrafopredeter"/>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e EI Car,Paragraphe de liste1 Car,EC Car,Paragraphe de liste Car,Normal Nivel 1 Car,List Paragraph Main Car,List first level Car,List Paragraph_Sections Car"/>
    <w:basedOn w:val="Fuentedeprrafopredeter"/>
    <w:link w:val="Prrafodelista"/>
    <w:uiPriority w:val="34"/>
    <w:rsid w:val="00695AF2"/>
    <w:rPr>
      <w:rFonts w:eastAsiaTheme="majorEastAsia" w:cstheme="minorHAnsi"/>
      <w:sz w:val="22"/>
      <w:szCs w:val="22"/>
      <w:lang w:val="en-GB" w:eastAsia="en-GB"/>
    </w:rPr>
  </w:style>
  <w:style w:type="table" w:customStyle="1" w:styleId="TableGrid3">
    <w:name w:val="Table Grid3"/>
    <w:basedOn w:val="Tabla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2006/metadata/properties"/>
    <ds:schemaRef ds:uri="http://purl.org/dc/elements/1.1/"/>
    <ds:schemaRef ds:uri="20fbe147-bbda-4e53-b6b1-7e8bbff3fe19"/>
    <ds:schemaRef ds:uri="http://purl.org/dc/dcmitype/"/>
    <ds:schemaRef ds:uri="http://purl.org/dc/terms/"/>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5A1F7-0822-4DD5-8931-9045156E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26</TotalTime>
  <Pages>23</Pages>
  <Words>6853</Words>
  <Characters>37694</Characters>
  <Application>Microsoft Office Word</Application>
  <DocSecurity>8</DocSecurity>
  <Lines>314</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Filipe Aires Lopes</cp:lastModifiedBy>
  <cp:revision>7</cp:revision>
  <cp:lastPrinted>2017-07-24T14:47:00Z</cp:lastPrinted>
  <dcterms:created xsi:type="dcterms:W3CDTF">2019-07-26T10:55:00Z</dcterms:created>
  <dcterms:modified xsi:type="dcterms:W3CDTF">2019-07-29T13:46:00Z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