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Rubrik"/>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Underrubrik"/>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Rubrik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9A259E">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Rubrik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9A259E">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6F5C2052" w:rsidR="00C85C8B" w:rsidRPr="00C85C8B" w:rsidRDefault="00B52B50" w:rsidP="00C85C8B">
            <w:pPr>
              <w:rPr>
                <w:rFonts w:ascii="Arial" w:hAnsi="Arial" w:cs="Arial"/>
                <w:color w:val="808080"/>
                <w:sz w:val="20"/>
                <w:lang w:eastAsia="de-DE"/>
              </w:rPr>
            </w:pPr>
            <w:r>
              <w:rPr>
                <w:rFonts w:ascii="Arial" w:hAnsi="Arial" w:cs="Arial"/>
                <w:color w:val="808080"/>
                <w:sz w:val="20"/>
                <w:lang w:eastAsia="de-DE"/>
              </w:rPr>
              <w:t>Nordic Securities Association</w:t>
            </w:r>
          </w:p>
        </w:tc>
      </w:tr>
      <w:tr w:rsidR="00C85C8B" w:rsidRPr="00C85C8B" w14:paraId="216F3E57" w14:textId="77777777" w:rsidTr="009A259E">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85FE78C" w:rsidR="00C85C8B" w:rsidRPr="00C85C8B" w:rsidRDefault="00977CD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52B50">
                  <w:rPr>
                    <w:rFonts w:ascii="Arial" w:hAnsi="Arial" w:cs="Arial"/>
                    <w:sz w:val="20"/>
                    <w:lang w:eastAsia="de-DE"/>
                  </w:rPr>
                  <w:t>Investment Services</w:t>
                </w:r>
              </w:sdtContent>
            </w:sdt>
          </w:p>
        </w:tc>
      </w:tr>
      <w:tr w:rsidR="00C85C8B" w:rsidRPr="00C85C8B" w14:paraId="0D216581" w14:textId="77777777" w:rsidTr="009A259E">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8448626" w:rsidR="00C85C8B" w:rsidRPr="00C85C8B" w:rsidRDefault="00B52B50"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9A259E">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07C3FD2" w:rsidR="00C85C8B" w:rsidRPr="00C85C8B" w:rsidRDefault="00B52B50" w:rsidP="00C85C8B">
                <w:pPr>
                  <w:rPr>
                    <w:rFonts w:ascii="Arial" w:hAnsi="Arial" w:cs="Arial"/>
                    <w:sz w:val="20"/>
                    <w:lang w:eastAsia="de-DE"/>
                  </w:rPr>
                </w:pPr>
                <w:r>
                  <w:rPr>
                    <w:rFonts w:ascii="Arial" w:hAnsi="Arial" w:cs="Arial"/>
                    <w:sz w:val="20"/>
                    <w:lang w:eastAsia="de-DE"/>
                  </w:rPr>
                  <w:t>Other</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0FCF4782" w14:textId="7E3D10A7" w:rsidR="00A95D96" w:rsidRDefault="00A95D96" w:rsidP="00A95D96">
      <w:pPr>
        <w:rPr>
          <w:rFonts w:ascii="Arial" w:eastAsiaTheme="minorEastAsia" w:hAnsi="Arial" w:cs="Arial"/>
          <w:sz w:val="22"/>
          <w:szCs w:val="20"/>
          <w:lang w:eastAsia="en-US"/>
        </w:rPr>
      </w:pPr>
      <w:permStart w:id="885457707" w:edGrp="everyone"/>
      <w:r>
        <w:rPr>
          <w:lang w:eastAsia="en-US"/>
        </w:rPr>
        <w:t xml:space="preserve">Nordic Securities Association, </w:t>
      </w:r>
      <w:r>
        <w:rPr>
          <w:rFonts w:ascii="Arial" w:eastAsiaTheme="minorEastAsia" w:hAnsi="Arial" w:cs="Arial"/>
          <w:sz w:val="22"/>
          <w:szCs w:val="20"/>
          <w:lang w:eastAsia="en-US"/>
        </w:rPr>
        <w:t xml:space="preserve">NSA, </w:t>
      </w:r>
      <w:r w:rsidRPr="00A95D96">
        <w:rPr>
          <w:rFonts w:ascii="Arial" w:eastAsiaTheme="minorEastAsia" w:hAnsi="Arial" w:cs="Arial"/>
          <w:sz w:val="22"/>
          <w:szCs w:val="20"/>
          <w:lang w:eastAsia="en-US"/>
        </w:rPr>
        <w:t>response to ESMA Consultation paper on the Guidelines for reporting under</w:t>
      </w:r>
      <w:r>
        <w:rPr>
          <w:rFonts w:ascii="Arial" w:eastAsiaTheme="minorEastAsia" w:hAnsi="Arial" w:cs="Arial"/>
          <w:sz w:val="22"/>
          <w:szCs w:val="20"/>
          <w:lang w:eastAsia="en-US"/>
        </w:rPr>
        <w:t xml:space="preserve"> </w:t>
      </w:r>
      <w:r w:rsidRPr="00A95D96">
        <w:rPr>
          <w:rFonts w:ascii="Arial" w:eastAsiaTheme="minorEastAsia" w:hAnsi="Arial" w:cs="Arial"/>
          <w:sz w:val="22"/>
          <w:szCs w:val="20"/>
          <w:lang w:eastAsia="en-US"/>
        </w:rPr>
        <w:t>Articles 4 and 12 SFTR</w:t>
      </w:r>
      <w:r w:rsidR="00694FE1">
        <w:rPr>
          <w:rFonts w:ascii="Arial" w:eastAsiaTheme="minorEastAsia" w:hAnsi="Arial" w:cs="Arial"/>
          <w:sz w:val="22"/>
          <w:szCs w:val="20"/>
          <w:lang w:eastAsia="en-US"/>
        </w:rPr>
        <w:t>.</w:t>
      </w:r>
    </w:p>
    <w:p w14:paraId="277FD86F" w14:textId="3CFE8BB9" w:rsidR="00A95D96" w:rsidRDefault="00A95D96" w:rsidP="00B52B50">
      <w:pPr>
        <w:rPr>
          <w:rFonts w:ascii="Arial" w:eastAsiaTheme="minorEastAsia" w:hAnsi="Arial" w:cs="Arial"/>
          <w:sz w:val="22"/>
          <w:szCs w:val="20"/>
          <w:lang w:eastAsia="en-US"/>
        </w:rPr>
      </w:pPr>
    </w:p>
    <w:p w14:paraId="0C42FF2B" w14:textId="48FD5028" w:rsidR="00A95D96" w:rsidRDefault="00A95D96" w:rsidP="00B52B50">
      <w:pPr>
        <w:rPr>
          <w:rFonts w:ascii="Arial" w:eastAsiaTheme="minorEastAsia" w:hAnsi="Arial" w:cs="Arial"/>
          <w:sz w:val="22"/>
          <w:szCs w:val="20"/>
          <w:lang w:eastAsia="en-US"/>
        </w:rPr>
      </w:pPr>
      <w:r w:rsidRPr="00A95D96">
        <w:rPr>
          <w:rFonts w:ascii="Arial" w:eastAsiaTheme="minorEastAsia" w:hAnsi="Arial" w:cs="Arial"/>
          <w:sz w:val="22"/>
          <w:szCs w:val="20"/>
          <w:lang w:eastAsia="en-US"/>
        </w:rPr>
        <w:t>The association is a Nordic cooperation that works to promote a sound securities market primarily in the Nordic region. The association is formed by the Danish Securities Dealers Association (</w:t>
      </w:r>
      <w:proofErr w:type="spellStart"/>
      <w:r w:rsidRPr="00A95D96">
        <w:rPr>
          <w:rFonts w:ascii="Arial" w:eastAsiaTheme="minorEastAsia" w:hAnsi="Arial" w:cs="Arial"/>
          <w:sz w:val="22"/>
          <w:szCs w:val="20"/>
          <w:lang w:eastAsia="en-US"/>
        </w:rPr>
        <w:t>Børsmæglerforeningen</w:t>
      </w:r>
      <w:proofErr w:type="spellEnd"/>
      <w:r w:rsidRPr="00A95D96">
        <w:rPr>
          <w:rFonts w:ascii="Arial" w:eastAsiaTheme="minorEastAsia" w:hAnsi="Arial" w:cs="Arial"/>
          <w:sz w:val="22"/>
          <w:szCs w:val="20"/>
          <w:lang w:eastAsia="en-US"/>
        </w:rPr>
        <w:t>), the Finance Finland (</w:t>
      </w:r>
      <w:proofErr w:type="spellStart"/>
      <w:r w:rsidRPr="00A95D96">
        <w:rPr>
          <w:rFonts w:ascii="Arial" w:eastAsiaTheme="minorEastAsia" w:hAnsi="Arial" w:cs="Arial"/>
          <w:sz w:val="22"/>
          <w:szCs w:val="20"/>
          <w:lang w:eastAsia="en-US"/>
        </w:rPr>
        <w:t>Finanssialan</w:t>
      </w:r>
      <w:proofErr w:type="spellEnd"/>
      <w:r w:rsidRPr="00A95D96">
        <w:rPr>
          <w:rFonts w:ascii="Arial" w:eastAsiaTheme="minorEastAsia" w:hAnsi="Arial" w:cs="Arial"/>
          <w:sz w:val="22"/>
          <w:szCs w:val="20"/>
          <w:lang w:eastAsia="en-US"/>
        </w:rPr>
        <w:t xml:space="preserve"> </w:t>
      </w:r>
      <w:proofErr w:type="spellStart"/>
      <w:r w:rsidRPr="00A95D96">
        <w:rPr>
          <w:rFonts w:ascii="Arial" w:eastAsiaTheme="minorEastAsia" w:hAnsi="Arial" w:cs="Arial"/>
          <w:sz w:val="22"/>
          <w:szCs w:val="20"/>
          <w:lang w:eastAsia="en-US"/>
        </w:rPr>
        <w:t>Keskusliitto</w:t>
      </w:r>
      <w:proofErr w:type="spellEnd"/>
      <w:r w:rsidRPr="00A95D96">
        <w:rPr>
          <w:rFonts w:ascii="Arial" w:eastAsiaTheme="minorEastAsia" w:hAnsi="Arial" w:cs="Arial"/>
          <w:sz w:val="22"/>
          <w:szCs w:val="20"/>
          <w:lang w:eastAsia="en-US"/>
        </w:rPr>
        <w:t>), the Norwegian Securities Dealers Association (</w:t>
      </w:r>
      <w:proofErr w:type="spellStart"/>
      <w:r w:rsidRPr="00A95D96">
        <w:rPr>
          <w:rFonts w:ascii="Arial" w:eastAsiaTheme="minorEastAsia" w:hAnsi="Arial" w:cs="Arial"/>
          <w:sz w:val="22"/>
          <w:szCs w:val="20"/>
          <w:lang w:eastAsia="en-US"/>
        </w:rPr>
        <w:t>Verdipapirforetakenes</w:t>
      </w:r>
      <w:proofErr w:type="spellEnd"/>
      <w:r w:rsidRPr="00A95D96">
        <w:rPr>
          <w:rFonts w:ascii="Arial" w:eastAsiaTheme="minorEastAsia" w:hAnsi="Arial" w:cs="Arial"/>
          <w:sz w:val="22"/>
          <w:szCs w:val="20"/>
          <w:lang w:eastAsia="en-US"/>
        </w:rPr>
        <w:t xml:space="preserve"> </w:t>
      </w:r>
      <w:proofErr w:type="spellStart"/>
      <w:r w:rsidRPr="00A95D96">
        <w:rPr>
          <w:rFonts w:ascii="Arial" w:eastAsiaTheme="minorEastAsia" w:hAnsi="Arial" w:cs="Arial"/>
          <w:sz w:val="22"/>
          <w:szCs w:val="20"/>
          <w:lang w:eastAsia="en-US"/>
        </w:rPr>
        <w:t>Forbund</w:t>
      </w:r>
      <w:proofErr w:type="spellEnd"/>
      <w:r w:rsidRPr="00A95D96">
        <w:rPr>
          <w:rFonts w:ascii="Arial" w:eastAsiaTheme="minorEastAsia" w:hAnsi="Arial" w:cs="Arial"/>
          <w:sz w:val="22"/>
          <w:szCs w:val="20"/>
          <w:lang w:eastAsia="en-US"/>
        </w:rPr>
        <w:t xml:space="preserve">) and the Swedish Securities Dealers Association (Svenska </w:t>
      </w:r>
      <w:proofErr w:type="spellStart"/>
      <w:r w:rsidRPr="00A95D96">
        <w:rPr>
          <w:rFonts w:ascii="Arial" w:eastAsiaTheme="minorEastAsia" w:hAnsi="Arial" w:cs="Arial"/>
          <w:sz w:val="22"/>
          <w:szCs w:val="20"/>
          <w:lang w:eastAsia="en-US"/>
        </w:rPr>
        <w:t>Fondhandlareföreningen</w:t>
      </w:r>
      <w:proofErr w:type="spellEnd"/>
      <w:r w:rsidRPr="00A95D96">
        <w:rPr>
          <w:rFonts w:ascii="Arial" w:eastAsiaTheme="minorEastAsia" w:hAnsi="Arial" w:cs="Arial"/>
          <w:sz w:val="22"/>
          <w:szCs w:val="20"/>
          <w:lang w:eastAsia="en-US"/>
        </w:rPr>
        <w:t>).</w:t>
      </w:r>
    </w:p>
    <w:p w14:paraId="207457DA" w14:textId="77777777" w:rsidR="00A95D96" w:rsidRDefault="00A95D96" w:rsidP="00B52B50">
      <w:pPr>
        <w:rPr>
          <w:rFonts w:ascii="Arial" w:eastAsiaTheme="minorEastAsia" w:hAnsi="Arial" w:cs="Arial"/>
          <w:sz w:val="22"/>
          <w:szCs w:val="20"/>
          <w:lang w:eastAsia="en-US"/>
        </w:rPr>
      </w:pPr>
    </w:p>
    <w:p w14:paraId="2B7A581E" w14:textId="796CCC6E" w:rsidR="00B52B50" w:rsidRDefault="00B52B50" w:rsidP="00B52B50">
      <w:pPr>
        <w:rPr>
          <w:sz w:val="22"/>
          <w:szCs w:val="22"/>
          <w:lang w:eastAsia="en-US"/>
        </w:rPr>
      </w:pPr>
      <w:r>
        <w:rPr>
          <w:rFonts w:ascii="Arial" w:eastAsiaTheme="minorEastAsia" w:hAnsi="Arial" w:cs="Arial"/>
          <w:sz w:val="22"/>
          <w:szCs w:val="20"/>
          <w:lang w:eastAsia="en-US"/>
        </w:rPr>
        <w:t xml:space="preserve">This response </w:t>
      </w:r>
      <w:r w:rsidR="00A95D96">
        <w:rPr>
          <w:rFonts w:ascii="Arial" w:eastAsiaTheme="minorEastAsia" w:hAnsi="Arial" w:cs="Arial"/>
          <w:sz w:val="22"/>
          <w:szCs w:val="20"/>
          <w:lang w:eastAsia="en-US"/>
        </w:rPr>
        <w:t>i</w:t>
      </w:r>
      <w:r>
        <w:rPr>
          <w:rFonts w:ascii="Arial" w:eastAsiaTheme="minorEastAsia" w:hAnsi="Arial" w:cs="Arial"/>
          <w:sz w:val="22"/>
          <w:szCs w:val="20"/>
          <w:lang w:eastAsia="en-US"/>
        </w:rPr>
        <w:t xml:space="preserve">s produced by </w:t>
      </w:r>
      <w:r w:rsidR="00694FE1">
        <w:rPr>
          <w:rFonts w:ascii="Arial" w:eastAsiaTheme="minorEastAsia" w:hAnsi="Arial" w:cs="Arial"/>
          <w:sz w:val="22"/>
          <w:szCs w:val="20"/>
          <w:lang w:eastAsia="en-US"/>
        </w:rPr>
        <w:t>NSA</w:t>
      </w:r>
      <w:r w:rsidR="00694FE1">
        <w:rPr>
          <w:lang w:eastAsia="en-US"/>
        </w:rPr>
        <w:t xml:space="preserve"> </w:t>
      </w:r>
      <w:r>
        <w:rPr>
          <w:lang w:eastAsia="en-US"/>
        </w:rPr>
        <w:t>in cooperation with member firms that are Investment firms in the Nordic region</w:t>
      </w:r>
      <w:r w:rsidR="00A95D96">
        <w:rPr>
          <w:lang w:eastAsia="en-US"/>
        </w:rPr>
        <w:t>.</w:t>
      </w:r>
    </w:p>
    <w:permEnd w:id="885457707"/>
    <w:p w14:paraId="15D00E65" w14:textId="0C2DDBE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24EC4EC0" w14:textId="77777777" w:rsidR="00B52B50" w:rsidRPr="00E22595" w:rsidRDefault="00B52B50" w:rsidP="00B52B50">
      <w:pPr>
        <w:autoSpaceDE w:val="0"/>
        <w:autoSpaceDN w:val="0"/>
        <w:adjustRightInd w:val="0"/>
        <w:rPr>
          <w:rFonts w:cstheme="minorHAnsi"/>
          <w:b/>
          <w:bCs/>
        </w:rPr>
      </w:pPr>
      <w:permStart w:id="1690923388" w:edGrp="everyone"/>
      <w:r>
        <w:rPr>
          <w:rFonts w:cstheme="minorHAnsi"/>
          <w:b/>
          <w:bCs/>
        </w:rPr>
        <w:t>Limits to m</w:t>
      </w:r>
      <w:r w:rsidRPr="00E22595">
        <w:rPr>
          <w:rFonts w:cstheme="minorHAnsi"/>
          <w:b/>
          <w:bCs/>
        </w:rPr>
        <w:t>argin lending for retail clients and others</w:t>
      </w:r>
    </w:p>
    <w:p w14:paraId="1895EDA6" w14:textId="77777777" w:rsidR="00B52B50" w:rsidRDefault="00B52B50" w:rsidP="00B52B50">
      <w:pPr>
        <w:autoSpaceDE w:val="0"/>
        <w:autoSpaceDN w:val="0"/>
        <w:adjustRightInd w:val="0"/>
        <w:rPr>
          <w:rFonts w:cstheme="minorHAnsi"/>
        </w:rPr>
      </w:pPr>
      <w:proofErr w:type="gramStart"/>
      <w:r w:rsidRPr="00A97C8E">
        <w:rPr>
          <w:rFonts w:cstheme="minorHAnsi"/>
        </w:rPr>
        <w:t>Generally speaking, it’s</w:t>
      </w:r>
      <w:proofErr w:type="gramEnd"/>
      <w:r w:rsidRPr="00A97C8E">
        <w:rPr>
          <w:rFonts w:cstheme="minorHAnsi"/>
        </w:rPr>
        <w:t xml:space="preserve"> not clear if the exemption for securities financing transactions involving retail clients applies to securities lending, buy-sell back, sell-buy back and repurchase transactions also (or exclusively to margin lending). It’s worth appointing that, considering that the purpose of SFT Regulation is not investor protection, the same exemption should apply to individual professional clients according to MiFID 2 definitions (clients who may be treated as professionals on request).</w:t>
      </w:r>
    </w:p>
    <w:p w14:paraId="4ACAC13C" w14:textId="77777777" w:rsidR="00B52B50" w:rsidRDefault="00B52B50" w:rsidP="00B52B50">
      <w:pPr>
        <w:autoSpaceDE w:val="0"/>
        <w:autoSpaceDN w:val="0"/>
        <w:adjustRightInd w:val="0"/>
        <w:rPr>
          <w:rFonts w:cstheme="minorHAnsi"/>
        </w:rPr>
      </w:pPr>
    </w:p>
    <w:p w14:paraId="5F640305" w14:textId="77777777" w:rsidR="00B52B50" w:rsidRDefault="00B52B50" w:rsidP="00B52B50">
      <w:pPr>
        <w:autoSpaceDE w:val="0"/>
        <w:autoSpaceDN w:val="0"/>
        <w:adjustRightInd w:val="0"/>
        <w:rPr>
          <w:rFonts w:cstheme="minorHAnsi"/>
        </w:rPr>
      </w:pPr>
      <w:r w:rsidRPr="002E157C">
        <w:rPr>
          <w:rFonts w:cstheme="minorHAnsi"/>
        </w:rPr>
        <w:t xml:space="preserve">Hundreds of thousands </w:t>
      </w:r>
      <w:r>
        <w:rPr>
          <w:rFonts w:cstheme="minorHAnsi"/>
        </w:rPr>
        <w:t xml:space="preserve">of clients </w:t>
      </w:r>
      <w:r w:rsidRPr="002E157C">
        <w:rPr>
          <w:rFonts w:cstheme="minorHAnsi"/>
        </w:rPr>
        <w:t xml:space="preserve">in the Nordic countries, </w:t>
      </w:r>
      <w:r>
        <w:rPr>
          <w:rFonts w:cstheme="minorHAnsi"/>
        </w:rPr>
        <w:t>mostly</w:t>
      </w:r>
      <w:r w:rsidRPr="002E157C">
        <w:rPr>
          <w:rFonts w:cstheme="minorHAnsi"/>
        </w:rPr>
        <w:t xml:space="preserve"> private individuals, but also many smaller </w:t>
      </w:r>
      <w:r>
        <w:rPr>
          <w:rFonts w:cstheme="minorHAnsi"/>
        </w:rPr>
        <w:t xml:space="preserve">legal </w:t>
      </w:r>
      <w:r w:rsidRPr="002E157C">
        <w:rPr>
          <w:rFonts w:cstheme="minorHAnsi"/>
        </w:rPr>
        <w:t xml:space="preserve">entities have portfolios where the assets consist of securities that </w:t>
      </w:r>
      <w:r>
        <w:rPr>
          <w:rFonts w:cstheme="minorHAnsi"/>
        </w:rPr>
        <w:t>is used as</w:t>
      </w:r>
      <w:r w:rsidRPr="002E157C">
        <w:rPr>
          <w:rFonts w:cstheme="minorHAnsi"/>
        </w:rPr>
        <w:t xml:space="preserve"> collateral for the customers' credits. The credits are </w:t>
      </w:r>
      <w:r>
        <w:rPr>
          <w:rFonts w:cstheme="minorHAnsi"/>
        </w:rPr>
        <w:t xml:space="preserve">normally </w:t>
      </w:r>
      <w:r w:rsidRPr="002E157C">
        <w:rPr>
          <w:rFonts w:cstheme="minorHAnsi"/>
        </w:rPr>
        <w:t xml:space="preserve">used to purchase and trade in securities. </w:t>
      </w:r>
      <w:r>
        <w:rPr>
          <w:rFonts w:cstheme="minorHAnsi"/>
        </w:rPr>
        <w:t>According to the rules the collateral shall consist of a pool of mixed securities.</w:t>
      </w:r>
    </w:p>
    <w:p w14:paraId="1AD4CA0F" w14:textId="77777777" w:rsidR="00B52B50" w:rsidRPr="002E157C" w:rsidRDefault="00B52B50" w:rsidP="00B52B50">
      <w:pPr>
        <w:autoSpaceDE w:val="0"/>
        <w:autoSpaceDN w:val="0"/>
        <w:adjustRightInd w:val="0"/>
        <w:rPr>
          <w:rFonts w:cstheme="minorHAnsi"/>
        </w:rPr>
      </w:pPr>
    </w:p>
    <w:p w14:paraId="705862DC" w14:textId="77777777" w:rsidR="00B52B50" w:rsidRDefault="00B52B50" w:rsidP="00B52B50">
      <w:pPr>
        <w:autoSpaceDE w:val="0"/>
        <w:autoSpaceDN w:val="0"/>
        <w:adjustRightInd w:val="0"/>
        <w:rPr>
          <w:rFonts w:cstheme="minorHAnsi"/>
        </w:rPr>
      </w:pPr>
      <w:r>
        <w:rPr>
          <w:rFonts w:cstheme="minorHAnsi"/>
        </w:rPr>
        <w:t>According to the proposal in the Guidelines CP,</w:t>
      </w:r>
      <w:r w:rsidRPr="002E157C">
        <w:rPr>
          <w:rFonts w:cstheme="minorHAnsi"/>
        </w:rPr>
        <w:t xml:space="preserve"> margin lending do not apply for </w:t>
      </w:r>
      <w:r>
        <w:rPr>
          <w:rFonts w:cstheme="minorHAnsi"/>
        </w:rPr>
        <w:t>retail clients</w:t>
      </w:r>
      <w:r w:rsidRPr="002E157C">
        <w:rPr>
          <w:rFonts w:cstheme="minorHAnsi"/>
        </w:rPr>
        <w:t xml:space="preserve"> (</w:t>
      </w:r>
      <w:r>
        <w:rPr>
          <w:rFonts w:cstheme="minorHAnsi"/>
        </w:rPr>
        <w:t xml:space="preserve">recital </w:t>
      </w:r>
      <w:r w:rsidRPr="002E157C">
        <w:rPr>
          <w:rFonts w:cstheme="minorHAnsi"/>
        </w:rPr>
        <w:t>46)</w:t>
      </w:r>
      <w:r>
        <w:rPr>
          <w:rFonts w:cstheme="minorHAnsi"/>
        </w:rPr>
        <w:t>.  In the Guidelines CP, ESMA has defined “retail” as “private individual”; we would prefer to keep the definition in line with the retail definition in MiFID II/</w:t>
      </w:r>
      <w:proofErr w:type="spellStart"/>
      <w:r>
        <w:rPr>
          <w:rFonts w:cstheme="minorHAnsi"/>
        </w:rPr>
        <w:t>MiFIR</w:t>
      </w:r>
      <w:proofErr w:type="spellEnd"/>
      <w:r>
        <w:rPr>
          <w:rFonts w:cstheme="minorHAnsi"/>
        </w:rPr>
        <w:t xml:space="preserve"> where it means “non-professional client” as that would use existing data for this assessment.  </w:t>
      </w:r>
    </w:p>
    <w:p w14:paraId="09D581B8" w14:textId="77777777" w:rsidR="00B52B50" w:rsidRPr="002E157C" w:rsidRDefault="00B52B50" w:rsidP="00B52B50">
      <w:pPr>
        <w:autoSpaceDE w:val="0"/>
        <w:autoSpaceDN w:val="0"/>
        <w:adjustRightInd w:val="0"/>
        <w:rPr>
          <w:rFonts w:cstheme="minorHAnsi"/>
        </w:rPr>
      </w:pPr>
      <w:r w:rsidRPr="002E157C">
        <w:rPr>
          <w:rFonts w:cstheme="minorHAnsi"/>
        </w:rPr>
        <w:br/>
        <w:t xml:space="preserve">It is still not clear what constitutes margin lending when smaller entities, for instance day traders, use securities in a portfolio as collateral for credits for the trading. </w:t>
      </w:r>
      <w:r>
        <w:rPr>
          <w:rFonts w:cstheme="minorHAnsi"/>
        </w:rPr>
        <w:t>The technical standard (EU 2019/356) mentions in recital 2 that “</w:t>
      </w:r>
      <w:r w:rsidRPr="00F658EF">
        <w:rPr>
          <w:rFonts w:cstheme="minorHAnsi"/>
        </w:rPr>
        <w:t>While margin lending therefore includes transactions subject to margin agreements between financial institutions and their clients where financial institutions provide prime brokerage services to their clients, it does not include other loans such as loans for corporate restructuring purposes which, despite the possibility of involving securities, do not contribute to the systemic risks addressed by Regulation (EU) 2015/2365.</w:t>
      </w:r>
      <w:r>
        <w:rPr>
          <w:rFonts w:cstheme="minorHAnsi"/>
        </w:rPr>
        <w:t>”</w:t>
      </w:r>
    </w:p>
    <w:p w14:paraId="5EDE239E" w14:textId="77777777" w:rsidR="00B52B50" w:rsidRDefault="00B52B50" w:rsidP="00B52B50">
      <w:pPr>
        <w:autoSpaceDE w:val="0"/>
        <w:autoSpaceDN w:val="0"/>
        <w:adjustRightInd w:val="0"/>
        <w:rPr>
          <w:rFonts w:cstheme="minorHAnsi"/>
        </w:rPr>
      </w:pPr>
    </w:p>
    <w:p w14:paraId="0B0951F2" w14:textId="77777777" w:rsidR="00B52B50" w:rsidRDefault="00B52B50" w:rsidP="00B52B50">
      <w:pPr>
        <w:autoSpaceDE w:val="0"/>
        <w:autoSpaceDN w:val="0"/>
        <w:adjustRightInd w:val="0"/>
        <w:rPr>
          <w:rFonts w:cstheme="minorHAnsi"/>
        </w:rPr>
      </w:pPr>
      <w:r w:rsidRPr="00500C56">
        <w:rPr>
          <w:rFonts w:cstheme="minorHAnsi"/>
        </w:rPr>
        <w:t xml:space="preserve">Nordic non-financial clients often have setups that are </w:t>
      </w:r>
      <w:proofErr w:type="gramStart"/>
      <w:r w:rsidRPr="00500C56">
        <w:rPr>
          <w:rFonts w:cstheme="minorHAnsi"/>
        </w:rPr>
        <w:t>similar to</w:t>
      </w:r>
      <w:proofErr w:type="gramEnd"/>
      <w:r w:rsidRPr="00500C56">
        <w:rPr>
          <w:rFonts w:cstheme="minorHAnsi"/>
        </w:rPr>
        <w:t xml:space="preserve"> margin lending for lending with their depot/account as collateral. </w:t>
      </w:r>
      <w:r>
        <w:rPr>
          <w:rFonts w:cstheme="minorHAnsi"/>
        </w:rPr>
        <w:t xml:space="preserve">However, note that, according to the rules, the collateral shall consist of a pool of mixed securities. </w:t>
      </w:r>
      <w:r w:rsidRPr="00500C56">
        <w:rPr>
          <w:rFonts w:cstheme="minorHAnsi"/>
        </w:rPr>
        <w:t>The clients are mostly retail clients, both companies and physical persons that are mostly non-professional in the MiFID II/</w:t>
      </w:r>
      <w:proofErr w:type="spellStart"/>
      <w:r w:rsidRPr="00500C56">
        <w:rPr>
          <w:rFonts w:cstheme="minorHAnsi"/>
        </w:rPr>
        <w:t>MiFIR</w:t>
      </w:r>
      <w:proofErr w:type="spellEnd"/>
      <w:r w:rsidRPr="00500C56">
        <w:rPr>
          <w:rFonts w:cstheme="minorHAnsi"/>
        </w:rPr>
        <w:t xml:space="preserve"> </w:t>
      </w:r>
      <w:r w:rsidRPr="00E22595">
        <w:rPr>
          <w:rFonts w:cstheme="minorHAnsi"/>
        </w:rPr>
        <w:t>sense. The loan is limited by a detached limit. The entire account is used as collateral for the loan but there is no prime brokerage agreement. We expect this to be out of scope for margin lending given the wording in preamble</w:t>
      </w:r>
      <w:r w:rsidRPr="00500C56">
        <w:rPr>
          <w:rFonts w:cstheme="minorHAnsi"/>
        </w:rPr>
        <w:t xml:space="preserve"> 2 of the RTS (Regulation (EU) 2019/356) where margin lending is described to include margin loans that are part of prime brokerage services but excludes other loans even if those are similar. There are many </w:t>
      </w:r>
      <w:r>
        <w:rPr>
          <w:rFonts w:cstheme="minorHAnsi"/>
        </w:rPr>
        <w:t xml:space="preserve">subtly </w:t>
      </w:r>
      <w:r w:rsidRPr="00500C56">
        <w:rPr>
          <w:rFonts w:cstheme="minorHAnsi"/>
        </w:rPr>
        <w:t>different designs of these loans in the Nordic region and they are common for retail clients that use them to increase the leverage in their portfolio. We also understand section 5.1.1</w:t>
      </w:r>
      <w:r>
        <w:rPr>
          <w:rFonts w:cstheme="minorHAnsi"/>
        </w:rPr>
        <w:t xml:space="preserve"> in the consultation</w:t>
      </w:r>
      <w:r w:rsidRPr="00500C56">
        <w:rPr>
          <w:rFonts w:cstheme="minorHAnsi"/>
        </w:rPr>
        <w:t xml:space="preserve"> as limited to Margin Lending although </w:t>
      </w:r>
      <w:proofErr w:type="gramStart"/>
      <w:r w:rsidRPr="00500C56">
        <w:rPr>
          <w:rFonts w:cstheme="minorHAnsi"/>
        </w:rPr>
        <w:t>a number of</w:t>
      </w:r>
      <w:proofErr w:type="gramEnd"/>
      <w:r w:rsidRPr="00500C56">
        <w:rPr>
          <w:rFonts w:cstheme="minorHAnsi"/>
        </w:rPr>
        <w:t xml:space="preserve"> points in subsections only refer to “loans” without specification which could also include </w:t>
      </w:r>
      <w:r>
        <w:rPr>
          <w:rFonts w:cstheme="minorHAnsi"/>
        </w:rPr>
        <w:t>other SFTs.</w:t>
      </w:r>
    </w:p>
    <w:p w14:paraId="7F9979D1" w14:textId="77777777" w:rsidR="00B52B50" w:rsidRDefault="00B52B50" w:rsidP="00B52B50">
      <w:pPr>
        <w:autoSpaceDE w:val="0"/>
        <w:autoSpaceDN w:val="0"/>
        <w:adjustRightInd w:val="0"/>
        <w:rPr>
          <w:rFonts w:cstheme="minorHAnsi"/>
        </w:rPr>
      </w:pPr>
    </w:p>
    <w:p w14:paraId="3DE33D03" w14:textId="77777777" w:rsidR="00B52B50" w:rsidRDefault="00B52B50" w:rsidP="00B52B50">
      <w:pPr>
        <w:autoSpaceDE w:val="0"/>
        <w:autoSpaceDN w:val="0"/>
        <w:adjustRightInd w:val="0"/>
        <w:rPr>
          <w:rFonts w:cstheme="minorHAnsi"/>
        </w:rPr>
      </w:pPr>
      <w:r>
        <w:rPr>
          <w:rFonts w:cstheme="minorHAnsi"/>
        </w:rPr>
        <w:lastRenderedPageBreak/>
        <w:t>The writing in the final report was clearer where point 188 states that “</w:t>
      </w:r>
      <w:r w:rsidRPr="0043381B">
        <w:rPr>
          <w:rFonts w:cstheme="minorHAnsi"/>
        </w:rPr>
        <w:t>Therefore, ESMA is of the view that, consistently with the FSB,</w:t>
      </w:r>
      <w:r>
        <w:rPr>
          <w:rFonts w:cstheme="minorHAnsi"/>
        </w:rPr>
        <w:t xml:space="preserve"> </w:t>
      </w:r>
      <w:r w:rsidRPr="0043381B">
        <w:rPr>
          <w:rFonts w:cstheme="minorHAnsi"/>
        </w:rPr>
        <w:t>the margin lendin</w:t>
      </w:r>
      <w:r>
        <w:rPr>
          <w:rFonts w:cstheme="minorHAnsi"/>
        </w:rPr>
        <w:t>g</w:t>
      </w:r>
      <w:r w:rsidRPr="0043381B">
        <w:rPr>
          <w:rFonts w:cstheme="minorHAnsi"/>
        </w:rPr>
        <w:t xml:space="preserve"> reporting obligation should only apply to  prime brokerage margin lending, i.e. cash lending from prime brokers to their clients against collateral as part of a prime brokerage agreement. </w:t>
      </w:r>
      <w:r>
        <w:rPr>
          <w:rFonts w:cstheme="minorHAnsi"/>
        </w:rPr>
        <w:t>…”</w:t>
      </w:r>
    </w:p>
    <w:p w14:paraId="51A8801E" w14:textId="77777777" w:rsidR="00B52B50" w:rsidRPr="002E157C" w:rsidRDefault="00B52B50" w:rsidP="00B52B50">
      <w:pPr>
        <w:autoSpaceDE w:val="0"/>
        <w:autoSpaceDN w:val="0"/>
        <w:adjustRightInd w:val="0"/>
        <w:rPr>
          <w:rFonts w:cstheme="minorHAnsi"/>
        </w:rPr>
      </w:pPr>
    </w:p>
    <w:p w14:paraId="4847EB8B" w14:textId="77777777" w:rsidR="00B52B50" w:rsidRPr="008B65F4" w:rsidRDefault="00B52B50" w:rsidP="00B52B50">
      <w:pPr>
        <w:autoSpaceDE w:val="0"/>
        <w:autoSpaceDN w:val="0"/>
        <w:adjustRightInd w:val="0"/>
        <w:rPr>
          <w:rFonts w:cstheme="minorHAnsi"/>
        </w:rPr>
      </w:pPr>
      <w:r w:rsidRPr="002E157C">
        <w:rPr>
          <w:rFonts w:cstheme="minorHAnsi"/>
        </w:rPr>
        <w:t xml:space="preserve">The writing in the Final Report was </w:t>
      </w:r>
      <w:r>
        <w:rPr>
          <w:rFonts w:cstheme="minorHAnsi"/>
        </w:rPr>
        <w:t xml:space="preserve">also </w:t>
      </w:r>
      <w:r w:rsidRPr="002E157C">
        <w:rPr>
          <w:rFonts w:cstheme="minorHAnsi"/>
        </w:rPr>
        <w:t>clearer saying that loans to retail clients “</w:t>
      </w:r>
      <w:r>
        <w:rPr>
          <w:rFonts w:cstheme="minorHAnsi"/>
        </w:rPr>
        <w:t>…</w:t>
      </w:r>
      <w:r w:rsidRPr="002E157C">
        <w:rPr>
          <w:rFonts w:cstheme="minorHAnsi"/>
        </w:rPr>
        <w:t>Should be exempted from the reporting obligation”. This was quite clear when applying MiFID</w:t>
      </w:r>
      <w:r>
        <w:rPr>
          <w:rFonts w:cstheme="minorHAnsi"/>
        </w:rPr>
        <w:t>´</w:t>
      </w:r>
      <w:r w:rsidRPr="002E157C">
        <w:rPr>
          <w:rFonts w:cstheme="minorHAnsi"/>
        </w:rPr>
        <w:t xml:space="preserve">s definition (Article 4 1 (11)) of retail client. “retail client’ means a client who is not a professional client”. The writing in the Final Report was also clearer saying “the margin lending reporting obligation should only apply to prime brokerage margin lending, i.e. cash lending from prime brokers to their clients against collateral as part of a prime brokerage agreement.” </w:t>
      </w:r>
      <w:r w:rsidRPr="002E157C">
        <w:rPr>
          <w:rFonts w:cstheme="minorHAnsi"/>
        </w:rPr>
        <w:br/>
      </w:r>
      <w:r w:rsidRPr="002E157C">
        <w:rPr>
          <w:rFonts w:cstheme="minorHAnsi"/>
        </w:rPr>
        <w:br/>
        <w:t xml:space="preserve">To make the writing clear the NSA proposes </w:t>
      </w:r>
      <w:r w:rsidRPr="008B65F4">
        <w:rPr>
          <w:rFonts w:cstheme="minorHAnsi"/>
        </w:rPr>
        <w:t>a writing where “</w:t>
      </w:r>
      <w:r w:rsidRPr="008B65F4">
        <w:rPr>
          <w:rFonts w:cstheme="minorHAnsi"/>
          <w:u w:val="single"/>
        </w:rPr>
        <w:t>retail clients, according to MiFID´s definition, are excluded from the reporting of margin lending</w:t>
      </w:r>
      <w:r w:rsidRPr="008B65F4">
        <w:rPr>
          <w:rFonts w:cstheme="minorHAnsi"/>
        </w:rPr>
        <w:t>”. An alternative could be to explicitly point out which categories of clients that should be included in the reporting. Any reference to prime brokerage agreement should preferable also refer to FCA´s definition of prime brokerage agreement.</w:t>
      </w:r>
    </w:p>
    <w:p w14:paraId="0A241BE0" w14:textId="77777777" w:rsidR="00B52B50" w:rsidRPr="008B65F4" w:rsidRDefault="00B52B50" w:rsidP="00B52B50">
      <w:pPr>
        <w:autoSpaceDE w:val="0"/>
        <w:autoSpaceDN w:val="0"/>
        <w:adjustRightInd w:val="0"/>
        <w:rPr>
          <w:rFonts w:cstheme="minorHAnsi"/>
        </w:rPr>
      </w:pPr>
    </w:p>
    <w:p w14:paraId="264E14D4" w14:textId="77777777" w:rsidR="00B52B50" w:rsidRPr="008B65F4" w:rsidRDefault="00B52B50" w:rsidP="00B52B50">
      <w:pPr>
        <w:autoSpaceDE w:val="0"/>
        <w:autoSpaceDN w:val="0"/>
        <w:adjustRightInd w:val="0"/>
        <w:rPr>
          <w:rFonts w:cstheme="minorHAnsi"/>
          <w:b/>
          <w:bCs/>
        </w:rPr>
      </w:pPr>
      <w:r w:rsidRPr="008B65F4">
        <w:rPr>
          <w:rFonts w:cstheme="minorHAnsi"/>
          <w:b/>
          <w:bCs/>
        </w:rPr>
        <w:t>On retail clients’ collateral for SLBs</w:t>
      </w:r>
    </w:p>
    <w:p w14:paraId="1C81C230" w14:textId="77777777" w:rsidR="00B52B50" w:rsidRPr="008B65F4" w:rsidRDefault="00B52B50" w:rsidP="00B52B50">
      <w:pPr>
        <w:autoSpaceDE w:val="0"/>
        <w:autoSpaceDN w:val="0"/>
        <w:adjustRightInd w:val="0"/>
        <w:rPr>
          <w:rFonts w:cstheme="minorHAnsi"/>
        </w:rPr>
      </w:pPr>
      <w:r w:rsidRPr="008B65F4">
        <w:rPr>
          <w:rFonts w:cstheme="minorHAnsi"/>
        </w:rPr>
        <w:t>For Swedish securities Lending for non-financial clients, we see a challenge to report the specific collateral, since this type of client use a pool of collateral not only for SLB, but also for purchase of derivatives and for depot loan as mentioned above.</w:t>
      </w:r>
    </w:p>
    <w:p w14:paraId="3903759E" w14:textId="77777777" w:rsidR="00B52B50" w:rsidRPr="008B65F4" w:rsidRDefault="00B52B50" w:rsidP="00B52B50">
      <w:pPr>
        <w:autoSpaceDE w:val="0"/>
        <w:autoSpaceDN w:val="0"/>
        <w:adjustRightInd w:val="0"/>
        <w:rPr>
          <w:rFonts w:cstheme="minorHAnsi"/>
          <w:b/>
          <w:bCs/>
        </w:rPr>
      </w:pPr>
    </w:p>
    <w:p w14:paraId="54C4017E" w14:textId="77777777" w:rsidR="00B52B50" w:rsidRPr="008B65F4" w:rsidRDefault="00B52B50" w:rsidP="00B52B50">
      <w:pPr>
        <w:autoSpaceDE w:val="0"/>
        <w:autoSpaceDN w:val="0"/>
        <w:adjustRightInd w:val="0"/>
        <w:rPr>
          <w:rFonts w:cstheme="minorHAnsi"/>
          <w:b/>
          <w:bCs/>
        </w:rPr>
      </w:pPr>
      <w:r w:rsidRPr="008B65F4">
        <w:rPr>
          <w:rFonts w:cstheme="minorHAnsi"/>
          <w:b/>
          <w:bCs/>
        </w:rPr>
        <w:t>On liquidity swaps</w:t>
      </w:r>
    </w:p>
    <w:p w14:paraId="7E7A2978" w14:textId="77777777" w:rsidR="00B52B50" w:rsidRPr="002E157C" w:rsidRDefault="00B52B50" w:rsidP="00B52B50">
      <w:pPr>
        <w:autoSpaceDE w:val="0"/>
        <w:autoSpaceDN w:val="0"/>
        <w:adjustRightInd w:val="0"/>
      </w:pPr>
      <w:r w:rsidRPr="002E157C">
        <w:rPr>
          <w:rFonts w:cstheme="minorHAnsi"/>
        </w:rPr>
        <w:t xml:space="preserve">According to recital 7 in the regulation </w:t>
      </w:r>
      <w:r w:rsidRPr="002E157C">
        <w:t>transactions that are commonly referred to as liquidity swaps and collateral swaps are reportable. However, they are not defined</w:t>
      </w:r>
      <w:r>
        <w:t xml:space="preserve"> and a definition in the Guidelines would be helpful</w:t>
      </w:r>
      <w:r w:rsidRPr="002E157C">
        <w:t>. The NSA interprets these transactions as normal security loans with securities as collateral.</w:t>
      </w: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00B7C6C6" w14:textId="77777777" w:rsidR="00D62A4F" w:rsidRDefault="00D62A4F" w:rsidP="00D62A4F">
      <w:pPr>
        <w:rPr>
          <w:rFonts w:ascii="Arial" w:hAnsi="Arial" w:cs="Arial"/>
        </w:rPr>
      </w:pPr>
      <w:permStart w:id="1585262710" w:edGrp="everyone"/>
      <w:r>
        <w:rPr>
          <w:rFonts w:ascii="Arial" w:hAnsi="Arial" w:cs="Arial"/>
        </w:rPr>
        <w:t>TYPE YOUR TEXT HERE</w:t>
      </w:r>
    </w:p>
    <w:permEnd w:id="1585262710"/>
    <w:p w14:paraId="25514B3C" w14:textId="77777777"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7777777" w:rsidR="00D62A4F" w:rsidRDefault="00D62A4F" w:rsidP="00D62A4F">
      <w:pPr>
        <w:rPr>
          <w:rFonts w:ascii="Arial" w:hAnsi="Arial" w:cs="Arial"/>
        </w:rPr>
      </w:pPr>
      <w:permStart w:id="383327060" w:edGrp="everyone"/>
      <w:r>
        <w:rPr>
          <w:rFonts w:ascii="Arial" w:hAnsi="Arial" w:cs="Arial"/>
        </w:rPr>
        <w:t>TYPE YOUR TEXT HERE</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77777777" w:rsidR="00D62A4F" w:rsidRDefault="00D62A4F" w:rsidP="00D62A4F">
      <w:pPr>
        <w:rPr>
          <w:rFonts w:ascii="Arial" w:hAnsi="Arial" w:cs="Arial"/>
        </w:rPr>
      </w:pPr>
      <w:permStart w:id="1618953723" w:edGrp="everyone"/>
      <w:r>
        <w:rPr>
          <w:rFonts w:ascii="Arial" w:hAnsi="Arial" w:cs="Arial"/>
        </w:rPr>
        <w:lastRenderedPageBreak/>
        <w:t>TYPE YOUR TEXT HERE</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1A3A5EFF" w14:textId="5991D889" w:rsidR="00D62A4F" w:rsidRDefault="009A259E" w:rsidP="00D62A4F">
      <w:pPr>
        <w:rPr>
          <w:rFonts w:ascii="Arial" w:hAnsi="Arial" w:cs="Arial"/>
        </w:rPr>
      </w:pPr>
      <w:permStart w:id="376123942" w:edGrp="everyone"/>
      <w:r w:rsidRPr="002E157C">
        <w:rPr>
          <w:rFonts w:cstheme="minorHAnsi"/>
        </w:rPr>
        <w:t xml:space="preserve">The NSA supports what is said in the Consultation </w:t>
      </w:r>
      <w:proofErr w:type="gramStart"/>
      <w:r w:rsidRPr="002E157C">
        <w:rPr>
          <w:rFonts w:cstheme="minorHAnsi"/>
        </w:rPr>
        <w:t>Paper.</w:t>
      </w:r>
      <w:permEnd w:id="376123942"/>
      <w:r w:rsidR="00D62A4F">
        <w:rPr>
          <w:rFonts w:ascii="Arial" w:hAnsi="Arial" w:cs="Arial"/>
        </w:rPr>
        <w:t>&lt;</w:t>
      </w:r>
      <w:proofErr w:type="gramEnd"/>
      <w:r w:rsidR="00D62A4F">
        <w:rPr>
          <w:rFonts w:ascii="Arial" w:hAnsi="Arial" w:cs="Arial"/>
        </w:rPr>
        <w: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2C02F566" w14:textId="482CDDA1" w:rsidR="00D62A4F" w:rsidRDefault="009A259E" w:rsidP="00D62A4F">
      <w:pPr>
        <w:rPr>
          <w:rFonts w:ascii="Arial" w:hAnsi="Arial" w:cs="Arial"/>
        </w:rPr>
      </w:pPr>
      <w:permStart w:id="1887062353" w:edGrp="everyone"/>
      <w:r w:rsidRPr="002E157C">
        <w:rPr>
          <w:rFonts w:cstheme="minorHAnsi"/>
        </w:rPr>
        <w:t xml:space="preserve">The NSA supports what is said in the Consultation </w:t>
      </w:r>
      <w:proofErr w:type="gramStart"/>
      <w:r w:rsidRPr="002E157C">
        <w:rPr>
          <w:rFonts w:cstheme="minorHAnsi"/>
        </w:rPr>
        <w:t>Paper.</w:t>
      </w:r>
      <w:permEnd w:id="1887062353"/>
      <w:r w:rsidR="00D62A4F">
        <w:rPr>
          <w:rFonts w:ascii="Arial" w:hAnsi="Arial" w:cs="Arial"/>
        </w:rPr>
        <w:t>&lt;</w:t>
      </w:r>
      <w:proofErr w:type="gramEnd"/>
      <w:r w:rsidR="00D62A4F">
        <w:rPr>
          <w:rFonts w:ascii="Arial" w:hAnsi="Arial" w:cs="Arial"/>
        </w:rPr>
        <w: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02238471" w14:textId="77777777" w:rsidR="009A259E" w:rsidRPr="002E157C" w:rsidRDefault="009A259E" w:rsidP="009A259E">
      <w:pPr>
        <w:autoSpaceDE w:val="0"/>
        <w:autoSpaceDN w:val="0"/>
        <w:adjustRightInd w:val="0"/>
        <w:rPr>
          <w:rFonts w:cstheme="minorHAnsi"/>
        </w:rPr>
      </w:pPr>
      <w:permStart w:id="1754024460" w:edGrp="everyone"/>
      <w:r w:rsidRPr="002E157C">
        <w:rPr>
          <w:lang w:val="en-US"/>
        </w:rPr>
        <w:t>In our context no fee is triggered/incurred in case of a cancellation. Fees only start to accrue once settled. Trades cannot be cancelled after settlement. Then they are terminated, and new trades are booked independently.</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8537C89" w14:textId="77777777" w:rsidR="009A259E" w:rsidRPr="002E157C" w:rsidRDefault="009A259E" w:rsidP="009A259E">
      <w:pPr>
        <w:autoSpaceDE w:val="0"/>
        <w:autoSpaceDN w:val="0"/>
        <w:adjustRightInd w:val="0"/>
        <w:rPr>
          <w:rFonts w:cstheme="minorHAnsi"/>
        </w:rPr>
      </w:pPr>
      <w:permStart w:id="2067472215" w:edGrp="everyone"/>
      <w:r w:rsidRPr="002E157C">
        <w:rPr>
          <w:rFonts w:cstheme="minorHAnsi"/>
        </w:rPr>
        <w:t xml:space="preserve">There are different ways of reporting </w:t>
      </w:r>
      <w:proofErr w:type="gramStart"/>
      <w:r w:rsidRPr="002E157C">
        <w:rPr>
          <w:rFonts w:cstheme="minorHAnsi"/>
        </w:rPr>
        <w:t>cash-driven</w:t>
      </w:r>
      <w:proofErr w:type="gramEnd"/>
      <w:r w:rsidRPr="002E157C">
        <w:rPr>
          <w:rFonts w:cstheme="minorHAnsi"/>
        </w:rPr>
        <w:t xml:space="preserve"> SLB. Some members argued to re</w:t>
      </w:r>
      <w:r w:rsidRPr="002E157C">
        <w:rPr>
          <w:lang w:val="en-US"/>
        </w:rPr>
        <w:t>port these as the SLBs they are but accepting that there are scenarios where no security is at loan, only cash loan and net collateral.  This could work for some members but might not work for all the trades in the market. There is an actual case attached of how a report would look like using the proposal suggestion, however it will require ESMA to relax some of the validations and extend the domain values for some of the fields. It might also lack support in the delegated act. One member proposed to report cash driven SLBs as repos.</w:t>
      </w:r>
    </w:p>
    <w:p w14:paraId="65DD813D" w14:textId="77777777" w:rsidR="009A259E" w:rsidRPr="002E157C" w:rsidRDefault="009A259E" w:rsidP="009A259E"/>
    <w:p w14:paraId="7DB3E975" w14:textId="77777777" w:rsidR="009A259E" w:rsidRPr="002E157C" w:rsidRDefault="009A259E" w:rsidP="009A259E">
      <w:r w:rsidRPr="002E157C">
        <w:t>See attached spreadsheet</w:t>
      </w:r>
    </w:p>
    <w:p w14:paraId="7A1027B5" w14:textId="77777777" w:rsidR="009A259E" w:rsidRPr="002E157C" w:rsidRDefault="009A259E" w:rsidP="009A259E"/>
    <w:bookmarkStart w:id="2" w:name="_MON_1624123522"/>
    <w:bookmarkEnd w:id="2"/>
    <w:p w14:paraId="58D054D8" w14:textId="77777777" w:rsidR="009A259E" w:rsidRPr="002E157C" w:rsidRDefault="009A259E" w:rsidP="009A259E">
      <w:r w:rsidRPr="002E157C">
        <w:object w:dxaOrig="2040" w:dyaOrig="1320" w14:anchorId="1947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5.25pt" o:ole="">
            <v:imagedata r:id="rId22" o:title=""/>
          </v:shape>
          <o:OLEObject Type="Embed" ProgID="Excel.Sheet.12" ShapeID="_x0000_i1025" DrawAspect="Icon" ObjectID="_1625911237" r:id="rId23"/>
        </w:object>
      </w:r>
    </w:p>
    <w:p w14:paraId="4B53D9AE" w14:textId="77777777" w:rsidR="009A259E" w:rsidRPr="002E157C" w:rsidRDefault="009A259E" w:rsidP="009A259E">
      <w:pPr>
        <w:autoSpaceDE w:val="0"/>
        <w:autoSpaceDN w:val="0"/>
        <w:adjustRightInd w:val="0"/>
        <w:rPr>
          <w:rFonts w:cstheme="minorHAnsi"/>
        </w:rPr>
      </w:pPr>
      <w:r w:rsidRPr="002E157C">
        <w:rPr>
          <w:rFonts w:cstheme="minorHAnsi"/>
        </w:rPr>
        <w:t>However, there is one important standpoint and that is that it should not be reported as margin lending</w:t>
      </w:r>
      <w:r>
        <w:rPr>
          <w:rFonts w:cstheme="minorHAnsi"/>
        </w:rPr>
        <w:t xml:space="preserve"> for several reasons. If reported as Margin Lending, cash-driven SLB would also </w:t>
      </w:r>
      <w:r>
        <w:rPr>
          <w:rFonts w:cstheme="minorHAnsi"/>
        </w:rPr>
        <w:lastRenderedPageBreak/>
        <w:t>require reporting of funding sources for the cash-driven SLBs. This would require funding sources reporting from organisations that do not provide Margin Lending. More importantly we do not think that the definition of margin lending in the Level 1 text is possible to extend to cash-driven SLBs and we therefore would find it hard to motivate reporting cash-driven SLBs as margin loans</w:t>
      </w:r>
      <w:r w:rsidRPr="002E157C">
        <w:rPr>
          <w:rFonts w:cstheme="minorHAnsi"/>
        </w:rPr>
        <w:t>. We do also expect market conventions to be developed</w:t>
      </w:r>
      <w:r>
        <w:rPr>
          <w:rFonts w:cstheme="minorHAnsi"/>
        </w:rPr>
        <w:t>, these</w:t>
      </w:r>
      <w:r w:rsidRPr="002E157C">
        <w:rPr>
          <w:rFonts w:cstheme="minorHAnsi"/>
        </w:rPr>
        <w:t xml:space="preserve"> are also very important as they will minimise the risk of that the counterparties reports will not match each other.</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77777777" w:rsidR="00D62A4F" w:rsidRDefault="00D62A4F" w:rsidP="00D62A4F">
      <w:pPr>
        <w:rPr>
          <w:rFonts w:ascii="Arial" w:hAnsi="Arial" w:cs="Arial"/>
        </w:rPr>
      </w:pPr>
      <w:permStart w:id="593715747" w:edGrp="everyone"/>
      <w:r>
        <w:rPr>
          <w:rFonts w:ascii="Arial" w:hAnsi="Arial" w:cs="Arial"/>
        </w:rPr>
        <w:t>TYPE YOUR TEXT HERE</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77777777" w:rsidR="00D62A4F" w:rsidRDefault="00D62A4F" w:rsidP="00D62A4F">
      <w:pPr>
        <w:rPr>
          <w:rFonts w:ascii="Arial" w:hAnsi="Arial" w:cs="Arial"/>
        </w:rPr>
      </w:pPr>
      <w:permStart w:id="1110072971" w:edGrp="everyone"/>
      <w:r>
        <w:rPr>
          <w:rFonts w:ascii="Arial" w:hAnsi="Arial" w:cs="Arial"/>
        </w:rPr>
        <w:t>TYPE YOUR TEXT HERE</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77777777" w:rsidR="00D62A4F" w:rsidRDefault="00D62A4F" w:rsidP="00D62A4F">
      <w:pPr>
        <w:rPr>
          <w:rFonts w:ascii="Arial" w:hAnsi="Arial" w:cs="Arial"/>
        </w:rPr>
      </w:pPr>
      <w:permStart w:id="1164643219" w:edGrp="everyone"/>
      <w:r>
        <w:rPr>
          <w:rFonts w:ascii="Arial" w:hAnsi="Arial" w:cs="Arial"/>
        </w:rPr>
        <w:t>TYPE YOUR TEXT HERE</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6FBA2B5B" w14:textId="77777777" w:rsidR="009A259E" w:rsidRPr="002E157C" w:rsidRDefault="009A259E" w:rsidP="009A259E">
      <w:pPr>
        <w:rPr>
          <w:lang w:val="en-US"/>
        </w:rPr>
      </w:pPr>
      <w:permStart w:id="815811770" w:edGrp="everyone"/>
      <w:r w:rsidRPr="002E157C">
        <w:rPr>
          <w:lang w:val="en-US"/>
        </w:rPr>
        <w:t xml:space="preserve">We agree to the intent to ease the regulatory reporting burden of the NFCs by the means of mandatory delegation. The extraterritorial reach of the legislation could potentially limit NFCs from interacting with FCs outside the EU. While reducing competition, this creates </w:t>
      </w:r>
      <w:r w:rsidRPr="002E157C">
        <w:rPr>
          <w:lang w:val="en-US"/>
        </w:rPr>
        <w:lastRenderedPageBreak/>
        <w:t xml:space="preserve">unnecessary confusion for the NFC's. Given the detailed reporting requirements 3. party report delegation is not a likely scenario and the task for the NFC would be equal to that of reporting directly to a TR. </w:t>
      </w:r>
    </w:p>
    <w:p w14:paraId="541E28B6" w14:textId="77777777" w:rsidR="009A259E" w:rsidRPr="002E157C" w:rsidRDefault="009A259E" w:rsidP="009A259E">
      <w:pPr>
        <w:pStyle w:val="Kommentarer"/>
        <w:rPr>
          <w:sz w:val="22"/>
          <w:szCs w:val="22"/>
          <w:lang w:val="en-US"/>
        </w:rPr>
      </w:pPr>
      <w:r w:rsidRPr="002E157C">
        <w:rPr>
          <w:sz w:val="22"/>
          <w:szCs w:val="22"/>
          <w:lang w:val="en-US"/>
        </w:rPr>
        <w:t xml:space="preserve">Regarding the question if the counterpart is a small NFC the NSA is of the opinion that it should be accepted to rely on the information provided by the SME NFC. We are also of the opinion that the status can change only on a yearly basis and that the SME NFC should be responsible to report changes to the FC. </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F6295E4" w14:textId="77777777" w:rsidR="00D62A4F" w:rsidRDefault="00D62A4F" w:rsidP="00D62A4F">
      <w:pPr>
        <w:rPr>
          <w:rFonts w:ascii="Arial" w:hAnsi="Arial" w:cs="Arial"/>
        </w:rPr>
      </w:pPr>
      <w:permStart w:id="733290772" w:edGrp="everyone"/>
      <w:r>
        <w:rPr>
          <w:rFonts w:ascii="Arial" w:hAnsi="Arial" w:cs="Arial"/>
        </w:rPr>
        <w:t>TYPE YOUR TEXT HERE</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5DEB1BF9" w14:textId="77777777" w:rsidR="009A259E" w:rsidRPr="002E157C" w:rsidRDefault="009A259E" w:rsidP="009A259E">
      <w:pPr>
        <w:autoSpaceDE w:val="0"/>
        <w:autoSpaceDN w:val="0"/>
        <w:adjustRightInd w:val="0"/>
        <w:rPr>
          <w:rFonts w:cstheme="minorHAnsi"/>
        </w:rPr>
      </w:pPr>
      <w:permStart w:id="607192661" w:edGrp="everyone"/>
      <w:r w:rsidRPr="002E157C">
        <w:rPr>
          <w:rFonts w:cstheme="minorHAnsi"/>
        </w:rPr>
        <w:t xml:space="preserve">Regarding 5.1.1 it should be stressed that the explanation just clarifies when there is an obligation to report and not where it has taken place. </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77777777" w:rsidR="00D62A4F" w:rsidRDefault="00D62A4F" w:rsidP="00D62A4F">
      <w:pPr>
        <w:rPr>
          <w:rFonts w:ascii="Arial" w:hAnsi="Arial" w:cs="Arial"/>
        </w:rPr>
      </w:pPr>
      <w:permStart w:id="175859825" w:edGrp="everyone"/>
      <w:r>
        <w:rPr>
          <w:rFonts w:ascii="Arial" w:hAnsi="Arial" w:cs="Arial"/>
        </w:rPr>
        <w:t>TYPE YOUR TEXT HERE</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t>TYPE YOUR TEXT HERE</w:t>
      </w:r>
    </w:p>
    <w:permEnd w:id="2100383752"/>
    <w:p w14:paraId="1507DAFC" w14:textId="77777777" w:rsidR="00D62A4F" w:rsidRDefault="00D62A4F" w:rsidP="00D62A4F">
      <w:pPr>
        <w:rPr>
          <w:rFonts w:ascii="Arial" w:hAnsi="Arial" w:cs="Arial"/>
        </w:rPr>
      </w:pPr>
      <w:r>
        <w:rPr>
          <w:rFonts w:ascii="Arial" w:hAnsi="Arial" w:cs="Arial"/>
        </w:rPr>
        <w:lastRenderedPageBreak/>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25A73959" w14:textId="77777777" w:rsidR="009A259E" w:rsidRPr="002E157C" w:rsidRDefault="009A259E" w:rsidP="009A259E">
      <w:pPr>
        <w:autoSpaceDE w:val="0"/>
        <w:autoSpaceDN w:val="0"/>
        <w:adjustRightInd w:val="0"/>
        <w:rPr>
          <w:rFonts w:cstheme="minorHAnsi"/>
        </w:rPr>
      </w:pPr>
      <w:permStart w:id="134157756" w:edGrp="everyone"/>
      <w:r w:rsidRPr="002E157C">
        <w:rPr>
          <w:rFonts w:cstheme="minorHAnsi"/>
        </w:rPr>
        <w:t>The NSA supports what is stated in the Consultation Paper.</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20EE631E" w14:textId="77777777" w:rsidR="009A259E" w:rsidRPr="002E157C" w:rsidRDefault="009A259E" w:rsidP="009A259E">
      <w:pPr>
        <w:autoSpaceDE w:val="0"/>
        <w:autoSpaceDN w:val="0"/>
        <w:adjustRightInd w:val="0"/>
        <w:rPr>
          <w:rFonts w:cstheme="minorHAnsi"/>
        </w:rPr>
      </w:pPr>
      <w:permStart w:id="1355967403" w:edGrp="everyone"/>
      <w:r w:rsidRPr="002E157C">
        <w:rPr>
          <w:rFonts w:cstheme="minorHAnsi"/>
        </w:rPr>
        <w:t xml:space="preserve">We are experiencing some uncertainty about what is stated in paragraph 117. The writing says that modifications that are agreed but have not taken place should not be reported until the actual modification takes place. We assume that analysis should always be done on the latest information. Other information is incorrect information and means poorer quality of the analysis.    </w:t>
      </w:r>
    </w:p>
    <w:p w14:paraId="745D28EC" w14:textId="77777777" w:rsidR="009A259E" w:rsidRPr="002E157C" w:rsidRDefault="009A259E" w:rsidP="009A259E">
      <w:pPr>
        <w:autoSpaceDE w:val="0"/>
        <w:autoSpaceDN w:val="0"/>
        <w:adjustRightInd w:val="0"/>
        <w:rPr>
          <w:rFonts w:cstheme="minorHAnsi"/>
        </w:rPr>
      </w:pPr>
    </w:p>
    <w:p w14:paraId="34F7DA53" w14:textId="77777777" w:rsidR="009A259E" w:rsidRPr="002E157C" w:rsidRDefault="009A259E" w:rsidP="009A259E">
      <w:pPr>
        <w:autoSpaceDE w:val="0"/>
        <w:autoSpaceDN w:val="0"/>
        <w:adjustRightInd w:val="0"/>
        <w:rPr>
          <w:rFonts w:cstheme="minorHAnsi"/>
        </w:rPr>
      </w:pPr>
      <w:r w:rsidRPr="002E157C">
        <w:rPr>
          <w:rFonts w:cstheme="minorHAnsi"/>
        </w:rPr>
        <w:t xml:space="preserve">For making it possible for the authorities to make the best analyse from the data contained in the trade state reports provided by the TRs the NSAs opinion is that </w:t>
      </w:r>
      <w:proofErr w:type="spellStart"/>
      <w:r w:rsidRPr="002E157C">
        <w:rPr>
          <w:rFonts w:cstheme="minorHAnsi"/>
        </w:rPr>
        <w:t>modfications</w:t>
      </w:r>
      <w:proofErr w:type="spellEnd"/>
      <w:r w:rsidRPr="002E157C">
        <w:rPr>
          <w:rFonts w:cstheme="minorHAnsi"/>
        </w:rPr>
        <w:t xml:space="preserve"> should be reported when they are agreed between the counterparties regardless if the transaction has been settled or not. </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3D694338" w14:textId="77777777" w:rsidR="00D62A4F" w:rsidRDefault="00D62A4F" w:rsidP="00D62A4F">
      <w:pPr>
        <w:rPr>
          <w:rFonts w:ascii="Arial" w:hAnsi="Arial" w:cs="Arial"/>
        </w:rPr>
      </w:pPr>
      <w:permStart w:id="531385609" w:edGrp="everyone"/>
      <w:r>
        <w:rPr>
          <w:rFonts w:ascii="Arial" w:hAnsi="Arial" w:cs="Arial"/>
        </w:rPr>
        <w:t>TYPE YOUR TEXT HERE</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5AF91955" w14:textId="77777777" w:rsidR="00D62A4F" w:rsidRDefault="00D62A4F" w:rsidP="00D62A4F">
      <w:pPr>
        <w:rPr>
          <w:rFonts w:ascii="Arial" w:hAnsi="Arial" w:cs="Arial"/>
        </w:rPr>
      </w:pPr>
      <w:permStart w:id="117392414" w:edGrp="everyone"/>
      <w:r>
        <w:rPr>
          <w:rFonts w:ascii="Arial" w:hAnsi="Arial" w:cs="Arial"/>
        </w:rPr>
        <w:t>TYPE YOUR TEXT HERE</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77777777" w:rsidR="00D62A4F" w:rsidRDefault="00D62A4F" w:rsidP="00D62A4F">
      <w:pPr>
        <w:rPr>
          <w:rFonts w:ascii="Arial" w:hAnsi="Arial" w:cs="Arial"/>
        </w:rPr>
      </w:pPr>
      <w:permStart w:id="89143369" w:edGrp="everyone"/>
      <w:r>
        <w:rPr>
          <w:rFonts w:ascii="Arial" w:hAnsi="Arial" w:cs="Arial"/>
        </w:rPr>
        <w:t>TYPE YOUR TEXT HERE</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72FB24BD" w14:textId="77777777" w:rsidR="009A259E" w:rsidRPr="002E157C" w:rsidRDefault="009A259E" w:rsidP="009A259E">
      <w:pPr>
        <w:autoSpaceDE w:val="0"/>
        <w:autoSpaceDN w:val="0"/>
        <w:adjustRightInd w:val="0"/>
        <w:rPr>
          <w:rFonts w:cstheme="minorHAnsi"/>
        </w:rPr>
      </w:pPr>
      <w:permStart w:id="162426900" w:edGrp="everyone"/>
      <w:r w:rsidRPr="002E157C">
        <w:rPr>
          <w:rFonts w:cstheme="minorHAnsi"/>
        </w:rPr>
        <w:t xml:space="preserve">Proposal A!  </w:t>
      </w:r>
    </w:p>
    <w:p w14:paraId="27BD6704" w14:textId="77777777" w:rsidR="009A259E" w:rsidRPr="002E157C" w:rsidRDefault="009A259E" w:rsidP="009A259E">
      <w:pPr>
        <w:autoSpaceDE w:val="0"/>
        <w:autoSpaceDN w:val="0"/>
        <w:adjustRightInd w:val="0"/>
        <w:rPr>
          <w:rFonts w:cstheme="minorHAnsi"/>
        </w:rPr>
      </w:pPr>
    </w:p>
    <w:p w14:paraId="2825BDC6" w14:textId="77777777" w:rsidR="009A259E" w:rsidRPr="002E157C" w:rsidRDefault="009A259E" w:rsidP="009A259E">
      <w:pPr>
        <w:autoSpaceDE w:val="0"/>
        <w:autoSpaceDN w:val="0"/>
        <w:adjustRightInd w:val="0"/>
        <w:rPr>
          <w:rFonts w:cstheme="minorHAnsi"/>
        </w:rPr>
      </w:pPr>
      <w:r w:rsidRPr="002E157C">
        <w:rPr>
          <w:lang w:val="en-US"/>
        </w:rPr>
        <w:t xml:space="preserve">This one is most for our selected reporting agent, but our experiences from EMIR and other regulatory reporting is biased towards full reporting as it allows validation without having to look up data during ingestion by the TR so it will give a better/faster process.   </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73EBEA88" w14:textId="77777777" w:rsidR="009A259E" w:rsidRPr="008B65F4" w:rsidRDefault="009A259E" w:rsidP="009A259E">
      <w:pPr>
        <w:autoSpaceDE w:val="0"/>
        <w:autoSpaceDN w:val="0"/>
        <w:adjustRightInd w:val="0"/>
        <w:rPr>
          <w:rFonts w:cstheme="minorHAnsi"/>
        </w:rPr>
      </w:pPr>
      <w:permStart w:id="721421322" w:edGrp="everyone"/>
      <w:r w:rsidRPr="002E157C">
        <w:rPr>
          <w:lang w:val="en-US"/>
        </w:rPr>
        <w:t xml:space="preserve">For margin updates there is no termination event. In theory when a position goes to 0 then we need to keep the all historic positions to correctly decide if we in case of a new balance has already opened the position or not.  Say we have a variation margin in DKK just after </w:t>
      </w:r>
      <w:proofErr w:type="gramStart"/>
      <w:r w:rsidRPr="002E157C">
        <w:rPr>
          <w:lang w:val="en-US"/>
        </w:rPr>
        <w:t>go</w:t>
      </w:r>
      <w:proofErr w:type="gramEnd"/>
      <w:r w:rsidRPr="002E157C">
        <w:rPr>
          <w:lang w:val="en-US"/>
        </w:rPr>
        <w:t xml:space="preserve"> live and then the balance goes to 0. Then after 5 years a balance in DKK is created again this would fail if reported with New but should be reported with Margin Update.  The cost of this is that we need to have a complete repository of all the margin positions ever reported, beyond the </w:t>
      </w:r>
      <w:proofErr w:type="gramStart"/>
      <w:r w:rsidRPr="002E157C">
        <w:rPr>
          <w:lang w:val="en-US"/>
        </w:rPr>
        <w:t>5 year</w:t>
      </w:r>
      <w:proofErr w:type="gramEnd"/>
      <w:r w:rsidRPr="002E157C">
        <w:rPr>
          <w:lang w:val="en-US"/>
        </w:rPr>
        <w:t xml:space="preserve"> record keeping requirement. </w:t>
      </w:r>
    </w:p>
    <w:p w14:paraId="56CA6522" w14:textId="77777777" w:rsidR="009A259E" w:rsidRDefault="009A259E" w:rsidP="009A259E">
      <w:pPr>
        <w:rPr>
          <w:lang w:val="en-US"/>
        </w:rPr>
      </w:pPr>
    </w:p>
    <w:p w14:paraId="3C9165EF" w14:textId="47AD19FA" w:rsidR="009A259E" w:rsidRDefault="009A259E" w:rsidP="009A259E">
      <w:pPr>
        <w:rPr>
          <w:lang w:val="en-US"/>
        </w:rPr>
      </w:pPr>
      <w:r w:rsidRPr="002E157C">
        <w:rPr>
          <w:lang w:val="en-US"/>
        </w:rPr>
        <w:t xml:space="preserve">Similar arguments on the Reuse. We need to keep track on all historical reuse positions beyond the </w:t>
      </w:r>
      <w:proofErr w:type="gramStart"/>
      <w:r>
        <w:rPr>
          <w:lang w:val="en-US"/>
        </w:rPr>
        <w:t xml:space="preserve">five </w:t>
      </w:r>
      <w:r w:rsidRPr="002E157C">
        <w:rPr>
          <w:lang w:val="en-US"/>
        </w:rPr>
        <w:t>year</w:t>
      </w:r>
      <w:proofErr w:type="gramEnd"/>
      <w:r w:rsidRPr="002E157C">
        <w:rPr>
          <w:lang w:val="en-US"/>
        </w:rPr>
        <w:t xml:space="preserve"> record keeping requirement. </w:t>
      </w:r>
    </w:p>
    <w:p w14:paraId="09F63E56" w14:textId="77777777" w:rsidR="009A259E" w:rsidRDefault="009A259E" w:rsidP="009A259E">
      <w:pPr>
        <w:rPr>
          <w:lang w:val="en-US"/>
        </w:rPr>
      </w:pPr>
    </w:p>
    <w:p w14:paraId="3100457C" w14:textId="2D96B6F9" w:rsidR="009A259E" w:rsidRPr="002E157C" w:rsidRDefault="009A259E" w:rsidP="009A259E">
      <w:r w:rsidRPr="00B217FE">
        <w:rPr>
          <w:lang w:val="en-US"/>
        </w:rPr>
        <w:t>We really would like to avoid reporting NEW on these things, only to report updates as that should be enough to report what happens. This is quite different for margin loans as in that case we will have to store a UTI so there we will have to differ between new and updates for that reason and this is in theory simpler – if there is a UTI for margin lending with that client we will send updates, otherwise we will create a UTI and send a new once. This will NOT work for reuse, reinvestment or margin updates as there is no associated UTI</w:t>
      </w:r>
      <w:r>
        <w:rPr>
          <w:lang w:val="en-US"/>
        </w:rPr>
        <w:t xml:space="preserve">. </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2DD331B" w14:textId="77777777" w:rsidR="00D62A4F" w:rsidRDefault="00D62A4F" w:rsidP="00D62A4F">
      <w:pPr>
        <w:rPr>
          <w:rFonts w:ascii="Arial" w:hAnsi="Arial" w:cs="Arial"/>
        </w:rPr>
      </w:pPr>
      <w:permStart w:id="1699372560" w:edGrp="everyone"/>
      <w:r>
        <w:rPr>
          <w:rFonts w:ascii="Arial" w:hAnsi="Arial" w:cs="Arial"/>
        </w:rPr>
        <w:t>TYPE YOUR TEXT HERE</w:t>
      </w:r>
    </w:p>
    <w:permEnd w:id="1699372560"/>
    <w:p w14:paraId="3AFE6EE5" w14:textId="77777777" w:rsidR="00D62A4F" w:rsidRDefault="00D62A4F" w:rsidP="00D62A4F">
      <w:pPr>
        <w:rPr>
          <w:rFonts w:ascii="Arial" w:hAnsi="Arial" w:cs="Arial"/>
        </w:rPr>
      </w:pPr>
      <w:r>
        <w:rPr>
          <w:rFonts w:ascii="Arial" w:hAnsi="Arial" w:cs="Arial"/>
        </w:rPr>
        <w:lastRenderedPageBreak/>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B094A" w14:textId="77777777" w:rsidR="00D62A4F" w:rsidRDefault="00D62A4F" w:rsidP="00D62A4F">
      <w:pPr>
        <w:rPr>
          <w:rFonts w:ascii="Arial" w:hAnsi="Arial" w:cs="Arial"/>
        </w:rPr>
      </w:pPr>
      <w:permStart w:id="675747545" w:edGrp="everyone"/>
      <w:r>
        <w:rPr>
          <w:rFonts w:ascii="Arial" w:hAnsi="Arial" w:cs="Arial"/>
        </w:rPr>
        <w:t>TYPE YOUR TEXT HERE</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77777777" w:rsidR="00D62A4F" w:rsidRDefault="00D62A4F" w:rsidP="00D62A4F">
      <w:pPr>
        <w:rPr>
          <w:rFonts w:ascii="Arial" w:hAnsi="Arial" w:cs="Arial"/>
        </w:rPr>
      </w:pPr>
      <w:permStart w:id="2005035528" w:edGrp="everyone"/>
      <w:r>
        <w:rPr>
          <w:rFonts w:ascii="Arial" w:hAnsi="Arial" w:cs="Arial"/>
        </w:rPr>
        <w:t>TYPE YOUR TEXT HERE</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7777777" w:rsidR="00D62A4F" w:rsidRDefault="00D62A4F" w:rsidP="00D62A4F">
      <w:pPr>
        <w:rPr>
          <w:rFonts w:ascii="Arial" w:hAnsi="Arial" w:cs="Arial"/>
        </w:rPr>
      </w:pPr>
      <w:permStart w:id="951286329" w:edGrp="everyone"/>
      <w:r>
        <w:rPr>
          <w:rFonts w:ascii="Arial" w:hAnsi="Arial" w:cs="Arial"/>
        </w:rPr>
        <w:t>TYPE YOUR TEXT HERE</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77777777" w:rsidR="00D62A4F" w:rsidRDefault="00D62A4F" w:rsidP="00D62A4F">
      <w:pPr>
        <w:rPr>
          <w:rFonts w:ascii="Arial" w:hAnsi="Arial" w:cs="Arial"/>
        </w:rPr>
      </w:pPr>
      <w:permStart w:id="1631804287" w:edGrp="everyone"/>
      <w:r>
        <w:rPr>
          <w:rFonts w:ascii="Arial" w:hAnsi="Arial" w:cs="Arial"/>
        </w:rPr>
        <w:t>TYPE YOUR TEXT HERE</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018082B9" w14:textId="77777777" w:rsidR="00D62A4F" w:rsidRDefault="00D62A4F" w:rsidP="00D62A4F">
      <w:pPr>
        <w:rPr>
          <w:rFonts w:ascii="Arial" w:hAnsi="Arial" w:cs="Arial"/>
        </w:rPr>
      </w:pPr>
      <w:permStart w:id="888610878" w:edGrp="everyone"/>
      <w:r>
        <w:rPr>
          <w:rFonts w:ascii="Arial" w:hAnsi="Arial" w:cs="Arial"/>
        </w:rPr>
        <w:t>TYPE YOUR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10763C23" w14:textId="77777777" w:rsidR="00D62A4F" w:rsidRDefault="00D62A4F" w:rsidP="00D62A4F">
      <w:pPr>
        <w:rPr>
          <w:rFonts w:ascii="Arial" w:hAnsi="Arial" w:cs="Arial"/>
        </w:rPr>
      </w:pPr>
      <w:permStart w:id="1701124269" w:edGrp="everyone"/>
      <w:r>
        <w:rPr>
          <w:rFonts w:ascii="Arial" w:hAnsi="Arial" w:cs="Arial"/>
        </w:rPr>
        <w:t>TYPE YOUR TEXT HERE</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7365E5AF" w14:textId="77777777" w:rsidR="00D62A4F" w:rsidRDefault="00D62A4F" w:rsidP="00D62A4F">
      <w:pPr>
        <w:rPr>
          <w:rFonts w:ascii="Arial" w:hAnsi="Arial" w:cs="Arial"/>
        </w:rPr>
      </w:pPr>
      <w:permStart w:id="289149959" w:edGrp="everyone"/>
      <w:r>
        <w:rPr>
          <w:rFonts w:ascii="Arial" w:hAnsi="Arial" w:cs="Arial"/>
        </w:rPr>
        <w:lastRenderedPageBreak/>
        <w:t>TYPE YOUR TEXT HERE</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1DB26917" w14:textId="77777777" w:rsidR="009A259E" w:rsidRPr="002E157C" w:rsidRDefault="009A259E" w:rsidP="009A259E">
      <w:pPr>
        <w:autoSpaceDE w:val="0"/>
        <w:autoSpaceDN w:val="0"/>
        <w:adjustRightInd w:val="0"/>
        <w:rPr>
          <w:rFonts w:cstheme="minorHAnsi"/>
        </w:rPr>
      </w:pPr>
      <w:permStart w:id="2072793376" w:edGrp="everyone"/>
      <w:r w:rsidRPr="002E157C">
        <w:rPr>
          <w:rFonts w:cstheme="minorHAnsi"/>
        </w:rPr>
        <w:t>The NSA believes that it will be difficult or in many cases impossible to stay within the matching range for market value if FX rates are involved. This worry does also apply for the market value for other financial instruments.</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6D52031F" w14:textId="77777777" w:rsidR="009A259E" w:rsidRPr="002E157C" w:rsidRDefault="009A259E" w:rsidP="009A259E">
      <w:pPr>
        <w:autoSpaceDE w:val="0"/>
        <w:autoSpaceDN w:val="0"/>
        <w:adjustRightInd w:val="0"/>
        <w:rPr>
          <w:rFonts w:cstheme="minorHAnsi"/>
        </w:rPr>
      </w:pPr>
      <w:permStart w:id="1659896593" w:edGrp="everyone"/>
      <w:r w:rsidRPr="002E157C">
        <w:rPr>
          <w:rFonts w:cstheme="minorHAnsi"/>
        </w:rPr>
        <w:t xml:space="preserve">The tolerance for future matching of valuation fields is in many cases, in practice, non-existent. As the values are in many cases retrieved from different sources, we expect a high degree of mismatch. We would like to understand the reasons for the high demands on the value in the valuation fields. In order to get the fields to match, with presented requirements, systems are needed to exchange values </w:t>
      </w:r>
      <w:proofErr w:type="gramStart"/>
      <w:r w:rsidRPr="002E157C">
        <w:rPr>
          <w:rFonts w:cstheme="minorHAnsi"/>
        </w:rPr>
        <w:t>on a daily basis</w:t>
      </w:r>
      <w:proofErr w:type="gramEnd"/>
      <w:r w:rsidRPr="002E157C">
        <w:rPr>
          <w:rFonts w:cstheme="minorHAnsi"/>
        </w:rPr>
        <w:t xml:space="preserve"> between counterparties so that both parties report the same data. This infrastructure does not exist.</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0B0321F5" w14:textId="77777777" w:rsidR="009A259E" w:rsidRPr="002E157C" w:rsidRDefault="009A259E" w:rsidP="009A259E">
      <w:pPr>
        <w:autoSpaceDE w:val="0"/>
        <w:autoSpaceDN w:val="0"/>
        <w:adjustRightInd w:val="0"/>
        <w:rPr>
          <w:rFonts w:cstheme="minorHAnsi"/>
        </w:rPr>
      </w:pPr>
      <w:permStart w:id="916284123" w:edGrp="everyone"/>
      <w:r w:rsidRPr="002E157C">
        <w:rPr>
          <w:rFonts w:cstheme="minorHAnsi"/>
        </w:rPr>
        <w:t>It would be helpful to know which sources that are official sources for CFI</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783545F7" w14:textId="77777777" w:rsidR="009A259E" w:rsidRPr="002E157C" w:rsidRDefault="009A259E" w:rsidP="009A259E">
      <w:pPr>
        <w:autoSpaceDE w:val="0"/>
        <w:autoSpaceDN w:val="0"/>
        <w:adjustRightInd w:val="0"/>
        <w:rPr>
          <w:rFonts w:cstheme="minorHAnsi"/>
        </w:rPr>
      </w:pPr>
      <w:permStart w:id="1362588161" w:edGrp="everyone"/>
      <w:r w:rsidRPr="002E157C">
        <w:rPr>
          <w:rFonts w:cstheme="minorHAnsi"/>
        </w:rPr>
        <w:t>The NSA interprets guidelines so that ESMA wants to go further back in time when backloading for open ended securities loans than the regulation mandates.</w:t>
      </w:r>
    </w:p>
    <w:p w14:paraId="2ECA1BAD" w14:textId="77777777" w:rsidR="009A259E" w:rsidRPr="002E157C" w:rsidRDefault="009A259E" w:rsidP="009A259E">
      <w:pPr>
        <w:autoSpaceDE w:val="0"/>
        <w:autoSpaceDN w:val="0"/>
        <w:adjustRightInd w:val="0"/>
        <w:rPr>
          <w:rFonts w:cstheme="minorHAnsi"/>
        </w:rPr>
      </w:pPr>
    </w:p>
    <w:p w14:paraId="1A949AEF" w14:textId="77777777" w:rsidR="009A259E" w:rsidRPr="002E157C" w:rsidRDefault="009A259E" w:rsidP="009A259E">
      <w:pPr>
        <w:rPr>
          <w:lang w:val="en-US"/>
        </w:rPr>
      </w:pPr>
      <w:r w:rsidRPr="002E157C">
        <w:rPr>
          <w:lang w:val="en-US"/>
        </w:rPr>
        <w:t xml:space="preserve">We (aligned with ICMA) suggest going back to the Level 2 suggestion of reporting backloading after 180 days and encouraging ESMA to give a grace period until then if other market participants opt to backload before then leaving unmatched and unpaired trades. Our primary motive for suggesting the delayed backloading model is a) to reduce the number of trades we need to backload b) because go live is phased and some of the counterparts that we need to match and pair against will not start reporting until after the 180 days, but most </w:t>
      </w:r>
      <w:r w:rsidRPr="002E157C">
        <w:rPr>
          <w:lang w:val="en-US"/>
        </w:rPr>
        <w:lastRenderedPageBreak/>
        <w:t xml:space="preserve">importantly it will allow us to focus on resolving the root causes on the smaller volume of the daily trades rather than drowning from day one in the full backload portfolio. </w:t>
      </w:r>
    </w:p>
    <w:p w14:paraId="5208898E" w14:textId="77777777" w:rsidR="009A259E" w:rsidRPr="002E157C" w:rsidRDefault="009A259E" w:rsidP="009A259E">
      <w:pPr>
        <w:pStyle w:val="Kommentarer"/>
        <w:rPr>
          <w:sz w:val="22"/>
          <w:szCs w:val="22"/>
          <w:lang w:val="en-US"/>
        </w:rPr>
      </w:pPr>
      <w:r w:rsidRPr="002E157C">
        <w:rPr>
          <w:sz w:val="22"/>
          <w:szCs w:val="22"/>
          <w:lang w:val="en-US"/>
        </w:rPr>
        <w:t xml:space="preserve">We also highlight the fact that with the 180 days go live the net exposure collateral will cover also the trades not reported, so the data quality of the link between loan value and collateral coverage will not be usable/complete until after the backloading has been completed. </w:t>
      </w:r>
    </w:p>
    <w:p w14:paraId="2C91F869" w14:textId="77777777" w:rsidR="009A259E" w:rsidRPr="002E157C" w:rsidRDefault="009A259E" w:rsidP="009A259E">
      <w:pPr>
        <w:pStyle w:val="Kommentarer"/>
        <w:rPr>
          <w:sz w:val="22"/>
          <w:szCs w:val="22"/>
          <w:lang w:val="en-US"/>
        </w:rPr>
      </w:pPr>
      <w:r w:rsidRPr="002E157C">
        <w:rPr>
          <w:sz w:val="22"/>
          <w:szCs w:val="22"/>
          <w:lang w:val="en-US"/>
        </w:rPr>
        <w:t xml:space="preserve">The only problem then is handling any updates to living trades which have not been reported. According to L1 transactions concluded prior to the go-live are not covered by the reporting regulation until 180 days have passed. We expect to backload these transactions in the state they have after 180 days. For trades with fixed maturity with longer time that 180 days we could probably front-load them as they will have to be reported anyway. In practice that long fixed length repos or security loans are very uncommon. </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712C04CC" w14:textId="77777777" w:rsidR="009A259E" w:rsidRPr="002E157C" w:rsidRDefault="009A259E" w:rsidP="009A259E">
      <w:pPr>
        <w:autoSpaceDE w:val="0"/>
        <w:autoSpaceDN w:val="0"/>
        <w:adjustRightInd w:val="0"/>
        <w:rPr>
          <w:rFonts w:cstheme="minorHAnsi"/>
        </w:rPr>
      </w:pPr>
      <w:permStart w:id="626288957" w:edGrp="everyone"/>
      <w:r w:rsidRPr="002E157C">
        <w:rPr>
          <w:rFonts w:cstheme="minorHAnsi"/>
        </w:rPr>
        <w:t xml:space="preserve">Will </w:t>
      </w:r>
      <w:r w:rsidRPr="002E157C">
        <w:rPr>
          <w:lang w:val="en-US"/>
        </w:rPr>
        <w:t xml:space="preserve">ESMA provide best practices for standard format as was issued under EMIR and drawing attention to the missing engagement by CSDs and custodian banks in exchanging UTIs via swifts on instruction level.  (We have reached out to several of the Nordic CSDs none of which had plans to support the exchange of UTI’s between the market participants).  </w:t>
      </w:r>
      <w:r w:rsidRPr="002E157C">
        <w:rPr>
          <w:lang w:val="en-US"/>
        </w:rPr>
        <w:br/>
      </w:r>
    </w:p>
    <w:p w14:paraId="40C0F6E0" w14:textId="77777777" w:rsidR="009A259E" w:rsidRPr="002E157C" w:rsidRDefault="009A259E" w:rsidP="009A259E">
      <w:pPr>
        <w:rPr>
          <w:lang w:val="en-US"/>
        </w:rPr>
      </w:pPr>
      <w:r w:rsidRPr="002E157C">
        <w:rPr>
          <w:lang w:val="en-US"/>
        </w:rPr>
        <w:t xml:space="preserve">Is there anything more that ESMA could do in the guidance in order to support the UTI exchange process i.e. endorse a standard information exchange format to avoid market participants having to build multiple interfaces and bespoke formats. </w:t>
      </w:r>
    </w:p>
    <w:p w14:paraId="45CBD773" w14:textId="77777777" w:rsidR="009A259E" w:rsidRPr="002E157C" w:rsidRDefault="009A259E" w:rsidP="009A259E">
      <w:pPr>
        <w:rPr>
          <w:lang w:val="en-US"/>
        </w:rPr>
      </w:pPr>
      <w:r w:rsidRPr="002E157C">
        <w:rPr>
          <w:lang w:val="en-US"/>
        </w:rPr>
        <w:t xml:space="preserve">Does ESMA have any recommendations as to the format of the UTI. Will ESMA expect the format to follow the guidelines set out under EMIR (E01 and E02&lt;LEI&gt;&lt;transaction reference&gt;.)  </w:t>
      </w:r>
    </w:p>
    <w:p w14:paraId="38153C15" w14:textId="77777777" w:rsidR="009A259E" w:rsidRPr="002E157C" w:rsidRDefault="009A259E" w:rsidP="009A259E">
      <w:pPr>
        <w:rPr>
          <w:lang w:val="en-US"/>
        </w:rPr>
      </w:pPr>
      <w:r w:rsidRPr="002E157C">
        <w:rPr>
          <w:lang w:val="en-US"/>
        </w:rPr>
        <w:t>We will also draw the attention to the fact there are heavy costs to buy UTI-supporting services from sources for instance exchanges that provide this service.</w:t>
      </w:r>
    </w:p>
    <w:p w14:paraId="21AEBB49" w14:textId="77777777" w:rsidR="009A259E" w:rsidRPr="002E157C" w:rsidRDefault="009A259E" w:rsidP="009A259E">
      <w:pPr>
        <w:rPr>
          <w:lang w:val="en-US"/>
        </w:rPr>
      </w:pPr>
      <w:r w:rsidRPr="002E157C">
        <w:rPr>
          <w:lang w:val="en-US"/>
        </w:rPr>
        <w:t>The Waterfall does indeed clarify the responsibility for the UTI generation in most cases however does not set any guidance for the exchange of UTI's. Especially the sector is aware of the problem to exchange the UTI in bilateral trades done over voice/phone. As the UTI needs to be globally unique the risks associated with exchanging a long string of characters will be error prone and push for a simple UTI structure (at least for bilateral trades).</w:t>
      </w:r>
    </w:p>
    <w:p w14:paraId="4753A833" w14:textId="77777777" w:rsidR="009A259E" w:rsidRPr="002E157C" w:rsidRDefault="009A259E" w:rsidP="009A259E">
      <w:pPr>
        <w:rPr>
          <w:lang w:val="en-US"/>
        </w:rPr>
      </w:pPr>
      <w:r w:rsidRPr="002E157C">
        <w:rPr>
          <w:lang w:val="en-US"/>
        </w:rPr>
        <w:t xml:space="preserve">Will </w:t>
      </w:r>
      <w:r>
        <w:rPr>
          <w:lang w:val="en-US"/>
        </w:rPr>
        <w:t>ESMA</w:t>
      </w:r>
      <w:r w:rsidRPr="002E157C">
        <w:rPr>
          <w:lang w:val="en-US"/>
        </w:rPr>
        <w:t xml:space="preserve"> issue any guidance/standard on the format for exchanging UTIs. As it is now the post deal capture exchange of UTIs takes place based on bilateral exchange of data. Each party has its own format/tool for providing the collateral some has a portal; some send files some use intermediate platforms. There is no single standard. When ESMA in 179 prescribe that counterparties should be able to ingest the generated the UTI then it would be beneficial if ESMA outlines a standard for the exchange, so each party does not need to build as many ingestion solutions as it has counterparts.  The format should contain enough information for the party to uniquely match a transaction to the parties’ internal trade register.</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lastRenderedPageBreak/>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7235EF48" w14:textId="77777777" w:rsidR="009A259E" w:rsidRPr="002E157C" w:rsidRDefault="009A259E" w:rsidP="009A259E">
      <w:pPr>
        <w:spacing w:before="100" w:beforeAutospacing="1" w:after="100" w:afterAutospacing="1"/>
        <w:rPr>
          <w:rFonts w:ascii="Segoe UI" w:hAnsi="Segoe UI" w:cs="Segoe UI"/>
          <w:sz w:val="20"/>
          <w:szCs w:val="20"/>
        </w:rPr>
      </w:pPr>
      <w:permStart w:id="669926732" w:edGrp="everyone"/>
      <w:r w:rsidRPr="002E157C">
        <w:rPr>
          <w:rFonts w:ascii="Segoe UI" w:hAnsi="Segoe UI" w:cs="Segoe UI"/>
          <w:sz w:val="20"/>
          <w:szCs w:val="20"/>
          <w:lang w:val="en-US"/>
        </w:rPr>
        <w:t xml:space="preserve">When looking up the unique ISINS across trades and collateral on the MIFID RTS22 Rest service we have Issuer LEI on all except 2.7%. Of which some are synthetic ISIN codes, some are actually wrong ISIN codes, but the majority are </w:t>
      </w:r>
      <w:proofErr w:type="spellStart"/>
      <w:proofErr w:type="gramStart"/>
      <w:r w:rsidRPr="002E157C">
        <w:rPr>
          <w:rFonts w:ascii="Segoe UI" w:hAnsi="Segoe UI" w:cs="Segoe UI"/>
          <w:sz w:val="20"/>
          <w:szCs w:val="20"/>
          <w:lang w:val="en-US"/>
        </w:rPr>
        <w:t>non EU</w:t>
      </w:r>
      <w:proofErr w:type="spellEnd"/>
      <w:r w:rsidRPr="002E157C">
        <w:rPr>
          <w:rFonts w:ascii="Segoe UI" w:hAnsi="Segoe UI" w:cs="Segoe UI"/>
          <w:sz w:val="20"/>
          <w:szCs w:val="20"/>
          <w:lang w:val="en-US"/>
        </w:rPr>
        <w:t xml:space="preserve"> ISINSs</w:t>
      </w:r>
      <w:proofErr w:type="gramEnd"/>
      <w:r w:rsidRPr="002E157C">
        <w:rPr>
          <w:rFonts w:ascii="Segoe UI" w:hAnsi="Segoe UI" w:cs="Segoe UI"/>
          <w:sz w:val="20"/>
          <w:szCs w:val="20"/>
          <w:lang w:val="en-US"/>
        </w:rPr>
        <w:t xml:space="preserve"> AU, CA, KY, US and VG. </w:t>
      </w:r>
      <w:r w:rsidRPr="002E157C">
        <w:rPr>
          <w:rFonts w:ascii="Segoe UI" w:hAnsi="Segoe UI" w:cs="Segoe UI"/>
          <w:sz w:val="20"/>
          <w:szCs w:val="20"/>
        </w:rPr>
        <w:t xml:space="preserve">So as expected.  </w:t>
      </w:r>
    </w:p>
    <w:tbl>
      <w:tblPr>
        <w:tblW w:w="3840" w:type="dxa"/>
        <w:tblInd w:w="5" w:type="dxa"/>
        <w:tblCellMar>
          <w:left w:w="0" w:type="dxa"/>
          <w:right w:w="0" w:type="dxa"/>
        </w:tblCellMar>
        <w:tblLook w:val="04A0" w:firstRow="1" w:lastRow="0" w:firstColumn="1" w:lastColumn="0" w:noHBand="0" w:noVBand="1"/>
      </w:tblPr>
      <w:tblGrid>
        <w:gridCol w:w="2880"/>
        <w:gridCol w:w="960"/>
      </w:tblGrid>
      <w:tr w:rsidR="009A259E" w:rsidRPr="002E157C" w14:paraId="22462982" w14:textId="77777777" w:rsidTr="009A259E">
        <w:trPr>
          <w:trHeight w:val="300"/>
        </w:trPr>
        <w:tc>
          <w:tcPr>
            <w:tcW w:w="2880" w:type="dxa"/>
            <w:tcBorders>
              <w:top w:val="single" w:sz="4" w:space="0" w:color="F4B084"/>
              <w:left w:val="nil"/>
              <w:bottom w:val="single" w:sz="4" w:space="0" w:color="F4B084"/>
              <w:right w:val="nil"/>
            </w:tcBorders>
            <w:shd w:val="clear" w:color="auto" w:fill="ED7D31"/>
            <w:vAlign w:val="center"/>
            <w:hideMark/>
          </w:tcPr>
          <w:p w14:paraId="1A2992B9" w14:textId="77777777" w:rsidR="009A259E" w:rsidRPr="002E157C" w:rsidRDefault="009A259E" w:rsidP="009A259E">
            <w:pPr>
              <w:rPr>
                <w:rFonts w:cs="Segoe UI"/>
                <w:b/>
                <w:bCs/>
              </w:rPr>
            </w:pPr>
            <w:r w:rsidRPr="002E157C">
              <w:rPr>
                <w:rFonts w:cs="Segoe UI"/>
                <w:b/>
                <w:bCs/>
              </w:rPr>
              <w:t>Lei State</w:t>
            </w:r>
          </w:p>
        </w:tc>
        <w:tc>
          <w:tcPr>
            <w:tcW w:w="960" w:type="dxa"/>
            <w:tcBorders>
              <w:top w:val="single" w:sz="4" w:space="0" w:color="F4B084"/>
              <w:left w:val="nil"/>
              <w:bottom w:val="single" w:sz="4" w:space="0" w:color="F4B084"/>
              <w:right w:val="single" w:sz="4" w:space="0" w:color="F4B084"/>
            </w:tcBorders>
            <w:shd w:val="clear" w:color="auto" w:fill="ED7D31"/>
            <w:vAlign w:val="center"/>
            <w:hideMark/>
          </w:tcPr>
          <w:p w14:paraId="47EE7688" w14:textId="77777777" w:rsidR="009A259E" w:rsidRPr="002E157C" w:rsidRDefault="009A259E" w:rsidP="009A259E">
            <w:pPr>
              <w:rPr>
                <w:rFonts w:cs="Segoe UI"/>
                <w:b/>
                <w:bCs/>
              </w:rPr>
            </w:pPr>
            <w:r w:rsidRPr="002E157C">
              <w:rPr>
                <w:rFonts w:cs="Segoe UI"/>
                <w:b/>
                <w:bCs/>
              </w:rPr>
              <w:t>Ratio</w:t>
            </w:r>
          </w:p>
        </w:tc>
      </w:tr>
      <w:tr w:rsidR="009A259E" w:rsidRPr="002E157C" w14:paraId="53E1EDFB" w14:textId="77777777" w:rsidTr="009A259E">
        <w:trPr>
          <w:trHeight w:val="300"/>
        </w:trPr>
        <w:tc>
          <w:tcPr>
            <w:tcW w:w="0" w:type="auto"/>
            <w:tcBorders>
              <w:top w:val="single" w:sz="4" w:space="0" w:color="F4B084"/>
              <w:left w:val="nil"/>
              <w:bottom w:val="single" w:sz="4" w:space="0" w:color="F4B084"/>
              <w:right w:val="nil"/>
            </w:tcBorders>
            <w:shd w:val="clear" w:color="auto" w:fill="FCE4D6"/>
            <w:vAlign w:val="center"/>
            <w:hideMark/>
          </w:tcPr>
          <w:p w14:paraId="78B31B7E" w14:textId="77777777" w:rsidR="009A259E" w:rsidRPr="002E157C" w:rsidRDefault="009A259E" w:rsidP="009A259E">
            <w:pPr>
              <w:rPr>
                <w:rFonts w:cs="Segoe UI"/>
              </w:rPr>
            </w:pPr>
            <w:r w:rsidRPr="002E157C">
              <w:rPr>
                <w:rFonts w:cs="Segoe UI"/>
              </w:rPr>
              <w:t> HAS LEI</w:t>
            </w:r>
          </w:p>
        </w:tc>
        <w:tc>
          <w:tcPr>
            <w:tcW w:w="0" w:type="auto"/>
            <w:tcBorders>
              <w:top w:val="single" w:sz="4" w:space="0" w:color="F4B084"/>
              <w:left w:val="nil"/>
              <w:bottom w:val="single" w:sz="4" w:space="0" w:color="F4B084"/>
              <w:right w:val="single" w:sz="4" w:space="0" w:color="F4B084"/>
            </w:tcBorders>
            <w:shd w:val="clear" w:color="auto" w:fill="FCE4D6"/>
            <w:vAlign w:val="center"/>
            <w:hideMark/>
          </w:tcPr>
          <w:p w14:paraId="0A32A49E" w14:textId="77777777" w:rsidR="009A259E" w:rsidRPr="002E157C" w:rsidRDefault="009A259E" w:rsidP="009A259E">
            <w:pPr>
              <w:jc w:val="right"/>
              <w:rPr>
                <w:rFonts w:cs="Segoe UI"/>
              </w:rPr>
            </w:pPr>
            <w:r w:rsidRPr="002E157C">
              <w:rPr>
                <w:rFonts w:cs="Segoe UI"/>
              </w:rPr>
              <w:t>97.3%</w:t>
            </w:r>
          </w:p>
        </w:tc>
      </w:tr>
      <w:tr w:rsidR="009A259E" w:rsidRPr="002E157C" w14:paraId="26193153" w14:textId="77777777" w:rsidTr="009A259E">
        <w:trPr>
          <w:trHeight w:val="300"/>
        </w:trPr>
        <w:tc>
          <w:tcPr>
            <w:tcW w:w="0" w:type="auto"/>
            <w:tcBorders>
              <w:top w:val="single" w:sz="4" w:space="0" w:color="F4B084"/>
              <w:left w:val="nil"/>
              <w:bottom w:val="single" w:sz="4" w:space="0" w:color="F4B084"/>
              <w:right w:val="nil"/>
            </w:tcBorders>
            <w:shd w:val="clear" w:color="auto" w:fill="auto"/>
            <w:vAlign w:val="center"/>
            <w:hideMark/>
          </w:tcPr>
          <w:p w14:paraId="1D7392F2" w14:textId="77777777" w:rsidR="009A259E" w:rsidRPr="002E157C" w:rsidRDefault="009A259E" w:rsidP="009A259E">
            <w:pPr>
              <w:rPr>
                <w:rFonts w:cs="Segoe UI"/>
              </w:rPr>
            </w:pPr>
            <w:r w:rsidRPr="002E157C">
              <w:rPr>
                <w:rFonts w:cs="Segoe UI"/>
              </w:rPr>
              <w:t> MISSING LEI</w:t>
            </w:r>
          </w:p>
        </w:tc>
        <w:tc>
          <w:tcPr>
            <w:tcW w:w="0" w:type="auto"/>
            <w:tcBorders>
              <w:top w:val="single" w:sz="4" w:space="0" w:color="F4B084"/>
              <w:left w:val="nil"/>
              <w:bottom w:val="single" w:sz="4" w:space="0" w:color="F4B084"/>
              <w:right w:val="single" w:sz="4" w:space="0" w:color="F4B084"/>
            </w:tcBorders>
            <w:shd w:val="clear" w:color="auto" w:fill="auto"/>
            <w:vAlign w:val="center"/>
            <w:hideMark/>
          </w:tcPr>
          <w:p w14:paraId="75D922CE" w14:textId="77777777" w:rsidR="009A259E" w:rsidRPr="002E157C" w:rsidRDefault="009A259E" w:rsidP="009A259E">
            <w:pPr>
              <w:jc w:val="right"/>
              <w:rPr>
                <w:rFonts w:cs="Segoe UI"/>
              </w:rPr>
            </w:pPr>
            <w:r w:rsidRPr="002E157C">
              <w:rPr>
                <w:rFonts w:cs="Segoe UI"/>
              </w:rPr>
              <w:t>2.7%</w:t>
            </w:r>
          </w:p>
        </w:tc>
      </w:tr>
      <w:tr w:rsidR="009A259E" w:rsidRPr="002E157C" w14:paraId="70C4E3E8" w14:textId="77777777" w:rsidTr="009A259E">
        <w:trPr>
          <w:trHeight w:val="300"/>
        </w:trPr>
        <w:tc>
          <w:tcPr>
            <w:tcW w:w="0" w:type="auto"/>
            <w:tcBorders>
              <w:top w:val="single" w:sz="4" w:space="0" w:color="F4B084"/>
              <w:left w:val="nil"/>
              <w:bottom w:val="single" w:sz="4" w:space="0" w:color="F4B084"/>
              <w:right w:val="nil"/>
            </w:tcBorders>
            <w:shd w:val="clear" w:color="auto" w:fill="FCE4D6"/>
            <w:vAlign w:val="center"/>
            <w:hideMark/>
          </w:tcPr>
          <w:p w14:paraId="2F85F3A0" w14:textId="77777777" w:rsidR="009A259E" w:rsidRPr="002E157C" w:rsidRDefault="009A259E" w:rsidP="009A259E">
            <w:pPr>
              <w:jc w:val="right"/>
              <w:rPr>
                <w:rFonts w:cs="Segoe UI"/>
              </w:rPr>
            </w:pPr>
          </w:p>
        </w:tc>
        <w:tc>
          <w:tcPr>
            <w:tcW w:w="0" w:type="auto"/>
            <w:tcBorders>
              <w:top w:val="single" w:sz="4" w:space="0" w:color="F4B084"/>
              <w:left w:val="nil"/>
              <w:bottom w:val="single" w:sz="4" w:space="0" w:color="F4B084"/>
              <w:right w:val="single" w:sz="4" w:space="0" w:color="F4B084"/>
            </w:tcBorders>
            <w:shd w:val="clear" w:color="auto" w:fill="FCE4D6"/>
            <w:vAlign w:val="center"/>
            <w:hideMark/>
          </w:tcPr>
          <w:p w14:paraId="40E01CFD" w14:textId="77777777" w:rsidR="009A259E" w:rsidRPr="002E157C" w:rsidRDefault="009A259E" w:rsidP="009A259E">
            <w:pPr>
              <w:rPr>
                <w:sz w:val="20"/>
                <w:szCs w:val="20"/>
              </w:rPr>
            </w:pPr>
          </w:p>
        </w:tc>
      </w:tr>
    </w:tbl>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17E60853" w14:textId="77777777" w:rsidR="002049CE" w:rsidRPr="002E157C" w:rsidRDefault="002049CE" w:rsidP="002049CE">
      <w:pPr>
        <w:rPr>
          <w:lang w:val="en-US"/>
        </w:rPr>
      </w:pPr>
      <w:permStart w:id="1802378143" w:edGrp="everyone"/>
      <w:r w:rsidRPr="002E157C">
        <w:rPr>
          <w:lang w:val="en-US"/>
        </w:rPr>
        <w:t xml:space="preserve">We feel that accepting the mismatch regarding the net exposure on net collateralized loans in the phase in period and waiting with the backloading (following level 2 text) would allow market participants to focus on resolving mismatches and disputes on new trades and avoid having to deal with false </w:t>
      </w:r>
      <w:proofErr w:type="spellStart"/>
      <w:r w:rsidRPr="002E157C">
        <w:rPr>
          <w:lang w:val="en-US"/>
        </w:rPr>
        <w:t>unmatches</w:t>
      </w:r>
      <w:proofErr w:type="spellEnd"/>
      <w:r w:rsidRPr="002E157C">
        <w:rPr>
          <w:lang w:val="en-US"/>
        </w:rPr>
        <w:t xml:space="preserve"> due to the counterpart not being part of phase 1. </w:t>
      </w:r>
      <w:proofErr w:type="gramStart"/>
      <w:r w:rsidRPr="002E157C">
        <w:rPr>
          <w:lang w:val="en-US"/>
        </w:rPr>
        <w:t>So</w:t>
      </w:r>
      <w:proofErr w:type="gramEnd"/>
      <w:r w:rsidRPr="002E157C">
        <w:rPr>
          <w:lang w:val="en-US"/>
        </w:rPr>
        <w:t xml:space="preserve"> we support waiting until 180 days with the backloading and accepting unpaired/unmatched historical trades in the phase in period if any participants opt to start reporting everything from day 1.</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77777777" w:rsidR="00D62A4F" w:rsidRDefault="00D62A4F" w:rsidP="00D62A4F">
      <w:pPr>
        <w:rPr>
          <w:rFonts w:ascii="Arial" w:hAnsi="Arial" w:cs="Arial"/>
        </w:rPr>
      </w:pPr>
      <w:permStart w:id="178403384" w:edGrp="everyone"/>
      <w:r>
        <w:rPr>
          <w:rFonts w:ascii="Arial" w:hAnsi="Arial" w:cs="Arial"/>
        </w:rPr>
        <w:t>TYPE YOUR TEXT HERE</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77777777" w:rsidR="00D62A4F" w:rsidRDefault="00D62A4F" w:rsidP="00D62A4F">
      <w:pPr>
        <w:rPr>
          <w:rFonts w:ascii="Arial" w:hAnsi="Arial" w:cs="Arial"/>
        </w:rPr>
      </w:pPr>
      <w:permStart w:id="34804673" w:edGrp="everyone"/>
      <w:r>
        <w:rPr>
          <w:rFonts w:ascii="Arial" w:hAnsi="Arial" w:cs="Arial"/>
        </w:rPr>
        <w:t>TYPE YOUR TEXT HERE</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7777777" w:rsidR="00D62A4F" w:rsidRDefault="00D62A4F" w:rsidP="00D62A4F">
      <w:pPr>
        <w:rPr>
          <w:rFonts w:ascii="Arial" w:hAnsi="Arial" w:cs="Arial"/>
        </w:rPr>
      </w:pPr>
      <w:permStart w:id="998066902" w:edGrp="everyone"/>
      <w:r>
        <w:rPr>
          <w:rFonts w:ascii="Arial" w:hAnsi="Arial" w:cs="Arial"/>
        </w:rPr>
        <w:lastRenderedPageBreak/>
        <w:t>TYPE YOUR TEXT HERE</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581C70F7" w14:textId="77777777" w:rsidR="00D62A4F" w:rsidRDefault="00D62A4F" w:rsidP="00D62A4F">
      <w:pPr>
        <w:rPr>
          <w:rFonts w:ascii="Arial" w:hAnsi="Arial" w:cs="Arial"/>
        </w:rPr>
      </w:pPr>
      <w:permStart w:id="21845861" w:edGrp="everyone"/>
      <w:r>
        <w:rPr>
          <w:rFonts w:ascii="Arial" w:hAnsi="Arial" w:cs="Arial"/>
        </w:rPr>
        <w:t>TYPE YOUR TEXT HERE</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2578187A" w14:textId="77777777" w:rsidR="002049CE" w:rsidRPr="002E157C" w:rsidRDefault="002049CE" w:rsidP="002049CE">
      <w:pPr>
        <w:rPr>
          <w:rFonts w:ascii="Segoe UI" w:hAnsi="Segoe UI" w:cs="Segoe UI"/>
          <w:sz w:val="20"/>
          <w:szCs w:val="20"/>
          <w:lang w:val="en-US"/>
        </w:rPr>
      </w:pPr>
      <w:permStart w:id="1488136226" w:edGrp="everyone"/>
      <w:r w:rsidRPr="002E157C">
        <w:rPr>
          <w:rFonts w:ascii="Segoe UI" w:hAnsi="Segoe UI" w:cs="Segoe UI"/>
          <w:sz w:val="20"/>
          <w:szCs w:val="20"/>
          <w:lang w:val="en-US"/>
        </w:rPr>
        <w:t xml:space="preserve">Yes, we agree to the approach of reporting clearing.  We would like to see an example of the handling of a bilateral trade given up for clearing after T+1. </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t>TYPE YOUR TEXT HERE</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77777777" w:rsidR="00D62A4F" w:rsidRDefault="00D62A4F" w:rsidP="00D62A4F">
      <w:pPr>
        <w:rPr>
          <w:rFonts w:ascii="Arial" w:hAnsi="Arial" w:cs="Arial"/>
        </w:rPr>
      </w:pPr>
      <w:permStart w:id="586638850" w:edGrp="everyone"/>
      <w:r>
        <w:rPr>
          <w:rFonts w:ascii="Arial" w:hAnsi="Arial" w:cs="Arial"/>
        </w:rPr>
        <w:t>TYPE YOUR TEXT HERE</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77777777" w:rsidR="00D62A4F" w:rsidRDefault="00D62A4F" w:rsidP="00D62A4F">
      <w:pPr>
        <w:rPr>
          <w:rFonts w:ascii="Arial" w:hAnsi="Arial" w:cs="Arial"/>
        </w:rPr>
      </w:pPr>
      <w:permStart w:id="1728844129" w:edGrp="everyone"/>
      <w:r>
        <w:rPr>
          <w:rFonts w:ascii="Arial" w:hAnsi="Arial" w:cs="Arial"/>
        </w:rPr>
        <w:t>TYPE YOUR TEXT HERE</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lastRenderedPageBreak/>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28B9927D" w14:textId="77777777" w:rsidR="002049CE" w:rsidRPr="002E157C" w:rsidRDefault="002049CE" w:rsidP="002049CE">
      <w:pPr>
        <w:autoSpaceDE w:val="0"/>
        <w:autoSpaceDN w:val="0"/>
        <w:adjustRightInd w:val="0"/>
        <w:rPr>
          <w:rFonts w:cstheme="minorHAnsi"/>
        </w:rPr>
      </w:pPr>
      <w:permStart w:id="1815897077" w:edGrp="everyone"/>
      <w:r w:rsidRPr="002E157C">
        <w:rPr>
          <w:rFonts w:cstheme="minorHAnsi"/>
        </w:rPr>
        <w:t>The delegated regulation (EU) 2019/356 as of 13 December 2018 states when reporting Loan and collateral data in Table 2, for field 18, General collateral Indicator;</w:t>
      </w:r>
    </w:p>
    <w:p w14:paraId="723589AB" w14:textId="77777777" w:rsidR="002049CE" w:rsidRPr="002E157C" w:rsidRDefault="002049CE" w:rsidP="002049CE">
      <w:pPr>
        <w:autoSpaceDE w:val="0"/>
        <w:autoSpaceDN w:val="0"/>
        <w:adjustRightInd w:val="0"/>
        <w:rPr>
          <w:rFonts w:cstheme="minorHAnsi"/>
        </w:rPr>
      </w:pPr>
    </w:p>
    <w:p w14:paraId="0AEF512C" w14:textId="77777777" w:rsidR="002049CE" w:rsidRPr="002E157C" w:rsidRDefault="002049CE" w:rsidP="002049CE">
      <w:pPr>
        <w:autoSpaceDE w:val="0"/>
        <w:autoSpaceDN w:val="0"/>
        <w:adjustRightInd w:val="0"/>
        <w:rPr>
          <w:rFonts w:cstheme="minorHAnsi"/>
        </w:rPr>
      </w:pPr>
      <w:r w:rsidRPr="002E157C">
        <w:rPr>
          <w:rFonts w:cstheme="minorHAnsi"/>
          <w:i/>
          <w:iCs/>
        </w:rPr>
        <w:t xml:space="preserve">Indication of whether the SFT is subject to a general collateral arrangement. In the case of a securities lending transaction, the field refers to securities provided as collateral, and not to the security provided on loan. </w:t>
      </w:r>
      <w:r w:rsidRPr="002E157C">
        <w:rPr>
          <w:rFonts w:cstheme="minorHAnsi"/>
        </w:rPr>
        <w:br/>
      </w:r>
      <w:r w:rsidRPr="002E157C">
        <w:rPr>
          <w:rFonts w:cstheme="minorHAnsi"/>
        </w:rPr>
        <w:br/>
      </w:r>
      <w:r w:rsidRPr="002E157C">
        <w:rPr>
          <w:rFonts w:cstheme="minorHAnsi"/>
          <w:i/>
          <w:iCs/>
        </w:rPr>
        <w:t xml:space="preserve">The code ‘GENE’ shall be specified for an SFT which is subject to a general collateral arrangement. A general collateral arrangement specifies a collateral arrangement for a transaction in which the collateral giver may choose the security to be provided as collateral amongst a relatively wide range of securities satisfying      predefined       criteria. </w:t>
      </w:r>
      <w:r w:rsidRPr="002E157C">
        <w:rPr>
          <w:rFonts w:cstheme="minorHAnsi"/>
        </w:rPr>
        <w:br/>
      </w:r>
      <w:r w:rsidRPr="002E157C">
        <w:rPr>
          <w:rFonts w:cstheme="minorHAnsi"/>
        </w:rPr>
        <w:br/>
      </w:r>
      <w:r w:rsidRPr="002E157C">
        <w:rPr>
          <w:rFonts w:cstheme="minorHAnsi"/>
          <w:i/>
          <w:iCs/>
        </w:rPr>
        <w:t>The code ‘SPEC’ shall be specified for an SFT which is subject to a specific collateral arrangement. A specific collateral arrangement specifies a collateral arrangement for a transaction in which the collateral taker requests a specific International Securities Identification Number ('ISIN') to be provided by the collateral provider.</w:t>
      </w:r>
      <w:r w:rsidRPr="002E157C">
        <w:rPr>
          <w:rFonts w:cstheme="minorHAnsi"/>
        </w:rPr>
        <w:t xml:space="preserve"> </w:t>
      </w:r>
      <w:r w:rsidRPr="002E157C">
        <w:rPr>
          <w:rFonts w:cstheme="minorHAnsi"/>
        </w:rPr>
        <w:br/>
      </w:r>
    </w:p>
    <w:p w14:paraId="1A09B5C4" w14:textId="77777777" w:rsidR="002049CE" w:rsidRPr="002E157C" w:rsidRDefault="002049CE" w:rsidP="002049CE">
      <w:pPr>
        <w:autoSpaceDE w:val="0"/>
        <w:autoSpaceDN w:val="0"/>
        <w:adjustRightInd w:val="0"/>
        <w:rPr>
          <w:rFonts w:cstheme="minorHAnsi"/>
        </w:rPr>
      </w:pPr>
      <w:r w:rsidRPr="002E157C">
        <w:rPr>
          <w:rFonts w:cstheme="minorHAnsi"/>
        </w:rPr>
        <w:t>However, ESMAs proposed writing in the guideline states that reporting, in practice should make a difference between cash-driven and securities-driven transaction</w:t>
      </w:r>
      <w:r>
        <w:rPr>
          <w:rFonts w:cstheme="minorHAnsi"/>
        </w:rPr>
        <w:t>s. We find it hard to understand this proposal as an interpretation of the Level 2 text quoted above and therefore view it as a new rule</w:t>
      </w:r>
      <w:r w:rsidRPr="002E157C">
        <w:rPr>
          <w:rFonts w:cstheme="minorHAnsi"/>
        </w:rPr>
        <w:t>. The challenge is that you do not always know why the customer wanted to do it in one way or another. The regulation is sufficiently clear. The guideline increases complexity and makes it harder to understand how to report.</w:t>
      </w:r>
    </w:p>
    <w:p w14:paraId="018EDD33" w14:textId="77777777" w:rsidR="002049CE" w:rsidRPr="002E157C" w:rsidRDefault="002049CE" w:rsidP="002049CE">
      <w:pPr>
        <w:autoSpaceDE w:val="0"/>
        <w:autoSpaceDN w:val="0"/>
        <w:adjustRightInd w:val="0"/>
        <w:rPr>
          <w:rFonts w:cstheme="minorHAnsi"/>
        </w:rPr>
      </w:pPr>
    </w:p>
    <w:p w14:paraId="60C89B75" w14:textId="77777777" w:rsidR="002049CE" w:rsidRPr="002E157C" w:rsidRDefault="002049CE" w:rsidP="002049CE">
      <w:pPr>
        <w:rPr>
          <w:lang w:val="en-US"/>
        </w:rPr>
      </w:pPr>
      <w:r w:rsidRPr="002E157C">
        <w:rPr>
          <w:lang w:val="en-US"/>
        </w:rPr>
        <w:t xml:space="preserve">We would like to draw the attention to the overlapping definitions within the ISO20022 standard asking ESMA to align definitions with ECBs definition on the same concept. </w:t>
      </w:r>
    </w:p>
    <w:p w14:paraId="0B00BE9C" w14:textId="77777777" w:rsidR="002049CE" w:rsidRPr="00022072" w:rsidRDefault="002049CE" w:rsidP="002049CE">
      <w:pPr>
        <w:rPr>
          <w:rFonts w:asciiTheme="minorHAnsi" w:eastAsiaTheme="minorHAnsi" w:hAnsiTheme="minorHAnsi" w:cstheme="minorBidi"/>
          <w:sz w:val="22"/>
          <w:szCs w:val="22"/>
          <w:lang w:val="en-US" w:eastAsia="en-US"/>
          <w:rPrChange w:id="3" w:author="David Krantz" w:date="2019-07-21T22:48:00Z">
            <w:rPr>
              <w:rFonts w:ascii="Segoe UI" w:hAnsi="Segoe UI" w:cs="Segoe UI"/>
              <w:sz w:val="20"/>
              <w:szCs w:val="20"/>
            </w:rPr>
          </w:rPrChange>
        </w:rPr>
      </w:pPr>
      <w:r w:rsidRPr="008B65F4">
        <w:rPr>
          <w:lang w:val="en-US"/>
        </w:rPr>
        <w:t xml:space="preserve">The general collateral indicator is used indirectly elsewhere in the ISO20022 standard. We have seen this for ECB reporting under the MMSR regime. We would urge ESMA to adopt a harmonized view on </w:t>
      </w:r>
      <w:r w:rsidRPr="00022072">
        <w:rPr>
          <w:lang w:val="en-US"/>
        </w:rPr>
        <w:t>this,</w:t>
      </w:r>
      <w:r w:rsidRPr="008B65F4">
        <w:rPr>
          <w:lang w:val="en-US"/>
        </w:rPr>
        <w:t xml:space="preserve"> so the same concept is not defined differently for different reporting regimes.  Below</w:t>
      </w:r>
      <w:r>
        <w:rPr>
          <w:lang w:val="en-US"/>
        </w:rPr>
        <w:t xml:space="preserve"> an excerpt</w:t>
      </w:r>
      <w:r w:rsidRPr="008B65F4">
        <w:rPr>
          <w:lang w:val="en-US"/>
        </w:rPr>
        <w:t xml:space="preserve"> taken from the ECB </w:t>
      </w:r>
      <w:r w:rsidRPr="00022072">
        <w:rPr>
          <w:rFonts w:asciiTheme="minorHAnsi" w:eastAsiaTheme="minorHAnsi" w:hAnsiTheme="minorHAnsi" w:cstheme="minorBidi"/>
          <w:sz w:val="22"/>
          <w:szCs w:val="22"/>
          <w:lang w:val="en-US" w:eastAsia="en-US"/>
          <w:rPrChange w:id="4" w:author="David Krantz" w:date="2019-07-21T22:48:00Z">
            <w:rPr>
              <w:rFonts w:ascii="Segoe UI" w:hAnsi="Segoe UI" w:cs="Segoe UI"/>
              <w:sz w:val="20"/>
              <w:szCs w:val="20"/>
            </w:rPr>
          </w:rPrChange>
        </w:rPr>
        <w:t>definitions</w:t>
      </w:r>
    </w:p>
    <w:tbl>
      <w:tblPr>
        <w:tblW w:w="10482" w:type="dxa"/>
        <w:tblCellSpacing w:w="0" w:type="dxa"/>
        <w:tblBorders>
          <w:top w:val="outset" w:sz="2" w:space="0" w:color="auto"/>
          <w:left w:val="outset" w:sz="2" w:space="0" w:color="auto"/>
          <w:bottom w:val="outset" w:sz="2" w:space="0" w:color="auto"/>
          <w:right w:val="outset" w:sz="2" w:space="0" w:color="auto"/>
        </w:tblBorders>
        <w:tblCellMar>
          <w:top w:w="105" w:type="dxa"/>
          <w:left w:w="105" w:type="dxa"/>
          <w:bottom w:w="105" w:type="dxa"/>
          <w:right w:w="105" w:type="dxa"/>
        </w:tblCellMar>
        <w:tblLook w:val="04A0" w:firstRow="1" w:lastRow="0" w:firstColumn="1" w:lastColumn="0" w:noHBand="0" w:noVBand="1"/>
      </w:tblPr>
      <w:tblGrid>
        <w:gridCol w:w="3392"/>
        <w:gridCol w:w="7090"/>
      </w:tblGrid>
      <w:tr w:rsidR="002049CE" w:rsidRPr="001868F5" w14:paraId="7350A829" w14:textId="77777777" w:rsidTr="00A95D96">
        <w:trPr>
          <w:trHeight w:val="2550"/>
          <w:tblCellSpacing w:w="0" w:type="dxa"/>
        </w:trPr>
        <w:tc>
          <w:tcPr>
            <w:tcW w:w="1618" w:type="pct"/>
            <w:tcBorders>
              <w:top w:val="outset" w:sz="6" w:space="0" w:color="auto"/>
              <w:left w:val="outset" w:sz="6" w:space="0" w:color="auto"/>
              <w:bottom w:val="outset" w:sz="6" w:space="0" w:color="auto"/>
              <w:right w:val="outset" w:sz="6" w:space="0" w:color="auto"/>
            </w:tcBorders>
            <w:hideMark/>
          </w:tcPr>
          <w:p w14:paraId="369D2337" w14:textId="77777777" w:rsidR="002049CE" w:rsidRPr="002E157C" w:rsidRDefault="002049CE" w:rsidP="00A95D96">
            <w:pPr>
              <w:spacing w:before="100" w:beforeAutospacing="1" w:after="100" w:afterAutospacing="1"/>
              <w:rPr>
                <w:rFonts w:ascii="Segoe UI" w:hAnsi="Segoe UI" w:cs="Segoe UI"/>
                <w:sz w:val="20"/>
                <w:szCs w:val="20"/>
              </w:rPr>
            </w:pPr>
            <w:r w:rsidRPr="008B65F4">
              <w:rPr>
                <w:rFonts w:ascii="Segoe UI" w:hAnsi="Segoe UI" w:cs="Segoe UI"/>
                <w:sz w:val="20"/>
                <w:szCs w:val="20"/>
              </w:rPr>
              <w:lastRenderedPageBreak/>
              <w:t> </w:t>
            </w:r>
            <w:r w:rsidRPr="002E157C">
              <w:rPr>
                <w:rFonts w:ascii="Segoe UI" w:hAnsi="Segoe UI" w:cs="Segoe UI"/>
                <w:sz w:val="20"/>
                <w:szCs w:val="20"/>
              </w:rPr>
              <w:t xml:space="preserve">SPECIAL COLLATERAL INDICATOR </w:t>
            </w:r>
          </w:p>
        </w:tc>
        <w:tc>
          <w:tcPr>
            <w:tcW w:w="3382" w:type="pct"/>
            <w:tcBorders>
              <w:top w:val="outset" w:sz="6" w:space="0" w:color="auto"/>
              <w:left w:val="outset" w:sz="6" w:space="0" w:color="auto"/>
              <w:bottom w:val="outset" w:sz="6" w:space="0" w:color="auto"/>
              <w:right w:val="outset" w:sz="6" w:space="0" w:color="auto"/>
            </w:tcBorders>
            <w:hideMark/>
          </w:tcPr>
          <w:p w14:paraId="455CC5D4" w14:textId="77777777" w:rsidR="002049CE" w:rsidRPr="002E157C" w:rsidRDefault="002049CE" w:rsidP="00A95D96">
            <w:pPr>
              <w:spacing w:before="100" w:beforeAutospacing="1" w:after="100" w:afterAutospacing="1"/>
              <w:rPr>
                <w:rFonts w:ascii="Segoe UI" w:hAnsi="Segoe UI" w:cs="Segoe UI"/>
                <w:sz w:val="20"/>
                <w:szCs w:val="20"/>
                <w:lang w:val="en-US"/>
              </w:rPr>
            </w:pPr>
            <w:r w:rsidRPr="002E157C">
              <w:rPr>
                <w:rFonts w:ascii="Segoe UI" w:hAnsi="Segoe UI" w:cs="Segoe UI"/>
                <w:sz w:val="20"/>
                <w:szCs w:val="20"/>
                <w:lang w:val="en-US"/>
              </w:rPr>
              <w:t xml:space="preserve">This variable identifies all repurchase agreements conducted against general collateral and those conducted against special collateral. </w:t>
            </w:r>
          </w:p>
          <w:p w14:paraId="131E2F7C" w14:textId="77777777" w:rsidR="002049CE" w:rsidRPr="002E157C" w:rsidRDefault="002049CE" w:rsidP="00A95D96">
            <w:pPr>
              <w:spacing w:before="100" w:beforeAutospacing="1" w:after="100" w:afterAutospacing="1"/>
              <w:rPr>
                <w:rFonts w:ascii="Segoe UI" w:hAnsi="Segoe UI" w:cs="Segoe UI"/>
                <w:sz w:val="20"/>
                <w:szCs w:val="20"/>
                <w:lang w:val="en-US"/>
              </w:rPr>
            </w:pPr>
            <w:r w:rsidRPr="002E157C">
              <w:rPr>
                <w:sz w:val="20"/>
                <w:szCs w:val="20"/>
                <w:lang w:val="en-US"/>
              </w:rPr>
              <w:t xml:space="preserve">- </w:t>
            </w:r>
            <w:r w:rsidRPr="002E157C">
              <w:rPr>
                <w:rFonts w:ascii="Segoe UI" w:hAnsi="Segoe UI" w:cs="Segoe UI"/>
                <w:sz w:val="20"/>
                <w:szCs w:val="20"/>
                <w:lang w:val="en-US"/>
              </w:rPr>
              <w:t xml:space="preserve">General collateral is a repurchase transaction in which the security lender may choose the security to pledge as collateral with the cash provider amongst a relatively wide range of securities meeting predefined criteria; </w:t>
            </w:r>
          </w:p>
          <w:p w14:paraId="081056E1" w14:textId="77777777" w:rsidR="002049CE" w:rsidRPr="002E157C" w:rsidRDefault="002049CE" w:rsidP="00A95D96">
            <w:pPr>
              <w:spacing w:before="100" w:beforeAutospacing="1" w:after="100" w:afterAutospacing="1"/>
              <w:rPr>
                <w:rFonts w:ascii="Segoe UI" w:hAnsi="Segoe UI" w:cs="Segoe UI"/>
                <w:sz w:val="20"/>
                <w:szCs w:val="20"/>
                <w:lang w:val="en-US"/>
              </w:rPr>
            </w:pPr>
            <w:r w:rsidRPr="002E157C">
              <w:rPr>
                <w:sz w:val="20"/>
                <w:szCs w:val="20"/>
                <w:lang w:val="en-US"/>
              </w:rPr>
              <w:t xml:space="preserve">- </w:t>
            </w:r>
            <w:r w:rsidRPr="002E157C">
              <w:rPr>
                <w:rFonts w:ascii="Segoe UI" w:hAnsi="Segoe UI" w:cs="Segoe UI"/>
                <w:sz w:val="20"/>
                <w:szCs w:val="20"/>
                <w:lang w:val="en-US"/>
              </w:rPr>
              <w:t xml:space="preserve">Special collateral is a repurchase transaction in which the cash provider requests a specific security (individual ISIN) to be provided by the cash borrower. </w:t>
            </w:r>
          </w:p>
          <w:p w14:paraId="75E1BD5E" w14:textId="77777777" w:rsidR="002049CE" w:rsidRPr="002E157C" w:rsidRDefault="002049CE" w:rsidP="00A95D96">
            <w:pPr>
              <w:spacing w:before="100" w:beforeAutospacing="1" w:after="100" w:afterAutospacing="1"/>
              <w:rPr>
                <w:rFonts w:ascii="Segoe UI" w:hAnsi="Segoe UI" w:cs="Segoe UI"/>
                <w:sz w:val="20"/>
                <w:szCs w:val="20"/>
                <w:lang w:val="en-US"/>
              </w:rPr>
            </w:pPr>
            <w:r w:rsidRPr="002E157C">
              <w:rPr>
                <w:sz w:val="20"/>
                <w:szCs w:val="20"/>
                <w:lang w:val="en-US"/>
              </w:rPr>
              <w:t xml:space="preserve">- </w:t>
            </w:r>
            <w:r w:rsidRPr="002E157C">
              <w:rPr>
                <w:rFonts w:ascii="Segoe UI" w:hAnsi="Segoe UI" w:cs="Segoe UI"/>
                <w:sz w:val="20"/>
                <w:szCs w:val="20"/>
                <w:lang w:val="en-US"/>
              </w:rPr>
              <w:t xml:space="preserve">‘Matched and reverse repurchase agreement’ identifies securities lending transactions made of repurchase agreements and reverse repurchase agreements versus cash. Further information on the securities lending transactions against cash which </w:t>
            </w:r>
            <w:proofErr w:type="gramStart"/>
            <w:r w:rsidRPr="002E157C">
              <w:rPr>
                <w:rFonts w:ascii="Segoe UI" w:hAnsi="Segoe UI" w:cs="Segoe UI"/>
                <w:sz w:val="20"/>
                <w:szCs w:val="20"/>
                <w:lang w:val="en-US"/>
              </w:rPr>
              <w:t>have to</w:t>
            </w:r>
            <w:proofErr w:type="gramEnd"/>
            <w:r w:rsidRPr="002E157C">
              <w:rPr>
                <w:rFonts w:ascii="Segoe UI" w:hAnsi="Segoe UI" w:cs="Segoe UI"/>
                <w:sz w:val="20"/>
                <w:szCs w:val="20"/>
                <w:lang w:val="en-US"/>
              </w:rPr>
              <w:t xml:space="preserve"> be reported is provided in Section 3.2. </w:t>
            </w:r>
          </w:p>
          <w:p w14:paraId="702AB1DC" w14:textId="77777777" w:rsidR="002049CE" w:rsidRPr="002E157C" w:rsidRDefault="002049CE" w:rsidP="00A95D96">
            <w:pPr>
              <w:spacing w:before="100" w:beforeAutospacing="1" w:after="100" w:afterAutospacing="1"/>
              <w:rPr>
                <w:rFonts w:ascii="Arial" w:hAnsi="Arial" w:cs="Arial"/>
                <w:i/>
                <w:iCs/>
                <w:sz w:val="20"/>
                <w:szCs w:val="20"/>
                <w:lang w:val="en-US"/>
              </w:rPr>
            </w:pPr>
            <w:r w:rsidRPr="002E157C">
              <w:rPr>
                <w:rFonts w:ascii="Arial" w:hAnsi="Arial" w:cs="Arial"/>
                <w:i/>
                <w:iCs/>
                <w:sz w:val="20"/>
                <w:szCs w:val="20"/>
                <w:lang w:val="en-US"/>
              </w:rPr>
              <w:t xml:space="preserve">This field is </w:t>
            </w:r>
            <w:proofErr w:type="gramStart"/>
            <w:r w:rsidRPr="002E157C">
              <w:rPr>
                <w:rFonts w:ascii="Arial" w:hAnsi="Arial" w:cs="Arial"/>
                <w:i/>
                <w:iCs/>
                <w:sz w:val="20"/>
                <w:szCs w:val="20"/>
                <w:lang w:val="en-US"/>
              </w:rPr>
              <w:t>optional</w:t>
            </w:r>
            <w:proofErr w:type="gramEnd"/>
            <w:r w:rsidRPr="002E157C">
              <w:rPr>
                <w:rFonts w:ascii="Arial" w:hAnsi="Arial" w:cs="Arial"/>
                <w:i/>
                <w:iCs/>
                <w:sz w:val="20"/>
                <w:szCs w:val="20"/>
                <w:lang w:val="en-US"/>
              </w:rPr>
              <w:t xml:space="preserve"> but it should be provided if feasible for the reporting agent. </w:t>
            </w:r>
          </w:p>
          <w:p w14:paraId="30F648B9" w14:textId="77777777" w:rsidR="002049CE" w:rsidRPr="002E157C" w:rsidRDefault="002049CE" w:rsidP="00A95D96">
            <w:pPr>
              <w:spacing w:before="100" w:beforeAutospacing="1" w:after="100" w:afterAutospacing="1"/>
              <w:rPr>
                <w:rFonts w:ascii="Segoe UI" w:hAnsi="Segoe UI" w:cs="Segoe UI"/>
                <w:sz w:val="20"/>
                <w:szCs w:val="20"/>
                <w:lang w:val="en-US"/>
              </w:rPr>
            </w:pPr>
            <w:r w:rsidRPr="002E157C">
              <w:rPr>
                <w:rFonts w:ascii="Segoe UI" w:hAnsi="Segoe UI" w:cs="Segoe UI"/>
                <w:sz w:val="20"/>
                <w:szCs w:val="20"/>
                <w:lang w:val="en-US"/>
              </w:rPr>
              <w:t xml:space="preserve">GENE General collateral </w:t>
            </w:r>
            <w:r w:rsidRPr="002E157C">
              <w:rPr>
                <w:rFonts w:ascii="Segoe UI" w:hAnsi="Segoe UI" w:cs="Segoe UI"/>
                <w:sz w:val="20"/>
                <w:szCs w:val="20"/>
                <w:lang w:val="en-US"/>
              </w:rPr>
              <w:br/>
            </w:r>
            <w:proofErr w:type="gramStart"/>
            <w:r w:rsidRPr="002E157C">
              <w:rPr>
                <w:rFonts w:ascii="Segoe UI" w:hAnsi="Segoe UI" w:cs="Segoe UI"/>
                <w:sz w:val="20"/>
                <w:szCs w:val="20"/>
                <w:lang w:val="en-US"/>
              </w:rPr>
              <w:t>SPEC  Special</w:t>
            </w:r>
            <w:proofErr w:type="gramEnd"/>
            <w:r w:rsidRPr="002E157C">
              <w:rPr>
                <w:rFonts w:ascii="Segoe UI" w:hAnsi="Segoe UI" w:cs="Segoe UI"/>
                <w:sz w:val="20"/>
                <w:szCs w:val="20"/>
                <w:lang w:val="en-US"/>
              </w:rPr>
              <w:t xml:space="preserve"> collateral </w:t>
            </w:r>
            <w:r w:rsidRPr="002E157C">
              <w:rPr>
                <w:rFonts w:ascii="Segoe UI" w:hAnsi="Segoe UI" w:cs="Segoe UI"/>
                <w:sz w:val="20"/>
                <w:szCs w:val="20"/>
                <w:lang w:val="en-US"/>
              </w:rPr>
              <w:br/>
              <w:t>MRRP Securities lending  </w:t>
            </w:r>
          </w:p>
        </w:tc>
      </w:tr>
    </w:tbl>
    <w:p w14:paraId="78502D9E" w14:textId="77777777" w:rsidR="002049CE" w:rsidRDefault="002049CE" w:rsidP="002049CE">
      <w:pPr>
        <w:rPr>
          <w:lang w:val="en-US"/>
        </w:rPr>
      </w:pPr>
    </w:p>
    <w:p w14:paraId="36F30900" w14:textId="77777777" w:rsidR="002049CE" w:rsidRPr="002E157C" w:rsidRDefault="002049CE" w:rsidP="002049CE">
      <w:pPr>
        <w:rPr>
          <w:lang w:val="en-US"/>
        </w:rPr>
      </w:pPr>
      <w:r>
        <w:rPr>
          <w:lang w:val="en-US"/>
        </w:rPr>
        <w:t xml:space="preserve">Given ESMA’s two alternatives: </w:t>
      </w:r>
      <w:r w:rsidRPr="008B65F4">
        <w:rPr>
          <w:lang w:val="en-US"/>
        </w:rPr>
        <w:t>To have consistency we would recommend to follow paragraph 265 and only use general collateral for the GC facilities to avoid the arbitrary definition of how many securities goes to define a relative wide range of securities (if that is 2, 5, 10, 100 or 1009 or more))</w:t>
      </w:r>
      <w:r>
        <w:rPr>
          <w:lang w:val="en-US"/>
        </w:rPr>
        <w:t>.</w:t>
      </w:r>
      <w:r w:rsidRPr="008B65F4">
        <w:rPr>
          <w:lang w:val="en-US"/>
        </w:rPr>
        <w:t xml:space="preserve"> Alternative a clear definition should be set by ECB and ESMA in collaboration to secure alignment between the special collateral indication of ECB and general collateral indicator for MMSR.</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2C0BE470" w14:textId="77777777" w:rsidR="002049CE" w:rsidRPr="002E157C" w:rsidRDefault="002049CE" w:rsidP="002049CE">
      <w:pPr>
        <w:rPr>
          <w:lang w:val="en-US"/>
        </w:rPr>
      </w:pPr>
      <w:permStart w:id="1913655379" w:edGrp="everyone"/>
      <w:r w:rsidRPr="002E157C">
        <w:rPr>
          <w:lang w:val="en-US"/>
        </w:rPr>
        <w:t xml:space="preserve">We would like to seek clarification on whether ESMA want the actual fixed rate reported with every fixing, event for rates that could be fixed every day.  More specifically if ESMA expects field 2.35 and 2.36 is to be populated for every rate fixing also for Repos or if it only to be used under margin lending. </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79BDDF25" w14:textId="77777777" w:rsidR="002049CE" w:rsidRPr="002E157C" w:rsidRDefault="002049CE" w:rsidP="002049CE">
      <w:pPr>
        <w:rPr>
          <w:rFonts w:ascii="Verdana" w:hAnsi="Verdana"/>
          <w:sz w:val="20"/>
          <w:szCs w:val="20"/>
        </w:rPr>
      </w:pPr>
      <w:permStart w:id="1532367578" w:edGrp="everyone"/>
      <w:r w:rsidRPr="002E157C">
        <w:rPr>
          <w:rFonts w:ascii="Verdana" w:hAnsi="Verdana"/>
          <w:sz w:val="20"/>
          <w:szCs w:val="20"/>
        </w:rPr>
        <w:t xml:space="preserve">For repo/reverse/BSB/SBB using callable Danish mortgage bonds as collateral across one or more </w:t>
      </w:r>
      <w:proofErr w:type="spellStart"/>
      <w:r w:rsidRPr="002E157C">
        <w:rPr>
          <w:rFonts w:ascii="Verdana" w:hAnsi="Verdana"/>
          <w:sz w:val="20"/>
          <w:szCs w:val="20"/>
        </w:rPr>
        <w:t>paymentdates</w:t>
      </w:r>
      <w:proofErr w:type="spellEnd"/>
      <w:r w:rsidRPr="002E157C">
        <w:rPr>
          <w:rFonts w:ascii="Verdana" w:hAnsi="Verdana"/>
          <w:sz w:val="20"/>
          <w:szCs w:val="20"/>
        </w:rPr>
        <w:t xml:space="preserve"> for the bonds the “Principal amount on the maturity date” might not be known in advance.</w:t>
      </w:r>
    </w:p>
    <w:p w14:paraId="04268A01" w14:textId="77777777" w:rsidR="002049CE" w:rsidRPr="002E157C" w:rsidRDefault="002049CE" w:rsidP="002049CE">
      <w:pPr>
        <w:rPr>
          <w:rFonts w:ascii="Verdana" w:hAnsi="Verdana"/>
          <w:sz w:val="20"/>
          <w:szCs w:val="20"/>
        </w:rPr>
      </w:pPr>
      <w:r w:rsidRPr="002E157C">
        <w:rPr>
          <w:rFonts w:ascii="Verdana" w:hAnsi="Verdana"/>
          <w:sz w:val="20"/>
          <w:szCs w:val="20"/>
        </w:rPr>
        <w:t>The best prognosis is based on preliminary redemptions-data published by the issuer.</w:t>
      </w:r>
    </w:p>
    <w:p w14:paraId="5588E9B5" w14:textId="77777777" w:rsidR="002049CE" w:rsidRPr="002E157C" w:rsidRDefault="002049CE" w:rsidP="002049CE">
      <w:pPr>
        <w:rPr>
          <w:rFonts w:ascii="Verdana" w:hAnsi="Verdana"/>
          <w:sz w:val="20"/>
          <w:szCs w:val="20"/>
        </w:rPr>
      </w:pPr>
      <w:proofErr w:type="gramStart"/>
      <w:r w:rsidRPr="002E157C">
        <w:rPr>
          <w:rFonts w:ascii="Verdana" w:hAnsi="Verdana"/>
          <w:sz w:val="20"/>
          <w:szCs w:val="20"/>
        </w:rPr>
        <w:t>However</w:t>
      </w:r>
      <w:proofErr w:type="gramEnd"/>
      <w:r w:rsidRPr="002E157C">
        <w:rPr>
          <w:rFonts w:ascii="Verdana" w:hAnsi="Verdana"/>
          <w:sz w:val="20"/>
          <w:szCs w:val="20"/>
        </w:rPr>
        <w:t xml:space="preserve"> the actual drawing is not known until the Danish </w:t>
      </w:r>
      <w:r>
        <w:rPr>
          <w:rFonts w:ascii="Verdana" w:hAnsi="Verdana"/>
          <w:sz w:val="20"/>
          <w:szCs w:val="20"/>
        </w:rPr>
        <w:t xml:space="preserve">business </w:t>
      </w:r>
      <w:r w:rsidRPr="002E157C">
        <w:rPr>
          <w:rFonts w:ascii="Verdana" w:hAnsi="Verdana"/>
          <w:sz w:val="20"/>
          <w:szCs w:val="20"/>
        </w:rPr>
        <w:t xml:space="preserve">day before the bond’s </w:t>
      </w:r>
      <w:proofErr w:type="spellStart"/>
      <w:r w:rsidRPr="002E157C">
        <w:rPr>
          <w:rFonts w:ascii="Verdana" w:hAnsi="Verdana"/>
          <w:sz w:val="20"/>
          <w:szCs w:val="20"/>
        </w:rPr>
        <w:t>paymentdate</w:t>
      </w:r>
      <w:proofErr w:type="spellEnd"/>
      <w:r w:rsidRPr="002E157C">
        <w:rPr>
          <w:rFonts w:ascii="Verdana" w:hAnsi="Verdana"/>
          <w:sz w:val="20"/>
          <w:szCs w:val="20"/>
        </w:rPr>
        <w:t>.</w:t>
      </w:r>
    </w:p>
    <w:p w14:paraId="007A9814" w14:textId="77777777" w:rsidR="002049CE" w:rsidRPr="002E157C" w:rsidRDefault="002049CE" w:rsidP="002049CE">
      <w:pPr>
        <w:rPr>
          <w:rFonts w:ascii="Verdana" w:hAnsi="Verdana"/>
          <w:sz w:val="20"/>
          <w:szCs w:val="20"/>
        </w:rPr>
      </w:pPr>
      <w:r w:rsidRPr="002E157C">
        <w:rPr>
          <w:rFonts w:ascii="Verdana" w:hAnsi="Verdana"/>
          <w:sz w:val="20"/>
          <w:szCs w:val="20"/>
        </w:rPr>
        <w:t>Further the drawing fluctuates with:</w:t>
      </w:r>
    </w:p>
    <w:p w14:paraId="7A28EA24" w14:textId="77777777" w:rsidR="002049CE" w:rsidRPr="002E157C" w:rsidRDefault="002049CE" w:rsidP="002049CE">
      <w:pPr>
        <w:pStyle w:val="Liststycke"/>
        <w:numPr>
          <w:ilvl w:val="0"/>
          <w:numId w:val="18"/>
        </w:numPr>
        <w:tabs>
          <w:tab w:val="clear" w:pos="0"/>
          <w:tab w:val="clear" w:pos="142"/>
          <w:tab w:val="clear" w:pos="284"/>
          <w:tab w:val="clear" w:pos="567"/>
        </w:tabs>
        <w:autoSpaceDE/>
        <w:autoSpaceDN/>
        <w:adjustRightInd/>
        <w:spacing w:line="240" w:lineRule="auto"/>
        <w:jc w:val="left"/>
        <w:rPr>
          <w:rFonts w:ascii="Verdana" w:hAnsi="Verdana"/>
          <w:sz w:val="20"/>
          <w:szCs w:val="20"/>
        </w:rPr>
      </w:pPr>
      <w:r w:rsidRPr="002E157C">
        <w:rPr>
          <w:rFonts w:ascii="Verdana" w:hAnsi="Verdana"/>
          <w:sz w:val="20"/>
          <w:szCs w:val="20"/>
        </w:rPr>
        <w:t>Known prepayments from the underlying loans.</w:t>
      </w:r>
      <w:r w:rsidRPr="002E157C">
        <w:rPr>
          <w:rFonts w:ascii="Verdana" w:hAnsi="Verdana"/>
          <w:sz w:val="20"/>
          <w:szCs w:val="20"/>
        </w:rPr>
        <w:br/>
        <w:t xml:space="preserve">This value is known from roughly 1 month and 1 week before the bond’s </w:t>
      </w:r>
      <w:proofErr w:type="spellStart"/>
      <w:r w:rsidRPr="002E157C">
        <w:rPr>
          <w:rFonts w:ascii="Verdana" w:hAnsi="Verdana"/>
          <w:sz w:val="20"/>
          <w:szCs w:val="20"/>
        </w:rPr>
        <w:t>paymentdate</w:t>
      </w:r>
      <w:proofErr w:type="spellEnd"/>
      <w:r w:rsidRPr="002E157C">
        <w:rPr>
          <w:rFonts w:ascii="Verdana" w:hAnsi="Verdana"/>
          <w:sz w:val="20"/>
          <w:szCs w:val="20"/>
        </w:rPr>
        <w:t>.</w:t>
      </w:r>
    </w:p>
    <w:p w14:paraId="0EAB4DBC" w14:textId="77777777" w:rsidR="002049CE" w:rsidRPr="002E157C" w:rsidRDefault="002049CE" w:rsidP="002049CE">
      <w:pPr>
        <w:pStyle w:val="Liststycke"/>
        <w:numPr>
          <w:ilvl w:val="0"/>
          <w:numId w:val="18"/>
        </w:numPr>
        <w:tabs>
          <w:tab w:val="clear" w:pos="0"/>
          <w:tab w:val="clear" w:pos="142"/>
          <w:tab w:val="clear" w:pos="284"/>
          <w:tab w:val="clear" w:pos="567"/>
        </w:tabs>
        <w:autoSpaceDE/>
        <w:autoSpaceDN/>
        <w:adjustRightInd/>
        <w:spacing w:line="240" w:lineRule="auto"/>
        <w:jc w:val="left"/>
        <w:rPr>
          <w:rFonts w:ascii="Verdana" w:hAnsi="Verdana"/>
          <w:sz w:val="20"/>
          <w:szCs w:val="20"/>
        </w:rPr>
      </w:pPr>
      <w:r w:rsidRPr="002E157C">
        <w:rPr>
          <w:rFonts w:ascii="Verdana" w:hAnsi="Verdana"/>
          <w:sz w:val="20"/>
          <w:szCs w:val="20"/>
        </w:rPr>
        <w:t>The known (fixed) redemptions for the underlying loans for that payment.</w:t>
      </w:r>
      <w:r w:rsidRPr="002E157C">
        <w:rPr>
          <w:rFonts w:ascii="Verdana" w:hAnsi="Verdana"/>
          <w:sz w:val="20"/>
          <w:szCs w:val="20"/>
        </w:rPr>
        <w:br/>
        <w:t xml:space="preserve">Also a known amount from roughly 1 month and 1 week before the bond’s </w:t>
      </w:r>
      <w:proofErr w:type="spellStart"/>
      <w:r w:rsidRPr="002E157C">
        <w:rPr>
          <w:rFonts w:ascii="Verdana" w:hAnsi="Verdana"/>
          <w:sz w:val="20"/>
          <w:szCs w:val="20"/>
        </w:rPr>
        <w:t>paymentdate</w:t>
      </w:r>
      <w:proofErr w:type="spellEnd"/>
      <w:r w:rsidRPr="002E157C">
        <w:rPr>
          <w:rFonts w:ascii="Verdana" w:hAnsi="Verdana"/>
          <w:sz w:val="20"/>
          <w:szCs w:val="20"/>
        </w:rPr>
        <w:t>.</w:t>
      </w:r>
    </w:p>
    <w:p w14:paraId="5CD1DE77" w14:textId="77777777" w:rsidR="002049CE" w:rsidRPr="002E157C" w:rsidRDefault="002049CE" w:rsidP="002049CE">
      <w:pPr>
        <w:pStyle w:val="Liststycke"/>
        <w:numPr>
          <w:ilvl w:val="0"/>
          <w:numId w:val="18"/>
        </w:numPr>
        <w:tabs>
          <w:tab w:val="clear" w:pos="0"/>
          <w:tab w:val="clear" w:pos="142"/>
          <w:tab w:val="clear" w:pos="284"/>
          <w:tab w:val="clear" w:pos="567"/>
        </w:tabs>
        <w:autoSpaceDE/>
        <w:autoSpaceDN/>
        <w:adjustRightInd/>
        <w:spacing w:line="240" w:lineRule="auto"/>
        <w:jc w:val="left"/>
        <w:rPr>
          <w:rFonts w:ascii="Verdana" w:hAnsi="Verdana"/>
          <w:sz w:val="20"/>
          <w:szCs w:val="20"/>
        </w:rPr>
      </w:pPr>
      <w:r w:rsidRPr="002E157C">
        <w:rPr>
          <w:rFonts w:ascii="Verdana" w:hAnsi="Verdana"/>
          <w:sz w:val="20"/>
          <w:szCs w:val="20"/>
        </w:rPr>
        <w:t>The total amount of issued bonds.</w:t>
      </w:r>
      <w:r w:rsidRPr="002E157C">
        <w:rPr>
          <w:rFonts w:ascii="Verdana" w:hAnsi="Verdana"/>
          <w:sz w:val="20"/>
          <w:szCs w:val="20"/>
        </w:rPr>
        <w:br/>
        <w:t xml:space="preserve">This value is not known until the Danish </w:t>
      </w:r>
      <w:proofErr w:type="spellStart"/>
      <w:r w:rsidRPr="002E157C">
        <w:rPr>
          <w:rFonts w:ascii="Verdana" w:hAnsi="Verdana"/>
          <w:sz w:val="20"/>
          <w:szCs w:val="20"/>
        </w:rPr>
        <w:t>businessday</w:t>
      </w:r>
      <w:proofErr w:type="spellEnd"/>
      <w:r w:rsidRPr="002E157C">
        <w:rPr>
          <w:rFonts w:ascii="Verdana" w:hAnsi="Verdana"/>
          <w:sz w:val="20"/>
          <w:szCs w:val="20"/>
        </w:rPr>
        <w:t xml:space="preserve"> before the bond’s </w:t>
      </w:r>
      <w:proofErr w:type="spellStart"/>
      <w:r w:rsidRPr="002E157C">
        <w:rPr>
          <w:rFonts w:ascii="Verdana" w:hAnsi="Verdana"/>
          <w:sz w:val="20"/>
          <w:szCs w:val="20"/>
        </w:rPr>
        <w:t>paymentdate</w:t>
      </w:r>
      <w:proofErr w:type="spellEnd"/>
      <w:r w:rsidRPr="002E157C">
        <w:rPr>
          <w:rFonts w:ascii="Verdana" w:hAnsi="Verdana"/>
          <w:sz w:val="20"/>
          <w:szCs w:val="20"/>
        </w:rPr>
        <w:t>. As the issuer can issue new bonds and underlying loans can be redeemed through buying the bonds and handing them in for a complete cancellation of the loan.</w:t>
      </w:r>
    </w:p>
    <w:p w14:paraId="7A506BC5" w14:textId="77777777" w:rsidR="002049CE" w:rsidRPr="002E157C" w:rsidRDefault="002049CE" w:rsidP="002049CE">
      <w:pPr>
        <w:rPr>
          <w:rFonts w:ascii="Verdana" w:hAnsi="Verdana"/>
          <w:sz w:val="20"/>
          <w:szCs w:val="20"/>
        </w:rPr>
      </w:pPr>
    </w:p>
    <w:p w14:paraId="7A435E06" w14:textId="77777777" w:rsidR="002049CE" w:rsidRPr="002E157C" w:rsidRDefault="002049CE" w:rsidP="002049CE">
      <w:pPr>
        <w:rPr>
          <w:rFonts w:ascii="Verdana" w:hAnsi="Verdana"/>
          <w:sz w:val="20"/>
          <w:szCs w:val="20"/>
        </w:rPr>
      </w:pPr>
      <w:proofErr w:type="gramStart"/>
      <w:r w:rsidRPr="002E157C">
        <w:rPr>
          <w:rFonts w:ascii="Verdana" w:hAnsi="Verdana"/>
          <w:sz w:val="20"/>
          <w:szCs w:val="20"/>
        </w:rPr>
        <w:t>So</w:t>
      </w:r>
      <w:proofErr w:type="gramEnd"/>
      <w:r w:rsidRPr="002E157C">
        <w:rPr>
          <w:rFonts w:ascii="Verdana" w:hAnsi="Verdana"/>
          <w:sz w:val="20"/>
          <w:szCs w:val="20"/>
        </w:rPr>
        <w:t xml:space="preserve"> it can both increase and decrease through the period leading up to the bond’s </w:t>
      </w:r>
      <w:proofErr w:type="spellStart"/>
      <w:r w:rsidRPr="002E157C">
        <w:rPr>
          <w:rFonts w:ascii="Verdana" w:hAnsi="Verdana"/>
          <w:sz w:val="20"/>
          <w:szCs w:val="20"/>
        </w:rPr>
        <w:t>paymentdate</w:t>
      </w:r>
      <w:proofErr w:type="spellEnd"/>
    </w:p>
    <w:p w14:paraId="057AF6F5" w14:textId="77777777" w:rsidR="002049CE" w:rsidRPr="002E157C" w:rsidRDefault="002049CE" w:rsidP="002049CE">
      <w:pPr>
        <w:rPr>
          <w:rFonts w:ascii="Verdana" w:hAnsi="Verdana"/>
          <w:sz w:val="20"/>
          <w:szCs w:val="20"/>
        </w:rPr>
      </w:pPr>
    </w:p>
    <w:p w14:paraId="5960C256" w14:textId="77777777" w:rsidR="002049CE" w:rsidRPr="002E157C" w:rsidRDefault="002049CE" w:rsidP="002049CE">
      <w:pPr>
        <w:rPr>
          <w:rFonts w:ascii="Verdana" w:hAnsi="Verdana"/>
          <w:sz w:val="20"/>
          <w:szCs w:val="20"/>
        </w:rPr>
      </w:pPr>
      <w:r w:rsidRPr="002E157C">
        <w:rPr>
          <w:rFonts w:ascii="Verdana" w:hAnsi="Verdana"/>
          <w:sz w:val="20"/>
          <w:szCs w:val="20"/>
        </w:rPr>
        <w:t>Example preliminary redemptions-data for a bond:</w:t>
      </w:r>
    </w:p>
    <w:p w14:paraId="700C32F5" w14:textId="77777777" w:rsidR="002049CE" w:rsidRPr="002E157C" w:rsidRDefault="002049CE" w:rsidP="002049CE">
      <w:pPr>
        <w:rPr>
          <w:rFonts w:ascii="Verdana" w:hAnsi="Verdana"/>
          <w:sz w:val="20"/>
          <w:szCs w:val="20"/>
        </w:rPr>
      </w:pPr>
    </w:p>
    <w:p w14:paraId="1F0BD96A" w14:textId="77777777" w:rsidR="002049CE" w:rsidRPr="002E157C" w:rsidRDefault="002049CE" w:rsidP="002049CE">
      <w:pPr>
        <w:rPr>
          <w:rFonts w:ascii="Verdana" w:hAnsi="Verdana"/>
          <w:sz w:val="20"/>
          <w:szCs w:val="20"/>
        </w:rPr>
      </w:pPr>
      <w:r w:rsidRPr="002E157C">
        <w:rPr>
          <w:rFonts w:ascii="Verdana" w:hAnsi="Verdana"/>
          <w:noProof/>
          <w:sz w:val="20"/>
          <w:szCs w:val="20"/>
          <w:lang w:eastAsia="da-DK"/>
        </w:rPr>
        <w:drawing>
          <wp:inline distT="0" distB="0" distL="0" distR="0" wp14:anchorId="5F784943" wp14:editId="249F820F">
            <wp:extent cx="5760720" cy="3084830"/>
            <wp:effectExtent l="0" t="0" r="0" b="1270"/>
            <wp:docPr id="1" name="Billede 1" descr="cid:image001.png@01D53348.C891A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3348.C891ADF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60720" cy="3084830"/>
                    </a:xfrm>
                    <a:prstGeom prst="rect">
                      <a:avLst/>
                    </a:prstGeom>
                    <a:noFill/>
                    <a:ln>
                      <a:noFill/>
                    </a:ln>
                  </pic:spPr>
                </pic:pic>
              </a:graphicData>
            </a:graphic>
          </wp:inline>
        </w:drawing>
      </w:r>
    </w:p>
    <w:p w14:paraId="24A08D74" w14:textId="77777777" w:rsidR="002049CE" w:rsidRPr="002E157C" w:rsidRDefault="002049CE" w:rsidP="002049CE">
      <w:pPr>
        <w:rPr>
          <w:rFonts w:ascii="Verdana" w:hAnsi="Verdana"/>
          <w:sz w:val="20"/>
          <w:szCs w:val="20"/>
        </w:rPr>
      </w:pPr>
    </w:p>
    <w:p w14:paraId="3E5F5BBB" w14:textId="77777777" w:rsidR="002049CE" w:rsidRPr="002E157C" w:rsidRDefault="002049CE" w:rsidP="002049CE">
      <w:pPr>
        <w:rPr>
          <w:rFonts w:ascii="Verdana" w:hAnsi="Verdana"/>
          <w:sz w:val="20"/>
          <w:szCs w:val="20"/>
          <w:lang w:val="da-DK"/>
        </w:rPr>
      </w:pPr>
      <w:r w:rsidRPr="002E157C">
        <w:rPr>
          <w:rFonts w:ascii="Verdana" w:hAnsi="Verdana"/>
          <w:sz w:val="20"/>
          <w:szCs w:val="20"/>
        </w:rPr>
        <w:t>Questions:</w:t>
      </w:r>
    </w:p>
    <w:p w14:paraId="6B4EDE70" w14:textId="77777777" w:rsidR="002049CE" w:rsidRPr="002E157C" w:rsidRDefault="002049CE" w:rsidP="002049CE">
      <w:pPr>
        <w:rPr>
          <w:rFonts w:ascii="Verdana" w:hAnsi="Verdana"/>
          <w:sz w:val="20"/>
          <w:szCs w:val="20"/>
        </w:rPr>
      </w:pPr>
    </w:p>
    <w:p w14:paraId="4BB84FCB" w14:textId="77777777" w:rsidR="002049CE" w:rsidRPr="002E157C" w:rsidRDefault="002049CE" w:rsidP="002049CE">
      <w:pPr>
        <w:pStyle w:val="Liststycke"/>
        <w:numPr>
          <w:ilvl w:val="0"/>
          <w:numId w:val="19"/>
        </w:numPr>
        <w:tabs>
          <w:tab w:val="clear" w:pos="0"/>
          <w:tab w:val="clear" w:pos="142"/>
          <w:tab w:val="clear" w:pos="284"/>
          <w:tab w:val="clear" w:pos="567"/>
        </w:tabs>
        <w:autoSpaceDE/>
        <w:autoSpaceDN/>
        <w:adjustRightInd/>
        <w:spacing w:line="240" w:lineRule="auto"/>
        <w:jc w:val="left"/>
        <w:rPr>
          <w:rFonts w:ascii="Verdana" w:hAnsi="Verdana"/>
          <w:sz w:val="20"/>
          <w:szCs w:val="20"/>
        </w:rPr>
      </w:pPr>
      <w:r w:rsidRPr="002E157C">
        <w:rPr>
          <w:rFonts w:ascii="Verdana" w:hAnsi="Verdana"/>
          <w:sz w:val="20"/>
          <w:szCs w:val="20"/>
        </w:rPr>
        <w:lastRenderedPageBreak/>
        <w:t>Given the frequent (daily) changes in preliminary redemptions-data must the parties to any such repo/reverse/BSB/SBB submit (daily) modifications of the trade to the repository?</w:t>
      </w:r>
    </w:p>
    <w:p w14:paraId="78DA082B" w14:textId="77777777" w:rsidR="002049CE" w:rsidRPr="002E157C" w:rsidRDefault="002049CE" w:rsidP="002049CE">
      <w:pPr>
        <w:pStyle w:val="Liststycke"/>
        <w:numPr>
          <w:ilvl w:val="0"/>
          <w:numId w:val="19"/>
        </w:numPr>
        <w:tabs>
          <w:tab w:val="clear" w:pos="0"/>
          <w:tab w:val="clear" w:pos="142"/>
          <w:tab w:val="clear" w:pos="284"/>
          <w:tab w:val="clear" w:pos="567"/>
        </w:tabs>
        <w:autoSpaceDE/>
        <w:autoSpaceDN/>
        <w:adjustRightInd/>
        <w:spacing w:line="240" w:lineRule="auto"/>
        <w:jc w:val="left"/>
        <w:rPr>
          <w:rFonts w:ascii="Verdana" w:hAnsi="Verdana"/>
          <w:sz w:val="20"/>
          <w:szCs w:val="20"/>
        </w:rPr>
      </w:pPr>
      <w:r w:rsidRPr="002E157C">
        <w:rPr>
          <w:rFonts w:ascii="Verdana" w:hAnsi="Verdana"/>
          <w:sz w:val="20"/>
          <w:szCs w:val="20"/>
        </w:rPr>
        <w:t>Given the frequent (daily) changes in preliminary redemptions-data how closely must the “Principal amount on the maturity date” align for a proper matching to occur?</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117912D9" w14:textId="77777777" w:rsidR="002049CE" w:rsidRPr="002E157C" w:rsidRDefault="002049CE" w:rsidP="002049CE">
      <w:pPr>
        <w:rPr>
          <w:lang w:val="en-US"/>
        </w:rPr>
      </w:pPr>
      <w:permStart w:id="471607582" w:edGrp="everyone"/>
      <w:r w:rsidRPr="002E157C">
        <w:rPr>
          <w:lang w:val="en-US"/>
        </w:rPr>
        <w:t xml:space="preserve">The use of Internal Ratings as suggested by ESMA might force us to disclose information to the party to the trade that is not publicly known in the market (if a bank has downgraded a client in the internal rating compared to the official external ratings based on the knowledge about the clients debt and financing situation) plus highlighting the difficulties for a reporting setup to obtain access and distribute internal credit ratings in the first place as this is seen as confidential information and access granted on a need to know basis. </w:t>
      </w:r>
    </w:p>
    <w:p w14:paraId="4B9C1556" w14:textId="3C0B1D8A" w:rsidR="00D62A4F" w:rsidRPr="002049CE" w:rsidRDefault="00D62A4F" w:rsidP="00D62A4F">
      <w:pPr>
        <w:rPr>
          <w:rFonts w:ascii="Arial" w:hAnsi="Arial" w:cs="Arial"/>
          <w:lang w:val="en-US"/>
        </w:rPr>
      </w:pP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335A20F3" w14:textId="77777777" w:rsidR="002049CE" w:rsidRPr="002E157C" w:rsidRDefault="002049CE" w:rsidP="002049CE">
      <w:pPr>
        <w:autoSpaceDE w:val="0"/>
        <w:autoSpaceDN w:val="0"/>
        <w:adjustRightInd w:val="0"/>
        <w:rPr>
          <w:rFonts w:cstheme="minorHAnsi"/>
        </w:rPr>
      </w:pPr>
      <w:permStart w:id="1994859972" w:edGrp="everyone"/>
      <w:r w:rsidRPr="002E157C">
        <w:rPr>
          <w:rFonts w:cstheme="minorHAnsi"/>
        </w:rPr>
        <w:t xml:space="preserve">Reporting collateral for loans and the Security Type and Collateral Type fields is a challenge. In order to enter these fields, you must know which, usually shares, are included in different indexes. This information is perishable goods, is not always available or has to be bought at high costs. </w:t>
      </w:r>
      <w:r w:rsidRPr="002E157C">
        <w:rPr>
          <w:rFonts w:cstheme="minorHAnsi"/>
        </w:rPr>
        <w:br/>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77777777" w:rsidR="00D62A4F" w:rsidRDefault="00D62A4F" w:rsidP="00D62A4F">
      <w:pPr>
        <w:rPr>
          <w:rFonts w:ascii="Arial" w:hAnsi="Arial" w:cs="Arial"/>
        </w:rPr>
      </w:pPr>
      <w:permStart w:id="287460907" w:edGrp="everyone"/>
      <w:r>
        <w:rPr>
          <w:rFonts w:ascii="Arial" w:hAnsi="Arial" w:cs="Arial"/>
        </w:rPr>
        <w:t>TYPE YOUR TEXT HERE</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lastRenderedPageBreak/>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10F07FC9" w14:textId="77777777" w:rsidR="002049CE" w:rsidRPr="002E157C" w:rsidRDefault="002049CE" w:rsidP="002049CE">
      <w:pPr>
        <w:autoSpaceDE w:val="0"/>
        <w:autoSpaceDN w:val="0"/>
        <w:adjustRightInd w:val="0"/>
        <w:rPr>
          <w:rFonts w:cstheme="minorHAnsi"/>
        </w:rPr>
      </w:pPr>
      <w:permStart w:id="880958821" w:edGrp="everyone"/>
      <w:r w:rsidRPr="002E157C">
        <w:rPr>
          <w:rFonts w:cstheme="minorHAnsi"/>
        </w:rPr>
        <w:t>We do not understand why the proposed validation rules indicate that you do not need to report details of collateral when collateral basket identifier is not available (= NTAV).</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77777777" w:rsidR="00D62A4F" w:rsidRDefault="00D62A4F" w:rsidP="00D62A4F">
      <w:pPr>
        <w:rPr>
          <w:rFonts w:ascii="Arial" w:hAnsi="Arial" w:cs="Arial"/>
        </w:rPr>
      </w:pPr>
      <w:permStart w:id="1730242269" w:edGrp="everyone"/>
      <w:r>
        <w:rPr>
          <w:rFonts w:ascii="Arial" w:hAnsi="Arial" w:cs="Arial"/>
        </w:rPr>
        <w:t>TYPE YOUR TEXT HERE</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77777777" w:rsidR="00D62A4F" w:rsidRDefault="00D62A4F" w:rsidP="00D62A4F">
      <w:pPr>
        <w:rPr>
          <w:rFonts w:ascii="Arial" w:hAnsi="Arial" w:cs="Arial"/>
        </w:rPr>
      </w:pPr>
      <w:permStart w:id="1339502429" w:edGrp="everyone"/>
      <w:r>
        <w:rPr>
          <w:rFonts w:ascii="Arial" w:hAnsi="Arial" w:cs="Arial"/>
        </w:rPr>
        <w:t>TYPE YOUR TEXT HERE</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lastRenderedPageBreak/>
        <w:t>&lt;ESMA_QUESTION_RSFTR_68&gt;</w:t>
      </w:r>
    </w:p>
    <w:p w14:paraId="0A060E59" w14:textId="77777777" w:rsidR="00D62A4F" w:rsidRDefault="00D62A4F" w:rsidP="00D62A4F">
      <w:pPr>
        <w:rPr>
          <w:rFonts w:ascii="Arial" w:hAnsi="Arial" w:cs="Arial"/>
        </w:rPr>
      </w:pPr>
      <w:permStart w:id="844636493" w:edGrp="everyone"/>
      <w:r>
        <w:rPr>
          <w:rFonts w:ascii="Arial" w:hAnsi="Arial" w:cs="Arial"/>
        </w:rPr>
        <w:t>TYPE YOUR TEXT HERE</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3A84A26" w14:textId="77777777" w:rsidR="00D62A4F" w:rsidRDefault="00D62A4F" w:rsidP="00D62A4F">
      <w:pPr>
        <w:rPr>
          <w:rFonts w:ascii="Arial" w:hAnsi="Arial" w:cs="Arial"/>
        </w:rPr>
      </w:pPr>
      <w:permStart w:id="1443438018" w:edGrp="everyone"/>
      <w:r>
        <w:rPr>
          <w:rFonts w:ascii="Arial" w:hAnsi="Arial" w:cs="Arial"/>
        </w:rPr>
        <w:t>TYPE YOUR TEXT HERE</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77777777" w:rsidR="00D62A4F" w:rsidRDefault="00D62A4F" w:rsidP="00D62A4F">
      <w:pPr>
        <w:rPr>
          <w:rFonts w:ascii="Arial" w:hAnsi="Arial" w:cs="Arial"/>
        </w:rPr>
      </w:pPr>
      <w:permStart w:id="1468363311" w:edGrp="everyone"/>
      <w:r>
        <w:rPr>
          <w:rFonts w:ascii="Arial" w:hAnsi="Arial" w:cs="Arial"/>
        </w:rPr>
        <w:t>TYPE YOUR TEXT HERE</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77777777" w:rsidR="00D62A4F" w:rsidRDefault="00D62A4F" w:rsidP="00D62A4F">
      <w:pPr>
        <w:rPr>
          <w:rFonts w:ascii="Arial" w:hAnsi="Arial" w:cs="Arial"/>
        </w:rPr>
      </w:pPr>
      <w:permStart w:id="248856653" w:edGrp="everyone"/>
      <w:r>
        <w:rPr>
          <w:rFonts w:ascii="Arial" w:hAnsi="Arial" w:cs="Arial"/>
        </w:rPr>
        <w:t>TYPE YOUR TEXT HERE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7777777" w:rsidR="00D62A4F" w:rsidRDefault="00D62A4F" w:rsidP="00D62A4F">
      <w:pPr>
        <w:rPr>
          <w:rFonts w:ascii="Arial" w:hAnsi="Arial" w:cs="Arial"/>
        </w:rPr>
      </w:pPr>
      <w:permStart w:id="1015950173" w:edGrp="everyone"/>
      <w:r>
        <w:rPr>
          <w:rFonts w:ascii="Arial" w:hAnsi="Arial" w:cs="Arial"/>
        </w:rPr>
        <w:t>TYPE YOUR TEXT HERE</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65D8ADAA" w14:textId="77777777" w:rsidR="00D62A4F" w:rsidRDefault="00D62A4F" w:rsidP="00D62A4F">
      <w:pPr>
        <w:rPr>
          <w:rFonts w:ascii="Arial" w:hAnsi="Arial" w:cs="Arial"/>
        </w:rPr>
      </w:pPr>
      <w:permStart w:id="1639145507" w:edGrp="everyone"/>
      <w:r>
        <w:rPr>
          <w:rFonts w:ascii="Arial" w:hAnsi="Arial" w:cs="Arial"/>
        </w:rPr>
        <w:t>TYPE YOUR TEXT HERE</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496ACA74" w14:textId="77777777" w:rsidR="00D62A4F" w:rsidRDefault="00D62A4F" w:rsidP="00D62A4F">
      <w:pPr>
        <w:rPr>
          <w:rFonts w:ascii="Arial" w:hAnsi="Arial" w:cs="Arial"/>
        </w:rPr>
      </w:pPr>
      <w:permStart w:id="519007830" w:edGrp="everyone"/>
      <w:r>
        <w:rPr>
          <w:rFonts w:ascii="Arial" w:hAnsi="Arial" w:cs="Arial"/>
        </w:rPr>
        <w:t>TYPE YOUR TEXT HERE</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167C3A7" w14:textId="77777777" w:rsidR="00D62A4F" w:rsidRDefault="00D62A4F" w:rsidP="00D62A4F">
      <w:pPr>
        <w:rPr>
          <w:rFonts w:ascii="Arial" w:hAnsi="Arial" w:cs="Arial"/>
        </w:rPr>
      </w:pPr>
      <w:permStart w:id="155744384" w:edGrp="everyone"/>
      <w:r>
        <w:rPr>
          <w:rFonts w:ascii="Arial" w:hAnsi="Arial" w:cs="Arial"/>
        </w:rPr>
        <w:t>TYPE YOUR TEXT HERE</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77777777" w:rsidR="00D62A4F" w:rsidRDefault="00D62A4F" w:rsidP="00D62A4F">
      <w:pPr>
        <w:rPr>
          <w:rFonts w:ascii="Arial" w:hAnsi="Arial" w:cs="Arial"/>
        </w:rPr>
      </w:pPr>
      <w:permStart w:id="518009152" w:edGrp="everyone"/>
      <w:r>
        <w:rPr>
          <w:rFonts w:ascii="Arial" w:hAnsi="Arial" w:cs="Arial"/>
        </w:rPr>
        <w:t>TYPE YOUR TEXT HERE</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65373709" w14:textId="77777777" w:rsidR="00D62A4F" w:rsidRDefault="00D62A4F" w:rsidP="00D62A4F">
      <w:pPr>
        <w:rPr>
          <w:rFonts w:ascii="Arial" w:hAnsi="Arial" w:cs="Arial"/>
        </w:rPr>
      </w:pPr>
      <w:permStart w:id="144791521" w:edGrp="everyone"/>
      <w:r>
        <w:rPr>
          <w:rFonts w:ascii="Arial" w:hAnsi="Arial" w:cs="Arial"/>
        </w:rPr>
        <w:t>TYPE YOUR TEXT HERE</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17C2E409" w14:textId="77777777" w:rsidR="00D62A4F" w:rsidRDefault="00D62A4F" w:rsidP="00D62A4F">
      <w:pPr>
        <w:rPr>
          <w:rFonts w:ascii="Arial" w:hAnsi="Arial" w:cs="Arial"/>
        </w:rPr>
      </w:pPr>
      <w:permStart w:id="446115876" w:edGrp="everyone"/>
      <w:r>
        <w:rPr>
          <w:rFonts w:ascii="Arial" w:hAnsi="Arial" w:cs="Arial"/>
        </w:rPr>
        <w:t>TYPE YOUR TEXT HERE</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lastRenderedPageBreak/>
        <w:t>&lt;ESMA_QUESTION_RSFTR_81&gt;</w:t>
      </w:r>
    </w:p>
    <w:p w14:paraId="611F7BFC" w14:textId="77777777" w:rsidR="00D62A4F" w:rsidRDefault="00D62A4F" w:rsidP="00D62A4F">
      <w:pPr>
        <w:rPr>
          <w:rFonts w:ascii="Arial" w:hAnsi="Arial" w:cs="Arial"/>
        </w:rPr>
      </w:pPr>
      <w:permStart w:id="609573297" w:edGrp="everyone"/>
      <w:r>
        <w:rPr>
          <w:rFonts w:ascii="Arial" w:hAnsi="Arial" w:cs="Arial"/>
        </w:rPr>
        <w:t>TYPE YOUR TEXT HERE</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122FDA6D" w14:textId="77777777" w:rsidR="002049CE" w:rsidRPr="002E157C" w:rsidRDefault="002049CE" w:rsidP="002049CE">
      <w:pPr>
        <w:autoSpaceDE w:val="0"/>
        <w:autoSpaceDN w:val="0"/>
        <w:adjustRightInd w:val="0"/>
        <w:rPr>
          <w:rFonts w:cstheme="minorHAnsi"/>
        </w:rPr>
      </w:pPr>
      <w:permStart w:id="1962808987" w:edGrp="everyone"/>
      <w:r w:rsidRPr="002E157C">
        <w:rPr>
          <w:rFonts w:cstheme="minorHAnsi"/>
        </w:rPr>
        <w:t xml:space="preserve">The description of feedback in the consultation is unclear. We need a very clear description on how the feedback is intended to work to ensure compatible solutions between different TRs. The </w:t>
      </w:r>
      <w:proofErr w:type="spellStart"/>
      <w:r w:rsidRPr="002E157C">
        <w:rPr>
          <w:rFonts w:cstheme="minorHAnsi"/>
        </w:rPr>
        <w:t>MiFIR</w:t>
      </w:r>
      <w:proofErr w:type="spellEnd"/>
      <w:r w:rsidRPr="002E157C">
        <w:rPr>
          <w:rFonts w:cstheme="minorHAnsi"/>
        </w:rPr>
        <w:t xml:space="preserve"> Reporting Instructions document is a good example of clear instruction of the reporting mechanisms. </w:t>
      </w:r>
    </w:p>
    <w:p w14:paraId="50DB3335" w14:textId="77777777" w:rsidR="002049CE" w:rsidRPr="002E157C" w:rsidRDefault="002049CE" w:rsidP="002049CE">
      <w:pPr>
        <w:autoSpaceDE w:val="0"/>
        <w:autoSpaceDN w:val="0"/>
        <w:adjustRightInd w:val="0"/>
        <w:rPr>
          <w:rFonts w:cstheme="minorHAnsi"/>
        </w:rPr>
      </w:pPr>
    </w:p>
    <w:p w14:paraId="04484728" w14:textId="77777777" w:rsidR="002049CE" w:rsidRPr="002E157C" w:rsidRDefault="002049CE" w:rsidP="002049CE">
      <w:pPr>
        <w:autoSpaceDE w:val="0"/>
        <w:autoSpaceDN w:val="0"/>
        <w:adjustRightInd w:val="0"/>
        <w:rPr>
          <w:rFonts w:cstheme="minorHAnsi"/>
        </w:rPr>
      </w:pPr>
      <w:r w:rsidRPr="002E157C">
        <w:rPr>
          <w:rFonts w:cstheme="minorHAnsi"/>
        </w:rPr>
        <w:t xml:space="preserve">As we currently understand the feedback design it will be impossible to associate one feedback report to a specific report that we submitted for that UTI (or combination of key fields for the COLU-message). This can be alleviated in several ways. Our preferred solution is to add an optional reference to the submitted report that will be included in any feedback on that report. This would enable us to send several messages related to the same UTI in the same file. The current best solution in </w:t>
      </w:r>
      <w:proofErr w:type="spellStart"/>
      <w:r w:rsidRPr="002E157C">
        <w:rPr>
          <w:rFonts w:cstheme="minorHAnsi"/>
        </w:rPr>
        <w:t>MiFIR</w:t>
      </w:r>
      <w:proofErr w:type="spellEnd"/>
      <w:r w:rsidRPr="002E157C">
        <w:rPr>
          <w:rFonts w:cstheme="minorHAnsi"/>
        </w:rPr>
        <w:t xml:space="preserve"> limit us to sending one update for one transaction at a time, then waiting for clear feedback before sending any further updates - this is complicated and delays any correction of previous reports. </w:t>
      </w:r>
    </w:p>
    <w:p w14:paraId="63DE8745" w14:textId="77777777" w:rsidR="002049CE" w:rsidRPr="002E157C" w:rsidRDefault="002049CE" w:rsidP="002049CE">
      <w:pPr>
        <w:autoSpaceDE w:val="0"/>
        <w:autoSpaceDN w:val="0"/>
        <w:adjustRightInd w:val="0"/>
        <w:rPr>
          <w:rFonts w:cstheme="minorHAnsi"/>
        </w:rPr>
      </w:pPr>
    </w:p>
    <w:p w14:paraId="6AF855AE" w14:textId="77777777" w:rsidR="002049CE" w:rsidRPr="002E157C" w:rsidRDefault="002049CE" w:rsidP="002049CE">
      <w:pPr>
        <w:autoSpaceDE w:val="0"/>
        <w:autoSpaceDN w:val="0"/>
        <w:adjustRightInd w:val="0"/>
        <w:rPr>
          <w:rFonts w:cstheme="minorHAnsi"/>
        </w:rPr>
      </w:pPr>
      <w:r w:rsidRPr="002E157C">
        <w:rPr>
          <w:rFonts w:cstheme="minorHAnsi"/>
        </w:rPr>
        <w:t xml:space="preserve">Also, we would like a clarification on what “the relevant ISO20022 XML message” means in point 393. If this is the </w:t>
      </w:r>
      <w:proofErr w:type="spellStart"/>
      <w:r w:rsidRPr="002E157C">
        <w:rPr>
          <w:rFonts w:cstheme="minorHAnsi"/>
        </w:rPr>
        <w:t>MiFIR</w:t>
      </w:r>
      <w:proofErr w:type="spellEnd"/>
      <w:r w:rsidRPr="002E157C">
        <w:rPr>
          <w:rFonts w:cstheme="minorHAnsi"/>
        </w:rPr>
        <w:t xml:space="preserve"> message as we suspect given the documentation from </w:t>
      </w:r>
      <w:proofErr w:type="gramStart"/>
      <w:r w:rsidRPr="002E157C">
        <w:rPr>
          <w:rFonts w:cstheme="minorHAnsi"/>
        </w:rPr>
        <w:t>ISO</w:t>
      </w:r>
      <w:proofErr w:type="gramEnd"/>
      <w:r w:rsidRPr="002E157C">
        <w:rPr>
          <w:rFonts w:cstheme="minorHAnsi"/>
        </w:rPr>
        <w:t xml:space="preserve"> we would suggest adding a reference to enable us to map feedback on several versions of one trade to the correct version and thus enabling quicker reporting and better state-keeping of submitted transactions. In the current implementation of the </w:t>
      </w:r>
      <w:proofErr w:type="spellStart"/>
      <w:r w:rsidRPr="002E157C">
        <w:rPr>
          <w:rFonts w:cstheme="minorHAnsi"/>
        </w:rPr>
        <w:t>MiFIR</w:t>
      </w:r>
      <w:proofErr w:type="spellEnd"/>
      <w:r w:rsidRPr="002E157C">
        <w:rPr>
          <w:rFonts w:cstheme="minorHAnsi"/>
        </w:rPr>
        <w:t xml:space="preserve"> messaging we must deduce what transactions were accepted by an inclusion-exclusion principle, we would prefer to receive clear identification of what transactions and updates were accepted to make our reporting process more efficient and less error prone. To identify a message we would need the message key (e.g. UTI or the (counterparty, other counterparty, master agreement) 3-</w:t>
      </w:r>
      <w:proofErr w:type="gramStart"/>
      <w:r w:rsidRPr="002E157C">
        <w:rPr>
          <w:rFonts w:cstheme="minorHAnsi"/>
        </w:rPr>
        <w:t>tuple )</w:t>
      </w:r>
      <w:proofErr w:type="gramEnd"/>
      <w:r w:rsidRPr="002E157C">
        <w:rPr>
          <w:rFonts w:cstheme="minorHAnsi"/>
        </w:rPr>
        <w:t xml:space="preserve"> as well as the message reference mentioned above if it was included in the message that relates to the feedback.</w:t>
      </w:r>
      <w:r w:rsidRPr="002E157C">
        <w:rPr>
          <w:rFonts w:cstheme="minorHAnsi"/>
        </w:rPr>
        <w:br/>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529C2AD4" w14:textId="77777777" w:rsidR="002049CE" w:rsidRPr="002E157C" w:rsidRDefault="002049CE" w:rsidP="002049CE">
      <w:pPr>
        <w:autoSpaceDE w:val="0"/>
        <w:autoSpaceDN w:val="0"/>
        <w:adjustRightInd w:val="0"/>
        <w:rPr>
          <w:rFonts w:cstheme="minorHAnsi"/>
        </w:rPr>
      </w:pPr>
      <w:permStart w:id="1875119290" w:edGrp="everyone"/>
      <w:r w:rsidRPr="002E157C">
        <w:rPr>
          <w:rFonts w:cstheme="minorHAnsi"/>
        </w:rPr>
        <w:t xml:space="preserve">The description of feedback in the consultation is unclear. We need a very clear description on how the feedback is intended to work to ensure compatible solutions between different TRs. The </w:t>
      </w:r>
      <w:proofErr w:type="spellStart"/>
      <w:r w:rsidRPr="002E157C">
        <w:rPr>
          <w:rFonts w:cstheme="minorHAnsi"/>
        </w:rPr>
        <w:t>MiFIR</w:t>
      </w:r>
      <w:proofErr w:type="spellEnd"/>
      <w:r w:rsidRPr="002E157C">
        <w:rPr>
          <w:rFonts w:cstheme="minorHAnsi"/>
        </w:rPr>
        <w:t xml:space="preserve"> Reporting Instructions document is a good example of clear instruction of the reporting mechanisms. </w:t>
      </w:r>
    </w:p>
    <w:p w14:paraId="4C23F828" w14:textId="77777777" w:rsidR="002049CE" w:rsidRPr="002E157C" w:rsidRDefault="002049CE" w:rsidP="002049CE">
      <w:pPr>
        <w:autoSpaceDE w:val="0"/>
        <w:autoSpaceDN w:val="0"/>
        <w:adjustRightInd w:val="0"/>
        <w:rPr>
          <w:rFonts w:cstheme="minorHAnsi"/>
        </w:rPr>
      </w:pPr>
    </w:p>
    <w:p w14:paraId="1AF3FB03" w14:textId="77777777" w:rsidR="002049CE" w:rsidRPr="002E157C" w:rsidRDefault="002049CE" w:rsidP="002049CE">
      <w:pPr>
        <w:autoSpaceDE w:val="0"/>
        <w:autoSpaceDN w:val="0"/>
        <w:adjustRightInd w:val="0"/>
        <w:rPr>
          <w:rFonts w:cstheme="minorHAnsi"/>
        </w:rPr>
      </w:pPr>
      <w:r w:rsidRPr="002E157C">
        <w:rPr>
          <w:rFonts w:cstheme="minorHAnsi"/>
        </w:rPr>
        <w:t xml:space="preserve">As we currently understand the feedback design it will be impossible to associate one feedback report to a specific report that we submitted for that UTI (or combination of key </w:t>
      </w:r>
      <w:r w:rsidRPr="002E157C">
        <w:rPr>
          <w:rFonts w:cstheme="minorHAnsi"/>
        </w:rPr>
        <w:lastRenderedPageBreak/>
        <w:t xml:space="preserve">fields for the COLU-message). This can be alleviated in several ways. Our preferred solution is to add an optional reference to the submitted report that will be included in any feedback on that report. This would enable us to send several messages related to the same UTI in the same file. The current best solution in </w:t>
      </w:r>
      <w:proofErr w:type="spellStart"/>
      <w:r w:rsidRPr="002E157C">
        <w:rPr>
          <w:rFonts w:cstheme="minorHAnsi"/>
        </w:rPr>
        <w:t>MiFIR</w:t>
      </w:r>
      <w:proofErr w:type="spellEnd"/>
      <w:r w:rsidRPr="002E157C">
        <w:rPr>
          <w:rFonts w:cstheme="minorHAnsi"/>
        </w:rPr>
        <w:t xml:space="preserve"> limit us to sending one update for one transaction at a time, then waiting for clear feedback before sending any further updates - this is complicated and delays any correction of previous reports. </w:t>
      </w:r>
    </w:p>
    <w:p w14:paraId="1CF16BD2" w14:textId="77777777" w:rsidR="002049CE" w:rsidRPr="002E157C" w:rsidRDefault="002049CE" w:rsidP="002049CE">
      <w:pPr>
        <w:autoSpaceDE w:val="0"/>
        <w:autoSpaceDN w:val="0"/>
        <w:adjustRightInd w:val="0"/>
        <w:rPr>
          <w:rFonts w:cstheme="minorHAnsi"/>
        </w:rPr>
      </w:pPr>
    </w:p>
    <w:p w14:paraId="74C226EF" w14:textId="77777777" w:rsidR="002049CE" w:rsidRPr="002E157C" w:rsidRDefault="002049CE" w:rsidP="002049CE">
      <w:pPr>
        <w:autoSpaceDE w:val="0"/>
        <w:autoSpaceDN w:val="0"/>
        <w:adjustRightInd w:val="0"/>
        <w:rPr>
          <w:rFonts w:cstheme="minorHAnsi"/>
        </w:rPr>
      </w:pPr>
      <w:r w:rsidRPr="002E157C">
        <w:rPr>
          <w:rFonts w:cstheme="minorHAnsi"/>
        </w:rPr>
        <w:t xml:space="preserve">Also, we would like a clarification on what “the relevant ISO20022 XML message” means in point 393. If this is the </w:t>
      </w:r>
      <w:proofErr w:type="spellStart"/>
      <w:r w:rsidRPr="002E157C">
        <w:rPr>
          <w:rFonts w:cstheme="minorHAnsi"/>
        </w:rPr>
        <w:t>MiFIR</w:t>
      </w:r>
      <w:proofErr w:type="spellEnd"/>
      <w:r w:rsidRPr="002E157C">
        <w:rPr>
          <w:rFonts w:cstheme="minorHAnsi"/>
        </w:rPr>
        <w:t xml:space="preserve"> message as we suspect given the documentation from </w:t>
      </w:r>
      <w:proofErr w:type="gramStart"/>
      <w:r w:rsidRPr="002E157C">
        <w:rPr>
          <w:rFonts w:cstheme="minorHAnsi"/>
        </w:rPr>
        <w:t>ISO</w:t>
      </w:r>
      <w:proofErr w:type="gramEnd"/>
      <w:r w:rsidRPr="002E157C">
        <w:rPr>
          <w:rFonts w:cstheme="minorHAnsi"/>
        </w:rPr>
        <w:t xml:space="preserve"> we would suggest adding a reference to enable us to map feedback on several versions of one trade to the correct version and thus enabling quicker reporting and better state-keeping of submitted transactions. In the current implementation of the </w:t>
      </w:r>
      <w:proofErr w:type="spellStart"/>
      <w:r w:rsidRPr="002E157C">
        <w:rPr>
          <w:rFonts w:cstheme="minorHAnsi"/>
        </w:rPr>
        <w:t>MiFIR</w:t>
      </w:r>
      <w:proofErr w:type="spellEnd"/>
      <w:r w:rsidRPr="002E157C">
        <w:rPr>
          <w:rFonts w:cstheme="minorHAnsi"/>
        </w:rPr>
        <w:t xml:space="preserve"> messaging we must deduce what transactions were accepted by an inclusion-exclusion principle, we would prefer to receive clear identification of what transactions and updates were accepted to make our reporting process more efficient and less error prone. To identify a message we would need the message key (e.g. UTI or the (counterparty, other counterparty, master agreement) 3-</w:t>
      </w:r>
      <w:proofErr w:type="gramStart"/>
      <w:r w:rsidRPr="002E157C">
        <w:rPr>
          <w:rFonts w:cstheme="minorHAnsi"/>
        </w:rPr>
        <w:t>tuple )</w:t>
      </w:r>
      <w:proofErr w:type="gramEnd"/>
      <w:r w:rsidRPr="002E157C">
        <w:rPr>
          <w:rFonts w:cstheme="minorHAnsi"/>
        </w:rPr>
        <w:t xml:space="preserve"> as well as the message reference mentioned above if it was included in the message that relates to the feedback.</w:t>
      </w:r>
      <w:r w:rsidRPr="002E157C">
        <w:rPr>
          <w:rFonts w:cstheme="minorHAnsi"/>
          <w:b/>
          <w:bCs/>
        </w:rPr>
        <w:br/>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1"/>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6"/>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679B" w14:textId="77777777" w:rsidR="00A95D96" w:rsidRDefault="00A95D96" w:rsidP="007E7997">
      <w:r>
        <w:separator/>
      </w:r>
    </w:p>
  </w:endnote>
  <w:endnote w:type="continuationSeparator" w:id="0">
    <w:p w14:paraId="2384F21E" w14:textId="77777777" w:rsidR="00A95D96" w:rsidRDefault="00A95D96" w:rsidP="007E7997">
      <w:r>
        <w:continuationSeparator/>
      </w:r>
    </w:p>
  </w:endnote>
  <w:endnote w:type="continuationNotice" w:id="1">
    <w:p w14:paraId="19983519" w14:textId="77777777" w:rsidR="00A95D96" w:rsidRDefault="00A9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869A" w14:textId="77777777" w:rsidR="00A95D96" w:rsidRDefault="00A95D9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A95D96" w:rsidRDefault="00A95D96">
        <w:pPr>
          <w:pStyle w:val="Sidfot"/>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A95D96" w:rsidRDefault="00A95D9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B7DF34D" w:rsidR="00A95D96" w:rsidRDefault="00A95D96" w:rsidP="007A160F">
    <w:pPr>
      <w:pStyle w:val="Sidfot"/>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A95D96" w:rsidRDefault="00A95D96">
        <w:pPr>
          <w:pStyle w:val="Sidfot"/>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A95D96" w:rsidRDefault="00A95D96" w:rsidP="00FB24E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5A89" w14:textId="77777777" w:rsidR="00A95D96" w:rsidRDefault="00A95D96" w:rsidP="007E7997">
      <w:r>
        <w:separator/>
      </w:r>
    </w:p>
  </w:footnote>
  <w:footnote w:type="continuationSeparator" w:id="0">
    <w:p w14:paraId="383049F9" w14:textId="77777777" w:rsidR="00A95D96" w:rsidRDefault="00A95D96" w:rsidP="007E7997">
      <w:r>
        <w:continuationSeparator/>
      </w:r>
    </w:p>
  </w:footnote>
  <w:footnote w:type="continuationNotice" w:id="1">
    <w:p w14:paraId="25C9B169" w14:textId="77777777" w:rsidR="00A95D96" w:rsidRDefault="00A95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2FCB" w14:textId="77777777" w:rsidR="00A95D96" w:rsidRDefault="00A95D9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A95D96" w:rsidRDefault="00A95D96">
    <w:pPr>
      <w:pStyle w:val="Sidhuvud"/>
    </w:pPr>
  </w:p>
  <w:p w14:paraId="59FA3C9D" w14:textId="77777777" w:rsidR="00A95D96" w:rsidRDefault="00A95D9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A95D96" w:rsidRDefault="00A95D96">
    <w:pPr>
      <w:pStyle w:val="Sidhuvud"/>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A95D96" w:rsidRDefault="00A95D96" w:rsidP="00B50534">
    <w:pPr>
      <w:pStyle w:val="Sidhuvud"/>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A95D96" w:rsidRPr="00D13661" w:rsidRDefault="00A95D96" w:rsidP="00B50534">
    <w:pPr>
      <w:pStyle w:val="Sidhuvu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A95D96" w:rsidRPr="00C3170E" w:rsidRDefault="00A95D96" w:rsidP="00B50534">
    <w:pPr>
      <w:pStyle w:val="Sidhuvud"/>
      <w:jc w:val="right"/>
      <w:rPr>
        <w:color w:val="2F5496" w:themeColor="accent5" w:themeShade="BF"/>
        <w:sz w:val="20"/>
      </w:rPr>
    </w:pPr>
  </w:p>
  <w:p w14:paraId="5EAB6EC6" w14:textId="77777777" w:rsidR="00A95D96" w:rsidRPr="00B50534" w:rsidRDefault="00A95D96" w:rsidP="00B50534">
    <w:pPr>
      <w:pStyle w:val="Sidhuvu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1A9F"/>
    <w:multiLevelType w:val="hybridMultilevel"/>
    <w:tmpl w:val="9162BEBE"/>
    <w:lvl w:ilvl="0" w:tplc="9D58A28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Rubri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styck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A065998"/>
    <w:multiLevelType w:val="hybridMultilevel"/>
    <w:tmpl w:val="40349970"/>
    <w:lvl w:ilvl="0" w:tplc="36CED886">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Rubrik1"/>
      <w:lvlText w:val="%1."/>
      <w:lvlJc w:val="righ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8"/>
  </w:num>
  <w:num w:numId="6">
    <w:abstractNumId w:val="13"/>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Krantz">
    <w15:presenceInfo w15:providerId="Windows Live" w15:userId="59eed1b39f409f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sv-S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49CE"/>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4FE1"/>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2A0"/>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77CD5"/>
    <w:rsid w:val="0098011D"/>
    <w:rsid w:val="00981912"/>
    <w:rsid w:val="009819C0"/>
    <w:rsid w:val="00987A75"/>
    <w:rsid w:val="00991A8A"/>
    <w:rsid w:val="00992611"/>
    <w:rsid w:val="00994303"/>
    <w:rsid w:val="0099526D"/>
    <w:rsid w:val="009A0054"/>
    <w:rsid w:val="009A0F6E"/>
    <w:rsid w:val="009A259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5D96"/>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B50"/>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Rubrik1">
    <w:name w:val="heading 1"/>
    <w:basedOn w:val="Normal"/>
    <w:next w:val="Normal"/>
    <w:link w:val="Rubrik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Rubrik3">
    <w:name w:val="heading 3"/>
    <w:basedOn w:val="Normal"/>
    <w:next w:val="Normal"/>
    <w:link w:val="Rubrik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Rubrik4">
    <w:name w:val="heading 4"/>
    <w:basedOn w:val="Normal"/>
    <w:next w:val="Normal"/>
    <w:link w:val="Rubrik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Rubrik5">
    <w:name w:val="heading 5"/>
    <w:basedOn w:val="Normal"/>
    <w:next w:val="Normal"/>
    <w:link w:val="Rubrik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Rubrik6">
    <w:name w:val="heading 6"/>
    <w:basedOn w:val="Normal"/>
    <w:next w:val="Normal"/>
    <w:link w:val="Rubrik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Rubrik8">
    <w:name w:val="heading 8"/>
    <w:basedOn w:val="Normal"/>
    <w:next w:val="Normal"/>
    <w:link w:val="Rubrik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5B6B12"/>
    <w:pPr>
      <w:spacing w:after="0" w:line="240" w:lineRule="auto"/>
    </w:pPr>
    <w:rPr>
      <w:lang w:val="en-GB"/>
    </w:rPr>
  </w:style>
  <w:style w:type="character" w:customStyle="1" w:styleId="Rubrik4Char">
    <w:name w:val="Rubrik 4 Char"/>
    <w:basedOn w:val="Standardstycketeckensnitt"/>
    <w:link w:val="Rubrik4"/>
    <w:rsid w:val="00020300"/>
    <w:rPr>
      <w:rFonts w:asciiTheme="majorHAnsi" w:eastAsiaTheme="majorEastAsia" w:hAnsiTheme="majorHAnsi" w:cstheme="majorBidi"/>
      <w:sz w:val="24"/>
      <w:szCs w:val="22"/>
      <w:lang w:val="en-GB" w:eastAsia="en-GB"/>
    </w:rPr>
  </w:style>
  <w:style w:type="character" w:customStyle="1" w:styleId="Rubrik3Char">
    <w:name w:val="Rubrik 3 Char"/>
    <w:basedOn w:val="Standardstycketeckensnitt"/>
    <w:link w:val="Rubrik3"/>
    <w:rsid w:val="00020300"/>
    <w:rPr>
      <w:rFonts w:asciiTheme="majorHAnsi" w:eastAsiaTheme="majorEastAsia" w:hAnsiTheme="majorHAnsi" w:cstheme="majorBidi"/>
      <w:sz w:val="24"/>
      <w:szCs w:val="24"/>
      <w:lang w:val="en-GB" w:eastAsia="en-GB"/>
    </w:rPr>
  </w:style>
  <w:style w:type="character" w:customStyle="1" w:styleId="Rubrik1Char">
    <w:name w:val="Rubrik 1 Char"/>
    <w:basedOn w:val="Standardstycketeckensnitt"/>
    <w:link w:val="Rubrik1"/>
    <w:rsid w:val="00FE0BD8"/>
    <w:rPr>
      <w:rFonts w:asciiTheme="majorHAnsi" w:eastAsiaTheme="majorEastAsia" w:hAnsiTheme="majorHAnsi" w:cstheme="majorBidi"/>
      <w:b/>
      <w:sz w:val="32"/>
      <w:szCs w:val="32"/>
      <w:lang w:val="en-GB" w:eastAsia="en-GB"/>
    </w:rPr>
  </w:style>
  <w:style w:type="character" w:customStyle="1" w:styleId="Rubrik2Char">
    <w:name w:val="Rubrik 2 Char"/>
    <w:basedOn w:val="Standardstycketeckensnitt"/>
    <w:link w:val="Rubri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tycketeckensnitt"/>
    <w:link w:val="Subtitle1"/>
    <w:rsid w:val="003C4EB5"/>
    <w:rPr>
      <w:rFonts w:cs="Times New Roman"/>
      <w:b/>
      <w:sz w:val="20"/>
      <w:szCs w:val="24"/>
      <w:lang w:val="en-GB" w:eastAsia="de-DE"/>
    </w:rPr>
  </w:style>
  <w:style w:type="paragraph" w:customStyle="1" w:styleId="Title1">
    <w:name w:val="Title 1"/>
    <w:basedOn w:val="Liststycke"/>
    <w:link w:val="Title1Char"/>
    <w:autoRedefine/>
    <w:rsid w:val="002574D1"/>
    <w:pPr>
      <w:numPr>
        <w:numId w:val="2"/>
      </w:numPr>
    </w:pPr>
    <w:rPr>
      <w:b/>
      <w:sz w:val="28"/>
    </w:rPr>
  </w:style>
  <w:style w:type="character" w:customStyle="1" w:styleId="Title1Char">
    <w:name w:val="Title 1 Char"/>
    <w:basedOn w:val="Standardstycketeckensnitt"/>
    <w:link w:val="Title1"/>
    <w:rsid w:val="003C4EB5"/>
    <w:rPr>
      <w:rFonts w:eastAsiaTheme="majorEastAsia" w:cstheme="minorHAnsi"/>
      <w:b/>
      <w:sz w:val="28"/>
      <w:szCs w:val="22"/>
      <w:lang w:val="en-GB" w:eastAsia="en-GB"/>
    </w:rPr>
  </w:style>
  <w:style w:type="paragraph" w:styleId="Liststycke">
    <w:name w:val="List Paragraph"/>
    <w:aliases w:val="Paragraphe EI,Paragraphe de liste1,EC,Paragraphe de liste,Normal Nivel 1,List Paragraph Main,List first level,List Paragraph_Sections"/>
    <w:basedOn w:val="Normal"/>
    <w:link w:val="Liststycke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stycke"/>
    <w:link w:val="Title3Char"/>
    <w:autoRedefine/>
    <w:rsid w:val="002574D1"/>
    <w:pPr>
      <w:numPr>
        <w:ilvl w:val="3"/>
        <w:numId w:val="2"/>
      </w:numPr>
    </w:pPr>
  </w:style>
  <w:style w:type="character" w:customStyle="1" w:styleId="Title3Char">
    <w:name w:val="Title 3 Char"/>
    <w:basedOn w:val="Standardstycketeckensnit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tycketecken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tycketecken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tycketecken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tycketecken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tycketeckensnitt"/>
    <w:link w:val="Introductionheading"/>
    <w:rsid w:val="00044C5A"/>
    <w:rPr>
      <w:rFonts w:ascii="Arial" w:eastAsia="Times New Roman" w:hAnsi="Arial" w:cs="Times New Roman"/>
      <w:b/>
      <w:sz w:val="28"/>
      <w:szCs w:val="24"/>
      <w:lang w:val="en-GB" w:eastAsia="de-DE"/>
    </w:rPr>
  </w:style>
  <w:style w:type="character" w:customStyle="1" w:styleId="Rubrik5Char">
    <w:name w:val="Rubrik 5 Char"/>
    <w:basedOn w:val="Standardstycketeckensnitt"/>
    <w:link w:val="Rubrik5"/>
    <w:uiPriority w:val="9"/>
    <w:rsid w:val="007E7997"/>
    <w:rPr>
      <w:rFonts w:asciiTheme="majorHAnsi" w:eastAsiaTheme="majorEastAsia" w:hAnsiTheme="majorHAnsi" w:cstheme="majorBidi"/>
      <w:sz w:val="24"/>
      <w:szCs w:val="22"/>
      <w:lang w:val="en-GB" w:eastAsia="en-GB"/>
    </w:rPr>
  </w:style>
  <w:style w:type="paragraph" w:styleId="Brdtext">
    <w:name w:val="Body Text"/>
    <w:basedOn w:val="Normal"/>
    <w:link w:val="BrdtextChar"/>
    <w:uiPriority w:val="99"/>
    <w:semiHidden/>
    <w:unhideWhenUsed/>
    <w:rsid w:val="00044C5A"/>
  </w:style>
  <w:style w:type="character" w:customStyle="1" w:styleId="BrdtextChar">
    <w:name w:val="Brödtext Char"/>
    <w:basedOn w:val="Standardstycketeckensnitt"/>
    <w:link w:val="Brdtext"/>
    <w:uiPriority w:val="99"/>
    <w:semiHidden/>
    <w:rsid w:val="00044C5A"/>
    <w:rPr>
      <w:rFonts w:ascii="Arial" w:eastAsiaTheme="minorEastAsia" w:hAnsi="Arial"/>
    </w:rPr>
  </w:style>
  <w:style w:type="paragraph" w:styleId="Brdtextmedfrstaindrag">
    <w:name w:val="Body Text First Indent"/>
    <w:basedOn w:val="Brdtext"/>
    <w:link w:val="BrdtextmedfrstaindragChar"/>
    <w:uiPriority w:val="99"/>
    <w:semiHidden/>
    <w:unhideWhenUsed/>
    <w:rsid w:val="00044C5A"/>
    <w:pPr>
      <w:ind w:firstLine="360"/>
    </w:pPr>
  </w:style>
  <w:style w:type="character" w:customStyle="1" w:styleId="BrdtextmedfrstaindragChar">
    <w:name w:val="Brödtext med första indrag Char"/>
    <w:basedOn w:val="BrdtextChar"/>
    <w:link w:val="Brdtextmedfrstaindrag"/>
    <w:uiPriority w:val="99"/>
    <w:semiHidden/>
    <w:rsid w:val="00044C5A"/>
    <w:rPr>
      <w:rFonts w:ascii="Arial" w:eastAsiaTheme="minorEastAsia" w:hAnsi="Arial"/>
    </w:rPr>
  </w:style>
  <w:style w:type="character" w:customStyle="1" w:styleId="Rubrik6Char">
    <w:name w:val="Rubrik 6 Char"/>
    <w:basedOn w:val="Standardstycketeckensnitt"/>
    <w:link w:val="Rubrik6"/>
    <w:rsid w:val="00AA054E"/>
    <w:rPr>
      <w:rFonts w:asciiTheme="majorHAnsi" w:eastAsiaTheme="majorEastAsia" w:hAnsiTheme="majorHAnsi" w:cstheme="majorBidi"/>
      <w:i/>
      <w:iCs/>
      <w:color w:val="44546A" w:themeColor="text2"/>
      <w:sz w:val="21"/>
      <w:szCs w:val="21"/>
      <w:lang w:val="en-GB" w:eastAsia="en-GB"/>
    </w:rPr>
  </w:style>
  <w:style w:type="paragraph" w:styleId="Rubrik">
    <w:name w:val="Title"/>
    <w:basedOn w:val="Normal"/>
    <w:next w:val="Normal"/>
    <w:link w:val="Rubrik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RubrikChar">
    <w:name w:val="Rubrik Char"/>
    <w:basedOn w:val="Standardstycketeckensnitt"/>
    <w:link w:val="Rubrik"/>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rubrik">
    <w:name w:val="Subtitle"/>
    <w:basedOn w:val="Normal"/>
    <w:next w:val="Normal"/>
    <w:link w:val="UnderrubrikChar"/>
    <w:uiPriority w:val="11"/>
    <w:qFormat/>
    <w:rsid w:val="00366D42"/>
    <w:pPr>
      <w:numPr>
        <w:ilvl w:val="1"/>
      </w:numPr>
    </w:pPr>
    <w:rPr>
      <w:rFonts w:asciiTheme="majorHAnsi" w:eastAsiaTheme="majorEastAsia" w:hAnsiTheme="majorHAnsi" w:cstheme="majorBidi"/>
      <w:b/>
      <w:sz w:val="28"/>
    </w:rPr>
  </w:style>
  <w:style w:type="character" w:customStyle="1" w:styleId="UnderrubrikChar">
    <w:name w:val="Underrubrik Char"/>
    <w:basedOn w:val="Standardstycketeckensnitt"/>
    <w:link w:val="Underrubrik"/>
    <w:uiPriority w:val="11"/>
    <w:rsid w:val="00366D42"/>
    <w:rPr>
      <w:rFonts w:asciiTheme="majorHAnsi" w:eastAsiaTheme="majorEastAsia" w:hAnsiTheme="majorHAnsi" w:cstheme="majorBidi"/>
      <w:b/>
      <w:sz w:val="28"/>
      <w:szCs w:val="24"/>
      <w:lang w:val="en-GB"/>
    </w:rPr>
  </w:style>
  <w:style w:type="character" w:customStyle="1" w:styleId="Rubrik7Char">
    <w:name w:val="Rubrik 7 Char"/>
    <w:basedOn w:val="Standardstycketeckensnitt"/>
    <w:link w:val="Rubri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Rubrik8Char">
    <w:name w:val="Rubrik 8 Char"/>
    <w:basedOn w:val="Standardstycketeckensnitt"/>
    <w:link w:val="Rubrik8"/>
    <w:rsid w:val="00AA054E"/>
    <w:rPr>
      <w:rFonts w:asciiTheme="majorHAnsi" w:eastAsiaTheme="majorEastAsia" w:hAnsiTheme="majorHAnsi" w:cstheme="majorBidi"/>
      <w:b/>
      <w:bCs/>
      <w:color w:val="44546A" w:themeColor="text2"/>
      <w:sz w:val="24"/>
      <w:szCs w:val="24"/>
      <w:lang w:val="en-GB" w:eastAsia="en-GB"/>
    </w:rPr>
  </w:style>
  <w:style w:type="character" w:customStyle="1" w:styleId="Rubrik9Char">
    <w:name w:val="Rubrik 9 Char"/>
    <w:basedOn w:val="Standardstycketeckensnitt"/>
    <w:link w:val="Rubrik9"/>
    <w:rsid w:val="00AA054E"/>
    <w:rPr>
      <w:rFonts w:asciiTheme="majorHAnsi" w:eastAsiaTheme="majorEastAsia" w:hAnsiTheme="majorHAnsi" w:cstheme="majorBidi"/>
      <w:b/>
      <w:bCs/>
      <w:i/>
      <w:iCs/>
      <w:color w:val="44546A" w:themeColor="text2"/>
      <w:sz w:val="24"/>
      <w:szCs w:val="24"/>
      <w:lang w:val="en-GB" w:eastAsia="en-GB"/>
    </w:rPr>
  </w:style>
  <w:style w:type="paragraph" w:styleId="Beskrivning">
    <w:name w:val="caption"/>
    <w:basedOn w:val="Normal"/>
    <w:next w:val="Normal"/>
    <w:uiPriority w:val="35"/>
    <w:semiHidden/>
    <w:unhideWhenUsed/>
    <w:qFormat/>
    <w:rsid w:val="00AA054E"/>
    <w:rPr>
      <w:b/>
      <w:bCs/>
      <w:smallCaps/>
      <w:color w:val="595959" w:themeColor="text1" w:themeTint="A6"/>
      <w:spacing w:val="6"/>
    </w:rPr>
  </w:style>
  <w:style w:type="character" w:styleId="Stark">
    <w:name w:val="Strong"/>
    <w:basedOn w:val="Standardstycketeckensnitt"/>
    <w:uiPriority w:val="22"/>
    <w:qFormat/>
    <w:rsid w:val="00AA054E"/>
    <w:rPr>
      <w:b/>
      <w:bCs/>
    </w:rPr>
  </w:style>
  <w:style w:type="character" w:styleId="Betoning">
    <w:name w:val="Emphasis"/>
    <w:basedOn w:val="Standardstycketeckensnitt"/>
    <w:uiPriority w:val="20"/>
    <w:qFormat/>
    <w:rsid w:val="00AA054E"/>
    <w:rPr>
      <w:i/>
      <w:iCs/>
    </w:rPr>
  </w:style>
  <w:style w:type="paragraph" w:styleId="Citat">
    <w:name w:val="Quote"/>
    <w:basedOn w:val="Normal"/>
    <w:next w:val="Normal"/>
    <w:link w:val="CitatChar"/>
    <w:uiPriority w:val="29"/>
    <w:qFormat/>
    <w:rsid w:val="00AA054E"/>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AA054E"/>
    <w:rPr>
      <w:i/>
      <w:iCs/>
      <w:color w:val="404040" w:themeColor="text1" w:themeTint="BF"/>
    </w:rPr>
  </w:style>
  <w:style w:type="paragraph" w:styleId="Starktcitat">
    <w:name w:val="Intense Quote"/>
    <w:basedOn w:val="Normal"/>
    <w:next w:val="Normal"/>
    <w:link w:val="Starktcit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arktcitatChar">
    <w:name w:val="Starkt citat Char"/>
    <w:basedOn w:val="Standardstycketeckensnitt"/>
    <w:link w:val="Starktcitat"/>
    <w:uiPriority w:val="30"/>
    <w:rsid w:val="00AA054E"/>
    <w:rPr>
      <w:rFonts w:asciiTheme="majorHAnsi" w:eastAsiaTheme="majorEastAsia" w:hAnsiTheme="majorHAnsi" w:cstheme="majorBidi"/>
      <w:color w:val="5B9BD5" w:themeColor="accent1"/>
      <w:sz w:val="28"/>
      <w:szCs w:val="28"/>
    </w:rPr>
  </w:style>
  <w:style w:type="character" w:styleId="Diskretbetoning">
    <w:name w:val="Subtle Emphasis"/>
    <w:basedOn w:val="Standardstycketeckensnitt"/>
    <w:uiPriority w:val="19"/>
    <w:qFormat/>
    <w:rsid w:val="00287C8F"/>
    <w:rPr>
      <w:rFonts w:asciiTheme="majorHAnsi" w:hAnsiTheme="majorHAnsi"/>
      <w:i/>
      <w:iCs/>
      <w:color w:val="auto"/>
      <w:sz w:val="22"/>
    </w:rPr>
  </w:style>
  <w:style w:type="character" w:styleId="Starkbetoning">
    <w:name w:val="Intense Emphasis"/>
    <w:basedOn w:val="Standardstycketeckensnitt"/>
    <w:uiPriority w:val="21"/>
    <w:qFormat/>
    <w:rsid w:val="00AA054E"/>
    <w:rPr>
      <w:b/>
      <w:bCs/>
      <w:i/>
      <w:iCs/>
    </w:rPr>
  </w:style>
  <w:style w:type="character" w:styleId="Diskretreferens">
    <w:name w:val="Subtle Reference"/>
    <w:basedOn w:val="Standardstycketeckensnitt"/>
    <w:uiPriority w:val="31"/>
    <w:qFormat/>
    <w:rsid w:val="00AA054E"/>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AA054E"/>
    <w:rPr>
      <w:b/>
      <w:bCs/>
      <w:smallCaps/>
      <w:spacing w:val="5"/>
      <w:u w:val="single"/>
    </w:rPr>
  </w:style>
  <w:style w:type="character" w:styleId="Bokenstitel">
    <w:name w:val="Book Title"/>
    <w:basedOn w:val="Standardstycketeckensnitt"/>
    <w:uiPriority w:val="33"/>
    <w:qFormat/>
    <w:rsid w:val="00AA054E"/>
    <w:rPr>
      <w:b/>
      <w:bCs/>
      <w:smallCaps/>
    </w:rPr>
  </w:style>
  <w:style w:type="paragraph" w:styleId="Innehllsfrteckningsrubrik">
    <w:name w:val="TOC Heading"/>
    <w:basedOn w:val="Rubrik1"/>
    <w:next w:val="Normal"/>
    <w:uiPriority w:val="39"/>
    <w:unhideWhenUsed/>
    <w:qFormat/>
    <w:rsid w:val="00AA054E"/>
    <w:pPr>
      <w:outlineLvl w:val="9"/>
    </w:pPr>
  </w:style>
  <w:style w:type="character" w:customStyle="1" w:styleId="IngetavstndChar">
    <w:name w:val="Inget avstånd Char"/>
    <w:basedOn w:val="Standardstycketeckensnitt"/>
    <w:link w:val="Ingetavstnd"/>
    <w:uiPriority w:val="1"/>
    <w:rsid w:val="005B6B12"/>
    <w:rPr>
      <w:lang w:val="en-GB"/>
    </w:rPr>
  </w:style>
  <w:style w:type="paragraph" w:styleId="Sidhuvud">
    <w:name w:val="header"/>
    <w:basedOn w:val="Normal"/>
    <w:link w:val="SidhuvudChar"/>
    <w:unhideWhenUsed/>
    <w:rsid w:val="007E7997"/>
    <w:pPr>
      <w:tabs>
        <w:tab w:val="center" w:pos="4536"/>
        <w:tab w:val="right" w:pos="9072"/>
      </w:tabs>
    </w:pPr>
  </w:style>
  <w:style w:type="character" w:customStyle="1" w:styleId="SidhuvudChar">
    <w:name w:val="Sidhuvud Char"/>
    <w:basedOn w:val="Standardstycketeckensnitt"/>
    <w:link w:val="Sidhuvud"/>
    <w:uiPriority w:val="99"/>
    <w:rsid w:val="007E7997"/>
    <w:rPr>
      <w:sz w:val="22"/>
    </w:rPr>
  </w:style>
  <w:style w:type="paragraph" w:styleId="Sidfot">
    <w:name w:val="footer"/>
    <w:basedOn w:val="Normal"/>
    <w:link w:val="SidfotChar"/>
    <w:uiPriority w:val="99"/>
    <w:unhideWhenUsed/>
    <w:rsid w:val="007E7997"/>
    <w:pPr>
      <w:tabs>
        <w:tab w:val="center" w:pos="4536"/>
        <w:tab w:val="right" w:pos="9072"/>
      </w:tabs>
    </w:pPr>
  </w:style>
  <w:style w:type="character" w:customStyle="1" w:styleId="SidfotChar">
    <w:name w:val="Sidfot Char"/>
    <w:basedOn w:val="Standardstycketeckensnitt"/>
    <w:link w:val="Sidfot"/>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nehll1">
    <w:name w:val="toc 1"/>
    <w:basedOn w:val="Normal"/>
    <w:next w:val="Normal"/>
    <w:autoRedefine/>
    <w:uiPriority w:val="39"/>
    <w:unhideWhenUsed/>
    <w:rsid w:val="00B81A44"/>
    <w:pPr>
      <w:tabs>
        <w:tab w:val="left" w:pos="440"/>
        <w:tab w:val="right" w:leader="dot" w:pos="9062"/>
      </w:tabs>
      <w:spacing w:after="100"/>
    </w:pPr>
  </w:style>
  <w:style w:type="paragraph" w:styleId="Innehll2">
    <w:name w:val="toc 2"/>
    <w:basedOn w:val="Normal"/>
    <w:next w:val="Normal"/>
    <w:autoRedefine/>
    <w:uiPriority w:val="39"/>
    <w:unhideWhenUsed/>
    <w:rsid w:val="00BC422A"/>
    <w:pPr>
      <w:spacing w:after="100"/>
      <w:ind w:left="220"/>
    </w:pPr>
  </w:style>
  <w:style w:type="paragraph" w:styleId="Innehll3">
    <w:name w:val="toc 3"/>
    <w:basedOn w:val="Normal"/>
    <w:next w:val="Normal"/>
    <w:autoRedefine/>
    <w:uiPriority w:val="39"/>
    <w:unhideWhenUsed/>
    <w:rsid w:val="00BC422A"/>
    <w:pPr>
      <w:spacing w:after="100"/>
      <w:ind w:left="440"/>
    </w:pPr>
  </w:style>
  <w:style w:type="character" w:styleId="Hyperlnk">
    <w:name w:val="Hyperlink"/>
    <w:basedOn w:val="Standardstycketecken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tycketeckensnit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tycketeckensnitt"/>
    <w:link w:val="Listing2"/>
    <w:rsid w:val="00DF3785"/>
    <w:rPr>
      <w:lang w:val="en-GB"/>
    </w:rPr>
  </w:style>
  <w:style w:type="table" w:styleId="Tabellrutnt">
    <w:name w:val="Table Grid"/>
    <w:basedOn w:val="Normal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uiPriority w:val="99"/>
    <w:semiHidden/>
    <w:unhideWhenUsed/>
    <w:rsid w:val="00B50534"/>
  </w:style>
  <w:style w:type="character" w:customStyle="1" w:styleId="SlutnotstextChar">
    <w:name w:val="Slutnotstext Char"/>
    <w:basedOn w:val="Standardstycketeckensnitt"/>
    <w:link w:val="Slutnotstext"/>
    <w:uiPriority w:val="99"/>
    <w:semiHidden/>
    <w:rsid w:val="00B50534"/>
    <w:rPr>
      <w:lang w:val="en-GB"/>
    </w:rPr>
  </w:style>
  <w:style w:type="character" w:styleId="Slutnotsreferens">
    <w:name w:val="endnote reference"/>
    <w:basedOn w:val="Standardstycketeckensnitt"/>
    <w:uiPriority w:val="99"/>
    <w:semiHidden/>
    <w:unhideWhenUsed/>
    <w:rsid w:val="00B50534"/>
    <w:rPr>
      <w:vertAlign w:val="superscript"/>
    </w:rPr>
  </w:style>
  <w:style w:type="paragraph" w:styleId="Fotnotstext">
    <w:name w:val="footnote text"/>
    <w:basedOn w:val="Normal"/>
    <w:link w:val="FotnotstextChar"/>
    <w:autoRedefine/>
    <w:uiPriority w:val="99"/>
    <w:semiHidden/>
    <w:unhideWhenUsed/>
    <w:qFormat/>
    <w:rsid w:val="006F53E8"/>
    <w:rPr>
      <w:sz w:val="16"/>
    </w:rPr>
  </w:style>
  <w:style w:type="character" w:customStyle="1" w:styleId="FotnotstextChar">
    <w:name w:val="Fotnotstext Char"/>
    <w:basedOn w:val="Standardstycketeckensnitt"/>
    <w:link w:val="Fotnotstext"/>
    <w:uiPriority w:val="99"/>
    <w:semiHidden/>
    <w:rsid w:val="006F53E8"/>
    <w:rPr>
      <w:sz w:val="16"/>
      <w:lang w:val="en-GB"/>
    </w:rPr>
  </w:style>
  <w:style w:type="character" w:styleId="Fotnotsreferens">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tycketeckensnitt"/>
    <w:uiPriority w:val="99"/>
    <w:unhideWhenUsed/>
    <w:qFormat/>
    <w:rsid w:val="00A91D91"/>
    <w:rPr>
      <w:rFonts w:asciiTheme="majorHAnsi" w:hAnsiTheme="majorHAnsi"/>
      <w:sz w:val="16"/>
      <w:vertAlign w:val="superscript"/>
    </w:rPr>
  </w:style>
  <w:style w:type="paragraph" w:customStyle="1" w:styleId="Footnote">
    <w:name w:val="Footnote"/>
    <w:basedOn w:val="Fotnotstext"/>
    <w:link w:val="FootnoteChar"/>
    <w:rsid w:val="00B50534"/>
    <w:rPr>
      <w:lang w:val="nl-BE"/>
    </w:rPr>
  </w:style>
  <w:style w:type="character" w:customStyle="1" w:styleId="FootnoteChar">
    <w:name w:val="Footnote Char"/>
    <w:basedOn w:val="FotnotstextChar"/>
    <w:link w:val="Footnote"/>
    <w:rsid w:val="00B50534"/>
    <w:rPr>
      <w:sz w:val="16"/>
      <w:lang w:val="en-GB"/>
    </w:rPr>
  </w:style>
  <w:style w:type="table" w:customStyle="1" w:styleId="GridTable4-Accent11">
    <w:name w:val="Grid Table 4 - Accent 11"/>
    <w:basedOn w:val="Normal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ngtext">
    <w:name w:val="Balloon Text"/>
    <w:basedOn w:val="Normal"/>
    <w:link w:val="BallongtextChar"/>
    <w:uiPriority w:val="99"/>
    <w:semiHidden/>
    <w:unhideWhenUsed/>
    <w:rsid w:val="003C167E"/>
    <w:rPr>
      <w:rFonts w:ascii="Tahoma" w:hAnsi="Tahoma" w:cs="Tahoma"/>
      <w:sz w:val="16"/>
      <w:szCs w:val="16"/>
    </w:rPr>
  </w:style>
  <w:style w:type="character" w:customStyle="1" w:styleId="BallongtextChar">
    <w:name w:val="Ballongtext Char"/>
    <w:basedOn w:val="Standardstycketeckensnitt"/>
    <w:link w:val="Ballongtext"/>
    <w:uiPriority w:val="99"/>
    <w:semiHidden/>
    <w:rsid w:val="003C167E"/>
    <w:rPr>
      <w:rFonts w:ascii="Tahoma" w:hAnsi="Tahoma" w:cs="Tahoma"/>
      <w:sz w:val="16"/>
      <w:szCs w:val="16"/>
      <w:lang w:val="en-GB"/>
    </w:rPr>
  </w:style>
  <w:style w:type="character" w:styleId="Kommentarsreferens">
    <w:name w:val="annotation reference"/>
    <w:basedOn w:val="Standardstycketeckensnitt"/>
    <w:uiPriority w:val="99"/>
    <w:semiHidden/>
    <w:unhideWhenUsed/>
    <w:rsid w:val="00FA2400"/>
    <w:rPr>
      <w:sz w:val="16"/>
      <w:szCs w:val="16"/>
    </w:rPr>
  </w:style>
  <w:style w:type="paragraph" w:styleId="Kommentarer">
    <w:name w:val="annotation text"/>
    <w:basedOn w:val="Normal"/>
    <w:link w:val="KommentarerChar"/>
    <w:uiPriority w:val="99"/>
    <w:unhideWhenUsed/>
    <w:rsid w:val="00FA2400"/>
    <w:rPr>
      <w:sz w:val="20"/>
    </w:rPr>
  </w:style>
  <w:style w:type="character" w:customStyle="1" w:styleId="KommentarerChar">
    <w:name w:val="Kommentarer Char"/>
    <w:basedOn w:val="Standardstycketeckensnitt"/>
    <w:link w:val="Kommentarer"/>
    <w:uiPriority w:val="99"/>
    <w:rsid w:val="00FA2400"/>
    <w:rPr>
      <w:lang w:val="en-GB"/>
    </w:rPr>
  </w:style>
  <w:style w:type="paragraph" w:styleId="Kommentarsmne">
    <w:name w:val="annotation subject"/>
    <w:basedOn w:val="Kommentarer"/>
    <w:next w:val="Kommentarer"/>
    <w:link w:val="KommentarsmneChar"/>
    <w:uiPriority w:val="99"/>
    <w:semiHidden/>
    <w:unhideWhenUsed/>
    <w:rsid w:val="00FA2400"/>
    <w:rPr>
      <w:b/>
      <w:bCs/>
    </w:rPr>
  </w:style>
  <w:style w:type="character" w:customStyle="1" w:styleId="KommentarsmneChar">
    <w:name w:val="Kommentarsämne Char"/>
    <w:basedOn w:val="KommentarerChar"/>
    <w:link w:val="Kommentarsmne"/>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nvndHyperlnk">
    <w:name w:val="FollowedHyperlink"/>
    <w:basedOn w:val="Standardstycketeckensnitt"/>
    <w:uiPriority w:val="99"/>
    <w:semiHidden/>
    <w:unhideWhenUsed/>
    <w:rsid w:val="007B354B"/>
    <w:rPr>
      <w:color w:val="954F72" w:themeColor="followedHyperlink"/>
      <w:u w:val="single"/>
    </w:rPr>
  </w:style>
  <w:style w:type="paragraph" w:styleId="Normalweb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tycketeckensnit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aliases w:val="Paragraphe EI Char,Paragraphe de liste1 Char,EC Char,Paragraphe de liste Char,Normal Nivel 1 Char,List Paragraph Main Char,List first level Char,List Paragraph_Sections Char"/>
    <w:basedOn w:val="Standardstycketeckensnitt"/>
    <w:link w:val="Liststycke"/>
    <w:uiPriority w:val="34"/>
    <w:rsid w:val="00695AF2"/>
    <w:rPr>
      <w:rFonts w:eastAsiaTheme="majorEastAsia" w:cstheme="minorHAnsi"/>
      <w:sz w:val="22"/>
      <w:szCs w:val="22"/>
      <w:lang w:val="en-GB" w:eastAsia="en-GB"/>
    </w:rPr>
  </w:style>
  <w:style w:type="table" w:customStyle="1" w:styleId="TableGrid3">
    <w:name w:val="Table Grid3"/>
    <w:basedOn w:val="Normaltabel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next w:val="Tabellrutnt"/>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27475704">
      <w:bodyDiv w:val="1"/>
      <w:marLeft w:val="0"/>
      <w:marRight w:val="0"/>
      <w:marTop w:val="0"/>
      <w:marBottom w:val="0"/>
      <w:divBdr>
        <w:top w:val="none" w:sz="0" w:space="0" w:color="auto"/>
        <w:left w:val="none" w:sz="0" w:space="0" w:color="auto"/>
        <w:bottom w:val="none" w:sz="0" w:space="0" w:color="auto"/>
        <w:right w:val="none" w:sz="0" w:space="0" w:color="auto"/>
      </w:divBdr>
    </w:div>
    <w:div w:id="2063139167">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53348.C891ADF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oter" Target="foot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20fbe147-bbda-4e53-b6b1-7e8bbff3fe19"/>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CA2E4A5-C205-48BB-A093-F8309304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25</Pages>
  <Words>7873</Words>
  <Characters>41732</Characters>
  <Application>Microsoft Office Word</Application>
  <DocSecurity>8</DocSecurity>
  <Lines>347</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49506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Vigg Troedsson</cp:lastModifiedBy>
  <cp:revision>2</cp:revision>
  <cp:lastPrinted>2017-07-24T14:47:00Z</cp:lastPrinted>
  <dcterms:created xsi:type="dcterms:W3CDTF">2019-07-29T11:14:00Z</dcterms:created>
  <dcterms:modified xsi:type="dcterms:W3CDTF">2019-07-29T11:14:00Z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