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el"/>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34C86DEA" w14:textId="77777777" w:rsidR="00B86167" w:rsidRPr="00A10ED3" w:rsidRDefault="00B86167" w:rsidP="00B86167">
                <w:pPr>
                  <w:pStyle w:val="Untertitel"/>
                  <w:rPr>
                    <w:rFonts w:cs="Arial"/>
                  </w:rPr>
                </w:pPr>
                <w:r w:rsidRPr="00A10ED3">
                  <w:rPr>
                    <w:rFonts w:cs="Arial"/>
                  </w:rPr>
                  <w:t xml:space="preserve">Guidelines for reporting under </w:t>
                </w:r>
                <w:r>
                  <w:rPr>
                    <w:rFonts w:cs="Arial"/>
                  </w:rPr>
                  <w:t xml:space="preserve">Articles 4 and 12 </w:t>
                </w:r>
                <w:r w:rsidRPr="00A10ED3">
                  <w:rPr>
                    <w:rFonts w:cs="Arial"/>
                  </w:rPr>
                  <w:t>SFTR</w:t>
                </w:r>
              </w:p>
              <w:p w14:paraId="26CF3934" w14:textId="4EE33F45" w:rsidR="00AB6157" w:rsidRPr="00B8572C" w:rsidRDefault="00AB6157" w:rsidP="00AB6157">
                <w:pPr>
                  <w:pStyle w:val="berschrift2"/>
                  <w:numPr>
                    <w:ilvl w:val="0"/>
                    <w:numId w:val="0"/>
                  </w:numPr>
                  <w:ind w:left="576" w:hanging="576"/>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10FB09AA"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220938" w:rsidRPr="00220938">
            <w:rPr>
              <w:rFonts w:asciiTheme="minorHAnsi" w:eastAsiaTheme="minorEastAsia" w:hAnsiTheme="minorHAnsi" w:cstheme="minorBidi"/>
              <w:sz w:val="22"/>
              <w:szCs w:val="20"/>
              <w:lang w:eastAsia="en-US"/>
            </w:rPr>
            <w:t>III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39A89811"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64705E" w:rsidRPr="0064705E">
            <w:rPr>
              <w:rFonts w:asciiTheme="minorHAnsi" w:eastAsiaTheme="minorEastAsia" w:hAnsiTheme="minorHAnsi" w:cstheme="minorBidi"/>
              <w:b/>
              <w:sz w:val="22"/>
              <w:szCs w:val="20"/>
              <w:lang w:eastAsia="en-US"/>
            </w:rPr>
            <w:t>29</w:t>
          </w:r>
          <w:r w:rsidRPr="0064705E">
            <w:rPr>
              <w:rFonts w:asciiTheme="minorHAnsi" w:eastAsiaTheme="minorEastAsia" w:hAnsiTheme="minorHAnsi" w:cstheme="minorBidi"/>
              <w:b/>
              <w:sz w:val="22"/>
              <w:szCs w:val="20"/>
              <w:lang w:eastAsia="en-US"/>
            </w:rPr>
            <w:t xml:space="preserve"> July 2019</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800179">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47AE67A4"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D62A4F">
            <w:rPr>
              <w:rFonts w:eastAsiaTheme="minorEastAsia" w:cstheme="minorBidi"/>
              <w:szCs w:val="20"/>
              <w:lang w:eastAsia="en-US"/>
            </w:rPr>
            <w:t>RSFTR</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7E392651"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 xml:space="preserve">the following convention: </w:t>
          </w:r>
          <w:bookmarkStart w:id="0" w:name="_GoBack"/>
          <w:r>
            <w:rPr>
              <w:rFonts w:eastAsiaTheme="minorEastAsia" w:cstheme="minorBidi"/>
              <w:szCs w:val="20"/>
              <w:lang w:eastAsia="en-US"/>
            </w:rPr>
            <w:t>ESMA_</w:t>
          </w:r>
          <w:r w:rsidR="00D62A4F">
            <w:rPr>
              <w:rFonts w:eastAsiaTheme="minorEastAsia" w:cstheme="minorBidi"/>
              <w:szCs w:val="20"/>
              <w:lang w:eastAsia="en-US"/>
            </w:rPr>
            <w:t>RSFTR</w:t>
          </w:r>
          <w:r w:rsidRPr="00C85C8B">
            <w:rPr>
              <w:rFonts w:eastAsiaTheme="minorEastAsia" w:cstheme="minorBidi"/>
              <w:szCs w:val="20"/>
              <w:lang w:eastAsia="en-US"/>
            </w:rPr>
            <w:t>_nameofrespondent_RESPONSEFORM</w:t>
          </w:r>
          <w:bookmarkEnd w:id="0"/>
          <w:r w:rsidRPr="00C85C8B">
            <w:rPr>
              <w:rFonts w:eastAsiaTheme="minorEastAsia" w:cstheme="minorBidi"/>
              <w:szCs w:val="20"/>
              <w:lang w:eastAsia="en-US"/>
            </w:rPr>
            <w:t>. For example, for a respondent named ABCD, the response</w:t>
          </w:r>
          <w:r>
            <w:rPr>
              <w:rFonts w:eastAsiaTheme="minorEastAsia" w:cstheme="minorBidi"/>
              <w:szCs w:val="20"/>
              <w:lang w:eastAsia="en-US"/>
            </w:rPr>
            <w:t xml:space="preserve"> form would be entitled ESMA_</w:t>
          </w:r>
          <w:r w:rsidR="00D62A4F">
            <w:rPr>
              <w:rFonts w:eastAsiaTheme="minorEastAsia" w:cstheme="minorBidi"/>
              <w:szCs w:val="20"/>
              <w:lang w:eastAsia="en-US"/>
            </w:rPr>
            <w:t>RSFTR</w:t>
          </w:r>
          <w:r w:rsidRPr="00C85C8B">
            <w:rPr>
              <w:rFonts w:eastAsiaTheme="minorEastAsia" w:cstheme="minorBidi"/>
              <w:szCs w:val="20"/>
              <w:lang w:eastAsia="en-US"/>
            </w:rPr>
            <w:t>_ABCD_RESPONSEFORM.</w:t>
          </w:r>
        </w:p>
        <w:p w14:paraId="1A9C59D6" w14:textId="34F7EAAE"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9"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20"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1"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3CE16AA2"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sdtContent>
    </w:sdt>
    <w:p w14:paraId="2EC48AA4" w14:textId="77777777" w:rsidR="00D62A4F" w:rsidRPr="00D62A4F" w:rsidRDefault="00D62A4F" w:rsidP="00D62A4F">
      <w:pPr>
        <w:spacing w:after="250" w:line="276" w:lineRule="auto"/>
        <w:jc w:val="both"/>
        <w:rPr>
          <w:rFonts w:asciiTheme="minorHAnsi" w:eastAsiaTheme="minorEastAsia" w:hAnsiTheme="minorHAnsi" w:cstheme="minorBidi"/>
          <w:sz w:val="22"/>
          <w:szCs w:val="20"/>
          <w:lang w:eastAsia="en-US"/>
        </w:rPr>
      </w:pPr>
      <w:r w:rsidRPr="00D62A4F">
        <w:rPr>
          <w:rFonts w:asciiTheme="minorHAnsi" w:eastAsiaTheme="minorEastAsia" w:hAnsiTheme="minorHAnsi" w:cstheme="minorBidi"/>
          <w:sz w:val="22"/>
          <w:szCs w:val="20"/>
          <w:lang w:eastAsia="en-US"/>
        </w:rPr>
        <w:t>All interested stakeholders are invited to respond to this consultation. In particular, responses are sought from financial and non-financial counterparties to securities financing transactions, tri-party agents, agent lenders, central counterparties (CCPs) and trade repositories (TRs), as well as from all the authorities having access to the TR data.</w:t>
      </w:r>
    </w:p>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berschrift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1"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800179">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7531CA65" w:rsidR="00C85C8B" w:rsidRPr="00C85C8B" w:rsidRDefault="0083108E" w:rsidP="0083108E">
                <w:pPr>
                  <w:rPr>
                    <w:rFonts w:ascii="Arial" w:hAnsi="Arial" w:cs="Arial"/>
                    <w:color w:val="808080"/>
                    <w:sz w:val="20"/>
                    <w:lang w:eastAsia="de-DE"/>
                  </w:rPr>
                </w:pPr>
                <w:r>
                  <w:rPr>
                    <w:rFonts w:ascii="Arial" w:hAnsi="Arial" w:cs="Arial"/>
                    <w:color w:val="808080"/>
                    <w:sz w:val="20"/>
                    <w:lang w:eastAsia="de-DE"/>
                  </w:rPr>
                  <w:t>NORD/LB Hannover</w:t>
                </w:r>
              </w:p>
            </w:tc>
          </w:sdtContent>
        </w:sdt>
      </w:tr>
      <w:tr w:rsidR="00C85C8B" w:rsidRPr="00C85C8B" w14:paraId="216F3E57" w14:textId="77777777" w:rsidTr="00800179">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3CC69464" w:rsidR="00C85C8B" w:rsidRPr="00C85C8B" w:rsidRDefault="002B12A4"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F32EC3">
                  <w:rPr>
                    <w:rFonts w:ascii="Arial" w:hAnsi="Arial" w:cs="Arial"/>
                    <w:sz w:val="20"/>
                    <w:lang w:eastAsia="de-DE"/>
                  </w:rPr>
                  <w:t>Banking sector</w:t>
                </w:r>
              </w:sdtContent>
            </w:sdt>
          </w:p>
        </w:tc>
      </w:tr>
      <w:tr w:rsidR="00C85C8B" w:rsidRPr="00C85C8B" w14:paraId="0D216581" w14:textId="77777777" w:rsidTr="00800179">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29B1B121" w:rsidR="00C85C8B" w:rsidRPr="00C85C8B" w:rsidRDefault="0083108E"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800179">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272C6CEF" w:rsidR="00C85C8B" w:rsidRPr="00C85C8B" w:rsidRDefault="00F32EC3" w:rsidP="00C85C8B">
                <w:pPr>
                  <w:rPr>
                    <w:rFonts w:ascii="Arial" w:hAnsi="Arial" w:cs="Arial"/>
                    <w:sz w:val="20"/>
                    <w:lang w:eastAsia="de-DE"/>
                  </w:rPr>
                </w:pPr>
                <w:r>
                  <w:rPr>
                    <w:rFonts w:ascii="Arial" w:hAnsi="Arial" w:cs="Arial"/>
                    <w:sz w:val="20"/>
                    <w:lang w:eastAsia="de-DE"/>
                  </w:rPr>
                  <w:t>Germany</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3E26C9F3"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D62A4F">
        <w:rPr>
          <w:rFonts w:asciiTheme="minorHAnsi" w:eastAsiaTheme="minorEastAsia" w:hAnsiTheme="minorHAnsi" w:cstheme="minorBidi"/>
          <w:sz w:val="22"/>
          <w:szCs w:val="20"/>
          <w:lang w:eastAsia="en-US"/>
        </w:rPr>
        <w:t>RSFTR</w:t>
      </w:r>
      <w:r w:rsidRPr="00C85C8B">
        <w:rPr>
          <w:rFonts w:asciiTheme="minorHAnsi" w:eastAsiaTheme="minorEastAsia" w:hAnsiTheme="minorHAnsi" w:cstheme="minorBidi"/>
          <w:sz w:val="22"/>
          <w:szCs w:val="20"/>
          <w:lang w:eastAsia="en-US"/>
        </w:rPr>
        <w:t>_1&gt;</w:t>
      </w:r>
    </w:p>
    <w:p w14:paraId="15D00E65" w14:textId="730670D3"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permStart w:id="885457707" w:edGrp="everyone"/>
      <w:permEnd w:id="885457707"/>
      <w:r w:rsidRPr="00C85C8B">
        <w:rPr>
          <w:rFonts w:asciiTheme="minorHAnsi" w:eastAsiaTheme="minorEastAsia" w:hAnsiTheme="minorHAnsi" w:cstheme="minorBidi"/>
          <w:sz w:val="22"/>
          <w:szCs w:val="20"/>
          <w:lang w:eastAsia="en-US"/>
        </w:rPr>
        <w:t>&lt;ESMA_COMMENT_</w:t>
      </w:r>
      <w:r w:rsidR="00D62A4F">
        <w:rPr>
          <w:rFonts w:asciiTheme="minorHAnsi" w:eastAsiaTheme="minorEastAsia" w:hAnsiTheme="minorHAnsi" w:cs="Arial"/>
          <w:sz w:val="22"/>
          <w:szCs w:val="20"/>
          <w:lang w:eastAsia="en-US"/>
        </w:rPr>
        <w:t>RSFTR</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145D7B9B" w:rsidR="00AB6157" w:rsidRDefault="00AB6157" w:rsidP="00C1698A">
      <w:pPr>
        <w:spacing w:line="276" w:lineRule="auto"/>
        <w:rPr>
          <w:rFonts w:asciiTheme="minorHAnsi" w:hAnsiTheme="minorHAnsi" w:cstheme="minorHAnsi"/>
          <w:b/>
          <w:sz w:val="28"/>
          <w:szCs w:val="28"/>
        </w:rPr>
      </w:pPr>
    </w:p>
    <w:p w14:paraId="0486F559" w14:textId="77777777" w:rsidR="00D62A4F" w:rsidRDefault="00D62A4F" w:rsidP="00D62A4F">
      <w:pPr>
        <w:pStyle w:val="Questionstyle"/>
        <w:numPr>
          <w:ilvl w:val="0"/>
          <w:numId w:val="9"/>
        </w:numPr>
        <w:spacing w:after="250" w:line="276" w:lineRule="auto"/>
      </w:pPr>
      <w:r>
        <w:t xml:space="preserve">: </w:t>
      </w:r>
      <w:r w:rsidRPr="00F11691">
        <w:t>Do you agree with the above assessment? Are there any other transactions for which clarification is needed? Please detail the reasons for your response.</w:t>
      </w:r>
    </w:p>
    <w:p w14:paraId="487F0AF5" w14:textId="77777777" w:rsidR="00D62A4F" w:rsidRDefault="00D62A4F" w:rsidP="00D62A4F">
      <w:pPr>
        <w:rPr>
          <w:rFonts w:ascii="Arial" w:hAnsi="Arial" w:cs="Arial"/>
        </w:rPr>
      </w:pPr>
      <w:r>
        <w:rPr>
          <w:rFonts w:ascii="Arial" w:hAnsi="Arial" w:cs="Arial"/>
        </w:rPr>
        <w:t>&lt;ESMA_QUESTION_RSFTR_1&gt;</w:t>
      </w:r>
    </w:p>
    <w:p w14:paraId="6E1CDFE8" w14:textId="461B6E13" w:rsidR="00162B5C" w:rsidRPr="007F5315" w:rsidRDefault="00861B15" w:rsidP="007F5315">
      <w:pPr>
        <w:rPr>
          <w:rFonts w:ascii="Arial" w:hAnsi="Arial" w:cs="Arial"/>
        </w:rPr>
      </w:pPr>
      <w:permStart w:id="1690923388" w:edGrp="everyone"/>
      <w:r w:rsidRPr="00C85C8B">
        <w:rPr>
          <w:rFonts w:eastAsiaTheme="minorEastAsia" w:cstheme="minorBidi"/>
          <w:szCs w:val="20"/>
          <w:lang w:eastAsia="en-US"/>
        </w:rPr>
        <w:t>TYPE YOUR TEXT HERE</w:t>
      </w:r>
    </w:p>
    <w:permEnd w:id="1690923388"/>
    <w:p w14:paraId="048CB030" w14:textId="77777777" w:rsidR="00D62A4F" w:rsidRDefault="00D62A4F" w:rsidP="00D62A4F">
      <w:pPr>
        <w:rPr>
          <w:rFonts w:ascii="Arial" w:hAnsi="Arial" w:cs="Arial"/>
        </w:rPr>
      </w:pPr>
      <w:r>
        <w:rPr>
          <w:rFonts w:ascii="Arial" w:hAnsi="Arial" w:cs="Arial"/>
        </w:rPr>
        <w:t>&lt;ESMA_QUESTION_RSFTR_1&gt;</w:t>
      </w:r>
    </w:p>
    <w:p w14:paraId="244FCA0D" w14:textId="77777777" w:rsidR="00D62A4F" w:rsidRDefault="00D62A4F" w:rsidP="00D62A4F">
      <w:pPr>
        <w:rPr>
          <w:rFonts w:ascii="Arial" w:hAnsi="Arial" w:cs="Arial"/>
        </w:rPr>
      </w:pPr>
    </w:p>
    <w:p w14:paraId="2407196F" w14:textId="77777777" w:rsidR="00D62A4F" w:rsidRDefault="00D62A4F" w:rsidP="00D62A4F">
      <w:pPr>
        <w:pStyle w:val="Questionstyle"/>
        <w:numPr>
          <w:ilvl w:val="0"/>
          <w:numId w:val="9"/>
        </w:numPr>
        <w:spacing w:after="250" w:line="276" w:lineRule="auto"/>
      </w:pPr>
      <w:r>
        <w:t xml:space="preserve">: </w:t>
      </w:r>
      <w:r w:rsidRPr="00F11691">
        <w:t>Do you agree with the approach set out for reporting of SFTs under Article 4 of SFTR as detailed above? Please detail the reasons for your response.</w:t>
      </w:r>
    </w:p>
    <w:p w14:paraId="3F678074" w14:textId="77777777" w:rsidR="00D62A4F" w:rsidRDefault="00D62A4F" w:rsidP="00D62A4F">
      <w:pPr>
        <w:rPr>
          <w:rFonts w:ascii="Arial" w:hAnsi="Arial" w:cs="Arial"/>
        </w:rPr>
      </w:pPr>
      <w:r>
        <w:rPr>
          <w:rFonts w:ascii="Arial" w:hAnsi="Arial" w:cs="Arial"/>
        </w:rPr>
        <w:t>&lt;ESMA_QUESTION_RSFTR_2&gt;</w:t>
      </w:r>
    </w:p>
    <w:p w14:paraId="37A97B4C" w14:textId="557FCCDE" w:rsidR="00861B15" w:rsidRDefault="00861B15" w:rsidP="00D62A4F">
      <w:pPr>
        <w:rPr>
          <w:rFonts w:ascii="Arial" w:hAnsi="Arial" w:cs="Arial"/>
        </w:rPr>
      </w:pPr>
      <w:permStart w:id="1585262710" w:edGrp="everyone"/>
      <w:r w:rsidRPr="00C85C8B">
        <w:rPr>
          <w:rFonts w:eastAsiaTheme="minorEastAsia" w:cstheme="minorBidi"/>
          <w:szCs w:val="20"/>
          <w:lang w:eastAsia="en-US"/>
        </w:rPr>
        <w:t>TYPE YOUR TEXT HERE</w:t>
      </w:r>
    </w:p>
    <w:permEnd w:id="1585262710"/>
    <w:p w14:paraId="25514B3C" w14:textId="7D7E480E" w:rsidR="00D62A4F" w:rsidRDefault="00D62A4F" w:rsidP="00D62A4F">
      <w:pPr>
        <w:rPr>
          <w:rFonts w:ascii="Arial" w:hAnsi="Arial" w:cs="Arial"/>
        </w:rPr>
      </w:pPr>
      <w:r>
        <w:rPr>
          <w:rFonts w:ascii="Arial" w:hAnsi="Arial" w:cs="Arial"/>
        </w:rPr>
        <w:t>&lt;ESMA_QUESTION_RSFTR_2&gt;</w:t>
      </w:r>
    </w:p>
    <w:p w14:paraId="3AC00435" w14:textId="77777777" w:rsidR="00D62A4F" w:rsidRDefault="00D62A4F" w:rsidP="00D62A4F">
      <w:pPr>
        <w:rPr>
          <w:rFonts w:ascii="Arial" w:hAnsi="Arial" w:cs="Arial"/>
        </w:rPr>
      </w:pPr>
    </w:p>
    <w:p w14:paraId="736E2833" w14:textId="77777777" w:rsidR="00D62A4F" w:rsidRDefault="00D62A4F" w:rsidP="00D62A4F">
      <w:pPr>
        <w:pStyle w:val="Questionstyle"/>
        <w:numPr>
          <w:ilvl w:val="0"/>
          <w:numId w:val="9"/>
        </w:numPr>
        <w:spacing w:after="250" w:line="276" w:lineRule="auto"/>
      </w:pPr>
      <w:r>
        <w:t xml:space="preserve">: </w:t>
      </w:r>
      <w:r w:rsidRPr="00F11691">
        <w:t>Do you agree with the approach for reporting repos and reverse repos as detailed in this section? Please detail the reasons for your response</w:t>
      </w:r>
    </w:p>
    <w:p w14:paraId="640924DC" w14:textId="77777777" w:rsidR="00D62A4F" w:rsidRDefault="00D62A4F" w:rsidP="00D62A4F">
      <w:pPr>
        <w:rPr>
          <w:rFonts w:ascii="Arial" w:hAnsi="Arial" w:cs="Arial"/>
        </w:rPr>
      </w:pPr>
      <w:r>
        <w:rPr>
          <w:rFonts w:ascii="Arial" w:hAnsi="Arial" w:cs="Arial"/>
        </w:rPr>
        <w:t>&lt;ESMA_QUESTION_RSFTR_3&gt;</w:t>
      </w:r>
    </w:p>
    <w:p w14:paraId="4DD80156" w14:textId="595178D4" w:rsidR="00D62A4F" w:rsidRDefault="007F5315" w:rsidP="00D62A4F">
      <w:pPr>
        <w:rPr>
          <w:rFonts w:ascii="Arial" w:hAnsi="Arial" w:cs="Arial"/>
        </w:rPr>
      </w:pPr>
      <w:permStart w:id="383327060" w:edGrp="everyone"/>
      <w:r>
        <w:rPr>
          <w:rFonts w:ascii="Arial" w:hAnsi="Arial" w:cs="Arial"/>
        </w:rPr>
        <w:t>Yes</w:t>
      </w:r>
    </w:p>
    <w:permEnd w:id="383327060"/>
    <w:p w14:paraId="72B80BEB" w14:textId="77777777" w:rsidR="00D62A4F" w:rsidRDefault="00D62A4F" w:rsidP="00D62A4F">
      <w:pPr>
        <w:rPr>
          <w:rFonts w:ascii="Arial" w:hAnsi="Arial" w:cs="Arial"/>
        </w:rPr>
      </w:pPr>
      <w:r>
        <w:rPr>
          <w:rFonts w:ascii="Arial" w:hAnsi="Arial" w:cs="Arial"/>
        </w:rPr>
        <w:t>&lt;ESMA_QUESTION_RSFTR_3&gt;</w:t>
      </w:r>
    </w:p>
    <w:p w14:paraId="19AE21BF" w14:textId="77777777" w:rsidR="00D62A4F" w:rsidRDefault="00D62A4F" w:rsidP="00D62A4F">
      <w:pPr>
        <w:rPr>
          <w:rFonts w:ascii="Arial" w:hAnsi="Arial" w:cs="Arial"/>
        </w:rPr>
      </w:pPr>
    </w:p>
    <w:p w14:paraId="48515B1A" w14:textId="77777777" w:rsidR="00D62A4F" w:rsidRDefault="00D62A4F" w:rsidP="00D62A4F">
      <w:pPr>
        <w:pStyle w:val="Questionstyle"/>
        <w:numPr>
          <w:ilvl w:val="0"/>
          <w:numId w:val="9"/>
        </w:numPr>
        <w:spacing w:after="250" w:line="276" w:lineRule="auto"/>
      </w:pPr>
      <w:r>
        <w:t xml:space="preserve">: </w:t>
      </w:r>
      <w:r w:rsidRPr="00F11691">
        <w:t>Are there any other types of repos and reverse repos transactions for which reporting needs to be clarified? Please detail the reasons for your response.</w:t>
      </w:r>
    </w:p>
    <w:p w14:paraId="7420CF8E" w14:textId="77777777" w:rsidR="00D62A4F" w:rsidRDefault="00D62A4F" w:rsidP="00D62A4F">
      <w:pPr>
        <w:rPr>
          <w:rFonts w:ascii="Arial" w:hAnsi="Arial" w:cs="Arial"/>
        </w:rPr>
      </w:pPr>
      <w:r>
        <w:rPr>
          <w:rFonts w:ascii="Arial" w:hAnsi="Arial" w:cs="Arial"/>
        </w:rPr>
        <w:t>&lt;ESMA_QUESTION_RSFTR_4&gt;</w:t>
      </w:r>
    </w:p>
    <w:p w14:paraId="29C775FF" w14:textId="0C1DE3E2" w:rsidR="00D62A4F" w:rsidRDefault="007F5315" w:rsidP="00D62A4F">
      <w:pPr>
        <w:rPr>
          <w:rFonts w:ascii="Arial" w:hAnsi="Arial" w:cs="Arial"/>
        </w:rPr>
      </w:pPr>
      <w:permStart w:id="1618953723" w:edGrp="everyone"/>
      <w:r>
        <w:rPr>
          <w:rFonts w:ascii="Arial" w:hAnsi="Arial" w:cs="Arial"/>
        </w:rPr>
        <w:t>No</w:t>
      </w:r>
    </w:p>
    <w:permEnd w:id="1618953723"/>
    <w:p w14:paraId="64067168" w14:textId="77777777" w:rsidR="00D62A4F" w:rsidRDefault="00D62A4F" w:rsidP="00D62A4F">
      <w:pPr>
        <w:rPr>
          <w:rFonts w:ascii="Arial" w:hAnsi="Arial" w:cs="Arial"/>
        </w:rPr>
      </w:pPr>
      <w:r>
        <w:rPr>
          <w:rFonts w:ascii="Arial" w:hAnsi="Arial" w:cs="Arial"/>
        </w:rPr>
        <w:t>&lt;ESMA_QUESTION_RSFTR_4&gt;</w:t>
      </w:r>
    </w:p>
    <w:p w14:paraId="66397E57" w14:textId="77777777" w:rsidR="00D62A4F" w:rsidRDefault="00D62A4F" w:rsidP="00D62A4F">
      <w:pPr>
        <w:rPr>
          <w:rFonts w:ascii="Arial" w:hAnsi="Arial" w:cs="Arial"/>
        </w:rPr>
      </w:pPr>
    </w:p>
    <w:p w14:paraId="46B0CE75" w14:textId="77777777" w:rsidR="00D62A4F" w:rsidRDefault="00D62A4F" w:rsidP="00D62A4F">
      <w:pPr>
        <w:pStyle w:val="Questionstyle"/>
        <w:numPr>
          <w:ilvl w:val="0"/>
          <w:numId w:val="9"/>
        </w:numPr>
        <w:spacing w:after="250" w:line="276" w:lineRule="auto"/>
      </w:pPr>
      <w:r>
        <w:t xml:space="preserve">: </w:t>
      </w:r>
      <w:r w:rsidRPr="00F11691">
        <w:t>Are there any other aspects on reporting of master agreements or other elements of BSB/SBB that need to be clarified? Please detail the reasons for your response.</w:t>
      </w:r>
    </w:p>
    <w:p w14:paraId="07ED4C34" w14:textId="77777777" w:rsidR="00D62A4F" w:rsidRDefault="00D62A4F" w:rsidP="00D62A4F">
      <w:pPr>
        <w:rPr>
          <w:rFonts w:ascii="Arial" w:hAnsi="Arial" w:cs="Arial"/>
        </w:rPr>
      </w:pPr>
      <w:r>
        <w:rPr>
          <w:rFonts w:ascii="Arial" w:hAnsi="Arial" w:cs="Arial"/>
        </w:rPr>
        <w:t>&lt;ESMA_QUESTION_RSFTR_5&gt;</w:t>
      </w:r>
    </w:p>
    <w:p w14:paraId="338FC9E5" w14:textId="6ED477CE" w:rsidR="00861B15" w:rsidRPr="002E6F86" w:rsidRDefault="00861B15" w:rsidP="00D62A4F">
      <w:pPr>
        <w:rPr>
          <w:rFonts w:ascii="Arial" w:hAnsi="Arial" w:cs="Arial"/>
          <w:strike/>
        </w:rPr>
      </w:pPr>
      <w:permStart w:id="376123942" w:edGrp="everyone"/>
      <w:r w:rsidRPr="00C85C8B">
        <w:rPr>
          <w:rFonts w:eastAsiaTheme="minorEastAsia" w:cstheme="minorBidi"/>
          <w:szCs w:val="20"/>
          <w:lang w:eastAsia="en-US"/>
        </w:rPr>
        <w:t>TYPE YOUR TEXT HERE</w:t>
      </w:r>
    </w:p>
    <w:permEnd w:id="376123942"/>
    <w:p w14:paraId="1A3A5EFF" w14:textId="77777777" w:rsidR="00D62A4F" w:rsidRDefault="00D62A4F" w:rsidP="00D62A4F">
      <w:pPr>
        <w:rPr>
          <w:rFonts w:ascii="Arial" w:hAnsi="Arial" w:cs="Arial"/>
        </w:rPr>
      </w:pPr>
      <w:r>
        <w:rPr>
          <w:rFonts w:ascii="Arial" w:hAnsi="Arial" w:cs="Arial"/>
        </w:rPr>
        <w:t>&lt;ESMA_QUESTION_RSFTR_5&gt;</w:t>
      </w:r>
    </w:p>
    <w:p w14:paraId="4C5B1B0D" w14:textId="77777777" w:rsidR="00D62A4F" w:rsidRDefault="00D62A4F" w:rsidP="00D62A4F">
      <w:pPr>
        <w:rPr>
          <w:rFonts w:ascii="Arial" w:hAnsi="Arial" w:cs="Arial"/>
        </w:rPr>
      </w:pPr>
    </w:p>
    <w:p w14:paraId="5E29A753" w14:textId="77777777" w:rsidR="00D62A4F" w:rsidRDefault="00D62A4F" w:rsidP="00D62A4F">
      <w:pPr>
        <w:pStyle w:val="Questionstyle"/>
        <w:numPr>
          <w:ilvl w:val="0"/>
          <w:numId w:val="9"/>
        </w:numPr>
        <w:spacing w:after="250" w:line="276" w:lineRule="auto"/>
      </w:pPr>
      <w:r>
        <w:t xml:space="preserve">: </w:t>
      </w:r>
      <w:r w:rsidRPr="00F11691">
        <w:t>Do you foresee any issues relating to the non-availability of information on the counterparties and the securities by T+1? Please detail the reasons for your response.</w:t>
      </w:r>
    </w:p>
    <w:p w14:paraId="7F0500AD" w14:textId="77777777" w:rsidR="00D62A4F" w:rsidRDefault="00D62A4F" w:rsidP="00D62A4F">
      <w:pPr>
        <w:rPr>
          <w:rFonts w:ascii="Arial" w:hAnsi="Arial" w:cs="Arial"/>
        </w:rPr>
      </w:pPr>
      <w:r>
        <w:rPr>
          <w:rFonts w:ascii="Arial" w:hAnsi="Arial" w:cs="Arial"/>
        </w:rPr>
        <w:t>&lt;ESMA_QUESTION_RSFTR_6&gt;</w:t>
      </w:r>
    </w:p>
    <w:p w14:paraId="2617819D" w14:textId="69378ED2" w:rsidR="00E95475" w:rsidRPr="00D5765A" w:rsidRDefault="00D5765A" w:rsidP="007F5315">
      <w:pPr>
        <w:rPr>
          <w:rFonts w:ascii="Arial" w:hAnsi="Arial" w:cs="Arial"/>
          <w:strike/>
        </w:rPr>
      </w:pPr>
      <w:permStart w:id="1887062353" w:edGrp="everyone"/>
      <w:r w:rsidRPr="00C85C8B">
        <w:rPr>
          <w:rFonts w:eastAsiaTheme="minorEastAsia" w:cstheme="minorBidi"/>
          <w:szCs w:val="20"/>
          <w:lang w:eastAsia="en-US"/>
        </w:rPr>
        <w:t>TYPE YOUR TEXT HERE</w:t>
      </w:r>
    </w:p>
    <w:permEnd w:id="1887062353"/>
    <w:p w14:paraId="2C02F566" w14:textId="77777777" w:rsidR="00D62A4F" w:rsidRDefault="00D62A4F" w:rsidP="00D62A4F">
      <w:pPr>
        <w:rPr>
          <w:rFonts w:ascii="Arial" w:hAnsi="Arial" w:cs="Arial"/>
        </w:rPr>
      </w:pPr>
      <w:r>
        <w:rPr>
          <w:rFonts w:ascii="Arial" w:hAnsi="Arial" w:cs="Arial"/>
        </w:rPr>
        <w:t>&lt;ESMA_QUESTION_RSFTR_6&gt;</w:t>
      </w:r>
    </w:p>
    <w:p w14:paraId="088D1403" w14:textId="77777777" w:rsidR="00D62A4F" w:rsidRDefault="00D62A4F" w:rsidP="00D62A4F">
      <w:pPr>
        <w:rPr>
          <w:rFonts w:ascii="Arial" w:hAnsi="Arial" w:cs="Arial"/>
        </w:rPr>
      </w:pPr>
    </w:p>
    <w:p w14:paraId="27457548" w14:textId="77777777" w:rsidR="00D62A4F" w:rsidRDefault="00D62A4F" w:rsidP="00D62A4F">
      <w:pPr>
        <w:pStyle w:val="Questionstyle"/>
        <w:numPr>
          <w:ilvl w:val="0"/>
          <w:numId w:val="9"/>
        </w:numPr>
        <w:spacing w:after="250" w:line="276" w:lineRule="auto"/>
      </w:pPr>
      <w:r>
        <w:t xml:space="preserve">: </w:t>
      </w:r>
      <w:r w:rsidRPr="00F11691">
        <w:t xml:space="preserve">To what extent the SFTs that are cancelled and replaced bear price-forming information, i.e. does the cancellation imply an additional fee or price charged? If so, </w:t>
      </w:r>
      <w:r w:rsidRPr="00F11691">
        <w:lastRenderedPageBreak/>
        <w:t>how can this information be better included in the reports? Please detail the reasons for your response.</w:t>
      </w:r>
    </w:p>
    <w:p w14:paraId="2EB11BDB" w14:textId="77777777" w:rsidR="00D62A4F" w:rsidRDefault="00D62A4F" w:rsidP="00D62A4F">
      <w:pPr>
        <w:rPr>
          <w:rFonts w:ascii="Arial" w:hAnsi="Arial" w:cs="Arial"/>
        </w:rPr>
      </w:pPr>
      <w:r>
        <w:rPr>
          <w:rFonts w:ascii="Arial" w:hAnsi="Arial" w:cs="Arial"/>
        </w:rPr>
        <w:t>&lt;ESMA_QUESTION_RSFTR_7&gt;</w:t>
      </w:r>
    </w:p>
    <w:p w14:paraId="07482038" w14:textId="77777777" w:rsidR="007F5315" w:rsidRPr="001832AA" w:rsidRDefault="007F5315" w:rsidP="007F5315">
      <w:pPr>
        <w:rPr>
          <w:rFonts w:ascii="Arial" w:hAnsi="Arial" w:cs="Arial"/>
          <w:sz w:val="22"/>
          <w:szCs w:val="22"/>
        </w:rPr>
      </w:pPr>
      <w:permStart w:id="1754024460" w:edGrp="everyone"/>
      <w:r w:rsidRPr="001832AA">
        <w:rPr>
          <w:rFonts w:ascii="Arial" w:hAnsi="Arial" w:cs="Arial"/>
          <w:sz w:val="22"/>
          <w:szCs w:val="22"/>
        </w:rPr>
        <w:t>The termination of a SLB does not have any impact on the lending fee. The lending fee is initially agreed and remains applicable until the end of the transaction. Any transaction following the terminated one is subject to new negotiations and the lending fee agreed regarding that new transaction. Even if the same ISIN is to be lent to the same counterparty after the termination of the former transaction concerning that ISIN, it is a new price not being influenced by the price applied to the preceding transaction. Instead, when negotiating the lending fee of the new transaction, aspects like the current availability of that ISIN in the market or its price volatility or the volume offered are impacting the lending fee of the new transaction.</w:t>
      </w:r>
    </w:p>
    <w:p w14:paraId="7508C275" w14:textId="77777777" w:rsidR="007F5315" w:rsidRPr="001832AA" w:rsidRDefault="007F5315" w:rsidP="007F5315">
      <w:pPr>
        <w:rPr>
          <w:rFonts w:ascii="Arial" w:hAnsi="Arial" w:cs="Arial"/>
          <w:sz w:val="22"/>
          <w:szCs w:val="22"/>
        </w:rPr>
      </w:pPr>
    </w:p>
    <w:p w14:paraId="5B866C16" w14:textId="6276ED3B" w:rsidR="00D62A4F" w:rsidRPr="001832AA" w:rsidRDefault="007F5315" w:rsidP="00D62A4F">
      <w:pPr>
        <w:rPr>
          <w:rFonts w:ascii="Arial" w:hAnsi="Arial" w:cs="Arial"/>
          <w:sz w:val="22"/>
          <w:szCs w:val="22"/>
        </w:rPr>
      </w:pPr>
      <w:r w:rsidRPr="001832AA">
        <w:rPr>
          <w:rFonts w:ascii="Arial" w:hAnsi="Arial" w:cs="Arial"/>
          <w:sz w:val="22"/>
          <w:szCs w:val="22"/>
        </w:rPr>
        <w:t>In case that a SLB is agreed, but not settled and c</w:t>
      </w:r>
      <w:r w:rsidR="00150FBA" w:rsidRPr="001832AA">
        <w:rPr>
          <w:rFonts w:ascii="Arial" w:hAnsi="Arial" w:cs="Arial"/>
          <w:sz w:val="22"/>
          <w:szCs w:val="22"/>
        </w:rPr>
        <w:t>ancelled, there are</w:t>
      </w:r>
      <w:r w:rsidRPr="001832AA">
        <w:rPr>
          <w:rFonts w:ascii="Arial" w:hAnsi="Arial" w:cs="Arial"/>
          <w:sz w:val="22"/>
          <w:szCs w:val="22"/>
        </w:rPr>
        <w:t xml:space="preserve"> no costs evolving from that ca</w:t>
      </w:r>
      <w:r w:rsidR="00D8116A">
        <w:rPr>
          <w:rFonts w:ascii="Arial" w:hAnsi="Arial" w:cs="Arial"/>
          <w:sz w:val="22"/>
          <w:szCs w:val="22"/>
        </w:rPr>
        <w:t>ncellation. It is market practic</w:t>
      </w:r>
      <w:r w:rsidRPr="001832AA">
        <w:rPr>
          <w:rFonts w:ascii="Arial" w:hAnsi="Arial" w:cs="Arial"/>
          <w:sz w:val="22"/>
          <w:szCs w:val="22"/>
        </w:rPr>
        <w:t>e that if the settlement did not take place, no fees or costs are arising from that SLB.</w:t>
      </w:r>
    </w:p>
    <w:permEnd w:id="1754024460"/>
    <w:p w14:paraId="4EED656D" w14:textId="77777777" w:rsidR="00D62A4F" w:rsidRDefault="00D62A4F" w:rsidP="00D62A4F">
      <w:pPr>
        <w:rPr>
          <w:rFonts w:ascii="Arial" w:hAnsi="Arial" w:cs="Arial"/>
        </w:rPr>
      </w:pPr>
      <w:r>
        <w:rPr>
          <w:rFonts w:ascii="Arial" w:hAnsi="Arial" w:cs="Arial"/>
        </w:rPr>
        <w:t>&lt;ESMA_QUESTION_RSFTR_7&gt;</w:t>
      </w:r>
    </w:p>
    <w:p w14:paraId="0458F3D9" w14:textId="77777777" w:rsidR="00D62A4F" w:rsidRDefault="00D62A4F" w:rsidP="00D62A4F">
      <w:pPr>
        <w:rPr>
          <w:rFonts w:ascii="Arial" w:hAnsi="Arial" w:cs="Arial"/>
        </w:rPr>
      </w:pPr>
    </w:p>
    <w:p w14:paraId="638F78DD" w14:textId="77777777" w:rsidR="00D62A4F" w:rsidRDefault="00D62A4F" w:rsidP="00D62A4F">
      <w:pPr>
        <w:pStyle w:val="Questionstyle"/>
        <w:numPr>
          <w:ilvl w:val="0"/>
          <w:numId w:val="9"/>
        </w:numPr>
        <w:spacing w:after="250" w:line="276" w:lineRule="auto"/>
      </w:pPr>
      <w:r>
        <w:t xml:space="preserve">: </w:t>
      </w:r>
      <w:r w:rsidRPr="00F11691">
        <w:t>Which approach would you favour in terms of reporting cash-driven SLB? Please detail the reasons for your response.</w:t>
      </w:r>
    </w:p>
    <w:p w14:paraId="121C967F" w14:textId="77777777" w:rsidR="00D62A4F" w:rsidRDefault="00D62A4F" w:rsidP="00D62A4F">
      <w:pPr>
        <w:rPr>
          <w:rFonts w:ascii="Arial" w:hAnsi="Arial" w:cs="Arial"/>
        </w:rPr>
      </w:pPr>
      <w:r>
        <w:rPr>
          <w:rFonts w:ascii="Arial" w:hAnsi="Arial" w:cs="Arial"/>
        </w:rPr>
        <w:t>&lt;ESMA_QUESTION_RSFTR_8&gt;</w:t>
      </w:r>
    </w:p>
    <w:p w14:paraId="50865A55" w14:textId="6E2C44EA" w:rsidR="00E95475" w:rsidRPr="001832AA" w:rsidRDefault="00E95475" w:rsidP="007F5315">
      <w:pPr>
        <w:rPr>
          <w:rFonts w:ascii="Arial" w:hAnsi="Arial" w:cs="Arial"/>
          <w:sz w:val="22"/>
          <w:szCs w:val="22"/>
        </w:rPr>
      </w:pPr>
      <w:permStart w:id="2067472215" w:edGrp="everyone"/>
      <w:r w:rsidRPr="001832AA">
        <w:rPr>
          <w:rFonts w:ascii="Arial" w:hAnsi="Arial" w:cs="Arial"/>
          <w:sz w:val="22"/>
          <w:szCs w:val="22"/>
        </w:rPr>
        <w:t xml:space="preserve">A clear decision is required on the message format to use for SLB trades under GMSLA but with repo-style economics. </w:t>
      </w:r>
      <w:r w:rsidR="00863E63">
        <w:rPr>
          <w:rFonts w:ascii="Arial" w:hAnsi="Arial" w:cs="Arial"/>
          <w:sz w:val="22"/>
          <w:szCs w:val="22"/>
        </w:rPr>
        <w:t>Our</w:t>
      </w:r>
      <w:r w:rsidRPr="001832AA">
        <w:rPr>
          <w:rFonts w:ascii="Arial" w:hAnsi="Arial" w:cs="Arial"/>
          <w:sz w:val="22"/>
          <w:szCs w:val="22"/>
        </w:rPr>
        <w:t xml:space="preserve"> proposal is to report these as repos with repo fields although</w:t>
      </w:r>
      <w:r w:rsidR="00736435" w:rsidRPr="001832AA">
        <w:rPr>
          <w:rFonts w:ascii="Arial" w:hAnsi="Arial" w:cs="Arial"/>
          <w:sz w:val="22"/>
          <w:szCs w:val="22"/>
        </w:rPr>
        <w:t xml:space="preserve"> t</w:t>
      </w:r>
      <w:r w:rsidRPr="001832AA">
        <w:rPr>
          <w:rFonts w:ascii="Arial" w:hAnsi="Arial" w:cs="Arial"/>
          <w:sz w:val="22"/>
          <w:szCs w:val="22"/>
        </w:rPr>
        <w:t>he Master Agreement will be a securities lending agreement.</w:t>
      </w:r>
    </w:p>
    <w:permEnd w:id="2067472215"/>
    <w:p w14:paraId="69EA7EB4" w14:textId="77777777" w:rsidR="00D62A4F" w:rsidRDefault="00D62A4F" w:rsidP="00D62A4F">
      <w:pPr>
        <w:rPr>
          <w:rFonts w:ascii="Arial" w:hAnsi="Arial" w:cs="Arial"/>
        </w:rPr>
      </w:pPr>
      <w:r>
        <w:rPr>
          <w:rFonts w:ascii="Arial" w:hAnsi="Arial" w:cs="Arial"/>
        </w:rPr>
        <w:t>&lt;ESMA_QUESTION_RSFTR_8&gt;</w:t>
      </w:r>
    </w:p>
    <w:p w14:paraId="640BAD9C" w14:textId="77777777" w:rsidR="00D62A4F" w:rsidRDefault="00D62A4F" w:rsidP="00D62A4F">
      <w:pPr>
        <w:rPr>
          <w:rFonts w:ascii="Arial" w:hAnsi="Arial" w:cs="Arial"/>
        </w:rPr>
      </w:pPr>
    </w:p>
    <w:p w14:paraId="2F101AEE" w14:textId="77777777" w:rsidR="00D62A4F" w:rsidRDefault="00D62A4F" w:rsidP="00D62A4F">
      <w:pPr>
        <w:pStyle w:val="Questionstyle"/>
        <w:numPr>
          <w:ilvl w:val="0"/>
          <w:numId w:val="9"/>
        </w:numPr>
        <w:spacing w:after="250" w:line="276" w:lineRule="auto"/>
      </w:pPr>
      <w:r>
        <w:t xml:space="preserve">: </w:t>
      </w:r>
      <w:r w:rsidRPr="00F11691">
        <w:t>Do you agree with the proposal with regards to reporting of SFTs involving commodities? What other aspects should be clarified with regards to these SFTs? Please detail the reasons for your response.</w:t>
      </w:r>
    </w:p>
    <w:p w14:paraId="17E5ED76" w14:textId="77777777" w:rsidR="00D62A4F" w:rsidRDefault="00D62A4F" w:rsidP="00D62A4F">
      <w:pPr>
        <w:rPr>
          <w:rFonts w:ascii="Arial" w:hAnsi="Arial" w:cs="Arial"/>
        </w:rPr>
      </w:pPr>
      <w:r>
        <w:rPr>
          <w:rFonts w:ascii="Arial" w:hAnsi="Arial" w:cs="Arial"/>
        </w:rPr>
        <w:t>&lt;ESMA_QUESTION_RSFTR_9&gt;</w:t>
      </w:r>
    </w:p>
    <w:p w14:paraId="6AD388E7" w14:textId="77777777" w:rsidR="00D62A4F" w:rsidRDefault="00D62A4F" w:rsidP="00D62A4F">
      <w:pPr>
        <w:rPr>
          <w:rFonts w:ascii="Arial" w:hAnsi="Arial" w:cs="Arial"/>
        </w:rPr>
      </w:pPr>
      <w:permStart w:id="593715747" w:edGrp="everyone"/>
      <w:r>
        <w:rPr>
          <w:rFonts w:ascii="Arial" w:hAnsi="Arial" w:cs="Arial"/>
        </w:rPr>
        <w:t>TYPE YOUR TEXT HERE</w:t>
      </w:r>
    </w:p>
    <w:permEnd w:id="593715747"/>
    <w:p w14:paraId="5037F93B" w14:textId="77777777" w:rsidR="00D62A4F" w:rsidRDefault="00D62A4F" w:rsidP="00D62A4F">
      <w:pPr>
        <w:rPr>
          <w:rFonts w:ascii="Arial" w:hAnsi="Arial" w:cs="Arial"/>
        </w:rPr>
      </w:pPr>
      <w:r>
        <w:rPr>
          <w:rFonts w:ascii="Arial" w:hAnsi="Arial" w:cs="Arial"/>
        </w:rPr>
        <w:t>&lt;ESMA_QUESTION_RSFTR_9&gt;</w:t>
      </w:r>
    </w:p>
    <w:p w14:paraId="0E613B42" w14:textId="77777777" w:rsidR="00D62A4F" w:rsidRDefault="00D62A4F" w:rsidP="00D62A4F">
      <w:pPr>
        <w:rPr>
          <w:rFonts w:ascii="Arial" w:hAnsi="Arial" w:cs="Arial"/>
        </w:rPr>
      </w:pPr>
    </w:p>
    <w:p w14:paraId="432AF8E4" w14:textId="77777777" w:rsidR="00D62A4F" w:rsidRDefault="00D62A4F" w:rsidP="00D62A4F">
      <w:pPr>
        <w:pStyle w:val="Questionstyle"/>
        <w:numPr>
          <w:ilvl w:val="0"/>
          <w:numId w:val="9"/>
        </w:numPr>
        <w:spacing w:after="250" w:line="276" w:lineRule="auto"/>
      </w:pPr>
      <w:r>
        <w:t xml:space="preserve">: </w:t>
      </w:r>
      <w:r w:rsidRPr="00F11691">
        <w:t>Are there any aspects that need to be clarified with regards to this type of SFTs? Please detail the reasons for your response.</w:t>
      </w:r>
    </w:p>
    <w:p w14:paraId="629B1938" w14:textId="77777777" w:rsidR="00D62A4F" w:rsidRDefault="00D62A4F" w:rsidP="00D62A4F">
      <w:pPr>
        <w:rPr>
          <w:rFonts w:ascii="Arial" w:hAnsi="Arial" w:cs="Arial"/>
        </w:rPr>
      </w:pPr>
      <w:r>
        <w:rPr>
          <w:rFonts w:ascii="Arial" w:hAnsi="Arial" w:cs="Arial"/>
        </w:rPr>
        <w:t>&lt;ESMA_QUESTION_RSFTR_10&gt;</w:t>
      </w:r>
    </w:p>
    <w:p w14:paraId="732363BD" w14:textId="77777777" w:rsidR="00D62A4F" w:rsidRDefault="00D62A4F" w:rsidP="00D62A4F">
      <w:pPr>
        <w:rPr>
          <w:rFonts w:ascii="Arial" w:hAnsi="Arial" w:cs="Arial"/>
        </w:rPr>
      </w:pPr>
      <w:permStart w:id="31801561" w:edGrp="everyone"/>
      <w:r>
        <w:rPr>
          <w:rFonts w:ascii="Arial" w:hAnsi="Arial" w:cs="Arial"/>
        </w:rPr>
        <w:t>TYPE YOUR TEXT HERE</w:t>
      </w:r>
    </w:p>
    <w:permEnd w:id="31801561"/>
    <w:p w14:paraId="2FB6472B" w14:textId="77777777" w:rsidR="00D62A4F" w:rsidRDefault="00D62A4F" w:rsidP="00D62A4F">
      <w:pPr>
        <w:rPr>
          <w:rFonts w:ascii="Arial" w:hAnsi="Arial" w:cs="Arial"/>
        </w:rPr>
      </w:pPr>
      <w:r>
        <w:rPr>
          <w:rFonts w:ascii="Arial" w:hAnsi="Arial" w:cs="Arial"/>
        </w:rPr>
        <w:t>&lt;ESMA_QUESTION_RSFTR_10&gt;</w:t>
      </w:r>
    </w:p>
    <w:p w14:paraId="7ED4F9AF" w14:textId="77777777" w:rsidR="00D62A4F" w:rsidRDefault="00D62A4F" w:rsidP="00D62A4F">
      <w:pPr>
        <w:rPr>
          <w:rFonts w:ascii="Arial" w:hAnsi="Arial" w:cs="Arial"/>
        </w:rPr>
      </w:pPr>
    </w:p>
    <w:p w14:paraId="4B7BB033" w14:textId="77777777" w:rsidR="00D62A4F" w:rsidRDefault="00D62A4F" w:rsidP="00D62A4F">
      <w:pPr>
        <w:pStyle w:val="Questionstyle"/>
        <w:numPr>
          <w:ilvl w:val="0"/>
          <w:numId w:val="9"/>
        </w:numPr>
        <w:spacing w:after="250" w:line="276" w:lineRule="auto"/>
      </w:pPr>
      <w:r>
        <w:t xml:space="preserve">: </w:t>
      </w:r>
      <w:r w:rsidRPr="00F11691">
        <w:t>Do you agree with the proposal with regards to reporting of margin lending? What other aspects should be clarified with regards to these SFTs? Please detail the reasons for your response.</w:t>
      </w:r>
    </w:p>
    <w:p w14:paraId="632377A8" w14:textId="77777777" w:rsidR="00D62A4F" w:rsidRDefault="00D62A4F" w:rsidP="00D62A4F">
      <w:pPr>
        <w:rPr>
          <w:rFonts w:ascii="Arial" w:hAnsi="Arial" w:cs="Arial"/>
        </w:rPr>
      </w:pPr>
      <w:r>
        <w:rPr>
          <w:rFonts w:ascii="Arial" w:hAnsi="Arial" w:cs="Arial"/>
        </w:rPr>
        <w:t>&lt;ESMA_QUESTION_RSFTR_11&gt;</w:t>
      </w:r>
    </w:p>
    <w:p w14:paraId="62B24DC8" w14:textId="77777777" w:rsidR="00D62A4F" w:rsidRDefault="00D62A4F" w:rsidP="00D62A4F">
      <w:pPr>
        <w:rPr>
          <w:rFonts w:ascii="Arial" w:hAnsi="Arial" w:cs="Arial"/>
        </w:rPr>
      </w:pPr>
      <w:permStart w:id="1110072971" w:edGrp="everyone"/>
      <w:r>
        <w:rPr>
          <w:rFonts w:ascii="Arial" w:hAnsi="Arial" w:cs="Arial"/>
        </w:rPr>
        <w:t>TYPE YOUR TEXT HERE</w:t>
      </w:r>
    </w:p>
    <w:permEnd w:id="1110072971"/>
    <w:p w14:paraId="6D5EE51E" w14:textId="77777777" w:rsidR="00D62A4F" w:rsidRDefault="00D62A4F" w:rsidP="00D62A4F">
      <w:pPr>
        <w:rPr>
          <w:rFonts w:ascii="Arial" w:hAnsi="Arial" w:cs="Arial"/>
        </w:rPr>
      </w:pPr>
      <w:r>
        <w:rPr>
          <w:rFonts w:ascii="Arial" w:hAnsi="Arial" w:cs="Arial"/>
        </w:rPr>
        <w:t>&lt;ESMA_QUESTION_RSFTR_11&gt;</w:t>
      </w:r>
    </w:p>
    <w:p w14:paraId="6C88AC94" w14:textId="77777777" w:rsidR="00D62A4F" w:rsidRDefault="00D62A4F" w:rsidP="00D62A4F">
      <w:pPr>
        <w:rPr>
          <w:rFonts w:ascii="Arial" w:hAnsi="Arial" w:cs="Arial"/>
        </w:rPr>
      </w:pPr>
    </w:p>
    <w:p w14:paraId="52518D32" w14:textId="77777777" w:rsidR="00D62A4F" w:rsidRDefault="00D62A4F" w:rsidP="00D62A4F">
      <w:pPr>
        <w:pStyle w:val="Questionstyle"/>
        <w:numPr>
          <w:ilvl w:val="0"/>
          <w:numId w:val="9"/>
        </w:numPr>
        <w:spacing w:after="250" w:line="276" w:lineRule="auto"/>
      </w:pPr>
      <w:r>
        <w:t xml:space="preserve">: </w:t>
      </w:r>
      <w:r w:rsidRPr="00F11691">
        <w:t>Having in mind that position reporting of CCP-cleared SFTs is optional only when transaction-level reporting was made in accordance with paragraph 84, do you believe that additional clarifications need to be provided by ESMA? Please detail the reasons for your response.</w:t>
      </w:r>
    </w:p>
    <w:p w14:paraId="1DA29281" w14:textId="77777777" w:rsidR="00D62A4F" w:rsidRDefault="00D62A4F" w:rsidP="00D62A4F">
      <w:pPr>
        <w:rPr>
          <w:rFonts w:ascii="Arial" w:hAnsi="Arial" w:cs="Arial"/>
        </w:rPr>
      </w:pPr>
      <w:r>
        <w:rPr>
          <w:rFonts w:ascii="Arial" w:hAnsi="Arial" w:cs="Arial"/>
        </w:rPr>
        <w:t>&lt;ESMA_QUESTION_RSFTR_12&gt;</w:t>
      </w:r>
    </w:p>
    <w:p w14:paraId="6D9C1561" w14:textId="7ED2C53D" w:rsidR="00326930" w:rsidRPr="001832AA" w:rsidRDefault="001832AA" w:rsidP="005D3293">
      <w:pPr>
        <w:rPr>
          <w:rFonts w:ascii="Arial" w:hAnsi="Arial" w:cs="Arial"/>
          <w:sz w:val="22"/>
          <w:szCs w:val="22"/>
        </w:rPr>
      </w:pPr>
      <w:permStart w:id="1164643219" w:edGrp="everyone"/>
      <w:r>
        <w:rPr>
          <w:rFonts w:ascii="Arial" w:hAnsi="Arial" w:cs="Arial"/>
          <w:sz w:val="22"/>
          <w:szCs w:val="22"/>
        </w:rPr>
        <w:t>We</w:t>
      </w:r>
      <w:r w:rsidR="00326930" w:rsidRPr="001832AA">
        <w:rPr>
          <w:rFonts w:ascii="Arial" w:hAnsi="Arial" w:cs="Arial"/>
          <w:sz w:val="22"/>
          <w:szCs w:val="22"/>
        </w:rPr>
        <w:t xml:space="preserve"> would welcome a use</w:t>
      </w:r>
      <w:r w:rsidR="00A021DD" w:rsidRPr="001832AA">
        <w:rPr>
          <w:rFonts w:ascii="Arial" w:hAnsi="Arial" w:cs="Arial"/>
          <w:sz w:val="22"/>
          <w:szCs w:val="22"/>
        </w:rPr>
        <w:t>-</w:t>
      </w:r>
      <w:r w:rsidR="00326930" w:rsidRPr="001832AA">
        <w:rPr>
          <w:rFonts w:ascii="Arial" w:hAnsi="Arial" w:cs="Arial"/>
          <w:sz w:val="22"/>
          <w:szCs w:val="22"/>
        </w:rPr>
        <w:t>case showing a position level reporting for Eurex GC Pooling trades if position level reporting is applicable for that.</w:t>
      </w:r>
      <w:r w:rsidR="00D5765A" w:rsidRPr="001832AA">
        <w:rPr>
          <w:rFonts w:ascii="Arial" w:hAnsi="Arial" w:cs="Arial"/>
          <w:sz w:val="22"/>
          <w:szCs w:val="22"/>
        </w:rPr>
        <w:t xml:space="preserve"> </w:t>
      </w:r>
    </w:p>
    <w:permEnd w:id="1164643219"/>
    <w:p w14:paraId="71C56978" w14:textId="77777777" w:rsidR="00D62A4F" w:rsidRDefault="00D62A4F" w:rsidP="00D62A4F">
      <w:pPr>
        <w:rPr>
          <w:rFonts w:ascii="Arial" w:hAnsi="Arial" w:cs="Arial"/>
        </w:rPr>
      </w:pPr>
      <w:r>
        <w:rPr>
          <w:rFonts w:ascii="Arial" w:hAnsi="Arial" w:cs="Arial"/>
        </w:rPr>
        <w:t>&lt;ESMA_QUESTION_RSFTR_12&gt;</w:t>
      </w:r>
    </w:p>
    <w:p w14:paraId="3D6C1CAD" w14:textId="77777777" w:rsidR="00D62A4F" w:rsidRDefault="00D62A4F" w:rsidP="00D62A4F">
      <w:pPr>
        <w:rPr>
          <w:rFonts w:ascii="Arial" w:hAnsi="Arial" w:cs="Arial"/>
        </w:rPr>
      </w:pPr>
    </w:p>
    <w:p w14:paraId="7794F66E" w14:textId="77777777" w:rsidR="00D62A4F" w:rsidRDefault="00D62A4F" w:rsidP="00D62A4F">
      <w:pPr>
        <w:pStyle w:val="Questionstyle"/>
        <w:numPr>
          <w:ilvl w:val="0"/>
          <w:numId w:val="9"/>
        </w:numPr>
        <w:spacing w:after="250" w:line="276" w:lineRule="auto"/>
      </w:pPr>
      <w:r>
        <w:t xml:space="preserve">: </w:t>
      </w:r>
      <w:r w:rsidRPr="00F11691">
        <w:t>Do you agree with the approach regarding allocation of responsibility with regards to SFTs concluded between TC-FC and EU SME-NFC? Please detail the reasons for your response.</w:t>
      </w:r>
    </w:p>
    <w:p w14:paraId="28BED525" w14:textId="77777777" w:rsidR="00D62A4F" w:rsidRDefault="00D62A4F" w:rsidP="00D62A4F">
      <w:pPr>
        <w:rPr>
          <w:rFonts w:ascii="Arial" w:hAnsi="Arial" w:cs="Arial"/>
        </w:rPr>
      </w:pPr>
      <w:r>
        <w:rPr>
          <w:rFonts w:ascii="Arial" w:hAnsi="Arial" w:cs="Arial"/>
        </w:rPr>
        <w:t>&lt;ESMA_QUESTION_RSFTR_13&gt;</w:t>
      </w:r>
    </w:p>
    <w:p w14:paraId="0ECD9EE1" w14:textId="31CC100F" w:rsidR="00326930" w:rsidRPr="00BE7B51" w:rsidRDefault="005D3293" w:rsidP="00326930">
      <w:pPr>
        <w:rPr>
          <w:rFonts w:ascii="Arial" w:hAnsi="Arial" w:cs="Arial"/>
          <w:sz w:val="22"/>
          <w:szCs w:val="22"/>
        </w:rPr>
      </w:pPr>
      <w:permStart w:id="815811770" w:edGrp="everyone"/>
      <w:r w:rsidRPr="00BE7B51">
        <w:rPr>
          <w:rFonts w:ascii="Arial" w:hAnsi="Arial" w:cs="Arial"/>
          <w:sz w:val="22"/>
          <w:szCs w:val="22"/>
        </w:rPr>
        <w:t>Yes</w:t>
      </w:r>
      <w:r w:rsidR="001839F9" w:rsidRPr="00BE7B51">
        <w:rPr>
          <w:rFonts w:ascii="Arial" w:hAnsi="Arial" w:cs="Arial"/>
          <w:sz w:val="22"/>
          <w:szCs w:val="22"/>
        </w:rPr>
        <w:t>. But i</w:t>
      </w:r>
      <w:r w:rsidR="00326930" w:rsidRPr="00BE7B51">
        <w:rPr>
          <w:rFonts w:ascii="Arial" w:hAnsi="Arial" w:cs="Arial"/>
          <w:sz w:val="22"/>
          <w:szCs w:val="22"/>
        </w:rPr>
        <w:t>n general we see problem</w:t>
      </w:r>
      <w:r w:rsidR="00C36F71" w:rsidRPr="00BE7B51">
        <w:rPr>
          <w:rFonts w:ascii="Arial" w:hAnsi="Arial" w:cs="Arial"/>
          <w:sz w:val="22"/>
          <w:szCs w:val="22"/>
        </w:rPr>
        <w:t>s</w:t>
      </w:r>
      <w:r w:rsidR="00326930" w:rsidRPr="00BE7B51">
        <w:rPr>
          <w:rFonts w:ascii="Arial" w:hAnsi="Arial" w:cs="Arial"/>
          <w:sz w:val="22"/>
          <w:szCs w:val="22"/>
        </w:rPr>
        <w:t xml:space="preserve"> with the delegation of the NFC reporting to FC. There will be a great burden/effort for the technical implementation (e.g. availability of re-use date).</w:t>
      </w:r>
    </w:p>
    <w:p w14:paraId="580776CA" w14:textId="7C2B2CF4" w:rsidR="001A6281" w:rsidRPr="00BE7B51" w:rsidRDefault="001A6281" w:rsidP="00D62A4F">
      <w:pPr>
        <w:rPr>
          <w:rFonts w:ascii="Arial" w:hAnsi="Arial" w:cs="Arial"/>
          <w:color w:val="FF0000"/>
          <w:sz w:val="22"/>
          <w:szCs w:val="22"/>
        </w:rPr>
      </w:pPr>
    </w:p>
    <w:p w14:paraId="09F63446" w14:textId="218A9566" w:rsidR="006B0322" w:rsidRPr="006B0322" w:rsidRDefault="006B0322" w:rsidP="00D62A4F">
      <w:pPr>
        <w:rPr>
          <w:rFonts w:asciiTheme="minorHAnsi" w:hAnsiTheme="minorHAnsi" w:cstheme="minorHAnsi"/>
          <w:lang w:val="en-US"/>
        </w:rPr>
      </w:pPr>
      <w:r w:rsidRPr="00BE7B51">
        <w:rPr>
          <w:rFonts w:asciiTheme="minorHAnsi" w:hAnsiTheme="minorHAnsi" w:cstheme="minorHAnsi"/>
          <w:sz w:val="22"/>
          <w:szCs w:val="22"/>
          <w:lang w:val="en-US"/>
        </w:rPr>
        <w:t>With regard to the availability of re-use data, it will be nearly impossible for the reporting counterparty to obtain the relevant data. And this is not a matter of how much energy and technical implementation are invested by the reporting counterparty. It is unlikely that the NFC will provide the reporting party with all the relevant data in order for the reporting party to carry out the necessary calculations and estimates (all assets, all SFTs concluded, also with other counterparties, etc.). Thus, we would strongly recommend not to apply the section on re-use data at least for the mandatory reporting.</w:t>
      </w:r>
    </w:p>
    <w:permEnd w:id="815811770"/>
    <w:p w14:paraId="75A7232C" w14:textId="77777777" w:rsidR="00D62A4F" w:rsidRDefault="00D62A4F" w:rsidP="00D62A4F">
      <w:pPr>
        <w:rPr>
          <w:rFonts w:ascii="Arial" w:hAnsi="Arial" w:cs="Arial"/>
        </w:rPr>
      </w:pPr>
      <w:r>
        <w:rPr>
          <w:rFonts w:ascii="Arial" w:hAnsi="Arial" w:cs="Arial"/>
        </w:rPr>
        <w:t>&lt;ESMA_QUESTION_RSFTR_13&gt;</w:t>
      </w:r>
    </w:p>
    <w:p w14:paraId="27FD50D6" w14:textId="77777777" w:rsidR="00D62A4F" w:rsidRDefault="00D62A4F" w:rsidP="00D62A4F">
      <w:pPr>
        <w:rPr>
          <w:rFonts w:ascii="Arial" w:hAnsi="Arial" w:cs="Arial"/>
        </w:rPr>
      </w:pPr>
    </w:p>
    <w:p w14:paraId="3C12F357" w14:textId="77777777" w:rsidR="00D62A4F" w:rsidRDefault="00D62A4F" w:rsidP="00D62A4F">
      <w:pPr>
        <w:pStyle w:val="Questionstyle"/>
        <w:numPr>
          <w:ilvl w:val="0"/>
          <w:numId w:val="9"/>
        </w:numPr>
        <w:spacing w:after="250" w:line="276" w:lineRule="auto"/>
      </w:pPr>
      <w:r>
        <w:t xml:space="preserve">: </w:t>
      </w:r>
      <w:r w:rsidRPr="00F11691">
        <w:t>Do you agree with the approach regarding allocation of responsibility with regards to UCITS management company and AIFM, established in third country? Please detail the reasons for your response.</w:t>
      </w:r>
    </w:p>
    <w:p w14:paraId="3E0E2307" w14:textId="77777777" w:rsidR="00D62A4F" w:rsidRDefault="00D62A4F" w:rsidP="00D62A4F">
      <w:pPr>
        <w:rPr>
          <w:rFonts w:ascii="Arial" w:hAnsi="Arial" w:cs="Arial"/>
        </w:rPr>
      </w:pPr>
      <w:r>
        <w:rPr>
          <w:rFonts w:ascii="Arial" w:hAnsi="Arial" w:cs="Arial"/>
        </w:rPr>
        <w:t>&lt;ESMA_QUESTION_RSFTR_14&gt;</w:t>
      </w:r>
    </w:p>
    <w:p w14:paraId="599BBE01" w14:textId="77777777" w:rsidR="00C36F71" w:rsidRDefault="00C36F71" w:rsidP="00D62A4F">
      <w:pPr>
        <w:rPr>
          <w:rFonts w:ascii="Arial" w:hAnsi="Arial" w:cs="Arial"/>
        </w:rPr>
      </w:pPr>
      <w:permStart w:id="733290772" w:edGrp="everyone"/>
      <w:r w:rsidRPr="00C36F71">
        <w:rPr>
          <w:rFonts w:ascii="Arial" w:hAnsi="Arial" w:cs="Arial"/>
        </w:rPr>
        <w:t>TYPE YOUR TEXT HERE</w:t>
      </w:r>
    </w:p>
    <w:permEnd w:id="733290772"/>
    <w:p w14:paraId="441D1735" w14:textId="46D50467" w:rsidR="00D62A4F" w:rsidRDefault="00D62A4F" w:rsidP="00D62A4F">
      <w:pPr>
        <w:rPr>
          <w:rFonts w:ascii="Arial" w:hAnsi="Arial" w:cs="Arial"/>
        </w:rPr>
      </w:pPr>
      <w:r>
        <w:rPr>
          <w:rFonts w:ascii="Arial" w:hAnsi="Arial" w:cs="Arial"/>
        </w:rPr>
        <w:t>&lt;ESMA_QUESTION_RSFTR_14&gt;</w:t>
      </w:r>
    </w:p>
    <w:p w14:paraId="2B101BC1" w14:textId="77777777" w:rsidR="00D62A4F" w:rsidRDefault="00D62A4F" w:rsidP="00D62A4F">
      <w:pPr>
        <w:rPr>
          <w:rFonts w:ascii="Arial" w:hAnsi="Arial" w:cs="Arial"/>
        </w:rPr>
      </w:pPr>
    </w:p>
    <w:p w14:paraId="24058A3D" w14:textId="77777777" w:rsidR="00D62A4F" w:rsidRDefault="00D62A4F" w:rsidP="00D62A4F">
      <w:pPr>
        <w:pStyle w:val="Questionstyle"/>
        <w:numPr>
          <w:ilvl w:val="0"/>
          <w:numId w:val="9"/>
        </w:numPr>
        <w:spacing w:after="250" w:line="276" w:lineRule="auto"/>
      </w:pPr>
      <w:r>
        <w:t xml:space="preserve">: </w:t>
      </w:r>
      <w:r w:rsidRPr="00F11691">
        <w:t>Do you agree with the approach for determining conclusion of SFTs by EU branches of non-EU entities? Are there any other instances in addition to the ones in paragraph 102 that would need to be clarified? Please detail the reasons for your response.</w:t>
      </w:r>
    </w:p>
    <w:p w14:paraId="039518CF" w14:textId="77777777" w:rsidR="00D62A4F" w:rsidRDefault="00D62A4F" w:rsidP="00D62A4F">
      <w:pPr>
        <w:rPr>
          <w:rFonts w:ascii="Arial" w:hAnsi="Arial" w:cs="Arial"/>
        </w:rPr>
      </w:pPr>
      <w:r>
        <w:rPr>
          <w:rFonts w:ascii="Arial" w:hAnsi="Arial" w:cs="Arial"/>
        </w:rPr>
        <w:t>&lt;ESMA_QUESTION_RSFTR_15&gt;</w:t>
      </w:r>
    </w:p>
    <w:p w14:paraId="09E57E17" w14:textId="79632807" w:rsidR="00D62A4F" w:rsidRDefault="001839F9" w:rsidP="00D62A4F">
      <w:pPr>
        <w:rPr>
          <w:rFonts w:ascii="Arial" w:hAnsi="Arial" w:cs="Arial"/>
        </w:rPr>
      </w:pPr>
      <w:permStart w:id="607192661" w:edGrp="everyone"/>
      <w:r w:rsidRPr="001832AA">
        <w:rPr>
          <w:rFonts w:ascii="Arial" w:hAnsi="Arial" w:cs="Arial"/>
          <w:sz w:val="22"/>
          <w:szCs w:val="22"/>
        </w:rPr>
        <w:t>In generally yes.</w:t>
      </w:r>
      <w:r w:rsidR="00C36F71" w:rsidRPr="001832AA">
        <w:rPr>
          <w:rFonts w:ascii="Arial" w:hAnsi="Arial" w:cs="Arial"/>
          <w:sz w:val="22"/>
          <w:szCs w:val="22"/>
        </w:rPr>
        <w:t xml:space="preserve"> Explicit clarification is requested on whether trader or salesman location is relevant to SFTR given the practical implications of trying to report outside the EU. Our proposal is that a SFT should only be SFTR-relevant if it is actually committed to the books and records of a SFTR-relevant entity / branch, irrelevant of trader or salesman location.</w:t>
      </w:r>
    </w:p>
    <w:permEnd w:id="607192661"/>
    <w:p w14:paraId="4422F75F" w14:textId="77777777" w:rsidR="00D62A4F" w:rsidRDefault="00D62A4F" w:rsidP="00D62A4F">
      <w:pPr>
        <w:rPr>
          <w:rFonts w:ascii="Arial" w:hAnsi="Arial" w:cs="Arial"/>
        </w:rPr>
      </w:pPr>
      <w:r>
        <w:rPr>
          <w:rFonts w:ascii="Arial" w:hAnsi="Arial" w:cs="Arial"/>
        </w:rPr>
        <w:t>&lt;ESMA_QUESTION_RSFTR_15&gt;</w:t>
      </w:r>
    </w:p>
    <w:p w14:paraId="0C78C823" w14:textId="77777777" w:rsidR="00D62A4F" w:rsidRDefault="00D62A4F" w:rsidP="00D62A4F">
      <w:pPr>
        <w:rPr>
          <w:rFonts w:ascii="Arial" w:hAnsi="Arial" w:cs="Arial"/>
        </w:rPr>
      </w:pPr>
    </w:p>
    <w:p w14:paraId="10A2AB47" w14:textId="77777777" w:rsidR="00D62A4F" w:rsidRDefault="00D62A4F" w:rsidP="00D62A4F">
      <w:pPr>
        <w:pStyle w:val="Questionstyle"/>
        <w:numPr>
          <w:ilvl w:val="0"/>
          <w:numId w:val="9"/>
        </w:numPr>
        <w:spacing w:after="250" w:line="276" w:lineRule="auto"/>
      </w:pPr>
      <w:r>
        <w:lastRenderedPageBreak/>
        <w:t xml:space="preserve">: </w:t>
      </w:r>
      <w:r w:rsidRPr="00F11691">
        <w:t>Is the proposed guidance for determining whether an SFT conducted by a branch needs to be reported clear and comprehensive? Which areas require further clarification? Please detail the reasons for your response.</w:t>
      </w:r>
    </w:p>
    <w:p w14:paraId="4B917DFC" w14:textId="77777777" w:rsidR="00D62A4F" w:rsidRDefault="00D62A4F" w:rsidP="00D62A4F">
      <w:pPr>
        <w:rPr>
          <w:rFonts w:ascii="Arial" w:hAnsi="Arial" w:cs="Arial"/>
        </w:rPr>
      </w:pPr>
      <w:r>
        <w:rPr>
          <w:rFonts w:ascii="Arial" w:hAnsi="Arial" w:cs="Arial"/>
        </w:rPr>
        <w:t>&lt;ESMA_QUESTION_RSFTR_16&gt;</w:t>
      </w:r>
    </w:p>
    <w:p w14:paraId="279B196B" w14:textId="6DC94432" w:rsidR="00D62A4F" w:rsidRDefault="00800179" w:rsidP="00D62A4F">
      <w:pPr>
        <w:rPr>
          <w:rFonts w:ascii="Arial" w:hAnsi="Arial" w:cs="Arial"/>
        </w:rPr>
      </w:pPr>
      <w:permStart w:id="623714059" w:edGrp="everyone"/>
      <w:r>
        <w:rPr>
          <w:rFonts w:ascii="Arial" w:hAnsi="Arial" w:cs="Arial"/>
        </w:rPr>
        <w:t>Yes</w:t>
      </w:r>
    </w:p>
    <w:permEnd w:id="623714059"/>
    <w:p w14:paraId="042AF4CB" w14:textId="77777777" w:rsidR="00D62A4F" w:rsidRDefault="00D62A4F" w:rsidP="00D62A4F">
      <w:pPr>
        <w:rPr>
          <w:rFonts w:ascii="Arial" w:hAnsi="Arial" w:cs="Arial"/>
        </w:rPr>
      </w:pPr>
      <w:r>
        <w:rPr>
          <w:rFonts w:ascii="Arial" w:hAnsi="Arial" w:cs="Arial"/>
        </w:rPr>
        <w:t>&lt;ESMA_QUESTION_RSFTR_16&gt;</w:t>
      </w:r>
    </w:p>
    <w:p w14:paraId="7EFDB7D4" w14:textId="77777777" w:rsidR="00D62A4F" w:rsidRDefault="00D62A4F" w:rsidP="00D62A4F">
      <w:pPr>
        <w:rPr>
          <w:rFonts w:ascii="Arial" w:hAnsi="Arial" w:cs="Arial"/>
        </w:rPr>
      </w:pPr>
    </w:p>
    <w:p w14:paraId="66824709" w14:textId="77777777" w:rsidR="00D62A4F" w:rsidRDefault="00D62A4F" w:rsidP="00D62A4F">
      <w:pPr>
        <w:pStyle w:val="Questionstyle"/>
        <w:numPr>
          <w:ilvl w:val="0"/>
          <w:numId w:val="9"/>
        </w:numPr>
        <w:spacing w:after="250" w:line="276" w:lineRule="auto"/>
      </w:pPr>
      <w:r>
        <w:t xml:space="preserve">: </w:t>
      </w:r>
      <w:r w:rsidRPr="00F11691">
        <w:t>Is the proposed guidance for reporting of intragroup SFTs clear and comprehensive? Which areas require further clarification? Please detail the reasons for your response.</w:t>
      </w:r>
    </w:p>
    <w:p w14:paraId="2EEC0A66" w14:textId="77777777" w:rsidR="00D62A4F" w:rsidRDefault="00D62A4F" w:rsidP="00D62A4F">
      <w:pPr>
        <w:rPr>
          <w:rFonts w:ascii="Arial" w:hAnsi="Arial" w:cs="Arial"/>
        </w:rPr>
      </w:pPr>
      <w:r>
        <w:rPr>
          <w:rFonts w:ascii="Arial" w:hAnsi="Arial" w:cs="Arial"/>
        </w:rPr>
        <w:t>&lt;ESMA_QUESTION_RSFTR_17&gt;</w:t>
      </w:r>
    </w:p>
    <w:p w14:paraId="037CB5AF" w14:textId="77777777" w:rsidR="00CB3B48" w:rsidRPr="00206B40" w:rsidRDefault="00800179" w:rsidP="00326930">
      <w:pPr>
        <w:rPr>
          <w:rFonts w:asciiTheme="minorHAnsi" w:hAnsiTheme="minorHAnsi" w:cstheme="minorHAnsi"/>
          <w:sz w:val="22"/>
          <w:szCs w:val="22"/>
        </w:rPr>
      </w:pPr>
      <w:permStart w:id="175859825" w:edGrp="everyone"/>
      <w:r w:rsidRPr="00206B40">
        <w:rPr>
          <w:rFonts w:asciiTheme="minorHAnsi" w:hAnsiTheme="minorHAnsi" w:cstheme="minorHAnsi"/>
          <w:sz w:val="22"/>
          <w:szCs w:val="22"/>
        </w:rPr>
        <w:t>Yes</w:t>
      </w:r>
      <w:r w:rsidR="00326930" w:rsidRPr="00206B40">
        <w:rPr>
          <w:rFonts w:asciiTheme="minorHAnsi" w:hAnsiTheme="minorHAnsi" w:cstheme="minorHAnsi"/>
          <w:sz w:val="22"/>
          <w:szCs w:val="22"/>
        </w:rPr>
        <w:t xml:space="preserve">. </w:t>
      </w:r>
    </w:p>
    <w:p w14:paraId="186AA038" w14:textId="77777777" w:rsidR="00CB3B48" w:rsidRPr="00206B40" w:rsidRDefault="00CB3B48" w:rsidP="00326930">
      <w:pPr>
        <w:rPr>
          <w:rFonts w:asciiTheme="minorHAnsi" w:hAnsiTheme="minorHAnsi" w:cstheme="minorHAnsi"/>
          <w:sz w:val="22"/>
          <w:szCs w:val="22"/>
        </w:rPr>
      </w:pPr>
    </w:p>
    <w:p w14:paraId="03164F23" w14:textId="29FAB03D" w:rsidR="00EB4C03" w:rsidRPr="00206B40" w:rsidRDefault="00EB4C03" w:rsidP="00D62A4F">
      <w:pPr>
        <w:rPr>
          <w:rFonts w:asciiTheme="minorHAnsi" w:hAnsiTheme="minorHAnsi" w:cstheme="minorHAnsi"/>
          <w:sz w:val="22"/>
          <w:szCs w:val="22"/>
        </w:rPr>
      </w:pPr>
      <w:r w:rsidRPr="00206B40">
        <w:rPr>
          <w:rFonts w:asciiTheme="minorHAnsi" w:hAnsiTheme="minorHAnsi" w:cstheme="minorHAnsi"/>
          <w:sz w:val="22"/>
          <w:szCs w:val="22"/>
          <w:lang w:val="en-US"/>
        </w:rPr>
        <w:t xml:space="preserve">However, we would prefer to see reporting of intragroup transactions deleted, and, thus, aligned with EMIR Refit 2019/834. </w:t>
      </w:r>
      <w:r w:rsidRPr="00206B40">
        <w:rPr>
          <w:rFonts w:asciiTheme="minorHAnsi" w:hAnsiTheme="minorHAnsi" w:cstheme="minorHAnsi"/>
          <w:sz w:val="22"/>
          <w:szCs w:val="22"/>
        </w:rPr>
        <w:t>This should be revised as soon as possible</w:t>
      </w:r>
      <w:r w:rsidR="000E54C5" w:rsidRPr="00206B40">
        <w:rPr>
          <w:rFonts w:asciiTheme="minorHAnsi" w:hAnsiTheme="minorHAnsi" w:cstheme="minorHAnsi"/>
          <w:sz w:val="22"/>
          <w:szCs w:val="22"/>
        </w:rPr>
        <w:t>.</w:t>
      </w:r>
    </w:p>
    <w:permEnd w:id="175859825"/>
    <w:p w14:paraId="2FB992EE" w14:textId="77777777" w:rsidR="00D62A4F" w:rsidRDefault="00D62A4F" w:rsidP="00D62A4F">
      <w:pPr>
        <w:rPr>
          <w:rFonts w:ascii="Arial" w:hAnsi="Arial" w:cs="Arial"/>
        </w:rPr>
      </w:pPr>
      <w:r>
        <w:rPr>
          <w:rFonts w:ascii="Arial" w:hAnsi="Arial" w:cs="Arial"/>
        </w:rPr>
        <w:t>&lt;ESMA_QUESTION_RSFTR_17&gt;</w:t>
      </w:r>
    </w:p>
    <w:p w14:paraId="7D467366" w14:textId="77777777" w:rsidR="00D62A4F" w:rsidRDefault="00D62A4F" w:rsidP="00D62A4F">
      <w:pPr>
        <w:rPr>
          <w:rFonts w:ascii="Arial" w:hAnsi="Arial" w:cs="Arial"/>
        </w:rPr>
      </w:pPr>
    </w:p>
    <w:p w14:paraId="12C60013" w14:textId="77777777" w:rsidR="00D62A4F" w:rsidRDefault="00D62A4F" w:rsidP="00D62A4F">
      <w:pPr>
        <w:pStyle w:val="Questionstyle"/>
        <w:numPr>
          <w:ilvl w:val="0"/>
          <w:numId w:val="9"/>
        </w:numPr>
        <w:spacing w:after="250" w:line="276" w:lineRule="auto"/>
      </w:pPr>
      <w:r>
        <w:t xml:space="preserve">: </w:t>
      </w:r>
      <w:r w:rsidRPr="00F11691">
        <w:t>Do you agree with the approach for reporting by NFCs? Is there any additional aspect relating to reporting by NFCs that needs to be clarified? Please detail the reasons for your response.</w:t>
      </w:r>
    </w:p>
    <w:p w14:paraId="50FDA1A8" w14:textId="77777777" w:rsidR="00D62A4F" w:rsidRDefault="00D62A4F" w:rsidP="00D62A4F">
      <w:pPr>
        <w:rPr>
          <w:rFonts w:ascii="Arial" w:hAnsi="Arial" w:cs="Arial"/>
        </w:rPr>
      </w:pPr>
      <w:r>
        <w:rPr>
          <w:rFonts w:ascii="Arial" w:hAnsi="Arial" w:cs="Arial"/>
        </w:rPr>
        <w:t>&lt;ESMA_QUESTION_RSFTR_18&gt;</w:t>
      </w:r>
    </w:p>
    <w:p w14:paraId="451A8278" w14:textId="07E80114" w:rsidR="00EB4C03" w:rsidRPr="00206B40" w:rsidRDefault="006B0322" w:rsidP="00540184">
      <w:pPr>
        <w:rPr>
          <w:rFonts w:ascii="Arial" w:hAnsi="Arial" w:cs="Arial"/>
          <w:sz w:val="22"/>
          <w:szCs w:val="22"/>
        </w:rPr>
      </w:pPr>
      <w:permStart w:id="2100383752" w:edGrp="everyone"/>
      <w:r w:rsidRPr="00206B40">
        <w:rPr>
          <w:rFonts w:asciiTheme="minorHAnsi" w:hAnsiTheme="minorHAnsi" w:cstheme="minorHAnsi"/>
          <w:sz w:val="22"/>
          <w:szCs w:val="22"/>
          <w:lang w:val="en-US"/>
        </w:rPr>
        <w:t>With regard to the availability of re-use data, it will be nearly impossible for the reporting counterparty to obtain the relevant data. And this is not a matter of how much energy and technical implementation are invested by the reporting counterparty. It is unlikely that the NFC will provide the reporting party with all the relevant data in order for the reporting party to carry out the necessary calculations and estimates (all assets, all SFTs concluded, also with other counterparties, etc.). Thus, we would strongly recommend not to apply the section on re-use data at least for the mandatory reporting.</w:t>
      </w:r>
    </w:p>
    <w:permEnd w:id="2100383752"/>
    <w:p w14:paraId="1507DAFC" w14:textId="77777777" w:rsidR="00D62A4F" w:rsidRDefault="00D62A4F" w:rsidP="00D62A4F">
      <w:pPr>
        <w:rPr>
          <w:rFonts w:ascii="Arial" w:hAnsi="Arial" w:cs="Arial"/>
        </w:rPr>
      </w:pPr>
      <w:r>
        <w:rPr>
          <w:rFonts w:ascii="Arial" w:hAnsi="Arial" w:cs="Arial"/>
        </w:rPr>
        <w:t>&lt;ESMA_QUESTION_RSFTR_18&gt;</w:t>
      </w:r>
    </w:p>
    <w:p w14:paraId="6968BB14" w14:textId="77777777" w:rsidR="00D62A4F" w:rsidRDefault="00D62A4F" w:rsidP="00D62A4F">
      <w:pPr>
        <w:rPr>
          <w:rFonts w:ascii="Arial" w:hAnsi="Arial" w:cs="Arial"/>
        </w:rPr>
      </w:pPr>
    </w:p>
    <w:p w14:paraId="71DDDDAE" w14:textId="77777777" w:rsidR="00D62A4F" w:rsidRDefault="00D62A4F" w:rsidP="00D62A4F">
      <w:pPr>
        <w:pStyle w:val="Questionstyle"/>
        <w:numPr>
          <w:ilvl w:val="0"/>
          <w:numId w:val="9"/>
        </w:numPr>
        <w:spacing w:after="250" w:line="276" w:lineRule="auto"/>
      </w:pPr>
      <w:r>
        <w:t xml:space="preserve">: </w:t>
      </w:r>
      <w:r w:rsidRPr="00F11691">
        <w:t>Do you agree with the proposal for reporting conclusion of SFTs? Please detail the reasons for your response.</w:t>
      </w:r>
    </w:p>
    <w:p w14:paraId="678E603C" w14:textId="77777777" w:rsidR="00D62A4F" w:rsidRDefault="00D62A4F" w:rsidP="00D62A4F">
      <w:pPr>
        <w:rPr>
          <w:rFonts w:ascii="Arial" w:hAnsi="Arial" w:cs="Arial"/>
        </w:rPr>
      </w:pPr>
      <w:r>
        <w:rPr>
          <w:rFonts w:ascii="Arial" w:hAnsi="Arial" w:cs="Arial"/>
        </w:rPr>
        <w:t>&lt;ESMA_QUESTION_RSFTR_19&gt;</w:t>
      </w:r>
    </w:p>
    <w:p w14:paraId="50CEC03D" w14:textId="77777777" w:rsidR="00800179" w:rsidRPr="00206B40" w:rsidRDefault="00800179" w:rsidP="00D62A4F">
      <w:pPr>
        <w:rPr>
          <w:rFonts w:ascii="Arial" w:hAnsi="Arial" w:cs="Arial"/>
          <w:sz w:val="22"/>
          <w:szCs w:val="22"/>
        </w:rPr>
      </w:pPr>
      <w:permStart w:id="134157756" w:edGrp="everyone"/>
      <w:r w:rsidRPr="00206B40">
        <w:rPr>
          <w:rFonts w:ascii="Arial" w:hAnsi="Arial" w:cs="Arial"/>
          <w:sz w:val="22"/>
          <w:szCs w:val="22"/>
        </w:rPr>
        <w:t>Yes. In case that a SFT is agreed but not settled and therefore cancelled, it is market practise that no costs result from that cancellation. If SFTs are cancelled following a failed settlement, an ERROR should be reported.</w:t>
      </w:r>
    </w:p>
    <w:permEnd w:id="134157756"/>
    <w:p w14:paraId="3BF83644" w14:textId="26B1C1BF" w:rsidR="00D62A4F" w:rsidRDefault="00D62A4F" w:rsidP="00D62A4F">
      <w:pPr>
        <w:rPr>
          <w:rFonts w:ascii="Arial" w:hAnsi="Arial" w:cs="Arial"/>
        </w:rPr>
      </w:pPr>
      <w:r>
        <w:rPr>
          <w:rFonts w:ascii="Arial" w:hAnsi="Arial" w:cs="Arial"/>
        </w:rPr>
        <w:t>&lt;ESMA_QUESTION_RSFTR_19&gt;</w:t>
      </w:r>
    </w:p>
    <w:p w14:paraId="3C46A7CB" w14:textId="77777777" w:rsidR="00D62A4F" w:rsidRDefault="00D62A4F" w:rsidP="00D62A4F">
      <w:pPr>
        <w:rPr>
          <w:rFonts w:ascii="Arial" w:hAnsi="Arial" w:cs="Arial"/>
        </w:rPr>
      </w:pPr>
    </w:p>
    <w:p w14:paraId="7D9FEF75" w14:textId="77777777" w:rsidR="00D62A4F" w:rsidRDefault="00D62A4F" w:rsidP="00D62A4F">
      <w:pPr>
        <w:pStyle w:val="Questionstyle"/>
        <w:numPr>
          <w:ilvl w:val="0"/>
          <w:numId w:val="9"/>
        </w:numPr>
        <w:spacing w:after="250" w:line="276" w:lineRule="auto"/>
      </w:pPr>
      <w:r>
        <w:t xml:space="preserve">: </w:t>
      </w:r>
      <w:r w:rsidRPr="00F11691">
        <w:t>Do you agree with the proposal for reporting modifications to SFTs? Please detail the reasons for your response.</w:t>
      </w:r>
    </w:p>
    <w:p w14:paraId="7BB25E1A" w14:textId="77777777" w:rsidR="00D62A4F" w:rsidRDefault="00D62A4F" w:rsidP="00D62A4F">
      <w:pPr>
        <w:rPr>
          <w:rFonts w:ascii="Arial" w:hAnsi="Arial" w:cs="Arial"/>
        </w:rPr>
      </w:pPr>
      <w:r>
        <w:rPr>
          <w:rFonts w:ascii="Arial" w:hAnsi="Arial" w:cs="Arial"/>
        </w:rPr>
        <w:t>&lt;ESMA_QUESTION_RSFTR_20&gt;</w:t>
      </w:r>
    </w:p>
    <w:p w14:paraId="0C3D9499" w14:textId="77777777" w:rsidR="001839F9" w:rsidRPr="00206B40" w:rsidRDefault="001839F9" w:rsidP="001839F9">
      <w:pPr>
        <w:rPr>
          <w:rFonts w:ascii="Arial" w:hAnsi="Arial" w:cs="Arial"/>
          <w:sz w:val="22"/>
          <w:szCs w:val="22"/>
        </w:rPr>
      </w:pPr>
      <w:permStart w:id="1355967403" w:edGrp="everyone"/>
      <w:r w:rsidRPr="00206B40">
        <w:rPr>
          <w:rFonts w:ascii="Arial" w:hAnsi="Arial" w:cs="Arial"/>
          <w:sz w:val="22"/>
          <w:szCs w:val="22"/>
        </w:rPr>
        <w:t xml:space="preserve">Given that Repo/Lending activities are contractually binding on the value-date, then vanilla settlement fails fall outside the scope of SFTR. It is our understanding the SFTR reporting is therefore based on contractual settlement dates.  The statement in para. 117 “counterparties should report only the modifications that have taken place” is understood to mean on the </w:t>
      </w:r>
      <w:r w:rsidRPr="00206B40">
        <w:rPr>
          <w:rFonts w:ascii="Arial" w:hAnsi="Arial" w:cs="Arial"/>
          <w:sz w:val="22"/>
          <w:szCs w:val="22"/>
        </w:rPr>
        <w:lastRenderedPageBreak/>
        <w:t>contractually agreed date. This approach will be taken for Repo and SBL trades. An explicit statement of clarification is requested from ESMA if they believe something different is required.</w:t>
      </w:r>
    </w:p>
    <w:p w14:paraId="2903A765" w14:textId="09DB5AD0" w:rsidR="00800179" w:rsidRPr="00206B40" w:rsidRDefault="00800179" w:rsidP="00800179">
      <w:pPr>
        <w:rPr>
          <w:rFonts w:ascii="Arial" w:hAnsi="Arial" w:cs="Arial"/>
          <w:sz w:val="22"/>
          <w:szCs w:val="22"/>
        </w:rPr>
      </w:pPr>
    </w:p>
    <w:p w14:paraId="0C398451" w14:textId="77777777" w:rsidR="00800179" w:rsidRPr="00206B40" w:rsidRDefault="00800179" w:rsidP="00800179">
      <w:pPr>
        <w:rPr>
          <w:rFonts w:ascii="Arial" w:hAnsi="Arial" w:cs="Arial"/>
          <w:sz w:val="22"/>
          <w:szCs w:val="22"/>
        </w:rPr>
      </w:pPr>
    </w:p>
    <w:p w14:paraId="3AB2C475" w14:textId="77777777" w:rsidR="00C9756B" w:rsidRPr="00206B40" w:rsidRDefault="00800179" w:rsidP="00C9756B">
      <w:pPr>
        <w:rPr>
          <w:rFonts w:asciiTheme="minorHAnsi" w:hAnsiTheme="minorHAnsi" w:cstheme="minorHAnsi"/>
          <w:sz w:val="22"/>
          <w:szCs w:val="22"/>
          <w:lang w:val="en-US"/>
        </w:rPr>
      </w:pPr>
      <w:r w:rsidRPr="00206B40">
        <w:rPr>
          <w:rFonts w:ascii="Arial" w:hAnsi="Arial" w:cs="Arial"/>
          <w:sz w:val="22"/>
          <w:szCs w:val="22"/>
        </w:rPr>
        <w:t>However, the proposal considers reporting the event date of the modification as the effective date. ESMA states, that “counterparties should report only the modification th</w:t>
      </w:r>
      <w:r w:rsidRPr="00206B40">
        <w:rPr>
          <w:rFonts w:asciiTheme="minorHAnsi" w:hAnsiTheme="minorHAnsi" w:cstheme="minorHAnsi"/>
          <w:sz w:val="22"/>
          <w:szCs w:val="22"/>
        </w:rPr>
        <w:t>at have TAKEN PLACE”. In the case of a partial return, the event date shall be the contractual settlement date</w:t>
      </w:r>
      <w:r w:rsidR="00C9756B" w:rsidRPr="00206B40">
        <w:rPr>
          <w:rFonts w:asciiTheme="minorHAnsi" w:hAnsiTheme="minorHAnsi" w:cstheme="minorHAnsi"/>
          <w:sz w:val="22"/>
          <w:szCs w:val="22"/>
        </w:rPr>
        <w:t xml:space="preserve"> </w:t>
      </w:r>
      <w:r w:rsidR="00C9756B" w:rsidRPr="00206B40">
        <w:rPr>
          <w:rFonts w:asciiTheme="minorHAnsi" w:hAnsiTheme="minorHAnsi" w:cstheme="minorHAnsi"/>
          <w:sz w:val="22"/>
          <w:szCs w:val="22"/>
          <w:lang w:val="en-US"/>
        </w:rPr>
        <w:t>agreed between the two counterparties</w:t>
      </w:r>
      <w:r w:rsidRPr="00206B40">
        <w:rPr>
          <w:rFonts w:asciiTheme="minorHAnsi" w:hAnsiTheme="minorHAnsi" w:cstheme="minorHAnsi"/>
          <w:sz w:val="22"/>
          <w:szCs w:val="22"/>
        </w:rPr>
        <w:t xml:space="preserve">. </w:t>
      </w:r>
      <w:r w:rsidR="00C9756B" w:rsidRPr="00206B40">
        <w:rPr>
          <w:rFonts w:asciiTheme="minorHAnsi" w:hAnsiTheme="minorHAnsi" w:cstheme="minorHAnsi"/>
          <w:sz w:val="22"/>
          <w:szCs w:val="22"/>
          <w:lang w:val="en-US"/>
        </w:rPr>
        <w:t>. This is in line with para. 67: “[...] Given that Article 4(1) of SFTR requires the reporting of conclusions, modification and termination of SFTs no later than the following working day, all SFTs that have been concluded should be reported. This includes all SFTs that were generated even though they might not be settled.“</w:t>
      </w:r>
    </w:p>
    <w:p w14:paraId="77279FC8" w14:textId="77777777" w:rsidR="00C9756B" w:rsidRPr="00206B40" w:rsidRDefault="00C9756B" w:rsidP="00C9756B">
      <w:pPr>
        <w:rPr>
          <w:rFonts w:asciiTheme="minorHAnsi" w:hAnsiTheme="minorHAnsi" w:cstheme="minorHAnsi"/>
          <w:sz w:val="22"/>
          <w:szCs w:val="22"/>
          <w:lang w:val="en-US"/>
        </w:rPr>
      </w:pPr>
      <w:r w:rsidRPr="00206B40">
        <w:rPr>
          <w:rFonts w:asciiTheme="minorHAnsi" w:hAnsiTheme="minorHAnsi" w:cstheme="minorHAnsi"/>
          <w:sz w:val="22"/>
          <w:szCs w:val="22"/>
          <w:lang w:val="en-US"/>
        </w:rPr>
        <w:t>It is our understanding, that a modification is deemed to have „TAKEN PLACE“ when the contractually agreed settlement date is reached, not when it has actually settled. A failure to settle should therefore not affect the way a modification is reported (unless the settlement failure leads to the termination of the trade or any other similar reportable event).</w:t>
      </w:r>
    </w:p>
    <w:p w14:paraId="486A6BF7" w14:textId="77777777" w:rsidR="00C9756B" w:rsidRPr="00206B40" w:rsidRDefault="00C9756B" w:rsidP="00C9756B">
      <w:pPr>
        <w:rPr>
          <w:rFonts w:asciiTheme="minorHAnsi" w:hAnsiTheme="minorHAnsi" w:cstheme="minorHAnsi"/>
          <w:sz w:val="22"/>
          <w:szCs w:val="22"/>
          <w:lang w:val="en-US"/>
        </w:rPr>
      </w:pPr>
    </w:p>
    <w:p w14:paraId="30FA160B" w14:textId="4C9ACCDE" w:rsidR="00800179" w:rsidRPr="00206B40" w:rsidRDefault="00C9756B" w:rsidP="00800179">
      <w:pPr>
        <w:rPr>
          <w:rFonts w:asciiTheme="minorHAnsi" w:hAnsiTheme="minorHAnsi" w:cstheme="minorHAnsi"/>
          <w:sz w:val="22"/>
          <w:szCs w:val="22"/>
          <w:lang w:val="en-US"/>
        </w:rPr>
      </w:pPr>
      <w:r w:rsidRPr="00206B40">
        <w:rPr>
          <w:rFonts w:asciiTheme="minorHAnsi" w:hAnsiTheme="minorHAnsi" w:cstheme="minorHAnsi"/>
          <w:sz w:val="22"/>
          <w:szCs w:val="22"/>
          <w:lang w:val="en-US"/>
        </w:rPr>
        <w:t>In this context exists uncertainty what does “modifications that are agreed but not have taken place should not be reported until the actual modification takes place” mean and what the benefit for the reporting is?</w:t>
      </w:r>
    </w:p>
    <w:permEnd w:id="1355967403"/>
    <w:p w14:paraId="606E4B6F" w14:textId="77777777" w:rsidR="00D62A4F" w:rsidRDefault="00D62A4F" w:rsidP="00D62A4F">
      <w:pPr>
        <w:rPr>
          <w:rFonts w:ascii="Arial" w:hAnsi="Arial" w:cs="Arial"/>
        </w:rPr>
      </w:pPr>
      <w:r>
        <w:rPr>
          <w:rFonts w:ascii="Arial" w:hAnsi="Arial" w:cs="Arial"/>
        </w:rPr>
        <w:t>&lt;ESMA_QUESTION_RSFTR_20&gt;</w:t>
      </w:r>
    </w:p>
    <w:p w14:paraId="0250BE64" w14:textId="77777777" w:rsidR="00D62A4F" w:rsidRDefault="00D62A4F" w:rsidP="00D62A4F">
      <w:pPr>
        <w:rPr>
          <w:rFonts w:ascii="Arial" w:hAnsi="Arial" w:cs="Arial"/>
        </w:rPr>
      </w:pPr>
    </w:p>
    <w:p w14:paraId="6EA4A65E" w14:textId="77777777" w:rsidR="00D62A4F" w:rsidRDefault="00D62A4F" w:rsidP="00D62A4F">
      <w:pPr>
        <w:pStyle w:val="Questionstyle"/>
        <w:numPr>
          <w:ilvl w:val="0"/>
          <w:numId w:val="9"/>
        </w:numPr>
        <w:spacing w:after="250" w:line="276" w:lineRule="auto"/>
      </w:pPr>
      <w:r>
        <w:t xml:space="preserve">: </w:t>
      </w:r>
      <w:r w:rsidRPr="00F11691">
        <w:t>Do you agree with the proposal for reporting collateral updates to SFTs? Please detail the reasons for your response.</w:t>
      </w:r>
    </w:p>
    <w:p w14:paraId="3D8F4C27" w14:textId="77777777" w:rsidR="00D62A4F" w:rsidRDefault="00D62A4F" w:rsidP="00D62A4F">
      <w:pPr>
        <w:rPr>
          <w:rFonts w:ascii="Arial" w:hAnsi="Arial" w:cs="Arial"/>
        </w:rPr>
      </w:pPr>
      <w:r>
        <w:rPr>
          <w:rFonts w:ascii="Arial" w:hAnsi="Arial" w:cs="Arial"/>
        </w:rPr>
        <w:t>&lt;ESMA_QUESTION_RSFTR_21&gt;</w:t>
      </w:r>
    </w:p>
    <w:p w14:paraId="5DEEEE46" w14:textId="51D20417" w:rsidR="00800179" w:rsidRPr="00206B40" w:rsidRDefault="000E54C5" w:rsidP="00800179">
      <w:pPr>
        <w:rPr>
          <w:rFonts w:asciiTheme="minorHAnsi" w:hAnsiTheme="minorHAnsi" w:cstheme="minorHAnsi"/>
          <w:sz w:val="22"/>
          <w:szCs w:val="22"/>
        </w:rPr>
      </w:pPr>
      <w:permStart w:id="531385609" w:edGrp="everyone"/>
      <w:r w:rsidRPr="00206B40">
        <w:rPr>
          <w:rFonts w:asciiTheme="minorHAnsi" w:hAnsiTheme="minorHAnsi" w:cstheme="minorHAnsi"/>
          <w:sz w:val="22"/>
          <w:szCs w:val="22"/>
        </w:rPr>
        <w:t>We</w:t>
      </w:r>
      <w:r w:rsidR="00800179" w:rsidRPr="00206B40">
        <w:rPr>
          <w:rFonts w:asciiTheme="minorHAnsi" w:hAnsiTheme="minorHAnsi" w:cstheme="minorHAnsi"/>
          <w:sz w:val="22"/>
          <w:szCs w:val="22"/>
        </w:rPr>
        <w:t xml:space="preserve"> would like to </w:t>
      </w:r>
      <w:r w:rsidR="005546EA" w:rsidRPr="00206B40">
        <w:rPr>
          <w:rFonts w:asciiTheme="minorHAnsi" w:hAnsiTheme="minorHAnsi" w:cstheme="minorHAnsi"/>
          <w:sz w:val="22"/>
          <w:szCs w:val="22"/>
        </w:rPr>
        <w:t>clarify</w:t>
      </w:r>
      <w:r w:rsidR="00800179" w:rsidRPr="00206B40">
        <w:rPr>
          <w:rFonts w:asciiTheme="minorHAnsi" w:hAnsiTheme="minorHAnsi" w:cstheme="minorHAnsi"/>
          <w:sz w:val="22"/>
          <w:szCs w:val="22"/>
        </w:rPr>
        <w:t xml:space="preserve"> once more that reports shall ref</w:t>
      </w:r>
      <w:r w:rsidR="005546EA" w:rsidRPr="00206B40">
        <w:rPr>
          <w:rFonts w:asciiTheme="minorHAnsi" w:hAnsiTheme="minorHAnsi" w:cstheme="minorHAnsi"/>
          <w:sz w:val="22"/>
          <w:szCs w:val="22"/>
        </w:rPr>
        <w:t>er to the agreed settlement date,</w:t>
      </w:r>
      <w:r w:rsidR="00800179" w:rsidRPr="00206B40">
        <w:rPr>
          <w:rFonts w:asciiTheme="minorHAnsi" w:hAnsiTheme="minorHAnsi" w:cstheme="minorHAnsi"/>
          <w:sz w:val="22"/>
          <w:szCs w:val="22"/>
        </w:rPr>
        <w:t xml:space="preserve"> </w:t>
      </w:r>
      <w:r w:rsidR="005546EA" w:rsidRPr="00206B40">
        <w:rPr>
          <w:rFonts w:asciiTheme="minorHAnsi" w:hAnsiTheme="minorHAnsi" w:cstheme="minorHAnsi"/>
          <w:sz w:val="22"/>
          <w:szCs w:val="22"/>
          <w:lang w:val="en-US"/>
        </w:rPr>
        <w:t>not the date when settlement actually occurred (in the case of partial or full settlement failure).</w:t>
      </w:r>
    </w:p>
    <w:p w14:paraId="3237EBC4" w14:textId="77777777" w:rsidR="00800179" w:rsidRPr="00206B40" w:rsidRDefault="00800179" w:rsidP="00800179">
      <w:pPr>
        <w:rPr>
          <w:rFonts w:ascii="Arial" w:hAnsi="Arial" w:cs="Arial"/>
          <w:sz w:val="22"/>
          <w:szCs w:val="22"/>
        </w:rPr>
      </w:pPr>
    </w:p>
    <w:p w14:paraId="265C9892" w14:textId="77777777" w:rsidR="00800179" w:rsidRPr="00206B40" w:rsidRDefault="00800179" w:rsidP="00800179">
      <w:pPr>
        <w:rPr>
          <w:rFonts w:ascii="Arial" w:hAnsi="Arial" w:cs="Arial"/>
          <w:sz w:val="22"/>
          <w:szCs w:val="22"/>
        </w:rPr>
      </w:pPr>
      <w:r w:rsidRPr="00206B40">
        <w:rPr>
          <w:rFonts w:ascii="Arial" w:hAnsi="Arial" w:cs="Arial"/>
          <w:sz w:val="22"/>
          <w:szCs w:val="22"/>
        </w:rPr>
        <w:t>Example:</w:t>
      </w:r>
    </w:p>
    <w:p w14:paraId="4955CEC3" w14:textId="77777777" w:rsidR="00800179" w:rsidRPr="00206B40" w:rsidRDefault="00800179" w:rsidP="00800179">
      <w:pPr>
        <w:rPr>
          <w:rFonts w:ascii="Arial" w:hAnsi="Arial" w:cs="Arial"/>
          <w:sz w:val="22"/>
          <w:szCs w:val="22"/>
        </w:rPr>
      </w:pPr>
    </w:p>
    <w:p w14:paraId="7BE9F1BE" w14:textId="210B4692" w:rsidR="00800179" w:rsidRPr="00206B40" w:rsidRDefault="00800179" w:rsidP="00800179">
      <w:pPr>
        <w:rPr>
          <w:rFonts w:ascii="Arial" w:hAnsi="Arial" w:cs="Arial"/>
          <w:sz w:val="22"/>
          <w:szCs w:val="22"/>
        </w:rPr>
      </w:pPr>
      <w:r w:rsidRPr="00206B40">
        <w:rPr>
          <w:rFonts w:ascii="Arial" w:hAnsi="Arial" w:cs="Arial"/>
          <w:sz w:val="22"/>
          <w:szCs w:val="22"/>
        </w:rPr>
        <w:t>SLB concluded on 18 June</w:t>
      </w:r>
      <w:r w:rsidR="005546EA" w:rsidRPr="00206B40">
        <w:rPr>
          <w:rFonts w:ascii="Arial" w:hAnsi="Arial" w:cs="Arial"/>
          <w:sz w:val="22"/>
          <w:szCs w:val="22"/>
        </w:rPr>
        <w:t xml:space="preserve"> (T)</w:t>
      </w:r>
    </w:p>
    <w:p w14:paraId="58EBFD3C" w14:textId="77777777" w:rsidR="00800179" w:rsidRPr="00206B40" w:rsidRDefault="00800179" w:rsidP="00800179">
      <w:pPr>
        <w:rPr>
          <w:rFonts w:ascii="Arial" w:hAnsi="Arial" w:cs="Arial"/>
          <w:sz w:val="22"/>
          <w:szCs w:val="22"/>
        </w:rPr>
      </w:pPr>
      <w:r w:rsidRPr="00206B40">
        <w:rPr>
          <w:rFonts w:ascii="Arial" w:hAnsi="Arial" w:cs="Arial"/>
          <w:sz w:val="22"/>
          <w:szCs w:val="22"/>
        </w:rPr>
        <w:t>Value date: 20 June</w:t>
      </w:r>
    </w:p>
    <w:p w14:paraId="705EC055" w14:textId="041BFAB8" w:rsidR="00800179" w:rsidRPr="00206B40" w:rsidRDefault="00800179" w:rsidP="00800179">
      <w:pPr>
        <w:rPr>
          <w:rFonts w:ascii="Arial" w:hAnsi="Arial" w:cs="Arial"/>
          <w:sz w:val="22"/>
          <w:szCs w:val="22"/>
        </w:rPr>
      </w:pPr>
      <w:r w:rsidRPr="00206B40">
        <w:rPr>
          <w:rFonts w:ascii="Arial" w:hAnsi="Arial" w:cs="Arial"/>
          <w:sz w:val="22"/>
          <w:szCs w:val="22"/>
        </w:rPr>
        <w:t>Value date collateral 20 June</w:t>
      </w:r>
      <w:r w:rsidR="005546EA" w:rsidRPr="00206B40">
        <w:rPr>
          <w:rFonts w:ascii="Arial" w:hAnsi="Arial" w:cs="Arial"/>
          <w:sz w:val="22"/>
          <w:szCs w:val="22"/>
        </w:rPr>
        <w:t xml:space="preserve"> (S)</w:t>
      </w:r>
    </w:p>
    <w:p w14:paraId="7E057F67" w14:textId="0BEEB358" w:rsidR="00800179" w:rsidRPr="00206B40" w:rsidRDefault="00800179" w:rsidP="00800179">
      <w:pPr>
        <w:rPr>
          <w:rFonts w:ascii="Arial" w:hAnsi="Arial" w:cs="Arial"/>
          <w:sz w:val="22"/>
          <w:szCs w:val="22"/>
        </w:rPr>
      </w:pPr>
      <w:r w:rsidRPr="00206B40">
        <w:rPr>
          <w:rFonts w:ascii="Arial" w:hAnsi="Arial" w:cs="Arial"/>
          <w:sz w:val="22"/>
          <w:szCs w:val="22"/>
        </w:rPr>
        <w:t xml:space="preserve">Report latest 19 June </w:t>
      </w:r>
      <w:r w:rsidR="005546EA" w:rsidRPr="00206B40">
        <w:rPr>
          <w:rFonts w:ascii="Arial" w:hAnsi="Arial" w:cs="Arial"/>
          <w:sz w:val="22"/>
          <w:szCs w:val="22"/>
        </w:rPr>
        <w:t xml:space="preserve">(T+1) </w:t>
      </w:r>
      <w:r w:rsidRPr="00206B40">
        <w:rPr>
          <w:rFonts w:ascii="Arial" w:hAnsi="Arial" w:cs="Arial"/>
          <w:sz w:val="22"/>
          <w:szCs w:val="22"/>
        </w:rPr>
        <w:t>NEWT</w:t>
      </w:r>
    </w:p>
    <w:p w14:paraId="33F57C71" w14:textId="77777777" w:rsidR="00800179" w:rsidRPr="00206B40" w:rsidRDefault="00800179" w:rsidP="00800179">
      <w:pPr>
        <w:rPr>
          <w:rFonts w:ascii="Arial" w:hAnsi="Arial" w:cs="Arial"/>
          <w:sz w:val="22"/>
          <w:szCs w:val="22"/>
        </w:rPr>
      </w:pPr>
      <w:r w:rsidRPr="00206B40">
        <w:rPr>
          <w:rFonts w:ascii="Arial" w:hAnsi="Arial" w:cs="Arial"/>
          <w:sz w:val="22"/>
          <w:szCs w:val="22"/>
        </w:rPr>
        <w:t>Haircut 0</w:t>
      </w:r>
    </w:p>
    <w:p w14:paraId="6BB3D5C9" w14:textId="77777777" w:rsidR="00800179" w:rsidRPr="00206B40" w:rsidRDefault="00800179" w:rsidP="00800179">
      <w:pPr>
        <w:rPr>
          <w:rFonts w:ascii="Arial" w:hAnsi="Arial" w:cs="Arial"/>
          <w:sz w:val="22"/>
          <w:szCs w:val="22"/>
        </w:rPr>
      </w:pPr>
      <w:r w:rsidRPr="00206B40">
        <w:rPr>
          <w:rFonts w:ascii="Arial" w:hAnsi="Arial" w:cs="Arial"/>
          <w:sz w:val="22"/>
          <w:szCs w:val="22"/>
        </w:rPr>
        <w:t>Settlement fail on 20 June</w:t>
      </w:r>
    </w:p>
    <w:p w14:paraId="6D1D7EF2" w14:textId="2A459FB7" w:rsidR="00800179" w:rsidRPr="00206B40" w:rsidRDefault="00800179" w:rsidP="00800179">
      <w:pPr>
        <w:rPr>
          <w:rFonts w:ascii="Arial" w:hAnsi="Arial" w:cs="Arial"/>
          <w:sz w:val="22"/>
          <w:szCs w:val="22"/>
        </w:rPr>
      </w:pPr>
      <w:r w:rsidRPr="00206B40">
        <w:rPr>
          <w:rFonts w:ascii="Arial" w:hAnsi="Arial" w:cs="Arial"/>
          <w:sz w:val="22"/>
          <w:szCs w:val="22"/>
        </w:rPr>
        <w:t>COLU on latest 21 June</w:t>
      </w:r>
      <w:r w:rsidR="005546EA" w:rsidRPr="00206B40">
        <w:rPr>
          <w:rFonts w:ascii="Arial" w:hAnsi="Arial" w:cs="Arial"/>
          <w:sz w:val="22"/>
          <w:szCs w:val="22"/>
        </w:rPr>
        <w:t xml:space="preserve"> (S+1)</w:t>
      </w:r>
    </w:p>
    <w:p w14:paraId="1F9BFEBB" w14:textId="77777777" w:rsidR="00800179" w:rsidRPr="00206B40" w:rsidRDefault="00800179" w:rsidP="00800179">
      <w:pPr>
        <w:rPr>
          <w:rFonts w:ascii="Arial" w:hAnsi="Arial" w:cs="Arial"/>
          <w:sz w:val="22"/>
          <w:szCs w:val="22"/>
        </w:rPr>
      </w:pPr>
    </w:p>
    <w:p w14:paraId="4423CEE8" w14:textId="77777777" w:rsidR="005546EA" w:rsidRPr="00206B40" w:rsidRDefault="005546EA" w:rsidP="005546EA">
      <w:pPr>
        <w:rPr>
          <w:rFonts w:asciiTheme="minorHAnsi" w:hAnsiTheme="minorHAnsi" w:cstheme="minorHAnsi"/>
          <w:sz w:val="22"/>
          <w:szCs w:val="22"/>
          <w:lang w:val="en-US"/>
        </w:rPr>
      </w:pPr>
      <w:r w:rsidRPr="00206B40">
        <w:rPr>
          <w:rFonts w:asciiTheme="minorHAnsi" w:hAnsiTheme="minorHAnsi" w:cstheme="minorHAnsi"/>
          <w:sz w:val="22"/>
          <w:szCs w:val="22"/>
          <w:lang w:val="en-US"/>
        </w:rPr>
        <w:t>With regard to the COLU report of 21 June, it is our understanding that all collaterals with agreed settlement for 20 June are to be reported, irrespective of whether they have actually been settled.</w:t>
      </w:r>
    </w:p>
    <w:p w14:paraId="6D57134E" w14:textId="77777777" w:rsidR="00800179" w:rsidRPr="00206B40" w:rsidRDefault="00800179" w:rsidP="00800179">
      <w:pPr>
        <w:rPr>
          <w:rFonts w:ascii="Arial" w:hAnsi="Arial" w:cs="Arial"/>
          <w:sz w:val="22"/>
          <w:szCs w:val="22"/>
          <w:lang w:val="en-US"/>
        </w:rPr>
      </w:pPr>
    </w:p>
    <w:p w14:paraId="408C785E" w14:textId="77777777" w:rsidR="00800179" w:rsidRPr="00206B40" w:rsidRDefault="00800179" w:rsidP="00800179">
      <w:pPr>
        <w:rPr>
          <w:rFonts w:ascii="Arial" w:hAnsi="Arial" w:cs="Arial"/>
          <w:sz w:val="22"/>
          <w:szCs w:val="22"/>
        </w:rPr>
      </w:pPr>
      <w:r w:rsidRPr="00206B40">
        <w:rPr>
          <w:rFonts w:ascii="Arial" w:hAnsi="Arial" w:cs="Arial"/>
          <w:sz w:val="22"/>
          <w:szCs w:val="22"/>
        </w:rPr>
        <w:t>The additional example below demonstrates the following:</w:t>
      </w:r>
    </w:p>
    <w:p w14:paraId="67F290AD" w14:textId="77777777" w:rsidR="00800179" w:rsidRPr="00206B40" w:rsidRDefault="00800179" w:rsidP="00800179">
      <w:pPr>
        <w:rPr>
          <w:rFonts w:ascii="Arial" w:hAnsi="Arial" w:cs="Arial"/>
          <w:sz w:val="22"/>
          <w:szCs w:val="22"/>
        </w:rPr>
      </w:pPr>
    </w:p>
    <w:p w14:paraId="5FA53794" w14:textId="77777777" w:rsidR="00800179" w:rsidRPr="00206B40" w:rsidRDefault="00800179" w:rsidP="00800179">
      <w:pPr>
        <w:rPr>
          <w:rFonts w:ascii="Arial" w:hAnsi="Arial" w:cs="Arial"/>
          <w:sz w:val="22"/>
          <w:szCs w:val="22"/>
        </w:rPr>
      </w:pPr>
      <w:r w:rsidRPr="00206B40">
        <w:rPr>
          <w:rFonts w:ascii="Arial" w:hAnsi="Arial" w:cs="Arial"/>
          <w:sz w:val="22"/>
          <w:szCs w:val="22"/>
        </w:rPr>
        <w:t xml:space="preserve">The loan side is reported as NEWT on t/t+1. </w:t>
      </w:r>
    </w:p>
    <w:p w14:paraId="605216D5" w14:textId="77777777" w:rsidR="00800179" w:rsidRPr="00206B40" w:rsidRDefault="00800179" w:rsidP="00800179">
      <w:pPr>
        <w:rPr>
          <w:rFonts w:ascii="Arial" w:hAnsi="Arial" w:cs="Arial"/>
          <w:sz w:val="22"/>
          <w:szCs w:val="22"/>
        </w:rPr>
      </w:pPr>
    </w:p>
    <w:p w14:paraId="4842E310" w14:textId="412A461B" w:rsidR="00800179" w:rsidRPr="00206B40" w:rsidRDefault="00800179" w:rsidP="00800179">
      <w:pPr>
        <w:rPr>
          <w:rFonts w:ascii="Arial" w:hAnsi="Arial" w:cs="Arial"/>
          <w:sz w:val="22"/>
          <w:szCs w:val="22"/>
        </w:rPr>
      </w:pPr>
      <w:r w:rsidRPr="00206B40">
        <w:rPr>
          <w:rFonts w:ascii="Arial" w:hAnsi="Arial" w:cs="Arial"/>
          <w:sz w:val="22"/>
          <w:szCs w:val="22"/>
        </w:rPr>
        <w:t xml:space="preserve">The fact, that the loan side does not settle on the 20 June is not visible </w:t>
      </w:r>
      <w:r w:rsidR="005546EA" w:rsidRPr="00206B40">
        <w:rPr>
          <w:rFonts w:ascii="Arial" w:hAnsi="Arial" w:cs="Arial"/>
          <w:sz w:val="22"/>
          <w:szCs w:val="22"/>
        </w:rPr>
        <w:t>in the report</w:t>
      </w:r>
      <w:r w:rsidRPr="00206B40">
        <w:rPr>
          <w:rFonts w:ascii="Arial" w:hAnsi="Arial" w:cs="Arial"/>
          <w:sz w:val="22"/>
          <w:szCs w:val="22"/>
        </w:rPr>
        <w:t>.</w:t>
      </w:r>
    </w:p>
    <w:p w14:paraId="490DB60D" w14:textId="77777777" w:rsidR="00800179" w:rsidRPr="00206B40" w:rsidRDefault="00800179" w:rsidP="00800179">
      <w:pPr>
        <w:rPr>
          <w:rFonts w:asciiTheme="minorHAnsi" w:hAnsiTheme="minorHAnsi" w:cstheme="minorHAnsi"/>
          <w:sz w:val="22"/>
          <w:szCs w:val="22"/>
        </w:rPr>
      </w:pPr>
    </w:p>
    <w:p w14:paraId="36E5E2D0" w14:textId="77777777" w:rsidR="005546EA" w:rsidRPr="00206B40" w:rsidRDefault="005546EA" w:rsidP="005546EA">
      <w:pPr>
        <w:rPr>
          <w:rFonts w:asciiTheme="minorHAnsi" w:hAnsiTheme="minorHAnsi" w:cstheme="minorHAnsi"/>
          <w:sz w:val="22"/>
          <w:szCs w:val="22"/>
          <w:lang w:val="en-US"/>
        </w:rPr>
      </w:pPr>
      <w:r w:rsidRPr="00206B40">
        <w:rPr>
          <w:rFonts w:asciiTheme="minorHAnsi" w:hAnsiTheme="minorHAnsi" w:cstheme="minorHAnsi"/>
          <w:sz w:val="22"/>
          <w:szCs w:val="22"/>
          <w:lang w:val="en-US"/>
        </w:rPr>
        <w:t>Therefore, on the 20 June the exposure is assumed to be 100 on the loan side and when the COLU is sent on 21 June, all the collaterals with contractual settlement 20 June are included (i.e. 50 +30 +20) irrespective of whether these collaterals were actually settled on 20 June</w:t>
      </w:r>
    </w:p>
    <w:p w14:paraId="68D7F1DE" w14:textId="77777777" w:rsidR="00800179" w:rsidRPr="00206B40" w:rsidRDefault="00800179" w:rsidP="00800179">
      <w:pPr>
        <w:rPr>
          <w:rFonts w:asciiTheme="minorHAnsi" w:hAnsiTheme="minorHAnsi" w:cstheme="minorHAnsi"/>
          <w:sz w:val="22"/>
          <w:szCs w:val="22"/>
          <w:lang w:val="en-US"/>
        </w:rPr>
      </w:pPr>
    </w:p>
    <w:p w14:paraId="722980E2" w14:textId="77777777" w:rsidR="005546EA" w:rsidRPr="00206B40" w:rsidRDefault="005546EA" w:rsidP="005546EA">
      <w:pPr>
        <w:spacing w:line="300" w:lineRule="atLeast"/>
        <w:rPr>
          <w:rFonts w:asciiTheme="minorHAnsi" w:hAnsiTheme="minorHAnsi" w:cstheme="minorHAnsi"/>
          <w:sz w:val="22"/>
          <w:szCs w:val="22"/>
          <w:lang w:val="en-US" w:eastAsia="de-DE"/>
        </w:rPr>
      </w:pPr>
      <w:r w:rsidRPr="00206B40">
        <w:rPr>
          <w:rFonts w:asciiTheme="minorHAnsi" w:hAnsiTheme="minorHAnsi" w:cstheme="minorHAnsi"/>
          <w:sz w:val="22"/>
          <w:szCs w:val="22"/>
          <w:lang w:val="en-US" w:eastAsia="de-DE"/>
        </w:rPr>
        <w:lastRenderedPageBreak/>
        <w:t xml:space="preserve">This report would depict the contractual agreement i.e. 100 loan side and 100 collateral side. </w:t>
      </w:r>
    </w:p>
    <w:p w14:paraId="12AE8D52" w14:textId="2A6DBAFD" w:rsidR="00800179" w:rsidRPr="005546EA" w:rsidRDefault="00800179" w:rsidP="00800179">
      <w:pPr>
        <w:rPr>
          <w:rFonts w:ascii="Arial" w:hAnsi="Arial" w:cs="Arial"/>
          <w:lang w:val="en-US"/>
        </w:rPr>
      </w:pPr>
    </w:p>
    <w:p w14:paraId="4EAB50F4" w14:textId="77777777" w:rsidR="005546EA" w:rsidRPr="00800179" w:rsidRDefault="005546EA" w:rsidP="00800179">
      <w:pPr>
        <w:rPr>
          <w:rFonts w:ascii="Arial" w:hAnsi="Arial" w:cs="Arial"/>
        </w:rPr>
      </w:pPr>
    </w:p>
    <w:tbl>
      <w:tblPr>
        <w:tblW w:w="8784" w:type="dxa"/>
        <w:tblCellMar>
          <w:left w:w="70" w:type="dxa"/>
          <w:right w:w="70" w:type="dxa"/>
        </w:tblCellMar>
        <w:tblLook w:val="04A0" w:firstRow="1" w:lastRow="0" w:firstColumn="1" w:lastColumn="0" w:noHBand="0" w:noVBand="1"/>
      </w:tblPr>
      <w:tblGrid>
        <w:gridCol w:w="3100"/>
        <w:gridCol w:w="1431"/>
        <w:gridCol w:w="1985"/>
        <w:gridCol w:w="2268"/>
      </w:tblGrid>
      <w:tr w:rsidR="00CC3A04" w:rsidRPr="00206B40" w14:paraId="515D7B6A" w14:textId="77777777" w:rsidTr="00CC3A04">
        <w:trPr>
          <w:trHeight w:val="300"/>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04AB8" w14:textId="77777777" w:rsidR="00CC3A04" w:rsidRPr="00206B40" w:rsidRDefault="00CC3A04" w:rsidP="00800179">
            <w:pPr>
              <w:rPr>
                <w:rFonts w:ascii="Arial" w:hAnsi="Arial" w:cs="Arial"/>
                <w:b/>
                <w:bCs/>
                <w:sz w:val="22"/>
                <w:szCs w:val="22"/>
                <w:lang w:val="de-DE"/>
              </w:rPr>
            </w:pPr>
            <w:r w:rsidRPr="00206B40">
              <w:rPr>
                <w:rFonts w:ascii="Arial" w:hAnsi="Arial" w:cs="Arial"/>
                <w:b/>
                <w:bCs/>
                <w:sz w:val="22"/>
                <w:szCs w:val="22"/>
                <w:lang w:val="de-DE"/>
              </w:rPr>
              <w:t>EXAMPLE</w:t>
            </w:r>
          </w:p>
        </w:tc>
        <w:tc>
          <w:tcPr>
            <w:tcW w:w="1431" w:type="dxa"/>
            <w:tcBorders>
              <w:top w:val="single" w:sz="4" w:space="0" w:color="auto"/>
              <w:left w:val="nil"/>
              <w:bottom w:val="single" w:sz="4" w:space="0" w:color="auto"/>
              <w:right w:val="single" w:sz="4" w:space="0" w:color="auto"/>
            </w:tcBorders>
            <w:shd w:val="clear" w:color="auto" w:fill="auto"/>
            <w:noWrap/>
            <w:vAlign w:val="bottom"/>
            <w:hideMark/>
          </w:tcPr>
          <w:p w14:paraId="67EF5D11" w14:textId="77777777" w:rsidR="00CC3A04" w:rsidRPr="00206B40" w:rsidRDefault="00CC3A04" w:rsidP="00800179">
            <w:pPr>
              <w:rPr>
                <w:rFonts w:ascii="Arial" w:hAnsi="Arial" w:cs="Arial"/>
                <w:sz w:val="22"/>
                <w:szCs w:val="22"/>
                <w:lang w:val="de-DE"/>
              </w:rPr>
            </w:pPr>
            <w:r w:rsidRPr="00206B40">
              <w:rPr>
                <w:rFonts w:ascii="Arial" w:hAnsi="Arial" w:cs="Arial"/>
                <w:sz w:val="22"/>
                <w:szCs w:val="22"/>
                <w:lang w:val="de-DE"/>
              </w:rPr>
              <w:t>19. Jun</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4D2486A" w14:textId="4678C4FF" w:rsidR="00CC3A04" w:rsidRPr="00206B40" w:rsidRDefault="00CC3A04" w:rsidP="00800179">
            <w:pPr>
              <w:rPr>
                <w:rFonts w:ascii="Arial" w:hAnsi="Arial" w:cs="Arial"/>
                <w:sz w:val="22"/>
                <w:szCs w:val="22"/>
                <w:lang w:val="de-DE"/>
              </w:rPr>
            </w:pPr>
            <w:r w:rsidRPr="00206B40">
              <w:rPr>
                <w:rFonts w:ascii="Arial" w:hAnsi="Arial" w:cs="Arial"/>
                <w:sz w:val="22"/>
                <w:szCs w:val="22"/>
                <w:lang w:val="de-DE"/>
              </w:rPr>
              <w:t>20. Jun (fail)</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230F248" w14:textId="730A0DDA" w:rsidR="00CC3A04" w:rsidRPr="00206B40" w:rsidRDefault="00CC3A04" w:rsidP="00800179">
            <w:pPr>
              <w:rPr>
                <w:rFonts w:ascii="Arial" w:hAnsi="Arial" w:cs="Arial"/>
                <w:sz w:val="22"/>
                <w:szCs w:val="22"/>
                <w:lang w:val="de-DE"/>
              </w:rPr>
            </w:pPr>
            <w:r w:rsidRPr="00206B40">
              <w:rPr>
                <w:rFonts w:ascii="Arial" w:hAnsi="Arial" w:cs="Arial"/>
                <w:sz w:val="22"/>
                <w:szCs w:val="22"/>
                <w:lang w:val="de-DE"/>
              </w:rPr>
              <w:t>21. Jun (settlement)</w:t>
            </w:r>
          </w:p>
        </w:tc>
      </w:tr>
      <w:tr w:rsidR="00CC3A04" w:rsidRPr="00206B40" w14:paraId="5CE56ECB" w14:textId="77777777" w:rsidTr="00CC3A04">
        <w:trPr>
          <w:trHeight w:val="285"/>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0A547F0E" w14:textId="77777777" w:rsidR="00CC3A04" w:rsidRPr="00206B40" w:rsidRDefault="00CC3A04" w:rsidP="00800179">
            <w:pPr>
              <w:rPr>
                <w:rFonts w:ascii="Arial" w:hAnsi="Arial" w:cs="Arial"/>
                <w:sz w:val="22"/>
                <w:szCs w:val="22"/>
                <w:lang w:val="de-DE"/>
              </w:rPr>
            </w:pPr>
            <w:r w:rsidRPr="00206B40">
              <w:rPr>
                <w:rFonts w:ascii="Arial" w:hAnsi="Arial" w:cs="Arial"/>
                <w:sz w:val="22"/>
                <w:szCs w:val="22"/>
                <w:lang w:val="de-DE"/>
              </w:rPr>
              <w:t>Loan side</w:t>
            </w:r>
          </w:p>
        </w:tc>
        <w:tc>
          <w:tcPr>
            <w:tcW w:w="1431" w:type="dxa"/>
            <w:tcBorders>
              <w:top w:val="nil"/>
              <w:left w:val="nil"/>
              <w:bottom w:val="single" w:sz="4" w:space="0" w:color="auto"/>
              <w:right w:val="single" w:sz="4" w:space="0" w:color="auto"/>
            </w:tcBorders>
            <w:shd w:val="clear" w:color="auto" w:fill="auto"/>
            <w:noWrap/>
            <w:vAlign w:val="bottom"/>
            <w:hideMark/>
          </w:tcPr>
          <w:p w14:paraId="669B04FD" w14:textId="77777777" w:rsidR="00CC3A04" w:rsidRPr="00206B40" w:rsidRDefault="00CC3A04" w:rsidP="00800179">
            <w:pPr>
              <w:rPr>
                <w:rFonts w:ascii="Arial" w:hAnsi="Arial" w:cs="Arial"/>
                <w:sz w:val="22"/>
                <w:szCs w:val="22"/>
                <w:lang w:val="de-DE"/>
              </w:rPr>
            </w:pPr>
            <w:r w:rsidRPr="00206B40">
              <w:rPr>
                <w:rFonts w:ascii="Arial" w:hAnsi="Arial" w:cs="Arial"/>
                <w:sz w:val="22"/>
                <w:szCs w:val="22"/>
                <w:lang w:val="de-DE"/>
              </w:rPr>
              <w:t>NEWT</w:t>
            </w:r>
          </w:p>
        </w:tc>
        <w:tc>
          <w:tcPr>
            <w:tcW w:w="1985" w:type="dxa"/>
            <w:tcBorders>
              <w:top w:val="nil"/>
              <w:left w:val="nil"/>
              <w:bottom w:val="single" w:sz="4" w:space="0" w:color="auto"/>
              <w:right w:val="single" w:sz="4" w:space="0" w:color="auto"/>
            </w:tcBorders>
            <w:shd w:val="clear" w:color="auto" w:fill="auto"/>
            <w:noWrap/>
            <w:vAlign w:val="bottom"/>
          </w:tcPr>
          <w:p w14:paraId="641B53FF" w14:textId="58793073" w:rsidR="00CC3A04" w:rsidRPr="00206B40" w:rsidRDefault="00CC3A04" w:rsidP="00800179">
            <w:pPr>
              <w:rPr>
                <w:rFonts w:ascii="Arial" w:hAnsi="Arial" w:cs="Arial"/>
                <w:sz w:val="22"/>
                <w:szCs w:val="22"/>
                <w:lang w:val="de-DE"/>
              </w:rPr>
            </w:pPr>
          </w:p>
        </w:tc>
        <w:tc>
          <w:tcPr>
            <w:tcW w:w="2268" w:type="dxa"/>
            <w:tcBorders>
              <w:top w:val="nil"/>
              <w:left w:val="nil"/>
              <w:bottom w:val="single" w:sz="4" w:space="0" w:color="auto"/>
              <w:right w:val="single" w:sz="4" w:space="0" w:color="auto"/>
            </w:tcBorders>
            <w:shd w:val="clear" w:color="auto" w:fill="auto"/>
            <w:noWrap/>
            <w:vAlign w:val="bottom"/>
          </w:tcPr>
          <w:p w14:paraId="077241AB" w14:textId="26E5C9BD" w:rsidR="00CC3A04" w:rsidRPr="00206B40" w:rsidRDefault="00CC3A04" w:rsidP="00800179">
            <w:pPr>
              <w:rPr>
                <w:rFonts w:ascii="Arial" w:hAnsi="Arial" w:cs="Arial"/>
                <w:sz w:val="22"/>
                <w:szCs w:val="22"/>
                <w:lang w:val="de-DE"/>
              </w:rPr>
            </w:pPr>
          </w:p>
        </w:tc>
      </w:tr>
      <w:tr w:rsidR="00CC3A04" w:rsidRPr="00206B40" w14:paraId="7C72ACA7" w14:textId="77777777" w:rsidTr="00CC3A04">
        <w:trPr>
          <w:trHeight w:val="285"/>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68D83C8F" w14:textId="77777777" w:rsidR="00CC3A04" w:rsidRPr="00206B40" w:rsidRDefault="00CC3A04" w:rsidP="00800179">
            <w:pPr>
              <w:rPr>
                <w:rFonts w:ascii="Arial" w:hAnsi="Arial" w:cs="Arial"/>
                <w:sz w:val="22"/>
                <w:szCs w:val="22"/>
                <w:lang w:val="de-DE"/>
              </w:rPr>
            </w:pPr>
            <w:r w:rsidRPr="00206B40">
              <w:rPr>
                <w:rFonts w:ascii="Arial" w:hAnsi="Arial" w:cs="Arial"/>
                <w:sz w:val="22"/>
                <w:szCs w:val="22"/>
                <w:lang w:val="de-DE"/>
              </w:rPr>
              <w:t>Loan value</w:t>
            </w:r>
          </w:p>
        </w:tc>
        <w:tc>
          <w:tcPr>
            <w:tcW w:w="1431" w:type="dxa"/>
            <w:tcBorders>
              <w:top w:val="nil"/>
              <w:left w:val="nil"/>
              <w:bottom w:val="single" w:sz="4" w:space="0" w:color="auto"/>
              <w:right w:val="single" w:sz="4" w:space="0" w:color="auto"/>
            </w:tcBorders>
            <w:shd w:val="clear" w:color="auto" w:fill="auto"/>
            <w:noWrap/>
            <w:vAlign w:val="bottom"/>
            <w:hideMark/>
          </w:tcPr>
          <w:p w14:paraId="4A98197C" w14:textId="77777777" w:rsidR="00CC3A04" w:rsidRPr="00206B40" w:rsidRDefault="00CC3A04" w:rsidP="00800179">
            <w:pPr>
              <w:rPr>
                <w:rFonts w:ascii="Arial" w:hAnsi="Arial" w:cs="Arial"/>
                <w:sz w:val="22"/>
                <w:szCs w:val="22"/>
                <w:lang w:val="de-DE"/>
              </w:rPr>
            </w:pPr>
            <w:r w:rsidRPr="00206B40">
              <w:rPr>
                <w:rFonts w:ascii="Arial" w:hAnsi="Arial" w:cs="Arial"/>
                <w:sz w:val="22"/>
                <w:szCs w:val="22"/>
                <w:lang w:val="de-DE"/>
              </w:rPr>
              <w:t>100</w:t>
            </w:r>
          </w:p>
        </w:tc>
        <w:tc>
          <w:tcPr>
            <w:tcW w:w="1985" w:type="dxa"/>
            <w:tcBorders>
              <w:top w:val="nil"/>
              <w:left w:val="nil"/>
              <w:bottom w:val="single" w:sz="4" w:space="0" w:color="auto"/>
              <w:right w:val="single" w:sz="4" w:space="0" w:color="auto"/>
            </w:tcBorders>
            <w:shd w:val="clear" w:color="auto" w:fill="auto"/>
            <w:noWrap/>
            <w:vAlign w:val="bottom"/>
            <w:hideMark/>
          </w:tcPr>
          <w:p w14:paraId="4816743A" w14:textId="7E4399CD" w:rsidR="00CC3A04" w:rsidRPr="00206B40" w:rsidRDefault="00CC3A04" w:rsidP="00800179">
            <w:pPr>
              <w:rPr>
                <w:rFonts w:ascii="Arial" w:hAnsi="Arial" w:cs="Arial"/>
                <w:sz w:val="22"/>
                <w:szCs w:val="22"/>
                <w:lang w:val="de-DE"/>
              </w:rPr>
            </w:pPr>
          </w:p>
        </w:tc>
        <w:tc>
          <w:tcPr>
            <w:tcW w:w="2268" w:type="dxa"/>
            <w:tcBorders>
              <w:top w:val="nil"/>
              <w:left w:val="nil"/>
              <w:bottom w:val="single" w:sz="4" w:space="0" w:color="auto"/>
              <w:right w:val="single" w:sz="4" w:space="0" w:color="auto"/>
            </w:tcBorders>
            <w:shd w:val="clear" w:color="auto" w:fill="auto"/>
            <w:noWrap/>
            <w:vAlign w:val="bottom"/>
            <w:hideMark/>
          </w:tcPr>
          <w:p w14:paraId="2075A82B" w14:textId="77777777" w:rsidR="00CC3A04" w:rsidRPr="00206B40" w:rsidRDefault="00CC3A04" w:rsidP="00800179">
            <w:pPr>
              <w:rPr>
                <w:rFonts w:ascii="Arial" w:hAnsi="Arial" w:cs="Arial"/>
                <w:sz w:val="22"/>
                <w:szCs w:val="22"/>
                <w:lang w:val="de-DE"/>
              </w:rPr>
            </w:pPr>
            <w:r w:rsidRPr="00206B40">
              <w:rPr>
                <w:rFonts w:ascii="Arial" w:hAnsi="Arial" w:cs="Arial"/>
                <w:sz w:val="22"/>
                <w:szCs w:val="22"/>
                <w:lang w:val="de-DE"/>
              </w:rPr>
              <w:t>100</w:t>
            </w:r>
          </w:p>
        </w:tc>
      </w:tr>
      <w:tr w:rsidR="00CC3A04" w:rsidRPr="00206B40" w14:paraId="263F21C4" w14:textId="77777777" w:rsidTr="00CC3A04">
        <w:trPr>
          <w:trHeight w:val="285"/>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56567BE7" w14:textId="77777777" w:rsidR="00CC3A04" w:rsidRPr="00206B40" w:rsidRDefault="00CC3A04" w:rsidP="00800179">
            <w:pPr>
              <w:rPr>
                <w:rFonts w:ascii="Arial" w:hAnsi="Arial" w:cs="Arial"/>
                <w:sz w:val="22"/>
                <w:szCs w:val="22"/>
                <w:lang w:val="de-DE"/>
              </w:rPr>
            </w:pPr>
            <w:r w:rsidRPr="00206B40">
              <w:rPr>
                <w:rFonts w:ascii="Arial" w:hAnsi="Arial" w:cs="Arial"/>
                <w:sz w:val="22"/>
                <w:szCs w:val="22"/>
                <w:lang w:val="de-DE"/>
              </w:rPr>
              <w:t>value date</w:t>
            </w:r>
          </w:p>
        </w:tc>
        <w:tc>
          <w:tcPr>
            <w:tcW w:w="1431" w:type="dxa"/>
            <w:tcBorders>
              <w:top w:val="nil"/>
              <w:left w:val="nil"/>
              <w:bottom w:val="single" w:sz="4" w:space="0" w:color="auto"/>
              <w:right w:val="single" w:sz="4" w:space="0" w:color="auto"/>
            </w:tcBorders>
            <w:shd w:val="clear" w:color="auto" w:fill="auto"/>
            <w:noWrap/>
            <w:vAlign w:val="bottom"/>
            <w:hideMark/>
          </w:tcPr>
          <w:p w14:paraId="4EDC22DC" w14:textId="77777777" w:rsidR="00CC3A04" w:rsidRPr="00206B40" w:rsidRDefault="00CC3A04" w:rsidP="00800179">
            <w:pPr>
              <w:rPr>
                <w:rFonts w:ascii="Arial" w:hAnsi="Arial" w:cs="Arial"/>
                <w:sz w:val="22"/>
                <w:szCs w:val="22"/>
                <w:lang w:val="de-DE"/>
              </w:rPr>
            </w:pPr>
            <w:r w:rsidRPr="00206B40">
              <w:rPr>
                <w:rFonts w:ascii="Arial" w:hAnsi="Arial" w:cs="Arial"/>
                <w:sz w:val="22"/>
                <w:szCs w:val="22"/>
                <w:lang w:val="de-DE"/>
              </w:rPr>
              <w:t>20. Jun</w:t>
            </w:r>
          </w:p>
        </w:tc>
        <w:tc>
          <w:tcPr>
            <w:tcW w:w="1985" w:type="dxa"/>
            <w:tcBorders>
              <w:top w:val="nil"/>
              <w:left w:val="nil"/>
              <w:bottom w:val="single" w:sz="4" w:space="0" w:color="auto"/>
              <w:right w:val="single" w:sz="4" w:space="0" w:color="auto"/>
            </w:tcBorders>
            <w:shd w:val="clear" w:color="auto" w:fill="auto"/>
            <w:noWrap/>
            <w:vAlign w:val="bottom"/>
            <w:hideMark/>
          </w:tcPr>
          <w:p w14:paraId="6E3238DF" w14:textId="77777777" w:rsidR="00CC3A04" w:rsidRPr="00206B40" w:rsidRDefault="00CC3A04" w:rsidP="00800179">
            <w:pPr>
              <w:rPr>
                <w:rFonts w:ascii="Arial" w:hAnsi="Arial" w:cs="Arial"/>
                <w:sz w:val="22"/>
                <w:szCs w:val="22"/>
                <w:lang w:val="de-DE"/>
              </w:rPr>
            </w:pPr>
            <w:r w:rsidRPr="00206B40">
              <w:rPr>
                <w:rFonts w:ascii="Arial" w:hAnsi="Arial" w:cs="Arial"/>
                <w:sz w:val="22"/>
                <w:szCs w:val="22"/>
                <w:lang w:val="de-DE"/>
              </w:rPr>
              <w:t> </w:t>
            </w:r>
          </w:p>
        </w:tc>
        <w:tc>
          <w:tcPr>
            <w:tcW w:w="2268" w:type="dxa"/>
            <w:tcBorders>
              <w:top w:val="nil"/>
              <w:left w:val="nil"/>
              <w:bottom w:val="single" w:sz="4" w:space="0" w:color="auto"/>
              <w:right w:val="single" w:sz="4" w:space="0" w:color="auto"/>
            </w:tcBorders>
            <w:shd w:val="clear" w:color="auto" w:fill="auto"/>
            <w:noWrap/>
            <w:vAlign w:val="bottom"/>
            <w:hideMark/>
          </w:tcPr>
          <w:p w14:paraId="17BCB2E2" w14:textId="77777777" w:rsidR="00CC3A04" w:rsidRPr="00206B40" w:rsidRDefault="00CC3A04" w:rsidP="00800179">
            <w:pPr>
              <w:rPr>
                <w:rFonts w:ascii="Arial" w:hAnsi="Arial" w:cs="Arial"/>
                <w:sz w:val="22"/>
                <w:szCs w:val="22"/>
                <w:lang w:val="de-DE"/>
              </w:rPr>
            </w:pPr>
            <w:r w:rsidRPr="00206B40">
              <w:rPr>
                <w:rFonts w:ascii="Arial" w:hAnsi="Arial" w:cs="Arial"/>
                <w:sz w:val="22"/>
                <w:szCs w:val="22"/>
                <w:lang w:val="de-DE"/>
              </w:rPr>
              <w:t> </w:t>
            </w:r>
          </w:p>
        </w:tc>
      </w:tr>
      <w:tr w:rsidR="00CC3A04" w:rsidRPr="00206B40" w14:paraId="21D438C6" w14:textId="77777777" w:rsidTr="00CC3A04">
        <w:trPr>
          <w:trHeight w:val="285"/>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5EFF215C" w14:textId="77777777" w:rsidR="00CC3A04" w:rsidRPr="00206B40" w:rsidRDefault="00CC3A04" w:rsidP="00800179">
            <w:pPr>
              <w:rPr>
                <w:rFonts w:ascii="Arial" w:hAnsi="Arial" w:cs="Arial"/>
                <w:sz w:val="22"/>
                <w:szCs w:val="22"/>
                <w:lang w:val="de-DE"/>
              </w:rPr>
            </w:pPr>
            <w:r w:rsidRPr="00206B40">
              <w:rPr>
                <w:rFonts w:ascii="Arial" w:hAnsi="Arial" w:cs="Arial"/>
                <w:sz w:val="22"/>
                <w:szCs w:val="22"/>
                <w:lang w:val="de-DE"/>
              </w:rPr>
              <w:t>Collateral side</w:t>
            </w:r>
          </w:p>
        </w:tc>
        <w:tc>
          <w:tcPr>
            <w:tcW w:w="1431" w:type="dxa"/>
            <w:tcBorders>
              <w:top w:val="nil"/>
              <w:left w:val="nil"/>
              <w:bottom w:val="single" w:sz="4" w:space="0" w:color="auto"/>
              <w:right w:val="single" w:sz="4" w:space="0" w:color="auto"/>
            </w:tcBorders>
            <w:shd w:val="clear" w:color="auto" w:fill="auto"/>
            <w:noWrap/>
            <w:vAlign w:val="bottom"/>
            <w:hideMark/>
          </w:tcPr>
          <w:p w14:paraId="7CAFB95C" w14:textId="77777777" w:rsidR="00CC3A04" w:rsidRPr="00206B40" w:rsidRDefault="00CC3A04" w:rsidP="00800179">
            <w:pPr>
              <w:rPr>
                <w:rFonts w:ascii="Arial" w:hAnsi="Arial" w:cs="Arial"/>
                <w:sz w:val="22"/>
                <w:szCs w:val="22"/>
                <w:lang w:val="de-DE"/>
              </w:rPr>
            </w:pPr>
            <w:r w:rsidRPr="00206B40">
              <w:rPr>
                <w:rFonts w:ascii="Arial" w:hAnsi="Arial" w:cs="Arial"/>
                <w:sz w:val="22"/>
                <w:szCs w:val="22"/>
                <w:lang w:val="de-DE"/>
              </w:rPr>
              <w:t>-</w:t>
            </w:r>
          </w:p>
        </w:tc>
        <w:tc>
          <w:tcPr>
            <w:tcW w:w="1985" w:type="dxa"/>
            <w:tcBorders>
              <w:top w:val="nil"/>
              <w:left w:val="nil"/>
              <w:bottom w:val="single" w:sz="4" w:space="0" w:color="auto"/>
              <w:right w:val="single" w:sz="4" w:space="0" w:color="auto"/>
            </w:tcBorders>
            <w:shd w:val="clear" w:color="auto" w:fill="auto"/>
            <w:noWrap/>
            <w:vAlign w:val="bottom"/>
            <w:hideMark/>
          </w:tcPr>
          <w:p w14:paraId="7C66F0AF" w14:textId="6323AC1E" w:rsidR="00CC3A04" w:rsidRPr="00206B40" w:rsidRDefault="00CC3A04" w:rsidP="00800179">
            <w:pPr>
              <w:rPr>
                <w:rFonts w:ascii="Arial" w:hAnsi="Arial" w:cs="Arial"/>
                <w:sz w:val="22"/>
                <w:szCs w:val="22"/>
                <w:lang w:val="de-DE"/>
              </w:rPr>
            </w:pPr>
          </w:p>
        </w:tc>
        <w:tc>
          <w:tcPr>
            <w:tcW w:w="2268" w:type="dxa"/>
            <w:tcBorders>
              <w:top w:val="nil"/>
              <w:left w:val="nil"/>
              <w:bottom w:val="single" w:sz="4" w:space="0" w:color="auto"/>
              <w:right w:val="single" w:sz="4" w:space="0" w:color="auto"/>
            </w:tcBorders>
            <w:shd w:val="clear" w:color="auto" w:fill="auto"/>
            <w:noWrap/>
            <w:vAlign w:val="bottom"/>
            <w:hideMark/>
          </w:tcPr>
          <w:p w14:paraId="142C69EE" w14:textId="77777777" w:rsidR="00CC3A04" w:rsidRPr="00206B40" w:rsidRDefault="00CC3A04" w:rsidP="00800179">
            <w:pPr>
              <w:rPr>
                <w:rFonts w:ascii="Arial" w:hAnsi="Arial" w:cs="Arial"/>
                <w:sz w:val="22"/>
                <w:szCs w:val="22"/>
                <w:lang w:val="de-DE"/>
              </w:rPr>
            </w:pPr>
            <w:r w:rsidRPr="00206B40">
              <w:rPr>
                <w:rFonts w:ascii="Arial" w:hAnsi="Arial" w:cs="Arial"/>
                <w:sz w:val="22"/>
                <w:szCs w:val="22"/>
                <w:lang w:val="de-DE"/>
              </w:rPr>
              <w:t>COLU</w:t>
            </w:r>
          </w:p>
        </w:tc>
      </w:tr>
      <w:tr w:rsidR="00CC3A04" w:rsidRPr="00206B40" w14:paraId="7231AB18" w14:textId="77777777" w:rsidTr="00CC3A04">
        <w:trPr>
          <w:trHeight w:val="285"/>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6592CEC8" w14:textId="77777777" w:rsidR="00CC3A04" w:rsidRPr="00206B40" w:rsidRDefault="00CC3A04" w:rsidP="00800179">
            <w:pPr>
              <w:rPr>
                <w:rFonts w:ascii="Arial" w:hAnsi="Arial" w:cs="Arial"/>
                <w:sz w:val="22"/>
                <w:szCs w:val="22"/>
                <w:lang w:val="de-DE"/>
              </w:rPr>
            </w:pPr>
            <w:r w:rsidRPr="00206B40">
              <w:rPr>
                <w:rFonts w:ascii="Arial" w:hAnsi="Arial" w:cs="Arial"/>
                <w:sz w:val="22"/>
                <w:szCs w:val="22"/>
                <w:lang w:val="de-DE"/>
              </w:rPr>
              <w:t>Collateral value date</w:t>
            </w:r>
          </w:p>
        </w:tc>
        <w:tc>
          <w:tcPr>
            <w:tcW w:w="1431" w:type="dxa"/>
            <w:tcBorders>
              <w:top w:val="nil"/>
              <w:left w:val="nil"/>
              <w:bottom w:val="single" w:sz="4" w:space="0" w:color="auto"/>
              <w:right w:val="single" w:sz="4" w:space="0" w:color="auto"/>
            </w:tcBorders>
            <w:shd w:val="clear" w:color="auto" w:fill="auto"/>
            <w:noWrap/>
            <w:vAlign w:val="bottom"/>
            <w:hideMark/>
          </w:tcPr>
          <w:p w14:paraId="4C13BA1A" w14:textId="77777777" w:rsidR="00CC3A04" w:rsidRPr="00206B40" w:rsidRDefault="00CC3A04" w:rsidP="00800179">
            <w:pPr>
              <w:rPr>
                <w:rFonts w:ascii="Arial" w:hAnsi="Arial" w:cs="Arial"/>
                <w:sz w:val="22"/>
                <w:szCs w:val="22"/>
                <w:lang w:val="de-DE"/>
              </w:rPr>
            </w:pPr>
            <w:r w:rsidRPr="00206B40">
              <w:rPr>
                <w:rFonts w:ascii="Arial" w:hAnsi="Arial" w:cs="Arial"/>
                <w:sz w:val="22"/>
                <w:szCs w:val="22"/>
                <w:lang w:val="de-DE"/>
              </w:rPr>
              <w:t>20. Jun</w:t>
            </w:r>
          </w:p>
        </w:tc>
        <w:tc>
          <w:tcPr>
            <w:tcW w:w="1985" w:type="dxa"/>
            <w:tcBorders>
              <w:top w:val="nil"/>
              <w:left w:val="nil"/>
              <w:bottom w:val="single" w:sz="4" w:space="0" w:color="auto"/>
              <w:right w:val="single" w:sz="4" w:space="0" w:color="auto"/>
            </w:tcBorders>
            <w:shd w:val="clear" w:color="auto" w:fill="auto"/>
            <w:noWrap/>
            <w:vAlign w:val="bottom"/>
            <w:hideMark/>
          </w:tcPr>
          <w:p w14:paraId="2BD7636B" w14:textId="77777777" w:rsidR="00CC3A04" w:rsidRPr="00206B40" w:rsidRDefault="00CC3A04" w:rsidP="00800179">
            <w:pPr>
              <w:rPr>
                <w:rFonts w:ascii="Arial" w:hAnsi="Arial" w:cs="Arial"/>
                <w:sz w:val="22"/>
                <w:szCs w:val="22"/>
                <w:lang w:val="de-DE"/>
              </w:rPr>
            </w:pPr>
            <w:r w:rsidRPr="00206B40">
              <w:rPr>
                <w:rFonts w:ascii="Arial" w:hAnsi="Arial" w:cs="Arial"/>
                <w:sz w:val="22"/>
                <w:szCs w:val="22"/>
                <w:lang w:val="de-DE"/>
              </w:rPr>
              <w:t> </w:t>
            </w:r>
          </w:p>
        </w:tc>
        <w:tc>
          <w:tcPr>
            <w:tcW w:w="2268" w:type="dxa"/>
            <w:tcBorders>
              <w:top w:val="nil"/>
              <w:left w:val="nil"/>
              <w:bottom w:val="single" w:sz="4" w:space="0" w:color="auto"/>
              <w:right w:val="single" w:sz="4" w:space="0" w:color="auto"/>
            </w:tcBorders>
            <w:shd w:val="clear" w:color="auto" w:fill="auto"/>
            <w:noWrap/>
            <w:vAlign w:val="bottom"/>
            <w:hideMark/>
          </w:tcPr>
          <w:p w14:paraId="010DCFE6" w14:textId="77777777" w:rsidR="00CC3A04" w:rsidRPr="00206B40" w:rsidRDefault="00CC3A04" w:rsidP="00800179">
            <w:pPr>
              <w:rPr>
                <w:rFonts w:ascii="Arial" w:hAnsi="Arial" w:cs="Arial"/>
                <w:sz w:val="22"/>
                <w:szCs w:val="22"/>
                <w:lang w:val="de-DE"/>
              </w:rPr>
            </w:pPr>
            <w:r w:rsidRPr="00206B40">
              <w:rPr>
                <w:rFonts w:ascii="Arial" w:hAnsi="Arial" w:cs="Arial"/>
                <w:sz w:val="22"/>
                <w:szCs w:val="22"/>
                <w:lang w:val="de-DE"/>
              </w:rPr>
              <w:t>20. Jun</w:t>
            </w:r>
          </w:p>
        </w:tc>
      </w:tr>
      <w:tr w:rsidR="00CC3A04" w:rsidRPr="00206B40" w14:paraId="7B2983D9" w14:textId="77777777" w:rsidTr="00CC3A04">
        <w:trPr>
          <w:trHeight w:val="855"/>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4E664D35" w14:textId="01208DA7" w:rsidR="00CC3A04" w:rsidRPr="00206B40" w:rsidRDefault="00CC3A04" w:rsidP="00CC3A04">
            <w:pPr>
              <w:rPr>
                <w:rFonts w:ascii="Arial" w:hAnsi="Arial" w:cs="Arial"/>
                <w:sz w:val="22"/>
                <w:szCs w:val="22"/>
                <w:lang w:val="en-US"/>
              </w:rPr>
            </w:pPr>
            <w:r w:rsidRPr="00206B40">
              <w:rPr>
                <w:rFonts w:ascii="Arial" w:hAnsi="Arial" w:cs="Arial"/>
                <w:sz w:val="22"/>
                <w:szCs w:val="22"/>
                <w:lang w:val="en-US"/>
              </w:rPr>
              <w:t xml:space="preserve">collateral </w:t>
            </w:r>
          </w:p>
        </w:tc>
        <w:tc>
          <w:tcPr>
            <w:tcW w:w="1431" w:type="dxa"/>
            <w:tcBorders>
              <w:top w:val="nil"/>
              <w:left w:val="nil"/>
              <w:bottom w:val="single" w:sz="4" w:space="0" w:color="auto"/>
              <w:right w:val="single" w:sz="4" w:space="0" w:color="auto"/>
            </w:tcBorders>
            <w:shd w:val="clear" w:color="auto" w:fill="auto"/>
            <w:noWrap/>
            <w:vAlign w:val="bottom"/>
            <w:hideMark/>
          </w:tcPr>
          <w:p w14:paraId="45ACBBDA" w14:textId="77777777" w:rsidR="00CC3A04" w:rsidRPr="00206B40" w:rsidRDefault="00CC3A04" w:rsidP="00800179">
            <w:pPr>
              <w:rPr>
                <w:rFonts w:ascii="Arial" w:hAnsi="Arial" w:cs="Arial"/>
                <w:sz w:val="22"/>
                <w:szCs w:val="22"/>
                <w:lang w:val="en-US"/>
              </w:rPr>
            </w:pPr>
            <w:r w:rsidRPr="00206B40">
              <w:rPr>
                <w:rFonts w:ascii="Arial" w:hAnsi="Arial" w:cs="Arial"/>
                <w:sz w:val="22"/>
                <w:szCs w:val="22"/>
                <w:lang w:val="en-US"/>
              </w:rPr>
              <w:t> </w:t>
            </w:r>
          </w:p>
        </w:tc>
        <w:tc>
          <w:tcPr>
            <w:tcW w:w="1985" w:type="dxa"/>
            <w:tcBorders>
              <w:top w:val="nil"/>
              <w:left w:val="nil"/>
              <w:bottom w:val="single" w:sz="4" w:space="0" w:color="auto"/>
              <w:right w:val="single" w:sz="4" w:space="0" w:color="auto"/>
            </w:tcBorders>
            <w:shd w:val="clear" w:color="auto" w:fill="auto"/>
            <w:noWrap/>
            <w:vAlign w:val="bottom"/>
            <w:hideMark/>
          </w:tcPr>
          <w:p w14:paraId="0EAF6C9F" w14:textId="77777777" w:rsidR="00CC3A04" w:rsidRPr="00206B40" w:rsidRDefault="00CC3A04" w:rsidP="00800179">
            <w:pPr>
              <w:rPr>
                <w:rFonts w:ascii="Arial" w:hAnsi="Arial" w:cs="Arial"/>
                <w:sz w:val="22"/>
                <w:szCs w:val="22"/>
                <w:lang w:val="en-US"/>
              </w:rPr>
            </w:pPr>
            <w:r w:rsidRPr="00206B40">
              <w:rPr>
                <w:rFonts w:ascii="Arial" w:hAnsi="Arial" w:cs="Arial"/>
                <w:sz w:val="22"/>
                <w:szCs w:val="22"/>
                <w:lang w:val="en-US"/>
              </w:rPr>
              <w:t> </w:t>
            </w:r>
          </w:p>
        </w:tc>
        <w:tc>
          <w:tcPr>
            <w:tcW w:w="2268" w:type="dxa"/>
            <w:tcBorders>
              <w:top w:val="nil"/>
              <w:left w:val="nil"/>
              <w:bottom w:val="single" w:sz="4" w:space="0" w:color="auto"/>
              <w:right w:val="single" w:sz="4" w:space="0" w:color="auto"/>
            </w:tcBorders>
            <w:shd w:val="clear" w:color="auto" w:fill="auto"/>
            <w:vAlign w:val="bottom"/>
            <w:hideMark/>
          </w:tcPr>
          <w:p w14:paraId="7AE6BBBE" w14:textId="77777777" w:rsidR="00CC3A04" w:rsidRPr="00206B40" w:rsidRDefault="00CC3A04" w:rsidP="00800179">
            <w:pPr>
              <w:rPr>
                <w:rFonts w:ascii="Arial" w:hAnsi="Arial" w:cs="Arial"/>
                <w:sz w:val="22"/>
                <w:szCs w:val="22"/>
                <w:lang w:val="de-DE"/>
              </w:rPr>
            </w:pPr>
            <w:r w:rsidRPr="00206B40">
              <w:rPr>
                <w:rFonts w:ascii="Arial" w:hAnsi="Arial" w:cs="Arial"/>
                <w:sz w:val="22"/>
                <w:szCs w:val="22"/>
                <w:lang w:val="de-DE"/>
              </w:rPr>
              <w:t>50 - ISIN 1</w:t>
            </w:r>
            <w:r w:rsidRPr="00206B40">
              <w:rPr>
                <w:rFonts w:ascii="Arial" w:hAnsi="Arial" w:cs="Arial"/>
                <w:sz w:val="22"/>
                <w:szCs w:val="22"/>
                <w:lang w:val="de-DE"/>
              </w:rPr>
              <w:br/>
              <w:t>30 - ISIN 2</w:t>
            </w:r>
            <w:r w:rsidRPr="00206B40">
              <w:rPr>
                <w:rFonts w:ascii="Arial" w:hAnsi="Arial" w:cs="Arial"/>
                <w:sz w:val="22"/>
                <w:szCs w:val="22"/>
                <w:lang w:val="de-DE"/>
              </w:rPr>
              <w:br/>
              <w:t>20 - ISIN 3</w:t>
            </w:r>
          </w:p>
        </w:tc>
      </w:tr>
    </w:tbl>
    <w:p w14:paraId="799B8EC9" w14:textId="0A651C54" w:rsidR="00800179" w:rsidRPr="00800179" w:rsidRDefault="00800179" w:rsidP="00800179">
      <w:pPr>
        <w:rPr>
          <w:rFonts w:ascii="Arial" w:hAnsi="Arial" w:cs="Arial"/>
        </w:rPr>
      </w:pPr>
      <w:r w:rsidRPr="00800179">
        <w:rPr>
          <w:rFonts w:ascii="Arial" w:hAnsi="Arial" w:cs="Arial"/>
        </w:rPr>
        <w:t xml:space="preserve"> </w:t>
      </w:r>
    </w:p>
    <w:permEnd w:id="531385609"/>
    <w:p w14:paraId="0A448706" w14:textId="77777777" w:rsidR="00D62A4F" w:rsidRDefault="00D62A4F" w:rsidP="00D62A4F">
      <w:pPr>
        <w:rPr>
          <w:rFonts w:ascii="Arial" w:hAnsi="Arial" w:cs="Arial"/>
        </w:rPr>
      </w:pPr>
      <w:r>
        <w:rPr>
          <w:rFonts w:ascii="Arial" w:hAnsi="Arial" w:cs="Arial"/>
        </w:rPr>
        <w:t>&lt;ESMA_QUESTION_RSFTR_21&gt;</w:t>
      </w:r>
    </w:p>
    <w:p w14:paraId="01FCB631" w14:textId="77777777" w:rsidR="00D62A4F" w:rsidRDefault="00D62A4F" w:rsidP="00D62A4F">
      <w:pPr>
        <w:rPr>
          <w:rFonts w:ascii="Arial" w:hAnsi="Arial" w:cs="Arial"/>
        </w:rPr>
      </w:pPr>
    </w:p>
    <w:p w14:paraId="56E63471" w14:textId="77777777" w:rsidR="00D62A4F" w:rsidRDefault="00D62A4F" w:rsidP="00D62A4F">
      <w:pPr>
        <w:pStyle w:val="Questionstyle"/>
        <w:numPr>
          <w:ilvl w:val="0"/>
          <w:numId w:val="9"/>
        </w:numPr>
        <w:spacing w:after="250" w:line="276" w:lineRule="auto"/>
      </w:pPr>
      <w:r>
        <w:t xml:space="preserve">: </w:t>
      </w:r>
      <w:r w:rsidRPr="00F11691">
        <w:t>Do you have any issues with reporting in a timely manner valuation, margin and reuse updates pertaining to SFTs? Please detail the reasons for your response.</w:t>
      </w:r>
    </w:p>
    <w:p w14:paraId="5876A732" w14:textId="77777777" w:rsidR="00D62A4F" w:rsidRDefault="00D62A4F" w:rsidP="00D62A4F">
      <w:pPr>
        <w:rPr>
          <w:rFonts w:ascii="Arial" w:hAnsi="Arial" w:cs="Arial"/>
        </w:rPr>
      </w:pPr>
      <w:r>
        <w:rPr>
          <w:rFonts w:ascii="Arial" w:hAnsi="Arial" w:cs="Arial"/>
        </w:rPr>
        <w:t>&lt;ESMA_QUESTION_RSFTR_22&gt;</w:t>
      </w:r>
    </w:p>
    <w:p w14:paraId="1AE7B425" w14:textId="5ADFF918" w:rsidR="00C36F71" w:rsidRPr="00206B40" w:rsidRDefault="00155ED2" w:rsidP="00C36F71">
      <w:pPr>
        <w:rPr>
          <w:rFonts w:ascii="Arial" w:hAnsi="Arial" w:cs="Arial"/>
          <w:sz w:val="22"/>
          <w:szCs w:val="22"/>
        </w:rPr>
      </w:pPr>
      <w:permStart w:id="117392414" w:edGrp="everyone"/>
      <w:r w:rsidRPr="00206B40">
        <w:rPr>
          <w:rFonts w:ascii="Arial" w:hAnsi="Arial" w:cs="Arial"/>
          <w:sz w:val="22"/>
          <w:szCs w:val="22"/>
        </w:rPr>
        <w:t>An e</w:t>
      </w:r>
      <w:r w:rsidR="00C36F71" w:rsidRPr="00206B40">
        <w:rPr>
          <w:rFonts w:ascii="Arial" w:hAnsi="Arial" w:cs="Arial"/>
          <w:sz w:val="22"/>
          <w:szCs w:val="22"/>
        </w:rPr>
        <w:t>xplicit clarification is requested on:</w:t>
      </w:r>
    </w:p>
    <w:p w14:paraId="45F6BFEA" w14:textId="69BCEE6A" w:rsidR="00C36F71" w:rsidRPr="00206B40" w:rsidRDefault="00C36F71" w:rsidP="00C36F71">
      <w:pPr>
        <w:autoSpaceDE w:val="0"/>
        <w:autoSpaceDN w:val="0"/>
        <w:adjustRightInd w:val="0"/>
        <w:rPr>
          <w:rFonts w:ascii="Arial" w:hAnsi="Arial" w:cs="Arial"/>
          <w:sz w:val="22"/>
          <w:szCs w:val="22"/>
        </w:rPr>
      </w:pPr>
      <w:r w:rsidRPr="00206B40">
        <w:rPr>
          <w:rFonts w:ascii="Arial" w:hAnsi="Arial" w:cs="Arial"/>
          <w:sz w:val="22"/>
          <w:szCs w:val="22"/>
        </w:rPr>
        <w:t>(1) The timeline for reporting “Valuation update”, “Marg</w:t>
      </w:r>
      <w:r w:rsidR="00155ED2" w:rsidRPr="00206B40">
        <w:rPr>
          <w:rFonts w:ascii="Arial" w:hAnsi="Arial" w:cs="Arial"/>
          <w:sz w:val="22"/>
          <w:szCs w:val="22"/>
        </w:rPr>
        <w:t xml:space="preserve">in update” and “Reuse update”. </w:t>
      </w:r>
      <w:r w:rsidRPr="00206B40">
        <w:rPr>
          <w:rFonts w:ascii="Arial" w:hAnsi="Arial" w:cs="Arial"/>
          <w:sz w:val="22"/>
          <w:szCs w:val="22"/>
        </w:rPr>
        <w:t>The Level 3 Guidance states “The timeline for reporting “Valuation update”, “Margin update” and “Reuse update” is the same as for the conclusion of a SFT.” This would be T+1 (i.e. booking date + 1 day) whereas the RTS states S+1 i.e. collateral settlement date + 1 day.</w:t>
      </w:r>
    </w:p>
    <w:p w14:paraId="262D50FF" w14:textId="77777777" w:rsidR="00C36F71" w:rsidRPr="00206B40" w:rsidRDefault="00C36F71" w:rsidP="00C36F71">
      <w:pPr>
        <w:rPr>
          <w:rFonts w:ascii="Arial" w:hAnsi="Arial" w:cs="Arial"/>
          <w:sz w:val="22"/>
          <w:szCs w:val="22"/>
        </w:rPr>
      </w:pPr>
      <w:r w:rsidRPr="00206B40">
        <w:rPr>
          <w:rFonts w:ascii="Arial" w:hAnsi="Arial" w:cs="Arial"/>
          <w:sz w:val="22"/>
          <w:szCs w:val="22"/>
        </w:rPr>
        <w:t>.</w:t>
      </w:r>
    </w:p>
    <w:p w14:paraId="1F55CC4D" w14:textId="728CDF71" w:rsidR="00C36F71" w:rsidRPr="00206B40" w:rsidRDefault="00C36F71" w:rsidP="00800179">
      <w:pPr>
        <w:rPr>
          <w:rFonts w:ascii="Arial" w:hAnsi="Arial" w:cs="Arial"/>
          <w:sz w:val="22"/>
          <w:szCs w:val="22"/>
        </w:rPr>
      </w:pPr>
      <w:r w:rsidRPr="00206B40">
        <w:rPr>
          <w:rFonts w:ascii="Arial" w:hAnsi="Arial" w:cs="Arial"/>
          <w:sz w:val="22"/>
          <w:szCs w:val="22"/>
        </w:rPr>
        <w:t>(2) In line with SFT transaction reporting, our understanding is that Collateral Re-Use reporting should be based on contractual settlement.  ESMA must advise if this is not correct.</w:t>
      </w:r>
    </w:p>
    <w:permEnd w:id="117392414"/>
    <w:p w14:paraId="214DA880" w14:textId="77777777" w:rsidR="00D62A4F" w:rsidRDefault="00D62A4F" w:rsidP="00D62A4F">
      <w:pPr>
        <w:rPr>
          <w:rFonts w:ascii="Arial" w:hAnsi="Arial" w:cs="Arial"/>
        </w:rPr>
      </w:pPr>
      <w:r>
        <w:rPr>
          <w:rFonts w:ascii="Arial" w:hAnsi="Arial" w:cs="Arial"/>
        </w:rPr>
        <w:t>&lt;ESMA_QUESTION_RSFTR_22&gt;</w:t>
      </w:r>
    </w:p>
    <w:p w14:paraId="3B45E914" w14:textId="77777777" w:rsidR="00D62A4F" w:rsidRDefault="00D62A4F" w:rsidP="00D62A4F">
      <w:pPr>
        <w:rPr>
          <w:rFonts w:ascii="Arial" w:hAnsi="Arial" w:cs="Arial"/>
        </w:rPr>
      </w:pPr>
    </w:p>
    <w:p w14:paraId="040B6F0C" w14:textId="77777777" w:rsidR="00D62A4F" w:rsidRDefault="00D62A4F" w:rsidP="00D62A4F">
      <w:pPr>
        <w:pStyle w:val="Questionstyle"/>
        <w:numPr>
          <w:ilvl w:val="0"/>
          <w:numId w:val="9"/>
        </w:numPr>
        <w:spacing w:after="250" w:line="276" w:lineRule="auto"/>
      </w:pPr>
      <w:r>
        <w:t xml:space="preserve">: </w:t>
      </w:r>
      <w:r w:rsidRPr="00F11691">
        <w:t>Do TRs require additional guidance in relation to how reports submitted by the entities mentioned in Article 2(2) and (3) of SFTR should be treated and the relevant procedures to follow? If so please confirm where further guidance is required.</w:t>
      </w:r>
    </w:p>
    <w:p w14:paraId="45AFDD7A" w14:textId="77777777" w:rsidR="00D62A4F" w:rsidRDefault="00D62A4F" w:rsidP="00D62A4F">
      <w:pPr>
        <w:rPr>
          <w:rFonts w:ascii="Arial" w:hAnsi="Arial" w:cs="Arial"/>
        </w:rPr>
      </w:pPr>
      <w:r>
        <w:rPr>
          <w:rFonts w:ascii="Arial" w:hAnsi="Arial" w:cs="Arial"/>
        </w:rPr>
        <w:t>&lt;ESMA_QUESTION_RSFTR_23&gt;</w:t>
      </w:r>
    </w:p>
    <w:p w14:paraId="06D05B0E" w14:textId="77777777" w:rsidR="00D62A4F" w:rsidRDefault="00D62A4F" w:rsidP="00D62A4F">
      <w:pPr>
        <w:rPr>
          <w:rFonts w:ascii="Arial" w:hAnsi="Arial" w:cs="Arial"/>
        </w:rPr>
      </w:pPr>
      <w:permStart w:id="1954160951" w:edGrp="everyone"/>
      <w:r>
        <w:rPr>
          <w:rFonts w:ascii="Arial" w:hAnsi="Arial" w:cs="Arial"/>
        </w:rPr>
        <w:t>TYPE YOUR TEXT HERE</w:t>
      </w:r>
    </w:p>
    <w:permEnd w:id="1954160951"/>
    <w:p w14:paraId="0241D160" w14:textId="77777777" w:rsidR="00D62A4F" w:rsidRDefault="00D62A4F" w:rsidP="00D62A4F">
      <w:pPr>
        <w:rPr>
          <w:rFonts w:ascii="Arial" w:hAnsi="Arial" w:cs="Arial"/>
        </w:rPr>
      </w:pPr>
      <w:r>
        <w:rPr>
          <w:rFonts w:ascii="Arial" w:hAnsi="Arial" w:cs="Arial"/>
        </w:rPr>
        <w:t>&lt;ESMA_QUESTION_RSFTR_23&gt;</w:t>
      </w:r>
    </w:p>
    <w:p w14:paraId="320A0693" w14:textId="77777777" w:rsidR="00D62A4F" w:rsidRDefault="00D62A4F" w:rsidP="00D62A4F">
      <w:pPr>
        <w:rPr>
          <w:rFonts w:ascii="Arial" w:hAnsi="Arial" w:cs="Arial"/>
        </w:rPr>
      </w:pPr>
    </w:p>
    <w:p w14:paraId="45AAFFCF" w14:textId="77777777" w:rsidR="00D62A4F" w:rsidRDefault="00D62A4F" w:rsidP="00D62A4F">
      <w:pPr>
        <w:pStyle w:val="Questionstyle"/>
        <w:numPr>
          <w:ilvl w:val="0"/>
          <w:numId w:val="9"/>
        </w:numPr>
        <w:spacing w:after="250" w:line="276" w:lineRule="auto"/>
      </w:pPr>
      <w:r>
        <w:t xml:space="preserve">: </w:t>
      </w:r>
      <w:r w:rsidRPr="00F11691">
        <w:t>Do you agree with the proposed rules for reporting of field 1.17? Are there any other instances that would need to be clarified? Please detail the reasons for your answer.</w:t>
      </w:r>
    </w:p>
    <w:p w14:paraId="4C2480D7" w14:textId="77777777" w:rsidR="00D62A4F" w:rsidRDefault="00D62A4F" w:rsidP="00D62A4F">
      <w:pPr>
        <w:rPr>
          <w:rFonts w:ascii="Arial" w:hAnsi="Arial" w:cs="Arial"/>
        </w:rPr>
      </w:pPr>
      <w:r>
        <w:rPr>
          <w:rFonts w:ascii="Arial" w:hAnsi="Arial" w:cs="Arial"/>
        </w:rPr>
        <w:t>&lt;ESMA_QUESTION_RSFTR_24&gt;</w:t>
      </w:r>
    </w:p>
    <w:p w14:paraId="699E9826" w14:textId="5485F907" w:rsidR="00540184" w:rsidRPr="00800179" w:rsidRDefault="00540184" w:rsidP="00800179">
      <w:pPr>
        <w:rPr>
          <w:rFonts w:ascii="Arial" w:hAnsi="Arial" w:cs="Arial"/>
        </w:rPr>
      </w:pPr>
      <w:permStart w:id="89143369" w:edGrp="everyone"/>
      <w:r>
        <w:rPr>
          <w:rFonts w:ascii="Arial" w:hAnsi="Arial" w:cs="Arial"/>
        </w:rPr>
        <w:t>This field is however critical in the case of (voluntary) delegation of reporting since the information is not availbale for the reporting counterparty.</w:t>
      </w:r>
    </w:p>
    <w:permEnd w:id="89143369"/>
    <w:p w14:paraId="658F6A79" w14:textId="77777777" w:rsidR="00D62A4F" w:rsidRDefault="00D62A4F" w:rsidP="00D62A4F">
      <w:pPr>
        <w:rPr>
          <w:rFonts w:ascii="Arial" w:hAnsi="Arial" w:cs="Arial"/>
        </w:rPr>
      </w:pPr>
      <w:r>
        <w:rPr>
          <w:rFonts w:ascii="Arial" w:hAnsi="Arial" w:cs="Arial"/>
        </w:rPr>
        <w:t>&lt;ESMA_QUESTION_RSFTR_24&gt;</w:t>
      </w:r>
    </w:p>
    <w:p w14:paraId="49F4928D" w14:textId="77777777" w:rsidR="00D62A4F" w:rsidRDefault="00D62A4F" w:rsidP="00D62A4F">
      <w:pPr>
        <w:rPr>
          <w:rFonts w:ascii="Arial" w:hAnsi="Arial" w:cs="Arial"/>
        </w:rPr>
      </w:pPr>
    </w:p>
    <w:p w14:paraId="46A708F5" w14:textId="77777777" w:rsidR="00D62A4F" w:rsidRDefault="00D62A4F" w:rsidP="00D62A4F">
      <w:pPr>
        <w:pStyle w:val="Questionstyle"/>
        <w:numPr>
          <w:ilvl w:val="0"/>
          <w:numId w:val="9"/>
        </w:numPr>
        <w:spacing w:after="250" w:line="276" w:lineRule="auto"/>
      </w:pPr>
      <w:r>
        <w:lastRenderedPageBreak/>
        <w:t xml:space="preserve">: </w:t>
      </w:r>
      <w:r w:rsidRPr="00F11691">
        <w:t>Do you consider proposal A or proposal B to be the most efficient way to ensure that details of SFTs are reported accurately, and why? What would be the costs and benefits of each approach? Please detail the reasons for your response.</w:t>
      </w:r>
    </w:p>
    <w:p w14:paraId="110F81C3" w14:textId="77777777" w:rsidR="00D62A4F" w:rsidRDefault="00D62A4F" w:rsidP="00D62A4F">
      <w:pPr>
        <w:rPr>
          <w:rFonts w:ascii="Arial" w:hAnsi="Arial" w:cs="Arial"/>
        </w:rPr>
      </w:pPr>
      <w:r>
        <w:rPr>
          <w:rFonts w:ascii="Arial" w:hAnsi="Arial" w:cs="Arial"/>
        </w:rPr>
        <w:t>&lt;ESMA_QUESTION_RSFTR_25&gt;</w:t>
      </w:r>
    </w:p>
    <w:p w14:paraId="7277DED1" w14:textId="77777777" w:rsidR="00800179" w:rsidRPr="00206B40" w:rsidRDefault="00800179" w:rsidP="00800179">
      <w:pPr>
        <w:rPr>
          <w:rFonts w:ascii="Arial" w:hAnsi="Arial" w:cs="Arial"/>
          <w:sz w:val="22"/>
          <w:szCs w:val="22"/>
        </w:rPr>
      </w:pPr>
      <w:permStart w:id="162426900" w:edGrp="everyone"/>
      <w:r w:rsidRPr="00206B40">
        <w:rPr>
          <w:rFonts w:ascii="Arial" w:hAnsi="Arial" w:cs="Arial"/>
          <w:sz w:val="22"/>
          <w:szCs w:val="22"/>
        </w:rPr>
        <w:t xml:space="preserve">Proposal A is preferred. </w:t>
      </w:r>
    </w:p>
    <w:p w14:paraId="7BABEC49" w14:textId="77777777" w:rsidR="00800179" w:rsidRPr="00206B40" w:rsidRDefault="00800179" w:rsidP="00800179">
      <w:pPr>
        <w:rPr>
          <w:rFonts w:ascii="Arial" w:hAnsi="Arial" w:cs="Arial"/>
          <w:sz w:val="22"/>
          <w:szCs w:val="22"/>
        </w:rPr>
      </w:pPr>
    </w:p>
    <w:p w14:paraId="0D94B02C" w14:textId="77777777" w:rsidR="00800179" w:rsidRPr="00206B40" w:rsidRDefault="00800179" w:rsidP="00800179">
      <w:pPr>
        <w:rPr>
          <w:rFonts w:ascii="Arial" w:hAnsi="Arial" w:cs="Arial"/>
          <w:sz w:val="22"/>
          <w:szCs w:val="22"/>
        </w:rPr>
      </w:pPr>
      <w:r w:rsidRPr="00206B40">
        <w:rPr>
          <w:rFonts w:ascii="Arial" w:hAnsi="Arial" w:cs="Arial"/>
          <w:sz w:val="22"/>
          <w:szCs w:val="22"/>
        </w:rPr>
        <w:t>From the technical point of view, it is much easier to report a snapshot of a SFT than a delta. A delta would imply, that each reporting field needs to be checked for changes which again requires much more computing effort. Furthermore, does the reporting of a snapshot provide a full picture of the SFT, which can be used as proof, that the fields which not have been altered is still correctly reported.</w:t>
      </w:r>
    </w:p>
    <w:p w14:paraId="66BF6236" w14:textId="77777777" w:rsidR="00540184" w:rsidRPr="00206B40" w:rsidRDefault="00540184" w:rsidP="00800179">
      <w:pPr>
        <w:rPr>
          <w:rFonts w:ascii="Arial" w:hAnsi="Arial" w:cs="Arial"/>
          <w:sz w:val="22"/>
          <w:szCs w:val="22"/>
        </w:rPr>
      </w:pPr>
    </w:p>
    <w:p w14:paraId="5AE9B468" w14:textId="3BFE3B24" w:rsidR="00540184" w:rsidRPr="00206B40" w:rsidRDefault="00E72D27" w:rsidP="00800179">
      <w:pPr>
        <w:rPr>
          <w:rFonts w:ascii="Arial" w:hAnsi="Arial" w:cs="Arial"/>
          <w:sz w:val="22"/>
          <w:szCs w:val="22"/>
        </w:rPr>
      </w:pPr>
      <w:r w:rsidRPr="00206B40">
        <w:rPr>
          <w:rFonts w:ascii="Arial" w:hAnsi="Arial" w:cs="Arial"/>
          <w:sz w:val="22"/>
          <w:szCs w:val="22"/>
        </w:rPr>
        <w:t>Hence, p</w:t>
      </w:r>
      <w:r w:rsidR="00540184" w:rsidRPr="00206B40">
        <w:rPr>
          <w:rFonts w:ascii="Arial" w:hAnsi="Arial" w:cs="Arial"/>
          <w:sz w:val="22"/>
          <w:szCs w:val="22"/>
        </w:rPr>
        <w:t>roposal A should be easier and cheaper (no need for technical comparison of data, less manual effort), nevertheless the need for data capture is higher.</w:t>
      </w:r>
    </w:p>
    <w:p w14:paraId="0AB7F06C" w14:textId="77777777" w:rsidR="00767233" w:rsidRPr="00206B40" w:rsidRDefault="00767233" w:rsidP="00800179">
      <w:pPr>
        <w:rPr>
          <w:rFonts w:ascii="Arial" w:hAnsi="Arial" w:cs="Arial"/>
          <w:sz w:val="22"/>
          <w:szCs w:val="22"/>
        </w:rPr>
      </w:pPr>
    </w:p>
    <w:p w14:paraId="4D1F1BD9" w14:textId="775806C9" w:rsidR="00767233" w:rsidRPr="00206B40" w:rsidRDefault="00E72D27" w:rsidP="00800179">
      <w:pPr>
        <w:rPr>
          <w:rFonts w:ascii="Arial" w:hAnsi="Arial" w:cs="Arial"/>
          <w:sz w:val="22"/>
          <w:szCs w:val="22"/>
        </w:rPr>
      </w:pPr>
      <w:r w:rsidRPr="00206B40">
        <w:rPr>
          <w:rFonts w:ascii="Arial" w:hAnsi="Arial" w:cs="Arial"/>
          <w:sz w:val="22"/>
          <w:szCs w:val="22"/>
        </w:rPr>
        <w:t>An e</w:t>
      </w:r>
      <w:r w:rsidR="00767233" w:rsidRPr="00206B40">
        <w:rPr>
          <w:rFonts w:ascii="Arial" w:hAnsi="Arial" w:cs="Arial"/>
          <w:sz w:val="22"/>
          <w:szCs w:val="22"/>
        </w:rPr>
        <w:t>xplicit clarification is requested on what message type to report for the close-out of an open-ended trade or the amendment of the end-date on an already closed or term-dated trade. Is ETRM reserved for the case of a complete counterparty default and MODI for all other lifecycle event such as close-out of open-ended repo and change to the end-date of a term repo?</w:t>
      </w:r>
    </w:p>
    <w:permEnd w:id="162426900"/>
    <w:p w14:paraId="4B151F75" w14:textId="77777777" w:rsidR="00D62A4F" w:rsidRDefault="00D62A4F" w:rsidP="00D62A4F">
      <w:pPr>
        <w:rPr>
          <w:rFonts w:ascii="Arial" w:hAnsi="Arial" w:cs="Arial"/>
        </w:rPr>
      </w:pPr>
      <w:r>
        <w:rPr>
          <w:rFonts w:ascii="Arial" w:hAnsi="Arial" w:cs="Arial"/>
        </w:rPr>
        <w:t>&lt;ESMA_QUESTION_RSFTR_25&gt;</w:t>
      </w:r>
    </w:p>
    <w:p w14:paraId="04649FF4" w14:textId="77777777" w:rsidR="00D62A4F" w:rsidRDefault="00D62A4F" w:rsidP="00D62A4F">
      <w:pPr>
        <w:rPr>
          <w:rFonts w:ascii="Arial" w:hAnsi="Arial" w:cs="Arial"/>
        </w:rPr>
      </w:pPr>
    </w:p>
    <w:p w14:paraId="2358FBF4" w14:textId="77777777" w:rsidR="00D62A4F" w:rsidRDefault="00D62A4F" w:rsidP="00D62A4F">
      <w:pPr>
        <w:pStyle w:val="Questionstyle"/>
        <w:numPr>
          <w:ilvl w:val="0"/>
          <w:numId w:val="9"/>
        </w:numPr>
        <w:spacing w:after="250" w:line="276" w:lineRule="auto"/>
      </w:pPr>
      <w:r>
        <w:t xml:space="preserve">: </w:t>
      </w:r>
      <w:r w:rsidRPr="00F11691">
        <w:t>Do you agree with the sequences proposed? Please detail the reasons for your response.</w:t>
      </w:r>
    </w:p>
    <w:p w14:paraId="27C68ED7" w14:textId="77777777" w:rsidR="00D62A4F" w:rsidRDefault="00D62A4F" w:rsidP="00D62A4F">
      <w:pPr>
        <w:rPr>
          <w:rFonts w:ascii="Arial" w:hAnsi="Arial" w:cs="Arial"/>
        </w:rPr>
      </w:pPr>
      <w:r>
        <w:rPr>
          <w:rFonts w:ascii="Arial" w:hAnsi="Arial" w:cs="Arial"/>
        </w:rPr>
        <w:t>&lt;ESMA_QUESTION_RSFTR_26&gt;</w:t>
      </w:r>
    </w:p>
    <w:p w14:paraId="6AC495E9" w14:textId="60769C92" w:rsidR="00E72D27" w:rsidRPr="00206B40" w:rsidRDefault="00206B40" w:rsidP="00E72D27">
      <w:pPr>
        <w:rPr>
          <w:rFonts w:ascii="Arial" w:hAnsi="Arial" w:cs="Arial"/>
          <w:sz w:val="22"/>
          <w:szCs w:val="22"/>
        </w:rPr>
      </w:pPr>
      <w:bookmarkStart w:id="2" w:name="_Hlk11416121"/>
      <w:permStart w:id="721421322" w:edGrp="everyone"/>
      <w:r>
        <w:rPr>
          <w:rFonts w:ascii="Arial" w:hAnsi="Arial" w:cs="Arial"/>
          <w:sz w:val="22"/>
          <w:szCs w:val="22"/>
        </w:rPr>
        <w:t>We</w:t>
      </w:r>
      <w:r w:rsidR="00E72D27" w:rsidRPr="00206B40">
        <w:rPr>
          <w:rFonts w:ascii="Arial" w:hAnsi="Arial" w:cs="Arial"/>
          <w:sz w:val="22"/>
          <w:szCs w:val="22"/>
        </w:rPr>
        <w:t xml:space="preserve"> recognized that after a termination a collateral update is not possible. In practice it is possible to substitute a collateral during the time an evergreen trade is closed out but the maturity date is not reached. This action wouldn´t be reportable according to table 2 under section 5.11.3.. For this question please also refer to our answer in question 27. </w:t>
      </w:r>
    </w:p>
    <w:p w14:paraId="12B805B5" w14:textId="77777777" w:rsidR="00E72D27" w:rsidRPr="00206B40" w:rsidRDefault="00E72D27" w:rsidP="00E72D27">
      <w:pPr>
        <w:rPr>
          <w:rFonts w:ascii="Arial" w:hAnsi="Arial" w:cs="Arial"/>
          <w:sz w:val="22"/>
          <w:szCs w:val="22"/>
        </w:rPr>
      </w:pPr>
    </w:p>
    <w:p w14:paraId="18A6DC6B" w14:textId="77777777" w:rsidR="00800179" w:rsidRPr="00206B40" w:rsidRDefault="00800179" w:rsidP="00800179">
      <w:pPr>
        <w:rPr>
          <w:rFonts w:ascii="Arial" w:hAnsi="Arial" w:cs="Arial"/>
          <w:sz w:val="22"/>
          <w:szCs w:val="22"/>
        </w:rPr>
      </w:pPr>
      <w:r w:rsidRPr="00206B40">
        <w:rPr>
          <w:rFonts w:ascii="Arial" w:hAnsi="Arial" w:cs="Arial"/>
          <w:sz w:val="22"/>
          <w:szCs w:val="22"/>
        </w:rPr>
        <w:t xml:space="preserve">Table 2: </w:t>
      </w:r>
    </w:p>
    <w:p w14:paraId="5462A25A" w14:textId="77777777" w:rsidR="00800179" w:rsidRPr="00206B40" w:rsidRDefault="00800179" w:rsidP="00800179">
      <w:pPr>
        <w:rPr>
          <w:rFonts w:ascii="Arial" w:hAnsi="Arial" w:cs="Arial"/>
          <w:sz w:val="22"/>
          <w:szCs w:val="22"/>
        </w:rPr>
      </w:pPr>
    </w:p>
    <w:p w14:paraId="66FB3A59" w14:textId="77777777" w:rsidR="00800179" w:rsidRPr="00206B40" w:rsidRDefault="00800179" w:rsidP="00800179">
      <w:pPr>
        <w:rPr>
          <w:rFonts w:ascii="Arial" w:hAnsi="Arial" w:cs="Arial"/>
          <w:sz w:val="22"/>
          <w:szCs w:val="22"/>
        </w:rPr>
      </w:pPr>
      <w:r w:rsidRPr="00206B40">
        <w:rPr>
          <w:rFonts w:ascii="Arial" w:hAnsi="Arial" w:cs="Arial"/>
          <w:sz w:val="22"/>
          <w:szCs w:val="22"/>
        </w:rPr>
        <w:t xml:space="preserve">In case a full return is cancelled, the logic provided by ESMA would not support this scenario properly. The securities lending markets are quite often impacted by settlement fails. It happens from time to time that a full return of a securities lending transaction is agreed and booked rather than settling on contractual settlement date. </w:t>
      </w:r>
    </w:p>
    <w:p w14:paraId="4EFA5880" w14:textId="77777777" w:rsidR="00800179" w:rsidRPr="00206B40" w:rsidRDefault="00800179" w:rsidP="00800179">
      <w:pPr>
        <w:rPr>
          <w:rFonts w:ascii="Arial" w:hAnsi="Arial" w:cs="Arial"/>
          <w:sz w:val="22"/>
          <w:szCs w:val="22"/>
        </w:rPr>
      </w:pPr>
    </w:p>
    <w:p w14:paraId="7521FD1D" w14:textId="77777777" w:rsidR="00800179" w:rsidRPr="00206B40" w:rsidRDefault="00800179" w:rsidP="00800179">
      <w:pPr>
        <w:rPr>
          <w:rFonts w:ascii="Arial" w:hAnsi="Arial" w:cs="Arial"/>
          <w:sz w:val="22"/>
          <w:szCs w:val="22"/>
        </w:rPr>
      </w:pPr>
      <w:r w:rsidRPr="00206B40">
        <w:rPr>
          <w:rFonts w:ascii="Arial" w:hAnsi="Arial" w:cs="Arial"/>
          <w:sz w:val="22"/>
          <w:szCs w:val="22"/>
        </w:rPr>
        <w:t xml:space="preserve">If a full return (following a termination) is not settling as expected, such could result in a cancellation of the termination / return, subject to an additional agreement between the counterparties. Motive might be that the borrower requires the loaned security again or struggles having the borrowed securities available for their return to the lender. The latter cannot be anticipated. </w:t>
      </w:r>
    </w:p>
    <w:p w14:paraId="33F840D7" w14:textId="77777777" w:rsidR="00800179" w:rsidRPr="00206B40" w:rsidRDefault="00800179" w:rsidP="00800179">
      <w:pPr>
        <w:rPr>
          <w:rFonts w:ascii="Arial" w:hAnsi="Arial" w:cs="Arial"/>
          <w:sz w:val="22"/>
          <w:szCs w:val="22"/>
        </w:rPr>
      </w:pPr>
    </w:p>
    <w:p w14:paraId="55DC42F5" w14:textId="52E227EA" w:rsidR="00800179" w:rsidRPr="00206B40" w:rsidRDefault="00800179" w:rsidP="00800179">
      <w:pPr>
        <w:rPr>
          <w:rFonts w:ascii="Arial" w:hAnsi="Arial" w:cs="Arial"/>
          <w:sz w:val="22"/>
          <w:szCs w:val="22"/>
        </w:rPr>
      </w:pPr>
      <w:r w:rsidRPr="00206B40">
        <w:rPr>
          <w:rFonts w:ascii="Arial" w:hAnsi="Arial" w:cs="Arial"/>
          <w:sz w:val="22"/>
          <w:szCs w:val="22"/>
        </w:rPr>
        <w:t xml:space="preserve">It would be our understanding that the termination of the SLB itself would be reported as ETRM. The cancellation of the termination would lead to the circumstance that the position is being reopened triggering a sequence of ETRM </w:t>
      </w:r>
      <w:r w:rsidRPr="00206B40">
        <w:rPr>
          <w:rFonts w:ascii="Arial" w:hAnsi="Arial" w:cs="Arial"/>
          <w:sz w:val="22"/>
          <w:szCs w:val="22"/>
        </w:rPr>
        <w:sym w:font="Wingdings" w:char="F0E0"/>
      </w:r>
      <w:r w:rsidRPr="00206B40">
        <w:rPr>
          <w:rFonts w:ascii="Arial" w:hAnsi="Arial" w:cs="Arial"/>
          <w:sz w:val="22"/>
          <w:szCs w:val="22"/>
        </w:rPr>
        <w:t xml:space="preserve"> MODI.</w:t>
      </w:r>
    </w:p>
    <w:p w14:paraId="49222D86" w14:textId="5806BC49" w:rsidR="00891D4C" w:rsidRPr="00206B40" w:rsidRDefault="00891D4C" w:rsidP="00800179">
      <w:pPr>
        <w:rPr>
          <w:rFonts w:ascii="Arial" w:hAnsi="Arial" w:cs="Arial"/>
          <w:sz w:val="22"/>
          <w:szCs w:val="22"/>
        </w:rPr>
      </w:pPr>
    </w:p>
    <w:p w14:paraId="701CDE19" w14:textId="79E16806" w:rsidR="00326CD2" w:rsidRPr="00957D18" w:rsidRDefault="00326CD2" w:rsidP="00326CD2">
      <w:pPr>
        <w:rPr>
          <w:rFonts w:ascii="Arial" w:hAnsi="Arial" w:cs="Arial"/>
          <w:sz w:val="22"/>
          <w:szCs w:val="22"/>
          <w:lang w:val="en-US"/>
        </w:rPr>
      </w:pPr>
      <w:r w:rsidRPr="00957D18">
        <w:rPr>
          <w:rFonts w:ascii="Arial" w:hAnsi="Arial" w:cs="Arial"/>
          <w:sz w:val="22"/>
          <w:szCs w:val="22"/>
          <w:lang w:val="en-US"/>
        </w:rPr>
        <w:t>On open repos, we expect the closing of the trade to report as MODI. In case the trade is re-opened again on the Value Date of the closing, we expect this to be reported as MODI, too. Please find an example</w:t>
      </w:r>
      <w:r w:rsidR="00124AE4">
        <w:rPr>
          <w:rFonts w:ascii="Arial" w:hAnsi="Arial" w:cs="Arial"/>
          <w:sz w:val="22"/>
          <w:szCs w:val="22"/>
          <w:lang w:val="en-US"/>
        </w:rPr>
        <w:t xml:space="preserve"> (Excel file “20190722_SFTR_Bsp_Question 26”)</w:t>
      </w:r>
      <w:r w:rsidRPr="00957D18">
        <w:rPr>
          <w:rFonts w:ascii="Arial" w:hAnsi="Arial" w:cs="Arial"/>
          <w:sz w:val="22"/>
          <w:szCs w:val="22"/>
          <w:lang w:val="en-US"/>
        </w:rPr>
        <w:t xml:space="preserve"> of the reporting attached to this response form. Could ESMA confirm, that</w:t>
      </w:r>
    </w:p>
    <w:p w14:paraId="1E814FB5" w14:textId="77777777" w:rsidR="00326CD2" w:rsidRPr="00957D18" w:rsidRDefault="00326CD2" w:rsidP="00326CD2">
      <w:pPr>
        <w:rPr>
          <w:rFonts w:ascii="Arial" w:hAnsi="Arial" w:cs="Arial"/>
          <w:sz w:val="22"/>
          <w:szCs w:val="22"/>
          <w:lang w:val="en-US"/>
        </w:rPr>
      </w:pPr>
      <w:r w:rsidRPr="00957D18">
        <w:rPr>
          <w:rFonts w:ascii="Arial" w:hAnsi="Arial" w:cs="Arial"/>
          <w:sz w:val="22"/>
          <w:szCs w:val="22"/>
          <w:lang w:val="en-US"/>
        </w:rPr>
        <w:lastRenderedPageBreak/>
        <w:t>-the termination has to be reported on the day following the Event date</w:t>
      </w:r>
    </w:p>
    <w:p w14:paraId="61DB9883" w14:textId="77777777" w:rsidR="00326CD2" w:rsidRPr="00957D18" w:rsidRDefault="00326CD2" w:rsidP="00326CD2">
      <w:pPr>
        <w:rPr>
          <w:rFonts w:ascii="Arial" w:hAnsi="Arial" w:cs="Arial"/>
          <w:sz w:val="22"/>
          <w:szCs w:val="22"/>
          <w:lang w:val="en-US"/>
        </w:rPr>
      </w:pPr>
      <w:r w:rsidRPr="00957D18">
        <w:rPr>
          <w:rFonts w:ascii="Arial" w:hAnsi="Arial" w:cs="Arial"/>
          <w:sz w:val="22"/>
          <w:szCs w:val="22"/>
          <w:lang w:val="en-US"/>
        </w:rPr>
        <w:t>-the cancellation of the termination has to be reported on the day following the Event date</w:t>
      </w:r>
    </w:p>
    <w:p w14:paraId="4076B78D" w14:textId="77777777" w:rsidR="00326CD2" w:rsidRPr="00957D18" w:rsidRDefault="00326CD2" w:rsidP="00326CD2">
      <w:pPr>
        <w:rPr>
          <w:rFonts w:ascii="Arial" w:hAnsi="Arial" w:cs="Arial"/>
          <w:sz w:val="22"/>
          <w:szCs w:val="22"/>
          <w:lang w:val="en-US"/>
        </w:rPr>
      </w:pPr>
      <w:r w:rsidRPr="00957D18">
        <w:rPr>
          <w:rFonts w:ascii="Arial" w:hAnsi="Arial" w:cs="Arial"/>
          <w:sz w:val="22"/>
          <w:szCs w:val="22"/>
          <w:lang w:val="en-US"/>
        </w:rPr>
        <w:t xml:space="preserve">-the minimum notice period is the same as it was before the trade was terminated </w:t>
      </w:r>
    </w:p>
    <w:p w14:paraId="256C6D86" w14:textId="77777777" w:rsidR="00326CD2" w:rsidRPr="00957D18" w:rsidRDefault="00326CD2" w:rsidP="00326CD2">
      <w:pPr>
        <w:rPr>
          <w:rFonts w:ascii="Arial" w:hAnsi="Arial" w:cs="Arial"/>
          <w:sz w:val="22"/>
          <w:szCs w:val="22"/>
          <w:lang w:val="en-US"/>
        </w:rPr>
      </w:pPr>
      <w:r w:rsidRPr="00957D18">
        <w:rPr>
          <w:rFonts w:ascii="Arial" w:hAnsi="Arial" w:cs="Arial"/>
          <w:sz w:val="22"/>
          <w:szCs w:val="22"/>
          <w:lang w:val="en-US"/>
        </w:rPr>
        <w:t>-the UTI remains unchanged for this trade</w:t>
      </w:r>
    </w:p>
    <w:p w14:paraId="4FC93D24" w14:textId="77777777" w:rsidR="004D16F1" w:rsidRPr="00206B40" w:rsidRDefault="004D16F1" w:rsidP="00800179">
      <w:pPr>
        <w:rPr>
          <w:rFonts w:ascii="Arial" w:hAnsi="Arial" w:cs="Arial"/>
          <w:sz w:val="22"/>
          <w:szCs w:val="22"/>
          <w:lang w:val="en-US"/>
        </w:rPr>
      </w:pPr>
    </w:p>
    <w:p w14:paraId="1EDBD3C0" w14:textId="77777777" w:rsidR="00800179" w:rsidRPr="00206B40" w:rsidRDefault="00800179" w:rsidP="00800179">
      <w:pPr>
        <w:rPr>
          <w:rFonts w:ascii="Arial" w:hAnsi="Arial" w:cs="Arial"/>
          <w:sz w:val="22"/>
          <w:szCs w:val="22"/>
        </w:rPr>
      </w:pPr>
      <w:r w:rsidRPr="00206B40">
        <w:rPr>
          <w:rFonts w:ascii="Arial" w:hAnsi="Arial" w:cs="Arial"/>
          <w:sz w:val="22"/>
          <w:szCs w:val="22"/>
        </w:rPr>
        <w:t xml:space="preserve">Booking a new trade instead would not make sense in an operational manner as no settlement would be required for such trade. Further a linkage between the old trade and the new trade must be implemented front-to-back in order to understand, why a trade was closed and a new trade was opened without a settlement. This would cause additional burden on the reporting counterparties. </w:t>
      </w:r>
    </w:p>
    <w:p w14:paraId="72573CD8" w14:textId="77777777" w:rsidR="00800179" w:rsidRPr="00206B40" w:rsidRDefault="00800179" w:rsidP="00800179">
      <w:pPr>
        <w:rPr>
          <w:rFonts w:ascii="Arial" w:hAnsi="Arial" w:cs="Arial"/>
          <w:sz w:val="22"/>
          <w:szCs w:val="22"/>
        </w:rPr>
      </w:pPr>
    </w:p>
    <w:p w14:paraId="17C63158" w14:textId="77777777" w:rsidR="00800179" w:rsidRPr="00206B40" w:rsidRDefault="00800179" w:rsidP="00800179">
      <w:pPr>
        <w:rPr>
          <w:rFonts w:ascii="Arial" w:hAnsi="Arial" w:cs="Arial"/>
          <w:sz w:val="22"/>
          <w:szCs w:val="22"/>
        </w:rPr>
      </w:pPr>
      <w:r w:rsidRPr="00206B40">
        <w:rPr>
          <w:rFonts w:ascii="Arial" w:hAnsi="Arial" w:cs="Arial"/>
          <w:sz w:val="22"/>
          <w:szCs w:val="22"/>
        </w:rPr>
        <w:t xml:space="preserve">The only sequence allowed by ESMA would be CORR after an ETRM. This however would not reflect properly the economic reason behind the cancellation, as ESMA defines a CORR as “erroneous data field”. </w:t>
      </w:r>
    </w:p>
    <w:p w14:paraId="295FAEA6" w14:textId="77777777" w:rsidR="00800179" w:rsidRPr="00206B40" w:rsidRDefault="00800179" w:rsidP="00800179">
      <w:pPr>
        <w:rPr>
          <w:rFonts w:ascii="Arial" w:hAnsi="Arial" w:cs="Arial"/>
          <w:sz w:val="22"/>
          <w:szCs w:val="22"/>
        </w:rPr>
      </w:pPr>
    </w:p>
    <w:p w14:paraId="4E43AACC" w14:textId="6FCFAFA5" w:rsidR="007A74FB" w:rsidRPr="00206B40" w:rsidRDefault="00800179" w:rsidP="00800179">
      <w:pPr>
        <w:rPr>
          <w:rFonts w:ascii="Arial" w:hAnsi="Arial" w:cs="Arial"/>
          <w:sz w:val="22"/>
          <w:szCs w:val="22"/>
        </w:rPr>
      </w:pPr>
      <w:r w:rsidRPr="00206B40">
        <w:rPr>
          <w:rFonts w:ascii="Arial" w:hAnsi="Arial" w:cs="Arial"/>
          <w:sz w:val="22"/>
          <w:szCs w:val="22"/>
        </w:rPr>
        <w:t>For the reasons provided ESMA should allow the following sequence: MODI after ETRM, to correctly depict the situation of an agreed cancellation of a full return.</w:t>
      </w:r>
    </w:p>
    <w:bookmarkEnd w:id="2"/>
    <w:permEnd w:id="721421322"/>
    <w:p w14:paraId="6EC920F9" w14:textId="77777777" w:rsidR="00D62A4F" w:rsidRDefault="00D62A4F" w:rsidP="00D62A4F">
      <w:pPr>
        <w:rPr>
          <w:rFonts w:ascii="Arial" w:hAnsi="Arial" w:cs="Arial"/>
        </w:rPr>
      </w:pPr>
      <w:r>
        <w:rPr>
          <w:rFonts w:ascii="Arial" w:hAnsi="Arial" w:cs="Arial"/>
        </w:rPr>
        <w:t>&lt;ESMA_QUESTION_RSFTR_26&gt;</w:t>
      </w:r>
    </w:p>
    <w:p w14:paraId="3502D636" w14:textId="77777777" w:rsidR="00D62A4F" w:rsidRDefault="00D62A4F" w:rsidP="00D62A4F">
      <w:pPr>
        <w:rPr>
          <w:rFonts w:ascii="Arial" w:hAnsi="Arial" w:cs="Arial"/>
        </w:rPr>
      </w:pPr>
    </w:p>
    <w:p w14:paraId="48E0A2DE" w14:textId="77777777" w:rsidR="00D62A4F" w:rsidRDefault="00D62A4F" w:rsidP="00D62A4F">
      <w:pPr>
        <w:pStyle w:val="Questionstyle"/>
        <w:numPr>
          <w:ilvl w:val="0"/>
          <w:numId w:val="9"/>
        </w:numPr>
        <w:spacing w:after="250" w:line="276" w:lineRule="auto"/>
      </w:pPr>
      <w:r>
        <w:t xml:space="preserve">: </w:t>
      </w:r>
      <w:r w:rsidRPr="00F11691">
        <w:t>Do you agree with the proposed mapping between business events and action types? Are there any additional business events that should be included? Please detail the reasons for your answer.</w:t>
      </w:r>
    </w:p>
    <w:p w14:paraId="6CD502E6" w14:textId="77777777" w:rsidR="00D62A4F" w:rsidRDefault="00D62A4F" w:rsidP="00D62A4F">
      <w:pPr>
        <w:rPr>
          <w:rFonts w:ascii="Arial" w:hAnsi="Arial" w:cs="Arial"/>
        </w:rPr>
      </w:pPr>
      <w:r>
        <w:rPr>
          <w:rFonts w:ascii="Arial" w:hAnsi="Arial" w:cs="Arial"/>
        </w:rPr>
        <w:t>&lt;ESMA_QUESTION_RSFTR_27&gt;</w:t>
      </w:r>
    </w:p>
    <w:p w14:paraId="5B868456" w14:textId="16FDDF3B" w:rsidR="00F0041E" w:rsidRPr="00206B40" w:rsidRDefault="00F0041E" w:rsidP="00F0041E">
      <w:pPr>
        <w:rPr>
          <w:rFonts w:ascii="Arial" w:hAnsi="Arial" w:cs="Arial"/>
          <w:sz w:val="22"/>
          <w:szCs w:val="22"/>
        </w:rPr>
      </w:pPr>
      <w:permStart w:id="1699372560" w:edGrp="everyone"/>
      <w:r w:rsidRPr="00206B40">
        <w:rPr>
          <w:rFonts w:ascii="Arial" w:hAnsi="Arial" w:cs="Arial"/>
          <w:sz w:val="22"/>
          <w:szCs w:val="22"/>
        </w:rPr>
        <w:t>The action type MODI seems not to be appropriate according to the booking of tickets (market standard). E.g. a partial close out of an open trade is booked as termination and new. The guidelines expect a MODI.</w:t>
      </w:r>
    </w:p>
    <w:p w14:paraId="528FD14D" w14:textId="77777777" w:rsidR="00F0041E" w:rsidRPr="00206B40" w:rsidRDefault="00F0041E" w:rsidP="00F0041E">
      <w:pPr>
        <w:rPr>
          <w:rFonts w:ascii="Arial" w:hAnsi="Arial" w:cs="Arial"/>
          <w:sz w:val="22"/>
          <w:szCs w:val="22"/>
        </w:rPr>
      </w:pPr>
    </w:p>
    <w:p w14:paraId="081B7970" w14:textId="77777777" w:rsidR="00800179" w:rsidRPr="00206B40" w:rsidRDefault="00800179" w:rsidP="00800179">
      <w:pPr>
        <w:rPr>
          <w:rFonts w:ascii="Arial" w:hAnsi="Arial" w:cs="Arial"/>
          <w:sz w:val="22"/>
          <w:szCs w:val="22"/>
        </w:rPr>
      </w:pPr>
      <w:r w:rsidRPr="00206B40">
        <w:rPr>
          <w:rFonts w:ascii="Arial" w:hAnsi="Arial" w:cs="Arial"/>
          <w:sz w:val="22"/>
          <w:szCs w:val="22"/>
        </w:rPr>
        <w:t>As a general remark:</w:t>
      </w:r>
    </w:p>
    <w:p w14:paraId="210E7669" w14:textId="77777777" w:rsidR="00800179" w:rsidRPr="00206B40" w:rsidRDefault="00800179" w:rsidP="00800179">
      <w:pPr>
        <w:rPr>
          <w:rFonts w:ascii="Arial" w:hAnsi="Arial" w:cs="Arial"/>
          <w:sz w:val="22"/>
          <w:szCs w:val="22"/>
        </w:rPr>
      </w:pPr>
    </w:p>
    <w:p w14:paraId="42E160E1" w14:textId="77777777" w:rsidR="00800179" w:rsidRPr="00206B40" w:rsidRDefault="00800179" w:rsidP="00800179">
      <w:pPr>
        <w:rPr>
          <w:rFonts w:ascii="Arial" w:hAnsi="Arial" w:cs="Arial"/>
          <w:sz w:val="22"/>
          <w:szCs w:val="22"/>
        </w:rPr>
      </w:pPr>
      <w:r w:rsidRPr="00206B40">
        <w:rPr>
          <w:rFonts w:ascii="Arial" w:hAnsi="Arial" w:cs="Arial"/>
          <w:sz w:val="22"/>
          <w:szCs w:val="22"/>
        </w:rPr>
        <w:t xml:space="preserve">The contractual settlement date is electronically booked. In order to correctly reflect the agreed value/ settlement date, this date is not altered following settlement fails. The contractually agreed date can be </w:t>
      </w:r>
      <w:hyperlink r:id="rId22" w:tooltip="frequency: 3112" w:history="1">
        <w:r w:rsidRPr="00206B40">
          <w:rPr>
            <w:rStyle w:val="Hyperlink"/>
            <w:rFonts w:ascii="Arial" w:hAnsi="Arial" w:cs="Arial"/>
            <w:color w:val="auto"/>
            <w:sz w:val="22"/>
            <w:szCs w:val="22"/>
            <w:u w:val="none"/>
          </w:rPr>
          <w:t>decisive</w:t>
        </w:r>
      </w:hyperlink>
      <w:r w:rsidRPr="00206B40">
        <w:rPr>
          <w:rFonts w:ascii="Arial" w:hAnsi="Arial" w:cs="Arial"/>
          <w:sz w:val="22"/>
          <w:szCs w:val="22"/>
        </w:rPr>
        <w:t xml:space="preserve"> for any indemnity payment due to delayed delivery. </w:t>
      </w:r>
    </w:p>
    <w:p w14:paraId="5B4E5D32" w14:textId="77777777" w:rsidR="00800179" w:rsidRPr="00206B40" w:rsidRDefault="00800179" w:rsidP="00800179">
      <w:pPr>
        <w:rPr>
          <w:rFonts w:ascii="Arial" w:hAnsi="Arial" w:cs="Arial"/>
          <w:sz w:val="22"/>
          <w:szCs w:val="22"/>
        </w:rPr>
      </w:pPr>
    </w:p>
    <w:p w14:paraId="5A54B48B" w14:textId="77777777" w:rsidR="00800179" w:rsidRPr="00206B40" w:rsidRDefault="00800179" w:rsidP="00800179">
      <w:pPr>
        <w:numPr>
          <w:ilvl w:val="0"/>
          <w:numId w:val="19"/>
        </w:numPr>
        <w:rPr>
          <w:rFonts w:ascii="Arial" w:hAnsi="Arial" w:cs="Arial"/>
          <w:sz w:val="22"/>
          <w:szCs w:val="22"/>
        </w:rPr>
      </w:pPr>
      <w:r w:rsidRPr="00206B40">
        <w:rPr>
          <w:rFonts w:ascii="Arial" w:hAnsi="Arial" w:cs="Arial"/>
          <w:sz w:val="22"/>
          <w:szCs w:val="22"/>
        </w:rPr>
        <w:t xml:space="preserve">Business Event - Extension Repo --&gt; Reportable action type: MODI </w:t>
      </w:r>
    </w:p>
    <w:p w14:paraId="7E9F158E" w14:textId="77777777" w:rsidR="00800179" w:rsidRPr="00206B40" w:rsidRDefault="00800179" w:rsidP="00800179">
      <w:pPr>
        <w:rPr>
          <w:rFonts w:ascii="Arial" w:hAnsi="Arial" w:cs="Arial"/>
          <w:sz w:val="22"/>
          <w:szCs w:val="22"/>
        </w:rPr>
      </w:pPr>
    </w:p>
    <w:p w14:paraId="380AD95B" w14:textId="77777777" w:rsidR="00800179" w:rsidRPr="00206B40" w:rsidRDefault="00800179" w:rsidP="00800179">
      <w:pPr>
        <w:rPr>
          <w:rFonts w:ascii="Arial" w:hAnsi="Arial" w:cs="Arial"/>
          <w:sz w:val="22"/>
          <w:szCs w:val="22"/>
        </w:rPr>
      </w:pPr>
      <w:r w:rsidRPr="00206B40">
        <w:rPr>
          <w:rFonts w:ascii="Arial" w:hAnsi="Arial" w:cs="Arial"/>
          <w:sz w:val="22"/>
          <w:szCs w:val="22"/>
        </w:rPr>
        <w:t xml:space="preserve">When a repo is extended NOT in the sense of an evergreen or an extendable repo, in practice the deal is booked as a new deal. </w:t>
      </w:r>
    </w:p>
    <w:p w14:paraId="134139C6" w14:textId="77777777" w:rsidR="00800179" w:rsidRPr="00206B40" w:rsidRDefault="00800179" w:rsidP="00800179">
      <w:pPr>
        <w:rPr>
          <w:rFonts w:ascii="Arial" w:hAnsi="Arial" w:cs="Arial"/>
          <w:sz w:val="22"/>
          <w:szCs w:val="22"/>
        </w:rPr>
      </w:pPr>
    </w:p>
    <w:p w14:paraId="48521FDF" w14:textId="77777777" w:rsidR="00800179" w:rsidRPr="00206B40" w:rsidRDefault="00800179" w:rsidP="00800179">
      <w:pPr>
        <w:rPr>
          <w:rFonts w:ascii="Arial" w:hAnsi="Arial" w:cs="Arial"/>
          <w:sz w:val="22"/>
          <w:szCs w:val="22"/>
        </w:rPr>
      </w:pPr>
      <w:r w:rsidRPr="00206B40">
        <w:rPr>
          <w:rFonts w:ascii="Arial" w:hAnsi="Arial" w:cs="Arial"/>
          <w:sz w:val="22"/>
          <w:szCs w:val="22"/>
        </w:rPr>
        <w:t xml:space="preserve">This goes along with ICMA’s interpretation of “Roll-overs into new transactions would be reported as new transactions (Action Type = NEWT)” </w:t>
      </w:r>
    </w:p>
    <w:p w14:paraId="119D77AB" w14:textId="77777777" w:rsidR="00800179" w:rsidRPr="00206B40" w:rsidRDefault="00800179" w:rsidP="00800179">
      <w:pPr>
        <w:rPr>
          <w:rFonts w:ascii="Arial" w:hAnsi="Arial" w:cs="Arial"/>
          <w:sz w:val="22"/>
          <w:szCs w:val="22"/>
        </w:rPr>
      </w:pPr>
    </w:p>
    <w:p w14:paraId="6104A3CD" w14:textId="77777777" w:rsidR="00800179" w:rsidRPr="00206B40" w:rsidRDefault="00800179" w:rsidP="00800179">
      <w:pPr>
        <w:rPr>
          <w:rFonts w:ascii="Arial" w:hAnsi="Arial" w:cs="Arial"/>
          <w:sz w:val="22"/>
          <w:szCs w:val="22"/>
        </w:rPr>
      </w:pPr>
      <w:r w:rsidRPr="00206B40">
        <w:rPr>
          <w:rFonts w:ascii="Arial" w:hAnsi="Arial" w:cs="Arial"/>
          <w:sz w:val="22"/>
          <w:szCs w:val="22"/>
        </w:rPr>
        <w:t>We suggest ESMA to change the rollover of a repo as reportable action type: NEWT as this would correctly reflect how the market works.</w:t>
      </w:r>
    </w:p>
    <w:p w14:paraId="3560FF30" w14:textId="77777777" w:rsidR="007C0C6D" w:rsidRPr="00206B40" w:rsidRDefault="007C0C6D" w:rsidP="00800179">
      <w:pPr>
        <w:rPr>
          <w:rFonts w:ascii="Arial" w:hAnsi="Arial" w:cs="Arial"/>
          <w:sz w:val="22"/>
          <w:szCs w:val="22"/>
        </w:rPr>
      </w:pPr>
    </w:p>
    <w:p w14:paraId="2739FCA3" w14:textId="769DD30D" w:rsidR="007C0C6D" w:rsidRPr="00206B40" w:rsidRDefault="007C0C6D" w:rsidP="00800179">
      <w:pPr>
        <w:rPr>
          <w:rFonts w:ascii="Arial" w:hAnsi="Arial" w:cs="Arial"/>
          <w:sz w:val="22"/>
          <w:szCs w:val="22"/>
        </w:rPr>
      </w:pPr>
    </w:p>
    <w:p w14:paraId="1F827260" w14:textId="03501479" w:rsidR="00767233" w:rsidRPr="00206B40" w:rsidRDefault="00767233" w:rsidP="00767233">
      <w:pPr>
        <w:rPr>
          <w:rFonts w:ascii="Arial" w:hAnsi="Arial" w:cs="Arial"/>
          <w:sz w:val="22"/>
          <w:szCs w:val="22"/>
        </w:rPr>
      </w:pPr>
      <w:r w:rsidRPr="00206B40">
        <w:rPr>
          <w:rFonts w:ascii="Arial" w:hAnsi="Arial" w:cs="Arial"/>
          <w:sz w:val="22"/>
          <w:szCs w:val="22"/>
        </w:rPr>
        <w:t>Does the regulator expect lifecycle events that do not affect exposure to be reported e.g variable Fee Price changes?</w:t>
      </w:r>
    </w:p>
    <w:p w14:paraId="0DE1041F" w14:textId="77777777" w:rsidR="00767233" w:rsidRPr="00800179" w:rsidRDefault="00767233" w:rsidP="00800179">
      <w:pPr>
        <w:rPr>
          <w:rFonts w:ascii="Arial" w:hAnsi="Arial" w:cs="Arial"/>
        </w:rPr>
      </w:pPr>
    </w:p>
    <w:permEnd w:id="1699372560"/>
    <w:p w14:paraId="3AFE6EE5" w14:textId="77777777" w:rsidR="00D62A4F" w:rsidRDefault="00D62A4F" w:rsidP="00D62A4F">
      <w:pPr>
        <w:rPr>
          <w:rFonts w:ascii="Arial" w:hAnsi="Arial" w:cs="Arial"/>
        </w:rPr>
      </w:pPr>
      <w:r>
        <w:rPr>
          <w:rFonts w:ascii="Arial" w:hAnsi="Arial" w:cs="Arial"/>
        </w:rPr>
        <w:t>&lt;ESMA_QUESTION_RSFTR_27&gt;</w:t>
      </w:r>
    </w:p>
    <w:p w14:paraId="4DF12A19" w14:textId="77777777" w:rsidR="00D62A4F" w:rsidRDefault="00D62A4F" w:rsidP="00D62A4F">
      <w:pPr>
        <w:rPr>
          <w:rFonts w:ascii="Arial" w:hAnsi="Arial" w:cs="Arial"/>
        </w:rPr>
      </w:pPr>
    </w:p>
    <w:p w14:paraId="37E8D1EE" w14:textId="77777777" w:rsidR="00D62A4F" w:rsidRDefault="00D62A4F" w:rsidP="00D62A4F">
      <w:pPr>
        <w:pStyle w:val="Questionstyle"/>
        <w:numPr>
          <w:ilvl w:val="0"/>
          <w:numId w:val="9"/>
        </w:numPr>
        <w:spacing w:after="250" w:line="276" w:lineRule="auto"/>
      </w:pPr>
      <w:r>
        <w:lastRenderedPageBreak/>
        <w:t xml:space="preserve">: </w:t>
      </w:r>
      <w:r w:rsidRPr="00F11691">
        <w:t>Are there any other relationships that would need to be defined? If so, please detail which ones.</w:t>
      </w:r>
    </w:p>
    <w:p w14:paraId="79CA70EC" w14:textId="77777777" w:rsidR="00D62A4F" w:rsidRDefault="00D62A4F" w:rsidP="00D62A4F">
      <w:pPr>
        <w:rPr>
          <w:rFonts w:ascii="Arial" w:hAnsi="Arial" w:cs="Arial"/>
        </w:rPr>
      </w:pPr>
      <w:r>
        <w:rPr>
          <w:rFonts w:ascii="Arial" w:hAnsi="Arial" w:cs="Arial"/>
        </w:rPr>
        <w:t>&lt;ESMA_QUESTION_RSFTR_28&gt;</w:t>
      </w:r>
    </w:p>
    <w:p w14:paraId="2DD43A77" w14:textId="21ED3D08" w:rsidR="007C0C6D" w:rsidRPr="00206B40" w:rsidRDefault="00F0041E" w:rsidP="00800179">
      <w:pPr>
        <w:rPr>
          <w:rFonts w:ascii="Arial" w:hAnsi="Arial" w:cs="Arial"/>
          <w:sz w:val="22"/>
          <w:szCs w:val="22"/>
        </w:rPr>
      </w:pPr>
      <w:permStart w:id="675747545" w:edGrp="everyone"/>
      <w:r w:rsidRPr="00206B40">
        <w:rPr>
          <w:rFonts w:ascii="Arial" w:hAnsi="Arial" w:cs="Arial"/>
          <w:sz w:val="22"/>
          <w:szCs w:val="22"/>
        </w:rPr>
        <w:t xml:space="preserve">The </w:t>
      </w:r>
      <w:r w:rsidR="007C0C6D" w:rsidRPr="00206B40">
        <w:rPr>
          <w:rFonts w:ascii="Arial" w:hAnsi="Arial" w:cs="Arial"/>
          <w:sz w:val="22"/>
          <w:szCs w:val="22"/>
        </w:rPr>
        <w:t>Close-out of open security loan is missing</w:t>
      </w:r>
    </w:p>
    <w:permEnd w:id="675747545"/>
    <w:p w14:paraId="4D8049F4" w14:textId="77777777" w:rsidR="00D62A4F" w:rsidRDefault="00D62A4F" w:rsidP="00D62A4F">
      <w:pPr>
        <w:rPr>
          <w:rFonts w:ascii="Arial" w:hAnsi="Arial" w:cs="Arial"/>
        </w:rPr>
      </w:pPr>
      <w:r>
        <w:rPr>
          <w:rFonts w:ascii="Arial" w:hAnsi="Arial" w:cs="Arial"/>
        </w:rPr>
        <w:t>&lt;ESMA_QUESTION_RSFTR_28&gt;</w:t>
      </w:r>
    </w:p>
    <w:p w14:paraId="4DA1E8F6" w14:textId="77777777" w:rsidR="00D62A4F" w:rsidRDefault="00D62A4F" w:rsidP="00D62A4F">
      <w:pPr>
        <w:rPr>
          <w:rFonts w:ascii="Arial" w:hAnsi="Arial" w:cs="Arial"/>
        </w:rPr>
      </w:pPr>
    </w:p>
    <w:p w14:paraId="5772FE9B" w14:textId="77777777" w:rsidR="00D62A4F" w:rsidRDefault="00D62A4F" w:rsidP="00D62A4F">
      <w:pPr>
        <w:pStyle w:val="Questionstyle"/>
        <w:numPr>
          <w:ilvl w:val="0"/>
          <w:numId w:val="9"/>
        </w:numPr>
        <w:spacing w:after="250" w:line="276" w:lineRule="auto"/>
      </w:pPr>
      <w:r>
        <w:t xml:space="preserve">: </w:t>
      </w:r>
      <w:r w:rsidRPr="00F11691">
        <w:t>Is there any aspect not covered by the ITS on reporting that would require further clarification?  Please detail the reasons for your response.</w:t>
      </w:r>
    </w:p>
    <w:p w14:paraId="719E66F5" w14:textId="77777777" w:rsidR="00D62A4F" w:rsidRDefault="00D62A4F" w:rsidP="00D62A4F">
      <w:pPr>
        <w:rPr>
          <w:rFonts w:ascii="Arial" w:hAnsi="Arial" w:cs="Arial"/>
        </w:rPr>
      </w:pPr>
      <w:r>
        <w:rPr>
          <w:rFonts w:ascii="Arial" w:hAnsi="Arial" w:cs="Arial"/>
        </w:rPr>
        <w:t>&lt;ESMA_QUESTION_RSFTR_29&gt;</w:t>
      </w:r>
    </w:p>
    <w:p w14:paraId="64E0BF5C" w14:textId="3B87EF4E" w:rsidR="00D62A4F" w:rsidRDefault="001326F6" w:rsidP="00D62A4F">
      <w:pPr>
        <w:rPr>
          <w:rFonts w:ascii="Arial" w:hAnsi="Arial" w:cs="Arial"/>
        </w:rPr>
      </w:pPr>
      <w:permStart w:id="2005035528" w:edGrp="everyone"/>
      <w:r>
        <w:rPr>
          <w:rFonts w:ascii="Arial" w:hAnsi="Arial" w:cs="Arial"/>
        </w:rPr>
        <w:t>No.</w:t>
      </w:r>
    </w:p>
    <w:permEnd w:id="2005035528"/>
    <w:p w14:paraId="1D1A1E17" w14:textId="77777777" w:rsidR="00D62A4F" w:rsidRDefault="00D62A4F" w:rsidP="00D62A4F">
      <w:pPr>
        <w:rPr>
          <w:rFonts w:ascii="Arial" w:hAnsi="Arial" w:cs="Arial"/>
        </w:rPr>
      </w:pPr>
      <w:r>
        <w:rPr>
          <w:rFonts w:ascii="Arial" w:hAnsi="Arial" w:cs="Arial"/>
        </w:rPr>
        <w:t>&lt;ESMA_QUESTION_RSFTR_29&gt;</w:t>
      </w:r>
    </w:p>
    <w:p w14:paraId="0E0120E4" w14:textId="77777777" w:rsidR="00D62A4F" w:rsidRDefault="00D62A4F" w:rsidP="00D62A4F">
      <w:pPr>
        <w:rPr>
          <w:rFonts w:ascii="Arial" w:hAnsi="Arial" w:cs="Arial"/>
        </w:rPr>
      </w:pPr>
    </w:p>
    <w:p w14:paraId="5C5777B5"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of counterparty side in the case of CCP-cleared SFTs? Please detail the reasons for your response.</w:t>
      </w:r>
    </w:p>
    <w:p w14:paraId="22985364" w14:textId="77777777" w:rsidR="00D62A4F" w:rsidRDefault="00D62A4F" w:rsidP="00D62A4F">
      <w:pPr>
        <w:rPr>
          <w:rFonts w:ascii="Arial" w:hAnsi="Arial" w:cs="Arial"/>
        </w:rPr>
      </w:pPr>
      <w:r>
        <w:rPr>
          <w:rFonts w:ascii="Arial" w:hAnsi="Arial" w:cs="Arial"/>
        </w:rPr>
        <w:t>&lt;ESMA_QUESTION_RSFTR_30&gt;</w:t>
      </w:r>
    </w:p>
    <w:p w14:paraId="48C3E7BD" w14:textId="7C3C3C28" w:rsidR="00D62A4F" w:rsidRDefault="001326F6" w:rsidP="00D62A4F">
      <w:pPr>
        <w:rPr>
          <w:rFonts w:ascii="Arial" w:hAnsi="Arial" w:cs="Arial"/>
        </w:rPr>
      </w:pPr>
      <w:permStart w:id="951286329" w:edGrp="everyone"/>
      <w:r>
        <w:rPr>
          <w:rFonts w:ascii="Arial" w:hAnsi="Arial" w:cs="Arial"/>
        </w:rPr>
        <w:t>Yes.</w:t>
      </w:r>
    </w:p>
    <w:permEnd w:id="951286329"/>
    <w:p w14:paraId="1E9E1148" w14:textId="77777777" w:rsidR="00D62A4F" w:rsidRDefault="00D62A4F" w:rsidP="00D62A4F">
      <w:pPr>
        <w:rPr>
          <w:rFonts w:ascii="Arial" w:hAnsi="Arial" w:cs="Arial"/>
        </w:rPr>
      </w:pPr>
      <w:r>
        <w:rPr>
          <w:rFonts w:ascii="Arial" w:hAnsi="Arial" w:cs="Arial"/>
        </w:rPr>
        <w:t>&lt;ESMA_QUESTION_RSFTR_30&gt;</w:t>
      </w:r>
    </w:p>
    <w:p w14:paraId="3109C5E8" w14:textId="77777777" w:rsidR="00D62A4F" w:rsidRDefault="00D62A4F" w:rsidP="00D62A4F">
      <w:pPr>
        <w:rPr>
          <w:rFonts w:ascii="Arial" w:hAnsi="Arial" w:cs="Arial"/>
        </w:rPr>
      </w:pPr>
    </w:p>
    <w:p w14:paraId="5EFA2B72" w14:textId="77777777" w:rsidR="00D62A4F" w:rsidRDefault="00D62A4F" w:rsidP="00D62A4F">
      <w:pPr>
        <w:pStyle w:val="Questionstyle"/>
        <w:numPr>
          <w:ilvl w:val="0"/>
          <w:numId w:val="9"/>
        </w:numPr>
        <w:spacing w:after="250" w:line="276" w:lineRule="auto"/>
      </w:pPr>
      <w:r>
        <w:t xml:space="preserve">: </w:t>
      </w:r>
      <w:r w:rsidRPr="00F11691">
        <w:t>Do you agree with the proposed approach to determine which side of a transaction is the collateral provider and which is the collateral taker for unsecured lending/borrowing of securities?  Please detail the reasons for your response.</w:t>
      </w:r>
    </w:p>
    <w:p w14:paraId="3E61B045" w14:textId="77777777" w:rsidR="00D62A4F" w:rsidRDefault="00D62A4F" w:rsidP="00D62A4F">
      <w:pPr>
        <w:rPr>
          <w:rFonts w:ascii="Arial" w:hAnsi="Arial" w:cs="Arial"/>
        </w:rPr>
      </w:pPr>
      <w:r>
        <w:rPr>
          <w:rFonts w:ascii="Arial" w:hAnsi="Arial" w:cs="Arial"/>
        </w:rPr>
        <w:t>&lt;ESMA_QUESTION_RSFTR_31&gt;</w:t>
      </w:r>
    </w:p>
    <w:p w14:paraId="193E5BE3" w14:textId="788ADC0B" w:rsidR="007C0C6D" w:rsidRPr="00206B40" w:rsidRDefault="001326F6" w:rsidP="00D62A4F">
      <w:pPr>
        <w:rPr>
          <w:rFonts w:ascii="Arial" w:hAnsi="Arial" w:cs="Arial"/>
          <w:sz w:val="22"/>
          <w:szCs w:val="22"/>
        </w:rPr>
      </w:pPr>
      <w:permStart w:id="1631804287" w:edGrp="everyone"/>
      <w:r w:rsidRPr="00206B40">
        <w:rPr>
          <w:rFonts w:ascii="Arial" w:hAnsi="Arial" w:cs="Arial"/>
          <w:sz w:val="22"/>
          <w:szCs w:val="22"/>
        </w:rPr>
        <w:t>Yes.</w:t>
      </w:r>
      <w:r w:rsidR="00951FE1" w:rsidRPr="00206B40">
        <w:rPr>
          <w:rFonts w:ascii="Arial" w:hAnsi="Arial" w:cs="Arial"/>
          <w:sz w:val="22"/>
          <w:szCs w:val="22"/>
        </w:rPr>
        <w:t>, however, f</w:t>
      </w:r>
      <w:r w:rsidR="007C0C6D" w:rsidRPr="00206B40">
        <w:rPr>
          <w:rFonts w:ascii="Arial" w:hAnsi="Arial" w:cs="Arial"/>
          <w:sz w:val="22"/>
          <w:szCs w:val="22"/>
        </w:rPr>
        <w:t xml:space="preserve">or unsecured lending the wording TAKE/GIVE is confusing. </w:t>
      </w:r>
    </w:p>
    <w:permEnd w:id="1631804287"/>
    <w:p w14:paraId="4ED20545" w14:textId="77777777" w:rsidR="00D62A4F" w:rsidRDefault="00D62A4F" w:rsidP="00D62A4F">
      <w:pPr>
        <w:rPr>
          <w:rFonts w:ascii="Arial" w:hAnsi="Arial" w:cs="Arial"/>
        </w:rPr>
      </w:pPr>
      <w:r>
        <w:rPr>
          <w:rFonts w:ascii="Arial" w:hAnsi="Arial" w:cs="Arial"/>
        </w:rPr>
        <w:t>&lt;ESMA_QUESTION_RSFTR_31&gt;</w:t>
      </w:r>
    </w:p>
    <w:p w14:paraId="6A2106EC" w14:textId="77777777" w:rsidR="00D62A4F" w:rsidRDefault="00D62A4F" w:rsidP="00D62A4F">
      <w:pPr>
        <w:rPr>
          <w:rFonts w:ascii="Arial" w:hAnsi="Arial" w:cs="Arial"/>
        </w:rPr>
      </w:pPr>
    </w:p>
    <w:p w14:paraId="10138A4B" w14:textId="77777777" w:rsidR="00D62A4F" w:rsidRDefault="00D62A4F" w:rsidP="00D62A4F">
      <w:pPr>
        <w:pStyle w:val="Questionstyle"/>
        <w:numPr>
          <w:ilvl w:val="0"/>
          <w:numId w:val="9"/>
        </w:numPr>
        <w:spacing w:after="250" w:line="276" w:lineRule="auto"/>
      </w:pPr>
      <w:r>
        <w:t xml:space="preserve">: </w:t>
      </w:r>
      <w:r w:rsidRPr="00F11691">
        <w:t>Please indicate how frequently is a haircut, margin or any other type of discount/add-on, applied to the loan side of SLB?</w:t>
      </w:r>
    </w:p>
    <w:p w14:paraId="58AD0AB4" w14:textId="77777777" w:rsidR="00D62A4F" w:rsidRDefault="00D62A4F" w:rsidP="00D62A4F">
      <w:pPr>
        <w:rPr>
          <w:rFonts w:ascii="Arial" w:hAnsi="Arial" w:cs="Arial"/>
        </w:rPr>
      </w:pPr>
      <w:r>
        <w:rPr>
          <w:rFonts w:ascii="Arial" w:hAnsi="Arial" w:cs="Arial"/>
        </w:rPr>
        <w:t>&lt;ESMA_QUESTION_RSFTR_32&gt;</w:t>
      </w:r>
    </w:p>
    <w:p w14:paraId="35D9EEDD" w14:textId="6B94F66F" w:rsidR="000E54C5" w:rsidRPr="000E54C5" w:rsidRDefault="000E54C5" w:rsidP="001326F6">
      <w:pPr>
        <w:rPr>
          <w:rFonts w:ascii="Arial" w:hAnsi="Arial" w:cs="Arial"/>
        </w:rPr>
      </w:pPr>
      <w:permStart w:id="888610878" w:edGrp="everyone"/>
      <w:r>
        <w:rPr>
          <w:rFonts w:ascii="Arial" w:hAnsi="Arial" w:cs="Arial"/>
        </w:rPr>
        <w:t>TYPE YOUR</w:t>
      </w:r>
      <w:r w:rsidRPr="000E54C5">
        <w:rPr>
          <w:rFonts w:ascii="Arial" w:hAnsi="Arial" w:cs="Arial"/>
        </w:rPr>
        <w:t xml:space="preserve"> TEXT HERE</w:t>
      </w:r>
    </w:p>
    <w:permEnd w:id="888610878"/>
    <w:p w14:paraId="3A2392D4" w14:textId="77777777" w:rsidR="00D62A4F" w:rsidRDefault="00D62A4F" w:rsidP="00D62A4F">
      <w:pPr>
        <w:rPr>
          <w:rFonts w:ascii="Arial" w:hAnsi="Arial" w:cs="Arial"/>
        </w:rPr>
      </w:pPr>
      <w:r>
        <w:rPr>
          <w:rFonts w:ascii="Arial" w:hAnsi="Arial" w:cs="Arial"/>
        </w:rPr>
        <w:t>&lt;ESMA_QUESTION_RSFTR_32&gt;</w:t>
      </w:r>
    </w:p>
    <w:p w14:paraId="01C49B86" w14:textId="77777777" w:rsidR="00D62A4F" w:rsidRDefault="00D62A4F" w:rsidP="00D62A4F">
      <w:pPr>
        <w:rPr>
          <w:rFonts w:ascii="Arial" w:hAnsi="Arial" w:cs="Arial"/>
        </w:rPr>
      </w:pPr>
    </w:p>
    <w:p w14:paraId="6E8F0DB6" w14:textId="77777777" w:rsidR="00D62A4F" w:rsidRDefault="00D62A4F" w:rsidP="00D62A4F">
      <w:pPr>
        <w:pStyle w:val="Questionstyle"/>
        <w:numPr>
          <w:ilvl w:val="0"/>
          <w:numId w:val="9"/>
        </w:numPr>
        <w:spacing w:after="250" w:line="276" w:lineRule="auto"/>
      </w:pPr>
      <w:r>
        <w:t xml:space="preserve">: </w:t>
      </w:r>
      <w:r w:rsidRPr="00F11691">
        <w:t>Do you agree with the proposed approach?  Please detail the reasons for your response.</w:t>
      </w:r>
    </w:p>
    <w:p w14:paraId="010DFB81" w14:textId="77777777" w:rsidR="00D62A4F" w:rsidRDefault="00D62A4F" w:rsidP="00D62A4F">
      <w:pPr>
        <w:rPr>
          <w:rFonts w:ascii="Arial" w:hAnsi="Arial" w:cs="Arial"/>
        </w:rPr>
      </w:pPr>
      <w:r>
        <w:rPr>
          <w:rFonts w:ascii="Arial" w:hAnsi="Arial" w:cs="Arial"/>
        </w:rPr>
        <w:t>&lt;ESMA_QUESTION_RSFTR_33&gt;</w:t>
      </w:r>
    </w:p>
    <w:p w14:paraId="51ECA239" w14:textId="77777777" w:rsidR="00212102" w:rsidRPr="00206B40" w:rsidRDefault="00212102" w:rsidP="001326F6">
      <w:pPr>
        <w:rPr>
          <w:rFonts w:ascii="Arial" w:hAnsi="Arial" w:cs="Arial"/>
          <w:sz w:val="22"/>
          <w:szCs w:val="22"/>
        </w:rPr>
      </w:pPr>
      <w:permStart w:id="1701124269" w:edGrp="everyone"/>
      <w:r w:rsidRPr="00206B40">
        <w:rPr>
          <w:rFonts w:ascii="Arial" w:hAnsi="Arial" w:cs="Arial"/>
          <w:sz w:val="22"/>
          <w:szCs w:val="22"/>
        </w:rPr>
        <w:t>No.</w:t>
      </w:r>
    </w:p>
    <w:p w14:paraId="06F5A690" w14:textId="77777777" w:rsidR="00212102" w:rsidRPr="00206B40" w:rsidRDefault="00212102" w:rsidP="001326F6">
      <w:pPr>
        <w:rPr>
          <w:rFonts w:ascii="Arial" w:hAnsi="Arial" w:cs="Arial"/>
          <w:sz w:val="22"/>
          <w:szCs w:val="22"/>
        </w:rPr>
      </w:pPr>
    </w:p>
    <w:p w14:paraId="1E8B1DF3" w14:textId="7E185805" w:rsidR="001326F6" w:rsidRPr="00206B40" w:rsidRDefault="001326F6" w:rsidP="001326F6">
      <w:pPr>
        <w:rPr>
          <w:rFonts w:ascii="Arial" w:hAnsi="Arial" w:cs="Arial"/>
          <w:sz w:val="22"/>
          <w:szCs w:val="22"/>
        </w:rPr>
      </w:pPr>
      <w:r w:rsidRPr="00206B40">
        <w:rPr>
          <w:rFonts w:ascii="Arial" w:hAnsi="Arial" w:cs="Arial"/>
          <w:sz w:val="22"/>
          <w:szCs w:val="22"/>
        </w:rPr>
        <w:t xml:space="preserve">The final price does not include such collateral related aspects (if ESMA refers to the lending fee). If ESMA refers to the value of the security lent – such is not subject to a negotiation (differing from a repo). It is just the current market value. ESMA should further evaluate on that issue also considering our response to Q 32. </w:t>
      </w:r>
    </w:p>
    <w:p w14:paraId="306FAC07" w14:textId="77777777" w:rsidR="0008336D" w:rsidRPr="00206B40" w:rsidRDefault="0008336D" w:rsidP="001326F6">
      <w:pPr>
        <w:rPr>
          <w:rFonts w:ascii="Arial" w:hAnsi="Arial" w:cs="Arial"/>
          <w:sz w:val="22"/>
          <w:szCs w:val="22"/>
        </w:rPr>
      </w:pPr>
    </w:p>
    <w:p w14:paraId="67B847DB" w14:textId="7773E8A7" w:rsidR="0008336D" w:rsidRPr="00206B40" w:rsidRDefault="0008336D" w:rsidP="0008336D">
      <w:pPr>
        <w:rPr>
          <w:rFonts w:ascii="Arial" w:hAnsi="Arial" w:cs="Arial"/>
          <w:sz w:val="22"/>
          <w:szCs w:val="22"/>
        </w:rPr>
      </w:pPr>
      <w:r w:rsidRPr="00206B40">
        <w:rPr>
          <w:rFonts w:ascii="Arial" w:hAnsi="Arial" w:cs="Arial"/>
          <w:sz w:val="22"/>
          <w:szCs w:val="22"/>
        </w:rPr>
        <w:t xml:space="preserve">Paragraph 150 is not clear to us concerning the application of haircut/margin. </w:t>
      </w:r>
    </w:p>
    <w:p w14:paraId="23A97DBE" w14:textId="77777777" w:rsidR="0008336D" w:rsidRPr="00206B40" w:rsidRDefault="0008336D" w:rsidP="0008336D">
      <w:pPr>
        <w:autoSpaceDE w:val="0"/>
        <w:autoSpaceDN w:val="0"/>
        <w:adjustRightInd w:val="0"/>
        <w:rPr>
          <w:rFonts w:ascii="Arial" w:eastAsiaTheme="minorEastAsia" w:hAnsi="Arial" w:cs="Arial"/>
          <w:sz w:val="22"/>
          <w:szCs w:val="22"/>
          <w:lang w:eastAsia="en-US"/>
        </w:rPr>
      </w:pPr>
      <w:r w:rsidRPr="00206B40">
        <w:rPr>
          <w:rFonts w:ascii="ArialMT" w:eastAsiaTheme="minorEastAsia" w:hAnsi="ArialMT" w:cs="ArialMT"/>
          <w:sz w:val="22"/>
          <w:szCs w:val="22"/>
          <w:lang w:eastAsia="en-US"/>
        </w:rPr>
        <w:t>“The “Security or commodity price”</w:t>
      </w:r>
      <w:r w:rsidRPr="00206B40">
        <w:rPr>
          <w:rFonts w:ascii="Arial" w:eastAsiaTheme="minorEastAsia" w:hAnsi="Arial" w:cs="Arial"/>
          <w:sz w:val="22"/>
          <w:szCs w:val="22"/>
          <w:lang w:eastAsia="en-US"/>
        </w:rPr>
        <w:t xml:space="preserve">(field 2.49) …... </w:t>
      </w:r>
      <w:r w:rsidRPr="00206B40">
        <w:rPr>
          <w:rFonts w:ascii="ArialMT" w:eastAsiaTheme="minorEastAsia" w:hAnsi="ArialMT" w:cs="ArialMT"/>
          <w:sz w:val="22"/>
          <w:szCs w:val="22"/>
          <w:lang w:eastAsia="en-US"/>
        </w:rPr>
        <w:t xml:space="preserve">The security price should </w:t>
      </w:r>
      <w:r w:rsidRPr="00206B40">
        <w:rPr>
          <w:rFonts w:ascii="ArialMT" w:eastAsiaTheme="minorEastAsia" w:hAnsi="ArialMT" w:cs="ArialMT"/>
          <w:sz w:val="22"/>
          <w:szCs w:val="22"/>
          <w:u w:val="single"/>
          <w:lang w:eastAsia="en-US"/>
        </w:rPr>
        <w:t>not include</w:t>
      </w:r>
      <w:r w:rsidRPr="00206B40">
        <w:rPr>
          <w:rFonts w:ascii="ArialMT" w:eastAsiaTheme="minorEastAsia" w:hAnsi="ArialMT" w:cs="ArialMT"/>
          <w:sz w:val="22"/>
          <w:szCs w:val="22"/>
          <w:lang w:eastAsia="en-US"/>
        </w:rPr>
        <w:t xml:space="preserve"> “Haircut or margin” (field </w:t>
      </w:r>
      <w:r w:rsidRPr="00206B40">
        <w:rPr>
          <w:rFonts w:ascii="Arial" w:eastAsiaTheme="minorEastAsia" w:hAnsi="Arial" w:cs="Arial"/>
          <w:sz w:val="22"/>
          <w:szCs w:val="22"/>
          <w:lang w:eastAsia="en-US"/>
        </w:rPr>
        <w:t xml:space="preserve">2.89), which only applies to the collateral side of the trade. Any </w:t>
      </w:r>
      <w:r w:rsidRPr="00206B40">
        <w:rPr>
          <w:rFonts w:ascii="Arial" w:eastAsiaTheme="minorEastAsia" w:hAnsi="Arial" w:cs="Arial"/>
          <w:sz w:val="22"/>
          <w:szCs w:val="22"/>
          <w:lang w:eastAsia="en-US"/>
        </w:rPr>
        <w:lastRenderedPageBreak/>
        <w:t xml:space="preserve">margin, add-on or discount that might apply to the security on the loan side of the trade </w:t>
      </w:r>
      <w:r w:rsidRPr="00206B40">
        <w:rPr>
          <w:rFonts w:ascii="Arial" w:eastAsiaTheme="minorEastAsia" w:hAnsi="Arial" w:cs="Arial"/>
          <w:sz w:val="22"/>
          <w:szCs w:val="22"/>
          <w:u w:val="single"/>
          <w:lang w:eastAsia="en-US"/>
        </w:rPr>
        <w:t>should be included in field 2.49</w:t>
      </w:r>
      <w:r w:rsidRPr="00206B40">
        <w:rPr>
          <w:rFonts w:ascii="Arial" w:eastAsiaTheme="minorEastAsia" w:hAnsi="Arial" w:cs="Arial"/>
          <w:sz w:val="22"/>
          <w:szCs w:val="22"/>
          <w:lang w:eastAsia="en-US"/>
        </w:rPr>
        <w:t>,i.e. the final price agreed between the counterparties for the transaction to take place.”</w:t>
      </w:r>
    </w:p>
    <w:p w14:paraId="1903A7C6" w14:textId="77777777" w:rsidR="00212102" w:rsidRPr="00206B40" w:rsidRDefault="00212102" w:rsidP="0008336D">
      <w:pPr>
        <w:rPr>
          <w:rFonts w:ascii="Arial" w:eastAsiaTheme="minorEastAsia" w:hAnsi="Arial" w:cs="Arial"/>
          <w:sz w:val="22"/>
          <w:szCs w:val="22"/>
          <w:lang w:eastAsia="en-US"/>
        </w:rPr>
      </w:pPr>
    </w:p>
    <w:p w14:paraId="233AC7AA" w14:textId="3849AC0E" w:rsidR="0008336D" w:rsidRPr="00206B40" w:rsidRDefault="0008336D" w:rsidP="0008336D">
      <w:pPr>
        <w:rPr>
          <w:rFonts w:ascii="Arial" w:eastAsiaTheme="minorEastAsia" w:hAnsi="Arial" w:cs="Arial"/>
          <w:sz w:val="22"/>
          <w:szCs w:val="22"/>
          <w:lang w:eastAsia="en-US"/>
        </w:rPr>
      </w:pPr>
      <w:r w:rsidRPr="00206B40">
        <w:rPr>
          <w:rFonts w:ascii="Arial" w:hAnsi="Arial" w:cs="Arial"/>
          <w:sz w:val="22"/>
          <w:szCs w:val="22"/>
        </w:rPr>
        <w:t>A complete use case for this would be very usefull</w:t>
      </w:r>
      <w:r w:rsidRPr="00206B40">
        <w:rPr>
          <w:rFonts w:ascii="Arial" w:eastAsiaTheme="minorEastAsia" w:hAnsi="Arial" w:cs="Arial"/>
          <w:sz w:val="22"/>
          <w:szCs w:val="22"/>
          <w:lang w:eastAsia="en-US"/>
        </w:rPr>
        <w:t>.</w:t>
      </w:r>
    </w:p>
    <w:p w14:paraId="59C4FFCA" w14:textId="77777777" w:rsidR="00767233" w:rsidRPr="00206B40" w:rsidRDefault="00767233" w:rsidP="0008336D">
      <w:pPr>
        <w:rPr>
          <w:rFonts w:ascii="Arial" w:hAnsi="Arial" w:cs="Arial"/>
          <w:sz w:val="22"/>
          <w:szCs w:val="22"/>
        </w:rPr>
      </w:pPr>
    </w:p>
    <w:p w14:paraId="52006C3E" w14:textId="00C81242" w:rsidR="00767233" w:rsidRPr="00206B40" w:rsidRDefault="00767233" w:rsidP="0008336D">
      <w:pPr>
        <w:rPr>
          <w:rFonts w:ascii="Arial" w:hAnsi="Arial" w:cs="Arial"/>
          <w:sz w:val="22"/>
          <w:szCs w:val="22"/>
        </w:rPr>
      </w:pPr>
      <w:r w:rsidRPr="00206B40">
        <w:rPr>
          <w:rFonts w:ascii="Arial" w:hAnsi="Arial" w:cs="Arial"/>
          <w:sz w:val="22"/>
          <w:szCs w:val="22"/>
        </w:rPr>
        <w:t>Rather than the message excerpts in the current Level 3 Guidance document, ESMA should provide a complete example of all field population for a NEWT message for a repo or stock versus cash trade with different security and cash currencies (to incorporate the impact of FX rates) and a haircut or margin and thereby explain clearly the population of Security Price (field 2.49), Market Value (field 2.57), Price Per Unit (field 2.87), Collateral Market Value (field 2.88) and Loan Value (field 2.56) etc removing the necessity for ongoing discussions on interpretation in the market.</w:t>
      </w:r>
    </w:p>
    <w:permEnd w:id="1701124269"/>
    <w:p w14:paraId="22EDCE01" w14:textId="77777777" w:rsidR="00D62A4F" w:rsidRDefault="00D62A4F" w:rsidP="00D62A4F">
      <w:pPr>
        <w:rPr>
          <w:rFonts w:ascii="Arial" w:hAnsi="Arial" w:cs="Arial"/>
        </w:rPr>
      </w:pPr>
      <w:r>
        <w:rPr>
          <w:rFonts w:ascii="Arial" w:hAnsi="Arial" w:cs="Arial"/>
        </w:rPr>
        <w:t>&lt;ESMA_QUESTION_RSFTR_33&gt;</w:t>
      </w:r>
    </w:p>
    <w:p w14:paraId="1804BFB0" w14:textId="77777777" w:rsidR="00D62A4F" w:rsidRDefault="00D62A4F" w:rsidP="00D62A4F">
      <w:pPr>
        <w:rPr>
          <w:rFonts w:ascii="Arial" w:hAnsi="Arial" w:cs="Arial"/>
        </w:rPr>
      </w:pPr>
    </w:p>
    <w:p w14:paraId="093A916E" w14:textId="77777777" w:rsidR="00D62A4F" w:rsidRDefault="00D62A4F" w:rsidP="00D62A4F">
      <w:pPr>
        <w:pStyle w:val="Questionstyle"/>
        <w:numPr>
          <w:ilvl w:val="0"/>
          <w:numId w:val="9"/>
        </w:numPr>
        <w:spacing w:after="250" w:line="276" w:lineRule="auto"/>
      </w:pPr>
      <w:r>
        <w:t xml:space="preserve">: </w:t>
      </w:r>
      <w:r w:rsidRPr="00F11691">
        <w:t>Do you agree with the proposed approach? Please detail the reasons for your response.</w:t>
      </w:r>
    </w:p>
    <w:p w14:paraId="26E9D38F" w14:textId="77777777" w:rsidR="00D62A4F" w:rsidRDefault="00D62A4F" w:rsidP="00D62A4F">
      <w:pPr>
        <w:rPr>
          <w:rFonts w:ascii="Arial" w:hAnsi="Arial" w:cs="Arial"/>
        </w:rPr>
      </w:pPr>
      <w:r>
        <w:rPr>
          <w:rFonts w:ascii="Arial" w:hAnsi="Arial" w:cs="Arial"/>
        </w:rPr>
        <w:t>&lt;ESMA_QUESTION_RSFTR_34&gt;</w:t>
      </w:r>
    </w:p>
    <w:p w14:paraId="3806A194" w14:textId="77777777" w:rsidR="00B00015" w:rsidRPr="00206B40" w:rsidRDefault="00B00015" w:rsidP="00B00015">
      <w:pPr>
        <w:rPr>
          <w:rFonts w:ascii="Arial" w:hAnsi="Arial" w:cs="Arial"/>
          <w:color w:val="FF0000"/>
          <w:sz w:val="22"/>
          <w:szCs w:val="22"/>
        </w:rPr>
      </w:pPr>
      <w:permStart w:id="289149959" w:edGrp="everyone"/>
      <w:r w:rsidRPr="00206B40">
        <w:rPr>
          <w:rFonts w:ascii="Arial" w:hAnsi="Arial" w:cs="Arial"/>
          <w:sz w:val="22"/>
          <w:szCs w:val="22"/>
        </w:rPr>
        <w:t>It will not be possible to agree with the counterparty on the market value. Counterparts use different pricing sources and systems so that the data will differ</w:t>
      </w:r>
    </w:p>
    <w:p w14:paraId="321F2636" w14:textId="77777777" w:rsidR="001326F6" w:rsidRPr="00206B40" w:rsidRDefault="001326F6" w:rsidP="001326F6">
      <w:pPr>
        <w:rPr>
          <w:rFonts w:ascii="Arial" w:hAnsi="Arial" w:cs="Arial"/>
          <w:sz w:val="22"/>
          <w:szCs w:val="22"/>
        </w:rPr>
      </w:pPr>
    </w:p>
    <w:p w14:paraId="4C4ACAEF" w14:textId="77777777" w:rsidR="00CB60CC" w:rsidRPr="00206B40" w:rsidRDefault="00B00015" w:rsidP="001326F6">
      <w:pPr>
        <w:rPr>
          <w:rFonts w:ascii="Arial" w:hAnsi="Arial" w:cs="Arial"/>
          <w:sz w:val="22"/>
          <w:szCs w:val="22"/>
        </w:rPr>
      </w:pPr>
      <w:r w:rsidRPr="00206B40">
        <w:rPr>
          <w:rFonts w:ascii="Arial" w:hAnsi="Arial" w:cs="Arial"/>
          <w:sz w:val="22"/>
          <w:szCs w:val="22"/>
        </w:rPr>
        <w:t>T</w:t>
      </w:r>
      <w:r w:rsidR="001326F6" w:rsidRPr="00206B40">
        <w:rPr>
          <w:rFonts w:ascii="Arial" w:hAnsi="Arial" w:cs="Arial"/>
          <w:sz w:val="22"/>
          <w:szCs w:val="22"/>
        </w:rPr>
        <w:t>olerance of market value as reconciliation field should be set higher than 0.0005%. Not only price differences resulting from different sources and cut off time but also differences in the fx rates for conversion of the market price into loan ccy, can lead to larger differences in the reportings of the two counterparties.</w:t>
      </w:r>
    </w:p>
    <w:p w14:paraId="250D66C1" w14:textId="77777777" w:rsidR="00CB60CC" w:rsidRPr="00206B40" w:rsidRDefault="00CB60CC" w:rsidP="001326F6">
      <w:pPr>
        <w:rPr>
          <w:rFonts w:ascii="Arial" w:hAnsi="Arial" w:cs="Arial"/>
          <w:sz w:val="22"/>
          <w:szCs w:val="22"/>
        </w:rPr>
      </w:pPr>
    </w:p>
    <w:p w14:paraId="7009A41B" w14:textId="2B8F2CDE" w:rsidR="001326F6" w:rsidRPr="00206B40" w:rsidRDefault="00CB60CC" w:rsidP="001326F6">
      <w:pPr>
        <w:rPr>
          <w:rFonts w:asciiTheme="minorHAnsi" w:hAnsiTheme="minorHAnsi" w:cstheme="minorHAnsi"/>
          <w:sz w:val="22"/>
          <w:szCs w:val="22"/>
          <w:lang w:val="en-US"/>
        </w:rPr>
      </w:pPr>
      <w:r w:rsidRPr="00206B40">
        <w:rPr>
          <w:rFonts w:asciiTheme="minorHAnsi" w:hAnsiTheme="minorHAnsi" w:cstheme="minorHAnsi"/>
          <w:sz w:val="22"/>
          <w:szCs w:val="22"/>
          <w:highlight w:val="yellow"/>
          <w:lang w:val="en-US"/>
        </w:rPr>
        <w:t>Rather than the message excerpts in the current Level 3 Guidance document, ESMA should provide a complete example of all field population for a NEWT message for a repo or stock versus cash trade with different security and cash currencies (to incorporate the impact of FX rates) and a haircut or margin. The current examples in the Level  3 Guidance are not clear.</w:t>
      </w:r>
    </w:p>
    <w:permEnd w:id="289149959"/>
    <w:p w14:paraId="27294CC5" w14:textId="77777777" w:rsidR="00D62A4F" w:rsidRDefault="00D62A4F" w:rsidP="00D62A4F">
      <w:pPr>
        <w:rPr>
          <w:rFonts w:ascii="Arial" w:hAnsi="Arial" w:cs="Arial"/>
        </w:rPr>
      </w:pPr>
      <w:r>
        <w:rPr>
          <w:rFonts w:ascii="Arial" w:hAnsi="Arial" w:cs="Arial"/>
        </w:rPr>
        <w:t>&lt;ESMA_QUESTION_RSFTR_34&gt;</w:t>
      </w:r>
    </w:p>
    <w:p w14:paraId="7672E9DF" w14:textId="77777777" w:rsidR="00D62A4F" w:rsidRDefault="00D62A4F" w:rsidP="00D62A4F">
      <w:pPr>
        <w:rPr>
          <w:rFonts w:ascii="Arial" w:hAnsi="Arial" w:cs="Arial"/>
        </w:rPr>
      </w:pPr>
    </w:p>
    <w:p w14:paraId="3182F4B7" w14:textId="77777777" w:rsidR="00D62A4F" w:rsidRDefault="00D62A4F" w:rsidP="00D62A4F">
      <w:pPr>
        <w:pStyle w:val="Questionstyle"/>
        <w:numPr>
          <w:ilvl w:val="0"/>
          <w:numId w:val="9"/>
        </w:numPr>
        <w:spacing w:after="250" w:line="276" w:lineRule="auto"/>
      </w:pPr>
      <w:r>
        <w:t xml:space="preserve">: </w:t>
      </w:r>
      <w:r w:rsidRPr="00F11691">
        <w:t>Do you agree with the proposed approach on timing and use of FX rates? Please detail the reasons for your response.</w:t>
      </w:r>
    </w:p>
    <w:p w14:paraId="07F2EF1E" w14:textId="77777777" w:rsidR="00D62A4F" w:rsidRDefault="00D62A4F" w:rsidP="00D62A4F">
      <w:pPr>
        <w:rPr>
          <w:rFonts w:ascii="Arial" w:hAnsi="Arial" w:cs="Arial"/>
        </w:rPr>
      </w:pPr>
      <w:r>
        <w:rPr>
          <w:rFonts w:ascii="Arial" w:hAnsi="Arial" w:cs="Arial"/>
        </w:rPr>
        <w:t>&lt;ESMA_QUESTION_RSFTR_35&gt;</w:t>
      </w:r>
    </w:p>
    <w:p w14:paraId="26D79B66" w14:textId="71A36D6E" w:rsidR="0008336D" w:rsidRPr="00206B40" w:rsidRDefault="0008336D" w:rsidP="001326F6">
      <w:pPr>
        <w:rPr>
          <w:rFonts w:ascii="Arial" w:hAnsi="Arial" w:cs="Arial"/>
          <w:sz w:val="22"/>
          <w:szCs w:val="22"/>
        </w:rPr>
      </w:pPr>
      <w:permStart w:id="2072793376" w:edGrp="everyone"/>
      <w:r w:rsidRPr="00206B40">
        <w:rPr>
          <w:rFonts w:ascii="Arial" w:hAnsi="Arial" w:cs="Arial"/>
          <w:sz w:val="22"/>
          <w:szCs w:val="22"/>
        </w:rPr>
        <w:t>In general ok, but timing differs from bank to ban</w:t>
      </w:r>
      <w:r w:rsidR="00514C96" w:rsidRPr="00206B40">
        <w:rPr>
          <w:rFonts w:ascii="Arial" w:hAnsi="Arial" w:cs="Arial"/>
          <w:sz w:val="22"/>
          <w:szCs w:val="22"/>
        </w:rPr>
        <w:t>k (time zone, close of business etc.</w:t>
      </w:r>
      <w:r w:rsidRPr="00206B40">
        <w:rPr>
          <w:rFonts w:ascii="Arial" w:hAnsi="Arial" w:cs="Arial"/>
          <w:sz w:val="22"/>
          <w:szCs w:val="22"/>
        </w:rPr>
        <w:t>). A wider range of differences i</w:t>
      </w:r>
      <w:r w:rsidR="00514C96" w:rsidRPr="00206B40">
        <w:rPr>
          <w:rFonts w:ascii="Arial" w:hAnsi="Arial" w:cs="Arial"/>
          <w:sz w:val="22"/>
          <w:szCs w:val="22"/>
        </w:rPr>
        <w:t>n the price should be accepted.</w:t>
      </w:r>
    </w:p>
    <w:permEnd w:id="2072793376"/>
    <w:p w14:paraId="69558A42" w14:textId="77777777" w:rsidR="00D62A4F" w:rsidRDefault="00D62A4F" w:rsidP="00D62A4F">
      <w:pPr>
        <w:rPr>
          <w:rFonts w:ascii="Arial" w:hAnsi="Arial" w:cs="Arial"/>
        </w:rPr>
      </w:pPr>
      <w:r>
        <w:rPr>
          <w:rFonts w:ascii="Arial" w:hAnsi="Arial" w:cs="Arial"/>
        </w:rPr>
        <w:t>&lt;ESMA_QUESTION_RSFTR_35&gt;</w:t>
      </w:r>
    </w:p>
    <w:p w14:paraId="11A5EC2F" w14:textId="77777777" w:rsidR="00D62A4F" w:rsidRDefault="00D62A4F" w:rsidP="00D62A4F">
      <w:pPr>
        <w:rPr>
          <w:rFonts w:ascii="Arial" w:hAnsi="Arial" w:cs="Arial"/>
        </w:rPr>
      </w:pPr>
    </w:p>
    <w:p w14:paraId="25627143" w14:textId="77777777" w:rsidR="00D62A4F" w:rsidRDefault="00D62A4F" w:rsidP="00D62A4F">
      <w:pPr>
        <w:pStyle w:val="Questionstyle"/>
        <w:numPr>
          <w:ilvl w:val="0"/>
          <w:numId w:val="9"/>
        </w:numPr>
        <w:spacing w:after="250" w:line="276" w:lineRule="auto"/>
      </w:pPr>
      <w:r>
        <w:t xml:space="preserve">: </w:t>
      </w:r>
      <w:r w:rsidRPr="00F11691">
        <w:t>Does ESMA need to provide additional guidance on the reporting of the valuation fields? Please detail the reasons for your response.</w:t>
      </w:r>
    </w:p>
    <w:p w14:paraId="4C9FD4EE" w14:textId="77777777" w:rsidR="00D62A4F" w:rsidRDefault="00D62A4F" w:rsidP="00D62A4F">
      <w:pPr>
        <w:rPr>
          <w:rFonts w:ascii="Arial" w:hAnsi="Arial" w:cs="Arial"/>
        </w:rPr>
      </w:pPr>
      <w:r>
        <w:rPr>
          <w:rFonts w:ascii="Arial" w:hAnsi="Arial" w:cs="Arial"/>
        </w:rPr>
        <w:t>&lt;ESMA_QUESTION_RSFTR_36&gt;</w:t>
      </w:r>
    </w:p>
    <w:p w14:paraId="748E0270" w14:textId="77777777" w:rsidR="001326F6" w:rsidRPr="00206B40" w:rsidRDefault="001326F6" w:rsidP="001326F6">
      <w:pPr>
        <w:rPr>
          <w:rFonts w:ascii="Arial" w:hAnsi="Arial" w:cs="Arial"/>
          <w:sz w:val="22"/>
          <w:szCs w:val="22"/>
        </w:rPr>
      </w:pPr>
      <w:permStart w:id="1659896593" w:edGrp="everyone"/>
      <w:r w:rsidRPr="00206B40">
        <w:rPr>
          <w:rFonts w:ascii="Arial" w:hAnsi="Arial" w:cs="Arial"/>
          <w:sz w:val="22"/>
          <w:szCs w:val="22"/>
        </w:rPr>
        <w:t>No.</w:t>
      </w:r>
    </w:p>
    <w:p w14:paraId="0152BB83" w14:textId="77777777" w:rsidR="0008336D" w:rsidRPr="00206B40" w:rsidRDefault="0008336D" w:rsidP="001326F6">
      <w:pPr>
        <w:rPr>
          <w:rFonts w:ascii="Arial" w:hAnsi="Arial" w:cs="Arial"/>
          <w:sz w:val="22"/>
          <w:szCs w:val="22"/>
        </w:rPr>
      </w:pPr>
    </w:p>
    <w:p w14:paraId="1E11CA2D" w14:textId="084E45C5" w:rsidR="0008336D" w:rsidRPr="00206B40" w:rsidRDefault="0008336D" w:rsidP="001326F6">
      <w:pPr>
        <w:rPr>
          <w:rFonts w:ascii="Arial" w:hAnsi="Arial" w:cs="Arial"/>
          <w:sz w:val="22"/>
          <w:szCs w:val="22"/>
        </w:rPr>
      </w:pPr>
      <w:r w:rsidRPr="00206B40">
        <w:rPr>
          <w:rFonts w:ascii="Arial" w:hAnsi="Arial" w:cs="Arial"/>
          <w:sz w:val="22"/>
          <w:szCs w:val="22"/>
        </w:rPr>
        <w:t xml:space="preserve">The reconciliation of market valuation is critical. The tolerance range should be wide enough because a daily recon with the counterpart is not realistic. </w:t>
      </w:r>
    </w:p>
    <w:permEnd w:id="1659896593"/>
    <w:p w14:paraId="0617EF37" w14:textId="77777777" w:rsidR="00D62A4F" w:rsidRDefault="00D62A4F" w:rsidP="00D62A4F">
      <w:pPr>
        <w:rPr>
          <w:rFonts w:ascii="Arial" w:hAnsi="Arial" w:cs="Arial"/>
        </w:rPr>
      </w:pPr>
      <w:r>
        <w:rPr>
          <w:rFonts w:ascii="Arial" w:hAnsi="Arial" w:cs="Arial"/>
        </w:rPr>
        <w:t>&lt;ESMA_QUESTION_RSFTR_36&gt;</w:t>
      </w:r>
    </w:p>
    <w:p w14:paraId="5F40C50E" w14:textId="77777777" w:rsidR="00D62A4F" w:rsidRDefault="00D62A4F" w:rsidP="00D62A4F">
      <w:pPr>
        <w:rPr>
          <w:rFonts w:ascii="Arial" w:hAnsi="Arial" w:cs="Arial"/>
        </w:rPr>
      </w:pPr>
    </w:p>
    <w:p w14:paraId="52D48D24" w14:textId="77777777" w:rsidR="00D62A4F" w:rsidRDefault="00D62A4F" w:rsidP="00D62A4F">
      <w:pPr>
        <w:pStyle w:val="Questionstyle"/>
        <w:numPr>
          <w:ilvl w:val="0"/>
          <w:numId w:val="9"/>
        </w:numPr>
        <w:spacing w:after="250" w:line="276" w:lineRule="auto"/>
      </w:pPr>
      <w:r>
        <w:lastRenderedPageBreak/>
        <w:t xml:space="preserve">: </w:t>
      </w:r>
      <w:r w:rsidRPr="00F11691">
        <w:t>Do you have any remarks concerning the reporting of CFI? What other aspects need to be clarified  to ensure that reporting is consistently performed? Please detail the reasons for your response.</w:t>
      </w:r>
    </w:p>
    <w:p w14:paraId="3F377CDD" w14:textId="77777777" w:rsidR="00D62A4F" w:rsidRDefault="00D62A4F" w:rsidP="00D62A4F">
      <w:pPr>
        <w:rPr>
          <w:rFonts w:ascii="Arial" w:hAnsi="Arial" w:cs="Arial"/>
        </w:rPr>
      </w:pPr>
      <w:r>
        <w:rPr>
          <w:rFonts w:ascii="Arial" w:hAnsi="Arial" w:cs="Arial"/>
        </w:rPr>
        <w:t>&lt;ESMA_QUESTION_RSFTR_37&gt;</w:t>
      </w:r>
    </w:p>
    <w:p w14:paraId="0F23850B" w14:textId="4DF2760E" w:rsidR="00B731B1" w:rsidRPr="00C94FEC" w:rsidRDefault="00B731B1" w:rsidP="001326F6">
      <w:pPr>
        <w:rPr>
          <w:rFonts w:asciiTheme="minorHAnsi" w:hAnsiTheme="minorHAnsi" w:cstheme="minorHAnsi"/>
        </w:rPr>
      </w:pPr>
      <w:permStart w:id="916284123" w:edGrp="everyone"/>
      <w:r w:rsidRPr="00206B40">
        <w:rPr>
          <w:rFonts w:asciiTheme="minorHAnsi" w:hAnsiTheme="minorHAnsi" w:cstheme="minorHAnsi"/>
          <w:sz w:val="22"/>
          <w:szCs w:val="22"/>
        </w:rPr>
        <w:t>If one of the official sources does not hav</w:t>
      </w:r>
      <w:r w:rsidR="00B11CAA">
        <w:rPr>
          <w:rFonts w:asciiTheme="minorHAnsi" w:hAnsiTheme="minorHAnsi" w:cstheme="minorHAnsi"/>
          <w:sz w:val="22"/>
          <w:szCs w:val="22"/>
        </w:rPr>
        <w:t>e</w:t>
      </w:r>
      <w:r w:rsidRPr="00206B40">
        <w:rPr>
          <w:rFonts w:asciiTheme="minorHAnsi" w:hAnsiTheme="minorHAnsi" w:cstheme="minorHAnsi"/>
          <w:sz w:val="22"/>
          <w:szCs w:val="22"/>
        </w:rPr>
        <w:t xml:space="preserve"> a CFI code fort he relevant instrument ESMA should clarify tha</w:t>
      </w:r>
      <w:r w:rsidR="00724C15">
        <w:rPr>
          <w:rFonts w:asciiTheme="minorHAnsi" w:hAnsiTheme="minorHAnsi" w:cstheme="minorHAnsi"/>
          <w:sz w:val="22"/>
          <w:szCs w:val="22"/>
        </w:rPr>
        <w:t>t</w:t>
      </w:r>
      <w:r w:rsidRPr="00206B40">
        <w:rPr>
          <w:rFonts w:asciiTheme="minorHAnsi" w:hAnsiTheme="minorHAnsi" w:cstheme="minorHAnsi"/>
          <w:sz w:val="22"/>
          <w:szCs w:val="22"/>
        </w:rPr>
        <w:t xml:space="preserve"> the code XXXXXX can be used</w:t>
      </w:r>
      <w:r w:rsidRPr="00C94FEC">
        <w:rPr>
          <w:rFonts w:asciiTheme="minorHAnsi" w:hAnsiTheme="minorHAnsi" w:cstheme="minorHAnsi"/>
        </w:rPr>
        <w:t>.</w:t>
      </w:r>
    </w:p>
    <w:permEnd w:id="916284123"/>
    <w:p w14:paraId="6966802B" w14:textId="77777777" w:rsidR="00D62A4F" w:rsidRDefault="00D62A4F" w:rsidP="00D62A4F">
      <w:pPr>
        <w:rPr>
          <w:rFonts w:ascii="Arial" w:hAnsi="Arial" w:cs="Arial"/>
        </w:rPr>
      </w:pPr>
      <w:r>
        <w:rPr>
          <w:rFonts w:ascii="Arial" w:hAnsi="Arial" w:cs="Arial"/>
        </w:rPr>
        <w:t>&lt;ESMA_QUESTION_RSFTR_37&gt;</w:t>
      </w:r>
    </w:p>
    <w:p w14:paraId="1C4FD893" w14:textId="77777777" w:rsidR="00D62A4F" w:rsidRDefault="00D62A4F" w:rsidP="00D62A4F">
      <w:pPr>
        <w:rPr>
          <w:rFonts w:ascii="Arial" w:hAnsi="Arial" w:cs="Arial"/>
        </w:rPr>
      </w:pPr>
    </w:p>
    <w:p w14:paraId="3E3448E8" w14:textId="77777777" w:rsidR="00D62A4F" w:rsidRDefault="00D62A4F" w:rsidP="00D62A4F">
      <w:pPr>
        <w:pStyle w:val="Questionstyle"/>
        <w:numPr>
          <w:ilvl w:val="0"/>
          <w:numId w:val="9"/>
        </w:numPr>
        <w:spacing w:after="250" w:line="276" w:lineRule="auto"/>
      </w:pPr>
      <w:r>
        <w:t xml:space="preserve">: </w:t>
      </w:r>
      <w:r w:rsidRPr="00F11691">
        <w:t>Do you agree with the approach for back-loading? What other aspects have to be considered to make the reporting of backloaded SFTs more efficient for counterparties and TRs, i.e.  the costs of this approach are minimised and also the usefulness of the reports submitted going forward is maximised? Please detail the reasons for your response.</w:t>
      </w:r>
    </w:p>
    <w:p w14:paraId="76DDCD63" w14:textId="77777777" w:rsidR="00D62A4F" w:rsidRDefault="00D62A4F" w:rsidP="00D62A4F">
      <w:pPr>
        <w:rPr>
          <w:rFonts w:ascii="Arial" w:hAnsi="Arial" w:cs="Arial"/>
        </w:rPr>
      </w:pPr>
      <w:r>
        <w:rPr>
          <w:rFonts w:ascii="Arial" w:hAnsi="Arial" w:cs="Arial"/>
        </w:rPr>
        <w:t>&lt;ESMA_QUESTION_RSFTR_38&gt;</w:t>
      </w:r>
    </w:p>
    <w:p w14:paraId="48ECF645" w14:textId="056E5B6D" w:rsidR="00752E2B" w:rsidRPr="00206B40" w:rsidRDefault="00752E2B" w:rsidP="00752E2B">
      <w:pPr>
        <w:rPr>
          <w:rFonts w:ascii="Arial" w:hAnsi="Arial" w:cs="Arial"/>
          <w:sz w:val="22"/>
          <w:szCs w:val="22"/>
        </w:rPr>
      </w:pPr>
      <w:permStart w:id="1362588161" w:edGrp="everyone"/>
      <w:r w:rsidRPr="00206B40">
        <w:rPr>
          <w:rFonts w:ascii="Arial" w:hAnsi="Arial" w:cs="Arial"/>
          <w:sz w:val="22"/>
          <w:szCs w:val="22"/>
        </w:rPr>
        <w:t xml:space="preserve">The suggested approach for back-loading (full reporting of backloaded SFTs) makes the reporting more efficient. Therefore we agree. </w:t>
      </w:r>
    </w:p>
    <w:p w14:paraId="45B09A25" w14:textId="77777777" w:rsidR="00752E2B" w:rsidRPr="00206B40" w:rsidRDefault="00752E2B" w:rsidP="00752E2B">
      <w:pPr>
        <w:rPr>
          <w:rFonts w:ascii="Arial" w:hAnsi="Arial" w:cs="Arial"/>
          <w:sz w:val="22"/>
          <w:szCs w:val="22"/>
        </w:rPr>
      </w:pPr>
    </w:p>
    <w:p w14:paraId="2316588E" w14:textId="77777777" w:rsidR="00752E2B" w:rsidRPr="00206B40" w:rsidRDefault="00752E2B" w:rsidP="00752E2B">
      <w:pPr>
        <w:rPr>
          <w:rFonts w:ascii="Arial" w:hAnsi="Arial" w:cs="Arial"/>
          <w:sz w:val="22"/>
          <w:szCs w:val="22"/>
        </w:rPr>
      </w:pPr>
      <w:r w:rsidRPr="00206B40">
        <w:rPr>
          <w:rFonts w:ascii="Arial" w:hAnsi="Arial" w:cs="Arial"/>
          <w:sz w:val="22"/>
          <w:szCs w:val="22"/>
        </w:rPr>
        <w:t xml:space="preserve">In our view it remains open, wether there is an option for the counterparties ("..both counterparties agreed to report this way" (point 171). </w:t>
      </w:r>
    </w:p>
    <w:p w14:paraId="2B5014A2" w14:textId="77777777" w:rsidR="00752E2B" w:rsidRPr="00206B40" w:rsidRDefault="00752E2B" w:rsidP="00752E2B">
      <w:pPr>
        <w:rPr>
          <w:rFonts w:ascii="Arial" w:hAnsi="Arial" w:cs="Arial"/>
          <w:sz w:val="22"/>
          <w:szCs w:val="22"/>
        </w:rPr>
      </w:pPr>
    </w:p>
    <w:p w14:paraId="3A34448C" w14:textId="77777777" w:rsidR="00752E2B" w:rsidRPr="00206B40" w:rsidRDefault="00752E2B" w:rsidP="00752E2B">
      <w:pPr>
        <w:rPr>
          <w:rFonts w:ascii="Arial" w:hAnsi="Arial" w:cs="Arial"/>
          <w:sz w:val="22"/>
          <w:szCs w:val="22"/>
        </w:rPr>
      </w:pPr>
      <w:r w:rsidRPr="00206B40">
        <w:rPr>
          <w:rFonts w:ascii="Arial" w:hAnsi="Arial" w:cs="Arial"/>
          <w:sz w:val="22"/>
          <w:szCs w:val="22"/>
        </w:rPr>
        <w:t xml:space="preserve">In this case again an additional effort of coordination would be necessary, which should be avoided. </w:t>
      </w:r>
    </w:p>
    <w:p w14:paraId="78BD1361" w14:textId="77777777" w:rsidR="002C23B7" w:rsidRPr="00206B40" w:rsidRDefault="002C23B7" w:rsidP="00752E2B">
      <w:pPr>
        <w:rPr>
          <w:rFonts w:ascii="Arial" w:hAnsi="Arial" w:cs="Arial"/>
          <w:sz w:val="22"/>
          <w:szCs w:val="22"/>
        </w:rPr>
      </w:pPr>
    </w:p>
    <w:p w14:paraId="005DD5C2" w14:textId="77777777" w:rsidR="00752E2B" w:rsidRPr="00206B40" w:rsidRDefault="00752E2B" w:rsidP="00752E2B">
      <w:pPr>
        <w:rPr>
          <w:rFonts w:ascii="Arial" w:hAnsi="Arial" w:cs="Arial"/>
          <w:sz w:val="22"/>
          <w:szCs w:val="22"/>
        </w:rPr>
      </w:pPr>
      <w:r w:rsidRPr="00206B40">
        <w:rPr>
          <w:rFonts w:ascii="Arial" w:hAnsi="Arial" w:cs="Arial"/>
          <w:sz w:val="22"/>
          <w:szCs w:val="22"/>
        </w:rPr>
        <w:t>A substantial simplification could be pursued by abolition of the backloading obligation.</w:t>
      </w:r>
    </w:p>
    <w:p w14:paraId="2ADE1413" w14:textId="77777777" w:rsidR="00752E2B" w:rsidRPr="00206B40" w:rsidRDefault="00752E2B" w:rsidP="00752E2B">
      <w:pPr>
        <w:rPr>
          <w:rFonts w:ascii="Arial" w:hAnsi="Arial" w:cs="Arial"/>
          <w:sz w:val="22"/>
          <w:szCs w:val="22"/>
        </w:rPr>
      </w:pPr>
    </w:p>
    <w:p w14:paraId="221F91BA" w14:textId="268994BE" w:rsidR="0008336D" w:rsidRPr="00206B40" w:rsidRDefault="0008336D" w:rsidP="0008336D">
      <w:pPr>
        <w:rPr>
          <w:rFonts w:ascii="Arial" w:hAnsi="Arial" w:cs="Arial"/>
          <w:sz w:val="22"/>
          <w:szCs w:val="22"/>
        </w:rPr>
      </w:pPr>
      <w:r w:rsidRPr="00206B40">
        <w:rPr>
          <w:rFonts w:ascii="Arial" w:hAnsi="Arial" w:cs="Arial"/>
          <w:sz w:val="22"/>
          <w:szCs w:val="22"/>
        </w:rPr>
        <w:t>We agree with ESMA`s approach of reporting all living trades at the reporting start date. Since a coordination for the reporting of backloading-trades between the CPs is enormously time-consuming, we would like to dispense with the delivery of a UTI if the UTI structure cannot be determined from the available data (see Q39).</w:t>
      </w:r>
    </w:p>
    <w:p w14:paraId="7A1D4F24" w14:textId="3878072D" w:rsidR="001326F6" w:rsidRPr="00206B40" w:rsidRDefault="0008336D" w:rsidP="00514C96">
      <w:pPr>
        <w:rPr>
          <w:rFonts w:ascii="Arial" w:hAnsi="Arial" w:cs="Arial"/>
          <w:sz w:val="22"/>
          <w:szCs w:val="22"/>
        </w:rPr>
      </w:pPr>
      <w:r w:rsidRPr="00206B40">
        <w:rPr>
          <w:rFonts w:ascii="Arial" w:hAnsi="Arial" w:cs="Arial"/>
          <w:sz w:val="22"/>
          <w:szCs w:val="22"/>
        </w:rPr>
        <w:t>Within the period of backloading, the mandatory fields will not match, if the counterparty starts at a later time. How will ESMA identify these trade in order to avoid unnecessary request</w:t>
      </w:r>
      <w:r w:rsidR="00514C96" w:rsidRPr="00206B40">
        <w:rPr>
          <w:rFonts w:ascii="Arial" w:hAnsi="Arial" w:cs="Arial"/>
          <w:sz w:val="22"/>
          <w:szCs w:val="22"/>
        </w:rPr>
        <w:t>s on the reporting counterpart?</w:t>
      </w:r>
    </w:p>
    <w:permEnd w:id="1362588161"/>
    <w:p w14:paraId="1A091DB0" w14:textId="77777777" w:rsidR="00D62A4F" w:rsidRDefault="00D62A4F" w:rsidP="00D62A4F">
      <w:pPr>
        <w:rPr>
          <w:rFonts w:ascii="Arial" w:hAnsi="Arial" w:cs="Arial"/>
        </w:rPr>
      </w:pPr>
      <w:r>
        <w:rPr>
          <w:rFonts w:ascii="Arial" w:hAnsi="Arial" w:cs="Arial"/>
        </w:rPr>
        <w:t>&lt;ESMA_QUESTION_RSFTR_38&gt;</w:t>
      </w:r>
    </w:p>
    <w:p w14:paraId="6AC495BE" w14:textId="77777777" w:rsidR="00D62A4F" w:rsidRDefault="00D62A4F" w:rsidP="00D62A4F">
      <w:pPr>
        <w:rPr>
          <w:rFonts w:ascii="Arial" w:hAnsi="Arial" w:cs="Arial"/>
        </w:rPr>
      </w:pPr>
    </w:p>
    <w:p w14:paraId="12B18BB1" w14:textId="77777777" w:rsidR="00D62A4F" w:rsidRDefault="00D62A4F" w:rsidP="00D62A4F">
      <w:pPr>
        <w:pStyle w:val="Questionstyle"/>
        <w:numPr>
          <w:ilvl w:val="0"/>
          <w:numId w:val="9"/>
        </w:numPr>
        <w:spacing w:after="250" w:line="276" w:lineRule="auto"/>
      </w:pPr>
      <w:r>
        <w:t xml:space="preserve">: </w:t>
      </w:r>
      <w:r w:rsidRPr="00F11691">
        <w:t>What other aspects with regards to the UTI have to be clarified? Please detail the reasons for your response.</w:t>
      </w:r>
    </w:p>
    <w:p w14:paraId="4048CDE8" w14:textId="77777777" w:rsidR="00D62A4F" w:rsidRDefault="00D62A4F" w:rsidP="00D62A4F">
      <w:pPr>
        <w:rPr>
          <w:rFonts w:ascii="Arial" w:hAnsi="Arial" w:cs="Arial"/>
        </w:rPr>
      </w:pPr>
      <w:r>
        <w:rPr>
          <w:rFonts w:ascii="Arial" w:hAnsi="Arial" w:cs="Arial"/>
        </w:rPr>
        <w:t>&lt;ESMA_QUESTION_RSFTR_39&gt;</w:t>
      </w:r>
    </w:p>
    <w:p w14:paraId="6AAF1B7D" w14:textId="57CF0B9D" w:rsidR="003309DD" w:rsidRPr="00206B40" w:rsidRDefault="00787715" w:rsidP="00FF653E">
      <w:pPr>
        <w:rPr>
          <w:rFonts w:ascii="Arial" w:hAnsi="Arial" w:cs="Arial"/>
          <w:sz w:val="22"/>
          <w:szCs w:val="22"/>
        </w:rPr>
      </w:pPr>
      <w:permStart w:id="626288957" w:edGrp="everyone"/>
      <w:r w:rsidRPr="00206B40">
        <w:rPr>
          <w:rFonts w:ascii="Arial" w:hAnsi="Arial" w:cs="Arial"/>
          <w:sz w:val="22"/>
          <w:szCs w:val="22"/>
        </w:rPr>
        <w:t xml:space="preserve">ESMA should </w:t>
      </w:r>
      <w:r w:rsidR="004E43C4" w:rsidRPr="00206B40">
        <w:rPr>
          <w:rFonts w:ascii="Arial" w:hAnsi="Arial" w:cs="Arial"/>
          <w:sz w:val="22"/>
          <w:szCs w:val="22"/>
        </w:rPr>
        <w:t>answer</w:t>
      </w:r>
      <w:r w:rsidRPr="00206B40">
        <w:rPr>
          <w:rFonts w:ascii="Arial" w:hAnsi="Arial" w:cs="Arial"/>
          <w:sz w:val="22"/>
          <w:szCs w:val="22"/>
        </w:rPr>
        <w:t xml:space="preserve"> what should happen in the scenario that one party expects to receive a UTI but it is not delivered in time to make a report</w:t>
      </w:r>
      <w:r w:rsidR="004E43C4" w:rsidRPr="00206B40">
        <w:rPr>
          <w:rFonts w:ascii="Arial" w:hAnsi="Arial" w:cs="Arial"/>
          <w:sz w:val="22"/>
          <w:szCs w:val="22"/>
        </w:rPr>
        <w:t xml:space="preserve"> (</w:t>
      </w:r>
      <w:r w:rsidRPr="00206B40">
        <w:rPr>
          <w:rFonts w:ascii="Arial" w:hAnsi="Arial" w:cs="Arial"/>
          <w:sz w:val="22"/>
          <w:szCs w:val="22"/>
        </w:rPr>
        <w:t>e.g. as stated in the ICMA Annex Recommendation 14</w:t>
      </w:r>
      <w:r w:rsidR="004E43C4" w:rsidRPr="00206B40">
        <w:rPr>
          <w:rFonts w:ascii="Arial" w:hAnsi="Arial" w:cs="Arial"/>
          <w:sz w:val="22"/>
          <w:szCs w:val="22"/>
        </w:rPr>
        <w:t>)</w:t>
      </w:r>
      <w:r w:rsidRPr="00206B40">
        <w:rPr>
          <w:rFonts w:ascii="Arial" w:hAnsi="Arial" w:cs="Arial"/>
          <w:sz w:val="22"/>
          <w:szCs w:val="22"/>
        </w:rPr>
        <w:t>.</w:t>
      </w:r>
      <w:r w:rsidR="00FF653E" w:rsidRPr="00206B40">
        <w:rPr>
          <w:rFonts w:ascii="Arial" w:hAnsi="Arial" w:cs="Arial"/>
          <w:sz w:val="22"/>
          <w:szCs w:val="22"/>
        </w:rPr>
        <w:t xml:space="preserve"> </w:t>
      </w:r>
      <w:r w:rsidR="003309DD" w:rsidRPr="00206B40">
        <w:rPr>
          <w:rFonts w:ascii="Arial" w:hAnsi="Arial" w:cs="Arial"/>
          <w:sz w:val="22"/>
          <w:szCs w:val="22"/>
          <w:lang w:val="en-US"/>
        </w:rPr>
        <w:t>For example, tri-party agents publish their UTI usually in the evening, as does Eurex. This is too late in order to:</w:t>
      </w:r>
    </w:p>
    <w:p w14:paraId="317C7E2A" w14:textId="6F93D883" w:rsidR="003309DD" w:rsidRPr="00206B40" w:rsidRDefault="003309DD" w:rsidP="003309DD">
      <w:pPr>
        <w:pStyle w:val="Listenabsatz"/>
        <w:numPr>
          <w:ilvl w:val="0"/>
          <w:numId w:val="18"/>
        </w:numPr>
        <w:rPr>
          <w:rFonts w:ascii="Arial" w:hAnsi="Arial" w:cs="Arial"/>
          <w:lang w:val="en-US"/>
        </w:rPr>
      </w:pPr>
      <w:r w:rsidRPr="00206B40">
        <w:rPr>
          <w:rFonts w:ascii="Arial" w:hAnsi="Arial" w:cs="Arial"/>
          <w:lang w:val="en-US"/>
        </w:rPr>
        <w:t>match the UTI with the counterparty right after the transaction and / or</w:t>
      </w:r>
    </w:p>
    <w:p w14:paraId="0662A19F" w14:textId="29D7B52D" w:rsidR="00FF653E" w:rsidRPr="00206B40" w:rsidRDefault="003309DD" w:rsidP="003309DD">
      <w:pPr>
        <w:pStyle w:val="Listenabsatz"/>
        <w:numPr>
          <w:ilvl w:val="0"/>
          <w:numId w:val="18"/>
        </w:numPr>
        <w:rPr>
          <w:rFonts w:ascii="Arial" w:hAnsi="Arial" w:cs="Arial"/>
          <w:lang w:val="en-US"/>
        </w:rPr>
      </w:pPr>
      <w:r w:rsidRPr="00206B40">
        <w:rPr>
          <w:rFonts w:ascii="Arial" w:hAnsi="Arial" w:cs="Arial"/>
          <w:lang w:val="en-US"/>
        </w:rPr>
        <w:t>to assign the UTI automatically to a trade, which will have to be assigned manually</w:t>
      </w:r>
      <w:r w:rsidR="00FF653E" w:rsidRPr="00206B40">
        <w:rPr>
          <w:rFonts w:ascii="Arial" w:hAnsi="Arial" w:cs="Arial"/>
          <w:lang w:val="en-US"/>
        </w:rPr>
        <w:t>.</w:t>
      </w:r>
    </w:p>
    <w:p w14:paraId="6052DB1D" w14:textId="23701EAC" w:rsidR="00787715" w:rsidRPr="00206B40" w:rsidRDefault="003309DD" w:rsidP="00561B41">
      <w:pPr>
        <w:rPr>
          <w:rFonts w:ascii="Arial" w:hAnsi="Arial" w:cs="Arial"/>
          <w:sz w:val="22"/>
          <w:szCs w:val="22"/>
        </w:rPr>
      </w:pPr>
      <w:r w:rsidRPr="00206B40">
        <w:rPr>
          <w:rFonts w:ascii="Arial" w:hAnsi="Arial" w:cs="Arial"/>
          <w:sz w:val="22"/>
          <w:szCs w:val="22"/>
          <w:lang w:val="en-US"/>
        </w:rPr>
        <w:t>ESMA should clarify at what point in time the parties to an SFT should escalate the late delivery of a UTI and also, how the counterparties should act in case there is no UTI (either not at all, or to late) and an orderly / complete report is not possible.</w:t>
      </w:r>
    </w:p>
    <w:p w14:paraId="65ACDC59" w14:textId="77777777" w:rsidR="00787715" w:rsidRPr="00206B40" w:rsidRDefault="00787715" w:rsidP="00561B41">
      <w:pPr>
        <w:rPr>
          <w:rFonts w:ascii="Arial" w:hAnsi="Arial" w:cs="Arial"/>
          <w:sz w:val="22"/>
          <w:szCs w:val="22"/>
          <w:lang w:val="en-US"/>
        </w:rPr>
      </w:pPr>
    </w:p>
    <w:p w14:paraId="0D9AD28C" w14:textId="4CE94F88" w:rsidR="00905D0F" w:rsidRPr="00724C15" w:rsidRDefault="00787715" w:rsidP="00494393">
      <w:pPr>
        <w:rPr>
          <w:rFonts w:ascii="Arial" w:hAnsi="Arial" w:cs="Arial"/>
          <w:sz w:val="22"/>
          <w:szCs w:val="22"/>
        </w:rPr>
      </w:pPr>
      <w:r w:rsidRPr="00206B40">
        <w:rPr>
          <w:rFonts w:ascii="Arial" w:hAnsi="Arial" w:cs="Arial"/>
          <w:sz w:val="22"/>
          <w:szCs w:val="22"/>
        </w:rPr>
        <w:lastRenderedPageBreak/>
        <w:t>The default UTI Hierarchy Logic for secu</w:t>
      </w:r>
      <w:r w:rsidR="00DC4606" w:rsidRPr="00206B40">
        <w:rPr>
          <w:rFonts w:ascii="Arial" w:hAnsi="Arial" w:cs="Arial"/>
          <w:sz w:val="22"/>
          <w:szCs w:val="22"/>
        </w:rPr>
        <w:t>rity lending proposes that the “</w:t>
      </w:r>
      <w:r w:rsidRPr="00206B40">
        <w:rPr>
          <w:rFonts w:ascii="Arial" w:hAnsi="Arial" w:cs="Arial"/>
          <w:sz w:val="22"/>
          <w:szCs w:val="22"/>
        </w:rPr>
        <w:t>Collateral provider shall generate the UTI”. In practice the security lender (collateral taker) is best placed to provide the UTI.</w:t>
      </w:r>
      <w:r w:rsidR="00DC4606" w:rsidRPr="00206B40">
        <w:rPr>
          <w:rFonts w:ascii="Arial" w:hAnsi="Arial" w:cs="Arial"/>
          <w:sz w:val="22"/>
          <w:szCs w:val="22"/>
        </w:rPr>
        <w:t xml:space="preserve">  </w:t>
      </w:r>
    </w:p>
    <w:permEnd w:id="626288957"/>
    <w:p w14:paraId="3862314A" w14:textId="77777777" w:rsidR="00D62A4F" w:rsidRDefault="00D62A4F" w:rsidP="00D62A4F">
      <w:pPr>
        <w:rPr>
          <w:rFonts w:ascii="Arial" w:hAnsi="Arial" w:cs="Arial"/>
        </w:rPr>
      </w:pPr>
      <w:r>
        <w:rPr>
          <w:rFonts w:ascii="Arial" w:hAnsi="Arial" w:cs="Arial"/>
        </w:rPr>
        <w:t>&lt;ESMA_QUESTION_RSFTR_39&gt;</w:t>
      </w:r>
    </w:p>
    <w:p w14:paraId="2A09A8AB" w14:textId="77777777" w:rsidR="00D62A4F" w:rsidRDefault="00D62A4F" w:rsidP="00D62A4F">
      <w:pPr>
        <w:rPr>
          <w:rFonts w:ascii="Arial" w:hAnsi="Arial" w:cs="Arial"/>
        </w:rPr>
      </w:pPr>
    </w:p>
    <w:p w14:paraId="4F987838" w14:textId="77777777" w:rsidR="00D62A4F" w:rsidRDefault="00D62A4F" w:rsidP="00D62A4F">
      <w:pPr>
        <w:pStyle w:val="Questionstyle"/>
        <w:numPr>
          <w:ilvl w:val="0"/>
          <w:numId w:val="9"/>
        </w:numPr>
        <w:spacing w:after="250" w:line="276" w:lineRule="auto"/>
      </w:pPr>
      <w:r>
        <w:t xml:space="preserve">: </w:t>
      </w:r>
      <w:r w:rsidRPr="00F11691">
        <w:t>Are there any other instances that need to be clarified? Please elaborate on the reasons for your response.</w:t>
      </w:r>
    </w:p>
    <w:p w14:paraId="2748DCDA" w14:textId="77777777" w:rsidR="00D62A4F" w:rsidRDefault="00D62A4F" w:rsidP="00D62A4F">
      <w:pPr>
        <w:rPr>
          <w:rFonts w:ascii="Arial" w:hAnsi="Arial" w:cs="Arial"/>
        </w:rPr>
      </w:pPr>
      <w:r>
        <w:rPr>
          <w:rFonts w:ascii="Arial" w:hAnsi="Arial" w:cs="Arial"/>
        </w:rPr>
        <w:t>&lt;ESMA_QUESTION_RSFTR_40&gt;</w:t>
      </w:r>
    </w:p>
    <w:p w14:paraId="314D6F3D" w14:textId="77777777" w:rsidR="00D62A4F" w:rsidRDefault="00D62A4F" w:rsidP="00D62A4F">
      <w:pPr>
        <w:rPr>
          <w:rFonts w:ascii="Arial" w:hAnsi="Arial" w:cs="Arial"/>
        </w:rPr>
      </w:pPr>
      <w:permStart w:id="534008818" w:edGrp="everyone"/>
      <w:r>
        <w:rPr>
          <w:rFonts w:ascii="Arial" w:hAnsi="Arial" w:cs="Arial"/>
        </w:rPr>
        <w:t>TYPE YOUR TEXT HERE</w:t>
      </w:r>
    </w:p>
    <w:permEnd w:id="534008818"/>
    <w:p w14:paraId="02B13B0D" w14:textId="77777777" w:rsidR="00D62A4F" w:rsidRDefault="00D62A4F" w:rsidP="00D62A4F">
      <w:pPr>
        <w:rPr>
          <w:rFonts w:ascii="Arial" w:hAnsi="Arial" w:cs="Arial"/>
        </w:rPr>
      </w:pPr>
      <w:r>
        <w:rPr>
          <w:rFonts w:ascii="Arial" w:hAnsi="Arial" w:cs="Arial"/>
        </w:rPr>
        <w:t>&lt;ESMA_QUESTION_RSFTR_40&gt;</w:t>
      </w:r>
    </w:p>
    <w:p w14:paraId="64330490" w14:textId="77777777" w:rsidR="00D62A4F" w:rsidRDefault="00D62A4F" w:rsidP="00D62A4F">
      <w:pPr>
        <w:rPr>
          <w:rFonts w:ascii="Arial" w:hAnsi="Arial" w:cs="Arial"/>
        </w:rPr>
      </w:pPr>
    </w:p>
    <w:p w14:paraId="1442F3EA" w14:textId="77777777" w:rsidR="00D62A4F" w:rsidRDefault="00D62A4F" w:rsidP="00D62A4F">
      <w:pPr>
        <w:pStyle w:val="Questionstyle"/>
        <w:numPr>
          <w:ilvl w:val="0"/>
          <w:numId w:val="9"/>
        </w:numPr>
        <w:spacing w:after="250" w:line="276" w:lineRule="auto"/>
      </w:pPr>
      <w:r>
        <w:t xml:space="preserve">: </w:t>
      </w:r>
      <w:r w:rsidRPr="00F11691">
        <w:t>Please provide the relative volume of transactions for which issuer’s LEI (of securities used as collateral) or ISIN is not available in principle.</w:t>
      </w:r>
    </w:p>
    <w:p w14:paraId="67941C31" w14:textId="77777777" w:rsidR="00D62A4F" w:rsidRDefault="00D62A4F" w:rsidP="00D62A4F">
      <w:pPr>
        <w:rPr>
          <w:rFonts w:ascii="Arial" w:hAnsi="Arial" w:cs="Arial"/>
        </w:rPr>
      </w:pPr>
      <w:r>
        <w:rPr>
          <w:rFonts w:ascii="Arial" w:hAnsi="Arial" w:cs="Arial"/>
        </w:rPr>
        <w:t>&lt;ESMA_QUESTION_RSFTR_41&gt;</w:t>
      </w:r>
    </w:p>
    <w:p w14:paraId="47CB479D" w14:textId="79D3C8E6" w:rsidR="001326F6" w:rsidRPr="00206B40" w:rsidRDefault="001326F6" w:rsidP="001326F6">
      <w:pPr>
        <w:rPr>
          <w:rFonts w:ascii="Arial" w:hAnsi="Arial" w:cs="Arial"/>
          <w:color w:val="FF0000"/>
          <w:sz w:val="22"/>
          <w:szCs w:val="22"/>
        </w:rPr>
      </w:pPr>
      <w:permStart w:id="669926732" w:edGrp="everyone"/>
      <w:r w:rsidRPr="00206B40">
        <w:rPr>
          <w:rFonts w:ascii="Arial" w:hAnsi="Arial" w:cs="Arial"/>
          <w:sz w:val="22"/>
          <w:szCs w:val="22"/>
          <w:lang w:val="en-US"/>
        </w:rPr>
        <w:t>Approx. 10% of the yearly trading volume does not have an Issuer LEI, i.e. roughly 700 out of 7600 SLB transactions</w:t>
      </w:r>
      <w:r w:rsidR="00CF010E" w:rsidRPr="00206B40">
        <w:rPr>
          <w:rFonts w:ascii="Arial" w:hAnsi="Arial" w:cs="Arial"/>
          <w:sz w:val="22"/>
          <w:szCs w:val="22"/>
        </w:rPr>
        <w:t xml:space="preserve">. </w:t>
      </w:r>
    </w:p>
    <w:permEnd w:id="669926732"/>
    <w:p w14:paraId="02665ADB" w14:textId="77777777" w:rsidR="00D62A4F" w:rsidRDefault="00D62A4F" w:rsidP="00D62A4F">
      <w:pPr>
        <w:rPr>
          <w:rFonts w:ascii="Arial" w:hAnsi="Arial" w:cs="Arial"/>
        </w:rPr>
      </w:pPr>
      <w:r>
        <w:rPr>
          <w:rFonts w:ascii="Arial" w:hAnsi="Arial" w:cs="Arial"/>
        </w:rPr>
        <w:t>&lt;ESMA_QUESTION_RSFTR_41&gt;</w:t>
      </w:r>
    </w:p>
    <w:p w14:paraId="2BB8323E" w14:textId="77777777" w:rsidR="00D62A4F" w:rsidRDefault="00D62A4F" w:rsidP="00D62A4F">
      <w:pPr>
        <w:rPr>
          <w:rFonts w:ascii="Arial" w:hAnsi="Arial" w:cs="Arial"/>
        </w:rPr>
      </w:pPr>
    </w:p>
    <w:p w14:paraId="546C2E38" w14:textId="77777777" w:rsidR="00D62A4F" w:rsidRDefault="00D62A4F" w:rsidP="00D62A4F">
      <w:pPr>
        <w:pStyle w:val="Questionstyle"/>
        <w:numPr>
          <w:ilvl w:val="0"/>
          <w:numId w:val="9"/>
        </w:numPr>
        <w:spacing w:after="250" w:line="276" w:lineRule="auto"/>
      </w:pPr>
      <w:r>
        <w:t xml:space="preserve">: </w:t>
      </w:r>
      <w:r w:rsidRPr="00F11691">
        <w:t>Do you agree with this approach? What other aspects need to be considered? Please elaborate on the reasons for your response.</w:t>
      </w:r>
    </w:p>
    <w:p w14:paraId="553605F1" w14:textId="77777777" w:rsidR="00D62A4F" w:rsidRDefault="00D62A4F" w:rsidP="00D62A4F">
      <w:pPr>
        <w:rPr>
          <w:rFonts w:ascii="Arial" w:hAnsi="Arial" w:cs="Arial"/>
        </w:rPr>
      </w:pPr>
      <w:r>
        <w:rPr>
          <w:rFonts w:ascii="Arial" w:hAnsi="Arial" w:cs="Arial"/>
        </w:rPr>
        <w:t>&lt;ESMA_QUESTION_RSFTR_42&gt;</w:t>
      </w:r>
    </w:p>
    <w:p w14:paraId="3945C6E5" w14:textId="2AF9D898" w:rsidR="00CB60CC" w:rsidRPr="00724C15" w:rsidRDefault="00CB60CC" w:rsidP="00D62A4F">
      <w:pPr>
        <w:rPr>
          <w:rFonts w:asciiTheme="minorHAnsi" w:hAnsiTheme="minorHAnsi" w:cstheme="minorHAnsi"/>
          <w:sz w:val="22"/>
          <w:szCs w:val="22"/>
        </w:rPr>
      </w:pPr>
      <w:permStart w:id="1802378143" w:edGrp="everyone"/>
      <w:r w:rsidRPr="00724C15">
        <w:rPr>
          <w:rFonts w:asciiTheme="minorHAnsi" w:hAnsiTheme="minorHAnsi" w:cstheme="minorHAnsi"/>
          <w:sz w:val="22"/>
          <w:szCs w:val="22"/>
          <w:lang w:val="en-US"/>
        </w:rPr>
        <w:t>Yes. But point 187 should be worded more precisely by naming the respon</w:t>
      </w:r>
      <w:r w:rsidR="00724C15" w:rsidRPr="00724C15">
        <w:rPr>
          <w:rFonts w:asciiTheme="minorHAnsi" w:hAnsiTheme="minorHAnsi" w:cstheme="minorHAnsi"/>
          <w:sz w:val="22"/>
          <w:szCs w:val="22"/>
          <w:lang w:val="en-US"/>
        </w:rPr>
        <w:t>s</w:t>
      </w:r>
      <w:r w:rsidRPr="00724C15">
        <w:rPr>
          <w:rFonts w:asciiTheme="minorHAnsi" w:hAnsiTheme="minorHAnsi" w:cstheme="minorHAnsi"/>
          <w:sz w:val="22"/>
          <w:szCs w:val="22"/>
          <w:lang w:val="en-US"/>
        </w:rPr>
        <w:t>ibilities of the NFC such as provision of LEI, etc</w:t>
      </w:r>
    </w:p>
    <w:permEnd w:id="1802378143"/>
    <w:p w14:paraId="43B900DD" w14:textId="77777777" w:rsidR="00D62A4F" w:rsidRDefault="00D62A4F" w:rsidP="00D62A4F">
      <w:pPr>
        <w:rPr>
          <w:rFonts w:ascii="Arial" w:hAnsi="Arial" w:cs="Arial"/>
        </w:rPr>
      </w:pPr>
      <w:r>
        <w:rPr>
          <w:rFonts w:ascii="Arial" w:hAnsi="Arial" w:cs="Arial"/>
        </w:rPr>
        <w:t>&lt;ESMA_QUESTION_RSFTR_42&gt;</w:t>
      </w:r>
    </w:p>
    <w:p w14:paraId="2B62F893" w14:textId="77777777" w:rsidR="00D62A4F" w:rsidRDefault="00D62A4F" w:rsidP="00D62A4F">
      <w:pPr>
        <w:rPr>
          <w:rFonts w:ascii="Arial" w:hAnsi="Arial" w:cs="Arial"/>
        </w:rPr>
      </w:pPr>
    </w:p>
    <w:p w14:paraId="0EE6F486" w14:textId="77777777" w:rsidR="00D62A4F" w:rsidRDefault="00D62A4F" w:rsidP="00D62A4F">
      <w:pPr>
        <w:pStyle w:val="Questionstyle"/>
        <w:numPr>
          <w:ilvl w:val="0"/>
          <w:numId w:val="9"/>
        </w:numPr>
        <w:spacing w:after="250" w:line="276" w:lineRule="auto"/>
      </w:pPr>
      <w:r>
        <w:t xml:space="preserve">: </w:t>
      </w:r>
      <w:r w:rsidRPr="00F11691">
        <w:t>Do you believe there are other use cases that need to be further defined in this subsection? Do you agree with the applicability of those use cases to the different types of SFTs as outlined above?  Please detail the reasons for your answers.</w:t>
      </w:r>
    </w:p>
    <w:p w14:paraId="4D3F7958" w14:textId="77777777" w:rsidR="00D62A4F" w:rsidRDefault="00D62A4F" w:rsidP="00D62A4F">
      <w:pPr>
        <w:rPr>
          <w:rFonts w:ascii="Arial" w:hAnsi="Arial" w:cs="Arial"/>
        </w:rPr>
      </w:pPr>
      <w:r>
        <w:rPr>
          <w:rFonts w:ascii="Arial" w:hAnsi="Arial" w:cs="Arial"/>
        </w:rPr>
        <w:t>&lt;ESMA_QUESTION_RSFTR_43&gt;</w:t>
      </w:r>
    </w:p>
    <w:p w14:paraId="171EF572" w14:textId="517B42D2" w:rsidR="00D62A4F" w:rsidRDefault="001326F6" w:rsidP="00D62A4F">
      <w:pPr>
        <w:rPr>
          <w:rFonts w:ascii="Arial" w:hAnsi="Arial" w:cs="Arial"/>
        </w:rPr>
      </w:pPr>
      <w:permStart w:id="178403384" w:edGrp="everyone"/>
      <w:r>
        <w:rPr>
          <w:rFonts w:ascii="Arial" w:hAnsi="Arial" w:cs="Arial"/>
        </w:rPr>
        <w:t>No.</w:t>
      </w:r>
    </w:p>
    <w:permEnd w:id="178403384"/>
    <w:p w14:paraId="19BACD0A" w14:textId="77777777" w:rsidR="00D62A4F" w:rsidRDefault="00D62A4F" w:rsidP="00D62A4F">
      <w:pPr>
        <w:rPr>
          <w:rFonts w:ascii="Arial" w:hAnsi="Arial" w:cs="Arial"/>
        </w:rPr>
      </w:pPr>
      <w:r>
        <w:rPr>
          <w:rFonts w:ascii="Arial" w:hAnsi="Arial" w:cs="Arial"/>
        </w:rPr>
        <w:t>&lt;ESMA_QUESTION_RSFTR_43&gt;</w:t>
      </w:r>
    </w:p>
    <w:p w14:paraId="2E58BC12" w14:textId="77777777" w:rsidR="00D62A4F" w:rsidRDefault="00D62A4F" w:rsidP="00D62A4F">
      <w:pPr>
        <w:rPr>
          <w:rFonts w:ascii="Arial" w:hAnsi="Arial" w:cs="Arial"/>
        </w:rPr>
      </w:pPr>
    </w:p>
    <w:p w14:paraId="1D33C44D" w14:textId="77777777" w:rsidR="00D62A4F" w:rsidRDefault="00D62A4F" w:rsidP="00D62A4F">
      <w:pPr>
        <w:pStyle w:val="Questionstyle"/>
        <w:numPr>
          <w:ilvl w:val="0"/>
          <w:numId w:val="9"/>
        </w:numPr>
        <w:spacing w:after="250" w:line="276" w:lineRule="auto"/>
      </w:pPr>
      <w:r>
        <w:t xml:space="preserve">: </w:t>
      </w:r>
      <w:r w:rsidRPr="00F11691">
        <w:t>Do you agree with the population of the counterparty data fields? Please detail the reasons for your response and indicate the table to which your comments refer.</w:t>
      </w:r>
    </w:p>
    <w:p w14:paraId="65FE7591" w14:textId="77777777" w:rsidR="00D62A4F" w:rsidRDefault="00D62A4F" w:rsidP="00D62A4F">
      <w:pPr>
        <w:rPr>
          <w:rFonts w:ascii="Arial" w:hAnsi="Arial" w:cs="Arial"/>
        </w:rPr>
      </w:pPr>
      <w:r>
        <w:rPr>
          <w:rFonts w:ascii="Arial" w:hAnsi="Arial" w:cs="Arial"/>
        </w:rPr>
        <w:t>&lt;ESMA_QUESTION_RSFTR_44&gt;</w:t>
      </w:r>
    </w:p>
    <w:p w14:paraId="6DF13355" w14:textId="3A47DAD5" w:rsidR="00D62A4F" w:rsidRDefault="001326F6" w:rsidP="00D62A4F">
      <w:pPr>
        <w:rPr>
          <w:rFonts w:ascii="Arial" w:hAnsi="Arial" w:cs="Arial"/>
        </w:rPr>
      </w:pPr>
      <w:permStart w:id="34804673" w:edGrp="everyone"/>
      <w:r>
        <w:rPr>
          <w:rFonts w:ascii="Arial" w:hAnsi="Arial" w:cs="Arial"/>
        </w:rPr>
        <w:t>Yes.</w:t>
      </w:r>
    </w:p>
    <w:permEnd w:id="34804673"/>
    <w:p w14:paraId="594B4727" w14:textId="77777777" w:rsidR="00D62A4F" w:rsidRDefault="00D62A4F" w:rsidP="00D62A4F">
      <w:pPr>
        <w:rPr>
          <w:rFonts w:ascii="Arial" w:hAnsi="Arial" w:cs="Arial"/>
        </w:rPr>
      </w:pPr>
      <w:r>
        <w:rPr>
          <w:rFonts w:ascii="Arial" w:hAnsi="Arial" w:cs="Arial"/>
        </w:rPr>
        <w:t>&lt;ESMA_QUESTION_RSFTR_44&gt;</w:t>
      </w:r>
    </w:p>
    <w:p w14:paraId="37F58600" w14:textId="77777777" w:rsidR="00D62A4F" w:rsidRDefault="00D62A4F" w:rsidP="00D62A4F">
      <w:pPr>
        <w:rPr>
          <w:rFonts w:ascii="Arial" w:hAnsi="Arial" w:cs="Arial"/>
        </w:rPr>
      </w:pPr>
    </w:p>
    <w:p w14:paraId="612277E1"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action types? Please detail the reasons for your response and include a reference to the specific table.</w:t>
      </w:r>
    </w:p>
    <w:p w14:paraId="025DD054" w14:textId="77777777" w:rsidR="00D62A4F" w:rsidRDefault="00D62A4F" w:rsidP="00D62A4F">
      <w:pPr>
        <w:rPr>
          <w:rFonts w:ascii="Arial" w:hAnsi="Arial" w:cs="Arial"/>
        </w:rPr>
      </w:pPr>
      <w:r>
        <w:rPr>
          <w:rFonts w:ascii="Arial" w:hAnsi="Arial" w:cs="Arial"/>
        </w:rPr>
        <w:t>&lt;ESMA_QUESTION_RSFTR_45&gt;</w:t>
      </w:r>
    </w:p>
    <w:p w14:paraId="014DD696" w14:textId="77777777" w:rsidR="00494393" w:rsidRPr="00206B40" w:rsidRDefault="001326F6" w:rsidP="00D62A4F">
      <w:pPr>
        <w:rPr>
          <w:rFonts w:ascii="Arial" w:hAnsi="Arial" w:cs="Arial"/>
          <w:sz w:val="22"/>
          <w:szCs w:val="22"/>
        </w:rPr>
      </w:pPr>
      <w:permStart w:id="998066902" w:edGrp="everyone"/>
      <w:r w:rsidRPr="00206B40">
        <w:rPr>
          <w:rFonts w:ascii="Arial" w:hAnsi="Arial" w:cs="Arial"/>
          <w:sz w:val="22"/>
          <w:szCs w:val="22"/>
        </w:rPr>
        <w:t>Yes.</w:t>
      </w:r>
    </w:p>
    <w:p w14:paraId="571E56A1" w14:textId="77777777" w:rsidR="00494393" w:rsidRPr="00206B40" w:rsidRDefault="00494393" w:rsidP="00D62A4F">
      <w:pPr>
        <w:rPr>
          <w:rFonts w:ascii="Arial" w:hAnsi="Arial" w:cs="Arial"/>
          <w:sz w:val="22"/>
          <w:szCs w:val="22"/>
        </w:rPr>
      </w:pPr>
    </w:p>
    <w:p w14:paraId="41267488" w14:textId="21990D45" w:rsidR="00494393" w:rsidRPr="007246A6" w:rsidRDefault="00494393" w:rsidP="00494393">
      <w:pPr>
        <w:rPr>
          <w:rFonts w:ascii="Arial" w:hAnsi="Arial" w:cs="Arial"/>
        </w:rPr>
      </w:pPr>
      <w:r w:rsidRPr="00206B40">
        <w:rPr>
          <w:rFonts w:ascii="Arial" w:hAnsi="Arial" w:cs="Arial"/>
          <w:sz w:val="22"/>
          <w:szCs w:val="22"/>
        </w:rPr>
        <w:lastRenderedPageBreak/>
        <w:t>As statet in answer to question 27 we see action type MODI problematic for some trade events</w:t>
      </w:r>
      <w:r>
        <w:rPr>
          <w:rFonts w:ascii="Arial" w:hAnsi="Arial" w:cs="Arial"/>
        </w:rPr>
        <w:t xml:space="preserve">. </w:t>
      </w:r>
    </w:p>
    <w:permEnd w:id="998066902"/>
    <w:p w14:paraId="01B01F9E" w14:textId="222DEE5E" w:rsidR="00D62A4F" w:rsidRDefault="00D62A4F" w:rsidP="00D62A4F">
      <w:pPr>
        <w:rPr>
          <w:rFonts w:ascii="Arial" w:hAnsi="Arial" w:cs="Arial"/>
        </w:rPr>
      </w:pPr>
      <w:r>
        <w:rPr>
          <w:rFonts w:ascii="Arial" w:hAnsi="Arial" w:cs="Arial"/>
        </w:rPr>
        <w:t>&lt;ESMA_QUESTION_RSFTR_45&gt;</w:t>
      </w:r>
    </w:p>
    <w:p w14:paraId="5CB99BA1" w14:textId="77777777" w:rsidR="00D62A4F" w:rsidRDefault="00D62A4F" w:rsidP="00D62A4F">
      <w:pPr>
        <w:rPr>
          <w:rFonts w:ascii="Arial" w:hAnsi="Arial" w:cs="Arial"/>
        </w:rPr>
      </w:pPr>
    </w:p>
    <w:p w14:paraId="57946846"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event date? Please detail the reasons for your response and include a reference to the specific table.</w:t>
      </w:r>
    </w:p>
    <w:p w14:paraId="73712EC7" w14:textId="77777777" w:rsidR="00D62A4F" w:rsidRDefault="00D62A4F" w:rsidP="00D62A4F">
      <w:pPr>
        <w:rPr>
          <w:rFonts w:ascii="Arial" w:hAnsi="Arial" w:cs="Arial"/>
        </w:rPr>
      </w:pPr>
      <w:r>
        <w:rPr>
          <w:rFonts w:ascii="Arial" w:hAnsi="Arial" w:cs="Arial"/>
        </w:rPr>
        <w:t>&lt;ESMA_QUESTION_RSFTR_46&gt;</w:t>
      </w:r>
    </w:p>
    <w:p w14:paraId="4686DB6A" w14:textId="22F393F3" w:rsidR="001326F6" w:rsidRPr="00206B40" w:rsidRDefault="001326F6" w:rsidP="001326F6">
      <w:pPr>
        <w:rPr>
          <w:rFonts w:ascii="Arial" w:hAnsi="Arial" w:cs="Arial"/>
          <w:sz w:val="22"/>
          <w:szCs w:val="22"/>
        </w:rPr>
      </w:pPr>
      <w:permStart w:id="21845861" w:edGrp="everyone"/>
      <w:r w:rsidRPr="00206B40">
        <w:rPr>
          <w:rFonts w:ascii="Arial" w:hAnsi="Arial" w:cs="Arial"/>
          <w:sz w:val="22"/>
          <w:szCs w:val="22"/>
        </w:rPr>
        <w:t xml:space="preserve">ESMA is asked to clarify the term “takes place”. </w:t>
      </w:r>
      <w:r w:rsidR="00B00015" w:rsidRPr="00206B40">
        <w:rPr>
          <w:rFonts w:ascii="Arial" w:hAnsi="Arial" w:cs="Arial"/>
          <w:sz w:val="22"/>
          <w:szCs w:val="22"/>
        </w:rPr>
        <w:t>Our understanding is</w:t>
      </w:r>
      <w:r w:rsidRPr="00206B40">
        <w:rPr>
          <w:rFonts w:ascii="Arial" w:hAnsi="Arial" w:cs="Arial"/>
          <w:sz w:val="22"/>
          <w:szCs w:val="22"/>
        </w:rPr>
        <w:t>:</w:t>
      </w:r>
    </w:p>
    <w:p w14:paraId="0C6B0DDD" w14:textId="39769D5C" w:rsidR="001326F6" w:rsidRPr="00206B40" w:rsidRDefault="001326F6" w:rsidP="001326F6">
      <w:pPr>
        <w:rPr>
          <w:rFonts w:ascii="Arial" w:hAnsi="Arial" w:cs="Arial"/>
          <w:sz w:val="22"/>
          <w:szCs w:val="22"/>
        </w:rPr>
      </w:pPr>
      <w:r w:rsidRPr="00206B40">
        <w:rPr>
          <w:rFonts w:ascii="Arial" w:hAnsi="Arial" w:cs="Arial"/>
          <w:sz w:val="22"/>
          <w:szCs w:val="22"/>
        </w:rPr>
        <w:t>A modification is booked with settlement/effective date on 23 August, which would be the event date. Therefore the modification must be reported latest on the 24 August, although the settlement fails</w:t>
      </w:r>
    </w:p>
    <w:permEnd w:id="21845861"/>
    <w:p w14:paraId="5626AA7E" w14:textId="77777777" w:rsidR="00D62A4F" w:rsidRDefault="00D62A4F" w:rsidP="00D62A4F">
      <w:pPr>
        <w:rPr>
          <w:rFonts w:ascii="Arial" w:hAnsi="Arial" w:cs="Arial"/>
        </w:rPr>
      </w:pPr>
      <w:r>
        <w:rPr>
          <w:rFonts w:ascii="Arial" w:hAnsi="Arial" w:cs="Arial"/>
        </w:rPr>
        <w:t>&lt;ESMA_QUESTION_RSFTR_46&gt;</w:t>
      </w:r>
    </w:p>
    <w:p w14:paraId="246779CB" w14:textId="77777777" w:rsidR="00D62A4F" w:rsidRDefault="00D62A4F" w:rsidP="00D62A4F">
      <w:pPr>
        <w:rPr>
          <w:rFonts w:ascii="Arial" w:hAnsi="Arial" w:cs="Arial"/>
        </w:rPr>
      </w:pPr>
    </w:p>
    <w:p w14:paraId="30B8284E"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clearing? Please detail the reasons for your response and include a reference to the specific table.</w:t>
      </w:r>
    </w:p>
    <w:p w14:paraId="23EEFDB9" w14:textId="77777777" w:rsidR="00D62A4F" w:rsidRDefault="00D62A4F" w:rsidP="00D62A4F">
      <w:pPr>
        <w:rPr>
          <w:rFonts w:ascii="Arial" w:hAnsi="Arial" w:cs="Arial"/>
        </w:rPr>
      </w:pPr>
      <w:r>
        <w:rPr>
          <w:rFonts w:ascii="Arial" w:hAnsi="Arial" w:cs="Arial"/>
        </w:rPr>
        <w:t>&lt;ESMA_QUESTION_RSFTR_47&gt;</w:t>
      </w:r>
    </w:p>
    <w:p w14:paraId="62C9538D" w14:textId="77777777" w:rsidR="00793CF8" w:rsidRPr="00206B40" w:rsidRDefault="001326F6" w:rsidP="001326F6">
      <w:pPr>
        <w:rPr>
          <w:rFonts w:ascii="Arial" w:hAnsi="Arial" w:cs="Arial"/>
          <w:sz w:val="22"/>
          <w:szCs w:val="22"/>
        </w:rPr>
      </w:pPr>
      <w:permStart w:id="1488136226" w:edGrp="everyone"/>
      <w:r w:rsidRPr="00206B40">
        <w:rPr>
          <w:rFonts w:ascii="Arial" w:hAnsi="Arial" w:cs="Arial"/>
          <w:sz w:val="22"/>
          <w:szCs w:val="22"/>
        </w:rPr>
        <w:t>ESMA should provide further guidance on table 49.</w:t>
      </w:r>
    </w:p>
    <w:p w14:paraId="677DF8D7" w14:textId="77777777" w:rsidR="00793CF8" w:rsidRPr="00206B40" w:rsidRDefault="00793CF8" w:rsidP="001326F6">
      <w:pPr>
        <w:rPr>
          <w:rFonts w:ascii="Arial" w:hAnsi="Arial" w:cs="Arial"/>
          <w:sz w:val="22"/>
          <w:szCs w:val="22"/>
        </w:rPr>
      </w:pPr>
    </w:p>
    <w:p w14:paraId="269FDDA9" w14:textId="77777777" w:rsidR="00793CF8" w:rsidRPr="00206B40" w:rsidRDefault="00793CF8" w:rsidP="00793CF8">
      <w:pPr>
        <w:rPr>
          <w:rFonts w:asciiTheme="minorHAnsi" w:hAnsiTheme="minorHAnsi" w:cstheme="minorHAnsi"/>
          <w:sz w:val="22"/>
          <w:szCs w:val="22"/>
          <w:lang w:val="en-US"/>
        </w:rPr>
      </w:pPr>
      <w:r w:rsidRPr="00206B40">
        <w:rPr>
          <w:rFonts w:asciiTheme="minorHAnsi" w:hAnsiTheme="minorHAnsi" w:cstheme="minorHAnsi"/>
          <w:sz w:val="22"/>
          <w:szCs w:val="22"/>
          <w:lang w:val="en-US"/>
        </w:rPr>
        <w:t>The use case is as follows:</w:t>
      </w:r>
    </w:p>
    <w:p w14:paraId="5E075AA9" w14:textId="77777777" w:rsidR="00793CF8" w:rsidRPr="00206B40" w:rsidRDefault="00793CF8" w:rsidP="00793CF8">
      <w:pPr>
        <w:rPr>
          <w:rFonts w:asciiTheme="minorHAnsi" w:hAnsiTheme="minorHAnsi" w:cstheme="minorHAnsi"/>
          <w:sz w:val="22"/>
          <w:szCs w:val="22"/>
          <w:lang w:val="en-US"/>
        </w:rPr>
      </w:pPr>
    </w:p>
    <w:p w14:paraId="5B2DDD0F" w14:textId="77777777" w:rsidR="00793CF8" w:rsidRPr="00206B40" w:rsidRDefault="00793CF8" w:rsidP="00793CF8">
      <w:pPr>
        <w:rPr>
          <w:rFonts w:asciiTheme="minorHAnsi" w:hAnsiTheme="minorHAnsi" w:cstheme="minorHAnsi"/>
          <w:sz w:val="22"/>
          <w:szCs w:val="22"/>
          <w:lang w:val="en-US"/>
        </w:rPr>
      </w:pPr>
      <w:r w:rsidRPr="00206B40">
        <w:rPr>
          <w:rFonts w:asciiTheme="minorHAnsi" w:hAnsiTheme="minorHAnsi" w:cstheme="minorHAnsi"/>
          <w:sz w:val="22"/>
          <w:szCs w:val="22"/>
          <w:lang w:val="en-US"/>
        </w:rPr>
        <w:t>Counterparty A is concluding an SLB with counterparty B via a trading platform, e.g. NGT. This is a bilateral agreement, details are sent to the CCP for clearing in a novation model on the same day.</w:t>
      </w:r>
    </w:p>
    <w:p w14:paraId="09867639" w14:textId="77777777" w:rsidR="00793CF8" w:rsidRPr="00206B40" w:rsidRDefault="00793CF8" w:rsidP="00793CF8">
      <w:pPr>
        <w:rPr>
          <w:rFonts w:asciiTheme="minorHAnsi" w:hAnsiTheme="minorHAnsi" w:cstheme="minorHAnsi"/>
          <w:sz w:val="22"/>
          <w:szCs w:val="22"/>
          <w:lang w:val="en-US"/>
        </w:rPr>
      </w:pPr>
    </w:p>
    <w:p w14:paraId="06722028" w14:textId="77777777" w:rsidR="00793CF8" w:rsidRPr="00206B40" w:rsidRDefault="00793CF8" w:rsidP="00793CF8">
      <w:pPr>
        <w:rPr>
          <w:rFonts w:asciiTheme="minorHAnsi" w:hAnsiTheme="minorHAnsi" w:cstheme="minorHAnsi"/>
          <w:sz w:val="22"/>
          <w:szCs w:val="22"/>
          <w:lang w:val="en-US"/>
        </w:rPr>
      </w:pPr>
      <w:r w:rsidRPr="00206B40">
        <w:rPr>
          <w:rFonts w:asciiTheme="minorHAnsi" w:hAnsiTheme="minorHAnsi" w:cstheme="minorHAnsi"/>
          <w:sz w:val="22"/>
          <w:szCs w:val="22"/>
          <w:lang w:val="en-US"/>
        </w:rPr>
        <w:t xml:space="preserve">As the reporting obligation requires the reporting of the SFT latest on t+1, but the conclusion and the clearing of the bilateral trade takes place on the same day, it should be clarified wether the bilateral trade beeing being rplaced by a cleared SFT on the same day is to be reported as well. </w:t>
      </w:r>
    </w:p>
    <w:p w14:paraId="634861E4" w14:textId="77777777" w:rsidR="00793CF8" w:rsidRPr="00206B40" w:rsidRDefault="00793CF8" w:rsidP="00793CF8">
      <w:pPr>
        <w:rPr>
          <w:rFonts w:asciiTheme="minorHAnsi" w:hAnsiTheme="minorHAnsi" w:cstheme="minorHAnsi"/>
          <w:sz w:val="22"/>
          <w:szCs w:val="22"/>
          <w:lang w:val="en-US"/>
        </w:rPr>
      </w:pPr>
    </w:p>
    <w:p w14:paraId="6AE04CFB" w14:textId="77777777" w:rsidR="00793CF8" w:rsidRPr="00206B40" w:rsidRDefault="00793CF8" w:rsidP="00793CF8">
      <w:pPr>
        <w:rPr>
          <w:rFonts w:asciiTheme="minorHAnsi" w:hAnsiTheme="minorHAnsi" w:cstheme="minorHAnsi"/>
          <w:sz w:val="22"/>
          <w:szCs w:val="22"/>
          <w:lang w:val="en-US"/>
        </w:rPr>
      </w:pPr>
      <w:r w:rsidRPr="00206B40">
        <w:rPr>
          <w:rFonts w:asciiTheme="minorHAnsi" w:hAnsiTheme="minorHAnsi" w:cstheme="minorHAnsi"/>
          <w:sz w:val="22"/>
          <w:szCs w:val="22"/>
          <w:lang w:val="en-US"/>
        </w:rPr>
        <w:t xml:space="preserve">It is our understanding that the cleared transaction must be reported with the report tracking number, i.e. the UTI of the bilateral trade. This would imply for the described case, that the reporting timeline of t+1 cannot be met, as this trade must be reported before the novated deal with the CCP is subsequently reported as well. </w:t>
      </w:r>
    </w:p>
    <w:p w14:paraId="39F61B44" w14:textId="77777777" w:rsidR="00793CF8" w:rsidRPr="00206B40" w:rsidRDefault="00793CF8" w:rsidP="00793CF8">
      <w:pPr>
        <w:rPr>
          <w:rFonts w:asciiTheme="minorHAnsi" w:hAnsiTheme="minorHAnsi" w:cstheme="minorHAnsi"/>
          <w:sz w:val="22"/>
          <w:szCs w:val="22"/>
          <w:lang w:val="en-US"/>
        </w:rPr>
      </w:pPr>
    </w:p>
    <w:p w14:paraId="3180D0B4" w14:textId="77777777" w:rsidR="00793CF8" w:rsidRPr="00206B40" w:rsidRDefault="00793CF8" w:rsidP="00793CF8">
      <w:pPr>
        <w:rPr>
          <w:rFonts w:asciiTheme="minorHAnsi" w:hAnsiTheme="minorHAnsi" w:cstheme="minorHAnsi"/>
          <w:sz w:val="22"/>
          <w:szCs w:val="22"/>
          <w:lang w:val="en-US"/>
        </w:rPr>
      </w:pPr>
      <w:r w:rsidRPr="00206B40">
        <w:rPr>
          <w:rFonts w:asciiTheme="minorHAnsi" w:hAnsiTheme="minorHAnsi" w:cstheme="minorHAnsi"/>
          <w:sz w:val="22"/>
          <w:szCs w:val="22"/>
          <w:lang w:val="en-US"/>
        </w:rPr>
        <w:t>ESMA should provide a clarification.</w:t>
      </w:r>
    </w:p>
    <w:p w14:paraId="6C55D496" w14:textId="648899B7" w:rsidR="001326F6" w:rsidRPr="00206B40" w:rsidRDefault="001326F6" w:rsidP="001326F6">
      <w:pPr>
        <w:rPr>
          <w:rFonts w:asciiTheme="minorHAnsi" w:hAnsiTheme="minorHAnsi" w:cstheme="minorHAnsi"/>
          <w:sz w:val="22"/>
          <w:szCs w:val="22"/>
        </w:rPr>
      </w:pPr>
      <w:r w:rsidRPr="00206B40">
        <w:rPr>
          <w:rFonts w:asciiTheme="minorHAnsi" w:hAnsiTheme="minorHAnsi" w:cstheme="minorHAnsi"/>
          <w:sz w:val="22"/>
          <w:szCs w:val="22"/>
        </w:rPr>
        <w:t xml:space="preserve"> </w:t>
      </w:r>
    </w:p>
    <w:p w14:paraId="33C96EBC" w14:textId="77777777" w:rsidR="001326F6" w:rsidRPr="00206B40" w:rsidRDefault="001326F6" w:rsidP="001326F6">
      <w:pPr>
        <w:rPr>
          <w:rFonts w:asciiTheme="minorHAnsi" w:hAnsiTheme="minorHAnsi" w:cstheme="minorHAnsi"/>
          <w:sz w:val="22"/>
          <w:szCs w:val="22"/>
        </w:rPr>
      </w:pPr>
    </w:p>
    <w:p w14:paraId="3928281C" w14:textId="7A28499B" w:rsidR="00B4093E" w:rsidRPr="00206B40" w:rsidRDefault="00B4093E" w:rsidP="00B4093E">
      <w:pPr>
        <w:rPr>
          <w:rFonts w:asciiTheme="minorHAnsi" w:hAnsiTheme="minorHAnsi" w:cstheme="minorHAnsi"/>
          <w:sz w:val="22"/>
          <w:szCs w:val="22"/>
        </w:rPr>
      </w:pPr>
      <w:r w:rsidRPr="00206B40">
        <w:rPr>
          <w:rFonts w:asciiTheme="minorHAnsi" w:hAnsiTheme="minorHAnsi" w:cstheme="minorHAnsi"/>
          <w:sz w:val="22"/>
          <w:szCs w:val="22"/>
        </w:rPr>
        <w:t>We need further clarification for DBV model . Is this only relevant for LCH cleared trades ?</w:t>
      </w:r>
      <w:r w:rsidR="00793CF8" w:rsidRPr="00206B40">
        <w:rPr>
          <w:rFonts w:asciiTheme="minorHAnsi" w:hAnsiTheme="minorHAnsi" w:cstheme="minorHAnsi"/>
          <w:sz w:val="22"/>
          <w:szCs w:val="22"/>
          <w:lang w:val="en-US" w:eastAsia="de-DE"/>
        </w:rPr>
        <w:t xml:space="preserve"> Please provide an explanation what ESMA understands when talking about a “DBV model”</w:t>
      </w:r>
      <w:r w:rsidRPr="00206B40">
        <w:rPr>
          <w:rFonts w:asciiTheme="minorHAnsi" w:hAnsiTheme="minorHAnsi" w:cstheme="minorHAnsi"/>
          <w:sz w:val="22"/>
          <w:szCs w:val="22"/>
        </w:rPr>
        <w:t xml:space="preserve"> </w:t>
      </w:r>
    </w:p>
    <w:p w14:paraId="41D011F5" w14:textId="664DB560" w:rsidR="00B4093E" w:rsidRPr="00206B40" w:rsidRDefault="00B4093E" w:rsidP="00B4093E">
      <w:pPr>
        <w:rPr>
          <w:rFonts w:ascii="Arial" w:hAnsi="Arial" w:cs="Arial"/>
          <w:sz w:val="22"/>
          <w:szCs w:val="22"/>
        </w:rPr>
      </w:pPr>
    </w:p>
    <w:p w14:paraId="2D13CA33" w14:textId="220172CE" w:rsidR="00B4093E" w:rsidRPr="00206B40" w:rsidRDefault="00787715" w:rsidP="00561B41">
      <w:pPr>
        <w:rPr>
          <w:rFonts w:ascii="Arial" w:hAnsi="Arial" w:cs="Arial"/>
          <w:sz w:val="22"/>
          <w:szCs w:val="22"/>
        </w:rPr>
      </w:pPr>
      <w:r w:rsidRPr="00206B40">
        <w:rPr>
          <w:rFonts w:ascii="Arial" w:hAnsi="Arial" w:cs="Arial"/>
          <w:sz w:val="22"/>
          <w:szCs w:val="22"/>
        </w:rPr>
        <w:t>Explicit clarification on the practicalities of requiring RTN is requested.</w:t>
      </w:r>
    </w:p>
    <w:permEnd w:id="1488136226"/>
    <w:p w14:paraId="64711F0E" w14:textId="77777777" w:rsidR="00D62A4F" w:rsidRDefault="00D62A4F" w:rsidP="00D62A4F">
      <w:pPr>
        <w:rPr>
          <w:rFonts w:ascii="Arial" w:hAnsi="Arial" w:cs="Arial"/>
        </w:rPr>
      </w:pPr>
      <w:r>
        <w:rPr>
          <w:rFonts w:ascii="Arial" w:hAnsi="Arial" w:cs="Arial"/>
        </w:rPr>
        <w:t>&lt;ESMA_QUESTION_RSFTR_47&gt;</w:t>
      </w:r>
    </w:p>
    <w:p w14:paraId="62C1371F" w14:textId="77777777" w:rsidR="00D62A4F" w:rsidRDefault="00D62A4F" w:rsidP="00D62A4F">
      <w:pPr>
        <w:rPr>
          <w:rFonts w:ascii="Arial" w:hAnsi="Arial" w:cs="Arial"/>
        </w:rPr>
      </w:pPr>
    </w:p>
    <w:p w14:paraId="296C94B4"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trading venue field? Please detail the reasons for your response and include a reference to the specific table.</w:t>
      </w:r>
    </w:p>
    <w:p w14:paraId="45917B35" w14:textId="77777777" w:rsidR="00D62A4F" w:rsidRDefault="00D62A4F" w:rsidP="00D62A4F">
      <w:pPr>
        <w:rPr>
          <w:rFonts w:ascii="Arial" w:hAnsi="Arial" w:cs="Arial"/>
        </w:rPr>
      </w:pPr>
      <w:r>
        <w:rPr>
          <w:rFonts w:ascii="Arial" w:hAnsi="Arial" w:cs="Arial"/>
        </w:rPr>
        <w:t>&lt;ESMA_QUESTION_RSFTR_48&gt;</w:t>
      </w:r>
    </w:p>
    <w:p w14:paraId="261F2C10" w14:textId="77777777" w:rsidR="001326F6" w:rsidRPr="001326F6" w:rsidRDefault="001326F6" w:rsidP="001326F6">
      <w:pPr>
        <w:rPr>
          <w:rFonts w:ascii="Arial" w:hAnsi="Arial" w:cs="Arial"/>
          <w:lang w:val="es-ES"/>
        </w:rPr>
      </w:pPr>
      <w:permStart w:id="344137476" w:edGrp="everyone"/>
      <w:r w:rsidRPr="001326F6">
        <w:rPr>
          <w:rFonts w:ascii="Arial" w:hAnsi="Arial" w:cs="Arial"/>
          <w:lang w:val="es-ES"/>
        </w:rPr>
        <w:t>Yes.</w:t>
      </w:r>
    </w:p>
    <w:permEnd w:id="344137476"/>
    <w:p w14:paraId="52F12617" w14:textId="77777777" w:rsidR="00D62A4F" w:rsidRDefault="00D62A4F" w:rsidP="00D62A4F">
      <w:pPr>
        <w:rPr>
          <w:rFonts w:ascii="Arial" w:hAnsi="Arial" w:cs="Arial"/>
        </w:rPr>
      </w:pPr>
      <w:r>
        <w:rPr>
          <w:rFonts w:ascii="Arial" w:hAnsi="Arial" w:cs="Arial"/>
        </w:rPr>
        <w:t>&lt;ESMA_QUESTION_RSFTR_48&gt;</w:t>
      </w:r>
    </w:p>
    <w:p w14:paraId="084F1BFF" w14:textId="77777777" w:rsidR="00D62A4F" w:rsidRDefault="00D62A4F" w:rsidP="00D62A4F">
      <w:pPr>
        <w:rPr>
          <w:rFonts w:ascii="Arial" w:hAnsi="Arial" w:cs="Arial"/>
        </w:rPr>
      </w:pPr>
    </w:p>
    <w:p w14:paraId="5DF1BEBB" w14:textId="77777777" w:rsidR="00D62A4F" w:rsidRDefault="00D62A4F" w:rsidP="00D62A4F">
      <w:pPr>
        <w:pStyle w:val="Questionstyle"/>
        <w:numPr>
          <w:ilvl w:val="0"/>
          <w:numId w:val="9"/>
        </w:numPr>
        <w:spacing w:after="250" w:line="276" w:lineRule="auto"/>
      </w:pPr>
      <w:r>
        <w:lastRenderedPageBreak/>
        <w:t xml:space="preserve">: </w:t>
      </w:r>
      <w:r w:rsidRPr="00F11691">
        <w:t>Do you have any remarks or questions concerning the reporting of master agreements? Please detail the reasons for your response and include a reference to the specific table.</w:t>
      </w:r>
    </w:p>
    <w:p w14:paraId="1E2EF583" w14:textId="77777777" w:rsidR="00D62A4F" w:rsidRDefault="00D62A4F" w:rsidP="00D62A4F">
      <w:pPr>
        <w:rPr>
          <w:rFonts w:ascii="Arial" w:hAnsi="Arial" w:cs="Arial"/>
        </w:rPr>
      </w:pPr>
      <w:r>
        <w:rPr>
          <w:rFonts w:ascii="Arial" w:hAnsi="Arial" w:cs="Arial"/>
        </w:rPr>
        <w:t>&lt;ESMA_QUESTION_RSFTR_49&gt;</w:t>
      </w:r>
    </w:p>
    <w:p w14:paraId="0A8D5372" w14:textId="77777777" w:rsidR="00D62A4F" w:rsidRDefault="00D62A4F" w:rsidP="00D62A4F">
      <w:pPr>
        <w:rPr>
          <w:rFonts w:ascii="Arial" w:hAnsi="Arial" w:cs="Arial"/>
        </w:rPr>
      </w:pPr>
      <w:permStart w:id="1207306935" w:edGrp="everyone"/>
      <w:r>
        <w:rPr>
          <w:rFonts w:ascii="Arial" w:hAnsi="Arial" w:cs="Arial"/>
        </w:rPr>
        <w:t>TYPE YOUR TEXT HERE</w:t>
      </w:r>
    </w:p>
    <w:permEnd w:id="1207306935"/>
    <w:p w14:paraId="6AC7005F" w14:textId="77777777" w:rsidR="00D62A4F" w:rsidRDefault="00D62A4F" w:rsidP="00D62A4F">
      <w:pPr>
        <w:rPr>
          <w:rFonts w:ascii="Arial" w:hAnsi="Arial" w:cs="Arial"/>
        </w:rPr>
      </w:pPr>
      <w:r>
        <w:rPr>
          <w:rFonts w:ascii="Arial" w:hAnsi="Arial" w:cs="Arial"/>
        </w:rPr>
        <w:t>&lt;ESMA_QUESTION_RSFTR_49&gt;</w:t>
      </w:r>
    </w:p>
    <w:p w14:paraId="6F66330C" w14:textId="77777777" w:rsidR="00D62A4F" w:rsidRDefault="00D62A4F" w:rsidP="00D62A4F">
      <w:pPr>
        <w:rPr>
          <w:rFonts w:ascii="Arial" w:hAnsi="Arial" w:cs="Arial"/>
        </w:rPr>
      </w:pPr>
    </w:p>
    <w:p w14:paraId="3EC13AFC"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conclusion and beginning of an SFT? Please detail the reasons for your response and include a reference to the specific table.</w:t>
      </w:r>
    </w:p>
    <w:p w14:paraId="1600B77B" w14:textId="77777777" w:rsidR="00D62A4F" w:rsidRDefault="00D62A4F" w:rsidP="00D62A4F">
      <w:pPr>
        <w:rPr>
          <w:rFonts w:ascii="Arial" w:hAnsi="Arial" w:cs="Arial"/>
        </w:rPr>
      </w:pPr>
      <w:r>
        <w:rPr>
          <w:rFonts w:ascii="Arial" w:hAnsi="Arial" w:cs="Arial"/>
        </w:rPr>
        <w:t>&lt;ESMA_QUESTION_RSFTR_50&gt;</w:t>
      </w:r>
    </w:p>
    <w:p w14:paraId="348BACAC" w14:textId="3D8C528C" w:rsidR="00D62A4F" w:rsidRDefault="001326F6" w:rsidP="00D62A4F">
      <w:pPr>
        <w:rPr>
          <w:rFonts w:ascii="Arial" w:hAnsi="Arial" w:cs="Arial"/>
        </w:rPr>
      </w:pPr>
      <w:permStart w:id="586638850" w:edGrp="everyone"/>
      <w:r>
        <w:rPr>
          <w:rFonts w:ascii="Arial" w:hAnsi="Arial" w:cs="Arial"/>
        </w:rPr>
        <w:t>Yes.</w:t>
      </w:r>
    </w:p>
    <w:permEnd w:id="586638850"/>
    <w:p w14:paraId="6D6C04CB" w14:textId="77777777" w:rsidR="00D62A4F" w:rsidRDefault="00D62A4F" w:rsidP="00D62A4F">
      <w:pPr>
        <w:rPr>
          <w:rFonts w:ascii="Arial" w:hAnsi="Arial" w:cs="Arial"/>
        </w:rPr>
      </w:pPr>
      <w:r>
        <w:rPr>
          <w:rFonts w:ascii="Arial" w:hAnsi="Arial" w:cs="Arial"/>
        </w:rPr>
        <w:t>&lt;ESMA_QUESTION_RSFTR_50&gt;</w:t>
      </w:r>
    </w:p>
    <w:p w14:paraId="6400D66E" w14:textId="77777777" w:rsidR="00D62A4F" w:rsidRDefault="00D62A4F" w:rsidP="00D62A4F">
      <w:pPr>
        <w:rPr>
          <w:rFonts w:ascii="Arial" w:hAnsi="Arial" w:cs="Arial"/>
        </w:rPr>
      </w:pPr>
    </w:p>
    <w:p w14:paraId="0F2F2F60"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term of the SFT? Please detail the reasons for your response and include a reference to the specific table.</w:t>
      </w:r>
    </w:p>
    <w:p w14:paraId="2039418E" w14:textId="77777777" w:rsidR="00D62A4F" w:rsidRDefault="00D62A4F" w:rsidP="00D62A4F">
      <w:pPr>
        <w:rPr>
          <w:rFonts w:ascii="Arial" w:hAnsi="Arial" w:cs="Arial"/>
        </w:rPr>
      </w:pPr>
      <w:r>
        <w:rPr>
          <w:rFonts w:ascii="Arial" w:hAnsi="Arial" w:cs="Arial"/>
        </w:rPr>
        <w:t>&lt;ESMA_QUESTION_RSFTR_51&gt;</w:t>
      </w:r>
    </w:p>
    <w:p w14:paraId="4F94A998" w14:textId="0AB290C7" w:rsidR="00D62A4F" w:rsidRDefault="001326F6" w:rsidP="00D62A4F">
      <w:pPr>
        <w:rPr>
          <w:rFonts w:ascii="Arial" w:hAnsi="Arial" w:cs="Arial"/>
        </w:rPr>
      </w:pPr>
      <w:permStart w:id="1728844129" w:edGrp="everyone"/>
      <w:r>
        <w:rPr>
          <w:rFonts w:ascii="Arial" w:hAnsi="Arial" w:cs="Arial"/>
        </w:rPr>
        <w:t>Yes.</w:t>
      </w:r>
    </w:p>
    <w:permEnd w:id="1728844129"/>
    <w:p w14:paraId="153B113A" w14:textId="77777777" w:rsidR="00D62A4F" w:rsidRDefault="00D62A4F" w:rsidP="00D62A4F">
      <w:pPr>
        <w:rPr>
          <w:rFonts w:ascii="Arial" w:hAnsi="Arial" w:cs="Arial"/>
        </w:rPr>
      </w:pPr>
      <w:r>
        <w:rPr>
          <w:rFonts w:ascii="Arial" w:hAnsi="Arial" w:cs="Arial"/>
        </w:rPr>
        <w:t>&lt;ESMA_QUESTION_RSFTR_51&gt;</w:t>
      </w:r>
    </w:p>
    <w:p w14:paraId="16108BDB" w14:textId="77777777" w:rsidR="00D62A4F" w:rsidRDefault="00D62A4F" w:rsidP="00D62A4F">
      <w:pPr>
        <w:rPr>
          <w:rFonts w:ascii="Arial" w:hAnsi="Arial" w:cs="Arial"/>
        </w:rPr>
      </w:pPr>
    </w:p>
    <w:p w14:paraId="13D2035D" w14:textId="77777777" w:rsidR="00D62A4F" w:rsidRDefault="00D62A4F" w:rsidP="00D62A4F">
      <w:pPr>
        <w:pStyle w:val="Questionstyle"/>
        <w:numPr>
          <w:ilvl w:val="0"/>
          <w:numId w:val="9"/>
        </w:numPr>
        <w:spacing w:after="250" w:line="276" w:lineRule="auto"/>
      </w:pPr>
      <w:r>
        <w:t xml:space="preserve">: </w:t>
      </w:r>
      <w:r w:rsidRPr="00F11691">
        <w:t>Do you see any issues with the approach to reporting termination optionality? Please detail the reasons for your response and include a reference to the specific table.</w:t>
      </w:r>
    </w:p>
    <w:p w14:paraId="7AD7C01A" w14:textId="77777777" w:rsidR="00D62A4F" w:rsidRDefault="00D62A4F" w:rsidP="00D62A4F">
      <w:pPr>
        <w:rPr>
          <w:rFonts w:ascii="Arial" w:hAnsi="Arial" w:cs="Arial"/>
        </w:rPr>
      </w:pPr>
      <w:r>
        <w:rPr>
          <w:rFonts w:ascii="Arial" w:hAnsi="Arial" w:cs="Arial"/>
        </w:rPr>
        <w:t>&lt;ESMA_QUESTION_RSFTR_52&gt;</w:t>
      </w:r>
    </w:p>
    <w:p w14:paraId="41F1A3ED" w14:textId="77777777" w:rsidR="00D62A4F" w:rsidRDefault="00D62A4F" w:rsidP="00D62A4F">
      <w:pPr>
        <w:rPr>
          <w:rFonts w:ascii="Arial" w:hAnsi="Arial" w:cs="Arial"/>
        </w:rPr>
      </w:pPr>
      <w:permStart w:id="1723075977" w:edGrp="everyone"/>
      <w:r>
        <w:rPr>
          <w:rFonts w:ascii="Arial" w:hAnsi="Arial" w:cs="Arial"/>
        </w:rPr>
        <w:t>TYPE YOUR TEXT HERE</w:t>
      </w:r>
    </w:p>
    <w:permEnd w:id="1723075977"/>
    <w:p w14:paraId="6E2A85F3" w14:textId="77777777" w:rsidR="00D62A4F" w:rsidRDefault="00D62A4F" w:rsidP="00D62A4F">
      <w:pPr>
        <w:rPr>
          <w:rFonts w:ascii="Arial" w:hAnsi="Arial" w:cs="Arial"/>
        </w:rPr>
      </w:pPr>
      <w:r>
        <w:rPr>
          <w:rFonts w:ascii="Arial" w:hAnsi="Arial" w:cs="Arial"/>
        </w:rPr>
        <w:t>&lt;ESMA_QUESTION_RSFTR_52&gt;</w:t>
      </w:r>
    </w:p>
    <w:p w14:paraId="7061A6B9" w14:textId="77777777" w:rsidR="00D62A4F" w:rsidRDefault="00D62A4F" w:rsidP="00D62A4F">
      <w:pPr>
        <w:rPr>
          <w:rFonts w:ascii="Arial" w:hAnsi="Arial" w:cs="Arial"/>
        </w:rPr>
      </w:pPr>
    </w:p>
    <w:p w14:paraId="6D45F353" w14:textId="77777777" w:rsidR="00D62A4F" w:rsidRDefault="00D62A4F" w:rsidP="00D62A4F">
      <w:pPr>
        <w:pStyle w:val="Questionstyle"/>
        <w:numPr>
          <w:ilvl w:val="0"/>
          <w:numId w:val="9"/>
        </w:numPr>
        <w:spacing w:after="250" w:line="276" w:lineRule="auto"/>
      </w:pPr>
      <w:r>
        <w:t xml:space="preserve">: </w:t>
      </w:r>
      <w:r w:rsidRPr="00F11691">
        <w:t>Which of these approaches do you favour for reporting general and specific collateral? Please detail the reasons for your response.</w:t>
      </w:r>
    </w:p>
    <w:p w14:paraId="2F94BB8D" w14:textId="77777777" w:rsidR="00D62A4F" w:rsidRDefault="00D62A4F" w:rsidP="00D62A4F">
      <w:pPr>
        <w:rPr>
          <w:rFonts w:ascii="Arial" w:hAnsi="Arial" w:cs="Arial"/>
        </w:rPr>
      </w:pPr>
      <w:r>
        <w:rPr>
          <w:rFonts w:ascii="Arial" w:hAnsi="Arial" w:cs="Arial"/>
        </w:rPr>
        <w:t>&lt;ESMA_QUESTION_RSFTR_53&gt;</w:t>
      </w:r>
    </w:p>
    <w:p w14:paraId="6BEA8C54" w14:textId="40289056" w:rsidR="00D00479" w:rsidRPr="00206B40" w:rsidRDefault="00D00479" w:rsidP="00D00479">
      <w:pPr>
        <w:rPr>
          <w:rFonts w:ascii="Arial" w:hAnsi="Arial" w:cs="Arial"/>
          <w:bCs/>
          <w:iCs/>
          <w:sz w:val="22"/>
          <w:szCs w:val="22"/>
        </w:rPr>
      </w:pPr>
      <w:permStart w:id="1815897077" w:edGrp="everyone"/>
      <w:r w:rsidRPr="00206B40">
        <w:rPr>
          <w:rFonts w:ascii="Arial" w:hAnsi="Arial" w:cs="Arial"/>
          <w:bCs/>
          <w:iCs/>
          <w:sz w:val="22"/>
          <w:szCs w:val="22"/>
        </w:rPr>
        <w:t>We have a strong preference for a more restrictive definition of general collateral, i.e. ESMA’s option 2 described in paragraph 265. In our view this is the only workable approach. Anything closer to option 1 would be very problematic in terms of reconciliation. In line with ESMA’s proposal, we suggest that only repos transacted on GC facilities on ATS and/or managed by a tri-party agent should be reported as general collateral.</w:t>
      </w:r>
      <w:r w:rsidRPr="00206B40">
        <w:rPr>
          <w:rFonts w:ascii="Arial" w:hAnsi="Arial" w:cs="Arial"/>
          <w:b/>
          <w:bCs/>
          <w:iCs/>
          <w:sz w:val="22"/>
          <w:szCs w:val="22"/>
        </w:rPr>
        <w:t xml:space="preserve"> </w:t>
      </w:r>
    </w:p>
    <w:p w14:paraId="201654C0" w14:textId="77777777" w:rsidR="00D00479" w:rsidRPr="00206B40" w:rsidRDefault="00D00479" w:rsidP="00D00479">
      <w:pPr>
        <w:rPr>
          <w:rFonts w:ascii="Arial" w:hAnsi="Arial" w:cs="Arial"/>
          <w:bCs/>
          <w:iCs/>
          <w:sz w:val="22"/>
          <w:szCs w:val="22"/>
        </w:rPr>
      </w:pPr>
    </w:p>
    <w:p w14:paraId="13BE0253" w14:textId="77777777" w:rsidR="00D00479" w:rsidRPr="00206B40" w:rsidRDefault="00D00479" w:rsidP="00D00479">
      <w:pPr>
        <w:rPr>
          <w:rFonts w:ascii="Arial" w:hAnsi="Arial" w:cs="Arial"/>
          <w:bCs/>
          <w:iCs/>
          <w:sz w:val="22"/>
          <w:szCs w:val="22"/>
        </w:rPr>
      </w:pPr>
      <w:r w:rsidRPr="00206B40">
        <w:rPr>
          <w:rFonts w:ascii="Arial" w:hAnsi="Arial" w:cs="Arial"/>
          <w:bCs/>
          <w:iCs/>
          <w:sz w:val="22"/>
          <w:szCs w:val="22"/>
        </w:rPr>
        <w:t>This would include repos that are:</w:t>
      </w:r>
    </w:p>
    <w:p w14:paraId="7B6BE2F2" w14:textId="77777777" w:rsidR="00D00479" w:rsidRPr="00206B40" w:rsidRDefault="00D00479" w:rsidP="00D00479">
      <w:pPr>
        <w:numPr>
          <w:ilvl w:val="0"/>
          <w:numId w:val="24"/>
        </w:numPr>
        <w:rPr>
          <w:rFonts w:ascii="Arial" w:hAnsi="Arial" w:cs="Arial"/>
          <w:bCs/>
          <w:iCs/>
          <w:sz w:val="22"/>
          <w:szCs w:val="22"/>
        </w:rPr>
      </w:pPr>
      <w:r w:rsidRPr="00206B40">
        <w:rPr>
          <w:rFonts w:ascii="Arial" w:hAnsi="Arial" w:cs="Arial"/>
          <w:bCs/>
          <w:iCs/>
          <w:sz w:val="22"/>
          <w:szCs w:val="22"/>
        </w:rPr>
        <w:t>traded on what are advertised as GC facilities provided by an automatic trading system (ATS), including GC financing facilities such as Eurex EGCP and LCH’s €GC Plus and £GC (which are cleared by a CCP and managed by a tri-party agent);</w:t>
      </w:r>
    </w:p>
    <w:p w14:paraId="74EE51FA" w14:textId="77777777" w:rsidR="00D00479" w:rsidRPr="00206B40" w:rsidRDefault="00D00479" w:rsidP="00D00479">
      <w:pPr>
        <w:numPr>
          <w:ilvl w:val="0"/>
          <w:numId w:val="24"/>
        </w:numPr>
        <w:rPr>
          <w:rFonts w:ascii="Arial" w:hAnsi="Arial" w:cs="Arial"/>
          <w:bCs/>
          <w:iCs/>
          <w:sz w:val="22"/>
          <w:szCs w:val="22"/>
        </w:rPr>
      </w:pPr>
      <w:r w:rsidRPr="00206B40">
        <w:rPr>
          <w:rFonts w:ascii="Arial" w:hAnsi="Arial" w:cs="Arial"/>
          <w:bCs/>
          <w:iCs/>
          <w:sz w:val="22"/>
          <w:szCs w:val="22"/>
        </w:rPr>
        <w:t xml:space="preserve">not traded on an ATS but managed by a tri-party agent. </w:t>
      </w:r>
    </w:p>
    <w:p w14:paraId="75CBCB98" w14:textId="77777777" w:rsidR="00D00479" w:rsidRPr="00206B40" w:rsidRDefault="00D00479" w:rsidP="00D00479">
      <w:pPr>
        <w:rPr>
          <w:rFonts w:ascii="Arial" w:hAnsi="Arial" w:cs="Arial"/>
          <w:bCs/>
          <w:iCs/>
          <w:sz w:val="22"/>
          <w:szCs w:val="22"/>
        </w:rPr>
      </w:pPr>
    </w:p>
    <w:p w14:paraId="264E7617" w14:textId="77777777" w:rsidR="00D00479" w:rsidRPr="00206B40" w:rsidRDefault="00D00479" w:rsidP="00D00479">
      <w:pPr>
        <w:rPr>
          <w:rFonts w:ascii="Arial" w:hAnsi="Arial" w:cs="Arial"/>
          <w:bCs/>
          <w:iCs/>
          <w:sz w:val="22"/>
          <w:szCs w:val="22"/>
        </w:rPr>
      </w:pPr>
      <w:r w:rsidRPr="00206B40">
        <w:rPr>
          <w:rFonts w:ascii="Arial" w:hAnsi="Arial" w:cs="Arial"/>
          <w:bCs/>
          <w:iCs/>
          <w:sz w:val="22"/>
          <w:szCs w:val="22"/>
        </w:rPr>
        <w:t xml:space="preserve">In all these cases, the seller or its agent can allocate collateral from “a relatively wide range of securities meeting predefined criteria”, which would be in line with ESMA’s definition of GC. </w:t>
      </w:r>
    </w:p>
    <w:p w14:paraId="2B150B2D" w14:textId="77777777" w:rsidR="00D00479" w:rsidRPr="00206B40" w:rsidRDefault="00D00479" w:rsidP="00D00479">
      <w:pPr>
        <w:rPr>
          <w:rFonts w:ascii="Arial" w:hAnsi="Arial" w:cs="Arial"/>
          <w:bCs/>
          <w:iCs/>
          <w:sz w:val="22"/>
          <w:szCs w:val="22"/>
        </w:rPr>
      </w:pPr>
    </w:p>
    <w:p w14:paraId="615A8760" w14:textId="77777777" w:rsidR="00D00479" w:rsidRPr="00206B40" w:rsidRDefault="00D00479" w:rsidP="00D00479">
      <w:pPr>
        <w:rPr>
          <w:rFonts w:ascii="Arial" w:hAnsi="Arial" w:cs="Arial"/>
          <w:bCs/>
          <w:iCs/>
          <w:sz w:val="22"/>
          <w:szCs w:val="22"/>
        </w:rPr>
      </w:pPr>
      <w:r w:rsidRPr="00206B40">
        <w:rPr>
          <w:rFonts w:ascii="Arial" w:hAnsi="Arial" w:cs="Arial"/>
          <w:bCs/>
          <w:iCs/>
          <w:sz w:val="22"/>
          <w:szCs w:val="22"/>
        </w:rPr>
        <w:t>So-called bilateral GC trades draw on inexact and informal sets of securities and the buyer has wide latitude to refuse what is proposed as collateral (in contrast to GC facilities and triparty repo), even if the collateral-giver believes the proffered securities meet the general understood definition of GC. In other words, for clarity, we believe GC should be reported where there is an explicit list of eligible collateral.</w:t>
      </w:r>
    </w:p>
    <w:permEnd w:id="1815897077"/>
    <w:p w14:paraId="3045BC12" w14:textId="1202BEC0" w:rsidR="00D62A4F" w:rsidRDefault="00D62A4F" w:rsidP="00D62A4F">
      <w:pPr>
        <w:rPr>
          <w:rFonts w:ascii="Arial" w:hAnsi="Arial" w:cs="Arial"/>
        </w:rPr>
      </w:pPr>
      <w:r>
        <w:rPr>
          <w:rFonts w:ascii="Arial" w:hAnsi="Arial" w:cs="Arial"/>
        </w:rPr>
        <w:t>&lt;ESMA_QUESTION_RSFTR_53&gt;</w:t>
      </w:r>
    </w:p>
    <w:p w14:paraId="7E4CDDC5" w14:textId="77777777" w:rsidR="00D62A4F" w:rsidRDefault="00D62A4F" w:rsidP="00D62A4F">
      <w:pPr>
        <w:rPr>
          <w:rFonts w:ascii="Arial" w:hAnsi="Arial" w:cs="Arial"/>
        </w:rPr>
      </w:pPr>
    </w:p>
    <w:p w14:paraId="65E4C999"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collateral arrangements? Please detail the reasons for your response and include a reference to the specific table.</w:t>
      </w:r>
    </w:p>
    <w:p w14:paraId="1516D651" w14:textId="77777777" w:rsidR="00D62A4F" w:rsidRDefault="00D62A4F" w:rsidP="00D62A4F">
      <w:pPr>
        <w:rPr>
          <w:rFonts w:ascii="Arial" w:hAnsi="Arial" w:cs="Arial"/>
        </w:rPr>
      </w:pPr>
      <w:r>
        <w:rPr>
          <w:rFonts w:ascii="Arial" w:hAnsi="Arial" w:cs="Arial"/>
        </w:rPr>
        <w:t>&lt;ESMA_QUESTION_RSFTR_54&gt;</w:t>
      </w:r>
    </w:p>
    <w:p w14:paraId="28288BD6" w14:textId="77777777" w:rsidR="00D62A4F" w:rsidRDefault="00D62A4F" w:rsidP="00D62A4F">
      <w:pPr>
        <w:rPr>
          <w:rFonts w:ascii="Arial" w:hAnsi="Arial" w:cs="Arial"/>
        </w:rPr>
      </w:pPr>
      <w:permStart w:id="2147357599" w:edGrp="everyone"/>
      <w:r>
        <w:rPr>
          <w:rFonts w:ascii="Arial" w:hAnsi="Arial" w:cs="Arial"/>
        </w:rPr>
        <w:t>TYPE YOUR TEXT HERE</w:t>
      </w:r>
    </w:p>
    <w:permEnd w:id="2147357599"/>
    <w:p w14:paraId="3689633D" w14:textId="77777777" w:rsidR="00D62A4F" w:rsidRDefault="00D62A4F" w:rsidP="00D62A4F">
      <w:pPr>
        <w:rPr>
          <w:rFonts w:ascii="Arial" w:hAnsi="Arial" w:cs="Arial"/>
        </w:rPr>
      </w:pPr>
      <w:r>
        <w:rPr>
          <w:rFonts w:ascii="Arial" w:hAnsi="Arial" w:cs="Arial"/>
        </w:rPr>
        <w:t>&lt;ESMA_QUESTION_RSFTR_54&gt;</w:t>
      </w:r>
    </w:p>
    <w:p w14:paraId="4FB0F479" w14:textId="77777777" w:rsidR="00D62A4F" w:rsidRDefault="00D62A4F" w:rsidP="00D62A4F">
      <w:pPr>
        <w:rPr>
          <w:rFonts w:ascii="Arial" w:hAnsi="Arial" w:cs="Arial"/>
        </w:rPr>
      </w:pPr>
    </w:p>
    <w:p w14:paraId="529FB394"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fixed and floating rates of SFTs? Please detail the reasons for your response and include a reference to the specific table.</w:t>
      </w:r>
    </w:p>
    <w:p w14:paraId="53B904A3" w14:textId="77777777" w:rsidR="00D62A4F" w:rsidRDefault="00D62A4F" w:rsidP="00D62A4F">
      <w:pPr>
        <w:rPr>
          <w:rFonts w:ascii="Arial" w:hAnsi="Arial" w:cs="Arial"/>
        </w:rPr>
      </w:pPr>
      <w:r>
        <w:rPr>
          <w:rFonts w:ascii="Arial" w:hAnsi="Arial" w:cs="Arial"/>
        </w:rPr>
        <w:t>&lt;ESMA_QUESTION_RSFTR_55&gt;</w:t>
      </w:r>
    </w:p>
    <w:p w14:paraId="6B70A252" w14:textId="77777777" w:rsidR="00787715" w:rsidRPr="00206B40" w:rsidRDefault="00787715" w:rsidP="00787715">
      <w:pPr>
        <w:rPr>
          <w:rFonts w:ascii="Arial" w:hAnsi="Arial" w:cs="Arial"/>
          <w:sz w:val="22"/>
          <w:szCs w:val="22"/>
        </w:rPr>
      </w:pPr>
      <w:permStart w:id="1913655379" w:edGrp="everyone"/>
      <w:r w:rsidRPr="00206B40">
        <w:rPr>
          <w:rFonts w:ascii="Arial" w:hAnsi="Arial" w:cs="Arial"/>
          <w:sz w:val="22"/>
          <w:szCs w:val="22"/>
        </w:rPr>
        <w:t>Explicit clarification is requested from ESMA on whether they intend market participants to send daily rate update notification messages on floating rate trades and, if so, confirmation of what Action Type to use. There would seem to be no reason to provide a daily adjustment message for index-linked EONIA-type rate. Our proposal would be to report index rate info on NEWT and not on each day thereafter as the index (EONIA) moves, which from our point of view creates noise with no value to the regulator.</w:t>
      </w:r>
    </w:p>
    <w:permEnd w:id="1913655379"/>
    <w:p w14:paraId="53F9701D" w14:textId="77777777" w:rsidR="00D62A4F" w:rsidRDefault="00D62A4F" w:rsidP="00D62A4F">
      <w:pPr>
        <w:rPr>
          <w:rFonts w:ascii="Arial" w:hAnsi="Arial" w:cs="Arial"/>
        </w:rPr>
      </w:pPr>
      <w:r>
        <w:rPr>
          <w:rFonts w:ascii="Arial" w:hAnsi="Arial" w:cs="Arial"/>
        </w:rPr>
        <w:t>&lt;ESMA_QUESTION_RSFTR_55&gt;</w:t>
      </w:r>
    </w:p>
    <w:p w14:paraId="234EF1A9" w14:textId="77777777" w:rsidR="00D62A4F" w:rsidRDefault="00D62A4F" w:rsidP="00D62A4F">
      <w:pPr>
        <w:rPr>
          <w:rFonts w:ascii="Arial" w:hAnsi="Arial" w:cs="Arial"/>
        </w:rPr>
      </w:pPr>
    </w:p>
    <w:p w14:paraId="2699B42B" w14:textId="77777777" w:rsidR="00D62A4F" w:rsidRDefault="00D62A4F" w:rsidP="00D62A4F">
      <w:pPr>
        <w:pStyle w:val="Questionstyle"/>
        <w:numPr>
          <w:ilvl w:val="0"/>
          <w:numId w:val="9"/>
        </w:numPr>
        <w:spacing w:after="250" w:line="276" w:lineRule="auto"/>
      </w:pPr>
      <w:r>
        <w:t xml:space="preserve">: </w:t>
      </w:r>
      <w:r w:rsidRPr="00F11691">
        <w:t>Do you see any issues with the approach to reporting repo and BSB/SBB principal amounts? Please detail the reasons for your response and include a reference to the specific table.</w:t>
      </w:r>
    </w:p>
    <w:p w14:paraId="71A18BF1" w14:textId="77777777" w:rsidR="00D62A4F" w:rsidRDefault="00D62A4F" w:rsidP="00D62A4F">
      <w:pPr>
        <w:rPr>
          <w:rFonts w:ascii="Arial" w:hAnsi="Arial" w:cs="Arial"/>
        </w:rPr>
      </w:pPr>
      <w:r>
        <w:rPr>
          <w:rFonts w:ascii="Arial" w:hAnsi="Arial" w:cs="Arial"/>
        </w:rPr>
        <w:t>&lt;ESMA_QUESTION_RSFTR_56&gt;</w:t>
      </w:r>
    </w:p>
    <w:p w14:paraId="5D8290D7" w14:textId="77777777" w:rsidR="00D62A4F" w:rsidRDefault="00D62A4F" w:rsidP="00D62A4F">
      <w:pPr>
        <w:rPr>
          <w:rFonts w:ascii="Arial" w:hAnsi="Arial" w:cs="Arial"/>
        </w:rPr>
      </w:pPr>
      <w:permStart w:id="1532367578" w:edGrp="everyone"/>
      <w:r>
        <w:rPr>
          <w:rFonts w:ascii="Arial" w:hAnsi="Arial" w:cs="Arial"/>
        </w:rPr>
        <w:t>TYPE YOUR TEXT HERE</w:t>
      </w:r>
    </w:p>
    <w:permEnd w:id="1532367578"/>
    <w:p w14:paraId="74FB5E58" w14:textId="77777777" w:rsidR="00D62A4F" w:rsidRDefault="00D62A4F" w:rsidP="00D62A4F">
      <w:pPr>
        <w:rPr>
          <w:rFonts w:ascii="Arial" w:hAnsi="Arial" w:cs="Arial"/>
        </w:rPr>
      </w:pPr>
      <w:r>
        <w:rPr>
          <w:rFonts w:ascii="Arial" w:hAnsi="Arial" w:cs="Arial"/>
        </w:rPr>
        <w:t>&lt;ESMA_QUESTION_RSFTR_56&gt;</w:t>
      </w:r>
    </w:p>
    <w:p w14:paraId="6A5F58CB" w14:textId="77777777" w:rsidR="00D62A4F" w:rsidRDefault="00D62A4F" w:rsidP="00D62A4F">
      <w:pPr>
        <w:rPr>
          <w:rFonts w:ascii="Arial" w:hAnsi="Arial" w:cs="Arial"/>
        </w:rPr>
      </w:pPr>
    </w:p>
    <w:p w14:paraId="66DE4347" w14:textId="77777777" w:rsidR="00D62A4F" w:rsidRDefault="00D62A4F" w:rsidP="00D62A4F">
      <w:pPr>
        <w:pStyle w:val="Questionstyle"/>
        <w:numPr>
          <w:ilvl w:val="0"/>
          <w:numId w:val="9"/>
        </w:numPr>
        <w:spacing w:after="250" w:line="276" w:lineRule="auto"/>
      </w:pPr>
      <w:r>
        <w:t xml:space="preserve">: </w:t>
      </w:r>
      <w:r w:rsidRPr="00F11691">
        <w:t>Do you agree with the approach regarding reporting fields 2.51 and 2.90? Please elaborate on the reasons for your response.</w:t>
      </w:r>
    </w:p>
    <w:p w14:paraId="77C7EB55" w14:textId="77777777" w:rsidR="00D62A4F" w:rsidRDefault="00D62A4F" w:rsidP="00D62A4F">
      <w:pPr>
        <w:rPr>
          <w:rFonts w:ascii="Arial" w:hAnsi="Arial" w:cs="Arial"/>
        </w:rPr>
      </w:pPr>
      <w:r>
        <w:rPr>
          <w:rFonts w:ascii="Arial" w:hAnsi="Arial" w:cs="Arial"/>
        </w:rPr>
        <w:t>&lt;ESMA_QUESTION_RSFTR_57&gt;</w:t>
      </w:r>
    </w:p>
    <w:p w14:paraId="75D7452D" w14:textId="77777777" w:rsidR="001326F6" w:rsidRPr="00206B40" w:rsidRDefault="001326F6" w:rsidP="001326F6">
      <w:pPr>
        <w:rPr>
          <w:rFonts w:ascii="Arial" w:hAnsi="Arial" w:cs="Arial"/>
          <w:sz w:val="22"/>
          <w:szCs w:val="22"/>
        </w:rPr>
      </w:pPr>
      <w:permStart w:id="471607582" w:edGrp="everyone"/>
      <w:r w:rsidRPr="00206B40">
        <w:rPr>
          <w:rFonts w:ascii="Arial" w:hAnsi="Arial" w:cs="Arial"/>
          <w:sz w:val="22"/>
          <w:szCs w:val="22"/>
        </w:rPr>
        <w:t xml:space="preserve">Default option should be b., as an agreement on credit rating references with each counterparty will be not possible. </w:t>
      </w:r>
    </w:p>
    <w:p w14:paraId="5E85B493" w14:textId="77777777" w:rsidR="001326F6" w:rsidRPr="00206B40" w:rsidRDefault="001326F6" w:rsidP="001326F6">
      <w:pPr>
        <w:rPr>
          <w:rFonts w:ascii="Arial" w:hAnsi="Arial" w:cs="Arial"/>
          <w:sz w:val="22"/>
          <w:szCs w:val="22"/>
        </w:rPr>
      </w:pPr>
    </w:p>
    <w:p w14:paraId="4A6D5487" w14:textId="77777777" w:rsidR="001326F6" w:rsidRPr="00206B40" w:rsidRDefault="001326F6" w:rsidP="001326F6">
      <w:pPr>
        <w:rPr>
          <w:rFonts w:ascii="Arial" w:hAnsi="Arial" w:cs="Arial"/>
          <w:sz w:val="22"/>
          <w:szCs w:val="22"/>
        </w:rPr>
      </w:pPr>
      <w:r w:rsidRPr="00206B40">
        <w:rPr>
          <w:rFonts w:ascii="Arial" w:hAnsi="Arial" w:cs="Arial"/>
          <w:sz w:val="22"/>
          <w:szCs w:val="22"/>
        </w:rPr>
        <w:t>Assuming doing the first and detecting differences in the rating reference, would mean that either one party will adopt the others party reference, which from practical view will be not possible or option b would come into effect.</w:t>
      </w:r>
    </w:p>
    <w:p w14:paraId="7053BAD4" w14:textId="77777777" w:rsidR="00B4093E" w:rsidRPr="00206B40" w:rsidRDefault="00B4093E" w:rsidP="001326F6">
      <w:pPr>
        <w:rPr>
          <w:rFonts w:ascii="Arial" w:hAnsi="Arial" w:cs="Arial"/>
          <w:sz w:val="22"/>
          <w:szCs w:val="22"/>
        </w:rPr>
      </w:pPr>
    </w:p>
    <w:p w14:paraId="49796CF3" w14:textId="77777777" w:rsidR="00B4093E" w:rsidRPr="00206B40" w:rsidRDefault="00B4093E" w:rsidP="00B4093E">
      <w:pPr>
        <w:rPr>
          <w:rFonts w:ascii="Arial" w:hAnsi="Arial" w:cs="Arial"/>
          <w:sz w:val="22"/>
          <w:szCs w:val="22"/>
        </w:rPr>
      </w:pPr>
      <w:r w:rsidRPr="00206B40">
        <w:rPr>
          <w:rFonts w:ascii="Arial" w:hAnsi="Arial" w:cs="Arial"/>
          <w:sz w:val="22"/>
          <w:szCs w:val="22"/>
        </w:rPr>
        <w:t>Credit rating of the underlying shouldn’t be a matching criteria. Banks use different rating agencies and maybe don’t have all ratings available. Some bank also use issuer ratings instead of single bond ratings. In case a single issue is not ratet, the issuer rating can be used anyway.</w:t>
      </w:r>
    </w:p>
    <w:p w14:paraId="7805675F" w14:textId="5B02EE7C" w:rsidR="00B4093E" w:rsidRPr="00206B40" w:rsidRDefault="00B4093E" w:rsidP="00CF3AAE">
      <w:pPr>
        <w:rPr>
          <w:rFonts w:ascii="Arial" w:hAnsi="Arial" w:cs="Arial"/>
          <w:sz w:val="22"/>
          <w:szCs w:val="22"/>
        </w:rPr>
      </w:pPr>
      <w:r w:rsidRPr="00DD0632">
        <w:rPr>
          <w:rFonts w:ascii="Arial" w:hAnsi="Arial" w:cs="Arial"/>
          <w:sz w:val="22"/>
          <w:szCs w:val="22"/>
          <w:highlight w:val="yellow"/>
        </w:rPr>
        <w:lastRenderedPageBreak/>
        <w:t>Some bank also use issuer ratings instead of single bond ratings. We suggest that ESMA reconsiders if a reconciliation</w:t>
      </w:r>
      <w:r w:rsidRPr="00206B40">
        <w:rPr>
          <w:rFonts w:ascii="Arial" w:hAnsi="Arial" w:cs="Arial"/>
          <w:sz w:val="22"/>
          <w:szCs w:val="22"/>
        </w:rPr>
        <w:t xml:space="preserve"> of these fields is necessary.</w:t>
      </w:r>
    </w:p>
    <w:permEnd w:id="471607582"/>
    <w:p w14:paraId="3DEB6F04" w14:textId="77777777" w:rsidR="00D62A4F" w:rsidRDefault="00D62A4F" w:rsidP="00D62A4F">
      <w:pPr>
        <w:rPr>
          <w:rFonts w:ascii="Arial" w:hAnsi="Arial" w:cs="Arial"/>
        </w:rPr>
      </w:pPr>
      <w:r>
        <w:rPr>
          <w:rFonts w:ascii="Arial" w:hAnsi="Arial" w:cs="Arial"/>
        </w:rPr>
        <w:t>&lt;ESMA_QUESTION_RSFTR_57&gt;</w:t>
      </w:r>
    </w:p>
    <w:p w14:paraId="0C0EC014" w14:textId="77777777" w:rsidR="00D62A4F" w:rsidRDefault="00D62A4F" w:rsidP="00D62A4F">
      <w:pPr>
        <w:rPr>
          <w:rFonts w:ascii="Arial" w:hAnsi="Arial" w:cs="Arial"/>
        </w:rPr>
      </w:pPr>
    </w:p>
    <w:p w14:paraId="2CEB67A7"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securities on loan? Please detail the reasons for your response and include a reference to the specific table.</w:t>
      </w:r>
    </w:p>
    <w:p w14:paraId="5DF447D6" w14:textId="77777777" w:rsidR="00D62A4F" w:rsidRDefault="00D62A4F" w:rsidP="00D62A4F">
      <w:pPr>
        <w:rPr>
          <w:rFonts w:ascii="Arial" w:hAnsi="Arial" w:cs="Arial"/>
        </w:rPr>
      </w:pPr>
      <w:r>
        <w:rPr>
          <w:rFonts w:ascii="Arial" w:hAnsi="Arial" w:cs="Arial"/>
        </w:rPr>
        <w:t>&lt;ESMA_QUESTION_RSFTR_58&gt;</w:t>
      </w:r>
    </w:p>
    <w:p w14:paraId="7F74B23B" w14:textId="203DE277" w:rsidR="00D62A4F" w:rsidRPr="00206B40" w:rsidRDefault="001326F6" w:rsidP="00D62A4F">
      <w:pPr>
        <w:rPr>
          <w:rFonts w:ascii="Arial" w:hAnsi="Arial" w:cs="Arial"/>
          <w:sz w:val="22"/>
          <w:szCs w:val="22"/>
        </w:rPr>
      </w:pPr>
      <w:permStart w:id="1994859972" w:edGrp="everyone"/>
      <w:r w:rsidRPr="00206B40">
        <w:rPr>
          <w:rFonts w:ascii="Arial" w:hAnsi="Arial" w:cs="Arial"/>
          <w:sz w:val="22"/>
          <w:szCs w:val="22"/>
        </w:rPr>
        <w:t>Yes.</w:t>
      </w:r>
      <w:r w:rsidR="00B4093E" w:rsidRPr="00206B40">
        <w:rPr>
          <w:rFonts w:ascii="Arial" w:hAnsi="Arial" w:cs="Arial"/>
          <w:sz w:val="22"/>
          <w:szCs w:val="22"/>
        </w:rPr>
        <w:t xml:space="preserve"> </w:t>
      </w:r>
    </w:p>
    <w:p w14:paraId="6FEADD6F" w14:textId="77777777" w:rsidR="00B4093E" w:rsidRPr="00206B40" w:rsidRDefault="00B4093E" w:rsidP="00D62A4F">
      <w:pPr>
        <w:rPr>
          <w:rFonts w:ascii="Arial" w:hAnsi="Arial" w:cs="Arial"/>
          <w:sz w:val="22"/>
          <w:szCs w:val="22"/>
        </w:rPr>
      </w:pPr>
    </w:p>
    <w:p w14:paraId="1280263D" w14:textId="76CEFBF7" w:rsidR="00B4093E" w:rsidRPr="00206B40" w:rsidRDefault="00B4093E" w:rsidP="00B4093E">
      <w:pPr>
        <w:rPr>
          <w:rFonts w:ascii="Arial" w:hAnsi="Arial" w:cs="Arial"/>
          <w:sz w:val="22"/>
          <w:szCs w:val="22"/>
        </w:rPr>
      </w:pPr>
      <w:r w:rsidRPr="00206B40">
        <w:rPr>
          <w:rFonts w:ascii="Arial" w:hAnsi="Arial" w:cs="Arial"/>
          <w:sz w:val="22"/>
          <w:szCs w:val="22"/>
        </w:rPr>
        <w:t>Is paragraph 298 even applicable for collateral basket ISINs which are not official (e.g. for triparty baskets an ISIN is only internally setup and has no legal maturity date.)?</w:t>
      </w:r>
    </w:p>
    <w:p w14:paraId="75D8CE12" w14:textId="19668D64" w:rsidR="00B4093E" w:rsidRPr="00206B40" w:rsidRDefault="00B4093E" w:rsidP="00D62A4F">
      <w:pPr>
        <w:rPr>
          <w:rFonts w:ascii="Arial" w:hAnsi="Arial" w:cs="Arial"/>
          <w:sz w:val="22"/>
          <w:szCs w:val="22"/>
        </w:rPr>
      </w:pPr>
    </w:p>
    <w:p w14:paraId="777B1833" w14:textId="2267A294" w:rsidR="00787715" w:rsidRPr="00206B40" w:rsidRDefault="00787715" w:rsidP="00D62A4F">
      <w:pPr>
        <w:rPr>
          <w:rFonts w:ascii="Arial" w:hAnsi="Arial" w:cs="Arial"/>
          <w:sz w:val="22"/>
          <w:szCs w:val="22"/>
        </w:rPr>
      </w:pPr>
      <w:r w:rsidRPr="00206B40">
        <w:rPr>
          <w:rFonts w:ascii="Arial" w:hAnsi="Arial" w:cs="Arial"/>
          <w:sz w:val="22"/>
          <w:szCs w:val="22"/>
        </w:rPr>
        <w:t>Explicit clarification of the population of the Security Price (field 2.49) needs to be provided in terms of the currency, FX rate and margin / haircut as well as confirmation how this relates to the Loan Value, Market Value and Collateral Market Value fields.</w:t>
      </w:r>
    </w:p>
    <w:permEnd w:id="1994859972"/>
    <w:p w14:paraId="3AE68B4D" w14:textId="77777777" w:rsidR="00D62A4F" w:rsidRDefault="00D62A4F" w:rsidP="00D62A4F">
      <w:pPr>
        <w:rPr>
          <w:rFonts w:ascii="Arial" w:hAnsi="Arial" w:cs="Arial"/>
        </w:rPr>
      </w:pPr>
      <w:r>
        <w:rPr>
          <w:rFonts w:ascii="Arial" w:hAnsi="Arial" w:cs="Arial"/>
        </w:rPr>
        <w:t>&lt;ESMA_QUESTION_RSFTR_58&gt;</w:t>
      </w:r>
    </w:p>
    <w:p w14:paraId="397AEB34" w14:textId="77777777" w:rsidR="00D62A4F" w:rsidRDefault="00D62A4F" w:rsidP="00D62A4F">
      <w:pPr>
        <w:rPr>
          <w:rFonts w:ascii="Arial" w:hAnsi="Arial" w:cs="Arial"/>
        </w:rPr>
      </w:pPr>
    </w:p>
    <w:p w14:paraId="3B9E08C0"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SFTs involving commodities? Please detail the reasons for your response and include a reference to the specific table.</w:t>
      </w:r>
    </w:p>
    <w:p w14:paraId="38C285F1" w14:textId="77777777" w:rsidR="00D62A4F" w:rsidRDefault="00D62A4F" w:rsidP="00D62A4F">
      <w:pPr>
        <w:rPr>
          <w:rFonts w:ascii="Arial" w:hAnsi="Arial" w:cs="Arial"/>
        </w:rPr>
      </w:pPr>
      <w:r>
        <w:rPr>
          <w:rFonts w:ascii="Arial" w:hAnsi="Arial" w:cs="Arial"/>
        </w:rPr>
        <w:t>&lt;ESMA_QUESTION_RSFTR_59&gt;</w:t>
      </w:r>
    </w:p>
    <w:p w14:paraId="19994060" w14:textId="57486A27" w:rsidR="00D62A4F" w:rsidRDefault="001326F6" w:rsidP="00D62A4F">
      <w:pPr>
        <w:rPr>
          <w:rFonts w:ascii="Arial" w:hAnsi="Arial" w:cs="Arial"/>
        </w:rPr>
      </w:pPr>
      <w:permStart w:id="287460907" w:edGrp="everyone"/>
      <w:r>
        <w:rPr>
          <w:rFonts w:ascii="Arial" w:hAnsi="Arial" w:cs="Arial"/>
        </w:rPr>
        <w:t>Yes.</w:t>
      </w:r>
    </w:p>
    <w:permEnd w:id="287460907"/>
    <w:p w14:paraId="274763D7" w14:textId="77777777" w:rsidR="00D62A4F" w:rsidRDefault="00D62A4F" w:rsidP="00D62A4F">
      <w:pPr>
        <w:rPr>
          <w:rFonts w:ascii="Arial" w:hAnsi="Arial" w:cs="Arial"/>
        </w:rPr>
      </w:pPr>
      <w:r>
        <w:rPr>
          <w:rFonts w:ascii="Arial" w:hAnsi="Arial" w:cs="Arial"/>
        </w:rPr>
        <w:t>&lt;ESMA_QUESTION_RSFTR_59&gt;</w:t>
      </w:r>
    </w:p>
    <w:p w14:paraId="78CDF516" w14:textId="77777777" w:rsidR="00D62A4F" w:rsidRDefault="00D62A4F" w:rsidP="00D62A4F">
      <w:pPr>
        <w:rPr>
          <w:rFonts w:ascii="Arial" w:hAnsi="Arial" w:cs="Arial"/>
        </w:rPr>
      </w:pPr>
    </w:p>
    <w:p w14:paraId="10403FDC"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cash rebate SLBs? Please detail the reasons for your response and include a reference to the specific table.</w:t>
      </w:r>
    </w:p>
    <w:p w14:paraId="0BDE9FEF" w14:textId="77777777" w:rsidR="00D62A4F" w:rsidRDefault="00D62A4F" w:rsidP="00D62A4F">
      <w:pPr>
        <w:rPr>
          <w:rFonts w:ascii="Arial" w:hAnsi="Arial" w:cs="Arial"/>
        </w:rPr>
      </w:pPr>
      <w:r>
        <w:rPr>
          <w:rFonts w:ascii="Arial" w:hAnsi="Arial" w:cs="Arial"/>
        </w:rPr>
        <w:t>&lt;ESMA_QUESTION_RSFTR_60&gt;</w:t>
      </w:r>
    </w:p>
    <w:p w14:paraId="76AA5276" w14:textId="63296804" w:rsidR="00D62A4F" w:rsidRDefault="001326F6" w:rsidP="00D62A4F">
      <w:pPr>
        <w:rPr>
          <w:rFonts w:ascii="Arial" w:hAnsi="Arial" w:cs="Arial"/>
        </w:rPr>
      </w:pPr>
      <w:permStart w:id="1445923562" w:edGrp="everyone"/>
      <w:r>
        <w:rPr>
          <w:rFonts w:ascii="Arial" w:hAnsi="Arial" w:cs="Arial"/>
        </w:rPr>
        <w:t>Yes.</w:t>
      </w:r>
    </w:p>
    <w:permEnd w:id="1445923562"/>
    <w:p w14:paraId="7F2A735F" w14:textId="77777777" w:rsidR="00D62A4F" w:rsidRDefault="00D62A4F" w:rsidP="00D62A4F">
      <w:pPr>
        <w:rPr>
          <w:rFonts w:ascii="Arial" w:hAnsi="Arial" w:cs="Arial"/>
        </w:rPr>
      </w:pPr>
      <w:r>
        <w:rPr>
          <w:rFonts w:ascii="Arial" w:hAnsi="Arial" w:cs="Arial"/>
        </w:rPr>
        <w:t>&lt;ESMA_QUESTION_RSFTR_60&gt;</w:t>
      </w:r>
    </w:p>
    <w:p w14:paraId="1A99031E" w14:textId="77777777" w:rsidR="00D62A4F" w:rsidRDefault="00D62A4F" w:rsidP="00D62A4F">
      <w:pPr>
        <w:rPr>
          <w:rFonts w:ascii="Arial" w:hAnsi="Arial" w:cs="Arial"/>
        </w:rPr>
      </w:pPr>
    </w:p>
    <w:p w14:paraId="7B195642"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non-cash collateral SLBs? Please detail the reasons for your response and include a reference to the specific table.</w:t>
      </w:r>
    </w:p>
    <w:p w14:paraId="160F234E" w14:textId="77777777" w:rsidR="00D62A4F" w:rsidRDefault="00D62A4F" w:rsidP="00D62A4F">
      <w:pPr>
        <w:rPr>
          <w:rFonts w:ascii="Arial" w:hAnsi="Arial" w:cs="Arial"/>
        </w:rPr>
      </w:pPr>
      <w:r>
        <w:rPr>
          <w:rFonts w:ascii="Arial" w:hAnsi="Arial" w:cs="Arial"/>
        </w:rPr>
        <w:t>&lt;ESMA_QUESTION_RSFTR_61&gt;</w:t>
      </w:r>
    </w:p>
    <w:p w14:paraId="3654CA65" w14:textId="1ECDCD69" w:rsidR="00B4093E" w:rsidRDefault="001326F6" w:rsidP="00D62A4F">
      <w:pPr>
        <w:rPr>
          <w:rFonts w:ascii="Arial" w:hAnsi="Arial" w:cs="Arial"/>
        </w:rPr>
      </w:pPr>
      <w:permStart w:id="1167136894" w:edGrp="everyone"/>
      <w:r w:rsidRPr="00206B40">
        <w:rPr>
          <w:rFonts w:ascii="Arial" w:hAnsi="Arial" w:cs="Arial"/>
          <w:sz w:val="22"/>
          <w:szCs w:val="22"/>
        </w:rPr>
        <w:t>Yes.</w:t>
      </w:r>
      <w:r w:rsidR="00B4093E" w:rsidRPr="00206B40">
        <w:rPr>
          <w:rFonts w:ascii="Arial" w:hAnsi="Arial" w:cs="Arial"/>
          <w:sz w:val="22"/>
          <w:szCs w:val="22"/>
        </w:rPr>
        <w:t xml:space="preserve"> </w:t>
      </w:r>
      <w:r w:rsidR="00206B40">
        <w:rPr>
          <w:rFonts w:ascii="Arial" w:hAnsi="Arial" w:cs="Arial"/>
          <w:sz w:val="22"/>
          <w:szCs w:val="22"/>
        </w:rPr>
        <w:t>We</w:t>
      </w:r>
      <w:r w:rsidR="00CF3AAE" w:rsidRPr="00206B40">
        <w:rPr>
          <w:rFonts w:ascii="Arial" w:hAnsi="Arial" w:cs="Arial"/>
          <w:sz w:val="22"/>
          <w:szCs w:val="22"/>
        </w:rPr>
        <w:t xml:space="preserve"> </w:t>
      </w:r>
      <w:r w:rsidR="00B4093E" w:rsidRPr="00206B40">
        <w:rPr>
          <w:rFonts w:ascii="Arial" w:hAnsi="Arial" w:cs="Arial"/>
          <w:sz w:val="22"/>
          <w:szCs w:val="22"/>
        </w:rPr>
        <w:t>would welcome a complete example for unsecured SLB with lending fee</w:t>
      </w:r>
      <w:r w:rsidR="00B4093E">
        <w:rPr>
          <w:rFonts w:ascii="Arial" w:hAnsi="Arial" w:cs="Arial"/>
        </w:rPr>
        <w:t>.</w:t>
      </w:r>
    </w:p>
    <w:permEnd w:id="1167136894"/>
    <w:p w14:paraId="306A4D18" w14:textId="77777777" w:rsidR="00D62A4F" w:rsidRDefault="00D62A4F" w:rsidP="00D62A4F">
      <w:pPr>
        <w:rPr>
          <w:rFonts w:ascii="Arial" w:hAnsi="Arial" w:cs="Arial"/>
        </w:rPr>
      </w:pPr>
      <w:r>
        <w:rPr>
          <w:rFonts w:ascii="Arial" w:hAnsi="Arial" w:cs="Arial"/>
        </w:rPr>
        <w:t>&lt;ESMA_QUESTION_RSFTR_61&gt;</w:t>
      </w:r>
    </w:p>
    <w:p w14:paraId="791C5D51" w14:textId="77777777" w:rsidR="00D62A4F" w:rsidRDefault="00D62A4F" w:rsidP="00D62A4F">
      <w:pPr>
        <w:rPr>
          <w:rFonts w:ascii="Arial" w:hAnsi="Arial" w:cs="Arial"/>
        </w:rPr>
      </w:pPr>
    </w:p>
    <w:p w14:paraId="5034F731"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margin loan data? Please detail the reasons for your response and include a reference to the specific table.</w:t>
      </w:r>
    </w:p>
    <w:p w14:paraId="1AFBFBEE" w14:textId="77777777" w:rsidR="00D62A4F" w:rsidRDefault="00D62A4F" w:rsidP="00D62A4F">
      <w:pPr>
        <w:rPr>
          <w:rFonts w:ascii="Arial" w:hAnsi="Arial" w:cs="Arial"/>
        </w:rPr>
      </w:pPr>
      <w:r>
        <w:rPr>
          <w:rFonts w:ascii="Arial" w:hAnsi="Arial" w:cs="Arial"/>
        </w:rPr>
        <w:t>&lt;ESMA_QUESTION_RSFTR_62&gt;</w:t>
      </w:r>
    </w:p>
    <w:p w14:paraId="4FFC86DE" w14:textId="77777777" w:rsidR="00D62A4F" w:rsidRDefault="00D62A4F" w:rsidP="00D62A4F">
      <w:pPr>
        <w:rPr>
          <w:rFonts w:ascii="Arial" w:hAnsi="Arial" w:cs="Arial"/>
        </w:rPr>
      </w:pPr>
      <w:permStart w:id="2133921452" w:edGrp="everyone"/>
      <w:r>
        <w:rPr>
          <w:rFonts w:ascii="Arial" w:hAnsi="Arial" w:cs="Arial"/>
        </w:rPr>
        <w:t>TYPE YOUR TEXT HERE</w:t>
      </w:r>
    </w:p>
    <w:permEnd w:id="2133921452"/>
    <w:p w14:paraId="25CECF56" w14:textId="77777777" w:rsidR="00D62A4F" w:rsidRDefault="00D62A4F" w:rsidP="00D62A4F">
      <w:pPr>
        <w:rPr>
          <w:rFonts w:ascii="Arial" w:hAnsi="Arial" w:cs="Arial"/>
        </w:rPr>
      </w:pPr>
      <w:r>
        <w:rPr>
          <w:rFonts w:ascii="Arial" w:hAnsi="Arial" w:cs="Arial"/>
        </w:rPr>
        <w:t>&lt;ESMA_QUESTION_RSFTR_62&gt;</w:t>
      </w:r>
    </w:p>
    <w:p w14:paraId="09F4E42C" w14:textId="77777777" w:rsidR="00D62A4F" w:rsidRDefault="00D62A4F" w:rsidP="00D62A4F">
      <w:pPr>
        <w:rPr>
          <w:rFonts w:ascii="Arial" w:hAnsi="Arial" w:cs="Arial"/>
        </w:rPr>
      </w:pPr>
    </w:p>
    <w:p w14:paraId="12E21BDE"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collateralisation? Please detail the reasons for your response and include a reference to the specific table.</w:t>
      </w:r>
    </w:p>
    <w:p w14:paraId="0753C9C0" w14:textId="77777777" w:rsidR="00D62A4F" w:rsidRDefault="00D62A4F" w:rsidP="00D62A4F">
      <w:pPr>
        <w:rPr>
          <w:rFonts w:ascii="Arial" w:hAnsi="Arial" w:cs="Arial"/>
        </w:rPr>
      </w:pPr>
      <w:r>
        <w:rPr>
          <w:rFonts w:ascii="Arial" w:hAnsi="Arial" w:cs="Arial"/>
        </w:rPr>
        <w:lastRenderedPageBreak/>
        <w:t>&lt;ESMA_QUESTION_RSFTR_63&gt;</w:t>
      </w:r>
    </w:p>
    <w:p w14:paraId="346F83C5" w14:textId="21E260E7" w:rsidR="00D62A4F" w:rsidRPr="00206B40" w:rsidRDefault="001326F6" w:rsidP="00D62A4F">
      <w:pPr>
        <w:rPr>
          <w:rFonts w:ascii="Arial" w:hAnsi="Arial" w:cs="Arial"/>
          <w:sz w:val="22"/>
          <w:szCs w:val="22"/>
        </w:rPr>
      </w:pPr>
      <w:permStart w:id="880958821" w:edGrp="everyone"/>
      <w:r w:rsidRPr="00206B40">
        <w:rPr>
          <w:rFonts w:ascii="Arial" w:hAnsi="Arial" w:cs="Arial"/>
          <w:sz w:val="22"/>
          <w:szCs w:val="22"/>
        </w:rPr>
        <w:t>Yes.</w:t>
      </w:r>
    </w:p>
    <w:p w14:paraId="65B1715A" w14:textId="77777777" w:rsidR="00B4093E" w:rsidRPr="00206B40" w:rsidRDefault="00B4093E" w:rsidP="00D62A4F">
      <w:pPr>
        <w:rPr>
          <w:rFonts w:ascii="Arial" w:hAnsi="Arial" w:cs="Arial"/>
          <w:sz w:val="22"/>
          <w:szCs w:val="22"/>
        </w:rPr>
      </w:pPr>
    </w:p>
    <w:p w14:paraId="3C40A456" w14:textId="30586EA9" w:rsidR="00B4093E" w:rsidRPr="00206B40" w:rsidRDefault="00B4093E" w:rsidP="00D62A4F">
      <w:pPr>
        <w:rPr>
          <w:rFonts w:ascii="Arial" w:hAnsi="Arial" w:cs="Arial"/>
          <w:sz w:val="22"/>
          <w:szCs w:val="22"/>
        </w:rPr>
      </w:pPr>
      <w:r w:rsidRPr="00206B40">
        <w:rPr>
          <w:rFonts w:ascii="Arial" w:hAnsi="Arial" w:cs="Arial"/>
          <w:sz w:val="22"/>
          <w:szCs w:val="22"/>
        </w:rPr>
        <w:t>Refering to table 85 “ single transaction with basket” is there no need to report the single ISINs (allocated in the basket)? E.g. GC Pooling ?</w:t>
      </w:r>
    </w:p>
    <w:permEnd w:id="880958821"/>
    <w:p w14:paraId="351EFF2C" w14:textId="77777777" w:rsidR="00D62A4F" w:rsidRDefault="00D62A4F" w:rsidP="00D62A4F">
      <w:pPr>
        <w:rPr>
          <w:rFonts w:ascii="Arial" w:hAnsi="Arial" w:cs="Arial"/>
        </w:rPr>
      </w:pPr>
      <w:r>
        <w:rPr>
          <w:rFonts w:ascii="Arial" w:hAnsi="Arial" w:cs="Arial"/>
        </w:rPr>
        <w:t>&lt;ESMA_QUESTION_RSFTR_63&gt;</w:t>
      </w:r>
    </w:p>
    <w:p w14:paraId="01301653" w14:textId="77777777" w:rsidR="00D62A4F" w:rsidRDefault="00D62A4F" w:rsidP="00D62A4F">
      <w:pPr>
        <w:rPr>
          <w:rFonts w:ascii="Arial" w:hAnsi="Arial" w:cs="Arial"/>
        </w:rPr>
      </w:pPr>
    </w:p>
    <w:p w14:paraId="2CD531BD"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cash collateral? Please detail the reasons for your response and include a reference to the specific table.</w:t>
      </w:r>
    </w:p>
    <w:p w14:paraId="09E1F35C" w14:textId="77777777" w:rsidR="00D62A4F" w:rsidRDefault="00D62A4F" w:rsidP="00D62A4F">
      <w:pPr>
        <w:rPr>
          <w:rFonts w:ascii="Arial" w:hAnsi="Arial" w:cs="Arial"/>
        </w:rPr>
      </w:pPr>
      <w:r>
        <w:rPr>
          <w:rFonts w:ascii="Arial" w:hAnsi="Arial" w:cs="Arial"/>
        </w:rPr>
        <w:t>&lt;ESMA_QUESTION_RSFTR_64&gt;</w:t>
      </w:r>
    </w:p>
    <w:p w14:paraId="3C41CB47" w14:textId="77777777" w:rsidR="00D62A4F" w:rsidRDefault="00D62A4F" w:rsidP="00D62A4F">
      <w:pPr>
        <w:rPr>
          <w:rFonts w:ascii="Arial" w:hAnsi="Arial" w:cs="Arial"/>
        </w:rPr>
      </w:pPr>
      <w:permStart w:id="1116810517" w:edGrp="everyone"/>
      <w:r>
        <w:rPr>
          <w:rFonts w:ascii="Arial" w:hAnsi="Arial" w:cs="Arial"/>
        </w:rPr>
        <w:t>TYPE YOUR TEXT HERE</w:t>
      </w:r>
    </w:p>
    <w:permEnd w:id="1116810517"/>
    <w:p w14:paraId="4320437D" w14:textId="77777777" w:rsidR="00D62A4F" w:rsidRDefault="00D62A4F" w:rsidP="00D62A4F">
      <w:pPr>
        <w:rPr>
          <w:rFonts w:ascii="Arial" w:hAnsi="Arial" w:cs="Arial"/>
        </w:rPr>
      </w:pPr>
      <w:r>
        <w:rPr>
          <w:rFonts w:ascii="Arial" w:hAnsi="Arial" w:cs="Arial"/>
        </w:rPr>
        <w:t>&lt;ESMA_QUESTION_RSFTR_64&gt;</w:t>
      </w:r>
    </w:p>
    <w:p w14:paraId="47C9E8BA" w14:textId="77777777" w:rsidR="00D62A4F" w:rsidRDefault="00D62A4F" w:rsidP="00D62A4F">
      <w:pPr>
        <w:rPr>
          <w:rFonts w:ascii="Arial" w:hAnsi="Arial" w:cs="Arial"/>
        </w:rPr>
      </w:pPr>
    </w:p>
    <w:p w14:paraId="27F20B00" w14:textId="77777777" w:rsidR="00D62A4F" w:rsidRDefault="00D62A4F" w:rsidP="00D62A4F">
      <w:pPr>
        <w:pStyle w:val="Questionstyle"/>
        <w:numPr>
          <w:ilvl w:val="0"/>
          <w:numId w:val="9"/>
        </w:numPr>
        <w:spacing w:after="250" w:line="276" w:lineRule="auto"/>
      </w:pPr>
      <w:r>
        <w:t xml:space="preserve">: </w:t>
      </w:r>
      <w:r w:rsidRPr="00F11691">
        <w:t>Do you agree with the proposed approach? Please detail the reasons for your response.</w:t>
      </w:r>
    </w:p>
    <w:p w14:paraId="0B9CDA44" w14:textId="77777777" w:rsidR="00D62A4F" w:rsidRDefault="00D62A4F" w:rsidP="00D62A4F">
      <w:pPr>
        <w:rPr>
          <w:rFonts w:ascii="Arial" w:hAnsi="Arial" w:cs="Arial"/>
        </w:rPr>
      </w:pPr>
      <w:r>
        <w:rPr>
          <w:rFonts w:ascii="Arial" w:hAnsi="Arial" w:cs="Arial"/>
        </w:rPr>
        <w:t>&lt;ESMA_QUESTION_RSFTR_65&gt;</w:t>
      </w:r>
    </w:p>
    <w:p w14:paraId="47A7209B" w14:textId="195E74E8" w:rsidR="00787715" w:rsidRPr="00206B40" w:rsidRDefault="00206B40" w:rsidP="00787715">
      <w:pPr>
        <w:rPr>
          <w:rFonts w:ascii="Arial" w:hAnsi="Arial" w:cs="Arial"/>
          <w:sz w:val="22"/>
          <w:szCs w:val="22"/>
        </w:rPr>
      </w:pPr>
      <w:permStart w:id="1730242269" w:edGrp="everyone"/>
      <w:r>
        <w:rPr>
          <w:rFonts w:ascii="Arial" w:hAnsi="Arial" w:cs="Arial"/>
          <w:sz w:val="22"/>
          <w:szCs w:val="22"/>
        </w:rPr>
        <w:t xml:space="preserve">We </w:t>
      </w:r>
      <w:r w:rsidR="00787715" w:rsidRPr="00206B40">
        <w:rPr>
          <w:rFonts w:ascii="Arial" w:hAnsi="Arial" w:cs="Arial"/>
          <w:sz w:val="22"/>
          <w:szCs w:val="22"/>
        </w:rPr>
        <w:t>suggest that ESMA clarifies the ambiguities in the Level 3 gui</w:t>
      </w:r>
      <w:r w:rsidR="00520A86" w:rsidRPr="00206B40">
        <w:rPr>
          <w:rFonts w:ascii="Arial" w:hAnsi="Arial" w:cs="Arial"/>
          <w:sz w:val="22"/>
          <w:szCs w:val="22"/>
        </w:rPr>
        <w:t>dance through provision of a Rep</w:t>
      </w:r>
      <w:r w:rsidR="00787715" w:rsidRPr="00206B40">
        <w:rPr>
          <w:rFonts w:ascii="Arial" w:hAnsi="Arial" w:cs="Arial"/>
          <w:sz w:val="22"/>
          <w:szCs w:val="22"/>
        </w:rPr>
        <w:t>o and SBL example with cross-currencies and haricut/margin to ensure that the field definition for the following is clear i.e. which currency and with margin or not?</w:t>
      </w:r>
    </w:p>
    <w:p w14:paraId="719AA682" w14:textId="77777777" w:rsidR="00787715" w:rsidRPr="00206B40" w:rsidRDefault="00787715" w:rsidP="00787715">
      <w:pPr>
        <w:pStyle w:val="Listenabsatz"/>
        <w:numPr>
          <w:ilvl w:val="0"/>
          <w:numId w:val="21"/>
        </w:numPr>
        <w:rPr>
          <w:rFonts w:ascii="Arial" w:eastAsia="Times New Roman" w:hAnsi="Arial" w:cs="Arial"/>
        </w:rPr>
      </w:pPr>
      <w:r w:rsidRPr="00206B40">
        <w:rPr>
          <w:rFonts w:ascii="Arial" w:eastAsia="Times New Roman" w:hAnsi="Arial" w:cs="Arial"/>
        </w:rPr>
        <w:t xml:space="preserve">Field 2.49 Security Price </w:t>
      </w:r>
    </w:p>
    <w:p w14:paraId="54F2BF03" w14:textId="77777777" w:rsidR="00787715" w:rsidRPr="00206B40" w:rsidRDefault="00787715" w:rsidP="00787715">
      <w:pPr>
        <w:pStyle w:val="Listenabsatz"/>
        <w:numPr>
          <w:ilvl w:val="0"/>
          <w:numId w:val="21"/>
        </w:numPr>
        <w:rPr>
          <w:rFonts w:ascii="Arial" w:eastAsia="Times New Roman" w:hAnsi="Arial" w:cs="Arial"/>
        </w:rPr>
      </w:pPr>
      <w:r w:rsidRPr="00206B40">
        <w:rPr>
          <w:rFonts w:ascii="Arial" w:eastAsia="Times New Roman" w:hAnsi="Arial" w:cs="Arial"/>
        </w:rPr>
        <w:t xml:space="preserve">Field 2.56 Loan Value </w:t>
      </w:r>
    </w:p>
    <w:p w14:paraId="7F96C49B" w14:textId="77777777" w:rsidR="00787715" w:rsidRPr="00206B40" w:rsidRDefault="00787715" w:rsidP="00787715">
      <w:pPr>
        <w:pStyle w:val="Listenabsatz"/>
        <w:numPr>
          <w:ilvl w:val="0"/>
          <w:numId w:val="21"/>
        </w:numPr>
        <w:rPr>
          <w:rFonts w:ascii="Arial" w:eastAsia="Times New Roman" w:hAnsi="Arial" w:cs="Arial"/>
        </w:rPr>
      </w:pPr>
      <w:r w:rsidRPr="00206B40">
        <w:rPr>
          <w:rFonts w:ascii="Arial" w:eastAsia="Times New Roman" w:hAnsi="Arial" w:cs="Arial"/>
        </w:rPr>
        <w:t xml:space="preserve">Field 2.57 Market Value </w:t>
      </w:r>
    </w:p>
    <w:p w14:paraId="2B2F4726" w14:textId="1B9018D0" w:rsidR="00787715" w:rsidRPr="00206B40" w:rsidRDefault="00787715" w:rsidP="00D62A4F">
      <w:pPr>
        <w:pStyle w:val="Listenabsatz"/>
        <w:numPr>
          <w:ilvl w:val="0"/>
          <w:numId w:val="21"/>
        </w:numPr>
        <w:rPr>
          <w:rFonts w:ascii="Arial" w:eastAsia="Times New Roman" w:hAnsi="Arial" w:cs="Arial"/>
        </w:rPr>
      </w:pPr>
      <w:r w:rsidRPr="00206B40">
        <w:rPr>
          <w:rFonts w:ascii="Arial" w:eastAsia="Times New Roman" w:hAnsi="Arial" w:cs="Arial"/>
        </w:rPr>
        <w:t xml:space="preserve">Field 2.88 Collateral Market Value </w:t>
      </w:r>
    </w:p>
    <w:permEnd w:id="1730242269"/>
    <w:p w14:paraId="6AB4649A" w14:textId="77777777" w:rsidR="00D62A4F" w:rsidRDefault="00D62A4F" w:rsidP="00D62A4F">
      <w:pPr>
        <w:rPr>
          <w:rFonts w:ascii="Arial" w:hAnsi="Arial" w:cs="Arial"/>
        </w:rPr>
      </w:pPr>
      <w:r>
        <w:rPr>
          <w:rFonts w:ascii="Arial" w:hAnsi="Arial" w:cs="Arial"/>
        </w:rPr>
        <w:t>&lt;ESMA_QUESTION_RSFTR_65&gt;</w:t>
      </w:r>
    </w:p>
    <w:p w14:paraId="258463A7" w14:textId="77777777" w:rsidR="00D62A4F" w:rsidRDefault="00D62A4F" w:rsidP="00D62A4F">
      <w:pPr>
        <w:rPr>
          <w:rFonts w:ascii="Arial" w:hAnsi="Arial" w:cs="Arial"/>
        </w:rPr>
      </w:pPr>
    </w:p>
    <w:p w14:paraId="62EFD33C"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calculating collateral haircuts or margin? Please provide justification for your response.</w:t>
      </w:r>
    </w:p>
    <w:p w14:paraId="25878F46" w14:textId="77777777" w:rsidR="00D62A4F" w:rsidRDefault="00D62A4F" w:rsidP="00D62A4F">
      <w:pPr>
        <w:rPr>
          <w:rFonts w:ascii="Arial" w:hAnsi="Arial" w:cs="Arial"/>
        </w:rPr>
      </w:pPr>
      <w:r>
        <w:rPr>
          <w:rFonts w:ascii="Arial" w:hAnsi="Arial" w:cs="Arial"/>
        </w:rPr>
        <w:t>&lt;ESMA_QUESTION_RSFTR_66&gt;</w:t>
      </w:r>
    </w:p>
    <w:p w14:paraId="5C90282D" w14:textId="77777777" w:rsidR="00D62A4F" w:rsidRDefault="00D62A4F" w:rsidP="00D62A4F">
      <w:pPr>
        <w:rPr>
          <w:rFonts w:ascii="Arial" w:hAnsi="Arial" w:cs="Arial"/>
        </w:rPr>
      </w:pPr>
      <w:permStart w:id="1771773415" w:edGrp="everyone"/>
      <w:r>
        <w:rPr>
          <w:rFonts w:ascii="Arial" w:hAnsi="Arial" w:cs="Arial"/>
        </w:rPr>
        <w:t>TYPE YOUR TEXT HERE</w:t>
      </w:r>
    </w:p>
    <w:permEnd w:id="1771773415"/>
    <w:p w14:paraId="21622595" w14:textId="77777777" w:rsidR="00D62A4F" w:rsidRDefault="00D62A4F" w:rsidP="00D62A4F">
      <w:pPr>
        <w:rPr>
          <w:rFonts w:ascii="Arial" w:hAnsi="Arial" w:cs="Arial"/>
        </w:rPr>
      </w:pPr>
      <w:r>
        <w:rPr>
          <w:rFonts w:ascii="Arial" w:hAnsi="Arial" w:cs="Arial"/>
        </w:rPr>
        <w:t>&lt;ESMA_QUESTION_RSFTR_66&gt;</w:t>
      </w:r>
    </w:p>
    <w:p w14:paraId="4D4899CC" w14:textId="77777777" w:rsidR="00D62A4F" w:rsidRDefault="00D62A4F" w:rsidP="00D62A4F">
      <w:pPr>
        <w:rPr>
          <w:rFonts w:ascii="Arial" w:hAnsi="Arial" w:cs="Arial"/>
        </w:rPr>
      </w:pPr>
    </w:p>
    <w:p w14:paraId="75410AB0"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collateral type field? Please detail the reasons for your response.</w:t>
      </w:r>
    </w:p>
    <w:p w14:paraId="5B43EB23" w14:textId="77777777" w:rsidR="00D62A4F" w:rsidRDefault="00D62A4F" w:rsidP="00D62A4F">
      <w:pPr>
        <w:rPr>
          <w:rFonts w:ascii="Arial" w:hAnsi="Arial" w:cs="Arial"/>
        </w:rPr>
      </w:pPr>
      <w:r>
        <w:rPr>
          <w:rFonts w:ascii="Arial" w:hAnsi="Arial" w:cs="Arial"/>
        </w:rPr>
        <w:t>&lt;ESMA_QUESTION_RSFTR_67&gt;</w:t>
      </w:r>
    </w:p>
    <w:p w14:paraId="57A07874" w14:textId="6F7EEB6A" w:rsidR="00D62A4F" w:rsidRDefault="00927F60" w:rsidP="00D62A4F">
      <w:pPr>
        <w:rPr>
          <w:rFonts w:ascii="Arial" w:hAnsi="Arial" w:cs="Arial"/>
        </w:rPr>
      </w:pPr>
      <w:permStart w:id="1339502429" w:edGrp="everyone"/>
      <w:r>
        <w:rPr>
          <w:rFonts w:ascii="Arial" w:hAnsi="Arial" w:cs="Arial"/>
        </w:rPr>
        <w:t>Yes.</w:t>
      </w:r>
    </w:p>
    <w:permEnd w:id="1339502429"/>
    <w:p w14:paraId="4239D2B5" w14:textId="77777777" w:rsidR="00D62A4F" w:rsidRDefault="00D62A4F" w:rsidP="00D62A4F">
      <w:pPr>
        <w:rPr>
          <w:rFonts w:ascii="Arial" w:hAnsi="Arial" w:cs="Arial"/>
        </w:rPr>
      </w:pPr>
      <w:r>
        <w:rPr>
          <w:rFonts w:ascii="Arial" w:hAnsi="Arial" w:cs="Arial"/>
        </w:rPr>
        <w:t>&lt;ESMA_QUESTION_RSFTR_67&gt;</w:t>
      </w:r>
    </w:p>
    <w:p w14:paraId="3F55380E" w14:textId="77777777" w:rsidR="00D62A4F" w:rsidRDefault="00D62A4F" w:rsidP="00D62A4F">
      <w:pPr>
        <w:rPr>
          <w:rFonts w:ascii="Arial" w:hAnsi="Arial" w:cs="Arial"/>
        </w:rPr>
      </w:pPr>
    </w:p>
    <w:p w14:paraId="435443CF"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Availability for collateral reuse? Please detail the reasons for your response.</w:t>
      </w:r>
    </w:p>
    <w:p w14:paraId="12BA240F" w14:textId="77777777" w:rsidR="00D62A4F" w:rsidRDefault="00D62A4F" w:rsidP="00D62A4F">
      <w:pPr>
        <w:rPr>
          <w:rFonts w:ascii="Arial" w:hAnsi="Arial" w:cs="Arial"/>
        </w:rPr>
      </w:pPr>
      <w:r>
        <w:rPr>
          <w:rFonts w:ascii="Arial" w:hAnsi="Arial" w:cs="Arial"/>
        </w:rPr>
        <w:t>&lt;ESMA_QUESTION_RSFTR_68&gt;</w:t>
      </w:r>
    </w:p>
    <w:p w14:paraId="0A060E59" w14:textId="4E326DA3" w:rsidR="00D62A4F" w:rsidRDefault="00927F60" w:rsidP="00D62A4F">
      <w:pPr>
        <w:rPr>
          <w:rFonts w:ascii="Arial" w:hAnsi="Arial" w:cs="Arial"/>
        </w:rPr>
      </w:pPr>
      <w:permStart w:id="844636493" w:edGrp="everyone"/>
      <w:r>
        <w:rPr>
          <w:rFonts w:ascii="Arial" w:hAnsi="Arial" w:cs="Arial"/>
        </w:rPr>
        <w:t>Yes.</w:t>
      </w:r>
    </w:p>
    <w:permEnd w:id="844636493"/>
    <w:p w14:paraId="256116F8" w14:textId="77777777" w:rsidR="00D62A4F" w:rsidRDefault="00D62A4F" w:rsidP="00D62A4F">
      <w:pPr>
        <w:rPr>
          <w:rFonts w:ascii="Arial" w:hAnsi="Arial" w:cs="Arial"/>
        </w:rPr>
      </w:pPr>
      <w:r>
        <w:rPr>
          <w:rFonts w:ascii="Arial" w:hAnsi="Arial" w:cs="Arial"/>
        </w:rPr>
        <w:t>&lt;ESMA_QUESTION_RSFTR_68&gt;</w:t>
      </w:r>
    </w:p>
    <w:p w14:paraId="18BAE922" w14:textId="77777777" w:rsidR="00D62A4F" w:rsidRDefault="00D62A4F" w:rsidP="00D62A4F">
      <w:pPr>
        <w:rPr>
          <w:rFonts w:ascii="Arial" w:hAnsi="Arial" w:cs="Arial"/>
        </w:rPr>
      </w:pPr>
    </w:p>
    <w:p w14:paraId="558E8A4D" w14:textId="77777777" w:rsidR="00D62A4F" w:rsidRDefault="00D62A4F" w:rsidP="00D62A4F">
      <w:pPr>
        <w:pStyle w:val="Questionstyle"/>
        <w:numPr>
          <w:ilvl w:val="0"/>
          <w:numId w:val="9"/>
        </w:numPr>
        <w:spacing w:after="250" w:line="276" w:lineRule="auto"/>
      </w:pPr>
      <w:r>
        <w:lastRenderedPageBreak/>
        <w:t xml:space="preserve">: </w:t>
      </w:r>
      <w:r w:rsidRPr="00F11691">
        <w:t>Do you agree with the proposed approach for reporting fields Identification of security and LEI of issuer? Are you aware of instances where securities provided as collateral do not have an ISIN? Please detail the reasons for your response.</w:t>
      </w:r>
    </w:p>
    <w:p w14:paraId="585C9AB7" w14:textId="77777777" w:rsidR="00D62A4F" w:rsidRDefault="00D62A4F" w:rsidP="00D62A4F">
      <w:pPr>
        <w:rPr>
          <w:rFonts w:ascii="Arial" w:hAnsi="Arial" w:cs="Arial"/>
        </w:rPr>
      </w:pPr>
      <w:r>
        <w:rPr>
          <w:rFonts w:ascii="Arial" w:hAnsi="Arial" w:cs="Arial"/>
        </w:rPr>
        <w:t>&lt;ESMA_QUESTION_RSFTR_69&gt;</w:t>
      </w:r>
    </w:p>
    <w:p w14:paraId="1317E7D1" w14:textId="77777777" w:rsidR="00927F60" w:rsidRPr="00206B40" w:rsidRDefault="00927F60" w:rsidP="00927F60">
      <w:pPr>
        <w:rPr>
          <w:rFonts w:ascii="Arial" w:hAnsi="Arial" w:cs="Arial"/>
          <w:sz w:val="22"/>
          <w:szCs w:val="22"/>
        </w:rPr>
      </w:pPr>
      <w:permStart w:id="1443438018" w:edGrp="everyone"/>
      <w:r w:rsidRPr="00206B40">
        <w:rPr>
          <w:rFonts w:ascii="Arial" w:hAnsi="Arial" w:cs="Arial"/>
          <w:sz w:val="22"/>
          <w:szCs w:val="22"/>
        </w:rPr>
        <w:t xml:space="preserve">The probability of the absence of an ISSUER LEI is definitely higher for non-EU securities than for EU securities. The fact, that there still exists a lack in ISSUER LEI data makes it crucial for the reporting obligation as this is a reconciliation field. </w:t>
      </w:r>
    </w:p>
    <w:p w14:paraId="172504C9" w14:textId="77777777" w:rsidR="00927F60" w:rsidRPr="00206B40" w:rsidRDefault="00927F60" w:rsidP="00927F60">
      <w:pPr>
        <w:rPr>
          <w:rFonts w:ascii="Arial" w:hAnsi="Arial" w:cs="Arial"/>
          <w:sz w:val="22"/>
          <w:szCs w:val="22"/>
        </w:rPr>
      </w:pPr>
    </w:p>
    <w:p w14:paraId="02354DEB" w14:textId="202FB36C" w:rsidR="00927F60" w:rsidRPr="00206B40" w:rsidRDefault="00927F60" w:rsidP="00927F60">
      <w:pPr>
        <w:rPr>
          <w:rFonts w:ascii="Arial" w:hAnsi="Arial" w:cs="Arial"/>
          <w:sz w:val="22"/>
          <w:szCs w:val="22"/>
        </w:rPr>
      </w:pPr>
      <w:r w:rsidRPr="00206B40">
        <w:rPr>
          <w:rFonts w:ascii="Arial" w:hAnsi="Arial" w:cs="Arial"/>
          <w:sz w:val="22"/>
          <w:szCs w:val="22"/>
        </w:rPr>
        <w:t xml:space="preserve">We suggest to make this field optional as the non-availability of an ISSUER LEI would result in a reject of the entire report though all other required data are complete. With the legislator’s intention to monitor the exposure we think it is more favorable to report the exposure without an ISSUER LEI than not receiving the exposure due to a missing ISSUER LEI. </w:t>
      </w:r>
    </w:p>
    <w:p w14:paraId="6102FB8B" w14:textId="6BE1C0F5" w:rsidR="00B7407E" w:rsidRPr="00206B40" w:rsidRDefault="00B7407E" w:rsidP="00927F60">
      <w:pPr>
        <w:rPr>
          <w:rFonts w:ascii="Arial" w:hAnsi="Arial" w:cs="Arial"/>
          <w:sz w:val="22"/>
          <w:szCs w:val="22"/>
        </w:rPr>
      </w:pPr>
    </w:p>
    <w:p w14:paraId="4EB47A5A" w14:textId="5FB938D4" w:rsidR="00B7407E" w:rsidRPr="00206B40" w:rsidRDefault="00B7407E" w:rsidP="00927F60">
      <w:pPr>
        <w:rPr>
          <w:rFonts w:asciiTheme="minorHAnsi" w:hAnsiTheme="minorHAnsi" w:cstheme="minorHAnsi"/>
          <w:sz w:val="22"/>
          <w:szCs w:val="22"/>
          <w:lang w:val="en-US"/>
        </w:rPr>
      </w:pPr>
      <w:r w:rsidRPr="00206B40">
        <w:rPr>
          <w:rFonts w:asciiTheme="minorHAnsi" w:hAnsiTheme="minorHAnsi" w:cstheme="minorHAnsi"/>
          <w:sz w:val="22"/>
          <w:szCs w:val="22"/>
          <w:lang w:val="en-US"/>
        </w:rPr>
        <w:t>Alternatively we suggest to keep the field as mandatory and to allow for a default value in case an ISSUE LEI is not available.</w:t>
      </w:r>
    </w:p>
    <w:permEnd w:id="1443438018"/>
    <w:p w14:paraId="1A3194AF" w14:textId="78F35353" w:rsidR="00D62A4F" w:rsidRDefault="00D62A4F" w:rsidP="00D62A4F">
      <w:pPr>
        <w:rPr>
          <w:rFonts w:ascii="Arial" w:hAnsi="Arial" w:cs="Arial"/>
        </w:rPr>
      </w:pPr>
      <w:r>
        <w:rPr>
          <w:rFonts w:ascii="Arial" w:hAnsi="Arial" w:cs="Arial"/>
        </w:rPr>
        <w:t>&lt;ESMA_QUESTION_RSFTR_69&gt;</w:t>
      </w:r>
    </w:p>
    <w:p w14:paraId="7B21C13B" w14:textId="77777777" w:rsidR="00D62A4F" w:rsidRDefault="00D62A4F" w:rsidP="00D62A4F">
      <w:pPr>
        <w:rPr>
          <w:rFonts w:ascii="Arial" w:hAnsi="Arial" w:cs="Arial"/>
        </w:rPr>
      </w:pPr>
    </w:p>
    <w:p w14:paraId="58FEF575"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plain vanilla bonds as collateral? Please detail the reasons for your response.</w:t>
      </w:r>
    </w:p>
    <w:p w14:paraId="481B819D" w14:textId="77777777" w:rsidR="00D62A4F" w:rsidRDefault="00D62A4F" w:rsidP="00D62A4F">
      <w:pPr>
        <w:rPr>
          <w:rFonts w:ascii="Arial" w:hAnsi="Arial" w:cs="Arial"/>
        </w:rPr>
      </w:pPr>
      <w:r>
        <w:rPr>
          <w:rFonts w:ascii="Arial" w:hAnsi="Arial" w:cs="Arial"/>
        </w:rPr>
        <w:t>&lt;ESMA_QUESTION_RSFTR_70&gt;</w:t>
      </w:r>
    </w:p>
    <w:p w14:paraId="3D4E6474" w14:textId="65999DEE" w:rsidR="00787715" w:rsidRPr="00206B40" w:rsidRDefault="00E3280E" w:rsidP="00D62A4F">
      <w:pPr>
        <w:rPr>
          <w:rFonts w:ascii="Arial" w:hAnsi="Arial" w:cs="Arial"/>
          <w:sz w:val="22"/>
          <w:szCs w:val="22"/>
        </w:rPr>
      </w:pPr>
      <w:permStart w:id="1468363311" w:edGrp="everyone"/>
      <w:r w:rsidRPr="00206B40">
        <w:rPr>
          <w:rFonts w:ascii="Arial" w:hAnsi="Arial" w:cs="Arial"/>
          <w:sz w:val="22"/>
          <w:szCs w:val="22"/>
        </w:rPr>
        <w:t>Explicit clarification of the population of the price and value fields needs to be provided. For example it is unclear if</w:t>
      </w:r>
      <w:r w:rsidR="00B4093E" w:rsidRPr="00206B40">
        <w:rPr>
          <w:rFonts w:ascii="Arial" w:hAnsi="Arial" w:cs="Arial"/>
          <w:sz w:val="22"/>
          <w:szCs w:val="22"/>
        </w:rPr>
        <w:t xml:space="preserve"> “price per unit” </w:t>
      </w:r>
      <w:r w:rsidRPr="00206B40">
        <w:rPr>
          <w:rFonts w:ascii="Arial" w:hAnsi="Arial" w:cs="Arial"/>
          <w:sz w:val="22"/>
          <w:szCs w:val="22"/>
        </w:rPr>
        <w:t>means the dirty price</w:t>
      </w:r>
      <w:r w:rsidR="00B4093E" w:rsidRPr="00206B40">
        <w:rPr>
          <w:rFonts w:ascii="Arial" w:hAnsi="Arial" w:cs="Arial"/>
          <w:sz w:val="22"/>
          <w:szCs w:val="22"/>
        </w:rPr>
        <w:t>?</w:t>
      </w:r>
    </w:p>
    <w:permEnd w:id="1468363311"/>
    <w:p w14:paraId="0974A0CD" w14:textId="77777777" w:rsidR="00D62A4F" w:rsidRDefault="00D62A4F" w:rsidP="00D62A4F">
      <w:pPr>
        <w:rPr>
          <w:rFonts w:ascii="Arial" w:hAnsi="Arial" w:cs="Arial"/>
        </w:rPr>
      </w:pPr>
      <w:r>
        <w:rPr>
          <w:rFonts w:ascii="Arial" w:hAnsi="Arial" w:cs="Arial"/>
        </w:rPr>
        <w:t>&lt;ESMA_QUESTION_RSFTR_70&gt;</w:t>
      </w:r>
    </w:p>
    <w:p w14:paraId="5A497E3C" w14:textId="77777777" w:rsidR="00D62A4F" w:rsidRDefault="00D62A4F" w:rsidP="00D62A4F">
      <w:pPr>
        <w:rPr>
          <w:rFonts w:ascii="Arial" w:hAnsi="Arial" w:cs="Arial"/>
        </w:rPr>
      </w:pPr>
    </w:p>
    <w:p w14:paraId="507CB29D"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perpetual bonds as collateral? Please detail the reasons for your response.</w:t>
      </w:r>
    </w:p>
    <w:p w14:paraId="5ADD23AD" w14:textId="77777777" w:rsidR="00D62A4F" w:rsidRDefault="00D62A4F" w:rsidP="00D62A4F">
      <w:pPr>
        <w:rPr>
          <w:rFonts w:ascii="Arial" w:hAnsi="Arial" w:cs="Arial"/>
        </w:rPr>
      </w:pPr>
      <w:r>
        <w:rPr>
          <w:rFonts w:ascii="Arial" w:hAnsi="Arial" w:cs="Arial"/>
        </w:rPr>
        <w:t>&lt;ESMA_QUESTION_RSFTR_71&gt;</w:t>
      </w:r>
    </w:p>
    <w:p w14:paraId="70AE7A3D" w14:textId="1B694B03" w:rsidR="00D62A4F" w:rsidRDefault="00927F60" w:rsidP="00D62A4F">
      <w:pPr>
        <w:rPr>
          <w:rFonts w:ascii="Arial" w:hAnsi="Arial" w:cs="Arial"/>
        </w:rPr>
      </w:pPr>
      <w:permStart w:id="248856653" w:edGrp="everyone"/>
      <w:r>
        <w:rPr>
          <w:rFonts w:ascii="Arial" w:hAnsi="Arial" w:cs="Arial"/>
        </w:rPr>
        <w:t>Yes.</w:t>
      </w:r>
    </w:p>
    <w:permEnd w:id="248856653"/>
    <w:p w14:paraId="7094608E" w14:textId="77777777" w:rsidR="00D62A4F" w:rsidRDefault="00D62A4F" w:rsidP="00D62A4F">
      <w:pPr>
        <w:rPr>
          <w:rFonts w:ascii="Arial" w:hAnsi="Arial" w:cs="Arial"/>
        </w:rPr>
      </w:pPr>
      <w:r>
        <w:rPr>
          <w:rFonts w:ascii="Arial" w:hAnsi="Arial" w:cs="Arial"/>
        </w:rPr>
        <w:t>&lt;ESMA_QUESTION_RSFTR_71&gt;</w:t>
      </w:r>
    </w:p>
    <w:p w14:paraId="07492518" w14:textId="77777777" w:rsidR="00D62A4F" w:rsidRDefault="00D62A4F" w:rsidP="00D62A4F">
      <w:pPr>
        <w:rPr>
          <w:rFonts w:ascii="Arial" w:hAnsi="Arial" w:cs="Arial"/>
        </w:rPr>
      </w:pPr>
    </w:p>
    <w:p w14:paraId="1C20C6CA"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main index equities as collateral? Please detail the reasons for your response.</w:t>
      </w:r>
    </w:p>
    <w:p w14:paraId="3076E849" w14:textId="77777777" w:rsidR="00D62A4F" w:rsidRDefault="00D62A4F" w:rsidP="00D62A4F">
      <w:pPr>
        <w:rPr>
          <w:rFonts w:ascii="Arial" w:hAnsi="Arial" w:cs="Arial"/>
        </w:rPr>
      </w:pPr>
      <w:r>
        <w:rPr>
          <w:rFonts w:ascii="Arial" w:hAnsi="Arial" w:cs="Arial"/>
        </w:rPr>
        <w:t>&lt;ESMA_QUESTION_RSFTR_72&gt;</w:t>
      </w:r>
    </w:p>
    <w:p w14:paraId="5CB9F523" w14:textId="72C8C4F3" w:rsidR="00D62A4F" w:rsidRDefault="00927F60" w:rsidP="00D62A4F">
      <w:pPr>
        <w:rPr>
          <w:rFonts w:ascii="Arial" w:hAnsi="Arial" w:cs="Arial"/>
        </w:rPr>
      </w:pPr>
      <w:permStart w:id="1015950173" w:edGrp="everyone"/>
      <w:r>
        <w:rPr>
          <w:rFonts w:ascii="Arial" w:hAnsi="Arial" w:cs="Arial"/>
        </w:rPr>
        <w:t>Yes.</w:t>
      </w:r>
    </w:p>
    <w:permEnd w:id="1015950173"/>
    <w:p w14:paraId="64FE1787" w14:textId="77777777" w:rsidR="00D62A4F" w:rsidRDefault="00D62A4F" w:rsidP="00D62A4F">
      <w:pPr>
        <w:rPr>
          <w:rFonts w:ascii="Arial" w:hAnsi="Arial" w:cs="Arial"/>
        </w:rPr>
      </w:pPr>
      <w:r>
        <w:rPr>
          <w:rFonts w:ascii="Arial" w:hAnsi="Arial" w:cs="Arial"/>
        </w:rPr>
        <w:t>&lt;ESMA_QUESTION_RSFTR_72&gt;</w:t>
      </w:r>
    </w:p>
    <w:p w14:paraId="02D991C1" w14:textId="77777777" w:rsidR="00D62A4F" w:rsidRDefault="00D62A4F" w:rsidP="00D62A4F">
      <w:pPr>
        <w:rPr>
          <w:rFonts w:ascii="Arial" w:hAnsi="Arial" w:cs="Arial"/>
        </w:rPr>
      </w:pPr>
    </w:p>
    <w:p w14:paraId="6FB94851"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variation margining with additional provision of securities by the collateral provider? Please detail the reasons for your response.</w:t>
      </w:r>
    </w:p>
    <w:p w14:paraId="321835E7" w14:textId="77777777" w:rsidR="00D62A4F" w:rsidRDefault="00D62A4F" w:rsidP="00D62A4F">
      <w:pPr>
        <w:rPr>
          <w:rFonts w:ascii="Arial" w:hAnsi="Arial" w:cs="Arial"/>
        </w:rPr>
      </w:pPr>
      <w:r>
        <w:rPr>
          <w:rFonts w:ascii="Arial" w:hAnsi="Arial" w:cs="Arial"/>
        </w:rPr>
        <w:t>&lt;ESMA_QUESTION_RSFTR_73&gt;</w:t>
      </w:r>
    </w:p>
    <w:p w14:paraId="68912C74" w14:textId="32AE3FAD" w:rsidR="00927F60" w:rsidRPr="00206B40" w:rsidRDefault="005427F7" w:rsidP="00927F60">
      <w:pPr>
        <w:rPr>
          <w:rFonts w:ascii="Arial" w:hAnsi="Arial" w:cs="Arial"/>
          <w:sz w:val="22"/>
          <w:szCs w:val="22"/>
          <w:lang w:val="en-US"/>
        </w:rPr>
      </w:pPr>
      <w:permStart w:id="1639145507" w:edGrp="everyone"/>
      <w:r w:rsidRPr="00206B40">
        <w:rPr>
          <w:rFonts w:ascii="Arial" w:hAnsi="Arial" w:cs="Arial"/>
          <w:sz w:val="22"/>
          <w:szCs w:val="22"/>
          <w:lang w:val="en-US"/>
        </w:rPr>
        <w:t>Generally</w:t>
      </w:r>
      <w:r w:rsidR="00927F60" w:rsidRPr="00206B40">
        <w:rPr>
          <w:rFonts w:ascii="Arial" w:hAnsi="Arial" w:cs="Arial"/>
          <w:sz w:val="22"/>
          <w:szCs w:val="22"/>
          <w:lang w:val="en-US"/>
        </w:rPr>
        <w:t xml:space="preserve"> we agree with the approach</w:t>
      </w:r>
      <w:r w:rsidRPr="00206B40">
        <w:rPr>
          <w:rFonts w:ascii="Arial" w:hAnsi="Arial" w:cs="Arial"/>
          <w:sz w:val="22"/>
          <w:szCs w:val="22"/>
          <w:lang w:val="en-US"/>
        </w:rPr>
        <w:t xml:space="preserve"> to report variation margins on repo not cleared by CCP as a collateral update (action type = COLU)</w:t>
      </w:r>
      <w:r w:rsidR="00927F60" w:rsidRPr="00206B40">
        <w:rPr>
          <w:rFonts w:ascii="Arial" w:hAnsi="Arial" w:cs="Arial"/>
          <w:sz w:val="22"/>
          <w:szCs w:val="22"/>
          <w:lang w:val="en-US"/>
        </w:rPr>
        <w:t xml:space="preserve">. </w:t>
      </w:r>
    </w:p>
    <w:p w14:paraId="333ED6E8" w14:textId="77777777" w:rsidR="005427F7" w:rsidRPr="00206B40" w:rsidRDefault="005427F7" w:rsidP="005427F7">
      <w:pPr>
        <w:pStyle w:val="StandardWeb"/>
        <w:shd w:val="clear" w:color="auto" w:fill="FFFFFF"/>
        <w:rPr>
          <w:rFonts w:ascii="Arial" w:hAnsi="Arial" w:cs="Arial"/>
          <w:sz w:val="22"/>
          <w:szCs w:val="22"/>
        </w:rPr>
      </w:pPr>
      <w:r w:rsidRPr="00206B40">
        <w:rPr>
          <w:rFonts w:ascii="Arial" w:hAnsi="Arial" w:cs="Arial"/>
          <w:sz w:val="22"/>
          <w:szCs w:val="22"/>
        </w:rPr>
        <w:t xml:space="preserve">Therefore, we understand the reporting logic as follows: </w:t>
      </w:r>
    </w:p>
    <w:p w14:paraId="0CC74DAA" w14:textId="74BED2AC" w:rsidR="005427F7" w:rsidRPr="00206B40" w:rsidRDefault="005427F7" w:rsidP="005427F7">
      <w:pPr>
        <w:pStyle w:val="StandardWeb"/>
        <w:shd w:val="clear" w:color="auto" w:fill="FFFFFF"/>
        <w:rPr>
          <w:rFonts w:ascii="Arial" w:hAnsi="Arial" w:cs="Arial"/>
          <w:sz w:val="22"/>
          <w:szCs w:val="22"/>
        </w:rPr>
      </w:pPr>
      <w:r w:rsidRPr="00206B40">
        <w:rPr>
          <w:rFonts w:ascii="Arial" w:hAnsi="Arial" w:cs="Arial"/>
          <w:sz w:val="22"/>
          <w:szCs w:val="22"/>
        </w:rPr>
        <w:lastRenderedPageBreak/>
        <w:t xml:space="preserve">If variation margin is being called against individual repos (which is typical of tri-party repos and structured transactions which the parties have expressly agreed to margin separately from the rest of the repos between them), variation margins should be reported as part of the normal end-of-day collateral update report linked to the relevant transaction by its UTI. </w:t>
      </w:r>
    </w:p>
    <w:p w14:paraId="62E1EA03" w14:textId="77777777" w:rsidR="005427F7" w:rsidRPr="00206B40" w:rsidRDefault="005427F7" w:rsidP="005427F7">
      <w:pPr>
        <w:pStyle w:val="StandardWeb"/>
        <w:shd w:val="clear" w:color="auto" w:fill="FFFFFF"/>
        <w:rPr>
          <w:rFonts w:ascii="Arial" w:hAnsi="Arial" w:cs="Arial"/>
          <w:sz w:val="22"/>
          <w:szCs w:val="22"/>
        </w:rPr>
      </w:pPr>
      <w:r w:rsidRPr="00206B40">
        <w:rPr>
          <w:rFonts w:ascii="Arial" w:hAnsi="Arial" w:cs="Arial"/>
          <w:sz w:val="22"/>
          <w:szCs w:val="22"/>
        </w:rPr>
        <w:t>If, as is more usual, variation margin is being called against the net exposure of a portfolio of repos  --- in other words, variation margin represents collateralization on a net basis --- an extra end-of-day collateral update report will be required for each daily variation margin which should include:</w:t>
      </w:r>
    </w:p>
    <w:p w14:paraId="0FDB51EE" w14:textId="77777777" w:rsidR="005427F7" w:rsidRPr="00206B40" w:rsidRDefault="005427F7" w:rsidP="005427F7">
      <w:pPr>
        <w:pStyle w:val="StandardWeb"/>
        <w:numPr>
          <w:ilvl w:val="0"/>
          <w:numId w:val="22"/>
        </w:numPr>
        <w:shd w:val="clear" w:color="auto" w:fill="FFFFFF"/>
        <w:spacing w:before="0" w:beforeAutospacing="0" w:after="0" w:afterAutospacing="0"/>
        <w:rPr>
          <w:rFonts w:ascii="Arial" w:hAnsi="Arial" w:cs="Arial"/>
          <w:sz w:val="22"/>
          <w:szCs w:val="22"/>
        </w:rPr>
      </w:pPr>
      <w:r w:rsidRPr="00206B40">
        <w:rPr>
          <w:rFonts w:ascii="Arial" w:hAnsi="Arial" w:cs="Arial"/>
          <w:i/>
          <w:sz w:val="22"/>
          <w:szCs w:val="22"/>
        </w:rPr>
        <w:t>Table 2, field 73, Collateralization of Net Exposure</w:t>
      </w:r>
      <w:r w:rsidRPr="00206B40">
        <w:rPr>
          <w:rFonts w:ascii="Arial" w:hAnsi="Arial" w:cs="Arial"/>
          <w:sz w:val="22"/>
          <w:szCs w:val="22"/>
        </w:rPr>
        <w:t xml:space="preserve"> = TRUE</w:t>
      </w:r>
    </w:p>
    <w:p w14:paraId="6BE2CCF5" w14:textId="77777777" w:rsidR="005427F7" w:rsidRPr="00206B40" w:rsidRDefault="005427F7" w:rsidP="005427F7">
      <w:pPr>
        <w:pStyle w:val="StandardWeb"/>
        <w:shd w:val="clear" w:color="auto" w:fill="FFFFFF"/>
        <w:rPr>
          <w:rFonts w:ascii="Arial" w:hAnsi="Arial" w:cs="Arial"/>
          <w:color w:val="2F5496" w:themeColor="accent5" w:themeShade="BF"/>
          <w:sz w:val="22"/>
          <w:szCs w:val="22"/>
        </w:rPr>
      </w:pPr>
      <w:r w:rsidRPr="00206B40">
        <w:rPr>
          <w:rFonts w:ascii="Arial" w:hAnsi="Arial" w:cs="Arial"/>
          <w:sz w:val="22"/>
          <w:szCs w:val="22"/>
        </w:rPr>
        <w:t>and should be linked to the underlying transactions by the following fields</w:t>
      </w:r>
      <w:r w:rsidRPr="00206B40">
        <w:rPr>
          <w:rFonts w:ascii="Arial" w:hAnsi="Arial" w:cs="Arial"/>
          <w:color w:val="2F5496" w:themeColor="accent5" w:themeShade="BF"/>
          <w:sz w:val="22"/>
          <w:szCs w:val="22"/>
        </w:rPr>
        <w:t>:</w:t>
      </w:r>
    </w:p>
    <w:p w14:paraId="76DDC75D" w14:textId="77777777" w:rsidR="005427F7" w:rsidRPr="00206B40" w:rsidRDefault="005427F7" w:rsidP="005427F7">
      <w:pPr>
        <w:pStyle w:val="StandardWeb"/>
        <w:numPr>
          <w:ilvl w:val="0"/>
          <w:numId w:val="23"/>
        </w:numPr>
        <w:shd w:val="clear" w:color="auto" w:fill="FFFFFF"/>
        <w:spacing w:before="0" w:beforeAutospacing="0" w:after="0" w:afterAutospacing="0"/>
        <w:rPr>
          <w:rFonts w:ascii="Arial" w:hAnsi="Arial" w:cs="Arial"/>
          <w:sz w:val="22"/>
          <w:szCs w:val="22"/>
        </w:rPr>
      </w:pPr>
      <w:r w:rsidRPr="00206B40">
        <w:rPr>
          <w:rFonts w:ascii="Arial" w:hAnsi="Arial" w:cs="Arial"/>
          <w:sz w:val="22"/>
          <w:szCs w:val="22"/>
        </w:rPr>
        <w:t>Table 2, field 9, Master Agreement Type</w:t>
      </w:r>
    </w:p>
    <w:p w14:paraId="35363E6F" w14:textId="77777777" w:rsidR="005427F7" w:rsidRPr="00206B40" w:rsidRDefault="005427F7" w:rsidP="005427F7">
      <w:pPr>
        <w:pStyle w:val="StandardWeb"/>
        <w:numPr>
          <w:ilvl w:val="0"/>
          <w:numId w:val="23"/>
        </w:numPr>
        <w:shd w:val="clear" w:color="auto" w:fill="FFFFFF"/>
        <w:spacing w:before="0" w:beforeAutospacing="0" w:after="0" w:afterAutospacing="0"/>
        <w:rPr>
          <w:rFonts w:ascii="Arial" w:hAnsi="Arial" w:cs="Arial"/>
          <w:sz w:val="22"/>
          <w:szCs w:val="22"/>
        </w:rPr>
      </w:pPr>
      <w:r w:rsidRPr="00206B40">
        <w:rPr>
          <w:rFonts w:ascii="Arial" w:hAnsi="Arial" w:cs="Arial"/>
          <w:sz w:val="22"/>
          <w:szCs w:val="22"/>
        </w:rPr>
        <w:t xml:space="preserve">Table 1, fields 3 &amp; 11, LEIs of the parties </w:t>
      </w:r>
    </w:p>
    <w:p w14:paraId="7D0607B4" w14:textId="77777777" w:rsidR="005427F7" w:rsidRPr="00206B40" w:rsidRDefault="005427F7" w:rsidP="005427F7">
      <w:pPr>
        <w:pStyle w:val="StandardWeb"/>
        <w:numPr>
          <w:ilvl w:val="0"/>
          <w:numId w:val="23"/>
        </w:numPr>
        <w:shd w:val="clear" w:color="auto" w:fill="FFFFFF"/>
        <w:spacing w:before="0" w:beforeAutospacing="0" w:after="0" w:afterAutospacing="0"/>
        <w:rPr>
          <w:rFonts w:ascii="Arial" w:hAnsi="Arial" w:cs="Arial"/>
          <w:sz w:val="22"/>
          <w:szCs w:val="22"/>
        </w:rPr>
      </w:pPr>
      <w:r w:rsidRPr="00206B40">
        <w:rPr>
          <w:rFonts w:ascii="Arial" w:hAnsi="Arial" w:cs="Arial"/>
          <w:sz w:val="22"/>
          <w:szCs w:val="22"/>
        </w:rPr>
        <w:t>Table 2, field 74, Value Date of the Collateral --- this is the latest Value Date (field 2.14) of the repos in the portfolio being margined.</w:t>
      </w:r>
    </w:p>
    <w:p w14:paraId="5A6F9E1C" w14:textId="56C7C363" w:rsidR="005427F7" w:rsidRPr="00206B40" w:rsidRDefault="005427F7" w:rsidP="00927F60">
      <w:pPr>
        <w:rPr>
          <w:rFonts w:ascii="Arial" w:hAnsi="Arial" w:cs="Arial"/>
          <w:sz w:val="22"/>
          <w:szCs w:val="22"/>
        </w:rPr>
      </w:pPr>
    </w:p>
    <w:p w14:paraId="45DC2FFA" w14:textId="77777777" w:rsidR="00FB0265" w:rsidRPr="00206B40" w:rsidRDefault="00FB0265" w:rsidP="00FB0265">
      <w:pPr>
        <w:rPr>
          <w:rFonts w:ascii="Arial" w:hAnsi="Arial" w:cs="Arial"/>
          <w:sz w:val="22"/>
          <w:szCs w:val="22"/>
        </w:rPr>
      </w:pPr>
      <w:r w:rsidRPr="00206B40">
        <w:rPr>
          <w:rFonts w:ascii="Arial" w:hAnsi="Arial" w:cs="Arial"/>
          <w:sz w:val="22"/>
          <w:szCs w:val="22"/>
        </w:rPr>
        <w:t>Additionally the provided examples (tables 97-99 on pp.137-141) do not seem to accurately reflect VM practicalities for Repo. For example, even if the examples are marked as net collateralization, we noted that the VM still involves increasing/reducing the collateral of an individual trade (although this might be a result of the very simplified example). Also, neither of the examples includes any cash component, which needs to be possible. It would be very helpful I ESMA would provide an additional use case including VM on net exposure basis in cash.</w:t>
      </w:r>
    </w:p>
    <w:p w14:paraId="29EF56F9" w14:textId="77777777" w:rsidR="00FB0265" w:rsidRPr="00206B40" w:rsidRDefault="00FB0265" w:rsidP="00927F60">
      <w:pPr>
        <w:rPr>
          <w:rFonts w:ascii="Arial" w:hAnsi="Arial" w:cs="Arial"/>
          <w:sz w:val="22"/>
          <w:szCs w:val="22"/>
        </w:rPr>
      </w:pPr>
    </w:p>
    <w:p w14:paraId="24633AFB" w14:textId="77777777" w:rsidR="00927F60" w:rsidRPr="00206B40" w:rsidRDefault="00927F60" w:rsidP="00927F60">
      <w:pPr>
        <w:rPr>
          <w:rFonts w:ascii="Arial" w:hAnsi="Arial" w:cs="Arial"/>
          <w:sz w:val="22"/>
          <w:szCs w:val="22"/>
          <w:lang w:val="en-US"/>
        </w:rPr>
      </w:pPr>
    </w:p>
    <w:p w14:paraId="0DDA64B0" w14:textId="0DE02F42" w:rsidR="00927F60" w:rsidRPr="00206B40" w:rsidRDefault="005427F7" w:rsidP="00927F60">
      <w:pPr>
        <w:rPr>
          <w:rFonts w:ascii="Arial" w:hAnsi="Arial" w:cs="Arial"/>
          <w:sz w:val="22"/>
          <w:szCs w:val="22"/>
          <w:lang w:val="en-US"/>
        </w:rPr>
      </w:pPr>
      <w:r w:rsidRPr="00206B40">
        <w:rPr>
          <w:rFonts w:ascii="Arial" w:hAnsi="Arial" w:cs="Arial"/>
          <w:sz w:val="22"/>
          <w:szCs w:val="22"/>
          <w:lang w:val="en-US"/>
        </w:rPr>
        <w:t>We</w:t>
      </w:r>
      <w:r w:rsidR="00927F60" w:rsidRPr="00206B40">
        <w:rPr>
          <w:rFonts w:ascii="Arial" w:hAnsi="Arial" w:cs="Arial"/>
          <w:sz w:val="22"/>
          <w:szCs w:val="22"/>
          <w:lang w:val="en-US"/>
        </w:rPr>
        <w:t xml:space="preserve"> assume that the example in table 97 includes an error as the quantity/nominal of collateral and the collateral price changed but the Market value of the collateral did not change. </w:t>
      </w:r>
    </w:p>
    <w:p w14:paraId="0E555B94" w14:textId="77777777" w:rsidR="00927F60" w:rsidRPr="00206B40" w:rsidRDefault="00927F60" w:rsidP="00927F60">
      <w:pPr>
        <w:rPr>
          <w:rFonts w:ascii="Arial" w:hAnsi="Arial" w:cs="Arial"/>
          <w:sz w:val="22"/>
          <w:szCs w:val="22"/>
          <w:lang w:val="en-US"/>
        </w:rPr>
      </w:pPr>
    </w:p>
    <w:p w14:paraId="7BA6F39C" w14:textId="77777777" w:rsidR="00927F60" w:rsidRPr="00206B40" w:rsidRDefault="00927F60" w:rsidP="00927F60">
      <w:pPr>
        <w:rPr>
          <w:rFonts w:ascii="Arial" w:hAnsi="Arial" w:cs="Arial"/>
          <w:sz w:val="22"/>
          <w:szCs w:val="22"/>
          <w:lang w:val="en-US"/>
        </w:rPr>
      </w:pPr>
      <w:r w:rsidRPr="00206B40">
        <w:rPr>
          <w:rFonts w:ascii="Arial" w:hAnsi="Arial" w:cs="Arial"/>
          <w:sz w:val="22"/>
          <w:szCs w:val="22"/>
          <w:lang w:val="en-US"/>
        </w:rPr>
        <w:t>According to our understanding the market value of collateral should be 10.199.990.000,00 instead of the reported 102.000.000.</w:t>
      </w:r>
    </w:p>
    <w:p w14:paraId="692B5B0D" w14:textId="77777777" w:rsidR="00B4093E" w:rsidRPr="00206B40" w:rsidRDefault="00B4093E" w:rsidP="00927F60">
      <w:pPr>
        <w:rPr>
          <w:rFonts w:ascii="Arial" w:hAnsi="Arial" w:cs="Arial"/>
          <w:sz w:val="22"/>
          <w:szCs w:val="22"/>
          <w:lang w:val="en-US"/>
        </w:rPr>
      </w:pPr>
    </w:p>
    <w:p w14:paraId="1C6E5C64" w14:textId="7A727CC6" w:rsidR="005427F7" w:rsidRPr="00206B40" w:rsidRDefault="00B4093E" w:rsidP="00927F60">
      <w:pPr>
        <w:rPr>
          <w:rFonts w:ascii="Arial" w:hAnsi="Arial" w:cs="Arial"/>
          <w:sz w:val="22"/>
          <w:szCs w:val="22"/>
        </w:rPr>
      </w:pPr>
      <w:r w:rsidRPr="00206B40">
        <w:rPr>
          <w:rFonts w:ascii="Arial" w:hAnsi="Arial" w:cs="Arial"/>
          <w:sz w:val="22"/>
          <w:szCs w:val="22"/>
        </w:rPr>
        <w:t xml:space="preserve">The value for the collateral market value in table 97 do not match the text in paragraph 352. The value for field 88 should be </w:t>
      </w:r>
      <w:r w:rsidR="00206B40" w:rsidRPr="00206B40">
        <w:rPr>
          <w:rFonts w:ascii="Arial" w:hAnsi="Arial" w:cs="Arial"/>
          <w:sz w:val="22"/>
          <w:szCs w:val="22"/>
        </w:rPr>
        <w:t>101.999.900 and not 102.000.000</w:t>
      </w:r>
    </w:p>
    <w:permEnd w:id="1639145507"/>
    <w:p w14:paraId="448B4F4A" w14:textId="77777777" w:rsidR="00D62A4F" w:rsidRDefault="00D62A4F" w:rsidP="00D62A4F">
      <w:pPr>
        <w:rPr>
          <w:rFonts w:ascii="Arial" w:hAnsi="Arial" w:cs="Arial"/>
        </w:rPr>
      </w:pPr>
      <w:r>
        <w:rPr>
          <w:rFonts w:ascii="Arial" w:hAnsi="Arial" w:cs="Arial"/>
        </w:rPr>
        <w:t>&lt;ESMA_QUESTION_RSFTR_73&gt;</w:t>
      </w:r>
    </w:p>
    <w:p w14:paraId="2F6D9F61" w14:textId="77777777" w:rsidR="00D62A4F" w:rsidRDefault="00D62A4F" w:rsidP="00D62A4F">
      <w:pPr>
        <w:rPr>
          <w:rFonts w:ascii="Arial" w:hAnsi="Arial" w:cs="Arial"/>
        </w:rPr>
      </w:pPr>
    </w:p>
    <w:p w14:paraId="1B880962"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variation margining with return of the same securities to collateral provider? Please detail the reasons for your response.</w:t>
      </w:r>
    </w:p>
    <w:p w14:paraId="4CDCB078" w14:textId="77777777" w:rsidR="00D62A4F" w:rsidRDefault="00D62A4F" w:rsidP="00D62A4F">
      <w:pPr>
        <w:rPr>
          <w:rFonts w:ascii="Arial" w:hAnsi="Arial" w:cs="Arial"/>
        </w:rPr>
      </w:pPr>
      <w:r>
        <w:rPr>
          <w:rFonts w:ascii="Arial" w:hAnsi="Arial" w:cs="Arial"/>
        </w:rPr>
        <w:t>&lt;ESMA_QUESTION_RSFTR_74&gt;</w:t>
      </w:r>
    </w:p>
    <w:p w14:paraId="374FCE5A" w14:textId="62B97295" w:rsidR="00927F60" w:rsidRPr="00206B40" w:rsidRDefault="00927F60" w:rsidP="00927F60">
      <w:pPr>
        <w:rPr>
          <w:rFonts w:ascii="Arial" w:hAnsi="Arial" w:cs="Arial"/>
          <w:sz w:val="22"/>
          <w:szCs w:val="22"/>
          <w:lang w:val="en-US"/>
        </w:rPr>
      </w:pPr>
      <w:permStart w:id="519007830" w:edGrp="everyone"/>
      <w:r w:rsidRPr="00206B40">
        <w:rPr>
          <w:rFonts w:ascii="Arial" w:hAnsi="Arial" w:cs="Arial"/>
          <w:sz w:val="22"/>
          <w:szCs w:val="22"/>
          <w:lang w:val="en-US"/>
        </w:rPr>
        <w:t>Yes, we agree with the approach</w:t>
      </w:r>
      <w:r w:rsidR="00206B40" w:rsidRPr="00206B40">
        <w:rPr>
          <w:rFonts w:ascii="Arial" w:hAnsi="Arial" w:cs="Arial"/>
          <w:sz w:val="22"/>
          <w:szCs w:val="22"/>
          <w:lang w:val="en-US"/>
        </w:rPr>
        <w:t xml:space="preserve">. </w:t>
      </w:r>
    </w:p>
    <w:p w14:paraId="0BAC15D6" w14:textId="77777777" w:rsidR="00927F60" w:rsidRPr="00206B40" w:rsidRDefault="00927F60" w:rsidP="00927F60">
      <w:pPr>
        <w:rPr>
          <w:rFonts w:ascii="Arial" w:hAnsi="Arial" w:cs="Arial"/>
          <w:sz w:val="22"/>
          <w:szCs w:val="22"/>
          <w:lang w:val="en-US"/>
        </w:rPr>
      </w:pPr>
    </w:p>
    <w:p w14:paraId="63CE5CA0" w14:textId="77777777" w:rsidR="00927F60" w:rsidRPr="00206B40" w:rsidRDefault="00927F60" w:rsidP="00927F60">
      <w:pPr>
        <w:rPr>
          <w:rFonts w:ascii="Arial" w:hAnsi="Arial" w:cs="Arial"/>
          <w:sz w:val="22"/>
          <w:szCs w:val="22"/>
          <w:lang w:val="en-US"/>
        </w:rPr>
      </w:pPr>
      <w:r w:rsidRPr="00206B40">
        <w:rPr>
          <w:rFonts w:ascii="Arial" w:hAnsi="Arial" w:cs="Arial"/>
          <w:sz w:val="22"/>
          <w:szCs w:val="22"/>
          <w:lang w:val="en-US"/>
        </w:rPr>
        <w:t xml:space="preserve">However, we assume that the example in table 98 includes an error as the quantity/nominal of collateral and the collateral price changed but the Market value of the collateral did not change. </w:t>
      </w:r>
    </w:p>
    <w:p w14:paraId="7EC45491" w14:textId="77777777" w:rsidR="00927F60" w:rsidRPr="00206B40" w:rsidRDefault="00927F60" w:rsidP="00927F60">
      <w:pPr>
        <w:rPr>
          <w:rFonts w:ascii="Arial" w:hAnsi="Arial" w:cs="Arial"/>
          <w:sz w:val="22"/>
          <w:szCs w:val="22"/>
          <w:lang w:val="en-US"/>
        </w:rPr>
      </w:pPr>
    </w:p>
    <w:p w14:paraId="2C6CC18A" w14:textId="77777777" w:rsidR="00927F60" w:rsidRPr="00206B40" w:rsidRDefault="00927F60" w:rsidP="00D62A4F">
      <w:pPr>
        <w:rPr>
          <w:rFonts w:ascii="Arial" w:hAnsi="Arial" w:cs="Arial"/>
          <w:sz w:val="22"/>
          <w:szCs w:val="22"/>
          <w:lang w:val="en-US"/>
        </w:rPr>
      </w:pPr>
      <w:r w:rsidRPr="00206B40">
        <w:rPr>
          <w:rFonts w:ascii="Arial" w:hAnsi="Arial" w:cs="Arial"/>
          <w:sz w:val="22"/>
          <w:szCs w:val="22"/>
          <w:lang w:val="en-US"/>
        </w:rPr>
        <w:t>According to our understanding the market value of collateral should be 10.199.990.000,00 instead of the reported 102.000.000</w:t>
      </w:r>
    </w:p>
    <w:p w14:paraId="70B7A395" w14:textId="77777777" w:rsidR="00264FAB" w:rsidRPr="00206B40" w:rsidRDefault="00264FAB" w:rsidP="00B4093E">
      <w:pPr>
        <w:rPr>
          <w:rFonts w:ascii="Arial" w:hAnsi="Arial" w:cs="Arial"/>
          <w:sz w:val="22"/>
          <w:szCs w:val="22"/>
          <w:lang w:val="en-US"/>
        </w:rPr>
      </w:pPr>
    </w:p>
    <w:p w14:paraId="4DE30A86" w14:textId="500B6D6F" w:rsidR="00B4093E" w:rsidRPr="00206B40" w:rsidRDefault="00B4093E" w:rsidP="00D62A4F">
      <w:pPr>
        <w:rPr>
          <w:rFonts w:ascii="Arial" w:hAnsi="Arial" w:cs="Arial"/>
          <w:sz w:val="22"/>
          <w:szCs w:val="22"/>
        </w:rPr>
      </w:pPr>
      <w:r w:rsidRPr="00206B40">
        <w:rPr>
          <w:rFonts w:ascii="Arial" w:hAnsi="Arial" w:cs="Arial"/>
          <w:sz w:val="22"/>
          <w:szCs w:val="22"/>
        </w:rPr>
        <w:t>The value for the collateral market value in table 98 do not match the text in paragraph 353. The value for field 88 should be 101.999.700 and not 102.000.000</w:t>
      </w:r>
    </w:p>
    <w:permEnd w:id="519007830"/>
    <w:p w14:paraId="20E59C55" w14:textId="63499DED" w:rsidR="00D62A4F" w:rsidRDefault="00D62A4F" w:rsidP="00D62A4F">
      <w:pPr>
        <w:rPr>
          <w:rFonts w:ascii="Arial" w:hAnsi="Arial" w:cs="Arial"/>
        </w:rPr>
      </w:pPr>
      <w:r>
        <w:rPr>
          <w:rFonts w:ascii="Arial" w:hAnsi="Arial" w:cs="Arial"/>
        </w:rPr>
        <w:t>&lt;ESMA_QUESTION_RSFTR_74&gt;</w:t>
      </w:r>
    </w:p>
    <w:p w14:paraId="23AB3AB4" w14:textId="77777777" w:rsidR="00D62A4F" w:rsidRDefault="00D62A4F" w:rsidP="00D62A4F">
      <w:pPr>
        <w:rPr>
          <w:rFonts w:ascii="Arial" w:hAnsi="Arial" w:cs="Arial"/>
        </w:rPr>
      </w:pPr>
    </w:p>
    <w:p w14:paraId="7AF7CC5A"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variation margining with return of different securities to the collateral provider? Please detail the reasons for your response.</w:t>
      </w:r>
    </w:p>
    <w:p w14:paraId="0F67850C" w14:textId="77777777" w:rsidR="00D62A4F" w:rsidRDefault="00D62A4F" w:rsidP="00D62A4F">
      <w:pPr>
        <w:rPr>
          <w:rFonts w:ascii="Arial" w:hAnsi="Arial" w:cs="Arial"/>
        </w:rPr>
      </w:pPr>
      <w:r>
        <w:rPr>
          <w:rFonts w:ascii="Arial" w:hAnsi="Arial" w:cs="Arial"/>
        </w:rPr>
        <w:t>&lt;ESMA_QUESTION_RSFTR_75&gt;</w:t>
      </w:r>
    </w:p>
    <w:p w14:paraId="224F563C" w14:textId="77777777" w:rsidR="00927F60" w:rsidRPr="00206B40" w:rsidRDefault="00927F60" w:rsidP="00927F60">
      <w:pPr>
        <w:rPr>
          <w:rFonts w:ascii="Arial" w:hAnsi="Arial" w:cs="Arial"/>
          <w:sz w:val="22"/>
          <w:szCs w:val="22"/>
        </w:rPr>
      </w:pPr>
      <w:permStart w:id="155744384" w:edGrp="everyone"/>
      <w:r w:rsidRPr="00206B40">
        <w:rPr>
          <w:rFonts w:ascii="Arial" w:hAnsi="Arial" w:cs="Arial"/>
          <w:sz w:val="22"/>
          <w:szCs w:val="22"/>
        </w:rPr>
        <w:t xml:space="preserve">No. </w:t>
      </w:r>
    </w:p>
    <w:p w14:paraId="58AC0586" w14:textId="77777777" w:rsidR="00927F60" w:rsidRPr="00206B40" w:rsidRDefault="00927F60" w:rsidP="00927F60">
      <w:pPr>
        <w:rPr>
          <w:rFonts w:ascii="Arial" w:hAnsi="Arial" w:cs="Arial"/>
          <w:sz w:val="22"/>
          <w:szCs w:val="22"/>
        </w:rPr>
      </w:pPr>
    </w:p>
    <w:p w14:paraId="5A5CDBB1" w14:textId="77777777" w:rsidR="00927F60" w:rsidRPr="00206B40" w:rsidRDefault="00927F60" w:rsidP="00927F60">
      <w:pPr>
        <w:rPr>
          <w:rFonts w:ascii="Arial" w:hAnsi="Arial" w:cs="Arial"/>
          <w:sz w:val="22"/>
          <w:szCs w:val="22"/>
        </w:rPr>
      </w:pPr>
      <w:r w:rsidRPr="00206B40">
        <w:rPr>
          <w:rFonts w:ascii="Arial" w:hAnsi="Arial" w:cs="Arial"/>
          <w:sz w:val="22"/>
          <w:szCs w:val="22"/>
        </w:rPr>
        <w:t>The example shows, that the change of quantity is reported instead of the final quantity which ist still posted against the loan. I.e. the reduction of the French bond should not be reported as -2000000 in collateral quantity (i.e. not the delta), as this does not reflect the market practice. The remaining quantity of that ISIN posted as collateral needs to be reported, as this is the value, the collateral calculation is based on.</w:t>
      </w:r>
    </w:p>
    <w:p w14:paraId="16409FD0" w14:textId="77777777" w:rsidR="00264FAB" w:rsidRPr="00206B40" w:rsidRDefault="00264FAB" w:rsidP="00B4093E">
      <w:pPr>
        <w:rPr>
          <w:rFonts w:ascii="Arial" w:hAnsi="Arial" w:cs="Arial"/>
          <w:sz w:val="22"/>
          <w:szCs w:val="22"/>
        </w:rPr>
      </w:pPr>
    </w:p>
    <w:p w14:paraId="3B069340" w14:textId="63C4F6E5" w:rsidR="00B4093E" w:rsidRPr="00206B40" w:rsidRDefault="00B4093E" w:rsidP="00B4093E">
      <w:pPr>
        <w:rPr>
          <w:rFonts w:ascii="Arial" w:hAnsi="Arial" w:cs="Arial"/>
          <w:sz w:val="22"/>
          <w:szCs w:val="22"/>
        </w:rPr>
      </w:pPr>
      <w:r w:rsidRPr="00206B40">
        <w:rPr>
          <w:rFonts w:ascii="Arial" w:hAnsi="Arial" w:cs="Arial"/>
          <w:sz w:val="22"/>
          <w:szCs w:val="22"/>
        </w:rPr>
        <w:t>We wonder if in table 99 the price per unit for the DE-collateral is correctly shown. The text in paragraph 354 say 103,3. Table 99 shows 103,03. Furher more the price for the FR-collateral  say 1,03 but according to the values in paragraph 354 it should be 103.</w:t>
      </w:r>
    </w:p>
    <w:p w14:paraId="4788B5CF" w14:textId="77777777" w:rsidR="00B4093E" w:rsidRPr="00206B40" w:rsidRDefault="00B4093E" w:rsidP="00927F60">
      <w:pPr>
        <w:rPr>
          <w:rFonts w:ascii="Arial" w:hAnsi="Arial" w:cs="Arial"/>
          <w:sz w:val="22"/>
          <w:szCs w:val="22"/>
        </w:rPr>
      </w:pPr>
    </w:p>
    <w:p w14:paraId="6DF86C90" w14:textId="4C40CAEB" w:rsidR="00787715" w:rsidRPr="00206B40" w:rsidRDefault="00787715" w:rsidP="00927F60">
      <w:pPr>
        <w:rPr>
          <w:rFonts w:ascii="Arial" w:hAnsi="Arial" w:cs="Arial"/>
          <w:sz w:val="22"/>
          <w:szCs w:val="22"/>
        </w:rPr>
      </w:pPr>
      <w:r w:rsidRPr="00206B40">
        <w:rPr>
          <w:rFonts w:ascii="Arial" w:hAnsi="Arial" w:cs="Arial"/>
          <w:sz w:val="22"/>
          <w:szCs w:val="22"/>
        </w:rPr>
        <w:t>More clarification of how to report variation margin for Repo</w:t>
      </w:r>
      <w:r w:rsidR="00264FAB" w:rsidRPr="00206B40">
        <w:rPr>
          <w:rFonts w:ascii="Arial" w:hAnsi="Arial" w:cs="Arial"/>
          <w:sz w:val="22"/>
          <w:szCs w:val="22"/>
        </w:rPr>
        <w:t xml:space="preserve"> and SBL scenarios is required.</w:t>
      </w:r>
    </w:p>
    <w:permEnd w:id="155744384"/>
    <w:p w14:paraId="54C98A2D" w14:textId="77777777" w:rsidR="00D62A4F" w:rsidRDefault="00D62A4F" w:rsidP="00D62A4F">
      <w:pPr>
        <w:rPr>
          <w:rFonts w:ascii="Arial" w:hAnsi="Arial" w:cs="Arial"/>
        </w:rPr>
      </w:pPr>
      <w:r>
        <w:rPr>
          <w:rFonts w:ascii="Arial" w:hAnsi="Arial" w:cs="Arial"/>
        </w:rPr>
        <w:t>&lt;ESMA_QUESTION_RSFTR_75&gt;</w:t>
      </w:r>
    </w:p>
    <w:p w14:paraId="52C6B624" w14:textId="77777777" w:rsidR="00D62A4F" w:rsidRDefault="00D62A4F" w:rsidP="00D62A4F">
      <w:pPr>
        <w:rPr>
          <w:rFonts w:ascii="Arial" w:hAnsi="Arial" w:cs="Arial"/>
        </w:rPr>
      </w:pPr>
    </w:p>
    <w:p w14:paraId="2C465C18"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prepaid collateral? Please detail the reasons for your response.</w:t>
      </w:r>
    </w:p>
    <w:p w14:paraId="2247D678" w14:textId="77777777" w:rsidR="00D62A4F" w:rsidRDefault="00D62A4F" w:rsidP="00D62A4F">
      <w:pPr>
        <w:rPr>
          <w:rFonts w:ascii="Arial" w:hAnsi="Arial" w:cs="Arial"/>
        </w:rPr>
      </w:pPr>
      <w:r>
        <w:rPr>
          <w:rFonts w:ascii="Arial" w:hAnsi="Arial" w:cs="Arial"/>
        </w:rPr>
        <w:t>&lt;ESMA_QUESTION_RSFTR_76&gt;</w:t>
      </w:r>
    </w:p>
    <w:p w14:paraId="620135EC" w14:textId="36638AEA" w:rsidR="00927F60" w:rsidRPr="00927F60" w:rsidRDefault="00927F60" w:rsidP="00927F60">
      <w:pPr>
        <w:rPr>
          <w:rFonts w:ascii="Arial" w:hAnsi="Arial" w:cs="Arial"/>
        </w:rPr>
      </w:pPr>
      <w:permStart w:id="518009152" w:edGrp="everyone"/>
      <w:r w:rsidRPr="00927F60">
        <w:rPr>
          <w:rFonts w:ascii="Arial" w:hAnsi="Arial" w:cs="Arial"/>
        </w:rPr>
        <w:t>Yes</w:t>
      </w:r>
      <w:r>
        <w:rPr>
          <w:rFonts w:ascii="Arial" w:hAnsi="Arial" w:cs="Arial"/>
        </w:rPr>
        <w:t>.</w:t>
      </w:r>
    </w:p>
    <w:permEnd w:id="518009152"/>
    <w:p w14:paraId="218E31F6" w14:textId="77777777" w:rsidR="00D62A4F" w:rsidRDefault="00D62A4F" w:rsidP="00D62A4F">
      <w:pPr>
        <w:rPr>
          <w:rFonts w:ascii="Arial" w:hAnsi="Arial" w:cs="Arial"/>
        </w:rPr>
      </w:pPr>
      <w:r>
        <w:rPr>
          <w:rFonts w:ascii="Arial" w:hAnsi="Arial" w:cs="Arial"/>
        </w:rPr>
        <w:t>&lt;ESMA_QUESTION_RSFTR_76&gt;</w:t>
      </w:r>
    </w:p>
    <w:p w14:paraId="671F767E" w14:textId="77777777" w:rsidR="00D62A4F" w:rsidRDefault="00D62A4F" w:rsidP="00D62A4F">
      <w:pPr>
        <w:rPr>
          <w:rFonts w:ascii="Arial" w:hAnsi="Arial" w:cs="Arial"/>
        </w:rPr>
      </w:pPr>
    </w:p>
    <w:p w14:paraId="3D11AE98"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portfolio code? Please detail the reasons for your response.</w:t>
      </w:r>
    </w:p>
    <w:p w14:paraId="6A63C97E" w14:textId="77777777" w:rsidR="00D62A4F" w:rsidRDefault="00D62A4F" w:rsidP="00D62A4F">
      <w:pPr>
        <w:rPr>
          <w:rFonts w:ascii="Arial" w:hAnsi="Arial" w:cs="Arial"/>
        </w:rPr>
      </w:pPr>
      <w:r>
        <w:rPr>
          <w:rFonts w:ascii="Arial" w:hAnsi="Arial" w:cs="Arial"/>
        </w:rPr>
        <w:t>&lt;ESMA_QUESTION_RSFTR_77&gt;</w:t>
      </w:r>
    </w:p>
    <w:p w14:paraId="1135E388" w14:textId="77777777" w:rsidR="00D62A4F" w:rsidRDefault="00D62A4F" w:rsidP="00D62A4F">
      <w:pPr>
        <w:rPr>
          <w:rFonts w:ascii="Arial" w:hAnsi="Arial" w:cs="Arial"/>
        </w:rPr>
      </w:pPr>
      <w:permStart w:id="221916709" w:edGrp="everyone"/>
      <w:r>
        <w:rPr>
          <w:rFonts w:ascii="Arial" w:hAnsi="Arial" w:cs="Arial"/>
        </w:rPr>
        <w:t>TYPE YOUR TEXT HERE</w:t>
      </w:r>
    </w:p>
    <w:permEnd w:id="221916709"/>
    <w:p w14:paraId="5B669C71" w14:textId="77777777" w:rsidR="00D62A4F" w:rsidRDefault="00D62A4F" w:rsidP="00D62A4F">
      <w:pPr>
        <w:rPr>
          <w:rFonts w:ascii="Arial" w:hAnsi="Arial" w:cs="Arial"/>
        </w:rPr>
      </w:pPr>
      <w:r>
        <w:rPr>
          <w:rFonts w:ascii="Arial" w:hAnsi="Arial" w:cs="Arial"/>
        </w:rPr>
        <w:t>&lt;ESMA_QUESTION_RSFTR_77&gt;</w:t>
      </w:r>
    </w:p>
    <w:p w14:paraId="0A8C7232" w14:textId="77777777" w:rsidR="00D62A4F" w:rsidRDefault="00D62A4F" w:rsidP="00D62A4F">
      <w:pPr>
        <w:rPr>
          <w:rFonts w:ascii="Arial" w:hAnsi="Arial" w:cs="Arial"/>
        </w:rPr>
      </w:pPr>
    </w:p>
    <w:p w14:paraId="4905A528"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margin data? Please detail the reasons for your response and include a reference to the specific table.</w:t>
      </w:r>
    </w:p>
    <w:p w14:paraId="789DC3D3" w14:textId="77777777" w:rsidR="00D62A4F" w:rsidRDefault="00D62A4F" w:rsidP="00D62A4F">
      <w:pPr>
        <w:rPr>
          <w:rFonts w:ascii="Arial" w:hAnsi="Arial" w:cs="Arial"/>
        </w:rPr>
      </w:pPr>
      <w:r>
        <w:rPr>
          <w:rFonts w:ascii="Arial" w:hAnsi="Arial" w:cs="Arial"/>
        </w:rPr>
        <w:t>&lt;ESMA_QUESTION_RSFTR_78&gt;</w:t>
      </w:r>
    </w:p>
    <w:p w14:paraId="6D3EC25E" w14:textId="77777777" w:rsidR="00B4093E" w:rsidRPr="00206B40" w:rsidRDefault="00B4093E" w:rsidP="00B4093E">
      <w:pPr>
        <w:rPr>
          <w:rFonts w:ascii="Arial" w:hAnsi="Arial" w:cs="Arial"/>
          <w:sz w:val="22"/>
          <w:szCs w:val="22"/>
        </w:rPr>
      </w:pPr>
      <w:permStart w:id="572730307" w:edGrp="everyone"/>
      <w:r w:rsidRPr="00206B40">
        <w:rPr>
          <w:rFonts w:ascii="Arial" w:hAnsi="Arial" w:cs="Arial"/>
          <w:sz w:val="22"/>
          <w:szCs w:val="22"/>
        </w:rPr>
        <w:t>Clarification is required whether table 3 contains only absolute amounts for one margin class (variation or initial margin), regardless of whether margin is posted in cash or securities.</w:t>
      </w:r>
    </w:p>
    <w:permEnd w:id="572730307"/>
    <w:p w14:paraId="3FE92F8E" w14:textId="77777777" w:rsidR="00D62A4F" w:rsidRDefault="00D62A4F" w:rsidP="00D62A4F">
      <w:pPr>
        <w:rPr>
          <w:rFonts w:ascii="Arial" w:hAnsi="Arial" w:cs="Arial"/>
        </w:rPr>
      </w:pPr>
      <w:r>
        <w:rPr>
          <w:rFonts w:ascii="Arial" w:hAnsi="Arial" w:cs="Arial"/>
        </w:rPr>
        <w:t>&lt;ESMA_QUESTION_RSFTR_78&gt;</w:t>
      </w:r>
    </w:p>
    <w:p w14:paraId="6FD23373" w14:textId="77777777" w:rsidR="00D62A4F" w:rsidRDefault="00D62A4F" w:rsidP="00D62A4F">
      <w:pPr>
        <w:rPr>
          <w:rFonts w:ascii="Arial" w:hAnsi="Arial" w:cs="Arial"/>
        </w:rPr>
      </w:pPr>
    </w:p>
    <w:p w14:paraId="6E0CACF3" w14:textId="77777777" w:rsidR="00D62A4F" w:rsidRDefault="00D62A4F" w:rsidP="00D62A4F">
      <w:pPr>
        <w:pStyle w:val="Questionstyle"/>
        <w:numPr>
          <w:ilvl w:val="0"/>
          <w:numId w:val="9"/>
        </w:numPr>
        <w:spacing w:after="250" w:line="276" w:lineRule="auto"/>
      </w:pPr>
      <w:r>
        <w:t xml:space="preserve">: </w:t>
      </w:r>
      <w:r w:rsidRPr="00F11691">
        <w:t xml:space="preserve">Do you have any comments on the scope of the non-cash collateral re-use measure, and are there practical obstacles to the reporting? In the case of margin </w:t>
      </w:r>
      <w:r w:rsidRPr="00F11691">
        <w:lastRenderedPageBreak/>
        <w:t>lending, do you agree with the exclusion of securities that cannot be transferred to the prime broker’s account due to rehypothecation limits agreed contractually?</w:t>
      </w:r>
    </w:p>
    <w:p w14:paraId="7753CEF3" w14:textId="77777777" w:rsidR="00D62A4F" w:rsidRDefault="00D62A4F" w:rsidP="00D62A4F">
      <w:pPr>
        <w:rPr>
          <w:rFonts w:ascii="Arial" w:hAnsi="Arial" w:cs="Arial"/>
        </w:rPr>
      </w:pPr>
      <w:r>
        <w:rPr>
          <w:rFonts w:ascii="Arial" w:hAnsi="Arial" w:cs="Arial"/>
        </w:rPr>
        <w:t>&lt;ESMA_QUESTION_RSFTR_79&gt;</w:t>
      </w:r>
    </w:p>
    <w:p w14:paraId="4F820229" w14:textId="2D42834F" w:rsidR="00927F60" w:rsidRPr="00206B40" w:rsidRDefault="00927F60" w:rsidP="00927F60">
      <w:pPr>
        <w:rPr>
          <w:rFonts w:ascii="Arial" w:hAnsi="Arial" w:cs="Arial"/>
          <w:sz w:val="22"/>
          <w:szCs w:val="22"/>
        </w:rPr>
      </w:pPr>
      <w:permStart w:id="144791521" w:edGrp="everyone"/>
      <w:r w:rsidRPr="00206B40">
        <w:rPr>
          <w:rFonts w:ascii="Arial" w:hAnsi="Arial" w:cs="Arial"/>
          <w:sz w:val="22"/>
          <w:szCs w:val="22"/>
        </w:rPr>
        <w:t>ESMA should confirm, that the re-use report is only to be submitted, when securities as stated [</w:t>
      </w:r>
      <w:r w:rsidRPr="00206B40">
        <w:rPr>
          <w:rFonts w:ascii="Arial" w:hAnsi="Arial" w:cs="Arial"/>
          <w:i/>
          <w:sz w:val="22"/>
          <w:szCs w:val="22"/>
        </w:rPr>
        <w:t>The intuition behind the FSB formula is that entities should provide an estimate of the amount of collateral they are re-using…]</w:t>
      </w:r>
      <w:r w:rsidR="005B5847" w:rsidRPr="00206B40">
        <w:rPr>
          <w:rFonts w:ascii="Arial" w:hAnsi="Arial" w:cs="Arial"/>
          <w:sz w:val="22"/>
          <w:szCs w:val="22"/>
        </w:rPr>
        <w:t xml:space="preserve"> are re-used and/or the formula result is &gt;0.</w:t>
      </w:r>
      <w:r w:rsidRPr="00206B40">
        <w:rPr>
          <w:rFonts w:ascii="Arial" w:hAnsi="Arial" w:cs="Arial"/>
          <w:sz w:val="22"/>
          <w:szCs w:val="22"/>
        </w:rPr>
        <w:t xml:space="preserve"> </w:t>
      </w:r>
    </w:p>
    <w:p w14:paraId="1B44A6C1" w14:textId="77777777" w:rsidR="005B5847" w:rsidRPr="00206B40" w:rsidRDefault="005B5847" w:rsidP="00927F60">
      <w:pPr>
        <w:rPr>
          <w:rFonts w:ascii="Arial" w:hAnsi="Arial" w:cs="Arial"/>
          <w:sz w:val="22"/>
          <w:szCs w:val="22"/>
        </w:rPr>
      </w:pPr>
    </w:p>
    <w:p w14:paraId="26AC1209" w14:textId="2F4E6D19" w:rsidR="005B5847" w:rsidRPr="00206B40" w:rsidRDefault="005B5847" w:rsidP="00927F60">
      <w:pPr>
        <w:rPr>
          <w:rFonts w:asciiTheme="minorHAnsi" w:hAnsiTheme="minorHAnsi" w:cstheme="minorHAnsi"/>
          <w:sz w:val="22"/>
          <w:szCs w:val="22"/>
        </w:rPr>
      </w:pPr>
      <w:r w:rsidRPr="00206B40">
        <w:rPr>
          <w:rFonts w:asciiTheme="minorHAnsi" w:hAnsiTheme="minorHAnsi" w:cstheme="minorHAnsi"/>
          <w:color w:val="000000"/>
          <w:sz w:val="22"/>
          <w:szCs w:val="22"/>
          <w:lang w:val="en-US"/>
        </w:rPr>
        <w:t xml:space="preserve">What should be reported if a positive re-use was reported but the result than changed because the result of the formula is “0” (reusable collateral is no longer re-used)? How should the termination of re-use be reported (collateral is no longer posted)? Is it right to report an update with 0 ?. </w:t>
      </w:r>
    </w:p>
    <w:p w14:paraId="1DF9E79D" w14:textId="77777777" w:rsidR="00B4093E" w:rsidRPr="00206B40" w:rsidRDefault="00B4093E" w:rsidP="00927F60">
      <w:pPr>
        <w:rPr>
          <w:rFonts w:ascii="Arial" w:hAnsi="Arial" w:cs="Arial"/>
          <w:strike/>
          <w:sz w:val="22"/>
          <w:szCs w:val="22"/>
        </w:rPr>
      </w:pPr>
    </w:p>
    <w:p w14:paraId="23949199" w14:textId="43EB1DE8" w:rsidR="00B4093E" w:rsidRPr="00206B40" w:rsidRDefault="00B4093E" w:rsidP="00B4093E">
      <w:pPr>
        <w:rPr>
          <w:rFonts w:ascii="Arial" w:hAnsi="Arial" w:cs="Arial"/>
          <w:sz w:val="22"/>
          <w:szCs w:val="22"/>
        </w:rPr>
      </w:pPr>
      <w:r w:rsidRPr="00206B40">
        <w:rPr>
          <w:rFonts w:ascii="Arial" w:hAnsi="Arial" w:cs="Arial"/>
          <w:sz w:val="22"/>
          <w:szCs w:val="22"/>
        </w:rPr>
        <w:t>The calculation of re-use will be a challenge as it brings a new level/aspect to the SFTR reporting . Furthermore it is to say that it is a technical issue as additionally to the reportable trades (e.g. repo and security lending) own assets have to be considered and brought into the calculation scheme.</w:t>
      </w:r>
    </w:p>
    <w:p w14:paraId="26CB935A" w14:textId="009C250C" w:rsidR="00927F60" w:rsidRPr="00206B40" w:rsidRDefault="00B4093E" w:rsidP="00927F60">
      <w:pPr>
        <w:rPr>
          <w:rFonts w:ascii="Arial" w:hAnsi="Arial" w:cs="Arial"/>
          <w:sz w:val="22"/>
          <w:szCs w:val="22"/>
        </w:rPr>
      </w:pPr>
      <w:r w:rsidRPr="00206B40">
        <w:rPr>
          <w:rFonts w:ascii="Arial" w:hAnsi="Arial" w:cs="Arial"/>
          <w:sz w:val="22"/>
          <w:szCs w:val="22"/>
        </w:rPr>
        <w:t>The delegation of re-use reporting seems not feasible to us as the relevant components are not available for the reporting counterparties. We suggest that ESMA reconsiders if NFCs should submit a re-use calculation.</w:t>
      </w:r>
    </w:p>
    <w:permEnd w:id="144791521"/>
    <w:p w14:paraId="124750BB" w14:textId="77777777" w:rsidR="00D62A4F" w:rsidRDefault="00D62A4F" w:rsidP="00D62A4F">
      <w:pPr>
        <w:rPr>
          <w:rFonts w:ascii="Arial" w:hAnsi="Arial" w:cs="Arial"/>
        </w:rPr>
      </w:pPr>
      <w:r>
        <w:rPr>
          <w:rFonts w:ascii="Arial" w:hAnsi="Arial" w:cs="Arial"/>
        </w:rPr>
        <w:t>&lt;ESMA_QUESTION_RSFTR_79&gt;</w:t>
      </w:r>
    </w:p>
    <w:p w14:paraId="54F0BE18" w14:textId="77777777" w:rsidR="00D62A4F" w:rsidRDefault="00D62A4F" w:rsidP="00D62A4F">
      <w:pPr>
        <w:rPr>
          <w:rFonts w:ascii="Arial" w:hAnsi="Arial" w:cs="Arial"/>
        </w:rPr>
      </w:pPr>
    </w:p>
    <w:p w14:paraId="32B98659" w14:textId="77777777" w:rsidR="00D62A4F" w:rsidRDefault="00D62A4F" w:rsidP="00D62A4F">
      <w:pPr>
        <w:pStyle w:val="Questionstyle"/>
        <w:numPr>
          <w:ilvl w:val="0"/>
          <w:numId w:val="9"/>
        </w:numPr>
        <w:spacing w:after="250" w:line="276" w:lineRule="auto"/>
      </w:pPr>
      <w:r>
        <w:t xml:space="preserve">: </w:t>
      </w:r>
      <w:r w:rsidRPr="00F11691">
        <w:t>Do you have any comments on cash collateral reinvestment, and do you agree with the scope?</w:t>
      </w:r>
    </w:p>
    <w:p w14:paraId="1263BFD4" w14:textId="77777777" w:rsidR="00D62A4F" w:rsidRDefault="00D62A4F" w:rsidP="00D62A4F">
      <w:pPr>
        <w:rPr>
          <w:rFonts w:ascii="Arial" w:hAnsi="Arial" w:cs="Arial"/>
        </w:rPr>
      </w:pPr>
      <w:r>
        <w:rPr>
          <w:rFonts w:ascii="Arial" w:hAnsi="Arial" w:cs="Arial"/>
        </w:rPr>
        <w:t>&lt;ESMA_QUESTION_RSFTR_80&gt;</w:t>
      </w:r>
    </w:p>
    <w:p w14:paraId="0D7A599A" w14:textId="0AA6ED70" w:rsidR="00264FAB" w:rsidRPr="00206B40" w:rsidRDefault="00264FAB" w:rsidP="00264FAB">
      <w:pPr>
        <w:rPr>
          <w:rFonts w:ascii="Arial" w:hAnsi="Arial" w:cs="Arial"/>
          <w:sz w:val="22"/>
          <w:szCs w:val="22"/>
        </w:rPr>
      </w:pPr>
      <w:permStart w:id="446115876" w:edGrp="everyone"/>
      <w:r w:rsidRPr="00206B40">
        <w:rPr>
          <w:rFonts w:ascii="Arial" w:hAnsi="Arial" w:cs="Arial"/>
          <w:sz w:val="22"/>
          <w:szCs w:val="22"/>
        </w:rPr>
        <w:t xml:space="preserve">The need to state the typ of re-invested cash investment (fiel 12 table 4) is not useful. In practice cash is managed in accounts without flagging re-investment and type of re-investment. </w:t>
      </w:r>
    </w:p>
    <w:p w14:paraId="4BDB8BAD" w14:textId="66013CFA" w:rsidR="00264FAB" w:rsidRPr="00206B40" w:rsidRDefault="00264FAB" w:rsidP="00264FAB">
      <w:pPr>
        <w:rPr>
          <w:rFonts w:ascii="Arial" w:hAnsi="Arial" w:cs="Arial"/>
          <w:sz w:val="22"/>
          <w:szCs w:val="22"/>
        </w:rPr>
      </w:pPr>
      <w:r w:rsidRPr="00206B40">
        <w:rPr>
          <w:rFonts w:ascii="Arial" w:hAnsi="Arial" w:cs="Arial"/>
          <w:sz w:val="22"/>
          <w:szCs w:val="22"/>
        </w:rPr>
        <w:t xml:space="preserve">Question: The validation rules differ in term (row D says OTHR, row I says CASH). What is right ? </w:t>
      </w:r>
    </w:p>
    <w:permEnd w:id="446115876"/>
    <w:p w14:paraId="2AB2F3B4" w14:textId="77777777" w:rsidR="00D62A4F" w:rsidRDefault="00D62A4F" w:rsidP="00D62A4F">
      <w:pPr>
        <w:rPr>
          <w:rFonts w:ascii="Arial" w:hAnsi="Arial" w:cs="Arial"/>
        </w:rPr>
      </w:pPr>
      <w:r>
        <w:rPr>
          <w:rFonts w:ascii="Arial" w:hAnsi="Arial" w:cs="Arial"/>
        </w:rPr>
        <w:t>&lt;ESMA_QUESTION_RSFTR_80&gt;</w:t>
      </w:r>
    </w:p>
    <w:p w14:paraId="2E3C1057" w14:textId="77777777" w:rsidR="00D62A4F" w:rsidRDefault="00D62A4F" w:rsidP="00D62A4F">
      <w:pPr>
        <w:rPr>
          <w:rFonts w:ascii="Arial" w:hAnsi="Arial" w:cs="Arial"/>
        </w:rPr>
      </w:pPr>
    </w:p>
    <w:p w14:paraId="514BAC2D"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reuse, reinvestment and funding sources? Please detail the reasons for your response and include a reference to the specific table.</w:t>
      </w:r>
    </w:p>
    <w:p w14:paraId="5F191AA1" w14:textId="77777777" w:rsidR="00D62A4F" w:rsidRDefault="00D62A4F" w:rsidP="00D62A4F">
      <w:pPr>
        <w:rPr>
          <w:rFonts w:ascii="Arial" w:hAnsi="Arial" w:cs="Arial"/>
        </w:rPr>
      </w:pPr>
      <w:r>
        <w:rPr>
          <w:rFonts w:ascii="Arial" w:hAnsi="Arial" w:cs="Arial"/>
        </w:rPr>
        <w:t>&lt;ESMA_QUESTION_RSFTR_81&gt;</w:t>
      </w:r>
    </w:p>
    <w:p w14:paraId="6F5BDE10" w14:textId="232E3FA7" w:rsidR="00B4093E" w:rsidRPr="00206B40" w:rsidRDefault="00B4093E" w:rsidP="00B4093E">
      <w:pPr>
        <w:rPr>
          <w:rFonts w:ascii="Arial" w:hAnsi="Arial" w:cs="Arial"/>
          <w:sz w:val="22"/>
          <w:szCs w:val="22"/>
        </w:rPr>
      </w:pPr>
      <w:permStart w:id="609573297" w:edGrp="everyone"/>
      <w:r w:rsidRPr="00206B40">
        <w:rPr>
          <w:rFonts w:ascii="Arial" w:hAnsi="Arial" w:cs="Arial"/>
          <w:sz w:val="22"/>
          <w:szCs w:val="22"/>
        </w:rPr>
        <w:t xml:space="preserve">The need to state the typ of re-invested cash investment (fiel 12 table 4) is not useful. In practice cash is managed in accounts without flagging re-investment and type of re-investment. </w:t>
      </w:r>
    </w:p>
    <w:p w14:paraId="60A52955" w14:textId="56DAC7D6" w:rsidR="00B4093E" w:rsidRPr="00206B40" w:rsidRDefault="00B4093E" w:rsidP="000E54C5">
      <w:pPr>
        <w:rPr>
          <w:rFonts w:ascii="Arial" w:hAnsi="Arial" w:cs="Arial"/>
          <w:sz w:val="22"/>
          <w:szCs w:val="22"/>
        </w:rPr>
      </w:pPr>
      <w:r w:rsidRPr="00206B40">
        <w:rPr>
          <w:rFonts w:ascii="Arial" w:hAnsi="Arial" w:cs="Arial"/>
          <w:sz w:val="22"/>
          <w:szCs w:val="22"/>
        </w:rPr>
        <w:t xml:space="preserve">Question: The validation rules differ in term (row D says OTHR, row I says CASH). What is right ? </w:t>
      </w:r>
    </w:p>
    <w:permEnd w:id="609573297"/>
    <w:p w14:paraId="0FE46929" w14:textId="77777777" w:rsidR="00D62A4F" w:rsidRDefault="00D62A4F" w:rsidP="00D62A4F">
      <w:pPr>
        <w:rPr>
          <w:rFonts w:ascii="Arial" w:hAnsi="Arial" w:cs="Arial"/>
        </w:rPr>
      </w:pPr>
      <w:r>
        <w:rPr>
          <w:rFonts w:ascii="Arial" w:hAnsi="Arial" w:cs="Arial"/>
        </w:rPr>
        <w:t>&lt;ESMA_QUESTION_RSFTR_81&gt;</w:t>
      </w:r>
    </w:p>
    <w:p w14:paraId="48A311FA" w14:textId="77777777" w:rsidR="00D62A4F" w:rsidRDefault="00D62A4F" w:rsidP="00D62A4F">
      <w:pPr>
        <w:rPr>
          <w:rFonts w:ascii="Arial" w:hAnsi="Arial" w:cs="Arial"/>
        </w:rPr>
      </w:pPr>
    </w:p>
    <w:p w14:paraId="32F5739F" w14:textId="77777777" w:rsidR="00D62A4F" w:rsidRDefault="00D62A4F" w:rsidP="00D62A4F">
      <w:pPr>
        <w:pStyle w:val="Questionstyle"/>
        <w:numPr>
          <w:ilvl w:val="0"/>
          <w:numId w:val="9"/>
        </w:numPr>
        <w:spacing w:after="250" w:line="276" w:lineRule="auto"/>
      </w:pPr>
      <w:r>
        <w:t xml:space="preserve">: </w:t>
      </w:r>
      <w:r w:rsidRPr="00F11691">
        <w:t>What other aspects need to be considered with regards to the aforementioned approach with regards to treatment of rejection feedback? Please detail the reasons for your response.</w:t>
      </w:r>
    </w:p>
    <w:p w14:paraId="0D615F66" w14:textId="77777777" w:rsidR="00D62A4F" w:rsidRDefault="00D62A4F" w:rsidP="00D62A4F">
      <w:pPr>
        <w:rPr>
          <w:rFonts w:ascii="Arial" w:hAnsi="Arial" w:cs="Arial"/>
        </w:rPr>
      </w:pPr>
      <w:r>
        <w:rPr>
          <w:rFonts w:ascii="Arial" w:hAnsi="Arial" w:cs="Arial"/>
        </w:rPr>
        <w:t>&lt;ESMA_QUESTION_RSFTR_82&gt;</w:t>
      </w:r>
    </w:p>
    <w:p w14:paraId="6B958E37" w14:textId="61B26A46" w:rsidR="00D62A4F" w:rsidRDefault="00927F60" w:rsidP="00D62A4F">
      <w:pPr>
        <w:rPr>
          <w:rFonts w:ascii="Arial" w:hAnsi="Arial" w:cs="Arial"/>
        </w:rPr>
      </w:pPr>
      <w:permStart w:id="1962808987" w:edGrp="everyone"/>
      <w:r>
        <w:rPr>
          <w:rFonts w:ascii="Arial" w:hAnsi="Arial" w:cs="Arial"/>
        </w:rPr>
        <w:t>Yes.</w:t>
      </w:r>
    </w:p>
    <w:permEnd w:id="1962808987"/>
    <w:p w14:paraId="637DBCBA" w14:textId="77777777" w:rsidR="00D62A4F" w:rsidRDefault="00D62A4F" w:rsidP="00D62A4F">
      <w:pPr>
        <w:rPr>
          <w:rFonts w:ascii="Arial" w:hAnsi="Arial" w:cs="Arial"/>
        </w:rPr>
      </w:pPr>
      <w:r>
        <w:rPr>
          <w:rFonts w:ascii="Arial" w:hAnsi="Arial" w:cs="Arial"/>
        </w:rPr>
        <w:lastRenderedPageBreak/>
        <w:t>&lt;ESMA_QUESTION_RSFTR_82&gt;</w:t>
      </w:r>
    </w:p>
    <w:p w14:paraId="69BE295F" w14:textId="77777777" w:rsidR="00D62A4F" w:rsidRDefault="00D62A4F" w:rsidP="00D62A4F">
      <w:pPr>
        <w:rPr>
          <w:rFonts w:ascii="Arial" w:hAnsi="Arial" w:cs="Arial"/>
        </w:rPr>
      </w:pPr>
    </w:p>
    <w:p w14:paraId="3F4620BE" w14:textId="77777777" w:rsidR="00D62A4F" w:rsidRDefault="00D62A4F" w:rsidP="00D62A4F">
      <w:pPr>
        <w:pStyle w:val="Questionstyle"/>
        <w:numPr>
          <w:ilvl w:val="0"/>
          <w:numId w:val="9"/>
        </w:numPr>
        <w:spacing w:after="250" w:line="276" w:lineRule="auto"/>
      </w:pPr>
      <w:r>
        <w:t xml:space="preserve">: </w:t>
      </w:r>
      <w:r w:rsidRPr="00F11691">
        <w:t>What other aspects need to be considered with regards to the aforementioned approach with regards to treatment of reconciliation feedback? Please detail the reasons for your response.</w:t>
      </w:r>
    </w:p>
    <w:p w14:paraId="0062DCD6" w14:textId="77777777" w:rsidR="00D62A4F" w:rsidRDefault="00D62A4F" w:rsidP="00D62A4F">
      <w:pPr>
        <w:rPr>
          <w:rFonts w:ascii="Arial" w:hAnsi="Arial" w:cs="Arial"/>
        </w:rPr>
      </w:pPr>
      <w:r>
        <w:rPr>
          <w:rFonts w:ascii="Arial" w:hAnsi="Arial" w:cs="Arial"/>
        </w:rPr>
        <w:t>&lt;ESMA_QUESTION_RSFTR_83&gt;</w:t>
      </w:r>
    </w:p>
    <w:p w14:paraId="7DD46350" w14:textId="160EF3C6" w:rsidR="00FE2E81" w:rsidRPr="00206B40" w:rsidRDefault="00FE2E81" w:rsidP="00FE2E81">
      <w:pPr>
        <w:rPr>
          <w:rFonts w:asciiTheme="minorHAnsi" w:hAnsiTheme="minorHAnsi" w:cstheme="minorHAnsi"/>
          <w:lang w:val="en-US"/>
        </w:rPr>
      </w:pPr>
      <w:permStart w:id="1875119290" w:edGrp="everyone"/>
      <w:r w:rsidRPr="00206B40">
        <w:rPr>
          <w:rFonts w:asciiTheme="minorHAnsi" w:hAnsiTheme="minorHAnsi" w:cstheme="minorHAnsi"/>
          <w:lang w:val="en-US"/>
        </w:rPr>
        <w:t>We once again appeal to ESMA to consider softening the reconciliation requirements with regards to certain fields deemed to be difficult, such as the Market Value, the Security and Collateral Quality, the price</w:t>
      </w:r>
      <w:r w:rsidR="00206B40" w:rsidRPr="00206B40">
        <w:rPr>
          <w:rFonts w:asciiTheme="minorHAnsi" w:hAnsiTheme="minorHAnsi" w:cstheme="minorHAnsi"/>
          <w:lang w:val="en-US"/>
        </w:rPr>
        <w:t>, etc. .</w:t>
      </w:r>
    </w:p>
    <w:permEnd w:id="1875119290"/>
    <w:p w14:paraId="0FD7C98B" w14:textId="77777777" w:rsidR="00D62A4F" w:rsidRDefault="00D62A4F" w:rsidP="00D62A4F">
      <w:pPr>
        <w:rPr>
          <w:rFonts w:ascii="Arial" w:hAnsi="Arial" w:cs="Arial"/>
        </w:rPr>
      </w:pPr>
      <w:r>
        <w:rPr>
          <w:rFonts w:ascii="Arial" w:hAnsi="Arial" w:cs="Arial"/>
        </w:rPr>
        <w:t>&lt;ESMA_QUESTION_RSFTR_83&gt;</w:t>
      </w:r>
    </w:p>
    <w:p w14:paraId="645B94C3" w14:textId="77777777" w:rsidR="00D62A4F" w:rsidRDefault="00D62A4F" w:rsidP="00D62A4F">
      <w:pPr>
        <w:rPr>
          <w:rFonts w:ascii="Arial" w:hAnsi="Arial" w:cs="Arial"/>
        </w:rPr>
      </w:pPr>
    </w:p>
    <w:p w14:paraId="2866F0AE" w14:textId="77777777" w:rsidR="00D62A4F" w:rsidRDefault="00D62A4F" w:rsidP="00D62A4F">
      <w:pPr>
        <w:pStyle w:val="Questionstyle"/>
        <w:numPr>
          <w:ilvl w:val="0"/>
          <w:numId w:val="9"/>
        </w:numPr>
        <w:spacing w:after="250" w:line="276" w:lineRule="auto"/>
      </w:pPr>
      <w:r>
        <w:t xml:space="preserve">: </w:t>
      </w:r>
      <w:r w:rsidRPr="00F11691">
        <w:t>What other aspects need to be considered to make the process more efficient? Please elaborate on the reasons for your response?</w:t>
      </w:r>
    </w:p>
    <w:p w14:paraId="102C1603" w14:textId="77777777" w:rsidR="00D62A4F" w:rsidRDefault="00D62A4F" w:rsidP="00D62A4F">
      <w:pPr>
        <w:rPr>
          <w:rFonts w:ascii="Arial" w:hAnsi="Arial" w:cs="Arial"/>
        </w:rPr>
      </w:pPr>
      <w:r>
        <w:rPr>
          <w:rFonts w:ascii="Arial" w:hAnsi="Arial" w:cs="Arial"/>
        </w:rPr>
        <w:t>&lt;ESMA_QUESTION_RSFTR_84&gt;</w:t>
      </w:r>
    </w:p>
    <w:p w14:paraId="0655198E" w14:textId="77777777" w:rsidR="00D62A4F" w:rsidRDefault="00D62A4F" w:rsidP="00D62A4F">
      <w:pPr>
        <w:rPr>
          <w:rFonts w:ascii="Arial" w:hAnsi="Arial" w:cs="Arial"/>
        </w:rPr>
      </w:pPr>
      <w:permStart w:id="974880654" w:edGrp="everyone"/>
      <w:r>
        <w:rPr>
          <w:rFonts w:ascii="Arial" w:hAnsi="Arial" w:cs="Arial"/>
        </w:rPr>
        <w:t>TYPE YOUR TEXT HERE</w:t>
      </w:r>
    </w:p>
    <w:permEnd w:id="974880654"/>
    <w:p w14:paraId="09C2135D" w14:textId="77777777" w:rsidR="00D62A4F" w:rsidRDefault="00D62A4F" w:rsidP="00D62A4F">
      <w:pPr>
        <w:rPr>
          <w:rFonts w:ascii="Arial" w:hAnsi="Arial" w:cs="Arial"/>
        </w:rPr>
      </w:pPr>
      <w:r>
        <w:rPr>
          <w:rFonts w:ascii="Arial" w:hAnsi="Arial" w:cs="Arial"/>
        </w:rPr>
        <w:t>&lt;ESMA_QUESTION_RSFTR_84&gt;</w:t>
      </w:r>
    </w:p>
    <w:p w14:paraId="756D81CB" w14:textId="77777777" w:rsidR="00D62A4F" w:rsidRDefault="00D62A4F" w:rsidP="00D62A4F">
      <w:pPr>
        <w:rPr>
          <w:rFonts w:ascii="Arial" w:hAnsi="Arial" w:cs="Arial"/>
        </w:rPr>
      </w:pPr>
    </w:p>
    <w:p w14:paraId="05192CA1" w14:textId="77777777" w:rsidR="00D62A4F" w:rsidRPr="00F11691" w:rsidRDefault="00D62A4F" w:rsidP="00D62A4F">
      <w:pPr>
        <w:pStyle w:val="Questionstyle"/>
        <w:numPr>
          <w:ilvl w:val="0"/>
          <w:numId w:val="9"/>
        </w:numPr>
        <w:spacing w:after="250" w:line="276" w:lineRule="auto"/>
      </w:pPr>
      <w:r>
        <w:t xml:space="preserve">: </w:t>
      </w:r>
      <w:r w:rsidRPr="00F11691">
        <w:t>Do you have any comments on the aforementioned practicalities relating to the provision of access to SFT data to authorities? What other aspects need to be considered to make the process more efficient? Please elaborate on the reasons for your response?</w:t>
      </w:r>
    </w:p>
    <w:p w14:paraId="31D1D4E9" w14:textId="77777777" w:rsidR="00D62A4F" w:rsidRDefault="00D62A4F" w:rsidP="00D62A4F">
      <w:pPr>
        <w:rPr>
          <w:rFonts w:ascii="Arial" w:hAnsi="Arial" w:cs="Arial"/>
        </w:rPr>
      </w:pPr>
      <w:r>
        <w:rPr>
          <w:rFonts w:ascii="Arial" w:hAnsi="Arial" w:cs="Arial"/>
        </w:rPr>
        <w:t>&lt;ESMA_QUESTION_RSFTR_85&gt;</w:t>
      </w:r>
    </w:p>
    <w:p w14:paraId="59E1BFDE" w14:textId="77777777" w:rsidR="00D62A4F" w:rsidRDefault="00D62A4F" w:rsidP="00D62A4F">
      <w:pPr>
        <w:rPr>
          <w:rFonts w:ascii="Arial" w:hAnsi="Arial" w:cs="Arial"/>
        </w:rPr>
      </w:pPr>
      <w:permStart w:id="1996508027" w:edGrp="everyone"/>
      <w:r>
        <w:rPr>
          <w:rFonts w:ascii="Arial" w:hAnsi="Arial" w:cs="Arial"/>
        </w:rPr>
        <w:t>TYPE YOUR TEXT HERE</w:t>
      </w:r>
    </w:p>
    <w:permEnd w:id="1996508027"/>
    <w:p w14:paraId="448A7D97" w14:textId="77777777" w:rsidR="00D62A4F" w:rsidRDefault="00D62A4F" w:rsidP="00D62A4F">
      <w:pPr>
        <w:rPr>
          <w:rFonts w:ascii="Arial" w:hAnsi="Arial" w:cs="Arial"/>
        </w:rPr>
      </w:pPr>
      <w:r>
        <w:rPr>
          <w:rFonts w:ascii="Arial" w:hAnsi="Arial" w:cs="Arial"/>
        </w:rPr>
        <w:t>&lt;ESMA_QUESTION_RSFTR_85&gt;</w:t>
      </w:r>
    </w:p>
    <w:p w14:paraId="1000F0CF" w14:textId="77777777" w:rsidR="00D62A4F" w:rsidRDefault="00D62A4F" w:rsidP="00D62A4F">
      <w:pPr>
        <w:rPr>
          <w:rFonts w:ascii="Arial" w:hAnsi="Arial" w:cs="Arial"/>
        </w:rPr>
      </w:pPr>
    </w:p>
    <w:p w14:paraId="615BA28D" w14:textId="77777777" w:rsidR="00D62A4F" w:rsidRDefault="00D62A4F" w:rsidP="00C1698A">
      <w:pPr>
        <w:spacing w:line="276" w:lineRule="auto"/>
        <w:rPr>
          <w:rFonts w:asciiTheme="minorHAnsi" w:hAnsiTheme="minorHAnsi" w:cstheme="minorHAnsi"/>
          <w:b/>
          <w:sz w:val="28"/>
          <w:szCs w:val="28"/>
        </w:rPr>
      </w:pPr>
    </w:p>
    <w:p w14:paraId="6222FE52" w14:textId="27AC3441" w:rsidR="00C709F9" w:rsidRDefault="00C709F9" w:rsidP="00D62A4F">
      <w:pPr>
        <w:pStyle w:val="Questionstyle"/>
        <w:numPr>
          <w:ilvl w:val="0"/>
          <w:numId w:val="0"/>
        </w:numPr>
        <w:spacing w:after="250" w:line="276" w:lineRule="auto"/>
        <w:ind w:left="720" w:hanging="360"/>
        <w:rPr>
          <w:rFonts w:ascii="Arial" w:hAnsi="Arial" w:cs="Arial"/>
        </w:rPr>
      </w:pPr>
    </w:p>
    <w:p w14:paraId="738387E5" w14:textId="77777777" w:rsidR="00C709F9" w:rsidRPr="007B52B2" w:rsidRDefault="00C709F9" w:rsidP="00C709F9">
      <w:pPr>
        <w:rPr>
          <w:rFonts w:ascii="Arial" w:hAnsi="Arial" w:cs="Arial"/>
        </w:rPr>
      </w:pPr>
    </w:p>
    <w:p w14:paraId="2DD96BAF" w14:textId="77777777" w:rsidR="00BE0B46" w:rsidRDefault="00BE0B46" w:rsidP="00BE0B46">
      <w:pPr>
        <w:rPr>
          <w:rFonts w:ascii="Arial" w:hAnsi="Arial" w:cs="Arial"/>
        </w:rPr>
      </w:pPr>
    </w:p>
    <w:bookmarkEnd w:id="1"/>
    <w:p w14:paraId="0F6B052D" w14:textId="77777777" w:rsidR="00BE0B46" w:rsidRDefault="00BE0B46" w:rsidP="00C1698A">
      <w:pPr>
        <w:spacing w:line="276" w:lineRule="auto"/>
        <w:rPr>
          <w:rFonts w:asciiTheme="minorHAnsi" w:hAnsiTheme="minorHAnsi" w:cstheme="minorHAnsi"/>
          <w:b/>
          <w:sz w:val="28"/>
          <w:szCs w:val="28"/>
        </w:rPr>
      </w:pPr>
    </w:p>
    <w:sectPr w:rsidR="00BE0B46" w:rsidSect="00C85C8B">
      <w:headerReference w:type="default" r:id="rId23"/>
      <w:footerReference w:type="default" r:id="rId2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6679B" w14:textId="77777777" w:rsidR="00B908BD" w:rsidRDefault="00B908BD" w:rsidP="007E7997">
      <w:r>
        <w:separator/>
      </w:r>
    </w:p>
  </w:endnote>
  <w:endnote w:type="continuationSeparator" w:id="0">
    <w:p w14:paraId="2384F21E" w14:textId="77777777" w:rsidR="00B908BD" w:rsidRDefault="00B908BD" w:rsidP="007E7997">
      <w:r>
        <w:continuationSeparator/>
      </w:r>
    </w:p>
  </w:endnote>
  <w:endnote w:type="continuationNotice" w:id="1">
    <w:p w14:paraId="19983519" w14:textId="77777777" w:rsidR="00B908BD" w:rsidRDefault="00B908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8869A" w14:textId="77777777" w:rsidR="00B908BD" w:rsidRDefault="00B908B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752671"/>
      <w:docPartObj>
        <w:docPartGallery w:val="Page Numbers (Bottom of Page)"/>
        <w:docPartUnique/>
      </w:docPartObj>
    </w:sdtPr>
    <w:sdtEndPr>
      <w:rPr>
        <w:noProof/>
      </w:rPr>
    </w:sdtEndPr>
    <w:sdtContent>
      <w:p w14:paraId="0CF5505D" w14:textId="212D7D4F" w:rsidR="00B908BD" w:rsidRDefault="00B908BD">
        <w:pPr>
          <w:pStyle w:val="Fuzeile"/>
          <w:jc w:val="center"/>
        </w:pPr>
        <w:r>
          <w:fldChar w:fldCharType="begin"/>
        </w:r>
        <w:r>
          <w:instrText xml:space="preserve"> PAGE   \* MERGEFORMAT </w:instrText>
        </w:r>
        <w:r>
          <w:fldChar w:fldCharType="separate"/>
        </w:r>
        <w:r>
          <w:rPr>
            <w:noProof/>
          </w:rPr>
          <w:t>3</w:t>
        </w:r>
        <w:r>
          <w:rPr>
            <w:noProof/>
          </w:rPr>
          <w:fldChar w:fldCharType="end"/>
        </w:r>
      </w:p>
    </w:sdtContent>
  </w:sdt>
  <w:p w14:paraId="3A18C8B1" w14:textId="77777777" w:rsidR="00B908BD" w:rsidRDefault="00B908B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F3915" w14:textId="2B7DF34D" w:rsidR="00B908BD" w:rsidRDefault="00B908BD" w:rsidP="007A160F">
    <w:pPr>
      <w:pStyle w:val="Fuzeile"/>
    </w:pPr>
    <w:r>
      <w:rPr>
        <w:rFonts w:asciiTheme="majorHAnsi" w:hAnsiTheme="majorHAnsi"/>
        <w:color w:val="FFFFFF" w:themeColor="background1"/>
      </w:rPr>
      <w:tab/>
    </w:r>
    <w:r>
      <w:rPr>
        <w:rFonts w:asciiTheme="majorHAnsi" w:hAnsiTheme="majorHAnsi"/>
        <w:color w:val="FFFFFF" w:themeColor="background1"/>
      </w:rPr>
      <w:tab/>
      <w:t xml:space="preserve">27 May 2019 </w:t>
    </w:r>
    <w:r w:rsidRPr="006F2BA0">
      <w:rPr>
        <w:rFonts w:asciiTheme="majorHAnsi" w:hAnsiTheme="majorHAnsi"/>
        <w:color w:val="FFFFFF" w:themeColor="background1"/>
      </w:rPr>
      <w:t>ESMA70-151-2371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752247"/>
      <w:docPartObj>
        <w:docPartGallery w:val="Page Numbers (Bottom of Page)"/>
        <w:docPartUnique/>
      </w:docPartObj>
    </w:sdtPr>
    <w:sdtEndPr>
      <w:rPr>
        <w:noProof/>
      </w:rPr>
    </w:sdtEndPr>
    <w:sdtContent>
      <w:p w14:paraId="4C9B3DBF" w14:textId="7ECAEB84" w:rsidR="00B908BD" w:rsidRDefault="00B908BD">
        <w:pPr>
          <w:pStyle w:val="Fuzeile"/>
          <w:jc w:val="center"/>
        </w:pPr>
        <w:r>
          <w:fldChar w:fldCharType="begin"/>
        </w:r>
        <w:r>
          <w:instrText xml:space="preserve"> PAGE   \* MERGEFORMAT </w:instrText>
        </w:r>
        <w:r>
          <w:fldChar w:fldCharType="separate"/>
        </w:r>
        <w:r w:rsidR="002B12A4">
          <w:rPr>
            <w:noProof/>
          </w:rPr>
          <w:t>2</w:t>
        </w:r>
        <w:r>
          <w:rPr>
            <w:noProof/>
          </w:rPr>
          <w:fldChar w:fldCharType="end"/>
        </w:r>
      </w:p>
    </w:sdtContent>
  </w:sdt>
  <w:p w14:paraId="5EAB6EC7" w14:textId="1F85019A" w:rsidR="00B908BD" w:rsidRDefault="00B908BD" w:rsidP="00FB24ED">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65A89" w14:textId="77777777" w:rsidR="00B908BD" w:rsidRDefault="00B908BD" w:rsidP="007E7997">
      <w:r>
        <w:separator/>
      </w:r>
    </w:p>
  </w:footnote>
  <w:footnote w:type="continuationSeparator" w:id="0">
    <w:p w14:paraId="383049F9" w14:textId="77777777" w:rsidR="00B908BD" w:rsidRDefault="00B908BD" w:rsidP="007E7997">
      <w:r>
        <w:continuationSeparator/>
      </w:r>
    </w:p>
  </w:footnote>
  <w:footnote w:type="continuationNotice" w:id="1">
    <w:p w14:paraId="25C9B169" w14:textId="77777777" w:rsidR="00B908BD" w:rsidRDefault="00B908B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72FCB" w14:textId="77777777" w:rsidR="00B908BD" w:rsidRDefault="00B908B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956F7" w14:textId="77777777" w:rsidR="00B908BD" w:rsidRDefault="00B908BD">
    <w:pPr>
      <w:pStyle w:val="Kopfzeile"/>
    </w:pPr>
  </w:p>
  <w:p w14:paraId="59FA3C9D" w14:textId="77777777" w:rsidR="00B908BD" w:rsidRDefault="00B908B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91035" w14:textId="77777777" w:rsidR="00B908BD" w:rsidRDefault="00B908BD">
    <w:pPr>
      <w:pStyle w:val="Kopfzeile"/>
    </w:pPr>
    <w:r>
      <w:rPr>
        <w:noProof/>
        <w:lang w:val="de-DE" w:eastAsia="de-DE"/>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B6EC4" w14:textId="5E62980F" w:rsidR="00B908BD" w:rsidRDefault="00B908BD" w:rsidP="00B50534">
    <w:pPr>
      <w:pStyle w:val="Kopfzeile"/>
      <w:jc w:val="right"/>
      <w:rPr>
        <w:b/>
        <w:color w:val="FF0000"/>
      </w:rPr>
    </w:pPr>
    <w:r w:rsidRPr="008D5F86">
      <w:rPr>
        <w:rFonts w:ascii="Arial" w:hAnsi="Arial" w:cs="Arial"/>
        <w:noProof/>
        <w:lang w:val="de-DE" w:eastAsia="de-DE"/>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10D56"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B908BD" w:rsidRPr="00D13661" w:rsidRDefault="00B908BD" w:rsidP="00B50534">
    <w:pPr>
      <w:pStyle w:val="Kopfzeile"/>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lang w:val="de-DE" w:eastAsia="de-DE"/>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B908BD" w:rsidRPr="00C3170E" w:rsidRDefault="00B908BD" w:rsidP="00B50534">
    <w:pPr>
      <w:pStyle w:val="Kopfzeile"/>
      <w:jc w:val="right"/>
      <w:rPr>
        <w:color w:val="2F5496" w:themeColor="accent5" w:themeShade="BF"/>
        <w:sz w:val="20"/>
      </w:rPr>
    </w:pPr>
  </w:p>
  <w:p w14:paraId="5EAB6EC6" w14:textId="77777777" w:rsidR="00B908BD" w:rsidRPr="00B50534" w:rsidRDefault="00B908BD" w:rsidP="00B50534">
    <w:pPr>
      <w:pStyle w:val="Kopfzeile"/>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enabsatz"/>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0B97794"/>
    <w:multiLevelType w:val="hybridMultilevel"/>
    <w:tmpl w:val="2096A532"/>
    <w:lvl w:ilvl="0" w:tplc="92264DCA">
      <w:numFmt w:val="bullet"/>
      <w:lvlText w:val="-"/>
      <w:lvlJc w:val="left"/>
      <w:pPr>
        <w:ind w:left="1800" w:hanging="360"/>
      </w:pPr>
      <w:rPr>
        <w:rFonts w:ascii="Arial" w:eastAsiaTheme="majorEastAsia" w:hAnsi="Arial" w:cs="Arial" w:hint="default"/>
      </w:rPr>
    </w:lvl>
    <w:lvl w:ilvl="1" w:tplc="18861D00">
      <w:start w:val="1"/>
      <w:numFmt w:val="decimal"/>
      <w:lvlText w:val="%2."/>
      <w:lvlJc w:val="left"/>
      <w:pPr>
        <w:ind w:left="2520" w:hanging="360"/>
      </w:pPr>
      <w:rPr>
        <w:rFonts w:hint="default"/>
      </w:rPr>
    </w:lvl>
    <w:lvl w:ilvl="2" w:tplc="04070005">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4" w15:restartNumberingAfterBreak="0">
    <w:nsid w:val="31BB10D1"/>
    <w:multiLevelType w:val="hybridMultilevel"/>
    <w:tmpl w:val="8BBC140A"/>
    <w:lvl w:ilvl="0" w:tplc="CBDA299C">
      <w:start w:val="1"/>
      <w:numFmt w:val="decimal"/>
      <w:lvlText w:val="(%1)"/>
      <w:lvlJc w:val="left"/>
      <w:pPr>
        <w:ind w:left="720" w:hanging="360"/>
      </w:pPr>
      <w:rPr>
        <w:rFonts w:hint="default"/>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D8462A"/>
    <w:multiLevelType w:val="hybridMultilevel"/>
    <w:tmpl w:val="1E608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8E71B12"/>
    <w:multiLevelType w:val="hybridMultilevel"/>
    <w:tmpl w:val="67E409EE"/>
    <w:lvl w:ilvl="0" w:tplc="027E1B6C">
      <w:start w:val="1"/>
      <w:numFmt w:val="upperLetter"/>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30749FC"/>
    <w:multiLevelType w:val="hybridMultilevel"/>
    <w:tmpl w:val="1B969B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BAD1101"/>
    <w:multiLevelType w:val="multilevel"/>
    <w:tmpl w:val="766C753E"/>
    <w:lvl w:ilvl="0">
      <w:start w:val="1"/>
      <w:numFmt w:val="upperRoman"/>
      <w:pStyle w:val="berschrift1"/>
      <w:lvlText w:val="%1."/>
      <w:lvlJc w:val="righ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DC2249"/>
    <w:multiLevelType w:val="hybridMultilevel"/>
    <w:tmpl w:val="21BC9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C86774E"/>
    <w:multiLevelType w:val="hybridMultilevel"/>
    <w:tmpl w:val="248697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14"/>
  </w:num>
  <w:num w:numId="4">
    <w:abstractNumId w:val="1"/>
  </w:num>
  <w:num w:numId="5">
    <w:abstractNumId w:val="10"/>
  </w:num>
  <w:num w:numId="6">
    <w:abstractNumId w:val="16"/>
  </w:num>
  <w:num w:numId="7">
    <w:abstractNumId w:val="9"/>
  </w:num>
  <w:num w:numId="8">
    <w:abstractNumId w:val="2"/>
  </w:num>
  <w:num w:numId="9">
    <w:abstractNumId w:val="8"/>
  </w:num>
  <w:num w:numId="10">
    <w:abstractNumId w:val="6"/>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2"/>
  </w:num>
  <w:num w:numId="16">
    <w:abstractNumId w:val="15"/>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1"/>
  </w:num>
  <w:num w:numId="20">
    <w:abstractNumId w:val="4"/>
  </w:num>
  <w:num w:numId="21">
    <w:abstractNumId w:val="7"/>
  </w:num>
  <w:num w:numId="22">
    <w:abstractNumId w:val="19"/>
  </w:num>
  <w:num w:numId="23">
    <w:abstractNumId w:val="17"/>
  </w:num>
  <w:num w:numId="2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GB" w:vendorID="64" w:dllVersion="131078" w:nlCheck="1" w:checkStyle="1"/>
  <w:activeWritingStyle w:appName="MSWord" w:lang="de-DE" w:vendorID="64" w:dllVersion="131078" w:nlCheck="1" w:checkStyle="0"/>
  <w:activeWritingStyle w:appName="MSWord" w:lang="en-US" w:vendorID="64" w:dllVersion="131078" w:nlCheck="1" w:checkStyle="1"/>
  <w:activeWritingStyle w:appName="MSWord" w:lang="es-ES" w:vendorID="64" w:dllVersion="131078" w:nlCheck="1" w:checkStyle="0"/>
  <w:attachedTemplate r:id="rId1"/>
  <w:documentProtection w:edit="readOnly" w:enforcement="1" w:cryptProviderType="rsaAES" w:cryptAlgorithmClass="hash" w:cryptAlgorithmType="typeAny" w:cryptAlgorithmSid="14" w:cryptSpinCount="100000" w:hash="4WFyAPmaJHYFcodRXMrYdRZqfnvCCUXgENvelDZzSYVbmP46a/7Xyhf2LQ0DaAd6SOVP1dFopOX5iWZCzud2sw==" w:salt="pNs5JzaiFAhwId+WbkIsMA=="/>
  <w:defaultTabStop w:val="708"/>
  <w:hyphenationZone w:val="425"/>
  <w:characterSpacingControl w:val="doNotCompress"/>
  <w:hdrShapeDefaults>
    <o:shapedefaults v:ext="edit" spidmax="4915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36D"/>
    <w:rsid w:val="00083FBB"/>
    <w:rsid w:val="000921E6"/>
    <w:rsid w:val="00093239"/>
    <w:rsid w:val="000A03C9"/>
    <w:rsid w:val="000A12CC"/>
    <w:rsid w:val="000A2738"/>
    <w:rsid w:val="000A2DF1"/>
    <w:rsid w:val="000A3D10"/>
    <w:rsid w:val="000A409B"/>
    <w:rsid w:val="000A66FC"/>
    <w:rsid w:val="000A741E"/>
    <w:rsid w:val="000B0FF7"/>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E54C5"/>
    <w:rsid w:val="000F0169"/>
    <w:rsid w:val="000F0951"/>
    <w:rsid w:val="000F2598"/>
    <w:rsid w:val="000F29C0"/>
    <w:rsid w:val="000F2BE6"/>
    <w:rsid w:val="000F474D"/>
    <w:rsid w:val="000F5C90"/>
    <w:rsid w:val="000F5EA6"/>
    <w:rsid w:val="000F7998"/>
    <w:rsid w:val="00100ADC"/>
    <w:rsid w:val="0010429A"/>
    <w:rsid w:val="00105424"/>
    <w:rsid w:val="001075EC"/>
    <w:rsid w:val="00113D82"/>
    <w:rsid w:val="00120F0D"/>
    <w:rsid w:val="001214DA"/>
    <w:rsid w:val="00124AE4"/>
    <w:rsid w:val="0012722A"/>
    <w:rsid w:val="00130EF9"/>
    <w:rsid w:val="001319C7"/>
    <w:rsid w:val="001326F6"/>
    <w:rsid w:val="001355E6"/>
    <w:rsid w:val="0013644A"/>
    <w:rsid w:val="00140BA6"/>
    <w:rsid w:val="00141946"/>
    <w:rsid w:val="00143DCA"/>
    <w:rsid w:val="00144AAD"/>
    <w:rsid w:val="001455E7"/>
    <w:rsid w:val="0014624E"/>
    <w:rsid w:val="00150FBA"/>
    <w:rsid w:val="00155ED2"/>
    <w:rsid w:val="001608B2"/>
    <w:rsid w:val="00160FE0"/>
    <w:rsid w:val="00162B5C"/>
    <w:rsid w:val="00163AB3"/>
    <w:rsid w:val="00165047"/>
    <w:rsid w:val="00165FF8"/>
    <w:rsid w:val="0016669F"/>
    <w:rsid w:val="00170AD6"/>
    <w:rsid w:val="001735B8"/>
    <w:rsid w:val="00173DBE"/>
    <w:rsid w:val="00177AA7"/>
    <w:rsid w:val="00180917"/>
    <w:rsid w:val="00180E53"/>
    <w:rsid w:val="00181CB7"/>
    <w:rsid w:val="001832AA"/>
    <w:rsid w:val="001839F9"/>
    <w:rsid w:val="001862A5"/>
    <w:rsid w:val="00186A70"/>
    <w:rsid w:val="001876EB"/>
    <w:rsid w:val="00191035"/>
    <w:rsid w:val="001918E5"/>
    <w:rsid w:val="00192A7A"/>
    <w:rsid w:val="001A1EF4"/>
    <w:rsid w:val="001A6281"/>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230B"/>
    <w:rsid w:val="001E3E0D"/>
    <w:rsid w:val="001E4A45"/>
    <w:rsid w:val="001E5E30"/>
    <w:rsid w:val="001F0479"/>
    <w:rsid w:val="001F1F10"/>
    <w:rsid w:val="001F1F70"/>
    <w:rsid w:val="001F3999"/>
    <w:rsid w:val="001F3D9D"/>
    <w:rsid w:val="001F40DD"/>
    <w:rsid w:val="00200894"/>
    <w:rsid w:val="00202333"/>
    <w:rsid w:val="00202FA8"/>
    <w:rsid w:val="002034B8"/>
    <w:rsid w:val="00205922"/>
    <w:rsid w:val="002066DD"/>
    <w:rsid w:val="00206B40"/>
    <w:rsid w:val="00206FB8"/>
    <w:rsid w:val="0020766F"/>
    <w:rsid w:val="00207A07"/>
    <w:rsid w:val="00210498"/>
    <w:rsid w:val="0021147A"/>
    <w:rsid w:val="00212102"/>
    <w:rsid w:val="00213BFB"/>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4FA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97A40"/>
    <w:rsid w:val="002A13B0"/>
    <w:rsid w:val="002A2C91"/>
    <w:rsid w:val="002A6C21"/>
    <w:rsid w:val="002A780E"/>
    <w:rsid w:val="002B12A4"/>
    <w:rsid w:val="002B144C"/>
    <w:rsid w:val="002B53F3"/>
    <w:rsid w:val="002C03FD"/>
    <w:rsid w:val="002C044D"/>
    <w:rsid w:val="002C1AA5"/>
    <w:rsid w:val="002C23B7"/>
    <w:rsid w:val="002C2A46"/>
    <w:rsid w:val="002C3048"/>
    <w:rsid w:val="002D2992"/>
    <w:rsid w:val="002D37A0"/>
    <w:rsid w:val="002D5AB5"/>
    <w:rsid w:val="002D6667"/>
    <w:rsid w:val="002D79F3"/>
    <w:rsid w:val="002E1C11"/>
    <w:rsid w:val="002E3D0B"/>
    <w:rsid w:val="002E3E7D"/>
    <w:rsid w:val="002E6F86"/>
    <w:rsid w:val="002F44FB"/>
    <w:rsid w:val="002F6279"/>
    <w:rsid w:val="003013B7"/>
    <w:rsid w:val="00301993"/>
    <w:rsid w:val="00301E55"/>
    <w:rsid w:val="00307397"/>
    <w:rsid w:val="003101EF"/>
    <w:rsid w:val="00312BDD"/>
    <w:rsid w:val="00314117"/>
    <w:rsid w:val="00317EDF"/>
    <w:rsid w:val="00326930"/>
    <w:rsid w:val="00326CD2"/>
    <w:rsid w:val="003279E7"/>
    <w:rsid w:val="00327B62"/>
    <w:rsid w:val="003309DD"/>
    <w:rsid w:val="00331FE9"/>
    <w:rsid w:val="0033324D"/>
    <w:rsid w:val="00334E34"/>
    <w:rsid w:val="0033587C"/>
    <w:rsid w:val="00336BF9"/>
    <w:rsid w:val="00336EFD"/>
    <w:rsid w:val="003371E8"/>
    <w:rsid w:val="00337471"/>
    <w:rsid w:val="003403B7"/>
    <w:rsid w:val="0034151D"/>
    <w:rsid w:val="00342B5B"/>
    <w:rsid w:val="00343532"/>
    <w:rsid w:val="00345469"/>
    <w:rsid w:val="003454ED"/>
    <w:rsid w:val="00345EB9"/>
    <w:rsid w:val="0035030F"/>
    <w:rsid w:val="00350F15"/>
    <w:rsid w:val="00353C4B"/>
    <w:rsid w:val="003545A6"/>
    <w:rsid w:val="00356C60"/>
    <w:rsid w:val="003578D1"/>
    <w:rsid w:val="00363639"/>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ADE"/>
    <w:rsid w:val="003B4E3D"/>
    <w:rsid w:val="003C167E"/>
    <w:rsid w:val="003C481D"/>
    <w:rsid w:val="003C4EB5"/>
    <w:rsid w:val="003D2CED"/>
    <w:rsid w:val="003D344A"/>
    <w:rsid w:val="003D3BB8"/>
    <w:rsid w:val="003D7C07"/>
    <w:rsid w:val="003E13FD"/>
    <w:rsid w:val="003E1C24"/>
    <w:rsid w:val="003E46B1"/>
    <w:rsid w:val="003E4A4B"/>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215C"/>
    <w:rsid w:val="004759EB"/>
    <w:rsid w:val="00477919"/>
    <w:rsid w:val="00482611"/>
    <w:rsid w:val="00482A27"/>
    <w:rsid w:val="00487DCE"/>
    <w:rsid w:val="0049148E"/>
    <w:rsid w:val="00494393"/>
    <w:rsid w:val="004950B7"/>
    <w:rsid w:val="00497FEA"/>
    <w:rsid w:val="004B07B2"/>
    <w:rsid w:val="004B0955"/>
    <w:rsid w:val="004B1842"/>
    <w:rsid w:val="004B25D0"/>
    <w:rsid w:val="004B3553"/>
    <w:rsid w:val="004B5E92"/>
    <w:rsid w:val="004C0A30"/>
    <w:rsid w:val="004C357C"/>
    <w:rsid w:val="004C3D18"/>
    <w:rsid w:val="004D16F1"/>
    <w:rsid w:val="004D42B1"/>
    <w:rsid w:val="004D461B"/>
    <w:rsid w:val="004D526F"/>
    <w:rsid w:val="004E19C0"/>
    <w:rsid w:val="004E1C54"/>
    <w:rsid w:val="004E2C37"/>
    <w:rsid w:val="004E43C4"/>
    <w:rsid w:val="004E5285"/>
    <w:rsid w:val="004F0CF3"/>
    <w:rsid w:val="004F5740"/>
    <w:rsid w:val="004F58C9"/>
    <w:rsid w:val="005028B9"/>
    <w:rsid w:val="00505E17"/>
    <w:rsid w:val="00511A59"/>
    <w:rsid w:val="00511C3B"/>
    <w:rsid w:val="00514440"/>
    <w:rsid w:val="00514C96"/>
    <w:rsid w:val="005166C3"/>
    <w:rsid w:val="00520A86"/>
    <w:rsid w:val="00520F7C"/>
    <w:rsid w:val="00523974"/>
    <w:rsid w:val="00526E5D"/>
    <w:rsid w:val="00531432"/>
    <w:rsid w:val="0053244A"/>
    <w:rsid w:val="00532BC8"/>
    <w:rsid w:val="005333E8"/>
    <w:rsid w:val="00534912"/>
    <w:rsid w:val="005370E7"/>
    <w:rsid w:val="00540184"/>
    <w:rsid w:val="005409B7"/>
    <w:rsid w:val="0054192E"/>
    <w:rsid w:val="005427F7"/>
    <w:rsid w:val="00545E62"/>
    <w:rsid w:val="00551070"/>
    <w:rsid w:val="00552C8A"/>
    <w:rsid w:val="005546EA"/>
    <w:rsid w:val="00555156"/>
    <w:rsid w:val="0055535B"/>
    <w:rsid w:val="00560A96"/>
    <w:rsid w:val="005619CB"/>
    <w:rsid w:val="00561B41"/>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1D34"/>
    <w:rsid w:val="005B4ACA"/>
    <w:rsid w:val="005B5847"/>
    <w:rsid w:val="005B6B12"/>
    <w:rsid w:val="005C19E9"/>
    <w:rsid w:val="005C2DBC"/>
    <w:rsid w:val="005C45C0"/>
    <w:rsid w:val="005C5F13"/>
    <w:rsid w:val="005C65F9"/>
    <w:rsid w:val="005C6B0E"/>
    <w:rsid w:val="005C7E1F"/>
    <w:rsid w:val="005D1B9E"/>
    <w:rsid w:val="005D1F6B"/>
    <w:rsid w:val="005D2DE7"/>
    <w:rsid w:val="005D3293"/>
    <w:rsid w:val="005D331C"/>
    <w:rsid w:val="005D6355"/>
    <w:rsid w:val="005D7AAF"/>
    <w:rsid w:val="005E0C59"/>
    <w:rsid w:val="005E18DE"/>
    <w:rsid w:val="005E1DA3"/>
    <w:rsid w:val="005E306B"/>
    <w:rsid w:val="005E53D0"/>
    <w:rsid w:val="005E5785"/>
    <w:rsid w:val="005E581B"/>
    <w:rsid w:val="005E6098"/>
    <w:rsid w:val="005E7969"/>
    <w:rsid w:val="005F0C93"/>
    <w:rsid w:val="005F3F22"/>
    <w:rsid w:val="005F4FC0"/>
    <w:rsid w:val="005F540F"/>
    <w:rsid w:val="005F5491"/>
    <w:rsid w:val="005F6144"/>
    <w:rsid w:val="005F6573"/>
    <w:rsid w:val="00601541"/>
    <w:rsid w:val="0060361E"/>
    <w:rsid w:val="00604A25"/>
    <w:rsid w:val="00606683"/>
    <w:rsid w:val="006073F1"/>
    <w:rsid w:val="00613BF6"/>
    <w:rsid w:val="00616D27"/>
    <w:rsid w:val="006234FE"/>
    <w:rsid w:val="00623840"/>
    <w:rsid w:val="006255EC"/>
    <w:rsid w:val="00625A25"/>
    <w:rsid w:val="0062736A"/>
    <w:rsid w:val="0063565E"/>
    <w:rsid w:val="00636E02"/>
    <w:rsid w:val="00641DB1"/>
    <w:rsid w:val="00642297"/>
    <w:rsid w:val="00644A34"/>
    <w:rsid w:val="0064705E"/>
    <w:rsid w:val="00654824"/>
    <w:rsid w:val="00657AE3"/>
    <w:rsid w:val="00661766"/>
    <w:rsid w:val="00662882"/>
    <w:rsid w:val="0066298C"/>
    <w:rsid w:val="00663008"/>
    <w:rsid w:val="00663093"/>
    <w:rsid w:val="00665A7C"/>
    <w:rsid w:val="00665B0B"/>
    <w:rsid w:val="006705CD"/>
    <w:rsid w:val="00671363"/>
    <w:rsid w:val="00672780"/>
    <w:rsid w:val="00672842"/>
    <w:rsid w:val="00675683"/>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322"/>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2BA0"/>
    <w:rsid w:val="006F53E8"/>
    <w:rsid w:val="006F5FB8"/>
    <w:rsid w:val="0070017B"/>
    <w:rsid w:val="0070427E"/>
    <w:rsid w:val="00704D53"/>
    <w:rsid w:val="007056C3"/>
    <w:rsid w:val="00706072"/>
    <w:rsid w:val="00713644"/>
    <w:rsid w:val="00721256"/>
    <w:rsid w:val="007217AD"/>
    <w:rsid w:val="00723BA1"/>
    <w:rsid w:val="00724A1B"/>
    <w:rsid w:val="00724C15"/>
    <w:rsid w:val="0073173E"/>
    <w:rsid w:val="007319C3"/>
    <w:rsid w:val="00732AF5"/>
    <w:rsid w:val="0073454F"/>
    <w:rsid w:val="00735C00"/>
    <w:rsid w:val="00736435"/>
    <w:rsid w:val="007364C6"/>
    <w:rsid w:val="00740BF3"/>
    <w:rsid w:val="00741D5C"/>
    <w:rsid w:val="0074352F"/>
    <w:rsid w:val="00747C5E"/>
    <w:rsid w:val="00750210"/>
    <w:rsid w:val="00752E2B"/>
    <w:rsid w:val="00754B57"/>
    <w:rsid w:val="0075671D"/>
    <w:rsid w:val="0076002F"/>
    <w:rsid w:val="0076038B"/>
    <w:rsid w:val="00761744"/>
    <w:rsid w:val="00764582"/>
    <w:rsid w:val="00765FA3"/>
    <w:rsid w:val="00766961"/>
    <w:rsid w:val="00766B5A"/>
    <w:rsid w:val="00767233"/>
    <w:rsid w:val="00770C33"/>
    <w:rsid w:val="007741C3"/>
    <w:rsid w:val="007747BD"/>
    <w:rsid w:val="00777BE0"/>
    <w:rsid w:val="00780923"/>
    <w:rsid w:val="0078131F"/>
    <w:rsid w:val="007844C6"/>
    <w:rsid w:val="007876EF"/>
    <w:rsid w:val="00787715"/>
    <w:rsid w:val="00790306"/>
    <w:rsid w:val="007919BB"/>
    <w:rsid w:val="0079364C"/>
    <w:rsid w:val="00793CF8"/>
    <w:rsid w:val="007942B9"/>
    <w:rsid w:val="00796C7F"/>
    <w:rsid w:val="00797E0C"/>
    <w:rsid w:val="007A160F"/>
    <w:rsid w:val="007A48BC"/>
    <w:rsid w:val="007A74FB"/>
    <w:rsid w:val="007B0BC1"/>
    <w:rsid w:val="007B354B"/>
    <w:rsid w:val="007B4FC3"/>
    <w:rsid w:val="007B73F3"/>
    <w:rsid w:val="007B7EE5"/>
    <w:rsid w:val="007C0C6D"/>
    <w:rsid w:val="007C1C28"/>
    <w:rsid w:val="007C2A2C"/>
    <w:rsid w:val="007C3577"/>
    <w:rsid w:val="007C5E08"/>
    <w:rsid w:val="007D0002"/>
    <w:rsid w:val="007D08C9"/>
    <w:rsid w:val="007D7A59"/>
    <w:rsid w:val="007E53F5"/>
    <w:rsid w:val="007E6E9E"/>
    <w:rsid w:val="007E7637"/>
    <w:rsid w:val="007E7997"/>
    <w:rsid w:val="007F014A"/>
    <w:rsid w:val="007F04EF"/>
    <w:rsid w:val="007F0763"/>
    <w:rsid w:val="007F1DE9"/>
    <w:rsid w:val="007F25C2"/>
    <w:rsid w:val="007F4F88"/>
    <w:rsid w:val="007F5315"/>
    <w:rsid w:val="007F5822"/>
    <w:rsid w:val="007F5B86"/>
    <w:rsid w:val="00800179"/>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108E"/>
    <w:rsid w:val="00832500"/>
    <w:rsid w:val="00832787"/>
    <w:rsid w:val="00835805"/>
    <w:rsid w:val="0083595F"/>
    <w:rsid w:val="008372B6"/>
    <w:rsid w:val="00843A1A"/>
    <w:rsid w:val="00846433"/>
    <w:rsid w:val="008472C2"/>
    <w:rsid w:val="008510D9"/>
    <w:rsid w:val="00851EE3"/>
    <w:rsid w:val="00853121"/>
    <w:rsid w:val="008555E4"/>
    <w:rsid w:val="00860825"/>
    <w:rsid w:val="00861B15"/>
    <w:rsid w:val="00863E63"/>
    <w:rsid w:val="00864E60"/>
    <w:rsid w:val="00866A09"/>
    <w:rsid w:val="008703DE"/>
    <w:rsid w:val="008712BF"/>
    <w:rsid w:val="00872209"/>
    <w:rsid w:val="00873656"/>
    <w:rsid w:val="00880140"/>
    <w:rsid w:val="008842F7"/>
    <w:rsid w:val="00885B94"/>
    <w:rsid w:val="00886012"/>
    <w:rsid w:val="0089075A"/>
    <w:rsid w:val="00890F80"/>
    <w:rsid w:val="00891D4C"/>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5D0F"/>
    <w:rsid w:val="00906DC4"/>
    <w:rsid w:val="0091457F"/>
    <w:rsid w:val="0091729E"/>
    <w:rsid w:val="00927F60"/>
    <w:rsid w:val="0093261E"/>
    <w:rsid w:val="0094008E"/>
    <w:rsid w:val="00941C0C"/>
    <w:rsid w:val="009437F2"/>
    <w:rsid w:val="0094528B"/>
    <w:rsid w:val="00951FE1"/>
    <w:rsid w:val="00957D18"/>
    <w:rsid w:val="00960A8B"/>
    <w:rsid w:val="00965128"/>
    <w:rsid w:val="00973F43"/>
    <w:rsid w:val="0097785D"/>
    <w:rsid w:val="0098011D"/>
    <w:rsid w:val="00981912"/>
    <w:rsid w:val="009819C0"/>
    <w:rsid w:val="00987A75"/>
    <w:rsid w:val="00991A8A"/>
    <w:rsid w:val="00992611"/>
    <w:rsid w:val="00993D8D"/>
    <w:rsid w:val="00994303"/>
    <w:rsid w:val="0099526D"/>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1DD"/>
    <w:rsid w:val="00A026A4"/>
    <w:rsid w:val="00A04044"/>
    <w:rsid w:val="00A11D0C"/>
    <w:rsid w:val="00A16579"/>
    <w:rsid w:val="00A2094E"/>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97E"/>
    <w:rsid w:val="00A76E20"/>
    <w:rsid w:val="00A8284E"/>
    <w:rsid w:val="00A86248"/>
    <w:rsid w:val="00A870EE"/>
    <w:rsid w:val="00A91D91"/>
    <w:rsid w:val="00A96F81"/>
    <w:rsid w:val="00A9709D"/>
    <w:rsid w:val="00AA054E"/>
    <w:rsid w:val="00AA0A10"/>
    <w:rsid w:val="00AA2094"/>
    <w:rsid w:val="00AA2947"/>
    <w:rsid w:val="00AA2AA5"/>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015"/>
    <w:rsid w:val="00B0014A"/>
    <w:rsid w:val="00B00B50"/>
    <w:rsid w:val="00B00DB2"/>
    <w:rsid w:val="00B016E3"/>
    <w:rsid w:val="00B02B0B"/>
    <w:rsid w:val="00B03817"/>
    <w:rsid w:val="00B04283"/>
    <w:rsid w:val="00B05BA8"/>
    <w:rsid w:val="00B0741D"/>
    <w:rsid w:val="00B07AD8"/>
    <w:rsid w:val="00B07B20"/>
    <w:rsid w:val="00B10698"/>
    <w:rsid w:val="00B1081B"/>
    <w:rsid w:val="00B11CAA"/>
    <w:rsid w:val="00B14F01"/>
    <w:rsid w:val="00B15525"/>
    <w:rsid w:val="00B15C0B"/>
    <w:rsid w:val="00B174BA"/>
    <w:rsid w:val="00B17AF3"/>
    <w:rsid w:val="00B223B5"/>
    <w:rsid w:val="00B229AD"/>
    <w:rsid w:val="00B237BC"/>
    <w:rsid w:val="00B26EBB"/>
    <w:rsid w:val="00B27499"/>
    <w:rsid w:val="00B335C4"/>
    <w:rsid w:val="00B3369E"/>
    <w:rsid w:val="00B33D9A"/>
    <w:rsid w:val="00B4093E"/>
    <w:rsid w:val="00B40D81"/>
    <w:rsid w:val="00B424F5"/>
    <w:rsid w:val="00B43167"/>
    <w:rsid w:val="00B435BE"/>
    <w:rsid w:val="00B43A9D"/>
    <w:rsid w:val="00B454FA"/>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1B1"/>
    <w:rsid w:val="00B73FF2"/>
    <w:rsid w:val="00B7407E"/>
    <w:rsid w:val="00B74CBA"/>
    <w:rsid w:val="00B74ED3"/>
    <w:rsid w:val="00B768CF"/>
    <w:rsid w:val="00B81A44"/>
    <w:rsid w:val="00B86167"/>
    <w:rsid w:val="00B86BB5"/>
    <w:rsid w:val="00B908BD"/>
    <w:rsid w:val="00B91072"/>
    <w:rsid w:val="00B91B6E"/>
    <w:rsid w:val="00B94B2C"/>
    <w:rsid w:val="00B96F7D"/>
    <w:rsid w:val="00B970D0"/>
    <w:rsid w:val="00BA49F4"/>
    <w:rsid w:val="00BA5C41"/>
    <w:rsid w:val="00BA6ACA"/>
    <w:rsid w:val="00BA7232"/>
    <w:rsid w:val="00BA7809"/>
    <w:rsid w:val="00BB449C"/>
    <w:rsid w:val="00BB44D7"/>
    <w:rsid w:val="00BB7267"/>
    <w:rsid w:val="00BC2561"/>
    <w:rsid w:val="00BC3E3E"/>
    <w:rsid w:val="00BC422A"/>
    <w:rsid w:val="00BC5128"/>
    <w:rsid w:val="00BC5608"/>
    <w:rsid w:val="00BD04C9"/>
    <w:rsid w:val="00BD3536"/>
    <w:rsid w:val="00BD37FD"/>
    <w:rsid w:val="00BE0B46"/>
    <w:rsid w:val="00BE225E"/>
    <w:rsid w:val="00BE237E"/>
    <w:rsid w:val="00BE3703"/>
    <w:rsid w:val="00BE567F"/>
    <w:rsid w:val="00BE7B51"/>
    <w:rsid w:val="00BF0A29"/>
    <w:rsid w:val="00BF25CD"/>
    <w:rsid w:val="00BF2865"/>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36F71"/>
    <w:rsid w:val="00C40053"/>
    <w:rsid w:val="00C4294D"/>
    <w:rsid w:val="00C444C8"/>
    <w:rsid w:val="00C452DD"/>
    <w:rsid w:val="00C45856"/>
    <w:rsid w:val="00C46603"/>
    <w:rsid w:val="00C54316"/>
    <w:rsid w:val="00C55208"/>
    <w:rsid w:val="00C5527D"/>
    <w:rsid w:val="00C60950"/>
    <w:rsid w:val="00C61559"/>
    <w:rsid w:val="00C61B1A"/>
    <w:rsid w:val="00C62A53"/>
    <w:rsid w:val="00C709F9"/>
    <w:rsid w:val="00C73A70"/>
    <w:rsid w:val="00C76054"/>
    <w:rsid w:val="00C779A2"/>
    <w:rsid w:val="00C80546"/>
    <w:rsid w:val="00C83CAD"/>
    <w:rsid w:val="00C8419E"/>
    <w:rsid w:val="00C851D7"/>
    <w:rsid w:val="00C85C8B"/>
    <w:rsid w:val="00C867AD"/>
    <w:rsid w:val="00C87F9F"/>
    <w:rsid w:val="00C94FEC"/>
    <w:rsid w:val="00C9545D"/>
    <w:rsid w:val="00C9625C"/>
    <w:rsid w:val="00C9756B"/>
    <w:rsid w:val="00C978C6"/>
    <w:rsid w:val="00C97F2A"/>
    <w:rsid w:val="00CA112D"/>
    <w:rsid w:val="00CA1F84"/>
    <w:rsid w:val="00CA1F9F"/>
    <w:rsid w:val="00CA2179"/>
    <w:rsid w:val="00CA3D8A"/>
    <w:rsid w:val="00CB3B48"/>
    <w:rsid w:val="00CB4B3E"/>
    <w:rsid w:val="00CB50EF"/>
    <w:rsid w:val="00CB60CC"/>
    <w:rsid w:val="00CB623F"/>
    <w:rsid w:val="00CB791A"/>
    <w:rsid w:val="00CB7D1B"/>
    <w:rsid w:val="00CC11DF"/>
    <w:rsid w:val="00CC1A6E"/>
    <w:rsid w:val="00CC3A04"/>
    <w:rsid w:val="00CC3F62"/>
    <w:rsid w:val="00CC536E"/>
    <w:rsid w:val="00CC59DD"/>
    <w:rsid w:val="00CC7FC6"/>
    <w:rsid w:val="00CD47B2"/>
    <w:rsid w:val="00CD51E2"/>
    <w:rsid w:val="00CD5AFD"/>
    <w:rsid w:val="00CD74EB"/>
    <w:rsid w:val="00CE49F8"/>
    <w:rsid w:val="00CE4E1E"/>
    <w:rsid w:val="00CE66B5"/>
    <w:rsid w:val="00CF010E"/>
    <w:rsid w:val="00CF3AAE"/>
    <w:rsid w:val="00CF52DF"/>
    <w:rsid w:val="00CF5832"/>
    <w:rsid w:val="00CF5911"/>
    <w:rsid w:val="00CF7221"/>
    <w:rsid w:val="00CF724E"/>
    <w:rsid w:val="00D00479"/>
    <w:rsid w:val="00D059F5"/>
    <w:rsid w:val="00D117F5"/>
    <w:rsid w:val="00D13661"/>
    <w:rsid w:val="00D142BD"/>
    <w:rsid w:val="00D146DE"/>
    <w:rsid w:val="00D16C2A"/>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65A"/>
    <w:rsid w:val="00D577C9"/>
    <w:rsid w:val="00D606B7"/>
    <w:rsid w:val="00D61A94"/>
    <w:rsid w:val="00D62282"/>
    <w:rsid w:val="00D62A4F"/>
    <w:rsid w:val="00D6356C"/>
    <w:rsid w:val="00D64A32"/>
    <w:rsid w:val="00D6553A"/>
    <w:rsid w:val="00D657CA"/>
    <w:rsid w:val="00D659DB"/>
    <w:rsid w:val="00D66AB5"/>
    <w:rsid w:val="00D73338"/>
    <w:rsid w:val="00D775F3"/>
    <w:rsid w:val="00D77868"/>
    <w:rsid w:val="00D77F25"/>
    <w:rsid w:val="00D8116A"/>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31"/>
    <w:rsid w:val="00DB4B8E"/>
    <w:rsid w:val="00DB4F4B"/>
    <w:rsid w:val="00DC070F"/>
    <w:rsid w:val="00DC3858"/>
    <w:rsid w:val="00DC3A57"/>
    <w:rsid w:val="00DC4606"/>
    <w:rsid w:val="00DC7A95"/>
    <w:rsid w:val="00DD0632"/>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280E"/>
    <w:rsid w:val="00E32A9A"/>
    <w:rsid w:val="00E333AC"/>
    <w:rsid w:val="00E3456B"/>
    <w:rsid w:val="00E35C16"/>
    <w:rsid w:val="00E36085"/>
    <w:rsid w:val="00E36813"/>
    <w:rsid w:val="00E42382"/>
    <w:rsid w:val="00E603DF"/>
    <w:rsid w:val="00E63745"/>
    <w:rsid w:val="00E6699F"/>
    <w:rsid w:val="00E67B40"/>
    <w:rsid w:val="00E703AE"/>
    <w:rsid w:val="00E72373"/>
    <w:rsid w:val="00E72D27"/>
    <w:rsid w:val="00E76AF9"/>
    <w:rsid w:val="00E774AA"/>
    <w:rsid w:val="00E84EF0"/>
    <w:rsid w:val="00E8649C"/>
    <w:rsid w:val="00E87886"/>
    <w:rsid w:val="00E87CDE"/>
    <w:rsid w:val="00E91FC1"/>
    <w:rsid w:val="00E92D54"/>
    <w:rsid w:val="00E9323C"/>
    <w:rsid w:val="00E95475"/>
    <w:rsid w:val="00E95FD8"/>
    <w:rsid w:val="00EA0283"/>
    <w:rsid w:val="00EA5DE1"/>
    <w:rsid w:val="00EB0C86"/>
    <w:rsid w:val="00EB0E16"/>
    <w:rsid w:val="00EB236F"/>
    <w:rsid w:val="00EB237E"/>
    <w:rsid w:val="00EB293F"/>
    <w:rsid w:val="00EB4C03"/>
    <w:rsid w:val="00EC1546"/>
    <w:rsid w:val="00EC5B23"/>
    <w:rsid w:val="00EC5DED"/>
    <w:rsid w:val="00EC6BD8"/>
    <w:rsid w:val="00ED0356"/>
    <w:rsid w:val="00ED0D71"/>
    <w:rsid w:val="00ED3DCD"/>
    <w:rsid w:val="00ED3DD5"/>
    <w:rsid w:val="00ED56BE"/>
    <w:rsid w:val="00ED74D7"/>
    <w:rsid w:val="00EE3E4D"/>
    <w:rsid w:val="00EE40F8"/>
    <w:rsid w:val="00EE6DD6"/>
    <w:rsid w:val="00EF0867"/>
    <w:rsid w:val="00EF1A10"/>
    <w:rsid w:val="00EF1A9F"/>
    <w:rsid w:val="00EF1B27"/>
    <w:rsid w:val="00EF4370"/>
    <w:rsid w:val="00EF5AD7"/>
    <w:rsid w:val="00F0041E"/>
    <w:rsid w:val="00F03FA7"/>
    <w:rsid w:val="00F048EF"/>
    <w:rsid w:val="00F06AAD"/>
    <w:rsid w:val="00F146BE"/>
    <w:rsid w:val="00F22013"/>
    <w:rsid w:val="00F22356"/>
    <w:rsid w:val="00F226E0"/>
    <w:rsid w:val="00F2522F"/>
    <w:rsid w:val="00F30180"/>
    <w:rsid w:val="00F31A29"/>
    <w:rsid w:val="00F3279A"/>
    <w:rsid w:val="00F32EC3"/>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0265"/>
    <w:rsid w:val="00FB24ED"/>
    <w:rsid w:val="00FB29AF"/>
    <w:rsid w:val="00FB313D"/>
    <w:rsid w:val="00FB4003"/>
    <w:rsid w:val="00FB4EBA"/>
    <w:rsid w:val="00FB7086"/>
    <w:rsid w:val="00FB7D9F"/>
    <w:rsid w:val="00FC6733"/>
    <w:rsid w:val="00FD2677"/>
    <w:rsid w:val="00FD28B8"/>
    <w:rsid w:val="00FE0BD8"/>
    <w:rsid w:val="00FE1709"/>
    <w:rsid w:val="00FE1FC9"/>
    <w:rsid w:val="00FE2E81"/>
    <w:rsid w:val="00FF32DE"/>
    <w:rsid w:val="00FF4205"/>
    <w:rsid w:val="00FF5858"/>
    <w:rsid w:val="00FF653E"/>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EAB6E44"/>
  <w15:docId w15:val="{F0DBAAAF-BC13-4E07-B695-A6E3B760C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berschrift1">
    <w:name w:val="heading 1"/>
    <w:basedOn w:val="Standard"/>
    <w:next w:val="Standard"/>
    <w:link w:val="berschrift1Zchn"/>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berschrift4">
    <w:name w:val="heading 4"/>
    <w:basedOn w:val="Standard"/>
    <w:next w:val="Standard"/>
    <w:link w:val="berschrift4Zchn"/>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rsid w:val="00020300"/>
    <w:rPr>
      <w:rFonts w:asciiTheme="majorHAnsi" w:eastAsiaTheme="majorEastAsia" w:hAnsiTheme="majorHAnsi" w:cstheme="majorBidi"/>
      <w:sz w:val="24"/>
      <w:szCs w:val="22"/>
      <w:lang w:val="en-GB" w:eastAsia="en-GB"/>
    </w:rPr>
  </w:style>
  <w:style w:type="character" w:customStyle="1" w:styleId="berschrift3Zchn">
    <w:name w:val="Überschrift 3 Zchn"/>
    <w:basedOn w:val="Absatz-Standardschriftart"/>
    <w:link w:val="berschrift3"/>
    <w:rsid w:val="00020300"/>
    <w:rPr>
      <w:rFonts w:asciiTheme="majorHAnsi" w:eastAsiaTheme="majorEastAsia" w:hAnsiTheme="majorHAnsi" w:cstheme="majorBidi"/>
      <w:sz w:val="24"/>
      <w:szCs w:val="24"/>
      <w:lang w:val="en-GB" w:eastAsia="en-GB"/>
    </w:rPr>
  </w:style>
  <w:style w:type="character" w:customStyle="1" w:styleId="berschrift1Zchn">
    <w:name w:val="Überschrift 1 Zchn"/>
    <w:basedOn w:val="Absatz-Standardschriftart"/>
    <w:link w:val="berschrift1"/>
    <w:rsid w:val="00FE0BD8"/>
    <w:rPr>
      <w:rFonts w:asciiTheme="majorHAnsi" w:eastAsiaTheme="majorEastAsia" w:hAnsiTheme="majorHAnsi" w:cstheme="majorBidi"/>
      <w:b/>
      <w:sz w:val="32"/>
      <w:szCs w:val="32"/>
      <w:lang w:val="en-GB" w:eastAsia="en-GB"/>
    </w:rPr>
  </w:style>
  <w:style w:type="character" w:customStyle="1" w:styleId="berschrift2Zchn">
    <w:name w:val="Überschrift 2 Zchn"/>
    <w:basedOn w:val="Absatz-Standardschriftart"/>
    <w:link w:val="berschrift2"/>
    <w:rsid w:val="003C167E"/>
    <w:rPr>
      <w:rFonts w:asciiTheme="majorHAnsi" w:eastAsiaTheme="majorEastAsia" w:hAnsiTheme="majorHAnsi" w:cstheme="majorBidi"/>
      <w:b/>
      <w:sz w:val="28"/>
      <w:szCs w:val="28"/>
      <w:lang w:val="en-GB" w:eastAsia="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b/>
      <w:sz w:val="28"/>
    </w:rPr>
  </w:style>
  <w:style w:type="character" w:customStyle="1" w:styleId="Title1Char">
    <w:name w:val="Title 1 Char"/>
    <w:basedOn w:val="Absatz-Standardschriftart"/>
    <w:link w:val="Title1"/>
    <w:rsid w:val="003C4EB5"/>
    <w:rPr>
      <w:rFonts w:eastAsiaTheme="majorEastAsia" w:cstheme="minorHAnsi"/>
      <w:b/>
      <w:sz w:val="28"/>
      <w:szCs w:val="22"/>
      <w:lang w:val="en-GB" w:eastAsia="en-GB"/>
    </w:rPr>
  </w:style>
  <w:style w:type="paragraph" w:styleId="Listenabsatz">
    <w:name w:val="List Paragraph"/>
    <w:aliases w:val="Paragraphe EI,Paragraphe de liste1,EC,Paragraphe de liste,Normal Nivel 1,List Paragraph Main,List first level,List Paragraph_Sections"/>
    <w:basedOn w:val="Standard"/>
    <w:link w:val="ListenabsatzZchn"/>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b/>
      <w:sz w:val="28"/>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4"/>
      <w:szCs w:val="22"/>
      <w:lang w:val="en-GB" w:eastAsia="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rsid w:val="00AA054E"/>
    <w:rPr>
      <w:rFonts w:asciiTheme="majorHAnsi" w:eastAsiaTheme="majorEastAsia" w:hAnsiTheme="majorHAnsi" w:cstheme="majorBidi"/>
      <w:i/>
      <w:iCs/>
      <w:color w:val="44546A" w:themeColor="text2"/>
      <w:sz w:val="21"/>
      <w:szCs w:val="21"/>
      <w:lang w:val="en-GB" w:eastAsia="en-GB"/>
    </w:rPr>
  </w:style>
  <w:style w:type="paragraph" w:styleId="Titel">
    <w:name w:val="Title"/>
    <w:basedOn w:val="Standard"/>
    <w:next w:val="Standard"/>
    <w:link w:val="TitelZchn"/>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pPr>
    <w:rPr>
      <w:rFonts w:asciiTheme="majorHAnsi" w:eastAsiaTheme="majorEastAsia" w:hAnsiTheme="majorHAnsi" w:cstheme="majorBidi"/>
      <w:b/>
      <w:sz w:val="28"/>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berschrift8Zchn">
    <w:name w:val="Überschrift 8 Zchn"/>
    <w:basedOn w:val="Absatz-Standardschriftart"/>
    <w:link w:val="berschrift8"/>
    <w:rsid w:val="00AA054E"/>
    <w:rPr>
      <w:rFonts w:asciiTheme="majorHAnsi" w:eastAsiaTheme="majorEastAsia" w:hAnsiTheme="majorHAnsi" w:cstheme="majorBidi"/>
      <w:b/>
      <w:bCs/>
      <w:color w:val="44546A" w:themeColor="text2"/>
      <w:sz w:val="24"/>
      <w:szCs w:val="24"/>
      <w:lang w:val="en-GB" w:eastAsia="en-GB"/>
    </w:rPr>
  </w:style>
  <w:style w:type="character" w:customStyle="1" w:styleId="berschrift9Zchn">
    <w:name w:val="Überschrift 9 Zchn"/>
    <w:basedOn w:val="Absatz-Standardschriftart"/>
    <w:link w:val="berschrift9"/>
    <w:rsid w:val="00AA054E"/>
    <w:rPr>
      <w:rFonts w:asciiTheme="majorHAnsi" w:eastAsiaTheme="majorEastAsia" w:hAnsiTheme="majorHAnsi" w:cstheme="majorBidi"/>
      <w:b/>
      <w:bCs/>
      <w:i/>
      <w:iCs/>
      <w:color w:val="44546A" w:themeColor="text2"/>
      <w:sz w:val="24"/>
      <w:szCs w:val="24"/>
      <w:lang w:val="en-GB" w:eastAsia="en-GB"/>
    </w:rPr>
  </w:style>
  <w:style w:type="paragraph" w:styleId="Beschriftung">
    <w:name w:val="caption"/>
    <w:basedOn w:val="Standard"/>
    <w:next w:val="Standard"/>
    <w:uiPriority w:val="35"/>
    <w:semiHidden/>
    <w:unhideWhenUsed/>
    <w:qFormat/>
    <w:rsid w:val="00AA054E"/>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AA054E"/>
    <w:rPr>
      <w:i/>
      <w:iCs/>
      <w:color w:val="404040"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rsid w:val="007E7997"/>
    <w:pPr>
      <w:tabs>
        <w:tab w:val="center" w:pos="4536"/>
        <w:tab w:val="right" w:pos="9072"/>
      </w:tabs>
    </w:pPr>
  </w:style>
  <w:style w:type="character" w:customStyle="1" w:styleId="KopfzeileZchn">
    <w:name w:val="Kopfzeile Zchn"/>
    <w:basedOn w:val="Absatz-Standardschriftart"/>
    <w:link w:val="Kopfzeile"/>
    <w:uiPriority w:val="99"/>
    <w:rsid w:val="007E7997"/>
    <w:rPr>
      <w:sz w:val="22"/>
    </w:rPr>
  </w:style>
  <w:style w:type="paragraph" w:styleId="Fuzeile">
    <w:name w:val="footer"/>
    <w:basedOn w:val="Standard"/>
    <w:link w:val="FuzeileZchn"/>
    <w:uiPriority w:val="99"/>
    <w:unhideWhenUsed/>
    <w:rsid w:val="007E7997"/>
    <w:pPr>
      <w:tabs>
        <w:tab w:val="center" w:pos="4536"/>
        <w:tab w:val="right" w:pos="9072"/>
      </w:tabs>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hAnsi="Georgia"/>
      <w:color w:val="000000"/>
      <w:lang w:eastAsia="de-DE"/>
    </w:rPr>
  </w:style>
  <w:style w:type="paragraph" w:customStyle="1" w:styleId="02Date">
    <w:name w:val="02_Date"/>
    <w:basedOn w:val="Standard"/>
    <w:rsid w:val="00636E02"/>
    <w:pPr>
      <w:spacing w:line="220" w:lineRule="exact"/>
    </w:pPr>
    <w:rPr>
      <w:rFonts w:ascii="Georgia" w:hAnsi="Georgia"/>
      <w:sz w:val="17"/>
      <w:lang w:eastAsia="de-DE"/>
    </w:rPr>
  </w:style>
  <w:style w:type="paragraph" w:styleId="Verzeichnis1">
    <w:name w:val="toc 1"/>
    <w:basedOn w:val="Standard"/>
    <w:next w:val="Standard"/>
    <w:autoRedefine/>
    <w:uiPriority w:val="39"/>
    <w:unhideWhenUsed/>
    <w:rsid w:val="00B81A44"/>
    <w:pPr>
      <w:tabs>
        <w:tab w:val="left" w:pos="440"/>
        <w:tab w:val="right" w:leader="dot" w:pos="9062"/>
      </w:tabs>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Absatz-Standardschriftart"/>
    <w:link w:val="Questionstyle"/>
    <w:rsid w:val="00F77851"/>
    <w:rPr>
      <w:rFonts w:eastAsia="Times New Roman" w:cstheme="minorHAnsi"/>
      <w:sz w:val="22"/>
      <w:szCs w:val="22"/>
      <w:lang w:val="en-GB" w:eastAsia="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semiHidden/>
    <w:unhideWhenUsed/>
    <w:qFormat/>
    <w:rsid w:val="006F53E8"/>
    <w:rPr>
      <w:sz w:val="16"/>
    </w:rPr>
  </w:style>
  <w:style w:type="character" w:customStyle="1" w:styleId="FunotentextZchn">
    <w:name w:val="Fußnotentext Zchn"/>
    <w:basedOn w:val="Absatz-Standardschriftart"/>
    <w:link w:val="Funotentext"/>
    <w:uiPriority w:val="99"/>
    <w:semiHidden/>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BVI fnr"/>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5"/>
      </w:numPr>
      <w:tabs>
        <w:tab w:val="clear" w:pos="284"/>
        <w:tab w:val="num" w:pos="567"/>
      </w:tabs>
      <w:ind w:left="567" w:hanging="454"/>
    </w:pPr>
    <w:rPr>
      <w:rFonts w:ascii="Georgia" w:hAnsi="Georgia"/>
      <w:sz w:val="20"/>
      <w:lang w:eastAsia="de-DE"/>
    </w:rPr>
  </w:style>
  <w:style w:type="paragraph" w:styleId="Sprechblasentext">
    <w:name w:val="Balloon Text"/>
    <w:basedOn w:val="Standard"/>
    <w:link w:val="SprechblasentextZchn"/>
    <w:uiPriority w:val="99"/>
    <w:semiHidden/>
    <w:unhideWhenUsed/>
    <w:rsid w:val="003C167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167E"/>
    <w:rPr>
      <w:rFonts w:ascii="Tahoma" w:hAnsi="Tahoma" w:cs="Tahoma"/>
      <w:sz w:val="16"/>
      <w:szCs w:val="16"/>
      <w:lang w:val="en-GB"/>
    </w:rPr>
  </w:style>
  <w:style w:type="character" w:styleId="Kommentarzeichen">
    <w:name w:val="annotation reference"/>
    <w:basedOn w:val="Absatz-Standardschriftart"/>
    <w:uiPriority w:val="99"/>
    <w:semiHidden/>
    <w:unhideWhenUsed/>
    <w:rsid w:val="00FA2400"/>
    <w:rPr>
      <w:sz w:val="16"/>
      <w:szCs w:val="16"/>
    </w:rPr>
  </w:style>
  <w:style w:type="paragraph" w:styleId="Kommentartext">
    <w:name w:val="annotation text"/>
    <w:basedOn w:val="Standard"/>
    <w:link w:val="KommentartextZchn"/>
    <w:uiPriority w:val="99"/>
    <w:unhideWhenUsed/>
    <w:rsid w:val="00FA2400"/>
    <w:rPr>
      <w:sz w:val="20"/>
    </w:rPr>
  </w:style>
  <w:style w:type="character" w:customStyle="1" w:styleId="KommentartextZchn">
    <w:name w:val="Kommentartext Zchn"/>
    <w:basedOn w:val="Absatz-Standardschriftart"/>
    <w:link w:val="Kommentartext"/>
    <w:uiPriority w:val="99"/>
    <w:rsid w:val="00FA2400"/>
    <w:rPr>
      <w:lang w:val="en-GB"/>
    </w:rPr>
  </w:style>
  <w:style w:type="paragraph" w:styleId="Kommentarthema">
    <w:name w:val="annotation subject"/>
    <w:basedOn w:val="Kommentartext"/>
    <w:next w:val="Kommentartext"/>
    <w:link w:val="KommentarthemaZchn"/>
    <w:uiPriority w:val="99"/>
    <w:semiHidden/>
    <w:unhideWhenUsed/>
    <w:rsid w:val="00FA2400"/>
    <w:rPr>
      <w:b/>
      <w:bCs/>
    </w:rPr>
  </w:style>
  <w:style w:type="character" w:customStyle="1" w:styleId="KommentarthemaZchn">
    <w:name w:val="Kommentarthema Zchn"/>
    <w:basedOn w:val="KommentartextZchn"/>
    <w:link w:val="Kommentarthema"/>
    <w:uiPriority w:val="99"/>
    <w:semiHidden/>
    <w:rsid w:val="00FA2400"/>
    <w:rPr>
      <w:b/>
      <w:bCs/>
      <w:lang w:val="en-GB"/>
    </w:rPr>
  </w:style>
  <w:style w:type="paragraph" w:styleId="berarbeitung">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BesuchterLink">
    <w:name w:val="FollowedHyperlink"/>
    <w:basedOn w:val="Absatz-Standardschriftart"/>
    <w:uiPriority w:val="99"/>
    <w:semiHidden/>
    <w:unhideWhenUsed/>
    <w:rsid w:val="007B354B"/>
    <w:rPr>
      <w:color w:val="954F72" w:themeColor="followedHyperlink"/>
      <w:u w:val="single"/>
    </w:rPr>
  </w:style>
  <w:style w:type="paragraph" w:styleId="StandardWeb">
    <w:name w:val="Normal (Web)"/>
    <w:basedOn w:val="Standard"/>
    <w:uiPriority w:val="99"/>
    <w:unhideWhenUsed/>
    <w:rsid w:val="00B424F5"/>
    <w:pPr>
      <w:spacing w:before="100" w:beforeAutospacing="1" w:after="100" w:afterAutospacing="1"/>
    </w:pPr>
  </w:style>
  <w:style w:type="character" w:customStyle="1" w:styleId="outputecliaff">
    <w:name w:val="outputecliaff"/>
    <w:basedOn w:val="Absatz-Standardschriftart"/>
    <w:rsid w:val="00595F08"/>
  </w:style>
  <w:style w:type="paragraph" w:customStyle="1" w:styleId="05HeadlinenoIndex">
    <w:name w:val="05_Headline no Index"/>
    <w:basedOn w:val="Standard"/>
    <w:rsid w:val="005C7E1F"/>
    <w:pPr>
      <w:spacing w:after="250" w:line="300" w:lineRule="exact"/>
      <w:jc w:val="both"/>
    </w:pPr>
    <w:rPr>
      <w:rFonts w:ascii="Georgia" w:hAnsi="Georgia"/>
      <w:b/>
      <w:lang w:eastAsia="de-DE"/>
    </w:rPr>
  </w:style>
  <w:style w:type="paragraph" w:customStyle="1" w:styleId="04BodyText">
    <w:name w:val="04_Body Text"/>
    <w:basedOn w:val="Standard"/>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basedOn w:val="Absatz-Standardschriftart"/>
    <w:link w:val="Listenabsatz"/>
    <w:uiPriority w:val="34"/>
    <w:rsid w:val="00695AF2"/>
    <w:rPr>
      <w:rFonts w:eastAsiaTheme="majorEastAsia" w:cstheme="minorHAnsi"/>
      <w:sz w:val="22"/>
      <w:szCs w:val="22"/>
      <w:lang w:val="en-GB" w:eastAsia="en-GB"/>
    </w:rPr>
  </w:style>
  <w:style w:type="table" w:customStyle="1" w:styleId="TableGrid3">
    <w:name w:val="Table Grid3"/>
    <w:basedOn w:val="NormaleTabelle"/>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Absatz-Standardschriftart"/>
    <w:rsid w:val="00E95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450347">
      <w:bodyDiv w:val="1"/>
      <w:marLeft w:val="0"/>
      <w:marRight w:val="0"/>
      <w:marTop w:val="0"/>
      <w:marBottom w:val="0"/>
      <w:divBdr>
        <w:top w:val="none" w:sz="0" w:space="0" w:color="auto"/>
        <w:left w:val="none" w:sz="0" w:space="0" w:color="auto"/>
        <w:bottom w:val="none" w:sz="0" w:space="0" w:color="auto"/>
        <w:right w:val="none" w:sz="0" w:space="0" w:color="auto"/>
      </w:divBdr>
      <w:divsChild>
        <w:div w:id="753866774">
          <w:marLeft w:val="0"/>
          <w:marRight w:val="0"/>
          <w:marTop w:val="0"/>
          <w:marBottom w:val="0"/>
          <w:divBdr>
            <w:top w:val="none" w:sz="0" w:space="0" w:color="auto"/>
            <w:left w:val="none" w:sz="0" w:space="0" w:color="auto"/>
            <w:bottom w:val="none" w:sz="0" w:space="0" w:color="auto"/>
            <w:right w:val="none" w:sz="0" w:space="0" w:color="auto"/>
          </w:divBdr>
          <w:divsChild>
            <w:div w:id="659847107">
              <w:marLeft w:val="0"/>
              <w:marRight w:val="0"/>
              <w:marTop w:val="0"/>
              <w:marBottom w:val="0"/>
              <w:divBdr>
                <w:top w:val="none" w:sz="0" w:space="0" w:color="auto"/>
                <w:left w:val="none" w:sz="0" w:space="0" w:color="auto"/>
                <w:bottom w:val="none" w:sz="0" w:space="0" w:color="auto"/>
                <w:right w:val="none" w:sz="0" w:space="0" w:color="auto"/>
              </w:divBdr>
              <w:divsChild>
                <w:div w:id="1665473022">
                  <w:marLeft w:val="0"/>
                  <w:marRight w:val="0"/>
                  <w:marTop w:val="0"/>
                  <w:marBottom w:val="0"/>
                  <w:divBdr>
                    <w:top w:val="none" w:sz="0" w:space="0" w:color="auto"/>
                    <w:left w:val="none" w:sz="0" w:space="0" w:color="auto"/>
                    <w:bottom w:val="none" w:sz="0" w:space="0" w:color="auto"/>
                    <w:right w:val="none" w:sz="0" w:space="0" w:color="auto"/>
                  </w:divBdr>
                  <w:divsChild>
                    <w:div w:id="1912890107">
                      <w:marLeft w:val="0"/>
                      <w:marRight w:val="0"/>
                      <w:marTop w:val="0"/>
                      <w:marBottom w:val="0"/>
                      <w:divBdr>
                        <w:top w:val="none" w:sz="0" w:space="0" w:color="auto"/>
                        <w:left w:val="none" w:sz="0" w:space="0" w:color="auto"/>
                        <w:bottom w:val="none" w:sz="0" w:space="0" w:color="auto"/>
                        <w:right w:val="none" w:sz="0" w:space="0" w:color="auto"/>
                      </w:divBdr>
                      <w:divsChild>
                        <w:div w:id="926498877">
                          <w:marLeft w:val="0"/>
                          <w:marRight w:val="0"/>
                          <w:marTop w:val="0"/>
                          <w:marBottom w:val="0"/>
                          <w:divBdr>
                            <w:top w:val="none" w:sz="0" w:space="0" w:color="auto"/>
                            <w:left w:val="none" w:sz="0" w:space="0" w:color="auto"/>
                            <w:bottom w:val="none" w:sz="0" w:space="0" w:color="auto"/>
                            <w:right w:val="none" w:sz="0" w:space="0" w:color="auto"/>
                          </w:divBdr>
                          <w:divsChild>
                            <w:div w:id="1914701986">
                              <w:marLeft w:val="0"/>
                              <w:marRight w:val="0"/>
                              <w:marTop w:val="0"/>
                              <w:marBottom w:val="0"/>
                              <w:divBdr>
                                <w:top w:val="none" w:sz="0" w:space="0" w:color="auto"/>
                                <w:left w:val="none" w:sz="0" w:space="0" w:color="auto"/>
                                <w:bottom w:val="none" w:sz="0" w:space="0" w:color="auto"/>
                                <w:right w:val="none" w:sz="0" w:space="0" w:color="auto"/>
                              </w:divBdr>
                              <w:divsChild>
                                <w:div w:id="1634561865">
                                  <w:marLeft w:val="0"/>
                                  <w:marRight w:val="0"/>
                                  <w:marTop w:val="0"/>
                                  <w:marBottom w:val="0"/>
                                  <w:divBdr>
                                    <w:top w:val="none" w:sz="0" w:space="0" w:color="auto"/>
                                    <w:left w:val="none" w:sz="0" w:space="0" w:color="auto"/>
                                    <w:bottom w:val="none" w:sz="0" w:space="0" w:color="auto"/>
                                    <w:right w:val="none" w:sz="0" w:space="0" w:color="auto"/>
                                  </w:divBdr>
                                  <w:divsChild>
                                    <w:div w:id="2093505245">
                                      <w:marLeft w:val="0"/>
                                      <w:marRight w:val="0"/>
                                      <w:marTop w:val="0"/>
                                      <w:marBottom w:val="0"/>
                                      <w:divBdr>
                                        <w:top w:val="none" w:sz="0" w:space="0" w:color="auto"/>
                                        <w:left w:val="none" w:sz="0" w:space="0" w:color="auto"/>
                                        <w:bottom w:val="none" w:sz="0" w:space="0" w:color="auto"/>
                                        <w:right w:val="none" w:sz="0" w:space="0" w:color="auto"/>
                                      </w:divBdr>
                                      <w:divsChild>
                                        <w:div w:id="1171141612">
                                          <w:marLeft w:val="0"/>
                                          <w:marRight w:val="0"/>
                                          <w:marTop w:val="0"/>
                                          <w:marBottom w:val="495"/>
                                          <w:divBdr>
                                            <w:top w:val="none" w:sz="0" w:space="0" w:color="auto"/>
                                            <w:left w:val="none" w:sz="0" w:space="0" w:color="auto"/>
                                            <w:bottom w:val="none" w:sz="0" w:space="0" w:color="auto"/>
                                            <w:right w:val="none" w:sz="0" w:space="0" w:color="auto"/>
                                          </w:divBdr>
                                          <w:divsChild>
                                            <w:div w:id="80296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840121765">
      <w:bodyDiv w:val="1"/>
      <w:marLeft w:val="0"/>
      <w:marRight w:val="0"/>
      <w:marTop w:val="0"/>
      <w:marBottom w:val="0"/>
      <w:divBdr>
        <w:top w:val="none" w:sz="0" w:space="0" w:color="auto"/>
        <w:left w:val="none" w:sz="0" w:space="0" w:color="auto"/>
        <w:bottom w:val="none" w:sz="0" w:space="0" w:color="auto"/>
        <w:right w:val="none" w:sz="0" w:space="0" w:color="auto"/>
      </w:divBdr>
      <w:divsChild>
        <w:div w:id="590550330">
          <w:marLeft w:val="0"/>
          <w:marRight w:val="0"/>
          <w:marTop w:val="0"/>
          <w:marBottom w:val="0"/>
          <w:divBdr>
            <w:top w:val="none" w:sz="0" w:space="0" w:color="auto"/>
            <w:left w:val="none" w:sz="0" w:space="0" w:color="auto"/>
            <w:bottom w:val="none" w:sz="0" w:space="0" w:color="auto"/>
            <w:right w:val="none" w:sz="0" w:space="0" w:color="auto"/>
          </w:divBdr>
          <w:divsChild>
            <w:div w:id="315888052">
              <w:marLeft w:val="0"/>
              <w:marRight w:val="0"/>
              <w:marTop w:val="0"/>
              <w:marBottom w:val="0"/>
              <w:divBdr>
                <w:top w:val="none" w:sz="0" w:space="0" w:color="auto"/>
                <w:left w:val="none" w:sz="0" w:space="0" w:color="auto"/>
                <w:bottom w:val="none" w:sz="0" w:space="0" w:color="auto"/>
                <w:right w:val="none" w:sz="0" w:space="0" w:color="auto"/>
              </w:divBdr>
              <w:divsChild>
                <w:div w:id="1405027916">
                  <w:marLeft w:val="0"/>
                  <w:marRight w:val="0"/>
                  <w:marTop w:val="0"/>
                  <w:marBottom w:val="0"/>
                  <w:divBdr>
                    <w:top w:val="none" w:sz="0" w:space="0" w:color="auto"/>
                    <w:left w:val="none" w:sz="0" w:space="0" w:color="auto"/>
                    <w:bottom w:val="none" w:sz="0" w:space="0" w:color="auto"/>
                    <w:right w:val="none" w:sz="0" w:space="0" w:color="auto"/>
                  </w:divBdr>
                  <w:divsChild>
                    <w:div w:id="969361902">
                      <w:marLeft w:val="0"/>
                      <w:marRight w:val="0"/>
                      <w:marTop w:val="0"/>
                      <w:marBottom w:val="0"/>
                      <w:divBdr>
                        <w:top w:val="none" w:sz="0" w:space="0" w:color="auto"/>
                        <w:left w:val="none" w:sz="0" w:space="0" w:color="auto"/>
                        <w:bottom w:val="none" w:sz="0" w:space="0" w:color="auto"/>
                        <w:right w:val="none" w:sz="0" w:space="0" w:color="auto"/>
                      </w:divBdr>
                      <w:divsChild>
                        <w:div w:id="1065687834">
                          <w:marLeft w:val="0"/>
                          <w:marRight w:val="0"/>
                          <w:marTop w:val="0"/>
                          <w:marBottom w:val="0"/>
                          <w:divBdr>
                            <w:top w:val="none" w:sz="0" w:space="0" w:color="auto"/>
                            <w:left w:val="none" w:sz="0" w:space="0" w:color="auto"/>
                            <w:bottom w:val="none" w:sz="0" w:space="0" w:color="auto"/>
                            <w:right w:val="none" w:sz="0" w:space="0" w:color="auto"/>
                          </w:divBdr>
                          <w:divsChild>
                            <w:div w:id="777991624">
                              <w:marLeft w:val="0"/>
                              <w:marRight w:val="0"/>
                              <w:marTop w:val="0"/>
                              <w:marBottom w:val="0"/>
                              <w:divBdr>
                                <w:top w:val="none" w:sz="0" w:space="0" w:color="auto"/>
                                <w:left w:val="none" w:sz="0" w:space="0" w:color="auto"/>
                                <w:bottom w:val="none" w:sz="0" w:space="0" w:color="auto"/>
                                <w:right w:val="none" w:sz="0" w:space="0" w:color="auto"/>
                              </w:divBdr>
                              <w:divsChild>
                                <w:div w:id="1160927306">
                                  <w:marLeft w:val="0"/>
                                  <w:marRight w:val="0"/>
                                  <w:marTop w:val="0"/>
                                  <w:marBottom w:val="0"/>
                                  <w:divBdr>
                                    <w:top w:val="none" w:sz="0" w:space="0" w:color="auto"/>
                                    <w:left w:val="none" w:sz="0" w:space="0" w:color="auto"/>
                                    <w:bottom w:val="none" w:sz="0" w:space="0" w:color="auto"/>
                                    <w:right w:val="none" w:sz="0" w:space="0" w:color="auto"/>
                                  </w:divBdr>
                                  <w:divsChild>
                                    <w:div w:id="1730496806">
                                      <w:marLeft w:val="0"/>
                                      <w:marRight w:val="0"/>
                                      <w:marTop w:val="0"/>
                                      <w:marBottom w:val="0"/>
                                      <w:divBdr>
                                        <w:top w:val="none" w:sz="0" w:space="0" w:color="auto"/>
                                        <w:left w:val="none" w:sz="0" w:space="0" w:color="auto"/>
                                        <w:bottom w:val="none" w:sz="0" w:space="0" w:color="auto"/>
                                        <w:right w:val="none" w:sz="0" w:space="0" w:color="auto"/>
                                      </w:divBdr>
                                      <w:divsChild>
                                        <w:div w:id="1150251596">
                                          <w:marLeft w:val="0"/>
                                          <w:marRight w:val="0"/>
                                          <w:marTop w:val="0"/>
                                          <w:marBottom w:val="495"/>
                                          <w:divBdr>
                                            <w:top w:val="none" w:sz="0" w:space="0" w:color="auto"/>
                                            <w:left w:val="none" w:sz="0" w:space="0" w:color="auto"/>
                                            <w:bottom w:val="none" w:sz="0" w:space="0" w:color="auto"/>
                                            <w:right w:val="none" w:sz="0" w:space="0" w:color="auto"/>
                                          </w:divBdr>
                                          <w:divsChild>
                                            <w:div w:id="153947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 w:id="2133329872">
      <w:bodyDiv w:val="1"/>
      <w:marLeft w:val="0"/>
      <w:marRight w:val="0"/>
      <w:marTop w:val="0"/>
      <w:marBottom w:val="0"/>
      <w:divBdr>
        <w:top w:val="none" w:sz="0" w:space="0" w:color="auto"/>
        <w:left w:val="none" w:sz="0" w:space="0" w:color="auto"/>
        <w:bottom w:val="none" w:sz="0" w:space="0" w:color="auto"/>
        <w:right w:val="none" w:sz="0" w:space="0" w:color="auto"/>
      </w:divBdr>
      <w:divsChild>
        <w:div w:id="1542085892">
          <w:marLeft w:val="0"/>
          <w:marRight w:val="0"/>
          <w:marTop w:val="0"/>
          <w:marBottom w:val="0"/>
          <w:divBdr>
            <w:top w:val="none" w:sz="0" w:space="0" w:color="auto"/>
            <w:left w:val="none" w:sz="0" w:space="0" w:color="auto"/>
            <w:bottom w:val="none" w:sz="0" w:space="0" w:color="auto"/>
            <w:right w:val="none" w:sz="0" w:space="0" w:color="auto"/>
          </w:divBdr>
          <w:divsChild>
            <w:div w:id="937177731">
              <w:marLeft w:val="0"/>
              <w:marRight w:val="0"/>
              <w:marTop w:val="0"/>
              <w:marBottom w:val="0"/>
              <w:divBdr>
                <w:top w:val="none" w:sz="0" w:space="0" w:color="auto"/>
                <w:left w:val="none" w:sz="0" w:space="0" w:color="auto"/>
                <w:bottom w:val="none" w:sz="0" w:space="0" w:color="auto"/>
                <w:right w:val="none" w:sz="0" w:space="0" w:color="auto"/>
              </w:divBdr>
              <w:divsChild>
                <w:div w:id="318460808">
                  <w:marLeft w:val="0"/>
                  <w:marRight w:val="0"/>
                  <w:marTop w:val="0"/>
                  <w:marBottom w:val="0"/>
                  <w:divBdr>
                    <w:top w:val="none" w:sz="0" w:space="0" w:color="auto"/>
                    <w:left w:val="none" w:sz="0" w:space="0" w:color="auto"/>
                    <w:bottom w:val="none" w:sz="0" w:space="0" w:color="auto"/>
                    <w:right w:val="none" w:sz="0" w:space="0" w:color="auto"/>
                  </w:divBdr>
                  <w:divsChild>
                    <w:div w:id="1507984201">
                      <w:marLeft w:val="0"/>
                      <w:marRight w:val="0"/>
                      <w:marTop w:val="0"/>
                      <w:marBottom w:val="0"/>
                      <w:divBdr>
                        <w:top w:val="none" w:sz="0" w:space="0" w:color="auto"/>
                        <w:left w:val="none" w:sz="0" w:space="0" w:color="auto"/>
                        <w:bottom w:val="none" w:sz="0" w:space="0" w:color="auto"/>
                        <w:right w:val="none" w:sz="0" w:space="0" w:color="auto"/>
                      </w:divBdr>
                      <w:divsChild>
                        <w:div w:id="2074891659">
                          <w:marLeft w:val="0"/>
                          <w:marRight w:val="0"/>
                          <w:marTop w:val="0"/>
                          <w:marBottom w:val="0"/>
                          <w:divBdr>
                            <w:top w:val="none" w:sz="0" w:space="0" w:color="auto"/>
                            <w:left w:val="none" w:sz="0" w:space="0" w:color="auto"/>
                            <w:bottom w:val="none" w:sz="0" w:space="0" w:color="auto"/>
                            <w:right w:val="none" w:sz="0" w:space="0" w:color="auto"/>
                          </w:divBdr>
                          <w:divsChild>
                            <w:div w:id="1405951939">
                              <w:marLeft w:val="0"/>
                              <w:marRight w:val="0"/>
                              <w:marTop w:val="0"/>
                              <w:marBottom w:val="0"/>
                              <w:divBdr>
                                <w:top w:val="none" w:sz="0" w:space="0" w:color="auto"/>
                                <w:left w:val="none" w:sz="0" w:space="0" w:color="auto"/>
                                <w:bottom w:val="none" w:sz="0" w:space="0" w:color="auto"/>
                                <w:right w:val="none" w:sz="0" w:space="0" w:color="auto"/>
                              </w:divBdr>
                              <w:divsChild>
                                <w:div w:id="241374705">
                                  <w:marLeft w:val="0"/>
                                  <w:marRight w:val="0"/>
                                  <w:marTop w:val="0"/>
                                  <w:marBottom w:val="0"/>
                                  <w:divBdr>
                                    <w:top w:val="none" w:sz="0" w:space="0" w:color="auto"/>
                                    <w:left w:val="none" w:sz="0" w:space="0" w:color="auto"/>
                                    <w:bottom w:val="none" w:sz="0" w:space="0" w:color="auto"/>
                                    <w:right w:val="none" w:sz="0" w:space="0" w:color="auto"/>
                                  </w:divBdr>
                                  <w:divsChild>
                                    <w:div w:id="2132891885">
                                      <w:marLeft w:val="0"/>
                                      <w:marRight w:val="0"/>
                                      <w:marTop w:val="0"/>
                                      <w:marBottom w:val="0"/>
                                      <w:divBdr>
                                        <w:top w:val="none" w:sz="0" w:space="0" w:color="auto"/>
                                        <w:left w:val="none" w:sz="0" w:space="0" w:color="auto"/>
                                        <w:bottom w:val="none" w:sz="0" w:space="0" w:color="auto"/>
                                        <w:right w:val="none" w:sz="0" w:space="0" w:color="auto"/>
                                      </w:divBdr>
                                      <w:divsChild>
                                        <w:div w:id="205871500">
                                          <w:marLeft w:val="0"/>
                                          <w:marRight w:val="0"/>
                                          <w:marTop w:val="0"/>
                                          <w:marBottom w:val="495"/>
                                          <w:divBdr>
                                            <w:top w:val="none" w:sz="0" w:space="0" w:color="auto"/>
                                            <w:left w:val="none" w:sz="0" w:space="0" w:color="auto"/>
                                            <w:bottom w:val="none" w:sz="0" w:space="0" w:color="auto"/>
                                            <w:right w:val="none" w:sz="0" w:space="0" w:color="auto"/>
                                          </w:divBdr>
                                          <w:divsChild>
                                            <w:div w:id="189322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sma.europa.e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dict.cc/englisch-deutsch/decisive.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4" ma:contentTypeDescription="" ma:contentTypeScope="" ma:versionID="6c22cca56ce01193b119cc2461a23d90">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ba296c37c96e7e7129886a0b5426a" ns2:_="" ns3:_="">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ESMA70-151-2371</_dlc_DocId>
    <TaxCatchAll xmlns="20fbe147-bbda-4e53-b6b1-7e8bbff3fe19">
      <Value>4</Value>
      <Value>24</Value>
      <Value>302</Value>
      <Value>14</Value>
    </TaxCatchAll>
    <_dlc_DocIdUrl xmlns="20fbe147-bbda-4e53-b6b1-7e8bbff3fe19">
      <Url>https://sherpa.esma.europa.eu/sites/MKT/PTR/_layouts/15/DocIdRedir.aspx?ID=ESMA70-151-2371</Url>
      <Description>ESMA70-151-2371</Description>
    </_dlc_DocIdUrl>
    <Year xmlns="20fbe147-bbda-4e53-b6b1-7e8bbff3fe19">2017</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Feedback Statement (includes responses)</TermName>
          <TermId xmlns="http://schemas.microsoft.com/office/infopath/2007/PartnerControls">00bc750a-87e5-4a0d-9385-52a7c69693e1</TermId>
        </TermInfo>
      </Terms>
    </eed0a0b2ea6941718a34434e243f3d8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2.xml><?xml version="1.0" encoding="utf-8"?>
<ds:datastoreItem xmlns:ds="http://schemas.openxmlformats.org/officeDocument/2006/customXml" ds:itemID="{4BF3F7A6-6BCA-49F1-9BC1-49A3EAD5D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37F5EE-E87B-49CE-96B5-F95CE63A0DF2}">
  <ds:schemaRefs>
    <ds:schemaRef ds:uri="http://purl.org/dc/terms/"/>
    <ds:schemaRef ds:uri="http://www.w3.org/XML/1998/namespace"/>
    <ds:schemaRef ds:uri="http://purl.org/dc/dcmitype/"/>
    <ds:schemaRef ds:uri="20fbe147-bbda-4e53-b6b1-7e8bbff3fe19"/>
    <ds:schemaRef ds:uri="http://schemas.microsoft.com/office/2006/metadata/properties"/>
    <ds:schemaRef ds:uri="http://purl.org/dc/elements/1.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5.xml><?xml version="1.0" encoding="utf-8"?>
<ds:datastoreItem xmlns:ds="http://schemas.openxmlformats.org/officeDocument/2006/customXml" ds:itemID="{A19AA4A6-CBB2-448D-8B7A-2A1F07DF5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0</TotalTime>
  <Pages>26</Pages>
  <Words>7049</Words>
  <Characters>44412</Characters>
  <Application>Microsoft Office Word</Application>
  <DocSecurity>12</DocSecurity>
  <Lines>370</Lines>
  <Paragraphs>102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ESMA</Company>
  <LinksUpToDate>false</LinksUpToDate>
  <CharactersWithSpaces>51359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Alina.Dragomir@esma.europa.eu</dc:creator>
  <cp:lastModifiedBy>Glahn, Marko</cp:lastModifiedBy>
  <cp:revision>2</cp:revision>
  <cp:lastPrinted>2017-07-24T14:47:00Z</cp:lastPrinted>
  <dcterms:created xsi:type="dcterms:W3CDTF">2019-07-26T09:33:00Z</dcterms:created>
  <dcterms:modified xsi:type="dcterms:W3CDTF">2019-07-26T09:33:00Z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0x01010001BD15C3986B91498E0AE644B715B9EE01080087D15FE546E30B45B9BBC45FA14F869C</vt:lpwstr>
  </property>
  <property fmtid="{D5CDD505-2E9C-101B-9397-08002B2CF9AE}" pid="5" name="_dlc_DocIdItemGuid">
    <vt:lpwstr>71fb4844-9792-4f39-8de8-18201570dac9</vt:lpwstr>
  </property>
  <property fmtid="{D5CDD505-2E9C-101B-9397-08002B2CF9AE}" pid="6" name="DocumentType">
    <vt:lpwstr>302;#Feedback Statement (includes responses)|00bc750a-87e5-4a0d-9385-52a7c69693e1</vt:lpwstr>
  </property>
  <property fmtid="{D5CDD505-2E9C-101B-9397-08002B2CF9AE}" pid="7" name="Topic">
    <vt:lpwstr>24;#TRs|fa921b24-005b-470e-8d84-860d1c02e2c4</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4;#Post-Trading|edaa1ce6-4b9b-4aac-a462-2b226ce43f53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
  </property>
</Properties>
</file>