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itl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2104EA">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2104EA">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0557E79F" w:rsidR="00C85C8B" w:rsidRPr="00C85C8B" w:rsidRDefault="00834DBA" w:rsidP="00C85C8B">
                <w:pPr>
                  <w:rPr>
                    <w:rFonts w:ascii="Arial" w:hAnsi="Arial" w:cs="Arial"/>
                    <w:color w:val="808080"/>
                    <w:sz w:val="20"/>
                    <w:lang w:eastAsia="de-DE"/>
                  </w:rPr>
                </w:pPr>
                <w:r>
                  <w:rPr>
                    <w:rFonts w:ascii="Arial" w:hAnsi="Arial" w:cs="Arial"/>
                    <w:color w:val="808080"/>
                    <w:sz w:val="20"/>
                    <w:lang w:eastAsia="de-DE"/>
                  </w:rPr>
                  <w:t xml:space="preserve">Commodities Working Group (CWG) of the </w:t>
                </w:r>
                <w:r w:rsidR="005A1C11">
                  <w:rPr>
                    <w:rFonts w:ascii="Arial" w:hAnsi="Arial" w:cs="Arial"/>
                    <w:color w:val="808080"/>
                    <w:sz w:val="20"/>
                    <w:lang w:eastAsia="de-DE"/>
                  </w:rPr>
                  <w:t>Global Financial Markets Association (GFMA)</w:t>
                </w:r>
              </w:p>
            </w:tc>
          </w:sdtContent>
        </w:sdt>
      </w:tr>
      <w:tr w:rsidR="00C85C8B" w:rsidRPr="00C85C8B" w14:paraId="216F3E57" w14:textId="77777777" w:rsidTr="002104EA">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5E0B7AE" w:rsidR="00C85C8B" w:rsidRPr="00C85C8B" w:rsidRDefault="002104E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A1C11">
                  <w:rPr>
                    <w:rFonts w:ascii="Arial" w:hAnsi="Arial" w:cs="Arial"/>
                    <w:sz w:val="20"/>
                    <w:lang w:eastAsia="de-DE"/>
                  </w:rPr>
                  <w:t>Banking sector</w:t>
                </w:r>
              </w:sdtContent>
            </w:sdt>
          </w:p>
        </w:tc>
      </w:tr>
      <w:tr w:rsidR="00C85C8B" w:rsidRPr="00C85C8B" w14:paraId="0D216581" w14:textId="77777777" w:rsidTr="002104EA">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5BE418A5" w:rsidR="00C85C8B" w:rsidRPr="00C85C8B" w:rsidRDefault="005A1C11"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2104EA">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733FC9FD" w:rsidR="00C85C8B" w:rsidRPr="00C85C8B" w:rsidRDefault="005A1C11"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12767D82" w14:textId="3F9A4809" w:rsidR="009C693F" w:rsidRDefault="009C693F" w:rsidP="009C693F">
      <w:pPr>
        <w:pStyle w:val="BodyText"/>
        <w:spacing w:before="240"/>
        <w:rPr>
          <w:rFonts w:ascii="Garamond" w:hAnsi="Garamond"/>
          <w:sz w:val="22"/>
          <w:szCs w:val="22"/>
        </w:rPr>
      </w:pPr>
      <w:permStart w:id="885457707" w:edGrp="everyone"/>
      <w:r w:rsidRPr="00144719">
        <w:rPr>
          <w:rFonts w:ascii="Garamond" w:hAnsi="Garamond"/>
          <w:sz w:val="22"/>
          <w:szCs w:val="22"/>
        </w:rPr>
        <w:t>The Global Financial Markets Association (GFMA)</w:t>
      </w:r>
      <w:r w:rsidRPr="00144719">
        <w:rPr>
          <w:rStyle w:val="FootnoteReference"/>
          <w:rFonts w:ascii="Garamond" w:hAnsi="Garamond"/>
          <w:sz w:val="22"/>
          <w:szCs w:val="22"/>
        </w:rPr>
        <w:footnoteReference w:id="2"/>
      </w:r>
      <w:r w:rsidRPr="00144719">
        <w:rPr>
          <w:rFonts w:ascii="Garamond" w:hAnsi="Garamond"/>
          <w:sz w:val="22"/>
          <w:szCs w:val="22"/>
        </w:rPr>
        <w:t xml:space="preserve"> Commodities Working Group (CWG) welcomes the opportunity to comment on the </w:t>
      </w:r>
      <w:r>
        <w:rPr>
          <w:rFonts w:ascii="Garamond" w:hAnsi="Garamond"/>
          <w:sz w:val="22"/>
          <w:szCs w:val="22"/>
        </w:rPr>
        <w:t>European Securities and Markets Authority (ESMA)</w:t>
      </w:r>
      <w:r w:rsidRPr="00144719">
        <w:rPr>
          <w:rFonts w:ascii="Garamond" w:hAnsi="Garamond"/>
          <w:sz w:val="22"/>
          <w:szCs w:val="22"/>
        </w:rPr>
        <w:t xml:space="preserve"> Consultation on </w:t>
      </w:r>
      <w:r>
        <w:rPr>
          <w:rFonts w:ascii="Garamond" w:hAnsi="Garamond"/>
          <w:sz w:val="22"/>
          <w:szCs w:val="22"/>
        </w:rPr>
        <w:t xml:space="preserve">Guidelines for reporting under Articles 4 and 12 </w:t>
      </w:r>
      <w:r w:rsidRPr="00DC08F3">
        <w:rPr>
          <w:rFonts w:ascii="Garamond" w:hAnsi="Garamond"/>
          <w:sz w:val="22"/>
          <w:szCs w:val="22"/>
        </w:rPr>
        <w:t>SFTR and</w:t>
      </w:r>
      <w:r>
        <w:rPr>
          <w:rFonts w:ascii="Garamond" w:hAnsi="Garamond"/>
          <w:sz w:val="22"/>
          <w:szCs w:val="22"/>
        </w:rPr>
        <w:t xml:space="preserve"> in particular the opportunity to raise some of the concerns that </w:t>
      </w:r>
      <w:r w:rsidR="004E3778">
        <w:rPr>
          <w:rFonts w:ascii="Garamond" w:hAnsi="Garamond"/>
          <w:sz w:val="22"/>
          <w:szCs w:val="22"/>
        </w:rPr>
        <w:t xml:space="preserve">GFMA </w:t>
      </w:r>
      <w:r>
        <w:rPr>
          <w:rFonts w:ascii="Garamond" w:hAnsi="Garamond"/>
          <w:sz w:val="22"/>
          <w:szCs w:val="22"/>
        </w:rPr>
        <w:t xml:space="preserve">CWG member firms have regarding reporting of commodities SFTs. </w:t>
      </w:r>
    </w:p>
    <w:p w14:paraId="66B992E8" w14:textId="77777777" w:rsidR="009C693F" w:rsidRDefault="009C693F" w:rsidP="009C693F">
      <w:pPr>
        <w:pStyle w:val="BodyText"/>
        <w:spacing w:before="240"/>
        <w:rPr>
          <w:rFonts w:ascii="Garamond" w:hAnsi="Garamond"/>
          <w:b/>
          <w:sz w:val="22"/>
        </w:rPr>
      </w:pPr>
      <w:r w:rsidRPr="002B5477">
        <w:rPr>
          <w:rFonts w:ascii="Garamond" w:hAnsi="Garamond"/>
          <w:b/>
          <w:sz w:val="22"/>
        </w:rPr>
        <w:t>Summary</w:t>
      </w:r>
    </w:p>
    <w:p w14:paraId="7845AE56" w14:textId="3E3FE481" w:rsidR="009C693F" w:rsidRDefault="009C693F" w:rsidP="009C693F">
      <w:pPr>
        <w:pStyle w:val="BodyText"/>
        <w:spacing w:before="240"/>
        <w:rPr>
          <w:rFonts w:ascii="Garamond" w:hAnsi="Garamond"/>
          <w:sz w:val="22"/>
          <w:szCs w:val="22"/>
        </w:rPr>
      </w:pPr>
      <w:r>
        <w:rPr>
          <w:rFonts w:ascii="Garamond" w:hAnsi="Garamond"/>
          <w:sz w:val="22"/>
          <w:szCs w:val="22"/>
        </w:rPr>
        <w:t>The GFMA CWG welcomes the detailed Guidelines proposed by ESMA in relation to reporting under SFTR but believes that, while the proposed Guidelines are very helpful regarding securities SFTs, commodities SFTs are structured differently to securities SFTs and present a range of different issues, particular</w:t>
      </w:r>
      <w:r w:rsidR="00E33125">
        <w:rPr>
          <w:rFonts w:ascii="Garamond" w:hAnsi="Garamond"/>
          <w:sz w:val="22"/>
          <w:szCs w:val="22"/>
        </w:rPr>
        <w:t>ly</w:t>
      </w:r>
      <w:r>
        <w:rPr>
          <w:rFonts w:ascii="Garamond" w:hAnsi="Garamond"/>
          <w:sz w:val="22"/>
          <w:szCs w:val="22"/>
        </w:rPr>
        <w:t xml:space="preserve"> in relation to categorisation of commodities SFTs as one or other of the types of SFT under SFTR. </w:t>
      </w:r>
    </w:p>
    <w:p w14:paraId="243E1434" w14:textId="342DED20" w:rsidR="009C693F" w:rsidRDefault="009C693F" w:rsidP="009C693F">
      <w:pPr>
        <w:pStyle w:val="BodyText"/>
        <w:spacing w:before="240"/>
        <w:rPr>
          <w:rFonts w:ascii="Garamond" w:hAnsi="Garamond"/>
          <w:sz w:val="22"/>
          <w:szCs w:val="22"/>
        </w:rPr>
      </w:pPr>
      <w:r>
        <w:rPr>
          <w:rFonts w:ascii="Garamond" w:hAnsi="Garamond"/>
          <w:sz w:val="22"/>
          <w:szCs w:val="22"/>
        </w:rPr>
        <w:t>Over the last year, the GFMA CWG has focussed on identifying and trying to resolve these categorisation issues, holding multiple meetings and calls with members to discuss their key concerns, commissioning external legal advice to support solutions based on the existing legislation and guidance under SFTR</w:t>
      </w:r>
      <w:r w:rsidR="00E33125">
        <w:rPr>
          <w:rFonts w:ascii="Garamond" w:hAnsi="Garamond"/>
          <w:sz w:val="22"/>
          <w:szCs w:val="22"/>
        </w:rPr>
        <w:t>,</w:t>
      </w:r>
      <w:r>
        <w:rPr>
          <w:rFonts w:ascii="Garamond" w:hAnsi="Garamond"/>
          <w:sz w:val="22"/>
          <w:szCs w:val="22"/>
        </w:rPr>
        <w:t xml:space="preserve"> and analysing the remaining situations where the position is unclear in order to try to reach an industry consensus. However, there remain a number of transaction types where it has not yet been possible to reach an industry consensus on categorisation (and in some cases, whether or not the relevant transaction is even within scope of SFTR at all). </w:t>
      </w:r>
    </w:p>
    <w:p w14:paraId="7C99C536" w14:textId="51F21203" w:rsidR="009C693F" w:rsidRDefault="009C693F" w:rsidP="009C693F">
      <w:pPr>
        <w:pStyle w:val="BodyText"/>
        <w:spacing w:before="240"/>
        <w:rPr>
          <w:rFonts w:ascii="Garamond" w:hAnsi="Garamond"/>
          <w:sz w:val="22"/>
          <w:szCs w:val="22"/>
        </w:rPr>
      </w:pPr>
      <w:r>
        <w:rPr>
          <w:rFonts w:ascii="Garamond" w:hAnsi="Garamond"/>
          <w:sz w:val="22"/>
          <w:szCs w:val="22"/>
        </w:rPr>
        <w:lastRenderedPageBreak/>
        <w:t xml:space="preserve">It seems unlikely that the industry will be able to reach agreement on these questions without further detailed guidance from ESMA, raising the risk that large numbers of transaction reports relating to commodities SFTs will fail to match within the trade repositories once reporting commences. Even where agreement can be reached between counterparties regarding categorisation before the trade is reported, in the absence of guidance specific to commodities SFT structures, firms will report on the basis of the transaction type which presents the fewest difficulties in adapting commodities SFT structures to the required reporting fields. This approach may not give ESMA or other regulators an accurate picture of the market in commodities SFTs. </w:t>
      </w:r>
    </w:p>
    <w:p w14:paraId="02AF2FF9" w14:textId="06AF5F58" w:rsidR="00C85C8B" w:rsidRPr="005F5513" w:rsidRDefault="009C693F" w:rsidP="005F5513">
      <w:pPr>
        <w:pStyle w:val="BodyText"/>
        <w:spacing w:before="240"/>
        <w:rPr>
          <w:rFonts w:ascii="Garamond" w:hAnsi="Garamond"/>
          <w:sz w:val="22"/>
          <w:szCs w:val="22"/>
        </w:rPr>
      </w:pPr>
      <w:r>
        <w:rPr>
          <w:rFonts w:ascii="Garamond" w:hAnsi="Garamond"/>
          <w:sz w:val="22"/>
          <w:szCs w:val="22"/>
        </w:rPr>
        <w:t xml:space="preserve">Section 5.1.6 of the </w:t>
      </w:r>
      <w:r w:rsidR="00E33125">
        <w:rPr>
          <w:rFonts w:ascii="Garamond" w:hAnsi="Garamond"/>
          <w:sz w:val="22"/>
          <w:szCs w:val="22"/>
        </w:rPr>
        <w:t>C</w:t>
      </w:r>
      <w:r>
        <w:rPr>
          <w:rFonts w:ascii="Garamond" w:hAnsi="Garamond"/>
          <w:sz w:val="22"/>
          <w:szCs w:val="22"/>
        </w:rPr>
        <w:t xml:space="preserve">onsultation </w:t>
      </w:r>
      <w:r w:rsidR="00E33125">
        <w:rPr>
          <w:rFonts w:ascii="Garamond" w:hAnsi="Garamond"/>
          <w:sz w:val="22"/>
          <w:szCs w:val="22"/>
        </w:rPr>
        <w:t>P</w:t>
      </w:r>
      <w:r>
        <w:rPr>
          <w:rFonts w:ascii="Garamond" w:hAnsi="Garamond"/>
          <w:sz w:val="22"/>
          <w:szCs w:val="22"/>
        </w:rPr>
        <w:t xml:space="preserve">aper touches on some of these categorisation questions at a very high level, but the </w:t>
      </w:r>
      <w:r w:rsidR="004E3778">
        <w:rPr>
          <w:rFonts w:ascii="Garamond" w:hAnsi="Garamond"/>
          <w:sz w:val="22"/>
          <w:szCs w:val="22"/>
        </w:rPr>
        <w:t xml:space="preserve">GFMA </w:t>
      </w:r>
      <w:r>
        <w:rPr>
          <w:rFonts w:ascii="Garamond" w:hAnsi="Garamond"/>
          <w:sz w:val="22"/>
          <w:szCs w:val="22"/>
        </w:rPr>
        <w:t xml:space="preserve">CWG would welcome the opportunity to discuss with ESMA some of the more detailed questions that member firms have raised. </w:t>
      </w:r>
    </w:p>
    <w:p w14:paraId="59763E54" w14:textId="4AA6CD25" w:rsidR="005F5513" w:rsidRDefault="005F5513" w:rsidP="005F5513">
      <w:pPr>
        <w:pStyle w:val="BodyText"/>
        <w:spacing w:before="240"/>
        <w:rPr>
          <w:rFonts w:ascii="Garamond" w:hAnsi="Garamond"/>
          <w:sz w:val="22"/>
          <w:szCs w:val="22"/>
        </w:rPr>
      </w:pPr>
      <w:r w:rsidRPr="006169D2">
        <w:rPr>
          <w:rFonts w:ascii="Garamond" w:hAnsi="Garamond"/>
          <w:sz w:val="22"/>
          <w:szCs w:val="22"/>
        </w:rPr>
        <w:t xml:space="preserve">We would encourage ESMA to consider the </w:t>
      </w:r>
      <w:r>
        <w:rPr>
          <w:rFonts w:ascii="Garamond" w:hAnsi="Garamond"/>
          <w:sz w:val="22"/>
          <w:szCs w:val="22"/>
        </w:rPr>
        <w:t>categorisation</w:t>
      </w:r>
      <w:r w:rsidRPr="006169D2">
        <w:rPr>
          <w:rFonts w:ascii="Garamond" w:hAnsi="Garamond"/>
          <w:sz w:val="22"/>
          <w:szCs w:val="22"/>
        </w:rPr>
        <w:t xml:space="preserve"> issues </w:t>
      </w:r>
      <w:r>
        <w:rPr>
          <w:rFonts w:ascii="Garamond" w:hAnsi="Garamond"/>
          <w:sz w:val="22"/>
          <w:szCs w:val="22"/>
        </w:rPr>
        <w:t>we have raised in our answers to this consultation</w:t>
      </w:r>
      <w:r w:rsidRPr="006169D2">
        <w:rPr>
          <w:rFonts w:ascii="Garamond" w:hAnsi="Garamond"/>
          <w:sz w:val="22"/>
          <w:szCs w:val="22"/>
        </w:rPr>
        <w:t xml:space="preserve"> </w:t>
      </w:r>
      <w:r>
        <w:rPr>
          <w:rFonts w:ascii="Garamond" w:hAnsi="Garamond"/>
          <w:sz w:val="22"/>
          <w:szCs w:val="22"/>
        </w:rPr>
        <w:t>in the context of the structures most typically used in commodities markets.</w:t>
      </w:r>
    </w:p>
    <w:p w14:paraId="3F086FB1" w14:textId="77777777" w:rsidR="00E33125" w:rsidRDefault="00E33125" w:rsidP="005F5513">
      <w:pPr>
        <w:widowControl w:val="0"/>
        <w:autoSpaceDE w:val="0"/>
        <w:autoSpaceDN w:val="0"/>
        <w:adjustRightInd w:val="0"/>
        <w:rPr>
          <w:rFonts w:ascii="Garamond" w:hAnsi="Garamond" w:cs="Garamond"/>
          <w:sz w:val="22"/>
          <w:szCs w:val="22"/>
          <w:lang w:val="en-US"/>
        </w:rPr>
      </w:pPr>
    </w:p>
    <w:p w14:paraId="008AC457" w14:textId="60EEAA4E" w:rsidR="005F5513" w:rsidRDefault="005F5513" w:rsidP="005F5513">
      <w:pPr>
        <w:widowControl w:val="0"/>
        <w:autoSpaceDE w:val="0"/>
        <w:autoSpaceDN w:val="0"/>
        <w:adjustRightInd w:val="0"/>
        <w:rPr>
          <w:rFonts w:ascii="Garamond" w:hAnsi="Garamond"/>
          <w:sz w:val="22"/>
          <w:szCs w:val="22"/>
        </w:rPr>
      </w:pPr>
      <w:r>
        <w:rPr>
          <w:rFonts w:ascii="Garamond" w:hAnsi="Garamond" w:cs="Garamond"/>
          <w:sz w:val="22"/>
          <w:szCs w:val="22"/>
          <w:lang w:val="en-US"/>
        </w:rPr>
        <w:t xml:space="preserve">The </w:t>
      </w:r>
      <w:r w:rsidR="004E3778">
        <w:rPr>
          <w:rFonts w:ascii="Garamond" w:hAnsi="Garamond" w:cs="Garamond"/>
          <w:sz w:val="22"/>
          <w:szCs w:val="22"/>
          <w:lang w:val="en-US"/>
        </w:rPr>
        <w:t xml:space="preserve">GFMA </w:t>
      </w:r>
      <w:r>
        <w:rPr>
          <w:rFonts w:ascii="Garamond" w:hAnsi="Garamond" w:cs="Garamond"/>
          <w:sz w:val="22"/>
          <w:szCs w:val="22"/>
          <w:lang w:val="en-US"/>
        </w:rPr>
        <w:t>CWG</w:t>
      </w:r>
      <w:r w:rsidRPr="002B5477">
        <w:rPr>
          <w:rFonts w:ascii="Garamond" w:hAnsi="Garamond" w:cs="Garamond"/>
          <w:sz w:val="22"/>
          <w:szCs w:val="22"/>
          <w:lang w:val="en-US"/>
        </w:rPr>
        <w:t xml:space="preserve"> welcomes the opportunity to provide </w:t>
      </w:r>
      <w:r w:rsidRPr="002918F6">
        <w:rPr>
          <w:rFonts w:ascii="Garamond" w:hAnsi="Garamond" w:cs="Garamond"/>
          <w:sz w:val="22"/>
          <w:szCs w:val="22"/>
          <w:lang w:val="en-US"/>
        </w:rPr>
        <w:t>these comments on the Consultation Paper</w:t>
      </w:r>
      <w:r w:rsidRPr="002B5477">
        <w:rPr>
          <w:rFonts w:ascii="Garamond" w:hAnsi="Garamond" w:cs="Garamond"/>
          <w:sz w:val="22"/>
          <w:szCs w:val="22"/>
          <w:lang w:val="en-US"/>
        </w:rPr>
        <w:t xml:space="preserve"> and looks forward to havin</w:t>
      </w:r>
      <w:r>
        <w:rPr>
          <w:rFonts w:ascii="Garamond" w:hAnsi="Garamond" w:cs="Garamond"/>
          <w:sz w:val="22"/>
          <w:szCs w:val="22"/>
          <w:lang w:val="en-US"/>
        </w:rPr>
        <w:t>g an ongoing dialogue with ESMA</w:t>
      </w:r>
      <w:r w:rsidRPr="002B5477">
        <w:rPr>
          <w:rFonts w:ascii="Garamond" w:hAnsi="Garamond" w:cs="Garamond"/>
          <w:sz w:val="22"/>
          <w:szCs w:val="22"/>
          <w:lang w:val="en-US"/>
        </w:rPr>
        <w:t>.</w:t>
      </w:r>
    </w:p>
    <w:p w14:paraId="582141C1" w14:textId="77777777" w:rsidR="005F5513" w:rsidRPr="00C85C8B" w:rsidRDefault="005F5513" w:rsidP="00C85C8B">
      <w:pPr>
        <w:spacing w:after="250" w:line="276" w:lineRule="auto"/>
        <w:jc w:val="both"/>
        <w:rPr>
          <w:rFonts w:ascii="Arial" w:eastAsiaTheme="minorEastAsia" w:hAnsi="Arial" w:cs="Arial"/>
          <w:sz w:val="22"/>
          <w:szCs w:val="20"/>
          <w:lang w:eastAsia="en-US"/>
        </w:rPr>
      </w:pPr>
    </w:p>
    <w:permEnd w:id="885457707"/>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4CD4389D" w14:textId="77777777" w:rsidR="00D62A4F" w:rsidRDefault="00D62A4F" w:rsidP="00D62A4F">
      <w:pPr>
        <w:rPr>
          <w:rFonts w:ascii="Arial" w:hAnsi="Arial" w:cs="Arial"/>
        </w:rPr>
      </w:pPr>
      <w:permStart w:id="1690923388" w:edGrp="everyone"/>
      <w:r>
        <w:rPr>
          <w:rFonts w:ascii="Arial" w:hAnsi="Arial" w:cs="Arial"/>
        </w:rPr>
        <w:t>TYPE YOUR TEXT HERE</w:t>
      </w: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B7C6C6" w14:textId="77777777" w:rsidR="00D62A4F" w:rsidRDefault="00D62A4F" w:rsidP="00D62A4F">
      <w:pPr>
        <w:rPr>
          <w:rFonts w:ascii="Arial" w:hAnsi="Arial" w:cs="Arial"/>
        </w:rPr>
      </w:pPr>
      <w:permStart w:id="1585262710" w:edGrp="everyone"/>
      <w:r>
        <w:rPr>
          <w:rFonts w:ascii="Arial" w:hAnsi="Arial" w:cs="Arial"/>
        </w:rPr>
        <w:t>TYPE YOUR TEXT HERE</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4685F86B" w14:textId="1D2F20E6" w:rsidR="005F5466" w:rsidRDefault="005F5466" w:rsidP="005F5466">
      <w:pPr>
        <w:pStyle w:val="BodyText"/>
        <w:spacing w:before="240"/>
        <w:rPr>
          <w:rFonts w:ascii="Garamond" w:hAnsi="Garamond"/>
          <w:sz w:val="22"/>
          <w:szCs w:val="22"/>
        </w:rPr>
      </w:pPr>
      <w:permStart w:id="1618953723" w:edGrp="everyone"/>
      <w:r>
        <w:rPr>
          <w:rFonts w:ascii="Garamond" w:hAnsi="Garamond"/>
          <w:sz w:val="22"/>
          <w:szCs w:val="22"/>
        </w:rPr>
        <w:t xml:space="preserve">ESMA comments in section 5.1.3 of the </w:t>
      </w:r>
      <w:r w:rsidR="00E33125">
        <w:rPr>
          <w:rFonts w:ascii="Garamond" w:hAnsi="Garamond"/>
          <w:sz w:val="22"/>
          <w:szCs w:val="22"/>
        </w:rPr>
        <w:t>C</w:t>
      </w:r>
      <w:r>
        <w:rPr>
          <w:rFonts w:ascii="Garamond" w:hAnsi="Garamond"/>
          <w:sz w:val="22"/>
          <w:szCs w:val="22"/>
        </w:rPr>
        <w:t xml:space="preserve">onsultation </w:t>
      </w:r>
      <w:r w:rsidR="00E33125">
        <w:rPr>
          <w:rFonts w:ascii="Garamond" w:hAnsi="Garamond"/>
          <w:sz w:val="22"/>
          <w:szCs w:val="22"/>
        </w:rPr>
        <w:t>P</w:t>
      </w:r>
      <w:r>
        <w:rPr>
          <w:rFonts w:ascii="Garamond" w:hAnsi="Garamond"/>
          <w:sz w:val="22"/>
          <w:szCs w:val="22"/>
        </w:rPr>
        <w:t xml:space="preserve">aper that a repo or a reverse repo is a transaction concluded between two counterparties which involves a collateralised loan in one currency, and that collateralised loans in more than one currency would constitute separate SFTs. </w:t>
      </w:r>
    </w:p>
    <w:p w14:paraId="1C98002F" w14:textId="77777777" w:rsidR="005F5466" w:rsidRPr="00E41771" w:rsidRDefault="005F5466" w:rsidP="005F5466">
      <w:pPr>
        <w:pStyle w:val="BodyText"/>
        <w:spacing w:before="240"/>
        <w:rPr>
          <w:rFonts w:ascii="Garamond" w:hAnsi="Garamond"/>
          <w:sz w:val="22"/>
          <w:szCs w:val="22"/>
        </w:rPr>
      </w:pPr>
      <w:r>
        <w:rPr>
          <w:rFonts w:ascii="Garamond" w:hAnsi="Garamond"/>
          <w:sz w:val="22"/>
          <w:szCs w:val="22"/>
        </w:rPr>
        <w:t xml:space="preserve">The GFMA CWG would welcome guidance from ESMA on the definition of a repo or reverse repo with a commodity underlying, as "a collateralised loan" could describe any of the types of SFT which fall to be reported under SFTR. </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53D72F4B" w14:textId="133AA5D7" w:rsidR="005F5466" w:rsidRDefault="005F5466" w:rsidP="005F5466">
      <w:pPr>
        <w:pStyle w:val="BodyText"/>
        <w:spacing w:before="240"/>
        <w:rPr>
          <w:rFonts w:ascii="Garamond" w:hAnsi="Garamond"/>
          <w:sz w:val="22"/>
          <w:szCs w:val="22"/>
        </w:rPr>
      </w:pPr>
      <w:permStart w:id="376123942" w:edGrp="everyone"/>
      <w:r>
        <w:rPr>
          <w:rFonts w:ascii="Garamond" w:hAnsi="Garamond"/>
          <w:sz w:val="22"/>
          <w:szCs w:val="22"/>
        </w:rPr>
        <w:t xml:space="preserve">As ESMA notes in section 5.1.4 of the </w:t>
      </w:r>
      <w:r w:rsidR="00E33125">
        <w:rPr>
          <w:rFonts w:ascii="Garamond" w:hAnsi="Garamond"/>
          <w:sz w:val="22"/>
          <w:szCs w:val="22"/>
        </w:rPr>
        <w:t>C</w:t>
      </w:r>
      <w:r>
        <w:rPr>
          <w:rFonts w:ascii="Garamond" w:hAnsi="Garamond"/>
          <w:sz w:val="22"/>
          <w:szCs w:val="22"/>
        </w:rPr>
        <w:t xml:space="preserve">onsultation </w:t>
      </w:r>
      <w:r w:rsidR="00E33125">
        <w:rPr>
          <w:rFonts w:ascii="Garamond" w:hAnsi="Garamond"/>
          <w:sz w:val="22"/>
          <w:szCs w:val="22"/>
        </w:rPr>
        <w:t>P</w:t>
      </w:r>
      <w:r>
        <w:rPr>
          <w:rFonts w:ascii="Garamond" w:hAnsi="Garamond"/>
          <w:sz w:val="22"/>
          <w:szCs w:val="22"/>
        </w:rPr>
        <w:t xml:space="preserve">aper, Article 3(8) of SFTR states that a BSB / SBB is a transaction "not being governed by a repurchase agreement or by a reverse-repurchase agreement". However, ESMA goes on to state that "in the course of the consultations it has become apparent that certain BSB / SBB are governed by bilateral or master agreements, though the specific annexes covering them are different from those pertaining to repos and reverse repos. Undoubtedly, the type of SFT concluded is BSB / SBB". </w:t>
      </w:r>
    </w:p>
    <w:p w14:paraId="013E37BA" w14:textId="77777777" w:rsidR="005F5466" w:rsidRPr="00E41771" w:rsidRDefault="005F5466" w:rsidP="005F5466">
      <w:pPr>
        <w:pStyle w:val="BodyText"/>
        <w:spacing w:before="240"/>
        <w:rPr>
          <w:rFonts w:ascii="Garamond" w:hAnsi="Garamond"/>
          <w:sz w:val="22"/>
          <w:szCs w:val="22"/>
        </w:rPr>
      </w:pPr>
      <w:r>
        <w:rPr>
          <w:rFonts w:ascii="Garamond" w:hAnsi="Garamond"/>
          <w:sz w:val="22"/>
          <w:szCs w:val="22"/>
        </w:rPr>
        <w:lastRenderedPageBreak/>
        <w:t xml:space="preserve">As SFTR indicates that the key feature distinguishing a BSB from a repo is the fact that a BSB is not governed by a repurchase agreement or reverse-repurchase agreement, the GFMA CWG would welcome further guidance on the distinction between the two types of transaction where both may be governed by a master agreement and where both may involve outright title transfer. If the distinction is that a repo would be governed by a master repurchase agreement while a BSB may be governed by other terms of business or a different type of master agreement, it would be useful to have further guidance on the definition of a master repurchase agreement. </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7777777" w:rsidR="00D62A4F" w:rsidRDefault="00D62A4F" w:rsidP="00D62A4F">
      <w:pPr>
        <w:rPr>
          <w:rFonts w:ascii="Arial" w:hAnsi="Arial" w:cs="Arial"/>
        </w:rPr>
      </w:pPr>
      <w:permStart w:id="1887062353" w:edGrp="everyone"/>
      <w:r>
        <w:rPr>
          <w:rFonts w:ascii="Arial" w:hAnsi="Arial" w:cs="Arial"/>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5B866C16" w14:textId="77777777" w:rsidR="00D62A4F" w:rsidRDefault="00D62A4F" w:rsidP="00D62A4F">
      <w:pPr>
        <w:rPr>
          <w:rFonts w:ascii="Arial" w:hAnsi="Arial" w:cs="Arial"/>
        </w:rPr>
      </w:pPr>
      <w:permStart w:id="1754024460" w:edGrp="everyone"/>
      <w:r>
        <w:rPr>
          <w:rFonts w:ascii="Arial" w:hAnsi="Arial" w:cs="Arial"/>
        </w:rPr>
        <w:t>TYPE YOUR TEXT HERE</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DC6424D" w14:textId="77777777" w:rsidR="00D62A4F" w:rsidRDefault="00D62A4F" w:rsidP="00D62A4F">
      <w:pPr>
        <w:rPr>
          <w:rFonts w:ascii="Arial" w:hAnsi="Arial" w:cs="Arial"/>
        </w:rPr>
      </w:pPr>
      <w:permStart w:id="2067472215" w:edGrp="everyone"/>
      <w:r>
        <w:rPr>
          <w:rFonts w:ascii="Arial" w:hAnsi="Arial" w:cs="Arial"/>
        </w:rPr>
        <w:t>TYPE YOUR TEXT HERE</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7F2B4E13" w14:textId="77777777" w:rsidR="002104EA" w:rsidRDefault="002104EA" w:rsidP="002104EA">
      <w:pPr>
        <w:pStyle w:val="BodyText"/>
        <w:spacing w:before="240"/>
        <w:rPr>
          <w:rFonts w:ascii="Garamond" w:hAnsi="Garamond"/>
          <w:sz w:val="22"/>
          <w:szCs w:val="22"/>
        </w:rPr>
      </w:pPr>
      <w:permStart w:id="593715747" w:edGrp="everyone"/>
      <w:r>
        <w:rPr>
          <w:rFonts w:ascii="Garamond" w:hAnsi="Garamond"/>
          <w:sz w:val="22"/>
          <w:szCs w:val="22"/>
        </w:rPr>
        <w:t xml:space="preserve">ESMA states in paragraph 75 that the counterparties need to identify the type of SFT that they are concluding on the basis of the agreement used for the transaction, and that in most cases this is defined by the existence of / lack of a master agreement. ESMA goes on to state that the counterparties should assess the extent to which the type of SFT involving commodities could fit into the fields applicable to that SFT, which will help to determine whether the transaction needs to be reported as a commodities lending or borrowing transaction, or as a SBB / BSB collateralised with commodities. </w:t>
      </w:r>
    </w:p>
    <w:p w14:paraId="3B5F3B18" w14:textId="665128C2" w:rsidR="002104EA" w:rsidRDefault="002104EA" w:rsidP="002104EA">
      <w:pPr>
        <w:pStyle w:val="BodyText"/>
        <w:spacing w:before="240"/>
        <w:rPr>
          <w:rFonts w:ascii="Garamond" w:hAnsi="Garamond"/>
          <w:sz w:val="22"/>
          <w:szCs w:val="22"/>
        </w:rPr>
      </w:pPr>
      <w:r>
        <w:rPr>
          <w:rFonts w:ascii="Garamond" w:hAnsi="Garamond"/>
          <w:sz w:val="22"/>
          <w:szCs w:val="22"/>
        </w:rPr>
        <w:t xml:space="preserve">However, the GFMA CWG understands from its members that it is likely to be difficult for counterparties to reach an agreement on the type of SFT that they are concluding in many cases. Where the SFT is documented on industry standard repo documentation, we understand that the transaction is likely to be considered to be a repo / reverse repo (and that, based on ESMA's comments in paragraph 77 of the </w:t>
      </w:r>
      <w:r w:rsidR="00E33125">
        <w:rPr>
          <w:rFonts w:ascii="Garamond" w:hAnsi="Garamond"/>
          <w:sz w:val="22"/>
          <w:szCs w:val="22"/>
        </w:rPr>
        <w:t>C</w:t>
      </w:r>
      <w:r>
        <w:rPr>
          <w:rFonts w:ascii="Garamond" w:hAnsi="Garamond"/>
          <w:sz w:val="22"/>
          <w:szCs w:val="22"/>
        </w:rPr>
        <w:t xml:space="preserve">onsultation </w:t>
      </w:r>
      <w:r w:rsidR="00E33125">
        <w:rPr>
          <w:rFonts w:ascii="Garamond" w:hAnsi="Garamond"/>
          <w:sz w:val="22"/>
          <w:szCs w:val="22"/>
        </w:rPr>
        <w:t>P</w:t>
      </w:r>
      <w:r>
        <w:rPr>
          <w:rFonts w:ascii="Garamond" w:hAnsi="Garamond"/>
          <w:sz w:val="22"/>
          <w:szCs w:val="22"/>
        </w:rPr>
        <w:t xml:space="preserve">aper, it would not matter whether the transaction involved title transfer or pledge arrangements). However, this only addresses one specific characterisation question and there remain a </w:t>
      </w:r>
      <w:r>
        <w:rPr>
          <w:rFonts w:ascii="Garamond" w:hAnsi="Garamond"/>
          <w:sz w:val="22"/>
          <w:szCs w:val="22"/>
        </w:rPr>
        <w:lastRenderedPageBreak/>
        <w:t xml:space="preserve">significant number of categorisation questions still unresolved even after extensive discussions between industry participants and external law firms. </w:t>
      </w:r>
    </w:p>
    <w:p w14:paraId="4F6ADBDD" w14:textId="77777777" w:rsidR="002104EA" w:rsidRDefault="002104EA" w:rsidP="002104EA">
      <w:pPr>
        <w:pStyle w:val="BodyText"/>
        <w:spacing w:before="240"/>
        <w:rPr>
          <w:rFonts w:ascii="Garamond" w:hAnsi="Garamond"/>
          <w:sz w:val="22"/>
          <w:szCs w:val="22"/>
        </w:rPr>
      </w:pPr>
      <w:r>
        <w:rPr>
          <w:rFonts w:ascii="Garamond" w:hAnsi="Garamond"/>
          <w:sz w:val="22"/>
          <w:szCs w:val="22"/>
        </w:rPr>
        <w:t xml:space="preserve">For example, many commodities transactions are entered into as two separate but economically linked </w:t>
      </w:r>
      <w:r w:rsidRPr="00652432">
        <w:rPr>
          <w:rFonts w:ascii="Garamond" w:hAnsi="Garamond"/>
          <w:sz w:val="22"/>
          <w:szCs w:val="22"/>
        </w:rPr>
        <w:t xml:space="preserve">transactions. </w:t>
      </w:r>
      <w:r w:rsidRPr="00652432">
        <w:rPr>
          <w:rFonts w:ascii="Garamond" w:hAnsi="Garamond" w:cs="Calibri"/>
          <w:sz w:val="22"/>
          <w:szCs w:val="22"/>
        </w:rPr>
        <w:t>In some circumstances</w:t>
      </w:r>
      <w:r w:rsidRPr="00652432">
        <w:rPr>
          <w:rFonts w:ascii="Garamond" w:hAnsi="Garamond" w:cs="Calibri"/>
          <w:sz w:val="22"/>
          <w:szCs w:val="22"/>
          <w:shd w:val="clear" w:color="auto" w:fill="FFFFFF"/>
        </w:rPr>
        <w:t> two economically linked transactions under an ISDA master agreement (e.g., a spot commodities transaction and a commodities forward, neither of which would be a derivative under EMIR) </w:t>
      </w:r>
      <w:r w:rsidRPr="00652432">
        <w:rPr>
          <w:rFonts w:ascii="Garamond" w:hAnsi="Garamond" w:cs="Calibri"/>
          <w:sz w:val="22"/>
          <w:szCs w:val="22"/>
        </w:rPr>
        <w:t>might be considered to be an SFT</w:t>
      </w:r>
      <w:r w:rsidRPr="00652432">
        <w:rPr>
          <w:rFonts w:ascii="Garamond" w:hAnsi="Garamond" w:cs="Calibri"/>
          <w:sz w:val="22"/>
          <w:szCs w:val="22"/>
          <w:shd w:val="clear" w:color="auto" w:fill="FFFFFF"/>
        </w:rPr>
        <w:t xml:space="preserve">.  </w:t>
      </w:r>
      <w:r w:rsidRPr="00652432">
        <w:rPr>
          <w:rFonts w:ascii="Garamond" w:hAnsi="Garamond" w:cs="Calibri"/>
          <w:sz w:val="22"/>
          <w:szCs w:val="22"/>
        </w:rPr>
        <w:t>If this was the case</w:t>
      </w:r>
      <w:r w:rsidRPr="00652432">
        <w:rPr>
          <w:rFonts w:ascii="Garamond" w:hAnsi="Garamond"/>
          <w:sz w:val="22"/>
          <w:szCs w:val="22"/>
        </w:rPr>
        <w:t xml:space="preserve">, they could be categorised as a repo as they are entered into under a master agreement (even though the master agreement in question is not an </w:t>
      </w:r>
      <w:r>
        <w:rPr>
          <w:rFonts w:ascii="Garamond" w:hAnsi="Garamond"/>
          <w:sz w:val="22"/>
          <w:szCs w:val="22"/>
        </w:rPr>
        <w:t>industry standard repo master agreement and even though the master agreement does not create any link between the two transactions), or they could be categorised as a BSB as there is a purchase and subsequent sale of commodities even where both transactions are executed, confirmed and settled independently and in theory could be unwound separately. The reportable fields for repo and BSB transactions do not give any indication to support one conclusion or the other.</w:t>
      </w:r>
    </w:p>
    <w:p w14:paraId="51818673" w14:textId="77777777" w:rsidR="002104EA" w:rsidRPr="00652432" w:rsidRDefault="002104EA" w:rsidP="002104EA">
      <w:pPr>
        <w:pStyle w:val="BodyText"/>
        <w:spacing w:before="240"/>
        <w:rPr>
          <w:rFonts w:ascii="Garamond" w:hAnsi="Garamond"/>
          <w:sz w:val="22"/>
          <w:szCs w:val="22"/>
        </w:rPr>
      </w:pPr>
      <w:r>
        <w:rPr>
          <w:rFonts w:ascii="Garamond" w:hAnsi="Garamond"/>
          <w:sz w:val="22"/>
          <w:szCs w:val="22"/>
        </w:rPr>
        <w:t xml:space="preserve">There are a large number of scenarios like this which the GFMA CWG and other industry participants have identified, and we would welcome the opportunity to discuss these further with ESMA with the aim of developing guidance specific to commodities SFTs. </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7777777" w:rsidR="00D62A4F" w:rsidRDefault="00D62A4F" w:rsidP="00D62A4F">
      <w:pPr>
        <w:rPr>
          <w:rFonts w:ascii="Arial" w:hAnsi="Arial" w:cs="Arial"/>
        </w:rPr>
      </w:pPr>
      <w:permStart w:id="1164643219" w:edGrp="everyone"/>
      <w:r>
        <w:rPr>
          <w:rFonts w:ascii="Arial" w:hAnsi="Arial" w:cs="Arial"/>
        </w:rPr>
        <w:t>TYPE YOUR TEXT HERE</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77777777" w:rsidR="00D62A4F" w:rsidRDefault="00D62A4F" w:rsidP="00D62A4F">
      <w:pPr>
        <w:rPr>
          <w:rFonts w:ascii="Arial" w:hAnsi="Arial" w:cs="Arial"/>
        </w:rPr>
      </w:pPr>
      <w:permStart w:id="815811770" w:edGrp="everyone"/>
      <w:r>
        <w:rPr>
          <w:rFonts w:ascii="Arial" w:hAnsi="Arial" w:cs="Arial"/>
        </w:rPr>
        <w:t>TYPE YOUR TEXT HERE</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77777777" w:rsidR="00D62A4F" w:rsidRDefault="00D62A4F" w:rsidP="00D62A4F">
      <w:pPr>
        <w:rPr>
          <w:rFonts w:ascii="Arial" w:hAnsi="Arial" w:cs="Arial"/>
        </w:rPr>
      </w:pPr>
      <w:permStart w:id="733290772" w:edGrp="everyone"/>
      <w:r>
        <w:rPr>
          <w:rFonts w:ascii="Arial" w:hAnsi="Arial" w:cs="Arial"/>
        </w:rPr>
        <w:t>TYPE YOUR TEXT HERE</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77777777" w:rsidR="00D62A4F" w:rsidRDefault="00D62A4F" w:rsidP="00D62A4F">
      <w:pPr>
        <w:rPr>
          <w:rFonts w:ascii="Arial" w:hAnsi="Arial" w:cs="Arial"/>
        </w:rPr>
      </w:pPr>
      <w:permStart w:id="607192661" w:edGrp="everyone"/>
      <w:r>
        <w:rPr>
          <w:rFonts w:ascii="Arial" w:hAnsi="Arial" w:cs="Arial"/>
        </w:rPr>
        <w:t>TYPE YOUR TEXT HERE</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C0EB9BC" w14:textId="77777777" w:rsidR="00D62A4F" w:rsidRDefault="00D62A4F" w:rsidP="00D62A4F">
      <w:pPr>
        <w:rPr>
          <w:rFonts w:ascii="Arial" w:hAnsi="Arial" w:cs="Arial"/>
        </w:rPr>
      </w:pPr>
      <w:permStart w:id="134157756" w:edGrp="everyone"/>
      <w:r>
        <w:rPr>
          <w:rFonts w:ascii="Arial" w:hAnsi="Arial" w:cs="Arial"/>
        </w:rPr>
        <w:t>TYPE YOUR TEXT HERE</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4D0FC5E" w14:textId="77777777" w:rsidR="00D62A4F" w:rsidRDefault="00D62A4F" w:rsidP="00D62A4F">
      <w:pPr>
        <w:rPr>
          <w:rFonts w:ascii="Arial" w:hAnsi="Arial" w:cs="Arial"/>
        </w:rPr>
      </w:pPr>
      <w:permStart w:id="1355967403" w:edGrp="everyone"/>
      <w:r>
        <w:rPr>
          <w:rFonts w:ascii="Arial" w:hAnsi="Arial" w:cs="Arial"/>
        </w:rPr>
        <w:t>TYPE YOUR TEXT HERE</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3D694338" w14:textId="77777777" w:rsidR="00D62A4F" w:rsidRDefault="00D62A4F" w:rsidP="00D62A4F">
      <w:pPr>
        <w:rPr>
          <w:rFonts w:ascii="Arial" w:hAnsi="Arial" w:cs="Arial"/>
        </w:rPr>
      </w:pPr>
      <w:permStart w:id="531385609" w:edGrp="everyone"/>
      <w:r>
        <w:rPr>
          <w:rFonts w:ascii="Arial" w:hAnsi="Arial" w:cs="Arial"/>
        </w:rPr>
        <w:t>TYPE YOUR TEXT HERE</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5AF91955" w14:textId="77777777" w:rsidR="00D62A4F" w:rsidRDefault="00D62A4F" w:rsidP="00D62A4F">
      <w:pPr>
        <w:rPr>
          <w:rFonts w:ascii="Arial" w:hAnsi="Arial" w:cs="Arial"/>
        </w:rPr>
      </w:pPr>
      <w:permStart w:id="117392414" w:edGrp="everyone"/>
      <w:r>
        <w:rPr>
          <w:rFonts w:ascii="Arial" w:hAnsi="Arial" w:cs="Arial"/>
        </w:rPr>
        <w:t>TYPE YOUR TEXT HERE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1AF1D8C1" w14:textId="77777777" w:rsidR="00D62A4F" w:rsidRDefault="00D62A4F" w:rsidP="00D62A4F">
      <w:pPr>
        <w:rPr>
          <w:rFonts w:ascii="Arial" w:hAnsi="Arial" w:cs="Arial"/>
        </w:rPr>
      </w:pPr>
      <w:permStart w:id="162426900" w:edGrp="everyone"/>
      <w:r>
        <w:rPr>
          <w:rFonts w:ascii="Arial" w:hAnsi="Arial" w:cs="Arial"/>
        </w:rPr>
        <w:t>TYPE YOUR TEXT HERE</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0762A7B9" w14:textId="77777777" w:rsidR="00D62A4F" w:rsidRDefault="00D62A4F" w:rsidP="00D62A4F">
      <w:pPr>
        <w:rPr>
          <w:rFonts w:ascii="Arial" w:hAnsi="Arial" w:cs="Arial"/>
        </w:rPr>
      </w:pPr>
      <w:permStart w:id="721421322" w:edGrp="everyone"/>
      <w:r>
        <w:rPr>
          <w:rFonts w:ascii="Arial" w:hAnsi="Arial" w:cs="Arial"/>
        </w:rPr>
        <w:lastRenderedPageBreak/>
        <w:t>TYPE YOUR TEXT HERE</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2DD331B" w14:textId="77777777" w:rsidR="00D62A4F" w:rsidRDefault="00D62A4F" w:rsidP="00D62A4F">
      <w:pPr>
        <w:rPr>
          <w:rFonts w:ascii="Arial" w:hAnsi="Arial" w:cs="Arial"/>
        </w:rPr>
      </w:pPr>
      <w:permStart w:id="1699372560" w:edGrp="everyone"/>
      <w:r>
        <w:rPr>
          <w:rFonts w:ascii="Arial" w:hAnsi="Arial" w:cs="Arial"/>
        </w:rPr>
        <w:t>TYPE YOUR TEXT HERE</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lastRenderedPageBreak/>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t>TYPE YOUR TEXT HERE</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77777777" w:rsidR="00D62A4F" w:rsidRDefault="00D62A4F" w:rsidP="00D62A4F">
      <w:pPr>
        <w:rPr>
          <w:rFonts w:ascii="Arial" w:hAnsi="Arial" w:cs="Arial"/>
        </w:rPr>
      </w:pPr>
      <w:permStart w:id="2072793376" w:edGrp="everyone"/>
      <w:r>
        <w:rPr>
          <w:rFonts w:ascii="Arial" w:hAnsi="Arial" w:cs="Arial"/>
        </w:rPr>
        <w:t>TYPE YOUR TEXT HERE</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77777777" w:rsidR="00D62A4F" w:rsidRDefault="00D62A4F" w:rsidP="00D62A4F">
      <w:pPr>
        <w:rPr>
          <w:rFonts w:ascii="Arial" w:hAnsi="Arial" w:cs="Arial"/>
        </w:rPr>
      </w:pPr>
      <w:permStart w:id="1659896593" w:edGrp="everyone"/>
      <w:r>
        <w:rPr>
          <w:rFonts w:ascii="Arial" w:hAnsi="Arial" w:cs="Arial"/>
        </w:rPr>
        <w:t>TYPE YOUR TEXT HERE</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4EBDFB82" w14:textId="77777777" w:rsidR="00D62A4F" w:rsidRDefault="00D62A4F" w:rsidP="00D62A4F">
      <w:pPr>
        <w:rPr>
          <w:rFonts w:ascii="Arial" w:hAnsi="Arial" w:cs="Arial"/>
        </w:rPr>
      </w:pPr>
      <w:permStart w:id="916284123" w:edGrp="everyone"/>
      <w:r>
        <w:rPr>
          <w:rFonts w:ascii="Arial" w:hAnsi="Arial" w:cs="Arial"/>
        </w:rPr>
        <w:t>TYPE YOUR TEXT HERE</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361D3864" w14:textId="77777777" w:rsidR="00D62A4F" w:rsidRDefault="00D62A4F" w:rsidP="00D62A4F">
      <w:pPr>
        <w:rPr>
          <w:rFonts w:ascii="Arial" w:hAnsi="Arial" w:cs="Arial"/>
        </w:rPr>
      </w:pPr>
      <w:permStart w:id="1362588161" w:edGrp="everyone"/>
      <w:r>
        <w:rPr>
          <w:rFonts w:ascii="Arial" w:hAnsi="Arial" w:cs="Arial"/>
        </w:rPr>
        <w:t>TYPE YOUR TEXT HERE</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4410177F" w14:textId="77777777" w:rsidR="00D62A4F" w:rsidRDefault="00D62A4F" w:rsidP="00D62A4F">
      <w:pPr>
        <w:rPr>
          <w:rFonts w:ascii="Arial" w:hAnsi="Arial" w:cs="Arial"/>
        </w:rPr>
      </w:pPr>
      <w:permStart w:id="626288957" w:edGrp="everyone"/>
      <w:r>
        <w:rPr>
          <w:rFonts w:ascii="Arial" w:hAnsi="Arial" w:cs="Arial"/>
        </w:rPr>
        <w:t>TYPE YOUR TEXT HERE</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77777777" w:rsidR="00D62A4F" w:rsidRDefault="00D62A4F" w:rsidP="00D62A4F">
      <w:pPr>
        <w:rPr>
          <w:rFonts w:ascii="Arial" w:hAnsi="Arial" w:cs="Arial"/>
        </w:rPr>
      </w:pPr>
      <w:permStart w:id="669926732" w:edGrp="everyone"/>
      <w:r>
        <w:rPr>
          <w:rFonts w:ascii="Arial" w:hAnsi="Arial" w:cs="Arial"/>
        </w:rPr>
        <w:t>TYPE YOUR TEXT HERE</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148EC219" w14:textId="77777777" w:rsidR="00D62A4F" w:rsidRDefault="00D62A4F" w:rsidP="00D62A4F">
      <w:pPr>
        <w:rPr>
          <w:rFonts w:ascii="Arial" w:hAnsi="Arial" w:cs="Arial"/>
        </w:rPr>
      </w:pPr>
      <w:permStart w:id="1802378143" w:edGrp="everyone"/>
      <w:r>
        <w:rPr>
          <w:rFonts w:ascii="Arial" w:hAnsi="Arial" w:cs="Arial"/>
        </w:rPr>
        <w:t>TYPE YOUR TEXT HERE</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77777777" w:rsidR="00D62A4F" w:rsidRDefault="00D62A4F" w:rsidP="00D62A4F">
      <w:pPr>
        <w:rPr>
          <w:rFonts w:ascii="Arial" w:hAnsi="Arial" w:cs="Arial"/>
        </w:rPr>
      </w:pPr>
      <w:permStart w:id="178403384" w:edGrp="everyone"/>
      <w:r>
        <w:rPr>
          <w:rFonts w:ascii="Arial" w:hAnsi="Arial" w:cs="Arial"/>
        </w:rPr>
        <w:t>TYPE YOUR TEXT HERE</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77777777" w:rsidR="00D62A4F" w:rsidRDefault="00D62A4F" w:rsidP="00D62A4F">
      <w:pPr>
        <w:rPr>
          <w:rFonts w:ascii="Arial" w:hAnsi="Arial" w:cs="Arial"/>
        </w:rPr>
      </w:pPr>
      <w:permStart w:id="34804673" w:edGrp="everyone"/>
      <w:r>
        <w:rPr>
          <w:rFonts w:ascii="Arial" w:hAnsi="Arial" w:cs="Arial"/>
        </w:rPr>
        <w:t>TYPE YOUR TEXT HERE</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581C70F7" w14:textId="77777777" w:rsidR="00D62A4F" w:rsidRDefault="00D62A4F" w:rsidP="00D62A4F">
      <w:pPr>
        <w:rPr>
          <w:rFonts w:ascii="Arial" w:hAnsi="Arial" w:cs="Arial"/>
        </w:rPr>
      </w:pPr>
      <w:permStart w:id="21845861" w:edGrp="everyone"/>
      <w:r>
        <w:rPr>
          <w:rFonts w:ascii="Arial" w:hAnsi="Arial" w:cs="Arial"/>
        </w:rPr>
        <w:t>TYPE YOUR TEXT HERE</w:t>
      </w:r>
    </w:p>
    <w:permEnd w:id="21845861"/>
    <w:p w14:paraId="5626AA7E" w14:textId="77777777" w:rsidR="00D62A4F" w:rsidRDefault="00D62A4F" w:rsidP="00D62A4F">
      <w:pPr>
        <w:rPr>
          <w:rFonts w:ascii="Arial" w:hAnsi="Arial" w:cs="Arial"/>
        </w:rPr>
      </w:pPr>
      <w:r>
        <w:rPr>
          <w:rFonts w:ascii="Arial" w:hAnsi="Arial" w:cs="Arial"/>
        </w:rPr>
        <w:lastRenderedPageBreak/>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2885D54" w14:textId="77777777" w:rsidR="00D62A4F" w:rsidRDefault="00D62A4F" w:rsidP="00D62A4F">
      <w:pPr>
        <w:rPr>
          <w:rFonts w:ascii="Arial" w:hAnsi="Arial" w:cs="Arial"/>
        </w:rPr>
      </w:pPr>
      <w:permStart w:id="1488136226" w:edGrp="everyone"/>
      <w:r>
        <w:rPr>
          <w:rFonts w:ascii="Arial" w:hAnsi="Arial" w:cs="Arial"/>
        </w:rPr>
        <w:t>TYPE YOUR TEXT HERE</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7777777" w:rsidR="00D62A4F" w:rsidRDefault="00D62A4F" w:rsidP="00D62A4F">
      <w:pPr>
        <w:rPr>
          <w:rFonts w:ascii="Arial" w:hAnsi="Arial" w:cs="Arial"/>
        </w:rPr>
      </w:pPr>
      <w:permStart w:id="586638850" w:edGrp="everyone"/>
      <w:r>
        <w:rPr>
          <w:rFonts w:ascii="Arial" w:hAnsi="Arial" w:cs="Arial"/>
        </w:rPr>
        <w:t>TYPE YOUR TEXT HERE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lastRenderedPageBreak/>
        <w:t>&lt;ESMA_QUESTION_RSFTR_53&gt;</w:t>
      </w:r>
    </w:p>
    <w:p w14:paraId="77EBE88F" w14:textId="77777777" w:rsidR="00D62A4F" w:rsidRDefault="00D62A4F" w:rsidP="00D62A4F">
      <w:pPr>
        <w:rPr>
          <w:rFonts w:ascii="Arial" w:hAnsi="Arial" w:cs="Arial"/>
        </w:rPr>
      </w:pPr>
      <w:permStart w:id="1815897077" w:edGrp="everyone"/>
      <w:r>
        <w:rPr>
          <w:rFonts w:ascii="Arial" w:hAnsi="Arial" w:cs="Arial"/>
        </w:rPr>
        <w:t>TYPE YOUR TEXT HERE</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77777777" w:rsidR="00D62A4F" w:rsidRDefault="00D62A4F" w:rsidP="00D62A4F">
      <w:pPr>
        <w:rPr>
          <w:rFonts w:ascii="Arial" w:hAnsi="Arial" w:cs="Arial"/>
        </w:rPr>
      </w:pPr>
      <w:permStart w:id="1913655379" w:edGrp="everyone"/>
      <w:r>
        <w:rPr>
          <w:rFonts w:ascii="Arial" w:hAnsi="Arial" w:cs="Arial"/>
        </w:rPr>
        <w:t>TYPE YOUR TEXT HERE</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4B9C1556" w14:textId="77777777" w:rsidR="00D62A4F" w:rsidRDefault="00D62A4F" w:rsidP="00D62A4F">
      <w:pPr>
        <w:rPr>
          <w:rFonts w:ascii="Arial" w:hAnsi="Arial" w:cs="Arial"/>
        </w:rPr>
      </w:pPr>
      <w:permStart w:id="471607582" w:edGrp="everyone"/>
      <w:r>
        <w:rPr>
          <w:rFonts w:ascii="Arial" w:hAnsi="Arial" w:cs="Arial"/>
        </w:rPr>
        <w:t>TYPE YOUR TEXT HERE</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48F06925" w14:textId="3E6C2208" w:rsidR="00834DBA" w:rsidRDefault="00834DBA" w:rsidP="00834DBA">
      <w:pPr>
        <w:pStyle w:val="BodyText"/>
        <w:spacing w:before="240"/>
        <w:rPr>
          <w:rFonts w:ascii="Garamond" w:hAnsi="Garamond"/>
          <w:sz w:val="22"/>
          <w:szCs w:val="22"/>
        </w:rPr>
      </w:pPr>
      <w:permStart w:id="287460907" w:edGrp="everyone"/>
      <w:r>
        <w:rPr>
          <w:rFonts w:ascii="Garamond" w:hAnsi="Garamond"/>
          <w:sz w:val="22"/>
          <w:szCs w:val="22"/>
        </w:rPr>
        <w:t xml:space="preserve">The GFMA CWG believes that, while the proposed Guidelines are very helpful regarding securities SFTs, commodities SFTs are structured differently to securities SFTs and present a range of different issues, </w:t>
      </w:r>
      <w:r>
        <w:rPr>
          <w:rFonts w:ascii="Garamond" w:hAnsi="Garamond"/>
          <w:sz w:val="22"/>
          <w:szCs w:val="22"/>
        </w:rPr>
        <w:lastRenderedPageBreak/>
        <w:t xml:space="preserve">particular in relation to categorisation of commodities SFTs as one or other of the types of SFT under SFTR. </w:t>
      </w:r>
    </w:p>
    <w:p w14:paraId="49FE9465" w14:textId="21354277" w:rsidR="00834DBA" w:rsidRDefault="00834DBA" w:rsidP="00834DBA">
      <w:pPr>
        <w:pStyle w:val="BodyText"/>
        <w:spacing w:before="240"/>
        <w:rPr>
          <w:rFonts w:ascii="Garamond" w:hAnsi="Garamond"/>
          <w:sz w:val="22"/>
          <w:szCs w:val="22"/>
        </w:rPr>
      </w:pPr>
      <w:r>
        <w:rPr>
          <w:rFonts w:ascii="Garamond" w:hAnsi="Garamond"/>
          <w:sz w:val="22"/>
          <w:szCs w:val="22"/>
        </w:rPr>
        <w:t>As noted in our introductory comments, o</w:t>
      </w:r>
      <w:r>
        <w:rPr>
          <w:rFonts w:ascii="Garamond" w:hAnsi="Garamond"/>
          <w:sz w:val="22"/>
          <w:szCs w:val="22"/>
        </w:rPr>
        <w:t xml:space="preserve">ver the last year, the GFMA CWG has focussed on identifying and trying to resolve these categorisation issues, holding multiple meetings and calls with members to discuss their key concerns, commissioning external legal advice to support solutions based on the existing legislation and guidance under SFTR and analysing the remaining situations where the position is unclear in order to try to reach an industry consensus. However, there remain a number of transaction types where it has not yet been possible to reach an industry consensus on categorisation (and in some cases, whether or not the relevant transaction is even within scope of SFTR at all). </w:t>
      </w:r>
    </w:p>
    <w:p w14:paraId="468FCC5E" w14:textId="77777777" w:rsidR="00834DBA" w:rsidRDefault="00834DBA" w:rsidP="00834DBA">
      <w:pPr>
        <w:pStyle w:val="BodyText"/>
        <w:spacing w:before="240"/>
        <w:rPr>
          <w:rFonts w:ascii="Garamond" w:hAnsi="Garamond"/>
          <w:sz w:val="22"/>
          <w:szCs w:val="22"/>
        </w:rPr>
      </w:pPr>
      <w:r>
        <w:rPr>
          <w:rFonts w:ascii="Garamond" w:hAnsi="Garamond"/>
          <w:sz w:val="22"/>
          <w:szCs w:val="22"/>
        </w:rPr>
        <w:t xml:space="preserve">It seems unlikely that the industry will be able to reach agreement on these questions without further detailed guidance from ESMA, raising the risk that large numbers of transaction reports relating to commodities SFTs will fail to match within the trade repositories once reporting commences. Even where agreement can be reached between counterparties regarding categorisation before the trade is reported, in the absence of guidance specific to commodities SFT structures, firms will report on the basis of the transaction type which presents the fewest difficulties in adapting commodities SFT structures to the required reporting fields. This approach may not give ESMA or other regulators an accurate picture of the market in commodities SFTs. </w:t>
      </w:r>
    </w:p>
    <w:p w14:paraId="15A01EA6" w14:textId="4F71C799" w:rsidR="00834DBA" w:rsidRPr="005F5513" w:rsidRDefault="00834DBA" w:rsidP="00834DBA">
      <w:pPr>
        <w:pStyle w:val="BodyText"/>
        <w:spacing w:before="240"/>
        <w:rPr>
          <w:rFonts w:ascii="Garamond" w:hAnsi="Garamond"/>
          <w:sz w:val="22"/>
          <w:szCs w:val="22"/>
        </w:rPr>
      </w:pPr>
      <w:r>
        <w:rPr>
          <w:rFonts w:ascii="Garamond" w:hAnsi="Garamond"/>
          <w:sz w:val="22"/>
          <w:szCs w:val="22"/>
        </w:rPr>
        <w:t xml:space="preserve">Section 5.1.6 of the </w:t>
      </w:r>
      <w:r w:rsidR="00E33125">
        <w:rPr>
          <w:rFonts w:ascii="Garamond" w:hAnsi="Garamond"/>
          <w:sz w:val="22"/>
          <w:szCs w:val="22"/>
        </w:rPr>
        <w:t>C</w:t>
      </w:r>
      <w:r>
        <w:rPr>
          <w:rFonts w:ascii="Garamond" w:hAnsi="Garamond"/>
          <w:sz w:val="22"/>
          <w:szCs w:val="22"/>
        </w:rPr>
        <w:t xml:space="preserve">onsultation </w:t>
      </w:r>
      <w:r w:rsidR="00E33125">
        <w:rPr>
          <w:rFonts w:ascii="Garamond" w:hAnsi="Garamond"/>
          <w:sz w:val="22"/>
          <w:szCs w:val="22"/>
        </w:rPr>
        <w:t>P</w:t>
      </w:r>
      <w:r>
        <w:rPr>
          <w:rFonts w:ascii="Garamond" w:hAnsi="Garamond"/>
          <w:sz w:val="22"/>
          <w:szCs w:val="22"/>
        </w:rPr>
        <w:t xml:space="preserve">aper touches on some of these categorisation questions at a very high level, but the GFMA CWG would welcome the opportunity to discuss with ESMA some of the more detailed questions that member firms have raised. </w:t>
      </w:r>
    </w:p>
    <w:p w14:paraId="3AC47A61" w14:textId="12D02316" w:rsidR="00834DBA" w:rsidRDefault="00834DBA" w:rsidP="00834DBA">
      <w:pPr>
        <w:pStyle w:val="BodyText"/>
        <w:spacing w:before="240"/>
        <w:rPr>
          <w:rFonts w:ascii="Garamond" w:hAnsi="Garamond"/>
          <w:sz w:val="22"/>
          <w:szCs w:val="22"/>
        </w:rPr>
      </w:pPr>
      <w:r w:rsidRPr="006169D2">
        <w:rPr>
          <w:rFonts w:ascii="Garamond" w:hAnsi="Garamond"/>
          <w:sz w:val="22"/>
          <w:szCs w:val="22"/>
        </w:rPr>
        <w:t xml:space="preserve">We would encourage ESMA to consider the </w:t>
      </w:r>
      <w:r>
        <w:rPr>
          <w:rFonts w:ascii="Garamond" w:hAnsi="Garamond"/>
          <w:sz w:val="22"/>
          <w:szCs w:val="22"/>
        </w:rPr>
        <w:t>categorisation</w:t>
      </w:r>
      <w:r w:rsidRPr="006169D2">
        <w:rPr>
          <w:rFonts w:ascii="Garamond" w:hAnsi="Garamond"/>
          <w:sz w:val="22"/>
          <w:szCs w:val="22"/>
        </w:rPr>
        <w:t xml:space="preserve"> issues </w:t>
      </w:r>
      <w:r>
        <w:rPr>
          <w:rFonts w:ascii="Garamond" w:hAnsi="Garamond"/>
          <w:sz w:val="22"/>
          <w:szCs w:val="22"/>
        </w:rPr>
        <w:t xml:space="preserve">we have raised in our answers to this </w:t>
      </w:r>
      <w:r w:rsidR="00E33125">
        <w:rPr>
          <w:rFonts w:ascii="Garamond" w:hAnsi="Garamond"/>
          <w:sz w:val="22"/>
          <w:szCs w:val="22"/>
        </w:rPr>
        <w:t>C</w:t>
      </w:r>
      <w:r>
        <w:rPr>
          <w:rFonts w:ascii="Garamond" w:hAnsi="Garamond"/>
          <w:sz w:val="22"/>
          <w:szCs w:val="22"/>
        </w:rPr>
        <w:t>onsultation</w:t>
      </w:r>
      <w:r w:rsidRPr="006169D2">
        <w:rPr>
          <w:rFonts w:ascii="Garamond" w:hAnsi="Garamond"/>
          <w:sz w:val="22"/>
          <w:szCs w:val="22"/>
        </w:rPr>
        <w:t xml:space="preserve"> </w:t>
      </w:r>
      <w:r w:rsidR="00E33125">
        <w:rPr>
          <w:rFonts w:ascii="Garamond" w:hAnsi="Garamond"/>
          <w:sz w:val="22"/>
          <w:szCs w:val="22"/>
        </w:rPr>
        <w:t xml:space="preserve">Paper </w:t>
      </w:r>
      <w:r>
        <w:rPr>
          <w:rFonts w:ascii="Garamond" w:hAnsi="Garamond"/>
          <w:sz w:val="22"/>
          <w:szCs w:val="22"/>
        </w:rPr>
        <w:t>in the context of the structures most typically used in commodities markets.</w:t>
      </w:r>
    </w:p>
    <w:p w14:paraId="3F2878FB" w14:textId="69EDF206" w:rsidR="002104EA" w:rsidRDefault="002104EA" w:rsidP="002104EA">
      <w:pPr>
        <w:pStyle w:val="BodyText"/>
        <w:spacing w:before="240"/>
        <w:rPr>
          <w:rFonts w:ascii="Garamond" w:hAnsi="Garamond"/>
          <w:sz w:val="22"/>
          <w:szCs w:val="22"/>
        </w:rPr>
      </w:pPr>
      <w:r>
        <w:rPr>
          <w:rFonts w:ascii="Garamond" w:hAnsi="Garamond"/>
          <w:sz w:val="22"/>
          <w:szCs w:val="22"/>
        </w:rPr>
        <w:t xml:space="preserve">To repeat our answer to Question 4, ESMA comments in section 5.1.3 of the </w:t>
      </w:r>
      <w:r w:rsidR="00E33125">
        <w:rPr>
          <w:rFonts w:ascii="Garamond" w:hAnsi="Garamond"/>
          <w:sz w:val="22"/>
          <w:szCs w:val="22"/>
        </w:rPr>
        <w:t>C</w:t>
      </w:r>
      <w:r>
        <w:rPr>
          <w:rFonts w:ascii="Garamond" w:hAnsi="Garamond"/>
          <w:sz w:val="22"/>
          <w:szCs w:val="22"/>
        </w:rPr>
        <w:t xml:space="preserve">onsultation </w:t>
      </w:r>
      <w:r w:rsidR="00E33125">
        <w:rPr>
          <w:rFonts w:ascii="Garamond" w:hAnsi="Garamond"/>
          <w:sz w:val="22"/>
          <w:szCs w:val="22"/>
        </w:rPr>
        <w:t>P</w:t>
      </w:r>
      <w:r>
        <w:rPr>
          <w:rFonts w:ascii="Garamond" w:hAnsi="Garamond"/>
          <w:sz w:val="22"/>
          <w:szCs w:val="22"/>
        </w:rPr>
        <w:t xml:space="preserve">aper that a repo or a reverse repo is a transaction concluded between two counterparties which involves a collateralised loan in one currency, and that collateralised loans in more than one currency would constitute separate SFTs. </w:t>
      </w:r>
    </w:p>
    <w:p w14:paraId="0EB61A31" w14:textId="0088814E" w:rsidR="002104EA" w:rsidRDefault="002104EA" w:rsidP="002104EA">
      <w:pPr>
        <w:pStyle w:val="BodyText"/>
        <w:spacing w:before="240"/>
        <w:rPr>
          <w:rFonts w:ascii="Garamond" w:hAnsi="Garamond"/>
          <w:sz w:val="22"/>
          <w:szCs w:val="22"/>
        </w:rPr>
      </w:pPr>
      <w:r>
        <w:rPr>
          <w:rFonts w:ascii="Garamond" w:hAnsi="Garamond"/>
          <w:sz w:val="22"/>
          <w:szCs w:val="22"/>
        </w:rPr>
        <w:t xml:space="preserve">The GFMA CWG would welcome guidance from ESMA on the definition of a repo or reverse repo with a commodity underlying, as "a collateralised loan" could describe any of the types of SFT which fall to be reported under SFTR. </w:t>
      </w:r>
    </w:p>
    <w:p w14:paraId="7E9E3F05" w14:textId="5F5A70F1" w:rsidR="002104EA" w:rsidRDefault="002104EA" w:rsidP="002104EA">
      <w:pPr>
        <w:pStyle w:val="BodyText"/>
        <w:spacing w:before="240"/>
        <w:rPr>
          <w:rFonts w:ascii="Garamond" w:hAnsi="Garamond"/>
          <w:sz w:val="22"/>
          <w:szCs w:val="22"/>
        </w:rPr>
      </w:pPr>
      <w:r>
        <w:rPr>
          <w:rFonts w:ascii="Garamond" w:hAnsi="Garamond"/>
          <w:sz w:val="22"/>
          <w:szCs w:val="22"/>
        </w:rPr>
        <w:t xml:space="preserve">And to repeat our answer to question 5, as ESMA notes in section 5.1.4 of the </w:t>
      </w:r>
      <w:r w:rsidR="00E33125">
        <w:rPr>
          <w:rFonts w:ascii="Garamond" w:hAnsi="Garamond"/>
          <w:sz w:val="22"/>
          <w:szCs w:val="22"/>
        </w:rPr>
        <w:t>C</w:t>
      </w:r>
      <w:r>
        <w:rPr>
          <w:rFonts w:ascii="Garamond" w:hAnsi="Garamond"/>
          <w:sz w:val="22"/>
          <w:szCs w:val="22"/>
        </w:rPr>
        <w:t xml:space="preserve">onsultation </w:t>
      </w:r>
      <w:r w:rsidR="00E33125">
        <w:rPr>
          <w:rFonts w:ascii="Garamond" w:hAnsi="Garamond"/>
          <w:sz w:val="22"/>
          <w:szCs w:val="22"/>
        </w:rPr>
        <w:t>P</w:t>
      </w:r>
      <w:r>
        <w:rPr>
          <w:rFonts w:ascii="Garamond" w:hAnsi="Garamond"/>
          <w:sz w:val="22"/>
          <w:szCs w:val="22"/>
        </w:rPr>
        <w:t xml:space="preserve">aper, Article 3(8) of SFTR states that a BSB / SBB is a transaction "not being governed by a repurchase agreement or by a reverse-repurchase agreement". However, ESMA goes on to state that "in the course of the consultations it has become apparent that certain BSB / SBB are governed by bilateral or master agreements, though the specific annexes covering them are different from those pertaining to repos and reverse repos. Undoubtedly, the type of SFT concluded is BSB / SBB". </w:t>
      </w:r>
    </w:p>
    <w:p w14:paraId="17E4A62B" w14:textId="77777777" w:rsidR="002104EA" w:rsidRPr="00E41771" w:rsidRDefault="002104EA" w:rsidP="002104EA">
      <w:pPr>
        <w:pStyle w:val="BodyText"/>
        <w:spacing w:before="240"/>
        <w:rPr>
          <w:rFonts w:ascii="Garamond" w:hAnsi="Garamond"/>
          <w:sz w:val="22"/>
          <w:szCs w:val="22"/>
        </w:rPr>
      </w:pPr>
      <w:r>
        <w:rPr>
          <w:rFonts w:ascii="Garamond" w:hAnsi="Garamond"/>
          <w:sz w:val="22"/>
          <w:szCs w:val="22"/>
        </w:rPr>
        <w:t xml:space="preserve">As SFTR indicates that the key feature distinguishing a BSB from a repo is the fact that a BSB is not governed by a repurchase agreement or reverse-repurchase agreement, the GFMA CWG would welcome further guidance on the distinction between the two types of transaction where both may be governed by a master agreement and where both may involve outright title transfer. If the distinction is that a repo would be governed by a master repurchase agreement while a BSB may be governed by other terms of business or a different type of master agreement, it would be useful to have further guidance on the definition of a master repurchase agreement. </w:t>
      </w:r>
    </w:p>
    <w:p w14:paraId="4DEDBCFA" w14:textId="77777777" w:rsidR="002104EA" w:rsidRDefault="002104EA" w:rsidP="002104EA">
      <w:pPr>
        <w:pStyle w:val="BodyText"/>
        <w:spacing w:before="240"/>
        <w:rPr>
          <w:rFonts w:ascii="Garamond" w:hAnsi="Garamond"/>
          <w:sz w:val="22"/>
          <w:szCs w:val="22"/>
        </w:rPr>
      </w:pPr>
      <w:r>
        <w:rPr>
          <w:rFonts w:ascii="Garamond" w:hAnsi="Garamond"/>
          <w:sz w:val="22"/>
          <w:szCs w:val="22"/>
        </w:rPr>
        <w:t xml:space="preserve">Finally, to repeat our answer to Question 9, ESMA states in paragraph 75 that the counterparties need to identify the type of SFT that they are concluding on the basis of the agreement used for the transaction, and that in most cases this is defined by the existence of / lack of a master agreement. ESMA goes on to state that the counterparties should assess the extent to which the type of SFT involving commodities </w:t>
      </w:r>
      <w:r>
        <w:rPr>
          <w:rFonts w:ascii="Garamond" w:hAnsi="Garamond"/>
          <w:sz w:val="22"/>
          <w:szCs w:val="22"/>
        </w:rPr>
        <w:lastRenderedPageBreak/>
        <w:t xml:space="preserve">could fit into the fields applicable to that SFT, which will help to determine whether the transaction needs to be reported as a commodities lending or borrowing transaction, or as a SBB / BSB collateralised with commodities. </w:t>
      </w:r>
    </w:p>
    <w:p w14:paraId="3477AE58" w14:textId="1635A24A" w:rsidR="002104EA" w:rsidRDefault="002104EA" w:rsidP="002104EA">
      <w:pPr>
        <w:pStyle w:val="BodyText"/>
        <w:spacing w:before="240"/>
        <w:rPr>
          <w:rFonts w:ascii="Garamond" w:hAnsi="Garamond"/>
          <w:sz w:val="22"/>
          <w:szCs w:val="22"/>
        </w:rPr>
      </w:pPr>
      <w:r>
        <w:rPr>
          <w:rFonts w:ascii="Garamond" w:hAnsi="Garamond"/>
          <w:sz w:val="22"/>
          <w:szCs w:val="22"/>
        </w:rPr>
        <w:t xml:space="preserve">However, the GFMA CWG understands from its members that it is likely to be difficult for counterparties to reach an agreement on the type of SFT that they are concluding in many cases. Where the SFT is documented on industry standard repo documentation, we understand that the transaction is likely to be considered to be a repo / reverse repo (and that, based on ESMA's comments in paragraph 77 of the </w:t>
      </w:r>
      <w:r w:rsidR="00E33125">
        <w:rPr>
          <w:rFonts w:ascii="Garamond" w:hAnsi="Garamond"/>
          <w:sz w:val="22"/>
          <w:szCs w:val="22"/>
        </w:rPr>
        <w:t>C</w:t>
      </w:r>
      <w:r>
        <w:rPr>
          <w:rFonts w:ascii="Garamond" w:hAnsi="Garamond"/>
          <w:sz w:val="22"/>
          <w:szCs w:val="22"/>
        </w:rPr>
        <w:t xml:space="preserve">onsultation </w:t>
      </w:r>
      <w:r w:rsidR="00E33125">
        <w:rPr>
          <w:rFonts w:ascii="Garamond" w:hAnsi="Garamond"/>
          <w:sz w:val="22"/>
          <w:szCs w:val="22"/>
        </w:rPr>
        <w:t>P</w:t>
      </w:r>
      <w:bookmarkStart w:id="1" w:name="_GoBack"/>
      <w:bookmarkEnd w:id="1"/>
      <w:r>
        <w:rPr>
          <w:rFonts w:ascii="Garamond" w:hAnsi="Garamond"/>
          <w:sz w:val="22"/>
          <w:szCs w:val="22"/>
        </w:rPr>
        <w:t xml:space="preserve">aper, it would not matter whether the transaction involved title transfer or pledge arrangements). However, this only addresses one specific characterisation question and there remain a significant number of categorisation questions still unresolved even after extensive discussions between industry participants and external law firms. </w:t>
      </w:r>
    </w:p>
    <w:p w14:paraId="6E68328B" w14:textId="77777777" w:rsidR="002104EA" w:rsidRDefault="002104EA" w:rsidP="002104EA">
      <w:pPr>
        <w:pStyle w:val="BodyText"/>
        <w:spacing w:before="240"/>
        <w:rPr>
          <w:rFonts w:ascii="Garamond" w:hAnsi="Garamond"/>
          <w:sz w:val="22"/>
          <w:szCs w:val="22"/>
        </w:rPr>
      </w:pPr>
      <w:r>
        <w:rPr>
          <w:rFonts w:ascii="Garamond" w:hAnsi="Garamond"/>
          <w:sz w:val="22"/>
          <w:szCs w:val="22"/>
        </w:rPr>
        <w:t xml:space="preserve">For example, many commodities transactions are entered into as two separate but economically linked </w:t>
      </w:r>
      <w:r w:rsidRPr="00652432">
        <w:rPr>
          <w:rFonts w:ascii="Garamond" w:hAnsi="Garamond"/>
          <w:sz w:val="22"/>
          <w:szCs w:val="22"/>
        </w:rPr>
        <w:t xml:space="preserve">transactions. </w:t>
      </w:r>
      <w:r w:rsidRPr="00652432">
        <w:rPr>
          <w:rFonts w:ascii="Garamond" w:hAnsi="Garamond" w:cs="Calibri"/>
          <w:sz w:val="22"/>
          <w:szCs w:val="22"/>
        </w:rPr>
        <w:t>In some circumstances</w:t>
      </w:r>
      <w:r w:rsidRPr="00652432">
        <w:rPr>
          <w:rFonts w:ascii="Garamond" w:hAnsi="Garamond" w:cs="Calibri"/>
          <w:sz w:val="22"/>
          <w:szCs w:val="22"/>
          <w:shd w:val="clear" w:color="auto" w:fill="FFFFFF"/>
        </w:rPr>
        <w:t> two economically linked transactions under an ISDA master agreement (e.g., a spot commodities transaction and a commodities forward, neither of which would be a derivative under EMIR) </w:t>
      </w:r>
      <w:r w:rsidRPr="00652432">
        <w:rPr>
          <w:rFonts w:ascii="Garamond" w:hAnsi="Garamond" w:cs="Calibri"/>
          <w:sz w:val="22"/>
          <w:szCs w:val="22"/>
        </w:rPr>
        <w:t>might be considered to be an SFT</w:t>
      </w:r>
      <w:r w:rsidRPr="00652432">
        <w:rPr>
          <w:rFonts w:ascii="Garamond" w:hAnsi="Garamond" w:cs="Calibri"/>
          <w:sz w:val="22"/>
          <w:szCs w:val="22"/>
          <w:shd w:val="clear" w:color="auto" w:fill="FFFFFF"/>
        </w:rPr>
        <w:t xml:space="preserve">.  </w:t>
      </w:r>
      <w:r w:rsidRPr="00652432">
        <w:rPr>
          <w:rFonts w:ascii="Garamond" w:hAnsi="Garamond" w:cs="Calibri"/>
          <w:sz w:val="22"/>
          <w:szCs w:val="22"/>
        </w:rPr>
        <w:t>If this was the case</w:t>
      </w:r>
      <w:r w:rsidRPr="00652432">
        <w:rPr>
          <w:rFonts w:ascii="Garamond" w:hAnsi="Garamond"/>
          <w:sz w:val="22"/>
          <w:szCs w:val="22"/>
        </w:rPr>
        <w:t xml:space="preserve">, they could be categorised as a repo as they are entered into under a master agreement (even though the master agreement in question is not an </w:t>
      </w:r>
      <w:r>
        <w:rPr>
          <w:rFonts w:ascii="Garamond" w:hAnsi="Garamond"/>
          <w:sz w:val="22"/>
          <w:szCs w:val="22"/>
        </w:rPr>
        <w:t>industry standard repo master agreement and even though the master agreement does not create any link between the two transactions), or they could be categorised as a BSB as there is a purchase and subsequent sale of commodities even where both transactions are executed, confirmed and settled independently and in theory could be unwound separately. The reportable fields for repo and BSB transactions do not give any indication to support one conclusion or the other.</w:t>
      </w:r>
    </w:p>
    <w:p w14:paraId="0FD53354" w14:textId="578E3145" w:rsidR="002104EA" w:rsidRDefault="002104EA" w:rsidP="002104EA">
      <w:pPr>
        <w:pStyle w:val="BodyText"/>
        <w:spacing w:before="240"/>
        <w:rPr>
          <w:rFonts w:ascii="Garamond" w:hAnsi="Garamond"/>
          <w:sz w:val="22"/>
          <w:szCs w:val="22"/>
        </w:rPr>
      </w:pPr>
      <w:r>
        <w:rPr>
          <w:rFonts w:ascii="Garamond" w:hAnsi="Garamond"/>
          <w:sz w:val="22"/>
          <w:szCs w:val="22"/>
        </w:rPr>
        <w:t xml:space="preserve">There are a large number of scenarios like this which the GFMA CWG and other industry participants have identified, and we would welcome the opportunity to discuss these further with ESMA with the aim of developing guidance specific to commodities SFTs. </w:t>
      </w:r>
    </w:p>
    <w:p w14:paraId="0505197C" w14:textId="77777777" w:rsidR="002104EA" w:rsidRPr="00E41771" w:rsidRDefault="002104EA" w:rsidP="002104EA">
      <w:pPr>
        <w:pStyle w:val="BodyText"/>
        <w:spacing w:before="240"/>
        <w:rPr>
          <w:rFonts w:ascii="Garamond" w:hAnsi="Garamond"/>
          <w:sz w:val="22"/>
          <w:szCs w:val="22"/>
        </w:rPr>
      </w:pP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77777777" w:rsidR="00D62A4F" w:rsidRDefault="00D62A4F" w:rsidP="00D62A4F">
      <w:pPr>
        <w:rPr>
          <w:rFonts w:ascii="Arial" w:hAnsi="Arial" w:cs="Arial"/>
        </w:rPr>
      </w:pPr>
      <w:permStart w:id="880958821" w:edGrp="everyone"/>
      <w:r>
        <w:rPr>
          <w:rFonts w:ascii="Arial" w:hAnsi="Arial" w:cs="Arial"/>
        </w:rPr>
        <w:t>TYPE YOUR TEXT HERE</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77777777" w:rsidR="00D62A4F" w:rsidRDefault="00D62A4F" w:rsidP="00D62A4F">
      <w:pPr>
        <w:rPr>
          <w:rFonts w:ascii="Arial" w:hAnsi="Arial" w:cs="Arial"/>
        </w:rPr>
      </w:pPr>
      <w:permStart w:id="844636493" w:edGrp="everyone"/>
      <w:r>
        <w:rPr>
          <w:rFonts w:ascii="Arial" w:hAnsi="Arial" w:cs="Arial"/>
        </w:rPr>
        <w:t>TYPE YOUR TEXT HERE</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77777777" w:rsidR="00D62A4F" w:rsidRDefault="00D62A4F" w:rsidP="00D62A4F">
      <w:pPr>
        <w:rPr>
          <w:rFonts w:ascii="Arial" w:hAnsi="Arial" w:cs="Arial"/>
        </w:rPr>
      </w:pPr>
      <w:permStart w:id="1443438018" w:edGrp="everyone"/>
      <w:r>
        <w:rPr>
          <w:rFonts w:ascii="Arial" w:hAnsi="Arial" w:cs="Arial"/>
        </w:rPr>
        <w:t>TYPE YOUR TEXT HERE</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7777777" w:rsidR="00D62A4F" w:rsidRDefault="00D62A4F" w:rsidP="00D62A4F">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5D8ADAA" w14:textId="77777777" w:rsidR="00D62A4F" w:rsidRDefault="00D62A4F" w:rsidP="00D62A4F">
      <w:pPr>
        <w:rPr>
          <w:rFonts w:ascii="Arial" w:hAnsi="Arial" w:cs="Arial"/>
        </w:rPr>
      </w:pPr>
      <w:permStart w:id="1639145507" w:edGrp="everyone"/>
      <w:r>
        <w:rPr>
          <w:rFonts w:ascii="Arial" w:hAnsi="Arial" w:cs="Arial"/>
        </w:rPr>
        <w:t>TYPE YOUR TEXT HERE</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77777777" w:rsidR="00D62A4F" w:rsidRDefault="00D62A4F" w:rsidP="00D62A4F">
      <w:pPr>
        <w:rPr>
          <w:rFonts w:ascii="Arial" w:hAnsi="Arial" w:cs="Arial"/>
        </w:rPr>
      </w:pPr>
      <w:permStart w:id="519007830" w:edGrp="everyone"/>
      <w:r>
        <w:rPr>
          <w:rFonts w:ascii="Arial" w:hAnsi="Arial" w:cs="Arial"/>
        </w:rPr>
        <w:t>TYPE YOUR TEXT HERE</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77777777" w:rsidR="00D62A4F" w:rsidRDefault="00D62A4F" w:rsidP="00D62A4F">
      <w:pPr>
        <w:rPr>
          <w:rFonts w:ascii="Arial" w:hAnsi="Arial" w:cs="Arial"/>
        </w:rPr>
      </w:pPr>
      <w:permStart w:id="155744384" w:edGrp="everyone"/>
      <w:r>
        <w:rPr>
          <w:rFonts w:ascii="Arial" w:hAnsi="Arial" w:cs="Arial"/>
        </w:rPr>
        <w:t>TYPE YOUR TEXT HERE</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lastRenderedPageBreak/>
        <w:t>&lt;ESMA_QUESTION_RSFTR_76&gt;</w:t>
      </w:r>
    </w:p>
    <w:p w14:paraId="38FB7397" w14:textId="77777777" w:rsidR="00D62A4F" w:rsidRDefault="00D62A4F" w:rsidP="00D62A4F">
      <w:pPr>
        <w:rPr>
          <w:rFonts w:ascii="Arial" w:hAnsi="Arial" w:cs="Arial"/>
        </w:rPr>
      </w:pPr>
      <w:permStart w:id="518009152" w:edGrp="everyone"/>
      <w:r>
        <w:rPr>
          <w:rFonts w:ascii="Arial" w:hAnsi="Arial" w:cs="Arial"/>
        </w:rPr>
        <w:t>TYPE YOUR TEXT HERE</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65373709" w14:textId="77777777" w:rsidR="00D62A4F" w:rsidRDefault="00D62A4F" w:rsidP="00D62A4F">
      <w:pPr>
        <w:rPr>
          <w:rFonts w:ascii="Arial" w:hAnsi="Arial" w:cs="Arial"/>
        </w:rPr>
      </w:pPr>
      <w:permStart w:id="144791521" w:edGrp="everyone"/>
      <w:r>
        <w:rPr>
          <w:rFonts w:ascii="Arial" w:hAnsi="Arial" w:cs="Arial"/>
        </w:rPr>
        <w:t>TYPE YOUR TEXT HERE</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77777777" w:rsidR="00D62A4F" w:rsidRDefault="00D62A4F" w:rsidP="00D62A4F">
      <w:pPr>
        <w:rPr>
          <w:rFonts w:ascii="Arial" w:hAnsi="Arial" w:cs="Arial"/>
        </w:rPr>
      </w:pPr>
      <w:permStart w:id="446115876" w:edGrp="everyone"/>
      <w:r>
        <w:rPr>
          <w:rFonts w:ascii="Arial" w:hAnsi="Arial" w:cs="Arial"/>
        </w:rPr>
        <w:t>TYPE YOUR TEXT HERE</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77777777" w:rsidR="00D62A4F" w:rsidRDefault="00D62A4F" w:rsidP="00D62A4F">
      <w:pPr>
        <w:rPr>
          <w:rFonts w:ascii="Arial" w:hAnsi="Arial" w:cs="Arial"/>
        </w:rPr>
      </w:pPr>
      <w:permStart w:id="1962808987" w:edGrp="everyone"/>
      <w:r>
        <w:rPr>
          <w:rFonts w:ascii="Arial" w:hAnsi="Arial" w:cs="Arial"/>
        </w:rPr>
        <w:t>TYPE YOUR TEXT HERE</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77777777" w:rsidR="00D62A4F" w:rsidRDefault="00D62A4F" w:rsidP="00D62A4F">
      <w:pPr>
        <w:rPr>
          <w:rFonts w:ascii="Arial" w:hAnsi="Arial" w:cs="Arial"/>
        </w:rPr>
      </w:pPr>
      <w:permStart w:id="1875119290" w:edGrp="everyone"/>
      <w:r>
        <w:rPr>
          <w:rFonts w:ascii="Arial" w:hAnsi="Arial" w:cs="Arial"/>
        </w:rPr>
        <w:t>TYPE YOUR TEXT HERE</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84B0B" w14:textId="77777777" w:rsidR="00BF61A8" w:rsidRDefault="00BF61A8" w:rsidP="007E7997">
      <w:r>
        <w:separator/>
      </w:r>
    </w:p>
  </w:endnote>
  <w:endnote w:type="continuationSeparator" w:id="0">
    <w:p w14:paraId="696310BA" w14:textId="77777777" w:rsidR="00BF61A8" w:rsidRDefault="00BF61A8" w:rsidP="007E7997">
      <w:r>
        <w:continuationSeparator/>
      </w:r>
    </w:p>
  </w:endnote>
  <w:endnote w:type="continuationNotice" w:id="1">
    <w:p w14:paraId="59A9E823" w14:textId="77777777" w:rsidR="00BF61A8" w:rsidRDefault="00BF6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869A" w14:textId="77777777" w:rsidR="002104EA" w:rsidRDefault="00210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2104EA" w:rsidRDefault="002104E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2104EA" w:rsidRDefault="00210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B7DF34D" w:rsidR="002104EA" w:rsidRDefault="002104EA"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2104EA" w:rsidRDefault="002104E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2104EA" w:rsidRDefault="002104EA"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BDA3B" w14:textId="77777777" w:rsidR="00BF61A8" w:rsidRDefault="00BF61A8" w:rsidP="007E7997">
      <w:r>
        <w:separator/>
      </w:r>
    </w:p>
  </w:footnote>
  <w:footnote w:type="continuationSeparator" w:id="0">
    <w:p w14:paraId="2E36DF79" w14:textId="77777777" w:rsidR="00BF61A8" w:rsidRDefault="00BF61A8" w:rsidP="007E7997">
      <w:r>
        <w:continuationSeparator/>
      </w:r>
    </w:p>
  </w:footnote>
  <w:footnote w:type="continuationNotice" w:id="1">
    <w:p w14:paraId="3AD13082" w14:textId="77777777" w:rsidR="00BF61A8" w:rsidRDefault="00BF61A8"/>
  </w:footnote>
  <w:footnote w:id="2">
    <w:p w14:paraId="67A34686" w14:textId="77777777" w:rsidR="002104EA" w:rsidRPr="00115302" w:rsidRDefault="002104EA" w:rsidP="009C693F">
      <w:pPr>
        <w:pStyle w:val="FootnoteText"/>
        <w:rPr>
          <w:rFonts w:ascii="Garamond" w:hAnsi="Garamond"/>
          <w:sz w:val="18"/>
          <w:szCs w:val="18"/>
        </w:rPr>
      </w:pPr>
      <w:r w:rsidRPr="00115302">
        <w:rPr>
          <w:rStyle w:val="FootnoteReference"/>
          <w:rFonts w:ascii="Garamond" w:hAnsi="Garamond"/>
        </w:rPr>
        <w:footnoteRef/>
      </w:r>
      <w:r w:rsidRPr="00115302">
        <w:rPr>
          <w:rFonts w:ascii="Garamond" w:hAnsi="Garamond"/>
          <w:sz w:val="18"/>
          <w:szCs w:val="18"/>
        </w:rPr>
        <w:t xml:space="preserve"> The Global Financial Markets Association (GFMA) brings together three of the world</w:t>
      </w:r>
      <w:r>
        <w:rPr>
          <w:rFonts w:ascii="Garamond" w:hAnsi="Garamond"/>
          <w:sz w:val="18"/>
          <w:szCs w:val="18"/>
        </w:rPr>
        <w:t>'</w:t>
      </w:r>
      <w:r w:rsidRPr="00115302">
        <w:rPr>
          <w:rFonts w:ascii="Garamond" w:hAnsi="Garamond"/>
          <w:sz w:val="18"/>
          <w:szCs w:val="18"/>
        </w:rPr>
        <w:t xml:space="preserve">s leading financial trade associations to address the increasingly important global regulatory agenda and to promote coordinated advocacy efforts. The Association for Financial Markets in Europe (AFME) in London and Brussels, the Asia Securities Industry &amp; Financial Markets Association (ASIFMA) in Hong Kong and the Securities Industry and Financial Markets Association (SIFMA) in New York and Washington are, respectively, the European, Asian and North American members of GFMA. For more information, visit </w:t>
      </w:r>
      <w:hyperlink r:id="rId1" w:history="1">
        <w:r w:rsidRPr="00115302">
          <w:rPr>
            <w:rStyle w:val="Hyperlink"/>
            <w:rFonts w:ascii="Garamond" w:hAnsi="Garamond"/>
            <w:sz w:val="18"/>
            <w:szCs w:val="18"/>
          </w:rPr>
          <w:t>www.gfma.org</w:t>
        </w:r>
      </w:hyperlink>
      <w:r w:rsidRPr="00115302">
        <w:rPr>
          <w:rFonts w:ascii="Garamond" w:hAnsi="Garamond"/>
          <w:sz w:val="18"/>
          <w:szCs w:val="18"/>
        </w:rPr>
        <w:t>.</w:t>
      </w:r>
    </w:p>
    <w:p w14:paraId="7DD55F23" w14:textId="77777777" w:rsidR="002104EA" w:rsidRPr="00115302" w:rsidRDefault="002104EA" w:rsidP="009C693F">
      <w:pPr>
        <w:pStyle w:val="FootnoteText"/>
        <w:rPr>
          <w:rFonts w:ascii="Garamond" w:hAnsi="Garamond"/>
          <w:sz w:val="18"/>
          <w:szCs w:val="18"/>
        </w:rPr>
      </w:pPr>
    </w:p>
    <w:p w14:paraId="7DAFC775" w14:textId="77777777" w:rsidR="002104EA" w:rsidRPr="00115302" w:rsidRDefault="002104EA" w:rsidP="009C693F">
      <w:pPr>
        <w:pStyle w:val="FootnoteText"/>
        <w:rPr>
          <w:rFonts w:ascii="Garamond" w:hAnsi="Garamond"/>
          <w:sz w:val="18"/>
          <w:szCs w:val="18"/>
        </w:rPr>
      </w:pPr>
      <w:r w:rsidRPr="00115302">
        <w:rPr>
          <w:rFonts w:ascii="Garamond" w:hAnsi="Garamond"/>
          <w:sz w:val="18"/>
          <w:szCs w:val="18"/>
        </w:rPr>
        <w:t>GFMA is registered on the EU Transparency Register, registration number 898223513605-51.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2FCB" w14:textId="77777777" w:rsidR="002104EA" w:rsidRDefault="00210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2104EA" w:rsidRDefault="002104EA">
    <w:pPr>
      <w:pStyle w:val="Header"/>
    </w:pPr>
  </w:p>
  <w:p w14:paraId="59FA3C9D" w14:textId="77777777" w:rsidR="002104EA" w:rsidRDefault="00210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2104EA" w:rsidRDefault="002104EA">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2104EA" w:rsidRDefault="002104EA"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2104EA" w:rsidRPr="00D13661" w:rsidRDefault="002104EA"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2104EA" w:rsidRPr="00C3170E" w:rsidRDefault="002104EA" w:rsidP="00B50534">
    <w:pPr>
      <w:pStyle w:val="Header"/>
      <w:jc w:val="right"/>
      <w:rPr>
        <w:color w:val="2F5496" w:themeColor="accent5" w:themeShade="BF"/>
        <w:sz w:val="20"/>
      </w:rPr>
    </w:pPr>
  </w:p>
  <w:p w14:paraId="5EAB6EC6" w14:textId="77777777" w:rsidR="002104EA" w:rsidRPr="00B50534" w:rsidRDefault="002104EA"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6FC9"/>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0A57"/>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04EA"/>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3778"/>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11"/>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66"/>
    <w:rsid w:val="005F5491"/>
    <w:rsid w:val="005F5513"/>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B47"/>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4DBA"/>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693F"/>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61A8"/>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125"/>
    <w:rsid w:val="00E333AC"/>
    <w:rsid w:val="00E3456B"/>
    <w:rsid w:val="00E35C16"/>
    <w:rsid w:val="00E36085"/>
    <w:rsid w:val="00E36813"/>
    <w:rsid w:val="00E42382"/>
    <w:rsid w:val="00E603DF"/>
    <w:rsid w:val="00E63745"/>
    <w:rsid w:val="00E6699F"/>
    <w:rsid w:val="00E67B40"/>
    <w:rsid w:val="00E703AE"/>
    <w:rsid w:val="00E72373"/>
    <w:rsid w:val="00E76AF9"/>
    <w:rsid w:val="00E7736A"/>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nhideWhenUsed/>
    <w:qFormat/>
    <w:rsid w:val="006F53E8"/>
    <w:rPr>
      <w:sz w:val="16"/>
    </w:rPr>
  </w:style>
  <w:style w:type="character" w:customStyle="1" w:styleId="FootnoteTextChar">
    <w:name w:val="Footnote Text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gfma.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BAEE1F49-DCD9-184E-AD83-FAFD9D9C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0</TotalTime>
  <Pages>21</Pages>
  <Words>5531</Words>
  <Characters>31532</Characters>
  <Application>Microsoft Office Word</Application>
  <DocSecurity>8</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Microsoft Office User</cp:lastModifiedBy>
  <cp:revision>2</cp:revision>
  <cp:lastPrinted>2017-07-24T14:47:00Z</cp:lastPrinted>
  <dcterms:created xsi:type="dcterms:W3CDTF">2019-07-26T15:31:00Z</dcterms:created>
  <dcterms:modified xsi:type="dcterms:W3CDTF">2019-07-26T15:31:00Z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