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594233">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594233">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25F54272" w:rsidR="00C85C8B" w:rsidRPr="00C85C8B" w:rsidRDefault="0024058E" w:rsidP="00C85C8B">
                <w:pPr>
                  <w:rPr>
                    <w:rFonts w:ascii="Arial" w:hAnsi="Arial" w:cs="Arial"/>
                    <w:color w:val="808080"/>
                    <w:sz w:val="20"/>
                    <w:lang w:eastAsia="de-DE"/>
                  </w:rPr>
                </w:pPr>
                <w:r>
                  <w:rPr>
                    <w:rFonts w:ascii="Arial" w:hAnsi="Arial" w:cs="Arial"/>
                    <w:color w:val="808080"/>
                    <w:sz w:val="20"/>
                    <w:lang w:eastAsia="de-DE"/>
                  </w:rPr>
                  <w:t>European Federation of Energy Traders (EFET)</w:t>
                </w:r>
              </w:p>
            </w:tc>
          </w:sdtContent>
        </w:sdt>
      </w:tr>
      <w:tr w:rsidR="00C85C8B" w:rsidRPr="00C85C8B" w14:paraId="216F3E57" w14:textId="77777777" w:rsidTr="00594233">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B4B9B24" w:rsidR="00C85C8B" w:rsidRPr="00C85C8B" w:rsidRDefault="006B112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4058E">
                  <w:rPr>
                    <w:rFonts w:ascii="Arial" w:hAnsi="Arial" w:cs="Arial"/>
                    <w:sz w:val="20"/>
                    <w:lang w:eastAsia="de-DE"/>
                  </w:rPr>
                  <w:t>Non-financial counterparty</w:t>
                </w:r>
              </w:sdtContent>
            </w:sdt>
          </w:p>
        </w:tc>
      </w:tr>
      <w:tr w:rsidR="00C85C8B" w:rsidRPr="00C85C8B" w14:paraId="0D216581" w14:textId="77777777" w:rsidTr="00594233">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6DEC2FB7" w:rsidR="00C85C8B" w:rsidRPr="00C85C8B" w:rsidRDefault="0024058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594233">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06FB9FEE" w:rsidR="00C85C8B" w:rsidRPr="00C85C8B" w:rsidRDefault="0024058E"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4C074C0C" w14:textId="77777777" w:rsidR="0024058E" w:rsidRPr="006B1123" w:rsidRDefault="0024058E" w:rsidP="0024058E">
      <w:pPr>
        <w:spacing w:after="250" w:line="276" w:lineRule="auto"/>
        <w:jc w:val="both"/>
        <w:rPr>
          <w:rFonts w:asciiTheme="majorHAnsi" w:eastAsiaTheme="minorEastAsia" w:hAnsiTheme="majorHAnsi" w:cstheme="majorHAnsi"/>
          <w:lang w:eastAsia="en-US"/>
        </w:rPr>
      </w:pPr>
      <w:permStart w:id="885457707" w:edGrp="everyone"/>
      <w:r w:rsidRPr="006B1123">
        <w:rPr>
          <w:rFonts w:asciiTheme="majorHAnsi" w:hAnsiTheme="majorHAnsi" w:cstheme="majorHAnsi"/>
        </w:rPr>
        <w:t xml:space="preserve">The European Federation of Energy Traders (EFET) promotes and facilitates European energy trading in open, transparent, sustainable and liquid wholesale markets, unhindered by national borders or other undue obstacles. We currently represent more than 100 energy trading companies, active in over 28 European countries. For more information, visit our website at </w:t>
      </w:r>
      <w:hyperlink r:id="rId22" w:history="1">
        <w:r w:rsidRPr="006B1123">
          <w:rPr>
            <w:rStyle w:val="Hyperlink"/>
            <w:rFonts w:asciiTheme="majorHAnsi" w:hAnsiTheme="majorHAnsi" w:cstheme="majorHAnsi"/>
          </w:rPr>
          <w:t>www.efet.org</w:t>
        </w:r>
      </w:hyperlink>
      <w:r w:rsidRPr="006B1123">
        <w:rPr>
          <w:rFonts w:asciiTheme="majorHAnsi" w:hAnsiTheme="majorHAnsi" w:cstheme="majorHAnsi"/>
        </w:rPr>
        <w:t>.</w:t>
      </w:r>
    </w:p>
    <w:p w14:paraId="02AF2FF9" w14:textId="5EFA8684" w:rsidR="00C85C8B" w:rsidRPr="00C85C8B" w:rsidRDefault="00C85C8B" w:rsidP="00C85C8B">
      <w:pPr>
        <w:spacing w:after="250" w:line="276" w:lineRule="auto"/>
        <w:jc w:val="both"/>
        <w:rPr>
          <w:rFonts w:ascii="Arial" w:eastAsiaTheme="minorEastAsia" w:hAnsi="Arial" w:cs="Arial"/>
          <w:sz w:val="22"/>
          <w:szCs w:val="20"/>
          <w:lang w:eastAsia="en-US"/>
        </w:rPr>
      </w:pPr>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2924A014" w14:textId="77777777" w:rsidR="003C72C6" w:rsidRPr="00731D7A" w:rsidRDefault="003C72C6" w:rsidP="003C72C6">
      <w:pPr>
        <w:jc w:val="both"/>
        <w:rPr>
          <w:rFonts w:asciiTheme="majorHAnsi" w:hAnsiTheme="majorHAnsi" w:cstheme="majorHAnsi"/>
        </w:rPr>
      </w:pPr>
      <w:permStart w:id="1690923388" w:edGrp="everyone"/>
      <w:r w:rsidRPr="00731D7A">
        <w:rPr>
          <w:rFonts w:asciiTheme="majorHAnsi" w:hAnsiTheme="majorHAnsi" w:cstheme="majorHAnsi"/>
        </w:rPr>
        <w:t xml:space="preserve">We do agree with the clarification made by ESMA in relation to emission allowances. With respect to commodities, however, we would welcome some further clarifications, as discussed below. </w:t>
      </w:r>
    </w:p>
    <w:p w14:paraId="7D1DF9B3" w14:textId="77777777" w:rsidR="003C72C6" w:rsidRPr="00731D7A" w:rsidRDefault="003C72C6" w:rsidP="003C72C6">
      <w:pPr>
        <w:jc w:val="both"/>
        <w:rPr>
          <w:rFonts w:asciiTheme="majorHAnsi" w:hAnsiTheme="majorHAnsi" w:cstheme="majorHAnsi"/>
        </w:rPr>
      </w:pPr>
    </w:p>
    <w:p w14:paraId="02015173" w14:textId="3821EF88" w:rsidR="003C72C6" w:rsidRPr="00731D7A" w:rsidRDefault="003C72C6" w:rsidP="003C72C6">
      <w:pPr>
        <w:jc w:val="both"/>
        <w:rPr>
          <w:rFonts w:asciiTheme="majorHAnsi" w:hAnsiTheme="majorHAnsi" w:cstheme="majorHAnsi"/>
        </w:rPr>
      </w:pPr>
      <w:r w:rsidRPr="00731D7A">
        <w:rPr>
          <w:rFonts w:asciiTheme="majorHAnsi" w:hAnsiTheme="majorHAnsi" w:cstheme="majorHAnsi"/>
        </w:rPr>
        <w:t>Most of the available interpretive aid refers to SFTs in relation to securities and not to commodities. Neither the definitions of SFTs, nor the preamble or other documents, support an interpretation of the scope of SFTs based on financing purposes only, which would have allowed for an exclusion of transactions and contracts that serve another purpose.</w:t>
      </w:r>
      <w:r w:rsidR="006B1123">
        <w:rPr>
          <w:rFonts w:asciiTheme="majorHAnsi" w:hAnsiTheme="majorHAnsi" w:cstheme="majorHAnsi"/>
        </w:rPr>
        <w:t xml:space="preserve"> </w:t>
      </w:r>
      <w:r w:rsidRPr="00731D7A">
        <w:rPr>
          <w:rFonts w:asciiTheme="majorHAnsi" w:hAnsiTheme="majorHAnsi" w:cstheme="majorHAnsi"/>
        </w:rPr>
        <w:t>Therefore, if a transaction or a contract with commodities has the same characteristics and elements as a repo, a buy-sell back transaction or a sell-buy back transaction, or a securities lending or borrowing transaction, it is our understanding that such a transaction or product must be evaluated in terms of SFTR, although it is often entered into for reasons other than financing.</w:t>
      </w:r>
      <w:r w:rsidR="006B1123">
        <w:rPr>
          <w:rFonts w:asciiTheme="majorHAnsi" w:hAnsiTheme="majorHAnsi" w:cstheme="majorHAnsi"/>
        </w:rPr>
        <w:t xml:space="preserve"> </w:t>
      </w:r>
      <w:r w:rsidRPr="00731D7A">
        <w:rPr>
          <w:rFonts w:asciiTheme="majorHAnsi" w:hAnsiTheme="majorHAnsi" w:cstheme="majorHAnsi"/>
        </w:rPr>
        <w:t xml:space="preserve">To avoid a situation in which transactions of limited interest to ESMA in relation to the objectives of SFTR (i.e. improving the transparency of shadow banking) end up being reported under this regime, we would appreciate a confirmation of the understanding that transactions serving a purpose different from financing, but bearing the characteristics of an SFT, would have to be evaluated in light of the Regulation and may potentially be subject to reporting.   </w:t>
      </w:r>
    </w:p>
    <w:p w14:paraId="079E615A" w14:textId="77777777" w:rsidR="003C72C6" w:rsidRPr="00731D7A" w:rsidRDefault="003C72C6" w:rsidP="003C72C6">
      <w:pPr>
        <w:jc w:val="both"/>
        <w:rPr>
          <w:rFonts w:asciiTheme="majorHAnsi" w:hAnsiTheme="majorHAnsi" w:cstheme="majorHAnsi"/>
        </w:rPr>
      </w:pPr>
      <w:r w:rsidRPr="00731D7A">
        <w:rPr>
          <w:rFonts w:asciiTheme="majorHAnsi" w:hAnsiTheme="majorHAnsi" w:cstheme="majorHAnsi"/>
        </w:rPr>
        <w:t xml:space="preserve">  </w:t>
      </w:r>
    </w:p>
    <w:p w14:paraId="6209727E" w14:textId="7233DCC9" w:rsidR="003C72C6" w:rsidRPr="00731D7A" w:rsidRDefault="003C72C6" w:rsidP="003C72C6">
      <w:pPr>
        <w:jc w:val="both"/>
        <w:rPr>
          <w:rFonts w:asciiTheme="majorHAnsi" w:hAnsiTheme="majorHAnsi" w:cstheme="majorHAnsi"/>
        </w:rPr>
      </w:pPr>
      <w:r w:rsidRPr="00731D7A">
        <w:rPr>
          <w:rFonts w:asciiTheme="majorHAnsi" w:hAnsiTheme="majorHAnsi" w:cstheme="majorHAnsi"/>
        </w:rPr>
        <w:t>As we understand, a general and decisive element for classifying a transaction as an SFT should be the transfer of title of the commodities (or related cash) that serve as collateral/</w:t>
      </w:r>
      <w:r w:rsidR="001524FD">
        <w:rPr>
          <w:rFonts w:asciiTheme="majorHAnsi" w:hAnsiTheme="majorHAnsi" w:cstheme="majorHAnsi"/>
        </w:rPr>
        <w:t xml:space="preserve">a </w:t>
      </w:r>
      <w:r w:rsidRPr="00731D7A">
        <w:rPr>
          <w:rFonts w:asciiTheme="majorHAnsi" w:hAnsiTheme="majorHAnsi" w:cstheme="majorHAnsi"/>
        </w:rPr>
        <w:t xml:space="preserve">guarantee in connection with the transaction. As also highlighted in section 5.1.6 of the ESMA Consultation Paper, another such element is the seller’s obligation (as opposed to merely the option) to repurchase or buy back the commodities in case of a repo or </w:t>
      </w:r>
      <w:r w:rsidR="001524FD">
        <w:rPr>
          <w:rFonts w:asciiTheme="majorHAnsi" w:hAnsiTheme="majorHAnsi" w:cstheme="majorHAnsi"/>
        </w:rPr>
        <w:t>a sell</w:t>
      </w:r>
      <w:r w:rsidRPr="00731D7A">
        <w:rPr>
          <w:rFonts w:asciiTheme="majorHAnsi" w:hAnsiTheme="majorHAnsi" w:cstheme="majorHAnsi"/>
        </w:rPr>
        <w:t>-</w:t>
      </w:r>
      <w:r w:rsidR="001524FD">
        <w:rPr>
          <w:rFonts w:asciiTheme="majorHAnsi" w:hAnsiTheme="majorHAnsi" w:cstheme="majorHAnsi"/>
        </w:rPr>
        <w:t>buy</w:t>
      </w:r>
      <w:r w:rsidRPr="00731D7A">
        <w:rPr>
          <w:rFonts w:asciiTheme="majorHAnsi" w:hAnsiTheme="majorHAnsi" w:cstheme="majorHAnsi"/>
        </w:rPr>
        <w:t xml:space="preserve"> back</w:t>
      </w:r>
      <w:r w:rsidR="001524FD">
        <w:rPr>
          <w:rFonts w:asciiTheme="majorHAnsi" w:hAnsiTheme="majorHAnsi" w:cstheme="majorHAnsi"/>
        </w:rPr>
        <w:t xml:space="preserve"> transaction</w:t>
      </w:r>
      <w:r w:rsidRPr="00731D7A">
        <w:rPr>
          <w:rFonts w:asciiTheme="majorHAnsi" w:hAnsiTheme="majorHAnsi" w:cstheme="majorHAnsi"/>
        </w:rPr>
        <w:t xml:space="preserve">, respectively, or the borrower’s obligation to return the commodities in case of lending. </w:t>
      </w:r>
    </w:p>
    <w:p w14:paraId="1F7A3078" w14:textId="77777777" w:rsidR="003C72C6" w:rsidRPr="00731D7A" w:rsidRDefault="003C72C6" w:rsidP="003C72C6">
      <w:pPr>
        <w:jc w:val="both"/>
        <w:rPr>
          <w:rFonts w:asciiTheme="majorHAnsi" w:hAnsiTheme="majorHAnsi" w:cstheme="majorHAnsi"/>
        </w:rPr>
      </w:pPr>
    </w:p>
    <w:p w14:paraId="2DA23AF2" w14:textId="1725B2BB" w:rsidR="003C72C6" w:rsidRPr="00731D7A" w:rsidRDefault="003C72C6" w:rsidP="003C72C6">
      <w:pPr>
        <w:jc w:val="both"/>
        <w:rPr>
          <w:rFonts w:asciiTheme="majorHAnsi" w:hAnsiTheme="majorHAnsi" w:cstheme="majorHAnsi"/>
        </w:rPr>
      </w:pPr>
      <w:r w:rsidRPr="00731D7A">
        <w:rPr>
          <w:rFonts w:asciiTheme="majorHAnsi" w:hAnsiTheme="majorHAnsi" w:cstheme="majorHAnsi"/>
        </w:rPr>
        <w:t>Accordingly, a deviation in quantity</w:t>
      </w:r>
      <w:r w:rsidR="00610116">
        <w:rPr>
          <w:rFonts w:asciiTheme="majorHAnsi" w:hAnsiTheme="majorHAnsi" w:cstheme="majorHAnsi"/>
        </w:rPr>
        <w:t>,</w:t>
      </w:r>
      <w:r w:rsidRPr="00731D7A">
        <w:rPr>
          <w:rFonts w:asciiTheme="majorHAnsi" w:hAnsiTheme="majorHAnsi" w:cstheme="majorHAnsi"/>
        </w:rPr>
        <w:t xml:space="preserve"> generally</w:t>
      </w:r>
      <w:r w:rsidR="00610116">
        <w:rPr>
          <w:rFonts w:asciiTheme="majorHAnsi" w:hAnsiTheme="majorHAnsi" w:cstheme="majorHAnsi"/>
        </w:rPr>
        <w:t>,</w:t>
      </w:r>
      <w:r w:rsidRPr="00731D7A">
        <w:rPr>
          <w:rFonts w:asciiTheme="majorHAnsi" w:hAnsiTheme="majorHAnsi" w:cstheme="majorHAnsi"/>
        </w:rPr>
        <w:t xml:space="preserve"> should not change the assessment whether a transaction is in scope. However, if a deviation is of such a size that the transaction cannot be seen as a secured funding or a lending transaction implying a temporary exchange of assets, such a transaction should not be considered an SFT. Without any specific guidance, if the quantity to be repurchased, bought back or returned, as the case may be, is substantially different compared to the quantity sold or lent, in our view, such a transaction should not be considered an SFT</w:t>
      </w:r>
      <w:r w:rsidR="00610116">
        <w:rPr>
          <w:rFonts w:asciiTheme="majorHAnsi" w:hAnsiTheme="majorHAnsi" w:cstheme="majorHAnsi"/>
        </w:rPr>
        <w:t>,</w:t>
      </w:r>
      <w:r w:rsidRPr="00731D7A">
        <w:rPr>
          <w:rFonts w:asciiTheme="majorHAnsi" w:hAnsiTheme="majorHAnsi" w:cstheme="majorHAnsi"/>
        </w:rPr>
        <w:t xml:space="preserve"> unless other special circumstances exists.  </w:t>
      </w:r>
    </w:p>
    <w:p w14:paraId="43BC171A" w14:textId="77777777" w:rsidR="003C72C6" w:rsidRPr="00731D7A" w:rsidRDefault="003C72C6" w:rsidP="003C72C6">
      <w:pPr>
        <w:jc w:val="both"/>
        <w:rPr>
          <w:rFonts w:asciiTheme="majorHAnsi" w:hAnsiTheme="majorHAnsi" w:cstheme="majorHAnsi"/>
        </w:rPr>
      </w:pPr>
    </w:p>
    <w:p w14:paraId="21CF1B56" w14:textId="244681D8" w:rsidR="003C72C6" w:rsidRPr="00731D7A" w:rsidRDefault="003C72C6" w:rsidP="003C72C6">
      <w:pPr>
        <w:jc w:val="both"/>
        <w:rPr>
          <w:rFonts w:asciiTheme="majorHAnsi" w:hAnsiTheme="majorHAnsi" w:cstheme="majorHAnsi"/>
        </w:rPr>
      </w:pPr>
      <w:r w:rsidRPr="00731D7A">
        <w:rPr>
          <w:rFonts w:asciiTheme="majorHAnsi" w:hAnsiTheme="majorHAnsi" w:cstheme="majorHAnsi"/>
        </w:rPr>
        <w:t>Furthermore, it is our understanding that a transaction or a contract entered into neither for financing, nor for lending purposes, but only to fulfil the parties’ transportation or capacity needs, may not constitute an SFT, unless an assessment of the specific circumstances suggests otherwise. For instance, such transactions may include gas swaps where the buyer buys gas from the seller needed for delivery at point A, and where the buyer sells gas to the seller needed for delivery at point B, at two geographically different locations of delivery.</w:t>
      </w:r>
    </w:p>
    <w:p w14:paraId="21587262" w14:textId="77777777" w:rsidR="003C72C6" w:rsidRPr="00731D7A" w:rsidRDefault="003C72C6" w:rsidP="003C72C6">
      <w:pPr>
        <w:jc w:val="both"/>
        <w:rPr>
          <w:rFonts w:asciiTheme="majorHAnsi" w:hAnsiTheme="majorHAnsi" w:cstheme="majorHAnsi"/>
        </w:rPr>
      </w:pPr>
    </w:p>
    <w:p w14:paraId="5928DFA9" w14:textId="09DA05B0" w:rsidR="003C72C6" w:rsidRPr="00731D7A" w:rsidRDefault="003C72C6" w:rsidP="003C72C6">
      <w:pPr>
        <w:jc w:val="both"/>
        <w:rPr>
          <w:rFonts w:asciiTheme="majorHAnsi" w:hAnsiTheme="majorHAnsi" w:cstheme="majorHAnsi"/>
        </w:rPr>
      </w:pPr>
      <w:r w:rsidRPr="00731D7A">
        <w:rPr>
          <w:rFonts w:asciiTheme="majorHAnsi" w:hAnsiTheme="majorHAnsi" w:cstheme="majorHAnsi"/>
        </w:rPr>
        <w:t>Also, transactions for operational service purposes may not, depending on the circumstances, constitute an SFT. Such transactions may include transhipments where the buyer or the borrower cannot (and will not) make use of the commodity and where the time between sell and repurchase or sell and buy-back is limited and cannot be considered on “a future date” (the time depends merely on the time of the operational service).</w:t>
      </w:r>
    </w:p>
    <w:p w14:paraId="101929DE" w14:textId="77777777" w:rsidR="003C72C6" w:rsidRPr="00731D7A" w:rsidRDefault="003C72C6" w:rsidP="003C72C6">
      <w:pPr>
        <w:jc w:val="both"/>
        <w:rPr>
          <w:rFonts w:asciiTheme="majorHAnsi" w:hAnsiTheme="majorHAnsi" w:cstheme="majorHAnsi"/>
        </w:rPr>
      </w:pPr>
    </w:p>
    <w:p w14:paraId="3067EA76" w14:textId="77777777" w:rsidR="003C72C6" w:rsidRPr="00731D7A" w:rsidRDefault="003C72C6" w:rsidP="003C72C6">
      <w:pPr>
        <w:jc w:val="both"/>
        <w:rPr>
          <w:rFonts w:asciiTheme="majorHAnsi" w:hAnsiTheme="majorHAnsi" w:cstheme="majorHAnsi"/>
        </w:rPr>
      </w:pPr>
      <w:r w:rsidRPr="00731D7A">
        <w:rPr>
          <w:rFonts w:asciiTheme="majorHAnsi" w:hAnsiTheme="majorHAnsi" w:cstheme="majorHAnsi"/>
        </w:rPr>
        <w:t xml:space="preserve">Another group of transactions to be considered is gas storage contracts. Depending on the specifics of such contracts, some may be in scope of SFTR, others may potentially be in scope and a third group may be out of scope. Many gas storage contracts are entered into based on market practice/industry standards and include </w:t>
      </w:r>
      <w:bookmarkStart w:id="1" w:name="_Hlk14967297"/>
      <w:r w:rsidRPr="00731D7A">
        <w:rPr>
          <w:rFonts w:asciiTheme="majorHAnsi" w:hAnsiTheme="majorHAnsi" w:cstheme="majorHAnsi"/>
        </w:rPr>
        <w:t xml:space="preserve">a sell/buy-back or buy/sell-back obligation, </w:t>
      </w:r>
      <w:bookmarkEnd w:id="1"/>
      <w:r w:rsidRPr="00731D7A">
        <w:rPr>
          <w:rFonts w:asciiTheme="majorHAnsi" w:hAnsiTheme="majorHAnsi" w:cstheme="majorHAnsi"/>
        </w:rPr>
        <w:t>but mostly, such contracts are entered into for operational service purposes.</w:t>
      </w:r>
    </w:p>
    <w:p w14:paraId="1D9A8F47" w14:textId="77777777" w:rsidR="003C72C6" w:rsidRPr="00731D7A" w:rsidRDefault="003C72C6" w:rsidP="003C72C6">
      <w:pPr>
        <w:pStyle w:val="ListParagraph"/>
        <w:numPr>
          <w:ilvl w:val="0"/>
          <w:numId w:val="0"/>
        </w:numPr>
        <w:ind w:left="1068"/>
        <w:rPr>
          <w:rFonts w:asciiTheme="majorHAnsi" w:hAnsiTheme="majorHAnsi" w:cstheme="majorHAnsi"/>
        </w:rPr>
      </w:pPr>
    </w:p>
    <w:p w14:paraId="4D776B89" w14:textId="77777777" w:rsidR="003C72C6" w:rsidRPr="00731D7A" w:rsidRDefault="003C72C6" w:rsidP="003C72C6">
      <w:pPr>
        <w:jc w:val="both"/>
        <w:rPr>
          <w:rFonts w:asciiTheme="majorHAnsi" w:hAnsiTheme="majorHAnsi" w:cstheme="majorHAnsi"/>
        </w:rPr>
      </w:pPr>
      <w:r w:rsidRPr="00731D7A">
        <w:rPr>
          <w:rFonts w:asciiTheme="majorHAnsi" w:hAnsiTheme="majorHAnsi" w:cstheme="majorHAnsi"/>
        </w:rPr>
        <w:t>Considering the above, we seek additional guidance from ESMA confirming that the following types of transactions do not fall within the scope of SFTR:</w:t>
      </w:r>
    </w:p>
    <w:p w14:paraId="79655150" w14:textId="77777777" w:rsidR="003C72C6" w:rsidRPr="00731D7A" w:rsidRDefault="003C72C6" w:rsidP="003C72C6">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Theme="majorHAnsi" w:hAnsiTheme="majorHAnsi" w:cstheme="majorHAnsi"/>
          <w:sz w:val="24"/>
          <w:szCs w:val="24"/>
        </w:rPr>
      </w:pPr>
      <w:r w:rsidRPr="00731D7A">
        <w:rPr>
          <w:rFonts w:asciiTheme="majorHAnsi" w:hAnsiTheme="majorHAnsi" w:cstheme="majorHAnsi"/>
          <w:sz w:val="24"/>
          <w:szCs w:val="24"/>
        </w:rPr>
        <w:t xml:space="preserve">Commodity transactions entered into for reasons other than financing, such as for transportation and capacity needs and for operational purposes; </w:t>
      </w:r>
    </w:p>
    <w:p w14:paraId="3EED7581" w14:textId="77777777" w:rsidR="003C72C6" w:rsidRPr="00731D7A" w:rsidRDefault="003C72C6" w:rsidP="003C72C6">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Theme="majorHAnsi" w:hAnsiTheme="majorHAnsi" w:cstheme="majorHAnsi"/>
          <w:sz w:val="24"/>
          <w:szCs w:val="24"/>
        </w:rPr>
      </w:pPr>
      <w:r w:rsidRPr="00731D7A">
        <w:rPr>
          <w:rFonts w:asciiTheme="majorHAnsi" w:hAnsiTheme="majorHAnsi" w:cstheme="majorHAnsi"/>
          <w:sz w:val="24"/>
          <w:szCs w:val="24"/>
        </w:rPr>
        <w:t xml:space="preserve">Transactions entered into for gas storage purposes based on market practice/industry standards and including a sell/buy-back or buy/sell-back obligation; and </w:t>
      </w:r>
    </w:p>
    <w:p w14:paraId="36C1B10D" w14:textId="77777777" w:rsidR="003C72C6" w:rsidRPr="00731D7A" w:rsidRDefault="003C72C6" w:rsidP="003C72C6">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Theme="majorHAnsi" w:hAnsiTheme="majorHAnsi" w:cstheme="majorHAnsi"/>
          <w:sz w:val="24"/>
          <w:szCs w:val="24"/>
        </w:rPr>
      </w:pPr>
      <w:r w:rsidRPr="00731D7A">
        <w:rPr>
          <w:rFonts w:asciiTheme="majorHAnsi" w:hAnsiTheme="majorHAnsi" w:cstheme="majorHAnsi"/>
          <w:sz w:val="24"/>
          <w:szCs w:val="24"/>
        </w:rPr>
        <w:t>Transactions whereby the quantity/ characteristics of the commodity to be repurchased or returned, as the case may be, is/ are materially different compared to the quantity/ characteristics of the commodity sold or lent.</w:t>
      </w:r>
    </w:p>
    <w:p w14:paraId="4CD4389D" w14:textId="3D13A984" w:rsidR="00D62A4F" w:rsidRDefault="00D62A4F" w:rsidP="00D62A4F">
      <w:pPr>
        <w:rPr>
          <w:rFonts w:ascii="Arial" w:hAnsi="Arial" w:cs="Arial"/>
        </w:rPr>
      </w:pP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77777777" w:rsidR="00D62A4F" w:rsidRDefault="00D62A4F" w:rsidP="00D62A4F">
      <w:pPr>
        <w:rPr>
          <w:rFonts w:ascii="Arial" w:hAnsi="Arial" w:cs="Arial"/>
        </w:rPr>
      </w:pPr>
      <w:permStart w:id="1585262710" w:edGrp="everyone"/>
      <w:r>
        <w:rPr>
          <w:rFonts w:ascii="Arial" w:hAnsi="Arial" w:cs="Arial"/>
        </w:rPr>
        <w:t>TYPE YOUR TEXT HERE</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F646ECD" w14:textId="77777777" w:rsidR="00594233" w:rsidRPr="00731D7A" w:rsidRDefault="00594233" w:rsidP="00594233">
      <w:pPr>
        <w:jc w:val="both"/>
        <w:rPr>
          <w:rFonts w:asciiTheme="majorHAnsi" w:hAnsiTheme="majorHAnsi" w:cstheme="majorHAnsi"/>
        </w:rPr>
      </w:pPr>
      <w:permStart w:id="376123942" w:edGrp="everyone"/>
      <w:r w:rsidRPr="00731D7A">
        <w:rPr>
          <w:rFonts w:asciiTheme="majorHAnsi" w:hAnsiTheme="majorHAnsi" w:cstheme="majorHAnsi"/>
        </w:rPr>
        <w:t>As already mentioned in our response to Q1 above, we seek additional guidance from ESMA confirming that the following types of transactions do not fall within the scope of SFTR:</w:t>
      </w:r>
    </w:p>
    <w:p w14:paraId="0AFB7476" w14:textId="77777777" w:rsidR="00594233" w:rsidRPr="00731D7A" w:rsidRDefault="00594233" w:rsidP="00594233">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Theme="majorHAnsi" w:hAnsiTheme="majorHAnsi" w:cstheme="majorHAnsi"/>
          <w:sz w:val="24"/>
          <w:szCs w:val="24"/>
        </w:rPr>
      </w:pPr>
      <w:r w:rsidRPr="00731D7A">
        <w:rPr>
          <w:rFonts w:asciiTheme="majorHAnsi" w:hAnsiTheme="majorHAnsi" w:cstheme="majorHAnsi"/>
          <w:sz w:val="24"/>
          <w:szCs w:val="24"/>
        </w:rPr>
        <w:t xml:space="preserve">Commodity transactions entered into for reasons other than financing, such as for transportation and capacity needs and for operational purposes; </w:t>
      </w:r>
    </w:p>
    <w:p w14:paraId="6BAF7901" w14:textId="77777777" w:rsidR="00594233" w:rsidRPr="00731D7A" w:rsidRDefault="00594233" w:rsidP="00594233">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Theme="majorHAnsi" w:hAnsiTheme="majorHAnsi" w:cstheme="majorHAnsi"/>
          <w:sz w:val="24"/>
          <w:szCs w:val="24"/>
        </w:rPr>
      </w:pPr>
      <w:r w:rsidRPr="00731D7A">
        <w:rPr>
          <w:rFonts w:asciiTheme="majorHAnsi" w:hAnsiTheme="majorHAnsi" w:cstheme="majorHAnsi"/>
          <w:sz w:val="24"/>
          <w:szCs w:val="24"/>
        </w:rPr>
        <w:t xml:space="preserve">Transactions entered into for gas storage purposes based on market practice/industry standards and including a sell/buy-back or buy/sell-back obligation; and </w:t>
      </w:r>
    </w:p>
    <w:p w14:paraId="45C206A9" w14:textId="77777777" w:rsidR="00594233" w:rsidRPr="00731D7A" w:rsidRDefault="00594233" w:rsidP="00594233">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Theme="majorHAnsi" w:hAnsiTheme="majorHAnsi" w:cstheme="majorHAnsi"/>
          <w:sz w:val="24"/>
          <w:szCs w:val="24"/>
        </w:rPr>
      </w:pPr>
      <w:r w:rsidRPr="00731D7A">
        <w:rPr>
          <w:rFonts w:asciiTheme="majorHAnsi" w:hAnsiTheme="majorHAnsi" w:cstheme="majorHAnsi"/>
          <w:sz w:val="24"/>
          <w:szCs w:val="24"/>
        </w:rPr>
        <w:t>Transactions whereby the quantity/ characteristics of the commodity to be repurchased is materially different compared to the quantity/ characteristics of the commodity sold.</w:t>
      </w:r>
    </w:p>
    <w:p w14:paraId="3591175F" w14:textId="24111BCE" w:rsidR="00D62A4F" w:rsidRDefault="00D62A4F" w:rsidP="00D62A4F">
      <w:pPr>
        <w:rPr>
          <w:rFonts w:ascii="Arial" w:hAnsi="Arial" w:cs="Arial"/>
        </w:rPr>
      </w:pP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5B866C16" w14:textId="77777777" w:rsidR="00D62A4F" w:rsidRDefault="00D62A4F" w:rsidP="00D62A4F">
      <w:pPr>
        <w:rPr>
          <w:rFonts w:ascii="Arial" w:hAnsi="Arial" w:cs="Arial"/>
        </w:rPr>
      </w:pPr>
      <w:permStart w:id="1754024460" w:edGrp="everyone"/>
      <w:r>
        <w:rPr>
          <w:rFonts w:ascii="Arial" w:hAnsi="Arial" w:cs="Arial"/>
        </w:rPr>
        <w:t>TYPE YOUR TEXT HERE</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77777777" w:rsidR="00D62A4F" w:rsidRDefault="00D62A4F" w:rsidP="00D62A4F">
      <w:pPr>
        <w:rPr>
          <w:rFonts w:ascii="Arial" w:hAnsi="Arial" w:cs="Arial"/>
        </w:rPr>
      </w:pPr>
      <w:permStart w:id="2067472215" w:edGrp="everyone"/>
      <w:r>
        <w:rPr>
          <w:rFonts w:ascii="Arial" w:hAnsi="Arial" w:cs="Arial"/>
        </w:rPr>
        <w:t>TYPE YOUR TEXT HERE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4A1B10ED" w14:textId="77777777" w:rsidR="00594233" w:rsidRPr="00731D7A" w:rsidRDefault="00594233" w:rsidP="00594233">
      <w:pPr>
        <w:jc w:val="both"/>
        <w:rPr>
          <w:rFonts w:asciiTheme="majorHAnsi" w:hAnsiTheme="majorHAnsi" w:cstheme="majorHAnsi"/>
        </w:rPr>
      </w:pPr>
      <w:permStart w:id="593715747" w:edGrp="everyone"/>
      <w:r w:rsidRPr="00731D7A">
        <w:rPr>
          <w:rFonts w:asciiTheme="majorHAnsi" w:hAnsiTheme="majorHAnsi" w:cstheme="majorHAnsi"/>
        </w:rPr>
        <w:t xml:space="preserve">We agree with the proposal of ESMA with regard to the reporting of SFTs involving commodities. </w:t>
      </w:r>
    </w:p>
    <w:p w14:paraId="0B652BFE" w14:textId="77777777" w:rsidR="00594233" w:rsidRPr="00731D7A" w:rsidRDefault="00594233" w:rsidP="00594233">
      <w:pPr>
        <w:jc w:val="both"/>
        <w:rPr>
          <w:rFonts w:asciiTheme="majorHAnsi" w:hAnsiTheme="majorHAnsi" w:cstheme="majorHAnsi"/>
        </w:rPr>
      </w:pPr>
    </w:p>
    <w:p w14:paraId="43556539" w14:textId="77777777" w:rsidR="00594233" w:rsidRPr="00731D7A" w:rsidRDefault="00594233" w:rsidP="00594233">
      <w:pPr>
        <w:jc w:val="both"/>
        <w:rPr>
          <w:rFonts w:asciiTheme="majorHAnsi" w:hAnsiTheme="majorHAnsi" w:cstheme="majorHAnsi"/>
        </w:rPr>
      </w:pPr>
      <w:r w:rsidRPr="00731D7A">
        <w:rPr>
          <w:rFonts w:asciiTheme="majorHAnsi" w:hAnsiTheme="majorHAnsi" w:cstheme="majorHAnsi"/>
        </w:rPr>
        <w:t>As for further comments, please also see our responses to Q1, Q5 and Q38.</w:t>
      </w:r>
    </w:p>
    <w:p w14:paraId="6AD388E7" w14:textId="76B2F2D7" w:rsidR="00D62A4F" w:rsidRDefault="00D62A4F" w:rsidP="00D62A4F">
      <w:pPr>
        <w:rPr>
          <w:rFonts w:ascii="Arial" w:hAnsi="Arial" w:cs="Arial"/>
        </w:rPr>
      </w:pP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53B99003" w14:textId="77777777" w:rsidR="00594233" w:rsidRPr="00731D7A" w:rsidRDefault="00594233" w:rsidP="00594233">
      <w:pPr>
        <w:jc w:val="both"/>
        <w:rPr>
          <w:rFonts w:asciiTheme="majorHAnsi" w:hAnsiTheme="majorHAnsi" w:cstheme="majorHAnsi"/>
        </w:rPr>
      </w:pPr>
      <w:permStart w:id="31801561" w:edGrp="everyone"/>
      <w:r w:rsidRPr="00731D7A">
        <w:rPr>
          <w:rFonts w:asciiTheme="majorHAnsi" w:hAnsiTheme="majorHAnsi" w:cstheme="majorHAnsi"/>
        </w:rPr>
        <w:t xml:space="preserve">We remain concerned that some transactions within the scope of and already reportable under REMIT may also have to be reported under SFTR. We see that ESMA has recognised the issue and we would recommend cooperation with ACER to avoid burdensome double-reporting. </w:t>
      </w:r>
    </w:p>
    <w:p w14:paraId="10D6AF97" w14:textId="77777777" w:rsidR="00594233" w:rsidRPr="00731D7A" w:rsidRDefault="00594233" w:rsidP="00594233">
      <w:pPr>
        <w:jc w:val="both"/>
        <w:rPr>
          <w:rFonts w:asciiTheme="majorHAnsi" w:hAnsiTheme="majorHAnsi" w:cstheme="majorHAnsi"/>
        </w:rPr>
      </w:pPr>
    </w:p>
    <w:p w14:paraId="171AE7EF" w14:textId="77777777" w:rsidR="00594233" w:rsidRPr="00731D7A" w:rsidRDefault="00594233" w:rsidP="00594233">
      <w:pPr>
        <w:jc w:val="both"/>
        <w:rPr>
          <w:rFonts w:asciiTheme="majorHAnsi" w:hAnsiTheme="majorHAnsi" w:cstheme="majorHAnsi"/>
        </w:rPr>
      </w:pPr>
      <w:r w:rsidRPr="00731D7A">
        <w:rPr>
          <w:rFonts w:asciiTheme="majorHAnsi" w:hAnsiTheme="majorHAnsi" w:cstheme="majorHAnsi"/>
        </w:rPr>
        <w:t xml:space="preserve">SFTR already contains a carve-out for derivative transactions subject to EMIR and in our view, transactions subject to REMIT should also be excluded from the reporting requirements under SFTR. REMIT offers a comprehensive framework for the integrity and transparency of wholesale power and gas markets and we consider this double-reporting requirement to constitute an undue burden on market participants. Moreover, the reporting frameworks differ, which means that the burden is related not only to having to report the same data twice, but also to having to report details about the same contract in different formats and according to different reporting timeframes (an aspect also highlighted by ESMA in the consultation paper). </w:t>
      </w:r>
    </w:p>
    <w:p w14:paraId="7E407883" w14:textId="77777777" w:rsidR="00594233" w:rsidRPr="00731D7A" w:rsidRDefault="00594233" w:rsidP="00594233">
      <w:pPr>
        <w:jc w:val="both"/>
        <w:rPr>
          <w:rFonts w:asciiTheme="majorHAnsi" w:hAnsiTheme="majorHAnsi" w:cstheme="majorHAnsi"/>
        </w:rPr>
      </w:pPr>
    </w:p>
    <w:p w14:paraId="0A5C3EBE" w14:textId="134AEF5D" w:rsidR="00594233" w:rsidRPr="00731D7A" w:rsidRDefault="00594233" w:rsidP="00594233">
      <w:pPr>
        <w:jc w:val="both"/>
        <w:rPr>
          <w:rFonts w:asciiTheme="majorHAnsi" w:hAnsiTheme="majorHAnsi" w:cstheme="majorHAnsi"/>
        </w:rPr>
      </w:pPr>
      <w:r w:rsidRPr="00731D7A">
        <w:rPr>
          <w:rFonts w:asciiTheme="majorHAnsi" w:hAnsiTheme="majorHAnsi" w:cstheme="majorHAnsi"/>
        </w:rPr>
        <w:t>Furthermore, certain commodity specific timing aspects of the transaction legs might not be conclusively specified when the transaction is signed. Therefore, the reporting of executions under REMIT allows to report the details once all is clear, whereas under SFTR several amendments to the first report might be required</w:t>
      </w:r>
      <w:r w:rsidR="00002DA7">
        <w:rPr>
          <w:rFonts w:asciiTheme="majorHAnsi" w:hAnsiTheme="majorHAnsi" w:cstheme="majorHAnsi"/>
        </w:rPr>
        <w:t>,</w:t>
      </w:r>
      <w:r w:rsidRPr="00731D7A">
        <w:rPr>
          <w:rFonts w:asciiTheme="majorHAnsi" w:hAnsiTheme="majorHAnsi" w:cstheme="majorHAnsi"/>
        </w:rPr>
        <w:t xml:space="preserve"> since there are still flexible terms included. This means that one counterparty within a transaction can still define when the commodity can be sold and bought back</w:t>
      </w:r>
      <w:r w:rsidR="00AC73C6" w:rsidRPr="00731D7A">
        <w:rPr>
          <w:rFonts w:asciiTheme="majorHAnsi" w:hAnsiTheme="majorHAnsi" w:cstheme="majorHAnsi"/>
        </w:rPr>
        <w:t>,</w:t>
      </w:r>
      <w:r w:rsidRPr="00731D7A">
        <w:rPr>
          <w:rFonts w:asciiTheme="majorHAnsi" w:hAnsiTheme="majorHAnsi" w:cstheme="majorHAnsi"/>
        </w:rPr>
        <w:t xml:space="preserve"> resp. bought and sold back.</w:t>
      </w:r>
    </w:p>
    <w:p w14:paraId="0FDFA9F6" w14:textId="77777777" w:rsidR="00594233" w:rsidRPr="00731D7A" w:rsidRDefault="00594233" w:rsidP="00594233">
      <w:pPr>
        <w:jc w:val="both"/>
        <w:rPr>
          <w:rFonts w:asciiTheme="majorHAnsi" w:hAnsiTheme="majorHAnsi" w:cstheme="majorHAnsi"/>
        </w:rPr>
      </w:pPr>
    </w:p>
    <w:p w14:paraId="1287F8EB" w14:textId="77777777" w:rsidR="00594233" w:rsidRPr="00731D7A" w:rsidRDefault="00594233" w:rsidP="00594233">
      <w:pPr>
        <w:jc w:val="both"/>
        <w:rPr>
          <w:rFonts w:asciiTheme="majorHAnsi" w:hAnsiTheme="majorHAnsi" w:cstheme="majorHAnsi"/>
        </w:rPr>
      </w:pPr>
      <w:r w:rsidRPr="00731D7A">
        <w:rPr>
          <w:rFonts w:asciiTheme="majorHAnsi" w:hAnsiTheme="majorHAnsi" w:cstheme="majorHAnsi"/>
        </w:rPr>
        <w:t xml:space="preserve">We understand that such a carve-out may not be feasible at the level of this guidance, but hope that an alternative mechanism to address this could be found in the context of the wider review of the reporting regimes under the EU financial regulation framework. Alternatively, simplified SFTR reporting in the event that a transaction is reportable under REMIT could be a solution, provided that this would not create additional back office challenges. Further assessment would be needed. </w:t>
      </w:r>
    </w:p>
    <w:p w14:paraId="732363BD" w14:textId="63E1424E" w:rsidR="00D62A4F" w:rsidRDefault="00D62A4F" w:rsidP="00D62A4F">
      <w:pPr>
        <w:rPr>
          <w:rFonts w:ascii="Arial" w:hAnsi="Arial" w:cs="Arial"/>
        </w:rPr>
      </w:pP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7777777" w:rsidR="00D62A4F" w:rsidRDefault="00D62A4F" w:rsidP="00D62A4F">
      <w:pPr>
        <w:rPr>
          <w:rFonts w:ascii="Arial" w:hAnsi="Arial" w:cs="Arial"/>
        </w:rPr>
      </w:pPr>
      <w:permStart w:id="815811770" w:edGrp="everyone"/>
      <w:r>
        <w:rPr>
          <w:rFonts w:ascii="Arial" w:hAnsi="Arial" w:cs="Arial"/>
        </w:rPr>
        <w:t>TYPE YOUR TEXT HERE</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76007EB1" w14:textId="77777777" w:rsidR="00594233" w:rsidRPr="00731D7A" w:rsidRDefault="00594233" w:rsidP="00594233">
      <w:pPr>
        <w:rPr>
          <w:rFonts w:asciiTheme="majorHAnsi" w:hAnsiTheme="majorHAnsi" w:cstheme="majorHAnsi"/>
        </w:rPr>
      </w:pPr>
      <w:permStart w:id="175859825" w:edGrp="everyone"/>
      <w:r w:rsidRPr="00731D7A">
        <w:rPr>
          <w:rFonts w:asciiTheme="majorHAnsi" w:hAnsiTheme="majorHAnsi" w:cstheme="majorHAnsi"/>
        </w:rPr>
        <w:t xml:space="preserve">Under other regulatory reporting frameworks, i.e. EMIR and REMIT, the limited value added of reporting intragroup trades has been previously recognised. Whilst having little value to regulators and the market, such intragroup reporting represents a material workload for operational reporting teams. Considering a proportionate approach, we are in favour of an exemption of intragroup SFTs (at least where it concerns commodity SFTs) from the reporting obligation (as under the EMIR REFIT), or at least of making such an obligation subject to an explicit NRA request (as it is the case under REMIT). </w:t>
      </w:r>
    </w:p>
    <w:p w14:paraId="3057B4A3" w14:textId="67990FD0" w:rsidR="00D62A4F" w:rsidRDefault="00D62A4F" w:rsidP="00D62A4F">
      <w:pPr>
        <w:rPr>
          <w:rFonts w:ascii="Arial" w:hAnsi="Arial" w:cs="Arial"/>
        </w:rPr>
      </w:pP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E439C4D" w14:textId="77777777" w:rsidR="00594233" w:rsidRPr="00731D7A" w:rsidRDefault="00594233" w:rsidP="00594233">
      <w:pPr>
        <w:rPr>
          <w:rFonts w:asciiTheme="majorHAnsi" w:hAnsiTheme="majorHAnsi" w:cstheme="majorHAnsi"/>
        </w:rPr>
      </w:pPr>
      <w:permStart w:id="2100383752" w:edGrp="everyone"/>
      <w:r w:rsidRPr="00731D7A">
        <w:rPr>
          <w:rFonts w:asciiTheme="majorHAnsi" w:hAnsiTheme="majorHAnsi" w:cstheme="majorHAnsi"/>
        </w:rPr>
        <w:t>We generally agree with section 5.7 on reporting by an NFC.</w:t>
      </w:r>
    </w:p>
    <w:p w14:paraId="2D2F922F" w14:textId="76B58F33" w:rsidR="00D62A4F" w:rsidRDefault="00D62A4F" w:rsidP="00D62A4F">
      <w:pPr>
        <w:rPr>
          <w:rFonts w:ascii="Arial" w:hAnsi="Arial" w:cs="Arial"/>
        </w:rPr>
      </w:pP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77777777" w:rsidR="00D62A4F" w:rsidRDefault="00D62A4F" w:rsidP="00D62A4F">
      <w:pPr>
        <w:rPr>
          <w:rFonts w:ascii="Arial" w:hAnsi="Arial" w:cs="Arial"/>
        </w:rPr>
      </w:pPr>
      <w:permStart w:id="134157756" w:edGrp="everyone"/>
      <w:r>
        <w:rPr>
          <w:rFonts w:ascii="Arial" w:hAnsi="Arial" w:cs="Arial"/>
        </w:rPr>
        <w:t>TYPE YOUR TEXT HERE</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4D0FC5E" w14:textId="77777777" w:rsidR="00D62A4F" w:rsidRDefault="00D62A4F" w:rsidP="00D62A4F">
      <w:pPr>
        <w:rPr>
          <w:rFonts w:ascii="Arial" w:hAnsi="Arial" w:cs="Arial"/>
        </w:rPr>
      </w:pPr>
      <w:permStart w:id="1355967403" w:edGrp="everyone"/>
      <w:r>
        <w:rPr>
          <w:rFonts w:ascii="Arial" w:hAnsi="Arial" w:cs="Arial"/>
        </w:rPr>
        <w:t>TYPE YOUR TEXT HERE</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77777777" w:rsidR="00D62A4F" w:rsidRDefault="00D62A4F" w:rsidP="00D62A4F">
      <w:pPr>
        <w:rPr>
          <w:rFonts w:ascii="Arial" w:hAnsi="Arial" w:cs="Arial"/>
        </w:rPr>
      </w:pPr>
      <w:permStart w:id="531385609" w:edGrp="everyone"/>
      <w:r>
        <w:rPr>
          <w:rFonts w:ascii="Arial" w:hAnsi="Arial" w:cs="Arial"/>
        </w:rPr>
        <w:t>TYPE YOUR TEXT HERE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7777777" w:rsidR="00D62A4F" w:rsidRDefault="00D62A4F" w:rsidP="00D62A4F">
      <w:pPr>
        <w:rPr>
          <w:rFonts w:ascii="Arial" w:hAnsi="Arial" w:cs="Arial"/>
        </w:rPr>
      </w:pPr>
      <w:permStart w:id="117392414" w:edGrp="everyone"/>
      <w:r>
        <w:rPr>
          <w:rFonts w:ascii="Arial" w:hAnsi="Arial" w:cs="Arial"/>
        </w:rPr>
        <w:t>TYPE YOUR TEXT HERE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023529B5" w14:textId="77777777" w:rsidR="00594233" w:rsidRPr="00731D7A" w:rsidRDefault="00594233" w:rsidP="00594233">
      <w:pPr>
        <w:rPr>
          <w:rFonts w:asciiTheme="majorHAnsi" w:hAnsiTheme="majorHAnsi" w:cstheme="majorHAnsi"/>
        </w:rPr>
      </w:pPr>
      <w:permStart w:id="162426900" w:edGrp="everyone"/>
      <w:r w:rsidRPr="00731D7A">
        <w:rPr>
          <w:rFonts w:asciiTheme="majorHAnsi" w:hAnsiTheme="majorHAnsi" w:cstheme="majorHAnsi"/>
        </w:rPr>
        <w:t>Any reporting of lifecycle events should be aligned with EMIR reporting processes.</w:t>
      </w:r>
    </w:p>
    <w:p w14:paraId="1AF1D8C1" w14:textId="1886B0B1" w:rsidR="00D62A4F" w:rsidRDefault="00D62A4F" w:rsidP="00D62A4F">
      <w:pPr>
        <w:rPr>
          <w:rFonts w:ascii="Arial" w:hAnsi="Arial" w:cs="Arial"/>
        </w:rPr>
      </w:pP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0762A7B9" w14:textId="77777777" w:rsidR="00D62A4F" w:rsidRDefault="00D62A4F" w:rsidP="00D62A4F">
      <w:pPr>
        <w:rPr>
          <w:rFonts w:ascii="Arial" w:hAnsi="Arial" w:cs="Arial"/>
        </w:rPr>
      </w:pPr>
      <w:permStart w:id="721421322" w:edGrp="everyone"/>
      <w:r>
        <w:rPr>
          <w:rFonts w:ascii="Arial" w:hAnsi="Arial" w:cs="Arial"/>
        </w:rPr>
        <w:t>TYPE YOUR TEXT HERE</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7777777" w:rsidR="00D62A4F" w:rsidRDefault="00D62A4F" w:rsidP="00D62A4F">
      <w:pPr>
        <w:rPr>
          <w:rFonts w:ascii="Arial" w:hAnsi="Arial" w:cs="Arial"/>
        </w:rPr>
      </w:pPr>
      <w:permStart w:id="2072793376" w:edGrp="everyone"/>
      <w:r>
        <w:rPr>
          <w:rFonts w:ascii="Arial" w:hAnsi="Arial" w:cs="Arial"/>
        </w:rPr>
        <w:t>TYPE YOUR TEXT HERE</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77777777" w:rsidR="00D62A4F" w:rsidRDefault="00D62A4F" w:rsidP="00D62A4F">
      <w:pPr>
        <w:rPr>
          <w:rFonts w:ascii="Arial" w:hAnsi="Arial" w:cs="Arial"/>
        </w:rPr>
      </w:pPr>
      <w:permStart w:id="1659896593" w:edGrp="everyone"/>
      <w:r>
        <w:rPr>
          <w:rFonts w:ascii="Arial" w:hAnsi="Arial" w:cs="Arial"/>
        </w:rPr>
        <w:t>TYPE YOUR TEXT HERE</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77777777" w:rsidR="00D62A4F" w:rsidRDefault="00D62A4F" w:rsidP="00D62A4F">
      <w:pPr>
        <w:rPr>
          <w:rFonts w:ascii="Arial" w:hAnsi="Arial" w:cs="Arial"/>
        </w:rPr>
      </w:pPr>
      <w:permStart w:id="916284123" w:edGrp="everyone"/>
      <w:r>
        <w:rPr>
          <w:rFonts w:ascii="Arial" w:hAnsi="Arial" w:cs="Arial"/>
        </w:rPr>
        <w:t>TYPE YOUR TEXT HERE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18AB6331" w14:textId="3D9CBB8F" w:rsidR="00594233" w:rsidRPr="00731D7A" w:rsidRDefault="00594233" w:rsidP="00594233">
      <w:pPr>
        <w:jc w:val="both"/>
        <w:rPr>
          <w:rFonts w:asciiTheme="majorHAnsi" w:hAnsiTheme="majorHAnsi" w:cstheme="majorHAnsi"/>
        </w:rPr>
      </w:pPr>
      <w:permStart w:id="1362588161" w:edGrp="everyone"/>
      <w:r w:rsidRPr="00731D7A">
        <w:rPr>
          <w:rFonts w:asciiTheme="majorHAnsi" w:hAnsiTheme="majorHAnsi" w:cstheme="majorHAnsi"/>
        </w:rPr>
        <w:t>The general reporting obligation comes into application on 11 April 2020 for FCs (including authorised commodity dealers belonging to an industrial group) and 11 January 2021 for NFCs. Backloading all data from 2016</w:t>
      </w:r>
      <w:r w:rsidR="00731D7A">
        <w:rPr>
          <w:rFonts w:asciiTheme="majorHAnsi" w:hAnsiTheme="majorHAnsi" w:cstheme="majorHAnsi"/>
        </w:rPr>
        <w:t>,</w:t>
      </w:r>
      <w:r w:rsidRPr="00731D7A">
        <w:rPr>
          <w:rFonts w:asciiTheme="majorHAnsi" w:hAnsiTheme="majorHAnsi" w:cstheme="majorHAnsi"/>
        </w:rPr>
        <w:t xml:space="preserve"> regardless of remaining maturity</w:t>
      </w:r>
      <w:r w:rsidR="00731D7A">
        <w:rPr>
          <w:rFonts w:asciiTheme="majorHAnsi" w:hAnsiTheme="majorHAnsi" w:cstheme="majorHAnsi"/>
        </w:rPr>
        <w:t>,</w:t>
      </w:r>
      <w:r w:rsidRPr="00731D7A">
        <w:rPr>
          <w:rFonts w:asciiTheme="majorHAnsi" w:hAnsiTheme="majorHAnsi" w:cstheme="majorHAnsi"/>
        </w:rPr>
        <w:t xml:space="preserve"> would be of very limited use in terms of contributing to market transparency. This has recently been recognised by ESMA and EU stakeholders in the context of EMIR REFIT, whereby the 5Y backloading has been </w:t>
      </w:r>
      <w:bookmarkStart w:id="2" w:name="OpenAt"/>
      <w:bookmarkEnd w:id="2"/>
      <w:r w:rsidRPr="00731D7A">
        <w:rPr>
          <w:rFonts w:asciiTheme="majorHAnsi" w:hAnsiTheme="majorHAnsi" w:cstheme="majorHAnsi"/>
        </w:rPr>
        <w:t>removed.</w:t>
      </w:r>
    </w:p>
    <w:p w14:paraId="02090ABF" w14:textId="77777777" w:rsidR="00594233" w:rsidRPr="00731D7A" w:rsidRDefault="00594233" w:rsidP="00594233">
      <w:pPr>
        <w:jc w:val="both"/>
        <w:rPr>
          <w:rFonts w:asciiTheme="majorHAnsi" w:hAnsiTheme="majorHAnsi" w:cstheme="majorHAnsi"/>
        </w:rPr>
      </w:pPr>
    </w:p>
    <w:p w14:paraId="2FEE00DA" w14:textId="77777777" w:rsidR="00594233" w:rsidRPr="00731D7A" w:rsidRDefault="00594233" w:rsidP="00594233">
      <w:pPr>
        <w:jc w:val="both"/>
        <w:rPr>
          <w:rFonts w:asciiTheme="majorHAnsi" w:hAnsiTheme="majorHAnsi" w:cstheme="majorHAnsi"/>
        </w:rPr>
      </w:pPr>
      <w:r w:rsidRPr="00731D7A">
        <w:rPr>
          <w:rFonts w:asciiTheme="majorHAnsi" w:hAnsiTheme="majorHAnsi" w:cstheme="majorHAnsi"/>
        </w:rPr>
        <w:t xml:space="preserve">Further, due to the unclear scope for commodity-based SFTs, it has been difficult for the relevant counterparties to such commodity trades to conduct the necessary record-keeping for all reportable data fields. Consequently, the ‘pool of data’ from back in time is likely to be of poor quality, which would limit even further its usefulness from a supervisory perspective. </w:t>
      </w:r>
    </w:p>
    <w:p w14:paraId="58A37F44" w14:textId="77777777" w:rsidR="00594233" w:rsidRPr="00731D7A" w:rsidRDefault="00594233" w:rsidP="00594233">
      <w:pPr>
        <w:jc w:val="both"/>
        <w:rPr>
          <w:rFonts w:asciiTheme="majorHAnsi" w:hAnsiTheme="majorHAnsi" w:cstheme="majorHAnsi"/>
        </w:rPr>
      </w:pPr>
    </w:p>
    <w:p w14:paraId="13563CE8" w14:textId="508881E7" w:rsidR="00594233" w:rsidRPr="00731D7A" w:rsidRDefault="00594233" w:rsidP="00594233">
      <w:pPr>
        <w:jc w:val="both"/>
        <w:rPr>
          <w:rFonts w:asciiTheme="majorHAnsi" w:hAnsiTheme="majorHAnsi" w:cstheme="majorHAnsi"/>
        </w:rPr>
      </w:pPr>
      <w:r w:rsidRPr="00731D7A">
        <w:rPr>
          <w:rFonts w:asciiTheme="majorHAnsi" w:hAnsiTheme="majorHAnsi" w:cstheme="majorHAnsi"/>
        </w:rPr>
        <w:t>Therefore, the energy industry would recommend that backloading, at least for commodity-related transactions, should be revoked, i.e. data reporting should begin as of the respective ‘go live’ date, 11 April 2020 or 11 January 2021. We agree that contracts</w:t>
      </w:r>
      <w:r w:rsidR="00450D7F">
        <w:rPr>
          <w:rFonts w:asciiTheme="majorHAnsi" w:hAnsiTheme="majorHAnsi" w:cstheme="majorHAnsi"/>
        </w:rPr>
        <w:t xml:space="preserve"> which are</w:t>
      </w:r>
      <w:r w:rsidRPr="00731D7A">
        <w:rPr>
          <w:rFonts w:asciiTheme="majorHAnsi" w:hAnsiTheme="majorHAnsi" w:cstheme="majorHAnsi"/>
        </w:rPr>
        <w:t xml:space="preserve"> still outstanding on the go-live date and </w:t>
      </w:r>
      <w:r w:rsidR="00450D7F">
        <w:rPr>
          <w:rFonts w:asciiTheme="majorHAnsi" w:hAnsiTheme="majorHAnsi" w:cstheme="majorHAnsi"/>
        </w:rPr>
        <w:t>which meet</w:t>
      </w:r>
      <w:r w:rsidRPr="00731D7A">
        <w:rPr>
          <w:rFonts w:asciiTheme="majorHAnsi" w:hAnsiTheme="majorHAnsi" w:cstheme="majorHAnsi"/>
        </w:rPr>
        <w:t xml:space="preserve"> the SFTR backloading requirements (i.e. with remaining maturity exceeding 180 days or where the SFT remains outstanding 180 days after </w:t>
      </w:r>
      <w:r w:rsidR="00002DA7">
        <w:rPr>
          <w:rFonts w:asciiTheme="majorHAnsi" w:hAnsiTheme="majorHAnsi" w:cstheme="majorHAnsi"/>
        </w:rPr>
        <w:t>the reporting start date</w:t>
      </w:r>
      <w:r w:rsidRPr="00731D7A">
        <w:rPr>
          <w:rFonts w:asciiTheme="majorHAnsi" w:hAnsiTheme="majorHAnsi" w:cstheme="majorHAnsi"/>
        </w:rPr>
        <w:t>) should remain subject to the backloading obligation.</w:t>
      </w:r>
    </w:p>
    <w:p w14:paraId="361D3864" w14:textId="25E3366B" w:rsidR="00D62A4F" w:rsidRDefault="00D62A4F" w:rsidP="00D62A4F">
      <w:pPr>
        <w:rPr>
          <w:rFonts w:ascii="Arial" w:hAnsi="Arial" w:cs="Arial"/>
        </w:rPr>
      </w:pP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209DC5F7" w14:textId="77777777" w:rsidR="00594233" w:rsidRPr="00450D7F" w:rsidRDefault="00594233" w:rsidP="00594233">
      <w:pPr>
        <w:rPr>
          <w:rFonts w:asciiTheme="majorHAnsi" w:hAnsiTheme="majorHAnsi" w:cstheme="majorHAnsi"/>
        </w:rPr>
      </w:pPr>
      <w:permStart w:id="626288957" w:edGrp="everyone"/>
      <w:r w:rsidRPr="00450D7F">
        <w:rPr>
          <w:rFonts w:asciiTheme="majorHAnsi" w:hAnsiTheme="majorHAnsi" w:cstheme="majorHAnsi"/>
        </w:rPr>
        <w:t>Rules for the generation of UTIs should be aligned with EMIR reporting processes.</w:t>
      </w:r>
    </w:p>
    <w:p w14:paraId="4410177F" w14:textId="01F7F5CF" w:rsidR="00D62A4F" w:rsidRDefault="00D62A4F" w:rsidP="00D62A4F">
      <w:pPr>
        <w:rPr>
          <w:rFonts w:ascii="Arial" w:hAnsi="Arial" w:cs="Arial"/>
        </w:rPr>
      </w:pP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77777777" w:rsidR="00D62A4F" w:rsidRDefault="00D62A4F" w:rsidP="00D62A4F">
      <w:pPr>
        <w:rPr>
          <w:rFonts w:ascii="Arial" w:hAnsi="Arial" w:cs="Arial"/>
        </w:rPr>
      </w:pPr>
      <w:permStart w:id="669926732" w:edGrp="everyone"/>
      <w:r>
        <w:rPr>
          <w:rFonts w:ascii="Arial" w:hAnsi="Arial" w:cs="Arial"/>
        </w:rPr>
        <w:t>TYPE YOUR TEXT HERE</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6CF0CD72" w14:textId="1FEC4F84" w:rsidR="00594233" w:rsidRPr="00450D7F" w:rsidRDefault="00594233" w:rsidP="00594233">
      <w:pPr>
        <w:rPr>
          <w:rFonts w:asciiTheme="majorHAnsi" w:hAnsiTheme="majorHAnsi" w:cstheme="majorHAnsi"/>
        </w:rPr>
      </w:pPr>
      <w:permStart w:id="1802378143" w:edGrp="everyone"/>
      <w:r w:rsidRPr="00450D7F">
        <w:rPr>
          <w:rFonts w:asciiTheme="majorHAnsi" w:hAnsiTheme="majorHAnsi" w:cstheme="majorHAnsi"/>
        </w:rPr>
        <w:t>We do not agree with section 5.20 of the consultation document on reporting in the phase</w:t>
      </w:r>
      <w:bookmarkStart w:id="3" w:name="_GoBack"/>
      <w:bookmarkEnd w:id="3"/>
      <w:r w:rsidRPr="00450D7F">
        <w:rPr>
          <w:rFonts w:asciiTheme="majorHAnsi" w:hAnsiTheme="majorHAnsi" w:cstheme="majorHAnsi"/>
        </w:rPr>
        <w:t xml:space="preserve">-in period. In our view, the reporting of SFTs between an FC and an NFC shall start only when both parties are subject to the reporting obligations, i.e. at go-live of reporting for NFCs, as it is the case with the EMIR clearing and margining obligations, for instance. Voluntary reporting by NFCs or a requirement for NFCs to provide FCs with all the relevant information under the technical standards on reporting in advance of the reporting start date for NFCs, would impose an undue burden (in terms of costs and time to calibrate the respective mechanisms and processes) on NFCs.  </w:t>
      </w:r>
    </w:p>
    <w:p w14:paraId="148EC219" w14:textId="49340D58" w:rsidR="00D62A4F" w:rsidRDefault="00D62A4F" w:rsidP="00D62A4F">
      <w:pPr>
        <w:rPr>
          <w:rFonts w:ascii="Arial" w:hAnsi="Arial" w:cs="Arial"/>
        </w:rPr>
      </w:pP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77777777" w:rsidR="00D62A4F" w:rsidRDefault="00D62A4F" w:rsidP="00D62A4F">
      <w:pPr>
        <w:rPr>
          <w:rFonts w:ascii="Arial" w:hAnsi="Arial" w:cs="Arial"/>
        </w:rPr>
      </w:pPr>
      <w:permStart w:id="21845861" w:edGrp="everyone"/>
      <w:r>
        <w:rPr>
          <w:rFonts w:ascii="Arial" w:hAnsi="Arial" w:cs="Arial"/>
        </w:rPr>
        <w:t>TYPE YOUR TEXT HERE</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77777777" w:rsidR="00D62A4F" w:rsidRDefault="00D62A4F" w:rsidP="00D62A4F">
      <w:pPr>
        <w:rPr>
          <w:rFonts w:ascii="Arial" w:hAnsi="Arial" w:cs="Arial"/>
        </w:rPr>
      </w:pPr>
      <w:permStart w:id="471607582" w:edGrp="everyone"/>
      <w:r>
        <w:rPr>
          <w:rFonts w:ascii="Arial" w:hAnsi="Arial" w:cs="Arial"/>
        </w:rPr>
        <w:t>TYPE YOUR TEXT HERE</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519776C6" w14:textId="77777777" w:rsidR="00594233" w:rsidRPr="00450D7F" w:rsidRDefault="00594233" w:rsidP="00594233">
      <w:pPr>
        <w:jc w:val="both"/>
        <w:rPr>
          <w:rFonts w:asciiTheme="majorHAnsi" w:hAnsiTheme="majorHAnsi" w:cstheme="majorHAnsi"/>
        </w:rPr>
      </w:pPr>
      <w:permStart w:id="287460907" w:edGrp="everyone"/>
      <w:r w:rsidRPr="00450D7F">
        <w:rPr>
          <w:rFonts w:asciiTheme="majorHAnsi" w:hAnsiTheme="majorHAnsi" w:cstheme="majorHAnsi"/>
        </w:rPr>
        <w:t>Due to the uncertainty around the scope of SFTR in relation to commodities, so far, our focus has been primarily on identifying SFTs in the commodities context. Therefore, we have not had the chance to analyse in detail the reportable data fields. However, it is essential that the SFT reporting regime should be aligned as much as possible with existing regulatory reporting regimes applicable to commodities (i.e. REMIT/EMIR/MIFIR) in respect of data fields, processes, templates, etc. The regime should also consider relevant issues previously raised in the context of other reporting regimes, for instance, the complexity of unique product identifiers for commodities, such as ISIN codes.</w:t>
      </w:r>
    </w:p>
    <w:p w14:paraId="19994060" w14:textId="592DEAD9" w:rsidR="00D62A4F" w:rsidRDefault="00D62A4F" w:rsidP="00D62A4F">
      <w:pPr>
        <w:rPr>
          <w:rFonts w:ascii="Arial" w:hAnsi="Arial" w:cs="Arial"/>
        </w:rPr>
      </w:pP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77777777" w:rsidR="00D62A4F" w:rsidRDefault="00D62A4F" w:rsidP="00D62A4F">
      <w:pPr>
        <w:rPr>
          <w:rFonts w:ascii="Arial" w:hAnsi="Arial" w:cs="Arial"/>
        </w:rPr>
      </w:pPr>
      <w:permStart w:id="880958821" w:edGrp="everyone"/>
      <w:r>
        <w:rPr>
          <w:rFonts w:ascii="Arial" w:hAnsi="Arial" w:cs="Arial"/>
        </w:rPr>
        <w:t>TYPE YOUR TEXT HERE</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77777777" w:rsidR="00D62A4F" w:rsidRDefault="00D62A4F" w:rsidP="00D62A4F">
      <w:pPr>
        <w:rPr>
          <w:rFonts w:ascii="Arial" w:hAnsi="Arial" w:cs="Arial"/>
        </w:rPr>
      </w:pPr>
      <w:permStart w:id="1443438018" w:edGrp="everyone"/>
      <w:r>
        <w:rPr>
          <w:rFonts w:ascii="Arial" w:hAnsi="Arial" w:cs="Arial"/>
        </w:rPr>
        <w:t>TYPE YOUR TEXT HERE</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7777777" w:rsidR="00D62A4F" w:rsidRDefault="00D62A4F" w:rsidP="00D62A4F">
      <w:pPr>
        <w:rPr>
          <w:rFonts w:ascii="Arial" w:hAnsi="Arial" w:cs="Arial"/>
        </w:rPr>
      </w:pPr>
      <w:permStart w:id="1639145507" w:edGrp="everyone"/>
      <w:r>
        <w:rPr>
          <w:rFonts w:ascii="Arial" w:hAnsi="Arial" w:cs="Arial"/>
        </w:rPr>
        <w:t>TYPE YOUR TEXT HERE</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77777777" w:rsidR="00D62A4F" w:rsidRDefault="00D62A4F" w:rsidP="00D62A4F">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77777777" w:rsidR="00D62A4F" w:rsidRDefault="00D62A4F" w:rsidP="00D62A4F">
      <w:pPr>
        <w:rPr>
          <w:rFonts w:ascii="Arial" w:hAnsi="Arial" w:cs="Arial"/>
        </w:rPr>
      </w:pPr>
      <w:permStart w:id="144791521" w:edGrp="everyone"/>
      <w:r>
        <w:rPr>
          <w:rFonts w:ascii="Arial" w:hAnsi="Arial" w:cs="Arial"/>
        </w:rPr>
        <w:t>TYPE YOUR TEXT HERE</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A686D" w14:textId="77777777" w:rsidR="004A47E1" w:rsidRDefault="004A47E1" w:rsidP="007E7997">
      <w:r>
        <w:separator/>
      </w:r>
    </w:p>
  </w:endnote>
  <w:endnote w:type="continuationSeparator" w:id="0">
    <w:p w14:paraId="4AEB4B03" w14:textId="77777777" w:rsidR="004A47E1" w:rsidRDefault="004A47E1" w:rsidP="007E7997">
      <w:r>
        <w:continuationSeparator/>
      </w:r>
    </w:p>
  </w:endnote>
  <w:endnote w:type="continuationNotice" w:id="1">
    <w:p w14:paraId="68AEA102" w14:textId="77777777" w:rsidR="004A47E1" w:rsidRDefault="004A4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869A" w14:textId="77777777" w:rsidR="006B1123" w:rsidRDefault="006B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6B1123" w:rsidRDefault="006B112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6B1123" w:rsidRDefault="006B1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7DF34D" w:rsidR="006B1123" w:rsidRDefault="006B1123"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6B1123" w:rsidRDefault="006B11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6B1123" w:rsidRDefault="006B112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1B6B4" w14:textId="77777777" w:rsidR="004A47E1" w:rsidRDefault="004A47E1" w:rsidP="007E7997">
      <w:r>
        <w:separator/>
      </w:r>
    </w:p>
  </w:footnote>
  <w:footnote w:type="continuationSeparator" w:id="0">
    <w:p w14:paraId="3092FE20" w14:textId="77777777" w:rsidR="004A47E1" w:rsidRDefault="004A47E1" w:rsidP="007E7997">
      <w:r>
        <w:continuationSeparator/>
      </w:r>
    </w:p>
  </w:footnote>
  <w:footnote w:type="continuationNotice" w:id="1">
    <w:p w14:paraId="37EF9D2F" w14:textId="77777777" w:rsidR="004A47E1" w:rsidRDefault="004A4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2FCB" w14:textId="77777777" w:rsidR="006B1123" w:rsidRDefault="006B1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6B1123" w:rsidRDefault="006B1123">
    <w:pPr>
      <w:pStyle w:val="Header"/>
    </w:pPr>
  </w:p>
  <w:p w14:paraId="59FA3C9D" w14:textId="77777777" w:rsidR="006B1123" w:rsidRDefault="006B1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6B1123" w:rsidRDefault="006B112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6B1123" w:rsidRDefault="006B112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6B1123" w:rsidRPr="00D13661" w:rsidRDefault="006B112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6B1123" w:rsidRPr="00C3170E" w:rsidRDefault="006B1123" w:rsidP="00B50534">
    <w:pPr>
      <w:pStyle w:val="Header"/>
      <w:jc w:val="right"/>
      <w:rPr>
        <w:color w:val="2F5496" w:themeColor="accent5" w:themeShade="BF"/>
        <w:sz w:val="20"/>
      </w:rPr>
    </w:pPr>
  </w:p>
  <w:p w14:paraId="5EAB6EC6" w14:textId="77777777" w:rsidR="006B1123" w:rsidRPr="00B50534" w:rsidRDefault="006B112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6582B93"/>
    <w:multiLevelType w:val="hybridMultilevel"/>
    <w:tmpl w:val="BD8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2DA7"/>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24FD"/>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058E"/>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C72C6"/>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0D7F"/>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A47E1"/>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4233"/>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0116"/>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123"/>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1D7A"/>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3A16"/>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3C6"/>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3E3B"/>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6545"/>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5C59"/>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05D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5D93"/>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9711A"/>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fe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760E69D-B2B8-466D-9B48-C2C2E316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104</TotalTime>
  <Pages>21</Pages>
  <Words>5181</Words>
  <Characters>29536</Characters>
  <Application>Microsoft Office Word</Application>
  <DocSecurity>8</DocSecurity>
  <Lines>246</Lines>
  <Paragraphs>69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General information about respondent</vt:lpstr>
      <vt:lpstr>Introduction</vt:lpstr>
    </vt:vector>
  </TitlesOfParts>
  <Company>ESMA</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Maria Popova</cp:lastModifiedBy>
  <cp:revision>19</cp:revision>
  <cp:lastPrinted>2017-07-24T14:47:00Z</cp:lastPrinted>
  <dcterms:created xsi:type="dcterms:W3CDTF">2019-07-29T12:04:00Z</dcterms:created>
  <dcterms:modified xsi:type="dcterms:W3CDTF">2019-07-29T16:34:00Z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