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bookmarkStart w:id="0" w:name="_GoBack"/>
          <w:bookmarkEnd w:id="0"/>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7618F5E0"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Re</w:t>
                </w:r>
                <w:r w:rsidR="00961EE5">
                  <w:rPr>
                    <w:rFonts w:asciiTheme="minorHAnsi" w:hAnsiTheme="minorHAnsi" w:cstheme="minorHAnsi"/>
                    <w:sz w:val="48"/>
                    <w:szCs w:val="48"/>
                  </w:rPr>
                  <w:t xml:space="preserve">ply </w:t>
                </w:r>
                <w:r>
                  <w:rPr>
                    <w:rFonts w:asciiTheme="minorHAnsi" w:hAnsiTheme="minorHAnsi" w:cstheme="minorHAnsi"/>
                    <w:sz w:val="48"/>
                    <w:szCs w:val="48"/>
                  </w:rPr>
                  <w:t xml:space="preserve">Form to the </w:t>
                </w:r>
                <w:r w:rsidR="008B2AF1">
                  <w:rPr>
                    <w:rFonts w:asciiTheme="minorHAnsi" w:hAnsiTheme="minorHAnsi" w:cstheme="minorHAnsi"/>
                    <w:sz w:val="48"/>
                    <w:szCs w:val="48"/>
                  </w:rPr>
                  <w:t>C</w:t>
                </w:r>
                <w:r w:rsidR="000F74C4">
                  <w:rPr>
                    <w:rFonts w:asciiTheme="minorHAnsi" w:hAnsiTheme="minorHAnsi" w:cstheme="minorHAnsi"/>
                    <w:sz w:val="48"/>
                    <w:szCs w:val="48"/>
                  </w:rPr>
                  <w:t xml:space="preserve">all for Evidence </w:t>
                </w:r>
              </w:p>
            </w:tc>
          </w:tr>
          <w:tr w:rsidR="00AB6157" w:rsidRPr="00B8572C" w14:paraId="76D253F5" w14:textId="77777777" w:rsidTr="00D13661">
            <w:trPr>
              <w:trHeight w:hRule="exact" w:val="747"/>
            </w:trPr>
            <w:tc>
              <w:tcPr>
                <w:tcW w:w="10490" w:type="dxa"/>
                <w:tcMar>
                  <w:top w:w="142" w:type="dxa"/>
                </w:tcMar>
              </w:tcPr>
              <w:p w14:paraId="26CF3934" w14:textId="070012CF" w:rsidR="00AB6157" w:rsidRPr="00B8572C" w:rsidRDefault="00AB6157" w:rsidP="00AB6157">
                <w:pPr>
                  <w:pStyle w:val="Heading2"/>
                  <w:numPr>
                    <w:ilvl w:val="0"/>
                    <w:numId w:val="0"/>
                  </w:numPr>
                  <w:ind w:left="576" w:hanging="576"/>
                </w:pPr>
                <w:r>
                  <w:t>Position limits and position management in commodity derivatives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ESMA invites comments on all matters in this paper and in particular on the specific questions summarised in Annex 1.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Pr="00AB6157">
            <w:rPr>
              <w:rFonts w:asciiTheme="minorHAnsi" w:eastAsiaTheme="minorEastAsia" w:hAnsiTheme="minorHAnsi" w:cstheme="minorBidi"/>
              <w:b/>
              <w:sz w:val="22"/>
              <w:szCs w:val="20"/>
              <w:lang w:eastAsia="en-US"/>
            </w:rPr>
            <w:t xml:space="preserve">5 July 2019. </w:t>
          </w:r>
        </w:p>
        <w:p w14:paraId="6ABAAC1F" w14:textId="012F5EED"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Please follow the instructions given in the document ‘Reply form for the call for evidence on </w:t>
          </w:r>
          <w:r w:rsidRPr="00AB6157">
            <w:rPr>
              <w:rFonts w:asciiTheme="minorHAnsi" w:eastAsiaTheme="minorEastAsia" w:hAnsiTheme="minorHAnsi" w:cstheme="minorBidi"/>
              <w:color w:val="2F5496" w:themeColor="accent5" w:themeShade="BF"/>
              <w:sz w:val="22"/>
              <w:szCs w:val="20"/>
              <w:lang w:eastAsia="en-US"/>
            </w:rPr>
            <w:t>position limits and position management controls in commodity derivatives</w:t>
          </w:r>
          <w:r w:rsidRPr="00AB6157">
            <w:rPr>
              <w:rFonts w:asciiTheme="minorHAnsi" w:eastAsiaTheme="minorEastAsia" w:hAnsiTheme="minorHAnsi" w:cstheme="minorBidi"/>
              <w:sz w:val="22"/>
              <w:szCs w:val="20"/>
              <w:lang w:eastAsia="en-US"/>
            </w:rPr>
            <w:t>’ also published on the ESMA website.</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11073FE0"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w:t>
          </w:r>
          <w:r w:rsidR="000F74C4">
            <w:rPr>
              <w:rFonts w:asciiTheme="minorHAnsi" w:eastAsiaTheme="minorEastAsia" w:hAnsiTheme="minorHAnsi" w:cstheme="minorBidi"/>
              <w:sz w:val="22"/>
              <w:szCs w:val="20"/>
              <w:lang w:eastAsia="en-US"/>
            </w:rPr>
            <w:t>all for Evidence</w:t>
          </w:r>
          <w:r w:rsidRPr="00C85C8B">
            <w:rPr>
              <w:rFonts w:asciiTheme="minorHAnsi" w:eastAsiaTheme="minorEastAsia" w:hAnsiTheme="minorHAnsi" w:cstheme="minorBidi"/>
              <w:sz w:val="22"/>
              <w:szCs w:val="20"/>
              <w:lang w:eastAsia="en-US"/>
            </w:rPr>
            <w:t>, respondents are requested to follow the below steps when preparing and submitting their response:</w:t>
          </w:r>
        </w:p>
        <w:p w14:paraId="1200930E" w14:textId="520F1116" w:rsidR="00C85C8B" w:rsidRPr="00C85C8B" w:rsidRDefault="00C85C8B" w:rsidP="005311BA">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Insert your responses to the questions in the C</w:t>
          </w:r>
          <w:r w:rsidR="000F74C4">
            <w:rPr>
              <w:rFonts w:eastAsiaTheme="minorEastAsia" w:cstheme="minorBidi"/>
              <w:szCs w:val="20"/>
              <w:lang w:eastAsia="en-US"/>
            </w:rPr>
            <w:t>all for Evidence</w:t>
          </w:r>
          <w:r w:rsidRPr="00C85C8B">
            <w:rPr>
              <w:rFonts w:eastAsiaTheme="minorEastAsia" w:cstheme="minorBidi"/>
              <w:szCs w:val="20"/>
              <w:lang w:eastAsia="en-US"/>
            </w:rPr>
            <w:t xml:space="preserve"> in the present response form. </w:t>
          </w:r>
        </w:p>
        <w:p w14:paraId="3B16398E" w14:textId="77E7661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AB6157">
            <w:rPr>
              <w:rFonts w:eastAsiaTheme="minorEastAsia" w:cstheme="minorBidi"/>
              <w:szCs w:val="20"/>
              <w:lang w:eastAsia="en-US"/>
            </w:rPr>
            <w:t>PLPM</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8CF20C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AB6157">
            <w:rPr>
              <w:rFonts w:eastAsiaTheme="minorEastAsia" w:cstheme="minorBidi"/>
              <w:szCs w:val="20"/>
              <w:lang w:eastAsia="en-US"/>
            </w:rPr>
            <w:t>PLPM</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AB6157">
            <w:rPr>
              <w:rFonts w:eastAsiaTheme="minorEastAsia" w:cstheme="minorBidi"/>
              <w:szCs w:val="20"/>
              <w:lang w:eastAsia="en-US"/>
            </w:rPr>
            <w:t>PLPM</w:t>
          </w:r>
          <w:r w:rsidRPr="00C85C8B">
            <w:rPr>
              <w:rFonts w:eastAsiaTheme="minorEastAsia" w:cstheme="minorBidi"/>
              <w:szCs w:val="20"/>
              <w:lang w:eastAsia="en-US"/>
            </w:rPr>
            <w:t>_ABCD_RESPONSEFORM.</w:t>
          </w:r>
        </w:p>
        <w:p w14:paraId="1A9C59D6" w14:textId="013251E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w:t>
          </w:r>
          <w:r w:rsidR="000F74C4">
            <w:rPr>
              <w:rFonts w:eastAsiaTheme="minorEastAsia" w:cstheme="minorBidi"/>
              <w:szCs w:val="20"/>
              <w:lang w:eastAsia="en-US"/>
            </w:rPr>
            <w:t xml:space="preserve">all for Evidence </w:t>
          </w:r>
          <w:r w:rsidRPr="00C85C8B">
            <w:rPr>
              <w:rFonts w:eastAsiaTheme="minorEastAsia" w:cstheme="minorBidi"/>
              <w:szCs w:val="20"/>
              <w:lang w:eastAsia="en-US"/>
            </w:rPr>
            <w:t xml:space="preserve">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5B44E0DB"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trading venues, investment firms and non-financial counterparties trading in commodity derivatives, but responses are also sought from any other market participant including trade associations, industry bodies and investors.</w:t>
          </w:r>
        </w:p>
        <w:p w14:paraId="14912E5E" w14:textId="1CE85474" w:rsidR="00AF2EF7" w:rsidRPr="00B8572C" w:rsidRDefault="00A86BB2"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5311BA">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66E18944" w:rsidR="00C85C8B" w:rsidRPr="00C85C8B" w:rsidRDefault="00801C44" w:rsidP="00801C44">
                <w:pPr>
                  <w:rPr>
                    <w:rFonts w:ascii="Arial" w:hAnsi="Arial" w:cs="Arial"/>
                    <w:color w:val="808080"/>
                    <w:sz w:val="20"/>
                    <w:lang w:eastAsia="de-DE"/>
                  </w:rPr>
                </w:pPr>
                <w:r>
                  <w:rPr>
                    <w:rFonts w:ascii="Arial" w:hAnsi="Arial" w:cs="Arial"/>
                    <w:color w:val="808080"/>
                    <w:sz w:val="20"/>
                    <w:lang w:eastAsia="de-DE"/>
                  </w:rPr>
                  <w:t>Intercontinental Exchange</w:t>
                </w:r>
              </w:p>
            </w:tc>
          </w:sdtContent>
        </w:sdt>
      </w:tr>
      <w:tr w:rsidR="00C85C8B" w:rsidRPr="00C85C8B" w14:paraId="216F3E57" w14:textId="77777777" w:rsidTr="005311BA">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1CA4D01" w:rsidR="00C85C8B" w:rsidRPr="00C85C8B" w:rsidRDefault="00A86BB2"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01C44">
                  <w:rPr>
                    <w:rFonts w:ascii="Arial" w:hAnsi="Arial" w:cs="Arial"/>
                    <w:sz w:val="20"/>
                    <w:lang w:eastAsia="de-DE"/>
                  </w:rPr>
                  <w:t>Regulated markets/Exchanges/Trading Systems</w:t>
                </w:r>
              </w:sdtContent>
            </w:sdt>
          </w:p>
        </w:tc>
      </w:tr>
      <w:tr w:rsidR="00C85C8B" w:rsidRPr="00C85C8B" w14:paraId="0D216581" w14:textId="77777777" w:rsidTr="005311BA">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5311BA">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5E2AB036" w:rsidR="00C85C8B" w:rsidRPr="00C85C8B" w:rsidRDefault="00801C44"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2C339AE7" w:rsid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AB6157">
        <w:rPr>
          <w:rFonts w:asciiTheme="minorHAnsi" w:eastAsiaTheme="minorEastAsia" w:hAnsiTheme="minorHAnsi" w:cstheme="minorBidi"/>
          <w:sz w:val="22"/>
          <w:szCs w:val="20"/>
          <w:lang w:eastAsia="en-US"/>
        </w:rPr>
        <w:t>PLPM</w:t>
      </w:r>
      <w:r w:rsidRPr="00C85C8B">
        <w:rPr>
          <w:rFonts w:asciiTheme="minorHAnsi" w:eastAsiaTheme="minorEastAsia" w:hAnsiTheme="minorHAnsi" w:cstheme="minorBidi"/>
          <w:sz w:val="22"/>
          <w:szCs w:val="20"/>
          <w:lang w:eastAsia="en-US"/>
        </w:rPr>
        <w:t>_1&gt;</w:t>
      </w:r>
    </w:p>
    <w:p w14:paraId="0723418F" w14:textId="23436759" w:rsidR="00A50DDB" w:rsidRPr="008D073F" w:rsidRDefault="00A50DDB" w:rsidP="00A50DDB">
      <w:pPr>
        <w:pStyle w:val="NoSpacing"/>
        <w:spacing w:line="304" w:lineRule="atLeast"/>
        <w:jc w:val="both"/>
        <w:rPr>
          <w:rFonts w:ascii="Calibri" w:hAnsi="Calibri" w:cs="Calibri"/>
          <w:sz w:val="22"/>
          <w:szCs w:val="22"/>
        </w:rPr>
      </w:pPr>
      <w:r w:rsidRPr="008D073F">
        <w:rPr>
          <w:rFonts w:ascii="Calibri" w:hAnsi="Calibri" w:cs="Calibri"/>
          <w:sz w:val="22"/>
          <w:szCs w:val="22"/>
        </w:rPr>
        <w:t>ICE Futures Europe and ICE Endex (jointly referred to as “ICE” or “the Exchanges”) welcome the opportunity to provide their comments on the functioning of MiFID II position limits regime.</w:t>
      </w:r>
      <w:r w:rsidR="000453CE" w:rsidRPr="008D073F">
        <w:rPr>
          <w:rFonts w:ascii="Calibri" w:hAnsi="Calibri" w:cs="Calibri"/>
          <w:sz w:val="22"/>
          <w:szCs w:val="22"/>
        </w:rPr>
        <w:t xml:space="preserve"> </w:t>
      </w:r>
      <w:r w:rsidR="00C27DCC">
        <w:rPr>
          <w:rFonts w:ascii="Calibri" w:hAnsi="Calibri" w:cs="Calibri"/>
          <w:sz w:val="22"/>
          <w:szCs w:val="22"/>
        </w:rPr>
        <w:t>The Exchanges are wholly-owned subsidiar</w:t>
      </w:r>
      <w:r w:rsidR="00F833B8">
        <w:rPr>
          <w:rFonts w:ascii="Calibri" w:hAnsi="Calibri" w:cs="Calibri"/>
          <w:sz w:val="22"/>
          <w:szCs w:val="22"/>
        </w:rPr>
        <w:t>ies</w:t>
      </w:r>
      <w:r w:rsidR="00C27DCC">
        <w:rPr>
          <w:rFonts w:ascii="Calibri" w:hAnsi="Calibri" w:cs="Calibri"/>
          <w:sz w:val="22"/>
          <w:szCs w:val="22"/>
        </w:rPr>
        <w:t xml:space="preserve"> of Intercontinental Exchange, Inc.</w:t>
      </w:r>
    </w:p>
    <w:p w14:paraId="2BD04D6D" w14:textId="77777777" w:rsidR="00A50DDB" w:rsidRDefault="00A50DDB" w:rsidP="00A50DDB">
      <w:pPr>
        <w:pStyle w:val="NoSpacing"/>
        <w:spacing w:line="304" w:lineRule="atLeast"/>
        <w:jc w:val="both"/>
        <w:rPr>
          <w:sz w:val="24"/>
          <w:szCs w:val="24"/>
        </w:rPr>
      </w:pPr>
    </w:p>
    <w:p w14:paraId="26E37AFB" w14:textId="6BE0995F" w:rsidR="00A50DDB" w:rsidRDefault="00A50DDB" w:rsidP="00375349">
      <w:pPr>
        <w:pStyle w:val="NoSpacing"/>
        <w:spacing w:line="304" w:lineRule="atLeast"/>
        <w:jc w:val="both"/>
        <w:rPr>
          <w:rFonts w:ascii="Calibri" w:hAnsi="Calibri" w:cs="Calibri"/>
          <w:sz w:val="22"/>
          <w:szCs w:val="22"/>
        </w:rPr>
      </w:pPr>
      <w:r>
        <w:rPr>
          <w:rFonts w:ascii="Calibri" w:hAnsi="Calibri" w:cs="Calibri"/>
          <w:sz w:val="22"/>
          <w:szCs w:val="22"/>
        </w:rPr>
        <w:t>ICE Futures Europe was established in 1980 and provides a highly regulated fully electronic marketplace.</w:t>
      </w:r>
      <w:r w:rsidR="00375349">
        <w:rPr>
          <w:rFonts w:ascii="Calibri" w:hAnsi="Calibri" w:cs="Calibri"/>
          <w:sz w:val="22"/>
          <w:szCs w:val="22"/>
        </w:rPr>
        <w:t xml:space="preserve"> </w:t>
      </w:r>
      <w:r w:rsidR="008D073F">
        <w:rPr>
          <w:rFonts w:ascii="Calibri" w:hAnsi="Calibri" w:cs="Calibri"/>
          <w:sz w:val="22"/>
          <w:szCs w:val="22"/>
        </w:rPr>
        <w:t>It</w:t>
      </w:r>
      <w:r>
        <w:rPr>
          <w:rFonts w:ascii="Calibri" w:hAnsi="Calibri" w:cs="Calibri"/>
          <w:sz w:val="22"/>
          <w:szCs w:val="22"/>
        </w:rPr>
        <w:t xml:space="preserve"> has over 300 Members ranging from global investment banks</w:t>
      </w:r>
      <w:r w:rsidR="00C27DCC">
        <w:rPr>
          <w:rFonts w:ascii="Calibri" w:hAnsi="Calibri" w:cs="Calibri"/>
          <w:sz w:val="22"/>
          <w:szCs w:val="22"/>
        </w:rPr>
        <w:t xml:space="preserve"> and</w:t>
      </w:r>
      <w:r>
        <w:rPr>
          <w:rFonts w:ascii="Calibri" w:hAnsi="Calibri" w:cs="Calibri"/>
          <w:sz w:val="22"/>
          <w:szCs w:val="22"/>
        </w:rPr>
        <w:t xml:space="preserve"> trading companies to proprietary individual and former floor traders. ICE Futures Europe is a Recognised Investment Exchange</w:t>
      </w:r>
      <w:r w:rsidR="00C27DCC">
        <w:rPr>
          <w:rFonts w:ascii="Calibri" w:hAnsi="Calibri" w:cs="Calibri"/>
          <w:sz w:val="22"/>
          <w:szCs w:val="22"/>
        </w:rPr>
        <w:t>,</w:t>
      </w:r>
      <w:r>
        <w:rPr>
          <w:rFonts w:ascii="Calibri" w:hAnsi="Calibri" w:cs="Calibri"/>
          <w:sz w:val="22"/>
          <w:szCs w:val="22"/>
        </w:rPr>
        <w:t xml:space="preserve"> a Recognised Auction Platform, and a Benchmark Administrator under the Financial Services and Markets Act 2000, supervised by the Financial Conduct Authority. </w:t>
      </w:r>
      <w:r w:rsidR="00C27DCC">
        <w:rPr>
          <w:rFonts w:ascii="Calibri" w:hAnsi="Calibri" w:cs="Calibri"/>
          <w:sz w:val="22"/>
          <w:szCs w:val="22"/>
        </w:rPr>
        <w:t>ICE Clear Europe Limited provides c</w:t>
      </w:r>
      <w:r>
        <w:rPr>
          <w:rFonts w:ascii="Calibri" w:hAnsi="Calibri" w:cs="Calibri"/>
          <w:sz w:val="22"/>
          <w:szCs w:val="22"/>
        </w:rPr>
        <w:t>learing and settlement services for all of ICE Futures Europe’s contracts.</w:t>
      </w:r>
    </w:p>
    <w:p w14:paraId="7FF1B10B" w14:textId="77777777" w:rsidR="00A50DDB" w:rsidRDefault="00A50DDB" w:rsidP="00A50DDB">
      <w:pPr>
        <w:jc w:val="both"/>
        <w:rPr>
          <w:rFonts w:ascii="Calibri" w:hAnsi="Calibri" w:cs="Calibri"/>
          <w:sz w:val="22"/>
          <w:szCs w:val="22"/>
        </w:rPr>
      </w:pPr>
      <w:r>
        <w:rPr>
          <w:rFonts w:ascii="Calibri" w:hAnsi="Calibri" w:cs="Calibri"/>
          <w:sz w:val="22"/>
          <w:szCs w:val="22"/>
        </w:rPr>
        <w:t> </w:t>
      </w:r>
    </w:p>
    <w:p w14:paraId="7621E63C" w14:textId="5A5C9265" w:rsidR="00A50DDB" w:rsidRDefault="00A50DDB" w:rsidP="00A50DDB">
      <w:pPr>
        <w:jc w:val="both"/>
        <w:rPr>
          <w:rFonts w:ascii="Calibri" w:hAnsi="Calibri" w:cs="Calibri"/>
          <w:sz w:val="22"/>
          <w:szCs w:val="22"/>
        </w:rPr>
      </w:pPr>
      <w:r>
        <w:rPr>
          <w:rFonts w:ascii="Calibri" w:hAnsi="Calibri" w:cs="Calibri"/>
          <w:sz w:val="22"/>
          <w:szCs w:val="22"/>
        </w:rPr>
        <w:t>ICE Endex</w:t>
      </w:r>
      <w:r w:rsidR="00C27DCC">
        <w:rPr>
          <w:rFonts w:ascii="Calibri" w:hAnsi="Calibri" w:cs="Calibri"/>
          <w:sz w:val="22"/>
          <w:szCs w:val="22"/>
        </w:rPr>
        <w:t xml:space="preserve"> is </w:t>
      </w:r>
      <w:r w:rsidR="00375349">
        <w:rPr>
          <w:rFonts w:ascii="Calibri" w:hAnsi="Calibri" w:cs="Calibri"/>
          <w:sz w:val="22"/>
          <w:szCs w:val="22"/>
        </w:rPr>
        <w:t>the leading energy exchange in continental Europe</w:t>
      </w:r>
      <w:r w:rsidR="00C27DCC">
        <w:rPr>
          <w:rFonts w:ascii="Calibri" w:hAnsi="Calibri" w:cs="Calibri"/>
          <w:sz w:val="22"/>
          <w:szCs w:val="22"/>
        </w:rPr>
        <w:t>.  It</w:t>
      </w:r>
      <w:r>
        <w:rPr>
          <w:rFonts w:ascii="Calibri" w:hAnsi="Calibri" w:cs="Calibri"/>
          <w:sz w:val="22"/>
          <w:szCs w:val="22"/>
        </w:rPr>
        <w:t xml:space="preserve"> provides liquid European gas and power markets, including the TTF natural gas benchmark, enabling energy firms and financial participants to manage risk. ICE Endex offers a regulated futures and options platform, as well as gas balancing markets and gas storage services.</w:t>
      </w:r>
      <w:r w:rsidR="00043A3C">
        <w:rPr>
          <w:rFonts w:ascii="Calibri" w:hAnsi="Calibri" w:cs="Calibri"/>
          <w:sz w:val="22"/>
          <w:szCs w:val="22"/>
        </w:rPr>
        <w:t xml:space="preserve"> ICE Endex is </w:t>
      </w:r>
      <w:r w:rsidR="00B00AF8">
        <w:rPr>
          <w:rFonts w:ascii="Calibri" w:hAnsi="Calibri" w:cs="Calibri"/>
          <w:sz w:val="22"/>
          <w:szCs w:val="22"/>
        </w:rPr>
        <w:t xml:space="preserve">a </w:t>
      </w:r>
      <w:r w:rsidR="00043A3C">
        <w:rPr>
          <w:rFonts w:ascii="Calibri" w:hAnsi="Calibri" w:cs="Calibri"/>
          <w:sz w:val="22"/>
          <w:szCs w:val="22"/>
        </w:rPr>
        <w:t xml:space="preserve">regulated </w:t>
      </w:r>
      <w:r w:rsidR="00B00AF8">
        <w:rPr>
          <w:rFonts w:ascii="Calibri" w:hAnsi="Calibri" w:cs="Calibri"/>
          <w:sz w:val="22"/>
          <w:szCs w:val="22"/>
        </w:rPr>
        <w:t xml:space="preserve">market supervised </w:t>
      </w:r>
      <w:r w:rsidR="00043A3C">
        <w:rPr>
          <w:rFonts w:ascii="Calibri" w:hAnsi="Calibri" w:cs="Calibri"/>
          <w:sz w:val="22"/>
          <w:szCs w:val="22"/>
        </w:rPr>
        <w:t>by the</w:t>
      </w:r>
      <w:r w:rsidR="00B00AF8">
        <w:rPr>
          <w:rFonts w:ascii="Calibri" w:hAnsi="Calibri" w:cs="Calibri"/>
          <w:sz w:val="22"/>
          <w:szCs w:val="22"/>
        </w:rPr>
        <w:t xml:space="preserve"> Dutch Authority for the Financial Markets (“AFM”).</w:t>
      </w:r>
    </w:p>
    <w:p w14:paraId="45D260E7" w14:textId="66510585" w:rsidR="00375349" w:rsidRDefault="00375349" w:rsidP="008D073F">
      <w:pPr>
        <w:pStyle w:val="NoSpacing"/>
        <w:spacing w:line="304" w:lineRule="atLeast"/>
        <w:jc w:val="both"/>
        <w:rPr>
          <w:rFonts w:ascii="Calibri" w:hAnsi="Calibri" w:cs="Calibri"/>
          <w:sz w:val="22"/>
          <w:szCs w:val="22"/>
        </w:rPr>
      </w:pPr>
    </w:p>
    <w:p w14:paraId="4D4DBDB8" w14:textId="15BFA833" w:rsidR="00375349" w:rsidRPr="008D073F" w:rsidRDefault="00375349" w:rsidP="008D073F">
      <w:pPr>
        <w:pStyle w:val="NoSpacing"/>
        <w:spacing w:line="304" w:lineRule="atLeast"/>
        <w:jc w:val="both"/>
        <w:rPr>
          <w:rFonts w:ascii="Calibri" w:hAnsi="Calibri" w:cs="Calibri"/>
          <w:sz w:val="22"/>
          <w:szCs w:val="22"/>
        </w:rPr>
      </w:pPr>
      <w:r>
        <w:rPr>
          <w:rFonts w:ascii="Calibri" w:hAnsi="Calibri" w:cs="Calibri"/>
          <w:sz w:val="22"/>
          <w:szCs w:val="22"/>
        </w:rPr>
        <w:t xml:space="preserve">As a general principle, </w:t>
      </w:r>
      <w:r w:rsidR="008D073F">
        <w:rPr>
          <w:rFonts w:ascii="Calibri" w:hAnsi="Calibri" w:cs="Calibri"/>
          <w:sz w:val="22"/>
          <w:szCs w:val="22"/>
        </w:rPr>
        <w:t>the Exchanges</w:t>
      </w:r>
      <w:r>
        <w:rPr>
          <w:rFonts w:ascii="Calibri" w:hAnsi="Calibri" w:cs="Calibri"/>
          <w:sz w:val="22"/>
          <w:szCs w:val="22"/>
        </w:rPr>
        <w:t xml:space="preserve"> support the objectives of MiFID II</w:t>
      </w:r>
      <w:r w:rsidR="00C27DCC">
        <w:rPr>
          <w:rFonts w:ascii="Calibri" w:hAnsi="Calibri" w:cs="Calibri"/>
          <w:sz w:val="22"/>
          <w:szCs w:val="22"/>
        </w:rPr>
        <w:t>, among other things,</w:t>
      </w:r>
      <w:r>
        <w:rPr>
          <w:rFonts w:ascii="Calibri" w:hAnsi="Calibri" w:cs="Calibri"/>
          <w:sz w:val="22"/>
          <w:szCs w:val="22"/>
        </w:rPr>
        <w:t xml:space="preserve"> to ensure transparency </w:t>
      </w:r>
      <w:r w:rsidR="000453CE">
        <w:rPr>
          <w:rFonts w:ascii="Calibri" w:hAnsi="Calibri" w:cs="Calibri"/>
          <w:sz w:val="22"/>
          <w:szCs w:val="22"/>
        </w:rPr>
        <w:t xml:space="preserve">and </w:t>
      </w:r>
      <w:r>
        <w:rPr>
          <w:rFonts w:ascii="Calibri" w:hAnsi="Calibri" w:cs="Calibri"/>
          <w:sz w:val="22"/>
          <w:szCs w:val="22"/>
        </w:rPr>
        <w:t>prevent abuse</w:t>
      </w:r>
      <w:r w:rsidR="000453CE" w:rsidRPr="000453CE">
        <w:rPr>
          <w:rFonts w:ascii="Calibri" w:hAnsi="Calibri" w:cs="Calibri"/>
          <w:sz w:val="22"/>
          <w:szCs w:val="22"/>
        </w:rPr>
        <w:t xml:space="preserve"> </w:t>
      </w:r>
      <w:r w:rsidR="000453CE">
        <w:rPr>
          <w:rFonts w:ascii="Calibri" w:hAnsi="Calibri" w:cs="Calibri"/>
          <w:sz w:val="22"/>
          <w:szCs w:val="22"/>
        </w:rPr>
        <w:t xml:space="preserve">in commodities markets. ICE actively </w:t>
      </w:r>
      <w:r w:rsidR="000453CE">
        <w:rPr>
          <w:rFonts w:ascii="Calibri" w:hAnsi="Calibri" w:cs="Calibri"/>
          <w:sz w:val="22"/>
          <w:szCs w:val="22"/>
        </w:rPr>
        <w:lastRenderedPageBreak/>
        <w:t xml:space="preserve">participated </w:t>
      </w:r>
      <w:r w:rsidR="000453CE" w:rsidRPr="000453CE">
        <w:rPr>
          <w:rFonts w:ascii="Calibri" w:hAnsi="Calibri" w:cs="Calibri"/>
          <w:sz w:val="22"/>
          <w:szCs w:val="22"/>
        </w:rPr>
        <w:t>in public consultations on the MiFID II/MiFIR package, including the position limits regime, as well as its implementing legislation and the related regulatory guidance.</w:t>
      </w:r>
      <w:r w:rsidR="000453CE" w:rsidRPr="008D073F">
        <w:rPr>
          <w:rFonts w:ascii="Calibri" w:hAnsi="Calibri" w:cs="Calibri"/>
          <w:sz w:val="22"/>
          <w:szCs w:val="22"/>
        </w:rPr>
        <w:t> </w:t>
      </w:r>
    </w:p>
    <w:p w14:paraId="3564CB88" w14:textId="7E6784F3" w:rsidR="000453CE" w:rsidRPr="008D073F" w:rsidRDefault="000453CE" w:rsidP="008D073F">
      <w:pPr>
        <w:pStyle w:val="NoSpacing"/>
        <w:spacing w:line="304" w:lineRule="atLeast"/>
        <w:jc w:val="both"/>
        <w:rPr>
          <w:rFonts w:ascii="Calibri" w:hAnsi="Calibri" w:cs="Calibri"/>
          <w:sz w:val="22"/>
          <w:szCs w:val="22"/>
        </w:rPr>
      </w:pPr>
    </w:p>
    <w:p w14:paraId="44793F5C" w14:textId="10ECDE56" w:rsidR="00E85F32" w:rsidRDefault="00C27DCC" w:rsidP="00E85F32">
      <w:pPr>
        <w:pStyle w:val="NoSpacing"/>
        <w:spacing w:line="304" w:lineRule="atLeast"/>
        <w:jc w:val="both"/>
        <w:rPr>
          <w:rFonts w:ascii="Calibri" w:eastAsia="Times New Roman" w:hAnsi="Calibri" w:cs="Calibri"/>
          <w:sz w:val="22"/>
          <w:szCs w:val="22"/>
          <w:lang w:eastAsia="en-GB"/>
        </w:rPr>
      </w:pPr>
      <w:r>
        <w:rPr>
          <w:rFonts w:ascii="Calibri" w:hAnsi="Calibri" w:cs="Calibri"/>
          <w:sz w:val="22"/>
          <w:szCs w:val="22"/>
        </w:rPr>
        <w:t>C</w:t>
      </w:r>
      <w:r w:rsidR="000453CE" w:rsidRPr="000453CE">
        <w:rPr>
          <w:rFonts w:ascii="Calibri" w:hAnsi="Calibri" w:cs="Calibri"/>
          <w:sz w:val="22"/>
          <w:szCs w:val="22"/>
        </w:rPr>
        <w:t xml:space="preserve">ertain </w:t>
      </w:r>
      <w:r w:rsidR="008D073F">
        <w:rPr>
          <w:rFonts w:ascii="Calibri" w:hAnsi="Calibri" w:cs="Calibri"/>
          <w:sz w:val="22"/>
          <w:szCs w:val="22"/>
        </w:rPr>
        <w:t xml:space="preserve">key </w:t>
      </w:r>
      <w:r w:rsidR="000453CE" w:rsidRPr="000453CE">
        <w:rPr>
          <w:rFonts w:ascii="Calibri" w:hAnsi="Calibri" w:cs="Calibri"/>
          <w:sz w:val="22"/>
          <w:szCs w:val="22"/>
        </w:rPr>
        <w:t xml:space="preserve">aspects of the position limits regime remain a challenge </w:t>
      </w:r>
      <w:r>
        <w:rPr>
          <w:rFonts w:ascii="Calibri" w:hAnsi="Calibri" w:cs="Calibri"/>
          <w:sz w:val="22"/>
          <w:szCs w:val="22"/>
        </w:rPr>
        <w:t>that</w:t>
      </w:r>
      <w:r w:rsidR="000453CE" w:rsidRPr="000453CE">
        <w:rPr>
          <w:rFonts w:ascii="Calibri" w:hAnsi="Calibri" w:cs="Calibri"/>
          <w:sz w:val="22"/>
          <w:szCs w:val="22"/>
        </w:rPr>
        <w:t xml:space="preserve"> </w:t>
      </w:r>
      <w:r w:rsidRPr="000453CE">
        <w:rPr>
          <w:rFonts w:ascii="Calibri" w:hAnsi="Calibri" w:cs="Calibri"/>
          <w:sz w:val="22"/>
          <w:szCs w:val="22"/>
        </w:rPr>
        <w:t xml:space="preserve">urgently </w:t>
      </w:r>
      <w:r w:rsidR="000453CE" w:rsidRPr="000453CE">
        <w:rPr>
          <w:rFonts w:ascii="Calibri" w:hAnsi="Calibri" w:cs="Calibri"/>
          <w:sz w:val="22"/>
          <w:szCs w:val="22"/>
        </w:rPr>
        <w:t xml:space="preserve">needs to be addressed to prevent adverse consequences to the integrity and competitiveness of European </w:t>
      </w:r>
      <w:r w:rsidR="000453CE">
        <w:rPr>
          <w:rFonts w:ascii="Calibri" w:hAnsi="Calibri" w:cs="Calibri"/>
          <w:sz w:val="22"/>
          <w:szCs w:val="22"/>
        </w:rPr>
        <w:t>c</w:t>
      </w:r>
      <w:r w:rsidR="000453CE" w:rsidRPr="000453CE">
        <w:rPr>
          <w:rFonts w:ascii="Calibri" w:hAnsi="Calibri" w:cs="Calibri"/>
          <w:sz w:val="22"/>
          <w:szCs w:val="22"/>
        </w:rPr>
        <w:t>ommodity derivatives markets.</w:t>
      </w:r>
      <w:r w:rsidR="000453CE">
        <w:rPr>
          <w:rFonts w:ascii="Calibri" w:hAnsi="Calibri" w:cs="Calibri"/>
          <w:sz w:val="22"/>
          <w:szCs w:val="22"/>
        </w:rPr>
        <w:t xml:space="preserve"> </w:t>
      </w:r>
      <w:r w:rsidR="00465246">
        <w:rPr>
          <w:rFonts w:ascii="Calibri" w:eastAsia="Times New Roman" w:hAnsi="Calibri" w:cs="Calibri"/>
          <w:sz w:val="22"/>
          <w:szCs w:val="22"/>
          <w:lang w:eastAsia="en-GB"/>
        </w:rPr>
        <w:t>To date, t</w:t>
      </w:r>
      <w:r w:rsidR="000453CE" w:rsidRPr="000453CE">
        <w:rPr>
          <w:rFonts w:ascii="Calibri" w:eastAsia="Times New Roman" w:hAnsi="Calibri" w:cs="Calibri"/>
          <w:sz w:val="22"/>
          <w:szCs w:val="22"/>
          <w:lang w:eastAsia="en-GB"/>
        </w:rPr>
        <w:t>he MiFID II position limits regime has function</w:t>
      </w:r>
      <w:r w:rsidR="00465246">
        <w:rPr>
          <w:rFonts w:ascii="Calibri" w:eastAsia="Times New Roman" w:hAnsi="Calibri" w:cs="Calibri"/>
          <w:sz w:val="22"/>
          <w:szCs w:val="22"/>
          <w:lang w:eastAsia="en-GB"/>
        </w:rPr>
        <w:t xml:space="preserve">ed </w:t>
      </w:r>
      <w:r w:rsidR="00F833B8">
        <w:rPr>
          <w:rFonts w:ascii="Calibri" w:eastAsia="Times New Roman" w:hAnsi="Calibri" w:cs="Calibri"/>
          <w:sz w:val="22"/>
          <w:szCs w:val="22"/>
          <w:lang w:eastAsia="en-GB"/>
        </w:rPr>
        <w:t xml:space="preserve">adequately </w:t>
      </w:r>
      <w:r w:rsidR="000453CE">
        <w:rPr>
          <w:rFonts w:ascii="Calibri" w:eastAsia="Times New Roman" w:hAnsi="Calibri" w:cs="Calibri"/>
          <w:sz w:val="22"/>
          <w:szCs w:val="22"/>
          <w:lang w:eastAsia="en-GB"/>
        </w:rPr>
        <w:t>for a number of well-developed</w:t>
      </w:r>
      <w:r w:rsidR="00465246">
        <w:rPr>
          <w:rFonts w:ascii="Calibri" w:eastAsia="Times New Roman" w:hAnsi="Calibri" w:cs="Calibri"/>
          <w:sz w:val="22"/>
          <w:szCs w:val="22"/>
          <w:lang w:eastAsia="en-GB"/>
        </w:rPr>
        <w:t>,</w:t>
      </w:r>
      <w:r w:rsidR="000453CE">
        <w:rPr>
          <w:rFonts w:ascii="Calibri" w:eastAsia="Times New Roman" w:hAnsi="Calibri" w:cs="Calibri"/>
          <w:sz w:val="22"/>
          <w:szCs w:val="22"/>
          <w:lang w:eastAsia="en-GB"/>
        </w:rPr>
        <w:t xml:space="preserve"> </w:t>
      </w:r>
      <w:r w:rsidR="000453CE" w:rsidRPr="000453CE">
        <w:rPr>
          <w:rFonts w:ascii="Calibri" w:eastAsia="Times New Roman" w:hAnsi="Calibri" w:cs="Calibri"/>
          <w:sz w:val="22"/>
          <w:szCs w:val="22"/>
          <w:lang w:eastAsia="en-GB"/>
        </w:rPr>
        <w:t xml:space="preserve">benchmark contracts. However, </w:t>
      </w:r>
      <w:r w:rsidR="00465246" w:rsidRPr="000453CE">
        <w:rPr>
          <w:rFonts w:ascii="Calibri" w:eastAsia="Times New Roman" w:hAnsi="Calibri" w:cs="Calibri"/>
          <w:sz w:val="22"/>
          <w:szCs w:val="22"/>
          <w:lang w:eastAsia="en-GB"/>
        </w:rPr>
        <w:t xml:space="preserve">the regime has proven to be a substantial barrier </w:t>
      </w:r>
      <w:r w:rsidR="00465246">
        <w:rPr>
          <w:rFonts w:ascii="Calibri" w:eastAsia="Times New Roman" w:hAnsi="Calibri" w:cs="Calibri"/>
          <w:sz w:val="22"/>
          <w:szCs w:val="22"/>
          <w:lang w:eastAsia="en-GB"/>
        </w:rPr>
        <w:t>to</w:t>
      </w:r>
      <w:r w:rsidR="000453CE" w:rsidRPr="000453CE">
        <w:rPr>
          <w:rFonts w:ascii="Calibri" w:eastAsia="Times New Roman" w:hAnsi="Calibri" w:cs="Calibri"/>
          <w:sz w:val="22"/>
          <w:szCs w:val="22"/>
          <w:lang w:eastAsia="en-GB"/>
        </w:rPr>
        <w:t xml:space="preserve"> the development of new products and growth </w:t>
      </w:r>
      <w:r w:rsidR="00465246">
        <w:rPr>
          <w:rFonts w:ascii="Calibri" w:eastAsia="Times New Roman" w:hAnsi="Calibri" w:cs="Calibri"/>
          <w:sz w:val="22"/>
          <w:szCs w:val="22"/>
          <w:lang w:eastAsia="en-GB"/>
        </w:rPr>
        <w:t xml:space="preserve">in </w:t>
      </w:r>
      <w:r w:rsidR="000453CE" w:rsidRPr="000453CE">
        <w:rPr>
          <w:rFonts w:ascii="Calibri" w:eastAsia="Times New Roman" w:hAnsi="Calibri" w:cs="Calibri"/>
          <w:sz w:val="22"/>
          <w:szCs w:val="22"/>
          <w:lang w:eastAsia="en-GB"/>
        </w:rPr>
        <w:t>the existing illiquid commodity derivative markets. Fast growing markets in particular have suffered from an increasingly restrictive limit as open interest increases and inflexible treatment in terms of their categorization under the position limits framework. </w:t>
      </w:r>
      <w:r w:rsidR="00AA18DB">
        <w:rPr>
          <w:rFonts w:ascii="Calibri" w:eastAsia="Times New Roman" w:hAnsi="Calibri" w:cs="Calibri"/>
          <w:sz w:val="22"/>
          <w:szCs w:val="22"/>
          <w:lang w:eastAsia="en-GB"/>
        </w:rPr>
        <w:t xml:space="preserve">This has </w:t>
      </w:r>
      <w:r w:rsidR="00B87F1C">
        <w:rPr>
          <w:rFonts w:ascii="Calibri" w:eastAsia="Times New Roman" w:hAnsi="Calibri" w:cs="Calibri"/>
          <w:sz w:val="22"/>
          <w:szCs w:val="22"/>
          <w:lang w:eastAsia="en-GB"/>
        </w:rPr>
        <w:t>preven</w:t>
      </w:r>
      <w:r w:rsidR="00AA18DB">
        <w:rPr>
          <w:rFonts w:ascii="Calibri" w:eastAsia="Times New Roman" w:hAnsi="Calibri" w:cs="Calibri"/>
          <w:sz w:val="22"/>
          <w:szCs w:val="22"/>
          <w:lang w:eastAsia="en-GB"/>
        </w:rPr>
        <w:t xml:space="preserve">ted the development of a number of contracts with global potential, especially in the energy space, thus underimining such initiatives as the European Commission’s “International Role of the Euro”.  </w:t>
      </w:r>
    </w:p>
    <w:p w14:paraId="334CDB65" w14:textId="77777777" w:rsidR="00E85F32" w:rsidRDefault="00E85F32" w:rsidP="00E85F32">
      <w:pPr>
        <w:pStyle w:val="NoSpacing"/>
        <w:spacing w:line="304" w:lineRule="atLeast"/>
        <w:jc w:val="both"/>
        <w:rPr>
          <w:rFonts w:ascii="Calibri" w:eastAsia="Times New Roman" w:hAnsi="Calibri" w:cs="Calibri"/>
          <w:sz w:val="22"/>
          <w:szCs w:val="22"/>
          <w:lang w:eastAsia="en-GB"/>
        </w:rPr>
      </w:pPr>
    </w:p>
    <w:p w14:paraId="67A60A81" w14:textId="3698788A" w:rsidR="00E85F32" w:rsidRPr="00E85F32" w:rsidRDefault="00E85F32" w:rsidP="00E85F32">
      <w:pPr>
        <w:pStyle w:val="NoSpacing"/>
        <w:spacing w:line="304" w:lineRule="atLeast"/>
        <w:jc w:val="both"/>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Furthermore, whilst the regime </w:t>
      </w:r>
      <w:r w:rsidRPr="008D073F">
        <w:rPr>
          <w:rFonts w:ascii="Calibri" w:eastAsia="Times New Roman" w:hAnsi="Calibri" w:cs="Calibri"/>
          <w:sz w:val="22"/>
          <w:szCs w:val="22"/>
          <w:lang w:eastAsia="en-GB"/>
        </w:rPr>
        <w:t xml:space="preserve">includes exemptions for market participants pursuing hedging activity, the definition of hedging as set out in RTS 20 is clear that only non-financial entities can engage in such activity. In consequence, the exemption is </w:t>
      </w:r>
      <w:r w:rsidR="00D27889">
        <w:rPr>
          <w:rFonts w:ascii="Calibri" w:eastAsia="Times New Roman" w:hAnsi="Calibri" w:cs="Calibri"/>
          <w:sz w:val="22"/>
          <w:szCs w:val="22"/>
          <w:lang w:eastAsia="en-GB"/>
        </w:rPr>
        <w:t xml:space="preserve">not available </w:t>
      </w:r>
      <w:r w:rsidRPr="008D073F">
        <w:rPr>
          <w:rFonts w:ascii="Calibri" w:eastAsia="Times New Roman" w:hAnsi="Calibri" w:cs="Calibri"/>
          <w:sz w:val="22"/>
          <w:szCs w:val="22"/>
          <w:lang w:eastAsia="en-GB"/>
        </w:rPr>
        <w:t xml:space="preserve">to investment banks or </w:t>
      </w:r>
      <w:r w:rsidR="00F833B8">
        <w:rPr>
          <w:rFonts w:ascii="Calibri" w:eastAsia="Times New Roman" w:hAnsi="Calibri" w:cs="Calibri"/>
          <w:sz w:val="22"/>
          <w:szCs w:val="22"/>
          <w:lang w:eastAsia="en-GB"/>
        </w:rPr>
        <w:t xml:space="preserve">certain </w:t>
      </w:r>
      <w:r w:rsidRPr="008D073F">
        <w:rPr>
          <w:rFonts w:ascii="Calibri" w:eastAsia="Times New Roman" w:hAnsi="Calibri" w:cs="Calibri"/>
          <w:sz w:val="22"/>
          <w:szCs w:val="22"/>
          <w:lang w:eastAsia="en-GB"/>
        </w:rPr>
        <w:t>commodity trading houses</w:t>
      </w:r>
      <w:r w:rsidR="00D27889">
        <w:rPr>
          <w:rFonts w:ascii="Calibri" w:eastAsia="Times New Roman" w:hAnsi="Calibri" w:cs="Calibri"/>
          <w:sz w:val="22"/>
          <w:szCs w:val="22"/>
          <w:lang w:eastAsia="en-GB"/>
        </w:rPr>
        <w:t>,</w:t>
      </w:r>
      <w:r w:rsidRPr="008D073F">
        <w:rPr>
          <w:rFonts w:ascii="Calibri" w:eastAsia="Times New Roman" w:hAnsi="Calibri" w:cs="Calibri"/>
          <w:sz w:val="22"/>
          <w:szCs w:val="22"/>
          <w:lang w:eastAsia="en-GB"/>
        </w:rPr>
        <w:t xml:space="preserve"> which both play a vital role in providing smaller commercial players with access to commodity derivatives markets.  </w:t>
      </w:r>
    </w:p>
    <w:p w14:paraId="5E2228FA" w14:textId="5164FBF1" w:rsidR="00E85F32" w:rsidRDefault="00E85F32" w:rsidP="000453CE">
      <w:pPr>
        <w:pStyle w:val="NoSpacing"/>
        <w:spacing w:line="304" w:lineRule="atLeast"/>
        <w:jc w:val="both"/>
        <w:rPr>
          <w:rFonts w:ascii="Calibri" w:eastAsia="Times New Roman" w:hAnsi="Calibri" w:cs="Calibri"/>
          <w:sz w:val="22"/>
          <w:szCs w:val="22"/>
          <w:lang w:eastAsia="en-GB"/>
        </w:rPr>
      </w:pPr>
    </w:p>
    <w:p w14:paraId="4C515A53" w14:textId="6A1A548B" w:rsidR="00AA18DB" w:rsidRDefault="00E85F32" w:rsidP="000453CE">
      <w:pPr>
        <w:pStyle w:val="NoSpacing"/>
        <w:spacing w:line="304" w:lineRule="atLeast"/>
        <w:jc w:val="both"/>
        <w:rPr>
          <w:rFonts w:ascii="Calibri" w:eastAsia="Times New Roman" w:hAnsi="Calibri" w:cs="Calibri"/>
          <w:b/>
          <w:sz w:val="22"/>
          <w:szCs w:val="22"/>
          <w:lang w:eastAsia="en-GB"/>
        </w:rPr>
      </w:pPr>
      <w:r w:rsidRPr="00AA18DB">
        <w:rPr>
          <w:rFonts w:ascii="Calibri" w:eastAsia="Times New Roman" w:hAnsi="Calibri" w:cs="Calibri"/>
          <w:b/>
          <w:sz w:val="22"/>
          <w:szCs w:val="22"/>
          <w:lang w:eastAsia="en-GB"/>
        </w:rPr>
        <w:t>Therefore, ICE recommends that changes are introduced to the position limits regime as a matter of urgency</w:t>
      </w:r>
      <w:r w:rsidR="00E669BF" w:rsidRPr="00AA18DB">
        <w:rPr>
          <w:rFonts w:ascii="Calibri" w:eastAsia="Times New Roman" w:hAnsi="Calibri" w:cs="Calibri"/>
          <w:b/>
          <w:sz w:val="22"/>
          <w:szCs w:val="22"/>
          <w:lang w:eastAsia="en-GB"/>
        </w:rPr>
        <w:t>. In the view of the Exchanges, the most effective design of the regime would be that only benchmar</w:t>
      </w:r>
      <w:r w:rsidR="00B87F1C">
        <w:rPr>
          <w:rFonts w:ascii="Calibri" w:eastAsia="Times New Roman" w:hAnsi="Calibri" w:cs="Calibri"/>
          <w:b/>
          <w:sz w:val="22"/>
          <w:szCs w:val="22"/>
          <w:lang w:eastAsia="en-GB"/>
        </w:rPr>
        <w:t>k contracts which actually contribute to</w:t>
      </w:r>
      <w:r w:rsidR="00E669BF" w:rsidRPr="00AA18DB">
        <w:rPr>
          <w:rFonts w:ascii="Calibri" w:eastAsia="Times New Roman" w:hAnsi="Calibri" w:cs="Calibri"/>
          <w:b/>
          <w:sz w:val="22"/>
          <w:szCs w:val="22"/>
          <w:lang w:eastAsia="en-GB"/>
        </w:rPr>
        <w:t xml:space="preserve"> price formation are subject to limits. Such benchmark contracts should be designated by the relevant National Competent Authorities in consultation with trading venues and subject to an opinion by ESMA. </w:t>
      </w:r>
      <w:r w:rsidR="00AA18DB">
        <w:rPr>
          <w:rFonts w:ascii="Calibri" w:eastAsia="Times New Roman" w:hAnsi="Calibri" w:cs="Calibri"/>
          <w:b/>
          <w:sz w:val="22"/>
          <w:szCs w:val="22"/>
          <w:lang w:eastAsia="en-GB"/>
        </w:rPr>
        <w:t>These could include for example all derivatives contracts with commodities for human consumption as underlying or the key energy market benchmarks such as Brent Crude Oil or Gasoil.</w:t>
      </w:r>
    </w:p>
    <w:p w14:paraId="3471325E" w14:textId="77777777" w:rsidR="00AA18DB" w:rsidRDefault="00AA18DB" w:rsidP="000453CE">
      <w:pPr>
        <w:pStyle w:val="NoSpacing"/>
        <w:spacing w:line="304" w:lineRule="atLeast"/>
        <w:jc w:val="both"/>
        <w:rPr>
          <w:rFonts w:ascii="Calibri" w:eastAsia="Times New Roman" w:hAnsi="Calibri" w:cs="Calibri"/>
          <w:b/>
          <w:sz w:val="22"/>
          <w:szCs w:val="22"/>
          <w:lang w:eastAsia="en-GB"/>
        </w:rPr>
      </w:pPr>
    </w:p>
    <w:p w14:paraId="75244F68" w14:textId="0F2A4765" w:rsidR="00E85F32" w:rsidRPr="00AA18DB" w:rsidRDefault="00E669BF" w:rsidP="000453CE">
      <w:pPr>
        <w:pStyle w:val="NoSpacing"/>
        <w:spacing w:line="304" w:lineRule="atLeast"/>
        <w:jc w:val="both"/>
        <w:rPr>
          <w:rFonts w:ascii="Calibri" w:eastAsia="Times New Roman" w:hAnsi="Calibri" w:cs="Calibri"/>
          <w:b/>
          <w:sz w:val="22"/>
          <w:szCs w:val="22"/>
          <w:lang w:eastAsia="en-GB"/>
        </w:rPr>
      </w:pPr>
      <w:r w:rsidRPr="00AA18DB">
        <w:rPr>
          <w:rFonts w:ascii="Calibri" w:eastAsia="Times New Roman" w:hAnsi="Calibri" w:cs="Calibri"/>
          <w:b/>
          <w:sz w:val="22"/>
          <w:szCs w:val="22"/>
          <w:lang w:eastAsia="en-GB"/>
        </w:rPr>
        <w:t>H</w:t>
      </w:r>
      <w:r w:rsidR="002D354F">
        <w:rPr>
          <w:rFonts w:ascii="Calibri" w:eastAsia="Times New Roman" w:hAnsi="Calibri" w:cs="Calibri"/>
          <w:b/>
          <w:sz w:val="22"/>
          <w:szCs w:val="22"/>
          <w:lang w:eastAsia="en-GB"/>
        </w:rPr>
        <w:t>owever, should</w:t>
      </w:r>
      <w:r w:rsidRPr="00AA18DB">
        <w:rPr>
          <w:rFonts w:ascii="Calibri" w:eastAsia="Times New Roman" w:hAnsi="Calibri" w:cs="Calibri"/>
          <w:b/>
          <w:sz w:val="22"/>
          <w:szCs w:val="22"/>
          <w:lang w:eastAsia="en-GB"/>
        </w:rPr>
        <w:t xml:space="preserve"> such a change in </w:t>
      </w:r>
      <w:r w:rsidR="002D354F">
        <w:rPr>
          <w:rFonts w:ascii="Calibri" w:eastAsia="Times New Roman" w:hAnsi="Calibri" w:cs="Calibri"/>
          <w:b/>
          <w:sz w:val="22"/>
          <w:szCs w:val="22"/>
          <w:lang w:eastAsia="en-GB"/>
        </w:rPr>
        <w:t xml:space="preserve">the regime’s </w:t>
      </w:r>
      <w:r w:rsidRPr="00AA18DB">
        <w:rPr>
          <w:rFonts w:ascii="Calibri" w:eastAsia="Times New Roman" w:hAnsi="Calibri" w:cs="Calibri"/>
          <w:b/>
          <w:sz w:val="22"/>
          <w:szCs w:val="22"/>
          <w:lang w:eastAsia="en-GB"/>
        </w:rPr>
        <w:t>design not be feasible</w:t>
      </w:r>
      <w:r w:rsidR="002D354F">
        <w:rPr>
          <w:rFonts w:ascii="Calibri" w:eastAsia="Times New Roman" w:hAnsi="Calibri" w:cs="Calibri"/>
          <w:b/>
          <w:sz w:val="22"/>
          <w:szCs w:val="22"/>
          <w:lang w:eastAsia="en-GB"/>
        </w:rPr>
        <w:t xml:space="preserve"> in the near term</w:t>
      </w:r>
      <w:r w:rsidRPr="00AA18DB">
        <w:rPr>
          <w:rFonts w:ascii="Calibri" w:eastAsia="Times New Roman" w:hAnsi="Calibri" w:cs="Calibri"/>
          <w:b/>
          <w:sz w:val="22"/>
          <w:szCs w:val="22"/>
          <w:lang w:eastAsia="en-GB"/>
        </w:rPr>
        <w:t xml:space="preserve">, at least the following amendments should be introduced in order to make </w:t>
      </w:r>
      <w:r w:rsidR="002D354F">
        <w:rPr>
          <w:rFonts w:ascii="Calibri" w:eastAsia="Times New Roman" w:hAnsi="Calibri" w:cs="Calibri"/>
          <w:b/>
          <w:sz w:val="22"/>
          <w:szCs w:val="22"/>
          <w:lang w:eastAsia="en-GB"/>
        </w:rPr>
        <w:t>position limits workable:</w:t>
      </w:r>
      <w:r w:rsidRPr="00AA18DB">
        <w:rPr>
          <w:rFonts w:ascii="Calibri" w:eastAsia="Times New Roman" w:hAnsi="Calibri" w:cs="Calibri"/>
          <w:b/>
          <w:sz w:val="22"/>
          <w:szCs w:val="22"/>
          <w:lang w:eastAsia="en-GB"/>
        </w:rPr>
        <w:t xml:space="preserve"> </w:t>
      </w:r>
    </w:p>
    <w:p w14:paraId="3AE26CE1" w14:textId="77777777" w:rsidR="00E85F32" w:rsidRPr="00AA18DB" w:rsidRDefault="00E85F32" w:rsidP="000453CE">
      <w:pPr>
        <w:pStyle w:val="NoSpacing"/>
        <w:spacing w:line="304" w:lineRule="atLeast"/>
        <w:jc w:val="both"/>
        <w:rPr>
          <w:rFonts w:ascii="Calibri" w:eastAsia="Times New Roman" w:hAnsi="Calibri" w:cs="Calibri"/>
          <w:sz w:val="22"/>
          <w:szCs w:val="22"/>
          <w:lang w:eastAsia="en-GB"/>
        </w:rPr>
      </w:pPr>
    </w:p>
    <w:p w14:paraId="4467CBDB" w14:textId="77777777" w:rsidR="00E85F32" w:rsidRPr="00AA18DB" w:rsidRDefault="00E85F32" w:rsidP="00E85F32">
      <w:pPr>
        <w:pStyle w:val="NoSpacing"/>
        <w:numPr>
          <w:ilvl w:val="0"/>
          <w:numId w:val="19"/>
        </w:numPr>
        <w:spacing w:line="304" w:lineRule="atLeast"/>
        <w:jc w:val="both"/>
        <w:rPr>
          <w:rFonts w:ascii="Calibri" w:eastAsia="Times New Roman" w:hAnsi="Calibri" w:cs="Calibri"/>
          <w:b/>
          <w:sz w:val="22"/>
          <w:szCs w:val="22"/>
          <w:lang w:eastAsia="en-GB"/>
        </w:rPr>
      </w:pPr>
      <w:r w:rsidRPr="00AA18DB">
        <w:rPr>
          <w:rFonts w:ascii="Calibri" w:eastAsia="Times New Roman" w:hAnsi="Calibri" w:cs="Calibri"/>
          <w:b/>
          <w:sz w:val="22"/>
          <w:szCs w:val="22"/>
          <w:lang w:eastAsia="en-GB"/>
        </w:rPr>
        <w:t>Position limits for small, new and illiquid contracts are removed or suspended in order to allow these contracts to develop and perform their function as risk-management instruments for commodities markets participants.</w:t>
      </w:r>
    </w:p>
    <w:p w14:paraId="0A6D5A33" w14:textId="64019A92" w:rsidR="000453CE" w:rsidRPr="00AA18DB" w:rsidRDefault="00E85F32" w:rsidP="000453CE">
      <w:pPr>
        <w:pStyle w:val="NoSpacing"/>
        <w:numPr>
          <w:ilvl w:val="0"/>
          <w:numId w:val="19"/>
        </w:numPr>
        <w:spacing w:line="304" w:lineRule="atLeast"/>
        <w:jc w:val="both"/>
        <w:rPr>
          <w:rFonts w:ascii="Calibri" w:eastAsia="Times New Roman" w:hAnsi="Calibri" w:cs="Calibri"/>
          <w:b/>
          <w:sz w:val="22"/>
          <w:szCs w:val="22"/>
          <w:lang w:eastAsia="en-GB"/>
        </w:rPr>
      </w:pPr>
      <w:r w:rsidRPr="00AA18DB">
        <w:rPr>
          <w:rFonts w:ascii="Calibri" w:eastAsia="Times New Roman" w:hAnsi="Calibri" w:cs="Calibri"/>
          <w:b/>
          <w:sz w:val="22"/>
          <w:szCs w:val="22"/>
          <w:lang w:eastAsia="en-GB"/>
        </w:rPr>
        <w:t xml:space="preserve">The definition of hedging within MiFID II/MiFIR as well as their implementing legislation </w:t>
      </w:r>
      <w:r w:rsidR="00D27889" w:rsidRPr="00AA18DB">
        <w:rPr>
          <w:rFonts w:ascii="Calibri" w:eastAsia="Times New Roman" w:hAnsi="Calibri" w:cs="Calibri"/>
          <w:b/>
          <w:sz w:val="22"/>
          <w:szCs w:val="22"/>
          <w:lang w:eastAsia="en-GB"/>
        </w:rPr>
        <w:t>be</w:t>
      </w:r>
      <w:r w:rsidRPr="00AA18DB">
        <w:rPr>
          <w:rFonts w:ascii="Calibri" w:eastAsia="Times New Roman" w:hAnsi="Calibri" w:cs="Calibri"/>
          <w:b/>
          <w:sz w:val="22"/>
          <w:szCs w:val="22"/>
          <w:lang w:eastAsia="en-GB"/>
        </w:rPr>
        <w:t xml:space="preserve"> reviewed</w:t>
      </w:r>
      <w:r w:rsidR="008D073F" w:rsidRPr="00AA18DB">
        <w:rPr>
          <w:rFonts w:ascii="Calibri" w:eastAsia="Times New Roman" w:hAnsi="Calibri" w:cs="Calibri"/>
          <w:b/>
          <w:sz w:val="22"/>
          <w:szCs w:val="22"/>
          <w:lang w:eastAsia="en-GB"/>
        </w:rPr>
        <w:t>,</w:t>
      </w:r>
      <w:r w:rsidRPr="00AA18DB">
        <w:rPr>
          <w:rFonts w:ascii="Calibri" w:eastAsia="Times New Roman" w:hAnsi="Calibri" w:cs="Calibri"/>
          <w:b/>
          <w:sz w:val="22"/>
          <w:szCs w:val="22"/>
          <w:lang w:eastAsia="en-GB"/>
        </w:rPr>
        <w:t xml:space="preserve"> so that hedging exemptions from position limits are available to all market participants manag</w:t>
      </w:r>
      <w:r w:rsidR="00D27889" w:rsidRPr="00AA18DB">
        <w:rPr>
          <w:rFonts w:ascii="Calibri" w:eastAsia="Times New Roman" w:hAnsi="Calibri" w:cs="Calibri"/>
          <w:b/>
          <w:sz w:val="22"/>
          <w:szCs w:val="22"/>
          <w:lang w:eastAsia="en-GB"/>
        </w:rPr>
        <w:t>ing</w:t>
      </w:r>
      <w:r w:rsidRPr="00AA18DB">
        <w:rPr>
          <w:rFonts w:ascii="Calibri" w:eastAsia="Times New Roman" w:hAnsi="Calibri" w:cs="Calibri"/>
          <w:b/>
          <w:sz w:val="22"/>
          <w:szCs w:val="22"/>
          <w:lang w:eastAsia="en-GB"/>
        </w:rPr>
        <w:t xml:space="preserve"> their risks through commodity derivatives markets,</w:t>
      </w:r>
      <w:r w:rsidR="008D073F" w:rsidRPr="00AA18DB">
        <w:rPr>
          <w:rFonts w:ascii="Calibri" w:eastAsia="Times New Roman" w:hAnsi="Calibri" w:cs="Calibri"/>
          <w:b/>
          <w:sz w:val="22"/>
          <w:szCs w:val="22"/>
          <w:lang w:eastAsia="en-GB"/>
        </w:rPr>
        <w:t xml:space="preserve"> including</w:t>
      </w:r>
      <w:r w:rsidRPr="00AA18DB">
        <w:rPr>
          <w:rFonts w:ascii="Calibri" w:eastAsia="Times New Roman" w:hAnsi="Calibri" w:cs="Calibri"/>
          <w:b/>
          <w:sz w:val="22"/>
          <w:szCs w:val="22"/>
          <w:lang w:eastAsia="en-GB"/>
        </w:rPr>
        <w:t xml:space="preserve"> </w:t>
      </w:r>
      <w:r w:rsidR="008D073F" w:rsidRPr="00AA18DB">
        <w:rPr>
          <w:rFonts w:ascii="Calibri" w:eastAsia="Times New Roman" w:hAnsi="Calibri" w:cs="Calibri"/>
          <w:b/>
          <w:sz w:val="22"/>
          <w:szCs w:val="22"/>
          <w:lang w:eastAsia="en-GB"/>
        </w:rPr>
        <w:t>financial firms</w:t>
      </w:r>
      <w:r w:rsidR="00D27889" w:rsidRPr="00AA18DB">
        <w:rPr>
          <w:rFonts w:ascii="Calibri" w:eastAsia="Times New Roman" w:hAnsi="Calibri" w:cs="Calibri"/>
          <w:b/>
          <w:sz w:val="22"/>
          <w:szCs w:val="22"/>
          <w:lang w:eastAsia="en-GB"/>
        </w:rPr>
        <w:t>. A position limit regime that permitted any market participant</w:t>
      </w:r>
      <w:r w:rsidR="008D073F" w:rsidRPr="00AA18DB">
        <w:rPr>
          <w:rFonts w:ascii="Calibri" w:eastAsia="Times New Roman" w:hAnsi="Calibri" w:cs="Calibri"/>
          <w:b/>
          <w:sz w:val="22"/>
          <w:szCs w:val="22"/>
          <w:lang w:eastAsia="en-GB"/>
        </w:rPr>
        <w:t xml:space="preserve"> conducting genuine hedging activity</w:t>
      </w:r>
      <w:r w:rsidR="00D27889" w:rsidRPr="00AA18DB">
        <w:rPr>
          <w:rFonts w:ascii="Calibri" w:eastAsia="Times New Roman" w:hAnsi="Calibri" w:cs="Calibri"/>
          <w:b/>
          <w:sz w:val="22"/>
          <w:szCs w:val="22"/>
          <w:lang w:eastAsia="en-GB"/>
        </w:rPr>
        <w:t xml:space="preserve"> to avail itself of a hedging exemption would </w:t>
      </w:r>
      <w:r w:rsidRPr="00AA18DB">
        <w:rPr>
          <w:rFonts w:ascii="Calibri" w:eastAsia="Times New Roman" w:hAnsi="Calibri" w:cs="Calibri"/>
          <w:b/>
          <w:sz w:val="22"/>
          <w:szCs w:val="22"/>
          <w:lang w:eastAsia="en-GB"/>
        </w:rPr>
        <w:t>better reflect the complex structure of these markets and transactions executed thereon. </w:t>
      </w:r>
    </w:p>
    <w:p w14:paraId="5B82E673" w14:textId="156DD755" w:rsidR="001312B5" w:rsidRPr="00E85F32" w:rsidRDefault="001312B5" w:rsidP="00C85C8B">
      <w:pPr>
        <w:spacing w:after="250" w:line="276" w:lineRule="auto"/>
        <w:jc w:val="both"/>
        <w:rPr>
          <w:rFonts w:asciiTheme="minorHAnsi" w:eastAsiaTheme="minorEastAsia" w:hAnsiTheme="minorHAnsi" w:cstheme="minorBidi"/>
          <w:b/>
          <w:sz w:val="22"/>
          <w:szCs w:val="20"/>
          <w:lang w:eastAsia="en-US"/>
        </w:rPr>
      </w:pPr>
    </w:p>
    <w:p w14:paraId="15D00E65" w14:textId="1A606BDE"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AB6157">
        <w:rPr>
          <w:rFonts w:asciiTheme="minorHAnsi" w:eastAsiaTheme="minorEastAsia" w:hAnsiTheme="minorHAnsi" w:cs="Arial"/>
          <w:sz w:val="22"/>
          <w:szCs w:val="20"/>
          <w:lang w:eastAsia="en-US"/>
        </w:rPr>
        <w:t>PLPM</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lastRenderedPageBreak/>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022DBCBF" w:rsidR="00AB6157" w:rsidRDefault="00AB6157" w:rsidP="00C1698A">
      <w:pPr>
        <w:spacing w:line="276" w:lineRule="auto"/>
        <w:rPr>
          <w:rFonts w:asciiTheme="minorHAnsi" w:hAnsiTheme="minorHAnsi" w:cstheme="minorHAnsi"/>
          <w:b/>
          <w:sz w:val="28"/>
          <w:szCs w:val="28"/>
        </w:rPr>
      </w:pPr>
    </w:p>
    <w:p w14:paraId="67015C34" w14:textId="77777777" w:rsidR="00AB6157" w:rsidRPr="00422240" w:rsidRDefault="00AB6157" w:rsidP="00AB6157">
      <w:pPr>
        <w:pStyle w:val="Questionstyle"/>
        <w:numPr>
          <w:ilvl w:val="0"/>
          <w:numId w:val="9"/>
        </w:numPr>
        <w:spacing w:after="250" w:line="276" w:lineRule="auto"/>
      </w:pPr>
      <w:r>
        <w:t xml:space="preserve">: </w:t>
      </w:r>
      <w:r w:rsidRPr="00422240">
        <w:t>In your view, what impact, if any, did the introduction of position limits have on the availability and liquidity of commodity derivative markets? What are in your views the main factors driving this development, e.g. the mere existence of a position limit and position reporting regime, some specific characteristics of the position limit regime or the level at which position limits are set? Please elaborate by differentiating per commodity asset class or contract where relevant and provide evidence to support your assessment.</w:t>
      </w:r>
    </w:p>
    <w:p w14:paraId="3A3B29FB" w14:textId="77777777" w:rsidR="00AB6157" w:rsidRDefault="00AB6157" w:rsidP="00AB6157">
      <w:pPr>
        <w:rPr>
          <w:rFonts w:ascii="Arial" w:hAnsi="Arial" w:cs="Arial"/>
        </w:rPr>
      </w:pPr>
      <w:r>
        <w:rPr>
          <w:rFonts w:ascii="Arial" w:hAnsi="Arial" w:cs="Arial"/>
        </w:rPr>
        <w:t>&lt;ESMA_QUESTION_PLPM_1&gt;</w:t>
      </w:r>
    </w:p>
    <w:p w14:paraId="54ACCC09" w14:textId="5B1DA5F4" w:rsidR="00280FAE" w:rsidRDefault="000B4F56" w:rsidP="000B4F56">
      <w:pPr>
        <w:pStyle w:val="NoSpacing"/>
        <w:spacing w:line="276" w:lineRule="auto"/>
        <w:jc w:val="both"/>
        <w:rPr>
          <w:rFonts w:ascii="Calibri" w:eastAsia="Calibri" w:hAnsi="Calibri" w:cs="Times New Roman"/>
          <w:sz w:val="22"/>
          <w:szCs w:val="22"/>
        </w:rPr>
      </w:pPr>
      <w:r w:rsidRPr="000B4F56">
        <w:rPr>
          <w:rFonts w:ascii="Calibri" w:eastAsia="Calibri" w:hAnsi="Calibri" w:cs="Times New Roman"/>
          <w:sz w:val="22"/>
          <w:szCs w:val="22"/>
        </w:rPr>
        <w:t>ICE</w:t>
      </w:r>
      <w:r w:rsidR="00C956F5">
        <w:rPr>
          <w:rFonts w:ascii="Calibri" w:eastAsia="Calibri" w:hAnsi="Calibri" w:cs="Times New Roman"/>
          <w:sz w:val="22"/>
          <w:szCs w:val="22"/>
        </w:rPr>
        <w:t xml:space="preserve"> believes that </w:t>
      </w:r>
      <w:r w:rsidRPr="000B4F56">
        <w:rPr>
          <w:rFonts w:ascii="Calibri" w:eastAsia="Calibri" w:hAnsi="Calibri" w:cs="Times New Roman"/>
          <w:sz w:val="22"/>
          <w:szCs w:val="22"/>
        </w:rPr>
        <w:t xml:space="preserve">the MiFID II position limits regime has so far been able to function </w:t>
      </w:r>
      <w:r w:rsidR="00AA18DB">
        <w:rPr>
          <w:rFonts w:ascii="Calibri" w:eastAsia="Calibri" w:hAnsi="Calibri" w:cs="Times New Roman"/>
          <w:sz w:val="22"/>
          <w:szCs w:val="22"/>
        </w:rPr>
        <w:t xml:space="preserve">without causing significant market disruption </w:t>
      </w:r>
      <w:r w:rsidRPr="000B4F56">
        <w:rPr>
          <w:rFonts w:ascii="Calibri" w:eastAsia="Calibri" w:hAnsi="Calibri" w:cs="Times New Roman"/>
          <w:sz w:val="22"/>
          <w:szCs w:val="22"/>
        </w:rPr>
        <w:t>for a number of well-developed benchmark contracts. These highly developed markets are characterised by a large number of different types of active trading firms and a substantial amount of open interest.</w:t>
      </w:r>
    </w:p>
    <w:p w14:paraId="1D8C60AA" w14:textId="10218A26" w:rsidR="000B4F56" w:rsidRDefault="00D27889" w:rsidP="000B4F56">
      <w:pPr>
        <w:pStyle w:val="NoSpacing"/>
        <w:spacing w:line="276" w:lineRule="auto"/>
        <w:jc w:val="both"/>
        <w:rPr>
          <w:rFonts w:ascii="Calibri" w:eastAsia="Calibri" w:hAnsi="Calibri" w:cs="Times New Roman"/>
          <w:sz w:val="22"/>
          <w:szCs w:val="22"/>
        </w:rPr>
      </w:pPr>
      <w:r>
        <w:rPr>
          <w:rFonts w:ascii="Calibri" w:eastAsia="Calibri" w:hAnsi="Calibri" w:cs="Times New Roman"/>
          <w:sz w:val="22"/>
          <w:szCs w:val="22"/>
        </w:rPr>
        <w:t>By contrast</w:t>
      </w:r>
      <w:r w:rsidR="00F45820" w:rsidRPr="00F45820">
        <w:rPr>
          <w:rFonts w:ascii="Calibri" w:eastAsia="Calibri" w:hAnsi="Calibri" w:cs="Times New Roman"/>
          <w:sz w:val="22"/>
          <w:szCs w:val="22"/>
        </w:rPr>
        <w:t xml:space="preserve">, </w:t>
      </w:r>
      <w:r w:rsidRPr="000B4F56">
        <w:rPr>
          <w:rFonts w:ascii="Calibri" w:eastAsia="Calibri" w:hAnsi="Calibri" w:cs="Times New Roman"/>
          <w:sz w:val="22"/>
          <w:szCs w:val="22"/>
        </w:rPr>
        <w:t>the position limits regime has proven to be a substantial barrier</w:t>
      </w:r>
      <w:r w:rsidRPr="00B7648F">
        <w:rPr>
          <w:rFonts w:ascii="Calibri" w:eastAsia="Calibri" w:hAnsi="Calibri" w:cs="Times New Roman"/>
          <w:sz w:val="22"/>
          <w:szCs w:val="22"/>
        </w:rPr>
        <w:t xml:space="preserve"> </w:t>
      </w:r>
      <w:r>
        <w:rPr>
          <w:rFonts w:ascii="Calibri" w:eastAsia="Calibri" w:hAnsi="Calibri" w:cs="Times New Roman"/>
          <w:sz w:val="22"/>
          <w:szCs w:val="22"/>
        </w:rPr>
        <w:t>to</w:t>
      </w:r>
      <w:r w:rsidR="000B4F56" w:rsidRPr="00B7648F">
        <w:rPr>
          <w:rFonts w:ascii="Calibri" w:eastAsia="Calibri" w:hAnsi="Calibri" w:cs="Times New Roman"/>
          <w:sz w:val="22"/>
          <w:szCs w:val="22"/>
        </w:rPr>
        <w:t xml:space="preserve"> the</w:t>
      </w:r>
      <w:r w:rsidR="000B4F56" w:rsidRPr="000B4F56">
        <w:rPr>
          <w:rFonts w:ascii="Calibri" w:eastAsia="Calibri" w:hAnsi="Calibri" w:cs="Times New Roman"/>
          <w:sz w:val="22"/>
          <w:szCs w:val="22"/>
        </w:rPr>
        <w:t xml:space="preserve"> development of new products and further growth of the existing illiquid commodity derivative markets. Fast growing markets in particular have suffered from (1) an increasingly restrictive limit as open interest increases and (2) inflexible treatment in terms of their categorization under the position limits framework. </w:t>
      </w:r>
    </w:p>
    <w:p w14:paraId="0F198232" w14:textId="77777777" w:rsidR="000B4F56" w:rsidRPr="000B4F56" w:rsidRDefault="000B4F56" w:rsidP="000B4F56">
      <w:pPr>
        <w:pStyle w:val="NoSpacing"/>
        <w:spacing w:line="276" w:lineRule="auto"/>
        <w:jc w:val="both"/>
        <w:rPr>
          <w:rFonts w:ascii="Calibri" w:eastAsia="Calibri" w:hAnsi="Calibri" w:cs="Times New Roman"/>
          <w:sz w:val="22"/>
          <w:szCs w:val="22"/>
        </w:rPr>
      </w:pPr>
    </w:p>
    <w:p w14:paraId="6683E803" w14:textId="77777777" w:rsidR="000B4F56" w:rsidRPr="000B4F56" w:rsidRDefault="000B4F56" w:rsidP="000B4F56">
      <w:pPr>
        <w:numPr>
          <w:ilvl w:val="0"/>
          <w:numId w:val="18"/>
        </w:numPr>
        <w:spacing w:after="200" w:line="276" w:lineRule="auto"/>
        <w:jc w:val="both"/>
        <w:rPr>
          <w:rFonts w:ascii="Calibri" w:eastAsia="Calibri" w:hAnsi="Calibri"/>
          <w:b/>
          <w:sz w:val="22"/>
          <w:szCs w:val="22"/>
          <w:lang w:eastAsia="en-US"/>
        </w:rPr>
      </w:pPr>
      <w:r w:rsidRPr="000B4F56">
        <w:rPr>
          <w:rFonts w:ascii="Calibri" w:eastAsia="Calibri" w:hAnsi="Calibri"/>
          <w:b/>
          <w:sz w:val="22"/>
          <w:szCs w:val="22"/>
          <w:lang w:eastAsia="en-US"/>
        </w:rPr>
        <w:t xml:space="preserve">Increasingly restrictive standardized limit </w:t>
      </w:r>
    </w:p>
    <w:p w14:paraId="6D68A483" w14:textId="3CF97042" w:rsidR="000B4F56" w:rsidRPr="000B4F56" w:rsidRDefault="000B4F56" w:rsidP="000C6D3E">
      <w:pPr>
        <w:spacing w:after="200" w:line="276" w:lineRule="auto"/>
        <w:jc w:val="both"/>
        <w:rPr>
          <w:rFonts w:ascii="Calibri" w:eastAsia="Calibri" w:hAnsi="Calibri"/>
          <w:sz w:val="22"/>
          <w:szCs w:val="22"/>
          <w:lang w:eastAsia="en-US"/>
        </w:rPr>
      </w:pPr>
      <w:r w:rsidRPr="000B4F56">
        <w:rPr>
          <w:rFonts w:ascii="Calibri" w:eastAsia="Calibri" w:hAnsi="Calibri"/>
          <w:sz w:val="22"/>
          <w:szCs w:val="22"/>
          <w:lang w:eastAsia="en-US"/>
        </w:rPr>
        <w:t>Contracts classed as ‘illiquid’ under the position limits framework receive a standardized limit of 2</w:t>
      </w:r>
      <w:r w:rsidR="008C3F0F">
        <w:rPr>
          <w:rFonts w:ascii="Calibri" w:eastAsia="Calibri" w:hAnsi="Calibri"/>
          <w:sz w:val="22"/>
          <w:szCs w:val="22"/>
          <w:lang w:eastAsia="en-US"/>
        </w:rPr>
        <w:t>.</w:t>
      </w:r>
      <w:r w:rsidRPr="000B4F56">
        <w:rPr>
          <w:rFonts w:ascii="Calibri" w:eastAsia="Calibri" w:hAnsi="Calibri"/>
          <w:sz w:val="22"/>
          <w:szCs w:val="22"/>
          <w:lang w:eastAsia="en-US"/>
        </w:rPr>
        <w:t>500 lots</w:t>
      </w:r>
      <w:r w:rsidR="008C3F0F">
        <w:rPr>
          <w:rFonts w:ascii="Calibri" w:eastAsia="Calibri" w:hAnsi="Calibri"/>
          <w:sz w:val="22"/>
          <w:szCs w:val="22"/>
          <w:lang w:eastAsia="en-US"/>
        </w:rPr>
        <w:t>,</w:t>
      </w:r>
      <w:r w:rsidRPr="000B4F56">
        <w:rPr>
          <w:rFonts w:ascii="Calibri" w:eastAsia="Calibri" w:hAnsi="Calibri"/>
          <w:sz w:val="22"/>
          <w:szCs w:val="22"/>
          <w:lang w:eastAsia="en-US"/>
        </w:rPr>
        <w:t xml:space="preserve"> a highly restrictive limit of 25 percent of open interest when open interest </w:t>
      </w:r>
      <w:r w:rsidR="000C6D3E">
        <w:rPr>
          <w:rFonts w:ascii="Calibri" w:eastAsia="Calibri" w:hAnsi="Calibri"/>
          <w:sz w:val="22"/>
          <w:szCs w:val="22"/>
          <w:lang w:eastAsia="en-US"/>
        </w:rPr>
        <w:t>is</w:t>
      </w:r>
      <w:r w:rsidRPr="000B4F56">
        <w:rPr>
          <w:rFonts w:ascii="Calibri" w:eastAsia="Calibri" w:hAnsi="Calibri"/>
          <w:sz w:val="22"/>
          <w:szCs w:val="22"/>
          <w:lang w:eastAsia="en-US"/>
        </w:rPr>
        <w:t xml:space="preserve"> 10</w:t>
      </w:r>
      <w:r w:rsidR="008C3F0F">
        <w:rPr>
          <w:rFonts w:ascii="Calibri" w:eastAsia="Calibri" w:hAnsi="Calibri"/>
          <w:sz w:val="22"/>
          <w:szCs w:val="22"/>
          <w:lang w:eastAsia="en-US"/>
        </w:rPr>
        <w:t>.</w:t>
      </w:r>
      <w:r w:rsidRPr="000B4F56">
        <w:rPr>
          <w:rFonts w:ascii="Calibri" w:eastAsia="Calibri" w:hAnsi="Calibri"/>
          <w:sz w:val="22"/>
          <w:szCs w:val="22"/>
          <w:lang w:eastAsia="en-US"/>
        </w:rPr>
        <w:t xml:space="preserve">000 lots. </w:t>
      </w:r>
      <w:r w:rsidR="000C6D3E">
        <w:rPr>
          <w:rFonts w:ascii="Calibri" w:eastAsia="Calibri" w:hAnsi="Calibri"/>
          <w:sz w:val="22"/>
          <w:szCs w:val="22"/>
          <w:lang w:eastAsia="en-US"/>
        </w:rPr>
        <w:t>As new or illiquid products approach 10.000 lots of open interest,</w:t>
      </w:r>
      <w:r w:rsidRPr="000B4F56">
        <w:rPr>
          <w:rFonts w:ascii="Calibri" w:eastAsia="Calibri" w:hAnsi="Calibri"/>
          <w:sz w:val="22"/>
          <w:szCs w:val="22"/>
          <w:lang w:eastAsia="en-US"/>
        </w:rPr>
        <w:t xml:space="preserve"> </w:t>
      </w:r>
      <w:r w:rsidR="000C6D3E">
        <w:rPr>
          <w:rFonts w:ascii="Calibri" w:eastAsia="Calibri" w:hAnsi="Calibri"/>
          <w:sz w:val="22"/>
          <w:szCs w:val="22"/>
          <w:lang w:eastAsia="en-US"/>
        </w:rPr>
        <w:t>the position limit requirement</w:t>
      </w:r>
      <w:r w:rsidR="008C3F0F">
        <w:rPr>
          <w:rFonts w:ascii="Calibri" w:eastAsia="Calibri" w:hAnsi="Calibri"/>
          <w:sz w:val="22"/>
          <w:szCs w:val="22"/>
          <w:lang w:eastAsia="en-US"/>
        </w:rPr>
        <w:t xml:space="preserve"> force</w:t>
      </w:r>
      <w:r w:rsidR="000C6D3E">
        <w:rPr>
          <w:rFonts w:ascii="Calibri" w:eastAsia="Calibri" w:hAnsi="Calibri"/>
          <w:sz w:val="22"/>
          <w:szCs w:val="22"/>
          <w:lang w:eastAsia="en-US"/>
        </w:rPr>
        <w:t>s</w:t>
      </w:r>
      <w:r w:rsidR="008C3F0F">
        <w:rPr>
          <w:rFonts w:ascii="Calibri" w:eastAsia="Calibri" w:hAnsi="Calibri"/>
          <w:sz w:val="22"/>
          <w:szCs w:val="22"/>
          <w:lang w:eastAsia="en-US"/>
        </w:rPr>
        <w:t xml:space="preserve"> </w:t>
      </w:r>
      <w:r w:rsidRPr="000B4F56">
        <w:rPr>
          <w:rFonts w:ascii="Calibri" w:eastAsia="Calibri" w:hAnsi="Calibri"/>
          <w:sz w:val="22"/>
          <w:szCs w:val="22"/>
          <w:lang w:eastAsia="en-US"/>
        </w:rPr>
        <w:t xml:space="preserve">market participants to decrease their </w:t>
      </w:r>
      <w:r w:rsidR="000C6D3E">
        <w:rPr>
          <w:rFonts w:ascii="Calibri" w:eastAsia="Calibri" w:hAnsi="Calibri"/>
          <w:sz w:val="22"/>
          <w:szCs w:val="22"/>
          <w:lang w:eastAsia="en-US"/>
        </w:rPr>
        <w:t xml:space="preserve">open </w:t>
      </w:r>
      <w:r w:rsidRPr="000B4F56">
        <w:rPr>
          <w:rFonts w:ascii="Calibri" w:eastAsia="Calibri" w:hAnsi="Calibri"/>
          <w:sz w:val="22"/>
          <w:szCs w:val="22"/>
          <w:lang w:eastAsia="en-US"/>
        </w:rPr>
        <w:t>positions</w:t>
      </w:r>
      <w:r w:rsidR="008C3F0F">
        <w:rPr>
          <w:rFonts w:ascii="Calibri" w:eastAsia="Calibri" w:hAnsi="Calibri"/>
          <w:sz w:val="22"/>
          <w:szCs w:val="22"/>
          <w:lang w:eastAsia="en-US"/>
        </w:rPr>
        <w:t>,</w:t>
      </w:r>
      <w:r w:rsidRPr="000B4F56">
        <w:rPr>
          <w:rFonts w:ascii="Calibri" w:eastAsia="Calibri" w:hAnsi="Calibri"/>
          <w:sz w:val="22"/>
          <w:szCs w:val="22"/>
          <w:lang w:eastAsia="en-US"/>
        </w:rPr>
        <w:t xml:space="preserve"> the open interest returns to a lower level</w:t>
      </w:r>
      <w:r w:rsidR="008C3F0F">
        <w:rPr>
          <w:rFonts w:ascii="Calibri" w:eastAsia="Calibri" w:hAnsi="Calibri"/>
          <w:sz w:val="22"/>
          <w:szCs w:val="22"/>
          <w:lang w:eastAsia="en-US"/>
        </w:rPr>
        <w:t>,</w:t>
      </w:r>
      <w:r w:rsidRPr="000B4F56">
        <w:rPr>
          <w:rFonts w:ascii="Calibri" w:eastAsia="Calibri" w:hAnsi="Calibri"/>
          <w:sz w:val="22"/>
          <w:szCs w:val="22"/>
          <w:lang w:eastAsia="en-US"/>
        </w:rPr>
        <w:t xml:space="preserve"> thereby sealing the illiquid status of the product. </w:t>
      </w:r>
      <w:r w:rsidR="000C6D3E">
        <w:rPr>
          <w:rFonts w:ascii="Calibri" w:eastAsia="Calibri" w:hAnsi="Calibri"/>
          <w:sz w:val="22"/>
          <w:szCs w:val="22"/>
          <w:lang w:eastAsia="en-US"/>
        </w:rPr>
        <w:t xml:space="preserve"> This dynamic means that, o</w:t>
      </w:r>
      <w:r w:rsidR="000C6D3E" w:rsidRPr="000B4F56" w:rsidDel="008C3F0F">
        <w:rPr>
          <w:rFonts w:ascii="Calibri" w:eastAsia="Calibri" w:hAnsi="Calibri"/>
          <w:sz w:val="22"/>
          <w:szCs w:val="22"/>
          <w:lang w:eastAsia="en-US"/>
        </w:rPr>
        <w:t>nce the limit is reached</w:t>
      </w:r>
      <w:r w:rsidR="000C6D3E">
        <w:rPr>
          <w:rFonts w:ascii="Calibri" w:eastAsia="Calibri" w:hAnsi="Calibri"/>
          <w:sz w:val="22"/>
          <w:szCs w:val="22"/>
          <w:lang w:eastAsia="en-US"/>
        </w:rPr>
        <w:t>,</w:t>
      </w:r>
      <w:r w:rsidR="000C6D3E" w:rsidRPr="000B4F56" w:rsidDel="008C3F0F">
        <w:rPr>
          <w:rFonts w:ascii="Calibri" w:eastAsia="Calibri" w:hAnsi="Calibri"/>
          <w:sz w:val="22"/>
          <w:szCs w:val="22"/>
          <w:lang w:eastAsia="en-US"/>
        </w:rPr>
        <w:t xml:space="preserve"> participants withdraw from the market, often switching to another trading venue outside of the MiFID II regime, thereby leaving the regulator no time to adjust the limit upwards.</w:t>
      </w:r>
    </w:p>
    <w:p w14:paraId="627C253B" w14:textId="7347F1E1" w:rsidR="000B4F56" w:rsidRPr="000B4F56" w:rsidRDefault="000B4F56" w:rsidP="008C3F0F">
      <w:pPr>
        <w:spacing w:after="200" w:line="276" w:lineRule="auto"/>
        <w:jc w:val="both"/>
        <w:rPr>
          <w:rFonts w:ascii="Calibri" w:eastAsia="Calibri" w:hAnsi="Calibri"/>
          <w:sz w:val="22"/>
          <w:szCs w:val="22"/>
          <w:lang w:eastAsia="en-US"/>
        </w:rPr>
      </w:pPr>
      <w:r w:rsidRPr="000B4F56">
        <w:rPr>
          <w:rFonts w:ascii="Calibri" w:eastAsia="Calibri" w:hAnsi="Calibri"/>
          <w:sz w:val="22"/>
          <w:szCs w:val="22"/>
          <w:lang w:eastAsia="en-US"/>
        </w:rPr>
        <w:t>And whilst in theory, in line with ESMA Q&amp;A on ‘commodity derivative topics’, National Competent Authorities (“NCAs”) can use different derogations for illiquid markets</w:t>
      </w:r>
      <w:r w:rsidR="008C3F0F">
        <w:rPr>
          <w:rFonts w:ascii="Calibri" w:eastAsia="Calibri" w:hAnsi="Calibri"/>
          <w:sz w:val="22"/>
          <w:szCs w:val="22"/>
          <w:lang w:eastAsia="en-US"/>
        </w:rPr>
        <w:t xml:space="preserve"> that</w:t>
      </w:r>
      <w:r w:rsidRPr="000B4F56">
        <w:rPr>
          <w:rFonts w:ascii="Calibri" w:eastAsia="Calibri" w:hAnsi="Calibri"/>
          <w:sz w:val="22"/>
          <w:szCs w:val="22"/>
          <w:lang w:eastAsia="en-US"/>
        </w:rPr>
        <w:t xml:space="preserve"> have an open interest between 5.000 and 10.000 lots, these remain difficult to apply in practice</w:t>
      </w:r>
      <w:r w:rsidR="00B00AF8">
        <w:rPr>
          <w:rFonts w:ascii="Calibri" w:eastAsia="Calibri" w:hAnsi="Calibri"/>
          <w:sz w:val="22"/>
          <w:szCs w:val="22"/>
          <w:lang w:eastAsia="en-US"/>
        </w:rPr>
        <w:t>, due to time inflexibility,</w:t>
      </w:r>
      <w:r w:rsidRPr="000B4F56">
        <w:rPr>
          <w:rFonts w:ascii="Calibri" w:eastAsia="Calibri" w:hAnsi="Calibri"/>
          <w:sz w:val="22"/>
          <w:szCs w:val="22"/>
          <w:lang w:eastAsia="en-US"/>
        </w:rPr>
        <w:t xml:space="preserve"> and are often not sufficient to mitigate the negative impact of disproportionately low position limits. </w:t>
      </w:r>
    </w:p>
    <w:p w14:paraId="4FAD3B26" w14:textId="25631E60" w:rsidR="000B4F56" w:rsidRPr="000B4F56" w:rsidRDefault="000C6D3E" w:rsidP="000B4F56">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Moreover, a</w:t>
      </w:r>
      <w:r w:rsidR="000B4F56" w:rsidRPr="000B4F56">
        <w:rPr>
          <w:rFonts w:ascii="Calibri" w:eastAsia="Calibri" w:hAnsi="Calibri"/>
          <w:sz w:val="22"/>
          <w:szCs w:val="22"/>
          <w:lang w:eastAsia="en-US"/>
        </w:rPr>
        <w:t>ny increase of the limit under the available derogation w</w:t>
      </w:r>
      <w:r w:rsidR="008C3F0F">
        <w:rPr>
          <w:rFonts w:ascii="Calibri" w:eastAsia="Calibri" w:hAnsi="Calibri"/>
          <w:sz w:val="22"/>
          <w:szCs w:val="22"/>
          <w:lang w:eastAsia="en-US"/>
        </w:rPr>
        <w:t>ould</w:t>
      </w:r>
      <w:r w:rsidR="000B4F56" w:rsidRPr="000B4F56">
        <w:rPr>
          <w:rFonts w:ascii="Calibri" w:eastAsia="Calibri" w:hAnsi="Calibri"/>
          <w:sz w:val="22"/>
          <w:szCs w:val="22"/>
          <w:lang w:eastAsia="en-US"/>
        </w:rPr>
        <w:t xml:space="preserve"> need to be substantial in order to provide sufficient relief to market participants close to the limits </w:t>
      </w:r>
      <w:r w:rsidR="000B4F56" w:rsidRPr="000B4F56">
        <w:rPr>
          <w:rFonts w:ascii="Calibri" w:eastAsia="Calibri" w:hAnsi="Calibri"/>
          <w:sz w:val="22"/>
          <w:szCs w:val="22"/>
          <w:lang w:eastAsia="en-US"/>
        </w:rPr>
        <w:lastRenderedPageBreak/>
        <w:t xml:space="preserve">and prevent restricting trading activity in fast growing </w:t>
      </w:r>
      <w:r>
        <w:rPr>
          <w:rFonts w:ascii="Calibri" w:eastAsia="Calibri" w:hAnsi="Calibri"/>
          <w:sz w:val="22"/>
          <w:szCs w:val="22"/>
          <w:lang w:eastAsia="en-US"/>
        </w:rPr>
        <w:t>new or illiquid products</w:t>
      </w:r>
      <w:r w:rsidR="000B4F56" w:rsidRPr="000B4F56">
        <w:rPr>
          <w:rFonts w:ascii="Calibri" w:eastAsia="Calibri" w:hAnsi="Calibri"/>
          <w:sz w:val="22"/>
          <w:szCs w:val="22"/>
          <w:lang w:eastAsia="en-US"/>
        </w:rPr>
        <w:t xml:space="preserve">. </w:t>
      </w:r>
      <w:r w:rsidR="008C3F0F">
        <w:rPr>
          <w:rFonts w:ascii="Calibri" w:eastAsia="Calibri" w:hAnsi="Calibri"/>
          <w:sz w:val="22"/>
          <w:szCs w:val="22"/>
          <w:lang w:eastAsia="en-US"/>
        </w:rPr>
        <w:t xml:space="preserve"> For example, a</w:t>
      </w:r>
      <w:r w:rsidR="000B4F56" w:rsidRPr="000B4F56">
        <w:rPr>
          <w:rFonts w:ascii="Calibri" w:eastAsia="Calibri" w:hAnsi="Calibri"/>
          <w:sz w:val="22"/>
          <w:szCs w:val="22"/>
          <w:lang w:eastAsia="en-US"/>
        </w:rPr>
        <w:t xml:space="preserve">n increase of a position limit </w:t>
      </w:r>
      <w:r w:rsidR="008C3F0F">
        <w:rPr>
          <w:rFonts w:ascii="Calibri" w:eastAsia="Calibri" w:hAnsi="Calibri"/>
          <w:sz w:val="22"/>
          <w:szCs w:val="22"/>
          <w:lang w:eastAsia="en-US"/>
        </w:rPr>
        <w:t>requirement of</w:t>
      </w:r>
      <w:r w:rsidR="000B4F56" w:rsidRPr="000B4F56">
        <w:rPr>
          <w:rFonts w:ascii="Calibri" w:eastAsia="Calibri" w:hAnsi="Calibri"/>
          <w:sz w:val="22"/>
          <w:szCs w:val="22"/>
          <w:lang w:eastAsia="en-US"/>
        </w:rPr>
        <w:t xml:space="preserve"> 500 lots w</w:t>
      </w:r>
      <w:r w:rsidR="008C3F0F">
        <w:rPr>
          <w:rFonts w:ascii="Calibri" w:eastAsia="Calibri" w:hAnsi="Calibri"/>
          <w:sz w:val="22"/>
          <w:szCs w:val="22"/>
          <w:lang w:eastAsia="en-US"/>
        </w:rPr>
        <w:t>ould</w:t>
      </w:r>
      <w:r w:rsidR="000B4F56" w:rsidRPr="000B4F56">
        <w:rPr>
          <w:rFonts w:ascii="Calibri" w:eastAsia="Calibri" w:hAnsi="Calibri"/>
          <w:sz w:val="22"/>
          <w:szCs w:val="22"/>
          <w:lang w:eastAsia="en-US"/>
        </w:rPr>
        <w:t xml:space="preserve"> only have a very limited impact, effectively allowing market participants close to the limit to trade an additional lots equivalent of four Calendar or eight Season contracts. </w:t>
      </w:r>
    </w:p>
    <w:p w14:paraId="43C2FE2A" w14:textId="6669B51F" w:rsidR="000B4F56" w:rsidRPr="000B4F56" w:rsidRDefault="000B4F56" w:rsidP="000B4F56">
      <w:pPr>
        <w:spacing w:after="200" w:line="276" w:lineRule="auto"/>
        <w:jc w:val="both"/>
        <w:rPr>
          <w:rFonts w:ascii="Calibri" w:eastAsia="Calibri" w:hAnsi="Calibri"/>
          <w:sz w:val="22"/>
          <w:szCs w:val="22"/>
          <w:lang w:eastAsia="en-US"/>
        </w:rPr>
      </w:pPr>
      <w:r w:rsidRPr="000B4F56">
        <w:rPr>
          <w:rFonts w:ascii="Calibri" w:eastAsia="Calibri" w:hAnsi="Calibri"/>
          <w:sz w:val="22"/>
          <w:szCs w:val="22"/>
          <w:lang w:eastAsia="en-US"/>
        </w:rPr>
        <w:t xml:space="preserve">Furthermore, in relation to newly launched contracts, it is not unusual </w:t>
      </w:r>
      <w:r w:rsidR="000C6D3E">
        <w:rPr>
          <w:rFonts w:ascii="Calibri" w:eastAsia="Calibri" w:hAnsi="Calibri"/>
          <w:sz w:val="22"/>
          <w:szCs w:val="22"/>
          <w:lang w:eastAsia="en-US"/>
        </w:rPr>
        <w:t>for</w:t>
      </w:r>
      <w:r w:rsidRPr="000B4F56">
        <w:rPr>
          <w:rFonts w:ascii="Calibri" w:eastAsia="Calibri" w:hAnsi="Calibri"/>
          <w:sz w:val="22"/>
          <w:szCs w:val="22"/>
          <w:lang w:eastAsia="en-US"/>
        </w:rPr>
        <w:t xml:space="preserve"> only one participant </w:t>
      </w:r>
      <w:r w:rsidR="000C6D3E">
        <w:rPr>
          <w:rFonts w:ascii="Calibri" w:eastAsia="Calibri" w:hAnsi="Calibri"/>
          <w:sz w:val="22"/>
          <w:szCs w:val="22"/>
          <w:lang w:eastAsia="en-US"/>
        </w:rPr>
        <w:t xml:space="preserve">to </w:t>
      </w:r>
      <w:r w:rsidRPr="000B4F56">
        <w:rPr>
          <w:rFonts w:ascii="Calibri" w:eastAsia="Calibri" w:hAnsi="Calibri"/>
          <w:sz w:val="22"/>
          <w:szCs w:val="22"/>
          <w:lang w:eastAsia="en-US"/>
        </w:rPr>
        <w:t xml:space="preserve">sit on the buy or sell side of the market. In such cases, even a fifty percent limit is not sufficient to allow the market to </w:t>
      </w:r>
      <w:r w:rsidR="00901E4B">
        <w:rPr>
          <w:rFonts w:ascii="Calibri" w:eastAsia="Calibri" w:hAnsi="Calibri"/>
          <w:sz w:val="22"/>
          <w:szCs w:val="22"/>
          <w:lang w:eastAsia="en-US"/>
        </w:rPr>
        <w:t>mature</w:t>
      </w:r>
      <w:r w:rsidR="000C6D3E">
        <w:rPr>
          <w:rFonts w:ascii="Calibri" w:eastAsia="Calibri" w:hAnsi="Calibri"/>
          <w:sz w:val="22"/>
          <w:szCs w:val="22"/>
          <w:lang w:eastAsia="en-US"/>
        </w:rPr>
        <w:t xml:space="preserve"> to a point where more market participants begin participating on both sides of the market</w:t>
      </w:r>
      <w:r w:rsidR="00901E4B">
        <w:rPr>
          <w:rFonts w:ascii="Calibri" w:eastAsia="Calibri" w:hAnsi="Calibri"/>
          <w:sz w:val="22"/>
          <w:szCs w:val="22"/>
          <w:lang w:eastAsia="en-US"/>
        </w:rPr>
        <w:t>.</w:t>
      </w:r>
      <w:r w:rsidRPr="000B4F56">
        <w:rPr>
          <w:rFonts w:ascii="Calibri" w:eastAsia="Calibri" w:hAnsi="Calibri"/>
          <w:sz w:val="22"/>
          <w:szCs w:val="22"/>
          <w:lang w:eastAsia="en-US"/>
        </w:rPr>
        <w:t xml:space="preserve"> </w:t>
      </w:r>
    </w:p>
    <w:p w14:paraId="2A9D7789" w14:textId="0056420E" w:rsidR="000B4F56" w:rsidRPr="000B4F56" w:rsidRDefault="000B4F56" w:rsidP="000B4F56">
      <w:pPr>
        <w:numPr>
          <w:ilvl w:val="0"/>
          <w:numId w:val="18"/>
        </w:numPr>
        <w:spacing w:after="200" w:line="276" w:lineRule="auto"/>
        <w:contextualSpacing/>
        <w:jc w:val="both"/>
        <w:rPr>
          <w:rFonts w:ascii="Calibri" w:eastAsia="Calibri" w:hAnsi="Calibri"/>
          <w:b/>
          <w:sz w:val="22"/>
          <w:szCs w:val="22"/>
          <w:lang w:eastAsia="en-US"/>
        </w:rPr>
      </w:pPr>
      <w:r w:rsidRPr="000B4F56">
        <w:rPr>
          <w:rFonts w:ascii="Calibri" w:eastAsia="Calibri" w:hAnsi="Calibri"/>
          <w:b/>
          <w:sz w:val="22"/>
          <w:szCs w:val="22"/>
          <w:lang w:eastAsia="en-US"/>
        </w:rPr>
        <w:t xml:space="preserve">Inflexible categorization of </w:t>
      </w:r>
      <w:r w:rsidR="009004C6">
        <w:rPr>
          <w:rFonts w:ascii="Calibri" w:eastAsia="Calibri" w:hAnsi="Calibri"/>
          <w:b/>
          <w:sz w:val="22"/>
          <w:szCs w:val="22"/>
          <w:lang w:eastAsia="en-US"/>
        </w:rPr>
        <w:t>products</w:t>
      </w:r>
      <w:r w:rsidRPr="000B4F56">
        <w:rPr>
          <w:rFonts w:ascii="Calibri" w:eastAsia="Calibri" w:hAnsi="Calibri"/>
          <w:b/>
          <w:sz w:val="22"/>
          <w:szCs w:val="22"/>
          <w:lang w:eastAsia="en-US"/>
        </w:rPr>
        <w:t xml:space="preserve"> and recalibration of position limits </w:t>
      </w:r>
    </w:p>
    <w:p w14:paraId="6B900A3E" w14:textId="7C6E1DD0" w:rsidR="00A32FB9" w:rsidRPr="00A32FB9" w:rsidRDefault="000B4F56" w:rsidP="00AA18DB">
      <w:pPr>
        <w:spacing w:after="200" w:line="276" w:lineRule="auto"/>
        <w:jc w:val="both"/>
        <w:rPr>
          <w:rFonts w:ascii="Calibri" w:eastAsia="Calibri" w:hAnsi="Calibri"/>
          <w:sz w:val="22"/>
          <w:szCs w:val="22"/>
          <w:lang w:eastAsia="en-US"/>
        </w:rPr>
      </w:pPr>
      <w:r w:rsidRPr="000B4F56">
        <w:rPr>
          <w:rFonts w:ascii="Calibri" w:eastAsia="Calibri" w:hAnsi="Calibri"/>
          <w:sz w:val="22"/>
          <w:szCs w:val="22"/>
          <w:lang w:eastAsia="en-US"/>
        </w:rPr>
        <w:t xml:space="preserve">In order to provide for a workable regime for growth </w:t>
      </w:r>
      <w:r w:rsidR="000C6D3E">
        <w:rPr>
          <w:rFonts w:ascii="Calibri" w:eastAsia="Calibri" w:hAnsi="Calibri"/>
          <w:sz w:val="22"/>
          <w:szCs w:val="22"/>
          <w:lang w:eastAsia="en-US"/>
        </w:rPr>
        <w:t>products</w:t>
      </w:r>
      <w:r w:rsidRPr="000B4F56">
        <w:rPr>
          <w:rFonts w:ascii="Calibri" w:eastAsia="Calibri" w:hAnsi="Calibri"/>
          <w:sz w:val="22"/>
          <w:szCs w:val="22"/>
          <w:lang w:eastAsia="en-US"/>
        </w:rPr>
        <w:t xml:space="preserve">, NCAs need to be able to </w:t>
      </w:r>
      <w:r w:rsidR="000C6D3E">
        <w:rPr>
          <w:rFonts w:ascii="Calibri" w:eastAsia="Calibri" w:hAnsi="Calibri"/>
          <w:sz w:val="22"/>
          <w:szCs w:val="22"/>
          <w:lang w:eastAsia="en-US"/>
        </w:rPr>
        <w:t>implement</w:t>
      </w:r>
      <w:r w:rsidRPr="000B4F56">
        <w:rPr>
          <w:rFonts w:ascii="Calibri" w:eastAsia="Calibri" w:hAnsi="Calibri"/>
          <w:sz w:val="22"/>
          <w:szCs w:val="22"/>
          <w:lang w:eastAsia="en-US"/>
        </w:rPr>
        <w:t xml:space="preserve"> near instant </w:t>
      </w:r>
      <w:r w:rsidR="000C6D3E">
        <w:rPr>
          <w:rFonts w:ascii="Calibri" w:eastAsia="Calibri" w:hAnsi="Calibri"/>
          <w:sz w:val="22"/>
          <w:szCs w:val="22"/>
          <w:lang w:eastAsia="en-US"/>
        </w:rPr>
        <w:t>changes</w:t>
      </w:r>
      <w:r w:rsidRPr="000B4F56">
        <w:rPr>
          <w:rFonts w:ascii="Calibri" w:eastAsia="Calibri" w:hAnsi="Calibri"/>
          <w:sz w:val="22"/>
          <w:szCs w:val="22"/>
          <w:lang w:eastAsia="en-US"/>
        </w:rPr>
        <w:t xml:space="preserve"> to the categorisation of </w:t>
      </w:r>
      <w:r w:rsidR="000C6D3E">
        <w:rPr>
          <w:rFonts w:ascii="Calibri" w:eastAsia="Calibri" w:hAnsi="Calibri"/>
          <w:sz w:val="22"/>
          <w:szCs w:val="22"/>
          <w:lang w:eastAsia="en-US"/>
        </w:rPr>
        <w:t>products</w:t>
      </w:r>
      <w:r w:rsidRPr="000B4F56">
        <w:rPr>
          <w:rFonts w:ascii="Calibri" w:eastAsia="Calibri" w:hAnsi="Calibri"/>
          <w:sz w:val="22"/>
          <w:szCs w:val="22"/>
          <w:lang w:eastAsia="en-US"/>
        </w:rPr>
        <w:t xml:space="preserve"> and readjust the applicable limits as open interest in a </w:t>
      </w:r>
      <w:r w:rsidR="000C6D3E">
        <w:rPr>
          <w:rFonts w:ascii="Calibri" w:eastAsia="Calibri" w:hAnsi="Calibri"/>
          <w:sz w:val="22"/>
          <w:szCs w:val="22"/>
          <w:lang w:eastAsia="en-US"/>
        </w:rPr>
        <w:t>product</w:t>
      </w:r>
      <w:r w:rsidRPr="000B4F56">
        <w:rPr>
          <w:rFonts w:ascii="Calibri" w:eastAsia="Calibri" w:hAnsi="Calibri"/>
          <w:sz w:val="22"/>
          <w:szCs w:val="22"/>
          <w:lang w:eastAsia="en-US"/>
        </w:rPr>
        <w:t xml:space="preserve"> increases. This </w:t>
      </w:r>
      <w:r w:rsidR="000C6D3E">
        <w:rPr>
          <w:rFonts w:ascii="Calibri" w:eastAsia="Calibri" w:hAnsi="Calibri"/>
          <w:sz w:val="22"/>
          <w:szCs w:val="22"/>
          <w:lang w:eastAsia="en-US"/>
        </w:rPr>
        <w:t xml:space="preserve">need </w:t>
      </w:r>
      <w:r w:rsidRPr="000B4F56">
        <w:rPr>
          <w:rFonts w:ascii="Calibri" w:eastAsia="Calibri" w:hAnsi="Calibri"/>
          <w:sz w:val="22"/>
          <w:szCs w:val="22"/>
          <w:lang w:eastAsia="en-US"/>
        </w:rPr>
        <w:t xml:space="preserve">is especially </w:t>
      </w:r>
      <w:r w:rsidR="000C6D3E">
        <w:rPr>
          <w:rFonts w:ascii="Calibri" w:eastAsia="Calibri" w:hAnsi="Calibri"/>
          <w:sz w:val="22"/>
          <w:szCs w:val="22"/>
          <w:lang w:eastAsia="en-US"/>
        </w:rPr>
        <w:t>cr</w:t>
      </w:r>
      <w:r w:rsidR="009004C6">
        <w:rPr>
          <w:rFonts w:ascii="Calibri" w:eastAsia="Calibri" w:hAnsi="Calibri"/>
          <w:sz w:val="22"/>
          <w:szCs w:val="22"/>
          <w:lang w:eastAsia="en-US"/>
        </w:rPr>
        <w:t xml:space="preserve">ucial </w:t>
      </w:r>
      <w:r w:rsidRPr="000B4F56">
        <w:rPr>
          <w:rFonts w:ascii="Calibri" w:eastAsia="Calibri" w:hAnsi="Calibri"/>
          <w:sz w:val="22"/>
          <w:szCs w:val="22"/>
          <w:lang w:eastAsia="en-US"/>
        </w:rPr>
        <w:t>for</w:t>
      </w:r>
      <w:r w:rsidR="009004C6">
        <w:rPr>
          <w:rFonts w:ascii="Calibri" w:eastAsia="Calibri" w:hAnsi="Calibri"/>
          <w:sz w:val="22"/>
          <w:szCs w:val="22"/>
          <w:lang w:eastAsia="en-US"/>
        </w:rPr>
        <w:t xml:space="preserve"> products</w:t>
      </w:r>
      <w:r w:rsidRPr="000B4F56">
        <w:rPr>
          <w:rFonts w:ascii="Calibri" w:eastAsia="Calibri" w:hAnsi="Calibri"/>
          <w:sz w:val="22"/>
          <w:szCs w:val="22"/>
          <w:lang w:eastAsia="en-US"/>
        </w:rPr>
        <w:t xml:space="preserve"> that experience strong increases in open interest </w:t>
      </w:r>
      <w:r w:rsidR="009004C6">
        <w:rPr>
          <w:rFonts w:ascii="Calibri" w:eastAsia="Calibri" w:hAnsi="Calibri"/>
          <w:sz w:val="22"/>
          <w:szCs w:val="22"/>
          <w:lang w:eastAsia="en-US"/>
        </w:rPr>
        <w:t>over</w:t>
      </w:r>
      <w:r w:rsidRPr="000B4F56">
        <w:rPr>
          <w:rFonts w:ascii="Calibri" w:eastAsia="Calibri" w:hAnsi="Calibri"/>
          <w:sz w:val="22"/>
          <w:szCs w:val="22"/>
          <w:lang w:eastAsia="en-US"/>
        </w:rPr>
        <w:t xml:space="preserve"> a s</w:t>
      </w:r>
      <w:r w:rsidR="009004C6">
        <w:rPr>
          <w:rFonts w:ascii="Calibri" w:eastAsia="Calibri" w:hAnsi="Calibri"/>
          <w:sz w:val="22"/>
          <w:szCs w:val="22"/>
          <w:lang w:eastAsia="en-US"/>
        </w:rPr>
        <w:t>hort</w:t>
      </w:r>
      <w:r w:rsidRPr="000B4F56">
        <w:rPr>
          <w:rFonts w:ascii="Calibri" w:eastAsia="Calibri" w:hAnsi="Calibri"/>
          <w:sz w:val="22"/>
          <w:szCs w:val="22"/>
          <w:lang w:eastAsia="en-US"/>
        </w:rPr>
        <w:t xml:space="preserve"> period of time. </w:t>
      </w:r>
      <w:r w:rsidR="009004C6">
        <w:rPr>
          <w:rFonts w:ascii="Calibri" w:eastAsia="Calibri" w:hAnsi="Calibri"/>
          <w:sz w:val="22"/>
          <w:szCs w:val="22"/>
          <w:lang w:eastAsia="en-US"/>
        </w:rPr>
        <w:t>Products</w:t>
      </w:r>
      <w:r w:rsidRPr="000B4F56">
        <w:rPr>
          <w:rFonts w:ascii="Calibri" w:eastAsia="Calibri" w:hAnsi="Calibri"/>
          <w:sz w:val="22"/>
          <w:szCs w:val="22"/>
          <w:lang w:eastAsia="en-US"/>
        </w:rPr>
        <w:t xml:space="preserve"> with relatively low levels of open interest can develop into liquid markets in a matter of weeks or months. </w:t>
      </w:r>
    </w:p>
    <w:p w14:paraId="44AA583E" w14:textId="48546799" w:rsidR="006F4EB7" w:rsidRDefault="000B4F56" w:rsidP="000B4F56">
      <w:pPr>
        <w:spacing w:after="200" w:line="276" w:lineRule="auto"/>
        <w:jc w:val="both"/>
        <w:rPr>
          <w:rFonts w:ascii="Calibri" w:eastAsia="Calibri" w:hAnsi="Calibri"/>
          <w:sz w:val="22"/>
          <w:szCs w:val="22"/>
          <w:lang w:eastAsia="en-US"/>
        </w:rPr>
      </w:pPr>
      <w:r w:rsidRPr="000B4F56">
        <w:rPr>
          <w:rFonts w:ascii="Calibri" w:eastAsia="Calibri" w:hAnsi="Calibri"/>
          <w:sz w:val="22"/>
          <w:szCs w:val="22"/>
          <w:lang w:eastAsia="en-US"/>
        </w:rPr>
        <w:t xml:space="preserve">In practice it has proven impossible for NCAs to reclassify </w:t>
      </w:r>
      <w:r w:rsidR="002C2AAC">
        <w:rPr>
          <w:rFonts w:ascii="Calibri" w:eastAsia="Calibri" w:hAnsi="Calibri"/>
          <w:sz w:val="22"/>
          <w:szCs w:val="22"/>
          <w:lang w:eastAsia="en-US"/>
        </w:rPr>
        <w:t>products</w:t>
      </w:r>
      <w:r w:rsidRPr="000B4F56">
        <w:rPr>
          <w:rFonts w:ascii="Calibri" w:eastAsia="Calibri" w:hAnsi="Calibri"/>
          <w:sz w:val="22"/>
          <w:szCs w:val="22"/>
          <w:lang w:eastAsia="en-US"/>
        </w:rPr>
        <w:t xml:space="preserve"> and recalibrate the applicable limits and in a manner that </w:t>
      </w:r>
      <w:r w:rsidR="002C2AAC">
        <w:rPr>
          <w:rFonts w:ascii="Calibri" w:eastAsia="Calibri" w:hAnsi="Calibri"/>
          <w:sz w:val="22"/>
          <w:szCs w:val="22"/>
          <w:lang w:eastAsia="en-US"/>
        </w:rPr>
        <w:t xml:space="preserve">mitigates the </w:t>
      </w:r>
      <w:r w:rsidRPr="000B4F56">
        <w:rPr>
          <w:rFonts w:ascii="Calibri" w:eastAsia="Calibri" w:hAnsi="Calibri"/>
          <w:sz w:val="22"/>
          <w:szCs w:val="22"/>
          <w:lang w:eastAsia="en-US"/>
        </w:rPr>
        <w:t>negative impact</w:t>
      </w:r>
      <w:r w:rsidR="002C2AAC">
        <w:rPr>
          <w:rFonts w:ascii="Calibri" w:eastAsia="Calibri" w:hAnsi="Calibri"/>
          <w:sz w:val="22"/>
          <w:szCs w:val="22"/>
          <w:lang w:eastAsia="en-US"/>
        </w:rPr>
        <w:t xml:space="preserve"> of position limits</w:t>
      </w:r>
      <w:r w:rsidRPr="000B4F56">
        <w:rPr>
          <w:rFonts w:ascii="Calibri" w:eastAsia="Calibri" w:hAnsi="Calibri"/>
          <w:sz w:val="22"/>
          <w:szCs w:val="22"/>
          <w:lang w:eastAsia="en-US"/>
        </w:rPr>
        <w:t xml:space="preserve"> on the development of fast growing </w:t>
      </w:r>
      <w:r w:rsidR="002C2AAC">
        <w:rPr>
          <w:rFonts w:ascii="Calibri" w:eastAsia="Calibri" w:hAnsi="Calibri"/>
          <w:sz w:val="22"/>
          <w:szCs w:val="22"/>
          <w:lang w:eastAsia="en-US"/>
        </w:rPr>
        <w:t>products</w:t>
      </w:r>
      <w:r w:rsidRPr="000B4F56">
        <w:rPr>
          <w:rFonts w:ascii="Calibri" w:eastAsia="Calibri" w:hAnsi="Calibri"/>
          <w:sz w:val="22"/>
          <w:szCs w:val="22"/>
          <w:lang w:eastAsia="en-US"/>
        </w:rPr>
        <w:t>. Figure 1</w:t>
      </w:r>
      <w:r w:rsidR="005A2C1F">
        <w:rPr>
          <w:rFonts w:ascii="Calibri" w:eastAsia="Calibri" w:hAnsi="Calibri"/>
          <w:sz w:val="22"/>
          <w:szCs w:val="22"/>
          <w:lang w:eastAsia="en-US"/>
        </w:rPr>
        <w:t>.</w:t>
      </w:r>
      <w:r w:rsidRPr="000B4F56">
        <w:rPr>
          <w:rFonts w:ascii="Calibri" w:eastAsia="Calibri" w:hAnsi="Calibri"/>
          <w:sz w:val="22"/>
          <w:szCs w:val="22"/>
          <w:lang w:eastAsia="en-US"/>
        </w:rPr>
        <w:t xml:space="preserve"> illustrates this negative impact on one of ICE’s previously fast growing </w:t>
      </w:r>
      <w:r w:rsidR="002C2AAC">
        <w:rPr>
          <w:rFonts w:ascii="Calibri" w:eastAsia="Calibri" w:hAnsi="Calibri"/>
          <w:sz w:val="22"/>
          <w:szCs w:val="22"/>
          <w:lang w:eastAsia="en-US"/>
        </w:rPr>
        <w:t>produ</w:t>
      </w:r>
      <w:r w:rsidR="00B00AF8">
        <w:rPr>
          <w:rFonts w:ascii="Calibri" w:eastAsia="Calibri" w:hAnsi="Calibri"/>
          <w:sz w:val="22"/>
          <w:szCs w:val="22"/>
          <w:lang w:eastAsia="en-US"/>
        </w:rPr>
        <w:t>c</w:t>
      </w:r>
      <w:r w:rsidR="002C2AAC">
        <w:rPr>
          <w:rFonts w:ascii="Calibri" w:eastAsia="Calibri" w:hAnsi="Calibri"/>
          <w:sz w:val="22"/>
          <w:szCs w:val="22"/>
          <w:lang w:eastAsia="en-US"/>
        </w:rPr>
        <w:t>ts,</w:t>
      </w:r>
      <w:r w:rsidR="002C2AAC" w:rsidRPr="002C2AAC">
        <w:rPr>
          <w:rFonts w:ascii="Calibri" w:eastAsia="Calibri" w:hAnsi="Calibri"/>
          <w:sz w:val="22"/>
          <w:szCs w:val="22"/>
          <w:lang w:eastAsia="en-US"/>
        </w:rPr>
        <w:t xml:space="preserve"> </w:t>
      </w:r>
      <w:r w:rsidR="002C2AAC" w:rsidRPr="006F4EB7">
        <w:rPr>
          <w:rFonts w:ascii="Calibri" w:eastAsia="Calibri" w:hAnsi="Calibri"/>
          <w:sz w:val="22"/>
          <w:szCs w:val="22"/>
          <w:lang w:eastAsia="en-US"/>
        </w:rPr>
        <w:t>ICE Endex Italian PSV Gas Futures</w:t>
      </w:r>
      <w:r w:rsidR="002C2AAC">
        <w:rPr>
          <w:rFonts w:ascii="Calibri" w:eastAsia="Calibri" w:hAnsi="Calibri"/>
          <w:sz w:val="22"/>
          <w:szCs w:val="22"/>
          <w:lang w:eastAsia="en-US"/>
        </w:rPr>
        <w:t xml:space="preserve">, </w:t>
      </w:r>
      <w:r w:rsidRPr="000B4F56">
        <w:rPr>
          <w:rFonts w:ascii="Calibri" w:eastAsia="Calibri" w:hAnsi="Calibri"/>
          <w:sz w:val="22"/>
          <w:szCs w:val="22"/>
          <w:lang w:eastAsia="en-US"/>
        </w:rPr>
        <w:t xml:space="preserve">when </w:t>
      </w:r>
      <w:r w:rsidR="002C2AAC">
        <w:rPr>
          <w:rFonts w:ascii="Calibri" w:eastAsia="Calibri" w:hAnsi="Calibri"/>
          <w:sz w:val="22"/>
          <w:szCs w:val="22"/>
          <w:lang w:eastAsia="en-US"/>
        </w:rPr>
        <w:t xml:space="preserve">it was </w:t>
      </w:r>
      <w:r w:rsidRPr="000B4F56">
        <w:rPr>
          <w:rFonts w:ascii="Calibri" w:eastAsia="Calibri" w:hAnsi="Calibri"/>
          <w:sz w:val="22"/>
          <w:szCs w:val="22"/>
          <w:lang w:eastAsia="en-US"/>
        </w:rPr>
        <w:t>subjected to the MiFID II position limits regime. The material growth in open interest (</w:t>
      </w:r>
      <w:r w:rsidR="005A2C1F">
        <w:rPr>
          <w:rFonts w:ascii="Calibri" w:eastAsia="Calibri" w:hAnsi="Calibri"/>
          <w:sz w:val="22"/>
          <w:szCs w:val="22"/>
          <w:lang w:eastAsia="en-US"/>
        </w:rPr>
        <w:t>area marked in yellow</w:t>
      </w:r>
      <w:r w:rsidRPr="000B4F56">
        <w:rPr>
          <w:rFonts w:ascii="Calibri" w:eastAsia="Calibri" w:hAnsi="Calibri"/>
          <w:sz w:val="22"/>
          <w:szCs w:val="22"/>
          <w:lang w:eastAsia="en-US"/>
        </w:rPr>
        <w:t xml:space="preserve">) started in the last month of Q4 2017, but this momentum </w:t>
      </w:r>
      <w:r w:rsidR="002C2AAC">
        <w:rPr>
          <w:rFonts w:ascii="Calibri" w:eastAsia="Calibri" w:hAnsi="Calibri"/>
          <w:sz w:val="22"/>
          <w:szCs w:val="22"/>
          <w:lang w:eastAsia="en-US"/>
        </w:rPr>
        <w:t>was</w:t>
      </w:r>
      <w:r w:rsidRPr="000B4F56">
        <w:rPr>
          <w:rFonts w:ascii="Calibri" w:eastAsia="Calibri" w:hAnsi="Calibri"/>
          <w:sz w:val="22"/>
          <w:szCs w:val="22"/>
          <w:lang w:eastAsia="en-US"/>
        </w:rPr>
        <w:t xml:space="preserve"> severely impaired </w:t>
      </w:r>
      <w:r w:rsidR="005A2C1F">
        <w:rPr>
          <w:rFonts w:ascii="Calibri" w:eastAsia="Calibri" w:hAnsi="Calibri"/>
          <w:sz w:val="22"/>
          <w:szCs w:val="22"/>
          <w:lang w:eastAsia="en-US"/>
        </w:rPr>
        <w:t>at the end of 2017 and in</w:t>
      </w:r>
      <w:r w:rsidRPr="000B4F56">
        <w:rPr>
          <w:rFonts w:ascii="Calibri" w:eastAsia="Calibri" w:hAnsi="Calibri"/>
          <w:sz w:val="22"/>
          <w:szCs w:val="22"/>
          <w:lang w:eastAsia="en-US"/>
        </w:rPr>
        <w:t xml:space="preserve"> </w:t>
      </w:r>
      <w:r w:rsidR="002C2AAC">
        <w:rPr>
          <w:rFonts w:ascii="Calibri" w:eastAsia="Calibri" w:hAnsi="Calibri"/>
          <w:sz w:val="22"/>
          <w:szCs w:val="22"/>
          <w:lang w:eastAsia="en-US"/>
        </w:rPr>
        <w:t xml:space="preserve">early </w:t>
      </w:r>
      <w:r w:rsidRPr="000B4F56">
        <w:rPr>
          <w:rFonts w:ascii="Calibri" w:eastAsia="Calibri" w:hAnsi="Calibri"/>
          <w:sz w:val="22"/>
          <w:szCs w:val="22"/>
          <w:lang w:eastAsia="en-US"/>
        </w:rPr>
        <w:t>2018</w:t>
      </w:r>
      <w:r w:rsidR="002C2AAC">
        <w:rPr>
          <w:rFonts w:ascii="Calibri" w:eastAsia="Calibri" w:hAnsi="Calibri"/>
          <w:sz w:val="22"/>
          <w:szCs w:val="22"/>
          <w:lang w:eastAsia="en-US"/>
        </w:rPr>
        <w:t>, as market participants</w:t>
      </w:r>
      <w:r w:rsidR="005A2C1F">
        <w:rPr>
          <w:rFonts w:ascii="Calibri" w:eastAsia="Calibri" w:hAnsi="Calibri"/>
          <w:sz w:val="22"/>
          <w:szCs w:val="22"/>
          <w:lang w:eastAsia="en-US"/>
        </w:rPr>
        <w:t xml:space="preserve"> anticipat</w:t>
      </w:r>
      <w:r w:rsidR="002C2AAC">
        <w:rPr>
          <w:rFonts w:ascii="Calibri" w:eastAsia="Calibri" w:hAnsi="Calibri"/>
          <w:sz w:val="22"/>
          <w:szCs w:val="22"/>
          <w:lang w:eastAsia="en-US"/>
        </w:rPr>
        <w:t>ed</w:t>
      </w:r>
      <w:r w:rsidR="005A2C1F">
        <w:rPr>
          <w:rFonts w:ascii="Calibri" w:eastAsia="Calibri" w:hAnsi="Calibri"/>
          <w:sz w:val="22"/>
          <w:szCs w:val="22"/>
          <w:lang w:eastAsia="en-US"/>
        </w:rPr>
        <w:t xml:space="preserve"> </w:t>
      </w:r>
      <w:r w:rsidRPr="000B4F56">
        <w:rPr>
          <w:rFonts w:ascii="Calibri" w:eastAsia="Calibri" w:hAnsi="Calibri"/>
          <w:sz w:val="22"/>
          <w:szCs w:val="22"/>
          <w:lang w:eastAsia="en-US"/>
        </w:rPr>
        <w:t xml:space="preserve">the introduction of the MiFID II position limits regime. Before any reclassification of </w:t>
      </w:r>
      <w:r w:rsidR="002C2AAC">
        <w:rPr>
          <w:rFonts w:ascii="Calibri" w:eastAsia="Calibri" w:hAnsi="Calibri"/>
          <w:sz w:val="22"/>
          <w:szCs w:val="22"/>
          <w:lang w:eastAsia="en-US"/>
        </w:rPr>
        <w:t xml:space="preserve">ICE </w:t>
      </w:r>
      <w:r w:rsidR="002C2AAC">
        <w:rPr>
          <w:rFonts w:ascii="Calibri" w:eastAsia="Calibri" w:hAnsi="Calibri"/>
          <w:sz w:val="22"/>
          <w:szCs w:val="22"/>
          <w:lang w:eastAsia="en-US"/>
        </w:rPr>
        <w:lastRenderedPageBreak/>
        <w:t>Endex Italian PSV Gas Futures</w:t>
      </w:r>
      <w:r w:rsidRPr="000B4F56">
        <w:rPr>
          <w:rFonts w:ascii="Calibri" w:eastAsia="Calibri" w:hAnsi="Calibri"/>
          <w:sz w:val="22"/>
          <w:szCs w:val="22"/>
          <w:lang w:eastAsia="en-US"/>
        </w:rPr>
        <w:t xml:space="preserve"> and subsequent recalibration of the limit</w:t>
      </w:r>
      <w:r w:rsidR="002C2AAC">
        <w:rPr>
          <w:rFonts w:ascii="Calibri" w:eastAsia="Calibri" w:hAnsi="Calibri"/>
          <w:sz w:val="22"/>
          <w:szCs w:val="22"/>
          <w:lang w:eastAsia="en-US"/>
        </w:rPr>
        <w:t xml:space="preserve"> might ha</w:t>
      </w:r>
      <w:r w:rsidR="004F0460">
        <w:rPr>
          <w:rFonts w:ascii="Calibri" w:eastAsia="Calibri" w:hAnsi="Calibri"/>
          <w:sz w:val="22"/>
          <w:szCs w:val="22"/>
          <w:lang w:eastAsia="en-US"/>
        </w:rPr>
        <w:t>ve</w:t>
      </w:r>
      <w:r w:rsidR="002C2AAC">
        <w:rPr>
          <w:rFonts w:ascii="Calibri" w:eastAsia="Calibri" w:hAnsi="Calibri"/>
          <w:sz w:val="22"/>
          <w:szCs w:val="22"/>
          <w:lang w:eastAsia="en-US"/>
        </w:rPr>
        <w:t xml:space="preserve"> occurred</w:t>
      </w:r>
      <w:r w:rsidRPr="000B4F56">
        <w:rPr>
          <w:rFonts w:ascii="Calibri" w:eastAsia="Calibri" w:hAnsi="Calibri"/>
          <w:sz w:val="22"/>
          <w:szCs w:val="22"/>
          <w:lang w:eastAsia="en-US"/>
        </w:rPr>
        <w:t>, the</w:t>
      </w:r>
      <w:r w:rsidR="002C2AAC">
        <w:rPr>
          <w:rFonts w:ascii="Calibri" w:eastAsia="Calibri" w:hAnsi="Calibri"/>
          <w:sz w:val="22"/>
          <w:szCs w:val="22"/>
          <w:lang w:eastAsia="en-US"/>
        </w:rPr>
        <w:t>re was irrevocable</w:t>
      </w:r>
      <w:r w:rsidRPr="000B4F56">
        <w:rPr>
          <w:rFonts w:ascii="Calibri" w:eastAsia="Calibri" w:hAnsi="Calibri"/>
          <w:sz w:val="22"/>
          <w:szCs w:val="22"/>
          <w:lang w:eastAsia="en-US"/>
        </w:rPr>
        <w:t xml:space="preserve"> damage to the development of this </w:t>
      </w:r>
      <w:r w:rsidR="002C2AAC">
        <w:rPr>
          <w:rFonts w:ascii="Calibri" w:eastAsia="Calibri" w:hAnsi="Calibri"/>
          <w:sz w:val="22"/>
          <w:szCs w:val="22"/>
          <w:lang w:eastAsia="en-US"/>
        </w:rPr>
        <w:t>product</w:t>
      </w:r>
      <w:r w:rsidRPr="000B4F56">
        <w:rPr>
          <w:rFonts w:ascii="Calibri" w:eastAsia="Calibri" w:hAnsi="Calibri"/>
          <w:sz w:val="22"/>
          <w:szCs w:val="22"/>
          <w:lang w:eastAsia="en-US"/>
        </w:rPr>
        <w:t xml:space="preserve">. This </w:t>
      </w:r>
      <w:r w:rsidR="002C2AAC">
        <w:rPr>
          <w:rFonts w:ascii="Calibri" w:eastAsia="Calibri" w:hAnsi="Calibri"/>
          <w:sz w:val="22"/>
          <w:szCs w:val="22"/>
          <w:lang w:eastAsia="en-US"/>
        </w:rPr>
        <w:t xml:space="preserve">example </w:t>
      </w:r>
      <w:r w:rsidRPr="000B4F56">
        <w:rPr>
          <w:rFonts w:ascii="Calibri" w:eastAsia="Calibri" w:hAnsi="Calibri"/>
          <w:sz w:val="22"/>
          <w:szCs w:val="22"/>
          <w:lang w:eastAsia="en-US"/>
        </w:rPr>
        <w:t xml:space="preserve">is stereotypical </w:t>
      </w:r>
      <w:r w:rsidR="002C2AAC">
        <w:rPr>
          <w:rFonts w:ascii="Calibri" w:eastAsia="Calibri" w:hAnsi="Calibri"/>
          <w:sz w:val="22"/>
          <w:szCs w:val="22"/>
          <w:lang w:eastAsia="en-US"/>
        </w:rPr>
        <w:t xml:space="preserve">of what happens to to </w:t>
      </w:r>
      <w:r w:rsidRPr="000B4F56">
        <w:rPr>
          <w:rFonts w:ascii="Calibri" w:eastAsia="Calibri" w:hAnsi="Calibri"/>
          <w:sz w:val="22"/>
          <w:szCs w:val="22"/>
          <w:lang w:eastAsia="en-US"/>
        </w:rPr>
        <w:t xml:space="preserve">fast growing </w:t>
      </w:r>
      <w:r w:rsidR="002C2AAC">
        <w:rPr>
          <w:rFonts w:ascii="Calibri" w:eastAsia="Calibri" w:hAnsi="Calibri"/>
          <w:sz w:val="22"/>
          <w:szCs w:val="22"/>
          <w:lang w:eastAsia="en-US"/>
        </w:rPr>
        <w:t xml:space="preserve">products </w:t>
      </w:r>
      <w:r w:rsidRPr="000B4F56">
        <w:rPr>
          <w:rFonts w:ascii="Calibri" w:eastAsia="Calibri" w:hAnsi="Calibri"/>
          <w:sz w:val="22"/>
          <w:szCs w:val="22"/>
          <w:lang w:eastAsia="en-US"/>
        </w:rPr>
        <w:t xml:space="preserve">subjected to the MiFID II position limits regime. </w:t>
      </w:r>
    </w:p>
    <w:p w14:paraId="136421F9" w14:textId="47AA0724" w:rsidR="006F4EB7" w:rsidRDefault="006F4EB7" w:rsidP="000B4F56">
      <w:pPr>
        <w:spacing w:after="200" w:line="276" w:lineRule="auto"/>
        <w:jc w:val="both"/>
        <w:rPr>
          <w:rFonts w:ascii="Calibri" w:eastAsia="Calibri" w:hAnsi="Calibri"/>
          <w:sz w:val="22"/>
          <w:szCs w:val="22"/>
          <w:lang w:eastAsia="en-US"/>
        </w:rPr>
      </w:pPr>
      <w:r w:rsidRPr="006F4EB7">
        <w:rPr>
          <w:rFonts w:ascii="Calibri" w:eastAsia="Calibri" w:hAnsi="Calibri"/>
          <w:noProof/>
          <w:sz w:val="22"/>
          <w:szCs w:val="22"/>
        </w:rPr>
        <w:drawing>
          <wp:inline distT="0" distB="0" distL="0" distR="0" wp14:anchorId="1536375F" wp14:editId="0E7F4C9C">
            <wp:extent cx="6237453" cy="3095625"/>
            <wp:effectExtent l="0" t="0" r="0" b="0"/>
            <wp:docPr id="12" name="Picture 12" descr="C:\Users\jhardeve\Desktop\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ardeve\Desktop\Picture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58280" cy="3105961"/>
                    </a:xfrm>
                    <a:prstGeom prst="rect">
                      <a:avLst/>
                    </a:prstGeom>
                    <a:noFill/>
                    <a:ln>
                      <a:noFill/>
                    </a:ln>
                  </pic:spPr>
                </pic:pic>
              </a:graphicData>
            </a:graphic>
          </wp:inline>
        </w:drawing>
      </w:r>
    </w:p>
    <w:p w14:paraId="314B02DA" w14:textId="63E07B40" w:rsidR="006F4EB7" w:rsidRPr="000B4F56" w:rsidRDefault="006F4EB7" w:rsidP="000B4F56">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Figure 1. </w:t>
      </w:r>
      <w:r w:rsidRPr="006F4EB7">
        <w:rPr>
          <w:rFonts w:ascii="Calibri" w:eastAsia="Calibri" w:hAnsi="Calibri"/>
          <w:sz w:val="22"/>
          <w:szCs w:val="22"/>
          <w:lang w:eastAsia="en-US"/>
        </w:rPr>
        <w:t xml:space="preserve">Impact of position limits regime on </w:t>
      </w:r>
      <w:r>
        <w:rPr>
          <w:rFonts w:ascii="Calibri" w:eastAsia="Calibri" w:hAnsi="Calibri"/>
          <w:sz w:val="22"/>
          <w:szCs w:val="22"/>
          <w:lang w:eastAsia="en-US"/>
        </w:rPr>
        <w:t xml:space="preserve">development of </w:t>
      </w:r>
      <w:r w:rsidRPr="006F4EB7">
        <w:rPr>
          <w:rFonts w:ascii="Calibri" w:eastAsia="Calibri" w:hAnsi="Calibri"/>
          <w:sz w:val="22"/>
          <w:szCs w:val="22"/>
          <w:lang w:eastAsia="en-US"/>
        </w:rPr>
        <w:t>ICE Endex Italian PSV Gas Futures market</w:t>
      </w:r>
      <w:r>
        <w:rPr>
          <w:rFonts w:ascii="Calibri" w:eastAsia="Calibri" w:hAnsi="Calibri"/>
          <w:sz w:val="22"/>
          <w:szCs w:val="22"/>
          <w:lang w:eastAsia="en-US"/>
        </w:rPr>
        <w:t>.</w:t>
      </w:r>
    </w:p>
    <w:p w14:paraId="1EF4B788" w14:textId="77777777" w:rsidR="000B4F56" w:rsidRPr="000B4F56" w:rsidRDefault="000B4F56" w:rsidP="000B4F56">
      <w:pPr>
        <w:spacing w:after="200" w:line="276" w:lineRule="auto"/>
        <w:jc w:val="both"/>
        <w:rPr>
          <w:rFonts w:ascii="Calibri" w:eastAsia="Calibri" w:hAnsi="Calibri"/>
          <w:b/>
          <w:sz w:val="22"/>
          <w:szCs w:val="22"/>
          <w:lang w:eastAsia="en-US"/>
        </w:rPr>
      </w:pPr>
      <w:r w:rsidRPr="000B4F56">
        <w:rPr>
          <w:rFonts w:ascii="Calibri" w:eastAsia="Calibri" w:hAnsi="Calibri"/>
          <w:b/>
          <w:sz w:val="22"/>
          <w:szCs w:val="22"/>
          <w:lang w:eastAsia="en-US"/>
        </w:rPr>
        <w:t xml:space="preserve">3) Inaccurate reflection of the underlying physical markets </w:t>
      </w:r>
    </w:p>
    <w:p w14:paraId="2D31A610" w14:textId="2B4A693C" w:rsidR="000B4F56" w:rsidRPr="000B4F56" w:rsidRDefault="002C2AAC" w:rsidP="000B4F56">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F</w:t>
      </w:r>
      <w:r w:rsidR="000B4F56" w:rsidRPr="000B4F56">
        <w:rPr>
          <w:rFonts w:ascii="Calibri" w:eastAsia="Calibri" w:hAnsi="Calibri"/>
          <w:sz w:val="22"/>
          <w:szCs w:val="22"/>
          <w:lang w:eastAsia="en-US"/>
        </w:rPr>
        <w:t xml:space="preserve">or some commodity derivatives, the characteristic of the underlying physical market is such that an effective hedge can only be achieved by </w:t>
      </w:r>
      <w:r w:rsidR="00A51323">
        <w:rPr>
          <w:rFonts w:ascii="Calibri" w:eastAsia="Calibri" w:hAnsi="Calibri"/>
          <w:sz w:val="22"/>
          <w:szCs w:val="22"/>
          <w:lang w:eastAsia="en-US"/>
        </w:rPr>
        <w:t xml:space="preserve">holding a position in </w:t>
      </w:r>
      <w:r w:rsidR="000B4F56" w:rsidRPr="000B4F56">
        <w:rPr>
          <w:rFonts w:ascii="Calibri" w:eastAsia="Calibri" w:hAnsi="Calibri"/>
          <w:sz w:val="22"/>
          <w:szCs w:val="22"/>
          <w:lang w:eastAsia="en-US"/>
        </w:rPr>
        <w:t xml:space="preserve">a specific number of lots. </w:t>
      </w:r>
      <w:r w:rsidR="00B00AF8">
        <w:rPr>
          <w:rFonts w:ascii="Calibri" w:eastAsia="Calibri" w:hAnsi="Calibri"/>
          <w:sz w:val="22"/>
          <w:szCs w:val="22"/>
          <w:lang w:eastAsia="en-US"/>
        </w:rPr>
        <w:t>In those cases, s</w:t>
      </w:r>
      <w:r w:rsidR="000B4F56" w:rsidRPr="000B4F56">
        <w:rPr>
          <w:rFonts w:ascii="Calibri" w:eastAsia="Calibri" w:hAnsi="Calibri"/>
          <w:sz w:val="22"/>
          <w:szCs w:val="22"/>
          <w:lang w:eastAsia="en-US"/>
        </w:rPr>
        <w:t>uch a number cannot be traded without exceeding the limit. Yet, under the current MiFID II provisions, the limit cannot be raised without sufficient increase of the open interest.</w:t>
      </w:r>
    </w:p>
    <w:p w14:paraId="64BC7C7E" w14:textId="69172754" w:rsidR="000B4F56" w:rsidRPr="000B4F56" w:rsidRDefault="00A51323" w:rsidP="000B4F56">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For</w:t>
      </w:r>
      <w:r w:rsidR="000B4F56" w:rsidRPr="000B4F56">
        <w:rPr>
          <w:rFonts w:ascii="Calibri" w:eastAsia="Calibri" w:hAnsi="Calibri"/>
          <w:sz w:val="22"/>
          <w:szCs w:val="22"/>
          <w:lang w:eastAsia="en-US"/>
        </w:rPr>
        <w:t xml:space="preserve"> example, the recently launched </w:t>
      </w:r>
      <w:r w:rsidR="000B4F56" w:rsidRPr="000B4F56">
        <w:rPr>
          <w:rFonts w:ascii="Calibri" w:eastAsia="Calibri" w:hAnsi="Calibri"/>
          <w:i/>
          <w:sz w:val="22"/>
          <w:szCs w:val="22"/>
          <w:lang w:eastAsia="en-US"/>
        </w:rPr>
        <w:t>ICE Futures Europe TD20 West Africa to UK-Continent (Baltic) Future</w:t>
      </w:r>
      <w:r w:rsidR="000B4F56" w:rsidRPr="000B4F56">
        <w:rPr>
          <w:rFonts w:ascii="Calibri" w:eastAsia="Calibri" w:hAnsi="Calibri"/>
          <w:sz w:val="22"/>
          <w:szCs w:val="22"/>
          <w:lang w:eastAsia="en-US"/>
        </w:rPr>
        <w:t xml:space="preserve"> has grown significantly over the past few months, reaching over six thousand lots of open interest. The contract is a Suezmax crude route, West Africa to UK Continent for tankers sized on average 130,000 MT (DWT). The </w:t>
      </w:r>
      <w:r>
        <w:rPr>
          <w:rFonts w:ascii="Calibri" w:eastAsia="Calibri" w:hAnsi="Calibri"/>
          <w:sz w:val="22"/>
          <w:szCs w:val="22"/>
          <w:lang w:eastAsia="en-US"/>
        </w:rPr>
        <w:t>largest</w:t>
      </w:r>
      <w:r w:rsidR="000B4F56" w:rsidRPr="000B4F56">
        <w:rPr>
          <w:rFonts w:ascii="Calibri" w:eastAsia="Calibri" w:hAnsi="Calibri"/>
          <w:sz w:val="22"/>
          <w:szCs w:val="22"/>
          <w:lang w:eastAsia="en-US"/>
        </w:rPr>
        <w:t xml:space="preserve"> positions</w:t>
      </w:r>
      <w:r>
        <w:rPr>
          <w:rFonts w:ascii="Calibri" w:eastAsia="Calibri" w:hAnsi="Calibri"/>
          <w:sz w:val="22"/>
          <w:szCs w:val="22"/>
          <w:lang w:eastAsia="en-US"/>
        </w:rPr>
        <w:t>,</w:t>
      </w:r>
      <w:r w:rsidR="000B4F56" w:rsidRPr="000B4F56">
        <w:rPr>
          <w:rFonts w:ascii="Calibri" w:eastAsia="Calibri" w:hAnsi="Calibri"/>
          <w:sz w:val="22"/>
          <w:szCs w:val="22"/>
          <w:lang w:eastAsia="en-US"/>
        </w:rPr>
        <w:t xml:space="preserve"> exceeding 1.9k lots</w:t>
      </w:r>
      <w:r>
        <w:rPr>
          <w:rFonts w:ascii="Calibri" w:eastAsia="Calibri" w:hAnsi="Calibri"/>
          <w:sz w:val="22"/>
          <w:szCs w:val="22"/>
          <w:lang w:eastAsia="en-US"/>
        </w:rPr>
        <w:t>,</w:t>
      </w:r>
      <w:r w:rsidR="000B4F56" w:rsidRPr="000B4F56">
        <w:rPr>
          <w:rFonts w:ascii="Calibri" w:eastAsia="Calibri" w:hAnsi="Calibri"/>
          <w:sz w:val="22"/>
          <w:szCs w:val="22"/>
          <w:lang w:eastAsia="en-US"/>
        </w:rPr>
        <w:t xml:space="preserve"> are held by commodity traders, some of which are located outside the EU and do not hold hedging exemptions. Companies with Suezmax types of tanker fleets tend to hedge calendar years forward</w:t>
      </w:r>
      <w:r>
        <w:rPr>
          <w:rFonts w:ascii="Calibri" w:eastAsia="Calibri" w:hAnsi="Calibri"/>
          <w:sz w:val="22"/>
          <w:szCs w:val="22"/>
          <w:lang w:eastAsia="en-US"/>
        </w:rPr>
        <w:t xml:space="preserve"> and</w:t>
      </w:r>
      <w:r w:rsidR="000B4F56" w:rsidRPr="000B4F56">
        <w:rPr>
          <w:rFonts w:ascii="Calibri" w:eastAsia="Calibri" w:hAnsi="Calibri"/>
          <w:sz w:val="22"/>
          <w:szCs w:val="22"/>
          <w:lang w:eastAsia="en-US"/>
        </w:rPr>
        <w:t xml:space="preserve"> fleet sizes</w:t>
      </w:r>
      <w:r>
        <w:rPr>
          <w:rFonts w:ascii="Calibri" w:eastAsia="Calibri" w:hAnsi="Calibri"/>
          <w:sz w:val="22"/>
          <w:szCs w:val="22"/>
          <w:lang w:eastAsia="en-US"/>
        </w:rPr>
        <w:t xml:space="preserve"> of</w:t>
      </w:r>
      <w:r w:rsidR="000B4F56" w:rsidRPr="000B4F56">
        <w:rPr>
          <w:rFonts w:ascii="Calibri" w:eastAsia="Calibri" w:hAnsi="Calibri"/>
          <w:sz w:val="22"/>
          <w:szCs w:val="22"/>
          <w:lang w:eastAsia="en-US"/>
        </w:rPr>
        <w:t xml:space="preserve"> 20 tankers and above. </w:t>
      </w:r>
    </w:p>
    <w:p w14:paraId="2E00CEF5" w14:textId="384CBE0C" w:rsidR="000B4F56" w:rsidRPr="000B4F56" w:rsidRDefault="000B4F56" w:rsidP="000B4F56">
      <w:pPr>
        <w:spacing w:after="200" w:line="276" w:lineRule="auto"/>
        <w:jc w:val="both"/>
        <w:rPr>
          <w:rFonts w:ascii="Calibri" w:eastAsia="Calibri" w:hAnsi="Calibri"/>
          <w:sz w:val="22"/>
          <w:szCs w:val="22"/>
          <w:lang w:eastAsia="en-US"/>
        </w:rPr>
      </w:pPr>
      <w:r w:rsidRPr="000B4F56">
        <w:rPr>
          <w:rFonts w:ascii="Calibri" w:eastAsia="Calibri" w:hAnsi="Calibri"/>
          <w:sz w:val="22"/>
          <w:szCs w:val="22"/>
          <w:lang w:eastAsia="en-US"/>
        </w:rPr>
        <w:lastRenderedPageBreak/>
        <w:t>To hedge a fleet of ten tankers on a year forward basis - the trade size w</w:t>
      </w:r>
      <w:r w:rsidR="00A51323">
        <w:rPr>
          <w:rFonts w:ascii="Calibri" w:eastAsia="Calibri" w:hAnsi="Calibri"/>
          <w:sz w:val="22"/>
          <w:szCs w:val="22"/>
          <w:lang w:eastAsia="en-US"/>
        </w:rPr>
        <w:t>ould</w:t>
      </w:r>
      <w:r w:rsidRPr="000B4F56">
        <w:rPr>
          <w:rFonts w:ascii="Calibri" w:eastAsia="Calibri" w:hAnsi="Calibri"/>
          <w:sz w:val="22"/>
          <w:szCs w:val="22"/>
          <w:lang w:eastAsia="en-US"/>
        </w:rPr>
        <w:t xml:space="preserve"> be (either as a single trade or done in a sequence of multiple smaller trades for the same Calendar Year tenor, keeping positions open through</w:t>
      </w:r>
      <w:r w:rsidR="00423CA9">
        <w:rPr>
          <w:rFonts w:ascii="Calibri" w:eastAsia="Calibri" w:hAnsi="Calibri"/>
          <w:sz w:val="22"/>
          <w:szCs w:val="22"/>
          <w:lang w:eastAsia="en-US"/>
        </w:rPr>
        <w:t xml:space="preserve"> to </w:t>
      </w:r>
      <w:r w:rsidRPr="000B4F56">
        <w:rPr>
          <w:rFonts w:ascii="Calibri" w:eastAsia="Calibri" w:hAnsi="Calibri"/>
          <w:sz w:val="22"/>
          <w:szCs w:val="22"/>
          <w:lang w:eastAsia="en-US"/>
        </w:rPr>
        <w:t>expiry):</w:t>
      </w:r>
    </w:p>
    <w:p w14:paraId="70105708" w14:textId="77777777" w:rsidR="000B4F56" w:rsidRPr="000B4F56" w:rsidRDefault="000B4F56" w:rsidP="000B4F56">
      <w:pPr>
        <w:spacing w:after="200" w:line="276" w:lineRule="auto"/>
        <w:jc w:val="center"/>
        <w:rPr>
          <w:rFonts w:ascii="Calibri" w:eastAsia="Calibri" w:hAnsi="Calibri"/>
          <w:b/>
          <w:bCs/>
          <w:sz w:val="22"/>
          <w:szCs w:val="22"/>
          <w:lang w:eastAsia="en-US"/>
        </w:rPr>
      </w:pPr>
      <w:r w:rsidRPr="000B4F56">
        <w:rPr>
          <w:rFonts w:ascii="Calibri" w:eastAsia="Calibri" w:hAnsi="Calibri"/>
          <w:b/>
          <w:bCs/>
          <w:sz w:val="22"/>
          <w:szCs w:val="22"/>
          <w:lang w:eastAsia="en-US"/>
        </w:rPr>
        <w:t xml:space="preserve">130 lots * 12months * 10 tankers = 15,600 lots </w:t>
      </w:r>
      <w:r w:rsidRPr="000B4F56">
        <w:rPr>
          <w:rFonts w:ascii="Calibri" w:eastAsia="Calibri" w:hAnsi="Calibri"/>
          <w:sz w:val="22"/>
          <w:szCs w:val="22"/>
          <w:lang w:eastAsia="en-US"/>
        </w:rPr>
        <w:t>to hedge freight rates exposure for a single Calendar year (i.e Cal 2019 trade)</w:t>
      </w:r>
    </w:p>
    <w:p w14:paraId="3DE7B96E" w14:textId="5A1DEF38" w:rsidR="000B4F56" w:rsidRPr="000B4F56" w:rsidRDefault="000B4F56" w:rsidP="000B4F56">
      <w:pPr>
        <w:spacing w:after="200" w:line="276" w:lineRule="auto"/>
        <w:jc w:val="both"/>
        <w:rPr>
          <w:rFonts w:ascii="Calibri" w:eastAsia="Calibri" w:hAnsi="Calibri"/>
          <w:sz w:val="22"/>
          <w:szCs w:val="22"/>
          <w:lang w:eastAsia="en-US"/>
        </w:rPr>
      </w:pPr>
      <w:r w:rsidRPr="000B4F56">
        <w:rPr>
          <w:rFonts w:ascii="Calibri" w:eastAsia="Calibri" w:hAnsi="Calibri"/>
          <w:sz w:val="22"/>
          <w:szCs w:val="22"/>
          <w:lang w:eastAsia="en-US"/>
        </w:rPr>
        <w:t>With fast growing trading volumes in wet freight, companies are now extending hedges down the curve, trading to cover Cal19 / Cal20 and even Cal21 tenors.</w:t>
      </w:r>
      <w:r w:rsidR="004F0460">
        <w:rPr>
          <w:rFonts w:ascii="Calibri" w:eastAsia="Calibri" w:hAnsi="Calibri"/>
          <w:sz w:val="22"/>
          <w:szCs w:val="22"/>
          <w:lang w:eastAsia="en-US"/>
        </w:rPr>
        <w:t xml:space="preserve"> The</w:t>
      </w:r>
      <w:r w:rsidRPr="000B4F56">
        <w:rPr>
          <w:rFonts w:ascii="Calibri" w:eastAsia="Calibri" w:hAnsi="Calibri"/>
          <w:sz w:val="22"/>
          <w:szCs w:val="22"/>
          <w:lang w:eastAsia="en-US"/>
        </w:rPr>
        <w:t xml:space="preserve"> </w:t>
      </w:r>
      <w:hyperlink r:id="rId21" w:history="1">
        <w:r w:rsidRPr="000B4F56">
          <w:rPr>
            <w:rFonts w:ascii="Calibri" w:eastAsia="Calibri" w:hAnsi="Calibri"/>
            <w:color w:val="0000FF"/>
            <w:sz w:val="22"/>
            <w:szCs w:val="22"/>
            <w:u w:val="single"/>
            <w:lang w:eastAsia="en-US"/>
          </w:rPr>
          <w:t xml:space="preserve">International Maritime Organization’s </w:t>
        </w:r>
        <w:r w:rsidR="004F0460">
          <w:rPr>
            <w:rFonts w:ascii="Calibri" w:eastAsia="Calibri" w:hAnsi="Calibri"/>
            <w:color w:val="0000FF"/>
            <w:sz w:val="22"/>
            <w:szCs w:val="22"/>
            <w:u w:val="single"/>
            <w:lang w:eastAsia="en-US"/>
          </w:rPr>
          <w:t xml:space="preserve">environmental </w:t>
        </w:r>
        <w:r w:rsidRPr="000B4F56">
          <w:rPr>
            <w:rFonts w:ascii="Calibri" w:eastAsia="Calibri" w:hAnsi="Calibri"/>
            <w:color w:val="0000FF"/>
            <w:sz w:val="22"/>
            <w:szCs w:val="22"/>
            <w:u w:val="single"/>
            <w:lang w:eastAsia="en-US"/>
          </w:rPr>
          <w:t>regulation going live in 2020</w:t>
        </w:r>
      </w:hyperlink>
      <w:r w:rsidRPr="000B4F56">
        <w:rPr>
          <w:rFonts w:ascii="Calibri" w:eastAsia="Calibri" w:hAnsi="Calibri"/>
          <w:sz w:val="22"/>
          <w:szCs w:val="22"/>
          <w:lang w:eastAsia="en-US"/>
        </w:rPr>
        <w:t xml:space="preserve"> has been a significant factor behind the longer-dated hedges</w:t>
      </w:r>
      <w:r w:rsidR="00775F04">
        <w:rPr>
          <w:rFonts w:ascii="Calibri" w:eastAsia="Calibri" w:hAnsi="Calibri"/>
          <w:sz w:val="22"/>
          <w:szCs w:val="22"/>
          <w:lang w:eastAsia="en-US"/>
        </w:rPr>
        <w:t>,</w:t>
      </w:r>
      <w:r w:rsidRPr="000B4F56">
        <w:rPr>
          <w:rFonts w:ascii="Calibri" w:eastAsia="Calibri" w:hAnsi="Calibri"/>
          <w:sz w:val="22"/>
          <w:szCs w:val="22"/>
          <w:lang w:eastAsia="en-US"/>
        </w:rPr>
        <w:t xml:space="preserve"> as </w:t>
      </w:r>
      <w:r w:rsidR="00775F04">
        <w:rPr>
          <w:rFonts w:ascii="Calibri" w:eastAsia="Calibri" w:hAnsi="Calibri"/>
          <w:sz w:val="22"/>
          <w:szCs w:val="22"/>
          <w:lang w:eastAsia="en-US"/>
        </w:rPr>
        <w:t xml:space="preserve">commercial </w:t>
      </w:r>
      <w:r w:rsidRPr="000B4F56">
        <w:rPr>
          <w:rFonts w:ascii="Calibri" w:eastAsia="Calibri" w:hAnsi="Calibri"/>
          <w:sz w:val="22"/>
          <w:szCs w:val="22"/>
          <w:lang w:eastAsia="en-US"/>
        </w:rPr>
        <w:t xml:space="preserve">companies are seeking certainty and stability of “locked in” freight levels that are expected to become volatile as the new sulphur caps for bunker fuel start affecting the cost of shipping from January 2020. </w:t>
      </w:r>
    </w:p>
    <w:p w14:paraId="7DC17D9C" w14:textId="1B43A78F" w:rsidR="000B4F56" w:rsidRPr="000B4F56" w:rsidRDefault="00775F04" w:rsidP="000B4F56">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T</w:t>
      </w:r>
      <w:r w:rsidR="000B4F56" w:rsidRPr="000B4F56">
        <w:rPr>
          <w:rFonts w:ascii="Calibri" w:eastAsia="Calibri" w:hAnsi="Calibri"/>
          <w:sz w:val="22"/>
          <w:szCs w:val="22"/>
          <w:lang w:eastAsia="en-US"/>
        </w:rPr>
        <w:t xml:space="preserve">raders active in TD20 have indicated </w:t>
      </w:r>
      <w:r>
        <w:rPr>
          <w:rFonts w:ascii="Calibri" w:eastAsia="Calibri" w:hAnsi="Calibri"/>
          <w:sz w:val="22"/>
          <w:szCs w:val="22"/>
          <w:lang w:eastAsia="en-US"/>
        </w:rPr>
        <w:t xml:space="preserve">that </w:t>
      </w:r>
      <w:r w:rsidR="000B4F56" w:rsidRPr="000B4F56">
        <w:rPr>
          <w:rFonts w:ascii="Calibri" w:eastAsia="Calibri" w:hAnsi="Calibri"/>
          <w:sz w:val="22"/>
          <w:szCs w:val="22"/>
          <w:lang w:eastAsia="en-US"/>
        </w:rPr>
        <w:t xml:space="preserve">the </w:t>
      </w:r>
      <w:r>
        <w:rPr>
          <w:rFonts w:ascii="Calibri" w:eastAsia="Calibri" w:hAnsi="Calibri"/>
          <w:sz w:val="22"/>
          <w:szCs w:val="22"/>
          <w:lang w:eastAsia="en-US"/>
        </w:rPr>
        <w:t>commercial companies</w:t>
      </w:r>
      <w:r w:rsidR="000B4F56" w:rsidRPr="000B4F56">
        <w:rPr>
          <w:rFonts w:ascii="Calibri" w:eastAsia="Calibri" w:hAnsi="Calibri"/>
          <w:sz w:val="22"/>
          <w:szCs w:val="22"/>
          <w:lang w:eastAsia="en-US"/>
        </w:rPr>
        <w:t xml:space="preserve"> need to hedge multiple calendar years forward in </w:t>
      </w:r>
      <w:r>
        <w:rPr>
          <w:rFonts w:ascii="Calibri" w:eastAsia="Calibri" w:hAnsi="Calibri"/>
          <w:sz w:val="22"/>
          <w:szCs w:val="22"/>
          <w:lang w:eastAsia="en-US"/>
        </w:rPr>
        <w:t xml:space="preserve">the </w:t>
      </w:r>
      <w:r w:rsidR="000B4F56" w:rsidRPr="000B4F56">
        <w:rPr>
          <w:rFonts w:ascii="Calibri" w:eastAsia="Calibri" w:hAnsi="Calibri"/>
          <w:sz w:val="22"/>
          <w:szCs w:val="22"/>
          <w:lang w:eastAsia="en-US"/>
        </w:rPr>
        <w:t>TD20 route</w:t>
      </w:r>
      <w:r>
        <w:rPr>
          <w:rFonts w:ascii="Calibri" w:eastAsia="Calibri" w:hAnsi="Calibri"/>
          <w:sz w:val="22"/>
          <w:szCs w:val="22"/>
          <w:lang w:eastAsia="en-US"/>
        </w:rPr>
        <w:t>, which</w:t>
      </w:r>
      <w:r w:rsidR="000B4F56" w:rsidRPr="000B4F56">
        <w:rPr>
          <w:rFonts w:ascii="Calibri" w:eastAsia="Calibri" w:hAnsi="Calibri"/>
          <w:sz w:val="22"/>
          <w:szCs w:val="22"/>
          <w:lang w:eastAsia="en-US"/>
        </w:rPr>
        <w:t xml:space="preserve"> would result in tripling trading volumes in the calculation scenario above, with potential </w:t>
      </w:r>
      <w:r>
        <w:rPr>
          <w:rFonts w:ascii="Calibri" w:eastAsia="Calibri" w:hAnsi="Calibri"/>
          <w:sz w:val="22"/>
          <w:szCs w:val="22"/>
          <w:lang w:eastAsia="en-US"/>
        </w:rPr>
        <w:t xml:space="preserve">open interest of </w:t>
      </w:r>
      <w:r w:rsidR="000B4F56" w:rsidRPr="000B4F56">
        <w:rPr>
          <w:rFonts w:ascii="Calibri" w:eastAsia="Calibri" w:hAnsi="Calibri"/>
          <w:sz w:val="22"/>
          <w:szCs w:val="22"/>
          <w:lang w:eastAsia="en-US"/>
        </w:rPr>
        <w:t>46,800 lots.</w:t>
      </w:r>
    </w:p>
    <w:p w14:paraId="347857C2" w14:textId="7A93061D" w:rsidR="002056ED" w:rsidRPr="002056ED" w:rsidRDefault="000B4F56" w:rsidP="002056ED">
      <w:pPr>
        <w:spacing w:after="200" w:line="276" w:lineRule="auto"/>
        <w:jc w:val="both"/>
        <w:rPr>
          <w:rFonts w:ascii="Calibri" w:eastAsia="Calibri" w:hAnsi="Calibri"/>
          <w:sz w:val="22"/>
          <w:szCs w:val="22"/>
          <w:lang w:eastAsia="en-US"/>
        </w:rPr>
      </w:pPr>
      <w:r w:rsidRPr="000B4F56">
        <w:rPr>
          <w:rFonts w:ascii="Calibri" w:eastAsia="Calibri" w:hAnsi="Calibri"/>
          <w:sz w:val="22"/>
          <w:szCs w:val="22"/>
          <w:lang w:eastAsia="en-US"/>
        </w:rPr>
        <w:t>However, the growth of th</w:t>
      </w:r>
      <w:r w:rsidR="005137F5">
        <w:rPr>
          <w:rFonts w:ascii="Calibri" w:eastAsia="Calibri" w:hAnsi="Calibri"/>
          <w:sz w:val="22"/>
          <w:szCs w:val="22"/>
          <w:lang w:eastAsia="en-US"/>
        </w:rPr>
        <w:t>is</w:t>
      </w:r>
      <w:r w:rsidRPr="000B4F56">
        <w:rPr>
          <w:rFonts w:ascii="Calibri" w:eastAsia="Calibri" w:hAnsi="Calibri"/>
          <w:sz w:val="22"/>
          <w:szCs w:val="22"/>
          <w:lang w:eastAsia="en-US"/>
        </w:rPr>
        <w:t xml:space="preserve"> contract is restricted by the current </w:t>
      </w:r>
      <w:r w:rsidRPr="000B4F56">
        <w:rPr>
          <w:rFonts w:ascii="Calibri" w:eastAsia="Calibri" w:hAnsi="Calibri"/>
          <w:i/>
          <w:sz w:val="22"/>
          <w:szCs w:val="22"/>
          <w:lang w:eastAsia="en-US"/>
        </w:rPr>
        <w:t>de minimis</w:t>
      </w:r>
      <w:r w:rsidRPr="000B4F56">
        <w:rPr>
          <w:rFonts w:ascii="Calibri" w:eastAsia="Calibri" w:hAnsi="Calibri"/>
          <w:sz w:val="22"/>
          <w:szCs w:val="22"/>
          <w:lang w:eastAsia="en-US"/>
        </w:rPr>
        <w:t xml:space="preserve"> position limit. Further development of this contract requires dynamic changes of the current limit from a fixed 2</w:t>
      </w:r>
      <w:r w:rsidR="005137F5">
        <w:rPr>
          <w:rFonts w:ascii="Calibri" w:eastAsia="Calibri" w:hAnsi="Calibri"/>
          <w:sz w:val="22"/>
          <w:szCs w:val="22"/>
          <w:lang w:eastAsia="en-US"/>
        </w:rPr>
        <w:t>.</w:t>
      </w:r>
      <w:r w:rsidRPr="000B4F56">
        <w:rPr>
          <w:rFonts w:ascii="Calibri" w:eastAsia="Calibri" w:hAnsi="Calibri"/>
          <w:sz w:val="22"/>
          <w:szCs w:val="22"/>
          <w:lang w:eastAsia="en-US"/>
        </w:rPr>
        <w:t xml:space="preserve">500 lots level to a much higher limit based on the open interest. </w:t>
      </w:r>
    </w:p>
    <w:p w14:paraId="7DDE6418" w14:textId="755E6DDC" w:rsidR="002056ED" w:rsidRPr="00707B76" w:rsidRDefault="00A32FB9" w:rsidP="002056ED">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 xml:space="preserve">Furthermore, overly restrictive position limits often lead market participants to </w:t>
      </w:r>
      <w:r w:rsidR="00B00AF8">
        <w:rPr>
          <w:rFonts w:ascii="Calibri" w:eastAsia="Calibri" w:hAnsi="Calibri"/>
          <w:sz w:val="22"/>
          <w:szCs w:val="22"/>
          <w:lang w:eastAsia="en-US"/>
        </w:rPr>
        <w:t xml:space="preserve">reduce positions </w:t>
      </w:r>
      <w:r>
        <w:rPr>
          <w:rFonts w:ascii="Calibri" w:eastAsia="Calibri" w:hAnsi="Calibri"/>
          <w:sz w:val="22"/>
          <w:szCs w:val="22"/>
          <w:lang w:eastAsia="en-US"/>
        </w:rPr>
        <w:t xml:space="preserve">as a </w:t>
      </w:r>
      <w:r w:rsidRPr="00707B76">
        <w:rPr>
          <w:rFonts w:ascii="Calibri" w:eastAsia="Calibri" w:hAnsi="Calibri"/>
          <w:sz w:val="22"/>
          <w:szCs w:val="22"/>
          <w:lang w:eastAsia="en-US"/>
        </w:rPr>
        <w:t xml:space="preserve">result of a limit rather than genuine economic need. </w:t>
      </w:r>
    </w:p>
    <w:p w14:paraId="35BA889B" w14:textId="0B61CBBD" w:rsidR="00A32FB9" w:rsidRPr="00707B76" w:rsidRDefault="00B95D17" w:rsidP="002056ED">
      <w:pPr>
        <w:spacing w:after="200" w:line="276" w:lineRule="auto"/>
        <w:jc w:val="both"/>
        <w:rPr>
          <w:rFonts w:ascii="Calibri" w:eastAsia="Calibri" w:hAnsi="Calibri"/>
          <w:sz w:val="22"/>
          <w:szCs w:val="22"/>
          <w:lang w:eastAsia="en-US"/>
        </w:rPr>
      </w:pPr>
      <w:r w:rsidRPr="00707B76">
        <w:rPr>
          <w:rFonts w:ascii="Calibri" w:eastAsia="Calibri" w:hAnsi="Calibri"/>
          <w:sz w:val="22"/>
          <w:szCs w:val="22"/>
          <w:lang w:eastAsia="en-US"/>
        </w:rPr>
        <w:t>I</w:t>
      </w:r>
      <w:r w:rsidR="00A32FB9" w:rsidRPr="00707B76">
        <w:rPr>
          <w:rFonts w:ascii="Calibri" w:eastAsia="Calibri" w:hAnsi="Calibri"/>
          <w:sz w:val="22"/>
          <w:szCs w:val="22"/>
          <w:lang w:eastAsia="en-US"/>
        </w:rPr>
        <w:t>n one of ICE Futures Europe’s oil futures contrac</w:t>
      </w:r>
      <w:r w:rsidR="002056ED" w:rsidRPr="00707B76">
        <w:rPr>
          <w:rFonts w:ascii="Calibri" w:eastAsia="Calibri" w:hAnsi="Calibri"/>
          <w:sz w:val="22"/>
          <w:szCs w:val="22"/>
          <w:lang w:eastAsia="en-US"/>
        </w:rPr>
        <w:t>t</w:t>
      </w:r>
      <w:r w:rsidR="00A32FB9" w:rsidRPr="00707B76">
        <w:rPr>
          <w:rFonts w:ascii="Calibri" w:eastAsia="Calibri" w:hAnsi="Calibri"/>
          <w:sz w:val="22"/>
          <w:szCs w:val="22"/>
          <w:lang w:eastAsia="en-US"/>
        </w:rPr>
        <w:t>s</w:t>
      </w:r>
      <w:r w:rsidRPr="00707B76">
        <w:rPr>
          <w:rFonts w:ascii="Calibri" w:eastAsia="Calibri" w:hAnsi="Calibri"/>
          <w:sz w:val="22"/>
          <w:szCs w:val="22"/>
          <w:lang w:eastAsia="en-US"/>
        </w:rPr>
        <w:t xml:space="preserve"> the following situation has arisen</w:t>
      </w:r>
      <w:r w:rsidR="00A32FB9" w:rsidRPr="00707B76">
        <w:rPr>
          <w:rFonts w:ascii="Calibri" w:eastAsia="Calibri" w:hAnsi="Calibri"/>
          <w:sz w:val="22"/>
          <w:szCs w:val="22"/>
          <w:lang w:eastAsia="en-US"/>
        </w:rPr>
        <w:t>:</w:t>
      </w:r>
    </w:p>
    <w:p w14:paraId="72030A24" w14:textId="4BAF5C52" w:rsidR="00A32FB9" w:rsidRPr="00707B76" w:rsidRDefault="00A32FB9" w:rsidP="002056ED">
      <w:pPr>
        <w:jc w:val="both"/>
        <w:rPr>
          <w:rFonts w:ascii="Calibri" w:eastAsia="Calibri" w:hAnsi="Calibri"/>
          <w:sz w:val="22"/>
          <w:szCs w:val="22"/>
          <w:lang w:eastAsia="en-US"/>
        </w:rPr>
      </w:pPr>
      <w:r w:rsidRPr="00707B76">
        <w:rPr>
          <w:rFonts w:ascii="Calibri" w:eastAsia="Calibri" w:hAnsi="Calibri"/>
          <w:sz w:val="22"/>
          <w:szCs w:val="22"/>
          <w:lang w:eastAsia="en-US"/>
        </w:rPr>
        <w:t>MiFID II Position Limit: 2,500 lots</w:t>
      </w:r>
    </w:p>
    <w:p w14:paraId="217588E3" w14:textId="77777777" w:rsidR="00A32FB9" w:rsidRPr="00707B76" w:rsidRDefault="00A32FB9" w:rsidP="002056ED">
      <w:pPr>
        <w:jc w:val="both"/>
        <w:rPr>
          <w:rFonts w:ascii="Calibri" w:eastAsia="Calibri" w:hAnsi="Calibri"/>
          <w:sz w:val="22"/>
          <w:szCs w:val="22"/>
          <w:lang w:eastAsia="en-US"/>
        </w:rPr>
      </w:pPr>
    </w:p>
    <w:p w14:paraId="79A8F299" w14:textId="77777777" w:rsidR="00A32FB9" w:rsidRPr="00707B76" w:rsidRDefault="00A32FB9" w:rsidP="002056ED">
      <w:pPr>
        <w:jc w:val="both"/>
        <w:rPr>
          <w:rFonts w:ascii="Calibri" w:eastAsia="Calibri" w:hAnsi="Calibri"/>
          <w:sz w:val="22"/>
          <w:szCs w:val="22"/>
          <w:lang w:eastAsia="en-US"/>
        </w:rPr>
      </w:pPr>
      <w:r w:rsidRPr="00707B76">
        <w:rPr>
          <w:rFonts w:ascii="Calibri" w:eastAsia="Calibri" w:hAnsi="Calibri"/>
          <w:sz w:val="22"/>
          <w:szCs w:val="22"/>
          <w:lang w:eastAsia="en-US"/>
        </w:rPr>
        <w:t>Company A position: -4,300 lots</w:t>
      </w:r>
    </w:p>
    <w:p w14:paraId="616FCA98" w14:textId="77777777" w:rsidR="00A32FB9" w:rsidRPr="00707B76" w:rsidRDefault="00A32FB9" w:rsidP="002056ED">
      <w:pPr>
        <w:jc w:val="both"/>
        <w:rPr>
          <w:rFonts w:ascii="Calibri" w:eastAsia="Calibri" w:hAnsi="Calibri"/>
          <w:sz w:val="22"/>
          <w:szCs w:val="22"/>
          <w:lang w:eastAsia="en-US"/>
        </w:rPr>
      </w:pPr>
      <w:r w:rsidRPr="00707B76">
        <w:rPr>
          <w:rFonts w:ascii="Calibri" w:eastAsia="Calibri" w:hAnsi="Calibri"/>
          <w:sz w:val="22"/>
          <w:szCs w:val="22"/>
          <w:lang w:eastAsia="en-US"/>
        </w:rPr>
        <w:t>Company B position: +2,800 lots</w:t>
      </w:r>
    </w:p>
    <w:p w14:paraId="18BC2288" w14:textId="77777777" w:rsidR="00A32FB9" w:rsidRPr="00707B76" w:rsidRDefault="00A32FB9" w:rsidP="002056ED">
      <w:pPr>
        <w:jc w:val="both"/>
        <w:rPr>
          <w:rFonts w:ascii="Calibri" w:eastAsia="Calibri" w:hAnsi="Calibri"/>
          <w:sz w:val="22"/>
          <w:szCs w:val="22"/>
          <w:lang w:eastAsia="en-US"/>
        </w:rPr>
      </w:pPr>
      <w:r w:rsidRPr="00707B76">
        <w:rPr>
          <w:rFonts w:ascii="Calibri" w:eastAsia="Calibri" w:hAnsi="Calibri"/>
          <w:sz w:val="22"/>
          <w:szCs w:val="22"/>
          <w:lang w:eastAsia="en-US"/>
        </w:rPr>
        <w:t>Company C position: +1,500 lots</w:t>
      </w:r>
    </w:p>
    <w:p w14:paraId="048571CF" w14:textId="77777777" w:rsidR="00A32FB9" w:rsidRPr="00707B76" w:rsidRDefault="00A32FB9" w:rsidP="002056ED">
      <w:pPr>
        <w:jc w:val="both"/>
        <w:rPr>
          <w:rFonts w:ascii="Calibri" w:eastAsia="Calibri" w:hAnsi="Calibri"/>
          <w:sz w:val="22"/>
          <w:szCs w:val="22"/>
          <w:lang w:eastAsia="en-US"/>
        </w:rPr>
      </w:pPr>
    </w:p>
    <w:p w14:paraId="6968F928" w14:textId="10116A43" w:rsidR="00A32FB9" w:rsidRPr="000B4F56" w:rsidRDefault="00A32FB9" w:rsidP="002056ED">
      <w:pPr>
        <w:jc w:val="both"/>
        <w:rPr>
          <w:rFonts w:ascii="Calibri" w:eastAsia="Calibri" w:hAnsi="Calibri"/>
          <w:sz w:val="22"/>
          <w:szCs w:val="22"/>
          <w:lang w:eastAsia="en-US"/>
        </w:rPr>
      </w:pPr>
      <w:r w:rsidRPr="00707B76">
        <w:rPr>
          <w:rFonts w:ascii="Calibri" w:eastAsia="Calibri" w:hAnsi="Calibri"/>
          <w:sz w:val="22"/>
          <w:szCs w:val="22"/>
          <w:lang w:eastAsia="en-US"/>
        </w:rPr>
        <w:t xml:space="preserve">In the above example, Company A must buy back 1,800 lots to get below the limit, but Company B need sell only 300 and Company C need not sell anything at all. For </w:t>
      </w:r>
      <w:r w:rsidR="002056ED" w:rsidRPr="00707B76">
        <w:rPr>
          <w:rFonts w:ascii="Calibri" w:eastAsia="Calibri" w:hAnsi="Calibri"/>
          <w:sz w:val="22"/>
          <w:szCs w:val="22"/>
          <w:lang w:eastAsia="en-US"/>
        </w:rPr>
        <w:t xml:space="preserve">Company </w:t>
      </w:r>
      <w:r w:rsidRPr="00707B76">
        <w:rPr>
          <w:rFonts w:ascii="Calibri" w:eastAsia="Calibri" w:hAnsi="Calibri"/>
          <w:sz w:val="22"/>
          <w:szCs w:val="22"/>
          <w:lang w:eastAsia="en-US"/>
        </w:rPr>
        <w:t xml:space="preserve">A to comply with the </w:t>
      </w:r>
      <w:r w:rsidR="002056ED" w:rsidRPr="00707B76">
        <w:rPr>
          <w:rFonts w:ascii="Calibri" w:eastAsia="Calibri" w:hAnsi="Calibri"/>
          <w:sz w:val="22"/>
          <w:szCs w:val="22"/>
          <w:lang w:eastAsia="en-US"/>
        </w:rPr>
        <w:t xml:space="preserve">limit, therefore, it </w:t>
      </w:r>
      <w:r w:rsidRPr="00707B76">
        <w:rPr>
          <w:rFonts w:ascii="Calibri" w:eastAsia="Calibri" w:hAnsi="Calibri"/>
          <w:sz w:val="22"/>
          <w:szCs w:val="22"/>
          <w:lang w:eastAsia="en-US"/>
        </w:rPr>
        <w:t>will have to bid the contract up so high that B and C cannot resist sell</w:t>
      </w:r>
      <w:r w:rsidR="00B95D17" w:rsidRPr="00707B76">
        <w:rPr>
          <w:rFonts w:ascii="Calibri" w:eastAsia="Calibri" w:hAnsi="Calibri"/>
          <w:sz w:val="22"/>
          <w:szCs w:val="22"/>
          <w:lang w:eastAsia="en-US"/>
        </w:rPr>
        <w:t>ing</w:t>
      </w:r>
      <w:r w:rsidRPr="00707B76">
        <w:rPr>
          <w:rFonts w:ascii="Calibri" w:eastAsia="Calibri" w:hAnsi="Calibri"/>
          <w:sz w:val="22"/>
          <w:szCs w:val="22"/>
          <w:lang w:eastAsia="en-US"/>
        </w:rPr>
        <w:t xml:space="preserve"> at </w:t>
      </w:r>
      <w:r w:rsidR="002056ED" w:rsidRPr="00707B76">
        <w:rPr>
          <w:rFonts w:ascii="Calibri" w:eastAsia="Calibri" w:hAnsi="Calibri"/>
          <w:sz w:val="22"/>
          <w:szCs w:val="22"/>
          <w:lang w:eastAsia="en-US"/>
        </w:rPr>
        <w:t xml:space="preserve">prices </w:t>
      </w:r>
      <w:r w:rsidR="00B95D17" w:rsidRPr="00707B76">
        <w:rPr>
          <w:rFonts w:ascii="Calibri" w:eastAsia="Calibri" w:hAnsi="Calibri"/>
          <w:sz w:val="22"/>
          <w:szCs w:val="22"/>
          <w:lang w:eastAsia="en-US"/>
        </w:rPr>
        <w:t>driven by position limit requirements rather than supply and demand</w:t>
      </w:r>
      <w:r w:rsidRPr="00707B76">
        <w:rPr>
          <w:rFonts w:ascii="Calibri" w:eastAsia="Calibri" w:hAnsi="Calibri"/>
          <w:sz w:val="22"/>
          <w:szCs w:val="22"/>
          <w:lang w:eastAsia="en-US"/>
        </w:rPr>
        <w:t xml:space="preserve">. As soon as </w:t>
      </w:r>
      <w:r w:rsidR="002056ED" w:rsidRPr="00707B76">
        <w:rPr>
          <w:rFonts w:ascii="Calibri" w:eastAsia="Calibri" w:hAnsi="Calibri"/>
          <w:sz w:val="22"/>
          <w:szCs w:val="22"/>
          <w:lang w:eastAsia="en-US"/>
        </w:rPr>
        <w:t xml:space="preserve">Company </w:t>
      </w:r>
      <w:r w:rsidRPr="00707B76">
        <w:rPr>
          <w:rFonts w:ascii="Calibri" w:eastAsia="Calibri" w:hAnsi="Calibri"/>
          <w:sz w:val="22"/>
          <w:szCs w:val="22"/>
          <w:lang w:eastAsia="en-US"/>
        </w:rPr>
        <w:t xml:space="preserve">A’s position has fallen to 2,500 lots, the bidding will stop and the price will collapse. This </w:t>
      </w:r>
      <w:r w:rsidR="00B95D17" w:rsidRPr="00707B76">
        <w:rPr>
          <w:rFonts w:ascii="Calibri" w:eastAsia="Calibri" w:hAnsi="Calibri"/>
          <w:sz w:val="22"/>
          <w:szCs w:val="22"/>
          <w:lang w:eastAsia="en-US"/>
        </w:rPr>
        <w:t xml:space="preserve">volatility </w:t>
      </w:r>
      <w:r w:rsidR="00B11759" w:rsidRPr="00707B76">
        <w:rPr>
          <w:rFonts w:ascii="Calibri" w:eastAsia="Calibri" w:hAnsi="Calibri"/>
          <w:sz w:val="22"/>
          <w:szCs w:val="22"/>
          <w:lang w:eastAsia="en-US"/>
        </w:rPr>
        <w:t>does not contribute to orderly markets</w:t>
      </w:r>
      <w:r w:rsidRPr="00707B76">
        <w:rPr>
          <w:rFonts w:ascii="Calibri" w:eastAsia="Calibri" w:hAnsi="Calibri"/>
          <w:sz w:val="22"/>
          <w:szCs w:val="22"/>
          <w:lang w:eastAsia="en-US"/>
        </w:rPr>
        <w:t xml:space="preserve">. </w:t>
      </w:r>
      <w:r w:rsidR="00B00AF8" w:rsidRPr="00707B76">
        <w:rPr>
          <w:rFonts w:ascii="Calibri" w:eastAsia="Calibri" w:hAnsi="Calibri"/>
          <w:sz w:val="22"/>
          <w:szCs w:val="22"/>
          <w:lang w:eastAsia="en-US"/>
        </w:rPr>
        <w:t>Rather, a</w:t>
      </w:r>
      <w:r w:rsidRPr="00707B76">
        <w:rPr>
          <w:rFonts w:ascii="Calibri" w:eastAsia="Calibri" w:hAnsi="Calibri"/>
          <w:sz w:val="22"/>
          <w:szCs w:val="22"/>
          <w:lang w:eastAsia="en-US"/>
        </w:rPr>
        <w:t xml:space="preserve">n inquiry as to intent would be sent to the trader’s market access provider and a </w:t>
      </w:r>
      <w:r w:rsidR="004F0460">
        <w:rPr>
          <w:rFonts w:ascii="Calibri" w:eastAsia="Calibri" w:hAnsi="Calibri"/>
          <w:sz w:val="22"/>
          <w:szCs w:val="22"/>
          <w:lang w:eastAsia="en-US"/>
        </w:rPr>
        <w:t>S</w:t>
      </w:r>
      <w:r w:rsidR="002056ED" w:rsidRPr="00707B76">
        <w:rPr>
          <w:rFonts w:ascii="Calibri" w:eastAsia="Calibri" w:hAnsi="Calibri"/>
          <w:sz w:val="22"/>
          <w:szCs w:val="22"/>
          <w:lang w:eastAsia="en-US"/>
        </w:rPr>
        <w:t xml:space="preserve">uspicious </w:t>
      </w:r>
      <w:r w:rsidR="004F0460">
        <w:rPr>
          <w:rFonts w:ascii="Calibri" w:eastAsia="Calibri" w:hAnsi="Calibri"/>
          <w:sz w:val="22"/>
          <w:szCs w:val="22"/>
          <w:lang w:eastAsia="en-US"/>
        </w:rPr>
        <w:t>T</w:t>
      </w:r>
      <w:r w:rsidR="002056ED" w:rsidRPr="00707B76">
        <w:rPr>
          <w:rFonts w:ascii="Calibri" w:eastAsia="Calibri" w:hAnsi="Calibri"/>
          <w:sz w:val="22"/>
          <w:szCs w:val="22"/>
          <w:lang w:eastAsia="en-US"/>
        </w:rPr>
        <w:t xml:space="preserve">ransaction </w:t>
      </w:r>
      <w:r w:rsidR="004F0460">
        <w:rPr>
          <w:rFonts w:ascii="Calibri" w:eastAsia="Calibri" w:hAnsi="Calibri"/>
          <w:sz w:val="22"/>
          <w:szCs w:val="22"/>
          <w:lang w:eastAsia="en-US"/>
        </w:rPr>
        <w:t>and Order R</w:t>
      </w:r>
      <w:r w:rsidR="002056ED" w:rsidRPr="00707B76">
        <w:rPr>
          <w:rFonts w:ascii="Calibri" w:eastAsia="Calibri" w:hAnsi="Calibri"/>
          <w:sz w:val="22"/>
          <w:szCs w:val="22"/>
          <w:lang w:eastAsia="en-US"/>
        </w:rPr>
        <w:t>eport could be sent to the NCA.</w:t>
      </w:r>
    </w:p>
    <w:p w14:paraId="1183438C" w14:textId="77777777" w:rsidR="000B4F56" w:rsidRDefault="000B4F56" w:rsidP="000B4F56">
      <w:pPr>
        <w:pStyle w:val="NoSpacing"/>
        <w:spacing w:line="276" w:lineRule="auto"/>
        <w:jc w:val="both"/>
      </w:pPr>
    </w:p>
    <w:p w14:paraId="76C523D9" w14:textId="77777777" w:rsidR="00AB6157" w:rsidRDefault="00AB6157" w:rsidP="00AB6157">
      <w:pPr>
        <w:rPr>
          <w:rFonts w:ascii="Arial" w:hAnsi="Arial" w:cs="Arial"/>
        </w:rPr>
      </w:pPr>
      <w:r>
        <w:rPr>
          <w:rFonts w:ascii="Arial" w:hAnsi="Arial" w:cs="Arial"/>
        </w:rPr>
        <w:t>&lt;ESMA_QUESTION_PLPM_1&gt;</w:t>
      </w:r>
    </w:p>
    <w:p w14:paraId="03FD3B97" w14:textId="77777777" w:rsidR="00AB6157" w:rsidRDefault="00AB6157" w:rsidP="00AB6157">
      <w:pPr>
        <w:rPr>
          <w:rFonts w:ascii="Arial" w:hAnsi="Arial" w:cs="Arial"/>
        </w:rPr>
      </w:pPr>
    </w:p>
    <w:p w14:paraId="24E3B7CB" w14:textId="77777777" w:rsidR="00AB6157" w:rsidRDefault="00AB6157" w:rsidP="00AB6157">
      <w:pPr>
        <w:pStyle w:val="Questionstyle"/>
        <w:numPr>
          <w:ilvl w:val="0"/>
          <w:numId w:val="9"/>
        </w:numPr>
        <w:spacing w:after="250" w:line="276" w:lineRule="auto"/>
      </w:pPr>
      <w:r>
        <w:lastRenderedPageBreak/>
        <w:t>: Have you identified other structural changes in commodity derivative markets or in the underlying markets since the introduction of the MiFID II position limit regime, such as changes in market participants? If so, please provide examples, and where available data, and differentiate per commodity derivative asset class where relevant.</w:t>
      </w:r>
    </w:p>
    <w:p w14:paraId="4F0EB977" w14:textId="77777777" w:rsidR="00AB6157" w:rsidRDefault="00AB6157" w:rsidP="00AB6157">
      <w:pPr>
        <w:rPr>
          <w:rFonts w:ascii="Arial" w:hAnsi="Arial" w:cs="Arial"/>
        </w:rPr>
      </w:pPr>
      <w:r>
        <w:rPr>
          <w:rFonts w:ascii="Arial" w:hAnsi="Arial" w:cs="Arial"/>
        </w:rPr>
        <w:t>&lt;ESMA_QUESTION_PLPM_2&gt;</w:t>
      </w:r>
    </w:p>
    <w:p w14:paraId="61D3CD4A" w14:textId="5D2C8FBC" w:rsidR="000B4F56" w:rsidRDefault="00704940" w:rsidP="00AB6157">
      <w:pPr>
        <w:rPr>
          <w:rFonts w:ascii="Calibri" w:eastAsia="Calibri" w:hAnsi="Calibri"/>
          <w:sz w:val="22"/>
          <w:szCs w:val="22"/>
          <w:lang w:eastAsia="en-US"/>
        </w:rPr>
      </w:pPr>
      <w:r>
        <w:rPr>
          <w:rFonts w:ascii="Calibri" w:eastAsia="Calibri" w:hAnsi="Calibri"/>
          <w:sz w:val="22"/>
          <w:szCs w:val="22"/>
          <w:lang w:eastAsia="en-US"/>
        </w:rPr>
        <w:t>The Exchanges</w:t>
      </w:r>
      <w:r w:rsidR="000B4F56" w:rsidRPr="000B4F56">
        <w:rPr>
          <w:rFonts w:ascii="Calibri" w:eastAsia="Calibri" w:hAnsi="Calibri"/>
          <w:sz w:val="22"/>
          <w:szCs w:val="22"/>
          <w:lang w:eastAsia="en-US"/>
        </w:rPr>
        <w:t xml:space="preserve"> have observed </w:t>
      </w:r>
      <w:r w:rsidR="0082065A">
        <w:rPr>
          <w:rFonts w:ascii="Calibri" w:eastAsia="Calibri" w:hAnsi="Calibri"/>
          <w:sz w:val="22"/>
          <w:szCs w:val="22"/>
          <w:lang w:eastAsia="en-US"/>
        </w:rPr>
        <w:t xml:space="preserve">that it is </w:t>
      </w:r>
      <w:r w:rsidR="000B4F56" w:rsidRPr="000B4F56">
        <w:rPr>
          <w:rFonts w:ascii="Calibri" w:eastAsia="Calibri" w:hAnsi="Calibri"/>
          <w:sz w:val="22"/>
          <w:szCs w:val="22"/>
          <w:lang w:eastAsia="en-US"/>
        </w:rPr>
        <w:t>increas</w:t>
      </w:r>
      <w:r w:rsidR="0082065A">
        <w:rPr>
          <w:rFonts w:ascii="Calibri" w:eastAsia="Calibri" w:hAnsi="Calibri"/>
          <w:sz w:val="22"/>
          <w:szCs w:val="22"/>
          <w:lang w:eastAsia="en-US"/>
        </w:rPr>
        <w:t>ing</w:t>
      </w:r>
      <w:r w:rsidR="00FF1691">
        <w:rPr>
          <w:rFonts w:ascii="Calibri" w:eastAsia="Calibri" w:hAnsi="Calibri"/>
          <w:sz w:val="22"/>
          <w:szCs w:val="22"/>
          <w:lang w:eastAsia="en-US"/>
        </w:rPr>
        <w:t>ly</w:t>
      </w:r>
      <w:r w:rsidR="000B4F56" w:rsidRPr="000B4F56">
        <w:rPr>
          <w:rFonts w:ascii="Calibri" w:eastAsia="Calibri" w:hAnsi="Calibri"/>
          <w:sz w:val="22"/>
          <w:szCs w:val="22"/>
          <w:lang w:eastAsia="en-US"/>
        </w:rPr>
        <w:t xml:space="preserve"> difficult for financial counterparties</w:t>
      </w:r>
      <w:r w:rsidR="0082065A">
        <w:rPr>
          <w:rFonts w:ascii="Calibri" w:eastAsia="Calibri" w:hAnsi="Calibri"/>
          <w:sz w:val="22"/>
          <w:szCs w:val="22"/>
          <w:lang w:eastAsia="en-US"/>
        </w:rPr>
        <w:t>,</w:t>
      </w:r>
      <w:r w:rsidR="000B4F56" w:rsidRPr="000B4F56">
        <w:rPr>
          <w:rFonts w:ascii="Calibri" w:eastAsia="Calibri" w:hAnsi="Calibri"/>
          <w:sz w:val="22"/>
          <w:szCs w:val="22"/>
          <w:lang w:eastAsia="en-US"/>
        </w:rPr>
        <w:t xml:space="preserve"> such as investment banks or commodity trading houses</w:t>
      </w:r>
      <w:r w:rsidR="0082065A">
        <w:rPr>
          <w:rFonts w:ascii="Calibri" w:eastAsia="Calibri" w:hAnsi="Calibri"/>
          <w:sz w:val="22"/>
          <w:szCs w:val="22"/>
          <w:lang w:eastAsia="en-US"/>
        </w:rPr>
        <w:t>,</w:t>
      </w:r>
      <w:r w:rsidR="000B4F56" w:rsidRPr="000B4F56">
        <w:rPr>
          <w:rFonts w:ascii="Calibri" w:eastAsia="Calibri" w:hAnsi="Calibri"/>
          <w:sz w:val="22"/>
          <w:szCs w:val="22"/>
          <w:lang w:eastAsia="en-US"/>
        </w:rPr>
        <w:t xml:space="preserve"> to efficiently serve their c</w:t>
      </w:r>
      <w:r w:rsidR="008D073F">
        <w:rPr>
          <w:rFonts w:ascii="Calibri" w:eastAsia="Calibri" w:hAnsi="Calibri"/>
          <w:sz w:val="22"/>
          <w:szCs w:val="22"/>
          <w:lang w:eastAsia="en-US"/>
        </w:rPr>
        <w:t>lients in commodity markets (</w:t>
      </w:r>
      <w:r w:rsidR="0082065A">
        <w:rPr>
          <w:rFonts w:ascii="Calibri" w:eastAsia="Calibri" w:hAnsi="Calibri"/>
          <w:sz w:val="22"/>
          <w:szCs w:val="22"/>
          <w:lang w:eastAsia="en-US"/>
        </w:rPr>
        <w:t xml:space="preserve">e.g., </w:t>
      </w:r>
      <w:r w:rsidR="000B4F56" w:rsidRPr="000B4F56">
        <w:rPr>
          <w:rFonts w:ascii="Calibri" w:eastAsia="Calibri" w:hAnsi="Calibri"/>
          <w:sz w:val="22"/>
          <w:szCs w:val="22"/>
          <w:lang w:eastAsia="en-US"/>
        </w:rPr>
        <w:t xml:space="preserve">cocoa producers or oil refineries). </w:t>
      </w:r>
      <w:r w:rsidR="0082065A">
        <w:rPr>
          <w:rFonts w:ascii="Calibri" w:eastAsia="Calibri" w:hAnsi="Calibri"/>
          <w:sz w:val="22"/>
          <w:szCs w:val="22"/>
          <w:lang w:eastAsia="en-US"/>
        </w:rPr>
        <w:t>We understand that these financial counterparties’ challenge</w:t>
      </w:r>
      <w:r w:rsidR="00FF1691">
        <w:rPr>
          <w:rFonts w:ascii="Calibri" w:eastAsia="Calibri" w:hAnsi="Calibri"/>
          <w:sz w:val="22"/>
          <w:szCs w:val="22"/>
          <w:lang w:eastAsia="en-US"/>
        </w:rPr>
        <w:t xml:space="preserve">s </w:t>
      </w:r>
      <w:r w:rsidR="0082065A">
        <w:rPr>
          <w:rFonts w:ascii="Calibri" w:eastAsia="Calibri" w:hAnsi="Calibri"/>
          <w:sz w:val="22"/>
          <w:szCs w:val="22"/>
          <w:lang w:eastAsia="en-US"/>
        </w:rPr>
        <w:t xml:space="preserve">are </w:t>
      </w:r>
      <w:r w:rsidR="000B4F56" w:rsidRPr="000B4F56">
        <w:rPr>
          <w:rFonts w:ascii="Calibri" w:eastAsia="Calibri" w:hAnsi="Calibri"/>
          <w:sz w:val="22"/>
          <w:szCs w:val="22"/>
          <w:lang w:eastAsia="en-US"/>
        </w:rPr>
        <w:t xml:space="preserve">caused by </w:t>
      </w:r>
      <w:r w:rsidR="0082065A">
        <w:rPr>
          <w:rFonts w:ascii="Calibri" w:eastAsia="Calibri" w:hAnsi="Calibri"/>
          <w:sz w:val="22"/>
          <w:szCs w:val="22"/>
          <w:lang w:eastAsia="en-US"/>
        </w:rPr>
        <w:t xml:space="preserve">their </w:t>
      </w:r>
      <w:r w:rsidR="000B4F56" w:rsidRPr="000B4F56">
        <w:rPr>
          <w:rFonts w:ascii="Calibri" w:eastAsia="Calibri" w:hAnsi="Calibri"/>
          <w:sz w:val="22"/>
          <w:szCs w:val="22"/>
          <w:lang w:eastAsia="en-US"/>
        </w:rPr>
        <w:t>inability to hedge risk through more structurally complex transactions than simply trading on client’s account</w:t>
      </w:r>
      <w:r w:rsidR="00707B76">
        <w:rPr>
          <w:rFonts w:ascii="Calibri" w:eastAsia="Calibri" w:hAnsi="Calibri"/>
          <w:sz w:val="22"/>
          <w:szCs w:val="22"/>
          <w:lang w:eastAsia="en-US"/>
        </w:rPr>
        <w:t xml:space="preserve"> (see an example below)</w:t>
      </w:r>
      <w:r w:rsidR="000B4F56" w:rsidRPr="000B4F56">
        <w:rPr>
          <w:rFonts w:ascii="Calibri" w:eastAsia="Calibri" w:hAnsi="Calibri"/>
          <w:sz w:val="22"/>
          <w:szCs w:val="22"/>
          <w:lang w:eastAsia="en-US"/>
        </w:rPr>
        <w:t>.</w:t>
      </w:r>
      <w:r w:rsidR="00707B76">
        <w:rPr>
          <w:rFonts w:ascii="Calibri" w:eastAsia="Calibri" w:hAnsi="Calibri"/>
          <w:sz w:val="22"/>
          <w:szCs w:val="22"/>
          <w:lang w:eastAsia="en-US"/>
        </w:rPr>
        <w:t xml:space="preserve"> </w:t>
      </w:r>
      <w:r w:rsidR="000B4F56" w:rsidRPr="000B4F56">
        <w:rPr>
          <w:rFonts w:ascii="Calibri" w:eastAsia="Calibri" w:hAnsi="Calibri"/>
          <w:sz w:val="22"/>
          <w:szCs w:val="22"/>
          <w:lang w:eastAsia="en-US"/>
        </w:rPr>
        <w:t xml:space="preserve"> </w:t>
      </w:r>
    </w:p>
    <w:p w14:paraId="02F0D537" w14:textId="77777777" w:rsidR="0065630A" w:rsidRPr="000B4F56" w:rsidRDefault="0065630A" w:rsidP="00AB6157">
      <w:pPr>
        <w:rPr>
          <w:rFonts w:ascii="Calibri" w:eastAsia="Calibri" w:hAnsi="Calibri"/>
          <w:sz w:val="22"/>
          <w:szCs w:val="22"/>
          <w:lang w:eastAsia="en-US"/>
        </w:rPr>
      </w:pPr>
    </w:p>
    <w:p w14:paraId="2DDFC526" w14:textId="502DB328" w:rsidR="000B4F56" w:rsidRDefault="0082065A" w:rsidP="000B4F56">
      <w:pPr>
        <w:jc w:val="both"/>
        <w:rPr>
          <w:rFonts w:ascii="Calibri" w:eastAsia="Calibri" w:hAnsi="Calibri"/>
          <w:sz w:val="22"/>
          <w:szCs w:val="22"/>
          <w:lang w:eastAsia="en-US"/>
        </w:rPr>
      </w:pPr>
      <w:r>
        <w:rPr>
          <w:rFonts w:ascii="Calibri" w:eastAsia="Calibri" w:hAnsi="Calibri"/>
          <w:sz w:val="22"/>
          <w:szCs w:val="22"/>
          <w:lang w:eastAsia="en-US"/>
        </w:rPr>
        <w:t>T</w:t>
      </w:r>
      <w:r w:rsidR="000B4F56" w:rsidRPr="000B4F56">
        <w:rPr>
          <w:rFonts w:ascii="Calibri" w:eastAsia="Calibri" w:hAnsi="Calibri"/>
          <w:sz w:val="22"/>
          <w:szCs w:val="22"/>
          <w:lang w:eastAsia="en-US"/>
        </w:rPr>
        <w:t xml:space="preserve">he </w:t>
      </w:r>
      <w:r w:rsidR="000B4F56">
        <w:rPr>
          <w:rFonts w:ascii="Calibri" w:eastAsia="Calibri" w:hAnsi="Calibri"/>
          <w:sz w:val="22"/>
          <w:szCs w:val="22"/>
          <w:lang w:eastAsia="en-US"/>
        </w:rPr>
        <w:t>position limits regime</w:t>
      </w:r>
      <w:r w:rsidR="000B4F56" w:rsidRPr="000B4F56">
        <w:rPr>
          <w:rFonts w:ascii="Calibri" w:eastAsia="Calibri" w:hAnsi="Calibri"/>
          <w:sz w:val="22"/>
          <w:szCs w:val="22"/>
          <w:lang w:eastAsia="en-US"/>
        </w:rPr>
        <w:t xml:space="preserve"> include</w:t>
      </w:r>
      <w:r w:rsidR="000B4F56">
        <w:rPr>
          <w:rFonts w:ascii="Calibri" w:eastAsia="Calibri" w:hAnsi="Calibri"/>
          <w:sz w:val="22"/>
          <w:szCs w:val="22"/>
          <w:lang w:eastAsia="en-US"/>
        </w:rPr>
        <w:t>s</w:t>
      </w:r>
      <w:r w:rsidR="000B4F56" w:rsidRPr="000B4F56">
        <w:rPr>
          <w:rFonts w:ascii="Calibri" w:eastAsia="Calibri" w:hAnsi="Calibri"/>
          <w:sz w:val="22"/>
          <w:szCs w:val="22"/>
          <w:lang w:eastAsia="en-US"/>
        </w:rPr>
        <w:t xml:space="preserve"> exemptions for market participants pursuing hedging activity. However, the MiFID II definition of hedging as set out in RTS 20 is clear that only non-financial entities can engage in such activity, thereby rendering the exemption un</w:t>
      </w:r>
      <w:r>
        <w:rPr>
          <w:rFonts w:ascii="Calibri" w:eastAsia="Calibri" w:hAnsi="Calibri"/>
          <w:sz w:val="22"/>
          <w:szCs w:val="22"/>
          <w:lang w:eastAsia="en-US"/>
        </w:rPr>
        <w:t>available</w:t>
      </w:r>
      <w:r w:rsidR="000B4F56" w:rsidRPr="000B4F56">
        <w:rPr>
          <w:rFonts w:ascii="Calibri" w:eastAsia="Calibri" w:hAnsi="Calibri"/>
          <w:sz w:val="22"/>
          <w:szCs w:val="22"/>
          <w:lang w:eastAsia="en-US"/>
        </w:rPr>
        <w:t xml:space="preserve"> to investment banks or commodity trading houses</w:t>
      </w:r>
      <w:r>
        <w:rPr>
          <w:rFonts w:ascii="Calibri" w:eastAsia="Calibri" w:hAnsi="Calibri"/>
          <w:sz w:val="22"/>
          <w:szCs w:val="22"/>
          <w:lang w:eastAsia="en-US"/>
        </w:rPr>
        <w:t>,</w:t>
      </w:r>
      <w:r w:rsidR="000B4F56" w:rsidRPr="000B4F56">
        <w:rPr>
          <w:rFonts w:ascii="Calibri" w:eastAsia="Calibri" w:hAnsi="Calibri"/>
          <w:sz w:val="22"/>
          <w:szCs w:val="22"/>
          <w:lang w:eastAsia="en-US"/>
        </w:rPr>
        <w:t xml:space="preserve"> which both play a vital role in providing smaller commercial players with access to commodity derivatives markets.</w:t>
      </w:r>
      <w:r w:rsidR="000B4F56">
        <w:rPr>
          <w:rFonts w:ascii="Calibri" w:eastAsia="Calibri" w:hAnsi="Calibri"/>
          <w:sz w:val="22"/>
          <w:szCs w:val="22"/>
          <w:lang w:eastAsia="en-US"/>
        </w:rPr>
        <w:t xml:space="preserve"> </w:t>
      </w:r>
      <w:r w:rsidR="000B4F56" w:rsidRPr="000B4F56">
        <w:rPr>
          <w:rFonts w:ascii="Calibri" w:eastAsia="Calibri" w:hAnsi="Calibri"/>
          <w:sz w:val="22"/>
          <w:szCs w:val="22"/>
          <w:lang w:eastAsia="en-US"/>
        </w:rPr>
        <w:t>Therefore, the hedging exemption</w:t>
      </w:r>
      <w:r>
        <w:rPr>
          <w:rFonts w:ascii="Calibri" w:eastAsia="Calibri" w:hAnsi="Calibri"/>
          <w:sz w:val="22"/>
          <w:szCs w:val="22"/>
          <w:lang w:eastAsia="en-US"/>
        </w:rPr>
        <w:t>, as currently constructed,</w:t>
      </w:r>
      <w:r w:rsidR="000B4F56" w:rsidRPr="000B4F56">
        <w:rPr>
          <w:rFonts w:ascii="Calibri" w:eastAsia="Calibri" w:hAnsi="Calibri"/>
          <w:sz w:val="22"/>
          <w:szCs w:val="22"/>
          <w:lang w:eastAsia="en-US"/>
        </w:rPr>
        <w:t xml:space="preserve"> cannot be considered a solution to disproportionate position limits. </w:t>
      </w:r>
    </w:p>
    <w:p w14:paraId="11718DB0" w14:textId="77777777" w:rsidR="000B4F56" w:rsidRPr="000B4F56" w:rsidRDefault="000B4F56" w:rsidP="000B4F56">
      <w:pPr>
        <w:jc w:val="both"/>
        <w:rPr>
          <w:rFonts w:ascii="Calibri" w:eastAsia="Calibri" w:hAnsi="Calibri"/>
          <w:sz w:val="22"/>
          <w:szCs w:val="22"/>
          <w:lang w:eastAsia="en-US"/>
        </w:rPr>
      </w:pPr>
    </w:p>
    <w:p w14:paraId="7C9B1659" w14:textId="043EEFB5" w:rsidR="000B4F56" w:rsidRDefault="000B4F56" w:rsidP="000B4F56">
      <w:pPr>
        <w:jc w:val="both"/>
        <w:rPr>
          <w:rFonts w:ascii="Calibri" w:eastAsia="Calibri" w:hAnsi="Calibri"/>
          <w:sz w:val="22"/>
          <w:szCs w:val="22"/>
          <w:lang w:eastAsia="en-US"/>
        </w:rPr>
      </w:pPr>
      <w:r w:rsidRPr="000B4F56">
        <w:rPr>
          <w:rFonts w:ascii="Calibri" w:eastAsia="Calibri" w:hAnsi="Calibri"/>
          <w:sz w:val="22"/>
          <w:szCs w:val="22"/>
          <w:lang w:eastAsia="en-US"/>
        </w:rPr>
        <w:t>An example of such situation is the so called Refining Margin Hedge often used in oil markets, whereby an investment bank agrees with its client, a refiner, on a single price of a basket comp</w:t>
      </w:r>
      <w:r w:rsidR="0082065A">
        <w:rPr>
          <w:rFonts w:ascii="Calibri" w:eastAsia="Calibri" w:hAnsi="Calibri"/>
          <w:sz w:val="22"/>
          <w:szCs w:val="22"/>
          <w:lang w:eastAsia="en-US"/>
        </w:rPr>
        <w:t>osed of</w:t>
      </w:r>
      <w:r w:rsidRPr="000B4F56">
        <w:rPr>
          <w:rFonts w:ascii="Calibri" w:eastAsia="Calibri" w:hAnsi="Calibri"/>
          <w:sz w:val="22"/>
          <w:szCs w:val="22"/>
          <w:lang w:eastAsia="en-US"/>
        </w:rPr>
        <w:t xml:space="preserve"> various refined products. Once the refiner agrees the single price for the basket, the bank executes the offsetting trades in the futures market on its own account.</w:t>
      </w:r>
    </w:p>
    <w:p w14:paraId="4D650B65" w14:textId="76CF5DB4" w:rsidR="000B4F56" w:rsidRDefault="000B4F56" w:rsidP="000B4F56">
      <w:pPr>
        <w:jc w:val="both"/>
        <w:rPr>
          <w:rFonts w:ascii="Calibri" w:eastAsia="Calibri" w:hAnsi="Calibri"/>
          <w:sz w:val="22"/>
          <w:szCs w:val="22"/>
          <w:lang w:eastAsia="en-US"/>
        </w:rPr>
      </w:pPr>
    </w:p>
    <w:p w14:paraId="0C4AB064" w14:textId="5BB25351" w:rsidR="000B4F56" w:rsidRPr="000B4F56" w:rsidRDefault="000B4F56" w:rsidP="000B4F56">
      <w:pPr>
        <w:jc w:val="both"/>
        <w:rPr>
          <w:rFonts w:ascii="Calibri" w:eastAsia="Calibri" w:hAnsi="Calibri"/>
          <w:sz w:val="22"/>
          <w:szCs w:val="22"/>
          <w:lang w:eastAsia="en-US"/>
        </w:rPr>
      </w:pPr>
      <w:r>
        <w:rPr>
          <w:noProof/>
        </w:rPr>
        <w:lastRenderedPageBreak/>
        <w:drawing>
          <wp:inline distT="0" distB="0" distL="0" distR="0" wp14:anchorId="633330A0" wp14:editId="3DDD6109">
            <wp:extent cx="5143500" cy="36784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157620" cy="3688580"/>
                    </a:xfrm>
                    <a:prstGeom prst="rect">
                      <a:avLst/>
                    </a:prstGeom>
                  </pic:spPr>
                </pic:pic>
              </a:graphicData>
            </a:graphic>
          </wp:inline>
        </w:drawing>
      </w:r>
    </w:p>
    <w:p w14:paraId="38DC40B7" w14:textId="28288252" w:rsidR="000B4F56" w:rsidRPr="000B4F56" w:rsidRDefault="000B4F56" w:rsidP="000B4F56">
      <w:pPr>
        <w:jc w:val="both"/>
        <w:rPr>
          <w:rFonts w:ascii="Calibri" w:eastAsia="Calibri" w:hAnsi="Calibri"/>
          <w:sz w:val="22"/>
          <w:szCs w:val="22"/>
          <w:lang w:eastAsia="en-US"/>
        </w:rPr>
      </w:pPr>
      <w:r w:rsidRPr="000B4F56">
        <w:rPr>
          <w:rFonts w:ascii="Calibri" w:eastAsia="Calibri" w:hAnsi="Calibri"/>
          <w:sz w:val="22"/>
          <w:szCs w:val="22"/>
          <w:lang w:eastAsia="en-US"/>
        </w:rPr>
        <w:t>Even though within the context of such transaction the bank clearly performs a hedging activity</w:t>
      </w:r>
      <w:r w:rsidR="0082065A">
        <w:rPr>
          <w:rFonts w:ascii="Calibri" w:eastAsia="Calibri" w:hAnsi="Calibri"/>
          <w:sz w:val="22"/>
          <w:szCs w:val="22"/>
          <w:lang w:eastAsia="en-US"/>
        </w:rPr>
        <w:t xml:space="preserve"> on behalf </w:t>
      </w:r>
      <w:r w:rsidR="0082065A" w:rsidRPr="00707B76">
        <w:rPr>
          <w:rFonts w:ascii="Calibri" w:eastAsia="Calibri" w:hAnsi="Calibri"/>
          <w:sz w:val="22"/>
          <w:szCs w:val="22"/>
          <w:lang w:eastAsia="en-US"/>
        </w:rPr>
        <w:t>of its client</w:t>
      </w:r>
      <w:r w:rsidRPr="00707B76">
        <w:rPr>
          <w:rFonts w:ascii="Calibri" w:eastAsia="Calibri" w:hAnsi="Calibri"/>
          <w:sz w:val="22"/>
          <w:szCs w:val="22"/>
          <w:lang w:eastAsia="en-US"/>
        </w:rPr>
        <w:t xml:space="preserve">, it </w:t>
      </w:r>
      <w:r w:rsidR="0082065A" w:rsidRPr="00707B76">
        <w:rPr>
          <w:rFonts w:ascii="Calibri" w:eastAsia="Calibri" w:hAnsi="Calibri"/>
          <w:sz w:val="22"/>
          <w:szCs w:val="22"/>
          <w:lang w:eastAsia="en-US"/>
        </w:rPr>
        <w:t xml:space="preserve">is </w:t>
      </w:r>
      <w:r w:rsidRPr="00707B76">
        <w:rPr>
          <w:rFonts w:ascii="Calibri" w:eastAsia="Calibri" w:hAnsi="Calibri"/>
          <w:sz w:val="22"/>
          <w:szCs w:val="22"/>
          <w:lang w:eastAsia="en-US"/>
        </w:rPr>
        <w:t xml:space="preserve">not be able to use the </w:t>
      </w:r>
      <w:r w:rsidR="0082065A" w:rsidRPr="00707B76">
        <w:rPr>
          <w:rFonts w:ascii="Calibri" w:eastAsia="Calibri" w:hAnsi="Calibri"/>
          <w:sz w:val="22"/>
          <w:szCs w:val="22"/>
          <w:lang w:eastAsia="en-US"/>
        </w:rPr>
        <w:t xml:space="preserve">hedging </w:t>
      </w:r>
      <w:r w:rsidRPr="00707B76">
        <w:rPr>
          <w:rFonts w:ascii="Calibri" w:eastAsia="Calibri" w:hAnsi="Calibri"/>
          <w:sz w:val="22"/>
          <w:szCs w:val="22"/>
          <w:lang w:eastAsia="en-US"/>
        </w:rPr>
        <w:t>exemption envisaged under MiFIR Article 8 or MiFID Article 57.</w:t>
      </w:r>
      <w:r w:rsidR="00A32FB9" w:rsidRPr="00707B76">
        <w:rPr>
          <w:rFonts w:ascii="Calibri" w:eastAsia="Calibri" w:hAnsi="Calibri"/>
          <w:sz w:val="22"/>
          <w:szCs w:val="22"/>
          <w:lang w:eastAsia="en-US"/>
        </w:rPr>
        <w:t xml:space="preserve"> </w:t>
      </w:r>
      <w:r w:rsidR="005F6041">
        <w:rPr>
          <w:rFonts w:ascii="Calibri" w:eastAsia="Calibri" w:hAnsi="Calibri"/>
          <w:sz w:val="22"/>
          <w:szCs w:val="22"/>
          <w:lang w:eastAsia="en-US"/>
        </w:rPr>
        <w:t>If</w:t>
      </w:r>
      <w:r w:rsidR="002D354F">
        <w:rPr>
          <w:rFonts w:ascii="Calibri" w:eastAsia="Calibri" w:hAnsi="Calibri"/>
          <w:sz w:val="22"/>
          <w:szCs w:val="22"/>
          <w:lang w:eastAsia="en-US"/>
        </w:rPr>
        <w:t xml:space="preserve"> the above</w:t>
      </w:r>
      <w:r w:rsidR="005F6041">
        <w:rPr>
          <w:rFonts w:ascii="Calibri" w:eastAsia="Calibri" w:hAnsi="Calibri"/>
          <w:sz w:val="22"/>
          <w:szCs w:val="22"/>
          <w:lang w:eastAsia="en-US"/>
        </w:rPr>
        <w:t xml:space="preserve"> bank wanted to serve the needs of all or most of its clients in the oil market, it would find itself in breach of position limits. </w:t>
      </w:r>
      <w:r w:rsidR="00A32FB9" w:rsidRPr="00707B76">
        <w:rPr>
          <w:rFonts w:ascii="Calibri" w:eastAsia="Calibri" w:hAnsi="Calibri"/>
          <w:sz w:val="22"/>
          <w:szCs w:val="22"/>
          <w:lang w:eastAsia="en-US"/>
        </w:rPr>
        <w:t>Therefore, genuine hedging activity by firms, regardless of their classification as financial or non-financial players, should be recognised and allowed by the legislation.</w:t>
      </w:r>
      <w:r w:rsidR="00A32FB9">
        <w:rPr>
          <w:rFonts w:ascii="Calibri" w:eastAsia="Calibri" w:hAnsi="Calibri"/>
          <w:sz w:val="22"/>
          <w:szCs w:val="22"/>
          <w:lang w:eastAsia="en-US"/>
        </w:rPr>
        <w:t xml:space="preserve"> </w:t>
      </w:r>
    </w:p>
    <w:p w14:paraId="5F8A9F57" w14:textId="77777777" w:rsidR="000B4F56" w:rsidRDefault="000B4F56" w:rsidP="00AB6157">
      <w:pPr>
        <w:rPr>
          <w:rFonts w:ascii="Arial" w:hAnsi="Arial" w:cs="Arial"/>
        </w:rPr>
      </w:pPr>
    </w:p>
    <w:p w14:paraId="7E613508" w14:textId="787CABB2" w:rsidR="00AB6157" w:rsidRDefault="00AB6157" w:rsidP="00AB6157">
      <w:pPr>
        <w:rPr>
          <w:rFonts w:ascii="Arial" w:hAnsi="Arial" w:cs="Arial"/>
        </w:rPr>
      </w:pPr>
      <w:r>
        <w:rPr>
          <w:rFonts w:ascii="Arial" w:hAnsi="Arial" w:cs="Arial"/>
        </w:rPr>
        <w:t>&lt;ESMA_QUESTION_PLPM_2&gt;</w:t>
      </w:r>
    </w:p>
    <w:p w14:paraId="723C6B44" w14:textId="77777777" w:rsidR="00AB6157" w:rsidRDefault="00AB6157" w:rsidP="00AB6157">
      <w:pPr>
        <w:rPr>
          <w:rFonts w:ascii="Arial" w:hAnsi="Arial" w:cs="Arial"/>
        </w:rPr>
      </w:pPr>
    </w:p>
    <w:p w14:paraId="12EC0E1C" w14:textId="77777777" w:rsidR="00AB6157" w:rsidRDefault="00AB6157" w:rsidP="00AB6157">
      <w:pPr>
        <w:pStyle w:val="Questionstyle"/>
        <w:numPr>
          <w:ilvl w:val="0"/>
          <w:numId w:val="9"/>
        </w:numPr>
        <w:spacing w:after="250" w:line="276" w:lineRule="auto"/>
      </w:pPr>
      <w:r>
        <w:t xml:space="preserve">: Do you consider that position limits </w:t>
      </w:r>
      <w:r w:rsidRPr="00AC7EE2">
        <w:t xml:space="preserve">contribute to </w:t>
      </w:r>
      <w:r>
        <w:t>the prevention of</w:t>
      </w:r>
      <w:r w:rsidRPr="00AC7EE2">
        <w:t xml:space="preserve"> market abuse in commodity derivatives markets? Please elaborate</w:t>
      </w:r>
      <w:r>
        <w:t xml:space="preserve"> by</w:t>
      </w:r>
      <w:r w:rsidRPr="00AC7EE2">
        <w:t xml:space="preserve"> differentiating per </w:t>
      </w:r>
      <w:r>
        <w:t xml:space="preserve">conduct, per </w:t>
      </w:r>
      <w:r w:rsidRPr="00AC7EE2">
        <w:t>commodity asset classes or contract where relevant and provide evidence to support your assessment when</w:t>
      </w:r>
      <w:r>
        <w:t xml:space="preserve"> available.</w:t>
      </w:r>
    </w:p>
    <w:p w14:paraId="04E60C23" w14:textId="77777777" w:rsidR="00AB6157" w:rsidRDefault="00AB6157" w:rsidP="00AB6157">
      <w:pPr>
        <w:rPr>
          <w:rFonts w:ascii="Arial" w:hAnsi="Arial" w:cs="Arial"/>
        </w:rPr>
      </w:pPr>
      <w:r>
        <w:rPr>
          <w:rFonts w:ascii="Arial" w:hAnsi="Arial" w:cs="Arial"/>
        </w:rPr>
        <w:t>&lt;ESMA_QUESTION_PLPM_3&gt;</w:t>
      </w:r>
    </w:p>
    <w:p w14:paraId="74BBEBC0" w14:textId="77777777" w:rsidR="00AD3E7A" w:rsidRPr="009C21E6" w:rsidRDefault="00AD3E7A" w:rsidP="00AD3E7A">
      <w:pPr>
        <w:pStyle w:val="NoSpacing"/>
        <w:spacing w:line="276" w:lineRule="auto"/>
        <w:jc w:val="both"/>
        <w:rPr>
          <w:rFonts w:ascii="Calibri" w:eastAsia="Calibri" w:hAnsi="Calibri" w:cs="Times New Roman"/>
          <w:sz w:val="22"/>
          <w:szCs w:val="22"/>
        </w:rPr>
      </w:pPr>
      <w:r w:rsidRPr="009C21E6">
        <w:rPr>
          <w:rFonts w:ascii="Calibri" w:eastAsia="Calibri" w:hAnsi="Calibri" w:cs="Times New Roman"/>
          <w:sz w:val="22"/>
          <w:szCs w:val="22"/>
        </w:rPr>
        <w:t>ICE has considerable experience in operating a position management system. Long before the application of MiFID II, it had developed a comprehensive, risk-based regime based on position, delivery and expiry limits with regards to commodity derivatives traded on its markets. This regime is calibrated so as to prevent market abuse and ensure orderly delivery while allowing new products to be developed. Since January 2018, it has been operated by ICE in parallel with position limits set by the relevant National Competent Authorities (“NCAs”) under MiFID II.</w:t>
      </w:r>
    </w:p>
    <w:p w14:paraId="68500BC6" w14:textId="77777777" w:rsidR="00AD3E7A" w:rsidRPr="009C21E6" w:rsidRDefault="00AD3E7A" w:rsidP="00AD3E7A">
      <w:pPr>
        <w:pStyle w:val="NoSpacing"/>
        <w:spacing w:line="276" w:lineRule="auto"/>
        <w:jc w:val="both"/>
        <w:rPr>
          <w:rFonts w:ascii="Calibri" w:eastAsia="Calibri" w:hAnsi="Calibri" w:cs="Times New Roman"/>
          <w:sz w:val="22"/>
          <w:szCs w:val="22"/>
        </w:rPr>
      </w:pPr>
    </w:p>
    <w:p w14:paraId="37DF582D" w14:textId="1111AE40" w:rsidR="00AD3E7A" w:rsidRPr="009C21E6" w:rsidRDefault="00AD3E7A" w:rsidP="00AD3E7A">
      <w:pPr>
        <w:pStyle w:val="NoSpacing"/>
        <w:spacing w:line="276" w:lineRule="auto"/>
        <w:jc w:val="both"/>
        <w:rPr>
          <w:rFonts w:ascii="Calibri" w:eastAsia="Calibri" w:hAnsi="Calibri" w:cs="Times New Roman"/>
          <w:sz w:val="22"/>
          <w:szCs w:val="22"/>
        </w:rPr>
      </w:pPr>
      <w:r w:rsidRPr="009C21E6">
        <w:rPr>
          <w:rFonts w:ascii="Calibri" w:eastAsia="Calibri" w:hAnsi="Calibri" w:cs="Times New Roman"/>
          <w:sz w:val="22"/>
          <w:szCs w:val="22"/>
        </w:rPr>
        <w:lastRenderedPageBreak/>
        <w:t>The Exchanges have long been of the view that a</w:t>
      </w:r>
      <w:r w:rsidR="00FF1691">
        <w:rPr>
          <w:rFonts w:ascii="Calibri" w:eastAsia="Calibri" w:hAnsi="Calibri" w:cs="Times New Roman"/>
          <w:sz w:val="22"/>
          <w:szCs w:val="22"/>
        </w:rPr>
        <w:t>n</w:t>
      </w:r>
      <w:r w:rsidRPr="009C21E6">
        <w:rPr>
          <w:rFonts w:ascii="Calibri" w:eastAsia="Calibri" w:hAnsi="Calibri" w:cs="Times New Roman"/>
          <w:sz w:val="22"/>
          <w:szCs w:val="22"/>
        </w:rPr>
        <w:t xml:space="preserve"> </w:t>
      </w:r>
      <w:r w:rsidR="006F3801">
        <w:rPr>
          <w:rFonts w:ascii="Calibri" w:eastAsia="Calibri" w:hAnsi="Calibri" w:cs="Times New Roman"/>
          <w:sz w:val="22"/>
          <w:szCs w:val="22"/>
        </w:rPr>
        <w:t xml:space="preserve">effective </w:t>
      </w:r>
      <w:r w:rsidRPr="009C21E6">
        <w:rPr>
          <w:rFonts w:ascii="Calibri" w:eastAsia="Calibri" w:hAnsi="Calibri" w:cs="Times New Roman"/>
          <w:sz w:val="22"/>
          <w:szCs w:val="22"/>
        </w:rPr>
        <w:t>and efficient position limits regime should concentrate on a limited number of benchmark contracts. ICE’s pre-MiFID II position management regime has adhered to that principle. Also, in order to prevent market squeezes, limits have been set by the Exchange</w:t>
      </w:r>
      <w:r w:rsidR="0065630A">
        <w:rPr>
          <w:rFonts w:ascii="Calibri" w:eastAsia="Calibri" w:hAnsi="Calibri" w:cs="Times New Roman"/>
          <w:sz w:val="22"/>
          <w:szCs w:val="22"/>
        </w:rPr>
        <w:t>s</w:t>
      </w:r>
      <w:r w:rsidRPr="009C21E6">
        <w:rPr>
          <w:rFonts w:ascii="Calibri" w:eastAsia="Calibri" w:hAnsi="Calibri" w:cs="Times New Roman"/>
          <w:sz w:val="22"/>
          <w:szCs w:val="22"/>
        </w:rPr>
        <w:t xml:space="preserve"> for the period right before expiry</w:t>
      </w:r>
      <w:r w:rsidR="00096A38">
        <w:rPr>
          <w:rFonts w:ascii="Calibri" w:eastAsia="Calibri" w:hAnsi="Calibri" w:cs="Times New Roman"/>
          <w:sz w:val="22"/>
          <w:szCs w:val="22"/>
        </w:rPr>
        <w:t>,</w:t>
      </w:r>
      <w:r w:rsidRPr="009C21E6">
        <w:rPr>
          <w:rFonts w:ascii="Calibri" w:eastAsia="Calibri" w:hAnsi="Calibri" w:cs="Times New Roman"/>
          <w:sz w:val="22"/>
          <w:szCs w:val="22"/>
        </w:rPr>
        <w:t xml:space="preserve"> rather than covering the entire maturity curve. The regime has contributed to preventing market abuse and excessive speculation</w:t>
      </w:r>
      <w:r w:rsidR="00096A38">
        <w:rPr>
          <w:rFonts w:ascii="Calibri" w:eastAsia="Calibri" w:hAnsi="Calibri" w:cs="Times New Roman"/>
          <w:sz w:val="22"/>
          <w:szCs w:val="22"/>
        </w:rPr>
        <w:t>,</w:t>
      </w:r>
      <w:r w:rsidRPr="009C21E6">
        <w:rPr>
          <w:rFonts w:ascii="Calibri" w:eastAsia="Calibri" w:hAnsi="Calibri" w:cs="Times New Roman"/>
          <w:sz w:val="22"/>
          <w:szCs w:val="22"/>
        </w:rPr>
        <w:t xml:space="preserve"> which could negatively impact price</w:t>
      </w:r>
      <w:r w:rsidR="00FF1691">
        <w:rPr>
          <w:rFonts w:ascii="Calibri" w:eastAsia="Calibri" w:hAnsi="Calibri" w:cs="Times New Roman"/>
          <w:sz w:val="22"/>
          <w:szCs w:val="22"/>
        </w:rPr>
        <w:t xml:space="preserve"> formation</w:t>
      </w:r>
      <w:r w:rsidRPr="009C21E6">
        <w:rPr>
          <w:rFonts w:ascii="Calibri" w:eastAsia="Calibri" w:hAnsi="Calibri" w:cs="Times New Roman"/>
          <w:sz w:val="22"/>
          <w:szCs w:val="22"/>
        </w:rPr>
        <w:t xml:space="preserve">, while allowing new and nascent products to develop. </w:t>
      </w:r>
    </w:p>
    <w:p w14:paraId="35D969A2" w14:textId="5CDCB3FA" w:rsidR="00AD3E7A" w:rsidRPr="009C21E6" w:rsidRDefault="00AD3E7A" w:rsidP="00AD3E7A">
      <w:pPr>
        <w:pStyle w:val="NoSpacing"/>
        <w:spacing w:line="276" w:lineRule="auto"/>
        <w:jc w:val="both"/>
        <w:rPr>
          <w:rFonts w:ascii="Calibri" w:eastAsia="Calibri" w:hAnsi="Calibri" w:cs="Times New Roman"/>
          <w:sz w:val="22"/>
          <w:szCs w:val="22"/>
        </w:rPr>
      </w:pPr>
    </w:p>
    <w:p w14:paraId="19F176AF" w14:textId="5A963326" w:rsidR="00AD3E7A" w:rsidRPr="009C21E6" w:rsidRDefault="00AD3E7A" w:rsidP="00AD3E7A">
      <w:pPr>
        <w:pStyle w:val="NoSpacing"/>
        <w:spacing w:line="276" w:lineRule="auto"/>
        <w:jc w:val="both"/>
        <w:rPr>
          <w:rFonts w:ascii="Calibri" w:eastAsia="Calibri" w:hAnsi="Calibri" w:cs="Times New Roman"/>
          <w:sz w:val="22"/>
          <w:szCs w:val="22"/>
        </w:rPr>
      </w:pPr>
      <w:r w:rsidRPr="009C21E6">
        <w:rPr>
          <w:rFonts w:ascii="Calibri" w:eastAsia="Calibri" w:hAnsi="Calibri" w:cs="Times New Roman"/>
          <w:sz w:val="22"/>
          <w:szCs w:val="22"/>
        </w:rPr>
        <w:t>In the opinion of the Exchange</w:t>
      </w:r>
      <w:r w:rsidR="0065630A">
        <w:rPr>
          <w:rFonts w:ascii="Calibri" w:eastAsia="Calibri" w:hAnsi="Calibri" w:cs="Times New Roman"/>
          <w:sz w:val="22"/>
          <w:szCs w:val="22"/>
        </w:rPr>
        <w:t>s</w:t>
      </w:r>
      <w:r w:rsidRPr="009C21E6">
        <w:rPr>
          <w:rFonts w:ascii="Calibri" w:eastAsia="Calibri" w:hAnsi="Calibri" w:cs="Times New Roman"/>
          <w:sz w:val="22"/>
          <w:szCs w:val="22"/>
        </w:rPr>
        <w:t>, a properly calibrated position management regime can play an important role in preventing market abuse. ICE does not consider the MiFID II position limits regime to have contributed to preventing market abuse in trading commodity derivatives on its platforms. Rather, this</w:t>
      </w:r>
      <w:r w:rsidR="00096A38">
        <w:rPr>
          <w:rFonts w:ascii="Calibri" w:eastAsia="Calibri" w:hAnsi="Calibri" w:cs="Times New Roman"/>
          <w:sz w:val="22"/>
          <w:szCs w:val="22"/>
        </w:rPr>
        <w:t xml:space="preserve"> goal</w:t>
      </w:r>
      <w:r w:rsidRPr="009C21E6">
        <w:rPr>
          <w:rFonts w:ascii="Calibri" w:eastAsia="Calibri" w:hAnsi="Calibri" w:cs="Times New Roman"/>
          <w:sz w:val="22"/>
          <w:szCs w:val="22"/>
        </w:rPr>
        <w:t xml:space="preserve"> has been achieved by the </w:t>
      </w:r>
      <w:r w:rsidR="009C21E6" w:rsidRPr="009C21E6">
        <w:rPr>
          <w:rFonts w:ascii="Calibri" w:eastAsia="Calibri" w:hAnsi="Calibri" w:cs="Times New Roman"/>
          <w:sz w:val="22"/>
          <w:szCs w:val="22"/>
        </w:rPr>
        <w:t>Exchanges</w:t>
      </w:r>
      <w:r w:rsidR="00096A38">
        <w:rPr>
          <w:rFonts w:ascii="Calibri" w:eastAsia="Calibri" w:hAnsi="Calibri" w:cs="Times New Roman"/>
          <w:sz w:val="22"/>
          <w:szCs w:val="22"/>
        </w:rPr>
        <w:t>’</w:t>
      </w:r>
      <w:r w:rsidR="009C21E6" w:rsidRPr="009C21E6">
        <w:rPr>
          <w:rFonts w:ascii="Calibri" w:eastAsia="Calibri" w:hAnsi="Calibri" w:cs="Times New Roman"/>
          <w:sz w:val="22"/>
          <w:szCs w:val="22"/>
        </w:rPr>
        <w:t xml:space="preserve"> </w:t>
      </w:r>
      <w:r w:rsidRPr="009C21E6">
        <w:rPr>
          <w:rFonts w:ascii="Calibri" w:eastAsia="Calibri" w:hAnsi="Calibri" w:cs="Times New Roman"/>
          <w:sz w:val="22"/>
          <w:szCs w:val="22"/>
        </w:rPr>
        <w:t>pre-existing position management regime</w:t>
      </w:r>
      <w:r w:rsidR="00096A38">
        <w:rPr>
          <w:rFonts w:ascii="Calibri" w:eastAsia="Calibri" w:hAnsi="Calibri" w:cs="Times New Roman"/>
          <w:sz w:val="22"/>
          <w:szCs w:val="22"/>
        </w:rPr>
        <w:t>,</w:t>
      </w:r>
      <w:r w:rsidRPr="009C21E6">
        <w:rPr>
          <w:rFonts w:ascii="Calibri" w:eastAsia="Calibri" w:hAnsi="Calibri" w:cs="Times New Roman"/>
          <w:sz w:val="22"/>
          <w:szCs w:val="22"/>
        </w:rPr>
        <w:t xml:space="preserve"> </w:t>
      </w:r>
      <w:r w:rsidR="009C21E6" w:rsidRPr="009C21E6">
        <w:rPr>
          <w:rFonts w:ascii="Calibri" w:eastAsia="Calibri" w:hAnsi="Calibri" w:cs="Times New Roman"/>
          <w:sz w:val="22"/>
          <w:szCs w:val="22"/>
        </w:rPr>
        <w:t xml:space="preserve">as well as </w:t>
      </w:r>
      <w:r w:rsidR="00096A38">
        <w:rPr>
          <w:rFonts w:ascii="Calibri" w:eastAsia="Calibri" w:hAnsi="Calibri" w:cs="Times New Roman"/>
          <w:sz w:val="22"/>
          <w:szCs w:val="22"/>
        </w:rPr>
        <w:t xml:space="preserve">their </w:t>
      </w:r>
      <w:r w:rsidR="009C21E6" w:rsidRPr="009C21E6">
        <w:rPr>
          <w:rFonts w:ascii="Calibri" w:eastAsia="Calibri" w:hAnsi="Calibri" w:cs="Times New Roman"/>
          <w:sz w:val="22"/>
          <w:szCs w:val="22"/>
        </w:rPr>
        <w:t>market supervision and surveiilance systems.</w:t>
      </w:r>
    </w:p>
    <w:p w14:paraId="28E3451A" w14:textId="77777777" w:rsidR="00AD3E7A" w:rsidRDefault="00AD3E7A" w:rsidP="00AB6157">
      <w:pPr>
        <w:rPr>
          <w:rFonts w:ascii="Arial" w:hAnsi="Arial" w:cs="Arial"/>
        </w:rPr>
      </w:pPr>
    </w:p>
    <w:p w14:paraId="3C8DB028" w14:textId="64B5AE0E" w:rsidR="00AB6157" w:rsidRDefault="00AB6157" w:rsidP="00AB6157">
      <w:pPr>
        <w:rPr>
          <w:rFonts w:ascii="Arial" w:hAnsi="Arial" w:cs="Arial"/>
        </w:rPr>
      </w:pPr>
      <w:r>
        <w:rPr>
          <w:rFonts w:ascii="Arial" w:hAnsi="Arial" w:cs="Arial"/>
        </w:rPr>
        <w:t>&lt;ESMA_QUESTION_PLPM_3&gt;</w:t>
      </w:r>
    </w:p>
    <w:p w14:paraId="22ABC274" w14:textId="77777777" w:rsidR="00AB6157" w:rsidRDefault="00AB6157" w:rsidP="00AB6157">
      <w:pPr>
        <w:rPr>
          <w:rFonts w:ascii="Arial" w:hAnsi="Arial" w:cs="Arial"/>
        </w:rPr>
      </w:pPr>
    </w:p>
    <w:p w14:paraId="324FA067" w14:textId="77777777" w:rsidR="00AB6157" w:rsidRPr="00D167DD" w:rsidRDefault="00AB6157" w:rsidP="00AB6157">
      <w:pPr>
        <w:pStyle w:val="Questionstyle"/>
        <w:numPr>
          <w:ilvl w:val="0"/>
          <w:numId w:val="9"/>
        </w:numPr>
        <w:spacing w:after="250" w:line="276" w:lineRule="auto"/>
      </w:pPr>
      <w:r w:rsidRPr="00D167DD">
        <w:t>:</w:t>
      </w:r>
      <w:bookmarkStart w:id="2" w:name="_Hlk8204234"/>
      <w:r w:rsidRPr="00D167DD">
        <w:t xml:space="preserve"> In your view, what impact do position limits have on the orderly pricing and orderly settlement of commodity derivative contracts? Please elaborate by differentiating per asset class or per contract where relevant and provide evidence to support your answer when available.</w:t>
      </w:r>
      <w:bookmarkEnd w:id="2"/>
    </w:p>
    <w:p w14:paraId="33C9551A" w14:textId="77777777" w:rsidR="00AB6157" w:rsidRDefault="00AB6157" w:rsidP="00AB6157">
      <w:pPr>
        <w:rPr>
          <w:rFonts w:ascii="Arial" w:hAnsi="Arial" w:cs="Arial"/>
        </w:rPr>
      </w:pPr>
      <w:r>
        <w:rPr>
          <w:rFonts w:ascii="Arial" w:hAnsi="Arial" w:cs="Arial"/>
        </w:rPr>
        <w:t>&lt;ESMA_QUESTION_PLPM_4&gt;</w:t>
      </w:r>
    </w:p>
    <w:p w14:paraId="135425D3" w14:textId="622B9DEE" w:rsidR="008D073F" w:rsidRPr="009C21E6" w:rsidRDefault="008D073F" w:rsidP="008D073F">
      <w:pPr>
        <w:pStyle w:val="NoSpacing"/>
        <w:spacing w:line="276" w:lineRule="auto"/>
        <w:jc w:val="both"/>
        <w:rPr>
          <w:rFonts w:ascii="Calibri" w:eastAsia="Calibri" w:hAnsi="Calibri" w:cs="Times New Roman"/>
          <w:sz w:val="22"/>
          <w:szCs w:val="22"/>
        </w:rPr>
      </w:pPr>
      <w:r w:rsidRPr="009C21E6">
        <w:rPr>
          <w:rFonts w:ascii="Calibri" w:eastAsia="Calibri" w:hAnsi="Calibri" w:cs="Times New Roman"/>
          <w:sz w:val="22"/>
          <w:szCs w:val="22"/>
        </w:rPr>
        <w:t>In the opinion of the Exchange</w:t>
      </w:r>
      <w:r>
        <w:rPr>
          <w:rFonts w:ascii="Calibri" w:eastAsia="Calibri" w:hAnsi="Calibri" w:cs="Times New Roman"/>
          <w:sz w:val="22"/>
          <w:szCs w:val="22"/>
        </w:rPr>
        <w:t>s</w:t>
      </w:r>
      <w:r w:rsidRPr="009C21E6">
        <w:rPr>
          <w:rFonts w:ascii="Calibri" w:eastAsia="Calibri" w:hAnsi="Calibri" w:cs="Times New Roman"/>
          <w:sz w:val="22"/>
          <w:szCs w:val="22"/>
        </w:rPr>
        <w:t xml:space="preserve">, a properly calibrated position management regime can play an important role in </w:t>
      </w:r>
      <w:r>
        <w:rPr>
          <w:rFonts w:ascii="Calibri" w:eastAsia="Calibri" w:hAnsi="Calibri" w:cs="Times New Roman"/>
          <w:sz w:val="22"/>
          <w:szCs w:val="22"/>
        </w:rPr>
        <w:t>ensuring orderly pricing and settlement of commodity deriva</w:t>
      </w:r>
      <w:r w:rsidR="00FF1691">
        <w:rPr>
          <w:rFonts w:ascii="Calibri" w:eastAsia="Calibri" w:hAnsi="Calibri" w:cs="Times New Roman"/>
          <w:sz w:val="22"/>
          <w:szCs w:val="22"/>
        </w:rPr>
        <w:t>tive</w:t>
      </w:r>
      <w:r>
        <w:rPr>
          <w:rFonts w:ascii="Calibri" w:eastAsia="Calibri" w:hAnsi="Calibri" w:cs="Times New Roman"/>
          <w:sz w:val="22"/>
          <w:szCs w:val="22"/>
        </w:rPr>
        <w:t xml:space="preserve"> contracts</w:t>
      </w:r>
      <w:r w:rsidRPr="009C21E6">
        <w:rPr>
          <w:rFonts w:ascii="Calibri" w:eastAsia="Calibri" w:hAnsi="Calibri" w:cs="Times New Roman"/>
          <w:sz w:val="22"/>
          <w:szCs w:val="22"/>
        </w:rPr>
        <w:t xml:space="preserve">. ICE does not consider the MiFID II position limits regime to have contributed to </w:t>
      </w:r>
      <w:r>
        <w:rPr>
          <w:rFonts w:ascii="Calibri" w:eastAsia="Calibri" w:hAnsi="Calibri" w:cs="Times New Roman"/>
          <w:sz w:val="22"/>
          <w:szCs w:val="22"/>
        </w:rPr>
        <w:t>achieving these objectives. Rather, th</w:t>
      </w:r>
      <w:r w:rsidR="00BF47BE">
        <w:rPr>
          <w:rFonts w:ascii="Calibri" w:eastAsia="Calibri" w:hAnsi="Calibri" w:cs="Times New Roman"/>
          <w:sz w:val="22"/>
          <w:szCs w:val="22"/>
        </w:rPr>
        <w:t>is goal has</w:t>
      </w:r>
      <w:r>
        <w:rPr>
          <w:rFonts w:ascii="Calibri" w:eastAsia="Calibri" w:hAnsi="Calibri" w:cs="Times New Roman"/>
          <w:sz w:val="22"/>
          <w:szCs w:val="22"/>
        </w:rPr>
        <w:t xml:space="preserve"> </w:t>
      </w:r>
      <w:r w:rsidRPr="009C21E6">
        <w:rPr>
          <w:rFonts w:ascii="Calibri" w:eastAsia="Calibri" w:hAnsi="Calibri" w:cs="Times New Roman"/>
          <w:sz w:val="22"/>
          <w:szCs w:val="22"/>
        </w:rPr>
        <w:t>been achieved by the Exchanges</w:t>
      </w:r>
      <w:r w:rsidR="00BF47BE">
        <w:rPr>
          <w:rFonts w:ascii="Calibri" w:eastAsia="Calibri" w:hAnsi="Calibri" w:cs="Times New Roman"/>
          <w:sz w:val="22"/>
          <w:szCs w:val="22"/>
        </w:rPr>
        <w:t>’</w:t>
      </w:r>
      <w:r w:rsidRPr="009C21E6">
        <w:rPr>
          <w:rFonts w:ascii="Calibri" w:eastAsia="Calibri" w:hAnsi="Calibri" w:cs="Times New Roman"/>
          <w:sz w:val="22"/>
          <w:szCs w:val="22"/>
        </w:rPr>
        <w:t xml:space="preserve"> pre-existing position management regime</w:t>
      </w:r>
      <w:r w:rsidR="00BF47BE">
        <w:rPr>
          <w:rFonts w:ascii="Calibri" w:eastAsia="Calibri" w:hAnsi="Calibri" w:cs="Times New Roman"/>
          <w:sz w:val="22"/>
          <w:szCs w:val="22"/>
        </w:rPr>
        <w:t>,</w:t>
      </w:r>
      <w:r w:rsidRPr="009C21E6">
        <w:rPr>
          <w:rFonts w:ascii="Calibri" w:eastAsia="Calibri" w:hAnsi="Calibri" w:cs="Times New Roman"/>
          <w:sz w:val="22"/>
          <w:szCs w:val="22"/>
        </w:rPr>
        <w:t xml:space="preserve"> as well as </w:t>
      </w:r>
      <w:r w:rsidR="00BF47BE">
        <w:rPr>
          <w:rFonts w:ascii="Calibri" w:eastAsia="Calibri" w:hAnsi="Calibri" w:cs="Times New Roman"/>
          <w:sz w:val="22"/>
          <w:szCs w:val="22"/>
        </w:rPr>
        <w:t>their</w:t>
      </w:r>
      <w:r w:rsidRPr="009C21E6">
        <w:rPr>
          <w:rFonts w:ascii="Calibri" w:eastAsia="Calibri" w:hAnsi="Calibri" w:cs="Times New Roman"/>
          <w:sz w:val="22"/>
          <w:szCs w:val="22"/>
        </w:rPr>
        <w:t xml:space="preserve"> market </w:t>
      </w:r>
      <w:r>
        <w:rPr>
          <w:rFonts w:ascii="Calibri" w:eastAsia="Calibri" w:hAnsi="Calibri" w:cs="Times New Roman"/>
          <w:sz w:val="22"/>
          <w:szCs w:val="22"/>
        </w:rPr>
        <w:t>oversight</w:t>
      </w:r>
      <w:r w:rsidRPr="009C21E6">
        <w:rPr>
          <w:rFonts w:ascii="Calibri" w:eastAsia="Calibri" w:hAnsi="Calibri" w:cs="Times New Roman"/>
          <w:sz w:val="22"/>
          <w:szCs w:val="22"/>
        </w:rPr>
        <w:t xml:space="preserve"> systems</w:t>
      </w:r>
      <w:r>
        <w:rPr>
          <w:rFonts w:ascii="Calibri" w:eastAsia="Calibri" w:hAnsi="Calibri" w:cs="Times New Roman"/>
          <w:sz w:val="22"/>
          <w:szCs w:val="22"/>
        </w:rPr>
        <w:t xml:space="preserve"> (including compliance, supervision and surveillance)</w:t>
      </w:r>
      <w:r w:rsidRPr="009C21E6">
        <w:rPr>
          <w:rFonts w:ascii="Calibri" w:eastAsia="Calibri" w:hAnsi="Calibri" w:cs="Times New Roman"/>
          <w:sz w:val="22"/>
          <w:szCs w:val="22"/>
        </w:rPr>
        <w:t>.</w:t>
      </w:r>
    </w:p>
    <w:p w14:paraId="23EEA71C" w14:textId="77777777" w:rsidR="00AB6157" w:rsidRDefault="00AB6157" w:rsidP="00AB6157">
      <w:pPr>
        <w:rPr>
          <w:rFonts w:ascii="Arial" w:hAnsi="Arial" w:cs="Arial"/>
        </w:rPr>
      </w:pPr>
      <w:r>
        <w:rPr>
          <w:rFonts w:ascii="Arial" w:hAnsi="Arial" w:cs="Arial"/>
        </w:rPr>
        <w:t>&lt;ESMA_QUESTION_PLPM_4&gt;</w:t>
      </w:r>
    </w:p>
    <w:p w14:paraId="158D9359" w14:textId="77777777" w:rsidR="00AB6157" w:rsidRDefault="00AB6157" w:rsidP="00AB6157">
      <w:pPr>
        <w:rPr>
          <w:rFonts w:ascii="Arial" w:hAnsi="Arial" w:cs="Arial"/>
        </w:rPr>
      </w:pPr>
    </w:p>
    <w:p w14:paraId="735A7D51" w14:textId="77777777" w:rsidR="00AB6157" w:rsidRDefault="00AB6157" w:rsidP="00AB6157">
      <w:pPr>
        <w:pStyle w:val="Questionstyle"/>
        <w:numPr>
          <w:ilvl w:val="0"/>
          <w:numId w:val="9"/>
        </w:numPr>
        <w:spacing w:after="250" w:line="276" w:lineRule="auto"/>
      </w:pPr>
      <w:r>
        <w:t xml:space="preserve">: </w:t>
      </w:r>
      <w:r w:rsidRPr="0029675E">
        <w:t xml:space="preserve">More generally, and beyond the specific items identified above, what would be your overall assessment of the impact of position limits on EU commodity derivatives markets since the application of MiFID II? </w:t>
      </w:r>
    </w:p>
    <w:p w14:paraId="71869145" w14:textId="77777777" w:rsidR="00AB6157" w:rsidRDefault="00AB6157" w:rsidP="00AB6157">
      <w:pPr>
        <w:rPr>
          <w:rFonts w:ascii="Arial" w:hAnsi="Arial" w:cs="Arial"/>
        </w:rPr>
      </w:pPr>
      <w:r>
        <w:rPr>
          <w:rFonts w:ascii="Arial" w:hAnsi="Arial" w:cs="Arial"/>
        </w:rPr>
        <w:t>&lt;ESMA_QUESTION_PLPM_5&gt;</w:t>
      </w:r>
    </w:p>
    <w:p w14:paraId="3213E16F" w14:textId="3E56ABA5" w:rsidR="009C21E6" w:rsidRPr="009C21E6" w:rsidRDefault="009C21E6" w:rsidP="009C21E6">
      <w:pPr>
        <w:pStyle w:val="NoSpacing"/>
        <w:spacing w:line="276" w:lineRule="auto"/>
        <w:jc w:val="both"/>
        <w:rPr>
          <w:rFonts w:ascii="Calibri" w:eastAsia="Calibri" w:hAnsi="Calibri" w:cs="Times New Roman"/>
          <w:sz w:val="22"/>
          <w:szCs w:val="22"/>
        </w:rPr>
      </w:pPr>
      <w:r w:rsidRPr="009C21E6">
        <w:rPr>
          <w:rFonts w:ascii="Calibri" w:eastAsia="Calibri" w:hAnsi="Calibri" w:cs="Times New Roman"/>
          <w:sz w:val="22"/>
          <w:szCs w:val="22"/>
        </w:rPr>
        <w:t>In the opinion of ICE, the MiFID II position limits regime has function</w:t>
      </w:r>
      <w:r w:rsidR="00A13BC7">
        <w:rPr>
          <w:rFonts w:ascii="Calibri" w:eastAsia="Calibri" w:hAnsi="Calibri" w:cs="Times New Roman"/>
          <w:sz w:val="22"/>
          <w:szCs w:val="22"/>
        </w:rPr>
        <w:t xml:space="preserve">ed </w:t>
      </w:r>
      <w:r w:rsidR="00E02FEB">
        <w:rPr>
          <w:rFonts w:ascii="Calibri" w:eastAsia="Calibri" w:hAnsi="Calibri" w:cs="Times New Roman"/>
          <w:sz w:val="22"/>
          <w:szCs w:val="22"/>
        </w:rPr>
        <w:t xml:space="preserve">without creating significant disruptions </w:t>
      </w:r>
      <w:r w:rsidR="00401E70">
        <w:rPr>
          <w:rFonts w:ascii="Calibri" w:eastAsia="Calibri" w:hAnsi="Calibri" w:cs="Times New Roman"/>
          <w:sz w:val="22"/>
          <w:szCs w:val="22"/>
        </w:rPr>
        <w:t xml:space="preserve">in </w:t>
      </w:r>
      <w:r w:rsidRPr="009C21E6">
        <w:rPr>
          <w:rFonts w:ascii="Calibri" w:eastAsia="Calibri" w:hAnsi="Calibri" w:cs="Times New Roman"/>
          <w:sz w:val="22"/>
          <w:szCs w:val="22"/>
        </w:rPr>
        <w:t xml:space="preserve">a number of well-developed benchmark contracts. These highly developed markets are characterised by a large number of different types of active trading firms and an overall substantial amount of open interest. However, for the development of new products and </w:t>
      </w:r>
      <w:r w:rsidRPr="009C21E6">
        <w:rPr>
          <w:rFonts w:ascii="Calibri" w:eastAsia="Calibri" w:hAnsi="Calibri" w:cs="Times New Roman"/>
          <w:sz w:val="22"/>
          <w:szCs w:val="22"/>
        </w:rPr>
        <w:lastRenderedPageBreak/>
        <w:t>further growth of the existing</w:t>
      </w:r>
      <w:r w:rsidR="006C0D36">
        <w:rPr>
          <w:rFonts w:ascii="Calibri" w:eastAsia="Calibri" w:hAnsi="Calibri" w:cs="Times New Roman"/>
          <w:sz w:val="22"/>
          <w:szCs w:val="22"/>
        </w:rPr>
        <w:t xml:space="preserve"> less liquid </w:t>
      </w:r>
      <w:r w:rsidRPr="009C21E6">
        <w:rPr>
          <w:rFonts w:ascii="Calibri" w:eastAsia="Calibri" w:hAnsi="Calibri" w:cs="Times New Roman"/>
          <w:sz w:val="22"/>
          <w:szCs w:val="22"/>
        </w:rPr>
        <w:t xml:space="preserve">commodity derivative markets, the position limits regime has proven to be a substantial barrier. </w:t>
      </w:r>
      <w:r w:rsidR="00A13BC7">
        <w:rPr>
          <w:rFonts w:ascii="Calibri" w:eastAsia="Calibri" w:hAnsi="Calibri" w:cs="Times New Roman"/>
          <w:sz w:val="22"/>
          <w:szCs w:val="22"/>
        </w:rPr>
        <w:t>The market for new and f</w:t>
      </w:r>
      <w:r w:rsidRPr="009C21E6">
        <w:rPr>
          <w:rFonts w:ascii="Calibri" w:eastAsia="Calibri" w:hAnsi="Calibri" w:cs="Times New Roman"/>
          <w:sz w:val="22"/>
          <w:szCs w:val="22"/>
        </w:rPr>
        <w:t xml:space="preserve">ast growing </w:t>
      </w:r>
      <w:r w:rsidR="00A13BC7">
        <w:rPr>
          <w:rFonts w:ascii="Calibri" w:eastAsia="Calibri" w:hAnsi="Calibri" w:cs="Times New Roman"/>
          <w:sz w:val="22"/>
          <w:szCs w:val="22"/>
        </w:rPr>
        <w:t>commodity dertivates products has</w:t>
      </w:r>
      <w:r w:rsidRPr="009C21E6">
        <w:rPr>
          <w:rFonts w:ascii="Calibri" w:eastAsia="Calibri" w:hAnsi="Calibri" w:cs="Times New Roman"/>
          <w:sz w:val="22"/>
          <w:szCs w:val="22"/>
        </w:rPr>
        <w:t xml:space="preserve"> </w:t>
      </w:r>
      <w:r w:rsidR="00A13BC7">
        <w:rPr>
          <w:rFonts w:ascii="Calibri" w:eastAsia="Calibri" w:hAnsi="Calibri" w:cs="Times New Roman"/>
          <w:sz w:val="22"/>
          <w:szCs w:val="22"/>
        </w:rPr>
        <w:t xml:space="preserve">(1) </w:t>
      </w:r>
      <w:r w:rsidRPr="009C21E6">
        <w:rPr>
          <w:rFonts w:ascii="Calibri" w:eastAsia="Calibri" w:hAnsi="Calibri" w:cs="Times New Roman"/>
          <w:sz w:val="22"/>
          <w:szCs w:val="22"/>
        </w:rPr>
        <w:t xml:space="preserve">suffered from an increasingly restrictive limit as open interest increases and inflexible categorization </w:t>
      </w:r>
      <w:r w:rsidR="00A13BC7">
        <w:rPr>
          <w:rFonts w:ascii="Calibri" w:eastAsia="Calibri" w:hAnsi="Calibri" w:cs="Times New Roman"/>
          <w:sz w:val="22"/>
          <w:szCs w:val="22"/>
        </w:rPr>
        <w:t xml:space="preserve">of products </w:t>
      </w:r>
      <w:r w:rsidRPr="009C21E6">
        <w:rPr>
          <w:rFonts w:ascii="Calibri" w:eastAsia="Calibri" w:hAnsi="Calibri" w:cs="Times New Roman"/>
          <w:sz w:val="22"/>
          <w:szCs w:val="22"/>
        </w:rPr>
        <w:t xml:space="preserve">under the position limits framework, </w:t>
      </w:r>
      <w:r w:rsidR="00A13BC7">
        <w:rPr>
          <w:rFonts w:ascii="Calibri" w:eastAsia="Calibri" w:hAnsi="Calibri" w:cs="Times New Roman"/>
          <w:sz w:val="22"/>
          <w:szCs w:val="22"/>
        </w:rPr>
        <w:t xml:space="preserve">and </w:t>
      </w:r>
      <w:r w:rsidRPr="009C21E6">
        <w:rPr>
          <w:rFonts w:ascii="Calibri" w:eastAsia="Calibri" w:hAnsi="Calibri" w:cs="Times New Roman"/>
          <w:sz w:val="22"/>
          <w:szCs w:val="22"/>
        </w:rPr>
        <w:t>(</w:t>
      </w:r>
      <w:r w:rsidR="004F0460">
        <w:rPr>
          <w:rFonts w:ascii="Calibri" w:eastAsia="Calibri" w:hAnsi="Calibri" w:cs="Times New Roman"/>
          <w:sz w:val="22"/>
          <w:szCs w:val="22"/>
        </w:rPr>
        <w:t>2</w:t>
      </w:r>
      <w:r w:rsidRPr="009C21E6">
        <w:rPr>
          <w:rFonts w:ascii="Calibri" w:eastAsia="Calibri" w:hAnsi="Calibri" w:cs="Times New Roman"/>
          <w:sz w:val="22"/>
          <w:szCs w:val="22"/>
        </w:rPr>
        <w:t xml:space="preserve">) </w:t>
      </w:r>
      <w:r w:rsidR="00A13BC7">
        <w:rPr>
          <w:rFonts w:ascii="Calibri" w:eastAsia="Calibri" w:hAnsi="Calibri" w:cs="Times New Roman"/>
          <w:sz w:val="22"/>
          <w:szCs w:val="22"/>
        </w:rPr>
        <w:t xml:space="preserve">idoes not </w:t>
      </w:r>
      <w:r w:rsidRPr="009C21E6">
        <w:rPr>
          <w:rFonts w:ascii="Calibri" w:eastAsia="Calibri" w:hAnsi="Calibri" w:cs="Times New Roman"/>
          <w:sz w:val="22"/>
          <w:szCs w:val="22"/>
        </w:rPr>
        <w:t>accurate</w:t>
      </w:r>
      <w:r w:rsidR="00A13BC7">
        <w:rPr>
          <w:rFonts w:ascii="Calibri" w:eastAsia="Calibri" w:hAnsi="Calibri" w:cs="Times New Roman"/>
          <w:sz w:val="22"/>
          <w:szCs w:val="22"/>
        </w:rPr>
        <w:t>ly</w:t>
      </w:r>
      <w:r w:rsidRPr="009C21E6">
        <w:rPr>
          <w:rFonts w:ascii="Calibri" w:eastAsia="Calibri" w:hAnsi="Calibri" w:cs="Times New Roman"/>
          <w:sz w:val="22"/>
          <w:szCs w:val="22"/>
        </w:rPr>
        <w:t xml:space="preserve"> reflect</w:t>
      </w:r>
      <w:r w:rsidR="00A13BC7">
        <w:rPr>
          <w:rFonts w:ascii="Calibri" w:eastAsia="Calibri" w:hAnsi="Calibri" w:cs="Times New Roman"/>
          <w:sz w:val="22"/>
          <w:szCs w:val="22"/>
        </w:rPr>
        <w:t xml:space="preserve">, in many cases, </w:t>
      </w:r>
      <w:r w:rsidRPr="009C21E6">
        <w:rPr>
          <w:rFonts w:ascii="Calibri" w:eastAsia="Calibri" w:hAnsi="Calibri" w:cs="Times New Roman"/>
          <w:sz w:val="22"/>
          <w:szCs w:val="22"/>
        </w:rPr>
        <w:t xml:space="preserve">the </w:t>
      </w:r>
      <w:r w:rsidR="00A13BC7">
        <w:rPr>
          <w:rFonts w:ascii="Calibri" w:eastAsia="Calibri" w:hAnsi="Calibri" w:cs="Times New Roman"/>
          <w:sz w:val="22"/>
          <w:szCs w:val="22"/>
        </w:rPr>
        <w:t xml:space="preserve">characteristics of the </w:t>
      </w:r>
      <w:r w:rsidRPr="009C21E6">
        <w:rPr>
          <w:rFonts w:ascii="Calibri" w:eastAsia="Calibri" w:hAnsi="Calibri" w:cs="Times New Roman"/>
          <w:sz w:val="22"/>
          <w:szCs w:val="22"/>
        </w:rPr>
        <w:t xml:space="preserve">underlying physical markets. </w:t>
      </w:r>
    </w:p>
    <w:p w14:paraId="51F019DF" w14:textId="1754F3A6" w:rsidR="009C21E6" w:rsidRPr="009C21E6" w:rsidRDefault="009C21E6" w:rsidP="009C21E6">
      <w:pPr>
        <w:pStyle w:val="NoSpacing"/>
        <w:spacing w:line="276" w:lineRule="auto"/>
        <w:jc w:val="both"/>
        <w:rPr>
          <w:rFonts w:ascii="Calibri" w:eastAsia="Calibri" w:hAnsi="Calibri" w:cs="Times New Roman"/>
          <w:sz w:val="22"/>
          <w:szCs w:val="22"/>
        </w:rPr>
      </w:pPr>
    </w:p>
    <w:p w14:paraId="3113E74B" w14:textId="626A2A5B" w:rsidR="009C21E6" w:rsidRPr="009C21E6" w:rsidRDefault="009C21E6" w:rsidP="009C21E6">
      <w:pPr>
        <w:pStyle w:val="NoSpacing"/>
        <w:spacing w:line="276" w:lineRule="auto"/>
        <w:jc w:val="both"/>
        <w:rPr>
          <w:rFonts w:ascii="Calibri" w:eastAsia="Calibri" w:hAnsi="Calibri" w:cs="Times New Roman"/>
          <w:sz w:val="22"/>
          <w:szCs w:val="22"/>
        </w:rPr>
      </w:pPr>
      <w:r w:rsidRPr="009C21E6">
        <w:rPr>
          <w:rFonts w:ascii="Calibri" w:eastAsia="Calibri" w:hAnsi="Calibri" w:cs="Times New Roman"/>
          <w:sz w:val="22"/>
          <w:szCs w:val="22"/>
        </w:rPr>
        <w:t xml:space="preserve">Please see the response to Q1 for further details. </w:t>
      </w:r>
    </w:p>
    <w:p w14:paraId="1DE7D8C0" w14:textId="77777777" w:rsidR="009C21E6" w:rsidRDefault="009C21E6" w:rsidP="009C21E6">
      <w:pPr>
        <w:pStyle w:val="NoSpacing"/>
        <w:spacing w:line="276" w:lineRule="auto"/>
        <w:jc w:val="both"/>
      </w:pPr>
    </w:p>
    <w:p w14:paraId="147B5974" w14:textId="77777777" w:rsidR="00AB6157" w:rsidRDefault="00AB6157" w:rsidP="00AB6157">
      <w:pPr>
        <w:rPr>
          <w:rFonts w:ascii="Arial" w:hAnsi="Arial" w:cs="Arial"/>
        </w:rPr>
      </w:pPr>
      <w:r>
        <w:rPr>
          <w:rFonts w:ascii="Arial" w:hAnsi="Arial" w:cs="Arial"/>
        </w:rPr>
        <w:t>&lt;ESMA_QUESTION_PLPM_5&gt;</w:t>
      </w:r>
    </w:p>
    <w:p w14:paraId="5B237914" w14:textId="77777777" w:rsidR="00AB6157" w:rsidRDefault="00AB6157" w:rsidP="00AB6157">
      <w:pPr>
        <w:rPr>
          <w:rFonts w:ascii="Arial" w:hAnsi="Arial" w:cs="Arial"/>
        </w:rPr>
      </w:pPr>
    </w:p>
    <w:p w14:paraId="7AE8C81B" w14:textId="77777777" w:rsidR="00AB6157" w:rsidRDefault="00AB6157" w:rsidP="00AB6157">
      <w:pPr>
        <w:pStyle w:val="Questionstyle"/>
        <w:numPr>
          <w:ilvl w:val="0"/>
          <w:numId w:val="9"/>
        </w:numPr>
        <w:spacing w:after="250" w:line="276" w:lineRule="auto"/>
      </w:pPr>
      <w:r w:rsidRPr="00707B76">
        <w:t>: Do you consider that position management controls have an impact on the liquidity of commodity derivatives markets? If so, please elaborate, differentiating per commodity derivative trading venues or contract where appropriate.</w:t>
      </w:r>
    </w:p>
    <w:p w14:paraId="4F51BDD3" w14:textId="77777777" w:rsidR="00AB6157" w:rsidRDefault="00AB6157" w:rsidP="00AB6157">
      <w:pPr>
        <w:rPr>
          <w:rFonts w:ascii="Arial" w:hAnsi="Arial" w:cs="Arial"/>
        </w:rPr>
      </w:pPr>
      <w:r>
        <w:rPr>
          <w:rFonts w:ascii="Arial" w:hAnsi="Arial" w:cs="Arial"/>
        </w:rPr>
        <w:t>&lt;ESMA_QUESTION_PLPM_6&gt;</w:t>
      </w:r>
    </w:p>
    <w:p w14:paraId="2DA20889" w14:textId="22A78277" w:rsidR="007D6133" w:rsidRDefault="007D6133" w:rsidP="007D6133">
      <w:pPr>
        <w:rPr>
          <w:rFonts w:eastAsia="Calibri"/>
        </w:rPr>
      </w:pPr>
      <w:permStart w:id="2134059337" w:edGrp="everyone"/>
      <w:r w:rsidRPr="007D6133">
        <w:rPr>
          <w:rFonts w:eastAsia="Calibri"/>
        </w:rPr>
        <w:t xml:space="preserve"> </w:t>
      </w:r>
      <w:r w:rsidRPr="005C1C15">
        <w:rPr>
          <w:rFonts w:eastAsia="Calibri"/>
        </w:rPr>
        <w:t xml:space="preserve">As noted in its response to Q3, the Exchanges believe that a properly calibrated position management regime can play an important role in preventing market abuse. As indicated in its description of position management controls published on ESMA’s website, ICE operates a comprehensive position management regime, thereby ensuring compliance with its Rulebook and fulfilling requirements by the national legislation and CFTC requirements with regards to the so called Linked Contracts (contracts traded in the EU for equivalents of which position limits have been imposed in the US).  </w:t>
      </w:r>
    </w:p>
    <w:p w14:paraId="0F44D7FD" w14:textId="77777777" w:rsidR="007D6133" w:rsidRPr="005C1C15" w:rsidRDefault="007D6133" w:rsidP="007D6133">
      <w:pPr>
        <w:rPr>
          <w:rFonts w:eastAsia="Calibri"/>
        </w:rPr>
      </w:pPr>
    </w:p>
    <w:p w14:paraId="3A2C09A6" w14:textId="1E03C045" w:rsidR="00AB6157" w:rsidRDefault="007D6133" w:rsidP="00AB6157">
      <w:pPr>
        <w:rPr>
          <w:rFonts w:ascii="Arial" w:hAnsi="Arial" w:cs="Arial"/>
        </w:rPr>
      </w:pPr>
      <w:r w:rsidRPr="005C1C15">
        <w:rPr>
          <w:rFonts w:eastAsia="Calibri"/>
        </w:rPr>
        <w:t>ICE is of the view that its pre-existing position management regime along with its market supervision and surveillance systems have contributed substantially to preventing market abuse in commodity markets operated by the Exchanges</w:t>
      </w:r>
      <w:r>
        <w:t>.</w:t>
      </w:r>
      <w:permEnd w:id="2134059337"/>
      <w:r w:rsidR="00AB6157">
        <w:rPr>
          <w:rFonts w:ascii="Arial" w:hAnsi="Arial" w:cs="Arial"/>
        </w:rPr>
        <w:t>&lt;ESMA_QUESTION_PLPM_6&gt;</w:t>
      </w:r>
    </w:p>
    <w:p w14:paraId="467AF601" w14:textId="77777777" w:rsidR="00AB6157" w:rsidRDefault="00AB6157" w:rsidP="00AB6157">
      <w:pPr>
        <w:rPr>
          <w:rFonts w:ascii="Arial" w:hAnsi="Arial" w:cs="Arial"/>
        </w:rPr>
      </w:pPr>
    </w:p>
    <w:p w14:paraId="763C4FE3" w14:textId="77777777" w:rsidR="00AB6157" w:rsidRPr="00422240" w:rsidRDefault="00AB6157" w:rsidP="00AB6157">
      <w:pPr>
        <w:pStyle w:val="Questionstyle"/>
        <w:numPr>
          <w:ilvl w:val="0"/>
          <w:numId w:val="9"/>
        </w:numPr>
        <w:spacing w:after="250" w:line="276" w:lineRule="auto"/>
      </w:pPr>
      <w:bookmarkStart w:id="3" w:name="_Hlk8204436"/>
      <w:r>
        <w:t xml:space="preserve">: </w:t>
      </w:r>
      <w:r w:rsidRPr="006302EB">
        <w:t xml:space="preserve">Do you consider that position management controls adopted by commodity derivative trading venues have a role on the prevention of market abuse? If so, please elaborate, differentiating per commodity derivative trading venues or contract where appropriate. </w:t>
      </w:r>
    </w:p>
    <w:bookmarkEnd w:id="3"/>
    <w:p w14:paraId="02D1BB45" w14:textId="77777777" w:rsidR="00AB6157" w:rsidRDefault="00AB6157" w:rsidP="00AB6157">
      <w:pPr>
        <w:rPr>
          <w:rFonts w:ascii="Arial" w:hAnsi="Arial" w:cs="Arial"/>
        </w:rPr>
      </w:pPr>
      <w:r>
        <w:rPr>
          <w:rFonts w:ascii="Arial" w:hAnsi="Arial" w:cs="Arial"/>
        </w:rPr>
        <w:t>&lt;ESMA_QUESTION_PLPM_7&gt;</w:t>
      </w:r>
    </w:p>
    <w:p w14:paraId="6DAE71DD" w14:textId="77777777" w:rsidR="002855AC" w:rsidRDefault="002855AC" w:rsidP="00C1002E">
      <w:pPr>
        <w:rPr>
          <w:rFonts w:ascii="Calibri" w:eastAsia="Calibri" w:hAnsi="Calibri"/>
          <w:sz w:val="22"/>
          <w:szCs w:val="22"/>
          <w:lang w:eastAsia="en-US"/>
        </w:rPr>
      </w:pPr>
      <w:permStart w:id="381097405" w:edGrp="everyone"/>
    </w:p>
    <w:p w14:paraId="60902396" w14:textId="4DE41AAB" w:rsidR="005311BA" w:rsidRDefault="002855AC" w:rsidP="005311BA">
      <w:pPr>
        <w:rPr>
          <w:rFonts w:ascii="Calibri" w:eastAsia="Calibri" w:hAnsi="Calibri"/>
          <w:sz w:val="22"/>
          <w:szCs w:val="22"/>
        </w:rPr>
      </w:pPr>
      <w:r>
        <w:rPr>
          <w:rFonts w:ascii="Calibri" w:eastAsia="Calibri" w:hAnsi="Calibri"/>
          <w:sz w:val="22"/>
          <w:szCs w:val="22"/>
        </w:rPr>
        <w:t xml:space="preserve">As noted in its response to Q3, </w:t>
      </w:r>
      <w:r w:rsidRPr="009C21E6">
        <w:rPr>
          <w:rFonts w:ascii="Calibri" w:eastAsia="Calibri" w:hAnsi="Calibri"/>
          <w:sz w:val="22"/>
          <w:szCs w:val="22"/>
        </w:rPr>
        <w:t>the Exchange</w:t>
      </w:r>
      <w:r>
        <w:rPr>
          <w:rFonts w:ascii="Calibri" w:eastAsia="Calibri" w:hAnsi="Calibri"/>
          <w:sz w:val="22"/>
          <w:szCs w:val="22"/>
        </w:rPr>
        <w:t xml:space="preserve">s believe that </w:t>
      </w:r>
      <w:r w:rsidRPr="009C21E6">
        <w:rPr>
          <w:rFonts w:ascii="Calibri" w:eastAsia="Calibri" w:hAnsi="Calibri"/>
          <w:sz w:val="22"/>
          <w:szCs w:val="22"/>
        </w:rPr>
        <w:t xml:space="preserve">a properly calibrated position management regime can play an important role in preventing market abuse. </w:t>
      </w:r>
      <w:r w:rsidR="00C1002E" w:rsidRPr="00B03464">
        <w:rPr>
          <w:rFonts w:ascii="Calibri" w:eastAsia="Calibri" w:hAnsi="Calibri"/>
          <w:sz w:val="22"/>
          <w:szCs w:val="22"/>
          <w:lang w:eastAsia="en-US"/>
        </w:rPr>
        <w:t xml:space="preserve">As indicated in its description of position management controls </w:t>
      </w:r>
      <w:r w:rsidR="00BE443B">
        <w:rPr>
          <w:rFonts w:ascii="Calibri" w:eastAsia="Calibri" w:hAnsi="Calibri"/>
          <w:sz w:val="22"/>
          <w:szCs w:val="22"/>
          <w:lang w:eastAsia="en-US"/>
        </w:rPr>
        <w:t>published on</w:t>
      </w:r>
      <w:r w:rsidR="00BE443B" w:rsidRPr="00B03464">
        <w:rPr>
          <w:rFonts w:ascii="Calibri" w:eastAsia="Calibri" w:hAnsi="Calibri"/>
          <w:sz w:val="22"/>
          <w:szCs w:val="22"/>
          <w:lang w:eastAsia="en-US"/>
        </w:rPr>
        <w:t xml:space="preserve"> ESMA</w:t>
      </w:r>
      <w:r w:rsidR="00BE443B">
        <w:rPr>
          <w:rFonts w:ascii="Calibri" w:eastAsia="Calibri" w:hAnsi="Calibri"/>
          <w:sz w:val="22"/>
          <w:szCs w:val="22"/>
          <w:lang w:eastAsia="en-US"/>
        </w:rPr>
        <w:t>’s</w:t>
      </w:r>
      <w:r w:rsidR="00C1002E" w:rsidRPr="00B03464">
        <w:rPr>
          <w:rFonts w:ascii="Calibri" w:eastAsia="Calibri" w:hAnsi="Calibri"/>
          <w:sz w:val="22"/>
          <w:szCs w:val="22"/>
          <w:lang w:eastAsia="en-US"/>
        </w:rPr>
        <w:t xml:space="preserve"> web</w:t>
      </w:r>
      <w:r w:rsidR="00BE443B">
        <w:rPr>
          <w:rFonts w:ascii="Calibri" w:eastAsia="Calibri" w:hAnsi="Calibri"/>
          <w:sz w:val="22"/>
          <w:szCs w:val="22"/>
          <w:lang w:eastAsia="en-US"/>
        </w:rPr>
        <w:t>site</w:t>
      </w:r>
      <w:r w:rsidR="00C1002E" w:rsidRPr="00B03464">
        <w:rPr>
          <w:rFonts w:ascii="Calibri" w:eastAsia="Calibri" w:hAnsi="Calibri"/>
          <w:sz w:val="22"/>
          <w:szCs w:val="22"/>
          <w:lang w:eastAsia="en-US"/>
        </w:rPr>
        <w:t>, ICE operate</w:t>
      </w:r>
      <w:r>
        <w:rPr>
          <w:rFonts w:ascii="Calibri" w:eastAsia="Calibri" w:hAnsi="Calibri"/>
          <w:sz w:val="22"/>
          <w:szCs w:val="22"/>
          <w:lang w:eastAsia="en-US"/>
        </w:rPr>
        <w:t>s</w:t>
      </w:r>
      <w:r w:rsidR="00C1002E" w:rsidRPr="00B03464">
        <w:rPr>
          <w:rFonts w:ascii="Calibri" w:eastAsia="Calibri" w:hAnsi="Calibri"/>
          <w:sz w:val="22"/>
          <w:szCs w:val="22"/>
          <w:lang w:eastAsia="en-US"/>
        </w:rPr>
        <w:t xml:space="preserve"> a comprehensive position management regime, thereby ensuring compliance with its Rulebook and fulfilling requirements by the national legislation a</w:t>
      </w:r>
      <w:r>
        <w:rPr>
          <w:rFonts w:ascii="Calibri" w:eastAsia="Calibri" w:hAnsi="Calibri"/>
          <w:sz w:val="22"/>
          <w:szCs w:val="22"/>
          <w:lang w:eastAsia="en-US"/>
        </w:rPr>
        <w:t xml:space="preserve">nd </w:t>
      </w:r>
      <w:r w:rsidR="00C1002E" w:rsidRPr="00B03464">
        <w:rPr>
          <w:rFonts w:ascii="Calibri" w:eastAsia="Calibri" w:hAnsi="Calibri"/>
          <w:sz w:val="22"/>
          <w:szCs w:val="22"/>
          <w:lang w:eastAsia="en-US"/>
        </w:rPr>
        <w:t>CFTC requirements with regards to the so called Linked Contracts</w:t>
      </w:r>
      <w:r w:rsidR="00707B76">
        <w:rPr>
          <w:rFonts w:ascii="Calibri" w:eastAsia="Calibri" w:hAnsi="Calibri"/>
          <w:sz w:val="22"/>
          <w:szCs w:val="22"/>
          <w:lang w:eastAsia="en-US"/>
        </w:rPr>
        <w:t xml:space="preserve"> (contracts traded in the EU for equivalents of which position limits have been imposed in the US)</w:t>
      </w:r>
      <w:r w:rsidR="00C1002E" w:rsidRPr="00B03464">
        <w:rPr>
          <w:rFonts w:ascii="Calibri" w:eastAsia="Calibri" w:hAnsi="Calibri"/>
          <w:sz w:val="22"/>
          <w:szCs w:val="22"/>
          <w:lang w:eastAsia="en-US"/>
        </w:rPr>
        <w:t xml:space="preserve">. </w:t>
      </w:r>
      <w:r w:rsidR="005311BA">
        <w:rPr>
          <w:rFonts w:ascii="Calibri" w:eastAsia="Calibri" w:hAnsi="Calibri"/>
          <w:sz w:val="22"/>
          <w:szCs w:val="22"/>
          <w:lang w:eastAsia="en-US"/>
        </w:rPr>
        <w:t xml:space="preserve"> </w:t>
      </w:r>
    </w:p>
    <w:p w14:paraId="1A7B558A" w14:textId="77777777" w:rsidR="005311BA" w:rsidRDefault="005311BA" w:rsidP="00C1002E">
      <w:pPr>
        <w:rPr>
          <w:rFonts w:ascii="Calibri" w:eastAsia="Calibri" w:hAnsi="Calibri"/>
          <w:sz w:val="22"/>
          <w:szCs w:val="22"/>
        </w:rPr>
      </w:pPr>
    </w:p>
    <w:p w14:paraId="4F2ECE87" w14:textId="0689300F" w:rsidR="00C1002E" w:rsidRDefault="00C1002E" w:rsidP="00C1002E">
      <w:pPr>
        <w:rPr>
          <w:rFonts w:ascii="Arial" w:hAnsi="Arial" w:cs="Arial"/>
        </w:rPr>
      </w:pPr>
      <w:r w:rsidRPr="00B03464">
        <w:rPr>
          <w:rFonts w:ascii="Calibri" w:eastAsia="Calibri" w:hAnsi="Calibri"/>
          <w:sz w:val="22"/>
          <w:szCs w:val="22"/>
          <w:lang w:eastAsia="en-US"/>
        </w:rPr>
        <w:t>ICE is of the view that its pre-existing position management regime along with its market supervision and surveillance systems have contributed substantially to preventing market abuse in commodity markets operated by the Exchanges</w:t>
      </w:r>
      <w:r>
        <w:rPr>
          <w:rFonts w:ascii="Arial" w:hAnsi="Arial" w:cs="Arial"/>
        </w:rPr>
        <w:t>.</w:t>
      </w:r>
    </w:p>
    <w:permEnd w:id="381097405"/>
    <w:p w14:paraId="6DE2BBC2" w14:textId="77777777" w:rsidR="00AB6157" w:rsidRDefault="00AB6157" w:rsidP="00AB6157">
      <w:pPr>
        <w:rPr>
          <w:rFonts w:ascii="Arial" w:hAnsi="Arial" w:cs="Arial"/>
        </w:rPr>
      </w:pPr>
      <w:r>
        <w:rPr>
          <w:rFonts w:ascii="Arial" w:hAnsi="Arial" w:cs="Arial"/>
        </w:rPr>
        <w:t>&lt;ESMA_QUESTION_PLPM_7&gt;</w:t>
      </w:r>
    </w:p>
    <w:p w14:paraId="2E49F491" w14:textId="77777777" w:rsidR="00AB6157" w:rsidRDefault="00AB6157" w:rsidP="00AB6157">
      <w:pPr>
        <w:rPr>
          <w:rFonts w:ascii="Arial" w:hAnsi="Arial" w:cs="Arial"/>
        </w:rPr>
      </w:pPr>
    </w:p>
    <w:p w14:paraId="66383883" w14:textId="77777777" w:rsidR="00AB6157" w:rsidRDefault="00AB6157" w:rsidP="00AB6157">
      <w:pPr>
        <w:pStyle w:val="Questionstyle"/>
        <w:numPr>
          <w:ilvl w:val="0"/>
          <w:numId w:val="9"/>
        </w:numPr>
        <w:spacing w:after="250" w:line="276" w:lineRule="auto"/>
      </w:pPr>
      <w:r>
        <w:t xml:space="preserve">: </w:t>
      </w:r>
      <w:r w:rsidRPr="006302EB">
        <w:t>Do you consider that position management controls adopted by commodity derivative trading venues have a role on orderly pricing and settlement conditions? If so, please elaborate, differentiating per commodity derivative trading venues or contract where appropriate.</w:t>
      </w:r>
    </w:p>
    <w:p w14:paraId="15DCF1A1" w14:textId="77777777" w:rsidR="00AB6157" w:rsidRDefault="00AB6157" w:rsidP="00AB6157">
      <w:pPr>
        <w:rPr>
          <w:rFonts w:ascii="Arial" w:hAnsi="Arial" w:cs="Arial"/>
        </w:rPr>
      </w:pPr>
      <w:r>
        <w:rPr>
          <w:rFonts w:ascii="Arial" w:hAnsi="Arial" w:cs="Arial"/>
        </w:rPr>
        <w:t>&lt;ESMA_QUESTION_PLPM_8&gt;</w:t>
      </w:r>
    </w:p>
    <w:p w14:paraId="2EACE707" w14:textId="7E775146" w:rsidR="00BE443B" w:rsidRDefault="00BE443B" w:rsidP="00BE443B">
      <w:pPr>
        <w:rPr>
          <w:rFonts w:ascii="Calibri" w:eastAsia="Calibri" w:hAnsi="Calibri"/>
          <w:sz w:val="22"/>
          <w:szCs w:val="22"/>
          <w:lang w:eastAsia="en-US"/>
        </w:rPr>
      </w:pPr>
      <w:permStart w:id="1672613830" w:edGrp="everyone"/>
      <w:r w:rsidRPr="00B03464">
        <w:rPr>
          <w:rFonts w:ascii="Calibri" w:eastAsia="Calibri" w:hAnsi="Calibri"/>
          <w:sz w:val="22"/>
          <w:szCs w:val="22"/>
          <w:lang w:eastAsia="en-US"/>
        </w:rPr>
        <w:t xml:space="preserve">As indicated in its description of position management controls </w:t>
      </w:r>
      <w:r>
        <w:rPr>
          <w:rFonts w:ascii="Calibri" w:eastAsia="Calibri" w:hAnsi="Calibri"/>
          <w:sz w:val="22"/>
          <w:szCs w:val="22"/>
          <w:lang w:eastAsia="en-US"/>
        </w:rPr>
        <w:t>published on</w:t>
      </w:r>
      <w:r w:rsidRPr="00B03464">
        <w:rPr>
          <w:rFonts w:ascii="Calibri" w:eastAsia="Calibri" w:hAnsi="Calibri"/>
          <w:sz w:val="22"/>
          <w:szCs w:val="22"/>
          <w:lang w:eastAsia="en-US"/>
        </w:rPr>
        <w:t xml:space="preserve"> ESMA</w:t>
      </w:r>
      <w:r>
        <w:rPr>
          <w:rFonts w:ascii="Calibri" w:eastAsia="Calibri" w:hAnsi="Calibri"/>
          <w:sz w:val="22"/>
          <w:szCs w:val="22"/>
          <w:lang w:eastAsia="en-US"/>
        </w:rPr>
        <w:t>’s</w:t>
      </w:r>
      <w:r w:rsidRPr="00B03464">
        <w:rPr>
          <w:rFonts w:ascii="Calibri" w:eastAsia="Calibri" w:hAnsi="Calibri"/>
          <w:sz w:val="22"/>
          <w:szCs w:val="22"/>
          <w:lang w:eastAsia="en-US"/>
        </w:rPr>
        <w:t xml:space="preserve"> web</w:t>
      </w:r>
      <w:r>
        <w:rPr>
          <w:rFonts w:ascii="Calibri" w:eastAsia="Calibri" w:hAnsi="Calibri"/>
          <w:sz w:val="22"/>
          <w:szCs w:val="22"/>
          <w:lang w:eastAsia="en-US"/>
        </w:rPr>
        <w:t>site</w:t>
      </w:r>
      <w:r w:rsidRPr="00B03464">
        <w:rPr>
          <w:rFonts w:ascii="Calibri" w:eastAsia="Calibri" w:hAnsi="Calibri"/>
          <w:sz w:val="22"/>
          <w:szCs w:val="22"/>
          <w:lang w:eastAsia="en-US"/>
        </w:rPr>
        <w:t>, ICE has operated a comprehensive position management regime, thereby ensuring compliance with its Rulebook and fulfilling requirements by the national legislation a</w:t>
      </w:r>
      <w:r w:rsidR="005311BA">
        <w:rPr>
          <w:rFonts w:ascii="Calibri" w:eastAsia="Calibri" w:hAnsi="Calibri"/>
          <w:sz w:val="22"/>
          <w:szCs w:val="22"/>
          <w:lang w:eastAsia="en-US"/>
        </w:rPr>
        <w:t xml:space="preserve">nd </w:t>
      </w:r>
      <w:r w:rsidRPr="00B03464">
        <w:rPr>
          <w:rFonts w:ascii="Calibri" w:eastAsia="Calibri" w:hAnsi="Calibri"/>
          <w:sz w:val="22"/>
          <w:szCs w:val="22"/>
          <w:lang w:eastAsia="en-US"/>
        </w:rPr>
        <w:t xml:space="preserve">CFTC requirements with regards to the so called Linked Contracts. </w:t>
      </w:r>
    </w:p>
    <w:p w14:paraId="59B9FE9B" w14:textId="77777777" w:rsidR="00BE443B" w:rsidRPr="00B03464" w:rsidRDefault="00BE443B" w:rsidP="00BE443B">
      <w:pPr>
        <w:rPr>
          <w:rFonts w:ascii="Calibri" w:eastAsia="Calibri" w:hAnsi="Calibri"/>
          <w:sz w:val="22"/>
          <w:szCs w:val="22"/>
          <w:lang w:eastAsia="en-US"/>
        </w:rPr>
      </w:pPr>
    </w:p>
    <w:p w14:paraId="582E6083" w14:textId="0CF25B86" w:rsidR="00AB6157" w:rsidRPr="00B03464" w:rsidRDefault="00C1002E" w:rsidP="00C1002E">
      <w:pPr>
        <w:rPr>
          <w:rFonts w:ascii="Calibri" w:eastAsia="Calibri" w:hAnsi="Calibri"/>
          <w:sz w:val="22"/>
          <w:szCs w:val="22"/>
          <w:lang w:eastAsia="en-US"/>
        </w:rPr>
      </w:pPr>
      <w:r w:rsidRPr="00B03464">
        <w:rPr>
          <w:rFonts w:ascii="Calibri" w:eastAsia="Calibri" w:hAnsi="Calibri"/>
          <w:sz w:val="22"/>
          <w:szCs w:val="22"/>
          <w:lang w:eastAsia="en-US"/>
        </w:rPr>
        <w:t>ICE is of the view that its pre-existing position management regime has been effective and sufficient to ensure orderly trading and settlement in commodity derivatives admitted to trading on its markets.</w:t>
      </w:r>
    </w:p>
    <w:permEnd w:id="1672613830"/>
    <w:p w14:paraId="0639762F" w14:textId="77777777" w:rsidR="00AB6157" w:rsidRDefault="00AB6157" w:rsidP="00AB6157">
      <w:pPr>
        <w:rPr>
          <w:rFonts w:ascii="Arial" w:hAnsi="Arial" w:cs="Arial"/>
        </w:rPr>
      </w:pPr>
      <w:r>
        <w:rPr>
          <w:rFonts w:ascii="Arial" w:hAnsi="Arial" w:cs="Arial"/>
        </w:rPr>
        <w:t>&lt;ESMA_QUESTION_PLPM_8&gt;</w:t>
      </w:r>
    </w:p>
    <w:p w14:paraId="65778E76" w14:textId="77777777" w:rsidR="00AB6157" w:rsidRDefault="00AB6157" w:rsidP="00AB6157">
      <w:pPr>
        <w:rPr>
          <w:rFonts w:ascii="Arial" w:hAnsi="Arial" w:cs="Arial"/>
        </w:rPr>
      </w:pPr>
    </w:p>
    <w:p w14:paraId="36A13735" w14:textId="77777777" w:rsidR="00AB6157" w:rsidRDefault="00AB6157" w:rsidP="00AB6157">
      <w:pPr>
        <w:pStyle w:val="Questionstyle"/>
        <w:numPr>
          <w:ilvl w:val="0"/>
          <w:numId w:val="9"/>
        </w:numPr>
        <w:spacing w:after="250" w:line="276" w:lineRule="auto"/>
      </w:pPr>
      <w:r>
        <w:t xml:space="preserve">: </w:t>
      </w:r>
      <w:r w:rsidRPr="006302EB">
        <w:t>If you are a commodity derivative trading venue, please explain how you have been exercising your position management controls since MiFID II application. In particular</w:t>
      </w:r>
      <w:r>
        <w:t>,</w:t>
      </w:r>
      <w:r w:rsidRPr="006302EB">
        <w:t xml:space="preserve"> how frequently did you ask further information on the size or purpose of a position, on beneficial owners or assets and liabilities in the underlying commodity under Article 57(1)(b) of MiFID II, require a person to terminate or reduce a position under Article 57(1)(c) of MiFID II, require a person to provide liquidity back into the market under Article 57(1)(d) of MiFID II or exercise any of your additional position management controls? </w:t>
      </w:r>
    </w:p>
    <w:p w14:paraId="61CFCD22" w14:textId="77777777" w:rsidR="00AB6157" w:rsidRDefault="00AB6157" w:rsidP="00AB6157">
      <w:pPr>
        <w:rPr>
          <w:rFonts w:ascii="Arial" w:hAnsi="Arial" w:cs="Arial"/>
        </w:rPr>
      </w:pPr>
      <w:r>
        <w:rPr>
          <w:rFonts w:ascii="Arial" w:hAnsi="Arial" w:cs="Arial"/>
        </w:rPr>
        <w:t>&lt;ESMA_QUESTION_PLPM_9&gt;</w:t>
      </w:r>
    </w:p>
    <w:p w14:paraId="7BFD8C3B" w14:textId="77777777" w:rsidR="00AB6157" w:rsidRDefault="00AB6157" w:rsidP="00AB6157">
      <w:pPr>
        <w:rPr>
          <w:rFonts w:ascii="Arial" w:hAnsi="Arial" w:cs="Arial"/>
        </w:rPr>
      </w:pPr>
      <w:permStart w:id="115699872" w:edGrp="everyone"/>
      <w:r>
        <w:rPr>
          <w:rFonts w:ascii="Arial" w:hAnsi="Arial" w:cs="Arial"/>
        </w:rPr>
        <w:t>TYPE YOUR TEXT HERE</w:t>
      </w:r>
    </w:p>
    <w:permEnd w:id="115699872"/>
    <w:p w14:paraId="48F9AF71" w14:textId="77777777" w:rsidR="00AB6157" w:rsidRDefault="00AB6157" w:rsidP="00AB6157">
      <w:pPr>
        <w:rPr>
          <w:rFonts w:ascii="Arial" w:hAnsi="Arial" w:cs="Arial"/>
        </w:rPr>
      </w:pPr>
      <w:r>
        <w:rPr>
          <w:rFonts w:ascii="Arial" w:hAnsi="Arial" w:cs="Arial"/>
        </w:rPr>
        <w:t>&lt;ESMA_QUESTION_PLPM_9&gt;</w:t>
      </w:r>
    </w:p>
    <w:p w14:paraId="2DCC4D35" w14:textId="77777777" w:rsidR="00AB6157" w:rsidRDefault="00AB6157" w:rsidP="00AB6157">
      <w:pPr>
        <w:rPr>
          <w:rFonts w:ascii="Arial" w:hAnsi="Arial" w:cs="Arial"/>
        </w:rPr>
      </w:pPr>
    </w:p>
    <w:p w14:paraId="11BAA4DA" w14:textId="77777777" w:rsidR="00AB6157" w:rsidRPr="00707B76" w:rsidRDefault="00AB6157" w:rsidP="00AB6157">
      <w:pPr>
        <w:pStyle w:val="Questionstyle"/>
        <w:numPr>
          <w:ilvl w:val="0"/>
          <w:numId w:val="9"/>
        </w:numPr>
        <w:spacing w:after="250" w:line="276" w:lineRule="auto"/>
      </w:pPr>
      <w:bookmarkStart w:id="4" w:name="_Hlk8204620"/>
      <w:r w:rsidRPr="00707B76">
        <w:t xml:space="preserve">: Do you have any general comment on the position limit regime and associated position reporting introduced by MiFID II? </w:t>
      </w:r>
      <w:bookmarkEnd w:id="4"/>
    </w:p>
    <w:p w14:paraId="4052F452" w14:textId="77777777" w:rsidR="00AB6157" w:rsidRPr="00707B76" w:rsidRDefault="00AB6157" w:rsidP="00AB6157">
      <w:pPr>
        <w:rPr>
          <w:rFonts w:ascii="Arial" w:hAnsi="Arial" w:cs="Arial"/>
        </w:rPr>
      </w:pPr>
      <w:r w:rsidRPr="00707B76">
        <w:rPr>
          <w:rFonts w:ascii="Arial" w:hAnsi="Arial" w:cs="Arial"/>
        </w:rPr>
        <w:t>&lt;ESMA_QUESTION_PLPM_10&gt;</w:t>
      </w:r>
    </w:p>
    <w:p w14:paraId="787F2B83" w14:textId="77777777" w:rsidR="00AB6157" w:rsidRPr="00707B76" w:rsidRDefault="00AB6157" w:rsidP="00AB6157">
      <w:pPr>
        <w:rPr>
          <w:rFonts w:ascii="Arial" w:hAnsi="Arial" w:cs="Arial"/>
        </w:rPr>
      </w:pPr>
      <w:r w:rsidRPr="00707B76">
        <w:rPr>
          <w:rFonts w:ascii="Arial" w:hAnsi="Arial" w:cs="Arial"/>
        </w:rPr>
        <w:t>&lt;ESMA_QUESTION_PLPM_10&gt;</w:t>
      </w:r>
    </w:p>
    <w:p w14:paraId="41B53D6C" w14:textId="77777777" w:rsidR="00AB6157" w:rsidRPr="00707B76" w:rsidRDefault="00AB6157" w:rsidP="00AB6157">
      <w:pPr>
        <w:rPr>
          <w:rFonts w:ascii="Arial" w:hAnsi="Arial" w:cs="Arial"/>
        </w:rPr>
      </w:pPr>
    </w:p>
    <w:p w14:paraId="61022363" w14:textId="77777777" w:rsidR="00AB6157" w:rsidRPr="00707B76" w:rsidRDefault="00AB6157" w:rsidP="00AB6157">
      <w:pPr>
        <w:pStyle w:val="Questionstyle"/>
        <w:numPr>
          <w:ilvl w:val="0"/>
          <w:numId w:val="9"/>
        </w:numPr>
        <w:spacing w:after="250" w:line="276" w:lineRule="auto"/>
      </w:pPr>
      <w:r w:rsidRPr="00707B76">
        <w:t xml:space="preserve">: In your view, how will EU commodity derivatives markets be impacted by the UK leaving the EU? What consequences do you expect from Brexit on the commodity derivatives regime under MiFID II? </w:t>
      </w:r>
    </w:p>
    <w:p w14:paraId="2A146DEC" w14:textId="77777777" w:rsidR="00AB6157" w:rsidRDefault="00AB6157" w:rsidP="00AB6157">
      <w:pPr>
        <w:rPr>
          <w:rFonts w:ascii="Arial" w:hAnsi="Arial" w:cs="Arial"/>
        </w:rPr>
      </w:pPr>
      <w:r>
        <w:rPr>
          <w:rFonts w:ascii="Arial" w:hAnsi="Arial" w:cs="Arial"/>
        </w:rPr>
        <w:t>&lt;ESMA_QUESTION_PLPM_11&gt;</w:t>
      </w:r>
    </w:p>
    <w:p w14:paraId="6CC9D238" w14:textId="77777777" w:rsidR="00AB6157" w:rsidRDefault="00AB6157" w:rsidP="00AB6157">
      <w:pPr>
        <w:rPr>
          <w:rFonts w:ascii="Arial" w:hAnsi="Arial" w:cs="Arial"/>
        </w:rPr>
      </w:pPr>
      <w:permStart w:id="857932020" w:edGrp="everyone"/>
      <w:r>
        <w:rPr>
          <w:rFonts w:ascii="Arial" w:hAnsi="Arial" w:cs="Arial"/>
        </w:rPr>
        <w:t>TYPE YOUR TEXT HERE</w:t>
      </w:r>
    </w:p>
    <w:permEnd w:id="857932020"/>
    <w:p w14:paraId="1592A63B" w14:textId="77777777" w:rsidR="00AB6157" w:rsidRDefault="00AB6157" w:rsidP="00AB6157">
      <w:pPr>
        <w:rPr>
          <w:rFonts w:ascii="Arial" w:hAnsi="Arial" w:cs="Arial"/>
        </w:rPr>
      </w:pPr>
      <w:r>
        <w:rPr>
          <w:rFonts w:ascii="Arial" w:hAnsi="Arial" w:cs="Arial"/>
        </w:rPr>
        <w:t>&lt;ESMA_QUESTION_PLPM_11&gt;</w:t>
      </w:r>
    </w:p>
    <w:p w14:paraId="35FFF0E3" w14:textId="77777777" w:rsidR="00AB6157" w:rsidRDefault="00AB6157" w:rsidP="00AB6157">
      <w:pPr>
        <w:rPr>
          <w:rFonts w:ascii="Arial" w:hAnsi="Arial" w:cs="Arial"/>
        </w:rPr>
      </w:pPr>
    </w:p>
    <w:p w14:paraId="36C90AEF" w14:textId="77777777" w:rsidR="00AB6157" w:rsidRDefault="00AB6157" w:rsidP="00AB6157">
      <w:pPr>
        <w:pStyle w:val="Questionstyle"/>
        <w:numPr>
          <w:ilvl w:val="0"/>
          <w:numId w:val="9"/>
        </w:numPr>
        <w:spacing w:after="250" w:line="276" w:lineRule="auto"/>
      </w:pPr>
      <w:r>
        <w:t xml:space="preserve">: </w:t>
      </w:r>
      <w:r w:rsidRPr="006302EB">
        <w:t>Taking into consideration the intended purposes of position limits, do you consider that they deliver the same benefit across all commodity asset classes and across all types of commodity derivatives? Please explain.</w:t>
      </w:r>
    </w:p>
    <w:p w14:paraId="59B53DD4" w14:textId="77777777" w:rsidR="00AB6157" w:rsidRDefault="00AB6157" w:rsidP="00AB6157">
      <w:pPr>
        <w:rPr>
          <w:rFonts w:ascii="Arial" w:hAnsi="Arial" w:cs="Arial"/>
        </w:rPr>
      </w:pPr>
      <w:r>
        <w:rPr>
          <w:rFonts w:ascii="Arial" w:hAnsi="Arial" w:cs="Arial"/>
        </w:rPr>
        <w:t>&lt;ESMA_QUESTION_PLPM_12&gt;</w:t>
      </w:r>
    </w:p>
    <w:p w14:paraId="1911C10A" w14:textId="20ACD5CA" w:rsidR="00AB6157" w:rsidRDefault="001650F3" w:rsidP="00934D88">
      <w:pPr>
        <w:rPr>
          <w:rFonts w:ascii="Calibri" w:eastAsia="Calibri" w:hAnsi="Calibri"/>
          <w:sz w:val="22"/>
          <w:szCs w:val="22"/>
        </w:rPr>
      </w:pPr>
      <w:permStart w:id="1586459401" w:edGrp="everyone"/>
      <w:r w:rsidRPr="00934D88">
        <w:rPr>
          <w:rFonts w:ascii="Calibri" w:eastAsia="Calibri" w:hAnsi="Calibri"/>
          <w:sz w:val="22"/>
          <w:szCs w:val="22"/>
        </w:rPr>
        <w:t xml:space="preserve">No. </w:t>
      </w:r>
      <w:r w:rsidR="00934D88" w:rsidRPr="009C21E6">
        <w:rPr>
          <w:rFonts w:ascii="Calibri" w:eastAsia="Calibri" w:hAnsi="Calibri"/>
          <w:sz w:val="22"/>
          <w:szCs w:val="22"/>
        </w:rPr>
        <w:t xml:space="preserve">The Exchanges </w:t>
      </w:r>
      <w:r w:rsidR="005311BA">
        <w:rPr>
          <w:rFonts w:ascii="Calibri" w:eastAsia="Calibri" w:hAnsi="Calibri"/>
          <w:sz w:val="22"/>
          <w:szCs w:val="22"/>
        </w:rPr>
        <w:t xml:space="preserve">are </w:t>
      </w:r>
      <w:r w:rsidR="00934D88" w:rsidRPr="009C21E6">
        <w:rPr>
          <w:rFonts w:ascii="Calibri" w:eastAsia="Calibri" w:hAnsi="Calibri"/>
          <w:sz w:val="22"/>
          <w:szCs w:val="22"/>
        </w:rPr>
        <w:t>of the view that a</w:t>
      </w:r>
      <w:r w:rsidR="005311BA">
        <w:rPr>
          <w:rFonts w:ascii="Calibri" w:eastAsia="Calibri" w:hAnsi="Calibri"/>
          <w:sz w:val="22"/>
          <w:szCs w:val="22"/>
        </w:rPr>
        <w:t xml:space="preserve">n effective and </w:t>
      </w:r>
      <w:r w:rsidR="00934D88" w:rsidRPr="009C21E6">
        <w:rPr>
          <w:rFonts w:ascii="Calibri" w:eastAsia="Calibri" w:hAnsi="Calibri"/>
          <w:sz w:val="22"/>
          <w:szCs w:val="22"/>
        </w:rPr>
        <w:t>efficient position limits regime should concentrate on a limited number of benchmark contracts</w:t>
      </w:r>
      <w:r w:rsidR="005311BA">
        <w:rPr>
          <w:rFonts w:ascii="Calibri" w:eastAsia="Calibri" w:hAnsi="Calibri"/>
          <w:sz w:val="22"/>
          <w:szCs w:val="22"/>
        </w:rPr>
        <w:t>,</w:t>
      </w:r>
      <w:r w:rsidR="00934D88">
        <w:rPr>
          <w:rFonts w:ascii="Calibri" w:eastAsia="Calibri" w:hAnsi="Calibri"/>
          <w:sz w:val="22"/>
          <w:szCs w:val="22"/>
        </w:rPr>
        <w:t xml:space="preserve"> as these are markets in which price formation takes place. ICE believes that the MiFID II position limits regime </w:t>
      </w:r>
      <w:r w:rsidR="00934D88" w:rsidRPr="00934D88">
        <w:rPr>
          <w:rFonts w:ascii="Calibri" w:eastAsia="Calibri" w:hAnsi="Calibri"/>
          <w:sz w:val="22"/>
          <w:szCs w:val="22"/>
        </w:rPr>
        <w:t>function</w:t>
      </w:r>
      <w:r w:rsidR="005311BA">
        <w:rPr>
          <w:rFonts w:ascii="Calibri" w:eastAsia="Calibri" w:hAnsi="Calibri"/>
          <w:sz w:val="22"/>
          <w:szCs w:val="22"/>
        </w:rPr>
        <w:t xml:space="preserve">s </w:t>
      </w:r>
      <w:r w:rsidR="00401E70">
        <w:rPr>
          <w:rFonts w:ascii="Calibri" w:eastAsia="Calibri" w:hAnsi="Calibri"/>
          <w:sz w:val="22"/>
          <w:szCs w:val="22"/>
        </w:rPr>
        <w:t xml:space="preserve">without creating significant market disruption in </w:t>
      </w:r>
      <w:r w:rsidR="00934D88" w:rsidRPr="00934D88">
        <w:rPr>
          <w:rFonts w:ascii="Calibri" w:eastAsia="Calibri" w:hAnsi="Calibri"/>
          <w:sz w:val="22"/>
          <w:szCs w:val="22"/>
        </w:rPr>
        <w:t xml:space="preserve"> a number of </w:t>
      </w:r>
      <w:r w:rsidR="006F3801">
        <w:rPr>
          <w:rFonts w:ascii="Calibri" w:eastAsia="Calibri" w:hAnsi="Calibri"/>
          <w:sz w:val="22"/>
          <w:szCs w:val="22"/>
        </w:rPr>
        <w:t xml:space="preserve">these </w:t>
      </w:r>
      <w:r w:rsidR="00934D88" w:rsidRPr="00934D88">
        <w:rPr>
          <w:rFonts w:ascii="Calibri" w:eastAsia="Calibri" w:hAnsi="Calibri"/>
          <w:sz w:val="22"/>
          <w:szCs w:val="22"/>
        </w:rPr>
        <w:t>well-developed benchmark contracts. These highly developed markets are characterised by a large number of different types of active trading firms and a substantial amount of open interest.</w:t>
      </w:r>
      <w:r w:rsidR="00934D88">
        <w:t xml:space="preserve"> </w:t>
      </w:r>
      <w:r w:rsidR="00934D88">
        <w:rPr>
          <w:rFonts w:ascii="Calibri" w:eastAsia="Calibri" w:hAnsi="Calibri"/>
          <w:sz w:val="22"/>
          <w:szCs w:val="22"/>
        </w:rPr>
        <w:t xml:space="preserve"> </w:t>
      </w:r>
    </w:p>
    <w:p w14:paraId="72DDDD81" w14:textId="604EA058" w:rsidR="00934D88" w:rsidRDefault="00934D88" w:rsidP="00934D88">
      <w:pPr>
        <w:rPr>
          <w:rFonts w:ascii="Calibri" w:eastAsia="Calibri" w:hAnsi="Calibri"/>
          <w:sz w:val="22"/>
          <w:szCs w:val="22"/>
        </w:rPr>
      </w:pPr>
    </w:p>
    <w:p w14:paraId="65CBF45F" w14:textId="3CBCD46B" w:rsidR="006F3801" w:rsidRPr="009C21E6" w:rsidRDefault="006F3801" w:rsidP="006F3801">
      <w:pPr>
        <w:pStyle w:val="NoSpacing"/>
        <w:spacing w:line="276" w:lineRule="auto"/>
        <w:jc w:val="both"/>
        <w:rPr>
          <w:rFonts w:ascii="Calibri" w:eastAsia="Calibri" w:hAnsi="Calibri" w:cs="Times New Roman"/>
          <w:sz w:val="22"/>
          <w:szCs w:val="22"/>
        </w:rPr>
      </w:pPr>
      <w:r>
        <w:rPr>
          <w:rFonts w:ascii="Calibri" w:eastAsia="Calibri" w:hAnsi="Calibri" w:cs="Times New Roman"/>
          <w:sz w:val="22"/>
          <w:szCs w:val="22"/>
          <w:lang w:eastAsia="en-GB"/>
        </w:rPr>
        <w:t>On the other hand,</w:t>
      </w:r>
      <w:r w:rsidR="00934D88" w:rsidRPr="00934D88">
        <w:rPr>
          <w:rFonts w:ascii="Calibri" w:eastAsia="Calibri" w:hAnsi="Calibri" w:cs="Times New Roman"/>
          <w:sz w:val="22"/>
          <w:szCs w:val="22"/>
          <w:lang w:eastAsia="en-GB"/>
        </w:rPr>
        <w:t xml:space="preserve"> </w:t>
      </w:r>
      <w:r w:rsidRPr="00934D88">
        <w:rPr>
          <w:rFonts w:ascii="Calibri" w:eastAsia="Calibri" w:hAnsi="Calibri" w:cs="Times New Roman"/>
          <w:sz w:val="22"/>
          <w:szCs w:val="22"/>
          <w:lang w:eastAsia="en-GB"/>
        </w:rPr>
        <w:t xml:space="preserve">the position limits regime has proven to be a substantial barrier </w:t>
      </w:r>
      <w:r w:rsidR="00934D88" w:rsidRPr="00934D88">
        <w:rPr>
          <w:rFonts w:ascii="Calibri" w:eastAsia="Calibri" w:hAnsi="Calibri" w:cs="Times New Roman"/>
          <w:sz w:val="22"/>
          <w:szCs w:val="22"/>
          <w:lang w:eastAsia="en-GB"/>
        </w:rPr>
        <w:t xml:space="preserve">for the development of new products and growth of the illiquid commodity derivative markets. </w:t>
      </w:r>
      <w:r>
        <w:rPr>
          <w:rFonts w:ascii="Calibri" w:eastAsia="Calibri" w:hAnsi="Calibri" w:cs="Times New Roman"/>
          <w:sz w:val="22"/>
          <w:szCs w:val="22"/>
          <w:lang w:eastAsia="en-GB"/>
        </w:rPr>
        <w:t>The market for new and f</w:t>
      </w:r>
      <w:r w:rsidR="00934D88" w:rsidRPr="00934D88">
        <w:rPr>
          <w:rFonts w:ascii="Calibri" w:eastAsia="Calibri" w:hAnsi="Calibri" w:cs="Times New Roman"/>
          <w:sz w:val="22"/>
          <w:szCs w:val="22"/>
          <w:lang w:eastAsia="en-GB"/>
        </w:rPr>
        <w:t xml:space="preserve">ast growing </w:t>
      </w:r>
      <w:r>
        <w:rPr>
          <w:rFonts w:ascii="Calibri" w:eastAsia="Calibri" w:hAnsi="Calibri" w:cs="Times New Roman"/>
          <w:sz w:val="22"/>
          <w:szCs w:val="22"/>
          <w:lang w:eastAsia="en-GB"/>
        </w:rPr>
        <w:t>illiquid commodity derivates products</w:t>
      </w:r>
      <w:r w:rsidR="00934D88" w:rsidRPr="00934D88">
        <w:rPr>
          <w:rFonts w:ascii="Calibri" w:eastAsia="Calibri" w:hAnsi="Calibri" w:cs="Times New Roman"/>
          <w:sz w:val="22"/>
          <w:szCs w:val="22"/>
          <w:lang w:eastAsia="en-GB"/>
        </w:rPr>
        <w:t xml:space="preserve"> ha</w:t>
      </w:r>
      <w:r>
        <w:rPr>
          <w:rFonts w:ascii="Calibri" w:eastAsia="Calibri" w:hAnsi="Calibri" w:cs="Times New Roman"/>
          <w:sz w:val="22"/>
          <w:szCs w:val="22"/>
          <w:lang w:eastAsia="en-GB"/>
        </w:rPr>
        <w:t>s</w:t>
      </w:r>
      <w:r w:rsidR="00934D88" w:rsidRPr="00934D88">
        <w:rPr>
          <w:rFonts w:ascii="Calibri" w:eastAsia="Calibri" w:hAnsi="Calibri" w:cs="Times New Roman"/>
          <w:sz w:val="22"/>
          <w:szCs w:val="22"/>
          <w:lang w:eastAsia="en-GB"/>
        </w:rPr>
        <w:t xml:space="preserve"> </w:t>
      </w:r>
      <w:r>
        <w:rPr>
          <w:rFonts w:ascii="Calibri" w:eastAsia="Calibri" w:hAnsi="Calibri" w:cs="Times New Roman"/>
          <w:sz w:val="22"/>
          <w:szCs w:val="22"/>
          <w:lang w:eastAsia="en-GB"/>
        </w:rPr>
        <w:t xml:space="preserve">(1) </w:t>
      </w:r>
      <w:r w:rsidR="00934D88" w:rsidRPr="00934D88">
        <w:rPr>
          <w:rFonts w:ascii="Calibri" w:eastAsia="Calibri" w:hAnsi="Calibri" w:cs="Times New Roman"/>
          <w:sz w:val="22"/>
          <w:szCs w:val="22"/>
          <w:lang w:eastAsia="en-GB"/>
        </w:rPr>
        <w:t xml:space="preserve">suffered from an increasingly restrictive limit as open interest increases and inflexible treatment in terms of their categorization under the position limits framework, </w:t>
      </w:r>
      <w:r>
        <w:rPr>
          <w:rFonts w:ascii="Calibri" w:eastAsia="Calibri" w:hAnsi="Calibri" w:cs="Times New Roman"/>
          <w:sz w:val="22"/>
          <w:szCs w:val="22"/>
          <w:lang w:eastAsia="en-GB"/>
        </w:rPr>
        <w:t xml:space="preserve">and </w:t>
      </w:r>
      <w:r w:rsidR="00934D88" w:rsidRPr="00934D88">
        <w:rPr>
          <w:rFonts w:ascii="Calibri" w:eastAsia="Calibri" w:hAnsi="Calibri" w:cs="Times New Roman"/>
          <w:sz w:val="22"/>
          <w:szCs w:val="22"/>
          <w:lang w:eastAsia="en-GB"/>
        </w:rPr>
        <w:t>(</w:t>
      </w:r>
      <w:r>
        <w:rPr>
          <w:rFonts w:ascii="Calibri" w:eastAsia="Calibri" w:hAnsi="Calibri" w:cs="Times New Roman"/>
          <w:sz w:val="22"/>
          <w:szCs w:val="22"/>
          <w:lang w:eastAsia="en-GB"/>
        </w:rPr>
        <w:t>2</w:t>
      </w:r>
      <w:r w:rsidR="00934D88" w:rsidRPr="00934D88">
        <w:rPr>
          <w:rFonts w:ascii="Calibri" w:eastAsia="Calibri" w:hAnsi="Calibri" w:cs="Times New Roman"/>
          <w:sz w:val="22"/>
          <w:szCs w:val="22"/>
          <w:lang w:eastAsia="en-GB"/>
        </w:rPr>
        <w:t xml:space="preserve">) </w:t>
      </w:r>
      <w:r>
        <w:rPr>
          <w:rFonts w:ascii="Calibri" w:eastAsia="Calibri" w:hAnsi="Calibri" w:cs="Times New Roman"/>
          <w:sz w:val="22"/>
          <w:szCs w:val="22"/>
          <w:lang w:eastAsia="en-GB"/>
        </w:rPr>
        <w:t xml:space="preserve">does not </w:t>
      </w:r>
      <w:r w:rsidR="00934D88" w:rsidRPr="00934D88">
        <w:rPr>
          <w:rFonts w:ascii="Calibri" w:eastAsia="Calibri" w:hAnsi="Calibri" w:cs="Times New Roman"/>
          <w:sz w:val="22"/>
          <w:szCs w:val="22"/>
          <w:lang w:eastAsia="en-GB"/>
        </w:rPr>
        <w:t>inaccurate</w:t>
      </w:r>
      <w:r>
        <w:rPr>
          <w:rFonts w:ascii="Calibri" w:eastAsia="Calibri" w:hAnsi="Calibri" w:cs="Times New Roman"/>
          <w:sz w:val="22"/>
          <w:szCs w:val="22"/>
          <w:lang w:eastAsia="en-GB"/>
        </w:rPr>
        <w:t>ly</w:t>
      </w:r>
      <w:r w:rsidR="00934D88" w:rsidRPr="00934D88">
        <w:rPr>
          <w:rFonts w:ascii="Calibri" w:eastAsia="Calibri" w:hAnsi="Calibri" w:cs="Times New Roman"/>
          <w:sz w:val="22"/>
          <w:szCs w:val="22"/>
          <w:lang w:eastAsia="en-GB"/>
        </w:rPr>
        <w:t xml:space="preserve"> reflect</w:t>
      </w:r>
      <w:r>
        <w:rPr>
          <w:rFonts w:ascii="Calibri" w:eastAsia="Calibri" w:hAnsi="Calibri" w:cs="Times New Roman"/>
          <w:sz w:val="22"/>
          <w:szCs w:val="22"/>
          <w:lang w:eastAsia="en-GB"/>
        </w:rPr>
        <w:t>, in many cases, the characteristics</w:t>
      </w:r>
      <w:r w:rsidR="00934D88" w:rsidRPr="00934D88">
        <w:rPr>
          <w:rFonts w:ascii="Calibri" w:eastAsia="Calibri" w:hAnsi="Calibri" w:cs="Times New Roman"/>
          <w:sz w:val="22"/>
          <w:szCs w:val="22"/>
          <w:lang w:eastAsia="en-GB"/>
        </w:rPr>
        <w:t xml:space="preserve"> of </w:t>
      </w:r>
      <w:r>
        <w:rPr>
          <w:rFonts w:ascii="Calibri" w:eastAsia="Calibri" w:hAnsi="Calibri" w:cs="Times New Roman"/>
          <w:sz w:val="22"/>
          <w:szCs w:val="22"/>
          <w:lang w:eastAsia="en-GB"/>
        </w:rPr>
        <w:t xml:space="preserve">the </w:t>
      </w:r>
      <w:r w:rsidR="00934D88" w:rsidRPr="00934D88">
        <w:rPr>
          <w:rFonts w:ascii="Calibri" w:eastAsia="Calibri" w:hAnsi="Calibri" w:cs="Times New Roman"/>
          <w:sz w:val="22"/>
          <w:szCs w:val="22"/>
          <w:lang w:eastAsia="en-GB"/>
        </w:rPr>
        <w:t>underlying physical markets.</w:t>
      </w:r>
      <w:r w:rsidRPr="006F3801">
        <w:rPr>
          <w:rFonts w:ascii="Calibri" w:eastAsia="Calibri" w:hAnsi="Calibri" w:cs="Times New Roman"/>
          <w:sz w:val="22"/>
          <w:szCs w:val="22"/>
        </w:rPr>
        <w:t xml:space="preserve"> </w:t>
      </w:r>
    </w:p>
    <w:p w14:paraId="436A2C5B" w14:textId="1FC93D68" w:rsidR="00934D88" w:rsidRPr="00934D88" w:rsidRDefault="00934D88" w:rsidP="00934D88">
      <w:pPr>
        <w:pStyle w:val="NoSpacing"/>
        <w:spacing w:line="276" w:lineRule="auto"/>
        <w:jc w:val="both"/>
      </w:pPr>
    </w:p>
    <w:permEnd w:id="1586459401"/>
    <w:p w14:paraId="592759FF" w14:textId="77777777" w:rsidR="00AB6157" w:rsidRDefault="00AB6157" w:rsidP="00AB6157">
      <w:pPr>
        <w:rPr>
          <w:rFonts w:ascii="Arial" w:hAnsi="Arial" w:cs="Arial"/>
        </w:rPr>
      </w:pPr>
      <w:r>
        <w:rPr>
          <w:rFonts w:ascii="Arial" w:hAnsi="Arial" w:cs="Arial"/>
        </w:rPr>
        <w:t>&lt;ESMA_QUESTION_PLPM_12&gt;</w:t>
      </w:r>
    </w:p>
    <w:p w14:paraId="55B482C6" w14:textId="77777777" w:rsidR="00AB6157" w:rsidRDefault="00AB6157" w:rsidP="00AB6157">
      <w:pPr>
        <w:rPr>
          <w:rFonts w:ascii="Arial" w:hAnsi="Arial" w:cs="Arial"/>
        </w:rPr>
      </w:pPr>
    </w:p>
    <w:p w14:paraId="0909B86E" w14:textId="77777777" w:rsidR="00AB6157" w:rsidRPr="00FC633A" w:rsidRDefault="00AB6157" w:rsidP="00AB6157">
      <w:pPr>
        <w:pStyle w:val="Questionstyle"/>
        <w:numPr>
          <w:ilvl w:val="0"/>
          <w:numId w:val="9"/>
        </w:numPr>
        <w:spacing w:after="250" w:line="276" w:lineRule="auto"/>
      </w:pPr>
      <w:r>
        <w:t xml:space="preserve">: </w:t>
      </w:r>
      <w:r w:rsidRPr="006302EB">
        <w:t xml:space="preserve">Would you see benefits in limiting the application of position limits to a more limited set of commodity derivatives? </w:t>
      </w:r>
      <w:r w:rsidRPr="00FC633A">
        <w:t xml:space="preserve">If so, to which ones and on which criteria? </w:t>
      </w:r>
    </w:p>
    <w:p w14:paraId="54F506E9" w14:textId="77777777" w:rsidR="00AB6157" w:rsidRDefault="00AB6157" w:rsidP="00AB6157">
      <w:pPr>
        <w:rPr>
          <w:rFonts w:ascii="Arial" w:hAnsi="Arial" w:cs="Arial"/>
        </w:rPr>
      </w:pPr>
      <w:r>
        <w:rPr>
          <w:rFonts w:ascii="Arial" w:hAnsi="Arial" w:cs="Arial"/>
        </w:rPr>
        <w:t>&lt;ESMA_QUESTION_PLPM_13&gt;</w:t>
      </w:r>
    </w:p>
    <w:p w14:paraId="00C03584" w14:textId="10F3DD0D" w:rsidR="00183585" w:rsidRDefault="00FC633A" w:rsidP="00901E4B">
      <w:pPr>
        <w:pStyle w:val="CommentText"/>
        <w:rPr>
          <w:rFonts w:ascii="Calibri" w:eastAsia="Calibri" w:hAnsi="Calibri"/>
          <w:sz w:val="22"/>
          <w:szCs w:val="22"/>
          <w:lang w:eastAsia="en-US"/>
        </w:rPr>
      </w:pPr>
      <w:permStart w:id="1189964818" w:edGrp="everyone"/>
      <w:r w:rsidRPr="00FC633A">
        <w:rPr>
          <w:rFonts w:ascii="Calibri" w:eastAsia="Calibri" w:hAnsi="Calibri"/>
          <w:sz w:val="22"/>
          <w:szCs w:val="22"/>
          <w:lang w:eastAsia="en-US"/>
        </w:rPr>
        <w:t xml:space="preserve">Yes. </w:t>
      </w:r>
      <w:r>
        <w:rPr>
          <w:rFonts w:ascii="Calibri" w:eastAsia="Calibri" w:hAnsi="Calibri"/>
          <w:sz w:val="22"/>
          <w:szCs w:val="22"/>
          <w:lang w:eastAsia="en-US"/>
        </w:rPr>
        <w:t>ICE is of the view that position limits should only be imposed on key benchmark contracts</w:t>
      </w:r>
      <w:r w:rsidR="006F3801">
        <w:rPr>
          <w:rFonts w:ascii="Calibri" w:eastAsia="Calibri" w:hAnsi="Calibri"/>
          <w:sz w:val="22"/>
          <w:szCs w:val="22"/>
          <w:lang w:eastAsia="en-US"/>
        </w:rPr>
        <w:t>,</w:t>
      </w:r>
      <w:r>
        <w:rPr>
          <w:rFonts w:ascii="Calibri" w:eastAsia="Calibri" w:hAnsi="Calibri"/>
          <w:sz w:val="22"/>
          <w:szCs w:val="22"/>
          <w:lang w:eastAsia="en-US"/>
        </w:rPr>
        <w:t xml:space="preserve"> which are crucial to </w:t>
      </w:r>
      <w:r w:rsidR="00B3059D">
        <w:rPr>
          <w:rFonts w:ascii="Calibri" w:eastAsia="Calibri" w:hAnsi="Calibri"/>
          <w:sz w:val="22"/>
          <w:szCs w:val="22"/>
          <w:lang w:eastAsia="en-US"/>
        </w:rPr>
        <w:t xml:space="preserve">the </w:t>
      </w:r>
      <w:r>
        <w:rPr>
          <w:rFonts w:ascii="Calibri" w:eastAsia="Calibri" w:hAnsi="Calibri"/>
          <w:sz w:val="22"/>
          <w:szCs w:val="22"/>
          <w:lang w:eastAsia="en-US"/>
        </w:rPr>
        <w:t>orderly functioning of the</w:t>
      </w:r>
      <w:r w:rsidR="00183585">
        <w:rPr>
          <w:rFonts w:ascii="Calibri" w:eastAsia="Calibri" w:hAnsi="Calibri"/>
          <w:sz w:val="22"/>
          <w:szCs w:val="22"/>
          <w:lang w:eastAsia="en-US"/>
        </w:rPr>
        <w:t xml:space="preserve">ir respective </w:t>
      </w:r>
      <w:r w:rsidR="006F3801">
        <w:rPr>
          <w:rFonts w:ascii="Calibri" w:eastAsia="Calibri" w:hAnsi="Calibri"/>
          <w:sz w:val="22"/>
          <w:szCs w:val="22"/>
          <w:lang w:eastAsia="en-US"/>
        </w:rPr>
        <w:t xml:space="preserve">underlying </w:t>
      </w:r>
      <w:r w:rsidR="00183585">
        <w:rPr>
          <w:rFonts w:ascii="Calibri" w:eastAsia="Calibri" w:hAnsi="Calibri"/>
          <w:sz w:val="22"/>
          <w:szCs w:val="22"/>
          <w:lang w:eastAsia="en-US"/>
        </w:rPr>
        <w:t>commodity markets</w:t>
      </w:r>
      <w:r>
        <w:rPr>
          <w:rFonts w:ascii="Calibri" w:eastAsia="Calibri" w:hAnsi="Calibri"/>
          <w:sz w:val="22"/>
          <w:szCs w:val="22"/>
          <w:lang w:eastAsia="en-US"/>
        </w:rPr>
        <w:t xml:space="preserve">. This is because price formation mainly occurs in such benchmark products. Other commodity derivatives contracts follow </w:t>
      </w:r>
      <w:r w:rsidR="004827DC">
        <w:rPr>
          <w:rFonts w:ascii="Calibri" w:eastAsia="Calibri" w:hAnsi="Calibri"/>
          <w:sz w:val="22"/>
          <w:szCs w:val="22"/>
          <w:lang w:eastAsia="en-US"/>
        </w:rPr>
        <w:t xml:space="preserve">the </w:t>
      </w:r>
      <w:r>
        <w:rPr>
          <w:rFonts w:ascii="Calibri" w:eastAsia="Calibri" w:hAnsi="Calibri"/>
          <w:sz w:val="22"/>
          <w:szCs w:val="22"/>
          <w:lang w:eastAsia="en-US"/>
        </w:rPr>
        <w:t>benchmark</w:t>
      </w:r>
      <w:r w:rsidR="004827DC">
        <w:rPr>
          <w:rFonts w:ascii="Calibri" w:eastAsia="Calibri" w:hAnsi="Calibri"/>
          <w:sz w:val="22"/>
          <w:szCs w:val="22"/>
          <w:lang w:eastAsia="en-US"/>
        </w:rPr>
        <w:t xml:space="preserve"> contracts</w:t>
      </w:r>
      <w:r>
        <w:rPr>
          <w:rFonts w:ascii="Calibri" w:eastAsia="Calibri" w:hAnsi="Calibri"/>
          <w:sz w:val="22"/>
          <w:szCs w:val="22"/>
          <w:lang w:eastAsia="en-US"/>
        </w:rPr>
        <w:t xml:space="preserve"> in terms of price formation and thus </w:t>
      </w:r>
      <w:r w:rsidR="004F0460">
        <w:rPr>
          <w:rFonts w:ascii="Calibri" w:eastAsia="Calibri" w:hAnsi="Calibri"/>
          <w:sz w:val="22"/>
          <w:szCs w:val="22"/>
          <w:lang w:eastAsia="en-US"/>
        </w:rPr>
        <w:t>do</w:t>
      </w:r>
      <w:r w:rsidR="004F0460">
        <w:rPr>
          <w:rFonts w:ascii="Calibri" w:eastAsia="Calibri" w:hAnsi="Calibri"/>
          <w:sz w:val="22"/>
          <w:szCs w:val="22"/>
          <w:lang w:eastAsia="en-US"/>
        </w:rPr>
        <w:t xml:space="preserve"> </w:t>
      </w:r>
      <w:r>
        <w:rPr>
          <w:rFonts w:ascii="Calibri" w:eastAsia="Calibri" w:hAnsi="Calibri"/>
          <w:sz w:val="22"/>
          <w:szCs w:val="22"/>
          <w:lang w:eastAsia="en-US"/>
        </w:rPr>
        <w:t xml:space="preserve">not </w:t>
      </w:r>
      <w:r w:rsidR="004F0460">
        <w:rPr>
          <w:rFonts w:ascii="Calibri" w:eastAsia="Calibri" w:hAnsi="Calibri"/>
          <w:sz w:val="22"/>
          <w:szCs w:val="22"/>
          <w:lang w:eastAsia="en-US"/>
        </w:rPr>
        <w:t xml:space="preserve">need to </w:t>
      </w:r>
      <w:r>
        <w:rPr>
          <w:rFonts w:ascii="Calibri" w:eastAsia="Calibri" w:hAnsi="Calibri"/>
          <w:sz w:val="22"/>
          <w:szCs w:val="22"/>
          <w:lang w:eastAsia="en-US"/>
        </w:rPr>
        <w:t>be subject to limits.</w:t>
      </w:r>
      <w:r w:rsidR="00B3059D">
        <w:rPr>
          <w:rFonts w:ascii="Calibri" w:eastAsia="Calibri" w:hAnsi="Calibri"/>
          <w:sz w:val="22"/>
          <w:szCs w:val="22"/>
          <w:lang w:eastAsia="en-US"/>
        </w:rPr>
        <w:t xml:space="preserve"> </w:t>
      </w:r>
      <w:r w:rsidR="00901E4B">
        <w:rPr>
          <w:rFonts w:ascii="Calibri" w:eastAsia="Calibri" w:hAnsi="Calibri"/>
          <w:sz w:val="22"/>
          <w:szCs w:val="22"/>
          <w:lang w:eastAsia="en-US"/>
        </w:rPr>
        <w:t xml:space="preserve">Also, </w:t>
      </w:r>
      <w:r w:rsidR="00901E4B" w:rsidRPr="00901E4B">
        <w:rPr>
          <w:rFonts w:ascii="Calibri" w:eastAsia="Calibri" w:hAnsi="Calibri"/>
          <w:sz w:val="22"/>
          <w:szCs w:val="22"/>
          <w:lang w:eastAsia="en-US"/>
        </w:rPr>
        <w:t xml:space="preserve">many of the basis markets trade as spreads to the benchmark </w:t>
      </w:r>
      <w:r w:rsidR="00901E4B">
        <w:rPr>
          <w:rFonts w:ascii="Calibri" w:eastAsia="Calibri" w:hAnsi="Calibri"/>
          <w:sz w:val="22"/>
          <w:szCs w:val="22"/>
          <w:lang w:eastAsia="en-US"/>
        </w:rPr>
        <w:t>contract. In such cases, position limit</w:t>
      </w:r>
      <w:r w:rsidR="00901E4B" w:rsidRPr="00901E4B">
        <w:rPr>
          <w:rFonts w:ascii="Calibri" w:eastAsia="Calibri" w:hAnsi="Calibri"/>
          <w:sz w:val="22"/>
          <w:szCs w:val="22"/>
          <w:lang w:eastAsia="en-US"/>
        </w:rPr>
        <w:t xml:space="preserve"> for basis markets </w:t>
      </w:r>
      <w:r w:rsidR="004F0460">
        <w:rPr>
          <w:rFonts w:ascii="Calibri" w:eastAsia="Calibri" w:hAnsi="Calibri"/>
          <w:sz w:val="22"/>
          <w:szCs w:val="22"/>
          <w:lang w:eastAsia="en-US"/>
        </w:rPr>
        <w:t xml:space="preserve">do not make a positive contribution to market orderliness but they do </w:t>
      </w:r>
      <w:r w:rsidR="00901E4B" w:rsidRPr="00901E4B">
        <w:rPr>
          <w:rFonts w:ascii="Calibri" w:eastAsia="Calibri" w:hAnsi="Calibri"/>
          <w:sz w:val="22"/>
          <w:szCs w:val="22"/>
          <w:lang w:eastAsia="en-US"/>
        </w:rPr>
        <w:t xml:space="preserve">potentially restrict </w:t>
      </w:r>
      <w:r w:rsidR="00901E4B">
        <w:rPr>
          <w:rFonts w:ascii="Calibri" w:eastAsia="Calibri" w:hAnsi="Calibri"/>
          <w:sz w:val="22"/>
          <w:szCs w:val="22"/>
          <w:lang w:eastAsia="en-US"/>
        </w:rPr>
        <w:t xml:space="preserve">the usage of spread strategies </w:t>
      </w:r>
      <w:r w:rsidR="00901E4B" w:rsidRPr="00901E4B">
        <w:rPr>
          <w:rFonts w:ascii="Calibri" w:eastAsia="Calibri" w:hAnsi="Calibri"/>
          <w:sz w:val="22"/>
          <w:szCs w:val="22"/>
          <w:lang w:eastAsia="en-US"/>
        </w:rPr>
        <w:t xml:space="preserve">as </w:t>
      </w:r>
      <w:r w:rsidR="00901E4B">
        <w:rPr>
          <w:rFonts w:ascii="Calibri" w:eastAsia="Calibri" w:hAnsi="Calibri"/>
          <w:sz w:val="22"/>
          <w:szCs w:val="22"/>
          <w:lang w:eastAsia="en-US"/>
        </w:rPr>
        <w:t xml:space="preserve">market participants </w:t>
      </w:r>
      <w:r w:rsidR="00901E4B" w:rsidRPr="00901E4B">
        <w:rPr>
          <w:rFonts w:ascii="Calibri" w:eastAsia="Calibri" w:hAnsi="Calibri"/>
          <w:sz w:val="22"/>
          <w:szCs w:val="22"/>
          <w:lang w:eastAsia="en-US"/>
        </w:rPr>
        <w:t xml:space="preserve">can only </w:t>
      </w:r>
      <w:r w:rsidR="00901E4B">
        <w:rPr>
          <w:rFonts w:ascii="Calibri" w:eastAsia="Calibri" w:hAnsi="Calibri"/>
          <w:sz w:val="22"/>
          <w:szCs w:val="22"/>
          <w:lang w:eastAsia="en-US"/>
        </w:rPr>
        <w:t>execute</w:t>
      </w:r>
      <w:r w:rsidR="00901E4B" w:rsidRPr="00901E4B">
        <w:rPr>
          <w:rFonts w:ascii="Calibri" w:eastAsia="Calibri" w:hAnsi="Calibri"/>
          <w:sz w:val="22"/>
          <w:szCs w:val="22"/>
          <w:lang w:eastAsia="en-US"/>
        </w:rPr>
        <w:t xml:space="preserve"> the benchmark leg</w:t>
      </w:r>
      <w:r w:rsidR="00901E4B">
        <w:rPr>
          <w:rFonts w:ascii="Calibri" w:eastAsia="Calibri" w:hAnsi="Calibri"/>
          <w:sz w:val="22"/>
          <w:szCs w:val="22"/>
          <w:lang w:eastAsia="en-US"/>
        </w:rPr>
        <w:t xml:space="preserve"> without breaching them.</w:t>
      </w:r>
    </w:p>
    <w:p w14:paraId="6D7E09B1" w14:textId="77777777" w:rsidR="0011030A" w:rsidRDefault="0011030A" w:rsidP="00901E4B">
      <w:pPr>
        <w:pStyle w:val="CommentText"/>
        <w:rPr>
          <w:rFonts w:ascii="Calibri" w:eastAsia="Calibri" w:hAnsi="Calibri"/>
          <w:sz w:val="22"/>
          <w:szCs w:val="22"/>
          <w:lang w:eastAsia="en-US"/>
        </w:rPr>
      </w:pPr>
    </w:p>
    <w:p w14:paraId="17D8EB4E" w14:textId="7C619ECC" w:rsidR="00401E70" w:rsidRPr="00901E4B" w:rsidRDefault="00401E70" w:rsidP="00901E4B">
      <w:pPr>
        <w:pStyle w:val="CommentText"/>
      </w:pPr>
      <w:r>
        <w:rPr>
          <w:rFonts w:ascii="Calibri" w:eastAsia="Calibri" w:hAnsi="Calibri"/>
          <w:sz w:val="22"/>
          <w:szCs w:val="22"/>
          <w:lang w:eastAsia="en-US"/>
        </w:rPr>
        <w:t xml:space="preserve">Furthermore, limits should rather focus on </w:t>
      </w:r>
      <w:r>
        <w:rPr>
          <w:rFonts w:ascii="Calibri" w:eastAsia="Calibri" w:hAnsi="Calibri"/>
          <w:sz w:val="22"/>
          <w:szCs w:val="22"/>
          <w:lang w:eastAsia="en-US"/>
        </w:rPr>
        <w:t>position</w:t>
      </w:r>
      <w:r>
        <w:rPr>
          <w:rFonts w:ascii="Calibri" w:eastAsia="Calibri" w:hAnsi="Calibri"/>
          <w:sz w:val="22"/>
          <w:szCs w:val="22"/>
          <w:lang w:eastAsia="en-US"/>
        </w:rPr>
        <w:t xml:space="preserve">s leading up to expiry and at expiry as this is when any potential </w:t>
      </w:r>
      <w:r w:rsidR="002D354F">
        <w:rPr>
          <w:rFonts w:ascii="Calibri" w:eastAsia="Calibri" w:hAnsi="Calibri"/>
          <w:sz w:val="22"/>
          <w:szCs w:val="22"/>
          <w:lang w:eastAsia="en-US"/>
        </w:rPr>
        <w:t xml:space="preserve">form of </w:t>
      </w:r>
      <w:r>
        <w:rPr>
          <w:rFonts w:ascii="Calibri" w:eastAsia="Calibri" w:hAnsi="Calibri"/>
          <w:sz w:val="22"/>
          <w:szCs w:val="22"/>
          <w:lang w:eastAsia="en-US"/>
        </w:rPr>
        <w:t xml:space="preserve">manipulation may realistically occur. </w:t>
      </w:r>
    </w:p>
    <w:p w14:paraId="49B828D7" w14:textId="77777777" w:rsidR="00183585" w:rsidRDefault="00183585" w:rsidP="0043109C">
      <w:pPr>
        <w:jc w:val="both"/>
        <w:rPr>
          <w:rFonts w:ascii="Calibri" w:eastAsia="Calibri" w:hAnsi="Calibri"/>
          <w:sz w:val="22"/>
          <w:szCs w:val="22"/>
          <w:lang w:eastAsia="en-US"/>
        </w:rPr>
      </w:pPr>
    </w:p>
    <w:p w14:paraId="350AB6E5" w14:textId="5C6C5E01" w:rsidR="00747D2D" w:rsidRPr="00FC633A" w:rsidRDefault="00183585" w:rsidP="00FC633A">
      <w:pPr>
        <w:jc w:val="both"/>
        <w:rPr>
          <w:rFonts w:ascii="Calibri" w:eastAsia="Calibri" w:hAnsi="Calibri"/>
          <w:sz w:val="22"/>
          <w:szCs w:val="22"/>
          <w:lang w:eastAsia="en-US"/>
        </w:rPr>
      </w:pPr>
      <w:r>
        <w:rPr>
          <w:rFonts w:ascii="Calibri" w:eastAsia="Calibri" w:hAnsi="Calibri"/>
          <w:sz w:val="22"/>
          <w:szCs w:val="22"/>
          <w:lang w:eastAsia="en-US"/>
        </w:rPr>
        <w:t>At the same time, it is important to emphasize that the Exchanges already have sophisticated systems and controls in place to achieve the policy objectives of MiFID II, i.e. ensuring orderly pricing and settlement and preventing market abuse.</w:t>
      </w:r>
    </w:p>
    <w:permEnd w:id="1189964818"/>
    <w:p w14:paraId="29582E94" w14:textId="77777777" w:rsidR="00AB6157" w:rsidRDefault="00AB6157" w:rsidP="00AB6157">
      <w:pPr>
        <w:rPr>
          <w:rFonts w:ascii="Arial" w:hAnsi="Arial" w:cs="Arial"/>
        </w:rPr>
      </w:pPr>
      <w:r>
        <w:rPr>
          <w:rFonts w:ascii="Arial" w:hAnsi="Arial" w:cs="Arial"/>
        </w:rPr>
        <w:t>&lt;ESMA_QUESTION_PLPM_13&gt;</w:t>
      </w:r>
    </w:p>
    <w:p w14:paraId="36FFAF5F" w14:textId="77777777" w:rsidR="00AB6157" w:rsidRDefault="00AB6157" w:rsidP="00AB6157">
      <w:pPr>
        <w:rPr>
          <w:rFonts w:ascii="Arial" w:hAnsi="Arial" w:cs="Arial"/>
        </w:rPr>
      </w:pPr>
    </w:p>
    <w:p w14:paraId="09F78D8E" w14:textId="77777777" w:rsidR="00AB6157" w:rsidRDefault="00AB6157" w:rsidP="00AB6157">
      <w:pPr>
        <w:pStyle w:val="Questionstyle"/>
        <w:numPr>
          <w:ilvl w:val="0"/>
          <w:numId w:val="9"/>
        </w:numPr>
        <w:spacing w:after="250" w:line="276" w:lineRule="auto"/>
      </w:pPr>
      <w:r>
        <w:t xml:space="preserve">: </w:t>
      </w:r>
      <w:r w:rsidRPr="006302EB">
        <w:t xml:space="preserve">More specifically, are you facing any issue with the application of position limits to securitised derivatives? If so, please elaborate. </w:t>
      </w:r>
    </w:p>
    <w:p w14:paraId="78FE4358" w14:textId="77777777" w:rsidR="00AB6157" w:rsidRDefault="00AB6157" w:rsidP="00AB6157">
      <w:pPr>
        <w:rPr>
          <w:rFonts w:ascii="Arial" w:hAnsi="Arial" w:cs="Arial"/>
        </w:rPr>
      </w:pPr>
      <w:r>
        <w:rPr>
          <w:rFonts w:ascii="Arial" w:hAnsi="Arial" w:cs="Arial"/>
        </w:rPr>
        <w:t>&lt;ESMA_QUESTION_PLPM_14&gt;</w:t>
      </w:r>
    </w:p>
    <w:p w14:paraId="09E79F49" w14:textId="77777777" w:rsidR="00AB6157" w:rsidRDefault="00AB6157" w:rsidP="00AB6157">
      <w:pPr>
        <w:rPr>
          <w:rFonts w:ascii="Arial" w:hAnsi="Arial" w:cs="Arial"/>
        </w:rPr>
      </w:pPr>
      <w:r>
        <w:rPr>
          <w:rFonts w:ascii="Arial" w:hAnsi="Arial" w:cs="Arial"/>
        </w:rPr>
        <w:t>&lt;ESMA_QUESTION_PLPM_14&gt;</w:t>
      </w:r>
    </w:p>
    <w:p w14:paraId="15D66905" w14:textId="77777777" w:rsidR="00AB6157" w:rsidRDefault="00AB6157" w:rsidP="00AB6157">
      <w:pPr>
        <w:rPr>
          <w:rFonts w:ascii="Arial" w:hAnsi="Arial" w:cs="Arial"/>
        </w:rPr>
      </w:pPr>
    </w:p>
    <w:p w14:paraId="5D87B2D1" w14:textId="77777777" w:rsidR="00AB6157" w:rsidRDefault="00AB6157" w:rsidP="00AB6157">
      <w:pPr>
        <w:pStyle w:val="Questionstyle"/>
        <w:numPr>
          <w:ilvl w:val="0"/>
          <w:numId w:val="9"/>
        </w:numPr>
        <w:spacing w:after="250" w:line="276" w:lineRule="auto"/>
      </w:pPr>
      <w:r>
        <w:t>: Do you consider that there would be merits in reviewing the definition of EEOTC contracts? If so, please explain the changes you would suggest.</w:t>
      </w:r>
    </w:p>
    <w:p w14:paraId="39E3D923" w14:textId="77777777" w:rsidR="00AB6157" w:rsidRDefault="00AB6157" w:rsidP="00AB6157">
      <w:pPr>
        <w:rPr>
          <w:rFonts w:ascii="Arial" w:hAnsi="Arial" w:cs="Arial"/>
        </w:rPr>
      </w:pPr>
      <w:r>
        <w:rPr>
          <w:rFonts w:ascii="Arial" w:hAnsi="Arial" w:cs="Arial"/>
        </w:rPr>
        <w:t>&lt;ESMA_QUESTION_PLPM_15&gt;</w:t>
      </w:r>
    </w:p>
    <w:p w14:paraId="750DEC0D" w14:textId="2D7DF71B" w:rsidR="00AB6157" w:rsidRPr="006A59E7" w:rsidRDefault="001650F3" w:rsidP="00AB6157">
      <w:pPr>
        <w:rPr>
          <w:rFonts w:ascii="Calibri" w:eastAsia="Calibri" w:hAnsi="Calibri"/>
          <w:sz w:val="22"/>
          <w:szCs w:val="22"/>
          <w:lang w:eastAsia="en-US"/>
        </w:rPr>
      </w:pPr>
      <w:permStart w:id="1339831077" w:edGrp="everyone"/>
      <w:r w:rsidRPr="006A59E7">
        <w:rPr>
          <w:rFonts w:ascii="Calibri" w:eastAsia="Calibri" w:hAnsi="Calibri"/>
          <w:sz w:val="22"/>
          <w:szCs w:val="22"/>
          <w:lang w:eastAsia="en-US"/>
        </w:rPr>
        <w:t xml:space="preserve">ICE is of the view that there are no grounds for review of the EEOTC contracts definition. The Exchanges believe that the key objectives of introducing that concept into MiFID II have been: (i) to prevent circumvention of its provisions by trading equivalent contracts in the OTC market, </w:t>
      </w:r>
      <w:r w:rsidR="006F3801">
        <w:rPr>
          <w:rFonts w:ascii="Calibri" w:eastAsia="Calibri" w:hAnsi="Calibri"/>
          <w:sz w:val="22"/>
          <w:szCs w:val="22"/>
          <w:lang w:eastAsia="en-US"/>
        </w:rPr>
        <w:t xml:space="preserve">and </w:t>
      </w:r>
      <w:r w:rsidRPr="006A59E7">
        <w:rPr>
          <w:rFonts w:ascii="Calibri" w:eastAsia="Calibri" w:hAnsi="Calibri"/>
          <w:sz w:val="22"/>
          <w:szCs w:val="22"/>
          <w:lang w:eastAsia="en-US"/>
        </w:rPr>
        <w:t>(ii) to allow for netting of equivalent contracts traded on venues and in the OTC markets. Both objectives have been achieved with the current definition. The mere fact that very few EEOTC contracts have been identified is not the evidence that the regime is overly restrictive. Rather, it demonstrates that indeed very few equivalent contracts exist in derivatives markets.</w:t>
      </w:r>
    </w:p>
    <w:permEnd w:id="1339831077"/>
    <w:p w14:paraId="3225B4D8" w14:textId="77777777" w:rsidR="00AB6157" w:rsidRDefault="00AB6157" w:rsidP="00AB6157">
      <w:pPr>
        <w:rPr>
          <w:rFonts w:ascii="Arial" w:hAnsi="Arial" w:cs="Arial"/>
        </w:rPr>
      </w:pPr>
      <w:r>
        <w:rPr>
          <w:rFonts w:ascii="Arial" w:hAnsi="Arial" w:cs="Arial"/>
        </w:rPr>
        <w:t>&lt;ESMA_QUESTION_PLPM_15&gt;</w:t>
      </w:r>
    </w:p>
    <w:p w14:paraId="6B97A1B3" w14:textId="77777777" w:rsidR="00AB6157" w:rsidRDefault="00AB6157" w:rsidP="00AB6157">
      <w:pPr>
        <w:rPr>
          <w:rFonts w:ascii="Arial" w:hAnsi="Arial" w:cs="Arial"/>
        </w:rPr>
      </w:pPr>
    </w:p>
    <w:p w14:paraId="33234B10" w14:textId="77777777" w:rsidR="00AB6157" w:rsidRDefault="00AB6157" w:rsidP="00AB6157">
      <w:pPr>
        <w:pStyle w:val="Questionstyle"/>
        <w:numPr>
          <w:ilvl w:val="0"/>
          <w:numId w:val="9"/>
        </w:numPr>
        <w:spacing w:after="250" w:line="276" w:lineRule="auto"/>
      </w:pPr>
      <w:r>
        <w:t xml:space="preserve">: </w:t>
      </w:r>
      <w:r w:rsidRPr="0059718E">
        <w:t>In your view, would there be a need to review the MiFID II position limit exemptions? If so, please elaborate and explain which changes would be desirable.</w:t>
      </w:r>
    </w:p>
    <w:p w14:paraId="6C03622D" w14:textId="77777777" w:rsidR="00AB6157" w:rsidRDefault="00AB6157" w:rsidP="00AB6157">
      <w:pPr>
        <w:rPr>
          <w:rFonts w:ascii="Arial" w:hAnsi="Arial" w:cs="Arial"/>
        </w:rPr>
      </w:pPr>
      <w:r>
        <w:rPr>
          <w:rFonts w:ascii="Arial" w:hAnsi="Arial" w:cs="Arial"/>
        </w:rPr>
        <w:t>&lt;ESMA_QUESTION_PLPM_16&gt;</w:t>
      </w:r>
    </w:p>
    <w:p w14:paraId="18C77319" w14:textId="4C3FE98C" w:rsidR="00FE72EF" w:rsidRDefault="00FE72EF" w:rsidP="00FE72EF">
      <w:pPr>
        <w:jc w:val="both"/>
        <w:rPr>
          <w:rFonts w:ascii="Calibri" w:eastAsia="Calibri" w:hAnsi="Calibri"/>
          <w:sz w:val="22"/>
          <w:szCs w:val="22"/>
          <w:lang w:eastAsia="en-US"/>
        </w:rPr>
      </w:pPr>
      <w:permStart w:id="660826917" w:edGrp="everyone"/>
      <w:r w:rsidRPr="00FE72EF">
        <w:rPr>
          <w:rFonts w:ascii="Calibri" w:eastAsia="Calibri" w:hAnsi="Calibri"/>
          <w:sz w:val="22"/>
          <w:szCs w:val="22"/>
          <w:lang w:eastAsia="en-US"/>
        </w:rPr>
        <w:t xml:space="preserve">Yes. </w:t>
      </w:r>
      <w:r>
        <w:rPr>
          <w:rFonts w:ascii="Calibri" w:eastAsia="Calibri" w:hAnsi="Calibri"/>
          <w:sz w:val="22"/>
          <w:szCs w:val="22"/>
          <w:lang w:eastAsia="en-US"/>
        </w:rPr>
        <w:t>Whilst</w:t>
      </w:r>
      <w:r w:rsidRPr="00FE72EF">
        <w:rPr>
          <w:rFonts w:ascii="Calibri" w:eastAsia="Calibri" w:hAnsi="Calibri"/>
          <w:sz w:val="22"/>
          <w:szCs w:val="22"/>
          <w:lang w:eastAsia="en-US"/>
        </w:rPr>
        <w:t xml:space="preserve"> the </w:t>
      </w:r>
      <w:r>
        <w:rPr>
          <w:rFonts w:ascii="Calibri" w:eastAsia="Calibri" w:hAnsi="Calibri"/>
          <w:sz w:val="22"/>
          <w:szCs w:val="22"/>
          <w:lang w:eastAsia="en-US"/>
        </w:rPr>
        <w:t>position limits regime</w:t>
      </w:r>
      <w:r w:rsidRPr="00FE72EF">
        <w:rPr>
          <w:rFonts w:ascii="Calibri" w:eastAsia="Calibri" w:hAnsi="Calibri"/>
          <w:sz w:val="22"/>
          <w:szCs w:val="22"/>
          <w:lang w:eastAsia="en-US"/>
        </w:rPr>
        <w:t xml:space="preserve"> include</w:t>
      </w:r>
      <w:r>
        <w:rPr>
          <w:rFonts w:ascii="Calibri" w:eastAsia="Calibri" w:hAnsi="Calibri"/>
          <w:sz w:val="22"/>
          <w:szCs w:val="22"/>
          <w:lang w:eastAsia="en-US"/>
        </w:rPr>
        <w:t>s</w:t>
      </w:r>
      <w:r w:rsidRPr="00FE72EF">
        <w:rPr>
          <w:rFonts w:ascii="Calibri" w:eastAsia="Calibri" w:hAnsi="Calibri"/>
          <w:sz w:val="22"/>
          <w:szCs w:val="22"/>
          <w:lang w:eastAsia="en-US"/>
        </w:rPr>
        <w:t xml:space="preserve"> exemptions for market particip</w:t>
      </w:r>
      <w:r>
        <w:rPr>
          <w:rFonts w:ascii="Calibri" w:eastAsia="Calibri" w:hAnsi="Calibri"/>
          <w:sz w:val="22"/>
          <w:szCs w:val="22"/>
          <w:lang w:eastAsia="en-US"/>
        </w:rPr>
        <w:t xml:space="preserve">ants pursuing hedging activity, </w:t>
      </w:r>
      <w:r w:rsidRPr="00FE72EF">
        <w:rPr>
          <w:rFonts w:ascii="Calibri" w:eastAsia="Calibri" w:hAnsi="Calibri"/>
          <w:sz w:val="22"/>
          <w:szCs w:val="22"/>
          <w:lang w:eastAsia="en-US"/>
        </w:rPr>
        <w:t xml:space="preserve">the MiFID II definition of </w:t>
      </w:r>
      <w:r w:rsidRPr="00FE72EF">
        <w:rPr>
          <w:rFonts w:ascii="Calibri" w:eastAsia="Calibri" w:hAnsi="Calibri"/>
          <w:i/>
          <w:sz w:val="22"/>
          <w:szCs w:val="22"/>
          <w:lang w:eastAsia="en-US"/>
        </w:rPr>
        <w:t>hedging</w:t>
      </w:r>
      <w:r w:rsidRPr="00FE72EF">
        <w:rPr>
          <w:rFonts w:ascii="Calibri" w:eastAsia="Calibri" w:hAnsi="Calibri"/>
          <w:sz w:val="22"/>
          <w:szCs w:val="22"/>
          <w:lang w:eastAsia="en-US"/>
        </w:rPr>
        <w:t xml:space="preserve"> as set out in RTS 20 is clear that only non-financial entities can engage in such activity, thereby rendering the exemption un</w:t>
      </w:r>
      <w:r w:rsidR="003D33CC">
        <w:rPr>
          <w:rFonts w:ascii="Calibri" w:eastAsia="Calibri" w:hAnsi="Calibri"/>
          <w:sz w:val="22"/>
          <w:szCs w:val="22"/>
          <w:lang w:eastAsia="en-US"/>
        </w:rPr>
        <w:t>available</w:t>
      </w:r>
      <w:r w:rsidRPr="00FE72EF">
        <w:rPr>
          <w:rFonts w:ascii="Calibri" w:eastAsia="Calibri" w:hAnsi="Calibri"/>
          <w:sz w:val="22"/>
          <w:szCs w:val="22"/>
          <w:lang w:eastAsia="en-US"/>
        </w:rPr>
        <w:t xml:space="preserve"> to investment banks or </w:t>
      </w:r>
      <w:r w:rsidR="00B203FA">
        <w:rPr>
          <w:rFonts w:ascii="Calibri" w:eastAsia="Calibri" w:hAnsi="Calibri"/>
          <w:sz w:val="22"/>
          <w:szCs w:val="22"/>
          <w:lang w:eastAsia="en-US"/>
        </w:rPr>
        <w:t xml:space="preserve">certain </w:t>
      </w:r>
      <w:r w:rsidRPr="00FE72EF">
        <w:rPr>
          <w:rFonts w:ascii="Calibri" w:eastAsia="Calibri" w:hAnsi="Calibri"/>
          <w:sz w:val="22"/>
          <w:szCs w:val="22"/>
          <w:lang w:eastAsia="en-US"/>
        </w:rPr>
        <w:t>commodity trading houses</w:t>
      </w:r>
      <w:r w:rsidR="003D33CC">
        <w:rPr>
          <w:rFonts w:ascii="Calibri" w:eastAsia="Calibri" w:hAnsi="Calibri"/>
          <w:sz w:val="22"/>
          <w:szCs w:val="22"/>
          <w:lang w:eastAsia="en-US"/>
        </w:rPr>
        <w:t>,</w:t>
      </w:r>
      <w:r w:rsidRPr="00FE72EF">
        <w:rPr>
          <w:rFonts w:ascii="Calibri" w:eastAsia="Calibri" w:hAnsi="Calibri"/>
          <w:sz w:val="22"/>
          <w:szCs w:val="22"/>
          <w:lang w:eastAsia="en-US"/>
        </w:rPr>
        <w:t xml:space="preserve"> which both play a vital role in providing smaller commercial players with access to commodity derivatives markets.</w:t>
      </w:r>
    </w:p>
    <w:p w14:paraId="0F1E1DB6" w14:textId="77777777" w:rsidR="00FE72EF" w:rsidRPr="00FE72EF" w:rsidRDefault="00FE72EF" w:rsidP="00FE72EF">
      <w:pPr>
        <w:jc w:val="both"/>
        <w:rPr>
          <w:rFonts w:ascii="Calibri" w:eastAsia="Calibri" w:hAnsi="Calibri"/>
          <w:sz w:val="22"/>
          <w:szCs w:val="22"/>
          <w:lang w:eastAsia="en-US"/>
        </w:rPr>
      </w:pPr>
    </w:p>
    <w:p w14:paraId="36974506" w14:textId="7BF036B1" w:rsidR="00FE72EF" w:rsidRPr="00FE72EF" w:rsidRDefault="00FE72EF" w:rsidP="00FE72EF">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For that reason</w:t>
      </w:r>
      <w:r w:rsidRPr="00FE72EF">
        <w:rPr>
          <w:rFonts w:ascii="Calibri" w:eastAsia="Calibri" w:hAnsi="Calibri"/>
          <w:sz w:val="22"/>
          <w:szCs w:val="22"/>
          <w:lang w:eastAsia="en-US"/>
        </w:rPr>
        <w:t xml:space="preserve">, the hedging exemption cannot be considered a universal solution to inappropriately designed position limits. </w:t>
      </w:r>
    </w:p>
    <w:p w14:paraId="643FC0D5" w14:textId="77777777" w:rsidR="00FE72EF" w:rsidRPr="00FE72EF" w:rsidRDefault="00FE72EF" w:rsidP="00FE72EF">
      <w:pPr>
        <w:spacing w:after="200" w:line="276" w:lineRule="auto"/>
        <w:jc w:val="both"/>
        <w:rPr>
          <w:rFonts w:ascii="Calibri" w:eastAsia="Calibri" w:hAnsi="Calibri"/>
          <w:sz w:val="22"/>
          <w:szCs w:val="22"/>
          <w:lang w:eastAsia="en-US"/>
        </w:rPr>
      </w:pPr>
      <w:r w:rsidRPr="00FE72EF">
        <w:rPr>
          <w:rFonts w:ascii="Calibri" w:eastAsia="Calibri" w:hAnsi="Calibri"/>
          <w:sz w:val="22"/>
          <w:szCs w:val="22"/>
          <w:lang w:eastAsia="en-US"/>
        </w:rPr>
        <w:t xml:space="preserve">An example of such situation is the so called </w:t>
      </w:r>
      <w:r w:rsidRPr="00FE72EF">
        <w:rPr>
          <w:rFonts w:ascii="Calibri" w:eastAsia="Calibri" w:hAnsi="Calibri"/>
          <w:i/>
          <w:sz w:val="22"/>
          <w:szCs w:val="22"/>
          <w:lang w:eastAsia="en-US"/>
        </w:rPr>
        <w:t>Refining Margin Hedge</w:t>
      </w:r>
      <w:r w:rsidRPr="00FE72EF">
        <w:rPr>
          <w:rFonts w:ascii="Calibri" w:eastAsia="Calibri" w:hAnsi="Calibri"/>
          <w:sz w:val="22"/>
          <w:szCs w:val="22"/>
          <w:lang w:eastAsia="en-US"/>
        </w:rPr>
        <w:t xml:space="preserve"> often used in oil markets, whereby an investment bank agrees with its client, a refiner, on a single price of a basket comprising various refined products. Once the refiner agrees the single price for the basket, the bank executes the offsetting trades in the futures market on its own account.</w:t>
      </w:r>
    </w:p>
    <w:p w14:paraId="58DA4F7C" w14:textId="7E3E5FA4" w:rsidR="00AB6157" w:rsidRDefault="00FE72EF" w:rsidP="00AB6157">
      <w:pPr>
        <w:rPr>
          <w:rFonts w:ascii="Arial" w:hAnsi="Arial" w:cs="Arial"/>
        </w:rPr>
      </w:pPr>
      <w:r>
        <w:rPr>
          <w:noProof/>
        </w:rPr>
        <w:drawing>
          <wp:inline distT="0" distB="0" distL="0" distR="0" wp14:anchorId="37BD5DBA" wp14:editId="76C17944">
            <wp:extent cx="5143500" cy="36784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157620" cy="3688580"/>
                    </a:xfrm>
                    <a:prstGeom prst="rect">
                      <a:avLst/>
                    </a:prstGeom>
                  </pic:spPr>
                </pic:pic>
              </a:graphicData>
            </a:graphic>
          </wp:inline>
        </w:drawing>
      </w:r>
    </w:p>
    <w:p w14:paraId="39E80818" w14:textId="383E8635" w:rsidR="00FE72EF" w:rsidRDefault="00FE72EF" w:rsidP="0011030A">
      <w:pPr>
        <w:jc w:val="both"/>
        <w:rPr>
          <w:rFonts w:ascii="Calibri" w:eastAsia="Calibri" w:hAnsi="Calibri"/>
          <w:sz w:val="22"/>
          <w:szCs w:val="22"/>
          <w:lang w:eastAsia="en-US"/>
        </w:rPr>
      </w:pPr>
      <w:r w:rsidRPr="00FE72EF">
        <w:rPr>
          <w:rFonts w:ascii="Calibri" w:eastAsia="Calibri" w:hAnsi="Calibri"/>
          <w:sz w:val="22"/>
          <w:szCs w:val="22"/>
          <w:lang w:eastAsia="en-US"/>
        </w:rPr>
        <w:t>Even though within the context of such transaction the bank clearly performs a hedging activity, it would not be able to make use of the exemption envisaged under MiFIR Article 8 or MiFID Article 57.</w:t>
      </w:r>
      <w:r w:rsidR="0011030A">
        <w:rPr>
          <w:rFonts w:ascii="Calibri" w:eastAsia="Calibri" w:hAnsi="Calibri"/>
          <w:sz w:val="22"/>
          <w:szCs w:val="22"/>
          <w:lang w:eastAsia="en-US"/>
        </w:rPr>
        <w:t xml:space="preserve"> </w:t>
      </w:r>
      <w:r w:rsidR="0011030A">
        <w:rPr>
          <w:rFonts w:ascii="Calibri" w:eastAsia="Calibri" w:hAnsi="Calibri"/>
          <w:sz w:val="22"/>
          <w:szCs w:val="22"/>
          <w:lang w:eastAsia="en-US"/>
        </w:rPr>
        <w:t>If</w:t>
      </w:r>
      <w:r w:rsidR="002D354F">
        <w:rPr>
          <w:rFonts w:ascii="Calibri" w:eastAsia="Calibri" w:hAnsi="Calibri"/>
          <w:sz w:val="22"/>
          <w:szCs w:val="22"/>
          <w:lang w:eastAsia="en-US"/>
        </w:rPr>
        <w:t xml:space="preserve"> the above</w:t>
      </w:r>
      <w:r w:rsidR="0011030A">
        <w:rPr>
          <w:rFonts w:ascii="Calibri" w:eastAsia="Calibri" w:hAnsi="Calibri"/>
          <w:sz w:val="22"/>
          <w:szCs w:val="22"/>
          <w:lang w:eastAsia="en-US"/>
        </w:rPr>
        <w:t xml:space="preserve"> bank wanted to serve the needs of all or most of its clients in the oil market, it would find itself in breach of position limits.</w:t>
      </w:r>
    </w:p>
    <w:p w14:paraId="1C19369B" w14:textId="795FC610" w:rsidR="00837276" w:rsidRDefault="00837276" w:rsidP="00FE72EF">
      <w:pPr>
        <w:jc w:val="both"/>
        <w:rPr>
          <w:rFonts w:ascii="Calibri" w:eastAsia="Calibri" w:hAnsi="Calibri"/>
          <w:sz w:val="22"/>
          <w:szCs w:val="22"/>
          <w:lang w:eastAsia="en-US"/>
        </w:rPr>
      </w:pPr>
    </w:p>
    <w:p w14:paraId="52966A29" w14:textId="2EBB2364" w:rsidR="00837276" w:rsidRDefault="00837276" w:rsidP="00837276">
      <w:pPr>
        <w:jc w:val="both"/>
        <w:rPr>
          <w:rFonts w:ascii="Calibri" w:eastAsia="Calibri" w:hAnsi="Calibri"/>
          <w:sz w:val="22"/>
          <w:szCs w:val="22"/>
          <w:lang w:eastAsia="en-US"/>
        </w:rPr>
      </w:pPr>
      <w:r w:rsidRPr="00837276">
        <w:rPr>
          <w:rFonts w:ascii="Calibri" w:eastAsia="Calibri" w:hAnsi="Calibri"/>
          <w:sz w:val="22"/>
          <w:szCs w:val="22"/>
          <w:lang w:eastAsia="en-US"/>
        </w:rPr>
        <w:t xml:space="preserve">ICE has extensive experience with operating a position management system based on hedging exemptions. Under its regime, it can grant such exemptions to any market participant, regardless of their legal status, provided that the hedging intention is adequately documented and demonstrated. This ensures that the genuine hedging activity is not restricted and allows commodity market participants to manage their risks efficiently. </w:t>
      </w:r>
    </w:p>
    <w:p w14:paraId="5C498BE4" w14:textId="77777777" w:rsidR="00837276" w:rsidRPr="00837276" w:rsidRDefault="00837276" w:rsidP="00837276">
      <w:pPr>
        <w:jc w:val="both"/>
        <w:rPr>
          <w:rFonts w:ascii="Calibri" w:eastAsia="Calibri" w:hAnsi="Calibri"/>
          <w:sz w:val="22"/>
          <w:szCs w:val="22"/>
          <w:lang w:eastAsia="en-US"/>
        </w:rPr>
      </w:pPr>
    </w:p>
    <w:p w14:paraId="18656F9A" w14:textId="77777777" w:rsidR="00837276" w:rsidRDefault="00837276" w:rsidP="00837276">
      <w:pPr>
        <w:jc w:val="both"/>
        <w:rPr>
          <w:rFonts w:ascii="Calibri" w:eastAsia="Calibri" w:hAnsi="Calibri"/>
          <w:sz w:val="22"/>
          <w:szCs w:val="22"/>
          <w:lang w:eastAsia="en-US"/>
        </w:rPr>
      </w:pPr>
      <w:r w:rsidRPr="00837276">
        <w:rPr>
          <w:rFonts w:ascii="Calibri" w:eastAsia="Calibri" w:hAnsi="Calibri"/>
          <w:sz w:val="22"/>
          <w:szCs w:val="22"/>
          <w:lang w:eastAsia="en-US"/>
        </w:rPr>
        <w:t xml:space="preserve">The Exchanges propose that an analogous regime is introduced within the context of MiFID II/MiFIR package. </w:t>
      </w:r>
    </w:p>
    <w:permEnd w:id="660826917"/>
    <w:p w14:paraId="4A281AB1" w14:textId="0F3C53BF" w:rsidR="00AB6157" w:rsidRPr="00837276" w:rsidRDefault="00AB6157" w:rsidP="00837276">
      <w:pPr>
        <w:jc w:val="both"/>
        <w:rPr>
          <w:rFonts w:ascii="Calibri" w:eastAsia="Calibri" w:hAnsi="Calibri"/>
          <w:sz w:val="22"/>
          <w:szCs w:val="22"/>
          <w:lang w:eastAsia="en-US"/>
        </w:rPr>
      </w:pPr>
      <w:r>
        <w:rPr>
          <w:rFonts w:ascii="Arial" w:hAnsi="Arial" w:cs="Arial"/>
        </w:rPr>
        <w:t>&lt;ESMA_QUESTION_PLPM_16&gt;</w:t>
      </w:r>
    </w:p>
    <w:p w14:paraId="7F94DF8C" w14:textId="77777777" w:rsidR="00AB6157" w:rsidRDefault="00AB6157" w:rsidP="00AB6157">
      <w:pPr>
        <w:rPr>
          <w:rFonts w:ascii="Arial" w:hAnsi="Arial" w:cs="Arial"/>
        </w:rPr>
      </w:pPr>
    </w:p>
    <w:p w14:paraId="0D51099B" w14:textId="77777777" w:rsidR="00AB6157" w:rsidRDefault="00AB6157" w:rsidP="00AB6157">
      <w:pPr>
        <w:pStyle w:val="Questionstyle"/>
        <w:numPr>
          <w:ilvl w:val="0"/>
          <w:numId w:val="9"/>
        </w:numPr>
        <w:spacing w:after="250" w:line="276" w:lineRule="auto"/>
      </w:pPr>
      <w:bookmarkStart w:id="5" w:name="_Hlk8205050"/>
      <w:r>
        <w:t>: Would you</w:t>
      </w:r>
      <w:r w:rsidRPr="00503AC3">
        <w:t xml:space="preserve"> </w:t>
      </w:r>
      <w:r>
        <w:t xml:space="preserve">see merits in the approach </w:t>
      </w:r>
      <w:r w:rsidRPr="00503AC3">
        <w:t>described above</w:t>
      </w:r>
      <w:r>
        <w:t xml:space="preserve"> and the additional flexibility provided to CAs for setting the spot month limit in cash settled contracts? Please explain</w:t>
      </w:r>
      <w:r w:rsidRPr="00503AC3">
        <w:t>.</w:t>
      </w:r>
      <w:bookmarkEnd w:id="5"/>
    </w:p>
    <w:p w14:paraId="78EA29A4" w14:textId="77777777" w:rsidR="00AB6157" w:rsidRDefault="00AB6157" w:rsidP="00AB6157">
      <w:pPr>
        <w:rPr>
          <w:rFonts w:ascii="Arial" w:hAnsi="Arial" w:cs="Arial"/>
        </w:rPr>
      </w:pPr>
      <w:r>
        <w:rPr>
          <w:rFonts w:ascii="Arial" w:hAnsi="Arial" w:cs="Arial"/>
        </w:rPr>
        <w:t>&lt;ESMA_QUESTION_PLPM_17&gt;</w:t>
      </w:r>
    </w:p>
    <w:p w14:paraId="6B346053" w14:textId="5DB60C1F" w:rsidR="000D48DB" w:rsidRPr="006A59E7" w:rsidRDefault="0011030A" w:rsidP="00AB6157">
      <w:pPr>
        <w:rPr>
          <w:rFonts w:ascii="Calibri" w:eastAsia="Calibri" w:hAnsi="Calibri"/>
          <w:sz w:val="22"/>
          <w:szCs w:val="22"/>
          <w:lang w:eastAsia="en-US"/>
        </w:rPr>
      </w:pPr>
      <w:permStart w:id="2134387464" w:edGrp="everyone"/>
      <w:r>
        <w:rPr>
          <w:rFonts w:ascii="Calibri" w:eastAsia="Calibri" w:hAnsi="Calibri"/>
          <w:sz w:val="22"/>
          <w:szCs w:val="22"/>
          <w:lang w:eastAsia="en-US"/>
        </w:rPr>
        <w:t xml:space="preserve"> </w:t>
      </w:r>
      <w:r w:rsidR="000D48DB" w:rsidRPr="006A59E7">
        <w:rPr>
          <w:rFonts w:ascii="Calibri" w:eastAsia="Calibri" w:hAnsi="Calibri"/>
          <w:sz w:val="22"/>
          <w:szCs w:val="22"/>
          <w:lang w:eastAsia="en-US"/>
        </w:rPr>
        <w:t xml:space="preserve">ICE agrees that NCAs should have </w:t>
      </w:r>
      <w:r w:rsidR="00407DCE">
        <w:rPr>
          <w:rFonts w:ascii="Calibri" w:eastAsia="Calibri" w:hAnsi="Calibri"/>
          <w:sz w:val="22"/>
          <w:szCs w:val="22"/>
          <w:lang w:eastAsia="en-US"/>
        </w:rPr>
        <w:t>greater flexibility in setting position limits for cash settled contracts including taking into account other relevant factors</w:t>
      </w:r>
      <w:r>
        <w:rPr>
          <w:rFonts w:ascii="Calibri" w:eastAsia="Calibri" w:hAnsi="Calibri"/>
          <w:sz w:val="22"/>
          <w:szCs w:val="22"/>
          <w:lang w:eastAsia="en-US"/>
        </w:rPr>
        <w:t xml:space="preserve"> beyond the current exhaustive list</w:t>
      </w:r>
      <w:r w:rsidR="002D354F">
        <w:rPr>
          <w:rFonts w:ascii="Calibri" w:eastAsia="Calibri" w:hAnsi="Calibri"/>
          <w:sz w:val="22"/>
          <w:szCs w:val="22"/>
          <w:lang w:eastAsia="en-US"/>
        </w:rPr>
        <w:t xml:space="preserve"> in RTS 21</w:t>
      </w:r>
      <w:r>
        <w:rPr>
          <w:rFonts w:ascii="Calibri" w:eastAsia="Calibri" w:hAnsi="Calibri"/>
          <w:sz w:val="22"/>
          <w:szCs w:val="22"/>
          <w:lang w:eastAsia="en-US"/>
        </w:rPr>
        <w:t>.</w:t>
      </w:r>
      <w:r w:rsidR="00407DCE">
        <w:rPr>
          <w:rFonts w:ascii="Calibri" w:eastAsia="Calibri" w:hAnsi="Calibri"/>
          <w:sz w:val="22"/>
          <w:szCs w:val="22"/>
          <w:lang w:eastAsia="en-US"/>
        </w:rPr>
        <w:t xml:space="preserve"> </w:t>
      </w:r>
      <w:r>
        <w:rPr>
          <w:rFonts w:ascii="Calibri" w:eastAsia="Calibri" w:hAnsi="Calibri"/>
          <w:sz w:val="22"/>
          <w:szCs w:val="22"/>
          <w:lang w:eastAsia="en-US"/>
        </w:rPr>
        <w:t xml:space="preserve">These should </w:t>
      </w:r>
      <w:r w:rsidR="002D354F">
        <w:rPr>
          <w:rFonts w:ascii="Calibri" w:eastAsia="Calibri" w:hAnsi="Calibri"/>
          <w:sz w:val="22"/>
          <w:szCs w:val="22"/>
          <w:lang w:eastAsia="en-US"/>
        </w:rPr>
        <w:t>take into account</w:t>
      </w:r>
      <w:r>
        <w:rPr>
          <w:rFonts w:ascii="Calibri" w:eastAsia="Calibri" w:hAnsi="Calibri"/>
          <w:sz w:val="22"/>
          <w:szCs w:val="22"/>
          <w:lang w:eastAsia="en-US"/>
        </w:rPr>
        <w:t xml:space="preserve"> </w:t>
      </w:r>
      <w:r w:rsidR="00407DCE">
        <w:rPr>
          <w:rFonts w:ascii="Calibri" w:eastAsia="Calibri" w:hAnsi="Calibri"/>
          <w:sz w:val="22"/>
          <w:szCs w:val="22"/>
          <w:lang w:eastAsia="en-US"/>
        </w:rPr>
        <w:t xml:space="preserve">whether the cash settled contract is itself key to the price formation process of the underlying or not and </w:t>
      </w:r>
      <w:r>
        <w:rPr>
          <w:rFonts w:ascii="Calibri" w:eastAsia="Calibri" w:hAnsi="Calibri"/>
          <w:sz w:val="22"/>
          <w:szCs w:val="22"/>
          <w:lang w:eastAsia="en-US"/>
        </w:rPr>
        <w:t>the volume of</w:t>
      </w:r>
      <w:r w:rsidR="000D48DB" w:rsidRPr="006A59E7">
        <w:rPr>
          <w:rFonts w:ascii="Calibri" w:eastAsia="Calibri" w:hAnsi="Calibri"/>
          <w:sz w:val="22"/>
          <w:szCs w:val="22"/>
          <w:lang w:eastAsia="en-US"/>
        </w:rPr>
        <w:t xml:space="preserve">open interest for both spot and other months. </w:t>
      </w:r>
      <w:r w:rsidR="003D33CC">
        <w:rPr>
          <w:rFonts w:ascii="Calibri" w:eastAsia="Calibri" w:hAnsi="Calibri"/>
          <w:sz w:val="22"/>
          <w:szCs w:val="22"/>
          <w:lang w:eastAsia="en-US"/>
        </w:rPr>
        <w:t xml:space="preserve"> In some cases, s</w:t>
      </w:r>
      <w:r w:rsidR="000D48DB" w:rsidRPr="006A59E7">
        <w:rPr>
          <w:rFonts w:ascii="Calibri" w:eastAsia="Calibri" w:hAnsi="Calibri"/>
          <w:sz w:val="22"/>
          <w:szCs w:val="22"/>
          <w:lang w:eastAsia="en-US"/>
        </w:rPr>
        <w:t>uch a</w:t>
      </w:r>
      <w:r w:rsidR="003D33CC">
        <w:rPr>
          <w:rFonts w:ascii="Calibri" w:eastAsia="Calibri" w:hAnsi="Calibri"/>
          <w:sz w:val="22"/>
          <w:szCs w:val="22"/>
          <w:lang w:eastAsia="en-US"/>
        </w:rPr>
        <w:t>n approach</w:t>
      </w:r>
      <w:r w:rsidR="000D48DB" w:rsidRPr="006A59E7">
        <w:rPr>
          <w:rFonts w:ascii="Calibri" w:eastAsia="Calibri" w:hAnsi="Calibri"/>
          <w:sz w:val="22"/>
          <w:szCs w:val="22"/>
          <w:lang w:eastAsia="en-US"/>
        </w:rPr>
        <w:t xml:space="preserve"> would prevent negative</w:t>
      </w:r>
      <w:r w:rsidR="003D33CC">
        <w:rPr>
          <w:rFonts w:ascii="Calibri" w:eastAsia="Calibri" w:hAnsi="Calibri"/>
          <w:sz w:val="22"/>
          <w:szCs w:val="22"/>
          <w:lang w:eastAsia="en-US"/>
        </w:rPr>
        <w:t>,</w:t>
      </w:r>
      <w:r w:rsidR="000D48DB" w:rsidRPr="006A59E7">
        <w:rPr>
          <w:rFonts w:ascii="Calibri" w:eastAsia="Calibri" w:hAnsi="Calibri"/>
          <w:sz w:val="22"/>
          <w:szCs w:val="22"/>
          <w:lang w:eastAsia="en-US"/>
        </w:rPr>
        <w:t xml:space="preserve"> unintended consequences of the postion limits regime for commodity derivative contracts </w:t>
      </w:r>
      <w:r w:rsidR="003D33CC">
        <w:rPr>
          <w:rFonts w:ascii="Calibri" w:eastAsia="Calibri" w:hAnsi="Calibri"/>
          <w:sz w:val="22"/>
          <w:szCs w:val="22"/>
          <w:lang w:eastAsia="en-US"/>
        </w:rPr>
        <w:t>that</w:t>
      </w:r>
      <w:r w:rsidR="000D48DB" w:rsidRPr="006A59E7">
        <w:rPr>
          <w:rFonts w:ascii="Calibri" w:eastAsia="Calibri" w:hAnsi="Calibri"/>
          <w:sz w:val="22"/>
          <w:szCs w:val="22"/>
          <w:lang w:eastAsia="en-US"/>
        </w:rPr>
        <w:t xml:space="preserve"> serve as pricing benchmarks and risk-management proxies in the absence of direct hedging instruments. An example of such contract is the ICE Brent Crude Oil Futu</w:t>
      </w:r>
      <w:r w:rsidR="00931DC9">
        <w:rPr>
          <w:rFonts w:ascii="Calibri" w:eastAsia="Calibri" w:hAnsi="Calibri"/>
          <w:sz w:val="22"/>
          <w:szCs w:val="22"/>
          <w:lang w:eastAsia="en-US"/>
        </w:rPr>
        <w:t>r</w:t>
      </w:r>
      <w:r w:rsidR="000D48DB" w:rsidRPr="006A59E7">
        <w:rPr>
          <w:rFonts w:ascii="Calibri" w:eastAsia="Calibri" w:hAnsi="Calibri"/>
          <w:sz w:val="22"/>
          <w:szCs w:val="22"/>
          <w:lang w:eastAsia="en-US"/>
        </w:rPr>
        <w:t>es</w:t>
      </w:r>
      <w:r w:rsidR="003D33CC">
        <w:rPr>
          <w:rFonts w:ascii="Calibri" w:eastAsia="Calibri" w:hAnsi="Calibri"/>
          <w:sz w:val="22"/>
          <w:szCs w:val="22"/>
          <w:lang w:eastAsia="en-US"/>
        </w:rPr>
        <w:t>,</w:t>
      </w:r>
      <w:r w:rsidR="000D48DB" w:rsidRPr="006A59E7">
        <w:rPr>
          <w:rFonts w:ascii="Calibri" w:eastAsia="Calibri" w:hAnsi="Calibri"/>
          <w:sz w:val="22"/>
          <w:szCs w:val="22"/>
          <w:lang w:eastAsia="en-US"/>
        </w:rPr>
        <w:t xml:space="preserve"> which allow market participants to hedge exposures in other oil grades </w:t>
      </w:r>
      <w:r w:rsidR="00A86BB2">
        <w:rPr>
          <w:rFonts w:ascii="Calibri" w:eastAsia="Calibri" w:hAnsi="Calibri"/>
          <w:sz w:val="22"/>
          <w:szCs w:val="22"/>
          <w:lang w:eastAsia="en-US"/>
        </w:rPr>
        <w:t xml:space="preserve">as well as a number of gas markets </w:t>
      </w:r>
      <w:r w:rsidR="003D33CC">
        <w:rPr>
          <w:rFonts w:ascii="Calibri" w:eastAsia="Calibri" w:hAnsi="Calibri"/>
          <w:sz w:val="22"/>
          <w:szCs w:val="22"/>
          <w:lang w:eastAsia="en-US"/>
        </w:rPr>
        <w:t>through</w:t>
      </w:r>
      <w:r w:rsidR="000D48DB" w:rsidRPr="006A59E7">
        <w:rPr>
          <w:rFonts w:ascii="Calibri" w:eastAsia="Calibri" w:hAnsi="Calibri"/>
          <w:sz w:val="22"/>
          <w:szCs w:val="22"/>
          <w:lang w:eastAsia="en-US"/>
        </w:rPr>
        <w:t xml:space="preserve"> a very liquid and efficient market. </w:t>
      </w:r>
      <w:r w:rsidR="00901E4B">
        <w:rPr>
          <w:rFonts w:ascii="Calibri" w:eastAsia="Calibri" w:hAnsi="Calibri"/>
          <w:sz w:val="22"/>
          <w:szCs w:val="22"/>
          <w:lang w:eastAsia="en-US"/>
        </w:rPr>
        <w:t xml:space="preserve">Another example </w:t>
      </w:r>
      <w:r w:rsidR="003D33CC">
        <w:rPr>
          <w:rFonts w:ascii="Calibri" w:eastAsia="Calibri" w:hAnsi="Calibri"/>
          <w:sz w:val="22"/>
          <w:szCs w:val="22"/>
          <w:lang w:eastAsia="en-US"/>
        </w:rPr>
        <w:t>is</w:t>
      </w:r>
      <w:r w:rsidR="00901E4B">
        <w:rPr>
          <w:rFonts w:ascii="Calibri" w:eastAsia="Calibri" w:hAnsi="Calibri"/>
          <w:sz w:val="22"/>
          <w:szCs w:val="22"/>
          <w:lang w:eastAsia="en-US"/>
        </w:rPr>
        <w:t xml:space="preserve"> the ICE Endex TTF Natural Gas Futures contract</w:t>
      </w:r>
      <w:r w:rsidR="003D33CC">
        <w:rPr>
          <w:rFonts w:ascii="Calibri" w:eastAsia="Calibri" w:hAnsi="Calibri"/>
          <w:sz w:val="22"/>
          <w:szCs w:val="22"/>
          <w:lang w:eastAsia="en-US"/>
        </w:rPr>
        <w:t>,</w:t>
      </w:r>
      <w:r w:rsidR="00901E4B">
        <w:rPr>
          <w:rFonts w:ascii="Calibri" w:eastAsia="Calibri" w:hAnsi="Calibri"/>
          <w:sz w:val="22"/>
          <w:szCs w:val="22"/>
          <w:lang w:eastAsia="en-US"/>
        </w:rPr>
        <w:t xml:space="preserve"> which is a proxy for managing risks related to trades in </w:t>
      </w:r>
      <w:r w:rsidR="003D33CC">
        <w:rPr>
          <w:rFonts w:ascii="Calibri" w:eastAsia="Calibri" w:hAnsi="Calibri"/>
          <w:sz w:val="22"/>
          <w:szCs w:val="22"/>
          <w:lang w:eastAsia="en-US"/>
        </w:rPr>
        <w:t xml:space="preserve">the </w:t>
      </w:r>
      <w:r w:rsidR="00901E4B">
        <w:rPr>
          <w:rFonts w:ascii="Calibri" w:eastAsia="Calibri" w:hAnsi="Calibri"/>
          <w:sz w:val="22"/>
          <w:szCs w:val="22"/>
          <w:lang w:eastAsia="en-US"/>
        </w:rPr>
        <w:t xml:space="preserve">LNG market. The importance of the </w:t>
      </w:r>
      <w:r w:rsidR="003D33CC">
        <w:rPr>
          <w:rFonts w:ascii="Calibri" w:eastAsia="Calibri" w:hAnsi="Calibri"/>
          <w:sz w:val="22"/>
          <w:szCs w:val="22"/>
          <w:lang w:eastAsia="en-US"/>
        </w:rPr>
        <w:t>TTF Natural Gas Futures contract</w:t>
      </w:r>
      <w:r w:rsidR="00901E4B">
        <w:rPr>
          <w:rFonts w:ascii="Calibri" w:eastAsia="Calibri" w:hAnsi="Calibri"/>
          <w:sz w:val="22"/>
          <w:szCs w:val="22"/>
          <w:lang w:eastAsia="en-US"/>
        </w:rPr>
        <w:t xml:space="preserve"> has grown substantially in recent months as Europe plays the role of balancing market. Overly restrictive position limits in TTF Futures</w:t>
      </w:r>
      <w:r w:rsidR="003D33CC">
        <w:rPr>
          <w:rFonts w:ascii="Calibri" w:eastAsia="Calibri" w:hAnsi="Calibri"/>
          <w:sz w:val="22"/>
          <w:szCs w:val="22"/>
          <w:lang w:eastAsia="en-US"/>
        </w:rPr>
        <w:t xml:space="preserve"> constratin</w:t>
      </w:r>
      <w:r w:rsidR="00A86BB2">
        <w:rPr>
          <w:rFonts w:ascii="Calibri" w:eastAsia="Calibri" w:hAnsi="Calibri"/>
          <w:sz w:val="22"/>
          <w:szCs w:val="22"/>
          <w:lang w:eastAsia="en-US"/>
        </w:rPr>
        <w:t>s</w:t>
      </w:r>
      <w:r w:rsidR="00901E4B">
        <w:rPr>
          <w:rFonts w:ascii="Calibri" w:eastAsia="Calibri" w:hAnsi="Calibri"/>
          <w:sz w:val="22"/>
          <w:szCs w:val="22"/>
          <w:lang w:eastAsia="en-US"/>
        </w:rPr>
        <w:t xml:space="preserve"> its ability to become a truly global benchmark for natural gas.</w:t>
      </w:r>
    </w:p>
    <w:p w14:paraId="152BB49F" w14:textId="7260A274" w:rsidR="00FC1366" w:rsidRPr="006A59E7" w:rsidRDefault="00FC1366" w:rsidP="00AB6157">
      <w:pPr>
        <w:rPr>
          <w:rFonts w:ascii="Calibri" w:eastAsia="Calibri" w:hAnsi="Calibri"/>
          <w:sz w:val="22"/>
          <w:szCs w:val="22"/>
          <w:lang w:eastAsia="en-US"/>
        </w:rPr>
      </w:pPr>
    </w:p>
    <w:p w14:paraId="00452FFC" w14:textId="1E5B3473" w:rsidR="00FC1366" w:rsidRPr="006A59E7" w:rsidRDefault="0011030A" w:rsidP="00AB6157">
      <w:pPr>
        <w:rPr>
          <w:rFonts w:ascii="Calibri" w:eastAsia="Calibri" w:hAnsi="Calibri"/>
          <w:sz w:val="22"/>
          <w:szCs w:val="22"/>
          <w:lang w:eastAsia="en-US"/>
        </w:rPr>
      </w:pPr>
      <w:r>
        <w:rPr>
          <w:rFonts w:ascii="Calibri" w:eastAsia="Calibri" w:hAnsi="Calibri"/>
          <w:sz w:val="22"/>
          <w:szCs w:val="22"/>
          <w:lang w:eastAsia="en-US"/>
        </w:rPr>
        <w:t>However</w:t>
      </w:r>
      <w:r w:rsidR="00393337">
        <w:rPr>
          <w:rFonts w:ascii="Calibri" w:eastAsia="Calibri" w:hAnsi="Calibri"/>
          <w:sz w:val="22"/>
          <w:szCs w:val="22"/>
          <w:lang w:eastAsia="en-US"/>
        </w:rPr>
        <w:t xml:space="preserve">, </w:t>
      </w:r>
      <w:r>
        <w:rPr>
          <w:rFonts w:ascii="Calibri" w:eastAsia="Calibri" w:hAnsi="Calibri"/>
          <w:sz w:val="22"/>
          <w:szCs w:val="22"/>
          <w:lang w:eastAsia="en-US"/>
        </w:rPr>
        <w:t xml:space="preserve">ICE does not support </w:t>
      </w:r>
      <w:r w:rsidR="00A86BB2">
        <w:rPr>
          <w:rFonts w:ascii="Calibri" w:eastAsia="Calibri" w:hAnsi="Calibri"/>
          <w:sz w:val="22"/>
          <w:szCs w:val="22"/>
          <w:lang w:eastAsia="en-US"/>
        </w:rPr>
        <w:t xml:space="preserve">a change which mandates the </w:t>
      </w:r>
      <w:r>
        <w:rPr>
          <w:rFonts w:ascii="Calibri" w:eastAsia="Calibri" w:hAnsi="Calibri"/>
          <w:sz w:val="22"/>
          <w:szCs w:val="22"/>
          <w:lang w:eastAsia="en-US"/>
        </w:rPr>
        <w:t xml:space="preserve">setting </w:t>
      </w:r>
      <w:r w:rsidR="00A86BB2">
        <w:rPr>
          <w:rFonts w:ascii="Calibri" w:eastAsia="Calibri" w:hAnsi="Calibri"/>
          <w:sz w:val="22"/>
          <w:szCs w:val="22"/>
          <w:lang w:eastAsia="en-US"/>
        </w:rPr>
        <w:t xml:space="preserve">of </w:t>
      </w:r>
      <w:r>
        <w:rPr>
          <w:rFonts w:ascii="Calibri" w:eastAsia="Calibri" w:hAnsi="Calibri"/>
          <w:sz w:val="22"/>
          <w:szCs w:val="22"/>
          <w:lang w:eastAsia="en-US"/>
        </w:rPr>
        <w:t>limits in spot month contracts based on open interest.</w:t>
      </w:r>
      <w:r w:rsidR="002D354F">
        <w:rPr>
          <w:rFonts w:ascii="Calibri" w:eastAsia="Calibri" w:hAnsi="Calibri"/>
          <w:sz w:val="22"/>
          <w:szCs w:val="22"/>
          <w:lang w:eastAsia="en-US"/>
        </w:rPr>
        <w:t xml:space="preserve"> </w:t>
      </w:r>
    </w:p>
    <w:permEnd w:id="2134387464"/>
    <w:p w14:paraId="709D5B07" w14:textId="1B4618DC" w:rsidR="00AB6157" w:rsidRDefault="00AB6157" w:rsidP="00AB6157">
      <w:pPr>
        <w:rPr>
          <w:rFonts w:ascii="Arial" w:hAnsi="Arial" w:cs="Arial"/>
        </w:rPr>
      </w:pPr>
      <w:r>
        <w:rPr>
          <w:rFonts w:ascii="Arial" w:hAnsi="Arial" w:cs="Arial"/>
        </w:rPr>
        <w:t>&lt;ESMA_QUESTION_PLPM_17&gt;</w:t>
      </w:r>
    </w:p>
    <w:p w14:paraId="5FBA08C9" w14:textId="77777777" w:rsidR="00AB6157" w:rsidRDefault="00AB6157" w:rsidP="00AB6157">
      <w:pPr>
        <w:rPr>
          <w:rFonts w:ascii="Arial" w:hAnsi="Arial" w:cs="Arial"/>
        </w:rPr>
      </w:pPr>
    </w:p>
    <w:p w14:paraId="7EF000ED" w14:textId="77777777" w:rsidR="00AB6157" w:rsidRDefault="00AB6157" w:rsidP="00AB6157">
      <w:pPr>
        <w:pStyle w:val="Questionstyle"/>
        <w:numPr>
          <w:ilvl w:val="0"/>
          <w:numId w:val="9"/>
        </w:numPr>
        <w:spacing w:after="250" w:line="276" w:lineRule="auto"/>
      </w:pPr>
      <w:r>
        <w:t xml:space="preserve">: Would you see benefits to review the approach for setting position limits for new and illiquid contracts? If so, what would you suggest? </w:t>
      </w:r>
    </w:p>
    <w:p w14:paraId="5860723E" w14:textId="77777777" w:rsidR="00AB6157" w:rsidRDefault="00AB6157" w:rsidP="00AB6157">
      <w:pPr>
        <w:rPr>
          <w:rFonts w:ascii="Arial" w:hAnsi="Arial" w:cs="Arial"/>
        </w:rPr>
      </w:pPr>
      <w:r>
        <w:rPr>
          <w:rFonts w:ascii="Arial" w:hAnsi="Arial" w:cs="Arial"/>
        </w:rPr>
        <w:t>&lt;ESMA_QUESTION_PLPM_18&gt;</w:t>
      </w:r>
    </w:p>
    <w:p w14:paraId="2934C0F5" w14:textId="42AC236B" w:rsidR="00CD0270" w:rsidRDefault="00CD0270" w:rsidP="00857C49">
      <w:pPr>
        <w:jc w:val="both"/>
        <w:rPr>
          <w:rFonts w:ascii="Calibri" w:eastAsia="Calibri" w:hAnsi="Calibri"/>
          <w:sz w:val="22"/>
          <w:szCs w:val="22"/>
          <w:lang w:eastAsia="en-US"/>
        </w:rPr>
      </w:pPr>
      <w:permStart w:id="1672699502" w:edGrp="everyone"/>
      <w:r w:rsidRPr="00CD0270">
        <w:rPr>
          <w:rFonts w:ascii="Calibri" w:eastAsia="Calibri" w:hAnsi="Calibri"/>
          <w:sz w:val="22"/>
          <w:szCs w:val="22"/>
          <w:lang w:eastAsia="en-US"/>
        </w:rPr>
        <w:t>Yes</w:t>
      </w:r>
      <w:r w:rsidR="00393337">
        <w:rPr>
          <w:rFonts w:ascii="Calibri" w:eastAsia="Calibri" w:hAnsi="Calibri"/>
          <w:sz w:val="22"/>
          <w:szCs w:val="22"/>
          <w:lang w:eastAsia="en-US"/>
        </w:rPr>
        <w:t>, the approac</w:t>
      </w:r>
      <w:r w:rsidR="00A86BB2">
        <w:rPr>
          <w:rFonts w:ascii="Calibri" w:eastAsia="Calibri" w:hAnsi="Calibri"/>
          <w:sz w:val="22"/>
          <w:szCs w:val="22"/>
          <w:lang w:eastAsia="en-US"/>
        </w:rPr>
        <w:t>h to new and i</w:t>
      </w:r>
      <w:r w:rsidR="00393337">
        <w:rPr>
          <w:rFonts w:ascii="Calibri" w:eastAsia="Calibri" w:hAnsi="Calibri"/>
          <w:sz w:val="22"/>
          <w:szCs w:val="22"/>
          <w:lang w:eastAsia="en-US"/>
        </w:rPr>
        <w:t>l</w:t>
      </w:r>
      <w:r w:rsidR="00A86BB2">
        <w:rPr>
          <w:rFonts w:ascii="Calibri" w:eastAsia="Calibri" w:hAnsi="Calibri"/>
          <w:sz w:val="22"/>
          <w:szCs w:val="22"/>
          <w:lang w:eastAsia="en-US"/>
        </w:rPr>
        <w:t>l</w:t>
      </w:r>
      <w:r w:rsidR="00393337">
        <w:rPr>
          <w:rFonts w:ascii="Calibri" w:eastAsia="Calibri" w:hAnsi="Calibri"/>
          <w:sz w:val="22"/>
          <w:szCs w:val="22"/>
          <w:lang w:eastAsia="en-US"/>
        </w:rPr>
        <w:t>iq</w:t>
      </w:r>
      <w:r w:rsidR="0011030A">
        <w:rPr>
          <w:rFonts w:ascii="Calibri" w:eastAsia="Calibri" w:hAnsi="Calibri"/>
          <w:sz w:val="22"/>
          <w:szCs w:val="22"/>
          <w:lang w:eastAsia="en-US"/>
        </w:rPr>
        <w:t>uid contracts within the context of position limits regime should be revised</w:t>
      </w:r>
      <w:r w:rsidRPr="00CD0270">
        <w:rPr>
          <w:rFonts w:ascii="Calibri" w:eastAsia="Calibri" w:hAnsi="Calibri"/>
          <w:sz w:val="22"/>
          <w:szCs w:val="22"/>
          <w:lang w:eastAsia="en-US"/>
        </w:rPr>
        <w:t xml:space="preserve">. Considering the negative impacts that the MiFID II position limits regime has had on the proper functioning and further development of nascent commodity derivatives markets as well as the competitive position of European trading venues, ICE is of the view that changes thereto are urgently required.  </w:t>
      </w:r>
      <w:r w:rsidR="00857C49">
        <w:rPr>
          <w:rFonts w:ascii="Calibri" w:eastAsia="Calibri" w:hAnsi="Calibri"/>
          <w:sz w:val="22"/>
          <w:szCs w:val="22"/>
          <w:lang w:eastAsia="en-US"/>
        </w:rPr>
        <w:t>S</w:t>
      </w:r>
      <w:r w:rsidR="00857C49" w:rsidRPr="00CD0270">
        <w:rPr>
          <w:rFonts w:ascii="Calibri" w:eastAsia="Calibri" w:hAnsi="Calibri"/>
          <w:sz w:val="22"/>
          <w:szCs w:val="22"/>
          <w:lang w:eastAsia="en-US"/>
        </w:rPr>
        <w:t>uch an amendment would better fulfil the overall policy objective of MiFID II to “</w:t>
      </w:r>
      <w:r w:rsidR="00857C49" w:rsidRPr="00CD0270">
        <w:rPr>
          <w:rFonts w:ascii="Calibri" w:eastAsia="Calibri" w:hAnsi="Calibri"/>
          <w:i/>
          <w:sz w:val="22"/>
          <w:szCs w:val="22"/>
          <w:lang w:eastAsia="en-US"/>
        </w:rPr>
        <w:t>improve the functioning and transparency of commodity markets and address excessive commodity price volatility</w:t>
      </w:r>
      <w:r w:rsidR="00857C49" w:rsidRPr="00CD0270">
        <w:rPr>
          <w:rFonts w:ascii="Calibri" w:eastAsia="Calibri" w:hAnsi="Calibri"/>
          <w:sz w:val="22"/>
          <w:szCs w:val="22"/>
          <w:lang w:eastAsia="en-US"/>
        </w:rPr>
        <w:t>”.</w:t>
      </w:r>
    </w:p>
    <w:p w14:paraId="4D542D95" w14:textId="18D0C21B" w:rsidR="00CD0270" w:rsidRDefault="00CD0270" w:rsidP="00CD0270">
      <w:pPr>
        <w:jc w:val="both"/>
        <w:rPr>
          <w:rFonts w:ascii="Calibri" w:eastAsia="Calibri" w:hAnsi="Calibri"/>
          <w:sz w:val="22"/>
          <w:szCs w:val="22"/>
          <w:lang w:eastAsia="en-US"/>
        </w:rPr>
      </w:pPr>
    </w:p>
    <w:p w14:paraId="03DE6AA9" w14:textId="5FE2DA17" w:rsidR="00CD0270" w:rsidRDefault="00CD0270" w:rsidP="00B87F1C">
      <w:pPr>
        <w:jc w:val="both"/>
        <w:rPr>
          <w:rFonts w:ascii="Calibri" w:eastAsia="Calibri" w:hAnsi="Calibri"/>
          <w:sz w:val="22"/>
          <w:szCs w:val="22"/>
          <w:lang w:eastAsia="en-US"/>
        </w:rPr>
      </w:pPr>
      <w:r>
        <w:rPr>
          <w:rFonts w:ascii="Calibri" w:eastAsia="Calibri" w:hAnsi="Calibri"/>
          <w:sz w:val="22"/>
          <w:szCs w:val="22"/>
          <w:lang w:eastAsia="en-US"/>
        </w:rPr>
        <w:t xml:space="preserve">ICE is of the view that position limits should only be imposed on key benchmark contracts </w:t>
      </w:r>
      <w:r w:rsidR="00857C49">
        <w:rPr>
          <w:rFonts w:ascii="Calibri" w:eastAsia="Calibri" w:hAnsi="Calibri"/>
          <w:sz w:val="22"/>
          <w:szCs w:val="22"/>
          <w:lang w:eastAsia="en-US"/>
        </w:rPr>
        <w:t>that</w:t>
      </w:r>
      <w:r>
        <w:rPr>
          <w:rFonts w:ascii="Calibri" w:eastAsia="Calibri" w:hAnsi="Calibri"/>
          <w:sz w:val="22"/>
          <w:szCs w:val="22"/>
          <w:lang w:eastAsia="en-US"/>
        </w:rPr>
        <w:t xml:space="preserve"> are crucial to orderly functioning of their respective commodity markets, e.g. ICE Brent Futures contract</w:t>
      </w:r>
      <w:r w:rsidR="00857C49">
        <w:rPr>
          <w:rFonts w:ascii="Calibri" w:eastAsia="Calibri" w:hAnsi="Calibri"/>
          <w:sz w:val="22"/>
          <w:szCs w:val="22"/>
          <w:lang w:eastAsia="en-US"/>
        </w:rPr>
        <w:t xml:space="preserve">, </w:t>
      </w:r>
      <w:r w:rsidR="00F94952">
        <w:rPr>
          <w:rFonts w:ascii="Calibri" w:eastAsia="Calibri" w:hAnsi="Calibri"/>
          <w:sz w:val="22"/>
          <w:szCs w:val="22"/>
          <w:lang w:eastAsia="en-US"/>
        </w:rPr>
        <w:t>because the price formation mainly occurs in such benchmark products.</w:t>
      </w:r>
      <w:r>
        <w:rPr>
          <w:rFonts w:ascii="Calibri" w:eastAsia="Calibri" w:hAnsi="Calibri"/>
          <w:sz w:val="22"/>
          <w:szCs w:val="22"/>
          <w:lang w:eastAsia="en-US"/>
        </w:rPr>
        <w:t xml:space="preserve"> Other c</w:t>
      </w:r>
      <w:r w:rsidR="00F94952">
        <w:rPr>
          <w:rFonts w:ascii="Calibri" w:eastAsia="Calibri" w:hAnsi="Calibri"/>
          <w:sz w:val="22"/>
          <w:szCs w:val="22"/>
          <w:lang w:eastAsia="en-US"/>
        </w:rPr>
        <w:t xml:space="preserve">ommodity derivatives contracts </w:t>
      </w:r>
      <w:r w:rsidR="00393337">
        <w:rPr>
          <w:rFonts w:ascii="Calibri" w:eastAsia="Calibri" w:hAnsi="Calibri"/>
          <w:sz w:val="22"/>
          <w:szCs w:val="22"/>
          <w:lang w:eastAsia="en-US"/>
        </w:rPr>
        <w:t>are dependent on the main benchmark for their price formation and thus should not be subject to limits</w:t>
      </w:r>
      <w:r>
        <w:rPr>
          <w:rFonts w:ascii="Calibri" w:eastAsia="Calibri" w:hAnsi="Calibri"/>
          <w:sz w:val="22"/>
          <w:szCs w:val="22"/>
          <w:lang w:eastAsia="en-US"/>
        </w:rPr>
        <w:t xml:space="preserve">. </w:t>
      </w:r>
      <w:r w:rsidR="00B87F1C" w:rsidRPr="00215D9C">
        <w:rPr>
          <w:rFonts w:ascii="Calibri" w:hAnsi="Calibri" w:cs="Calibri"/>
          <w:sz w:val="22"/>
          <w:szCs w:val="22"/>
        </w:rPr>
        <w:t>Such benchmark contracts should be designated by the relevant National Competent Authorities in consultation with trading venues and subject to an opinion by ESMA.</w:t>
      </w:r>
    </w:p>
    <w:p w14:paraId="0B114F4D" w14:textId="116C186F" w:rsidR="00F94952" w:rsidRDefault="00F94952" w:rsidP="00CD0270">
      <w:pPr>
        <w:jc w:val="both"/>
        <w:rPr>
          <w:rFonts w:ascii="Calibri" w:eastAsia="Calibri" w:hAnsi="Calibri"/>
          <w:sz w:val="22"/>
          <w:szCs w:val="22"/>
          <w:lang w:eastAsia="en-US"/>
        </w:rPr>
      </w:pPr>
    </w:p>
    <w:p w14:paraId="070B8EF7" w14:textId="62BD5DDB" w:rsidR="00AB6157" w:rsidRDefault="00F94952" w:rsidP="00CD0270">
      <w:pPr>
        <w:spacing w:line="276" w:lineRule="auto"/>
        <w:jc w:val="both"/>
        <w:rPr>
          <w:rFonts w:ascii="Calibri" w:eastAsia="Calibri" w:hAnsi="Calibri"/>
          <w:sz w:val="22"/>
          <w:szCs w:val="22"/>
          <w:lang w:eastAsia="en-US"/>
        </w:rPr>
      </w:pPr>
      <w:r>
        <w:rPr>
          <w:rFonts w:ascii="Calibri" w:eastAsia="Calibri" w:hAnsi="Calibri"/>
          <w:sz w:val="22"/>
          <w:szCs w:val="22"/>
          <w:lang w:eastAsia="en-US"/>
        </w:rPr>
        <w:t>Equally, new</w:t>
      </w:r>
      <w:r w:rsidR="0011030A">
        <w:rPr>
          <w:rFonts w:ascii="Calibri" w:eastAsia="Calibri" w:hAnsi="Calibri"/>
          <w:sz w:val="22"/>
          <w:szCs w:val="22"/>
          <w:lang w:eastAsia="en-US"/>
        </w:rPr>
        <w:t xml:space="preserve">, </w:t>
      </w:r>
      <w:r>
        <w:rPr>
          <w:rFonts w:ascii="Calibri" w:eastAsia="Calibri" w:hAnsi="Calibri"/>
          <w:sz w:val="22"/>
          <w:szCs w:val="22"/>
          <w:lang w:eastAsia="en-US"/>
        </w:rPr>
        <w:t xml:space="preserve">less liquid </w:t>
      </w:r>
      <w:r w:rsidR="002D354F">
        <w:rPr>
          <w:rFonts w:ascii="Calibri" w:eastAsia="Calibri" w:hAnsi="Calibri"/>
          <w:sz w:val="22"/>
          <w:szCs w:val="22"/>
          <w:lang w:eastAsia="en-US"/>
        </w:rPr>
        <w:t>and non-pri</w:t>
      </w:r>
      <w:r w:rsidR="0011030A">
        <w:rPr>
          <w:rFonts w:ascii="Calibri" w:eastAsia="Calibri" w:hAnsi="Calibri"/>
          <w:sz w:val="22"/>
          <w:szCs w:val="22"/>
          <w:lang w:eastAsia="en-US"/>
        </w:rPr>
        <w:t xml:space="preserve">ce forming </w:t>
      </w:r>
      <w:r>
        <w:rPr>
          <w:rFonts w:ascii="Calibri" w:eastAsia="Calibri" w:hAnsi="Calibri"/>
          <w:sz w:val="22"/>
          <w:szCs w:val="22"/>
          <w:lang w:eastAsia="en-US"/>
        </w:rPr>
        <w:t xml:space="preserve">contracts  should not be subject to position limits. </w:t>
      </w:r>
      <w:r w:rsidR="006A59E7" w:rsidRPr="00CD0270">
        <w:rPr>
          <w:rFonts w:ascii="Calibri" w:eastAsia="Calibri" w:hAnsi="Calibri"/>
          <w:sz w:val="22"/>
          <w:szCs w:val="22"/>
          <w:lang w:eastAsia="en-US"/>
        </w:rPr>
        <w:t xml:space="preserve">New and nascent products constitute a minor share of commodity markets. Such contracts </w:t>
      </w:r>
      <w:r w:rsidR="00A86BB2">
        <w:rPr>
          <w:rFonts w:ascii="Calibri" w:eastAsia="Calibri" w:hAnsi="Calibri"/>
          <w:sz w:val="22"/>
          <w:szCs w:val="22"/>
          <w:lang w:eastAsia="en-US"/>
        </w:rPr>
        <w:t>simply do not</w:t>
      </w:r>
      <w:r w:rsidR="006A59E7" w:rsidRPr="00CD0270">
        <w:rPr>
          <w:rFonts w:ascii="Calibri" w:eastAsia="Calibri" w:hAnsi="Calibri"/>
          <w:sz w:val="22"/>
          <w:szCs w:val="22"/>
          <w:lang w:eastAsia="en-US"/>
        </w:rPr>
        <w:t xml:space="preserve"> influence price movements in the underlying physical commodity markets.</w:t>
      </w:r>
      <w:r w:rsidR="00857C49">
        <w:rPr>
          <w:rFonts w:ascii="Calibri" w:eastAsia="Calibri" w:hAnsi="Calibri"/>
          <w:sz w:val="22"/>
          <w:szCs w:val="22"/>
          <w:lang w:eastAsia="en-US"/>
        </w:rPr>
        <w:t xml:space="preserve"> </w:t>
      </w:r>
      <w:r w:rsidR="0011030A">
        <w:rPr>
          <w:rFonts w:ascii="Calibri" w:eastAsia="Calibri" w:hAnsi="Calibri"/>
          <w:sz w:val="22"/>
          <w:szCs w:val="22"/>
          <w:lang w:eastAsia="en-US"/>
        </w:rPr>
        <w:t>Equally, non-</w:t>
      </w:r>
      <w:r w:rsidR="002D354F">
        <w:rPr>
          <w:rFonts w:ascii="Calibri" w:eastAsia="Calibri" w:hAnsi="Calibri"/>
          <w:sz w:val="22"/>
          <w:szCs w:val="22"/>
          <w:lang w:eastAsia="en-US"/>
        </w:rPr>
        <w:t>price forming</w:t>
      </w:r>
      <w:r w:rsidR="0011030A">
        <w:rPr>
          <w:rFonts w:ascii="Calibri" w:eastAsia="Calibri" w:hAnsi="Calibri"/>
          <w:sz w:val="22"/>
          <w:szCs w:val="22"/>
          <w:lang w:eastAsia="en-US"/>
        </w:rPr>
        <w:t xml:space="preserve"> contracts </w:t>
      </w:r>
      <w:r w:rsidR="002D354F">
        <w:rPr>
          <w:rFonts w:ascii="Calibri" w:eastAsia="Calibri" w:hAnsi="Calibri"/>
          <w:sz w:val="22"/>
          <w:szCs w:val="22"/>
          <w:lang w:eastAsia="en-US"/>
        </w:rPr>
        <w:t>simply</w:t>
      </w:r>
      <w:r w:rsidR="0011030A">
        <w:rPr>
          <w:rFonts w:ascii="Calibri" w:eastAsia="Calibri" w:hAnsi="Calibri"/>
          <w:sz w:val="22"/>
          <w:szCs w:val="22"/>
          <w:lang w:eastAsia="en-US"/>
        </w:rPr>
        <w:t xml:space="preserve"> f</w:t>
      </w:r>
      <w:r w:rsidR="002D354F">
        <w:rPr>
          <w:rFonts w:ascii="Calibri" w:eastAsia="Calibri" w:hAnsi="Calibri"/>
          <w:sz w:val="22"/>
          <w:szCs w:val="22"/>
          <w:lang w:eastAsia="en-US"/>
        </w:rPr>
        <w:t>ollow the benchmark ones and can</w:t>
      </w:r>
      <w:r w:rsidR="0011030A">
        <w:rPr>
          <w:rFonts w:ascii="Calibri" w:eastAsia="Calibri" w:hAnsi="Calibri"/>
          <w:sz w:val="22"/>
          <w:szCs w:val="22"/>
          <w:lang w:eastAsia="en-US"/>
        </w:rPr>
        <w:t xml:space="preserve">not influence price formation in physical markets. </w:t>
      </w:r>
      <w:r w:rsidR="00CD0270" w:rsidRPr="00CD0270">
        <w:rPr>
          <w:rFonts w:ascii="Calibri" w:eastAsia="Calibri" w:hAnsi="Calibri"/>
          <w:sz w:val="22"/>
          <w:szCs w:val="22"/>
          <w:lang w:eastAsia="en-US"/>
        </w:rPr>
        <w:t xml:space="preserve">Furthermore, even in </w:t>
      </w:r>
      <w:r w:rsidR="00CD0270">
        <w:rPr>
          <w:rFonts w:ascii="Calibri" w:eastAsia="Calibri" w:hAnsi="Calibri"/>
          <w:sz w:val="22"/>
          <w:szCs w:val="22"/>
          <w:lang w:eastAsia="en-US"/>
        </w:rPr>
        <w:t>the absence of position limits</w:t>
      </w:r>
      <w:r w:rsidR="00CD0270" w:rsidRPr="00CD0270">
        <w:rPr>
          <w:rFonts w:ascii="Calibri" w:eastAsia="Calibri" w:hAnsi="Calibri"/>
          <w:sz w:val="22"/>
          <w:szCs w:val="22"/>
          <w:lang w:eastAsia="en-US"/>
        </w:rPr>
        <w:t xml:space="preserve">, these contracts would remain subject to </w:t>
      </w:r>
      <w:r w:rsidR="00857C49">
        <w:rPr>
          <w:rFonts w:ascii="Calibri" w:eastAsia="Calibri" w:hAnsi="Calibri"/>
          <w:sz w:val="22"/>
          <w:szCs w:val="22"/>
          <w:lang w:eastAsia="en-US"/>
        </w:rPr>
        <w:t>trading venue</w:t>
      </w:r>
      <w:r w:rsidR="00CD0270" w:rsidRPr="00CD0270">
        <w:rPr>
          <w:rFonts w:ascii="Calibri" w:eastAsia="Calibri" w:hAnsi="Calibri"/>
          <w:sz w:val="22"/>
          <w:szCs w:val="22"/>
          <w:lang w:eastAsia="en-US"/>
        </w:rPr>
        <w:t xml:space="preserve"> position monitoring and management</w:t>
      </w:r>
      <w:r w:rsidR="00CD0270">
        <w:rPr>
          <w:rFonts w:ascii="Calibri" w:eastAsia="Calibri" w:hAnsi="Calibri"/>
          <w:sz w:val="22"/>
          <w:szCs w:val="22"/>
          <w:lang w:eastAsia="en-US"/>
        </w:rPr>
        <w:t xml:space="preserve"> and </w:t>
      </w:r>
      <w:r w:rsidR="00CD0270" w:rsidRPr="00CD0270">
        <w:rPr>
          <w:rFonts w:ascii="Calibri" w:eastAsia="Calibri" w:hAnsi="Calibri"/>
          <w:sz w:val="22"/>
          <w:szCs w:val="22"/>
          <w:lang w:eastAsia="en-US"/>
        </w:rPr>
        <w:t>market surveillance procedures aimed at preventing abuse.</w:t>
      </w:r>
      <w:r w:rsidR="00CD0270">
        <w:rPr>
          <w:rFonts w:ascii="Calibri" w:eastAsia="Calibri" w:hAnsi="Calibri"/>
          <w:sz w:val="22"/>
          <w:szCs w:val="22"/>
          <w:lang w:eastAsia="en-US"/>
        </w:rPr>
        <w:t xml:space="preserve"> </w:t>
      </w:r>
      <w:r w:rsidR="00CD0270" w:rsidRPr="00CD0270">
        <w:rPr>
          <w:rFonts w:ascii="Calibri" w:eastAsia="Calibri" w:hAnsi="Calibri"/>
          <w:sz w:val="22"/>
          <w:szCs w:val="22"/>
          <w:lang w:eastAsia="en-US"/>
        </w:rPr>
        <w:t xml:space="preserve">Thus, the </w:t>
      </w:r>
      <w:r w:rsidR="00CD0270">
        <w:rPr>
          <w:rFonts w:ascii="Calibri" w:eastAsia="Calibri" w:hAnsi="Calibri"/>
          <w:sz w:val="22"/>
          <w:szCs w:val="22"/>
          <w:lang w:eastAsia="en-US"/>
        </w:rPr>
        <w:t>removal</w:t>
      </w:r>
      <w:r w:rsidR="00CD0270" w:rsidRPr="00CD0270">
        <w:rPr>
          <w:rFonts w:ascii="Calibri" w:eastAsia="Calibri" w:hAnsi="Calibri"/>
          <w:sz w:val="22"/>
          <w:szCs w:val="22"/>
          <w:lang w:eastAsia="en-US"/>
        </w:rPr>
        <w:t xml:space="preserve"> of position limits for such contracts would not pose any risk to the transparency and functioning thereof. Rather, attracting more volume to regulated venues would contribute to a more t</w:t>
      </w:r>
      <w:r w:rsidR="00653B36">
        <w:rPr>
          <w:rFonts w:ascii="Calibri" w:eastAsia="Calibri" w:hAnsi="Calibri"/>
          <w:sz w:val="22"/>
          <w:szCs w:val="22"/>
          <w:lang w:eastAsia="en-US"/>
        </w:rPr>
        <w:t>ransparent trading environment.</w:t>
      </w:r>
    </w:p>
    <w:permEnd w:id="1672699502"/>
    <w:p w14:paraId="6178566C" w14:textId="77777777" w:rsidR="00AB6157" w:rsidRDefault="00AB6157" w:rsidP="00AB6157">
      <w:pPr>
        <w:rPr>
          <w:rFonts w:ascii="Arial" w:hAnsi="Arial" w:cs="Arial"/>
        </w:rPr>
      </w:pPr>
      <w:r>
        <w:rPr>
          <w:rFonts w:ascii="Arial" w:hAnsi="Arial" w:cs="Arial"/>
        </w:rPr>
        <w:t>&lt;ESMA_QUESTION_PLPM_18&gt;</w:t>
      </w:r>
    </w:p>
    <w:p w14:paraId="7F3030EA" w14:textId="77777777" w:rsidR="00BB11C5" w:rsidRDefault="00BB11C5" w:rsidP="00AB6157">
      <w:pPr>
        <w:rPr>
          <w:rFonts w:ascii="Arial" w:hAnsi="Arial" w:cs="Arial"/>
        </w:rPr>
      </w:pPr>
    </w:p>
    <w:p w14:paraId="60984C04" w14:textId="77777777" w:rsidR="00AB6157" w:rsidRDefault="00AB6157" w:rsidP="00AB6157">
      <w:pPr>
        <w:rPr>
          <w:rFonts w:ascii="Arial" w:hAnsi="Arial" w:cs="Arial"/>
        </w:rPr>
      </w:pPr>
    </w:p>
    <w:p w14:paraId="4DA92D0A" w14:textId="77777777" w:rsidR="00AB6157" w:rsidRDefault="00AB6157" w:rsidP="00AB6157">
      <w:pPr>
        <w:pStyle w:val="Questionstyle"/>
        <w:numPr>
          <w:ilvl w:val="0"/>
          <w:numId w:val="9"/>
        </w:numPr>
        <w:spacing w:after="250" w:line="276" w:lineRule="auto"/>
      </w:pPr>
      <w:r>
        <w:t xml:space="preserve">: Would you see merits in a more forward-looking approach to the calculation of open interest used as a baseline for setting position limits? Please elaborate. </w:t>
      </w:r>
    </w:p>
    <w:p w14:paraId="6E31AE93" w14:textId="77777777" w:rsidR="00AB6157" w:rsidRDefault="00AB6157" w:rsidP="00AB6157">
      <w:pPr>
        <w:rPr>
          <w:rFonts w:ascii="Arial" w:hAnsi="Arial" w:cs="Arial"/>
        </w:rPr>
      </w:pPr>
      <w:r>
        <w:rPr>
          <w:rFonts w:ascii="Arial" w:hAnsi="Arial" w:cs="Arial"/>
        </w:rPr>
        <w:t>&lt;ESMA_QUESTION_PLPM_19&gt;</w:t>
      </w:r>
    </w:p>
    <w:p w14:paraId="63017AA5" w14:textId="77777777" w:rsidR="00BB11C5" w:rsidRPr="00C915E9" w:rsidRDefault="00BB11C5" w:rsidP="00AB6157">
      <w:pPr>
        <w:rPr>
          <w:rFonts w:ascii="Arial" w:hAnsi="Arial" w:cs="Arial"/>
          <w:sz w:val="22"/>
        </w:rPr>
      </w:pPr>
    </w:p>
    <w:p w14:paraId="6FB967C8" w14:textId="79B54B4D" w:rsidR="009455FD" w:rsidRPr="00460639" w:rsidRDefault="009455FD" w:rsidP="00C915E9">
      <w:pPr>
        <w:jc w:val="both"/>
        <w:rPr>
          <w:rFonts w:ascii="Calibri" w:eastAsia="Calibri" w:hAnsi="Calibri"/>
          <w:sz w:val="22"/>
          <w:szCs w:val="22"/>
          <w:lang w:eastAsia="en-US"/>
        </w:rPr>
      </w:pPr>
      <w:r w:rsidRPr="00460639">
        <w:rPr>
          <w:rFonts w:ascii="Calibri" w:eastAsia="Calibri" w:hAnsi="Calibri"/>
          <w:sz w:val="22"/>
          <w:szCs w:val="22"/>
          <w:lang w:eastAsia="en-US"/>
        </w:rPr>
        <w:t xml:space="preserve">ICE supports the introduction of a forward-looking model whereby the position limit is calculated based on a form of extrapolation of </w:t>
      </w:r>
      <w:r w:rsidR="00B7648F" w:rsidRPr="00460639">
        <w:rPr>
          <w:rFonts w:ascii="Calibri" w:eastAsia="Calibri" w:hAnsi="Calibri"/>
          <w:sz w:val="22"/>
          <w:szCs w:val="22"/>
          <w:lang w:eastAsia="en-US"/>
        </w:rPr>
        <w:t xml:space="preserve">the historical </w:t>
      </w:r>
      <w:r w:rsidRPr="00460639">
        <w:rPr>
          <w:rFonts w:ascii="Calibri" w:eastAsia="Calibri" w:hAnsi="Calibri"/>
          <w:sz w:val="22"/>
          <w:szCs w:val="22"/>
          <w:lang w:eastAsia="en-US"/>
        </w:rPr>
        <w:t xml:space="preserve">development </w:t>
      </w:r>
      <w:r w:rsidR="00B7648F" w:rsidRPr="00460639">
        <w:rPr>
          <w:rFonts w:ascii="Calibri" w:eastAsia="Calibri" w:hAnsi="Calibri"/>
          <w:sz w:val="22"/>
          <w:szCs w:val="22"/>
          <w:lang w:eastAsia="en-US"/>
        </w:rPr>
        <w:t xml:space="preserve">of open interest </w:t>
      </w:r>
      <w:r w:rsidRPr="00460639">
        <w:rPr>
          <w:rFonts w:ascii="Calibri" w:eastAsia="Calibri" w:hAnsi="Calibri"/>
          <w:sz w:val="22"/>
          <w:szCs w:val="22"/>
          <w:lang w:eastAsia="en-US"/>
        </w:rPr>
        <w:t xml:space="preserve">in a </w:t>
      </w:r>
      <w:r w:rsidR="00764D02" w:rsidRPr="00460639">
        <w:rPr>
          <w:rFonts w:ascii="Calibri" w:eastAsia="Calibri" w:hAnsi="Calibri"/>
          <w:sz w:val="22"/>
          <w:szCs w:val="22"/>
          <w:lang w:eastAsia="en-US"/>
        </w:rPr>
        <w:t xml:space="preserve">certain </w:t>
      </w:r>
      <w:r w:rsidRPr="00460639">
        <w:rPr>
          <w:rFonts w:ascii="Calibri" w:eastAsia="Calibri" w:hAnsi="Calibri"/>
          <w:sz w:val="22"/>
          <w:szCs w:val="22"/>
          <w:lang w:eastAsia="en-US"/>
        </w:rPr>
        <w:t xml:space="preserve">market, as this approach would be better suited to </w:t>
      </w:r>
      <w:r w:rsidR="00B7648F" w:rsidRPr="00460639">
        <w:rPr>
          <w:rFonts w:ascii="Calibri" w:eastAsia="Calibri" w:hAnsi="Calibri"/>
          <w:sz w:val="22"/>
          <w:szCs w:val="22"/>
          <w:lang w:eastAsia="en-US"/>
        </w:rPr>
        <w:t>accommodate</w:t>
      </w:r>
      <w:r w:rsidRPr="00460639">
        <w:rPr>
          <w:rFonts w:ascii="Calibri" w:eastAsia="Calibri" w:hAnsi="Calibri"/>
          <w:sz w:val="22"/>
          <w:szCs w:val="22"/>
          <w:lang w:eastAsia="en-US"/>
        </w:rPr>
        <w:t xml:space="preserve"> periods of strong market growth.</w:t>
      </w:r>
    </w:p>
    <w:p w14:paraId="36CF6223" w14:textId="77777777" w:rsidR="009455FD" w:rsidRPr="00460639" w:rsidRDefault="009455FD" w:rsidP="00C915E9">
      <w:pPr>
        <w:jc w:val="both"/>
        <w:rPr>
          <w:rFonts w:ascii="Calibri" w:eastAsia="Calibri" w:hAnsi="Calibri"/>
          <w:sz w:val="22"/>
          <w:szCs w:val="22"/>
          <w:lang w:eastAsia="en-US"/>
        </w:rPr>
      </w:pPr>
    </w:p>
    <w:p w14:paraId="4E5134AC" w14:textId="0AD90180" w:rsidR="00B87F1C" w:rsidRDefault="00BF4604" w:rsidP="00C915E9">
      <w:pPr>
        <w:jc w:val="both"/>
        <w:rPr>
          <w:rFonts w:ascii="Calibri" w:eastAsia="Calibri" w:hAnsi="Calibri"/>
          <w:sz w:val="22"/>
          <w:szCs w:val="22"/>
          <w:lang w:eastAsia="en-US"/>
        </w:rPr>
      </w:pPr>
      <w:r w:rsidRPr="00460639">
        <w:rPr>
          <w:rFonts w:ascii="Calibri" w:eastAsia="Calibri" w:hAnsi="Calibri"/>
          <w:sz w:val="22"/>
          <w:szCs w:val="22"/>
          <w:lang w:eastAsia="en-US"/>
        </w:rPr>
        <w:t xml:space="preserve">Under the existing model a </w:t>
      </w:r>
      <w:r w:rsidR="006B1C74" w:rsidRPr="00460639">
        <w:rPr>
          <w:rFonts w:ascii="Calibri" w:eastAsia="Calibri" w:hAnsi="Calibri"/>
          <w:sz w:val="22"/>
          <w:szCs w:val="22"/>
          <w:lang w:eastAsia="en-US"/>
        </w:rPr>
        <w:t xml:space="preserve">position </w:t>
      </w:r>
      <w:r w:rsidRPr="00460639">
        <w:rPr>
          <w:rFonts w:ascii="Calibri" w:eastAsia="Calibri" w:hAnsi="Calibri"/>
          <w:sz w:val="22"/>
          <w:szCs w:val="22"/>
          <w:lang w:eastAsia="en-US"/>
        </w:rPr>
        <w:t>limit is based on a percentage of the</w:t>
      </w:r>
      <w:r w:rsidR="00BB11C5" w:rsidRPr="00460639">
        <w:rPr>
          <w:rFonts w:ascii="Calibri" w:eastAsia="Calibri" w:hAnsi="Calibri"/>
          <w:sz w:val="22"/>
          <w:szCs w:val="22"/>
          <w:lang w:eastAsia="en-US"/>
        </w:rPr>
        <w:t xml:space="preserve"> average </w:t>
      </w:r>
      <w:r w:rsidRPr="00460639">
        <w:rPr>
          <w:rFonts w:ascii="Calibri" w:eastAsia="Calibri" w:hAnsi="Calibri"/>
          <w:sz w:val="22"/>
          <w:szCs w:val="22"/>
          <w:lang w:eastAsia="en-US"/>
        </w:rPr>
        <w:t xml:space="preserve">amount of open interest </w:t>
      </w:r>
      <w:r w:rsidR="00B7648F" w:rsidRPr="00460639">
        <w:rPr>
          <w:rFonts w:ascii="Calibri" w:eastAsia="Calibri" w:hAnsi="Calibri"/>
          <w:sz w:val="22"/>
          <w:szCs w:val="22"/>
          <w:lang w:eastAsia="en-US"/>
        </w:rPr>
        <w:t>of</w:t>
      </w:r>
      <w:r w:rsidRPr="00460639">
        <w:rPr>
          <w:rFonts w:ascii="Calibri" w:eastAsia="Calibri" w:hAnsi="Calibri"/>
          <w:sz w:val="22"/>
          <w:szCs w:val="22"/>
          <w:lang w:eastAsia="en-US"/>
        </w:rPr>
        <w:t xml:space="preserve"> a </w:t>
      </w:r>
      <w:r w:rsidR="00BB11C5" w:rsidRPr="00460639">
        <w:rPr>
          <w:rFonts w:ascii="Calibri" w:eastAsia="Calibri" w:hAnsi="Calibri"/>
          <w:sz w:val="22"/>
          <w:szCs w:val="22"/>
          <w:lang w:eastAsia="en-US"/>
        </w:rPr>
        <w:t xml:space="preserve">certain </w:t>
      </w:r>
      <w:r w:rsidR="00B7648F" w:rsidRPr="00460639">
        <w:rPr>
          <w:rFonts w:ascii="Calibri" w:eastAsia="Calibri" w:hAnsi="Calibri"/>
          <w:sz w:val="22"/>
          <w:szCs w:val="22"/>
          <w:lang w:eastAsia="en-US"/>
        </w:rPr>
        <w:t xml:space="preserve">historical </w:t>
      </w:r>
      <w:r w:rsidR="00BB11C5" w:rsidRPr="00460639">
        <w:rPr>
          <w:rFonts w:ascii="Calibri" w:eastAsia="Calibri" w:hAnsi="Calibri"/>
          <w:sz w:val="22"/>
          <w:szCs w:val="22"/>
          <w:lang w:eastAsia="en-US"/>
        </w:rPr>
        <w:t>period</w:t>
      </w:r>
      <w:r w:rsidR="006B1C74" w:rsidRPr="00460639">
        <w:rPr>
          <w:rFonts w:ascii="Calibri" w:eastAsia="Calibri" w:hAnsi="Calibri"/>
          <w:sz w:val="22"/>
          <w:szCs w:val="22"/>
          <w:lang w:eastAsia="en-US"/>
        </w:rPr>
        <w:t>, which is usually a one, three, six or twelve months period depending</w:t>
      </w:r>
      <w:r w:rsidR="00764D02" w:rsidRPr="00460639">
        <w:rPr>
          <w:rFonts w:ascii="Calibri" w:eastAsia="Calibri" w:hAnsi="Calibri"/>
          <w:sz w:val="22"/>
          <w:szCs w:val="22"/>
          <w:lang w:eastAsia="en-US"/>
        </w:rPr>
        <w:t xml:space="preserve"> on</w:t>
      </w:r>
      <w:r w:rsidR="006B1C74" w:rsidRPr="00460639">
        <w:rPr>
          <w:rFonts w:ascii="Calibri" w:eastAsia="Calibri" w:hAnsi="Calibri"/>
          <w:sz w:val="22"/>
          <w:szCs w:val="22"/>
          <w:lang w:eastAsia="en-US"/>
        </w:rPr>
        <w:t xml:space="preserve"> the </w:t>
      </w:r>
      <w:r w:rsidR="00B7648F" w:rsidRPr="00460639">
        <w:rPr>
          <w:rFonts w:ascii="Calibri" w:eastAsia="Calibri" w:hAnsi="Calibri"/>
          <w:sz w:val="22"/>
          <w:szCs w:val="22"/>
          <w:lang w:eastAsia="en-US"/>
        </w:rPr>
        <w:t>characteristics</w:t>
      </w:r>
      <w:r w:rsidR="006B1C74" w:rsidRPr="00460639">
        <w:rPr>
          <w:rFonts w:ascii="Calibri" w:eastAsia="Calibri" w:hAnsi="Calibri"/>
          <w:sz w:val="22"/>
          <w:szCs w:val="22"/>
          <w:lang w:eastAsia="en-US"/>
        </w:rPr>
        <w:t xml:space="preserve"> of the commodity market.</w:t>
      </w:r>
      <w:r w:rsidR="009455FD" w:rsidRPr="00460639">
        <w:rPr>
          <w:rFonts w:ascii="Calibri" w:eastAsia="Calibri" w:hAnsi="Calibri"/>
          <w:sz w:val="22"/>
          <w:szCs w:val="22"/>
          <w:lang w:eastAsia="en-US"/>
        </w:rPr>
        <w:t xml:space="preserve"> </w:t>
      </w:r>
      <w:r w:rsidRPr="00460639">
        <w:rPr>
          <w:rFonts w:ascii="Calibri" w:eastAsia="Calibri" w:hAnsi="Calibri"/>
          <w:sz w:val="22"/>
          <w:szCs w:val="22"/>
          <w:lang w:eastAsia="en-US"/>
        </w:rPr>
        <w:t>This backward</w:t>
      </w:r>
      <w:r w:rsidR="006B1C74" w:rsidRPr="00460639">
        <w:rPr>
          <w:rFonts w:ascii="Calibri" w:eastAsia="Calibri" w:hAnsi="Calibri"/>
          <w:sz w:val="22"/>
          <w:szCs w:val="22"/>
          <w:lang w:eastAsia="en-US"/>
        </w:rPr>
        <w:t>-</w:t>
      </w:r>
      <w:r w:rsidRPr="00460639">
        <w:rPr>
          <w:rFonts w:ascii="Calibri" w:eastAsia="Calibri" w:hAnsi="Calibri"/>
          <w:sz w:val="22"/>
          <w:szCs w:val="22"/>
          <w:lang w:eastAsia="en-US"/>
        </w:rPr>
        <w:t xml:space="preserve">looking methodology </w:t>
      </w:r>
      <w:r w:rsidR="00BB11C5" w:rsidRPr="00460639">
        <w:rPr>
          <w:rFonts w:ascii="Calibri" w:eastAsia="Calibri" w:hAnsi="Calibri"/>
          <w:sz w:val="22"/>
          <w:szCs w:val="22"/>
          <w:lang w:eastAsia="en-US"/>
        </w:rPr>
        <w:t>inher</w:t>
      </w:r>
      <w:r w:rsidR="00B7648F" w:rsidRPr="00460639">
        <w:rPr>
          <w:rFonts w:ascii="Calibri" w:eastAsia="Calibri" w:hAnsi="Calibri"/>
          <w:sz w:val="22"/>
          <w:szCs w:val="22"/>
          <w:lang w:eastAsia="en-US"/>
        </w:rPr>
        <w:t>ent</w:t>
      </w:r>
      <w:r w:rsidR="00BB11C5" w:rsidRPr="00460639">
        <w:rPr>
          <w:rFonts w:ascii="Calibri" w:eastAsia="Calibri" w:hAnsi="Calibri"/>
          <w:sz w:val="22"/>
          <w:szCs w:val="22"/>
          <w:lang w:eastAsia="en-US"/>
        </w:rPr>
        <w:t xml:space="preserve">ly does not properly capture the potential </w:t>
      </w:r>
      <w:r w:rsidRPr="00460639">
        <w:rPr>
          <w:rFonts w:ascii="Calibri" w:eastAsia="Calibri" w:hAnsi="Calibri"/>
          <w:sz w:val="22"/>
          <w:szCs w:val="22"/>
          <w:lang w:eastAsia="en-US"/>
        </w:rPr>
        <w:t xml:space="preserve">future </w:t>
      </w:r>
      <w:r w:rsidR="00BB11C5" w:rsidRPr="00460639">
        <w:rPr>
          <w:rFonts w:ascii="Calibri" w:eastAsia="Calibri" w:hAnsi="Calibri"/>
          <w:sz w:val="22"/>
          <w:szCs w:val="22"/>
          <w:lang w:eastAsia="en-US"/>
        </w:rPr>
        <w:t>gro</w:t>
      </w:r>
      <w:r w:rsidRPr="00460639">
        <w:rPr>
          <w:rFonts w:ascii="Calibri" w:eastAsia="Calibri" w:hAnsi="Calibri"/>
          <w:sz w:val="22"/>
          <w:szCs w:val="22"/>
          <w:lang w:eastAsia="en-US"/>
        </w:rPr>
        <w:t>w</w:t>
      </w:r>
      <w:r w:rsidR="00BB11C5" w:rsidRPr="00460639">
        <w:rPr>
          <w:rFonts w:ascii="Calibri" w:eastAsia="Calibri" w:hAnsi="Calibri"/>
          <w:sz w:val="22"/>
          <w:szCs w:val="22"/>
          <w:lang w:eastAsia="en-US"/>
        </w:rPr>
        <w:t xml:space="preserve">th </w:t>
      </w:r>
      <w:r w:rsidR="00A86BB2">
        <w:rPr>
          <w:rFonts w:ascii="Calibri" w:eastAsia="Calibri" w:hAnsi="Calibri"/>
          <w:sz w:val="22"/>
          <w:szCs w:val="22"/>
          <w:lang w:eastAsia="en-US"/>
        </w:rPr>
        <w:t xml:space="preserve">or even seasonal characteristics </w:t>
      </w:r>
      <w:r w:rsidR="00BB11C5" w:rsidRPr="00460639">
        <w:rPr>
          <w:rFonts w:ascii="Calibri" w:eastAsia="Calibri" w:hAnsi="Calibri"/>
          <w:sz w:val="22"/>
          <w:szCs w:val="22"/>
          <w:lang w:eastAsia="en-US"/>
        </w:rPr>
        <w:t>of a market</w:t>
      </w:r>
      <w:r w:rsidRPr="00460639">
        <w:rPr>
          <w:rFonts w:ascii="Calibri" w:eastAsia="Calibri" w:hAnsi="Calibri"/>
          <w:sz w:val="22"/>
          <w:szCs w:val="22"/>
          <w:lang w:eastAsia="en-US"/>
        </w:rPr>
        <w:t xml:space="preserve"> and</w:t>
      </w:r>
      <w:r w:rsidR="00BB11C5" w:rsidRPr="00460639">
        <w:rPr>
          <w:rFonts w:ascii="Calibri" w:eastAsia="Calibri" w:hAnsi="Calibri"/>
          <w:sz w:val="22"/>
          <w:szCs w:val="22"/>
          <w:lang w:eastAsia="en-US"/>
        </w:rPr>
        <w:t xml:space="preserve"> risk</w:t>
      </w:r>
      <w:r w:rsidRPr="00460639">
        <w:rPr>
          <w:rFonts w:ascii="Calibri" w:eastAsia="Calibri" w:hAnsi="Calibri"/>
          <w:sz w:val="22"/>
          <w:szCs w:val="22"/>
          <w:lang w:eastAsia="en-US"/>
        </w:rPr>
        <w:t>s</w:t>
      </w:r>
      <w:r w:rsidR="00BB11C5" w:rsidRPr="00460639">
        <w:rPr>
          <w:rFonts w:ascii="Calibri" w:eastAsia="Calibri" w:hAnsi="Calibri"/>
          <w:sz w:val="22"/>
          <w:szCs w:val="22"/>
          <w:lang w:eastAsia="en-US"/>
        </w:rPr>
        <w:t xml:space="preserve"> applying an </w:t>
      </w:r>
      <w:r w:rsidR="00B7648F" w:rsidRPr="00460639">
        <w:rPr>
          <w:rFonts w:ascii="Calibri" w:eastAsia="Calibri" w:hAnsi="Calibri"/>
          <w:sz w:val="22"/>
          <w:szCs w:val="22"/>
          <w:lang w:eastAsia="en-US"/>
        </w:rPr>
        <w:t>over restrictive</w:t>
      </w:r>
      <w:r w:rsidR="00BB11C5" w:rsidRPr="00460639">
        <w:rPr>
          <w:rFonts w:ascii="Calibri" w:eastAsia="Calibri" w:hAnsi="Calibri"/>
          <w:sz w:val="22"/>
          <w:szCs w:val="22"/>
          <w:lang w:eastAsia="en-US"/>
        </w:rPr>
        <w:t xml:space="preserve"> limit</w:t>
      </w:r>
      <w:r w:rsidRPr="00460639">
        <w:rPr>
          <w:rFonts w:ascii="Calibri" w:eastAsia="Calibri" w:hAnsi="Calibri"/>
          <w:sz w:val="22"/>
          <w:szCs w:val="22"/>
          <w:lang w:eastAsia="en-US"/>
        </w:rPr>
        <w:t xml:space="preserve"> when a market experiences</w:t>
      </w:r>
      <w:r w:rsidR="006B1C74" w:rsidRPr="00460639">
        <w:rPr>
          <w:rFonts w:ascii="Calibri" w:eastAsia="Calibri" w:hAnsi="Calibri"/>
          <w:sz w:val="22"/>
          <w:szCs w:val="22"/>
          <w:lang w:eastAsia="en-US"/>
        </w:rPr>
        <w:t xml:space="preserve"> a </w:t>
      </w:r>
      <w:r w:rsidRPr="00460639">
        <w:rPr>
          <w:rFonts w:ascii="Calibri" w:eastAsia="Calibri" w:hAnsi="Calibri"/>
          <w:sz w:val="22"/>
          <w:szCs w:val="22"/>
          <w:lang w:eastAsia="en-US"/>
        </w:rPr>
        <w:t xml:space="preserve">period of </w:t>
      </w:r>
      <w:r w:rsidR="006B1C74" w:rsidRPr="00460639">
        <w:rPr>
          <w:rFonts w:ascii="Calibri" w:eastAsia="Calibri" w:hAnsi="Calibri"/>
          <w:sz w:val="22"/>
          <w:szCs w:val="22"/>
          <w:lang w:eastAsia="en-US"/>
        </w:rPr>
        <w:t xml:space="preserve">strong </w:t>
      </w:r>
      <w:r w:rsidRPr="00460639">
        <w:rPr>
          <w:rFonts w:ascii="Calibri" w:eastAsia="Calibri" w:hAnsi="Calibri"/>
          <w:sz w:val="22"/>
          <w:szCs w:val="22"/>
          <w:lang w:eastAsia="en-US"/>
        </w:rPr>
        <w:t>growth.</w:t>
      </w:r>
      <w:r w:rsidR="006B1C74" w:rsidRPr="00460639">
        <w:rPr>
          <w:rFonts w:ascii="Calibri" w:eastAsia="Calibri" w:hAnsi="Calibri"/>
          <w:sz w:val="22"/>
          <w:szCs w:val="22"/>
          <w:lang w:eastAsia="en-US"/>
        </w:rPr>
        <w:t xml:space="preserve"> </w:t>
      </w:r>
      <w:r w:rsidR="009455FD" w:rsidRPr="00460639">
        <w:rPr>
          <w:rFonts w:ascii="Calibri" w:eastAsia="Calibri" w:hAnsi="Calibri"/>
          <w:sz w:val="22"/>
          <w:szCs w:val="22"/>
          <w:lang w:eastAsia="en-US"/>
        </w:rPr>
        <w:t>At a minimum</w:t>
      </w:r>
      <w:r w:rsidR="00764D02" w:rsidRPr="00460639">
        <w:rPr>
          <w:rFonts w:ascii="Calibri" w:eastAsia="Calibri" w:hAnsi="Calibri"/>
          <w:sz w:val="22"/>
          <w:szCs w:val="22"/>
          <w:lang w:eastAsia="en-US"/>
        </w:rPr>
        <w:t xml:space="preserve"> and</w:t>
      </w:r>
      <w:r w:rsidR="009455FD" w:rsidRPr="00460639">
        <w:rPr>
          <w:rFonts w:ascii="Calibri" w:eastAsia="Calibri" w:hAnsi="Calibri"/>
          <w:sz w:val="22"/>
          <w:szCs w:val="22"/>
          <w:lang w:eastAsia="en-US"/>
        </w:rPr>
        <w:t xml:space="preserve"> </w:t>
      </w:r>
      <w:r w:rsidR="00A55D5C" w:rsidRPr="00460639">
        <w:rPr>
          <w:rFonts w:ascii="Calibri" w:eastAsia="Calibri" w:hAnsi="Calibri"/>
          <w:sz w:val="22"/>
          <w:szCs w:val="22"/>
          <w:lang w:eastAsia="en-US"/>
        </w:rPr>
        <w:t xml:space="preserve">where appropriate, </w:t>
      </w:r>
      <w:r w:rsidR="009455FD" w:rsidRPr="00460639">
        <w:rPr>
          <w:rFonts w:ascii="Calibri" w:eastAsia="Calibri" w:hAnsi="Calibri"/>
          <w:sz w:val="22"/>
          <w:szCs w:val="22"/>
          <w:lang w:eastAsia="en-US"/>
        </w:rPr>
        <w:t xml:space="preserve">it should therefore be </w:t>
      </w:r>
      <w:r w:rsidR="00B7648F" w:rsidRPr="00460639">
        <w:rPr>
          <w:rFonts w:ascii="Calibri" w:eastAsia="Calibri" w:hAnsi="Calibri"/>
          <w:sz w:val="22"/>
          <w:szCs w:val="22"/>
          <w:lang w:eastAsia="en-US"/>
        </w:rPr>
        <w:t xml:space="preserve">allowed </w:t>
      </w:r>
      <w:r w:rsidR="009455FD" w:rsidRPr="00460639">
        <w:rPr>
          <w:rFonts w:ascii="Calibri" w:eastAsia="Calibri" w:hAnsi="Calibri"/>
          <w:sz w:val="22"/>
          <w:szCs w:val="22"/>
          <w:lang w:eastAsia="en-US"/>
        </w:rPr>
        <w:t xml:space="preserve">to </w:t>
      </w:r>
      <w:r w:rsidR="00B7648F" w:rsidRPr="00460639">
        <w:rPr>
          <w:rFonts w:ascii="Calibri" w:eastAsia="Calibri" w:hAnsi="Calibri"/>
          <w:sz w:val="22"/>
          <w:szCs w:val="22"/>
          <w:lang w:eastAsia="en-US"/>
        </w:rPr>
        <w:t xml:space="preserve">use </w:t>
      </w:r>
      <w:r w:rsidR="009455FD" w:rsidRPr="00460639">
        <w:rPr>
          <w:rFonts w:ascii="Calibri" w:eastAsia="Calibri" w:hAnsi="Calibri"/>
          <w:sz w:val="22"/>
          <w:szCs w:val="22"/>
          <w:lang w:eastAsia="en-US"/>
        </w:rPr>
        <w:t xml:space="preserve">the smallest possible period for the calculation </w:t>
      </w:r>
      <w:r w:rsidR="00B7648F" w:rsidRPr="00460639">
        <w:rPr>
          <w:rFonts w:ascii="Calibri" w:eastAsia="Calibri" w:hAnsi="Calibri"/>
          <w:sz w:val="22"/>
          <w:szCs w:val="22"/>
          <w:lang w:eastAsia="en-US"/>
        </w:rPr>
        <w:t xml:space="preserve">of </w:t>
      </w:r>
      <w:r w:rsidR="009455FD" w:rsidRPr="00460639">
        <w:rPr>
          <w:rFonts w:ascii="Calibri" w:eastAsia="Calibri" w:hAnsi="Calibri"/>
          <w:sz w:val="22"/>
          <w:szCs w:val="22"/>
          <w:lang w:eastAsia="en-US"/>
        </w:rPr>
        <w:t>open interest levels</w:t>
      </w:r>
      <w:r w:rsidR="00B7648F" w:rsidRPr="00460639">
        <w:rPr>
          <w:rFonts w:ascii="Calibri" w:eastAsia="Calibri" w:hAnsi="Calibri"/>
          <w:sz w:val="22"/>
          <w:szCs w:val="22"/>
          <w:lang w:eastAsia="en-US"/>
        </w:rPr>
        <w:t xml:space="preserve"> (i.e. the average open interest of the most recent trading day)</w:t>
      </w:r>
      <w:r w:rsidR="00764D02" w:rsidRPr="00460639">
        <w:rPr>
          <w:rFonts w:ascii="Calibri" w:eastAsia="Calibri" w:hAnsi="Calibri"/>
          <w:sz w:val="22"/>
          <w:szCs w:val="22"/>
          <w:lang w:eastAsia="en-US"/>
        </w:rPr>
        <w:t xml:space="preserve"> under the existing rules</w:t>
      </w:r>
      <w:r w:rsidR="009455FD" w:rsidRPr="00460639">
        <w:rPr>
          <w:rFonts w:ascii="Calibri" w:eastAsia="Calibri" w:hAnsi="Calibri"/>
          <w:sz w:val="22"/>
          <w:szCs w:val="22"/>
          <w:lang w:eastAsia="en-US"/>
        </w:rPr>
        <w:t>.</w:t>
      </w:r>
    </w:p>
    <w:p w14:paraId="051C90A7" w14:textId="77777777" w:rsidR="00B87F1C" w:rsidRDefault="00B87F1C" w:rsidP="00C915E9">
      <w:pPr>
        <w:jc w:val="both"/>
        <w:rPr>
          <w:rFonts w:ascii="Calibri" w:eastAsia="Calibri" w:hAnsi="Calibri"/>
          <w:sz w:val="22"/>
          <w:szCs w:val="22"/>
          <w:lang w:eastAsia="en-US"/>
        </w:rPr>
      </w:pPr>
    </w:p>
    <w:p w14:paraId="486E838B" w14:textId="35538B31" w:rsidR="00A86BB2" w:rsidRDefault="00A86BB2" w:rsidP="00A86BB2">
      <w:pPr>
        <w:jc w:val="both"/>
        <w:rPr>
          <w:rFonts w:ascii="Calibri" w:eastAsia="Calibri" w:hAnsi="Calibri"/>
          <w:sz w:val="22"/>
          <w:szCs w:val="22"/>
          <w:lang w:eastAsia="en-US"/>
        </w:rPr>
      </w:pPr>
      <w:r>
        <w:rPr>
          <w:rFonts w:ascii="Calibri" w:eastAsia="Calibri" w:hAnsi="Calibri"/>
          <w:sz w:val="22"/>
          <w:szCs w:val="22"/>
          <w:lang w:eastAsia="en-US"/>
        </w:rPr>
        <w:t>An alternative solution</w:t>
      </w:r>
      <w:r>
        <w:rPr>
          <w:rFonts w:ascii="Calibri" w:eastAsia="Calibri" w:hAnsi="Calibri"/>
          <w:sz w:val="22"/>
          <w:szCs w:val="22"/>
          <w:lang w:eastAsia="en-US"/>
        </w:rPr>
        <w:t>,</w:t>
      </w:r>
      <w:r>
        <w:rPr>
          <w:rFonts w:ascii="Calibri" w:eastAsia="Calibri" w:hAnsi="Calibri"/>
          <w:sz w:val="22"/>
          <w:szCs w:val="22"/>
          <w:lang w:eastAsia="en-US"/>
        </w:rPr>
        <w:t xml:space="preserve"> more closely aligned with the physical market, would involve calculating limits on other months contracts with reference to deliverable supply which provides the best estimation of the size of positions which should be allowed. As a regional contract develops into a global benchmark, appropriate refere</w:t>
      </w:r>
      <w:r>
        <w:rPr>
          <w:rFonts w:ascii="Calibri" w:eastAsia="Calibri" w:hAnsi="Calibri"/>
          <w:sz w:val="22"/>
          <w:szCs w:val="22"/>
          <w:lang w:eastAsia="en-US"/>
        </w:rPr>
        <w:t xml:space="preserve">nce should be made to </w:t>
      </w:r>
      <w:r>
        <w:rPr>
          <w:rFonts w:ascii="Calibri" w:eastAsia="Calibri" w:hAnsi="Calibri"/>
          <w:sz w:val="22"/>
          <w:szCs w:val="22"/>
          <w:lang w:eastAsia="en-US"/>
        </w:rPr>
        <w:t xml:space="preserve">supply and churn rates associated with other benchmarks of a similar nature. </w:t>
      </w:r>
    </w:p>
    <w:p w14:paraId="558CBBA9" w14:textId="7E5D05D2" w:rsidR="009455FD" w:rsidRDefault="00A86BB2" w:rsidP="00C915E9">
      <w:pPr>
        <w:jc w:val="both"/>
        <w:rPr>
          <w:rFonts w:ascii="Arial" w:hAnsi="Arial" w:cs="Arial"/>
        </w:rPr>
      </w:pPr>
      <w:r>
        <w:rPr>
          <w:rFonts w:ascii="Calibri" w:eastAsia="Calibri" w:hAnsi="Calibri"/>
          <w:sz w:val="22"/>
          <w:szCs w:val="22"/>
          <w:lang w:eastAsia="en-US"/>
        </w:rPr>
        <w:t>This approach would better address the market needs, particularly within the context of European Commission’s “International role of the euro” initiative</w:t>
      </w:r>
      <w:r>
        <w:rPr>
          <w:rFonts w:ascii="Calibri" w:eastAsia="Calibri" w:hAnsi="Calibri"/>
          <w:sz w:val="22"/>
          <w:szCs w:val="22"/>
          <w:lang w:eastAsia="en-US"/>
        </w:rPr>
        <w:t>.</w:t>
      </w:r>
    </w:p>
    <w:p w14:paraId="2A9680B7" w14:textId="2EEF7664" w:rsidR="00AB6157" w:rsidRDefault="00AB6157" w:rsidP="00AB6157">
      <w:pPr>
        <w:rPr>
          <w:rFonts w:ascii="Arial" w:hAnsi="Arial" w:cs="Arial"/>
        </w:rPr>
      </w:pPr>
      <w:r>
        <w:rPr>
          <w:rFonts w:ascii="Arial" w:hAnsi="Arial" w:cs="Arial"/>
        </w:rPr>
        <w:t>&lt;ESMA_QUESTION_PLPM_19&gt;</w:t>
      </w:r>
    </w:p>
    <w:p w14:paraId="6AD4B529" w14:textId="77777777" w:rsidR="00AB6157" w:rsidRDefault="00AB6157" w:rsidP="00AB6157">
      <w:pPr>
        <w:rPr>
          <w:rFonts w:ascii="Arial" w:hAnsi="Arial" w:cs="Arial"/>
        </w:rPr>
      </w:pPr>
    </w:p>
    <w:p w14:paraId="7D36DE13" w14:textId="77777777" w:rsidR="00AB6157" w:rsidRPr="00707B76" w:rsidRDefault="00AB6157" w:rsidP="00AB6157">
      <w:pPr>
        <w:pStyle w:val="Questionstyle"/>
        <w:numPr>
          <w:ilvl w:val="0"/>
          <w:numId w:val="9"/>
        </w:numPr>
        <w:spacing w:after="250" w:line="276" w:lineRule="auto"/>
      </w:pPr>
      <w:r w:rsidRPr="00707B76">
        <w:t>: In your view, are there other specific areas where the methodology for calculating the position limits set out in RTS 21 should be reviewed? If so, what would you suggest, and why?</w:t>
      </w:r>
    </w:p>
    <w:p w14:paraId="3CF28C98" w14:textId="77777777" w:rsidR="00AB6157" w:rsidRDefault="00AB6157" w:rsidP="00AB6157">
      <w:pPr>
        <w:rPr>
          <w:rFonts w:ascii="Arial" w:hAnsi="Arial" w:cs="Arial"/>
        </w:rPr>
      </w:pPr>
      <w:r>
        <w:rPr>
          <w:rFonts w:ascii="Arial" w:hAnsi="Arial" w:cs="Arial"/>
        </w:rPr>
        <w:t>&lt;ESMA_QUESTION_PLPM_20&gt;</w:t>
      </w:r>
    </w:p>
    <w:p w14:paraId="40086947" w14:textId="77777777" w:rsidR="00AB6157" w:rsidRDefault="00AB6157" w:rsidP="00AB6157">
      <w:pPr>
        <w:rPr>
          <w:rFonts w:ascii="Arial" w:hAnsi="Arial" w:cs="Arial"/>
        </w:rPr>
      </w:pPr>
      <w:permStart w:id="738884066" w:edGrp="everyone"/>
      <w:r>
        <w:rPr>
          <w:rFonts w:ascii="Arial" w:hAnsi="Arial" w:cs="Arial"/>
        </w:rPr>
        <w:t>TYPE YOUR TEXT HERE</w:t>
      </w:r>
    </w:p>
    <w:permEnd w:id="738884066"/>
    <w:p w14:paraId="1DBB9C44" w14:textId="77777777" w:rsidR="00AB6157" w:rsidRDefault="00AB6157" w:rsidP="00AB6157">
      <w:pPr>
        <w:rPr>
          <w:rFonts w:ascii="Arial" w:hAnsi="Arial" w:cs="Arial"/>
        </w:rPr>
      </w:pPr>
      <w:r>
        <w:rPr>
          <w:rFonts w:ascii="Arial" w:hAnsi="Arial" w:cs="Arial"/>
        </w:rPr>
        <w:t>&lt;ESMA_QUESTION_PLPM_20&gt;</w:t>
      </w:r>
    </w:p>
    <w:p w14:paraId="41669D84" w14:textId="77777777" w:rsidR="00AB6157" w:rsidRDefault="00AB6157" w:rsidP="00AB6157">
      <w:pPr>
        <w:rPr>
          <w:rFonts w:ascii="Arial" w:hAnsi="Arial" w:cs="Arial"/>
        </w:rPr>
      </w:pPr>
    </w:p>
    <w:p w14:paraId="18B5AF5E" w14:textId="77777777" w:rsidR="00AB6157" w:rsidRDefault="00AB6157" w:rsidP="00AB6157">
      <w:pPr>
        <w:pStyle w:val="Questionstyle"/>
        <w:numPr>
          <w:ilvl w:val="0"/>
          <w:numId w:val="9"/>
        </w:numPr>
        <w:spacing w:after="250" w:line="276" w:lineRule="auto"/>
      </w:pPr>
      <w:r>
        <w:t xml:space="preserve">: How </w:t>
      </w:r>
      <w:r w:rsidRPr="00BA56BC">
        <w:t>useful do you consider the information on position management controls available on ESMA</w:t>
      </w:r>
      <w:r>
        <w:t>’s</w:t>
      </w:r>
      <w:r w:rsidRPr="00BA56BC">
        <w:t xml:space="preserve"> website?</w:t>
      </w:r>
    </w:p>
    <w:p w14:paraId="0D155788" w14:textId="77777777" w:rsidR="00AB6157" w:rsidRDefault="00AB6157" w:rsidP="00AB6157">
      <w:pPr>
        <w:rPr>
          <w:rFonts w:ascii="Arial" w:hAnsi="Arial" w:cs="Arial"/>
        </w:rPr>
      </w:pPr>
      <w:r>
        <w:rPr>
          <w:rFonts w:ascii="Arial" w:hAnsi="Arial" w:cs="Arial"/>
        </w:rPr>
        <w:t>&lt;ESMA_QUESTION_PLPM_21&gt;</w:t>
      </w:r>
    </w:p>
    <w:p w14:paraId="06CBC098" w14:textId="1F33704C" w:rsidR="00AB6157" w:rsidRPr="00190330" w:rsidRDefault="004777FB" w:rsidP="00AB6157">
      <w:pPr>
        <w:rPr>
          <w:rFonts w:ascii="Calibri" w:eastAsia="Calibri" w:hAnsi="Calibri"/>
          <w:sz w:val="22"/>
          <w:szCs w:val="22"/>
          <w:lang w:eastAsia="en-US"/>
        </w:rPr>
      </w:pPr>
      <w:permStart w:id="1128673264" w:edGrp="everyone"/>
      <w:r w:rsidRPr="00190330">
        <w:rPr>
          <w:rFonts w:ascii="Calibri" w:eastAsia="Calibri" w:hAnsi="Calibri"/>
          <w:sz w:val="22"/>
          <w:szCs w:val="22"/>
          <w:lang w:eastAsia="en-US"/>
        </w:rPr>
        <w:t>No answer.</w:t>
      </w:r>
    </w:p>
    <w:permEnd w:id="1128673264"/>
    <w:p w14:paraId="51A845EF" w14:textId="77777777" w:rsidR="00AB6157" w:rsidRDefault="00AB6157" w:rsidP="00AB6157">
      <w:pPr>
        <w:rPr>
          <w:rFonts w:ascii="Arial" w:hAnsi="Arial" w:cs="Arial"/>
        </w:rPr>
      </w:pPr>
      <w:r>
        <w:rPr>
          <w:rFonts w:ascii="Arial" w:hAnsi="Arial" w:cs="Arial"/>
        </w:rPr>
        <w:t>&lt;ESMA_QUESTION_PLPM_21&gt;</w:t>
      </w:r>
    </w:p>
    <w:p w14:paraId="3F8FBCF0" w14:textId="77777777" w:rsidR="00AB6157" w:rsidRDefault="00AB6157" w:rsidP="00AB6157">
      <w:pPr>
        <w:rPr>
          <w:rFonts w:ascii="Arial" w:hAnsi="Arial" w:cs="Arial"/>
        </w:rPr>
      </w:pPr>
    </w:p>
    <w:p w14:paraId="0850183C" w14:textId="77777777" w:rsidR="00AB6157" w:rsidRPr="00422240" w:rsidRDefault="00AB6157" w:rsidP="00AB6157">
      <w:pPr>
        <w:pStyle w:val="Questionstyle"/>
        <w:numPr>
          <w:ilvl w:val="0"/>
          <w:numId w:val="9"/>
        </w:numPr>
        <w:spacing w:after="250" w:line="276" w:lineRule="auto"/>
      </w:pPr>
      <w:r>
        <w:t>: Do you consider that there is a need to review the list of minimum position management controls to be implemented by commodity derivatives trading venues under Article 57(8) of MiFID II? If so, please explain the changes you would suggest.</w:t>
      </w:r>
    </w:p>
    <w:p w14:paraId="03BE6F7F" w14:textId="77777777" w:rsidR="00AB6157" w:rsidRDefault="00AB6157" w:rsidP="00AB6157">
      <w:pPr>
        <w:rPr>
          <w:rFonts w:ascii="Arial" w:hAnsi="Arial" w:cs="Arial"/>
        </w:rPr>
      </w:pPr>
      <w:r>
        <w:rPr>
          <w:rFonts w:ascii="Arial" w:hAnsi="Arial" w:cs="Arial"/>
        </w:rPr>
        <w:t>&lt;ESMA_QUESTION_PLPM_22&gt;</w:t>
      </w:r>
    </w:p>
    <w:p w14:paraId="447696CD" w14:textId="03D0F23C" w:rsidR="00B03464" w:rsidRDefault="00B03464" w:rsidP="00B03464">
      <w:pPr>
        <w:rPr>
          <w:rFonts w:ascii="Calibri" w:eastAsia="Calibri" w:hAnsi="Calibri"/>
          <w:sz w:val="22"/>
          <w:szCs w:val="22"/>
          <w:lang w:eastAsia="en-US"/>
        </w:rPr>
      </w:pPr>
      <w:permStart w:id="1129916202" w:edGrp="everyone"/>
      <w:r w:rsidRPr="00B03464">
        <w:rPr>
          <w:rFonts w:ascii="Calibri" w:eastAsia="Calibri" w:hAnsi="Calibri"/>
          <w:sz w:val="22"/>
          <w:szCs w:val="22"/>
          <w:lang w:eastAsia="en-US"/>
        </w:rPr>
        <w:lastRenderedPageBreak/>
        <w:t>No</w:t>
      </w:r>
      <w:r>
        <w:rPr>
          <w:rFonts w:ascii="Calibri" w:eastAsia="Calibri" w:hAnsi="Calibri"/>
          <w:sz w:val="22"/>
          <w:szCs w:val="22"/>
          <w:lang w:eastAsia="en-US"/>
        </w:rPr>
        <w:t>, ICE does not consider any further requirements on position management controls to be necessary</w:t>
      </w:r>
      <w:r w:rsidRPr="00B03464">
        <w:rPr>
          <w:rFonts w:ascii="Calibri" w:eastAsia="Calibri" w:hAnsi="Calibri"/>
          <w:sz w:val="22"/>
          <w:szCs w:val="22"/>
          <w:lang w:eastAsia="en-US"/>
        </w:rPr>
        <w:t>.</w:t>
      </w:r>
    </w:p>
    <w:p w14:paraId="3167A1D9" w14:textId="74B0FA13" w:rsidR="00B03464" w:rsidRDefault="00B03464" w:rsidP="00B03464">
      <w:pPr>
        <w:rPr>
          <w:rFonts w:ascii="Calibri" w:eastAsia="Calibri" w:hAnsi="Calibri"/>
          <w:sz w:val="22"/>
          <w:szCs w:val="22"/>
          <w:lang w:eastAsia="en-US"/>
        </w:rPr>
      </w:pPr>
      <w:r w:rsidRPr="00B03464">
        <w:rPr>
          <w:rFonts w:ascii="Calibri" w:eastAsia="Calibri" w:hAnsi="Calibri"/>
          <w:sz w:val="22"/>
          <w:szCs w:val="22"/>
          <w:lang w:eastAsia="en-US"/>
        </w:rPr>
        <w:t xml:space="preserve"> </w:t>
      </w:r>
    </w:p>
    <w:p w14:paraId="0B57062E" w14:textId="50F3BB5C" w:rsidR="00B03464" w:rsidRPr="00B03464" w:rsidRDefault="00B03464" w:rsidP="00B03464">
      <w:pPr>
        <w:rPr>
          <w:rFonts w:ascii="Calibri" w:eastAsia="Calibri" w:hAnsi="Calibri"/>
          <w:sz w:val="22"/>
          <w:szCs w:val="22"/>
          <w:lang w:eastAsia="en-US"/>
        </w:rPr>
      </w:pPr>
      <w:r w:rsidRPr="00B03464">
        <w:rPr>
          <w:rFonts w:ascii="Calibri" w:eastAsia="Calibri" w:hAnsi="Calibri"/>
          <w:sz w:val="22"/>
          <w:szCs w:val="22"/>
          <w:lang w:eastAsia="en-US"/>
        </w:rPr>
        <w:t xml:space="preserve">ICE has operated a comprehensive position management regime, thereby ensuring compliance with its Rulebook and fulfilling requirements imposed on the Exchanges by the national legislation as well as CFTC requirements with regards to the so called Linked Contracts. </w:t>
      </w:r>
    </w:p>
    <w:p w14:paraId="2494CD4F" w14:textId="77777777" w:rsidR="00B03464" w:rsidRPr="00B03464" w:rsidRDefault="00B03464" w:rsidP="00B03464">
      <w:pPr>
        <w:rPr>
          <w:rFonts w:ascii="Calibri" w:eastAsia="Calibri" w:hAnsi="Calibri"/>
          <w:sz w:val="22"/>
          <w:szCs w:val="22"/>
          <w:lang w:eastAsia="en-US"/>
        </w:rPr>
      </w:pPr>
    </w:p>
    <w:p w14:paraId="5D00F4A2" w14:textId="37DC16ED" w:rsidR="00B03464" w:rsidRDefault="00B03464" w:rsidP="00AB6157">
      <w:pPr>
        <w:rPr>
          <w:rFonts w:ascii="Calibri" w:eastAsia="Calibri" w:hAnsi="Calibri"/>
          <w:sz w:val="22"/>
          <w:szCs w:val="22"/>
          <w:lang w:eastAsia="en-US"/>
        </w:rPr>
      </w:pPr>
      <w:r w:rsidRPr="00B03464">
        <w:rPr>
          <w:rFonts w:ascii="Calibri" w:eastAsia="Calibri" w:hAnsi="Calibri"/>
          <w:sz w:val="22"/>
          <w:szCs w:val="22"/>
          <w:lang w:eastAsia="en-US"/>
        </w:rPr>
        <w:t>ICE is of the view that its pre-existing position management regime along with its market supervision and surveillance systems have contributed substantially to preventing market abuse</w:t>
      </w:r>
      <w:r>
        <w:rPr>
          <w:rFonts w:ascii="Calibri" w:eastAsia="Calibri" w:hAnsi="Calibri"/>
          <w:sz w:val="22"/>
          <w:szCs w:val="22"/>
          <w:lang w:eastAsia="en-US"/>
        </w:rPr>
        <w:t xml:space="preserve"> and ensuring orderly trading and settlement</w:t>
      </w:r>
      <w:r w:rsidRPr="00B03464">
        <w:rPr>
          <w:rFonts w:ascii="Calibri" w:eastAsia="Calibri" w:hAnsi="Calibri"/>
          <w:sz w:val="22"/>
          <w:szCs w:val="22"/>
          <w:lang w:eastAsia="en-US"/>
        </w:rPr>
        <w:t xml:space="preserve"> in commodity markets operated by the Exchanges</w:t>
      </w:r>
      <w:r>
        <w:rPr>
          <w:rFonts w:ascii="Calibri" w:eastAsia="Calibri" w:hAnsi="Calibri"/>
          <w:sz w:val="22"/>
          <w:szCs w:val="22"/>
          <w:lang w:eastAsia="en-US"/>
        </w:rPr>
        <w:t xml:space="preserve">. </w:t>
      </w:r>
    </w:p>
    <w:permEnd w:id="1129916202"/>
    <w:p w14:paraId="041C37C4" w14:textId="7972E9CA" w:rsidR="00AB6157" w:rsidRDefault="00AB6157" w:rsidP="00AB6157">
      <w:pPr>
        <w:rPr>
          <w:rFonts w:ascii="Arial" w:hAnsi="Arial" w:cs="Arial"/>
        </w:rPr>
      </w:pPr>
      <w:r>
        <w:rPr>
          <w:rFonts w:ascii="Arial" w:hAnsi="Arial" w:cs="Arial"/>
        </w:rPr>
        <w:t>&lt;ESMA_QUESTION_PLPM_22&gt;</w:t>
      </w:r>
    </w:p>
    <w:p w14:paraId="4993FACC" w14:textId="77777777" w:rsidR="00AB6157" w:rsidRDefault="00AB6157" w:rsidP="00AB6157">
      <w:pPr>
        <w:rPr>
          <w:rFonts w:ascii="Arial" w:hAnsi="Arial" w:cs="Arial"/>
        </w:rPr>
      </w:pPr>
    </w:p>
    <w:p w14:paraId="4D093E79" w14:textId="77777777" w:rsidR="00AB6157" w:rsidRPr="007B52B2" w:rsidRDefault="00AB6157" w:rsidP="00AB6157">
      <w:pPr>
        <w:rPr>
          <w:rFonts w:ascii="Arial" w:hAnsi="Arial" w:cs="Arial"/>
        </w:rPr>
      </w:pPr>
    </w:p>
    <w:bookmarkEnd w:id="1"/>
    <w:p w14:paraId="2FAEAD2D" w14:textId="77777777" w:rsidR="00AB6157" w:rsidRDefault="00AB6157" w:rsidP="00C1698A">
      <w:pPr>
        <w:spacing w:line="276" w:lineRule="auto"/>
        <w:rPr>
          <w:rFonts w:asciiTheme="minorHAnsi" w:hAnsiTheme="minorHAnsi" w:cstheme="minorHAnsi"/>
          <w:b/>
          <w:sz w:val="28"/>
          <w:szCs w:val="28"/>
        </w:rPr>
      </w:pPr>
    </w:p>
    <w:sectPr w:rsidR="00AB6157" w:rsidSect="00C85C8B">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3A424" w14:textId="77777777" w:rsidR="004418D1" w:rsidRDefault="004418D1" w:rsidP="007E7997">
      <w:r>
        <w:separator/>
      </w:r>
    </w:p>
  </w:endnote>
  <w:endnote w:type="continuationSeparator" w:id="0">
    <w:p w14:paraId="73413D42" w14:textId="77777777" w:rsidR="004418D1" w:rsidRDefault="004418D1" w:rsidP="007E7997">
      <w:r>
        <w:continuationSeparator/>
      </w:r>
    </w:p>
  </w:endnote>
  <w:endnote w:type="continuationNotice" w:id="1">
    <w:p w14:paraId="0079322D" w14:textId="77777777" w:rsidR="004418D1" w:rsidRDefault="00441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B203FA" w:rsidRDefault="00B203F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B203FA" w:rsidRDefault="00B20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117DAE32" w:rsidR="00B203FA" w:rsidRDefault="00B203FA" w:rsidP="007A160F">
    <w:pPr>
      <w:pStyle w:val="Footer"/>
    </w:pPr>
    <w:r>
      <w:rPr>
        <w:rFonts w:asciiTheme="majorHAnsi" w:hAnsiTheme="majorHAnsi"/>
        <w:color w:val="FFFFFF" w:themeColor="background1"/>
      </w:rPr>
      <w:tab/>
    </w:r>
    <w:r>
      <w:rPr>
        <w:rFonts w:asciiTheme="majorHAnsi" w:hAnsiTheme="majorHAnsi"/>
        <w:color w:val="FFFFFF" w:themeColor="background1"/>
      </w:rPr>
      <w:tab/>
      <w:t xml:space="preserve">24 May 2019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43E3BADC" w:rsidR="00B203FA" w:rsidRDefault="00B203FA">
        <w:pPr>
          <w:pStyle w:val="Footer"/>
          <w:jc w:val="center"/>
        </w:pPr>
        <w:r>
          <w:fldChar w:fldCharType="begin"/>
        </w:r>
        <w:r>
          <w:instrText xml:space="preserve"> PAGE   \* MERGEFORMAT </w:instrText>
        </w:r>
        <w:r>
          <w:fldChar w:fldCharType="separate"/>
        </w:r>
        <w:r w:rsidR="00A86BB2">
          <w:rPr>
            <w:noProof/>
          </w:rPr>
          <w:t>18</w:t>
        </w:r>
        <w:r>
          <w:rPr>
            <w:noProof/>
          </w:rPr>
          <w:fldChar w:fldCharType="end"/>
        </w:r>
      </w:p>
    </w:sdtContent>
  </w:sdt>
  <w:p w14:paraId="5EAB6EC7" w14:textId="1F85019A" w:rsidR="00B203FA" w:rsidRDefault="00B203FA"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676FC" w14:textId="77777777" w:rsidR="004418D1" w:rsidRDefault="004418D1" w:rsidP="007E7997">
      <w:r>
        <w:separator/>
      </w:r>
    </w:p>
  </w:footnote>
  <w:footnote w:type="continuationSeparator" w:id="0">
    <w:p w14:paraId="09E2AA8E" w14:textId="77777777" w:rsidR="004418D1" w:rsidRDefault="004418D1" w:rsidP="007E7997">
      <w:r>
        <w:continuationSeparator/>
      </w:r>
    </w:p>
  </w:footnote>
  <w:footnote w:type="continuationNotice" w:id="1">
    <w:p w14:paraId="7530BD4E" w14:textId="77777777" w:rsidR="004418D1" w:rsidRDefault="004418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B203FA" w:rsidRDefault="00B203FA">
    <w:pPr>
      <w:pStyle w:val="Header"/>
    </w:pPr>
  </w:p>
  <w:p w14:paraId="59FA3C9D" w14:textId="77777777" w:rsidR="00B203FA" w:rsidRDefault="00B20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B203FA" w:rsidRDefault="00B203FA">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B203FA" w:rsidRDefault="00B203FA"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6AE2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B203FA" w:rsidRPr="00D13661" w:rsidRDefault="00B203FA"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B203FA" w:rsidRPr="00C3170E" w:rsidRDefault="00B203FA" w:rsidP="00B50534">
    <w:pPr>
      <w:pStyle w:val="Header"/>
      <w:jc w:val="right"/>
      <w:rPr>
        <w:color w:val="2F5496" w:themeColor="accent5" w:themeShade="BF"/>
        <w:sz w:val="20"/>
      </w:rPr>
    </w:pPr>
  </w:p>
  <w:p w14:paraId="5EAB6EC6" w14:textId="77777777" w:rsidR="00B203FA" w:rsidRPr="00B50534" w:rsidRDefault="00B203FA"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87DC5"/>
    <w:multiLevelType w:val="hybridMultilevel"/>
    <w:tmpl w:val="106EA6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D6239E"/>
    <w:multiLevelType w:val="hybridMultilevel"/>
    <w:tmpl w:val="74CE91B2"/>
    <w:lvl w:ilvl="0" w:tplc="C9D45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B2200E"/>
    <w:multiLevelType w:val="hybridMultilevel"/>
    <w:tmpl w:val="7AE8B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5808053C"/>
    <w:multiLevelType w:val="hybridMultilevel"/>
    <w:tmpl w:val="1ECCDC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3"/>
  </w:num>
  <w:num w:numId="4">
    <w:abstractNumId w:val="2"/>
  </w:num>
  <w:num w:numId="5">
    <w:abstractNumId w:val="10"/>
  </w:num>
  <w:num w:numId="6">
    <w:abstractNumId w:val="15"/>
  </w:num>
  <w:num w:numId="7">
    <w:abstractNumId w:val="9"/>
  </w:num>
  <w:num w:numId="8">
    <w:abstractNumId w:val="3"/>
  </w:num>
  <w:num w:numId="9">
    <w:abstractNumId w:val="7"/>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2"/>
  </w:num>
  <w:num w:numId="16">
    <w:abstractNumId w:val="14"/>
  </w:num>
  <w:num w:numId="17">
    <w:abstractNumId w:val="8"/>
  </w:num>
  <w:num w:numId="18">
    <w:abstractNumId w:val="6"/>
  </w:num>
  <w:num w:numId="19">
    <w:abstractNumId w:val="0"/>
  </w:num>
  <w:num w:numId="2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ttachedTemplate r:id="rId1"/>
  <w:documentProtection w:edit="readOnly"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4345"/>
    <w:rsid w:val="00026327"/>
    <w:rsid w:val="00027EC9"/>
    <w:rsid w:val="00033934"/>
    <w:rsid w:val="00036C09"/>
    <w:rsid w:val="000372BF"/>
    <w:rsid w:val="00040A52"/>
    <w:rsid w:val="00043A3C"/>
    <w:rsid w:val="00044C5A"/>
    <w:rsid w:val="00044E0A"/>
    <w:rsid w:val="000453CE"/>
    <w:rsid w:val="00054E00"/>
    <w:rsid w:val="00061B2B"/>
    <w:rsid w:val="0006313F"/>
    <w:rsid w:val="0006448C"/>
    <w:rsid w:val="0006449B"/>
    <w:rsid w:val="000655AD"/>
    <w:rsid w:val="00066FD1"/>
    <w:rsid w:val="00067AD3"/>
    <w:rsid w:val="00072BF9"/>
    <w:rsid w:val="00073DF9"/>
    <w:rsid w:val="0007767E"/>
    <w:rsid w:val="0007796D"/>
    <w:rsid w:val="000830DA"/>
    <w:rsid w:val="00083FBB"/>
    <w:rsid w:val="000921E6"/>
    <w:rsid w:val="00093239"/>
    <w:rsid w:val="00096A38"/>
    <w:rsid w:val="000A03C9"/>
    <w:rsid w:val="000A12CC"/>
    <w:rsid w:val="000A2738"/>
    <w:rsid w:val="000A2DF1"/>
    <w:rsid w:val="000A3D10"/>
    <w:rsid w:val="000A409B"/>
    <w:rsid w:val="000A66FC"/>
    <w:rsid w:val="000A741E"/>
    <w:rsid w:val="000B1615"/>
    <w:rsid w:val="000B2AAF"/>
    <w:rsid w:val="000B2E26"/>
    <w:rsid w:val="000B4F56"/>
    <w:rsid w:val="000B5D3D"/>
    <w:rsid w:val="000C0CE0"/>
    <w:rsid w:val="000C2400"/>
    <w:rsid w:val="000C299C"/>
    <w:rsid w:val="000C5ACC"/>
    <w:rsid w:val="000C6D3E"/>
    <w:rsid w:val="000D0293"/>
    <w:rsid w:val="000D0850"/>
    <w:rsid w:val="000D1038"/>
    <w:rsid w:val="000D11A9"/>
    <w:rsid w:val="000D2D7B"/>
    <w:rsid w:val="000D48DB"/>
    <w:rsid w:val="000E2232"/>
    <w:rsid w:val="000E3DB1"/>
    <w:rsid w:val="000F0169"/>
    <w:rsid w:val="000F0951"/>
    <w:rsid w:val="000F2598"/>
    <w:rsid w:val="000F29C0"/>
    <w:rsid w:val="000F2BE6"/>
    <w:rsid w:val="000F474D"/>
    <w:rsid w:val="000F5C90"/>
    <w:rsid w:val="000F5EA6"/>
    <w:rsid w:val="000F74C4"/>
    <w:rsid w:val="000F7998"/>
    <w:rsid w:val="00100ADC"/>
    <w:rsid w:val="0010429A"/>
    <w:rsid w:val="00105424"/>
    <w:rsid w:val="001075EC"/>
    <w:rsid w:val="0011030A"/>
    <w:rsid w:val="00113D82"/>
    <w:rsid w:val="00120F0D"/>
    <w:rsid w:val="001214DA"/>
    <w:rsid w:val="00124079"/>
    <w:rsid w:val="0012722A"/>
    <w:rsid w:val="00130EF9"/>
    <w:rsid w:val="001312B5"/>
    <w:rsid w:val="001319C7"/>
    <w:rsid w:val="001355E6"/>
    <w:rsid w:val="0013644A"/>
    <w:rsid w:val="00140BA6"/>
    <w:rsid w:val="00141946"/>
    <w:rsid w:val="00143DCA"/>
    <w:rsid w:val="00144AAD"/>
    <w:rsid w:val="001455E7"/>
    <w:rsid w:val="0014624E"/>
    <w:rsid w:val="001608B2"/>
    <w:rsid w:val="00160FE0"/>
    <w:rsid w:val="00163AB3"/>
    <w:rsid w:val="00165047"/>
    <w:rsid w:val="001650F3"/>
    <w:rsid w:val="00165FF8"/>
    <w:rsid w:val="0016669F"/>
    <w:rsid w:val="00170AD6"/>
    <w:rsid w:val="00172A75"/>
    <w:rsid w:val="001735B8"/>
    <w:rsid w:val="00177AA7"/>
    <w:rsid w:val="00180917"/>
    <w:rsid w:val="00180E53"/>
    <w:rsid w:val="00181CB7"/>
    <w:rsid w:val="00183585"/>
    <w:rsid w:val="001862A5"/>
    <w:rsid w:val="00186A70"/>
    <w:rsid w:val="00190330"/>
    <w:rsid w:val="00191035"/>
    <w:rsid w:val="001918E5"/>
    <w:rsid w:val="00192A7A"/>
    <w:rsid w:val="001A1EF4"/>
    <w:rsid w:val="001A2D7A"/>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199"/>
    <w:rsid w:val="001E4A45"/>
    <w:rsid w:val="001E5E30"/>
    <w:rsid w:val="001F0479"/>
    <w:rsid w:val="001F1F10"/>
    <w:rsid w:val="001F3999"/>
    <w:rsid w:val="001F3D9D"/>
    <w:rsid w:val="00200894"/>
    <w:rsid w:val="00202333"/>
    <w:rsid w:val="00202FA8"/>
    <w:rsid w:val="002034B8"/>
    <w:rsid w:val="002056ED"/>
    <w:rsid w:val="00205922"/>
    <w:rsid w:val="00206FB8"/>
    <w:rsid w:val="0020766F"/>
    <w:rsid w:val="00207A07"/>
    <w:rsid w:val="00210498"/>
    <w:rsid w:val="0021147A"/>
    <w:rsid w:val="00213BFB"/>
    <w:rsid w:val="00217478"/>
    <w:rsid w:val="00224806"/>
    <w:rsid w:val="0023250D"/>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3E20"/>
    <w:rsid w:val="002645A8"/>
    <w:rsid w:val="0026493B"/>
    <w:rsid w:val="00265566"/>
    <w:rsid w:val="00265F44"/>
    <w:rsid w:val="002665E3"/>
    <w:rsid w:val="00270B7C"/>
    <w:rsid w:val="0027199C"/>
    <w:rsid w:val="00272C4E"/>
    <w:rsid w:val="002751FC"/>
    <w:rsid w:val="002753BD"/>
    <w:rsid w:val="00280FAE"/>
    <w:rsid w:val="00282D38"/>
    <w:rsid w:val="00282FBE"/>
    <w:rsid w:val="00284AF2"/>
    <w:rsid w:val="0028536B"/>
    <w:rsid w:val="002855AC"/>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2AAC"/>
    <w:rsid w:val="002C3048"/>
    <w:rsid w:val="002D2992"/>
    <w:rsid w:val="002D354F"/>
    <w:rsid w:val="002D37A0"/>
    <w:rsid w:val="002D5AB5"/>
    <w:rsid w:val="002D6667"/>
    <w:rsid w:val="002D79F3"/>
    <w:rsid w:val="002E1C11"/>
    <w:rsid w:val="002E3D0B"/>
    <w:rsid w:val="002E3E7D"/>
    <w:rsid w:val="002F6279"/>
    <w:rsid w:val="003013B7"/>
    <w:rsid w:val="00301993"/>
    <w:rsid w:val="00301E55"/>
    <w:rsid w:val="00306DA2"/>
    <w:rsid w:val="00307397"/>
    <w:rsid w:val="003101EF"/>
    <w:rsid w:val="00312BDD"/>
    <w:rsid w:val="00314117"/>
    <w:rsid w:val="00317EDF"/>
    <w:rsid w:val="00322E49"/>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2615"/>
    <w:rsid w:val="00373A3C"/>
    <w:rsid w:val="00373AD3"/>
    <w:rsid w:val="00375349"/>
    <w:rsid w:val="00376233"/>
    <w:rsid w:val="003807AE"/>
    <w:rsid w:val="00380B30"/>
    <w:rsid w:val="00381784"/>
    <w:rsid w:val="00381EB0"/>
    <w:rsid w:val="00382A72"/>
    <w:rsid w:val="00382EBA"/>
    <w:rsid w:val="0038331A"/>
    <w:rsid w:val="0039135B"/>
    <w:rsid w:val="00393337"/>
    <w:rsid w:val="003A34E7"/>
    <w:rsid w:val="003A3CB1"/>
    <w:rsid w:val="003A3D55"/>
    <w:rsid w:val="003A73A4"/>
    <w:rsid w:val="003B102E"/>
    <w:rsid w:val="003B4E3D"/>
    <w:rsid w:val="003C167E"/>
    <w:rsid w:val="003C481D"/>
    <w:rsid w:val="003C4EB5"/>
    <w:rsid w:val="003D2CED"/>
    <w:rsid w:val="003D33CC"/>
    <w:rsid w:val="003D344A"/>
    <w:rsid w:val="003D3BB8"/>
    <w:rsid w:val="003D3C5D"/>
    <w:rsid w:val="003D7C07"/>
    <w:rsid w:val="003E13FD"/>
    <w:rsid w:val="003E1C24"/>
    <w:rsid w:val="003E61FC"/>
    <w:rsid w:val="003E77BC"/>
    <w:rsid w:val="003F0EDF"/>
    <w:rsid w:val="003F20C7"/>
    <w:rsid w:val="003F39B1"/>
    <w:rsid w:val="00400D9C"/>
    <w:rsid w:val="00400FBE"/>
    <w:rsid w:val="00401E70"/>
    <w:rsid w:val="00401F0D"/>
    <w:rsid w:val="004022CF"/>
    <w:rsid w:val="004029B1"/>
    <w:rsid w:val="004038F1"/>
    <w:rsid w:val="00404282"/>
    <w:rsid w:val="0040743A"/>
    <w:rsid w:val="00407623"/>
    <w:rsid w:val="00407A74"/>
    <w:rsid w:val="00407DCE"/>
    <w:rsid w:val="00414210"/>
    <w:rsid w:val="004159DB"/>
    <w:rsid w:val="00420FD4"/>
    <w:rsid w:val="00423CA9"/>
    <w:rsid w:val="004242B3"/>
    <w:rsid w:val="00426D62"/>
    <w:rsid w:val="00427A89"/>
    <w:rsid w:val="00430C5B"/>
    <w:rsid w:val="0043109C"/>
    <w:rsid w:val="00431968"/>
    <w:rsid w:val="00433936"/>
    <w:rsid w:val="0043475E"/>
    <w:rsid w:val="00435FE9"/>
    <w:rsid w:val="00436279"/>
    <w:rsid w:val="004418D1"/>
    <w:rsid w:val="0044199E"/>
    <w:rsid w:val="0044206D"/>
    <w:rsid w:val="00444803"/>
    <w:rsid w:val="00445696"/>
    <w:rsid w:val="00446E5F"/>
    <w:rsid w:val="00450C4E"/>
    <w:rsid w:val="00451D9E"/>
    <w:rsid w:val="00455577"/>
    <w:rsid w:val="00456795"/>
    <w:rsid w:val="00460639"/>
    <w:rsid w:val="00461CC8"/>
    <w:rsid w:val="00462B2F"/>
    <w:rsid w:val="00465246"/>
    <w:rsid w:val="00465EAA"/>
    <w:rsid w:val="004708CA"/>
    <w:rsid w:val="004709E7"/>
    <w:rsid w:val="00470ADE"/>
    <w:rsid w:val="004712C7"/>
    <w:rsid w:val="004759EB"/>
    <w:rsid w:val="004777FB"/>
    <w:rsid w:val="00477919"/>
    <w:rsid w:val="00482611"/>
    <w:rsid w:val="004827DC"/>
    <w:rsid w:val="00482A27"/>
    <w:rsid w:val="00487DCE"/>
    <w:rsid w:val="004950B7"/>
    <w:rsid w:val="00497FEA"/>
    <w:rsid w:val="004A1970"/>
    <w:rsid w:val="004B07B2"/>
    <w:rsid w:val="004B0955"/>
    <w:rsid w:val="004B1842"/>
    <w:rsid w:val="004B25D0"/>
    <w:rsid w:val="004B3553"/>
    <w:rsid w:val="004B5E92"/>
    <w:rsid w:val="004C0A30"/>
    <w:rsid w:val="004C357C"/>
    <w:rsid w:val="004C3D18"/>
    <w:rsid w:val="004D42B1"/>
    <w:rsid w:val="004D526F"/>
    <w:rsid w:val="004E19C0"/>
    <w:rsid w:val="004E1C54"/>
    <w:rsid w:val="004E217A"/>
    <w:rsid w:val="004E2C37"/>
    <w:rsid w:val="004E5285"/>
    <w:rsid w:val="004F0460"/>
    <w:rsid w:val="004F0CF3"/>
    <w:rsid w:val="004F5740"/>
    <w:rsid w:val="004F58C9"/>
    <w:rsid w:val="00501FAB"/>
    <w:rsid w:val="005028B9"/>
    <w:rsid w:val="00505E17"/>
    <w:rsid w:val="00511A59"/>
    <w:rsid w:val="00511C3B"/>
    <w:rsid w:val="005137F5"/>
    <w:rsid w:val="00513968"/>
    <w:rsid w:val="00514440"/>
    <w:rsid w:val="005166C3"/>
    <w:rsid w:val="00520F7C"/>
    <w:rsid w:val="00523974"/>
    <w:rsid w:val="00526E5D"/>
    <w:rsid w:val="005311BA"/>
    <w:rsid w:val="00531432"/>
    <w:rsid w:val="00532BC8"/>
    <w:rsid w:val="005333E8"/>
    <w:rsid w:val="00534912"/>
    <w:rsid w:val="005370E7"/>
    <w:rsid w:val="005409B7"/>
    <w:rsid w:val="00545E62"/>
    <w:rsid w:val="0054771A"/>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2C1F"/>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04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3B36"/>
    <w:rsid w:val="00654824"/>
    <w:rsid w:val="0065630A"/>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9E7"/>
    <w:rsid w:val="006A7A10"/>
    <w:rsid w:val="006B0DA4"/>
    <w:rsid w:val="006B1B6B"/>
    <w:rsid w:val="006B1C74"/>
    <w:rsid w:val="006B2C57"/>
    <w:rsid w:val="006B79E0"/>
    <w:rsid w:val="006C0D36"/>
    <w:rsid w:val="006C1633"/>
    <w:rsid w:val="006C5BF8"/>
    <w:rsid w:val="006C7CCB"/>
    <w:rsid w:val="006D11FE"/>
    <w:rsid w:val="006D6009"/>
    <w:rsid w:val="006D7D41"/>
    <w:rsid w:val="006E2F4D"/>
    <w:rsid w:val="006E3FDD"/>
    <w:rsid w:val="006E58FB"/>
    <w:rsid w:val="006E5D82"/>
    <w:rsid w:val="006E66B2"/>
    <w:rsid w:val="006E6C50"/>
    <w:rsid w:val="006E7A69"/>
    <w:rsid w:val="006E7DE4"/>
    <w:rsid w:val="006F3801"/>
    <w:rsid w:val="006F4EB7"/>
    <w:rsid w:val="006F53E8"/>
    <w:rsid w:val="006F5FB8"/>
    <w:rsid w:val="0070017B"/>
    <w:rsid w:val="0070427E"/>
    <w:rsid w:val="00704940"/>
    <w:rsid w:val="00704D53"/>
    <w:rsid w:val="007056C3"/>
    <w:rsid w:val="00706072"/>
    <w:rsid w:val="00707B76"/>
    <w:rsid w:val="00713644"/>
    <w:rsid w:val="00716736"/>
    <w:rsid w:val="00721256"/>
    <w:rsid w:val="007217AD"/>
    <w:rsid w:val="00723BA1"/>
    <w:rsid w:val="00724A1B"/>
    <w:rsid w:val="0073173E"/>
    <w:rsid w:val="007319C3"/>
    <w:rsid w:val="0073454F"/>
    <w:rsid w:val="00735C00"/>
    <w:rsid w:val="007364C6"/>
    <w:rsid w:val="00740BF3"/>
    <w:rsid w:val="00741D5C"/>
    <w:rsid w:val="0074352F"/>
    <w:rsid w:val="00747C5E"/>
    <w:rsid w:val="00747D2D"/>
    <w:rsid w:val="00750210"/>
    <w:rsid w:val="00754B57"/>
    <w:rsid w:val="0075671D"/>
    <w:rsid w:val="0076002F"/>
    <w:rsid w:val="0076038B"/>
    <w:rsid w:val="00761744"/>
    <w:rsid w:val="00764582"/>
    <w:rsid w:val="00764D02"/>
    <w:rsid w:val="00765FA3"/>
    <w:rsid w:val="00766961"/>
    <w:rsid w:val="00766B5A"/>
    <w:rsid w:val="00770C33"/>
    <w:rsid w:val="007741C3"/>
    <w:rsid w:val="00775F04"/>
    <w:rsid w:val="00777BE0"/>
    <w:rsid w:val="00780923"/>
    <w:rsid w:val="0078131F"/>
    <w:rsid w:val="007844C6"/>
    <w:rsid w:val="007876EF"/>
    <w:rsid w:val="00790306"/>
    <w:rsid w:val="0079364C"/>
    <w:rsid w:val="007942B9"/>
    <w:rsid w:val="00796C7F"/>
    <w:rsid w:val="00797E0C"/>
    <w:rsid w:val="007A160F"/>
    <w:rsid w:val="007A48BC"/>
    <w:rsid w:val="007A5C0A"/>
    <w:rsid w:val="007B0BC1"/>
    <w:rsid w:val="007B354B"/>
    <w:rsid w:val="007B4FC3"/>
    <w:rsid w:val="007B73F3"/>
    <w:rsid w:val="007B7EE5"/>
    <w:rsid w:val="007C1C28"/>
    <w:rsid w:val="007C2A2C"/>
    <w:rsid w:val="007C3577"/>
    <w:rsid w:val="007C5E08"/>
    <w:rsid w:val="007D0002"/>
    <w:rsid w:val="007D6133"/>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1C44"/>
    <w:rsid w:val="0080285D"/>
    <w:rsid w:val="0081028F"/>
    <w:rsid w:val="008107D9"/>
    <w:rsid w:val="0081093B"/>
    <w:rsid w:val="008116D9"/>
    <w:rsid w:val="00811936"/>
    <w:rsid w:val="00813059"/>
    <w:rsid w:val="008173E2"/>
    <w:rsid w:val="008201C3"/>
    <w:rsid w:val="00820422"/>
    <w:rsid w:val="00820655"/>
    <w:rsid w:val="0082065A"/>
    <w:rsid w:val="0082171F"/>
    <w:rsid w:val="008227D7"/>
    <w:rsid w:val="008249A1"/>
    <w:rsid w:val="00825D43"/>
    <w:rsid w:val="0082632D"/>
    <w:rsid w:val="00832500"/>
    <w:rsid w:val="00832787"/>
    <w:rsid w:val="00835805"/>
    <w:rsid w:val="0083595F"/>
    <w:rsid w:val="00837276"/>
    <w:rsid w:val="008372B6"/>
    <w:rsid w:val="00843A1A"/>
    <w:rsid w:val="00846433"/>
    <w:rsid w:val="008472C2"/>
    <w:rsid w:val="008510D9"/>
    <w:rsid w:val="00851EE3"/>
    <w:rsid w:val="00853121"/>
    <w:rsid w:val="008555E4"/>
    <w:rsid w:val="00857C49"/>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389"/>
    <w:rsid w:val="008C27D3"/>
    <w:rsid w:val="008C3F0F"/>
    <w:rsid w:val="008C4B2B"/>
    <w:rsid w:val="008C5E91"/>
    <w:rsid w:val="008C686D"/>
    <w:rsid w:val="008C6B18"/>
    <w:rsid w:val="008C75E6"/>
    <w:rsid w:val="008C767A"/>
    <w:rsid w:val="008C7A73"/>
    <w:rsid w:val="008D0569"/>
    <w:rsid w:val="008D073F"/>
    <w:rsid w:val="008D5C28"/>
    <w:rsid w:val="008E2D26"/>
    <w:rsid w:val="008E4076"/>
    <w:rsid w:val="008E5D10"/>
    <w:rsid w:val="008E7DBA"/>
    <w:rsid w:val="008F3386"/>
    <w:rsid w:val="008F3AD9"/>
    <w:rsid w:val="008F4642"/>
    <w:rsid w:val="008F4E00"/>
    <w:rsid w:val="008F761D"/>
    <w:rsid w:val="009004C6"/>
    <w:rsid w:val="00900D44"/>
    <w:rsid w:val="00901E4B"/>
    <w:rsid w:val="00902520"/>
    <w:rsid w:val="00906DC4"/>
    <w:rsid w:val="0091457F"/>
    <w:rsid w:val="0091729E"/>
    <w:rsid w:val="00931DC9"/>
    <w:rsid w:val="00934D88"/>
    <w:rsid w:val="0094008E"/>
    <w:rsid w:val="00941C0C"/>
    <w:rsid w:val="009437F2"/>
    <w:rsid w:val="0094528B"/>
    <w:rsid w:val="009455FD"/>
    <w:rsid w:val="00960A8B"/>
    <w:rsid w:val="00961EE5"/>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21E6"/>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3BC7"/>
    <w:rsid w:val="00A16579"/>
    <w:rsid w:val="00A24843"/>
    <w:rsid w:val="00A26D48"/>
    <w:rsid w:val="00A31C7C"/>
    <w:rsid w:val="00A32FB9"/>
    <w:rsid w:val="00A348A8"/>
    <w:rsid w:val="00A367AA"/>
    <w:rsid w:val="00A378DF"/>
    <w:rsid w:val="00A37AC6"/>
    <w:rsid w:val="00A410CC"/>
    <w:rsid w:val="00A42B43"/>
    <w:rsid w:val="00A42BD0"/>
    <w:rsid w:val="00A433DC"/>
    <w:rsid w:val="00A460CD"/>
    <w:rsid w:val="00A50761"/>
    <w:rsid w:val="00A50DDB"/>
    <w:rsid w:val="00A51323"/>
    <w:rsid w:val="00A51DF2"/>
    <w:rsid w:val="00A53AF0"/>
    <w:rsid w:val="00A54ED7"/>
    <w:rsid w:val="00A55D5C"/>
    <w:rsid w:val="00A61561"/>
    <w:rsid w:val="00A63249"/>
    <w:rsid w:val="00A6691F"/>
    <w:rsid w:val="00A67E6A"/>
    <w:rsid w:val="00A70F49"/>
    <w:rsid w:val="00A72203"/>
    <w:rsid w:val="00A7281F"/>
    <w:rsid w:val="00A73949"/>
    <w:rsid w:val="00A7697E"/>
    <w:rsid w:val="00A76E20"/>
    <w:rsid w:val="00A8284E"/>
    <w:rsid w:val="00A86BB2"/>
    <w:rsid w:val="00A870EE"/>
    <w:rsid w:val="00A91D91"/>
    <w:rsid w:val="00A96F81"/>
    <w:rsid w:val="00A9709D"/>
    <w:rsid w:val="00AA054E"/>
    <w:rsid w:val="00AA0A10"/>
    <w:rsid w:val="00AA18DB"/>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3E7A"/>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AF8"/>
    <w:rsid w:val="00B00B50"/>
    <w:rsid w:val="00B00DB2"/>
    <w:rsid w:val="00B016E3"/>
    <w:rsid w:val="00B02B0B"/>
    <w:rsid w:val="00B03464"/>
    <w:rsid w:val="00B03817"/>
    <w:rsid w:val="00B04283"/>
    <w:rsid w:val="00B05BA8"/>
    <w:rsid w:val="00B0741D"/>
    <w:rsid w:val="00B07AD8"/>
    <w:rsid w:val="00B07B20"/>
    <w:rsid w:val="00B1081B"/>
    <w:rsid w:val="00B11759"/>
    <w:rsid w:val="00B14F01"/>
    <w:rsid w:val="00B15525"/>
    <w:rsid w:val="00B15C0B"/>
    <w:rsid w:val="00B174BA"/>
    <w:rsid w:val="00B17AF3"/>
    <w:rsid w:val="00B203FA"/>
    <w:rsid w:val="00B223B5"/>
    <w:rsid w:val="00B229AD"/>
    <w:rsid w:val="00B237BC"/>
    <w:rsid w:val="00B26EBB"/>
    <w:rsid w:val="00B27499"/>
    <w:rsid w:val="00B3059D"/>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4DF3"/>
    <w:rsid w:val="00B655D1"/>
    <w:rsid w:val="00B72A1E"/>
    <w:rsid w:val="00B73FF2"/>
    <w:rsid w:val="00B74CBA"/>
    <w:rsid w:val="00B74ED3"/>
    <w:rsid w:val="00B7648F"/>
    <w:rsid w:val="00B768CF"/>
    <w:rsid w:val="00B81A44"/>
    <w:rsid w:val="00B86BB5"/>
    <w:rsid w:val="00B87F1C"/>
    <w:rsid w:val="00B91072"/>
    <w:rsid w:val="00B91B6E"/>
    <w:rsid w:val="00B94B2C"/>
    <w:rsid w:val="00B95D17"/>
    <w:rsid w:val="00B96F7D"/>
    <w:rsid w:val="00B970D0"/>
    <w:rsid w:val="00BA49F4"/>
    <w:rsid w:val="00BA5C41"/>
    <w:rsid w:val="00BA6ACA"/>
    <w:rsid w:val="00BA7232"/>
    <w:rsid w:val="00BA7809"/>
    <w:rsid w:val="00BB11C5"/>
    <w:rsid w:val="00BB449C"/>
    <w:rsid w:val="00BB44D7"/>
    <w:rsid w:val="00BC2561"/>
    <w:rsid w:val="00BC3E3E"/>
    <w:rsid w:val="00BC422A"/>
    <w:rsid w:val="00BC5128"/>
    <w:rsid w:val="00BC5608"/>
    <w:rsid w:val="00BD04C9"/>
    <w:rsid w:val="00BD3536"/>
    <w:rsid w:val="00BD37FD"/>
    <w:rsid w:val="00BE225E"/>
    <w:rsid w:val="00BE237E"/>
    <w:rsid w:val="00BE3703"/>
    <w:rsid w:val="00BE443B"/>
    <w:rsid w:val="00BE567F"/>
    <w:rsid w:val="00BF0A29"/>
    <w:rsid w:val="00BF25CD"/>
    <w:rsid w:val="00BF4604"/>
    <w:rsid w:val="00BF47BE"/>
    <w:rsid w:val="00BF5553"/>
    <w:rsid w:val="00BF75CD"/>
    <w:rsid w:val="00C00F1C"/>
    <w:rsid w:val="00C0346D"/>
    <w:rsid w:val="00C0358F"/>
    <w:rsid w:val="00C03BB0"/>
    <w:rsid w:val="00C041CF"/>
    <w:rsid w:val="00C0696A"/>
    <w:rsid w:val="00C1002E"/>
    <w:rsid w:val="00C12034"/>
    <w:rsid w:val="00C1396B"/>
    <w:rsid w:val="00C1698A"/>
    <w:rsid w:val="00C17E6C"/>
    <w:rsid w:val="00C249CC"/>
    <w:rsid w:val="00C24E5F"/>
    <w:rsid w:val="00C255B6"/>
    <w:rsid w:val="00C26F3A"/>
    <w:rsid w:val="00C2770B"/>
    <w:rsid w:val="00C27A22"/>
    <w:rsid w:val="00C27DCC"/>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7A6"/>
    <w:rsid w:val="00C73A70"/>
    <w:rsid w:val="00C76054"/>
    <w:rsid w:val="00C779A2"/>
    <w:rsid w:val="00C802A1"/>
    <w:rsid w:val="00C80546"/>
    <w:rsid w:val="00C83CAD"/>
    <w:rsid w:val="00C8419E"/>
    <w:rsid w:val="00C851D7"/>
    <w:rsid w:val="00C85C8B"/>
    <w:rsid w:val="00C867AD"/>
    <w:rsid w:val="00C87F9F"/>
    <w:rsid w:val="00C915E9"/>
    <w:rsid w:val="00C9545D"/>
    <w:rsid w:val="00C956F5"/>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63E8"/>
    <w:rsid w:val="00CC7FC6"/>
    <w:rsid w:val="00CD0270"/>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67DD"/>
    <w:rsid w:val="00D17FEC"/>
    <w:rsid w:val="00D200E7"/>
    <w:rsid w:val="00D21427"/>
    <w:rsid w:val="00D22164"/>
    <w:rsid w:val="00D22B86"/>
    <w:rsid w:val="00D22F2F"/>
    <w:rsid w:val="00D24194"/>
    <w:rsid w:val="00D2460F"/>
    <w:rsid w:val="00D2590F"/>
    <w:rsid w:val="00D27150"/>
    <w:rsid w:val="00D27889"/>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2FEB"/>
    <w:rsid w:val="00E047EC"/>
    <w:rsid w:val="00E07D42"/>
    <w:rsid w:val="00E163E9"/>
    <w:rsid w:val="00E240F5"/>
    <w:rsid w:val="00E30004"/>
    <w:rsid w:val="00E333AC"/>
    <w:rsid w:val="00E3456B"/>
    <w:rsid w:val="00E35C16"/>
    <w:rsid w:val="00E36085"/>
    <w:rsid w:val="00E36813"/>
    <w:rsid w:val="00E42382"/>
    <w:rsid w:val="00E603DF"/>
    <w:rsid w:val="00E615A6"/>
    <w:rsid w:val="00E63745"/>
    <w:rsid w:val="00E6699F"/>
    <w:rsid w:val="00E669BF"/>
    <w:rsid w:val="00E67B40"/>
    <w:rsid w:val="00E703AE"/>
    <w:rsid w:val="00E72373"/>
    <w:rsid w:val="00E76AF9"/>
    <w:rsid w:val="00E84EF0"/>
    <w:rsid w:val="00E85F32"/>
    <w:rsid w:val="00E8649C"/>
    <w:rsid w:val="00E87886"/>
    <w:rsid w:val="00E87CDE"/>
    <w:rsid w:val="00E9155D"/>
    <w:rsid w:val="00E91FC1"/>
    <w:rsid w:val="00E92D54"/>
    <w:rsid w:val="00E9323C"/>
    <w:rsid w:val="00E95FD8"/>
    <w:rsid w:val="00EA0283"/>
    <w:rsid w:val="00EA2674"/>
    <w:rsid w:val="00EA5DE1"/>
    <w:rsid w:val="00EB0C86"/>
    <w:rsid w:val="00EB0E16"/>
    <w:rsid w:val="00EB236F"/>
    <w:rsid w:val="00EB237E"/>
    <w:rsid w:val="00EB7D0B"/>
    <w:rsid w:val="00EC1546"/>
    <w:rsid w:val="00EC5B23"/>
    <w:rsid w:val="00EC5DED"/>
    <w:rsid w:val="00EC6BD8"/>
    <w:rsid w:val="00ED0356"/>
    <w:rsid w:val="00ED0D71"/>
    <w:rsid w:val="00ED3DCD"/>
    <w:rsid w:val="00ED3DD5"/>
    <w:rsid w:val="00ED56BE"/>
    <w:rsid w:val="00ED74D7"/>
    <w:rsid w:val="00EE40F8"/>
    <w:rsid w:val="00EE6DD6"/>
    <w:rsid w:val="00EF0867"/>
    <w:rsid w:val="00EF195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820"/>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833B8"/>
    <w:rsid w:val="00F927B5"/>
    <w:rsid w:val="00F94952"/>
    <w:rsid w:val="00F94BD0"/>
    <w:rsid w:val="00F95403"/>
    <w:rsid w:val="00F96705"/>
    <w:rsid w:val="00F96750"/>
    <w:rsid w:val="00F9704D"/>
    <w:rsid w:val="00FA0166"/>
    <w:rsid w:val="00FA2400"/>
    <w:rsid w:val="00FA3396"/>
    <w:rsid w:val="00FA33E9"/>
    <w:rsid w:val="00FA55C8"/>
    <w:rsid w:val="00FA74C6"/>
    <w:rsid w:val="00FB24ED"/>
    <w:rsid w:val="00FB29AF"/>
    <w:rsid w:val="00FB313D"/>
    <w:rsid w:val="00FB4003"/>
    <w:rsid w:val="00FB4EBA"/>
    <w:rsid w:val="00FB7086"/>
    <w:rsid w:val="00FC1366"/>
    <w:rsid w:val="00FC633A"/>
    <w:rsid w:val="00FC6733"/>
    <w:rsid w:val="00FD2677"/>
    <w:rsid w:val="00FD28B8"/>
    <w:rsid w:val="00FE0BD8"/>
    <w:rsid w:val="00FE1709"/>
    <w:rsid w:val="00FE1FC9"/>
    <w:rsid w:val="00FE72EF"/>
    <w:rsid w:val="00FE7B44"/>
    <w:rsid w:val="00FF1691"/>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B6E44"/>
  <w15:docId w15:val="{FE6D3760-123F-4F7A-A96D-41CAD814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64"/>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577053727">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48058714">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54549732">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44804178">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825265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mo.org/en/mediacentre/hottopics/pages/sulphur-2020.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ESMA70-156-1362</_dlc_DocId>
    <TaxCatchAll xmlns="20fbe147-bbda-4e53-b6b1-7e8bbff3fe19">
      <Value>474</Value>
      <Value>5</Value>
      <Value>602</Value>
      <Value>2</Value>
      <Value>434</Value>
    </TaxCatchAll>
    <_dlc_DocIdUrl xmlns="20fbe147-bbda-4e53-b6b1-7e8bbff3fe19">
      <Url>https://sherpa.esma.europa.eu/sites/MKT/SMK/_layouts/15/DocIdRedir.aspx?ID=ESMA70-156-1362</Url>
      <Description>ESMA70-156-1362</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90(1)(f) - Position limits</TermName>
          <TermId xmlns="http://schemas.microsoft.com/office/infopath/2007/PartnerControls">e81dbf1e-3064-4884-a3c8-df0a9f8119ae</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C4A87B1C-94F7-4601-8DD2-296DC1F5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schemas.microsoft.com/sharepoint/v4"/>
    <ds:schemaRef ds:uri="http://purl.org/dc/terms/"/>
    <ds:schemaRef ds:uri="20fbe147-bbda-4e53-b6b1-7e8bbff3fe19"/>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9FF7DA89-6177-41E4-9276-605D4F23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19</Pages>
  <Words>5962</Words>
  <Characters>33985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Alina.Dragomir@esma.europa.eu</dc:creator>
  <cp:lastModifiedBy>Katarzyna Szwarc</cp:lastModifiedBy>
  <cp:revision>2</cp:revision>
  <cp:lastPrinted>2019-07-05T10:45:00Z</cp:lastPrinted>
  <dcterms:created xsi:type="dcterms:W3CDTF">2019-07-05T17:20:00Z</dcterms:created>
  <dcterms:modified xsi:type="dcterms:W3CDTF">2019-07-05T17:20:00Z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0x01010001BD15C3986B91498E0AE644B715B9EE010D00757D222C6B0DA241B5F74437644107D4</vt:lpwstr>
  </property>
  <property fmtid="{D5CDD505-2E9C-101B-9397-08002B2CF9AE}" pid="5" name="_dlc_DocIdItemGuid">
    <vt:lpwstr>1f1dd253-cb59-4268-8c71-4ba6659b0f5e</vt:lpwstr>
  </property>
  <property fmtid="{D5CDD505-2E9C-101B-9397-08002B2CF9AE}" pid="6" name="DocumentType">
    <vt:lpwstr>602;#Call for Evidence|4dd13041-d074-4513-b0c9-9d450ea451f0</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474;#MiFID reports - MiFID II 90(1)(f) - Position limits|e81dbf1e-3064-4884-a3c8-df0a9f8119ae</vt:lpwstr>
  </property>
</Properties>
</file>