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sz w:val="22"/>
          <w:szCs w:val="22"/>
        </w:rPr>
        <w:id w:val="-973058580"/>
        <w:docPartObj>
          <w:docPartGallery w:val="Cover Pages"/>
          <w:docPartUnique/>
        </w:docPartObj>
      </w:sdtPr>
      <w:sdtEndPr/>
      <w:sdtContent>
        <w:p w14:paraId="646FCF4E" w14:textId="77777777" w:rsidR="00AF2EF7" w:rsidRPr="00273EEE" w:rsidRDefault="00AF2EF7" w:rsidP="00273EEE">
          <w:pPr>
            <w:spacing w:line="276" w:lineRule="auto"/>
            <w:jc w:val="both"/>
            <w:rPr>
              <w:rFonts w:asciiTheme="majorHAnsi" w:hAnsiTheme="majorHAnsi" w:cstheme="majorHAnsi"/>
              <w:color w:val="FF0000"/>
              <w:sz w:val="22"/>
              <w:szCs w:val="22"/>
            </w:rPr>
          </w:pPr>
        </w:p>
        <w:p w14:paraId="3070E0C4" w14:textId="77777777" w:rsidR="00AF2EF7" w:rsidRPr="00273EEE" w:rsidRDefault="00AF2EF7" w:rsidP="00273EEE">
          <w:pPr>
            <w:spacing w:after="120" w:line="276" w:lineRule="auto"/>
            <w:jc w:val="both"/>
            <w:rPr>
              <w:rFonts w:asciiTheme="majorHAnsi" w:hAnsiTheme="majorHAnsi" w:cstheme="majorHAnsi"/>
              <w:sz w:val="22"/>
              <w:szCs w:val="22"/>
            </w:rPr>
          </w:pPr>
        </w:p>
        <w:p w14:paraId="756B9B96" w14:textId="77777777" w:rsidR="00AF2EF7" w:rsidRPr="00273EEE" w:rsidRDefault="00AF2EF7" w:rsidP="00273EEE">
          <w:pPr>
            <w:spacing w:line="276" w:lineRule="auto"/>
            <w:jc w:val="both"/>
            <w:rPr>
              <w:rFonts w:asciiTheme="majorHAnsi" w:hAnsiTheme="majorHAnsi" w:cstheme="majorHAnsi"/>
              <w:sz w:val="22"/>
              <w:szCs w:val="22"/>
            </w:rPr>
          </w:pPr>
        </w:p>
        <w:p w14:paraId="3C3CC845" w14:textId="77777777" w:rsidR="00AF2EF7" w:rsidRPr="00273EEE" w:rsidRDefault="00AF2EF7" w:rsidP="00273EEE">
          <w:pPr>
            <w:spacing w:line="276" w:lineRule="auto"/>
            <w:jc w:val="both"/>
            <w:rPr>
              <w:rFonts w:asciiTheme="majorHAnsi" w:hAnsiTheme="majorHAnsi" w:cstheme="majorHAnsi"/>
              <w:sz w:val="22"/>
              <w:szCs w:val="22"/>
            </w:rPr>
          </w:pPr>
        </w:p>
        <w:p w14:paraId="02DBE5CC" w14:textId="77777777" w:rsidR="00AF2EF7" w:rsidRPr="00273EEE" w:rsidRDefault="00AF2EF7" w:rsidP="00273EEE">
          <w:pPr>
            <w:spacing w:line="276" w:lineRule="auto"/>
            <w:jc w:val="both"/>
            <w:rPr>
              <w:rFonts w:asciiTheme="majorHAnsi" w:hAnsiTheme="majorHAnsi" w:cstheme="majorHAnsi"/>
              <w:sz w:val="22"/>
              <w:szCs w:val="22"/>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273EEE" w14:paraId="57FC483A" w14:textId="77777777" w:rsidTr="00D13661">
            <w:trPr>
              <w:trHeight w:hRule="exact" w:val="1492"/>
            </w:trPr>
            <w:tc>
              <w:tcPr>
                <w:tcW w:w="10490" w:type="dxa"/>
                <w:vAlign w:val="bottom"/>
              </w:tcPr>
              <w:p w14:paraId="490B77B5" w14:textId="2427BD4E" w:rsidR="00AF2EF7" w:rsidRPr="00273EEE" w:rsidRDefault="00C1698A" w:rsidP="00273EEE">
                <w:pPr>
                  <w:pStyle w:val="Title"/>
                  <w:spacing w:line="276" w:lineRule="auto"/>
                  <w:ind w:right="854"/>
                  <w:jc w:val="both"/>
                  <w:rPr>
                    <w:rFonts w:cstheme="majorHAnsi"/>
                    <w:sz w:val="22"/>
                    <w:szCs w:val="22"/>
                  </w:rPr>
                </w:pPr>
                <w:r w:rsidRPr="00273EEE">
                  <w:rPr>
                    <w:rFonts w:cstheme="majorHAnsi"/>
                    <w:sz w:val="22"/>
                    <w:szCs w:val="22"/>
                  </w:rPr>
                  <w:t>Re</w:t>
                </w:r>
                <w:r w:rsidR="00961EE5" w:rsidRPr="00273EEE">
                  <w:rPr>
                    <w:rFonts w:cstheme="majorHAnsi"/>
                    <w:sz w:val="22"/>
                    <w:szCs w:val="22"/>
                  </w:rPr>
                  <w:t xml:space="preserve">ply </w:t>
                </w:r>
                <w:r w:rsidRPr="00273EEE">
                  <w:rPr>
                    <w:rFonts w:cstheme="majorHAnsi"/>
                    <w:sz w:val="22"/>
                    <w:szCs w:val="22"/>
                  </w:rPr>
                  <w:t xml:space="preserve">Form to the </w:t>
                </w:r>
                <w:r w:rsidR="008B2AF1" w:rsidRPr="00273EEE">
                  <w:rPr>
                    <w:rFonts w:cstheme="majorHAnsi"/>
                    <w:sz w:val="22"/>
                    <w:szCs w:val="22"/>
                  </w:rPr>
                  <w:t>C</w:t>
                </w:r>
                <w:r w:rsidR="000F74C4" w:rsidRPr="00273EEE">
                  <w:rPr>
                    <w:rFonts w:cstheme="majorHAnsi"/>
                    <w:sz w:val="22"/>
                    <w:szCs w:val="22"/>
                  </w:rPr>
                  <w:t xml:space="preserve">all for Evidence </w:t>
                </w:r>
              </w:p>
            </w:tc>
          </w:tr>
          <w:tr w:rsidR="00AB6157" w:rsidRPr="00273EEE" w14:paraId="3298E7DF" w14:textId="77777777" w:rsidTr="00D13661">
            <w:trPr>
              <w:trHeight w:hRule="exact" w:val="747"/>
            </w:trPr>
            <w:tc>
              <w:tcPr>
                <w:tcW w:w="10490" w:type="dxa"/>
                <w:tcMar>
                  <w:top w:w="142" w:type="dxa"/>
                </w:tcMar>
              </w:tcPr>
              <w:p w14:paraId="046BB204" w14:textId="77777777" w:rsidR="00AB6157" w:rsidRPr="00273EEE" w:rsidRDefault="00AB6157" w:rsidP="00273EEE">
                <w:pPr>
                  <w:pStyle w:val="Heading2"/>
                  <w:numPr>
                    <w:ilvl w:val="0"/>
                    <w:numId w:val="0"/>
                  </w:numPr>
                  <w:spacing w:line="276" w:lineRule="auto"/>
                  <w:ind w:left="576" w:hanging="576"/>
                  <w:jc w:val="both"/>
                  <w:rPr>
                    <w:rFonts w:cstheme="majorHAnsi"/>
                    <w:sz w:val="22"/>
                    <w:szCs w:val="22"/>
                  </w:rPr>
                </w:pPr>
                <w:r w:rsidRPr="00273EEE">
                  <w:rPr>
                    <w:rFonts w:cstheme="majorHAnsi"/>
                    <w:sz w:val="22"/>
                    <w:szCs w:val="22"/>
                  </w:rPr>
                  <w:t>Position limits and position management in commodity derivatives</w:t>
                </w:r>
              </w:p>
            </w:tc>
          </w:tr>
        </w:tbl>
        <w:p w14:paraId="2F041421" w14:textId="77777777" w:rsidR="00AF2EF7" w:rsidRPr="00273EEE" w:rsidRDefault="00AF2EF7" w:rsidP="00273EEE">
          <w:pPr>
            <w:spacing w:line="276" w:lineRule="auto"/>
            <w:jc w:val="both"/>
            <w:rPr>
              <w:rFonts w:asciiTheme="majorHAnsi" w:hAnsiTheme="majorHAnsi" w:cstheme="majorHAnsi"/>
              <w:sz w:val="22"/>
              <w:szCs w:val="22"/>
            </w:rPr>
          </w:pPr>
        </w:p>
        <w:p w14:paraId="4A84FFB8" w14:textId="77777777" w:rsidR="00AF2EF7" w:rsidRPr="00273EEE" w:rsidRDefault="00AF2EF7" w:rsidP="00273EEE">
          <w:pPr>
            <w:spacing w:line="276" w:lineRule="auto"/>
            <w:jc w:val="both"/>
            <w:rPr>
              <w:rFonts w:asciiTheme="majorHAnsi" w:hAnsiTheme="majorHAnsi" w:cstheme="majorHAnsi"/>
              <w:sz w:val="22"/>
              <w:szCs w:val="22"/>
            </w:rPr>
            <w:sectPr w:rsidR="00AF2EF7" w:rsidRPr="00273EEE"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6B53057D" w14:textId="77777777" w:rsidR="00AF2EF7" w:rsidRPr="00273EEE" w:rsidRDefault="00AF2EF7" w:rsidP="00273EEE">
          <w:pPr>
            <w:numPr>
              <w:ilvl w:val="1"/>
              <w:numId w:val="0"/>
            </w:numPr>
            <w:spacing w:after="250" w:line="276" w:lineRule="auto"/>
            <w:jc w:val="both"/>
            <w:rPr>
              <w:rFonts w:asciiTheme="majorHAnsi" w:eastAsiaTheme="majorEastAsia" w:hAnsiTheme="majorHAnsi" w:cstheme="majorHAnsi"/>
              <w:b/>
              <w:sz w:val="22"/>
              <w:szCs w:val="22"/>
              <w:lang w:eastAsia="en-US"/>
            </w:rPr>
          </w:pPr>
        </w:p>
        <w:p w14:paraId="6B068FD5" w14:textId="77777777" w:rsidR="00AF2EF7" w:rsidRPr="00273EEE" w:rsidRDefault="00AF2EF7" w:rsidP="00273EEE">
          <w:pPr>
            <w:numPr>
              <w:ilvl w:val="1"/>
              <w:numId w:val="0"/>
            </w:numPr>
            <w:spacing w:after="250" w:line="276" w:lineRule="auto"/>
            <w:jc w:val="both"/>
            <w:rPr>
              <w:rFonts w:asciiTheme="majorHAnsi" w:eastAsiaTheme="majorEastAsia" w:hAnsiTheme="majorHAnsi" w:cstheme="majorHAnsi"/>
              <w:b/>
              <w:sz w:val="22"/>
              <w:szCs w:val="22"/>
              <w:lang w:eastAsia="en-US"/>
            </w:rPr>
          </w:pPr>
          <w:r w:rsidRPr="00273EEE">
            <w:rPr>
              <w:rFonts w:asciiTheme="majorHAnsi" w:eastAsiaTheme="majorEastAsia" w:hAnsiTheme="majorHAnsi" w:cstheme="majorHAnsi"/>
              <w:b/>
              <w:sz w:val="22"/>
              <w:szCs w:val="22"/>
              <w:lang w:eastAsia="en-US"/>
            </w:rPr>
            <w:t xml:space="preserve">Responding to this paper </w:t>
          </w:r>
        </w:p>
        <w:p w14:paraId="75C8CF4B" w14:textId="77777777"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ESMA invites comments on all matters in this paper and in particular on the specific questions summarised in Annex 1. Comments are most helpful if they:</w:t>
          </w:r>
        </w:p>
        <w:p w14:paraId="33C56642" w14:textId="77777777" w:rsidR="00AB6157" w:rsidRPr="00273EEE" w:rsidRDefault="00AB6157" w:rsidP="00273EEE">
          <w:pPr>
            <w:numPr>
              <w:ilvl w:val="0"/>
              <w:numId w:val="15"/>
            </w:num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respond to the question stated;</w:t>
          </w:r>
        </w:p>
        <w:p w14:paraId="36F0CF1D" w14:textId="77777777" w:rsidR="00AB6157" w:rsidRPr="00273EEE" w:rsidRDefault="00AB6157" w:rsidP="00273EEE">
          <w:pPr>
            <w:numPr>
              <w:ilvl w:val="0"/>
              <w:numId w:val="15"/>
            </w:num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indicate the specific question to which the comment relates;</w:t>
          </w:r>
        </w:p>
        <w:p w14:paraId="4F465CE8" w14:textId="77777777" w:rsidR="00AB6157" w:rsidRPr="00273EEE" w:rsidRDefault="00AB6157" w:rsidP="00273EEE">
          <w:pPr>
            <w:numPr>
              <w:ilvl w:val="0"/>
              <w:numId w:val="15"/>
            </w:num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contain a clear rationale; and</w:t>
          </w:r>
        </w:p>
        <w:p w14:paraId="59671429" w14:textId="77777777" w:rsidR="00AB6157" w:rsidRPr="00273EEE" w:rsidRDefault="00AB6157" w:rsidP="00273EEE">
          <w:pPr>
            <w:numPr>
              <w:ilvl w:val="0"/>
              <w:numId w:val="15"/>
            </w:num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describe any alternatives ESMA should consider.</w:t>
          </w:r>
        </w:p>
        <w:p w14:paraId="627D479A" w14:textId="77777777"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 xml:space="preserve">ESMA will consider all comments received by </w:t>
          </w:r>
          <w:r w:rsidRPr="00273EEE">
            <w:rPr>
              <w:rFonts w:asciiTheme="majorHAnsi" w:eastAsiaTheme="minorEastAsia" w:hAnsiTheme="majorHAnsi" w:cstheme="majorHAnsi"/>
              <w:b/>
              <w:sz w:val="22"/>
              <w:szCs w:val="22"/>
              <w:lang w:eastAsia="en-US"/>
            </w:rPr>
            <w:t xml:space="preserve">5 July 2019. </w:t>
          </w:r>
        </w:p>
        <w:p w14:paraId="7B30CF8F" w14:textId="77777777"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 xml:space="preserve">All contributions should be submitted online at </w:t>
          </w:r>
          <w:hyperlink r:id="rId16" w:history="1">
            <w:r w:rsidRPr="00273EEE">
              <w:rPr>
                <w:rFonts w:asciiTheme="majorHAnsi" w:eastAsiaTheme="minorEastAsia" w:hAnsiTheme="majorHAnsi" w:cstheme="majorHAnsi"/>
                <w:color w:val="0563C1" w:themeColor="hyperlink"/>
                <w:sz w:val="22"/>
                <w:szCs w:val="22"/>
                <w:u w:val="single"/>
                <w:lang w:eastAsia="en-US"/>
              </w:rPr>
              <w:t>www.esma.europa.eu</w:t>
            </w:r>
          </w:hyperlink>
          <w:r w:rsidRPr="00273EEE">
            <w:rPr>
              <w:rFonts w:asciiTheme="majorHAnsi" w:eastAsiaTheme="minorEastAsia" w:hAnsiTheme="majorHAnsi" w:cstheme="majorHAnsi"/>
              <w:sz w:val="22"/>
              <w:szCs w:val="22"/>
              <w:lang w:eastAsia="en-US"/>
            </w:rPr>
            <w:t xml:space="preserve"> under the heading ‘Your input - Consultations’. Please follow the instructions given in the document ‘Reply form for the call for evidence on </w:t>
          </w:r>
          <w:r w:rsidRPr="00273EEE">
            <w:rPr>
              <w:rFonts w:asciiTheme="majorHAnsi" w:eastAsiaTheme="minorEastAsia" w:hAnsiTheme="majorHAnsi" w:cstheme="majorHAnsi"/>
              <w:color w:val="2F5496" w:themeColor="accent5" w:themeShade="BF"/>
              <w:sz w:val="22"/>
              <w:szCs w:val="22"/>
              <w:lang w:eastAsia="en-US"/>
            </w:rPr>
            <w:t>position limits and position management controls in commodity derivatives</w:t>
          </w:r>
          <w:r w:rsidRPr="00273EEE">
            <w:rPr>
              <w:rFonts w:asciiTheme="majorHAnsi" w:eastAsiaTheme="minorEastAsia" w:hAnsiTheme="majorHAnsi" w:cstheme="majorHAnsi"/>
              <w:sz w:val="22"/>
              <w:szCs w:val="22"/>
              <w:lang w:eastAsia="en-US"/>
            </w:rPr>
            <w:t>’ also published on the ESMA website.</w:t>
          </w:r>
        </w:p>
        <w:p w14:paraId="1A97A161" w14:textId="77777777" w:rsidR="00C85C8B" w:rsidRPr="00273EEE" w:rsidRDefault="00C85C8B" w:rsidP="00273EEE">
          <w:pPr>
            <w:spacing w:after="250" w:line="276" w:lineRule="auto"/>
            <w:jc w:val="both"/>
            <w:rPr>
              <w:rFonts w:asciiTheme="majorHAnsi" w:eastAsiaTheme="minorEastAsia" w:hAnsiTheme="majorHAnsi" w:cstheme="majorHAnsi"/>
              <w:b/>
              <w:sz w:val="22"/>
              <w:szCs w:val="22"/>
              <w:lang w:eastAsia="en-US"/>
            </w:rPr>
          </w:pPr>
          <w:r w:rsidRPr="00273EEE">
            <w:rPr>
              <w:rFonts w:asciiTheme="majorHAnsi" w:eastAsiaTheme="minorEastAsia" w:hAnsiTheme="majorHAnsi" w:cstheme="majorHAnsi"/>
              <w:b/>
              <w:sz w:val="22"/>
              <w:szCs w:val="22"/>
              <w:lang w:eastAsia="en-US"/>
            </w:rPr>
            <w:t>Instructions</w:t>
          </w:r>
        </w:p>
        <w:p w14:paraId="4616C69A" w14:textId="77777777" w:rsidR="00C85C8B" w:rsidRPr="00273EEE" w:rsidRDefault="00C85C8B"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In order to facilitate analysis of responses to the C</w:t>
          </w:r>
          <w:r w:rsidR="000F74C4" w:rsidRPr="00273EEE">
            <w:rPr>
              <w:rFonts w:asciiTheme="majorHAnsi" w:eastAsiaTheme="minorEastAsia" w:hAnsiTheme="majorHAnsi" w:cstheme="majorHAnsi"/>
              <w:sz w:val="22"/>
              <w:szCs w:val="22"/>
              <w:lang w:eastAsia="en-US"/>
            </w:rPr>
            <w:t>all for Evidence</w:t>
          </w:r>
          <w:r w:rsidRPr="00273EEE">
            <w:rPr>
              <w:rFonts w:asciiTheme="majorHAnsi" w:eastAsiaTheme="minorEastAsia" w:hAnsiTheme="majorHAnsi" w:cstheme="majorHAnsi"/>
              <w:sz w:val="22"/>
              <w:szCs w:val="22"/>
              <w:lang w:eastAsia="en-US"/>
            </w:rPr>
            <w:t>, respondents are requested to follow the below steps when preparing and submitting their response:</w:t>
          </w:r>
        </w:p>
        <w:p w14:paraId="72CDDCE8" w14:textId="77777777" w:rsidR="00C85C8B" w:rsidRPr="00273EEE" w:rsidRDefault="00C85C8B" w:rsidP="00273EEE">
          <w:pPr>
            <w:pStyle w:val="ListParagraph"/>
            <w:rPr>
              <w:rFonts w:asciiTheme="majorHAnsi" w:hAnsiTheme="majorHAnsi" w:cstheme="majorHAnsi"/>
            </w:rPr>
          </w:pPr>
          <w:r w:rsidRPr="00273EEE">
            <w:rPr>
              <w:rFonts w:asciiTheme="majorHAnsi" w:hAnsiTheme="majorHAnsi" w:cstheme="majorHAnsi"/>
            </w:rPr>
            <w:t>Insert your responses to the questions in the C</w:t>
          </w:r>
          <w:r w:rsidR="000F74C4" w:rsidRPr="00273EEE">
            <w:rPr>
              <w:rFonts w:asciiTheme="majorHAnsi" w:hAnsiTheme="majorHAnsi" w:cstheme="majorHAnsi"/>
            </w:rPr>
            <w:t>all for Evidence</w:t>
          </w:r>
          <w:r w:rsidRPr="00273EEE">
            <w:rPr>
              <w:rFonts w:asciiTheme="majorHAnsi" w:hAnsiTheme="majorHAnsi" w:cstheme="majorHAnsi"/>
            </w:rPr>
            <w:t xml:space="preserve"> in the present response form. </w:t>
          </w:r>
        </w:p>
        <w:p w14:paraId="5EA09DC0" w14:textId="77777777" w:rsidR="00C85C8B" w:rsidRPr="00273EEE" w:rsidRDefault="00C85C8B" w:rsidP="00273EEE">
          <w:pPr>
            <w:pStyle w:val="ListParagraph"/>
            <w:rPr>
              <w:rFonts w:asciiTheme="majorHAnsi" w:hAnsiTheme="majorHAnsi" w:cstheme="majorHAnsi"/>
            </w:rPr>
          </w:pPr>
          <w:r w:rsidRPr="00273EEE">
            <w:rPr>
              <w:rFonts w:asciiTheme="majorHAnsi" w:hAnsiTheme="majorHAnsi" w:cstheme="majorHAnsi"/>
            </w:rPr>
            <w:t>Please do not remove tags of the type &lt;ESMA_QUESTION_</w:t>
          </w:r>
          <w:r w:rsidR="00AB6157" w:rsidRPr="00273EEE">
            <w:rPr>
              <w:rFonts w:asciiTheme="majorHAnsi" w:hAnsiTheme="majorHAnsi" w:cstheme="majorHAnsi"/>
            </w:rPr>
            <w:t>PLPM</w:t>
          </w:r>
          <w:r w:rsidRPr="00273EEE">
            <w:rPr>
              <w:rFonts w:asciiTheme="majorHAnsi" w:hAnsiTheme="majorHAnsi" w:cstheme="majorHAnsi"/>
            </w:rPr>
            <w:t>_1&gt;. Your response to each question has to be framed by the two tags corresponding to the question.</w:t>
          </w:r>
        </w:p>
        <w:p w14:paraId="52D0B720" w14:textId="77777777" w:rsidR="00C85C8B" w:rsidRPr="00273EEE" w:rsidRDefault="00C85C8B" w:rsidP="00273EEE">
          <w:pPr>
            <w:pStyle w:val="ListParagraph"/>
            <w:rPr>
              <w:rFonts w:asciiTheme="majorHAnsi" w:hAnsiTheme="majorHAnsi" w:cstheme="majorHAnsi"/>
            </w:rPr>
          </w:pPr>
          <w:r w:rsidRPr="00273EEE">
            <w:rPr>
              <w:rFonts w:asciiTheme="majorHAnsi" w:hAnsiTheme="majorHAnsi" w:cstheme="majorHAnsi"/>
            </w:rPr>
            <w:t>If you do not wish to respond to a given question, please do not delete it but simply leave the text “TYPE YOUR TEXT HERE” between the tags.</w:t>
          </w:r>
        </w:p>
        <w:p w14:paraId="2C0E2171" w14:textId="77777777" w:rsidR="00C85C8B" w:rsidRPr="00273EEE" w:rsidRDefault="00C85C8B" w:rsidP="00273EEE">
          <w:pPr>
            <w:pStyle w:val="ListParagraph"/>
            <w:rPr>
              <w:rFonts w:asciiTheme="majorHAnsi" w:hAnsiTheme="majorHAnsi" w:cstheme="majorHAnsi"/>
            </w:rPr>
          </w:pPr>
          <w:r w:rsidRPr="00273EEE">
            <w:rPr>
              <w:rFonts w:asciiTheme="majorHAnsi" w:hAnsiTheme="majorHAnsi" w:cstheme="majorHAnsi"/>
            </w:rPr>
            <w:t>When you have drafted your response, name your response form according to the following convention: ESMA_</w:t>
          </w:r>
          <w:r w:rsidR="00AB6157" w:rsidRPr="00273EEE">
            <w:rPr>
              <w:rFonts w:asciiTheme="majorHAnsi" w:hAnsiTheme="majorHAnsi" w:cstheme="majorHAnsi"/>
            </w:rPr>
            <w:t>PLPM</w:t>
          </w:r>
          <w:r w:rsidRPr="00273EEE">
            <w:rPr>
              <w:rFonts w:asciiTheme="majorHAnsi" w:hAnsiTheme="majorHAnsi" w:cstheme="majorHAnsi"/>
            </w:rPr>
            <w:t>_nameofrespondent_RESPONSEFORM. For example, for a respondent named ABCD, the response form would be entitled ESMA_</w:t>
          </w:r>
          <w:r w:rsidR="00AB6157" w:rsidRPr="00273EEE">
            <w:rPr>
              <w:rFonts w:asciiTheme="majorHAnsi" w:hAnsiTheme="majorHAnsi" w:cstheme="majorHAnsi"/>
            </w:rPr>
            <w:t>PLPM</w:t>
          </w:r>
          <w:r w:rsidRPr="00273EEE">
            <w:rPr>
              <w:rFonts w:asciiTheme="majorHAnsi" w:hAnsiTheme="majorHAnsi" w:cstheme="majorHAnsi"/>
            </w:rPr>
            <w:t>_ABCD_RESPONSEFORM.</w:t>
          </w:r>
        </w:p>
        <w:p w14:paraId="3525A539" w14:textId="77777777" w:rsidR="00C85C8B" w:rsidRPr="00273EEE" w:rsidRDefault="00C85C8B" w:rsidP="00273EEE">
          <w:pPr>
            <w:pStyle w:val="ListParagraph"/>
            <w:rPr>
              <w:rFonts w:asciiTheme="majorHAnsi" w:hAnsiTheme="majorHAnsi" w:cstheme="majorHAnsi"/>
            </w:rPr>
          </w:pPr>
          <w:r w:rsidRPr="00273EEE">
            <w:rPr>
              <w:rFonts w:asciiTheme="majorHAnsi" w:hAnsiTheme="majorHAnsi" w:cstheme="majorHAnsi"/>
            </w:rPr>
            <w:t>Upload the form containing your responses, in Word format, to ESMA’s website (</w:t>
          </w:r>
          <w:hyperlink r:id="rId17" w:history="1">
            <w:r w:rsidRPr="00273EEE">
              <w:rPr>
                <w:rFonts w:asciiTheme="majorHAnsi" w:hAnsiTheme="majorHAnsi" w:cstheme="majorHAnsi"/>
              </w:rPr>
              <w:t>www.esma.europa.eu</w:t>
            </w:r>
          </w:hyperlink>
          <w:r w:rsidRPr="00273EEE">
            <w:rPr>
              <w:rFonts w:asciiTheme="majorHAnsi" w:hAnsiTheme="majorHAnsi" w:cstheme="majorHAnsi"/>
            </w:rPr>
            <w:t xml:space="preserve"> under the heading “Your input – Open consultations” </w:t>
          </w:r>
          <w:r w:rsidRPr="00273EEE">
            <w:rPr>
              <w:rFonts w:asciiTheme="majorHAnsi" w:hAnsiTheme="majorHAnsi" w:cstheme="majorHAnsi"/>
            </w:rPr>
            <w:sym w:font="Wingdings" w:char="F0E0"/>
          </w:r>
          <w:r w:rsidRPr="00273EEE">
            <w:rPr>
              <w:rFonts w:asciiTheme="majorHAnsi" w:hAnsiTheme="majorHAnsi" w:cstheme="majorHAnsi"/>
            </w:rPr>
            <w:t xml:space="preserve"> “C</w:t>
          </w:r>
          <w:r w:rsidR="000F74C4" w:rsidRPr="00273EEE">
            <w:rPr>
              <w:rFonts w:asciiTheme="majorHAnsi" w:hAnsiTheme="majorHAnsi" w:cstheme="majorHAnsi"/>
            </w:rPr>
            <w:t xml:space="preserve">all for Evidence </w:t>
          </w:r>
          <w:r w:rsidRPr="00273EEE">
            <w:rPr>
              <w:rFonts w:asciiTheme="majorHAnsi" w:hAnsiTheme="majorHAnsi" w:cstheme="majorHAnsi"/>
            </w:rPr>
            <w:t xml:space="preserve">on </w:t>
          </w:r>
          <w:r w:rsidR="00AB6157" w:rsidRPr="00273EEE">
            <w:rPr>
              <w:rFonts w:asciiTheme="majorHAnsi" w:hAnsiTheme="majorHAnsi" w:cstheme="majorHAnsi"/>
            </w:rPr>
            <w:t>Position limits and position management in commodities derivatives</w:t>
          </w:r>
          <w:r w:rsidRPr="00273EEE">
            <w:rPr>
              <w:rFonts w:asciiTheme="majorHAnsi" w:hAnsiTheme="majorHAnsi" w:cstheme="majorHAnsi"/>
            </w:rPr>
            <w:t>”).</w:t>
          </w:r>
        </w:p>
        <w:p w14:paraId="004045E4" w14:textId="77777777" w:rsidR="00C85C8B" w:rsidRPr="00273EEE" w:rsidRDefault="00C85C8B" w:rsidP="00273EEE">
          <w:pPr>
            <w:spacing w:after="250" w:line="276" w:lineRule="auto"/>
            <w:jc w:val="both"/>
            <w:rPr>
              <w:rFonts w:asciiTheme="majorHAnsi" w:eastAsiaTheme="minorEastAsia" w:hAnsiTheme="majorHAnsi" w:cstheme="majorHAnsi"/>
              <w:sz w:val="22"/>
              <w:szCs w:val="22"/>
              <w:lang w:eastAsia="en-US"/>
            </w:rPr>
          </w:pPr>
        </w:p>
        <w:p w14:paraId="3CC5E890" w14:textId="77777777" w:rsidR="00A02199" w:rsidRPr="00273EEE" w:rsidRDefault="00A02199" w:rsidP="00273EEE">
          <w:pPr>
            <w:spacing w:after="250" w:line="276" w:lineRule="auto"/>
            <w:jc w:val="both"/>
            <w:rPr>
              <w:rFonts w:asciiTheme="majorHAnsi" w:eastAsiaTheme="minorEastAsia" w:hAnsiTheme="majorHAnsi" w:cstheme="majorHAnsi"/>
              <w:sz w:val="22"/>
              <w:szCs w:val="22"/>
              <w:lang w:eastAsia="en-US"/>
            </w:rPr>
          </w:pPr>
        </w:p>
        <w:p w14:paraId="0F77A0A7" w14:textId="77777777" w:rsidR="00A02199" w:rsidRPr="00273EEE" w:rsidRDefault="00A02199" w:rsidP="00273EEE">
          <w:pPr>
            <w:spacing w:after="250" w:line="276" w:lineRule="auto"/>
            <w:jc w:val="both"/>
            <w:rPr>
              <w:rFonts w:asciiTheme="majorHAnsi" w:eastAsiaTheme="minorEastAsia" w:hAnsiTheme="majorHAnsi" w:cstheme="majorHAnsi"/>
              <w:sz w:val="22"/>
              <w:szCs w:val="22"/>
              <w:lang w:eastAsia="en-US"/>
            </w:rPr>
          </w:pPr>
        </w:p>
        <w:p w14:paraId="7B5ADB57" w14:textId="77777777" w:rsidR="00AF2EF7" w:rsidRPr="00273EEE" w:rsidRDefault="00AF2EF7" w:rsidP="00273EEE">
          <w:pPr>
            <w:spacing w:after="250" w:line="276" w:lineRule="auto"/>
            <w:jc w:val="both"/>
            <w:rPr>
              <w:rFonts w:asciiTheme="majorHAnsi" w:eastAsiaTheme="minorEastAsia" w:hAnsiTheme="majorHAnsi" w:cstheme="majorHAnsi"/>
              <w:b/>
              <w:sz w:val="22"/>
              <w:szCs w:val="22"/>
              <w:lang w:eastAsia="en-US"/>
            </w:rPr>
          </w:pPr>
          <w:r w:rsidRPr="00273EEE">
            <w:rPr>
              <w:rFonts w:asciiTheme="majorHAnsi" w:eastAsiaTheme="minorEastAsia" w:hAnsiTheme="majorHAnsi" w:cstheme="majorHAnsi"/>
              <w:b/>
              <w:sz w:val="22"/>
              <w:szCs w:val="22"/>
              <w:lang w:eastAsia="en-US"/>
            </w:rPr>
            <w:t>Publication of responses</w:t>
          </w:r>
        </w:p>
        <w:p w14:paraId="679D8D0B" w14:textId="5933EAB9"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 xml:space="preserve">All contributions received will be published following the close of the consultation, unless you request otherwise. Please clearly and prominently indicate in your submission any part you do not wish to be </w:t>
          </w:r>
          <w:r w:rsidR="007448B5" w:rsidRPr="00273EEE">
            <w:rPr>
              <w:rFonts w:asciiTheme="majorHAnsi" w:eastAsiaTheme="minorEastAsia" w:hAnsiTheme="majorHAnsi" w:cstheme="majorHAnsi"/>
              <w:sz w:val="22"/>
              <w:szCs w:val="22"/>
              <w:lang w:eastAsia="en-US"/>
            </w:rPr>
            <w:t>publicly</w:t>
          </w:r>
          <w:r w:rsidRPr="00273EEE">
            <w:rPr>
              <w:rFonts w:asciiTheme="majorHAnsi" w:eastAsiaTheme="minorEastAsia" w:hAnsiTheme="majorHAnsi" w:cstheme="majorHAnsi"/>
              <w:sz w:val="22"/>
              <w:szCs w:val="22"/>
              <w:lang w:eastAsia="en-US"/>
            </w:rPr>
            <w:t xml:space="preserve">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2238C354" w14:textId="77777777" w:rsidR="00AF2EF7" w:rsidRPr="00273EEE" w:rsidRDefault="00AF2EF7" w:rsidP="00273EEE">
          <w:pPr>
            <w:spacing w:after="250" w:line="276" w:lineRule="auto"/>
            <w:jc w:val="both"/>
            <w:rPr>
              <w:rFonts w:asciiTheme="majorHAnsi" w:eastAsiaTheme="minorEastAsia" w:hAnsiTheme="majorHAnsi" w:cstheme="majorHAnsi"/>
              <w:b/>
              <w:sz w:val="22"/>
              <w:szCs w:val="22"/>
              <w:lang w:eastAsia="en-US"/>
            </w:rPr>
          </w:pPr>
          <w:r w:rsidRPr="00273EEE">
            <w:rPr>
              <w:rFonts w:asciiTheme="majorHAnsi" w:eastAsiaTheme="minorEastAsia" w:hAnsiTheme="majorHAnsi" w:cstheme="majorHAnsi"/>
              <w:b/>
              <w:sz w:val="22"/>
              <w:szCs w:val="22"/>
              <w:lang w:eastAsia="en-US"/>
            </w:rPr>
            <w:t>Data protection</w:t>
          </w:r>
        </w:p>
        <w:p w14:paraId="76AA294E" w14:textId="77777777"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 xml:space="preserve">Information on data protection can be found at </w:t>
          </w:r>
          <w:hyperlink r:id="rId18" w:history="1">
            <w:r w:rsidRPr="00273EEE">
              <w:rPr>
                <w:rFonts w:asciiTheme="majorHAnsi" w:eastAsiaTheme="minorEastAsia" w:hAnsiTheme="majorHAnsi" w:cstheme="majorHAnsi"/>
                <w:color w:val="0563C1" w:themeColor="hyperlink"/>
                <w:sz w:val="22"/>
                <w:szCs w:val="22"/>
                <w:u w:val="single"/>
                <w:lang w:eastAsia="en-US"/>
              </w:rPr>
              <w:t>www.esma.europa.eu</w:t>
            </w:r>
          </w:hyperlink>
          <w:r w:rsidRPr="00273EEE">
            <w:rPr>
              <w:rFonts w:asciiTheme="majorHAnsi" w:eastAsiaTheme="minorEastAsia" w:hAnsiTheme="majorHAnsi" w:cstheme="majorHAnsi"/>
              <w:sz w:val="22"/>
              <w:szCs w:val="22"/>
              <w:lang w:eastAsia="en-US"/>
            </w:rPr>
            <w:t xml:space="preserve"> under the heading </w:t>
          </w:r>
          <w:hyperlink r:id="rId19" w:history="1">
            <w:r w:rsidRPr="00273EEE">
              <w:rPr>
                <w:rFonts w:asciiTheme="majorHAnsi" w:eastAsiaTheme="minorEastAsia" w:hAnsiTheme="majorHAnsi" w:cstheme="majorHAnsi"/>
                <w:color w:val="0563C1" w:themeColor="hyperlink"/>
                <w:sz w:val="22"/>
                <w:szCs w:val="22"/>
                <w:u w:val="single"/>
                <w:lang w:eastAsia="en-US"/>
              </w:rPr>
              <w:t>Legal Notice</w:t>
            </w:r>
          </w:hyperlink>
          <w:r w:rsidRPr="00273EEE">
            <w:rPr>
              <w:rFonts w:asciiTheme="majorHAnsi" w:eastAsiaTheme="minorEastAsia" w:hAnsiTheme="majorHAnsi" w:cstheme="majorHAnsi"/>
              <w:sz w:val="22"/>
              <w:szCs w:val="22"/>
              <w:lang w:eastAsia="en-US"/>
            </w:rPr>
            <w:t>.</w:t>
          </w:r>
        </w:p>
        <w:p w14:paraId="78FF9396" w14:textId="77777777" w:rsidR="00AF2EF7" w:rsidRPr="00273EEE" w:rsidRDefault="00AF2EF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b/>
              <w:sz w:val="22"/>
              <w:szCs w:val="22"/>
              <w:lang w:eastAsia="en-US"/>
            </w:rPr>
            <w:t>Who should read this paper</w:t>
          </w:r>
        </w:p>
        <w:p w14:paraId="7FCDE43D" w14:textId="77777777" w:rsidR="00AB6157" w:rsidRPr="00273EEE" w:rsidRDefault="00AB6157"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All interested stakeholders are invited to respond to this consultation paper. This consultation paper is primarily of interest to trading venues, investment firms and non-financial counterparties trading in commodity derivatives, but responses are also sought from any other market participant including trade associations, industry bodies and investors.</w:t>
          </w:r>
        </w:p>
        <w:p w14:paraId="18B9F704" w14:textId="77777777" w:rsidR="00AF2EF7" w:rsidRPr="00273EEE" w:rsidRDefault="00DF2949" w:rsidP="00273EEE">
          <w:pPr>
            <w:spacing w:after="120" w:line="276" w:lineRule="auto"/>
            <w:jc w:val="both"/>
            <w:rPr>
              <w:rFonts w:asciiTheme="majorHAnsi" w:hAnsiTheme="majorHAnsi" w:cstheme="majorHAnsi"/>
              <w:sz w:val="22"/>
              <w:szCs w:val="22"/>
            </w:rPr>
          </w:pPr>
        </w:p>
      </w:sdtContent>
    </w:sdt>
    <w:p w14:paraId="31461BDC" w14:textId="77777777" w:rsidR="00AF2EF7" w:rsidRPr="00273EEE" w:rsidRDefault="00AF2EF7" w:rsidP="00273EEE">
      <w:pPr>
        <w:spacing w:after="120" w:line="276" w:lineRule="auto"/>
        <w:jc w:val="both"/>
        <w:rPr>
          <w:rFonts w:asciiTheme="majorHAnsi" w:hAnsiTheme="majorHAnsi" w:cstheme="majorHAnsi"/>
          <w:sz w:val="22"/>
          <w:szCs w:val="22"/>
        </w:rPr>
      </w:pPr>
    </w:p>
    <w:p w14:paraId="69A7A4BB" w14:textId="77777777" w:rsidR="00AF2EF7" w:rsidRPr="00273EEE" w:rsidRDefault="00AF2EF7" w:rsidP="00273EEE">
      <w:pPr>
        <w:spacing w:after="120" w:line="276" w:lineRule="auto"/>
        <w:jc w:val="both"/>
        <w:rPr>
          <w:rFonts w:asciiTheme="majorHAnsi" w:hAnsiTheme="majorHAnsi" w:cstheme="majorHAnsi"/>
          <w:sz w:val="22"/>
          <w:szCs w:val="22"/>
        </w:rPr>
      </w:pPr>
    </w:p>
    <w:p w14:paraId="5F6783A8" w14:textId="77777777" w:rsidR="00AF2EF7" w:rsidRPr="00273EEE" w:rsidRDefault="00AF2EF7" w:rsidP="00273EEE">
      <w:pPr>
        <w:pStyle w:val="Heading1"/>
        <w:numPr>
          <w:ilvl w:val="0"/>
          <w:numId w:val="0"/>
        </w:numPr>
        <w:spacing w:line="276" w:lineRule="auto"/>
        <w:jc w:val="both"/>
        <w:rPr>
          <w:rFonts w:cstheme="majorHAnsi"/>
          <w:sz w:val="22"/>
          <w:szCs w:val="22"/>
        </w:rPr>
      </w:pPr>
      <w:r w:rsidRPr="00273EEE">
        <w:rPr>
          <w:rFonts w:cstheme="majorHAnsi"/>
          <w:sz w:val="22"/>
          <w:szCs w:val="22"/>
        </w:rPr>
        <w:br w:type="page"/>
      </w:r>
    </w:p>
    <w:p w14:paraId="2132A930" w14:textId="77777777" w:rsidR="00C85C8B" w:rsidRPr="00273EEE" w:rsidRDefault="00C85C8B" w:rsidP="00273EEE">
      <w:pPr>
        <w:spacing w:line="276" w:lineRule="auto"/>
        <w:jc w:val="both"/>
        <w:rPr>
          <w:rFonts w:asciiTheme="majorHAnsi" w:hAnsiTheme="majorHAnsi" w:cstheme="majorHAnsi"/>
          <w:b/>
          <w:sz w:val="22"/>
          <w:szCs w:val="22"/>
        </w:rPr>
      </w:pPr>
      <w:bookmarkStart w:id="0" w:name="_Toc515564428"/>
    </w:p>
    <w:p w14:paraId="2F915228" w14:textId="77777777" w:rsidR="00C85C8B" w:rsidRPr="00273EEE" w:rsidRDefault="00C85C8B" w:rsidP="00273EEE">
      <w:pPr>
        <w:spacing w:line="276" w:lineRule="auto"/>
        <w:jc w:val="both"/>
        <w:rPr>
          <w:rFonts w:asciiTheme="majorHAnsi" w:hAnsiTheme="majorHAnsi" w:cstheme="majorHAnsi"/>
          <w:b/>
          <w:sz w:val="22"/>
          <w:szCs w:val="22"/>
        </w:rPr>
      </w:pPr>
    </w:p>
    <w:p w14:paraId="75099973" w14:textId="77777777" w:rsidR="00C85C8B" w:rsidRPr="00273EEE" w:rsidRDefault="00C85C8B" w:rsidP="00273EEE">
      <w:pPr>
        <w:spacing w:line="276" w:lineRule="auto"/>
        <w:jc w:val="both"/>
        <w:rPr>
          <w:rFonts w:asciiTheme="majorHAnsi" w:hAnsiTheme="majorHAnsi" w:cstheme="majorHAnsi"/>
          <w:b/>
          <w:sz w:val="22"/>
          <w:szCs w:val="22"/>
        </w:rPr>
      </w:pPr>
    </w:p>
    <w:p w14:paraId="0C50D794" w14:textId="77777777" w:rsidR="00C85C8B" w:rsidRPr="00273EEE" w:rsidRDefault="00C85C8B" w:rsidP="00273EEE">
      <w:pPr>
        <w:keepNext/>
        <w:keepLines/>
        <w:spacing w:before="320" w:after="250" w:line="276" w:lineRule="auto"/>
        <w:jc w:val="both"/>
        <w:outlineLvl w:val="0"/>
        <w:rPr>
          <w:rFonts w:asciiTheme="majorHAnsi" w:eastAsiaTheme="majorEastAsia" w:hAnsiTheme="majorHAnsi" w:cstheme="majorHAnsi"/>
          <w:b/>
          <w:sz w:val="22"/>
          <w:szCs w:val="22"/>
          <w:lang w:eastAsia="en-US"/>
        </w:rPr>
      </w:pPr>
      <w:r w:rsidRPr="00273EEE">
        <w:rPr>
          <w:rFonts w:asciiTheme="majorHAnsi" w:eastAsiaTheme="majorEastAsia" w:hAnsiTheme="majorHAnsi" w:cstheme="majorHAnsi"/>
          <w:b/>
          <w:sz w:val="22"/>
          <w:szCs w:val="2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273EEE" w14:paraId="4A68643C" w14:textId="77777777" w:rsidTr="00C7007D">
        <w:tc>
          <w:tcPr>
            <w:tcW w:w="3929" w:type="dxa"/>
            <w:shd w:val="clear" w:color="auto" w:fill="auto"/>
          </w:tcPr>
          <w:p w14:paraId="146AF38D" w14:textId="77777777" w:rsidR="00C85C8B" w:rsidRPr="00273EEE" w:rsidRDefault="00C85C8B" w:rsidP="00273EEE">
            <w:pPr>
              <w:spacing w:line="276" w:lineRule="auto"/>
              <w:jc w:val="both"/>
              <w:rPr>
                <w:rFonts w:asciiTheme="majorHAnsi" w:hAnsiTheme="majorHAnsi" w:cstheme="majorHAnsi"/>
                <w:sz w:val="22"/>
                <w:szCs w:val="22"/>
                <w:lang w:eastAsia="de-DE"/>
              </w:rPr>
            </w:pPr>
            <w:permStart w:id="1016271647" w:edGrp="everyone" w:colFirst="1" w:colLast="1"/>
            <w:r w:rsidRPr="00273EEE">
              <w:rPr>
                <w:rFonts w:asciiTheme="majorHAnsi" w:hAnsiTheme="majorHAnsi" w:cstheme="majorHAnsi"/>
                <w:sz w:val="22"/>
                <w:szCs w:val="22"/>
                <w:lang w:eastAsia="de-DE"/>
              </w:rPr>
              <w:t>Name of the company / organisation</w:t>
            </w:r>
          </w:p>
        </w:tc>
        <w:sdt>
          <w:sdtPr>
            <w:rPr>
              <w:rFonts w:asciiTheme="majorHAnsi" w:hAnsiTheme="majorHAnsi" w:cstheme="majorHAnsi"/>
              <w:color w:val="808080"/>
              <w:sz w:val="22"/>
              <w:szCs w:val="22"/>
              <w:lang w:eastAsia="de-DE"/>
            </w:rPr>
            <w:id w:val="-1905066999"/>
            <w:text/>
          </w:sdtPr>
          <w:sdtEndPr/>
          <w:sdtContent>
            <w:tc>
              <w:tcPr>
                <w:tcW w:w="5595" w:type="dxa"/>
                <w:shd w:val="clear" w:color="auto" w:fill="auto"/>
              </w:tcPr>
              <w:p w14:paraId="660E3732" w14:textId="35D6E771" w:rsidR="00C85C8B" w:rsidRPr="00273EEE" w:rsidRDefault="00F10373" w:rsidP="00273EEE">
                <w:pPr>
                  <w:spacing w:line="276" w:lineRule="auto"/>
                  <w:jc w:val="both"/>
                  <w:rPr>
                    <w:rFonts w:asciiTheme="majorHAnsi" w:hAnsiTheme="majorHAnsi" w:cstheme="majorHAnsi"/>
                    <w:color w:val="808080"/>
                    <w:sz w:val="22"/>
                    <w:szCs w:val="22"/>
                    <w:lang w:eastAsia="de-DE"/>
                  </w:rPr>
                </w:pPr>
                <w:r>
                  <w:rPr>
                    <w:rFonts w:asciiTheme="majorHAnsi" w:hAnsiTheme="majorHAnsi" w:cstheme="majorHAnsi"/>
                    <w:color w:val="808080"/>
                    <w:sz w:val="22"/>
                    <w:szCs w:val="22"/>
                    <w:lang w:eastAsia="de-DE"/>
                  </w:rPr>
                  <w:t>Europex</w:t>
                </w:r>
              </w:p>
            </w:tc>
          </w:sdtContent>
        </w:sdt>
      </w:tr>
      <w:tr w:rsidR="00C85C8B" w:rsidRPr="00273EEE" w14:paraId="3772B142" w14:textId="77777777" w:rsidTr="00C7007D">
        <w:tc>
          <w:tcPr>
            <w:tcW w:w="3929" w:type="dxa"/>
            <w:shd w:val="clear" w:color="auto" w:fill="auto"/>
          </w:tcPr>
          <w:p w14:paraId="21DA414B" w14:textId="77777777" w:rsidR="00C85C8B" w:rsidRPr="00273EEE" w:rsidRDefault="00C85C8B" w:rsidP="00273EEE">
            <w:pPr>
              <w:spacing w:line="276" w:lineRule="auto"/>
              <w:jc w:val="both"/>
              <w:rPr>
                <w:rFonts w:asciiTheme="majorHAnsi" w:hAnsiTheme="majorHAnsi" w:cstheme="majorHAnsi"/>
                <w:sz w:val="22"/>
                <w:szCs w:val="22"/>
                <w:lang w:eastAsia="de-DE"/>
              </w:rPr>
            </w:pPr>
            <w:permStart w:id="1837240346" w:edGrp="everyone" w:colFirst="1" w:colLast="1"/>
            <w:permEnd w:id="1016271647"/>
            <w:r w:rsidRPr="00273EEE">
              <w:rPr>
                <w:rFonts w:asciiTheme="majorHAnsi" w:hAnsiTheme="majorHAnsi" w:cstheme="majorHAnsi"/>
                <w:sz w:val="22"/>
                <w:szCs w:val="22"/>
                <w:lang w:eastAsia="de-DE"/>
              </w:rPr>
              <w:t>Activity</w:t>
            </w:r>
          </w:p>
        </w:tc>
        <w:tc>
          <w:tcPr>
            <w:tcW w:w="5595" w:type="dxa"/>
            <w:shd w:val="clear" w:color="auto" w:fill="auto"/>
          </w:tcPr>
          <w:p w14:paraId="4D079883" w14:textId="751B52CF" w:rsidR="00C85C8B" w:rsidRPr="00273EEE" w:rsidRDefault="00DF2949" w:rsidP="00273EEE">
            <w:pPr>
              <w:spacing w:line="276" w:lineRule="auto"/>
              <w:jc w:val="both"/>
              <w:rPr>
                <w:rFonts w:asciiTheme="majorHAnsi" w:hAnsiTheme="majorHAnsi" w:cstheme="majorHAnsi"/>
                <w:sz w:val="22"/>
                <w:szCs w:val="22"/>
                <w:lang w:eastAsia="de-DE"/>
              </w:rPr>
            </w:pPr>
            <w:sdt>
              <w:sdtPr>
                <w:rPr>
                  <w:rFonts w:asciiTheme="majorHAnsi" w:hAnsiTheme="majorHAnsi" w:cstheme="majorHAnsi"/>
                  <w:sz w:val="22"/>
                  <w:szCs w:val="22"/>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273EEE" w:rsidRPr="00273EEE">
                  <w:rPr>
                    <w:rFonts w:asciiTheme="majorHAnsi" w:hAnsiTheme="majorHAnsi" w:cstheme="majorHAnsi"/>
                    <w:sz w:val="22"/>
                    <w:szCs w:val="22"/>
                    <w:lang w:eastAsia="de-DE"/>
                  </w:rPr>
                  <w:t>Regulated markets/Exchanges/Trading Systems</w:t>
                </w:r>
              </w:sdtContent>
            </w:sdt>
          </w:p>
        </w:tc>
      </w:tr>
      <w:tr w:rsidR="00C85C8B" w:rsidRPr="00273EEE" w14:paraId="339D96DF" w14:textId="77777777" w:rsidTr="00C7007D">
        <w:tc>
          <w:tcPr>
            <w:tcW w:w="3929" w:type="dxa"/>
            <w:shd w:val="clear" w:color="auto" w:fill="auto"/>
          </w:tcPr>
          <w:p w14:paraId="4606F862" w14:textId="77777777" w:rsidR="00C85C8B" w:rsidRPr="00273EEE" w:rsidRDefault="00C85C8B" w:rsidP="00273EEE">
            <w:pPr>
              <w:spacing w:line="276" w:lineRule="auto"/>
              <w:jc w:val="both"/>
              <w:rPr>
                <w:rFonts w:asciiTheme="majorHAnsi" w:hAnsiTheme="majorHAnsi" w:cstheme="majorHAnsi"/>
                <w:sz w:val="22"/>
                <w:szCs w:val="22"/>
                <w:lang w:eastAsia="de-DE"/>
              </w:rPr>
            </w:pPr>
            <w:permStart w:id="790521660" w:edGrp="everyone" w:colFirst="1" w:colLast="1"/>
            <w:permEnd w:id="1837240346"/>
            <w:r w:rsidRPr="00273EEE">
              <w:rPr>
                <w:rFonts w:asciiTheme="majorHAnsi" w:hAnsiTheme="majorHAnsi" w:cstheme="majorHAnsi"/>
                <w:sz w:val="22"/>
                <w:szCs w:val="22"/>
                <w:lang w:eastAsia="de-DE"/>
              </w:rPr>
              <w:t>Are you representing an association?</w:t>
            </w:r>
          </w:p>
        </w:tc>
        <w:sdt>
          <w:sdtPr>
            <w:rPr>
              <w:rFonts w:asciiTheme="majorHAnsi" w:hAnsiTheme="majorHAnsi" w:cstheme="majorHAnsi"/>
              <w:sz w:val="22"/>
              <w:szCs w:val="22"/>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1473A56A" w14:textId="20AB0A61" w:rsidR="00C85C8B" w:rsidRPr="00273EEE" w:rsidRDefault="00273EEE" w:rsidP="00273EEE">
                <w:pPr>
                  <w:spacing w:line="276" w:lineRule="auto"/>
                  <w:jc w:val="both"/>
                  <w:rPr>
                    <w:rFonts w:asciiTheme="majorHAnsi" w:hAnsiTheme="majorHAnsi" w:cstheme="majorHAnsi"/>
                    <w:sz w:val="22"/>
                    <w:szCs w:val="22"/>
                    <w:lang w:eastAsia="de-DE"/>
                  </w:rPr>
                </w:pPr>
                <w:r w:rsidRPr="00273EEE">
                  <w:rPr>
                    <w:rFonts w:ascii="Segoe UI Symbol" w:eastAsia="MS Gothic" w:hAnsi="Segoe UI Symbol" w:cs="Segoe UI Symbol"/>
                    <w:sz w:val="22"/>
                    <w:szCs w:val="22"/>
                    <w:lang w:eastAsia="de-DE"/>
                  </w:rPr>
                  <w:t>☒</w:t>
                </w:r>
              </w:p>
            </w:tc>
          </w:sdtContent>
        </w:sdt>
      </w:tr>
      <w:tr w:rsidR="00C85C8B" w:rsidRPr="00273EEE" w14:paraId="369C2982" w14:textId="77777777" w:rsidTr="00C7007D">
        <w:tc>
          <w:tcPr>
            <w:tcW w:w="3929" w:type="dxa"/>
            <w:shd w:val="clear" w:color="auto" w:fill="auto"/>
          </w:tcPr>
          <w:p w14:paraId="3FB1A7CD" w14:textId="77777777" w:rsidR="00C85C8B" w:rsidRPr="00273EEE" w:rsidRDefault="00C85C8B" w:rsidP="00273EEE">
            <w:pPr>
              <w:spacing w:line="276" w:lineRule="auto"/>
              <w:jc w:val="both"/>
              <w:rPr>
                <w:rFonts w:asciiTheme="majorHAnsi" w:hAnsiTheme="majorHAnsi" w:cstheme="majorHAnsi"/>
                <w:sz w:val="22"/>
                <w:szCs w:val="22"/>
                <w:lang w:eastAsia="de-DE"/>
              </w:rPr>
            </w:pPr>
            <w:permStart w:id="485112993" w:edGrp="everyone" w:colFirst="1" w:colLast="1"/>
            <w:permEnd w:id="790521660"/>
            <w:r w:rsidRPr="00273EEE">
              <w:rPr>
                <w:rFonts w:asciiTheme="majorHAnsi" w:hAnsiTheme="majorHAnsi" w:cstheme="majorHAnsi"/>
                <w:sz w:val="22"/>
                <w:szCs w:val="22"/>
                <w:lang w:eastAsia="de-DE"/>
              </w:rPr>
              <w:t>Country/Region</w:t>
            </w:r>
          </w:p>
        </w:tc>
        <w:sdt>
          <w:sdtPr>
            <w:rPr>
              <w:rFonts w:asciiTheme="majorHAnsi" w:hAnsiTheme="majorHAnsi" w:cstheme="majorHAnsi"/>
              <w:sz w:val="22"/>
              <w:szCs w:val="22"/>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D7F458E" w14:textId="3782A3E4" w:rsidR="00C85C8B" w:rsidRPr="00273EEE" w:rsidRDefault="00273EEE" w:rsidP="00273EEE">
                <w:pPr>
                  <w:spacing w:line="276" w:lineRule="auto"/>
                  <w:jc w:val="both"/>
                  <w:rPr>
                    <w:rFonts w:asciiTheme="majorHAnsi" w:hAnsiTheme="majorHAnsi" w:cstheme="majorHAnsi"/>
                    <w:sz w:val="22"/>
                    <w:szCs w:val="22"/>
                    <w:lang w:eastAsia="de-DE"/>
                  </w:rPr>
                </w:pPr>
                <w:r w:rsidRPr="00273EEE">
                  <w:rPr>
                    <w:rFonts w:asciiTheme="majorHAnsi" w:hAnsiTheme="majorHAnsi" w:cstheme="majorHAnsi"/>
                    <w:sz w:val="22"/>
                    <w:szCs w:val="22"/>
                    <w:lang w:eastAsia="de-DE"/>
                  </w:rPr>
                  <w:t>Belgium</w:t>
                </w:r>
              </w:p>
            </w:tc>
          </w:sdtContent>
        </w:sdt>
      </w:tr>
      <w:permEnd w:id="485112993"/>
    </w:tbl>
    <w:p w14:paraId="1FF140A9" w14:textId="77777777" w:rsidR="00C85C8B" w:rsidRPr="00273EEE" w:rsidRDefault="00C85C8B" w:rsidP="00273EEE">
      <w:pPr>
        <w:spacing w:after="120" w:line="276" w:lineRule="auto"/>
        <w:jc w:val="both"/>
        <w:rPr>
          <w:rFonts w:asciiTheme="majorHAnsi" w:eastAsiaTheme="minorEastAsia" w:hAnsiTheme="majorHAnsi" w:cstheme="majorHAnsi"/>
          <w:sz w:val="22"/>
          <w:szCs w:val="22"/>
          <w:lang w:eastAsia="en-US"/>
        </w:rPr>
      </w:pPr>
    </w:p>
    <w:p w14:paraId="054A6479" w14:textId="77777777" w:rsidR="00C85C8B" w:rsidRPr="00273EEE" w:rsidRDefault="00C85C8B" w:rsidP="00273EEE">
      <w:pPr>
        <w:spacing w:after="120" w:line="276" w:lineRule="auto"/>
        <w:jc w:val="both"/>
        <w:rPr>
          <w:rFonts w:asciiTheme="majorHAnsi" w:eastAsiaTheme="minorEastAsia" w:hAnsiTheme="majorHAnsi" w:cstheme="majorHAnsi"/>
          <w:sz w:val="22"/>
          <w:szCs w:val="22"/>
          <w:lang w:eastAsia="en-US"/>
        </w:rPr>
      </w:pPr>
    </w:p>
    <w:p w14:paraId="11FD179A" w14:textId="77777777" w:rsidR="00C85C8B" w:rsidRPr="00273EEE" w:rsidRDefault="00C85C8B" w:rsidP="00273EEE">
      <w:pPr>
        <w:spacing w:after="120" w:line="276" w:lineRule="auto"/>
        <w:jc w:val="both"/>
        <w:rPr>
          <w:rFonts w:asciiTheme="majorHAnsi" w:eastAsiaTheme="minorEastAsia" w:hAnsiTheme="majorHAnsi" w:cstheme="majorHAnsi"/>
          <w:sz w:val="22"/>
          <w:szCs w:val="22"/>
          <w:lang w:eastAsia="en-US"/>
        </w:rPr>
      </w:pPr>
    </w:p>
    <w:p w14:paraId="357F37C7" w14:textId="77777777" w:rsidR="00C85C8B" w:rsidRPr="00273EEE" w:rsidRDefault="00C85C8B" w:rsidP="00273EEE">
      <w:pPr>
        <w:keepNext/>
        <w:keepLines/>
        <w:spacing w:before="320" w:after="250" w:line="276" w:lineRule="auto"/>
        <w:ind w:left="431" w:hanging="431"/>
        <w:jc w:val="both"/>
        <w:outlineLvl w:val="0"/>
        <w:rPr>
          <w:rFonts w:asciiTheme="majorHAnsi" w:eastAsiaTheme="majorEastAsia" w:hAnsiTheme="majorHAnsi" w:cstheme="majorHAnsi"/>
          <w:b/>
          <w:sz w:val="22"/>
          <w:szCs w:val="22"/>
          <w:lang w:eastAsia="en-US"/>
        </w:rPr>
      </w:pPr>
      <w:r w:rsidRPr="00273EEE">
        <w:rPr>
          <w:rFonts w:asciiTheme="majorHAnsi" w:eastAsiaTheme="majorEastAsia" w:hAnsiTheme="majorHAnsi" w:cstheme="majorHAnsi"/>
          <w:b/>
          <w:sz w:val="22"/>
          <w:szCs w:val="22"/>
          <w:lang w:eastAsia="en-US"/>
        </w:rPr>
        <w:t>Introduction</w:t>
      </w:r>
    </w:p>
    <w:p w14:paraId="6C8B960C" w14:textId="77777777" w:rsidR="00C85C8B" w:rsidRPr="00273EEE" w:rsidRDefault="00C85C8B" w:rsidP="00273EEE">
      <w:pPr>
        <w:spacing w:after="250" w:line="276" w:lineRule="auto"/>
        <w:jc w:val="both"/>
        <w:rPr>
          <w:rFonts w:asciiTheme="majorHAnsi" w:eastAsiaTheme="minorEastAsia" w:hAnsiTheme="majorHAnsi" w:cstheme="majorHAnsi"/>
          <w:b/>
          <w:bCs/>
          <w:i/>
          <w:iCs/>
          <w:sz w:val="22"/>
          <w:szCs w:val="22"/>
          <w:lang w:eastAsia="en-US"/>
        </w:rPr>
      </w:pPr>
      <w:r w:rsidRPr="00273EEE">
        <w:rPr>
          <w:rFonts w:asciiTheme="majorHAnsi" w:eastAsiaTheme="minorEastAsia" w:hAnsiTheme="majorHAnsi" w:cstheme="majorHAnsi"/>
          <w:b/>
          <w:bCs/>
          <w:i/>
          <w:iCs/>
          <w:sz w:val="22"/>
          <w:szCs w:val="22"/>
          <w:lang w:eastAsia="en-US"/>
        </w:rPr>
        <w:t>Please make your introductory comments below, if any</w:t>
      </w:r>
    </w:p>
    <w:p w14:paraId="64F87728" w14:textId="77777777" w:rsidR="001F3968" w:rsidRPr="00273EEE" w:rsidRDefault="00C85C8B"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&lt;ESMA_COMMENT_</w:t>
      </w:r>
      <w:r w:rsidR="00AB6157" w:rsidRPr="00273EEE">
        <w:rPr>
          <w:rFonts w:asciiTheme="majorHAnsi" w:eastAsiaTheme="minorEastAsia" w:hAnsiTheme="majorHAnsi" w:cstheme="majorHAnsi"/>
          <w:sz w:val="22"/>
          <w:szCs w:val="22"/>
          <w:lang w:eastAsia="en-US"/>
        </w:rPr>
        <w:t>PLPM</w:t>
      </w:r>
      <w:r w:rsidRPr="00273EEE">
        <w:rPr>
          <w:rFonts w:asciiTheme="majorHAnsi" w:eastAsiaTheme="minorEastAsia" w:hAnsiTheme="majorHAnsi" w:cstheme="majorHAnsi"/>
          <w:sz w:val="22"/>
          <w:szCs w:val="22"/>
          <w:lang w:eastAsia="en-US"/>
        </w:rPr>
        <w:t>_1&gt;</w:t>
      </w:r>
    </w:p>
    <w:p w14:paraId="3C84E2B6" w14:textId="5305288A" w:rsidR="0024309D" w:rsidRPr="00EA7AA7" w:rsidRDefault="0024309D" w:rsidP="0024309D">
      <w:pPr>
        <w:spacing w:after="250" w:line="276" w:lineRule="auto"/>
        <w:jc w:val="both"/>
        <w:rPr>
          <w:rFonts w:ascii="Arial" w:eastAsiaTheme="minorEastAsia" w:hAnsi="Arial" w:cs="Arial"/>
          <w:sz w:val="22"/>
          <w:szCs w:val="20"/>
          <w:lang w:eastAsia="en-US"/>
        </w:rPr>
      </w:pPr>
      <w:permStart w:id="980902315" w:edGrp="everyone"/>
      <w:r w:rsidRPr="00EA7AA7">
        <w:rPr>
          <w:rFonts w:ascii="Arial" w:eastAsiaTheme="minorEastAsia" w:hAnsi="Arial" w:cs="Arial"/>
          <w:sz w:val="22"/>
          <w:szCs w:val="20"/>
          <w:lang w:eastAsia="en-US"/>
        </w:rPr>
        <w:t>Europex, the Association of European Energy Exchanges, welcomes the opportunity to contribute to the ESMA call for evidence on position limits and position management in commodity derivatives. Europex has actively participated in previous public consultations on the MiFID II/MiFIR package, including on the position limit regime as well as on its implementing legislation and the related regulatory guidance. The present call for evidence offers an important opportunity to review the regime 18 months after its entry into application.</w:t>
      </w:r>
    </w:p>
    <w:p w14:paraId="50FA3007" w14:textId="4A1D2F8A"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r>
        <w:rPr>
          <w:rFonts w:asciiTheme="majorHAnsi" w:hAnsiTheme="majorHAnsi" w:cstheme="majorHAnsi"/>
          <w:sz w:val="22"/>
          <w:szCs w:val="22"/>
        </w:rPr>
        <w:t>Importantly</w:t>
      </w:r>
      <w:r w:rsidRPr="00273EEE">
        <w:rPr>
          <w:rFonts w:asciiTheme="majorHAnsi" w:hAnsiTheme="majorHAnsi" w:cstheme="majorHAnsi"/>
          <w:sz w:val="22"/>
          <w:szCs w:val="22"/>
        </w:rPr>
        <w:t xml:space="preserve">, Europex </w:t>
      </w:r>
      <w:r>
        <w:rPr>
          <w:rFonts w:asciiTheme="majorHAnsi" w:hAnsiTheme="majorHAnsi" w:cstheme="majorHAnsi"/>
          <w:sz w:val="22"/>
          <w:szCs w:val="22"/>
        </w:rPr>
        <w:t>supports</w:t>
      </w:r>
      <w:r w:rsidRPr="00273EEE">
        <w:rPr>
          <w:rFonts w:asciiTheme="majorHAnsi" w:hAnsiTheme="majorHAnsi" w:cstheme="majorHAnsi"/>
          <w:sz w:val="22"/>
          <w:szCs w:val="22"/>
        </w:rPr>
        <w:t xml:space="preserve"> the </w:t>
      </w:r>
      <w:r>
        <w:rPr>
          <w:rFonts w:asciiTheme="majorHAnsi" w:hAnsiTheme="majorHAnsi" w:cstheme="majorHAnsi"/>
          <w:sz w:val="22"/>
          <w:szCs w:val="22"/>
        </w:rPr>
        <w:t xml:space="preserve">policy </w:t>
      </w:r>
      <w:r w:rsidRPr="00273EEE">
        <w:rPr>
          <w:rFonts w:asciiTheme="majorHAnsi" w:hAnsiTheme="majorHAnsi" w:cstheme="majorHAnsi"/>
          <w:sz w:val="22"/>
          <w:szCs w:val="22"/>
        </w:rPr>
        <w:t>objectives of MiFID II</w:t>
      </w:r>
      <w:r>
        <w:rPr>
          <w:rFonts w:asciiTheme="majorHAnsi" w:hAnsiTheme="majorHAnsi" w:cstheme="majorHAnsi"/>
          <w:sz w:val="22"/>
          <w:szCs w:val="22"/>
        </w:rPr>
        <w:t>/MiFIR</w:t>
      </w:r>
      <w:r w:rsidRPr="00273EEE">
        <w:rPr>
          <w:rFonts w:asciiTheme="majorHAnsi" w:hAnsiTheme="majorHAnsi" w:cstheme="majorHAnsi"/>
          <w:sz w:val="22"/>
          <w:szCs w:val="22"/>
        </w:rPr>
        <w:t xml:space="preserve"> to ensure transparency and prevent abuse in commodities markets. At the same time, certain key aspects of the </w:t>
      </w:r>
      <w:r>
        <w:rPr>
          <w:rFonts w:asciiTheme="majorHAnsi" w:hAnsiTheme="majorHAnsi" w:cstheme="majorHAnsi"/>
          <w:sz w:val="22"/>
          <w:szCs w:val="22"/>
        </w:rPr>
        <w:t>position limit regime</w:t>
      </w:r>
      <w:r w:rsidRPr="00273EEE">
        <w:rPr>
          <w:rFonts w:asciiTheme="majorHAnsi" w:hAnsiTheme="majorHAnsi" w:cstheme="majorHAnsi"/>
          <w:sz w:val="22"/>
          <w:szCs w:val="22"/>
        </w:rPr>
        <w:t xml:space="preserve"> remain a challenge </w:t>
      </w:r>
      <w:r>
        <w:rPr>
          <w:rFonts w:asciiTheme="majorHAnsi" w:hAnsiTheme="majorHAnsi" w:cstheme="majorHAnsi"/>
          <w:sz w:val="22"/>
          <w:szCs w:val="22"/>
        </w:rPr>
        <w:t>and</w:t>
      </w:r>
      <w:r w:rsidRPr="00273EEE">
        <w:rPr>
          <w:rFonts w:asciiTheme="majorHAnsi" w:hAnsiTheme="majorHAnsi" w:cstheme="majorHAnsi"/>
          <w:sz w:val="22"/>
          <w:szCs w:val="22"/>
        </w:rPr>
        <w:t xml:space="preserve"> need to be addressed urgently in order to prevent adverse negative consequences to the integrity and competitiveness of European commodity derivatives markets. The most important aspect concerns the position limits for new, illiquid and less liquid contracts. </w:t>
      </w:r>
      <w:r>
        <w:rPr>
          <w:rFonts w:asciiTheme="majorHAnsi" w:hAnsiTheme="majorHAnsi" w:cstheme="majorHAnsi"/>
          <w:sz w:val="22"/>
          <w:szCs w:val="22"/>
        </w:rPr>
        <w:t>(</w:t>
      </w:r>
      <w:r>
        <w:rPr>
          <w:rFonts w:asciiTheme="majorHAnsi" w:eastAsia="Times New Roman" w:hAnsiTheme="majorHAnsi" w:cstheme="majorHAnsi"/>
          <w:sz w:val="22"/>
          <w:szCs w:val="22"/>
          <w:lang w:eastAsia="en-GB"/>
        </w:rPr>
        <w:t>F</w:t>
      </w:r>
      <w:r w:rsidRPr="00273EEE">
        <w:rPr>
          <w:rFonts w:asciiTheme="majorHAnsi" w:eastAsia="Times New Roman" w:hAnsiTheme="majorHAnsi" w:cstheme="majorHAnsi"/>
          <w:sz w:val="22"/>
          <w:szCs w:val="22"/>
          <w:lang w:eastAsia="en-GB"/>
        </w:rPr>
        <w:t xml:space="preserve">or a number of well-developed </w:t>
      </w:r>
      <w:proofErr w:type="gramStart"/>
      <w:r w:rsidRPr="00273EEE">
        <w:rPr>
          <w:rFonts w:asciiTheme="majorHAnsi" w:eastAsia="Times New Roman" w:hAnsiTheme="majorHAnsi" w:cstheme="majorHAnsi"/>
          <w:sz w:val="22"/>
          <w:szCs w:val="22"/>
          <w:lang w:eastAsia="en-GB"/>
        </w:rPr>
        <w:t>benchmark</w:t>
      </w:r>
      <w:proofErr w:type="gramEnd"/>
      <w:r w:rsidRPr="00273EEE">
        <w:rPr>
          <w:rFonts w:asciiTheme="majorHAnsi" w:eastAsia="Times New Roman" w:hAnsiTheme="majorHAnsi" w:cstheme="majorHAnsi"/>
          <w:sz w:val="22"/>
          <w:szCs w:val="22"/>
          <w:lang w:eastAsia="en-GB"/>
        </w:rPr>
        <w:t xml:space="preserve"> contracts</w:t>
      </w:r>
      <w:r w:rsidRPr="00273EEE" w:rsidDel="00357B8E">
        <w:rPr>
          <w:rFonts w:asciiTheme="majorHAnsi" w:hAnsiTheme="majorHAnsi" w:cstheme="majorHAnsi"/>
          <w:sz w:val="22"/>
          <w:szCs w:val="22"/>
        </w:rPr>
        <w:t xml:space="preserve"> </w:t>
      </w:r>
      <w:r>
        <w:rPr>
          <w:rFonts w:asciiTheme="majorHAnsi" w:hAnsiTheme="majorHAnsi" w:cstheme="majorHAnsi"/>
          <w:sz w:val="22"/>
          <w:szCs w:val="22"/>
        </w:rPr>
        <w:t>t</w:t>
      </w:r>
      <w:r w:rsidRPr="00273EEE">
        <w:rPr>
          <w:rFonts w:asciiTheme="majorHAnsi" w:eastAsia="Times New Roman" w:hAnsiTheme="majorHAnsi" w:cstheme="majorHAnsi"/>
          <w:sz w:val="22"/>
          <w:szCs w:val="22"/>
          <w:lang w:eastAsia="en-GB"/>
        </w:rPr>
        <w:t xml:space="preserve">he MiFID II </w:t>
      </w:r>
      <w:r>
        <w:rPr>
          <w:rFonts w:asciiTheme="majorHAnsi" w:eastAsia="Times New Roman" w:hAnsiTheme="majorHAnsi" w:cstheme="majorHAnsi"/>
          <w:sz w:val="22"/>
          <w:szCs w:val="22"/>
          <w:lang w:eastAsia="en-GB"/>
        </w:rPr>
        <w:t>position limit regime</w:t>
      </w:r>
      <w:r w:rsidRPr="00273EEE">
        <w:rPr>
          <w:rFonts w:asciiTheme="majorHAnsi" w:eastAsia="Times New Roman" w:hAnsiTheme="majorHAnsi" w:cstheme="majorHAnsi"/>
          <w:sz w:val="22"/>
          <w:szCs w:val="22"/>
          <w:lang w:eastAsia="en-GB"/>
        </w:rPr>
        <w:t xml:space="preserve"> has so far been able to function</w:t>
      </w:r>
      <w:r w:rsidR="00BB6E98">
        <w:rPr>
          <w:rFonts w:asciiTheme="majorHAnsi" w:eastAsia="Times New Roman" w:hAnsiTheme="majorHAnsi" w:cstheme="majorHAnsi"/>
          <w:sz w:val="22"/>
          <w:szCs w:val="22"/>
          <w:lang w:eastAsia="en-GB"/>
        </w:rPr>
        <w:t xml:space="preserve"> reasonably.</w:t>
      </w:r>
      <w:r>
        <w:rPr>
          <w:rFonts w:asciiTheme="majorHAnsi" w:eastAsia="Times New Roman" w:hAnsiTheme="majorHAnsi" w:cstheme="majorHAnsi"/>
          <w:sz w:val="22"/>
          <w:szCs w:val="22"/>
          <w:lang w:eastAsia="en-GB"/>
        </w:rPr>
        <w:t>)</w:t>
      </w:r>
      <w:r w:rsidRPr="00273EEE">
        <w:rPr>
          <w:rFonts w:asciiTheme="majorHAnsi" w:eastAsia="Times New Roman" w:hAnsiTheme="majorHAnsi" w:cstheme="majorHAnsi"/>
          <w:sz w:val="22"/>
          <w:szCs w:val="22"/>
          <w:lang w:eastAsia="en-GB"/>
        </w:rPr>
        <w:t xml:space="preserve"> For the development of new products and further growth </w:t>
      </w:r>
      <w:r>
        <w:rPr>
          <w:rFonts w:asciiTheme="majorHAnsi" w:eastAsia="Times New Roman" w:hAnsiTheme="majorHAnsi" w:cstheme="majorHAnsi"/>
          <w:sz w:val="22"/>
          <w:szCs w:val="22"/>
          <w:lang w:eastAsia="en-GB"/>
        </w:rPr>
        <w:t>in</w:t>
      </w:r>
      <w:r w:rsidRPr="00273EEE">
        <w:rPr>
          <w:rFonts w:asciiTheme="majorHAnsi" w:eastAsia="Times New Roman" w:hAnsiTheme="majorHAnsi" w:cstheme="majorHAnsi"/>
          <w:sz w:val="22"/>
          <w:szCs w:val="22"/>
          <w:lang w:eastAsia="en-GB"/>
        </w:rPr>
        <w:t xml:space="preserve"> existing illiquid commodity derivative</w:t>
      </w:r>
      <w:r>
        <w:rPr>
          <w:rFonts w:asciiTheme="majorHAnsi" w:eastAsia="Times New Roman" w:hAnsiTheme="majorHAnsi" w:cstheme="majorHAnsi"/>
          <w:sz w:val="22"/>
          <w:szCs w:val="22"/>
          <w:lang w:eastAsia="en-GB"/>
        </w:rPr>
        <w:t>s</w:t>
      </w:r>
      <w:r w:rsidRPr="00273EEE">
        <w:rPr>
          <w:rFonts w:asciiTheme="majorHAnsi" w:eastAsia="Times New Roman" w:hAnsiTheme="majorHAnsi" w:cstheme="majorHAnsi"/>
          <w:sz w:val="22"/>
          <w:szCs w:val="22"/>
          <w:lang w:eastAsia="en-GB"/>
        </w:rPr>
        <w:t xml:space="preserve"> markets, the regime has proven to be a substantial barrier. Fast growing markets in particular have suffered from an increasingly restrictive limit as open interest increases, an inflexible treatment in terms of their categori</w:t>
      </w:r>
      <w:r>
        <w:rPr>
          <w:rFonts w:asciiTheme="majorHAnsi" w:eastAsia="Times New Roman" w:hAnsiTheme="majorHAnsi" w:cstheme="majorHAnsi"/>
          <w:sz w:val="22"/>
          <w:szCs w:val="22"/>
          <w:lang w:eastAsia="en-GB"/>
        </w:rPr>
        <w:t>s</w:t>
      </w:r>
      <w:r w:rsidRPr="00273EEE">
        <w:rPr>
          <w:rFonts w:asciiTheme="majorHAnsi" w:eastAsia="Times New Roman" w:hAnsiTheme="majorHAnsi" w:cstheme="majorHAnsi"/>
          <w:sz w:val="22"/>
          <w:szCs w:val="22"/>
          <w:lang w:eastAsia="en-GB"/>
        </w:rPr>
        <w:t>ation under the position limit framework and an inaccurate reflection of the underlying physical markets. </w:t>
      </w:r>
    </w:p>
    <w:p w14:paraId="29115EDA"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1A7090AA"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r w:rsidRPr="003A799B">
        <w:rPr>
          <w:rFonts w:asciiTheme="majorHAnsi" w:eastAsia="Times New Roman" w:hAnsiTheme="majorHAnsi" w:cstheme="majorHAnsi"/>
          <w:sz w:val="22"/>
          <w:szCs w:val="22"/>
          <w:lang w:eastAsia="en-GB"/>
        </w:rPr>
        <w:t>Furthermore, Europex believes that the regime may contribute to pushing the liquidity to the exchange with the highest liquidity, if a materially different position limit applies to a similar contract listed by one or several different exchanges.</w:t>
      </w:r>
    </w:p>
    <w:p w14:paraId="6B6A7776"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6E75E26D" w14:textId="75EB1081"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Against this background and based on the</w:t>
      </w:r>
      <w:r w:rsidRPr="00273EEE">
        <w:rPr>
          <w:rFonts w:asciiTheme="majorHAnsi" w:eastAsia="Times New Roman" w:hAnsiTheme="majorHAnsi" w:cstheme="majorHAnsi"/>
          <w:sz w:val="22"/>
          <w:szCs w:val="22"/>
          <w:lang w:eastAsia="en-GB"/>
        </w:rPr>
        <w:t xml:space="preserve"> general </w:t>
      </w:r>
      <w:r>
        <w:rPr>
          <w:rFonts w:asciiTheme="majorHAnsi" w:eastAsia="Times New Roman" w:hAnsiTheme="majorHAnsi" w:cstheme="majorHAnsi"/>
          <w:sz w:val="22"/>
          <w:szCs w:val="22"/>
          <w:lang w:eastAsia="en-GB"/>
        </w:rPr>
        <w:t xml:space="preserve">need </w:t>
      </w:r>
      <w:r w:rsidRPr="00273EEE">
        <w:rPr>
          <w:rFonts w:asciiTheme="majorHAnsi" w:eastAsia="Times New Roman" w:hAnsiTheme="majorHAnsi" w:cstheme="majorHAnsi"/>
          <w:sz w:val="22"/>
          <w:szCs w:val="22"/>
          <w:lang w:eastAsia="en-GB"/>
        </w:rPr>
        <w:t xml:space="preserve">to make the </w:t>
      </w:r>
      <w:r>
        <w:rPr>
          <w:rFonts w:asciiTheme="majorHAnsi" w:eastAsia="Times New Roman" w:hAnsiTheme="majorHAnsi" w:cstheme="majorHAnsi"/>
          <w:sz w:val="22"/>
          <w:szCs w:val="22"/>
          <w:lang w:eastAsia="en-GB"/>
        </w:rPr>
        <w:t>position limit regime</w:t>
      </w:r>
      <w:r w:rsidRPr="00273EEE">
        <w:rPr>
          <w:rFonts w:asciiTheme="majorHAnsi" w:eastAsia="Times New Roman" w:hAnsiTheme="majorHAnsi" w:cstheme="majorHAnsi"/>
          <w:sz w:val="22"/>
          <w:szCs w:val="22"/>
          <w:lang w:eastAsia="en-GB"/>
        </w:rPr>
        <w:t xml:space="preserve"> more proportionate and efficient, </w:t>
      </w:r>
      <w:r w:rsidRPr="00273EEE">
        <w:rPr>
          <w:rFonts w:asciiTheme="majorHAnsi" w:eastAsia="Times New Roman" w:hAnsiTheme="majorHAnsi" w:cstheme="majorHAnsi"/>
          <w:b/>
          <w:sz w:val="22"/>
          <w:szCs w:val="22"/>
          <w:lang w:eastAsia="en-GB"/>
        </w:rPr>
        <w:t xml:space="preserve">Europex sees merits in limiting the application of the MiFID II </w:t>
      </w:r>
      <w:r>
        <w:rPr>
          <w:rFonts w:asciiTheme="majorHAnsi" w:eastAsia="Times New Roman" w:hAnsiTheme="majorHAnsi" w:cstheme="majorHAnsi"/>
          <w:b/>
          <w:sz w:val="22"/>
          <w:szCs w:val="22"/>
          <w:lang w:eastAsia="en-GB"/>
        </w:rPr>
        <w:lastRenderedPageBreak/>
        <w:t>position limit regime</w:t>
      </w:r>
      <w:r w:rsidRPr="00273EEE">
        <w:rPr>
          <w:rFonts w:asciiTheme="majorHAnsi" w:eastAsia="Times New Roman" w:hAnsiTheme="majorHAnsi" w:cstheme="majorHAnsi"/>
          <w:b/>
          <w:sz w:val="22"/>
          <w:szCs w:val="22"/>
          <w:lang w:eastAsia="en-GB"/>
        </w:rPr>
        <w:t xml:space="preserve"> to a more limited set of important critical (benchmark) commodity derivative contracts. </w:t>
      </w:r>
      <w:r w:rsidRPr="00273EEE">
        <w:rPr>
          <w:rFonts w:asciiTheme="majorHAnsi" w:eastAsia="Times New Roman" w:hAnsiTheme="majorHAnsi" w:cstheme="majorHAnsi"/>
          <w:sz w:val="22"/>
          <w:szCs w:val="22"/>
          <w:lang w:eastAsia="en-GB"/>
        </w:rPr>
        <w:t>Such a refocus of the position limit regime on benchmark contracts would make it more efficient, mitigate the unintended consequences and reduce the compliance burden for all concerned parties (market participants, trading venues</w:t>
      </w:r>
      <w:r>
        <w:rPr>
          <w:rFonts w:asciiTheme="majorHAnsi" w:eastAsia="Times New Roman" w:hAnsiTheme="majorHAnsi" w:cstheme="majorHAnsi"/>
          <w:sz w:val="22"/>
          <w:szCs w:val="22"/>
          <w:lang w:eastAsia="en-GB"/>
        </w:rPr>
        <w:t xml:space="preserve"> and</w:t>
      </w:r>
      <w:r w:rsidRPr="00273EEE">
        <w:rPr>
          <w:rFonts w:asciiTheme="majorHAnsi" w:eastAsia="Times New Roman" w:hAnsiTheme="majorHAnsi" w:cstheme="majorHAnsi"/>
          <w:sz w:val="22"/>
          <w:szCs w:val="22"/>
          <w:lang w:eastAsia="en-GB"/>
        </w:rPr>
        <w:t xml:space="preserve"> NCAs/ESMA). Most importantly, such a</w:t>
      </w:r>
      <w:r w:rsidR="00BB6E98">
        <w:rPr>
          <w:rFonts w:asciiTheme="majorHAnsi" w:eastAsia="Times New Roman" w:hAnsiTheme="majorHAnsi" w:cstheme="majorHAnsi"/>
          <w:sz w:val="22"/>
          <w:szCs w:val="22"/>
          <w:lang w:eastAsia="en-GB"/>
        </w:rPr>
        <w:t xml:space="preserve"> targeted</w:t>
      </w:r>
      <w:r w:rsidRPr="00273EEE">
        <w:rPr>
          <w:rFonts w:asciiTheme="majorHAnsi" w:eastAsia="Times New Roman" w:hAnsiTheme="majorHAnsi" w:cstheme="majorHAnsi"/>
          <w:sz w:val="22"/>
          <w:szCs w:val="22"/>
          <w:lang w:eastAsia="en-GB"/>
        </w:rPr>
        <w:t xml:space="preserve"> approach would </w:t>
      </w:r>
      <w:r w:rsidR="00BB6E98">
        <w:rPr>
          <w:rFonts w:asciiTheme="majorHAnsi" w:eastAsia="Times New Roman" w:hAnsiTheme="majorHAnsi" w:cstheme="majorHAnsi"/>
          <w:sz w:val="22"/>
          <w:szCs w:val="22"/>
          <w:lang w:eastAsia="en-GB"/>
        </w:rPr>
        <w:t>allow</w:t>
      </w:r>
      <w:r w:rsidRPr="00273EEE">
        <w:rPr>
          <w:rFonts w:asciiTheme="majorHAnsi" w:eastAsia="Times New Roman" w:hAnsiTheme="majorHAnsi" w:cstheme="majorHAnsi"/>
          <w:sz w:val="22"/>
          <w:szCs w:val="22"/>
          <w:lang w:eastAsia="en-GB"/>
        </w:rPr>
        <w:t xml:space="preserve"> new and nascent products to develop in line with the policy objective of </w:t>
      </w:r>
      <w:r>
        <w:rPr>
          <w:rFonts w:asciiTheme="majorHAnsi" w:eastAsia="Times New Roman" w:hAnsiTheme="majorHAnsi" w:cstheme="majorHAnsi"/>
          <w:sz w:val="22"/>
          <w:szCs w:val="22"/>
          <w:lang w:eastAsia="en-GB"/>
        </w:rPr>
        <w:t>MiFID II</w:t>
      </w:r>
      <w:r w:rsidRPr="00273EEE">
        <w:rPr>
          <w:rFonts w:asciiTheme="majorHAnsi" w:eastAsia="Times New Roman" w:hAnsiTheme="majorHAnsi" w:cstheme="majorHAnsi"/>
          <w:sz w:val="22"/>
          <w:szCs w:val="22"/>
          <w:lang w:eastAsia="en-GB"/>
        </w:rPr>
        <w:t xml:space="preserve"> as </w:t>
      </w:r>
      <w:r>
        <w:rPr>
          <w:rFonts w:asciiTheme="majorHAnsi" w:eastAsia="Times New Roman" w:hAnsiTheme="majorHAnsi" w:cstheme="majorHAnsi"/>
          <w:sz w:val="22"/>
          <w:szCs w:val="22"/>
          <w:lang w:eastAsia="en-GB"/>
        </w:rPr>
        <w:t>stipulated</w:t>
      </w:r>
      <w:r w:rsidRPr="00273EEE">
        <w:rPr>
          <w:rFonts w:asciiTheme="majorHAnsi" w:eastAsia="Times New Roman" w:hAnsiTheme="majorHAnsi" w:cstheme="majorHAnsi"/>
          <w:sz w:val="22"/>
          <w:szCs w:val="22"/>
          <w:lang w:eastAsia="en-GB"/>
        </w:rPr>
        <w:t xml:space="preserve"> in RTS 21: </w:t>
      </w:r>
    </w:p>
    <w:p w14:paraId="3B7C537A"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2B9B4E1B" w14:textId="77777777" w:rsidR="0024309D" w:rsidRPr="003A799B" w:rsidRDefault="0024309D" w:rsidP="0024309D">
      <w:pPr>
        <w:pStyle w:val="NoSpacing"/>
        <w:spacing w:line="276" w:lineRule="auto"/>
        <w:jc w:val="both"/>
        <w:rPr>
          <w:rFonts w:asciiTheme="majorHAnsi" w:eastAsia="Times New Roman" w:hAnsiTheme="majorHAnsi" w:cstheme="majorHAnsi"/>
          <w:i/>
          <w:iCs/>
          <w:sz w:val="22"/>
          <w:szCs w:val="22"/>
          <w:lang w:eastAsia="en-GB"/>
        </w:rPr>
      </w:pPr>
      <w:r w:rsidRPr="003A799B">
        <w:rPr>
          <w:rFonts w:asciiTheme="majorHAnsi" w:eastAsia="Times New Roman" w:hAnsiTheme="majorHAnsi" w:cstheme="majorHAnsi"/>
          <w:i/>
          <w:iCs/>
          <w:sz w:val="22"/>
          <w:szCs w:val="22"/>
          <w:lang w:eastAsia="en-GB"/>
        </w:rPr>
        <w:t xml:space="preserve">“Position limits should not create barriers to the development of new commodity derivatives and should not prevent less liquid sections of the commodity derivative markets from working adequately“ </w:t>
      </w:r>
    </w:p>
    <w:p w14:paraId="00103309"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08828FDA"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In addition</w:t>
      </w:r>
      <w:r w:rsidRPr="00273EEE">
        <w:rPr>
          <w:rFonts w:asciiTheme="majorHAnsi" w:eastAsia="Times New Roman" w:hAnsiTheme="majorHAnsi" w:cstheme="majorHAnsi"/>
          <w:sz w:val="22"/>
          <w:szCs w:val="22"/>
          <w:lang w:eastAsia="en-GB"/>
        </w:rPr>
        <w:t xml:space="preserve">, Europex believes that an </w:t>
      </w:r>
      <w:r>
        <w:rPr>
          <w:rFonts w:asciiTheme="majorHAnsi" w:eastAsia="Times New Roman" w:hAnsiTheme="majorHAnsi" w:cstheme="majorHAnsi"/>
          <w:sz w:val="22"/>
          <w:szCs w:val="22"/>
          <w:lang w:eastAsia="en-GB"/>
        </w:rPr>
        <w:t xml:space="preserve">amended regime </w:t>
      </w:r>
      <w:r w:rsidRPr="00273EEE">
        <w:rPr>
          <w:rFonts w:asciiTheme="majorHAnsi" w:eastAsia="Times New Roman" w:hAnsiTheme="majorHAnsi" w:cstheme="majorHAnsi"/>
          <w:sz w:val="22"/>
          <w:szCs w:val="22"/>
          <w:lang w:eastAsia="en-GB"/>
        </w:rPr>
        <w:t xml:space="preserve">would better fulfil the overall policy objective of MiFID II to </w:t>
      </w:r>
      <w:r w:rsidRPr="003A799B">
        <w:rPr>
          <w:rFonts w:asciiTheme="majorHAnsi" w:eastAsia="Times New Roman" w:hAnsiTheme="majorHAnsi" w:cstheme="majorHAnsi"/>
          <w:i/>
          <w:iCs/>
          <w:sz w:val="22"/>
          <w:szCs w:val="22"/>
          <w:lang w:eastAsia="en-GB"/>
        </w:rPr>
        <w:t>“improve the functioning and transparency of commodity markets and address excessive commodity price volatility”</w:t>
      </w:r>
      <w:r w:rsidRPr="00273EEE">
        <w:rPr>
          <w:rFonts w:asciiTheme="majorHAnsi" w:eastAsia="Times New Roman" w:hAnsiTheme="majorHAnsi" w:cstheme="majorHAnsi"/>
          <w:sz w:val="22"/>
          <w:szCs w:val="22"/>
          <w:lang w:eastAsia="en-GB"/>
        </w:rPr>
        <w:t xml:space="preserve">. A refocus of the </w:t>
      </w:r>
      <w:r>
        <w:rPr>
          <w:rFonts w:asciiTheme="majorHAnsi" w:eastAsia="Times New Roman" w:hAnsiTheme="majorHAnsi" w:cstheme="majorHAnsi"/>
          <w:sz w:val="22"/>
          <w:szCs w:val="22"/>
          <w:lang w:eastAsia="en-GB"/>
        </w:rPr>
        <w:t>regime</w:t>
      </w:r>
      <w:r w:rsidRPr="00273EEE">
        <w:rPr>
          <w:rFonts w:asciiTheme="majorHAnsi" w:eastAsia="Times New Roman" w:hAnsiTheme="majorHAnsi" w:cstheme="majorHAnsi"/>
          <w:sz w:val="22"/>
          <w:szCs w:val="22"/>
          <w:lang w:eastAsia="en-GB"/>
        </w:rPr>
        <w:t xml:space="preserve"> is justified as the price formation mainly occurs in benchmark products.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w:t>
      </w:r>
      <w:r>
        <w:rPr>
          <w:rFonts w:asciiTheme="majorHAnsi" w:eastAsia="Times New Roman" w:hAnsiTheme="majorHAnsi" w:cstheme="majorHAnsi"/>
          <w:sz w:val="22"/>
          <w:szCs w:val="22"/>
          <w:lang w:eastAsia="en-GB"/>
        </w:rPr>
        <w:t>EU position limit regime</w:t>
      </w:r>
      <w:r w:rsidRPr="00273EEE">
        <w:rPr>
          <w:rFonts w:asciiTheme="majorHAnsi" w:eastAsia="Times New Roman" w:hAnsiTheme="majorHAnsi" w:cstheme="majorHAnsi"/>
          <w:sz w:val="22"/>
          <w:szCs w:val="22"/>
          <w:lang w:eastAsia="en-GB"/>
        </w:rPr>
        <w:t xml:space="preserve"> would bring us closer to </w:t>
      </w:r>
      <w:r>
        <w:rPr>
          <w:rFonts w:asciiTheme="majorHAnsi" w:eastAsia="Times New Roman" w:hAnsiTheme="majorHAnsi" w:cstheme="majorHAnsi"/>
          <w:sz w:val="22"/>
          <w:szCs w:val="22"/>
          <w:lang w:eastAsia="en-GB"/>
        </w:rPr>
        <w:t xml:space="preserve">a </w:t>
      </w:r>
      <w:r w:rsidRPr="00273EEE">
        <w:rPr>
          <w:rFonts w:asciiTheme="majorHAnsi" w:eastAsia="Times New Roman" w:hAnsiTheme="majorHAnsi" w:cstheme="majorHAnsi"/>
          <w:sz w:val="22"/>
          <w:szCs w:val="22"/>
          <w:lang w:eastAsia="en-GB"/>
        </w:rPr>
        <w:t xml:space="preserve">regulatory level-playing field between the EU and </w:t>
      </w:r>
      <w:r>
        <w:rPr>
          <w:rFonts w:asciiTheme="majorHAnsi" w:eastAsia="Times New Roman" w:hAnsiTheme="majorHAnsi" w:cstheme="majorHAnsi"/>
          <w:sz w:val="22"/>
          <w:szCs w:val="22"/>
          <w:lang w:eastAsia="en-GB"/>
        </w:rPr>
        <w:t xml:space="preserve">the </w:t>
      </w:r>
      <w:r w:rsidRPr="00273EEE">
        <w:rPr>
          <w:rFonts w:asciiTheme="majorHAnsi" w:eastAsia="Times New Roman" w:hAnsiTheme="majorHAnsi" w:cstheme="majorHAnsi"/>
          <w:sz w:val="22"/>
          <w:szCs w:val="22"/>
          <w:lang w:eastAsia="en-GB"/>
        </w:rPr>
        <w:t>U</w:t>
      </w:r>
      <w:r>
        <w:rPr>
          <w:rFonts w:asciiTheme="majorHAnsi" w:eastAsia="Times New Roman" w:hAnsiTheme="majorHAnsi" w:cstheme="majorHAnsi"/>
          <w:sz w:val="22"/>
          <w:szCs w:val="22"/>
          <w:lang w:eastAsia="en-GB"/>
        </w:rPr>
        <w:t>.</w:t>
      </w:r>
      <w:r w:rsidRPr="00273EEE">
        <w:rPr>
          <w:rFonts w:asciiTheme="majorHAnsi" w:eastAsia="Times New Roman" w:hAnsiTheme="majorHAnsi" w:cstheme="majorHAnsi"/>
          <w:sz w:val="22"/>
          <w:szCs w:val="22"/>
          <w:lang w:eastAsia="en-GB"/>
        </w:rPr>
        <w:t>S</w:t>
      </w:r>
      <w:r>
        <w:rPr>
          <w:rFonts w:asciiTheme="majorHAnsi" w:eastAsia="Times New Roman" w:hAnsiTheme="majorHAnsi" w:cstheme="majorHAnsi"/>
          <w:sz w:val="22"/>
          <w:szCs w:val="22"/>
          <w:lang w:eastAsia="en-GB"/>
        </w:rPr>
        <w:t>.</w:t>
      </w:r>
      <w:r w:rsidRPr="00273EEE">
        <w:rPr>
          <w:rFonts w:asciiTheme="majorHAnsi" w:eastAsia="Times New Roman" w:hAnsiTheme="majorHAnsi" w:cstheme="majorHAnsi"/>
          <w:sz w:val="22"/>
          <w:szCs w:val="22"/>
          <w:lang w:eastAsia="en-GB"/>
        </w:rPr>
        <w:t xml:space="preserve"> and </w:t>
      </w:r>
      <w:r>
        <w:rPr>
          <w:rFonts w:asciiTheme="majorHAnsi" w:eastAsia="Times New Roman" w:hAnsiTheme="majorHAnsi" w:cstheme="majorHAnsi"/>
          <w:sz w:val="22"/>
          <w:szCs w:val="22"/>
          <w:lang w:eastAsia="en-GB"/>
        </w:rPr>
        <w:t>enable</w:t>
      </w:r>
      <w:r w:rsidRPr="00273EEE">
        <w:rPr>
          <w:rFonts w:asciiTheme="majorHAnsi" w:eastAsia="Times New Roman" w:hAnsiTheme="majorHAnsi" w:cstheme="majorHAnsi"/>
          <w:sz w:val="22"/>
          <w:szCs w:val="22"/>
          <w:lang w:eastAsia="en-GB"/>
        </w:rPr>
        <w:t xml:space="preserve"> </w:t>
      </w:r>
      <w:r>
        <w:rPr>
          <w:rFonts w:asciiTheme="majorHAnsi" w:eastAsia="Times New Roman" w:hAnsiTheme="majorHAnsi" w:cstheme="majorHAnsi"/>
          <w:sz w:val="22"/>
          <w:szCs w:val="22"/>
          <w:lang w:eastAsia="en-GB"/>
        </w:rPr>
        <w:t>liquid and competitive</w:t>
      </w:r>
      <w:r w:rsidRPr="00273EEE">
        <w:rPr>
          <w:rFonts w:asciiTheme="majorHAnsi" w:eastAsia="Times New Roman" w:hAnsiTheme="majorHAnsi" w:cstheme="majorHAnsi"/>
          <w:sz w:val="22"/>
          <w:szCs w:val="22"/>
          <w:lang w:eastAsia="en-GB"/>
        </w:rPr>
        <w:t xml:space="preserve"> EU commodity markets.</w:t>
      </w:r>
    </w:p>
    <w:p w14:paraId="13D55ECA"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7BA21C2D"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r w:rsidRPr="00273EEE">
        <w:rPr>
          <w:rFonts w:asciiTheme="majorHAnsi" w:eastAsia="Times New Roman" w:hAnsiTheme="majorHAnsi" w:cstheme="majorHAnsi"/>
          <w:sz w:val="22"/>
          <w:szCs w:val="22"/>
          <w:lang w:eastAsia="en-GB"/>
        </w:rPr>
        <w:t>The other (non-significant) contracts would remain subject to the position reporting regime under MiFID II Art</w:t>
      </w:r>
      <w:r>
        <w:rPr>
          <w:rFonts w:asciiTheme="majorHAnsi" w:eastAsia="Times New Roman" w:hAnsiTheme="majorHAnsi" w:cstheme="majorHAnsi"/>
          <w:sz w:val="22"/>
          <w:szCs w:val="22"/>
          <w:lang w:eastAsia="en-GB"/>
        </w:rPr>
        <w:t>icle</w:t>
      </w:r>
      <w:r w:rsidRPr="00273EEE">
        <w:rPr>
          <w:rFonts w:asciiTheme="majorHAnsi" w:eastAsia="Times New Roman" w:hAnsiTheme="majorHAnsi" w:cstheme="majorHAnsi"/>
          <w:sz w:val="22"/>
          <w:szCs w:val="22"/>
          <w:lang w:eastAsia="en-GB"/>
        </w:rPr>
        <w:t xml:space="preserve"> 58, the pre-existing position monitoring and position management measures by exchanges and the market oversight practices of the exchanges’ market supervision and market surveillance departments that apply the principles </w:t>
      </w:r>
      <w:r>
        <w:rPr>
          <w:rFonts w:asciiTheme="majorHAnsi" w:eastAsia="Times New Roman" w:hAnsiTheme="majorHAnsi" w:cstheme="majorHAnsi"/>
          <w:sz w:val="22"/>
          <w:szCs w:val="22"/>
          <w:lang w:eastAsia="en-GB"/>
        </w:rPr>
        <w:t>set</w:t>
      </w:r>
      <w:r w:rsidRPr="00273EEE">
        <w:rPr>
          <w:rFonts w:asciiTheme="majorHAnsi" w:eastAsia="Times New Roman" w:hAnsiTheme="majorHAnsi" w:cstheme="majorHAnsi"/>
          <w:sz w:val="22"/>
          <w:szCs w:val="22"/>
          <w:lang w:eastAsia="en-GB"/>
        </w:rPr>
        <w:t xml:space="preserve"> </w:t>
      </w:r>
      <w:r>
        <w:rPr>
          <w:rFonts w:asciiTheme="majorHAnsi" w:eastAsia="Times New Roman" w:hAnsiTheme="majorHAnsi" w:cstheme="majorHAnsi"/>
          <w:sz w:val="22"/>
          <w:szCs w:val="22"/>
          <w:lang w:eastAsia="en-GB"/>
        </w:rPr>
        <w:t>out</w:t>
      </w:r>
      <w:r w:rsidRPr="00273EEE">
        <w:rPr>
          <w:rFonts w:asciiTheme="majorHAnsi" w:eastAsia="Times New Roman" w:hAnsiTheme="majorHAnsi" w:cstheme="majorHAnsi"/>
          <w:sz w:val="22"/>
          <w:szCs w:val="22"/>
          <w:lang w:eastAsia="en-GB"/>
        </w:rPr>
        <w:t xml:space="preserve"> in the Regulation on Energy Markets Integrity and Transparency (REMIT) and the Market Abuse Regulation (MAR). Thus, removing position limits for such contracts would not pose any risk to the transparency and </w:t>
      </w:r>
      <w:r>
        <w:rPr>
          <w:rFonts w:asciiTheme="majorHAnsi" w:eastAsia="Times New Roman" w:hAnsiTheme="majorHAnsi" w:cstheme="majorHAnsi"/>
          <w:sz w:val="22"/>
          <w:szCs w:val="22"/>
          <w:lang w:eastAsia="en-GB"/>
        </w:rPr>
        <w:t>integrity</w:t>
      </w:r>
      <w:r w:rsidRPr="00273EEE">
        <w:rPr>
          <w:rFonts w:asciiTheme="majorHAnsi" w:eastAsia="Times New Roman" w:hAnsiTheme="majorHAnsi" w:cstheme="majorHAnsi"/>
          <w:sz w:val="22"/>
          <w:szCs w:val="22"/>
          <w:lang w:eastAsia="en-GB"/>
        </w:rPr>
        <w:t xml:space="preserve"> of the respective markets. On the contrary, attracting more volume to regulated venues would contribute to a more transparent trading environment.</w:t>
      </w:r>
    </w:p>
    <w:p w14:paraId="151FEC38" w14:textId="77777777" w:rsidR="0024309D" w:rsidRPr="00273EEE" w:rsidRDefault="0024309D" w:rsidP="0024309D">
      <w:pPr>
        <w:pStyle w:val="NoSpacing"/>
        <w:spacing w:line="276" w:lineRule="auto"/>
        <w:jc w:val="both"/>
        <w:rPr>
          <w:rFonts w:asciiTheme="majorHAnsi" w:eastAsia="Times New Roman" w:hAnsiTheme="majorHAnsi" w:cstheme="majorHAnsi"/>
          <w:sz w:val="22"/>
          <w:szCs w:val="22"/>
          <w:lang w:eastAsia="en-GB"/>
        </w:rPr>
      </w:pPr>
    </w:p>
    <w:p w14:paraId="72D7EC5C" w14:textId="2320ECED" w:rsidR="0024309D" w:rsidRDefault="0024309D" w:rsidP="00273EEE">
      <w:pPr>
        <w:pStyle w:val="NoSpacing"/>
        <w:spacing w:line="276" w:lineRule="auto"/>
        <w:jc w:val="both"/>
        <w:rPr>
          <w:rFonts w:asciiTheme="majorHAnsi" w:eastAsia="Times New Roman" w:hAnsiTheme="majorHAnsi" w:cstheme="majorHAnsi"/>
          <w:sz w:val="22"/>
          <w:szCs w:val="22"/>
          <w:lang w:eastAsia="en-GB"/>
        </w:rPr>
      </w:pPr>
      <w:r w:rsidRPr="00EA7AA7">
        <w:rPr>
          <w:rFonts w:asciiTheme="majorHAnsi" w:eastAsia="Times New Roman" w:hAnsiTheme="majorHAnsi" w:cstheme="majorHAnsi"/>
          <w:sz w:val="22"/>
          <w:szCs w:val="22"/>
          <w:lang w:eastAsia="en-GB"/>
        </w:rPr>
        <w:t>Europex further commits to making an assessment of the key criteria to be taken into account when determining that a contract should be classified as a benchmark contract to be in scope of the MiFID II position limit regime, in the second half of this year.</w:t>
      </w:r>
    </w:p>
    <w:permEnd w:id="980902315"/>
    <w:p w14:paraId="412E0AE0" w14:textId="77777777" w:rsidR="00AD7C81" w:rsidRPr="00273EEE" w:rsidRDefault="00AD7C81" w:rsidP="00273EEE">
      <w:pPr>
        <w:pStyle w:val="NoSpacing"/>
        <w:spacing w:line="276" w:lineRule="auto"/>
        <w:jc w:val="both"/>
        <w:rPr>
          <w:rFonts w:asciiTheme="majorHAnsi" w:eastAsia="Times New Roman" w:hAnsiTheme="majorHAnsi" w:cstheme="majorHAnsi"/>
          <w:sz w:val="22"/>
          <w:szCs w:val="22"/>
          <w:lang w:eastAsia="en-GB"/>
        </w:rPr>
      </w:pPr>
    </w:p>
    <w:p w14:paraId="62DB47F0" w14:textId="77777777" w:rsidR="00C85C8B" w:rsidRPr="00273EEE" w:rsidRDefault="00C85C8B" w:rsidP="00273EEE">
      <w:pPr>
        <w:spacing w:after="250" w:line="276" w:lineRule="auto"/>
        <w:jc w:val="both"/>
        <w:rPr>
          <w:rFonts w:asciiTheme="majorHAnsi" w:eastAsiaTheme="minorEastAsia" w:hAnsiTheme="majorHAnsi" w:cstheme="majorHAnsi"/>
          <w:sz w:val="22"/>
          <w:szCs w:val="22"/>
          <w:lang w:eastAsia="en-US"/>
        </w:rPr>
      </w:pPr>
      <w:r w:rsidRPr="00273EEE">
        <w:rPr>
          <w:rFonts w:asciiTheme="majorHAnsi" w:eastAsiaTheme="minorEastAsia" w:hAnsiTheme="majorHAnsi" w:cstheme="majorHAnsi"/>
          <w:sz w:val="22"/>
          <w:szCs w:val="22"/>
          <w:lang w:eastAsia="en-US"/>
        </w:rPr>
        <w:t>&lt;ESMA_COMMENT_</w:t>
      </w:r>
      <w:r w:rsidR="00AB6157" w:rsidRPr="00273EEE">
        <w:rPr>
          <w:rFonts w:asciiTheme="majorHAnsi" w:eastAsiaTheme="minorEastAsia" w:hAnsiTheme="majorHAnsi" w:cstheme="majorHAnsi"/>
          <w:sz w:val="22"/>
          <w:szCs w:val="22"/>
          <w:lang w:eastAsia="en-US"/>
        </w:rPr>
        <w:t>PLPM</w:t>
      </w:r>
      <w:r w:rsidRPr="00273EEE">
        <w:rPr>
          <w:rFonts w:asciiTheme="majorHAnsi" w:eastAsiaTheme="minorEastAsia" w:hAnsiTheme="majorHAnsi" w:cstheme="majorHAnsi"/>
          <w:sz w:val="22"/>
          <w:szCs w:val="22"/>
          <w:lang w:eastAsia="en-US"/>
        </w:rPr>
        <w:t>_1&gt;</w:t>
      </w:r>
    </w:p>
    <w:p w14:paraId="1163BE1F" w14:textId="77777777" w:rsidR="00C85C8B" w:rsidRPr="00273EEE" w:rsidRDefault="00C85C8B" w:rsidP="00273EEE">
      <w:pPr>
        <w:spacing w:line="276" w:lineRule="auto"/>
        <w:jc w:val="both"/>
        <w:rPr>
          <w:rFonts w:asciiTheme="majorHAnsi" w:hAnsiTheme="majorHAnsi" w:cstheme="majorHAnsi"/>
          <w:b/>
          <w:sz w:val="22"/>
          <w:szCs w:val="22"/>
        </w:rPr>
      </w:pPr>
    </w:p>
    <w:p w14:paraId="3A816F5F" w14:textId="77777777" w:rsidR="00C85C8B" w:rsidRPr="00273EEE" w:rsidRDefault="00C85C8B" w:rsidP="00273EEE">
      <w:pPr>
        <w:spacing w:line="276" w:lineRule="auto"/>
        <w:jc w:val="both"/>
        <w:rPr>
          <w:rFonts w:asciiTheme="majorHAnsi" w:hAnsiTheme="majorHAnsi" w:cstheme="majorHAnsi"/>
          <w:b/>
          <w:sz w:val="22"/>
          <w:szCs w:val="22"/>
        </w:rPr>
      </w:pPr>
    </w:p>
    <w:p w14:paraId="129A6DA0" w14:textId="77777777" w:rsidR="00C85C8B" w:rsidRPr="00273EEE" w:rsidRDefault="00C85C8B" w:rsidP="00273EEE">
      <w:pPr>
        <w:spacing w:line="276" w:lineRule="auto"/>
        <w:jc w:val="both"/>
        <w:rPr>
          <w:rFonts w:asciiTheme="majorHAnsi" w:hAnsiTheme="majorHAnsi" w:cstheme="majorHAnsi"/>
          <w:b/>
          <w:sz w:val="22"/>
          <w:szCs w:val="22"/>
        </w:rPr>
      </w:pPr>
    </w:p>
    <w:p w14:paraId="496C4BFF" w14:textId="77777777" w:rsidR="00C85C8B" w:rsidRPr="00273EEE" w:rsidRDefault="00C85C8B" w:rsidP="00273EEE">
      <w:pPr>
        <w:spacing w:line="276" w:lineRule="auto"/>
        <w:jc w:val="both"/>
        <w:rPr>
          <w:rFonts w:asciiTheme="majorHAnsi" w:hAnsiTheme="majorHAnsi" w:cstheme="majorHAnsi"/>
          <w:b/>
          <w:sz w:val="22"/>
          <w:szCs w:val="22"/>
        </w:rPr>
      </w:pPr>
    </w:p>
    <w:p w14:paraId="5AAC4A4E" w14:textId="77777777" w:rsidR="00C85C8B" w:rsidRPr="00273EEE" w:rsidRDefault="00C85C8B" w:rsidP="00273EEE">
      <w:pPr>
        <w:spacing w:line="276" w:lineRule="auto"/>
        <w:jc w:val="both"/>
        <w:rPr>
          <w:rFonts w:asciiTheme="majorHAnsi" w:hAnsiTheme="majorHAnsi" w:cstheme="majorHAnsi"/>
          <w:b/>
          <w:sz w:val="22"/>
          <w:szCs w:val="22"/>
        </w:rPr>
      </w:pPr>
    </w:p>
    <w:p w14:paraId="1EAB75EB" w14:textId="77777777" w:rsidR="00C85C8B" w:rsidRPr="00273EEE" w:rsidRDefault="00C85C8B" w:rsidP="00273EEE">
      <w:pPr>
        <w:spacing w:after="120" w:line="276" w:lineRule="auto"/>
        <w:jc w:val="both"/>
        <w:rPr>
          <w:rFonts w:asciiTheme="majorHAnsi" w:hAnsiTheme="majorHAnsi" w:cstheme="majorHAnsi"/>
          <w:b/>
          <w:sz w:val="22"/>
          <w:szCs w:val="22"/>
        </w:rPr>
      </w:pPr>
      <w:r w:rsidRPr="00273EEE">
        <w:rPr>
          <w:rFonts w:asciiTheme="majorHAnsi" w:hAnsiTheme="majorHAnsi" w:cstheme="majorHAnsi"/>
          <w:b/>
          <w:sz w:val="22"/>
          <w:szCs w:val="22"/>
        </w:rPr>
        <w:br w:type="page"/>
      </w:r>
    </w:p>
    <w:p w14:paraId="32D77B35" w14:textId="77777777" w:rsidR="00C1698A" w:rsidRPr="00273EEE" w:rsidRDefault="00C1698A" w:rsidP="00273EEE">
      <w:pPr>
        <w:spacing w:line="276" w:lineRule="auto"/>
        <w:jc w:val="both"/>
        <w:rPr>
          <w:rFonts w:asciiTheme="majorHAnsi" w:hAnsiTheme="majorHAnsi" w:cstheme="majorHAnsi"/>
          <w:b/>
          <w:sz w:val="22"/>
          <w:szCs w:val="22"/>
        </w:rPr>
      </w:pPr>
      <w:r w:rsidRPr="00273EEE">
        <w:rPr>
          <w:rFonts w:asciiTheme="majorHAnsi" w:hAnsiTheme="majorHAnsi" w:cstheme="majorHAnsi"/>
          <w:b/>
          <w:sz w:val="22"/>
          <w:szCs w:val="22"/>
        </w:rPr>
        <w:lastRenderedPageBreak/>
        <w:t xml:space="preserve">Questions </w:t>
      </w:r>
    </w:p>
    <w:p w14:paraId="0F9E7AFF" w14:textId="77777777" w:rsidR="00AB6157" w:rsidRPr="00273EEE" w:rsidRDefault="00AB6157" w:rsidP="00273EEE">
      <w:pPr>
        <w:spacing w:line="276" w:lineRule="auto"/>
        <w:jc w:val="both"/>
        <w:rPr>
          <w:rFonts w:asciiTheme="majorHAnsi" w:hAnsiTheme="majorHAnsi" w:cstheme="majorHAnsi"/>
          <w:b/>
          <w:sz w:val="22"/>
          <w:szCs w:val="22"/>
        </w:rPr>
      </w:pPr>
    </w:p>
    <w:p w14:paraId="4DE13AD7"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In your view, what impact, if any, did the introduction of position limits have on the availability and liquidity of commodity derivative markets? What are in your views the main factors driving this development, e.g. the mere existence of a position limit and position reporting regime, some specific characteristics of the position limit regime or the level at which position limits are set? Please elaborate by differentiating per commodity asset class or contract where relevant and provide evidence to support your assessment.</w:t>
      </w:r>
    </w:p>
    <w:p w14:paraId="549B1868" w14:textId="075C2C89"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&lt;ESMA_QUESTION_PLPM_1&gt;</w:t>
      </w:r>
    </w:p>
    <w:p w14:paraId="28E24EBC" w14:textId="4E60F1E2" w:rsidR="00E73DBE" w:rsidRDefault="00E73DBE" w:rsidP="00E73DBE">
      <w:pPr>
        <w:pStyle w:val="NoSpacing"/>
        <w:spacing w:line="276" w:lineRule="auto"/>
        <w:jc w:val="both"/>
        <w:rPr>
          <w:rFonts w:asciiTheme="majorHAnsi" w:eastAsia="Calibri" w:hAnsiTheme="majorHAnsi" w:cstheme="majorHAnsi"/>
          <w:sz w:val="22"/>
          <w:szCs w:val="22"/>
        </w:rPr>
      </w:pPr>
      <w:permStart w:id="1369402250" w:edGrp="everyone"/>
      <w:r>
        <w:rPr>
          <w:rFonts w:asciiTheme="majorHAnsi" w:eastAsia="Calibri" w:hAnsiTheme="majorHAnsi" w:cstheme="majorHAnsi"/>
          <w:sz w:val="22"/>
          <w:szCs w:val="22"/>
        </w:rPr>
        <w:t>Europex</w:t>
      </w:r>
      <w:r w:rsidRPr="00273EEE">
        <w:rPr>
          <w:rFonts w:asciiTheme="majorHAnsi" w:eastAsia="Calibri" w:hAnsiTheme="majorHAnsi" w:cstheme="majorHAnsi"/>
          <w:sz w:val="22"/>
          <w:szCs w:val="22"/>
        </w:rPr>
        <w:t xml:space="preserve"> believes that the MiFID II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has so far been able to function for a number of well-developed benchmark contracts. These highly developed markets are characterised by a large number of different types of active trading firms and an overall substantial amount of open interest.</w:t>
      </w:r>
    </w:p>
    <w:p w14:paraId="0CF34B48" w14:textId="77777777" w:rsidR="00E73DBE" w:rsidRPr="00273EEE" w:rsidRDefault="00E73DBE" w:rsidP="00E73DBE">
      <w:pPr>
        <w:pStyle w:val="NoSpacing"/>
        <w:spacing w:line="276" w:lineRule="auto"/>
        <w:jc w:val="both"/>
        <w:rPr>
          <w:rFonts w:asciiTheme="majorHAnsi" w:eastAsia="Calibri" w:hAnsiTheme="majorHAnsi" w:cstheme="majorHAnsi"/>
          <w:sz w:val="22"/>
          <w:szCs w:val="22"/>
        </w:rPr>
      </w:pPr>
    </w:p>
    <w:p w14:paraId="6C9BB97C" w14:textId="77777777" w:rsidR="00E73DBE" w:rsidRDefault="00E73DBE" w:rsidP="00E73DBE">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 xml:space="preserve">However, for the development of new products and further growth </w:t>
      </w:r>
      <w:r>
        <w:rPr>
          <w:rFonts w:asciiTheme="majorHAnsi" w:eastAsia="Calibri" w:hAnsiTheme="majorHAnsi" w:cstheme="majorHAnsi"/>
          <w:sz w:val="22"/>
          <w:szCs w:val="22"/>
        </w:rPr>
        <w:t>in</w:t>
      </w:r>
      <w:r w:rsidRPr="00273EEE">
        <w:rPr>
          <w:rFonts w:asciiTheme="majorHAnsi" w:eastAsia="Calibri" w:hAnsiTheme="majorHAnsi" w:cstheme="majorHAnsi"/>
          <w:sz w:val="22"/>
          <w:szCs w:val="22"/>
        </w:rPr>
        <w:t xml:space="preserve"> existing illiquid commodity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the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has proven to be a substantial barrier. Fast growing markets in particular have suffered from (1) an increasingly restrictive limit as open interest increases</w:t>
      </w:r>
      <w:r>
        <w:rPr>
          <w:rFonts w:asciiTheme="majorHAnsi" w:eastAsia="Calibri" w:hAnsiTheme="majorHAnsi" w:cstheme="majorHAnsi"/>
          <w:sz w:val="22"/>
          <w:szCs w:val="22"/>
        </w:rPr>
        <w:t>,</w:t>
      </w:r>
      <w:r w:rsidRPr="00273EEE">
        <w:rPr>
          <w:rFonts w:asciiTheme="majorHAnsi" w:eastAsia="Calibri" w:hAnsiTheme="majorHAnsi" w:cstheme="majorHAnsi"/>
          <w:sz w:val="22"/>
          <w:szCs w:val="22"/>
        </w:rPr>
        <w:t xml:space="preserve"> (2) inflexible treatment in terms of their categori</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ation under the position limit framework and (3) an inaccurate reflection of the underlying physical markets.</w:t>
      </w:r>
    </w:p>
    <w:p w14:paraId="2D27A9F5" w14:textId="77777777" w:rsidR="00E73DBE" w:rsidRDefault="00E73DBE" w:rsidP="00E73DBE">
      <w:pPr>
        <w:pStyle w:val="NoSpacing"/>
        <w:spacing w:line="276" w:lineRule="auto"/>
        <w:jc w:val="both"/>
        <w:rPr>
          <w:rFonts w:asciiTheme="majorHAnsi" w:eastAsia="Calibri" w:hAnsiTheme="majorHAnsi" w:cstheme="majorHAnsi"/>
          <w:sz w:val="22"/>
          <w:szCs w:val="22"/>
        </w:rPr>
      </w:pPr>
    </w:p>
    <w:p w14:paraId="65AFE2A9" w14:textId="77777777" w:rsidR="00E73DBE" w:rsidRDefault="00E73DBE" w:rsidP="00E73DBE">
      <w:pPr>
        <w:pStyle w:val="NoSpacing"/>
        <w:spacing w:line="276" w:lineRule="auto"/>
        <w:jc w:val="both"/>
        <w:rPr>
          <w:rFonts w:asciiTheme="majorHAnsi" w:eastAsia="Calibri" w:hAnsiTheme="majorHAnsi" w:cstheme="majorHAnsi"/>
          <w:sz w:val="22"/>
          <w:szCs w:val="22"/>
        </w:rPr>
      </w:pPr>
      <w:r>
        <w:rPr>
          <w:rFonts w:asciiTheme="majorHAnsi" w:eastAsia="Calibri" w:hAnsiTheme="majorHAnsi" w:cstheme="majorHAnsi"/>
          <w:sz w:val="22"/>
          <w:szCs w:val="22"/>
        </w:rPr>
        <w:t>Moreover</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there is also</w:t>
      </w:r>
      <w:r w:rsidRPr="00273EEE">
        <w:rPr>
          <w:rFonts w:asciiTheme="majorHAnsi" w:eastAsia="Calibri" w:hAnsiTheme="majorHAnsi" w:cstheme="majorHAnsi"/>
          <w:sz w:val="22"/>
          <w:szCs w:val="22"/>
        </w:rPr>
        <w:t xml:space="preserve"> room for improvement for the functioning of </w:t>
      </w:r>
      <w:r>
        <w:rPr>
          <w:rFonts w:asciiTheme="majorHAnsi" w:eastAsia="Calibri" w:hAnsiTheme="majorHAnsi" w:cstheme="majorHAnsi"/>
          <w:sz w:val="22"/>
          <w:szCs w:val="22"/>
        </w:rPr>
        <w:t xml:space="preserve">the position limit regime in </w:t>
      </w:r>
      <w:r w:rsidRPr="00273EEE">
        <w:rPr>
          <w:rFonts w:asciiTheme="majorHAnsi" w:eastAsia="Calibri" w:hAnsiTheme="majorHAnsi" w:cstheme="majorHAnsi"/>
          <w:sz w:val="22"/>
          <w:szCs w:val="22"/>
        </w:rPr>
        <w:t>liquid markets.</w:t>
      </w:r>
    </w:p>
    <w:p w14:paraId="27975240" w14:textId="77777777" w:rsidR="00E73DBE" w:rsidRPr="00273EEE" w:rsidRDefault="00E73DBE" w:rsidP="00E73DBE">
      <w:pPr>
        <w:pStyle w:val="NoSpacing"/>
        <w:spacing w:line="276" w:lineRule="auto"/>
        <w:jc w:val="both"/>
        <w:rPr>
          <w:rFonts w:asciiTheme="majorHAnsi" w:eastAsia="Calibri" w:hAnsiTheme="majorHAnsi" w:cstheme="majorHAnsi"/>
          <w:sz w:val="22"/>
          <w:szCs w:val="22"/>
        </w:rPr>
      </w:pPr>
    </w:p>
    <w:p w14:paraId="733B2774" w14:textId="77777777" w:rsidR="00E73DBE" w:rsidRPr="00273EEE" w:rsidRDefault="00E73DBE" w:rsidP="00E73DBE">
      <w:pPr>
        <w:pStyle w:val="NoSpacing"/>
        <w:numPr>
          <w:ilvl w:val="1"/>
          <w:numId w:val="12"/>
        </w:numPr>
        <w:spacing w:line="276" w:lineRule="auto"/>
        <w:jc w:val="both"/>
        <w:rPr>
          <w:rFonts w:asciiTheme="majorHAnsi" w:eastAsia="Calibri" w:hAnsiTheme="majorHAnsi" w:cstheme="majorHAnsi"/>
          <w:b/>
          <w:sz w:val="22"/>
          <w:szCs w:val="22"/>
        </w:rPr>
      </w:pPr>
      <w:r w:rsidRPr="00273EEE">
        <w:rPr>
          <w:rFonts w:asciiTheme="majorHAnsi" w:eastAsia="Calibri" w:hAnsiTheme="majorHAnsi" w:cstheme="majorHAnsi"/>
          <w:b/>
          <w:sz w:val="22"/>
          <w:szCs w:val="22"/>
        </w:rPr>
        <w:t>Challenges for fast growing markets</w:t>
      </w:r>
    </w:p>
    <w:p w14:paraId="3F6594E9" w14:textId="77777777" w:rsidR="00E73DBE" w:rsidRPr="00273EEE" w:rsidRDefault="00E73DBE" w:rsidP="00E73DBE">
      <w:pPr>
        <w:pStyle w:val="NoSpacing"/>
        <w:spacing w:line="276" w:lineRule="auto"/>
        <w:jc w:val="both"/>
        <w:rPr>
          <w:rFonts w:asciiTheme="majorHAnsi" w:eastAsia="Calibri" w:hAnsiTheme="majorHAnsi" w:cstheme="majorHAnsi"/>
          <w:sz w:val="22"/>
          <w:szCs w:val="22"/>
        </w:rPr>
      </w:pPr>
    </w:p>
    <w:p w14:paraId="370E8D94" w14:textId="77777777" w:rsidR="00E73DBE" w:rsidRPr="00273EEE" w:rsidRDefault="00E73DBE" w:rsidP="00E73DBE">
      <w:pPr>
        <w:numPr>
          <w:ilvl w:val="0"/>
          <w:numId w:val="18"/>
        </w:numPr>
        <w:spacing w:after="200" w:line="276" w:lineRule="auto"/>
        <w:jc w:val="both"/>
        <w:rPr>
          <w:rFonts w:asciiTheme="majorHAnsi" w:eastAsia="Calibri" w:hAnsiTheme="majorHAnsi" w:cstheme="majorHAnsi"/>
          <w:i/>
          <w:sz w:val="22"/>
          <w:szCs w:val="22"/>
          <w:lang w:eastAsia="en-US"/>
        </w:rPr>
      </w:pPr>
      <w:r w:rsidRPr="00273EEE">
        <w:rPr>
          <w:rFonts w:asciiTheme="majorHAnsi" w:eastAsia="Calibri" w:hAnsiTheme="majorHAnsi" w:cstheme="majorHAnsi"/>
          <w:i/>
          <w:sz w:val="22"/>
          <w:szCs w:val="22"/>
          <w:lang w:eastAsia="en-US"/>
        </w:rPr>
        <w:t>Increasingly restrictive standardi</w:t>
      </w:r>
      <w:r>
        <w:rPr>
          <w:rFonts w:asciiTheme="majorHAnsi" w:eastAsia="Calibri" w:hAnsiTheme="majorHAnsi" w:cstheme="majorHAnsi"/>
          <w:i/>
          <w:sz w:val="22"/>
          <w:szCs w:val="22"/>
          <w:lang w:eastAsia="en-US"/>
        </w:rPr>
        <w:t>s</w:t>
      </w:r>
      <w:r w:rsidRPr="00273EEE">
        <w:rPr>
          <w:rFonts w:asciiTheme="majorHAnsi" w:eastAsia="Calibri" w:hAnsiTheme="majorHAnsi" w:cstheme="majorHAnsi"/>
          <w:i/>
          <w:sz w:val="22"/>
          <w:szCs w:val="22"/>
          <w:lang w:eastAsia="en-US"/>
        </w:rPr>
        <w:t xml:space="preserve">ed limit </w:t>
      </w:r>
    </w:p>
    <w:p w14:paraId="445A45ED"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Contracts </w:t>
      </w:r>
      <w:r>
        <w:rPr>
          <w:rFonts w:asciiTheme="majorHAnsi" w:eastAsia="Calibri" w:hAnsiTheme="majorHAnsi" w:cstheme="majorHAnsi"/>
          <w:sz w:val="22"/>
          <w:szCs w:val="22"/>
          <w:lang w:eastAsia="en-US"/>
        </w:rPr>
        <w:t>classified</w:t>
      </w:r>
      <w:r w:rsidRPr="00273EEE">
        <w:rPr>
          <w:rFonts w:asciiTheme="majorHAnsi" w:eastAsia="Calibri" w:hAnsiTheme="majorHAnsi" w:cstheme="majorHAnsi"/>
          <w:sz w:val="22"/>
          <w:szCs w:val="22"/>
          <w:lang w:eastAsia="en-US"/>
        </w:rPr>
        <w:t xml:space="preserve"> as ‘illiquid’ under the </w:t>
      </w:r>
      <w:r>
        <w:rPr>
          <w:rFonts w:asciiTheme="majorHAnsi" w:eastAsia="Calibri" w:hAnsiTheme="majorHAnsi" w:cstheme="majorHAnsi"/>
          <w:sz w:val="22"/>
          <w:szCs w:val="22"/>
          <w:lang w:eastAsia="en-US"/>
        </w:rPr>
        <w:t xml:space="preserve">current MiFID II </w:t>
      </w:r>
      <w:r w:rsidRPr="00273EEE">
        <w:rPr>
          <w:rFonts w:asciiTheme="majorHAnsi" w:eastAsia="Calibri" w:hAnsiTheme="majorHAnsi" w:cstheme="majorHAnsi"/>
          <w:sz w:val="22"/>
          <w:szCs w:val="22"/>
          <w:lang w:eastAsia="en-US"/>
        </w:rPr>
        <w:t>position limit framework receive a standardi</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ed limit of 2</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500 lots</w:t>
      </w:r>
      <w:r>
        <w:rPr>
          <w:rFonts w:asciiTheme="majorHAnsi" w:eastAsia="Calibri" w:hAnsiTheme="majorHAnsi" w:cstheme="majorHAnsi"/>
          <w:sz w:val="22"/>
          <w:szCs w:val="22"/>
          <w:lang w:eastAsia="en-US"/>
        </w:rPr>
        <w:t xml:space="preserve">. They </w:t>
      </w:r>
      <w:r w:rsidRPr="00273EEE">
        <w:rPr>
          <w:rFonts w:asciiTheme="majorHAnsi" w:eastAsia="Calibri" w:hAnsiTheme="majorHAnsi" w:cstheme="majorHAnsi"/>
          <w:sz w:val="22"/>
          <w:szCs w:val="22"/>
          <w:lang w:eastAsia="en-US"/>
        </w:rPr>
        <w:t xml:space="preserve">thereby effectively </w:t>
      </w:r>
      <w:r>
        <w:rPr>
          <w:rFonts w:asciiTheme="majorHAnsi" w:eastAsia="Calibri" w:hAnsiTheme="majorHAnsi" w:cstheme="majorHAnsi"/>
          <w:sz w:val="22"/>
          <w:szCs w:val="22"/>
          <w:lang w:eastAsia="en-US"/>
        </w:rPr>
        <w:t>obtain</w:t>
      </w:r>
      <w:r w:rsidRPr="00273EEE">
        <w:rPr>
          <w:rFonts w:asciiTheme="majorHAnsi" w:eastAsia="Calibri" w:hAnsiTheme="majorHAnsi" w:cstheme="majorHAnsi"/>
          <w:sz w:val="22"/>
          <w:szCs w:val="22"/>
          <w:lang w:eastAsia="en-US"/>
        </w:rPr>
        <w:t xml:space="preserve"> a highly restrictive limit (resembling a baseline limit of 25 percent of open interest) when open interest increases close to 10</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000 lots. In consequence, market participants are forced to decrease their positions and the open interest returns to a lower level</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thereby sealing the illiquid status of the product.</w:t>
      </w:r>
    </w:p>
    <w:p w14:paraId="563962CC"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And whilst in theory in line with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ESMA Q&amp;A</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on ‘commodity derivative topics’, National Competent Authorities (NCAs) can use different derogations for illiquid markets which have an open interest between 5</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000 and 10</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000 lots</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 xml:space="preserve">However, </w:t>
      </w:r>
      <w:r w:rsidRPr="00273EEE">
        <w:rPr>
          <w:rFonts w:asciiTheme="majorHAnsi" w:eastAsia="Calibri" w:hAnsiTheme="majorHAnsi" w:cstheme="majorHAnsi"/>
          <w:sz w:val="22"/>
          <w:szCs w:val="22"/>
          <w:lang w:eastAsia="en-US"/>
        </w:rPr>
        <w:t>these remain difficult to apply in practice and are often not sufficient to mitigate the negative impact of disproportionately low position limits.</w:t>
      </w:r>
    </w:p>
    <w:p w14:paraId="729013CF"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Any increase of the limit under the available derogation will need to be substantial in order to provide sufficient relief to market participants close to the limits and prevent restricting trading activity in fast growing markets. </w:t>
      </w:r>
      <w:r>
        <w:rPr>
          <w:rFonts w:asciiTheme="majorHAnsi" w:eastAsia="Calibri" w:hAnsiTheme="majorHAnsi" w:cstheme="majorHAnsi"/>
          <w:sz w:val="22"/>
          <w:szCs w:val="22"/>
          <w:lang w:eastAsia="en-US"/>
        </w:rPr>
        <w:t>By way of example, an</w:t>
      </w:r>
      <w:r w:rsidRPr="00273EEE">
        <w:rPr>
          <w:rFonts w:asciiTheme="majorHAnsi" w:eastAsia="Calibri" w:hAnsiTheme="majorHAnsi" w:cstheme="majorHAnsi"/>
          <w:sz w:val="22"/>
          <w:szCs w:val="22"/>
          <w:lang w:eastAsia="en-US"/>
        </w:rPr>
        <w:t xml:space="preserve"> increase of a given position limit with 500 lots will only have a very limited impact, effectively allowing market participants close to the limit to trade additional lots equivalent of four Calendar </w:t>
      </w:r>
      <w:r>
        <w:rPr>
          <w:rFonts w:asciiTheme="majorHAnsi" w:eastAsia="Calibri" w:hAnsiTheme="majorHAnsi" w:cstheme="majorHAnsi"/>
          <w:sz w:val="22"/>
          <w:szCs w:val="22"/>
          <w:lang w:eastAsia="en-US"/>
        </w:rPr>
        <w:t xml:space="preserve">Year </w:t>
      </w:r>
      <w:r w:rsidRPr="00273EEE">
        <w:rPr>
          <w:rFonts w:asciiTheme="majorHAnsi" w:eastAsia="Calibri" w:hAnsiTheme="majorHAnsi" w:cstheme="majorHAnsi"/>
          <w:sz w:val="22"/>
          <w:szCs w:val="22"/>
          <w:lang w:eastAsia="en-US"/>
        </w:rPr>
        <w:t xml:space="preserve">or eight Season contracts. Additionally, NCAs tend to reserve the use of the derogation for cases for which the exchanges can bring forward other arguments than the fact that the contract is illiquid and needs room to </w:t>
      </w:r>
      <w:r w:rsidRPr="00273EEE">
        <w:rPr>
          <w:rFonts w:asciiTheme="majorHAnsi" w:eastAsia="Calibri" w:hAnsiTheme="majorHAnsi" w:cstheme="majorHAnsi"/>
          <w:sz w:val="22"/>
          <w:szCs w:val="22"/>
          <w:lang w:eastAsia="en-US"/>
        </w:rPr>
        <w:lastRenderedPageBreak/>
        <w:t>grow, while this is one of the most critical arguments that apply to all contracts coming close to 10,000 lots.</w:t>
      </w:r>
    </w:p>
    <w:p w14:paraId="1C54D507" w14:textId="77777777" w:rsidR="00E73DB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Once the limit is reached</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participants withdraw from the market, often switching to another trading venue outside the MiFID II regime, thereby leaving the regulator no time to adjust the limit upwards.</w:t>
      </w:r>
    </w:p>
    <w:p w14:paraId="451506BB" w14:textId="672A7CA1" w:rsidR="00E73DB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Furthermore, in relation to newly launched contracts, it is not unusual that only one participant sits on the buy</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or sell</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side of the market. In such cases, even a fifty percent limit is not sufficient to allow the market to mature.</w:t>
      </w:r>
    </w:p>
    <w:p w14:paraId="63FC117D" w14:textId="77777777" w:rsidR="00F10373" w:rsidRPr="00273EEE" w:rsidRDefault="00F10373" w:rsidP="00E73DBE">
      <w:pPr>
        <w:spacing w:after="200" w:line="276" w:lineRule="auto"/>
        <w:jc w:val="both"/>
        <w:rPr>
          <w:rFonts w:asciiTheme="majorHAnsi" w:eastAsia="Calibri" w:hAnsiTheme="majorHAnsi" w:cstheme="majorHAnsi"/>
          <w:sz w:val="22"/>
          <w:szCs w:val="22"/>
          <w:lang w:eastAsia="en-US"/>
        </w:rPr>
      </w:pPr>
    </w:p>
    <w:p w14:paraId="52AFFC63" w14:textId="77777777" w:rsidR="00E73DBE" w:rsidRPr="00273EEE" w:rsidRDefault="00E73DBE" w:rsidP="00E73DBE">
      <w:pPr>
        <w:numPr>
          <w:ilvl w:val="0"/>
          <w:numId w:val="18"/>
        </w:numPr>
        <w:spacing w:after="200" w:line="276" w:lineRule="auto"/>
        <w:contextualSpacing/>
        <w:jc w:val="both"/>
        <w:rPr>
          <w:rFonts w:asciiTheme="majorHAnsi" w:eastAsia="Calibri" w:hAnsiTheme="majorHAnsi" w:cstheme="majorHAnsi"/>
          <w:i/>
          <w:sz w:val="22"/>
          <w:szCs w:val="22"/>
          <w:lang w:eastAsia="en-US"/>
        </w:rPr>
      </w:pPr>
      <w:r w:rsidRPr="00273EEE">
        <w:rPr>
          <w:rFonts w:asciiTheme="majorHAnsi" w:eastAsia="Calibri" w:hAnsiTheme="majorHAnsi" w:cstheme="majorHAnsi"/>
          <w:i/>
          <w:sz w:val="22"/>
          <w:szCs w:val="22"/>
          <w:lang w:eastAsia="en-US"/>
        </w:rPr>
        <w:t>Inflexible categori</w:t>
      </w:r>
      <w:r>
        <w:rPr>
          <w:rFonts w:asciiTheme="majorHAnsi" w:eastAsia="Calibri" w:hAnsiTheme="majorHAnsi" w:cstheme="majorHAnsi"/>
          <w:i/>
          <w:sz w:val="22"/>
          <w:szCs w:val="22"/>
          <w:lang w:eastAsia="en-US"/>
        </w:rPr>
        <w:t>s</w:t>
      </w:r>
      <w:r w:rsidRPr="00273EEE">
        <w:rPr>
          <w:rFonts w:asciiTheme="majorHAnsi" w:eastAsia="Calibri" w:hAnsiTheme="majorHAnsi" w:cstheme="majorHAnsi"/>
          <w:i/>
          <w:sz w:val="22"/>
          <w:szCs w:val="22"/>
          <w:lang w:eastAsia="en-US"/>
        </w:rPr>
        <w:t xml:space="preserve">ation of markets and recalibration of position limits </w:t>
      </w:r>
    </w:p>
    <w:p w14:paraId="4472549B" w14:textId="77777777" w:rsidR="00E73DBE" w:rsidRPr="00273EEE" w:rsidRDefault="00E73DBE" w:rsidP="00E73DBE">
      <w:pPr>
        <w:spacing w:after="200" w:line="276" w:lineRule="auto"/>
        <w:ind w:left="720"/>
        <w:contextualSpacing/>
        <w:jc w:val="both"/>
        <w:rPr>
          <w:rFonts w:asciiTheme="majorHAnsi" w:eastAsia="Calibri" w:hAnsiTheme="majorHAnsi" w:cstheme="majorHAnsi"/>
          <w:i/>
          <w:sz w:val="22"/>
          <w:szCs w:val="22"/>
          <w:lang w:eastAsia="en-US"/>
        </w:rPr>
      </w:pPr>
    </w:p>
    <w:p w14:paraId="712494B3"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In order to provide for a workable regime for growth markets, and given that the NCAs cannot set position limits on the basis of anticipated open interest growth, NCAs need to be able to process near instant updates to the categorisation of markets and readjust the applicable limits as open interests in a market increases. This is especially true for markets that experience strong increases in open interest in a </w:t>
      </w:r>
      <w:r>
        <w:rPr>
          <w:rFonts w:asciiTheme="majorHAnsi" w:eastAsia="Calibri" w:hAnsiTheme="majorHAnsi" w:cstheme="majorHAnsi"/>
          <w:sz w:val="22"/>
          <w:szCs w:val="22"/>
          <w:lang w:eastAsia="en-US"/>
        </w:rPr>
        <w:t>short</w:t>
      </w:r>
      <w:r w:rsidRPr="00273EEE">
        <w:rPr>
          <w:rFonts w:asciiTheme="majorHAnsi" w:eastAsia="Calibri" w:hAnsiTheme="majorHAnsi" w:cstheme="majorHAnsi"/>
          <w:sz w:val="22"/>
          <w:szCs w:val="22"/>
          <w:lang w:eastAsia="en-US"/>
        </w:rPr>
        <w:t xml:space="preserve"> period of time. Markets with initially relatively low levels of open interest can develop into liquid markets in a matter of weeks or months. In order for a limit not to impede the development of fast growing markets</w:t>
      </w:r>
      <w:r>
        <w:rPr>
          <w:rFonts w:asciiTheme="majorHAnsi" w:eastAsia="Calibri" w:hAnsiTheme="majorHAnsi" w:cstheme="majorHAnsi"/>
          <w:sz w:val="22"/>
          <w:szCs w:val="22"/>
          <w:lang w:eastAsia="en-US"/>
        </w:rPr>
        <w:t xml:space="preserve"> the following aspects should be taken into consideration</w:t>
      </w:r>
      <w:r w:rsidRPr="00273EEE">
        <w:rPr>
          <w:rFonts w:asciiTheme="majorHAnsi" w:eastAsia="Calibri" w:hAnsiTheme="majorHAnsi" w:cstheme="majorHAnsi"/>
          <w:sz w:val="22"/>
          <w:szCs w:val="22"/>
          <w:lang w:eastAsia="en-US"/>
        </w:rPr>
        <w:t>:</w:t>
      </w:r>
    </w:p>
    <w:p w14:paraId="2369816D" w14:textId="25DD7BB0" w:rsidR="00E73DBE" w:rsidRDefault="00E73DBE" w:rsidP="00E73DBE">
      <w:pPr>
        <w:numPr>
          <w:ilvl w:val="0"/>
          <w:numId w:val="17"/>
        </w:numPr>
        <w:spacing w:after="200" w:line="276" w:lineRule="auto"/>
        <w:contextualSpacing/>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T</w:t>
      </w:r>
      <w:r w:rsidRPr="00273EEE">
        <w:rPr>
          <w:rFonts w:asciiTheme="majorHAnsi" w:eastAsia="Calibri" w:hAnsiTheme="majorHAnsi" w:cstheme="majorHAnsi"/>
          <w:sz w:val="22"/>
          <w:szCs w:val="22"/>
          <w:lang w:eastAsia="en-US"/>
        </w:rPr>
        <w:t xml:space="preserve">he growth of open interest requires a timely reclassification of a market under the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(for example from ‘illiquid’ to ‘less liquid’) in order to allow the position limit to be adjusted to a workable level</w:t>
      </w:r>
      <w:r>
        <w:rPr>
          <w:rFonts w:asciiTheme="majorHAnsi" w:eastAsia="Calibri" w:hAnsiTheme="majorHAnsi" w:cstheme="majorHAnsi"/>
          <w:sz w:val="22"/>
          <w:szCs w:val="22"/>
          <w:lang w:eastAsia="en-US"/>
        </w:rPr>
        <w:t xml:space="preserve"> and</w:t>
      </w:r>
      <w:r w:rsidRPr="00273EEE">
        <w:rPr>
          <w:rFonts w:asciiTheme="majorHAnsi" w:eastAsia="Calibri" w:hAnsiTheme="majorHAnsi" w:cstheme="majorHAnsi"/>
          <w:sz w:val="22"/>
          <w:szCs w:val="22"/>
          <w:lang w:eastAsia="en-US"/>
        </w:rPr>
        <w:t xml:space="preserve"> before it becomes unnecessarily restrictive. The use of administrative acts</w:t>
      </w:r>
      <w:r>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xml:space="preserve">to implement or adapt position limits, as required by national legislation </w:t>
      </w:r>
      <w:r>
        <w:rPr>
          <w:rFonts w:asciiTheme="majorHAnsi" w:eastAsia="Calibri" w:hAnsiTheme="majorHAnsi" w:cstheme="majorHAnsi"/>
          <w:sz w:val="22"/>
          <w:szCs w:val="22"/>
          <w:lang w:eastAsia="en-US"/>
        </w:rPr>
        <w:t xml:space="preserve">in </w:t>
      </w:r>
      <w:r w:rsidRPr="00273EEE">
        <w:rPr>
          <w:rFonts w:asciiTheme="majorHAnsi" w:eastAsia="Calibri" w:hAnsiTheme="majorHAnsi" w:cstheme="majorHAnsi"/>
          <w:sz w:val="22"/>
          <w:szCs w:val="22"/>
          <w:lang w:eastAsia="en-US"/>
        </w:rPr>
        <w:t xml:space="preserve">some Member States, is an example of how inflexible requirements can hamper the ability of NCAs to adapt to </w:t>
      </w:r>
      <w:r>
        <w:rPr>
          <w:rFonts w:asciiTheme="majorHAnsi" w:eastAsia="Calibri" w:hAnsiTheme="majorHAnsi" w:cstheme="majorHAnsi"/>
          <w:sz w:val="22"/>
          <w:szCs w:val="22"/>
          <w:lang w:eastAsia="en-US"/>
        </w:rPr>
        <w:t>the</w:t>
      </w:r>
      <w:r w:rsidRPr="00273EEE">
        <w:rPr>
          <w:rFonts w:asciiTheme="majorHAnsi" w:eastAsia="Calibri" w:hAnsiTheme="majorHAnsi" w:cstheme="majorHAnsi"/>
          <w:sz w:val="22"/>
          <w:szCs w:val="22"/>
          <w:lang w:eastAsia="en-US"/>
        </w:rPr>
        <w:t xml:space="preserve"> pace </w:t>
      </w:r>
      <w:r>
        <w:rPr>
          <w:rFonts w:asciiTheme="majorHAnsi" w:eastAsia="Calibri" w:hAnsiTheme="majorHAnsi" w:cstheme="majorHAnsi"/>
          <w:sz w:val="22"/>
          <w:szCs w:val="22"/>
          <w:lang w:eastAsia="en-US"/>
        </w:rPr>
        <w:t>of fast growing markets</w:t>
      </w:r>
      <w:r w:rsidRPr="00273EEE">
        <w:rPr>
          <w:rFonts w:asciiTheme="majorHAnsi" w:eastAsia="Calibri" w:hAnsiTheme="majorHAnsi" w:cstheme="majorHAnsi"/>
          <w:sz w:val="22"/>
          <w:szCs w:val="22"/>
          <w:lang w:eastAsia="en-US"/>
        </w:rPr>
        <w:t>.</w:t>
      </w:r>
    </w:p>
    <w:p w14:paraId="3CDEC556" w14:textId="77777777" w:rsidR="00F10373" w:rsidRPr="00273EEE" w:rsidRDefault="00F10373" w:rsidP="00F10373">
      <w:pPr>
        <w:spacing w:after="200" w:line="276" w:lineRule="auto"/>
        <w:ind w:left="720"/>
        <w:contextualSpacing/>
        <w:jc w:val="both"/>
        <w:rPr>
          <w:rFonts w:asciiTheme="majorHAnsi" w:eastAsia="Calibri" w:hAnsiTheme="majorHAnsi" w:cstheme="majorHAnsi"/>
          <w:sz w:val="22"/>
          <w:szCs w:val="22"/>
          <w:lang w:eastAsia="en-US"/>
        </w:rPr>
      </w:pPr>
    </w:p>
    <w:p w14:paraId="219709BE" w14:textId="77777777" w:rsidR="00E73DBE" w:rsidRPr="00273EEE" w:rsidRDefault="00E73DBE" w:rsidP="00E73DBE">
      <w:pPr>
        <w:numPr>
          <w:ilvl w:val="0"/>
          <w:numId w:val="17"/>
        </w:numPr>
        <w:spacing w:after="200" w:line="276" w:lineRule="auto"/>
        <w:contextualSpacing/>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It is essential that NCAs take an adequate approach with regard to the time period they take as a basis to calculate open interest for the purpose of setting a position limit and classifying a market. Not looking at the right time period could result in relatively frequent requests to NCAs for adjustments of the limit, as the newly set limit could be reached with only a small amount of transactions in a fast-growing market. </w:t>
      </w:r>
    </w:p>
    <w:p w14:paraId="021395D7" w14:textId="77777777" w:rsidR="00F10373" w:rsidRDefault="00F10373" w:rsidP="00F10373">
      <w:pPr>
        <w:spacing w:after="200" w:line="276" w:lineRule="auto"/>
        <w:ind w:left="720"/>
        <w:contextualSpacing/>
        <w:jc w:val="both"/>
        <w:rPr>
          <w:rFonts w:asciiTheme="majorHAnsi" w:eastAsia="Calibri" w:hAnsiTheme="majorHAnsi" w:cstheme="majorHAnsi"/>
          <w:sz w:val="22"/>
          <w:szCs w:val="22"/>
          <w:lang w:eastAsia="en-US"/>
        </w:rPr>
      </w:pPr>
    </w:p>
    <w:p w14:paraId="3A5D7B04" w14:textId="49454923" w:rsidR="00E73DBE" w:rsidRPr="00273EEE" w:rsidRDefault="00E73DBE" w:rsidP="00E73DBE">
      <w:pPr>
        <w:numPr>
          <w:ilvl w:val="0"/>
          <w:numId w:val="17"/>
        </w:numPr>
        <w:spacing w:after="200" w:line="276" w:lineRule="auto"/>
        <w:contextualSpacing/>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In certain cases, such as the transition to a new benchmark contract, it would be desirable </w:t>
      </w:r>
      <w:r>
        <w:rPr>
          <w:rFonts w:asciiTheme="majorHAnsi" w:eastAsia="Calibri" w:hAnsiTheme="majorHAnsi" w:cstheme="majorHAnsi"/>
          <w:sz w:val="22"/>
          <w:szCs w:val="22"/>
          <w:lang w:eastAsia="en-US"/>
        </w:rPr>
        <w:t>to enable</w:t>
      </w:r>
      <w:r w:rsidRPr="00273EEE">
        <w:rPr>
          <w:rFonts w:asciiTheme="majorHAnsi" w:eastAsia="Calibri" w:hAnsiTheme="majorHAnsi" w:cstheme="majorHAnsi"/>
          <w:sz w:val="22"/>
          <w:szCs w:val="22"/>
          <w:lang w:eastAsia="en-US"/>
        </w:rPr>
        <w:t xml:space="preserve"> NCAs to categorise markets and set limits based on anticipated growth in open interest. One example for this is the EEX Supramax Freight Future, for which there is a process in the market to update the existing index methodology from Supramax-6TC (STCM) to Supramax-10TC (SPTM). The process of transferring to a new index means that the market will switch trading over time from one product to the other. At the point in time where the market participants have switched over to the new index, they typically also want to transfer positions in the old to the new contract as this enables them to actively manage their open positions in a single contract. Without this transfer, positions in the old contract become 'stranded' and members are forced to </w:t>
      </w:r>
      <w:r w:rsidRPr="00273EEE">
        <w:rPr>
          <w:rFonts w:asciiTheme="majorHAnsi" w:eastAsia="Calibri" w:hAnsiTheme="majorHAnsi" w:cstheme="majorHAnsi"/>
          <w:sz w:val="22"/>
          <w:szCs w:val="22"/>
          <w:lang w:eastAsia="en-US"/>
        </w:rPr>
        <w:lastRenderedPageBreak/>
        <w:t xml:space="preserve">hold them until expiry, as finding a counterparty prepared to trade the old contract becomes very difficult. However, this is currently prevented by the fact that the </w:t>
      </w:r>
      <w:r w:rsidRPr="00CE18A0">
        <w:rPr>
          <w:rFonts w:asciiTheme="majorHAnsi" w:eastAsia="Calibri" w:hAnsiTheme="majorHAnsi" w:cstheme="majorHAnsi"/>
          <w:i/>
          <w:iCs/>
          <w:sz w:val="22"/>
          <w:szCs w:val="22"/>
          <w:lang w:eastAsia="en-US"/>
        </w:rPr>
        <w:t xml:space="preserve">de minimis </w:t>
      </w:r>
      <w:r w:rsidRPr="00273EEE">
        <w:rPr>
          <w:rFonts w:asciiTheme="majorHAnsi" w:eastAsia="Calibri" w:hAnsiTheme="majorHAnsi" w:cstheme="majorHAnsi"/>
          <w:sz w:val="22"/>
          <w:szCs w:val="22"/>
          <w:lang w:eastAsia="en-US"/>
        </w:rPr>
        <w:t>limit for the new contract is not sufficiently high to allow market participants to transfer their old position to the new contract. As a consequence, EEX becomes locked into a scenario where an action that would enable a position limit increase cannot be conducted as it would initially result in some members breaching limits. For these particular cases, the NCAs should be entitled to base the position limit of the new contract on the open interest of the old contract.</w:t>
      </w:r>
    </w:p>
    <w:p w14:paraId="2F451CC0"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p>
    <w:p w14:paraId="096CB27E"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In practice it has proven to be impossible for NCAs to reclassify markets and recalibrate the applicable limits </w:t>
      </w:r>
      <w:r>
        <w:rPr>
          <w:rFonts w:asciiTheme="majorHAnsi" w:eastAsia="Calibri" w:hAnsiTheme="majorHAnsi" w:cstheme="majorHAnsi"/>
          <w:sz w:val="22"/>
          <w:szCs w:val="22"/>
          <w:lang w:eastAsia="en-US"/>
        </w:rPr>
        <w:t xml:space="preserve">quickly enough </w:t>
      </w:r>
      <w:r w:rsidRPr="00273EEE">
        <w:rPr>
          <w:rFonts w:asciiTheme="majorHAnsi" w:eastAsia="Calibri" w:hAnsiTheme="majorHAnsi" w:cstheme="majorHAnsi"/>
          <w:sz w:val="22"/>
          <w:szCs w:val="22"/>
          <w:lang w:eastAsia="en-US"/>
        </w:rPr>
        <w:t xml:space="preserve">and in a manner that would prevent a negative impact on the development of fast growing markets. Figure 1 illustrates this negative impact on one of ICE’s previously fast growing markets when subjected to the MiFID II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The material growth in open interest (area marked in yellow) started in Q4 2017, but this momentum </w:t>
      </w:r>
      <w:r>
        <w:rPr>
          <w:rFonts w:asciiTheme="majorHAnsi" w:eastAsia="Calibri" w:hAnsiTheme="majorHAnsi" w:cstheme="majorHAnsi"/>
          <w:sz w:val="22"/>
          <w:szCs w:val="22"/>
          <w:lang w:eastAsia="en-US"/>
        </w:rPr>
        <w:t>was</w:t>
      </w:r>
      <w:r w:rsidRPr="00273EEE">
        <w:rPr>
          <w:rFonts w:asciiTheme="majorHAnsi" w:eastAsia="Calibri" w:hAnsiTheme="majorHAnsi" w:cstheme="majorHAnsi"/>
          <w:sz w:val="22"/>
          <w:szCs w:val="22"/>
          <w:lang w:eastAsia="en-US"/>
        </w:rPr>
        <w:t xml:space="preserve"> severely impaired at the end of 2017 and in </w:t>
      </w:r>
      <w:r>
        <w:rPr>
          <w:rFonts w:asciiTheme="majorHAnsi" w:eastAsia="Calibri" w:hAnsiTheme="majorHAnsi" w:cstheme="majorHAnsi"/>
          <w:sz w:val="22"/>
          <w:szCs w:val="22"/>
          <w:lang w:eastAsia="en-US"/>
        </w:rPr>
        <w:t>early</w:t>
      </w:r>
      <w:r w:rsidRPr="00273EEE">
        <w:rPr>
          <w:rFonts w:asciiTheme="majorHAnsi" w:eastAsia="Calibri" w:hAnsiTheme="majorHAnsi" w:cstheme="majorHAnsi"/>
          <w:sz w:val="22"/>
          <w:szCs w:val="22"/>
          <w:lang w:eastAsia="en-US"/>
        </w:rPr>
        <w:t xml:space="preserve"> 2018 in anticipation of the introduction of the MiFID II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Before any reclassification of this market and subsequent recalibration of the limit could occur, the damage </w:t>
      </w:r>
      <w:r>
        <w:rPr>
          <w:rFonts w:asciiTheme="majorHAnsi" w:eastAsia="Calibri" w:hAnsiTheme="majorHAnsi" w:cstheme="majorHAnsi"/>
          <w:sz w:val="22"/>
          <w:szCs w:val="22"/>
          <w:lang w:eastAsia="en-US"/>
        </w:rPr>
        <w:t xml:space="preserve">caused </w:t>
      </w:r>
      <w:r w:rsidRPr="00273EEE">
        <w:rPr>
          <w:rFonts w:asciiTheme="majorHAnsi" w:eastAsia="Calibri" w:hAnsiTheme="majorHAnsi" w:cstheme="majorHAnsi"/>
          <w:sz w:val="22"/>
          <w:szCs w:val="22"/>
          <w:lang w:eastAsia="en-US"/>
        </w:rPr>
        <w:t xml:space="preserve">to the development of this market </w:t>
      </w:r>
      <w:r>
        <w:rPr>
          <w:rFonts w:asciiTheme="majorHAnsi" w:eastAsia="Calibri" w:hAnsiTheme="majorHAnsi" w:cstheme="majorHAnsi"/>
          <w:sz w:val="22"/>
          <w:szCs w:val="22"/>
          <w:lang w:eastAsia="en-US"/>
        </w:rPr>
        <w:t>had</w:t>
      </w:r>
      <w:r w:rsidRPr="00273EEE">
        <w:rPr>
          <w:rFonts w:asciiTheme="majorHAnsi" w:eastAsia="Calibri" w:hAnsiTheme="majorHAnsi" w:cstheme="majorHAnsi"/>
          <w:sz w:val="22"/>
          <w:szCs w:val="22"/>
          <w:lang w:eastAsia="en-US"/>
        </w:rPr>
        <w:t xml:space="preserve"> proven to be irrevocable. This negative effect on the development of commodity derivative</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marke</w:t>
      </w:r>
      <w:r>
        <w:rPr>
          <w:rFonts w:asciiTheme="majorHAnsi" w:eastAsia="Calibri" w:hAnsiTheme="majorHAnsi" w:cstheme="majorHAnsi"/>
          <w:sz w:val="22"/>
          <w:szCs w:val="22"/>
          <w:lang w:eastAsia="en-US"/>
        </w:rPr>
        <w:t>t</w:t>
      </w:r>
      <w:r w:rsidRPr="00273EEE">
        <w:rPr>
          <w:rFonts w:asciiTheme="majorHAnsi" w:eastAsia="Calibri" w:hAnsiTheme="majorHAnsi" w:cstheme="majorHAnsi"/>
          <w:sz w:val="22"/>
          <w:szCs w:val="22"/>
          <w:lang w:eastAsia="en-US"/>
        </w:rPr>
        <w:t xml:space="preserve">s described above is stereotypical for fast growing markets subject to the MiFID II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w:t>
      </w:r>
    </w:p>
    <w:p w14:paraId="2A083CDA"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noProof/>
          <w:sz w:val="22"/>
          <w:szCs w:val="22"/>
          <w:lang w:val="en-US" w:eastAsia="en-US"/>
        </w:rPr>
        <w:drawing>
          <wp:inline distT="0" distB="0" distL="0" distR="0" wp14:anchorId="7B2B2688" wp14:editId="6A459FEC">
            <wp:extent cx="5737242" cy="2847372"/>
            <wp:effectExtent l="0" t="0" r="0" b="0"/>
            <wp:docPr id="12" name="Picture 12" descr="C:\Users\jhardeve\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ardeve\Desktop\Picture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9" t="-7499" r="-1579" b="7499"/>
                    <a:stretch/>
                  </pic:blipFill>
                  <pic:spPr bwMode="auto">
                    <a:xfrm>
                      <a:off x="0" y="0"/>
                      <a:ext cx="5777799" cy="2867500"/>
                    </a:xfrm>
                    <a:prstGeom prst="rect">
                      <a:avLst/>
                    </a:prstGeom>
                    <a:noFill/>
                    <a:ln>
                      <a:noFill/>
                    </a:ln>
                    <a:extLst>
                      <a:ext uri="{53640926-AAD7-44D8-BBD7-CCE9431645EC}">
                        <a14:shadowObscured xmlns:a14="http://schemas.microsoft.com/office/drawing/2010/main"/>
                      </a:ext>
                    </a:extLst>
                  </pic:spPr>
                </pic:pic>
              </a:graphicData>
            </a:graphic>
          </wp:inline>
        </w:drawing>
      </w:r>
    </w:p>
    <w:p w14:paraId="14F339A0" w14:textId="1079A5E2" w:rsidR="00E73DBE" w:rsidRPr="00F10373" w:rsidRDefault="00E73DBE" w:rsidP="00E73DBE">
      <w:pPr>
        <w:spacing w:after="200" w:line="276" w:lineRule="auto"/>
        <w:jc w:val="both"/>
        <w:rPr>
          <w:rFonts w:asciiTheme="majorHAnsi" w:eastAsia="Calibri" w:hAnsiTheme="majorHAnsi" w:cstheme="majorHAnsi"/>
          <w:sz w:val="16"/>
          <w:szCs w:val="16"/>
          <w:lang w:eastAsia="en-US"/>
        </w:rPr>
      </w:pPr>
      <w:r w:rsidRPr="00273EEE">
        <w:rPr>
          <w:rFonts w:asciiTheme="majorHAnsi" w:eastAsia="Calibri" w:hAnsiTheme="majorHAnsi" w:cstheme="majorHAnsi"/>
          <w:sz w:val="16"/>
          <w:szCs w:val="16"/>
          <w:lang w:eastAsia="en-US"/>
        </w:rPr>
        <w:t>Figure 1</w:t>
      </w:r>
      <w:r>
        <w:rPr>
          <w:rFonts w:asciiTheme="majorHAnsi" w:eastAsia="Calibri" w:hAnsiTheme="majorHAnsi" w:cstheme="majorHAnsi"/>
          <w:sz w:val="16"/>
          <w:szCs w:val="16"/>
          <w:lang w:eastAsia="en-US"/>
        </w:rPr>
        <w:t>:</w:t>
      </w:r>
      <w:r w:rsidRPr="00273EEE">
        <w:rPr>
          <w:rFonts w:asciiTheme="majorHAnsi" w:eastAsia="Calibri" w:hAnsiTheme="majorHAnsi" w:cstheme="majorHAnsi"/>
          <w:sz w:val="16"/>
          <w:szCs w:val="16"/>
          <w:lang w:eastAsia="en-US"/>
        </w:rPr>
        <w:t xml:space="preserve"> Impact of </w:t>
      </w:r>
      <w:r>
        <w:rPr>
          <w:rFonts w:asciiTheme="majorHAnsi" w:eastAsia="Calibri" w:hAnsiTheme="majorHAnsi" w:cstheme="majorHAnsi"/>
          <w:sz w:val="16"/>
          <w:szCs w:val="16"/>
          <w:lang w:eastAsia="en-US"/>
        </w:rPr>
        <w:t>position limit regime</w:t>
      </w:r>
      <w:r w:rsidRPr="00273EEE">
        <w:rPr>
          <w:rFonts w:asciiTheme="majorHAnsi" w:eastAsia="Calibri" w:hAnsiTheme="majorHAnsi" w:cstheme="majorHAnsi"/>
          <w:sz w:val="16"/>
          <w:szCs w:val="16"/>
          <w:lang w:eastAsia="en-US"/>
        </w:rPr>
        <w:t xml:space="preserve"> on development of ICE Endex Italian PSV Gas Futures market.</w:t>
      </w:r>
    </w:p>
    <w:p w14:paraId="51F6715C" w14:textId="77777777" w:rsidR="00E73DBE" w:rsidRPr="00273EEE" w:rsidRDefault="00E73DBE" w:rsidP="00E73DB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Figure</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2 and 3 illustrate this negative impact on PEGAS Czech Virtual Trading Point </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CZ VTP</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and PEGAS Zeebrugge Trading Point (ZTP) gas future markets. Both markets took off in the course of 2018, but then declined </w:t>
      </w:r>
      <w:r>
        <w:rPr>
          <w:rFonts w:asciiTheme="majorHAnsi" w:eastAsia="Calibri" w:hAnsiTheme="majorHAnsi" w:cstheme="majorHAnsi"/>
          <w:sz w:val="22"/>
          <w:szCs w:val="22"/>
          <w:lang w:eastAsia="en-US"/>
        </w:rPr>
        <w:t>once</w:t>
      </w:r>
      <w:r w:rsidRPr="00273EEE">
        <w:rPr>
          <w:rFonts w:asciiTheme="majorHAnsi" w:eastAsia="Calibri" w:hAnsiTheme="majorHAnsi" w:cstheme="majorHAnsi"/>
          <w:sz w:val="22"/>
          <w:szCs w:val="22"/>
          <w:lang w:eastAsia="en-US"/>
        </w:rPr>
        <w:t xml:space="preserve"> the 2,500 lots limit </w:t>
      </w:r>
      <w:r>
        <w:rPr>
          <w:rFonts w:asciiTheme="majorHAnsi" w:eastAsia="Calibri" w:hAnsiTheme="majorHAnsi" w:cstheme="majorHAnsi"/>
          <w:sz w:val="22"/>
          <w:szCs w:val="22"/>
          <w:lang w:eastAsia="en-US"/>
        </w:rPr>
        <w:t>had become</w:t>
      </w:r>
      <w:r w:rsidRPr="00273EEE">
        <w:rPr>
          <w:rFonts w:asciiTheme="majorHAnsi" w:eastAsia="Calibri" w:hAnsiTheme="majorHAnsi" w:cstheme="majorHAnsi"/>
          <w:sz w:val="22"/>
          <w:szCs w:val="22"/>
          <w:lang w:eastAsia="en-US"/>
        </w:rPr>
        <w:t xml:space="preserve"> too restrictive. With only 10 to 12 market participants registered to trading and only 1 or 2 very active market participants being responsible for most of the volumes – an absolutely normal situation for a new contract -, the position limit put a halt to the further development of the contract. While some participants are eligible for the hedging exemption (and applied for one), some important </w:t>
      </w:r>
      <w:r w:rsidRPr="00273EEE">
        <w:rPr>
          <w:rFonts w:asciiTheme="majorHAnsi" w:eastAsia="Calibri" w:hAnsiTheme="majorHAnsi" w:cstheme="majorHAnsi"/>
          <w:sz w:val="22"/>
          <w:szCs w:val="22"/>
          <w:lang w:eastAsia="en-US"/>
        </w:rPr>
        <w:lastRenderedPageBreak/>
        <w:t>participants are investment firms and cannot benefit from this exemption, meaning that they have no other option tha</w:t>
      </w:r>
      <w:r>
        <w:rPr>
          <w:rFonts w:asciiTheme="majorHAnsi" w:eastAsia="Calibri" w:hAnsiTheme="majorHAnsi" w:cstheme="majorHAnsi"/>
          <w:sz w:val="22"/>
          <w:szCs w:val="22"/>
          <w:lang w:eastAsia="en-US"/>
        </w:rPr>
        <w:t>n</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 xml:space="preserve">to </w:t>
      </w:r>
      <w:r w:rsidRPr="00273EEE">
        <w:rPr>
          <w:rFonts w:asciiTheme="majorHAnsi" w:eastAsia="Calibri" w:hAnsiTheme="majorHAnsi" w:cstheme="majorHAnsi"/>
          <w:sz w:val="22"/>
          <w:szCs w:val="22"/>
          <w:lang w:eastAsia="en-US"/>
        </w:rPr>
        <w:t xml:space="preserve">stop trading and </w:t>
      </w:r>
      <w:r>
        <w:rPr>
          <w:rFonts w:asciiTheme="majorHAnsi" w:eastAsia="Calibri" w:hAnsiTheme="majorHAnsi" w:cstheme="majorHAnsi"/>
          <w:sz w:val="22"/>
          <w:szCs w:val="22"/>
          <w:lang w:eastAsia="en-US"/>
        </w:rPr>
        <w:t xml:space="preserve">to </w:t>
      </w:r>
      <w:r w:rsidRPr="00273EEE">
        <w:rPr>
          <w:rFonts w:asciiTheme="majorHAnsi" w:eastAsia="Calibri" w:hAnsiTheme="majorHAnsi" w:cstheme="majorHAnsi"/>
          <w:sz w:val="22"/>
          <w:szCs w:val="22"/>
          <w:lang w:eastAsia="en-US"/>
        </w:rPr>
        <w:t>look for other hedging alternatives.</w:t>
      </w:r>
    </w:p>
    <w:p w14:paraId="7667C623" w14:textId="77777777" w:rsidR="00E73DBE" w:rsidRPr="00273EEE" w:rsidRDefault="00E73DBE" w:rsidP="00E73DBE">
      <w:pPr>
        <w:spacing w:after="200" w:line="276" w:lineRule="auto"/>
        <w:jc w:val="both"/>
        <w:rPr>
          <w:rFonts w:asciiTheme="majorHAnsi" w:eastAsia="Calibri" w:hAnsiTheme="majorHAnsi" w:cstheme="majorHAnsi"/>
          <w:color w:val="FF0000"/>
          <w:sz w:val="22"/>
          <w:szCs w:val="22"/>
          <w:lang w:eastAsia="en-US"/>
        </w:rPr>
      </w:pPr>
    </w:p>
    <w:p w14:paraId="06292641"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hAnsiTheme="majorHAnsi" w:cstheme="majorHAnsi"/>
          <w:noProof/>
          <w:sz w:val="22"/>
          <w:szCs w:val="22"/>
          <w:lang w:val="en-US" w:eastAsia="en-US"/>
        </w:rPr>
        <w:drawing>
          <wp:inline distT="0" distB="0" distL="0" distR="0" wp14:anchorId="548AE624" wp14:editId="6FABC8A5">
            <wp:extent cx="5759450" cy="2702560"/>
            <wp:effectExtent l="0" t="0" r="0" b="2540"/>
            <wp:docPr id="8" name="Picture 6">
              <a:extLst xmlns:a="http://schemas.openxmlformats.org/drawingml/2006/main">
                <a:ext uri="{FF2B5EF4-FFF2-40B4-BE49-F238E27FC236}">
                  <a16:creationId xmlns:a16="http://schemas.microsoft.com/office/drawing/2014/main" id="{AB154CF7-32FB-4BC6-BECE-3D32DA9FD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B154CF7-32FB-4BC6-BECE-3D32DA9FDF28}"/>
                        </a:ext>
                      </a:extLst>
                    </pic:cNvPr>
                    <pic:cNvPicPr>
                      <a:picLocks noChangeAspect="1"/>
                    </pic:cNvPicPr>
                  </pic:nvPicPr>
                  <pic:blipFill>
                    <a:blip r:embed="rId21"/>
                    <a:stretch>
                      <a:fillRect/>
                    </a:stretch>
                  </pic:blipFill>
                  <pic:spPr>
                    <a:xfrm>
                      <a:off x="0" y="0"/>
                      <a:ext cx="5759450" cy="2702560"/>
                    </a:xfrm>
                    <a:prstGeom prst="rect">
                      <a:avLst/>
                    </a:prstGeom>
                  </pic:spPr>
                </pic:pic>
              </a:graphicData>
            </a:graphic>
          </wp:inline>
        </w:drawing>
      </w:r>
    </w:p>
    <w:p w14:paraId="73AD30B3" w14:textId="77777777" w:rsidR="00E73DBE" w:rsidRPr="00273EEE" w:rsidRDefault="00E73DBE" w:rsidP="00E73DBE">
      <w:pPr>
        <w:spacing w:after="200" w:line="276" w:lineRule="auto"/>
        <w:jc w:val="both"/>
        <w:rPr>
          <w:rFonts w:asciiTheme="majorHAnsi" w:eastAsia="Calibri" w:hAnsiTheme="majorHAnsi" w:cstheme="majorHAnsi"/>
          <w:sz w:val="16"/>
          <w:szCs w:val="16"/>
          <w:lang w:eastAsia="en-US"/>
        </w:rPr>
      </w:pPr>
      <w:r w:rsidRPr="00273EEE">
        <w:rPr>
          <w:rFonts w:asciiTheme="majorHAnsi" w:eastAsia="Calibri" w:hAnsiTheme="majorHAnsi" w:cstheme="majorHAnsi"/>
          <w:sz w:val="16"/>
          <w:szCs w:val="16"/>
          <w:lang w:eastAsia="en-US"/>
        </w:rPr>
        <w:t>Figure 2</w:t>
      </w:r>
      <w:r>
        <w:rPr>
          <w:rFonts w:asciiTheme="majorHAnsi" w:eastAsia="Calibri" w:hAnsiTheme="majorHAnsi" w:cstheme="majorHAnsi"/>
          <w:sz w:val="16"/>
          <w:szCs w:val="16"/>
          <w:lang w:eastAsia="en-US"/>
        </w:rPr>
        <w:t>:</w:t>
      </w:r>
      <w:r w:rsidRPr="00273EEE">
        <w:rPr>
          <w:rFonts w:asciiTheme="majorHAnsi" w:eastAsia="Calibri" w:hAnsiTheme="majorHAnsi" w:cstheme="majorHAnsi"/>
          <w:sz w:val="16"/>
          <w:szCs w:val="16"/>
          <w:lang w:eastAsia="en-US"/>
        </w:rPr>
        <w:t xml:space="preserve"> Impact of </w:t>
      </w:r>
      <w:r>
        <w:rPr>
          <w:rFonts w:asciiTheme="majorHAnsi" w:eastAsia="Calibri" w:hAnsiTheme="majorHAnsi" w:cstheme="majorHAnsi"/>
          <w:sz w:val="16"/>
          <w:szCs w:val="16"/>
          <w:lang w:eastAsia="en-US"/>
        </w:rPr>
        <w:t>position limit regime</w:t>
      </w:r>
      <w:r w:rsidRPr="00273EEE">
        <w:rPr>
          <w:rFonts w:asciiTheme="majorHAnsi" w:eastAsia="Calibri" w:hAnsiTheme="majorHAnsi" w:cstheme="majorHAnsi"/>
          <w:sz w:val="16"/>
          <w:szCs w:val="16"/>
          <w:lang w:eastAsia="en-US"/>
        </w:rPr>
        <w:t xml:space="preserve"> on development of PEGAS ZTP gas futures market. </w:t>
      </w:r>
    </w:p>
    <w:p w14:paraId="56323FDB"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hAnsiTheme="majorHAnsi" w:cstheme="majorHAnsi"/>
          <w:noProof/>
          <w:sz w:val="22"/>
          <w:szCs w:val="22"/>
          <w:lang w:val="en-US" w:eastAsia="en-US"/>
        </w:rPr>
        <w:drawing>
          <wp:inline distT="0" distB="0" distL="0" distR="0" wp14:anchorId="2C3D4C6B" wp14:editId="46A95CB1">
            <wp:extent cx="5759450" cy="2702560"/>
            <wp:effectExtent l="0" t="0" r="0" b="2540"/>
            <wp:docPr id="10" name="Picture 1">
              <a:extLst xmlns:a="http://schemas.openxmlformats.org/drawingml/2006/main">
                <a:ext uri="{FF2B5EF4-FFF2-40B4-BE49-F238E27FC236}">
                  <a16:creationId xmlns:a16="http://schemas.microsoft.com/office/drawing/2014/main" id="{99667B19-3E7B-4818-9788-93F9DEAE3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667B19-3E7B-4818-9788-93F9DEAE370B}"/>
                        </a:ext>
                      </a:extLst>
                    </pic:cNvPr>
                    <pic:cNvPicPr>
                      <a:picLocks noChangeAspect="1"/>
                    </pic:cNvPicPr>
                  </pic:nvPicPr>
                  <pic:blipFill>
                    <a:blip r:embed="rId22"/>
                    <a:stretch>
                      <a:fillRect/>
                    </a:stretch>
                  </pic:blipFill>
                  <pic:spPr>
                    <a:xfrm>
                      <a:off x="0" y="0"/>
                      <a:ext cx="5759450" cy="2702560"/>
                    </a:xfrm>
                    <a:prstGeom prst="rect">
                      <a:avLst/>
                    </a:prstGeom>
                  </pic:spPr>
                </pic:pic>
              </a:graphicData>
            </a:graphic>
          </wp:inline>
        </w:drawing>
      </w:r>
    </w:p>
    <w:p w14:paraId="60C8A613" w14:textId="77777777" w:rsidR="00E73DBE" w:rsidRPr="00273EEE" w:rsidRDefault="00E73DBE" w:rsidP="00E73DBE">
      <w:pPr>
        <w:spacing w:after="200" w:line="276" w:lineRule="auto"/>
        <w:jc w:val="both"/>
        <w:rPr>
          <w:rFonts w:asciiTheme="majorHAnsi" w:eastAsia="Calibri" w:hAnsiTheme="majorHAnsi" w:cstheme="majorHAnsi"/>
          <w:sz w:val="16"/>
          <w:szCs w:val="16"/>
          <w:lang w:eastAsia="en-US"/>
        </w:rPr>
      </w:pPr>
      <w:r w:rsidRPr="00273EEE">
        <w:rPr>
          <w:rFonts w:asciiTheme="majorHAnsi" w:eastAsia="Calibri" w:hAnsiTheme="majorHAnsi" w:cstheme="majorHAnsi"/>
          <w:sz w:val="16"/>
          <w:szCs w:val="16"/>
          <w:lang w:eastAsia="en-US"/>
        </w:rPr>
        <w:t>Figure 3</w:t>
      </w:r>
      <w:r>
        <w:rPr>
          <w:rFonts w:asciiTheme="majorHAnsi" w:eastAsia="Calibri" w:hAnsiTheme="majorHAnsi" w:cstheme="majorHAnsi"/>
          <w:sz w:val="16"/>
          <w:szCs w:val="16"/>
          <w:lang w:eastAsia="en-US"/>
        </w:rPr>
        <w:t>:</w:t>
      </w:r>
      <w:r w:rsidRPr="00273EEE">
        <w:rPr>
          <w:rFonts w:asciiTheme="majorHAnsi" w:eastAsia="Calibri" w:hAnsiTheme="majorHAnsi" w:cstheme="majorHAnsi"/>
          <w:sz w:val="16"/>
          <w:szCs w:val="16"/>
          <w:lang w:eastAsia="en-US"/>
        </w:rPr>
        <w:t xml:space="preserve"> Impact of </w:t>
      </w:r>
      <w:r>
        <w:rPr>
          <w:rFonts w:asciiTheme="majorHAnsi" w:eastAsia="Calibri" w:hAnsiTheme="majorHAnsi" w:cstheme="majorHAnsi"/>
          <w:sz w:val="16"/>
          <w:szCs w:val="16"/>
          <w:lang w:eastAsia="en-US"/>
        </w:rPr>
        <w:t>position limit regime</w:t>
      </w:r>
      <w:r w:rsidRPr="00273EEE">
        <w:rPr>
          <w:rFonts w:asciiTheme="majorHAnsi" w:eastAsia="Calibri" w:hAnsiTheme="majorHAnsi" w:cstheme="majorHAnsi"/>
          <w:sz w:val="16"/>
          <w:szCs w:val="16"/>
          <w:lang w:eastAsia="en-US"/>
        </w:rPr>
        <w:t xml:space="preserve"> on development of PEGAS Czech VTP gas futures market. </w:t>
      </w:r>
    </w:p>
    <w:p w14:paraId="0C9807DD" w14:textId="77777777" w:rsidR="00E73DBE" w:rsidRPr="00273EEE" w:rsidRDefault="00E73DBE" w:rsidP="00E73DBE">
      <w:pPr>
        <w:spacing w:after="200" w:line="276" w:lineRule="auto"/>
        <w:jc w:val="both"/>
        <w:rPr>
          <w:rFonts w:asciiTheme="majorHAnsi" w:eastAsia="Calibri" w:hAnsiTheme="majorHAnsi" w:cstheme="majorHAnsi"/>
          <w:i/>
          <w:sz w:val="22"/>
          <w:szCs w:val="22"/>
          <w:lang w:eastAsia="en-US"/>
        </w:rPr>
      </w:pPr>
    </w:p>
    <w:p w14:paraId="3F725E69" w14:textId="77777777" w:rsidR="00E73DBE" w:rsidRPr="00273EEE" w:rsidRDefault="00E73DBE" w:rsidP="00E73DBE">
      <w:pPr>
        <w:spacing w:after="200" w:line="276" w:lineRule="auto"/>
        <w:jc w:val="both"/>
        <w:rPr>
          <w:rFonts w:asciiTheme="majorHAnsi" w:eastAsia="Calibri" w:hAnsiTheme="majorHAnsi" w:cstheme="majorHAnsi"/>
          <w:i/>
          <w:sz w:val="22"/>
          <w:szCs w:val="22"/>
          <w:lang w:eastAsia="en-US"/>
        </w:rPr>
      </w:pPr>
      <w:r w:rsidRPr="00273EEE">
        <w:rPr>
          <w:rFonts w:asciiTheme="majorHAnsi" w:eastAsia="Calibri" w:hAnsiTheme="majorHAnsi" w:cstheme="majorHAnsi"/>
          <w:i/>
          <w:sz w:val="22"/>
          <w:szCs w:val="22"/>
          <w:lang w:eastAsia="en-US"/>
        </w:rPr>
        <w:t xml:space="preserve">3) Inaccurate reflection of the underlying physical markets </w:t>
      </w:r>
    </w:p>
    <w:p w14:paraId="219CB3AB" w14:textId="77777777" w:rsidR="00E73DBE" w:rsidRPr="00273EEE" w:rsidRDefault="00E73DBE" w:rsidP="00E73DBE">
      <w:pPr>
        <w:spacing w:after="200" w:line="276" w:lineRule="auto"/>
        <w:jc w:val="both"/>
        <w:rPr>
          <w:rFonts w:asciiTheme="majorHAnsi" w:eastAsia="Calibri" w:hAnsiTheme="majorHAnsi" w:cstheme="majorHAnsi"/>
          <w:color w:val="FF0000"/>
          <w:sz w:val="22"/>
          <w:szCs w:val="22"/>
          <w:lang w:eastAsia="en-US"/>
        </w:rPr>
      </w:pPr>
      <w:r>
        <w:rPr>
          <w:rFonts w:asciiTheme="majorHAnsi" w:eastAsia="Calibri" w:hAnsiTheme="majorHAnsi" w:cstheme="majorHAnsi"/>
          <w:sz w:val="22"/>
          <w:szCs w:val="22"/>
          <w:lang w:eastAsia="en-US"/>
        </w:rPr>
        <w:t>F</w:t>
      </w:r>
      <w:r w:rsidRPr="00273EEE">
        <w:rPr>
          <w:rFonts w:asciiTheme="majorHAnsi" w:eastAsia="Calibri" w:hAnsiTheme="majorHAnsi" w:cstheme="majorHAnsi"/>
          <w:sz w:val="22"/>
          <w:szCs w:val="22"/>
          <w:lang w:eastAsia="en-US"/>
        </w:rPr>
        <w:t xml:space="preserve">or some commodity derivatives, the characteristic of the underlying physical market is such that an effective hedge can only be achieved by trading a specific number of lots. Such a number cannot be traded without exceeding the </w:t>
      </w:r>
      <w:r>
        <w:rPr>
          <w:rFonts w:asciiTheme="majorHAnsi" w:eastAsia="Calibri" w:hAnsiTheme="majorHAnsi" w:cstheme="majorHAnsi"/>
          <w:sz w:val="22"/>
          <w:szCs w:val="22"/>
          <w:lang w:eastAsia="en-US"/>
        </w:rPr>
        <w:t xml:space="preserve">given position </w:t>
      </w:r>
      <w:r w:rsidRPr="00273EEE">
        <w:rPr>
          <w:rFonts w:asciiTheme="majorHAnsi" w:eastAsia="Calibri" w:hAnsiTheme="majorHAnsi" w:cstheme="majorHAnsi"/>
          <w:sz w:val="22"/>
          <w:szCs w:val="22"/>
          <w:lang w:eastAsia="en-US"/>
        </w:rPr>
        <w:t xml:space="preserve">limit. This is not only an obstacle to the hedging company, as it will have to obtain a hedging exemption, but even more to the counterparty of the hedge, which might be a financial entity that is not eligible to the hedging </w:t>
      </w:r>
      <w:r w:rsidRPr="00273EEE">
        <w:rPr>
          <w:rFonts w:asciiTheme="majorHAnsi" w:eastAsia="Calibri" w:hAnsiTheme="majorHAnsi" w:cstheme="majorHAnsi"/>
          <w:sz w:val="22"/>
          <w:szCs w:val="22"/>
          <w:lang w:eastAsia="en-US"/>
        </w:rPr>
        <w:lastRenderedPageBreak/>
        <w:t xml:space="preserve">exemption. Yet, under the current MiFID II provisions, the limit cannot be raised based on anticipated growth </w:t>
      </w:r>
      <w:r>
        <w:rPr>
          <w:rFonts w:asciiTheme="majorHAnsi" w:eastAsia="Calibri" w:hAnsiTheme="majorHAnsi" w:cstheme="majorHAnsi"/>
          <w:sz w:val="22"/>
          <w:szCs w:val="22"/>
          <w:lang w:eastAsia="en-US"/>
        </w:rPr>
        <w:t>in</w:t>
      </w:r>
      <w:r w:rsidRPr="00273EEE">
        <w:rPr>
          <w:rFonts w:asciiTheme="majorHAnsi" w:eastAsia="Calibri" w:hAnsiTheme="majorHAnsi" w:cstheme="majorHAnsi"/>
          <w:sz w:val="22"/>
          <w:szCs w:val="22"/>
          <w:lang w:eastAsia="en-US"/>
        </w:rPr>
        <w:t xml:space="preserve"> open interest. </w:t>
      </w:r>
    </w:p>
    <w:p w14:paraId="13A57294"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As a first</w:t>
      </w:r>
      <w:r w:rsidRPr="00273EEE">
        <w:rPr>
          <w:rFonts w:asciiTheme="majorHAnsi" w:eastAsia="Calibri" w:hAnsiTheme="majorHAnsi" w:cstheme="majorHAnsi"/>
          <w:sz w:val="22"/>
          <w:szCs w:val="22"/>
          <w:lang w:eastAsia="en-US"/>
        </w:rPr>
        <w:t xml:space="preserve"> example, the recently launched </w:t>
      </w:r>
      <w:r w:rsidRPr="00273EEE">
        <w:rPr>
          <w:rFonts w:asciiTheme="majorHAnsi" w:eastAsia="Calibri" w:hAnsiTheme="majorHAnsi" w:cstheme="majorHAnsi"/>
          <w:i/>
          <w:sz w:val="22"/>
          <w:szCs w:val="22"/>
          <w:lang w:eastAsia="en-US"/>
        </w:rPr>
        <w:t>ICE Futures Europe TD20 West Africa to UK-Continent (Baltic) Future</w:t>
      </w:r>
      <w:r w:rsidRPr="00273EEE">
        <w:rPr>
          <w:rFonts w:asciiTheme="majorHAnsi" w:eastAsia="Calibri" w:hAnsiTheme="majorHAnsi" w:cstheme="majorHAnsi"/>
          <w:sz w:val="22"/>
          <w:szCs w:val="22"/>
          <w:lang w:eastAsia="en-US"/>
        </w:rPr>
        <w:t xml:space="preserve"> has grown significantly over the past few months, reaching over </w:t>
      </w:r>
      <w:r>
        <w:rPr>
          <w:rFonts w:asciiTheme="majorHAnsi" w:eastAsia="Calibri" w:hAnsiTheme="majorHAnsi" w:cstheme="majorHAnsi"/>
          <w:sz w:val="22"/>
          <w:szCs w:val="22"/>
          <w:lang w:eastAsia="en-US"/>
        </w:rPr>
        <w:t>6,000</w:t>
      </w:r>
      <w:r w:rsidRPr="00273EEE">
        <w:rPr>
          <w:rFonts w:asciiTheme="majorHAnsi" w:eastAsia="Calibri" w:hAnsiTheme="majorHAnsi" w:cstheme="majorHAnsi"/>
          <w:sz w:val="22"/>
          <w:szCs w:val="22"/>
          <w:lang w:eastAsia="en-US"/>
        </w:rPr>
        <w:t xml:space="preserve"> lots of open interest. The contract is a Suezmax crude route, West Africa to UK Continent for tankers sized on average 130,000 MT (DWT). The biggest positions exceeding 1</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9</w:t>
      </w:r>
      <w:r>
        <w:rPr>
          <w:rFonts w:asciiTheme="majorHAnsi" w:eastAsia="Calibri" w:hAnsiTheme="majorHAnsi" w:cstheme="majorHAnsi"/>
          <w:sz w:val="22"/>
          <w:szCs w:val="22"/>
          <w:lang w:eastAsia="en-US"/>
        </w:rPr>
        <w:t>00</w:t>
      </w:r>
      <w:r w:rsidRPr="00273EEE">
        <w:rPr>
          <w:rFonts w:asciiTheme="majorHAnsi" w:eastAsia="Calibri" w:hAnsiTheme="majorHAnsi" w:cstheme="majorHAnsi"/>
          <w:sz w:val="22"/>
          <w:szCs w:val="22"/>
          <w:lang w:eastAsia="en-US"/>
        </w:rPr>
        <w:t xml:space="preserve"> lots are held by commodity traders, some of which are located outside the EU and do not hold hedging exemptions. Companies with Suezmax type</w:t>
      </w:r>
      <w:r>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tanker fleets tend to hedge calendar years forward</w:t>
      </w:r>
      <w:r>
        <w:rPr>
          <w:rFonts w:asciiTheme="majorHAnsi" w:eastAsia="Calibri" w:hAnsiTheme="majorHAnsi" w:cstheme="majorHAnsi"/>
          <w:sz w:val="22"/>
          <w:szCs w:val="22"/>
          <w:lang w:eastAsia="en-US"/>
        </w:rPr>
        <w:t xml:space="preserve"> with</w:t>
      </w:r>
      <w:r w:rsidRPr="00273EEE">
        <w:rPr>
          <w:rFonts w:asciiTheme="majorHAnsi" w:eastAsia="Calibri" w:hAnsiTheme="majorHAnsi" w:cstheme="majorHAnsi"/>
          <w:sz w:val="22"/>
          <w:szCs w:val="22"/>
          <w:lang w:eastAsia="en-US"/>
        </w:rPr>
        <w:t xml:space="preserve"> fleet sizes</w:t>
      </w:r>
      <w:r>
        <w:rPr>
          <w:rFonts w:asciiTheme="majorHAnsi" w:eastAsia="Calibri" w:hAnsiTheme="majorHAnsi" w:cstheme="majorHAnsi"/>
          <w:sz w:val="22"/>
          <w:szCs w:val="22"/>
          <w:lang w:eastAsia="en-US"/>
        </w:rPr>
        <w:t xml:space="preserve"> of</w:t>
      </w:r>
      <w:r w:rsidRPr="00273EEE">
        <w:rPr>
          <w:rFonts w:asciiTheme="majorHAnsi" w:eastAsia="Calibri" w:hAnsiTheme="majorHAnsi" w:cstheme="majorHAnsi"/>
          <w:sz w:val="22"/>
          <w:szCs w:val="22"/>
          <w:lang w:eastAsia="en-US"/>
        </w:rPr>
        <w:t xml:space="preserve"> up to 20 tankers and above.</w:t>
      </w:r>
    </w:p>
    <w:p w14:paraId="4D2947DE"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To hedge a fleet of ten tankers on a year</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forward basis - the trade size will be (either as a single trade or done in a sequence of multiple smaller trades for the same Calendar Year tenor, keeping positions open throughout expiry):</w:t>
      </w:r>
    </w:p>
    <w:p w14:paraId="43B70104" w14:textId="57BE9F55" w:rsidR="00E73DBE" w:rsidRPr="00273EEE" w:rsidRDefault="00E73DBE" w:rsidP="00E73DBE">
      <w:pPr>
        <w:spacing w:after="200" w:line="276" w:lineRule="auto"/>
        <w:jc w:val="both"/>
        <w:rPr>
          <w:rFonts w:asciiTheme="majorHAnsi" w:eastAsia="Calibri" w:hAnsiTheme="majorHAnsi" w:cstheme="majorHAnsi"/>
          <w:b/>
          <w:bCs/>
          <w:sz w:val="22"/>
          <w:szCs w:val="22"/>
          <w:lang w:eastAsia="en-US"/>
        </w:rPr>
      </w:pPr>
      <w:r w:rsidRPr="00273EEE">
        <w:rPr>
          <w:rFonts w:asciiTheme="majorHAnsi" w:eastAsia="Calibri" w:hAnsiTheme="majorHAnsi" w:cstheme="majorHAnsi"/>
          <w:b/>
          <w:bCs/>
          <w:sz w:val="22"/>
          <w:szCs w:val="22"/>
          <w:lang w:eastAsia="en-US"/>
        </w:rPr>
        <w:t xml:space="preserve">130 lots </w:t>
      </w:r>
      <w:r w:rsidR="00F10373">
        <w:rPr>
          <w:rFonts w:asciiTheme="majorHAnsi" w:eastAsia="Calibri" w:hAnsiTheme="majorHAnsi" w:cstheme="majorHAnsi"/>
          <w:b/>
          <w:bCs/>
          <w:sz w:val="22"/>
          <w:szCs w:val="22"/>
          <w:lang w:eastAsia="en-US"/>
        </w:rPr>
        <w:t>*</w:t>
      </w:r>
      <w:r w:rsidRPr="00273EEE">
        <w:rPr>
          <w:rFonts w:asciiTheme="majorHAnsi" w:eastAsia="Calibri" w:hAnsiTheme="majorHAnsi" w:cstheme="majorHAnsi"/>
          <w:b/>
          <w:bCs/>
          <w:sz w:val="22"/>
          <w:szCs w:val="22"/>
          <w:lang w:eastAsia="en-US"/>
        </w:rPr>
        <w:t xml:space="preserve"> 12</w:t>
      </w:r>
      <w:r>
        <w:rPr>
          <w:rFonts w:asciiTheme="majorHAnsi" w:eastAsia="Calibri" w:hAnsiTheme="majorHAnsi" w:cstheme="majorHAnsi"/>
          <w:b/>
          <w:bCs/>
          <w:sz w:val="22"/>
          <w:szCs w:val="22"/>
          <w:lang w:eastAsia="en-US"/>
        </w:rPr>
        <w:t xml:space="preserve"> </w:t>
      </w:r>
      <w:r w:rsidRPr="00273EEE">
        <w:rPr>
          <w:rFonts w:asciiTheme="majorHAnsi" w:eastAsia="Calibri" w:hAnsiTheme="majorHAnsi" w:cstheme="majorHAnsi"/>
          <w:b/>
          <w:bCs/>
          <w:sz w:val="22"/>
          <w:szCs w:val="22"/>
          <w:lang w:eastAsia="en-US"/>
        </w:rPr>
        <w:t xml:space="preserve">months * 10 tankers = 15,600 lots </w:t>
      </w:r>
      <w:r w:rsidRPr="00273EEE">
        <w:rPr>
          <w:rFonts w:asciiTheme="majorHAnsi" w:eastAsia="Calibri" w:hAnsiTheme="majorHAnsi" w:cstheme="majorHAnsi"/>
          <w:sz w:val="22"/>
          <w:szCs w:val="22"/>
          <w:lang w:eastAsia="en-US"/>
        </w:rPr>
        <w:t>to hedge freight rates exposure for a single Calendar year (i.e</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Cal 2019 trade)</w:t>
      </w:r>
    </w:p>
    <w:p w14:paraId="5EAEC979" w14:textId="5943C611"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With fast growing trading volumes in wet freight, companies are </w:t>
      </w:r>
      <w:r>
        <w:rPr>
          <w:rFonts w:asciiTheme="majorHAnsi" w:eastAsia="Calibri" w:hAnsiTheme="majorHAnsi" w:cstheme="majorHAnsi"/>
          <w:sz w:val="22"/>
          <w:szCs w:val="22"/>
          <w:lang w:eastAsia="en-US"/>
        </w:rPr>
        <w:t xml:space="preserve">now </w:t>
      </w:r>
      <w:r w:rsidRPr="00273EEE">
        <w:rPr>
          <w:rFonts w:asciiTheme="majorHAnsi" w:eastAsia="Calibri" w:hAnsiTheme="majorHAnsi" w:cstheme="majorHAnsi"/>
          <w:sz w:val="22"/>
          <w:szCs w:val="22"/>
          <w:lang w:eastAsia="en-US"/>
        </w:rPr>
        <w:t xml:space="preserve">extending hedges down the curve, trading to cover Cal19 / Cal20 and even Cal21 tenors </w:t>
      </w:r>
      <w:r>
        <w:rPr>
          <w:rFonts w:asciiTheme="majorHAnsi" w:eastAsia="Calibri" w:hAnsiTheme="majorHAnsi" w:cstheme="majorHAnsi"/>
          <w:sz w:val="22"/>
          <w:szCs w:val="22"/>
          <w:lang w:eastAsia="en-US"/>
        </w:rPr>
        <w:t>- which</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can be observed</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on the</w:t>
      </w:r>
      <w:r w:rsidRPr="00273EEE">
        <w:rPr>
          <w:rFonts w:asciiTheme="majorHAnsi" w:eastAsia="Calibri" w:hAnsiTheme="majorHAnsi" w:cstheme="majorHAnsi"/>
          <w:sz w:val="22"/>
          <w:szCs w:val="22"/>
          <w:lang w:eastAsia="en-US"/>
        </w:rPr>
        <w:t xml:space="preserve"> VLCC TD3C route (Arab Gulf to China crude route). </w:t>
      </w:r>
      <w:r>
        <w:rPr>
          <w:rFonts w:asciiTheme="majorHAnsi" w:eastAsia="Calibri" w:hAnsiTheme="majorHAnsi" w:cstheme="majorHAnsi"/>
          <w:sz w:val="22"/>
          <w:szCs w:val="22"/>
          <w:lang w:eastAsia="en-US"/>
        </w:rPr>
        <w:t xml:space="preserve">A new regulation by the </w:t>
      </w:r>
      <w:hyperlink r:id="rId23" w:history="1">
        <w:r w:rsidRPr="005652DB">
          <w:rPr>
            <w:rStyle w:val="Hyperlink"/>
            <w:rFonts w:asciiTheme="majorHAnsi" w:eastAsia="Calibri" w:hAnsiTheme="majorHAnsi" w:cstheme="majorHAnsi"/>
            <w:sz w:val="22"/>
            <w:szCs w:val="22"/>
            <w:lang w:eastAsia="en-US"/>
          </w:rPr>
          <w:t>International Maritime Organisation going live in 2020</w:t>
        </w:r>
      </w:hyperlink>
      <w:r w:rsidRPr="00CE18A0">
        <w:rPr>
          <w:rFonts w:asciiTheme="majorHAnsi" w:eastAsia="Calibri" w:hAnsiTheme="majorHAnsi" w:cstheme="majorHAnsi"/>
          <w:color w:val="0432FF"/>
          <w:sz w:val="22"/>
          <w:szCs w:val="22"/>
          <w:lang w:eastAsia="en-US"/>
        </w:rPr>
        <w:t xml:space="preserve"> </w:t>
      </w:r>
      <w:r w:rsidRPr="00273EEE">
        <w:rPr>
          <w:rFonts w:asciiTheme="majorHAnsi" w:eastAsia="Calibri" w:hAnsiTheme="majorHAnsi" w:cstheme="majorHAnsi"/>
          <w:sz w:val="22"/>
          <w:szCs w:val="22"/>
          <w:lang w:eastAsia="en-US"/>
        </w:rPr>
        <w:t>(IMO 2020) has been a significant factor behind the longer-dated hedges as companies are seeking certainty and stability of “locked</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in” freight levels that are expected to become volatile as new sulphur caps for bunker fuel will start affecting the cost of shipping from January 2020.</w:t>
      </w:r>
    </w:p>
    <w:p w14:paraId="72740AAF"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T</w:t>
      </w:r>
      <w:r w:rsidRPr="00273EEE">
        <w:rPr>
          <w:rFonts w:asciiTheme="majorHAnsi" w:eastAsia="Calibri" w:hAnsiTheme="majorHAnsi" w:cstheme="majorHAnsi"/>
          <w:sz w:val="22"/>
          <w:szCs w:val="22"/>
          <w:lang w:eastAsia="en-US"/>
        </w:rPr>
        <w:t xml:space="preserve">raders active in TD20 have indicated the business need to hedge multiple calendar years forward in TD20 route </w:t>
      </w:r>
      <w:r>
        <w:rPr>
          <w:rFonts w:asciiTheme="majorHAnsi" w:eastAsia="Calibri" w:hAnsiTheme="majorHAnsi" w:cstheme="majorHAnsi"/>
          <w:sz w:val="22"/>
          <w:szCs w:val="22"/>
          <w:lang w:eastAsia="en-US"/>
        </w:rPr>
        <w:t>contracts. This</w:t>
      </w:r>
      <w:r w:rsidRPr="00273EEE">
        <w:rPr>
          <w:rFonts w:asciiTheme="majorHAnsi" w:eastAsia="Calibri" w:hAnsiTheme="majorHAnsi" w:cstheme="majorHAnsi"/>
          <w:sz w:val="22"/>
          <w:szCs w:val="22"/>
          <w:lang w:eastAsia="en-US"/>
        </w:rPr>
        <w:t xml:space="preserve"> would </w:t>
      </w:r>
      <w:r>
        <w:rPr>
          <w:rFonts w:asciiTheme="majorHAnsi" w:eastAsia="Calibri" w:hAnsiTheme="majorHAnsi" w:cstheme="majorHAnsi"/>
          <w:sz w:val="22"/>
          <w:szCs w:val="22"/>
          <w:lang w:eastAsia="en-US"/>
        </w:rPr>
        <w:t xml:space="preserve">effectively </w:t>
      </w:r>
      <w:r w:rsidRPr="00273EEE">
        <w:rPr>
          <w:rFonts w:asciiTheme="majorHAnsi" w:eastAsia="Calibri" w:hAnsiTheme="majorHAnsi" w:cstheme="majorHAnsi"/>
          <w:sz w:val="22"/>
          <w:szCs w:val="22"/>
          <w:lang w:eastAsia="en-US"/>
        </w:rPr>
        <w:t xml:space="preserve">result in tripling trading volumes in the </w:t>
      </w:r>
      <w:r>
        <w:rPr>
          <w:rFonts w:asciiTheme="majorHAnsi" w:eastAsia="Calibri" w:hAnsiTheme="majorHAnsi" w:cstheme="majorHAnsi"/>
          <w:sz w:val="22"/>
          <w:szCs w:val="22"/>
          <w:lang w:eastAsia="en-US"/>
        </w:rPr>
        <w:t xml:space="preserve">above </w:t>
      </w:r>
      <w:r w:rsidRPr="00273EEE">
        <w:rPr>
          <w:rFonts w:asciiTheme="majorHAnsi" w:eastAsia="Calibri" w:hAnsiTheme="majorHAnsi" w:cstheme="majorHAnsi"/>
          <w:sz w:val="22"/>
          <w:szCs w:val="22"/>
          <w:lang w:eastAsia="en-US"/>
        </w:rPr>
        <w:t>traded volume calculation scenario, with potential volumes amounting to 46,800 lots.</w:t>
      </w:r>
    </w:p>
    <w:p w14:paraId="68CAD2B5"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However, the growth of the contract is restricted by the current </w:t>
      </w:r>
      <w:r w:rsidRPr="00273EEE">
        <w:rPr>
          <w:rFonts w:asciiTheme="majorHAnsi" w:eastAsia="Calibri" w:hAnsiTheme="majorHAnsi" w:cstheme="majorHAnsi"/>
          <w:i/>
          <w:sz w:val="22"/>
          <w:szCs w:val="22"/>
          <w:lang w:eastAsia="en-US"/>
        </w:rPr>
        <w:t>de minimis</w:t>
      </w:r>
      <w:r w:rsidRPr="00273EEE">
        <w:rPr>
          <w:rFonts w:asciiTheme="majorHAnsi" w:eastAsia="Calibri" w:hAnsiTheme="majorHAnsi" w:cstheme="majorHAnsi"/>
          <w:sz w:val="22"/>
          <w:szCs w:val="22"/>
          <w:lang w:eastAsia="en-US"/>
        </w:rPr>
        <w:t xml:space="preserve"> position limit. Further development of this contract requires dynamic changes of the current limit from a fixed 2</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500 lots level to a much higher limit based on the open interest.</w:t>
      </w:r>
    </w:p>
    <w:p w14:paraId="480262C3"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The second example is</w:t>
      </w:r>
      <w:r w:rsidRPr="00273EEE">
        <w:rPr>
          <w:rFonts w:asciiTheme="majorHAnsi" w:eastAsia="Calibri" w:hAnsiTheme="majorHAnsi" w:cstheme="majorHAnsi"/>
          <w:sz w:val="22"/>
          <w:szCs w:val="22"/>
          <w:lang w:eastAsia="en-US"/>
        </w:rPr>
        <w:t xml:space="preserve"> the EEX Capesize 5TC Dry Freight Future, which is currently in excess of 6</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000 lots open interest at ECC</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and, hence, has a position limit of 2</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500 lots. One contract reflects the value of a single day’s hire for a Capesize dry bulk carrier which are predominately used for transporting iron ore and coal.</w:t>
      </w:r>
    </w:p>
    <w:p w14:paraId="1E93BA18"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Trading several years forward is a common practice in the </w:t>
      </w:r>
      <w:r>
        <w:rPr>
          <w:rFonts w:asciiTheme="majorHAnsi" w:eastAsia="Calibri" w:hAnsiTheme="majorHAnsi" w:cstheme="majorHAnsi"/>
          <w:sz w:val="22"/>
          <w:szCs w:val="22"/>
          <w:lang w:eastAsia="en-US"/>
        </w:rPr>
        <w:t xml:space="preserve">freight </w:t>
      </w:r>
      <w:r w:rsidRPr="00273EEE">
        <w:rPr>
          <w:rFonts w:asciiTheme="majorHAnsi" w:eastAsia="Calibri" w:hAnsiTheme="majorHAnsi" w:cstheme="majorHAnsi"/>
          <w:sz w:val="22"/>
          <w:szCs w:val="22"/>
          <w:lang w:eastAsia="en-US"/>
        </w:rPr>
        <w:t>market, particularly at the current time when the market expects significant increases in price volatility linked to the implementation of IMO 2020.</w:t>
      </w:r>
    </w:p>
    <w:p w14:paraId="2456E9BC"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hould a vessel owner or operator wish to hedge forward to lock in rates now to reduce their exposure to this market change, they could reasonably be expected to trade the remaining period of Calendar 2019, all of Calendar 2020 and possibly also Calendar 2021. Such a trade would represent a strip between 21 and 33 months. In addition, given that the vessel owner or operator would want to completely cover their risk, it would need to hedge 30 days per month. </w:t>
      </w:r>
    </w:p>
    <w:p w14:paraId="3551A1EC"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lastRenderedPageBreak/>
        <w:t xml:space="preserve">An owner with a </w:t>
      </w:r>
      <w:r>
        <w:rPr>
          <w:rFonts w:asciiTheme="majorHAnsi" w:eastAsia="Calibri" w:hAnsiTheme="majorHAnsi" w:cstheme="majorHAnsi"/>
          <w:sz w:val="22"/>
          <w:szCs w:val="22"/>
          <w:lang w:eastAsia="en-US"/>
        </w:rPr>
        <w:t>relatively</w:t>
      </w:r>
      <w:r w:rsidRPr="00273EEE">
        <w:rPr>
          <w:rFonts w:asciiTheme="majorHAnsi" w:eastAsia="Calibri" w:hAnsiTheme="majorHAnsi" w:cstheme="majorHAnsi"/>
          <w:sz w:val="22"/>
          <w:szCs w:val="22"/>
          <w:lang w:eastAsia="en-US"/>
        </w:rPr>
        <w:t xml:space="preserve"> small fleet of ships, e.g. 5 vessels, would not be able to do so, as even hedging just the remaining period of </w:t>
      </w:r>
      <w:r>
        <w:rPr>
          <w:rFonts w:asciiTheme="majorHAnsi" w:eastAsia="Calibri" w:hAnsiTheme="majorHAnsi" w:cstheme="majorHAnsi"/>
          <w:sz w:val="22"/>
          <w:szCs w:val="22"/>
          <w:lang w:eastAsia="en-US"/>
        </w:rPr>
        <w:t>C</w:t>
      </w:r>
      <w:r w:rsidRPr="00273EEE">
        <w:rPr>
          <w:rFonts w:asciiTheme="majorHAnsi" w:eastAsia="Calibri" w:hAnsiTheme="majorHAnsi" w:cstheme="majorHAnsi"/>
          <w:sz w:val="22"/>
          <w:szCs w:val="22"/>
          <w:lang w:eastAsia="en-US"/>
        </w:rPr>
        <w:t xml:space="preserve">alendar 2019 and all of </w:t>
      </w:r>
      <w:r>
        <w:rPr>
          <w:rFonts w:asciiTheme="majorHAnsi" w:eastAsia="Calibri" w:hAnsiTheme="majorHAnsi" w:cstheme="majorHAnsi"/>
          <w:sz w:val="22"/>
          <w:szCs w:val="22"/>
          <w:lang w:eastAsia="en-US"/>
        </w:rPr>
        <w:t>C</w:t>
      </w:r>
      <w:r w:rsidRPr="00273EEE">
        <w:rPr>
          <w:rFonts w:asciiTheme="majorHAnsi" w:eastAsia="Calibri" w:hAnsiTheme="majorHAnsi" w:cstheme="majorHAnsi"/>
          <w:sz w:val="22"/>
          <w:szCs w:val="22"/>
          <w:lang w:eastAsia="en-US"/>
        </w:rPr>
        <w:t xml:space="preserve">alendar 2020 would make them exceed the </w:t>
      </w:r>
      <w:r w:rsidRPr="00CE18A0">
        <w:rPr>
          <w:rFonts w:asciiTheme="majorHAnsi" w:eastAsia="Calibri" w:hAnsiTheme="majorHAnsi" w:cstheme="majorHAnsi"/>
          <w:i/>
          <w:iCs/>
          <w:sz w:val="22"/>
          <w:szCs w:val="22"/>
          <w:lang w:eastAsia="en-US"/>
        </w:rPr>
        <w:t>de minimis</w:t>
      </w:r>
      <w:r w:rsidRPr="00273EEE">
        <w:rPr>
          <w:rFonts w:asciiTheme="majorHAnsi" w:eastAsia="Calibri" w:hAnsiTheme="majorHAnsi" w:cstheme="majorHAnsi"/>
          <w:sz w:val="22"/>
          <w:szCs w:val="22"/>
          <w:lang w:eastAsia="en-US"/>
        </w:rPr>
        <w:t xml:space="preserve"> position limit of 2</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500 lots:</w:t>
      </w:r>
    </w:p>
    <w:p w14:paraId="17BD9F4C" w14:textId="77777777" w:rsidR="00E73DBE" w:rsidRPr="00273EEE" w:rsidRDefault="00E73DBE" w:rsidP="00E73DB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April 19 + Cal 20 = 21 months x 30 days per month x 5 vessels = 3,150 lots</w:t>
      </w:r>
    </w:p>
    <w:p w14:paraId="6094E1CD"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April 19 + Cal 20 + Cal 21</w:t>
      </w:r>
      <w:r>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33 months x 30 days per month x 5 vessels = 4,950 lots</w:t>
      </w:r>
    </w:p>
    <w:p w14:paraId="4AA76258"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Larger vessel owners or operators, or those wishing to hedge further </w:t>
      </w:r>
      <w:r>
        <w:rPr>
          <w:rFonts w:asciiTheme="majorHAnsi" w:eastAsia="Calibri" w:hAnsiTheme="majorHAnsi" w:cstheme="majorHAnsi"/>
          <w:sz w:val="22"/>
          <w:szCs w:val="22"/>
          <w:lang w:eastAsia="en-US"/>
        </w:rPr>
        <w:t>ahead</w:t>
      </w:r>
      <w:r w:rsidRPr="00273EEE">
        <w:rPr>
          <w:rFonts w:asciiTheme="majorHAnsi" w:eastAsia="Calibri" w:hAnsiTheme="majorHAnsi" w:cstheme="majorHAnsi"/>
          <w:sz w:val="22"/>
          <w:szCs w:val="22"/>
          <w:lang w:eastAsia="en-US"/>
        </w:rPr>
        <w:t xml:space="preserve"> (transactions </w:t>
      </w:r>
      <w:r>
        <w:rPr>
          <w:rFonts w:asciiTheme="majorHAnsi" w:eastAsia="Calibri" w:hAnsiTheme="majorHAnsi" w:cstheme="majorHAnsi"/>
          <w:sz w:val="22"/>
          <w:szCs w:val="22"/>
          <w:lang w:eastAsia="en-US"/>
        </w:rPr>
        <w:t>covering</w:t>
      </w:r>
      <w:r w:rsidRPr="00273EEE">
        <w:rPr>
          <w:rFonts w:asciiTheme="majorHAnsi" w:eastAsia="Calibri" w:hAnsiTheme="majorHAnsi" w:cstheme="majorHAnsi"/>
          <w:sz w:val="22"/>
          <w:szCs w:val="22"/>
          <w:lang w:eastAsia="en-US"/>
        </w:rPr>
        <w:t xml:space="preserve"> 5 years forward are not unusual), as well as their counterparties, are even more greatly impacted by</w:t>
      </w:r>
      <w:r>
        <w:rPr>
          <w:rFonts w:asciiTheme="majorHAnsi" w:eastAsia="Calibri" w:hAnsiTheme="majorHAnsi" w:cstheme="majorHAnsi"/>
          <w:sz w:val="22"/>
          <w:szCs w:val="22"/>
          <w:lang w:eastAsia="en-US"/>
        </w:rPr>
        <w:t xml:space="preserve"> the given</w:t>
      </w:r>
      <w:r w:rsidRPr="00273EEE">
        <w:rPr>
          <w:rFonts w:asciiTheme="majorHAnsi" w:eastAsia="Calibri" w:hAnsiTheme="majorHAnsi" w:cstheme="majorHAnsi"/>
          <w:sz w:val="22"/>
          <w:szCs w:val="22"/>
          <w:lang w:eastAsia="en-US"/>
        </w:rPr>
        <w:t xml:space="preserve"> limits. Moreover, it has to be kept in mind that these markets are highly global with competing exchanges outside of Europe offering almost identical contracts that are not subject to position limits or have a hedging exemption available for financial counterparties.</w:t>
      </w:r>
    </w:p>
    <w:p w14:paraId="1274A0E4"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In sum,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 xml:space="preserve">further development of this contract requires dynamic changes of the current limit to a </w:t>
      </w:r>
      <w:r>
        <w:rPr>
          <w:rFonts w:asciiTheme="majorHAnsi" w:eastAsia="Calibri" w:hAnsiTheme="majorHAnsi" w:cstheme="majorHAnsi"/>
          <w:sz w:val="22"/>
          <w:szCs w:val="22"/>
          <w:lang w:eastAsia="en-US"/>
        </w:rPr>
        <w:t>significantly</w:t>
      </w:r>
      <w:r w:rsidRPr="00273EEE">
        <w:rPr>
          <w:rFonts w:asciiTheme="majorHAnsi" w:eastAsia="Calibri" w:hAnsiTheme="majorHAnsi" w:cstheme="majorHAnsi"/>
          <w:sz w:val="22"/>
          <w:szCs w:val="22"/>
          <w:lang w:eastAsia="en-US"/>
        </w:rPr>
        <w:t xml:space="preserve"> higher limit based on anticipated open interest.</w:t>
      </w:r>
    </w:p>
    <w:p w14:paraId="1F4CF2EB"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p>
    <w:p w14:paraId="660FDBAA" w14:textId="77777777" w:rsidR="00E73DBE" w:rsidRPr="00273EEE" w:rsidRDefault="00E73DBE" w:rsidP="00E73DBE">
      <w:pPr>
        <w:pStyle w:val="NoSpacing"/>
        <w:numPr>
          <w:ilvl w:val="1"/>
          <w:numId w:val="12"/>
        </w:numPr>
        <w:spacing w:line="276" w:lineRule="auto"/>
        <w:jc w:val="both"/>
        <w:rPr>
          <w:rFonts w:asciiTheme="majorHAnsi" w:eastAsia="Calibri" w:hAnsiTheme="majorHAnsi" w:cstheme="majorHAnsi"/>
          <w:b/>
          <w:sz w:val="22"/>
          <w:szCs w:val="22"/>
        </w:rPr>
      </w:pPr>
      <w:r w:rsidRPr="00273EEE">
        <w:rPr>
          <w:rFonts w:asciiTheme="majorHAnsi" w:eastAsia="Calibri" w:hAnsiTheme="majorHAnsi" w:cstheme="majorHAnsi"/>
          <w:b/>
          <w:sz w:val="22"/>
          <w:szCs w:val="22"/>
        </w:rPr>
        <w:t>Challenges for fast growing markets</w:t>
      </w:r>
    </w:p>
    <w:p w14:paraId="096AEEBD"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p>
    <w:p w14:paraId="6655844D" w14:textId="77777777" w:rsidR="00E73DBE" w:rsidRPr="00273EEE" w:rsidRDefault="00E73DBE" w:rsidP="00E73DB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Electricity and gas derivatives</w:t>
      </w:r>
      <w:r>
        <w:rPr>
          <w:rFonts w:asciiTheme="majorHAnsi" w:eastAsia="Calibri" w:hAnsiTheme="majorHAnsi" w:cstheme="majorHAnsi"/>
          <w:sz w:val="22"/>
          <w:szCs w:val="22"/>
          <w:lang w:eastAsia="en-US"/>
        </w:rPr>
        <w:t xml:space="preserve"> markets</w:t>
      </w:r>
      <w:r w:rsidRPr="00273EEE">
        <w:rPr>
          <w:rFonts w:asciiTheme="majorHAnsi" w:eastAsia="Calibri" w:hAnsiTheme="majorHAnsi" w:cstheme="majorHAnsi"/>
          <w:sz w:val="22"/>
          <w:szCs w:val="22"/>
          <w:lang w:eastAsia="en-US"/>
        </w:rPr>
        <w:t xml:space="preserve"> play an important role in the </w:t>
      </w:r>
      <w:r>
        <w:rPr>
          <w:rFonts w:asciiTheme="majorHAnsi" w:eastAsia="Calibri" w:hAnsiTheme="majorHAnsi" w:cstheme="majorHAnsi"/>
          <w:sz w:val="22"/>
          <w:szCs w:val="22"/>
          <w:lang w:eastAsia="en-US"/>
        </w:rPr>
        <w:t>further integration</w:t>
      </w:r>
      <w:r w:rsidRPr="00273EEE">
        <w:rPr>
          <w:rFonts w:asciiTheme="majorHAnsi" w:eastAsia="Calibri" w:hAnsiTheme="majorHAnsi" w:cstheme="majorHAnsi"/>
          <w:sz w:val="22"/>
          <w:szCs w:val="22"/>
          <w:lang w:eastAsia="en-US"/>
        </w:rPr>
        <w:t xml:space="preserve"> of the EU Internal Energy Market by allowing European energy trading companies to hedge their risks</w:t>
      </w:r>
      <w:r>
        <w:rPr>
          <w:rFonts w:asciiTheme="majorHAnsi" w:eastAsia="Calibri" w:hAnsiTheme="majorHAnsi" w:cstheme="majorHAnsi"/>
          <w:sz w:val="22"/>
          <w:szCs w:val="22"/>
          <w:lang w:eastAsia="en-US"/>
        </w:rPr>
        <w:t xml:space="preserve"> across borders while maximising the social welfare benefits of an integrated energy market for consumers</w:t>
      </w:r>
      <w:r w:rsidRPr="00273EEE">
        <w:rPr>
          <w:rFonts w:asciiTheme="majorHAnsi" w:eastAsia="Calibri" w:hAnsiTheme="majorHAnsi" w:cstheme="majorHAnsi"/>
          <w:sz w:val="22"/>
          <w:szCs w:val="22"/>
          <w:lang w:eastAsia="en-US"/>
        </w:rPr>
        <w:t xml:space="preserve">. They are subject to a </w:t>
      </w:r>
      <w:r>
        <w:rPr>
          <w:rFonts w:asciiTheme="majorHAnsi" w:eastAsia="Calibri" w:hAnsiTheme="majorHAnsi" w:cstheme="majorHAnsi"/>
          <w:sz w:val="22"/>
          <w:szCs w:val="22"/>
          <w:lang w:eastAsia="en-US"/>
        </w:rPr>
        <w:t>tailor-made</w:t>
      </w:r>
      <w:r w:rsidRPr="00273EEE">
        <w:rPr>
          <w:rFonts w:asciiTheme="majorHAnsi" w:eastAsia="Calibri" w:hAnsiTheme="majorHAnsi" w:cstheme="majorHAnsi"/>
          <w:sz w:val="22"/>
          <w:szCs w:val="22"/>
          <w:lang w:eastAsia="en-US"/>
        </w:rPr>
        <w:t xml:space="preserve"> regulatory regime,</w:t>
      </w:r>
      <w:r>
        <w:rPr>
          <w:rFonts w:asciiTheme="majorHAnsi" w:eastAsia="Calibri" w:hAnsiTheme="majorHAnsi" w:cstheme="majorHAnsi"/>
          <w:sz w:val="22"/>
          <w:szCs w:val="22"/>
          <w:lang w:eastAsia="en-US"/>
        </w:rPr>
        <w:t xml:space="preserve"> i.e. REMIT, MAR, MiFID and EMIR, all</w:t>
      </w:r>
      <w:r w:rsidRPr="00273EEE">
        <w:rPr>
          <w:rFonts w:asciiTheme="majorHAnsi" w:eastAsia="Calibri" w:hAnsiTheme="majorHAnsi" w:cstheme="majorHAnsi"/>
          <w:sz w:val="22"/>
          <w:szCs w:val="22"/>
          <w:lang w:eastAsia="en-US"/>
        </w:rPr>
        <w:t xml:space="preserve"> aimed at preventing market abuse and ensuring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 xml:space="preserve">integrity </w:t>
      </w:r>
      <w:r>
        <w:rPr>
          <w:rFonts w:asciiTheme="majorHAnsi" w:eastAsia="Calibri" w:hAnsiTheme="majorHAnsi" w:cstheme="majorHAnsi"/>
          <w:sz w:val="22"/>
          <w:szCs w:val="22"/>
          <w:lang w:eastAsia="en-US"/>
        </w:rPr>
        <w:t xml:space="preserve">and transparency </w:t>
      </w:r>
      <w:r w:rsidRPr="00273EEE">
        <w:rPr>
          <w:rFonts w:asciiTheme="majorHAnsi" w:eastAsia="Calibri" w:hAnsiTheme="majorHAnsi" w:cstheme="majorHAnsi"/>
          <w:sz w:val="22"/>
          <w:szCs w:val="22"/>
          <w:lang w:eastAsia="en-US"/>
        </w:rPr>
        <w:t xml:space="preserve">of the market. </w:t>
      </w:r>
      <w:r>
        <w:rPr>
          <w:rFonts w:asciiTheme="majorHAnsi" w:eastAsia="Calibri" w:hAnsiTheme="majorHAnsi" w:cstheme="majorHAnsi"/>
          <w:sz w:val="22"/>
          <w:szCs w:val="22"/>
          <w:lang w:eastAsia="en-US"/>
        </w:rPr>
        <w:t>An increasing</w:t>
      </w:r>
      <w:r w:rsidRPr="00273EEE">
        <w:rPr>
          <w:rFonts w:asciiTheme="majorHAnsi" w:eastAsia="Calibri" w:hAnsiTheme="majorHAnsi" w:cstheme="majorHAnsi"/>
          <w:sz w:val="22"/>
          <w:szCs w:val="22"/>
          <w:lang w:eastAsia="en-US"/>
        </w:rPr>
        <w:t xml:space="preserve"> level of integration of electricity and gas markets has been observed across Europe</w:t>
      </w:r>
      <w:r>
        <w:rPr>
          <w:rFonts w:asciiTheme="majorHAnsi" w:eastAsia="Calibri" w:hAnsiTheme="majorHAnsi" w:cstheme="majorHAnsi"/>
          <w:sz w:val="22"/>
          <w:szCs w:val="22"/>
          <w:lang w:eastAsia="en-US"/>
        </w:rPr>
        <w:t xml:space="preserve"> over the past 20+ years</w:t>
      </w:r>
      <w:r w:rsidRPr="00273EEE">
        <w:rPr>
          <w:rFonts w:asciiTheme="majorHAnsi" w:eastAsia="Calibri" w:hAnsiTheme="majorHAnsi" w:cstheme="majorHAnsi"/>
          <w:sz w:val="22"/>
          <w:szCs w:val="22"/>
          <w:lang w:eastAsia="en-US"/>
        </w:rPr>
        <w:t>, with multiple liquidity pools</w:t>
      </w:r>
      <w:r>
        <w:rPr>
          <w:rFonts w:asciiTheme="majorHAnsi" w:eastAsia="Calibri" w:hAnsiTheme="majorHAnsi" w:cstheme="majorHAnsi"/>
          <w:sz w:val="22"/>
          <w:szCs w:val="22"/>
          <w:lang w:eastAsia="en-US"/>
        </w:rPr>
        <w:t xml:space="preserve"> emerging</w:t>
      </w:r>
      <w:r w:rsidRPr="00273EEE">
        <w:rPr>
          <w:rFonts w:asciiTheme="majorHAnsi" w:eastAsia="Calibri" w:hAnsiTheme="majorHAnsi" w:cstheme="majorHAnsi"/>
          <w:sz w:val="22"/>
          <w:szCs w:val="22"/>
          <w:lang w:eastAsia="en-US"/>
        </w:rPr>
        <w:t xml:space="preserve"> in some underlying deliverables such as German Power</w:t>
      </w:r>
      <w:r>
        <w:rPr>
          <w:rFonts w:asciiTheme="majorHAnsi" w:eastAsia="Calibri" w:hAnsiTheme="majorHAnsi" w:cstheme="majorHAnsi"/>
          <w:sz w:val="22"/>
          <w:szCs w:val="22"/>
          <w:lang w:eastAsia="en-US"/>
        </w:rPr>
        <w:t xml:space="preserve"> and Dutch Gas</w:t>
      </w:r>
      <w:r w:rsidRPr="00273EEE">
        <w:rPr>
          <w:rFonts w:asciiTheme="majorHAnsi" w:eastAsia="Calibri" w:hAnsiTheme="majorHAnsi" w:cstheme="majorHAnsi"/>
          <w:sz w:val="22"/>
          <w:szCs w:val="22"/>
          <w:lang w:eastAsia="en-US"/>
        </w:rPr>
        <w:t xml:space="preserve">. It is important that these liquidity pools are allowed to develop in accordance with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genuine economic needs of the market and its participants, rather than as a result of financial regulation.</w:t>
      </w:r>
    </w:p>
    <w:p w14:paraId="79C16E49" w14:textId="47AC2E46" w:rsidR="00E73DBE" w:rsidRPr="00CE18A0" w:rsidRDefault="00E73DBE" w:rsidP="00E73DBE">
      <w:pPr>
        <w:spacing w:after="200" w:line="276" w:lineRule="auto"/>
        <w:jc w:val="both"/>
        <w:rPr>
          <w:rFonts w:asciiTheme="majorHAnsi" w:eastAsia="Calibri" w:hAnsiTheme="majorHAnsi" w:cstheme="majorHAnsi"/>
          <w:sz w:val="22"/>
          <w:szCs w:val="22"/>
          <w:lang w:eastAsia="en-US"/>
        </w:rPr>
      </w:pPr>
      <w:r w:rsidRPr="00CE18A0">
        <w:rPr>
          <w:rFonts w:asciiTheme="majorHAnsi" w:eastAsia="Calibri" w:hAnsiTheme="majorHAnsi" w:cstheme="majorHAnsi"/>
          <w:sz w:val="22"/>
          <w:szCs w:val="22"/>
          <w:lang w:eastAsia="en-US"/>
        </w:rPr>
        <w:t xml:space="preserve">In this context, Europex notes that, since the beginning of the application of the position limit regime,  developing liquidity in some of these pools has proven more difficult than on venues with </w:t>
      </w:r>
      <w:r w:rsidR="00BB6E98">
        <w:rPr>
          <w:rFonts w:asciiTheme="majorHAnsi" w:eastAsia="Calibri" w:hAnsiTheme="majorHAnsi" w:cstheme="majorHAnsi"/>
          <w:sz w:val="22"/>
          <w:szCs w:val="22"/>
          <w:lang w:eastAsia="en-US"/>
        </w:rPr>
        <w:t>a</w:t>
      </w:r>
      <w:r w:rsidRPr="00CE18A0">
        <w:rPr>
          <w:rFonts w:asciiTheme="majorHAnsi" w:eastAsia="Calibri" w:hAnsiTheme="majorHAnsi" w:cstheme="majorHAnsi"/>
          <w:sz w:val="22"/>
          <w:szCs w:val="22"/>
          <w:lang w:eastAsia="en-US"/>
        </w:rPr>
        <w:t xml:space="preserve"> high open interest in the concerned contract. This is often due to much higher position limits available in ‘other months’ for already liquid contracts than for contracts in other, smaller liquidity pools.</w:t>
      </w:r>
    </w:p>
    <w:p w14:paraId="38A9B7DF" w14:textId="2BCECA42" w:rsidR="002525D8" w:rsidRDefault="00E73DBE" w:rsidP="00273EEE">
      <w:pPr>
        <w:spacing w:after="200" w:line="276" w:lineRule="auto"/>
        <w:jc w:val="both"/>
        <w:rPr>
          <w:rFonts w:asciiTheme="majorHAnsi" w:eastAsia="Calibri" w:hAnsiTheme="majorHAnsi" w:cstheme="majorHAnsi"/>
          <w:sz w:val="22"/>
          <w:szCs w:val="22"/>
          <w:lang w:val="en-US" w:eastAsia="en-US"/>
        </w:rPr>
      </w:pPr>
      <w:r w:rsidRPr="00CE18A0">
        <w:rPr>
          <w:rFonts w:asciiTheme="majorHAnsi" w:eastAsia="Calibri" w:hAnsiTheme="majorHAnsi" w:cstheme="majorHAnsi"/>
          <w:sz w:val="22"/>
          <w:szCs w:val="22"/>
          <w:lang w:val="en-US" w:eastAsia="en-US"/>
        </w:rPr>
        <w:t>When position limits are materially different, there is a risk that traders and market makers will only trade on the most liquid market, where they have a lower risk of breaching the position limit. This may prevent the development of liquidity on less liquid venues, thereby reducing options available to market participants to manage their risks against volatile spot prices other than on the exchange on which the  most liquid contract is traded. Comparing the German power contract listed by Nasdaq and the German power contract listed by EEX, for example, the latter is substantially more liquid as the open interest in the contract is substantially higher. It may therefore be that the regime contributes to pushing the liquidity to the largest exchange hosting the most liquid contract, effectively preventing liquidity from being built up elsewhere.</w:t>
      </w:r>
      <w:r w:rsidRPr="00273EEE">
        <w:rPr>
          <w:rFonts w:asciiTheme="majorHAnsi" w:eastAsia="Calibri" w:hAnsiTheme="majorHAnsi" w:cstheme="majorHAnsi"/>
          <w:sz w:val="22"/>
          <w:szCs w:val="22"/>
          <w:lang w:val="en-US" w:eastAsia="en-US"/>
        </w:rPr>
        <w:t xml:space="preserve"> </w:t>
      </w:r>
      <w:r w:rsidRPr="00273EEE">
        <w:rPr>
          <w:rFonts w:asciiTheme="majorHAnsi" w:eastAsia="Calibri" w:hAnsiTheme="majorHAnsi" w:cstheme="majorHAnsi"/>
          <w:sz w:val="22"/>
          <w:szCs w:val="22"/>
          <w:lang w:val="en-US" w:eastAsia="en-US"/>
        </w:rPr>
        <w:lastRenderedPageBreak/>
        <w:t xml:space="preserve">Thus, </w:t>
      </w:r>
      <w:r w:rsidR="00BB6E98">
        <w:rPr>
          <w:rFonts w:asciiTheme="majorHAnsi" w:eastAsia="Calibri" w:hAnsiTheme="majorHAnsi" w:cstheme="majorHAnsi"/>
          <w:sz w:val="22"/>
          <w:szCs w:val="22"/>
          <w:lang w:val="en-US" w:eastAsia="en-US"/>
        </w:rPr>
        <w:t>the moment may have come to</w:t>
      </w:r>
      <w:r>
        <w:rPr>
          <w:rFonts w:asciiTheme="majorHAnsi" w:eastAsia="Calibri" w:hAnsiTheme="majorHAnsi" w:cstheme="majorHAnsi"/>
          <w:sz w:val="22"/>
          <w:szCs w:val="22"/>
          <w:lang w:val="en-US" w:eastAsia="en-US"/>
        </w:rPr>
        <w:t xml:space="preserve"> </w:t>
      </w:r>
      <w:proofErr w:type="spellStart"/>
      <w:r>
        <w:rPr>
          <w:rFonts w:asciiTheme="majorHAnsi" w:eastAsia="Calibri" w:hAnsiTheme="majorHAnsi" w:cstheme="majorHAnsi"/>
          <w:sz w:val="22"/>
          <w:szCs w:val="22"/>
          <w:lang w:val="en-US" w:eastAsia="en-US"/>
        </w:rPr>
        <w:t>analys</w:t>
      </w:r>
      <w:r w:rsidR="00BB6E98">
        <w:rPr>
          <w:rFonts w:asciiTheme="majorHAnsi" w:eastAsia="Calibri" w:hAnsiTheme="majorHAnsi" w:cstheme="majorHAnsi"/>
          <w:sz w:val="22"/>
          <w:szCs w:val="22"/>
          <w:lang w:val="en-US" w:eastAsia="en-US"/>
        </w:rPr>
        <w:t>e</w:t>
      </w:r>
      <w:proofErr w:type="spellEnd"/>
      <w:r>
        <w:rPr>
          <w:rFonts w:asciiTheme="majorHAnsi" w:eastAsia="Calibri" w:hAnsiTheme="majorHAnsi" w:cstheme="majorHAnsi"/>
          <w:sz w:val="22"/>
          <w:szCs w:val="22"/>
          <w:lang w:val="en-US" w:eastAsia="en-US"/>
        </w:rPr>
        <w:t xml:space="preserve"> </w:t>
      </w:r>
      <w:r w:rsidRPr="00273EEE">
        <w:rPr>
          <w:rFonts w:asciiTheme="majorHAnsi" w:eastAsia="Calibri" w:hAnsiTheme="majorHAnsi" w:cstheme="majorHAnsi"/>
          <w:sz w:val="22"/>
          <w:szCs w:val="22"/>
          <w:lang w:val="en-US" w:eastAsia="en-US"/>
        </w:rPr>
        <w:t xml:space="preserve">the role of the </w:t>
      </w:r>
      <w:r>
        <w:rPr>
          <w:rFonts w:asciiTheme="majorHAnsi" w:eastAsia="Calibri" w:hAnsiTheme="majorHAnsi" w:cstheme="majorHAnsi"/>
          <w:sz w:val="22"/>
          <w:szCs w:val="22"/>
          <w:lang w:val="en-US" w:eastAsia="en-US"/>
        </w:rPr>
        <w:t>position limit regime</w:t>
      </w:r>
      <w:r w:rsidRPr="00273EEE">
        <w:rPr>
          <w:rFonts w:asciiTheme="majorHAnsi" w:eastAsia="Calibri" w:hAnsiTheme="majorHAnsi" w:cstheme="majorHAnsi"/>
          <w:sz w:val="22"/>
          <w:szCs w:val="22"/>
          <w:lang w:val="en-US" w:eastAsia="en-US"/>
        </w:rPr>
        <w:t xml:space="preserve"> in supporting the further development of liquid electricity and gas markets across Europe. Especially, given that the </w:t>
      </w:r>
      <w:r>
        <w:rPr>
          <w:rFonts w:asciiTheme="majorHAnsi" w:eastAsia="Calibri" w:hAnsiTheme="majorHAnsi" w:cstheme="majorHAnsi"/>
          <w:sz w:val="22"/>
          <w:szCs w:val="22"/>
          <w:lang w:val="en-US" w:eastAsia="en-US"/>
        </w:rPr>
        <w:t>tailor-made</w:t>
      </w:r>
      <w:r w:rsidRPr="00273EEE">
        <w:rPr>
          <w:rFonts w:asciiTheme="majorHAnsi" w:eastAsia="Calibri" w:hAnsiTheme="majorHAnsi" w:cstheme="majorHAnsi"/>
          <w:sz w:val="22"/>
          <w:szCs w:val="22"/>
          <w:lang w:val="en-US" w:eastAsia="en-US"/>
        </w:rPr>
        <w:t xml:space="preserve"> </w:t>
      </w:r>
      <w:r>
        <w:rPr>
          <w:rFonts w:asciiTheme="majorHAnsi" w:eastAsia="Calibri" w:hAnsiTheme="majorHAnsi" w:cstheme="majorHAnsi"/>
          <w:sz w:val="22"/>
          <w:szCs w:val="22"/>
          <w:lang w:val="en-US" w:eastAsia="en-US"/>
        </w:rPr>
        <w:t>Regulation on Wholesale Energy Market Integrity and Transparency (</w:t>
      </w:r>
      <w:r w:rsidRPr="00273EEE">
        <w:rPr>
          <w:rFonts w:asciiTheme="majorHAnsi" w:eastAsia="Calibri" w:hAnsiTheme="majorHAnsi" w:cstheme="majorHAnsi"/>
          <w:sz w:val="22"/>
          <w:szCs w:val="22"/>
          <w:lang w:val="en-US" w:eastAsia="en-US"/>
        </w:rPr>
        <w:t>REMIT</w:t>
      </w:r>
      <w:r>
        <w:rPr>
          <w:rFonts w:asciiTheme="majorHAnsi" w:eastAsia="Calibri" w:hAnsiTheme="majorHAnsi" w:cstheme="majorHAnsi"/>
          <w:sz w:val="22"/>
          <w:szCs w:val="22"/>
          <w:lang w:val="en-US" w:eastAsia="en-US"/>
        </w:rPr>
        <w:t>)</w:t>
      </w:r>
      <w:r w:rsidRPr="00273EEE">
        <w:rPr>
          <w:rFonts w:asciiTheme="majorHAnsi" w:eastAsia="Calibri" w:hAnsiTheme="majorHAnsi" w:cstheme="majorHAnsi"/>
          <w:sz w:val="22"/>
          <w:szCs w:val="22"/>
          <w:lang w:val="en-US" w:eastAsia="en-US"/>
        </w:rPr>
        <w:t xml:space="preserve"> as well as </w:t>
      </w:r>
      <w:r w:rsidR="00BB6E98">
        <w:rPr>
          <w:rFonts w:asciiTheme="majorHAnsi" w:eastAsia="Calibri" w:hAnsiTheme="majorHAnsi" w:cstheme="majorHAnsi"/>
          <w:sz w:val="22"/>
          <w:szCs w:val="22"/>
          <w:lang w:val="en-US" w:eastAsia="en-US"/>
        </w:rPr>
        <w:t xml:space="preserve">the </w:t>
      </w:r>
      <w:r w:rsidRPr="00273EEE">
        <w:rPr>
          <w:rFonts w:asciiTheme="majorHAnsi" w:eastAsia="Calibri" w:hAnsiTheme="majorHAnsi" w:cstheme="majorHAnsi"/>
          <w:sz w:val="22"/>
          <w:szCs w:val="22"/>
          <w:lang w:val="en-US" w:eastAsia="en-US"/>
        </w:rPr>
        <w:t>M</w:t>
      </w:r>
      <w:r w:rsidR="00BB6E98">
        <w:rPr>
          <w:rFonts w:asciiTheme="majorHAnsi" w:eastAsia="Calibri" w:hAnsiTheme="majorHAnsi" w:cstheme="majorHAnsi"/>
          <w:sz w:val="22"/>
          <w:szCs w:val="22"/>
          <w:lang w:val="en-US" w:eastAsia="en-US"/>
        </w:rPr>
        <w:t xml:space="preserve">arket </w:t>
      </w:r>
      <w:r w:rsidRPr="00273EEE">
        <w:rPr>
          <w:rFonts w:asciiTheme="majorHAnsi" w:eastAsia="Calibri" w:hAnsiTheme="majorHAnsi" w:cstheme="majorHAnsi"/>
          <w:sz w:val="22"/>
          <w:szCs w:val="22"/>
          <w:lang w:val="en-US" w:eastAsia="en-US"/>
        </w:rPr>
        <w:t>A</w:t>
      </w:r>
      <w:r w:rsidR="00BB6E98">
        <w:rPr>
          <w:rFonts w:asciiTheme="majorHAnsi" w:eastAsia="Calibri" w:hAnsiTheme="majorHAnsi" w:cstheme="majorHAnsi"/>
          <w:sz w:val="22"/>
          <w:szCs w:val="22"/>
          <w:lang w:val="en-US" w:eastAsia="en-US"/>
        </w:rPr>
        <w:t xml:space="preserve">buse </w:t>
      </w:r>
      <w:r w:rsidRPr="00273EEE">
        <w:rPr>
          <w:rFonts w:asciiTheme="majorHAnsi" w:eastAsia="Calibri" w:hAnsiTheme="majorHAnsi" w:cstheme="majorHAnsi"/>
          <w:sz w:val="22"/>
          <w:szCs w:val="22"/>
          <w:lang w:val="en-US" w:eastAsia="en-US"/>
        </w:rPr>
        <w:t>R</w:t>
      </w:r>
      <w:r w:rsidR="00BB6E98">
        <w:rPr>
          <w:rFonts w:asciiTheme="majorHAnsi" w:eastAsia="Calibri" w:hAnsiTheme="majorHAnsi" w:cstheme="majorHAnsi"/>
          <w:sz w:val="22"/>
          <w:szCs w:val="22"/>
          <w:lang w:val="en-US" w:eastAsia="en-US"/>
        </w:rPr>
        <w:t>egulation (MAR)</w:t>
      </w:r>
      <w:r w:rsidRPr="00273EEE">
        <w:rPr>
          <w:rFonts w:asciiTheme="majorHAnsi" w:eastAsia="Calibri" w:hAnsiTheme="majorHAnsi" w:cstheme="majorHAnsi"/>
          <w:sz w:val="22"/>
          <w:szCs w:val="22"/>
          <w:lang w:val="en-US" w:eastAsia="en-US"/>
        </w:rPr>
        <w:t xml:space="preserve"> have been put in place to prevent </w:t>
      </w:r>
      <w:r>
        <w:rPr>
          <w:rFonts w:asciiTheme="majorHAnsi" w:eastAsia="Calibri" w:hAnsiTheme="majorHAnsi" w:cstheme="majorHAnsi"/>
          <w:sz w:val="22"/>
          <w:szCs w:val="22"/>
          <w:lang w:val="en-US" w:eastAsia="en-US"/>
        </w:rPr>
        <w:t xml:space="preserve">possible </w:t>
      </w:r>
      <w:r w:rsidRPr="00273EEE">
        <w:rPr>
          <w:rFonts w:asciiTheme="majorHAnsi" w:eastAsia="Calibri" w:hAnsiTheme="majorHAnsi" w:cstheme="majorHAnsi"/>
          <w:sz w:val="22"/>
          <w:szCs w:val="22"/>
          <w:lang w:val="en-US" w:eastAsia="en-US"/>
        </w:rPr>
        <w:t>market abuse in these markets.</w:t>
      </w:r>
    </w:p>
    <w:permEnd w:id="1369402250"/>
    <w:p w14:paraId="4EF80FA2" w14:textId="7077A2B4" w:rsidR="00AB6157" w:rsidRPr="00273EEE" w:rsidRDefault="00AB6157" w:rsidP="00273EEE">
      <w:pPr>
        <w:spacing w:after="200"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&lt;ESMA_QUESTION_PLPM_1&gt;</w:t>
      </w:r>
    </w:p>
    <w:p w14:paraId="1D7C90D9" w14:textId="77777777" w:rsidR="00AB6157" w:rsidRPr="00273EEE" w:rsidRDefault="00AB6157" w:rsidP="00273EEE">
      <w:pPr>
        <w:spacing w:line="276" w:lineRule="auto"/>
        <w:jc w:val="both"/>
        <w:rPr>
          <w:rFonts w:asciiTheme="majorHAnsi" w:hAnsiTheme="majorHAnsi" w:cstheme="majorHAnsi"/>
          <w:sz w:val="22"/>
          <w:szCs w:val="22"/>
        </w:rPr>
      </w:pPr>
    </w:p>
    <w:p w14:paraId="4ECD83E3"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Have you identified other structural changes in commodity derivative markets or in the underlying markets since the introduction of the MiFID II position limit regime, such as changes in market participants? If so, please provide examples, and where available data, and differentiate per commodity derivative asset class where relevant.</w:t>
      </w:r>
    </w:p>
    <w:p w14:paraId="3D497800" w14:textId="3FC1469D"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&lt;ESMA_QUESTION_PLPM_2&gt;</w:t>
      </w:r>
    </w:p>
    <w:p w14:paraId="67420961" w14:textId="752094DF" w:rsidR="00B54CAF" w:rsidRPr="00273EEE" w:rsidRDefault="00B54CAF" w:rsidP="00B54CAF">
      <w:pPr>
        <w:spacing w:line="276" w:lineRule="auto"/>
        <w:jc w:val="both"/>
        <w:rPr>
          <w:rFonts w:asciiTheme="majorHAnsi" w:eastAsia="Calibri" w:hAnsiTheme="majorHAnsi" w:cstheme="majorHAnsi"/>
          <w:sz w:val="22"/>
          <w:szCs w:val="22"/>
          <w:lang w:eastAsia="en-US"/>
        </w:rPr>
      </w:pPr>
      <w:permStart w:id="1320310454" w:edGrp="everyone"/>
      <w:r w:rsidRPr="00273EEE">
        <w:rPr>
          <w:rFonts w:asciiTheme="majorHAnsi" w:eastAsia="Calibri" w:hAnsiTheme="majorHAnsi" w:cstheme="majorHAnsi"/>
          <w:sz w:val="22"/>
          <w:szCs w:val="22"/>
          <w:lang w:eastAsia="en-US"/>
        </w:rPr>
        <w:t>The Exchanges have observed an increased difficulty for financial counterparties such as investment banks or commodity trading houses to efficiently serve their clients in commodity markets (</w:t>
      </w:r>
      <w:r>
        <w:rPr>
          <w:rFonts w:asciiTheme="majorHAnsi" w:eastAsia="Calibri" w:hAnsiTheme="majorHAnsi" w:cstheme="majorHAnsi"/>
          <w:sz w:val="22"/>
          <w:szCs w:val="22"/>
          <w:lang w:eastAsia="en-US"/>
        </w:rPr>
        <w:t>e.g.</w:t>
      </w:r>
      <w:r w:rsidRPr="00273EEE">
        <w:rPr>
          <w:rFonts w:asciiTheme="majorHAnsi" w:eastAsia="Calibri" w:hAnsiTheme="majorHAnsi" w:cstheme="majorHAnsi"/>
          <w:sz w:val="22"/>
          <w:szCs w:val="22"/>
          <w:lang w:eastAsia="en-US"/>
        </w:rPr>
        <w:t xml:space="preserve"> oil refineries</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cocoa producers</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etc</w:t>
      </w:r>
      <w:r w:rsidRPr="00273EEE">
        <w:rPr>
          <w:rFonts w:asciiTheme="majorHAnsi" w:eastAsia="Calibri" w:hAnsiTheme="majorHAnsi" w:cstheme="majorHAnsi"/>
          <w:sz w:val="22"/>
          <w:szCs w:val="22"/>
          <w:lang w:eastAsia="en-US"/>
        </w:rPr>
        <w:t xml:space="preserve">). This has been caused by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inability of those counterparties to hedge risk</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through structurally more complex transactions than simply trading on </w:t>
      </w:r>
      <w:r>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 xml:space="preserve">client’s account. </w:t>
      </w:r>
    </w:p>
    <w:p w14:paraId="6B6EC2F9"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p>
    <w:p w14:paraId="133ACA83"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Indeed, the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includes exemptions for market participants pursuing hedging activit</w:t>
      </w:r>
      <w:r>
        <w:rPr>
          <w:rFonts w:asciiTheme="majorHAnsi" w:eastAsia="Calibri" w:hAnsiTheme="majorHAnsi" w:cstheme="majorHAnsi"/>
          <w:sz w:val="22"/>
          <w:szCs w:val="22"/>
          <w:lang w:eastAsia="en-US"/>
        </w:rPr>
        <w:t>ies</w:t>
      </w:r>
      <w:r w:rsidRPr="00273EEE">
        <w:rPr>
          <w:rFonts w:asciiTheme="majorHAnsi" w:eastAsia="Calibri" w:hAnsiTheme="majorHAnsi" w:cstheme="majorHAnsi"/>
          <w:sz w:val="22"/>
          <w:szCs w:val="22"/>
          <w:lang w:eastAsia="en-US"/>
        </w:rPr>
        <w:t>. However, the MiFID II definition of hedging as set out in RTS 20 is clear that only non-financial entities can engage in such activit</w:t>
      </w:r>
      <w:r>
        <w:rPr>
          <w:rFonts w:asciiTheme="majorHAnsi" w:eastAsia="Calibri" w:hAnsiTheme="majorHAnsi" w:cstheme="majorHAnsi"/>
          <w:sz w:val="22"/>
          <w:szCs w:val="22"/>
          <w:lang w:eastAsia="en-US"/>
        </w:rPr>
        <w:t>ies</w:t>
      </w:r>
      <w:r w:rsidRPr="00273EEE">
        <w:rPr>
          <w:rFonts w:asciiTheme="majorHAnsi" w:eastAsia="Calibri" w:hAnsiTheme="majorHAnsi" w:cstheme="majorHAnsi"/>
          <w:sz w:val="22"/>
          <w:szCs w:val="22"/>
          <w:lang w:eastAsia="en-US"/>
        </w:rPr>
        <w:t xml:space="preserve">, thereby rendering the exemption unviable to investment banks or commodity trading houses which both play a vital role in providing smaller commercial players with access to commodity derivatives markets. Therefore, the hedging exemption cannot be considered a universal solution to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inappropriately designed pre-trade transparency</w:t>
      </w:r>
      <w:r>
        <w:rPr>
          <w:rFonts w:asciiTheme="majorHAnsi" w:eastAsia="Calibri" w:hAnsiTheme="majorHAnsi" w:cstheme="majorHAnsi"/>
          <w:sz w:val="22"/>
          <w:szCs w:val="22"/>
          <w:lang w:eastAsia="en-US"/>
        </w:rPr>
        <w:t xml:space="preserve"> rules</w:t>
      </w:r>
      <w:r w:rsidRPr="00273EEE">
        <w:rPr>
          <w:rFonts w:asciiTheme="majorHAnsi" w:eastAsia="Calibri" w:hAnsiTheme="majorHAnsi" w:cstheme="majorHAnsi"/>
          <w:sz w:val="22"/>
          <w:szCs w:val="22"/>
          <w:lang w:eastAsia="en-US"/>
        </w:rPr>
        <w:t xml:space="preserve"> or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disproportionate position limit</w:t>
      </w:r>
      <w:r>
        <w:rPr>
          <w:rFonts w:asciiTheme="majorHAnsi" w:eastAsia="Calibri" w:hAnsiTheme="majorHAnsi" w:cstheme="majorHAnsi"/>
          <w:sz w:val="22"/>
          <w:szCs w:val="22"/>
          <w:lang w:eastAsia="en-US"/>
        </w:rPr>
        <w:t xml:space="preserve"> regime</w:t>
      </w:r>
      <w:r w:rsidRPr="00273EEE">
        <w:rPr>
          <w:rFonts w:asciiTheme="majorHAnsi" w:eastAsia="Calibri" w:hAnsiTheme="majorHAnsi" w:cstheme="majorHAnsi"/>
          <w:sz w:val="22"/>
          <w:szCs w:val="22"/>
          <w:lang w:eastAsia="en-US"/>
        </w:rPr>
        <w:t xml:space="preserve">. </w:t>
      </w:r>
    </w:p>
    <w:p w14:paraId="5177C766" w14:textId="77777777" w:rsidR="00B54CAF" w:rsidRPr="00CE18A0" w:rsidRDefault="00B54CAF" w:rsidP="00B54CAF">
      <w:pPr>
        <w:spacing w:line="276" w:lineRule="auto"/>
        <w:jc w:val="both"/>
        <w:rPr>
          <w:rFonts w:asciiTheme="majorHAnsi" w:eastAsia="Calibri" w:hAnsiTheme="majorHAnsi" w:cstheme="majorHAnsi"/>
          <w:sz w:val="22"/>
          <w:szCs w:val="22"/>
          <w:lang w:val="en-US" w:eastAsia="en-US"/>
        </w:rPr>
      </w:pPr>
    </w:p>
    <w:p w14:paraId="7B297CA7"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An example of such </w:t>
      </w:r>
      <w:r>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 xml:space="preserve">situation is the so called </w:t>
      </w:r>
      <w:r w:rsidRPr="00CE18A0">
        <w:rPr>
          <w:rFonts w:asciiTheme="majorHAnsi" w:eastAsia="Calibri" w:hAnsiTheme="majorHAnsi" w:cstheme="majorHAnsi"/>
          <w:i/>
          <w:iCs/>
          <w:sz w:val="22"/>
          <w:szCs w:val="22"/>
          <w:lang w:eastAsia="en-US"/>
        </w:rPr>
        <w:t>Refining Margin Hedge</w:t>
      </w:r>
      <w:r>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often used in oil markets, whereby an investment bank agrees with its client, a refiner, on a single price of a basket comprising various refined products. Once the refiner agrees the single price for the basket, the bank executes the offsetting trades in the futures market on its own account.</w:t>
      </w:r>
    </w:p>
    <w:p w14:paraId="01A00264"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p>
    <w:p w14:paraId="72886335"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hAnsiTheme="majorHAnsi" w:cstheme="majorHAnsi"/>
          <w:noProof/>
          <w:sz w:val="22"/>
          <w:szCs w:val="22"/>
          <w:lang w:val="en-US" w:eastAsia="en-US"/>
        </w:rPr>
        <w:lastRenderedPageBreak/>
        <w:drawing>
          <wp:inline distT="0" distB="0" distL="0" distR="0" wp14:anchorId="2CDAE1BC" wp14:editId="6412A7DC">
            <wp:extent cx="5143500" cy="3678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57620" cy="3688580"/>
                    </a:xfrm>
                    <a:prstGeom prst="rect">
                      <a:avLst/>
                    </a:prstGeom>
                  </pic:spPr>
                </pic:pic>
              </a:graphicData>
            </a:graphic>
          </wp:inline>
        </w:drawing>
      </w:r>
    </w:p>
    <w:p w14:paraId="7552E0E3" w14:textId="77777777" w:rsidR="00B54CAF" w:rsidRDefault="00B54CAF" w:rsidP="00B54CAF">
      <w:pPr>
        <w:spacing w:line="276" w:lineRule="auto"/>
        <w:jc w:val="both"/>
        <w:rPr>
          <w:rFonts w:asciiTheme="majorHAnsi" w:eastAsia="Calibri" w:hAnsiTheme="majorHAnsi" w:cstheme="majorHAnsi"/>
          <w:sz w:val="22"/>
          <w:szCs w:val="22"/>
          <w:lang w:eastAsia="en-US"/>
        </w:rPr>
      </w:pPr>
    </w:p>
    <w:p w14:paraId="078A5AC8"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Even though within the context of such </w:t>
      </w:r>
      <w:r>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transaction the bank clearly performs a hedging activity, it would not be able to make use of the exemption envisaged under MiFIR Article 8 or MiFID Article 57.</w:t>
      </w:r>
    </w:p>
    <w:p w14:paraId="61C956F0"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p>
    <w:p w14:paraId="04191C71"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As a second example, in iron ore and freight it is possible and sometimes common that a bank would finance a miner or steel mill with the caveat that the business needs to initiate a hedging programme to remove volatility from future costs or revenues (or both). The hedging programme would usually be conducted with the bank on an OTC basis with the bank then offsetting that risk in the cleared market.</w:t>
      </w:r>
    </w:p>
    <w:p w14:paraId="5264DA11"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p>
    <w:p w14:paraId="020E8ECD" w14:textId="77777777" w:rsidR="00B54CAF" w:rsidRPr="00273EEE" w:rsidRDefault="00B54CAF" w:rsidP="00B54CAF">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Again, even though within the context of such transaction the bank clearly performs a hedging activity, it would not be able to make use of the exemption envisaged under MiFIR Article 8 or MiFID Article 57.</w:t>
      </w:r>
    </w:p>
    <w:p w14:paraId="03891309" w14:textId="77777777" w:rsidR="00B54CAF" w:rsidRPr="00273EEE" w:rsidRDefault="00B54CAF" w:rsidP="00F10373">
      <w:pPr>
        <w:spacing w:line="276" w:lineRule="auto"/>
        <w:jc w:val="both"/>
        <w:rPr>
          <w:rFonts w:asciiTheme="majorHAnsi" w:eastAsia="Calibri" w:hAnsiTheme="majorHAnsi" w:cstheme="majorHAnsi"/>
          <w:sz w:val="22"/>
          <w:szCs w:val="22"/>
          <w:lang w:eastAsia="en-US"/>
        </w:rPr>
      </w:pPr>
    </w:p>
    <w:p w14:paraId="0DAA1EBC" w14:textId="77777777" w:rsidR="00B54CAF" w:rsidRDefault="00B54CAF" w:rsidP="00F10373">
      <w:pPr>
        <w:jc w:val="both"/>
        <w:rPr>
          <w:rFonts w:asciiTheme="majorHAnsi" w:hAnsiTheme="majorHAnsi" w:cstheme="majorHAnsi"/>
          <w:sz w:val="22"/>
          <w:szCs w:val="22"/>
        </w:rPr>
      </w:pPr>
      <w:r w:rsidRPr="00273EEE">
        <w:rPr>
          <w:rFonts w:asciiTheme="majorHAnsi" w:hAnsiTheme="majorHAnsi" w:cstheme="majorHAnsi"/>
          <w:sz w:val="22"/>
          <w:szCs w:val="22"/>
        </w:rPr>
        <w:t xml:space="preserve">Furthermore, some Europex </w:t>
      </w:r>
      <w:r w:rsidRPr="00273EEE">
        <w:rPr>
          <w:rFonts w:asciiTheme="majorHAnsi" w:eastAsiaTheme="minorEastAsia" w:hAnsiTheme="majorHAnsi" w:cstheme="majorHAnsi"/>
          <w:sz w:val="22"/>
          <w:szCs w:val="22"/>
          <w:lang w:eastAsia="en-US"/>
        </w:rPr>
        <w:t xml:space="preserve">members </w:t>
      </w:r>
      <w:r w:rsidRPr="00273EEE">
        <w:rPr>
          <w:rFonts w:asciiTheme="majorHAnsi" w:hAnsiTheme="majorHAnsi" w:cstheme="majorHAnsi"/>
          <w:sz w:val="22"/>
          <w:szCs w:val="22"/>
        </w:rPr>
        <w:t xml:space="preserve">have observed growth in bilateral trading since the introduction of the MiFID II position limit regime. This has partly been driven by the </w:t>
      </w:r>
      <w:r>
        <w:rPr>
          <w:rFonts w:asciiTheme="majorHAnsi" w:hAnsiTheme="majorHAnsi" w:cstheme="majorHAnsi"/>
          <w:sz w:val="22"/>
          <w:szCs w:val="22"/>
        </w:rPr>
        <w:t>perception</w:t>
      </w:r>
      <w:r w:rsidRPr="00273EEE">
        <w:rPr>
          <w:rFonts w:asciiTheme="majorHAnsi" w:hAnsiTheme="majorHAnsi" w:cstheme="majorHAnsi"/>
          <w:sz w:val="22"/>
          <w:szCs w:val="22"/>
        </w:rPr>
        <w:t xml:space="preserve"> that bilateral trading is cheaper and less burdensome from a regulatory perspective, including being out of scope of the  position limit regime. Europex would therefore caution against any regulatory requirement which pushes </w:t>
      </w:r>
      <w:r>
        <w:rPr>
          <w:rFonts w:asciiTheme="majorHAnsi" w:hAnsiTheme="majorHAnsi" w:cstheme="majorHAnsi"/>
          <w:sz w:val="22"/>
          <w:szCs w:val="22"/>
        </w:rPr>
        <w:t>more liquidity</w:t>
      </w:r>
      <w:r w:rsidRPr="00273EEE">
        <w:rPr>
          <w:rFonts w:asciiTheme="majorHAnsi" w:hAnsiTheme="majorHAnsi" w:cstheme="majorHAnsi"/>
          <w:sz w:val="22"/>
          <w:szCs w:val="22"/>
        </w:rPr>
        <w:t xml:space="preserve"> </w:t>
      </w:r>
      <w:r>
        <w:rPr>
          <w:rFonts w:asciiTheme="majorHAnsi" w:hAnsiTheme="majorHAnsi" w:cstheme="majorHAnsi"/>
          <w:sz w:val="22"/>
          <w:szCs w:val="22"/>
        </w:rPr>
        <w:t>on</w:t>
      </w:r>
      <w:r w:rsidRPr="00273EEE">
        <w:rPr>
          <w:rFonts w:asciiTheme="majorHAnsi" w:hAnsiTheme="majorHAnsi" w:cstheme="majorHAnsi"/>
          <w:sz w:val="22"/>
          <w:szCs w:val="22"/>
        </w:rPr>
        <w:t>to bilateral markets</w:t>
      </w:r>
      <w:r>
        <w:rPr>
          <w:rFonts w:asciiTheme="majorHAnsi" w:hAnsiTheme="majorHAnsi" w:cstheme="majorHAnsi"/>
          <w:sz w:val="22"/>
          <w:szCs w:val="22"/>
        </w:rPr>
        <w:t xml:space="preserve"> as the latter</w:t>
      </w:r>
      <w:r w:rsidRPr="00273EEE">
        <w:rPr>
          <w:rFonts w:asciiTheme="majorHAnsi" w:hAnsiTheme="majorHAnsi" w:cstheme="majorHAnsi"/>
          <w:sz w:val="22"/>
          <w:szCs w:val="22"/>
        </w:rPr>
        <w:t xml:space="preserve"> are excluded from the </w:t>
      </w:r>
      <w:r>
        <w:rPr>
          <w:rFonts w:asciiTheme="majorHAnsi" w:hAnsiTheme="majorHAnsi" w:cstheme="majorHAnsi"/>
          <w:sz w:val="22"/>
          <w:szCs w:val="22"/>
        </w:rPr>
        <w:t>principles</w:t>
      </w:r>
      <w:r w:rsidRPr="00273EEE">
        <w:rPr>
          <w:rFonts w:asciiTheme="majorHAnsi" w:hAnsiTheme="majorHAnsi" w:cstheme="majorHAnsi"/>
          <w:sz w:val="22"/>
          <w:szCs w:val="22"/>
        </w:rPr>
        <w:t xml:space="preserve"> of independent price validation, post-trade publication, oversight and central clearing, thereby reducing </w:t>
      </w:r>
      <w:r>
        <w:rPr>
          <w:rFonts w:asciiTheme="majorHAnsi" w:hAnsiTheme="majorHAnsi" w:cstheme="majorHAnsi"/>
          <w:sz w:val="22"/>
          <w:szCs w:val="22"/>
        </w:rPr>
        <w:t>market</w:t>
      </w:r>
      <w:r w:rsidRPr="00273EEE">
        <w:rPr>
          <w:rFonts w:asciiTheme="majorHAnsi" w:hAnsiTheme="majorHAnsi" w:cstheme="majorHAnsi"/>
          <w:sz w:val="22"/>
          <w:szCs w:val="22"/>
        </w:rPr>
        <w:t xml:space="preserve"> transparency and </w:t>
      </w:r>
      <w:r>
        <w:rPr>
          <w:rFonts w:asciiTheme="majorHAnsi" w:hAnsiTheme="majorHAnsi" w:cstheme="majorHAnsi"/>
          <w:sz w:val="22"/>
          <w:szCs w:val="22"/>
        </w:rPr>
        <w:t>increasing</w:t>
      </w:r>
      <w:r w:rsidRPr="00273EEE">
        <w:rPr>
          <w:rFonts w:asciiTheme="majorHAnsi" w:hAnsiTheme="majorHAnsi" w:cstheme="majorHAnsi"/>
          <w:sz w:val="22"/>
          <w:szCs w:val="22"/>
        </w:rPr>
        <w:t xml:space="preserve"> systemic risk.</w:t>
      </w:r>
    </w:p>
    <w:permEnd w:id="1320310454"/>
    <w:p w14:paraId="6268BFE5" w14:textId="6ED21CDC" w:rsidR="00AB6157" w:rsidRPr="00273EEE" w:rsidRDefault="00AB6157" w:rsidP="00B54CAF">
      <w:pPr>
        <w:rPr>
          <w:rFonts w:asciiTheme="majorHAnsi" w:hAnsiTheme="majorHAnsi" w:cstheme="majorHAnsi"/>
          <w:sz w:val="22"/>
          <w:szCs w:val="22"/>
        </w:rPr>
      </w:pPr>
      <w:r w:rsidRPr="00273EEE">
        <w:rPr>
          <w:rFonts w:asciiTheme="majorHAnsi" w:hAnsiTheme="majorHAnsi" w:cstheme="majorHAnsi"/>
          <w:sz w:val="22"/>
          <w:szCs w:val="22"/>
        </w:rPr>
        <w:t>&lt;ESMA_QUESTION_PLPM_2&gt;</w:t>
      </w:r>
    </w:p>
    <w:p w14:paraId="6796A688" w14:textId="77777777" w:rsidR="00AB6157" w:rsidRPr="00273EEE" w:rsidRDefault="00AB6157" w:rsidP="00273EEE">
      <w:pPr>
        <w:spacing w:line="276" w:lineRule="auto"/>
        <w:jc w:val="both"/>
        <w:rPr>
          <w:rFonts w:asciiTheme="majorHAnsi" w:hAnsiTheme="majorHAnsi" w:cstheme="majorHAnsi"/>
          <w:sz w:val="22"/>
          <w:szCs w:val="22"/>
        </w:rPr>
      </w:pPr>
    </w:p>
    <w:p w14:paraId="197F904B"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Do you consider that position limits contribute to the prevention of market abuse in commodity derivatives markets? Please elaborate by differentiating per conduct, per commodity asset classes or contract where relevant and provide evidence to support your assessment when available.</w:t>
      </w:r>
    </w:p>
    <w:p w14:paraId="4DCF3B67" w14:textId="74612E3A"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lastRenderedPageBreak/>
        <w:t>&lt;ESMA_QUESTION_PLPM_3&gt;</w:t>
      </w:r>
    </w:p>
    <w:p w14:paraId="52196D13" w14:textId="349355A1" w:rsidR="00994F9D" w:rsidRPr="00273EEE" w:rsidRDefault="00994F9D" w:rsidP="00994F9D">
      <w:pPr>
        <w:pStyle w:val="NoSpacing"/>
        <w:spacing w:line="276" w:lineRule="auto"/>
        <w:jc w:val="both"/>
        <w:rPr>
          <w:rFonts w:asciiTheme="majorHAnsi" w:eastAsia="Calibri" w:hAnsiTheme="majorHAnsi" w:cstheme="majorHAnsi"/>
          <w:sz w:val="22"/>
          <w:szCs w:val="22"/>
        </w:rPr>
      </w:pPr>
      <w:permStart w:id="212342718" w:edGrp="everyone"/>
      <w:r w:rsidRPr="00273EEE">
        <w:rPr>
          <w:rFonts w:asciiTheme="majorHAnsi" w:eastAsia="Calibri" w:hAnsiTheme="majorHAnsi" w:cstheme="majorHAnsi"/>
          <w:sz w:val="22"/>
          <w:szCs w:val="22"/>
        </w:rPr>
        <w:t>We do not believe the regime has had a significant impact on the prevention of market abuse in energy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This is mainly because of three reasons.</w:t>
      </w:r>
    </w:p>
    <w:p w14:paraId="347A53C2" w14:textId="77777777" w:rsidR="00994F9D" w:rsidRPr="00273EEE" w:rsidRDefault="00994F9D" w:rsidP="00994F9D">
      <w:pPr>
        <w:pStyle w:val="NoSpacing"/>
        <w:spacing w:line="276" w:lineRule="auto"/>
        <w:jc w:val="both"/>
        <w:rPr>
          <w:rFonts w:asciiTheme="majorHAnsi" w:eastAsia="Calibri" w:hAnsiTheme="majorHAnsi" w:cstheme="majorHAnsi"/>
          <w:sz w:val="22"/>
          <w:szCs w:val="22"/>
        </w:rPr>
      </w:pPr>
    </w:p>
    <w:p w14:paraId="53EC1BDB" w14:textId="77777777" w:rsidR="00994F9D" w:rsidRPr="00273EEE" w:rsidRDefault="00994F9D" w:rsidP="00994F9D">
      <w:pPr>
        <w:pStyle w:val="NoSpacing"/>
        <w:numPr>
          <w:ilvl w:val="3"/>
          <w:numId w:val="12"/>
        </w:numPr>
        <w:spacing w:line="276" w:lineRule="auto"/>
        <w:ind w:left="720"/>
        <w:jc w:val="both"/>
        <w:rPr>
          <w:rFonts w:asciiTheme="majorHAnsi" w:eastAsia="Calibri" w:hAnsiTheme="majorHAnsi" w:cstheme="majorHAnsi"/>
          <w:sz w:val="22"/>
          <w:szCs w:val="22"/>
        </w:rPr>
      </w:pPr>
      <w:r w:rsidRPr="00273EEE">
        <w:rPr>
          <w:rFonts w:asciiTheme="majorHAnsi" w:eastAsia="Calibri" w:hAnsiTheme="majorHAnsi" w:cstheme="majorHAnsi"/>
          <w:b/>
          <w:sz w:val="22"/>
          <w:szCs w:val="22"/>
        </w:rPr>
        <w:t>Pre-existing position management regime:</w:t>
      </w:r>
      <w:r w:rsidRPr="00273EEE">
        <w:rPr>
          <w:rFonts w:asciiTheme="majorHAnsi" w:eastAsia="Calibri" w:hAnsiTheme="majorHAnsi" w:cstheme="majorHAnsi"/>
          <w:sz w:val="22"/>
          <w:szCs w:val="22"/>
        </w:rPr>
        <w:t xml:space="preserve"> Europex members have considerable experience in operating position management system</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Exchanges have developed a comprehensive, risk-based regime based on position, delivery and expiry limits with regards to commodity derivatives traded on </w:t>
      </w:r>
      <w:r>
        <w:rPr>
          <w:rFonts w:asciiTheme="majorHAnsi" w:eastAsia="Calibri" w:hAnsiTheme="majorHAnsi" w:cstheme="majorHAnsi"/>
          <w:sz w:val="22"/>
          <w:szCs w:val="22"/>
        </w:rPr>
        <w:t>their</w:t>
      </w:r>
      <w:r w:rsidRPr="00273EEE">
        <w:rPr>
          <w:rFonts w:asciiTheme="majorHAnsi" w:eastAsia="Calibri" w:hAnsiTheme="majorHAnsi" w:cstheme="majorHAnsi"/>
          <w:sz w:val="22"/>
          <w:szCs w:val="22"/>
        </w:rPr>
        <w:t xml:space="preserve"> markets. At the same time, the position management regimes operated by exchanges are proportionate and efficient</w:t>
      </w:r>
      <w:r>
        <w:rPr>
          <w:rFonts w:asciiTheme="majorHAnsi" w:eastAsia="Calibri" w:hAnsiTheme="majorHAnsi" w:cstheme="majorHAnsi"/>
          <w:sz w:val="22"/>
          <w:szCs w:val="22"/>
        </w:rPr>
        <w:t>.</w:t>
      </w:r>
      <w:r w:rsidRPr="00273EEE">
        <w:rPr>
          <w:rFonts w:asciiTheme="majorHAnsi" w:eastAsia="Calibri" w:hAnsiTheme="majorHAnsi" w:cstheme="majorHAnsi"/>
          <w:sz w:val="22"/>
          <w:szCs w:val="22"/>
        </w:rPr>
        <w:t xml:space="preserve"> They focus on a limited number of benchmark contracts and the time period right before expiry rather than on the entire maturity curve. The regime has contributed to preventing market abuse and excessive speculation which could negatively impact global retail prices</w:t>
      </w:r>
      <w:r>
        <w:rPr>
          <w:rFonts w:asciiTheme="majorHAnsi" w:eastAsia="Calibri" w:hAnsiTheme="majorHAnsi" w:cstheme="majorHAnsi"/>
          <w:sz w:val="22"/>
          <w:szCs w:val="22"/>
        </w:rPr>
        <w:t>. However, it has</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also allowed</w:t>
      </w:r>
      <w:r w:rsidRPr="00273EEE">
        <w:rPr>
          <w:rFonts w:asciiTheme="majorHAnsi" w:eastAsia="Calibri" w:hAnsiTheme="majorHAnsi" w:cstheme="majorHAnsi"/>
          <w:sz w:val="22"/>
          <w:szCs w:val="22"/>
        </w:rPr>
        <w:t xml:space="preserve"> new and nascent products to develop.</w:t>
      </w:r>
      <w:r w:rsidRPr="00273EEE">
        <w:rPr>
          <w:rFonts w:asciiTheme="majorHAnsi" w:eastAsia="Calibri" w:hAnsiTheme="majorHAnsi" w:cstheme="majorHAnsi"/>
          <w:color w:val="FF0000"/>
          <w:sz w:val="22"/>
          <w:szCs w:val="22"/>
        </w:rPr>
        <w:t xml:space="preserve"> </w:t>
      </w:r>
    </w:p>
    <w:p w14:paraId="23F58D5B" w14:textId="77777777" w:rsidR="00994F9D" w:rsidRPr="00273EEE" w:rsidRDefault="00994F9D" w:rsidP="00994F9D">
      <w:pPr>
        <w:pStyle w:val="NoSpacing"/>
        <w:spacing w:line="276" w:lineRule="auto"/>
        <w:ind w:left="720"/>
        <w:jc w:val="both"/>
        <w:rPr>
          <w:rFonts w:asciiTheme="majorHAnsi" w:eastAsia="Calibri" w:hAnsiTheme="majorHAnsi" w:cstheme="majorHAnsi"/>
          <w:sz w:val="22"/>
          <w:szCs w:val="22"/>
        </w:rPr>
      </w:pPr>
    </w:p>
    <w:p w14:paraId="1E3CAC02" w14:textId="047F9436" w:rsidR="00994F9D" w:rsidRPr="00273EEE" w:rsidRDefault="00994F9D" w:rsidP="00994F9D">
      <w:pPr>
        <w:pStyle w:val="NoSpacing"/>
        <w:numPr>
          <w:ilvl w:val="3"/>
          <w:numId w:val="12"/>
        </w:numPr>
        <w:spacing w:line="276" w:lineRule="auto"/>
        <w:ind w:left="720"/>
        <w:jc w:val="both"/>
        <w:rPr>
          <w:rFonts w:asciiTheme="majorHAnsi" w:eastAsia="Calibri" w:hAnsiTheme="majorHAnsi" w:cstheme="majorHAnsi"/>
          <w:sz w:val="22"/>
          <w:szCs w:val="22"/>
        </w:rPr>
      </w:pPr>
      <w:r w:rsidRPr="00273EEE">
        <w:rPr>
          <w:rFonts w:asciiTheme="majorHAnsi" w:eastAsia="Calibri" w:hAnsiTheme="majorHAnsi" w:cstheme="majorHAnsi"/>
          <w:b/>
          <w:sz w:val="22"/>
          <w:szCs w:val="22"/>
        </w:rPr>
        <w:t>Pre-existing regulation</w:t>
      </w:r>
      <w:r w:rsidRPr="00273EEE">
        <w:rPr>
          <w:rFonts w:asciiTheme="majorHAnsi" w:eastAsia="Calibri" w:hAnsiTheme="majorHAnsi" w:cstheme="majorHAnsi"/>
          <w:sz w:val="22"/>
          <w:szCs w:val="22"/>
        </w:rPr>
        <w:t xml:space="preserve">: Besides </w:t>
      </w:r>
      <w:r w:rsidR="00825B73">
        <w:rPr>
          <w:rFonts w:asciiTheme="majorHAnsi" w:eastAsia="Calibri" w:hAnsiTheme="majorHAnsi" w:cstheme="majorHAnsi"/>
          <w:sz w:val="22"/>
          <w:szCs w:val="22"/>
        </w:rPr>
        <w:t xml:space="preserve">being </w:t>
      </w:r>
      <w:proofErr w:type="spellStart"/>
      <w:r w:rsidR="00825B73">
        <w:rPr>
          <w:rFonts w:asciiTheme="majorHAnsi" w:eastAsia="Calibri" w:hAnsiTheme="majorHAnsi" w:cstheme="majorHAnsi"/>
          <w:sz w:val="22"/>
          <w:szCs w:val="22"/>
        </w:rPr>
        <w:t xml:space="preserve">subject to </w:t>
      </w:r>
      <w:proofErr w:type="spellEnd"/>
      <w:r w:rsidRPr="00273EEE">
        <w:rPr>
          <w:rFonts w:asciiTheme="majorHAnsi" w:eastAsia="Calibri" w:hAnsiTheme="majorHAnsi" w:cstheme="majorHAnsi"/>
          <w:sz w:val="22"/>
          <w:szCs w:val="22"/>
        </w:rPr>
        <w:t xml:space="preserve">position management regimes, </w:t>
      </w:r>
      <w:r>
        <w:rPr>
          <w:rFonts w:asciiTheme="majorHAnsi" w:eastAsia="Calibri" w:hAnsiTheme="majorHAnsi" w:cstheme="majorHAnsi"/>
          <w:sz w:val="22"/>
          <w:szCs w:val="22"/>
        </w:rPr>
        <w:t xml:space="preserve">exchange-traded </w:t>
      </w:r>
      <w:r w:rsidRPr="00273EEE">
        <w:rPr>
          <w:rFonts w:asciiTheme="majorHAnsi" w:eastAsia="Calibri" w:hAnsiTheme="majorHAnsi" w:cstheme="majorHAnsi"/>
          <w:sz w:val="22"/>
          <w:szCs w:val="22"/>
        </w:rPr>
        <w:t>gas and power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are also under close scrutiny of </w:t>
      </w:r>
      <w:r>
        <w:rPr>
          <w:rFonts w:asciiTheme="majorHAnsi" w:eastAsia="Calibri" w:hAnsiTheme="majorHAnsi" w:cstheme="majorHAnsi"/>
          <w:sz w:val="22"/>
          <w:szCs w:val="22"/>
        </w:rPr>
        <w:t xml:space="preserve">the </w:t>
      </w:r>
      <w:r w:rsidRPr="00273EEE">
        <w:rPr>
          <w:rFonts w:asciiTheme="majorHAnsi" w:eastAsia="Calibri" w:hAnsiTheme="majorHAnsi" w:cstheme="majorHAnsi"/>
          <w:sz w:val="22"/>
          <w:szCs w:val="22"/>
        </w:rPr>
        <w:t xml:space="preserve">exchanges’ market supervision and market surveillance departments. The departments apply the principles </w:t>
      </w:r>
      <w:r>
        <w:rPr>
          <w:rFonts w:asciiTheme="majorHAnsi" w:eastAsia="Calibri" w:hAnsiTheme="majorHAnsi" w:cstheme="majorHAnsi"/>
          <w:sz w:val="22"/>
          <w:szCs w:val="22"/>
        </w:rPr>
        <w:t>set</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out</w:t>
      </w:r>
      <w:r w:rsidRPr="00273EEE">
        <w:rPr>
          <w:rFonts w:asciiTheme="majorHAnsi" w:eastAsia="Calibri" w:hAnsiTheme="majorHAnsi" w:cstheme="majorHAnsi"/>
          <w:sz w:val="22"/>
          <w:szCs w:val="22"/>
        </w:rPr>
        <w:t xml:space="preserve"> in the Regulation on </w:t>
      </w:r>
      <w:r>
        <w:rPr>
          <w:rFonts w:asciiTheme="majorHAnsi" w:eastAsia="Calibri" w:hAnsiTheme="majorHAnsi" w:cstheme="majorHAnsi"/>
          <w:sz w:val="22"/>
          <w:szCs w:val="22"/>
        </w:rPr>
        <w:t xml:space="preserve">Wholesale </w:t>
      </w:r>
      <w:r w:rsidRPr="00273EEE">
        <w:rPr>
          <w:rFonts w:asciiTheme="majorHAnsi" w:eastAsia="Calibri" w:hAnsiTheme="majorHAnsi" w:cstheme="majorHAnsi"/>
          <w:sz w:val="22"/>
          <w:szCs w:val="22"/>
        </w:rPr>
        <w:t>Energy Markets Integrity and Transparency (REMIT) and the Market Abuse Regulation (MAR), which both apply to gas and power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While </w:t>
      </w:r>
      <w:r w:rsidRPr="00273EEE">
        <w:rPr>
          <w:rFonts w:asciiTheme="majorHAnsi" w:eastAsia="Calibri" w:hAnsiTheme="majorHAnsi" w:cstheme="majorHAnsi"/>
          <w:sz w:val="22"/>
          <w:szCs w:val="22"/>
          <w:lang w:val="en-US"/>
        </w:rPr>
        <w:t>REMIT introduces a sector-s​</w:t>
      </w:r>
      <w:proofErr w:type="spellStart"/>
      <w:r w:rsidRPr="00273EEE">
        <w:rPr>
          <w:rFonts w:asciiTheme="majorHAnsi" w:eastAsia="Calibri" w:hAnsiTheme="majorHAnsi" w:cstheme="majorHAnsi"/>
          <w:sz w:val="22"/>
          <w:szCs w:val="22"/>
          <w:lang w:val="en-US"/>
        </w:rPr>
        <w:t>pecific</w:t>
      </w:r>
      <w:proofErr w:type="spellEnd"/>
      <w:r w:rsidRPr="00273EEE">
        <w:rPr>
          <w:rFonts w:asciiTheme="majorHAnsi" w:eastAsia="Calibri" w:hAnsiTheme="majorHAnsi" w:cstheme="majorHAnsi"/>
          <w:sz w:val="22"/>
          <w:szCs w:val="22"/>
          <w:lang w:val="en-US"/>
        </w:rPr>
        <w:t xml:space="preserve"> legal framework for identifying and </w:t>
      </w:r>
      <w:proofErr w:type="spellStart"/>
      <w:r w:rsidRPr="00273EEE">
        <w:rPr>
          <w:rFonts w:asciiTheme="majorHAnsi" w:eastAsia="Calibri" w:hAnsiTheme="majorHAnsi" w:cstheme="majorHAnsi"/>
          <w:sz w:val="22"/>
          <w:szCs w:val="22"/>
          <w:lang w:val="en-US"/>
        </w:rPr>
        <w:t>penalising</w:t>
      </w:r>
      <w:proofErr w:type="spellEnd"/>
      <w:r w:rsidRPr="00273EEE">
        <w:rPr>
          <w:rFonts w:asciiTheme="majorHAnsi" w:eastAsia="Calibri" w:hAnsiTheme="majorHAnsi" w:cstheme="majorHAnsi"/>
          <w:sz w:val="22"/>
          <w:szCs w:val="22"/>
          <w:lang w:val="en-US"/>
        </w:rPr>
        <w:t xml:space="preserve"> insider trading and market manipulation in wholesale energy markets across Europe, MAR establishes a</w:t>
      </w:r>
      <w:r w:rsidRPr="00273EEE">
        <w:rPr>
          <w:rFonts w:asciiTheme="majorHAnsi" w:eastAsia="Calibri" w:hAnsiTheme="majorHAnsi" w:cstheme="majorHAnsi"/>
          <w:sz w:val="22"/>
          <w:szCs w:val="22"/>
        </w:rPr>
        <w:t xml:space="preserve"> pan-European regime to prevent and detect market abuse, market manipulation and insider dealing in financial markets, including </w:t>
      </w:r>
      <w:r>
        <w:rPr>
          <w:rFonts w:asciiTheme="majorHAnsi" w:eastAsia="Calibri" w:hAnsiTheme="majorHAnsi" w:cstheme="majorHAnsi"/>
          <w:sz w:val="22"/>
          <w:szCs w:val="22"/>
        </w:rPr>
        <w:t xml:space="preserve">in </w:t>
      </w:r>
      <w:r w:rsidRPr="00273EEE">
        <w:rPr>
          <w:rFonts w:asciiTheme="majorHAnsi" w:eastAsia="Calibri" w:hAnsiTheme="majorHAnsi" w:cstheme="majorHAnsi"/>
          <w:sz w:val="22"/>
          <w:szCs w:val="22"/>
        </w:rPr>
        <w:t>energy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These pre-existing regulations as well as </w:t>
      </w:r>
      <w:r>
        <w:rPr>
          <w:rFonts w:asciiTheme="majorHAnsi" w:eastAsia="Calibri" w:hAnsiTheme="majorHAnsi" w:cstheme="majorHAnsi"/>
          <w:sz w:val="22"/>
          <w:szCs w:val="22"/>
        </w:rPr>
        <w:t xml:space="preserve">the work of </w:t>
      </w:r>
      <w:r w:rsidRPr="00273EEE">
        <w:rPr>
          <w:rFonts w:asciiTheme="majorHAnsi" w:eastAsia="Calibri" w:hAnsiTheme="majorHAnsi" w:cstheme="majorHAnsi"/>
          <w:sz w:val="22"/>
          <w:szCs w:val="22"/>
        </w:rPr>
        <w:t xml:space="preserve">market supervision and market surveillance departments have been effective in preventing market abuse and excessive speculation. </w:t>
      </w:r>
      <w:r>
        <w:rPr>
          <w:rFonts w:asciiTheme="majorHAnsi" w:eastAsia="Calibri" w:hAnsiTheme="majorHAnsi" w:cstheme="majorHAnsi"/>
          <w:sz w:val="22"/>
          <w:szCs w:val="22"/>
        </w:rPr>
        <w:t>In this context</w:t>
      </w:r>
      <w:r w:rsidRPr="00273EEE">
        <w:rPr>
          <w:rFonts w:asciiTheme="majorHAnsi" w:eastAsia="Calibri" w:hAnsiTheme="majorHAnsi" w:cstheme="majorHAnsi"/>
          <w:sz w:val="22"/>
          <w:szCs w:val="22"/>
        </w:rPr>
        <w:t xml:space="preserve">, it is important to </w:t>
      </w:r>
      <w:r>
        <w:rPr>
          <w:rFonts w:asciiTheme="majorHAnsi" w:eastAsia="Calibri" w:hAnsiTheme="majorHAnsi" w:cstheme="majorHAnsi"/>
          <w:sz w:val="22"/>
          <w:szCs w:val="22"/>
        </w:rPr>
        <w:t>highlight</w:t>
      </w:r>
      <w:r w:rsidRPr="00273EEE">
        <w:rPr>
          <w:rFonts w:asciiTheme="majorHAnsi" w:eastAsia="Calibri" w:hAnsiTheme="majorHAnsi" w:cstheme="majorHAnsi"/>
          <w:sz w:val="22"/>
          <w:szCs w:val="22"/>
        </w:rPr>
        <w:t xml:space="preserve"> that </w:t>
      </w:r>
      <w:r>
        <w:rPr>
          <w:rFonts w:asciiTheme="majorHAnsi" w:eastAsia="Calibri" w:hAnsiTheme="majorHAnsi" w:cstheme="majorHAnsi"/>
          <w:sz w:val="22"/>
          <w:szCs w:val="22"/>
        </w:rPr>
        <w:t xml:space="preserve">in order </w:t>
      </w:r>
      <w:r w:rsidRPr="00273EEE">
        <w:rPr>
          <w:rFonts w:asciiTheme="majorHAnsi" w:eastAsia="Calibri" w:hAnsiTheme="majorHAnsi" w:cstheme="majorHAnsi"/>
          <w:sz w:val="22"/>
          <w:szCs w:val="22"/>
        </w:rPr>
        <w:t xml:space="preserve">to identify and prevent market abuse MAR monitors trading behaviour in combination with position size, while the </w:t>
      </w:r>
      <w:r>
        <w:rPr>
          <w:rFonts w:asciiTheme="majorHAnsi" w:eastAsia="Calibri" w:hAnsiTheme="majorHAnsi" w:cstheme="majorHAnsi"/>
          <w:sz w:val="22"/>
          <w:szCs w:val="22"/>
        </w:rPr>
        <w:t>MiFID II position limit regime</w:t>
      </w:r>
      <w:r w:rsidRPr="00273EEE">
        <w:rPr>
          <w:rFonts w:asciiTheme="majorHAnsi" w:eastAsia="Calibri" w:hAnsiTheme="majorHAnsi" w:cstheme="majorHAnsi"/>
          <w:sz w:val="22"/>
          <w:szCs w:val="22"/>
        </w:rPr>
        <w:t xml:space="preserve"> only monitors position size.</w:t>
      </w:r>
    </w:p>
    <w:p w14:paraId="189F9B4D" w14:textId="77777777" w:rsidR="00994F9D" w:rsidRPr="00273EEE" w:rsidRDefault="00994F9D" w:rsidP="00994F9D">
      <w:pPr>
        <w:spacing w:line="276" w:lineRule="auto"/>
        <w:ind w:left="1440" w:hanging="720"/>
        <w:jc w:val="both"/>
        <w:rPr>
          <w:rFonts w:asciiTheme="majorHAnsi" w:eastAsia="Calibri" w:hAnsiTheme="majorHAnsi" w:cstheme="majorHAnsi"/>
          <w:sz w:val="22"/>
          <w:szCs w:val="22"/>
        </w:rPr>
      </w:pPr>
    </w:p>
    <w:p w14:paraId="3E1592E5" w14:textId="77777777" w:rsidR="00994F9D" w:rsidRPr="00273EEE" w:rsidRDefault="00994F9D" w:rsidP="00994F9D">
      <w:pPr>
        <w:pStyle w:val="NoSpacing"/>
        <w:numPr>
          <w:ilvl w:val="3"/>
          <w:numId w:val="12"/>
        </w:numPr>
        <w:spacing w:line="276" w:lineRule="auto"/>
        <w:ind w:left="720"/>
        <w:jc w:val="both"/>
        <w:rPr>
          <w:rFonts w:asciiTheme="majorHAnsi" w:eastAsia="Calibri" w:hAnsiTheme="majorHAnsi" w:cstheme="majorHAnsi"/>
          <w:sz w:val="22"/>
          <w:szCs w:val="22"/>
        </w:rPr>
      </w:pPr>
      <w:r w:rsidRPr="00273EEE">
        <w:rPr>
          <w:rFonts w:asciiTheme="majorHAnsi" w:eastAsia="Calibri" w:hAnsiTheme="majorHAnsi" w:cstheme="majorHAnsi"/>
          <w:b/>
          <w:sz w:val="22"/>
          <w:szCs w:val="22"/>
        </w:rPr>
        <w:t>The nature of most gas and power derivative</w:t>
      </w:r>
      <w:r>
        <w:rPr>
          <w:rFonts w:asciiTheme="majorHAnsi" w:eastAsia="Calibri" w:hAnsiTheme="majorHAnsi" w:cstheme="majorHAnsi"/>
          <w:b/>
          <w:sz w:val="22"/>
          <w:szCs w:val="22"/>
        </w:rPr>
        <w:t>s</w:t>
      </w:r>
      <w:r w:rsidRPr="00273EEE">
        <w:rPr>
          <w:rFonts w:asciiTheme="majorHAnsi" w:eastAsia="Calibri" w:hAnsiTheme="majorHAnsi" w:cstheme="majorHAnsi"/>
          <w:b/>
          <w:sz w:val="22"/>
          <w:szCs w:val="22"/>
        </w:rPr>
        <w:t xml:space="preserve"> contracts and the underlying market</w:t>
      </w:r>
      <w:r w:rsidRPr="00273EEE">
        <w:rPr>
          <w:rFonts w:asciiTheme="majorHAnsi" w:eastAsia="Calibri" w:hAnsiTheme="majorHAnsi" w:cstheme="majorHAnsi"/>
          <w:sz w:val="22"/>
          <w:szCs w:val="22"/>
        </w:rPr>
        <w:t xml:space="preserve">: </w:t>
      </w:r>
    </w:p>
    <w:p w14:paraId="0F680125" w14:textId="77777777" w:rsidR="00F10373" w:rsidRDefault="00F10373" w:rsidP="00F10373">
      <w:pPr>
        <w:pStyle w:val="NoSpacing"/>
        <w:spacing w:line="276" w:lineRule="auto"/>
        <w:ind w:left="1080"/>
        <w:jc w:val="both"/>
        <w:rPr>
          <w:rFonts w:asciiTheme="majorHAnsi" w:eastAsia="Calibri" w:hAnsiTheme="majorHAnsi" w:cstheme="majorHAnsi"/>
          <w:sz w:val="22"/>
          <w:szCs w:val="22"/>
        </w:rPr>
      </w:pPr>
    </w:p>
    <w:p w14:paraId="5CB11E53" w14:textId="03E5512E" w:rsidR="00994F9D" w:rsidRDefault="00994F9D" w:rsidP="00994F9D">
      <w:pPr>
        <w:pStyle w:val="NoSpacing"/>
        <w:numPr>
          <w:ilvl w:val="1"/>
          <w:numId w:val="25"/>
        </w:numPr>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 xml:space="preserve">Both gas and power are grid-bound commodities, meaning that market participants have no control over the actual destination of the </w:t>
      </w:r>
      <w:r>
        <w:rPr>
          <w:rFonts w:asciiTheme="majorHAnsi" w:eastAsia="Calibri" w:hAnsiTheme="majorHAnsi" w:cstheme="majorHAnsi"/>
          <w:sz w:val="22"/>
          <w:szCs w:val="22"/>
        </w:rPr>
        <w:t>produced</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energy. In addition,</w:t>
      </w:r>
      <w:r w:rsidRPr="00273EEE">
        <w:rPr>
          <w:rFonts w:asciiTheme="majorHAnsi" w:eastAsia="Calibri" w:hAnsiTheme="majorHAnsi" w:cstheme="majorHAnsi"/>
          <w:sz w:val="22"/>
          <w:szCs w:val="22"/>
        </w:rPr>
        <w:t xml:space="preserve"> electricity can only be stored to a very </w:t>
      </w:r>
      <w:r>
        <w:rPr>
          <w:rFonts w:asciiTheme="majorHAnsi" w:eastAsia="Calibri" w:hAnsiTheme="majorHAnsi" w:cstheme="majorHAnsi"/>
          <w:sz w:val="22"/>
          <w:szCs w:val="22"/>
        </w:rPr>
        <w:t>limited</w:t>
      </w:r>
      <w:r w:rsidRPr="00273EEE">
        <w:rPr>
          <w:rFonts w:asciiTheme="majorHAnsi" w:eastAsia="Calibri" w:hAnsiTheme="majorHAnsi" w:cstheme="majorHAnsi"/>
          <w:sz w:val="22"/>
          <w:szCs w:val="22"/>
        </w:rPr>
        <w:t xml:space="preserve"> extent. </w:t>
      </w:r>
      <w:r>
        <w:rPr>
          <w:rFonts w:asciiTheme="majorHAnsi" w:eastAsia="Calibri" w:hAnsiTheme="majorHAnsi" w:cstheme="majorHAnsi"/>
          <w:sz w:val="22"/>
          <w:szCs w:val="22"/>
        </w:rPr>
        <w:t>And since</w:t>
      </w:r>
      <w:r w:rsidRPr="00273EEE">
        <w:rPr>
          <w:rFonts w:asciiTheme="majorHAnsi" w:eastAsia="Calibri" w:hAnsiTheme="majorHAnsi" w:cstheme="majorHAnsi"/>
          <w:sz w:val="22"/>
          <w:szCs w:val="22"/>
        </w:rPr>
        <w:t xml:space="preserve"> the liberalisation of the European </w:t>
      </w:r>
      <w:r>
        <w:rPr>
          <w:rFonts w:asciiTheme="majorHAnsi" w:eastAsia="Calibri" w:hAnsiTheme="majorHAnsi" w:cstheme="majorHAnsi"/>
          <w:sz w:val="22"/>
          <w:szCs w:val="22"/>
        </w:rPr>
        <w:t>Internal E</w:t>
      </w:r>
      <w:r w:rsidRPr="00273EEE">
        <w:rPr>
          <w:rFonts w:asciiTheme="majorHAnsi" w:eastAsia="Calibri" w:hAnsiTheme="majorHAnsi" w:cstheme="majorHAnsi"/>
          <w:sz w:val="22"/>
          <w:szCs w:val="22"/>
        </w:rPr>
        <w:t xml:space="preserve">nergy </w:t>
      </w:r>
      <w:r>
        <w:rPr>
          <w:rFonts w:asciiTheme="majorHAnsi" w:eastAsia="Calibri" w:hAnsiTheme="majorHAnsi" w:cstheme="majorHAnsi"/>
          <w:sz w:val="22"/>
          <w:szCs w:val="22"/>
        </w:rPr>
        <w:t>M</w:t>
      </w:r>
      <w:r w:rsidRPr="00273EEE">
        <w:rPr>
          <w:rFonts w:asciiTheme="majorHAnsi" w:eastAsia="Calibri" w:hAnsiTheme="majorHAnsi" w:cstheme="majorHAnsi"/>
          <w:sz w:val="22"/>
          <w:szCs w:val="22"/>
        </w:rPr>
        <w:t>arket</w:t>
      </w:r>
      <w:r>
        <w:rPr>
          <w:rFonts w:asciiTheme="majorHAnsi" w:eastAsia="Calibri" w:hAnsiTheme="majorHAnsi" w:cstheme="majorHAnsi"/>
          <w:sz w:val="22"/>
          <w:szCs w:val="22"/>
        </w:rPr>
        <w:t xml:space="preserve"> (IEM)</w:t>
      </w:r>
      <w:r w:rsidRPr="00273EEE">
        <w:rPr>
          <w:rFonts w:asciiTheme="majorHAnsi" w:eastAsia="Calibri" w:hAnsiTheme="majorHAnsi" w:cstheme="majorHAnsi"/>
          <w:sz w:val="22"/>
          <w:szCs w:val="22"/>
        </w:rPr>
        <w:t xml:space="preserve"> and </w:t>
      </w:r>
      <w:r>
        <w:rPr>
          <w:rFonts w:asciiTheme="majorHAnsi" w:eastAsia="Calibri" w:hAnsiTheme="majorHAnsi" w:cstheme="majorHAnsi"/>
          <w:sz w:val="22"/>
          <w:szCs w:val="22"/>
        </w:rPr>
        <w:t>in the context of the energy transition</w:t>
      </w:r>
      <w:r w:rsidRPr="00273EEE">
        <w:rPr>
          <w:rFonts w:asciiTheme="majorHAnsi" w:eastAsia="Calibri" w:hAnsiTheme="majorHAnsi" w:cstheme="majorHAnsi"/>
          <w:sz w:val="22"/>
          <w:szCs w:val="22"/>
        </w:rPr>
        <w:t>, these markets have become highly diversified.</w:t>
      </w:r>
    </w:p>
    <w:p w14:paraId="7F92275A" w14:textId="77777777" w:rsidR="00F10373" w:rsidRPr="00273EEE" w:rsidRDefault="00F10373" w:rsidP="00F10373">
      <w:pPr>
        <w:pStyle w:val="NoSpacing"/>
        <w:spacing w:line="276" w:lineRule="auto"/>
        <w:ind w:left="1080"/>
        <w:jc w:val="both"/>
        <w:rPr>
          <w:rFonts w:asciiTheme="majorHAnsi" w:eastAsia="Calibri" w:hAnsiTheme="majorHAnsi" w:cstheme="majorHAnsi"/>
          <w:sz w:val="22"/>
          <w:szCs w:val="22"/>
        </w:rPr>
      </w:pPr>
    </w:p>
    <w:p w14:paraId="4F374E2C" w14:textId="7D2BFBF0" w:rsidR="00994F9D" w:rsidRPr="00994F9D" w:rsidRDefault="00994F9D" w:rsidP="00E2593C">
      <w:pPr>
        <w:pStyle w:val="NoSpacing"/>
        <w:numPr>
          <w:ilvl w:val="1"/>
          <w:numId w:val="25"/>
        </w:numPr>
        <w:spacing w:line="276" w:lineRule="auto"/>
        <w:jc w:val="both"/>
        <w:rPr>
          <w:rFonts w:asciiTheme="majorHAnsi" w:hAnsiTheme="majorHAnsi" w:cstheme="majorHAnsi"/>
          <w:sz w:val="22"/>
          <w:szCs w:val="22"/>
        </w:rPr>
      </w:pPr>
      <w:r w:rsidRPr="00994F9D">
        <w:rPr>
          <w:rFonts w:asciiTheme="majorHAnsi" w:eastAsia="Calibri" w:hAnsiTheme="majorHAnsi" w:cstheme="majorHAnsi"/>
          <w:sz w:val="22"/>
          <w:szCs w:val="22"/>
        </w:rPr>
        <w:t>Last but not least, most European gas and power derivatives contracts are financially-settled. This means that in order to corner or squeeze the market, one has to be able to manipulate the underlying reference price or index. As gas and power indices in Europe are sufficiently robust, market squeezes are very unlikely to occur.</w:t>
      </w:r>
      <w:permEnd w:id="212342718"/>
    </w:p>
    <w:p w14:paraId="706725D6"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&lt;ESMA_QUESTION_PLPM_3&gt;</w:t>
      </w:r>
    </w:p>
    <w:p w14:paraId="4023742F" w14:textId="77777777" w:rsidR="00AB6157" w:rsidRPr="00273EEE" w:rsidRDefault="00AB6157" w:rsidP="00273EEE">
      <w:pPr>
        <w:spacing w:line="276" w:lineRule="auto"/>
        <w:jc w:val="both"/>
        <w:rPr>
          <w:rFonts w:asciiTheme="majorHAnsi" w:hAnsiTheme="majorHAnsi" w:cstheme="majorHAnsi"/>
          <w:sz w:val="22"/>
          <w:szCs w:val="22"/>
        </w:rPr>
      </w:pPr>
    </w:p>
    <w:p w14:paraId="2B2D0937"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lastRenderedPageBreak/>
        <w:t>:</w:t>
      </w:r>
      <w:bookmarkStart w:id="1" w:name="_Hlk8204234"/>
      <w:r w:rsidRPr="00273EEE">
        <w:rPr>
          <w:rFonts w:asciiTheme="majorHAnsi" w:hAnsiTheme="majorHAnsi" w:cstheme="majorHAnsi"/>
        </w:rPr>
        <w:t xml:space="preserve"> In your view, what impact do position limits have on the orderly pricing and orderly settlement of commodity derivative contracts? Please elaborate by differentiating per asset class or per contract where relevant and provide evidence to support your answer when available.</w:t>
      </w:r>
      <w:bookmarkEnd w:id="1"/>
    </w:p>
    <w:p w14:paraId="79C74A29" w14:textId="3F94E5EB"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&lt;ESMA_QUESTION_PLPM_4&gt;</w:t>
      </w:r>
    </w:p>
    <w:p w14:paraId="65EDCC25" w14:textId="77777777" w:rsidR="009138F3" w:rsidRDefault="009138F3" w:rsidP="009138F3">
      <w:pPr>
        <w:pStyle w:val="NoSpacing"/>
        <w:spacing w:line="276" w:lineRule="auto"/>
        <w:jc w:val="both"/>
        <w:rPr>
          <w:rFonts w:asciiTheme="majorHAnsi" w:eastAsia="Calibri" w:hAnsiTheme="majorHAnsi" w:cstheme="majorHAnsi"/>
          <w:sz w:val="22"/>
          <w:szCs w:val="22"/>
        </w:rPr>
      </w:pPr>
      <w:permStart w:id="6573828" w:edGrp="everyone"/>
      <w:r>
        <w:rPr>
          <w:rFonts w:asciiTheme="majorHAnsi" w:eastAsia="Calibri" w:hAnsiTheme="majorHAnsi" w:cstheme="majorHAnsi"/>
          <w:sz w:val="22"/>
          <w:szCs w:val="22"/>
        </w:rPr>
        <w:t>Europex believes that</w:t>
      </w:r>
      <w:r w:rsidRPr="00273EEE">
        <w:rPr>
          <w:rFonts w:asciiTheme="majorHAnsi" w:eastAsia="Calibri" w:hAnsiTheme="majorHAnsi" w:cstheme="majorHAnsi"/>
          <w:sz w:val="22"/>
          <w:szCs w:val="22"/>
        </w:rPr>
        <w:t xml:space="preserve"> a properly calibrated position management regime can play an important role in ensuring orderly pricing and settlement of commodity </w:t>
      </w:r>
      <w:r w:rsidRPr="005B5560">
        <w:rPr>
          <w:rFonts w:asciiTheme="majorHAnsi" w:eastAsia="Calibri" w:hAnsiTheme="majorHAnsi" w:cstheme="majorHAnsi"/>
          <w:sz w:val="22"/>
          <w:szCs w:val="22"/>
        </w:rPr>
        <w:t>derivatives</w:t>
      </w:r>
      <w:r w:rsidRPr="005B5560" w:rsidDel="005B5560">
        <w:rPr>
          <w:rFonts w:asciiTheme="majorHAnsi" w:eastAsia="Calibri" w:hAnsiTheme="majorHAnsi" w:cstheme="majorHAnsi"/>
          <w:sz w:val="22"/>
          <w:szCs w:val="22"/>
        </w:rPr>
        <w:t xml:space="preserve"> </w:t>
      </w:r>
      <w:r w:rsidRPr="00273EEE">
        <w:rPr>
          <w:rFonts w:asciiTheme="majorHAnsi" w:eastAsia="Calibri" w:hAnsiTheme="majorHAnsi" w:cstheme="majorHAnsi"/>
          <w:sz w:val="22"/>
          <w:szCs w:val="22"/>
        </w:rPr>
        <w:t xml:space="preserve">contracts. However, Europex does not consider the </w:t>
      </w:r>
      <w:r>
        <w:rPr>
          <w:rFonts w:asciiTheme="majorHAnsi" w:eastAsia="Calibri" w:hAnsiTheme="majorHAnsi" w:cstheme="majorHAnsi"/>
          <w:sz w:val="22"/>
          <w:szCs w:val="22"/>
        </w:rPr>
        <w:t xml:space="preserve">current </w:t>
      </w:r>
      <w:r w:rsidRPr="00273EEE">
        <w:rPr>
          <w:rFonts w:asciiTheme="majorHAnsi" w:eastAsia="Calibri" w:hAnsiTheme="majorHAnsi" w:cstheme="majorHAnsi"/>
          <w:sz w:val="22"/>
          <w:szCs w:val="22"/>
        </w:rPr>
        <w:t xml:space="preserve">MiFID II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to have contributed to achieving these objectives. Rather, they have been </w:t>
      </w:r>
      <w:r>
        <w:rPr>
          <w:rFonts w:asciiTheme="majorHAnsi" w:eastAsia="Calibri" w:hAnsiTheme="majorHAnsi" w:cstheme="majorHAnsi"/>
          <w:sz w:val="22"/>
          <w:szCs w:val="22"/>
        </w:rPr>
        <w:t>met</w:t>
      </w:r>
      <w:r w:rsidRPr="00273EEE">
        <w:rPr>
          <w:rFonts w:asciiTheme="majorHAnsi" w:eastAsia="Calibri" w:hAnsiTheme="majorHAnsi" w:cstheme="majorHAnsi"/>
          <w:sz w:val="22"/>
          <w:szCs w:val="22"/>
        </w:rPr>
        <w:t xml:space="preserve"> by the exchanges</w:t>
      </w:r>
      <w:r>
        <w:rPr>
          <w:rFonts w:asciiTheme="majorHAnsi" w:eastAsia="Calibri" w:hAnsiTheme="majorHAnsi" w:cstheme="majorHAnsi"/>
          <w:sz w:val="22"/>
          <w:szCs w:val="22"/>
        </w:rPr>
        <w:t>’</w:t>
      </w:r>
      <w:r w:rsidRPr="00273EEE">
        <w:rPr>
          <w:rFonts w:asciiTheme="majorHAnsi" w:eastAsia="Calibri" w:hAnsiTheme="majorHAnsi" w:cstheme="majorHAnsi"/>
          <w:sz w:val="22"/>
          <w:szCs w:val="22"/>
        </w:rPr>
        <w:t xml:space="preserve"> pre-existing position management regime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as well as </w:t>
      </w:r>
      <w:r>
        <w:rPr>
          <w:rFonts w:asciiTheme="majorHAnsi" w:eastAsia="Calibri" w:hAnsiTheme="majorHAnsi" w:cstheme="majorHAnsi"/>
          <w:sz w:val="22"/>
          <w:szCs w:val="22"/>
        </w:rPr>
        <w:t>their</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 xml:space="preserve">efficient </w:t>
      </w:r>
      <w:r w:rsidRPr="00273EEE">
        <w:rPr>
          <w:rFonts w:asciiTheme="majorHAnsi" w:eastAsia="Calibri" w:hAnsiTheme="majorHAnsi" w:cstheme="majorHAnsi"/>
          <w:sz w:val="22"/>
          <w:szCs w:val="22"/>
        </w:rPr>
        <w:t>market oversight systems (including compliance, supervision and surveillance).</w:t>
      </w:r>
    </w:p>
    <w:permEnd w:id="6573828"/>
    <w:p w14:paraId="71876306" w14:textId="6DD02A25" w:rsidR="00AB6157" w:rsidRPr="00273EEE" w:rsidRDefault="00AB6157" w:rsidP="009138F3">
      <w:pPr>
        <w:pStyle w:val="NoSpacing"/>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&lt;ESMA_QUESTION_PLPM_4&gt;</w:t>
      </w:r>
    </w:p>
    <w:p w14:paraId="71EEC1CE" w14:textId="77777777" w:rsidR="00AB6157" w:rsidRPr="00273EEE" w:rsidRDefault="00AB6157" w:rsidP="00273EEE">
      <w:pPr>
        <w:spacing w:line="276" w:lineRule="auto"/>
        <w:jc w:val="both"/>
        <w:rPr>
          <w:rFonts w:asciiTheme="majorHAnsi" w:hAnsiTheme="majorHAnsi" w:cstheme="majorHAnsi"/>
          <w:sz w:val="22"/>
          <w:szCs w:val="22"/>
        </w:rPr>
      </w:pPr>
    </w:p>
    <w:p w14:paraId="6F8DF9F0"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More generally, and beyond the specific items identified above, what would be your overall assessment of the impact of position limits on EU commodity derivatives markets since the application of MiFID II? </w:t>
      </w:r>
    </w:p>
    <w:p w14:paraId="34BA6100" w14:textId="678E7277"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&lt;ESMA_QUESTION_PLPM_5&gt;</w:t>
      </w:r>
    </w:p>
    <w:p w14:paraId="1960992F" w14:textId="739FA778" w:rsidR="00F86BCC" w:rsidRDefault="00F86BCC" w:rsidP="00F86BCC">
      <w:pPr>
        <w:pStyle w:val="NoSpacing"/>
        <w:spacing w:line="276" w:lineRule="auto"/>
        <w:jc w:val="both"/>
        <w:rPr>
          <w:rFonts w:asciiTheme="majorHAnsi" w:eastAsia="Calibri" w:hAnsiTheme="majorHAnsi" w:cstheme="majorHAnsi"/>
          <w:sz w:val="22"/>
          <w:szCs w:val="22"/>
        </w:rPr>
      </w:pPr>
      <w:permStart w:id="516361163" w:edGrp="everyone"/>
      <w:r>
        <w:rPr>
          <w:rFonts w:asciiTheme="majorHAnsi" w:eastAsia="Calibri" w:hAnsiTheme="majorHAnsi" w:cstheme="majorHAnsi"/>
          <w:sz w:val="22"/>
          <w:szCs w:val="22"/>
        </w:rPr>
        <w:t>The</w:t>
      </w:r>
      <w:r w:rsidRPr="00273EEE">
        <w:rPr>
          <w:rFonts w:asciiTheme="majorHAnsi" w:eastAsia="Calibri" w:hAnsiTheme="majorHAnsi" w:cstheme="majorHAnsi"/>
          <w:sz w:val="22"/>
          <w:szCs w:val="22"/>
        </w:rPr>
        <w:t xml:space="preserve"> MiFID II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has so far been able to function for a number of well-developed </w:t>
      </w:r>
      <w:r>
        <w:rPr>
          <w:rFonts w:asciiTheme="majorHAnsi" w:eastAsia="Calibri" w:hAnsiTheme="majorHAnsi" w:cstheme="majorHAnsi"/>
          <w:sz w:val="22"/>
          <w:szCs w:val="22"/>
        </w:rPr>
        <w:t>liquid</w:t>
      </w:r>
      <w:r w:rsidRPr="00273EEE">
        <w:rPr>
          <w:rFonts w:asciiTheme="majorHAnsi" w:eastAsia="Calibri" w:hAnsiTheme="majorHAnsi" w:cstheme="majorHAnsi"/>
          <w:sz w:val="22"/>
          <w:szCs w:val="22"/>
        </w:rPr>
        <w:t xml:space="preserve"> contracts. These highly developed markets are characterised by a large number of different types of active trading firms and an overall substantial amount of open interest. However, for the development of new products and further growth </w:t>
      </w:r>
      <w:r>
        <w:rPr>
          <w:rFonts w:asciiTheme="majorHAnsi" w:eastAsia="Calibri" w:hAnsiTheme="majorHAnsi" w:cstheme="majorHAnsi"/>
          <w:sz w:val="22"/>
          <w:szCs w:val="22"/>
        </w:rPr>
        <w:t>in</w:t>
      </w:r>
      <w:r w:rsidRPr="00273EEE">
        <w:rPr>
          <w:rFonts w:asciiTheme="majorHAnsi" w:eastAsia="Calibri" w:hAnsiTheme="majorHAnsi" w:cstheme="majorHAnsi"/>
          <w:sz w:val="22"/>
          <w:szCs w:val="22"/>
        </w:rPr>
        <w:t xml:space="preserve"> existing illiquid commodity derivative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markets, the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has proven to be a substantial barrier. Fast growing markets in particular have suffered from (1) an increasingly restrictive limit as open interest increases and (2) an inflexible treatment in terms of their categori</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ation under the position limit framework and (3) an inaccurate reflection of the underlying physical markets. </w:t>
      </w:r>
    </w:p>
    <w:p w14:paraId="29E1531A" w14:textId="77777777" w:rsidR="00F86BCC" w:rsidRDefault="00F86BCC" w:rsidP="00F86BCC">
      <w:pPr>
        <w:pStyle w:val="NoSpacing"/>
        <w:spacing w:line="276" w:lineRule="auto"/>
        <w:jc w:val="both"/>
        <w:rPr>
          <w:rFonts w:asciiTheme="majorHAnsi" w:eastAsia="Calibri" w:hAnsiTheme="majorHAnsi" w:cstheme="majorHAnsi"/>
          <w:sz w:val="22"/>
          <w:szCs w:val="22"/>
        </w:rPr>
      </w:pPr>
    </w:p>
    <w:p w14:paraId="443DDAAC"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See our response to Q1 for more details.</w:t>
      </w:r>
    </w:p>
    <w:p w14:paraId="13FAC43D"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16472424"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 xml:space="preserve">In order to remedy these issues </w:t>
      </w:r>
      <w:r>
        <w:rPr>
          <w:rFonts w:asciiTheme="majorHAnsi" w:eastAsia="Calibri" w:hAnsiTheme="majorHAnsi" w:cstheme="majorHAnsi"/>
          <w:sz w:val="22"/>
          <w:szCs w:val="22"/>
        </w:rPr>
        <w:t xml:space="preserve">and </w:t>
      </w:r>
      <w:r w:rsidRPr="00273EEE">
        <w:rPr>
          <w:rFonts w:asciiTheme="majorHAnsi" w:eastAsia="Calibri" w:hAnsiTheme="majorHAnsi" w:cstheme="majorHAnsi"/>
          <w:sz w:val="22"/>
          <w:szCs w:val="22"/>
        </w:rPr>
        <w:t xml:space="preserve">to </w:t>
      </w:r>
      <w:r>
        <w:rPr>
          <w:rFonts w:asciiTheme="majorHAnsi" w:eastAsia="Calibri" w:hAnsiTheme="majorHAnsi" w:cstheme="majorHAnsi"/>
          <w:sz w:val="22"/>
          <w:szCs w:val="22"/>
        </w:rPr>
        <w:t>move to</w:t>
      </w:r>
      <w:r w:rsidRPr="00273EEE">
        <w:rPr>
          <w:rFonts w:asciiTheme="majorHAnsi" w:eastAsia="Calibri" w:hAnsiTheme="majorHAnsi" w:cstheme="majorHAnsi"/>
          <w:sz w:val="22"/>
          <w:szCs w:val="22"/>
        </w:rPr>
        <w:t xml:space="preserve"> a more proportionate and efficient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w:t>
      </w:r>
      <w:r>
        <w:rPr>
          <w:rFonts w:asciiTheme="majorHAnsi" w:eastAsia="Calibri" w:hAnsiTheme="majorHAnsi" w:cstheme="majorHAnsi"/>
          <w:sz w:val="22"/>
          <w:szCs w:val="22"/>
        </w:rPr>
        <w:t>Europex</w:t>
      </w:r>
      <w:r w:rsidRPr="00273EEE">
        <w:rPr>
          <w:rFonts w:asciiTheme="majorHAnsi" w:eastAsia="Calibri" w:hAnsiTheme="majorHAnsi" w:cstheme="majorHAnsi"/>
          <w:sz w:val="22"/>
          <w:szCs w:val="22"/>
        </w:rPr>
        <w:t xml:space="preserve"> agree</w:t>
      </w:r>
      <w:r>
        <w:rPr>
          <w:rFonts w:asciiTheme="majorHAnsi" w:eastAsia="Calibri" w:hAnsiTheme="majorHAnsi" w:cstheme="majorHAnsi"/>
          <w:sz w:val="22"/>
          <w:szCs w:val="22"/>
        </w:rPr>
        <w:t>s</w:t>
      </w:r>
      <w:r w:rsidRPr="00273EEE">
        <w:rPr>
          <w:rFonts w:asciiTheme="majorHAnsi" w:eastAsia="Calibri" w:hAnsiTheme="majorHAnsi" w:cstheme="majorHAnsi"/>
          <w:sz w:val="22"/>
          <w:szCs w:val="22"/>
        </w:rPr>
        <w:t xml:space="preserve"> with ESMA</w:t>
      </w:r>
      <w:r>
        <w:rPr>
          <w:rFonts w:asciiTheme="majorHAnsi" w:eastAsia="Calibri" w:hAnsiTheme="majorHAnsi" w:cstheme="majorHAnsi"/>
          <w:sz w:val="22"/>
          <w:szCs w:val="22"/>
        </w:rPr>
        <w:t>’s view</w:t>
      </w:r>
      <w:r w:rsidRPr="00273EEE">
        <w:rPr>
          <w:rFonts w:asciiTheme="majorHAnsi" w:eastAsia="Calibri" w:hAnsiTheme="majorHAnsi" w:cstheme="majorHAnsi"/>
          <w:sz w:val="22"/>
          <w:szCs w:val="22"/>
        </w:rPr>
        <w:t xml:space="preserve"> that there “could be merits in limiting the application of MiFID II position limits to a more limited set of important, critical (benchmark) commodity derivative contracts”. Such a refocus of the position limit regime on benchmark contracts would make it more efficient, mitigate the unintended consequences and reduce the compliance burden for all concerned parties (market participants, trading venues</w:t>
      </w:r>
      <w:r>
        <w:rPr>
          <w:rFonts w:asciiTheme="majorHAnsi" w:eastAsia="Calibri" w:hAnsiTheme="majorHAnsi" w:cstheme="majorHAnsi"/>
          <w:sz w:val="22"/>
          <w:szCs w:val="22"/>
        </w:rPr>
        <w:t xml:space="preserve"> as well as</w:t>
      </w:r>
      <w:r w:rsidRPr="00273EEE">
        <w:rPr>
          <w:rFonts w:asciiTheme="majorHAnsi" w:eastAsia="Calibri" w:hAnsiTheme="majorHAnsi" w:cstheme="majorHAnsi"/>
          <w:sz w:val="22"/>
          <w:szCs w:val="22"/>
        </w:rPr>
        <w:t xml:space="preserve"> NCAs/ESMA). Most importantly, such an approach would prevent market abuse and excessive speculation which may negatively impact global retail prices, while allowing new and nascent products to develop. This would be in line with the policy objective of </w:t>
      </w:r>
      <w:r>
        <w:rPr>
          <w:rFonts w:asciiTheme="majorHAnsi" w:eastAsia="Calibri" w:hAnsiTheme="majorHAnsi" w:cstheme="majorHAnsi"/>
          <w:sz w:val="22"/>
          <w:szCs w:val="22"/>
        </w:rPr>
        <w:t>MiFID II</w:t>
      </w:r>
      <w:r w:rsidRPr="00273EEE">
        <w:rPr>
          <w:rFonts w:asciiTheme="majorHAnsi" w:eastAsia="Calibri" w:hAnsiTheme="majorHAnsi" w:cstheme="majorHAnsi"/>
          <w:sz w:val="22"/>
          <w:szCs w:val="22"/>
        </w:rPr>
        <w:t xml:space="preserve"> as </w:t>
      </w:r>
      <w:r>
        <w:rPr>
          <w:rFonts w:asciiTheme="majorHAnsi" w:eastAsia="Calibri" w:hAnsiTheme="majorHAnsi" w:cstheme="majorHAnsi"/>
          <w:sz w:val="22"/>
          <w:szCs w:val="22"/>
        </w:rPr>
        <w:t>stipulated</w:t>
      </w:r>
      <w:r w:rsidRPr="00273EEE">
        <w:rPr>
          <w:rFonts w:asciiTheme="majorHAnsi" w:eastAsia="Calibri" w:hAnsiTheme="majorHAnsi" w:cstheme="majorHAnsi"/>
          <w:sz w:val="22"/>
          <w:szCs w:val="22"/>
        </w:rPr>
        <w:t xml:space="preserve"> in </w:t>
      </w:r>
      <w:r>
        <w:rPr>
          <w:rFonts w:asciiTheme="majorHAnsi" w:eastAsia="Calibri" w:hAnsiTheme="majorHAnsi" w:cstheme="majorHAnsi"/>
          <w:sz w:val="22"/>
          <w:szCs w:val="22"/>
        </w:rPr>
        <w:t>RTS 21</w:t>
      </w:r>
      <w:r w:rsidRPr="00273EEE">
        <w:rPr>
          <w:rFonts w:asciiTheme="majorHAnsi" w:eastAsia="Calibri" w:hAnsiTheme="majorHAnsi" w:cstheme="majorHAnsi"/>
          <w:sz w:val="22"/>
          <w:szCs w:val="22"/>
        </w:rPr>
        <w:t xml:space="preserve">: </w:t>
      </w:r>
    </w:p>
    <w:p w14:paraId="42423399"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00C2491B" w14:textId="77777777" w:rsidR="00F86BCC" w:rsidRPr="00273EEE" w:rsidRDefault="00F86BCC" w:rsidP="00F86BCC">
      <w:pPr>
        <w:pStyle w:val="NoSpacing"/>
        <w:spacing w:line="276" w:lineRule="auto"/>
        <w:jc w:val="both"/>
        <w:rPr>
          <w:rFonts w:asciiTheme="majorHAnsi" w:eastAsia="Calibri" w:hAnsiTheme="majorHAnsi" w:cstheme="majorHAnsi"/>
          <w:i/>
          <w:sz w:val="22"/>
          <w:szCs w:val="22"/>
        </w:rPr>
      </w:pPr>
      <w:r w:rsidRPr="00273EEE">
        <w:rPr>
          <w:rFonts w:asciiTheme="majorHAnsi" w:eastAsia="Calibri" w:hAnsiTheme="majorHAnsi" w:cstheme="majorHAnsi"/>
          <w:i/>
          <w:sz w:val="22"/>
          <w:szCs w:val="22"/>
        </w:rPr>
        <w:t xml:space="preserve">“Position limits should not create barriers to the development of new commodity derivatives and should not prevent less liquid sections of the commodity derivative markets from working adequately“ </w:t>
      </w:r>
    </w:p>
    <w:p w14:paraId="387B4017"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6B567D6F"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 xml:space="preserve">At the same time, Europex believes that </w:t>
      </w:r>
      <w:r>
        <w:rPr>
          <w:rFonts w:asciiTheme="majorHAnsi" w:eastAsia="Calibri" w:hAnsiTheme="majorHAnsi" w:cstheme="majorHAnsi"/>
          <w:sz w:val="22"/>
          <w:szCs w:val="22"/>
        </w:rPr>
        <w:t>an amended regime</w:t>
      </w:r>
      <w:r w:rsidRPr="00273EEE">
        <w:rPr>
          <w:rFonts w:asciiTheme="majorHAnsi" w:eastAsia="Calibri" w:hAnsiTheme="majorHAnsi" w:cstheme="majorHAnsi"/>
          <w:sz w:val="22"/>
          <w:szCs w:val="22"/>
        </w:rPr>
        <w:t xml:space="preserve"> would better fulfil the overall policy objective of MiFID II to “improve the functioning and transparency of commodity markets and address excessive commodity price volatility”. A refocus of the systems is justified as the </w:t>
      </w:r>
      <w:r w:rsidRPr="00273EEE">
        <w:rPr>
          <w:rFonts w:asciiTheme="majorHAnsi" w:eastAsia="Calibri" w:hAnsiTheme="majorHAnsi" w:cstheme="majorHAnsi"/>
          <w:sz w:val="22"/>
          <w:szCs w:val="22"/>
        </w:rPr>
        <w:lastRenderedPageBreak/>
        <w:t>price formation mainly occurs in benchmark products.</w:t>
      </w:r>
      <w:r w:rsidRPr="00273EEE">
        <w:rPr>
          <w:rFonts w:asciiTheme="majorHAnsi" w:hAnsiTheme="majorHAnsi" w:cstheme="majorHAnsi"/>
          <w:sz w:val="22"/>
          <w:szCs w:val="22"/>
        </w:rPr>
        <w:t xml:space="preserve"> </w:t>
      </w:r>
      <w:r w:rsidRPr="00273EEE">
        <w:rPr>
          <w:rFonts w:asciiTheme="majorHAnsi" w:eastAsia="Calibri" w:hAnsiTheme="majorHAnsi" w:cstheme="majorHAnsi"/>
          <w:sz w:val="22"/>
          <w:szCs w:val="22"/>
        </w:rPr>
        <w:t xml:space="preserve">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w:t>
      </w:r>
      <w:r>
        <w:rPr>
          <w:rFonts w:asciiTheme="majorHAnsi" w:eastAsia="Calibri" w:hAnsiTheme="majorHAnsi" w:cstheme="majorHAnsi"/>
          <w:sz w:val="22"/>
          <w:szCs w:val="22"/>
        </w:rPr>
        <w:t>position limit regime</w:t>
      </w:r>
      <w:r w:rsidRPr="00273EEE">
        <w:rPr>
          <w:rFonts w:asciiTheme="majorHAnsi" w:eastAsia="Calibri" w:hAnsiTheme="majorHAnsi" w:cstheme="majorHAnsi"/>
          <w:sz w:val="22"/>
          <w:szCs w:val="22"/>
        </w:rPr>
        <w:t xml:space="preserve"> would bring us closer to regulatory level-playing field between the EU and US commodity markets and protect the liquidity and competitiveness of EU commodity markets.</w:t>
      </w:r>
    </w:p>
    <w:p w14:paraId="7016F0C6"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3B1FDA09"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 xml:space="preserve">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principles </w:t>
      </w:r>
      <w:r>
        <w:rPr>
          <w:rFonts w:asciiTheme="majorHAnsi" w:eastAsia="Calibri" w:hAnsiTheme="majorHAnsi" w:cstheme="majorHAnsi"/>
          <w:sz w:val="22"/>
          <w:szCs w:val="22"/>
        </w:rPr>
        <w:t>set out</w:t>
      </w:r>
      <w:r w:rsidRPr="00273EEE">
        <w:rPr>
          <w:rFonts w:asciiTheme="majorHAnsi" w:eastAsia="Calibri" w:hAnsiTheme="majorHAnsi" w:cstheme="majorHAnsi"/>
          <w:sz w:val="22"/>
          <w:szCs w:val="22"/>
        </w:rPr>
        <w:t xml:space="preserve"> in the Regulation on Energy Markets Integrity and Transparency (REMIT) and the Market Abuse Regulation (MAR). Thus, removing the position limits for such contracts would not pose any risk to the transparency and functioning of the respective markets. On the contrary, attracting more volume to regulated venues would contribute to a more transparent trading environment.</w:t>
      </w:r>
    </w:p>
    <w:p w14:paraId="4FFC59B8"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1F0AC881"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r w:rsidRPr="00273EEE">
        <w:rPr>
          <w:rFonts w:asciiTheme="majorHAnsi" w:eastAsia="Calibri" w:hAnsiTheme="majorHAnsi" w:cstheme="majorHAnsi"/>
          <w:sz w:val="22"/>
          <w:szCs w:val="22"/>
        </w:rPr>
        <w:t>However, 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 (where this assessment must take place over the total period, and not on a Day 1/single day basis).</w:t>
      </w:r>
    </w:p>
    <w:p w14:paraId="7BBABC79" w14:textId="77777777" w:rsidR="00F86BCC" w:rsidRPr="00273EEE" w:rsidRDefault="00F86BCC" w:rsidP="00F86BCC">
      <w:pPr>
        <w:pStyle w:val="NoSpacing"/>
        <w:spacing w:line="276" w:lineRule="auto"/>
        <w:jc w:val="both"/>
        <w:rPr>
          <w:rFonts w:asciiTheme="majorHAnsi" w:eastAsia="Calibri" w:hAnsiTheme="majorHAnsi" w:cstheme="majorHAnsi"/>
          <w:sz w:val="22"/>
          <w:szCs w:val="22"/>
        </w:rPr>
      </w:pPr>
    </w:p>
    <w:p w14:paraId="5ECA23C8" w14:textId="1785BF5E" w:rsidR="000874F1" w:rsidRPr="00273EEE" w:rsidRDefault="00F86BCC" w:rsidP="00F86BCC">
      <w:pPr>
        <w:rPr>
          <w:rFonts w:asciiTheme="majorHAnsi" w:hAnsiTheme="majorHAnsi" w:cstheme="majorHAnsi"/>
          <w:sz w:val="22"/>
          <w:szCs w:val="22"/>
        </w:rPr>
      </w:pPr>
      <w:r w:rsidRPr="00CE18A0">
        <w:rPr>
          <w:rFonts w:asciiTheme="majorHAnsi" w:hAnsiTheme="majorHAnsi" w:cstheme="majorHAnsi"/>
          <w:sz w:val="22"/>
          <w:szCs w:val="22"/>
        </w:rPr>
        <w:t>Europex further commits to making an assessment of the key criteria to be taken into account when determining that a contract should be classified as a benchmark contract to be in scope of the MiFID II position limit regime, in the second half of this year.</w:t>
      </w:r>
      <w:permEnd w:id="516361163"/>
    </w:p>
    <w:p w14:paraId="0BF9AEF6"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&lt;ESMA_QUESTION_PLPM_5&gt;</w:t>
      </w:r>
    </w:p>
    <w:p w14:paraId="04B9C0DA" w14:textId="77777777" w:rsidR="00AB6157" w:rsidRPr="00273EEE" w:rsidRDefault="00AB6157" w:rsidP="00273EEE">
      <w:pPr>
        <w:spacing w:line="276" w:lineRule="auto"/>
        <w:jc w:val="both"/>
        <w:rPr>
          <w:rFonts w:asciiTheme="majorHAnsi" w:hAnsiTheme="majorHAnsi" w:cstheme="majorHAnsi"/>
          <w:sz w:val="22"/>
          <w:szCs w:val="22"/>
        </w:rPr>
      </w:pPr>
    </w:p>
    <w:p w14:paraId="6528287C"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Do you consider that position management controls have an impact on the liquidity of commodity derivatives markets? If so, please elaborate, differentiating per commodity derivative trading venues or contract where appropriate.</w:t>
      </w:r>
    </w:p>
    <w:p w14:paraId="50A60D37" w14:textId="77777777" w:rsidR="00AB6157" w:rsidRPr="00C419B8" w:rsidRDefault="00AB6157" w:rsidP="00273EEE">
      <w:pPr>
        <w:spacing w:line="276" w:lineRule="auto"/>
        <w:jc w:val="both"/>
        <w:rPr>
          <w:rFonts w:asciiTheme="majorHAnsi" w:hAnsiTheme="majorHAnsi" w:cstheme="majorHAnsi"/>
          <w:sz w:val="22"/>
          <w:szCs w:val="22"/>
          <w:lang w:val="en-US"/>
        </w:rPr>
      </w:pPr>
      <w:r w:rsidRPr="00C419B8">
        <w:rPr>
          <w:rFonts w:asciiTheme="majorHAnsi" w:hAnsiTheme="majorHAnsi" w:cstheme="majorHAnsi"/>
          <w:sz w:val="22"/>
          <w:szCs w:val="22"/>
          <w:lang w:val="en-US"/>
        </w:rPr>
        <w:t>&lt;ESMA_QUESTION_PLPM_6&gt;</w:t>
      </w:r>
    </w:p>
    <w:p w14:paraId="05BDF5DD" w14:textId="77777777" w:rsidR="000A15CA" w:rsidRDefault="00211981" w:rsidP="00273EEE">
      <w:pPr>
        <w:spacing w:line="276" w:lineRule="auto"/>
        <w:jc w:val="both"/>
        <w:rPr>
          <w:rFonts w:asciiTheme="majorHAnsi" w:hAnsiTheme="majorHAnsi" w:cstheme="majorHAnsi"/>
          <w:sz w:val="22"/>
          <w:szCs w:val="22"/>
          <w:lang w:val="en-US"/>
        </w:rPr>
      </w:pPr>
      <w:permStart w:id="1514696770" w:edGrp="everyone"/>
      <w:r w:rsidRPr="00273EEE">
        <w:rPr>
          <w:rFonts w:asciiTheme="majorHAnsi" w:hAnsiTheme="majorHAnsi" w:cstheme="majorHAnsi"/>
          <w:sz w:val="22"/>
          <w:szCs w:val="22"/>
          <w:lang w:val="en-US"/>
        </w:rPr>
        <w:t>Please see our response to Q1.</w:t>
      </w:r>
    </w:p>
    <w:permEnd w:id="1514696770"/>
    <w:p w14:paraId="2FBD3F86" w14:textId="60891380" w:rsidR="00AB6157" w:rsidRPr="00273EEE" w:rsidRDefault="00AB6157" w:rsidP="00273EEE">
      <w:pPr>
        <w:spacing w:line="276" w:lineRule="auto"/>
        <w:jc w:val="both"/>
        <w:rPr>
          <w:rFonts w:asciiTheme="majorHAnsi" w:hAnsiTheme="majorHAnsi" w:cstheme="majorHAnsi"/>
          <w:sz w:val="22"/>
          <w:szCs w:val="22"/>
          <w:lang w:val="fr-FR"/>
        </w:rPr>
      </w:pPr>
      <w:r w:rsidRPr="00273EEE">
        <w:rPr>
          <w:rFonts w:asciiTheme="majorHAnsi" w:hAnsiTheme="majorHAnsi" w:cstheme="majorHAnsi"/>
          <w:sz w:val="22"/>
          <w:szCs w:val="22"/>
          <w:lang w:val="fr-FR"/>
        </w:rPr>
        <w:t>&lt;ESMA_QUESTION_PLPM_6&gt;</w:t>
      </w:r>
    </w:p>
    <w:p w14:paraId="0A3AC276" w14:textId="77777777" w:rsidR="00AB6157" w:rsidRPr="00273EEE" w:rsidRDefault="00AB6157" w:rsidP="00273EEE">
      <w:pPr>
        <w:spacing w:line="276" w:lineRule="auto"/>
        <w:jc w:val="both"/>
        <w:rPr>
          <w:rFonts w:asciiTheme="majorHAnsi" w:hAnsiTheme="majorHAnsi" w:cstheme="majorHAnsi"/>
          <w:sz w:val="22"/>
          <w:szCs w:val="22"/>
          <w:lang w:val="fr-FR"/>
        </w:rPr>
      </w:pPr>
    </w:p>
    <w:p w14:paraId="0B42E6FC"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bookmarkStart w:id="2" w:name="_Hlk8204436"/>
      <w:r w:rsidRPr="00273EEE">
        <w:rPr>
          <w:rFonts w:asciiTheme="majorHAnsi" w:hAnsiTheme="majorHAnsi" w:cstheme="majorHAnsi"/>
        </w:rPr>
        <w:t xml:space="preserve">: Do you consider that position management controls adopted by commodity derivative trading venues have a role on the prevention of market abuse? If so, please elaborate, differentiating per commodity derivative trading venues or contract where appropriate. </w:t>
      </w:r>
    </w:p>
    <w:bookmarkEnd w:id="2"/>
    <w:p w14:paraId="20A41B47"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&lt;ESMA_QUESTION_PLPM_7&gt;</w:t>
      </w:r>
    </w:p>
    <w:p w14:paraId="52B74271" w14:textId="09C6D0EA" w:rsidR="00C1002E" w:rsidRDefault="00C1002E" w:rsidP="00273EEE">
      <w:pPr>
        <w:spacing w:line="276" w:lineRule="auto"/>
        <w:jc w:val="both"/>
        <w:rPr>
          <w:rFonts w:asciiTheme="majorHAnsi" w:eastAsia="Calibri" w:hAnsiTheme="majorHAnsi" w:cstheme="majorHAnsi"/>
          <w:sz w:val="22"/>
          <w:szCs w:val="22"/>
          <w:lang w:eastAsia="en-US"/>
        </w:rPr>
      </w:pPr>
      <w:permStart w:id="793918872" w:edGrp="everyone"/>
      <w:r w:rsidRPr="00273EEE">
        <w:rPr>
          <w:rFonts w:asciiTheme="majorHAnsi" w:eastAsia="Calibri" w:hAnsiTheme="majorHAnsi" w:cstheme="majorHAnsi"/>
          <w:sz w:val="22"/>
          <w:szCs w:val="22"/>
          <w:lang w:eastAsia="en-US"/>
        </w:rPr>
        <w:t xml:space="preserve">As indicated in </w:t>
      </w:r>
      <w:r w:rsidR="00A619CE">
        <w:rPr>
          <w:rFonts w:asciiTheme="majorHAnsi" w:eastAsia="Calibri" w:hAnsiTheme="majorHAnsi" w:cstheme="majorHAnsi"/>
          <w:sz w:val="22"/>
          <w:szCs w:val="22"/>
          <w:lang w:eastAsia="en-US"/>
        </w:rPr>
        <w:t>the</w:t>
      </w:r>
      <w:r w:rsidR="00A619CE" w:rsidRPr="00273EEE">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xml:space="preserve">description of position management controls </w:t>
      </w:r>
      <w:r w:rsidR="00BE443B" w:rsidRPr="00273EEE">
        <w:rPr>
          <w:rFonts w:asciiTheme="majorHAnsi" w:eastAsia="Calibri" w:hAnsiTheme="majorHAnsi" w:cstheme="majorHAnsi"/>
          <w:sz w:val="22"/>
          <w:szCs w:val="22"/>
          <w:lang w:eastAsia="en-US"/>
        </w:rPr>
        <w:t xml:space="preserve">published on </w:t>
      </w:r>
      <w:r w:rsidR="00A619CE">
        <w:rPr>
          <w:rFonts w:asciiTheme="majorHAnsi" w:eastAsia="Calibri" w:hAnsiTheme="majorHAnsi" w:cstheme="majorHAnsi"/>
          <w:sz w:val="22"/>
          <w:szCs w:val="22"/>
          <w:lang w:eastAsia="en-US"/>
        </w:rPr>
        <w:t xml:space="preserve">the </w:t>
      </w:r>
      <w:r w:rsidR="00BE443B" w:rsidRPr="00273EEE">
        <w:rPr>
          <w:rFonts w:asciiTheme="majorHAnsi" w:eastAsia="Calibri" w:hAnsiTheme="majorHAnsi" w:cstheme="majorHAnsi"/>
          <w:sz w:val="22"/>
          <w:szCs w:val="22"/>
          <w:lang w:eastAsia="en-US"/>
        </w:rPr>
        <w:t>ESMA</w:t>
      </w:r>
      <w:r w:rsidRPr="00273EEE">
        <w:rPr>
          <w:rFonts w:asciiTheme="majorHAnsi" w:eastAsia="Calibri" w:hAnsiTheme="majorHAnsi" w:cstheme="majorHAnsi"/>
          <w:sz w:val="22"/>
          <w:szCs w:val="22"/>
          <w:lang w:eastAsia="en-US"/>
        </w:rPr>
        <w:t xml:space="preserve"> web</w:t>
      </w:r>
      <w:r w:rsidR="00BE443B" w:rsidRPr="00273EEE">
        <w:rPr>
          <w:rFonts w:asciiTheme="majorHAnsi" w:eastAsia="Calibri" w:hAnsiTheme="majorHAnsi" w:cstheme="majorHAnsi"/>
          <w:sz w:val="22"/>
          <w:szCs w:val="22"/>
          <w:lang w:eastAsia="en-US"/>
        </w:rPr>
        <w:t>site</w:t>
      </w:r>
      <w:r w:rsidRPr="00273EEE">
        <w:rPr>
          <w:rFonts w:asciiTheme="majorHAnsi" w:eastAsia="Calibri" w:hAnsiTheme="majorHAnsi" w:cstheme="majorHAnsi"/>
          <w:sz w:val="22"/>
          <w:szCs w:val="22"/>
          <w:lang w:eastAsia="en-US"/>
        </w:rPr>
        <w:t xml:space="preserve">, </w:t>
      </w:r>
      <w:r w:rsidR="00A2340F" w:rsidRPr="00273EEE">
        <w:rPr>
          <w:rFonts w:asciiTheme="majorHAnsi" w:eastAsia="Calibri" w:hAnsiTheme="majorHAnsi" w:cstheme="majorHAnsi"/>
          <w:sz w:val="22"/>
          <w:szCs w:val="22"/>
          <w:lang w:eastAsia="en-US"/>
        </w:rPr>
        <w:t xml:space="preserve">Europex </w:t>
      </w:r>
      <w:r w:rsidR="007448B5" w:rsidRPr="00273EEE">
        <w:rPr>
          <w:rFonts w:asciiTheme="majorHAnsi" w:eastAsia="Calibri" w:hAnsiTheme="majorHAnsi" w:cstheme="majorHAnsi"/>
          <w:sz w:val="22"/>
          <w:szCs w:val="22"/>
          <w:lang w:eastAsia="en-US"/>
        </w:rPr>
        <w:t>members</w:t>
      </w:r>
      <w:r w:rsidR="00A2340F" w:rsidRPr="00273EEE">
        <w:rPr>
          <w:rFonts w:asciiTheme="majorHAnsi" w:eastAsia="Calibri" w:hAnsiTheme="majorHAnsi" w:cstheme="majorHAnsi"/>
          <w:sz w:val="22"/>
          <w:szCs w:val="22"/>
          <w:lang w:eastAsia="en-US"/>
        </w:rPr>
        <w:t xml:space="preserve"> have</w:t>
      </w:r>
      <w:r w:rsidRPr="00273EEE">
        <w:rPr>
          <w:rFonts w:asciiTheme="majorHAnsi" w:eastAsia="Calibri" w:hAnsiTheme="majorHAnsi" w:cstheme="majorHAnsi"/>
          <w:sz w:val="22"/>
          <w:szCs w:val="22"/>
          <w:lang w:eastAsia="en-US"/>
        </w:rPr>
        <w:t xml:space="preserve"> operated comprehensive position management regime</w:t>
      </w:r>
      <w:r w:rsidR="00A619CE">
        <w:rPr>
          <w:rFonts w:asciiTheme="majorHAnsi" w:eastAsia="Calibri" w:hAnsiTheme="majorHAnsi" w:cstheme="majorHAnsi"/>
          <w:sz w:val="22"/>
          <w:szCs w:val="22"/>
          <w:lang w:eastAsia="en-US"/>
        </w:rPr>
        <w:t>s for many years</w:t>
      </w:r>
      <w:r w:rsidRPr="00273EEE">
        <w:rPr>
          <w:rFonts w:asciiTheme="majorHAnsi" w:eastAsia="Calibri" w:hAnsiTheme="majorHAnsi" w:cstheme="majorHAnsi"/>
          <w:sz w:val="22"/>
          <w:szCs w:val="22"/>
          <w:lang w:eastAsia="en-US"/>
        </w:rPr>
        <w:t xml:space="preserve">, thereby ensuring compliance with </w:t>
      </w:r>
      <w:r w:rsidR="00A619CE">
        <w:rPr>
          <w:rFonts w:asciiTheme="majorHAnsi" w:eastAsia="Calibri" w:hAnsiTheme="majorHAnsi" w:cstheme="majorHAnsi"/>
          <w:sz w:val="22"/>
          <w:szCs w:val="22"/>
          <w:lang w:eastAsia="en-US"/>
        </w:rPr>
        <w:t>their</w:t>
      </w:r>
      <w:r w:rsidR="00A619CE" w:rsidRPr="00273EEE">
        <w:rPr>
          <w:rFonts w:asciiTheme="majorHAnsi" w:eastAsia="Calibri" w:hAnsiTheme="majorHAnsi" w:cstheme="majorHAnsi"/>
          <w:sz w:val="22"/>
          <w:szCs w:val="22"/>
          <w:lang w:eastAsia="en-US"/>
        </w:rPr>
        <w:t xml:space="preserve"> </w:t>
      </w:r>
      <w:r w:rsidR="00A619CE">
        <w:rPr>
          <w:rFonts w:asciiTheme="majorHAnsi" w:eastAsia="Calibri" w:hAnsiTheme="majorHAnsi" w:cstheme="majorHAnsi"/>
          <w:sz w:val="22"/>
          <w:szCs w:val="22"/>
          <w:lang w:eastAsia="en-US"/>
        </w:rPr>
        <w:t>r</w:t>
      </w:r>
      <w:r w:rsidRPr="00273EEE">
        <w:rPr>
          <w:rFonts w:asciiTheme="majorHAnsi" w:eastAsia="Calibri" w:hAnsiTheme="majorHAnsi" w:cstheme="majorHAnsi"/>
          <w:sz w:val="22"/>
          <w:szCs w:val="22"/>
          <w:lang w:eastAsia="en-US"/>
        </w:rPr>
        <w:t>ulebook</w:t>
      </w:r>
      <w:r w:rsidR="00A619CE">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and </w:t>
      </w:r>
      <w:r w:rsidR="00A619CE">
        <w:rPr>
          <w:rFonts w:asciiTheme="majorHAnsi" w:eastAsia="Calibri" w:hAnsiTheme="majorHAnsi" w:cstheme="majorHAnsi"/>
          <w:sz w:val="22"/>
          <w:szCs w:val="22"/>
          <w:lang w:eastAsia="en-US"/>
        </w:rPr>
        <w:t>meeting all regulatory</w:t>
      </w:r>
      <w:r w:rsidR="00A619CE" w:rsidRPr="00273EEE">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requirements</w:t>
      </w:r>
      <w:r w:rsidR="00A2340F" w:rsidRPr="00273EEE">
        <w:rPr>
          <w:rFonts w:asciiTheme="majorHAnsi" w:eastAsia="Calibri" w:hAnsiTheme="majorHAnsi" w:cstheme="majorHAnsi"/>
          <w:sz w:val="22"/>
          <w:szCs w:val="22"/>
          <w:lang w:eastAsia="en-US"/>
        </w:rPr>
        <w:t>.</w:t>
      </w:r>
    </w:p>
    <w:p w14:paraId="5B7CC61C" w14:textId="77777777" w:rsidR="0054771A" w:rsidRPr="00273EEE" w:rsidRDefault="0054771A" w:rsidP="00273EEE">
      <w:pPr>
        <w:spacing w:line="276" w:lineRule="auto"/>
        <w:jc w:val="both"/>
        <w:rPr>
          <w:rFonts w:asciiTheme="majorHAnsi" w:eastAsia="Calibri" w:hAnsiTheme="majorHAnsi" w:cstheme="majorHAnsi"/>
          <w:sz w:val="22"/>
          <w:szCs w:val="22"/>
          <w:lang w:eastAsia="en-US"/>
        </w:rPr>
      </w:pPr>
    </w:p>
    <w:p w14:paraId="39CBCEE4" w14:textId="77777777" w:rsidR="003F0546" w:rsidRDefault="00A619CE"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lastRenderedPageBreak/>
        <w:t xml:space="preserve">Europex </w:t>
      </w:r>
      <w:r>
        <w:rPr>
          <w:rFonts w:asciiTheme="majorHAnsi" w:eastAsia="Calibri" w:hAnsiTheme="majorHAnsi" w:cstheme="majorHAnsi"/>
          <w:sz w:val="22"/>
          <w:szCs w:val="22"/>
          <w:lang w:eastAsia="en-US"/>
        </w:rPr>
        <w:t>members believe</w:t>
      </w:r>
      <w:r w:rsidRPr="00273EEE">
        <w:rPr>
          <w:rFonts w:asciiTheme="majorHAnsi" w:eastAsia="Calibri" w:hAnsiTheme="majorHAnsi" w:cstheme="majorHAnsi"/>
          <w:sz w:val="22"/>
          <w:szCs w:val="22"/>
          <w:lang w:eastAsia="en-US"/>
        </w:rPr>
        <w:t xml:space="preserve"> that </w:t>
      </w:r>
      <w:r>
        <w:rPr>
          <w:rFonts w:asciiTheme="majorHAnsi" w:eastAsia="Calibri" w:hAnsiTheme="majorHAnsi" w:cstheme="majorHAnsi"/>
          <w:sz w:val="22"/>
          <w:szCs w:val="22"/>
          <w:lang w:eastAsia="en-US"/>
        </w:rPr>
        <w:t>their</w:t>
      </w:r>
      <w:r w:rsidRPr="00273EEE">
        <w:rPr>
          <w:rFonts w:asciiTheme="majorHAnsi" w:eastAsia="Calibri" w:hAnsiTheme="majorHAnsi" w:cstheme="majorHAnsi"/>
          <w:sz w:val="22"/>
          <w:szCs w:val="22"/>
          <w:lang w:eastAsia="en-US"/>
        </w:rPr>
        <w:t xml:space="preserve"> pre-</w:t>
      </w:r>
      <w:r>
        <w:rPr>
          <w:rFonts w:asciiTheme="majorHAnsi" w:eastAsia="Calibri" w:hAnsiTheme="majorHAnsi" w:cstheme="majorHAnsi"/>
          <w:sz w:val="22"/>
          <w:szCs w:val="22"/>
          <w:lang w:eastAsia="en-US"/>
        </w:rPr>
        <w:t>MiFID II</w:t>
      </w:r>
      <w:r w:rsidRPr="00273EEE">
        <w:rPr>
          <w:rFonts w:asciiTheme="majorHAnsi" w:eastAsia="Calibri" w:hAnsiTheme="majorHAnsi" w:cstheme="majorHAnsi"/>
          <w:sz w:val="22"/>
          <w:szCs w:val="22"/>
          <w:lang w:eastAsia="en-US"/>
        </w:rPr>
        <w:t xml:space="preserve"> position management regime</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along with </w:t>
      </w:r>
      <w:r>
        <w:rPr>
          <w:rFonts w:asciiTheme="majorHAnsi" w:eastAsia="Calibri" w:hAnsiTheme="majorHAnsi" w:cstheme="majorHAnsi"/>
          <w:sz w:val="22"/>
          <w:szCs w:val="22"/>
          <w:lang w:eastAsia="en-US"/>
        </w:rPr>
        <w:t>their</w:t>
      </w:r>
      <w:r w:rsidRPr="00273EEE">
        <w:rPr>
          <w:rFonts w:asciiTheme="majorHAnsi" w:eastAsia="Calibri" w:hAnsiTheme="majorHAnsi" w:cstheme="majorHAnsi"/>
          <w:sz w:val="22"/>
          <w:szCs w:val="22"/>
          <w:lang w:eastAsia="en-US"/>
        </w:rPr>
        <w:t xml:space="preserve"> market supervision and surveillance systems have contributed substantially </w:t>
      </w:r>
      <w:r>
        <w:rPr>
          <w:rFonts w:asciiTheme="majorHAnsi" w:eastAsia="Calibri" w:hAnsiTheme="majorHAnsi" w:cstheme="majorHAnsi"/>
          <w:sz w:val="22"/>
          <w:szCs w:val="22"/>
          <w:lang w:eastAsia="en-US"/>
        </w:rPr>
        <w:t xml:space="preserve">and efficiently </w:t>
      </w:r>
      <w:r w:rsidRPr="00273EEE">
        <w:rPr>
          <w:rFonts w:asciiTheme="majorHAnsi" w:eastAsia="Calibri" w:hAnsiTheme="majorHAnsi" w:cstheme="majorHAnsi"/>
          <w:sz w:val="22"/>
          <w:szCs w:val="22"/>
          <w:lang w:eastAsia="en-US"/>
        </w:rPr>
        <w:t xml:space="preserve">to preventing market abuse and ensuring orderly trading and settlement in </w:t>
      </w:r>
      <w:r>
        <w:rPr>
          <w:rFonts w:asciiTheme="majorHAnsi" w:eastAsia="Calibri" w:hAnsiTheme="majorHAnsi" w:cstheme="majorHAnsi"/>
          <w:sz w:val="22"/>
          <w:szCs w:val="22"/>
          <w:lang w:eastAsia="en-US"/>
        </w:rPr>
        <w:t xml:space="preserve">exchange-traded </w:t>
      </w:r>
      <w:r w:rsidRPr="00273EEE">
        <w:rPr>
          <w:rFonts w:asciiTheme="majorHAnsi" w:eastAsia="Calibri" w:hAnsiTheme="majorHAnsi" w:cstheme="majorHAnsi"/>
          <w:sz w:val="22"/>
          <w:szCs w:val="22"/>
          <w:lang w:eastAsia="en-US"/>
        </w:rPr>
        <w:t>commodity markets.</w:t>
      </w:r>
    </w:p>
    <w:permEnd w:id="793918872"/>
    <w:p w14:paraId="289BAF31" w14:textId="1B8E3674"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&lt;ESMA_QUESTION_PLPM_7&gt;</w:t>
      </w:r>
    </w:p>
    <w:p w14:paraId="779CA2C5" w14:textId="77777777" w:rsidR="00AB6157" w:rsidRPr="00273EEE" w:rsidRDefault="00AB6157" w:rsidP="00273EEE">
      <w:pPr>
        <w:spacing w:line="276" w:lineRule="auto"/>
        <w:jc w:val="both"/>
        <w:rPr>
          <w:rFonts w:asciiTheme="majorHAnsi" w:hAnsiTheme="majorHAnsi" w:cstheme="majorHAnsi"/>
          <w:sz w:val="22"/>
          <w:szCs w:val="22"/>
        </w:rPr>
      </w:pPr>
    </w:p>
    <w:p w14:paraId="4F1D53B4"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Do you consider that position management controls adopted by commodity derivative trading venues have a role on orderly pricing and settlement conditions? If so, please elaborate, differentiating per commodity derivative trading venues or contract where appropriate.</w:t>
      </w:r>
    </w:p>
    <w:p w14:paraId="33210F36" w14:textId="40E530D5"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&lt;ESMA_QUESTION_PLPM_8&gt;</w:t>
      </w:r>
    </w:p>
    <w:p w14:paraId="3730FE88" w14:textId="77777777" w:rsidR="00A619CE" w:rsidRDefault="00A619CE" w:rsidP="00A619CE">
      <w:pPr>
        <w:spacing w:line="276" w:lineRule="auto"/>
        <w:jc w:val="both"/>
        <w:rPr>
          <w:rFonts w:asciiTheme="majorHAnsi" w:eastAsia="Calibri" w:hAnsiTheme="majorHAnsi" w:cstheme="majorHAnsi"/>
          <w:sz w:val="22"/>
          <w:szCs w:val="22"/>
          <w:lang w:eastAsia="en-US"/>
        </w:rPr>
      </w:pPr>
      <w:permStart w:id="610214751" w:edGrp="everyone"/>
      <w:r w:rsidRPr="00273EEE">
        <w:rPr>
          <w:rFonts w:asciiTheme="majorHAnsi" w:eastAsia="Calibri" w:hAnsiTheme="majorHAnsi" w:cstheme="majorHAnsi"/>
          <w:sz w:val="22"/>
          <w:szCs w:val="22"/>
          <w:lang w:eastAsia="en-US"/>
        </w:rPr>
        <w:t xml:space="preserve">As indicated in </w:t>
      </w:r>
      <w:r>
        <w:rPr>
          <w:rFonts w:asciiTheme="majorHAnsi" w:eastAsia="Calibri" w:hAnsiTheme="majorHAnsi" w:cstheme="majorHAnsi"/>
          <w:sz w:val="22"/>
          <w:szCs w:val="22"/>
          <w:lang w:eastAsia="en-US"/>
        </w:rPr>
        <w:t>the</w:t>
      </w:r>
      <w:r w:rsidRPr="00273EEE">
        <w:rPr>
          <w:rFonts w:asciiTheme="majorHAnsi" w:eastAsia="Calibri" w:hAnsiTheme="majorHAnsi" w:cstheme="majorHAnsi"/>
          <w:sz w:val="22"/>
          <w:szCs w:val="22"/>
          <w:lang w:eastAsia="en-US"/>
        </w:rPr>
        <w:t xml:space="preserve"> description of position management controls published on </w:t>
      </w:r>
      <w:r>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ESMA website, Europex members have operated comprehensive position management regime</w:t>
      </w:r>
      <w:r>
        <w:rPr>
          <w:rFonts w:asciiTheme="majorHAnsi" w:eastAsia="Calibri" w:hAnsiTheme="majorHAnsi" w:cstheme="majorHAnsi"/>
          <w:sz w:val="22"/>
          <w:szCs w:val="22"/>
          <w:lang w:eastAsia="en-US"/>
        </w:rPr>
        <w:t>s for many years</w:t>
      </w:r>
      <w:r w:rsidRPr="00273EEE">
        <w:rPr>
          <w:rFonts w:asciiTheme="majorHAnsi" w:eastAsia="Calibri" w:hAnsiTheme="majorHAnsi" w:cstheme="majorHAnsi"/>
          <w:sz w:val="22"/>
          <w:szCs w:val="22"/>
          <w:lang w:eastAsia="en-US"/>
        </w:rPr>
        <w:t xml:space="preserve">, thereby ensuring compliance with </w:t>
      </w:r>
      <w:r>
        <w:rPr>
          <w:rFonts w:asciiTheme="majorHAnsi" w:eastAsia="Calibri" w:hAnsiTheme="majorHAnsi" w:cstheme="majorHAnsi"/>
          <w:sz w:val="22"/>
          <w:szCs w:val="22"/>
          <w:lang w:eastAsia="en-US"/>
        </w:rPr>
        <w:t>their</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r</w:t>
      </w:r>
      <w:r w:rsidRPr="00273EEE">
        <w:rPr>
          <w:rFonts w:asciiTheme="majorHAnsi" w:eastAsia="Calibri" w:hAnsiTheme="majorHAnsi" w:cstheme="majorHAnsi"/>
          <w:sz w:val="22"/>
          <w:szCs w:val="22"/>
          <w:lang w:eastAsia="en-US"/>
        </w:rPr>
        <w:t>ulebook</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and </w:t>
      </w:r>
      <w:r>
        <w:rPr>
          <w:rFonts w:asciiTheme="majorHAnsi" w:eastAsia="Calibri" w:hAnsiTheme="majorHAnsi" w:cstheme="majorHAnsi"/>
          <w:sz w:val="22"/>
          <w:szCs w:val="22"/>
          <w:lang w:eastAsia="en-US"/>
        </w:rPr>
        <w:t>meeting all regulatory</w:t>
      </w:r>
      <w:r w:rsidRPr="00273EEE">
        <w:rPr>
          <w:rFonts w:asciiTheme="majorHAnsi" w:eastAsia="Calibri" w:hAnsiTheme="majorHAnsi" w:cstheme="majorHAnsi"/>
          <w:sz w:val="22"/>
          <w:szCs w:val="22"/>
          <w:lang w:eastAsia="en-US"/>
        </w:rPr>
        <w:t xml:space="preserve"> requirements.</w:t>
      </w:r>
    </w:p>
    <w:p w14:paraId="6DA189EF" w14:textId="77777777" w:rsidR="00A619CE" w:rsidRPr="00273EEE" w:rsidRDefault="00A619CE" w:rsidP="00A619CE">
      <w:pPr>
        <w:spacing w:line="276" w:lineRule="auto"/>
        <w:jc w:val="both"/>
        <w:rPr>
          <w:rFonts w:asciiTheme="majorHAnsi" w:eastAsia="Calibri" w:hAnsiTheme="majorHAnsi" w:cstheme="majorHAnsi"/>
          <w:sz w:val="22"/>
          <w:szCs w:val="22"/>
          <w:lang w:eastAsia="en-US"/>
        </w:rPr>
      </w:pPr>
    </w:p>
    <w:p w14:paraId="6935908E" w14:textId="435DA776" w:rsidR="00A619CE" w:rsidRPr="00273EEE" w:rsidRDefault="00A619CE" w:rsidP="00A619C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Europex </w:t>
      </w:r>
      <w:r>
        <w:rPr>
          <w:rFonts w:asciiTheme="majorHAnsi" w:eastAsia="Calibri" w:hAnsiTheme="majorHAnsi" w:cstheme="majorHAnsi"/>
          <w:sz w:val="22"/>
          <w:szCs w:val="22"/>
          <w:lang w:eastAsia="en-US"/>
        </w:rPr>
        <w:t>members believe</w:t>
      </w:r>
      <w:r w:rsidRPr="00273EEE">
        <w:rPr>
          <w:rFonts w:asciiTheme="majorHAnsi" w:eastAsia="Calibri" w:hAnsiTheme="majorHAnsi" w:cstheme="majorHAnsi"/>
          <w:sz w:val="22"/>
          <w:szCs w:val="22"/>
          <w:lang w:eastAsia="en-US"/>
        </w:rPr>
        <w:t xml:space="preserve"> that </w:t>
      </w:r>
      <w:r>
        <w:rPr>
          <w:rFonts w:asciiTheme="majorHAnsi" w:eastAsia="Calibri" w:hAnsiTheme="majorHAnsi" w:cstheme="majorHAnsi"/>
          <w:sz w:val="22"/>
          <w:szCs w:val="22"/>
          <w:lang w:eastAsia="en-US"/>
        </w:rPr>
        <w:t>their</w:t>
      </w:r>
      <w:r w:rsidRPr="00273EEE">
        <w:rPr>
          <w:rFonts w:asciiTheme="majorHAnsi" w:eastAsia="Calibri" w:hAnsiTheme="majorHAnsi" w:cstheme="majorHAnsi"/>
          <w:sz w:val="22"/>
          <w:szCs w:val="22"/>
          <w:lang w:eastAsia="en-US"/>
        </w:rPr>
        <w:t xml:space="preserve"> pre-</w:t>
      </w:r>
      <w:r>
        <w:rPr>
          <w:rFonts w:asciiTheme="majorHAnsi" w:eastAsia="Calibri" w:hAnsiTheme="majorHAnsi" w:cstheme="majorHAnsi"/>
          <w:sz w:val="22"/>
          <w:szCs w:val="22"/>
          <w:lang w:eastAsia="en-US"/>
        </w:rPr>
        <w:t>MiFID II</w:t>
      </w:r>
      <w:r w:rsidRPr="00273EEE">
        <w:rPr>
          <w:rFonts w:asciiTheme="majorHAnsi" w:eastAsia="Calibri" w:hAnsiTheme="majorHAnsi" w:cstheme="majorHAnsi"/>
          <w:sz w:val="22"/>
          <w:szCs w:val="22"/>
          <w:lang w:eastAsia="en-US"/>
        </w:rPr>
        <w:t xml:space="preserve"> position management regime</w:t>
      </w:r>
      <w:r>
        <w:rPr>
          <w:rFonts w:asciiTheme="majorHAnsi" w:eastAsia="Calibri" w:hAnsiTheme="majorHAnsi" w:cstheme="majorHAnsi"/>
          <w:sz w:val="22"/>
          <w:szCs w:val="22"/>
          <w:lang w:eastAsia="en-US"/>
        </w:rPr>
        <w:t>s</w:t>
      </w:r>
      <w:r w:rsidR="00967CC4">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along with </w:t>
      </w:r>
      <w:r>
        <w:rPr>
          <w:rFonts w:asciiTheme="majorHAnsi" w:eastAsia="Calibri" w:hAnsiTheme="majorHAnsi" w:cstheme="majorHAnsi"/>
          <w:sz w:val="22"/>
          <w:szCs w:val="22"/>
          <w:lang w:eastAsia="en-US"/>
        </w:rPr>
        <w:t>their</w:t>
      </w:r>
      <w:r w:rsidRPr="00273EEE">
        <w:rPr>
          <w:rFonts w:asciiTheme="majorHAnsi" w:eastAsia="Calibri" w:hAnsiTheme="majorHAnsi" w:cstheme="majorHAnsi"/>
          <w:sz w:val="22"/>
          <w:szCs w:val="22"/>
          <w:lang w:eastAsia="en-US"/>
        </w:rPr>
        <w:t xml:space="preserve"> market supervision and surveillance systems</w:t>
      </w:r>
      <w:r w:rsidR="00967CC4">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have contributed substantially </w:t>
      </w:r>
      <w:r>
        <w:rPr>
          <w:rFonts w:asciiTheme="majorHAnsi" w:eastAsia="Calibri" w:hAnsiTheme="majorHAnsi" w:cstheme="majorHAnsi"/>
          <w:sz w:val="22"/>
          <w:szCs w:val="22"/>
          <w:lang w:eastAsia="en-US"/>
        </w:rPr>
        <w:t xml:space="preserve">and efficiently </w:t>
      </w:r>
      <w:r w:rsidRPr="00273EEE">
        <w:rPr>
          <w:rFonts w:asciiTheme="majorHAnsi" w:eastAsia="Calibri" w:hAnsiTheme="majorHAnsi" w:cstheme="majorHAnsi"/>
          <w:sz w:val="22"/>
          <w:szCs w:val="22"/>
          <w:lang w:eastAsia="en-US"/>
        </w:rPr>
        <w:t xml:space="preserve">to preventing market abuse and ensuring orderly trading and settlement in </w:t>
      </w:r>
      <w:r>
        <w:rPr>
          <w:rFonts w:asciiTheme="majorHAnsi" w:eastAsia="Calibri" w:hAnsiTheme="majorHAnsi" w:cstheme="majorHAnsi"/>
          <w:sz w:val="22"/>
          <w:szCs w:val="22"/>
          <w:lang w:eastAsia="en-US"/>
        </w:rPr>
        <w:t xml:space="preserve">exchange-traded </w:t>
      </w:r>
      <w:r w:rsidRPr="00273EEE">
        <w:rPr>
          <w:rFonts w:asciiTheme="majorHAnsi" w:eastAsia="Calibri" w:hAnsiTheme="majorHAnsi" w:cstheme="majorHAnsi"/>
          <w:sz w:val="22"/>
          <w:szCs w:val="22"/>
          <w:lang w:eastAsia="en-US"/>
        </w:rPr>
        <w:t>commodity markets.</w:t>
      </w:r>
    </w:p>
    <w:permEnd w:id="610214751"/>
    <w:p w14:paraId="4FB9E52F"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&lt;ESMA_QUESTION_PLPM_8&gt;</w:t>
      </w:r>
    </w:p>
    <w:p w14:paraId="299A1F6E" w14:textId="77777777" w:rsidR="00AB6157" w:rsidRPr="00273EEE" w:rsidRDefault="00AB6157" w:rsidP="00273EEE">
      <w:pPr>
        <w:spacing w:line="276" w:lineRule="auto"/>
        <w:jc w:val="both"/>
        <w:rPr>
          <w:rFonts w:asciiTheme="majorHAnsi" w:hAnsiTheme="majorHAnsi" w:cstheme="majorHAnsi"/>
          <w:sz w:val="22"/>
          <w:szCs w:val="22"/>
        </w:rPr>
      </w:pPr>
    </w:p>
    <w:p w14:paraId="18B49342"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If you are a commodity derivative trading venue, please explain how you have been exercising your position management controls since MiFID II application. In particular, how frequently did you ask further information on the size or purpose of a position, on beneficial owners or assets and liabilities in the underlying commodity under Article 57(1)(b) of MiFID II, require a person to terminate or reduce a position under Article 57(1)(c) of MiFID II, require a person to provide liquidity back into the market under Article 57(1)(d) of MiFID II or exercise any of your additional position management controls? </w:t>
      </w:r>
    </w:p>
    <w:p w14:paraId="62820BB6" w14:textId="016D55C9"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&lt;ESMA_QUESTION_PLPM_9&gt;</w:t>
      </w:r>
    </w:p>
    <w:p w14:paraId="6D1DCC2C" w14:textId="77777777" w:rsidR="000874F1" w:rsidRPr="005768C1" w:rsidRDefault="000874F1" w:rsidP="000874F1">
      <w:pPr>
        <w:rPr>
          <w:rFonts w:ascii="Arial" w:hAnsi="Arial" w:cs="Arial"/>
          <w:sz w:val="22"/>
          <w:szCs w:val="22"/>
        </w:rPr>
      </w:pPr>
      <w:permStart w:id="1578375585" w:edGrp="everyone"/>
      <w:r w:rsidRPr="005768C1">
        <w:rPr>
          <w:rFonts w:ascii="Arial" w:hAnsi="Arial" w:cs="Arial"/>
          <w:sz w:val="22"/>
          <w:szCs w:val="22"/>
        </w:rPr>
        <w:t>TYPE YOUR TEXT HERE</w:t>
      </w:r>
    </w:p>
    <w:permEnd w:id="1578375585"/>
    <w:p w14:paraId="01FC309A"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&lt;ESMA_QUESTION_PLPM_9&gt;</w:t>
      </w:r>
    </w:p>
    <w:p w14:paraId="42E147C1" w14:textId="77777777" w:rsidR="00AB6157" w:rsidRPr="00273EEE" w:rsidRDefault="00AB6157" w:rsidP="00273EEE">
      <w:pPr>
        <w:spacing w:line="276" w:lineRule="auto"/>
        <w:jc w:val="both"/>
        <w:rPr>
          <w:rFonts w:asciiTheme="majorHAnsi" w:hAnsiTheme="majorHAnsi" w:cstheme="majorHAnsi"/>
          <w:sz w:val="22"/>
          <w:szCs w:val="22"/>
        </w:rPr>
      </w:pPr>
    </w:p>
    <w:p w14:paraId="578A9FB7"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bookmarkStart w:id="3" w:name="_Hlk8204620"/>
      <w:r w:rsidRPr="00273EEE">
        <w:rPr>
          <w:rFonts w:asciiTheme="majorHAnsi" w:hAnsiTheme="majorHAnsi" w:cstheme="majorHAnsi"/>
        </w:rPr>
        <w:t xml:space="preserve">: Do you have any general comment on the position limit regime and associated position reporting introduced by MiFID II? </w:t>
      </w:r>
      <w:bookmarkEnd w:id="3"/>
    </w:p>
    <w:p w14:paraId="7C1E0FD6" w14:textId="77777777" w:rsidR="00AB6157" w:rsidRPr="00C419B8" w:rsidRDefault="00AB6157" w:rsidP="00273EEE">
      <w:pPr>
        <w:spacing w:line="276" w:lineRule="auto"/>
        <w:jc w:val="both"/>
        <w:rPr>
          <w:rFonts w:asciiTheme="majorHAnsi" w:hAnsiTheme="majorHAnsi" w:cstheme="majorHAnsi"/>
          <w:sz w:val="22"/>
          <w:szCs w:val="22"/>
          <w:lang w:val="en-US"/>
        </w:rPr>
      </w:pPr>
      <w:r w:rsidRPr="00C419B8">
        <w:rPr>
          <w:rFonts w:asciiTheme="majorHAnsi" w:hAnsiTheme="majorHAnsi" w:cstheme="majorHAnsi"/>
          <w:sz w:val="22"/>
          <w:szCs w:val="22"/>
          <w:lang w:val="en-US"/>
        </w:rPr>
        <w:t>&lt;ESMA_QUESTION_PLPM_10&gt;</w:t>
      </w:r>
    </w:p>
    <w:p w14:paraId="73F20525" w14:textId="46F785CE" w:rsidR="007D245A" w:rsidRPr="00273EEE" w:rsidRDefault="00B34CAB" w:rsidP="00273EEE">
      <w:pPr>
        <w:spacing w:line="276" w:lineRule="auto"/>
        <w:jc w:val="both"/>
        <w:rPr>
          <w:rFonts w:asciiTheme="majorHAnsi" w:hAnsiTheme="majorHAnsi" w:cstheme="majorHAnsi"/>
          <w:sz w:val="22"/>
          <w:szCs w:val="22"/>
        </w:rPr>
      </w:pPr>
      <w:permStart w:id="1175208271" w:edGrp="everyone"/>
      <w:r w:rsidRPr="00273EEE">
        <w:rPr>
          <w:rFonts w:asciiTheme="majorHAnsi" w:hAnsiTheme="majorHAnsi" w:cstheme="majorHAnsi"/>
          <w:sz w:val="22"/>
          <w:szCs w:val="22"/>
        </w:rPr>
        <w:t xml:space="preserve"> See response to Q5</w:t>
      </w:r>
      <w:r w:rsidR="00A619CE">
        <w:rPr>
          <w:rFonts w:asciiTheme="majorHAnsi" w:hAnsiTheme="majorHAnsi" w:cstheme="majorHAnsi"/>
          <w:sz w:val="22"/>
          <w:szCs w:val="22"/>
        </w:rPr>
        <w:t>.</w:t>
      </w:r>
      <w:permEnd w:id="1175208271"/>
    </w:p>
    <w:p w14:paraId="28527536" w14:textId="77777777" w:rsidR="00AB6157" w:rsidRPr="00273EEE" w:rsidRDefault="00AB6157" w:rsidP="00273EEE">
      <w:pPr>
        <w:spacing w:line="276" w:lineRule="auto"/>
        <w:jc w:val="both"/>
        <w:rPr>
          <w:rFonts w:asciiTheme="majorHAnsi" w:hAnsiTheme="majorHAnsi" w:cstheme="majorHAnsi"/>
          <w:sz w:val="22"/>
          <w:szCs w:val="22"/>
          <w:lang w:val="fr-FR"/>
        </w:rPr>
      </w:pPr>
      <w:r w:rsidRPr="00273EEE">
        <w:rPr>
          <w:rFonts w:asciiTheme="majorHAnsi" w:hAnsiTheme="majorHAnsi" w:cstheme="majorHAnsi"/>
          <w:sz w:val="22"/>
          <w:szCs w:val="22"/>
          <w:lang w:val="fr-FR"/>
        </w:rPr>
        <w:t>&lt;ESMA_QUESTION_PLPM_10&gt;</w:t>
      </w:r>
    </w:p>
    <w:p w14:paraId="7E6764D1" w14:textId="77777777" w:rsidR="00AB6157" w:rsidRPr="00273EEE" w:rsidRDefault="00AB6157" w:rsidP="00273EEE">
      <w:pPr>
        <w:spacing w:line="276" w:lineRule="auto"/>
        <w:jc w:val="both"/>
        <w:rPr>
          <w:rFonts w:asciiTheme="majorHAnsi" w:hAnsiTheme="majorHAnsi" w:cstheme="majorHAnsi"/>
          <w:sz w:val="22"/>
          <w:szCs w:val="22"/>
        </w:rPr>
      </w:pPr>
    </w:p>
    <w:p w14:paraId="5F939BB6"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In your view, how will EU commodity derivatives markets be impacted by the UK leaving the EU? What consequences do you expect from Brexit on the commodity derivatives regime under MiFID II? </w:t>
      </w:r>
    </w:p>
    <w:p w14:paraId="1FC91325" w14:textId="14D3FD53" w:rsidR="00772B8C" w:rsidRDefault="00AB6157" w:rsidP="00772B8C">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lastRenderedPageBreak/>
        <w:t>&lt;ESMA_QUESTION_PLPM_11</w:t>
      </w:r>
      <w:r w:rsidR="00772B8C">
        <w:rPr>
          <w:rFonts w:asciiTheme="majorHAnsi" w:hAnsiTheme="majorHAnsi" w:cstheme="majorHAnsi"/>
          <w:sz w:val="22"/>
          <w:szCs w:val="22"/>
        </w:rPr>
        <w:t>&gt;</w:t>
      </w:r>
    </w:p>
    <w:p w14:paraId="08AF09D8" w14:textId="77777777" w:rsidR="00772B8C" w:rsidRDefault="000874F1" w:rsidP="00273EEE">
      <w:pPr>
        <w:spacing w:line="276" w:lineRule="auto"/>
        <w:jc w:val="both"/>
        <w:rPr>
          <w:rFonts w:ascii="Arial" w:hAnsi="Arial" w:cs="Arial"/>
          <w:sz w:val="22"/>
          <w:szCs w:val="22"/>
        </w:rPr>
      </w:pPr>
      <w:permStart w:id="1557989118" w:edGrp="everyone"/>
      <w:r w:rsidRPr="00772B8C">
        <w:rPr>
          <w:rFonts w:ascii="Arial" w:hAnsi="Arial" w:cs="Arial"/>
          <w:sz w:val="22"/>
          <w:szCs w:val="22"/>
        </w:rPr>
        <w:t>TYPE YOUR TEXT HERE</w:t>
      </w:r>
    </w:p>
    <w:permEnd w:id="1557989118"/>
    <w:p w14:paraId="47685205" w14:textId="4C4EDE32"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&lt;ESMA_QUESTION_PLPM_11&gt;</w:t>
      </w:r>
    </w:p>
    <w:p w14:paraId="081F6755" w14:textId="77777777" w:rsidR="00AB6157" w:rsidRPr="00273EEE" w:rsidRDefault="00AB6157" w:rsidP="00273EEE">
      <w:pPr>
        <w:spacing w:line="276" w:lineRule="auto"/>
        <w:jc w:val="both"/>
        <w:rPr>
          <w:rFonts w:asciiTheme="majorHAnsi" w:hAnsiTheme="majorHAnsi" w:cstheme="majorHAnsi"/>
          <w:sz w:val="22"/>
          <w:szCs w:val="22"/>
        </w:rPr>
      </w:pPr>
    </w:p>
    <w:p w14:paraId="37CBCF5E"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Taking into consideration the intended purposes of position limits, do you consider that they deliver the same benefit across all commodity asset classes and across all types of commodity derivatives? Please explain.</w:t>
      </w:r>
    </w:p>
    <w:p w14:paraId="20DF186D" w14:textId="75AE28F5"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&lt;ESMA_QUESTION_PLPM_12&gt;</w:t>
      </w:r>
    </w:p>
    <w:p w14:paraId="6D97BF9F" w14:textId="71232949" w:rsidR="00A8791B" w:rsidRDefault="007448B5" w:rsidP="00273EEE">
      <w:pPr>
        <w:spacing w:line="276" w:lineRule="auto"/>
        <w:jc w:val="both"/>
        <w:rPr>
          <w:rFonts w:asciiTheme="majorHAnsi" w:eastAsia="Calibri" w:hAnsiTheme="majorHAnsi" w:cstheme="majorHAnsi"/>
          <w:sz w:val="22"/>
          <w:szCs w:val="22"/>
        </w:rPr>
      </w:pPr>
      <w:permStart w:id="164121818" w:edGrp="everyone"/>
      <w:r w:rsidRPr="00273EEE">
        <w:rPr>
          <w:rFonts w:asciiTheme="majorHAnsi" w:eastAsia="Calibri" w:hAnsiTheme="majorHAnsi" w:cstheme="majorHAnsi"/>
          <w:sz w:val="22"/>
          <w:szCs w:val="22"/>
        </w:rPr>
        <w:t>Referring</w:t>
      </w:r>
      <w:r w:rsidR="0011221C" w:rsidRPr="00273EEE">
        <w:rPr>
          <w:rFonts w:asciiTheme="majorHAnsi" w:eastAsia="Calibri" w:hAnsiTheme="majorHAnsi" w:cstheme="majorHAnsi"/>
          <w:sz w:val="22"/>
          <w:szCs w:val="22"/>
        </w:rPr>
        <w:t xml:space="preserve"> to our response</w:t>
      </w:r>
      <w:r w:rsidR="00C9235C">
        <w:rPr>
          <w:rFonts w:asciiTheme="majorHAnsi" w:eastAsia="Calibri" w:hAnsiTheme="majorHAnsi" w:cstheme="majorHAnsi"/>
          <w:sz w:val="22"/>
          <w:szCs w:val="22"/>
        </w:rPr>
        <w:t>s</w:t>
      </w:r>
      <w:r w:rsidR="0011221C" w:rsidRPr="00273EEE">
        <w:rPr>
          <w:rFonts w:asciiTheme="majorHAnsi" w:eastAsia="Calibri" w:hAnsiTheme="majorHAnsi" w:cstheme="majorHAnsi"/>
          <w:sz w:val="22"/>
          <w:szCs w:val="22"/>
        </w:rPr>
        <w:t xml:space="preserve"> to Q3 and Q4</w:t>
      </w:r>
      <w:r w:rsidR="00A619CE">
        <w:rPr>
          <w:rFonts w:asciiTheme="majorHAnsi" w:eastAsia="Calibri" w:hAnsiTheme="majorHAnsi" w:cstheme="majorHAnsi"/>
          <w:sz w:val="22"/>
          <w:szCs w:val="22"/>
        </w:rPr>
        <w:t xml:space="preserve">, Europex </w:t>
      </w:r>
      <w:r w:rsidR="0011221C" w:rsidRPr="00273EEE">
        <w:rPr>
          <w:rFonts w:asciiTheme="majorHAnsi" w:eastAsia="Calibri" w:hAnsiTheme="majorHAnsi" w:cstheme="majorHAnsi"/>
          <w:sz w:val="22"/>
          <w:szCs w:val="22"/>
        </w:rPr>
        <w:t>believe</w:t>
      </w:r>
      <w:r w:rsidR="00A619CE">
        <w:rPr>
          <w:rFonts w:asciiTheme="majorHAnsi" w:eastAsia="Calibri" w:hAnsiTheme="majorHAnsi" w:cstheme="majorHAnsi"/>
          <w:sz w:val="22"/>
          <w:szCs w:val="22"/>
        </w:rPr>
        <w:t>s</w:t>
      </w:r>
      <w:r w:rsidR="0011221C" w:rsidRPr="00273EEE">
        <w:rPr>
          <w:rFonts w:asciiTheme="majorHAnsi" w:eastAsia="Calibri" w:hAnsiTheme="majorHAnsi" w:cstheme="majorHAnsi"/>
          <w:sz w:val="22"/>
          <w:szCs w:val="22"/>
        </w:rPr>
        <w:t xml:space="preserve"> that </w:t>
      </w:r>
      <w:r w:rsidR="00C9235C">
        <w:rPr>
          <w:rFonts w:asciiTheme="majorHAnsi" w:eastAsia="Calibri" w:hAnsiTheme="majorHAnsi" w:cstheme="majorHAnsi"/>
          <w:sz w:val="22"/>
          <w:szCs w:val="22"/>
        </w:rPr>
        <w:t xml:space="preserve">there have been limited </w:t>
      </w:r>
      <w:r w:rsidR="0011221C" w:rsidRPr="00273EEE">
        <w:rPr>
          <w:rFonts w:asciiTheme="majorHAnsi" w:eastAsia="Calibri" w:hAnsiTheme="majorHAnsi" w:cstheme="majorHAnsi"/>
          <w:sz w:val="22"/>
          <w:szCs w:val="22"/>
        </w:rPr>
        <w:t xml:space="preserve">benefits of the EU </w:t>
      </w:r>
      <w:r w:rsidR="00AA00DB">
        <w:rPr>
          <w:rFonts w:asciiTheme="majorHAnsi" w:eastAsia="Calibri" w:hAnsiTheme="majorHAnsi" w:cstheme="majorHAnsi"/>
          <w:sz w:val="22"/>
          <w:szCs w:val="22"/>
        </w:rPr>
        <w:t>position limit regime</w:t>
      </w:r>
      <w:r w:rsidR="0011221C" w:rsidRPr="00273EEE">
        <w:rPr>
          <w:rFonts w:asciiTheme="majorHAnsi" w:eastAsia="Calibri" w:hAnsiTheme="majorHAnsi" w:cstheme="majorHAnsi"/>
          <w:sz w:val="22"/>
          <w:szCs w:val="22"/>
        </w:rPr>
        <w:t xml:space="preserve"> for gas and power markets. This is because the objectives of preventing market abuse and contributing to orderly pricing and orderly settlement are already achieved by</w:t>
      </w:r>
      <w:r w:rsidR="007A4437" w:rsidRPr="00273EEE">
        <w:rPr>
          <w:rFonts w:asciiTheme="majorHAnsi" w:eastAsia="Calibri" w:hAnsiTheme="majorHAnsi" w:cstheme="majorHAnsi"/>
          <w:sz w:val="22"/>
          <w:szCs w:val="22"/>
        </w:rPr>
        <w:t xml:space="preserve"> </w:t>
      </w:r>
      <w:r w:rsidR="0011221C" w:rsidRPr="00273EEE">
        <w:rPr>
          <w:rFonts w:asciiTheme="majorHAnsi" w:eastAsia="Calibri" w:hAnsiTheme="majorHAnsi" w:cstheme="majorHAnsi"/>
          <w:sz w:val="22"/>
          <w:szCs w:val="22"/>
        </w:rPr>
        <w:t>the exchanges</w:t>
      </w:r>
      <w:r w:rsidR="00C9235C">
        <w:rPr>
          <w:rFonts w:asciiTheme="majorHAnsi" w:eastAsia="Calibri" w:hAnsiTheme="majorHAnsi" w:cstheme="majorHAnsi"/>
          <w:sz w:val="22"/>
          <w:szCs w:val="22"/>
        </w:rPr>
        <w:t>’</w:t>
      </w:r>
      <w:r w:rsidR="0011221C" w:rsidRPr="00273EEE">
        <w:rPr>
          <w:rFonts w:asciiTheme="majorHAnsi" w:eastAsia="Calibri" w:hAnsiTheme="majorHAnsi" w:cstheme="majorHAnsi"/>
          <w:sz w:val="22"/>
          <w:szCs w:val="22"/>
        </w:rPr>
        <w:t xml:space="preserve"> pre-existing position management regime as well as </w:t>
      </w:r>
      <w:r w:rsidR="00C9235C">
        <w:rPr>
          <w:rFonts w:asciiTheme="majorHAnsi" w:eastAsia="Calibri" w:hAnsiTheme="majorHAnsi" w:cstheme="majorHAnsi"/>
          <w:sz w:val="22"/>
          <w:szCs w:val="22"/>
        </w:rPr>
        <w:t>their</w:t>
      </w:r>
      <w:r w:rsidR="00C9235C" w:rsidRPr="00273EEE">
        <w:rPr>
          <w:rFonts w:asciiTheme="majorHAnsi" w:eastAsia="Calibri" w:hAnsiTheme="majorHAnsi" w:cstheme="majorHAnsi"/>
          <w:sz w:val="22"/>
          <w:szCs w:val="22"/>
        </w:rPr>
        <w:t xml:space="preserve"> </w:t>
      </w:r>
      <w:r w:rsidR="0011221C" w:rsidRPr="00273EEE">
        <w:rPr>
          <w:rFonts w:asciiTheme="majorHAnsi" w:eastAsia="Calibri" w:hAnsiTheme="majorHAnsi" w:cstheme="majorHAnsi"/>
          <w:sz w:val="22"/>
          <w:szCs w:val="22"/>
        </w:rPr>
        <w:t>market oversight systems (including compliance, supervision and surveillance</w:t>
      </w:r>
      <w:r w:rsidR="00B34CAB" w:rsidRPr="00273EEE">
        <w:rPr>
          <w:rFonts w:asciiTheme="majorHAnsi" w:eastAsia="Calibri" w:hAnsiTheme="majorHAnsi" w:cstheme="majorHAnsi"/>
          <w:sz w:val="22"/>
          <w:szCs w:val="22"/>
        </w:rPr>
        <w:t>)</w:t>
      </w:r>
      <w:r w:rsidR="0011221C" w:rsidRPr="00273EEE">
        <w:rPr>
          <w:rFonts w:asciiTheme="majorHAnsi" w:eastAsia="Calibri" w:hAnsiTheme="majorHAnsi" w:cstheme="majorHAnsi"/>
          <w:sz w:val="22"/>
          <w:szCs w:val="22"/>
        </w:rPr>
        <w:t xml:space="preserve"> that are performed in accordance with REMIT and MAR</w:t>
      </w:r>
      <w:r w:rsidR="001650F3" w:rsidRPr="00273EEE">
        <w:rPr>
          <w:rFonts w:asciiTheme="majorHAnsi" w:eastAsia="Calibri" w:hAnsiTheme="majorHAnsi" w:cstheme="majorHAnsi"/>
          <w:sz w:val="22"/>
          <w:szCs w:val="22"/>
        </w:rPr>
        <w:t>.</w:t>
      </w:r>
    </w:p>
    <w:permEnd w:id="164121818"/>
    <w:p w14:paraId="2D0E2D2D" w14:textId="405DE7F0"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&lt;ESMA_QUESTION_PLPM_12&gt;</w:t>
      </w:r>
    </w:p>
    <w:p w14:paraId="13E7E101" w14:textId="77777777" w:rsidR="00AB6157" w:rsidRPr="00273EEE" w:rsidRDefault="00AB6157" w:rsidP="00273EEE">
      <w:pPr>
        <w:spacing w:line="276" w:lineRule="auto"/>
        <w:jc w:val="both"/>
        <w:rPr>
          <w:rFonts w:asciiTheme="majorHAnsi" w:hAnsiTheme="majorHAnsi" w:cstheme="majorHAnsi"/>
          <w:sz w:val="22"/>
          <w:szCs w:val="22"/>
        </w:rPr>
      </w:pPr>
    </w:p>
    <w:p w14:paraId="41AFAC0B"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Would you see benefits in limiting the application of position limits to a more limited set of commodity derivatives? If so, to which ones and on which criteria? </w:t>
      </w:r>
    </w:p>
    <w:p w14:paraId="0B68032E" w14:textId="52EA122B"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&lt;ESMA_QUESTION_PLPM_13&gt;</w:t>
      </w:r>
    </w:p>
    <w:p w14:paraId="304EC5BE" w14:textId="5FAED2CF" w:rsidR="00183585" w:rsidRPr="00273EEE" w:rsidRDefault="00FC633A" w:rsidP="00273EEE">
      <w:pPr>
        <w:pStyle w:val="CommentText"/>
        <w:spacing w:line="276" w:lineRule="auto"/>
        <w:jc w:val="both"/>
        <w:rPr>
          <w:rFonts w:asciiTheme="majorHAnsi" w:hAnsiTheme="majorHAnsi" w:cstheme="majorHAnsi"/>
          <w:sz w:val="22"/>
          <w:szCs w:val="22"/>
        </w:rPr>
      </w:pPr>
      <w:permStart w:id="1070031646" w:edGrp="everyone"/>
      <w:r w:rsidRPr="00273EEE">
        <w:rPr>
          <w:rFonts w:asciiTheme="majorHAnsi" w:eastAsia="Calibri" w:hAnsiTheme="majorHAnsi" w:cstheme="majorHAnsi"/>
          <w:sz w:val="22"/>
          <w:szCs w:val="22"/>
          <w:lang w:eastAsia="en-US"/>
        </w:rPr>
        <w:t>Yes.</w:t>
      </w:r>
      <w:r w:rsidR="00E2593C">
        <w:rPr>
          <w:rFonts w:asciiTheme="majorHAnsi" w:eastAsia="Calibri" w:hAnsiTheme="majorHAnsi" w:cstheme="majorHAnsi"/>
          <w:sz w:val="22"/>
          <w:szCs w:val="22"/>
          <w:lang w:eastAsia="en-US"/>
        </w:rPr>
        <w:t xml:space="preserve"> </w:t>
      </w:r>
      <w:r w:rsidR="00273EEE" w:rsidRPr="00273EEE">
        <w:rPr>
          <w:rFonts w:asciiTheme="majorHAnsi" w:eastAsia="Calibri" w:hAnsiTheme="majorHAnsi" w:cstheme="majorHAnsi"/>
          <w:sz w:val="22"/>
          <w:szCs w:val="22"/>
          <w:lang w:eastAsia="en-US"/>
        </w:rPr>
        <w:t xml:space="preserve">Please see our response to Q5. </w:t>
      </w:r>
      <w:r w:rsidR="0011221C" w:rsidRPr="00273EEE">
        <w:rPr>
          <w:rFonts w:asciiTheme="majorHAnsi" w:eastAsia="Calibri" w:hAnsiTheme="majorHAnsi" w:cstheme="majorHAnsi"/>
          <w:sz w:val="22"/>
          <w:szCs w:val="22"/>
          <w:lang w:eastAsia="en-US"/>
        </w:rPr>
        <w:t xml:space="preserve">Europex has </w:t>
      </w:r>
      <w:r w:rsidR="00236A99">
        <w:rPr>
          <w:rFonts w:asciiTheme="majorHAnsi" w:eastAsia="Calibri" w:hAnsiTheme="majorHAnsi" w:cstheme="majorHAnsi"/>
          <w:sz w:val="22"/>
          <w:szCs w:val="22"/>
          <w:lang w:eastAsia="en-US"/>
        </w:rPr>
        <w:t>always supported the</w:t>
      </w:r>
      <w:r w:rsidR="0011221C" w:rsidRPr="00273EEE">
        <w:rPr>
          <w:rFonts w:asciiTheme="majorHAnsi" w:eastAsia="Calibri" w:hAnsiTheme="majorHAnsi" w:cstheme="majorHAnsi"/>
          <w:sz w:val="22"/>
          <w:szCs w:val="22"/>
          <w:lang w:eastAsia="en-US"/>
        </w:rPr>
        <w:t xml:space="preserve"> view that a proportionate and efficient </w:t>
      </w:r>
      <w:r w:rsidR="00AA00DB">
        <w:rPr>
          <w:rFonts w:asciiTheme="majorHAnsi" w:eastAsia="Calibri" w:hAnsiTheme="majorHAnsi" w:cstheme="majorHAnsi"/>
          <w:sz w:val="22"/>
          <w:szCs w:val="22"/>
          <w:lang w:eastAsia="en-US"/>
        </w:rPr>
        <w:t>position limit regime</w:t>
      </w:r>
      <w:r w:rsidR="0011221C" w:rsidRPr="00273EEE">
        <w:rPr>
          <w:rFonts w:asciiTheme="majorHAnsi" w:eastAsia="Calibri" w:hAnsiTheme="majorHAnsi" w:cstheme="majorHAnsi"/>
          <w:sz w:val="22"/>
          <w:szCs w:val="22"/>
          <w:lang w:eastAsia="en-US"/>
        </w:rPr>
        <w:t xml:space="preserve"> should </w:t>
      </w:r>
      <w:r w:rsidR="00236A99">
        <w:rPr>
          <w:rFonts w:asciiTheme="majorHAnsi" w:eastAsia="Calibri" w:hAnsiTheme="majorHAnsi" w:cstheme="majorHAnsi"/>
          <w:sz w:val="22"/>
          <w:szCs w:val="22"/>
          <w:lang w:eastAsia="en-US"/>
        </w:rPr>
        <w:t>focus</w:t>
      </w:r>
      <w:r w:rsidR="00236A99" w:rsidRPr="00273EEE">
        <w:rPr>
          <w:rFonts w:asciiTheme="majorHAnsi" w:eastAsia="Calibri" w:hAnsiTheme="majorHAnsi" w:cstheme="majorHAnsi"/>
          <w:sz w:val="22"/>
          <w:szCs w:val="22"/>
          <w:lang w:eastAsia="en-US"/>
        </w:rPr>
        <w:t xml:space="preserve"> </w:t>
      </w:r>
      <w:r w:rsidR="0011221C" w:rsidRPr="00273EEE">
        <w:rPr>
          <w:rFonts w:asciiTheme="majorHAnsi" w:eastAsia="Calibri" w:hAnsiTheme="majorHAnsi" w:cstheme="majorHAnsi"/>
          <w:sz w:val="22"/>
          <w:szCs w:val="22"/>
          <w:lang w:eastAsia="en-US"/>
        </w:rPr>
        <w:t xml:space="preserve">on a limited number of benchmark contracts </w:t>
      </w:r>
      <w:r w:rsidRPr="00273EEE">
        <w:rPr>
          <w:rFonts w:asciiTheme="majorHAnsi" w:eastAsia="Calibri" w:hAnsiTheme="majorHAnsi" w:cstheme="majorHAnsi"/>
          <w:sz w:val="22"/>
          <w:szCs w:val="22"/>
          <w:lang w:eastAsia="en-US"/>
        </w:rPr>
        <w:t xml:space="preserve">which are crucial to </w:t>
      </w:r>
      <w:r w:rsidR="00B3059D" w:rsidRPr="00273EEE">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orderly functioning of the</w:t>
      </w:r>
      <w:r w:rsidR="00183585" w:rsidRPr="00273EEE">
        <w:rPr>
          <w:rFonts w:asciiTheme="majorHAnsi" w:eastAsia="Calibri" w:hAnsiTheme="majorHAnsi" w:cstheme="majorHAnsi"/>
          <w:sz w:val="22"/>
          <w:szCs w:val="22"/>
          <w:lang w:eastAsia="en-US"/>
        </w:rPr>
        <w:t>ir respective commodity markets</w:t>
      </w:r>
      <w:r w:rsidRPr="00273EEE">
        <w:rPr>
          <w:rFonts w:asciiTheme="majorHAnsi" w:eastAsia="Calibri" w:hAnsiTheme="majorHAnsi" w:cstheme="majorHAnsi"/>
          <w:sz w:val="22"/>
          <w:szCs w:val="22"/>
          <w:lang w:eastAsia="en-US"/>
        </w:rPr>
        <w:t xml:space="preserve">. This is because price formation mainly occurs in such benchmark products. Other commodity derivatives contracts follow </w:t>
      </w:r>
      <w:r w:rsidR="004827DC" w:rsidRPr="00273EEE">
        <w:rPr>
          <w:rFonts w:asciiTheme="majorHAnsi" w:eastAsia="Calibri" w:hAnsiTheme="majorHAnsi" w:cstheme="majorHAnsi"/>
          <w:sz w:val="22"/>
          <w:szCs w:val="22"/>
          <w:lang w:eastAsia="en-US"/>
        </w:rPr>
        <w:t xml:space="preserve">the </w:t>
      </w:r>
      <w:r w:rsidRPr="00273EEE">
        <w:rPr>
          <w:rFonts w:asciiTheme="majorHAnsi" w:eastAsia="Calibri" w:hAnsiTheme="majorHAnsi" w:cstheme="majorHAnsi"/>
          <w:sz w:val="22"/>
          <w:szCs w:val="22"/>
          <w:lang w:eastAsia="en-US"/>
        </w:rPr>
        <w:t>benchmark</w:t>
      </w:r>
      <w:r w:rsidR="004827DC" w:rsidRPr="00273EEE">
        <w:rPr>
          <w:rFonts w:asciiTheme="majorHAnsi" w:eastAsia="Calibri" w:hAnsiTheme="majorHAnsi" w:cstheme="majorHAnsi"/>
          <w:sz w:val="22"/>
          <w:szCs w:val="22"/>
          <w:lang w:eastAsia="en-US"/>
        </w:rPr>
        <w:t xml:space="preserve"> contracts</w:t>
      </w:r>
      <w:r w:rsidRPr="00273EEE">
        <w:rPr>
          <w:rFonts w:asciiTheme="majorHAnsi" w:eastAsia="Calibri" w:hAnsiTheme="majorHAnsi" w:cstheme="majorHAnsi"/>
          <w:sz w:val="22"/>
          <w:szCs w:val="22"/>
          <w:lang w:eastAsia="en-US"/>
        </w:rPr>
        <w:t xml:space="preserve"> in terms of price formation and thus should not be subject to limits.</w:t>
      </w:r>
      <w:r w:rsidR="00B3059D" w:rsidRPr="00273EEE">
        <w:rPr>
          <w:rFonts w:asciiTheme="majorHAnsi" w:eastAsia="Calibri" w:hAnsiTheme="majorHAnsi" w:cstheme="majorHAnsi"/>
          <w:sz w:val="22"/>
          <w:szCs w:val="22"/>
          <w:lang w:eastAsia="en-US"/>
        </w:rPr>
        <w:t xml:space="preserve"> </w:t>
      </w:r>
      <w:r w:rsidR="00901E4B" w:rsidRPr="00273EEE">
        <w:rPr>
          <w:rFonts w:asciiTheme="majorHAnsi" w:eastAsia="Calibri" w:hAnsiTheme="majorHAnsi" w:cstheme="majorHAnsi"/>
          <w:sz w:val="22"/>
          <w:szCs w:val="22"/>
          <w:lang w:eastAsia="en-US"/>
        </w:rPr>
        <w:t>Also, many of the basis markets trade as spreads to the benchmark contract. In such cases, position limit</w:t>
      </w:r>
      <w:r w:rsidR="00215A1F">
        <w:rPr>
          <w:rFonts w:asciiTheme="majorHAnsi" w:eastAsia="Calibri" w:hAnsiTheme="majorHAnsi" w:cstheme="majorHAnsi"/>
          <w:sz w:val="22"/>
          <w:szCs w:val="22"/>
          <w:lang w:eastAsia="en-US"/>
        </w:rPr>
        <w:t>s</w:t>
      </w:r>
      <w:r w:rsidR="00901E4B" w:rsidRPr="00273EEE">
        <w:rPr>
          <w:rFonts w:asciiTheme="majorHAnsi" w:eastAsia="Calibri" w:hAnsiTheme="majorHAnsi" w:cstheme="majorHAnsi"/>
          <w:sz w:val="22"/>
          <w:szCs w:val="22"/>
          <w:lang w:eastAsia="en-US"/>
        </w:rPr>
        <w:t xml:space="preserve"> for basis markets potentially restrict the usage of spread strategies as market participants can only execute the benchmark leg without breaching </w:t>
      </w:r>
      <w:r w:rsidR="00215A1F">
        <w:rPr>
          <w:rFonts w:asciiTheme="majorHAnsi" w:eastAsia="Calibri" w:hAnsiTheme="majorHAnsi" w:cstheme="majorHAnsi"/>
          <w:sz w:val="22"/>
          <w:szCs w:val="22"/>
          <w:lang w:eastAsia="en-US"/>
        </w:rPr>
        <w:t>the limits</w:t>
      </w:r>
      <w:r w:rsidR="00901E4B" w:rsidRPr="00273EEE">
        <w:rPr>
          <w:rFonts w:asciiTheme="majorHAnsi" w:eastAsia="Calibri" w:hAnsiTheme="majorHAnsi" w:cstheme="majorHAnsi"/>
          <w:sz w:val="22"/>
          <w:szCs w:val="22"/>
          <w:lang w:eastAsia="en-US"/>
        </w:rPr>
        <w:t>.</w:t>
      </w:r>
    </w:p>
    <w:p w14:paraId="5904CF2E" w14:textId="77777777" w:rsidR="00183585" w:rsidRPr="00273EEE" w:rsidRDefault="00183585" w:rsidP="00273EEE">
      <w:pPr>
        <w:spacing w:line="276" w:lineRule="auto"/>
        <w:jc w:val="both"/>
        <w:rPr>
          <w:rFonts w:asciiTheme="majorHAnsi" w:eastAsia="Calibri" w:hAnsiTheme="majorHAnsi" w:cstheme="majorHAnsi"/>
          <w:sz w:val="22"/>
          <w:szCs w:val="22"/>
          <w:lang w:eastAsia="en-US"/>
        </w:rPr>
      </w:pPr>
    </w:p>
    <w:p w14:paraId="288D0AA7" w14:textId="0AC1FAFA" w:rsidR="00A348A8" w:rsidRPr="00273EEE" w:rsidRDefault="00183585" w:rsidP="00555AE8">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At the same time, it is important to emphasi</w:t>
      </w:r>
      <w:r w:rsidR="00C63162">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e that </w:t>
      </w:r>
      <w:r w:rsidR="00215A1F">
        <w:rPr>
          <w:rFonts w:asciiTheme="majorHAnsi" w:eastAsia="Calibri" w:hAnsiTheme="majorHAnsi" w:cstheme="majorHAnsi"/>
          <w:sz w:val="22"/>
          <w:szCs w:val="22"/>
          <w:lang w:eastAsia="en-US"/>
        </w:rPr>
        <w:t>energy e</w:t>
      </w:r>
      <w:r w:rsidRPr="00273EEE">
        <w:rPr>
          <w:rFonts w:asciiTheme="majorHAnsi" w:eastAsia="Calibri" w:hAnsiTheme="majorHAnsi" w:cstheme="majorHAnsi"/>
          <w:sz w:val="22"/>
          <w:szCs w:val="22"/>
          <w:lang w:eastAsia="en-US"/>
        </w:rPr>
        <w:t>xchanges already have sophisticated systems and controls in place to achieve the policy objectives of MiFID II, i.e. ensuring orderly pricing and settlement and preventing market abuse.</w:t>
      </w:r>
    </w:p>
    <w:p w14:paraId="45DE7492" w14:textId="77777777" w:rsidR="00747D2D" w:rsidRPr="00273EEE" w:rsidRDefault="00747D2D" w:rsidP="00555AE8">
      <w:pPr>
        <w:spacing w:line="276" w:lineRule="auto"/>
        <w:jc w:val="both"/>
        <w:rPr>
          <w:rFonts w:asciiTheme="majorHAnsi" w:eastAsia="Calibri" w:hAnsiTheme="majorHAnsi" w:cstheme="majorHAnsi"/>
          <w:sz w:val="22"/>
          <w:szCs w:val="22"/>
          <w:lang w:eastAsia="en-US"/>
        </w:rPr>
      </w:pPr>
    </w:p>
    <w:p w14:paraId="32E78573" w14:textId="7E105BDB" w:rsidR="00555AE8" w:rsidRPr="00CE18A0" w:rsidRDefault="00555AE8" w:rsidP="00CE18A0">
      <w:pPr>
        <w:pStyle w:val="NoSpacing"/>
        <w:spacing w:line="276" w:lineRule="auto"/>
        <w:jc w:val="both"/>
        <w:rPr>
          <w:rFonts w:asciiTheme="majorHAnsi" w:eastAsia="Times New Roman" w:hAnsiTheme="majorHAnsi" w:cstheme="majorHAnsi"/>
          <w:sz w:val="22"/>
          <w:szCs w:val="22"/>
        </w:rPr>
      </w:pPr>
      <w:r w:rsidRPr="00AD60ED">
        <w:rPr>
          <w:rFonts w:asciiTheme="majorHAnsi" w:eastAsia="Times New Roman" w:hAnsiTheme="majorHAnsi" w:cstheme="majorHAnsi"/>
          <w:sz w:val="22"/>
          <w:szCs w:val="22"/>
          <w:highlight w:val="yellow"/>
          <w:lang w:eastAsia="en-GB"/>
        </w:rPr>
        <w:t xml:space="preserve">Europex further commits to making an assessment of the key criteria to be taken into account when determining that a contract should be classified as a benchmark contract to be in scope of the MiFID II position limit regime, in the </w:t>
      </w:r>
      <w:r>
        <w:rPr>
          <w:rFonts w:asciiTheme="majorHAnsi" w:eastAsia="Times New Roman" w:hAnsiTheme="majorHAnsi" w:cstheme="majorHAnsi"/>
          <w:sz w:val="22"/>
          <w:szCs w:val="22"/>
          <w:highlight w:val="yellow"/>
          <w:lang w:eastAsia="en-GB"/>
        </w:rPr>
        <w:t>second half</w:t>
      </w:r>
      <w:r w:rsidRPr="00AD60ED">
        <w:rPr>
          <w:rFonts w:asciiTheme="majorHAnsi" w:eastAsia="Times New Roman" w:hAnsiTheme="majorHAnsi" w:cstheme="majorHAnsi"/>
          <w:sz w:val="22"/>
          <w:szCs w:val="22"/>
          <w:highlight w:val="yellow"/>
          <w:lang w:eastAsia="en-GB"/>
        </w:rPr>
        <w:t xml:space="preserve"> of this year</w:t>
      </w:r>
      <w:r>
        <w:rPr>
          <w:rFonts w:asciiTheme="majorHAnsi" w:eastAsia="Times New Roman" w:hAnsiTheme="majorHAnsi" w:cstheme="majorHAnsi"/>
          <w:sz w:val="22"/>
          <w:szCs w:val="22"/>
          <w:lang w:eastAsia="en-GB"/>
        </w:rPr>
        <w:t>.</w:t>
      </w:r>
    </w:p>
    <w:permEnd w:id="1070031646"/>
    <w:p w14:paraId="41B80F48" w14:textId="77777777" w:rsidR="00AB6157" w:rsidRPr="00273EEE" w:rsidRDefault="00AB6157" w:rsidP="00CE18A0">
      <w:pPr>
        <w:pStyle w:val="NoSpacing"/>
        <w:jc w:val="both"/>
        <w:rPr>
          <w:rFonts w:asciiTheme="majorHAnsi" w:hAnsiTheme="majorHAnsi" w:cstheme="majorHAnsi"/>
          <w:sz w:val="22"/>
          <w:szCs w:val="22"/>
        </w:rPr>
      </w:pPr>
      <w:r w:rsidRPr="00273EEE">
        <w:rPr>
          <w:rFonts w:asciiTheme="majorHAnsi" w:hAnsiTheme="majorHAnsi" w:cstheme="majorHAnsi"/>
          <w:sz w:val="22"/>
          <w:szCs w:val="22"/>
        </w:rPr>
        <w:t>&lt;ESMA_QUESTION_PLPM_13&gt;</w:t>
      </w:r>
    </w:p>
    <w:p w14:paraId="4D2F126D" w14:textId="77777777" w:rsidR="00AB6157" w:rsidRPr="00273EEE" w:rsidRDefault="00AB6157" w:rsidP="00273EEE">
      <w:pPr>
        <w:spacing w:line="276" w:lineRule="auto"/>
        <w:jc w:val="both"/>
        <w:rPr>
          <w:rFonts w:asciiTheme="majorHAnsi" w:hAnsiTheme="majorHAnsi" w:cstheme="majorHAnsi"/>
          <w:sz w:val="22"/>
          <w:szCs w:val="22"/>
        </w:rPr>
      </w:pPr>
    </w:p>
    <w:p w14:paraId="21E2C534"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More specifically, are you facing any issue with the application of position limits to securitised derivatives? If so, please elaborate. </w:t>
      </w:r>
    </w:p>
    <w:p w14:paraId="13B41B0F" w14:textId="5F643B99"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&lt;ESMA_QUESTION_PLPM_14&gt;</w:t>
      </w:r>
    </w:p>
    <w:p w14:paraId="0B8DF106" w14:textId="77777777" w:rsidR="000874F1" w:rsidRPr="003940E8" w:rsidRDefault="000874F1" w:rsidP="000874F1">
      <w:pPr>
        <w:rPr>
          <w:rFonts w:ascii="Arial" w:hAnsi="Arial" w:cs="Arial"/>
          <w:sz w:val="22"/>
          <w:szCs w:val="22"/>
        </w:rPr>
      </w:pPr>
      <w:permStart w:id="763035898" w:edGrp="everyone"/>
      <w:r w:rsidRPr="003940E8">
        <w:rPr>
          <w:rFonts w:ascii="Arial" w:hAnsi="Arial" w:cs="Arial"/>
          <w:sz w:val="22"/>
          <w:szCs w:val="22"/>
        </w:rPr>
        <w:t>TYPE YOUR TEXT HERE</w:t>
      </w:r>
    </w:p>
    <w:permEnd w:id="763035898"/>
    <w:p w14:paraId="3D978A9F" w14:textId="31398B2F"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&lt;ESMA_QUESTION_PLPM_14&gt;</w:t>
      </w:r>
    </w:p>
    <w:p w14:paraId="79ADD824" w14:textId="77777777" w:rsidR="00AB6157" w:rsidRPr="00273EEE" w:rsidRDefault="00AB6157" w:rsidP="00273EEE">
      <w:pPr>
        <w:spacing w:line="276" w:lineRule="auto"/>
        <w:jc w:val="both"/>
        <w:rPr>
          <w:rFonts w:asciiTheme="majorHAnsi" w:hAnsiTheme="majorHAnsi" w:cstheme="majorHAnsi"/>
          <w:sz w:val="22"/>
          <w:szCs w:val="22"/>
        </w:rPr>
      </w:pPr>
    </w:p>
    <w:p w14:paraId="1D49C9E0"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lastRenderedPageBreak/>
        <w:t>: Do you consider that there would be merits in reviewing the definition of EEOTC contracts? If so, please explain the changes you would suggest.</w:t>
      </w:r>
    </w:p>
    <w:p w14:paraId="32D26653"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&lt;ESMA_QUESTION_PLPM_15&gt;</w:t>
      </w:r>
    </w:p>
    <w:p w14:paraId="4CAC50B9" w14:textId="23FD1DFB" w:rsidR="00AB6157" w:rsidRPr="00273EEE" w:rsidRDefault="00A2340F" w:rsidP="00273EEE">
      <w:pPr>
        <w:spacing w:line="276" w:lineRule="auto"/>
        <w:jc w:val="both"/>
        <w:rPr>
          <w:rFonts w:asciiTheme="majorHAnsi" w:eastAsia="Calibri" w:hAnsiTheme="majorHAnsi" w:cstheme="majorHAnsi"/>
          <w:sz w:val="22"/>
          <w:szCs w:val="22"/>
          <w:lang w:eastAsia="en-US"/>
        </w:rPr>
      </w:pPr>
      <w:permStart w:id="1846563751" w:edGrp="everyone"/>
      <w:r w:rsidRPr="00273EEE">
        <w:rPr>
          <w:rFonts w:asciiTheme="majorHAnsi" w:eastAsia="Calibri" w:hAnsiTheme="majorHAnsi" w:cstheme="majorHAnsi"/>
          <w:sz w:val="22"/>
          <w:szCs w:val="22"/>
          <w:lang w:eastAsia="en-US"/>
        </w:rPr>
        <w:t>Europex</w:t>
      </w:r>
      <w:r w:rsidR="001650F3" w:rsidRPr="00273EEE">
        <w:rPr>
          <w:rFonts w:asciiTheme="majorHAnsi" w:eastAsia="Calibri" w:hAnsiTheme="majorHAnsi" w:cstheme="majorHAnsi"/>
          <w:sz w:val="22"/>
          <w:szCs w:val="22"/>
          <w:lang w:eastAsia="en-US"/>
        </w:rPr>
        <w:t xml:space="preserve"> is of the view that there are no grounds for </w:t>
      </w:r>
      <w:r w:rsidR="00B64B6B">
        <w:rPr>
          <w:rFonts w:asciiTheme="majorHAnsi" w:eastAsia="Calibri" w:hAnsiTheme="majorHAnsi" w:cstheme="majorHAnsi"/>
          <w:sz w:val="22"/>
          <w:szCs w:val="22"/>
          <w:lang w:eastAsia="en-US"/>
        </w:rPr>
        <w:t xml:space="preserve">a </w:t>
      </w:r>
      <w:r w:rsidR="001650F3" w:rsidRPr="00273EEE">
        <w:rPr>
          <w:rFonts w:asciiTheme="majorHAnsi" w:eastAsia="Calibri" w:hAnsiTheme="majorHAnsi" w:cstheme="majorHAnsi"/>
          <w:sz w:val="22"/>
          <w:szCs w:val="22"/>
          <w:lang w:eastAsia="en-US"/>
        </w:rPr>
        <w:t xml:space="preserve">review of the EEOTC contracts definition. The Exchanges </w:t>
      </w:r>
      <w:r w:rsidR="00B64B6B">
        <w:rPr>
          <w:rFonts w:asciiTheme="majorHAnsi" w:eastAsia="Calibri" w:hAnsiTheme="majorHAnsi" w:cstheme="majorHAnsi"/>
          <w:sz w:val="22"/>
          <w:szCs w:val="22"/>
          <w:lang w:eastAsia="en-US"/>
        </w:rPr>
        <w:t>consider</w:t>
      </w:r>
      <w:r w:rsidR="00B64B6B" w:rsidRPr="00273EEE">
        <w:rPr>
          <w:rFonts w:asciiTheme="majorHAnsi" w:eastAsia="Calibri" w:hAnsiTheme="majorHAnsi" w:cstheme="majorHAnsi"/>
          <w:sz w:val="22"/>
          <w:szCs w:val="22"/>
          <w:lang w:eastAsia="en-US"/>
        </w:rPr>
        <w:t xml:space="preserve"> </w:t>
      </w:r>
      <w:r w:rsidR="001650F3" w:rsidRPr="00273EEE">
        <w:rPr>
          <w:rFonts w:asciiTheme="majorHAnsi" w:eastAsia="Calibri" w:hAnsiTheme="majorHAnsi" w:cstheme="majorHAnsi"/>
          <w:sz w:val="22"/>
          <w:szCs w:val="22"/>
          <w:lang w:eastAsia="en-US"/>
        </w:rPr>
        <w:t xml:space="preserve">that the key objectives of introducing </w:t>
      </w:r>
      <w:r w:rsidR="00B64B6B">
        <w:rPr>
          <w:rFonts w:asciiTheme="majorHAnsi" w:eastAsia="Calibri" w:hAnsiTheme="majorHAnsi" w:cstheme="majorHAnsi"/>
          <w:sz w:val="22"/>
          <w:szCs w:val="22"/>
          <w:lang w:eastAsia="en-US"/>
        </w:rPr>
        <w:t>this</w:t>
      </w:r>
      <w:r w:rsidR="00B64B6B" w:rsidRPr="00273EEE">
        <w:rPr>
          <w:rFonts w:asciiTheme="majorHAnsi" w:eastAsia="Calibri" w:hAnsiTheme="majorHAnsi" w:cstheme="majorHAnsi"/>
          <w:sz w:val="22"/>
          <w:szCs w:val="22"/>
          <w:lang w:eastAsia="en-US"/>
        </w:rPr>
        <w:t xml:space="preserve"> </w:t>
      </w:r>
      <w:r w:rsidR="001650F3" w:rsidRPr="00273EEE">
        <w:rPr>
          <w:rFonts w:asciiTheme="majorHAnsi" w:eastAsia="Calibri" w:hAnsiTheme="majorHAnsi" w:cstheme="majorHAnsi"/>
          <w:sz w:val="22"/>
          <w:szCs w:val="22"/>
          <w:lang w:eastAsia="en-US"/>
        </w:rPr>
        <w:t>concept into MiFID II have been</w:t>
      </w:r>
      <w:r w:rsidR="00B64B6B">
        <w:rPr>
          <w:rFonts w:asciiTheme="majorHAnsi" w:eastAsia="Calibri" w:hAnsiTheme="majorHAnsi" w:cstheme="majorHAnsi"/>
          <w:sz w:val="22"/>
          <w:szCs w:val="22"/>
          <w:lang w:eastAsia="en-US"/>
        </w:rPr>
        <w:t xml:space="preserve"> the following</w:t>
      </w:r>
      <w:r w:rsidR="001650F3" w:rsidRPr="00273EEE">
        <w:rPr>
          <w:rFonts w:asciiTheme="majorHAnsi" w:eastAsia="Calibri" w:hAnsiTheme="majorHAnsi" w:cstheme="majorHAnsi"/>
          <w:sz w:val="22"/>
          <w:szCs w:val="22"/>
          <w:lang w:eastAsia="en-US"/>
        </w:rPr>
        <w:t xml:space="preserve">: (i) to prevent </w:t>
      </w:r>
      <w:r w:rsidR="00B64B6B">
        <w:rPr>
          <w:rFonts w:asciiTheme="majorHAnsi" w:eastAsia="Calibri" w:hAnsiTheme="majorHAnsi" w:cstheme="majorHAnsi"/>
          <w:sz w:val="22"/>
          <w:szCs w:val="22"/>
          <w:lang w:eastAsia="en-US"/>
        </w:rPr>
        <w:t xml:space="preserve">a </w:t>
      </w:r>
      <w:r w:rsidR="001650F3" w:rsidRPr="00273EEE">
        <w:rPr>
          <w:rFonts w:asciiTheme="majorHAnsi" w:eastAsia="Calibri" w:hAnsiTheme="majorHAnsi" w:cstheme="majorHAnsi"/>
          <w:sz w:val="22"/>
          <w:szCs w:val="22"/>
          <w:lang w:eastAsia="en-US"/>
        </w:rPr>
        <w:t xml:space="preserve">circumvention of </w:t>
      </w:r>
      <w:r w:rsidR="00B64B6B">
        <w:rPr>
          <w:rFonts w:asciiTheme="majorHAnsi" w:eastAsia="Calibri" w:hAnsiTheme="majorHAnsi" w:cstheme="majorHAnsi"/>
          <w:sz w:val="22"/>
          <w:szCs w:val="22"/>
          <w:lang w:eastAsia="en-US"/>
        </w:rPr>
        <w:t>the</w:t>
      </w:r>
      <w:r w:rsidR="001650F3" w:rsidRPr="00273EEE">
        <w:rPr>
          <w:rFonts w:asciiTheme="majorHAnsi" w:eastAsia="Calibri" w:hAnsiTheme="majorHAnsi" w:cstheme="majorHAnsi"/>
          <w:sz w:val="22"/>
          <w:szCs w:val="22"/>
          <w:lang w:eastAsia="en-US"/>
        </w:rPr>
        <w:t xml:space="preserve"> provisions by trading equivalent contracts in the OTC market, (ii) to allow for netting of equivalent contracts traded on venues and in the OTC markets. Both objectives have been achieved with the current definition. </w:t>
      </w:r>
    </w:p>
    <w:p w14:paraId="7B660EBE" w14:textId="77777777" w:rsidR="0011221C" w:rsidRPr="00273EEE" w:rsidRDefault="0011221C" w:rsidP="00273EEE">
      <w:pPr>
        <w:spacing w:line="276" w:lineRule="auto"/>
        <w:jc w:val="both"/>
        <w:rPr>
          <w:rFonts w:asciiTheme="majorHAnsi" w:eastAsia="Calibri" w:hAnsiTheme="majorHAnsi" w:cstheme="majorHAnsi"/>
          <w:sz w:val="22"/>
          <w:szCs w:val="22"/>
          <w:lang w:eastAsia="en-US"/>
        </w:rPr>
      </w:pPr>
    </w:p>
    <w:p w14:paraId="25C242D3" w14:textId="3CB8FD49" w:rsidR="0011221C" w:rsidRPr="00273EEE" w:rsidRDefault="0011221C"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Rather than extending the scope of 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(by broadening the definition of EEOTC and same contracts) and ensuring a level playing field between </w:t>
      </w:r>
      <w:r w:rsidR="00B64B6B">
        <w:rPr>
          <w:rFonts w:asciiTheme="majorHAnsi" w:eastAsia="Calibri" w:hAnsiTheme="majorHAnsi" w:cstheme="majorHAnsi"/>
          <w:sz w:val="22"/>
          <w:szCs w:val="22"/>
          <w:lang w:eastAsia="en-US"/>
        </w:rPr>
        <w:t>on-</w:t>
      </w:r>
      <w:r w:rsidRPr="00273EEE">
        <w:rPr>
          <w:rFonts w:asciiTheme="majorHAnsi" w:eastAsia="Calibri" w:hAnsiTheme="majorHAnsi" w:cstheme="majorHAnsi"/>
          <w:sz w:val="22"/>
          <w:szCs w:val="22"/>
          <w:lang w:eastAsia="en-US"/>
        </w:rPr>
        <w:t xml:space="preserve">exchange and OTC trading, as well as between exchanges, we believe that the focus of the review should be on making 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more proportionate and efficient.</w:t>
      </w:r>
    </w:p>
    <w:permEnd w:id="1846563751"/>
    <w:p w14:paraId="09A1A97E"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&lt;ESMA_QUESTION_PLPM_15&gt;</w:t>
      </w:r>
    </w:p>
    <w:p w14:paraId="19F009E9" w14:textId="77777777" w:rsidR="00AB6157" w:rsidRPr="00273EEE" w:rsidRDefault="00AB6157" w:rsidP="00273EEE">
      <w:pPr>
        <w:spacing w:line="276" w:lineRule="auto"/>
        <w:jc w:val="both"/>
        <w:rPr>
          <w:rFonts w:asciiTheme="majorHAnsi" w:hAnsiTheme="majorHAnsi" w:cstheme="majorHAnsi"/>
          <w:sz w:val="22"/>
          <w:szCs w:val="22"/>
        </w:rPr>
      </w:pPr>
    </w:p>
    <w:p w14:paraId="28B8FFE5"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In your view, would there be a need to review the MiFID II position limit exemptions? If so, please elaborate and explain which changes would be desirable.</w:t>
      </w:r>
    </w:p>
    <w:p w14:paraId="5C3DBC45" w14:textId="3B1D648B"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&lt;ESMA_QUESTION_PLPM_16&gt;</w:t>
      </w:r>
    </w:p>
    <w:p w14:paraId="2537CD99" w14:textId="319773DD" w:rsidR="007A4437" w:rsidRPr="009E7BEA" w:rsidRDefault="009E7BEA" w:rsidP="009E7BEA">
      <w:pPr>
        <w:rPr>
          <w:rFonts w:asciiTheme="majorHAnsi" w:hAnsiTheme="majorHAnsi" w:cstheme="majorHAnsi"/>
          <w:b/>
          <w:sz w:val="22"/>
          <w:szCs w:val="22"/>
        </w:rPr>
      </w:pPr>
      <w:permStart w:id="675749470" w:edGrp="everyone"/>
      <w:r w:rsidRPr="009E7BEA">
        <w:rPr>
          <w:rFonts w:asciiTheme="majorHAnsi" w:hAnsiTheme="majorHAnsi" w:cstheme="majorHAnsi"/>
          <w:b/>
          <w:sz w:val="22"/>
          <w:szCs w:val="22"/>
        </w:rPr>
        <w:t xml:space="preserve">1. </w:t>
      </w:r>
      <w:r w:rsidR="007A4437" w:rsidRPr="009E7BEA">
        <w:rPr>
          <w:rFonts w:asciiTheme="majorHAnsi" w:hAnsiTheme="majorHAnsi" w:cstheme="majorHAnsi"/>
          <w:b/>
          <w:sz w:val="22"/>
          <w:szCs w:val="22"/>
        </w:rPr>
        <w:t>The hedging exemption</w:t>
      </w:r>
    </w:p>
    <w:p w14:paraId="68D72093" w14:textId="77777777" w:rsidR="007A4437" w:rsidRPr="00273EEE" w:rsidRDefault="007A4437" w:rsidP="00273EEE">
      <w:pPr>
        <w:spacing w:line="276" w:lineRule="auto"/>
        <w:jc w:val="both"/>
        <w:rPr>
          <w:rFonts w:asciiTheme="majorHAnsi" w:eastAsia="Calibri" w:hAnsiTheme="majorHAnsi" w:cstheme="majorHAnsi"/>
          <w:sz w:val="22"/>
          <w:szCs w:val="22"/>
          <w:lang w:eastAsia="en-US"/>
        </w:rPr>
      </w:pPr>
    </w:p>
    <w:p w14:paraId="476C993A" w14:textId="62116890" w:rsidR="00FE72EF" w:rsidRPr="00273EEE" w:rsidRDefault="00FE72E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Yes. Whilst 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includes exemptions for market participants pursuing hedging activit</w:t>
      </w:r>
      <w:r w:rsidR="0089129A">
        <w:rPr>
          <w:rFonts w:asciiTheme="majorHAnsi" w:eastAsia="Calibri" w:hAnsiTheme="majorHAnsi" w:cstheme="majorHAnsi"/>
          <w:sz w:val="22"/>
          <w:szCs w:val="22"/>
          <w:lang w:eastAsia="en-US"/>
        </w:rPr>
        <w:t>ies</w:t>
      </w:r>
      <w:r w:rsidRPr="00273EEE">
        <w:rPr>
          <w:rFonts w:asciiTheme="majorHAnsi" w:eastAsia="Calibri" w:hAnsiTheme="majorHAnsi" w:cstheme="majorHAnsi"/>
          <w:sz w:val="22"/>
          <w:szCs w:val="22"/>
          <w:lang w:eastAsia="en-US"/>
        </w:rPr>
        <w:t xml:space="preserve">, the MiFID II definition of </w:t>
      </w:r>
      <w:r w:rsidRPr="00273EEE">
        <w:rPr>
          <w:rFonts w:asciiTheme="majorHAnsi" w:eastAsia="Calibri" w:hAnsiTheme="majorHAnsi" w:cstheme="majorHAnsi"/>
          <w:i/>
          <w:sz w:val="22"/>
          <w:szCs w:val="22"/>
          <w:lang w:eastAsia="en-US"/>
        </w:rPr>
        <w:t>hedging</w:t>
      </w:r>
      <w:r w:rsidRPr="00273EEE">
        <w:rPr>
          <w:rFonts w:asciiTheme="majorHAnsi" w:eastAsia="Calibri" w:hAnsiTheme="majorHAnsi" w:cstheme="majorHAnsi"/>
          <w:sz w:val="22"/>
          <w:szCs w:val="22"/>
          <w:lang w:eastAsia="en-US"/>
        </w:rPr>
        <w:t xml:space="preserve"> as set out in RTS 20 is clear that only non-financial entities can engage in such activit</w:t>
      </w:r>
      <w:r w:rsidR="0089129A">
        <w:rPr>
          <w:rFonts w:asciiTheme="majorHAnsi" w:eastAsia="Calibri" w:hAnsiTheme="majorHAnsi" w:cstheme="majorHAnsi"/>
          <w:sz w:val="22"/>
          <w:szCs w:val="22"/>
          <w:lang w:eastAsia="en-US"/>
        </w:rPr>
        <w:t>ies</w:t>
      </w:r>
      <w:r w:rsidRPr="00273EEE">
        <w:rPr>
          <w:rFonts w:asciiTheme="majorHAnsi" w:eastAsia="Calibri" w:hAnsiTheme="majorHAnsi" w:cstheme="majorHAnsi"/>
          <w:sz w:val="22"/>
          <w:szCs w:val="22"/>
          <w:lang w:eastAsia="en-US"/>
        </w:rPr>
        <w:t>, thereby rendering the exemption unviable to investment banks or commodity trading houses which both play a vital role in providing smaller commercial players with access to commodity derivatives markets.</w:t>
      </w:r>
      <w:r w:rsidR="007A4437" w:rsidRPr="00273EEE">
        <w:rPr>
          <w:rFonts w:asciiTheme="majorHAnsi" w:hAnsiTheme="majorHAnsi" w:cstheme="majorHAnsi"/>
          <w:sz w:val="22"/>
          <w:szCs w:val="22"/>
        </w:rPr>
        <w:t xml:space="preserve"> </w:t>
      </w:r>
      <w:r w:rsidR="007A4437" w:rsidRPr="00273EEE">
        <w:rPr>
          <w:rFonts w:asciiTheme="majorHAnsi" w:eastAsia="Calibri" w:hAnsiTheme="majorHAnsi" w:cstheme="majorHAnsi"/>
          <w:sz w:val="22"/>
          <w:szCs w:val="22"/>
          <w:lang w:eastAsia="en-US"/>
        </w:rPr>
        <w:t xml:space="preserve">Additionally, within some industrial energy groups, a MiFID II authorised investment firm may act as a market-facing entity for the whole </w:t>
      </w:r>
      <w:r w:rsidR="00B56179">
        <w:rPr>
          <w:rFonts w:asciiTheme="majorHAnsi" w:eastAsia="Calibri" w:hAnsiTheme="majorHAnsi" w:cstheme="majorHAnsi"/>
          <w:sz w:val="22"/>
          <w:szCs w:val="22"/>
          <w:lang w:eastAsia="en-US"/>
        </w:rPr>
        <w:t>g</w:t>
      </w:r>
      <w:r w:rsidR="007A4437" w:rsidRPr="00273EEE">
        <w:rPr>
          <w:rFonts w:asciiTheme="majorHAnsi" w:eastAsia="Calibri" w:hAnsiTheme="majorHAnsi" w:cstheme="majorHAnsi"/>
          <w:sz w:val="22"/>
          <w:szCs w:val="22"/>
          <w:lang w:eastAsia="en-US"/>
        </w:rPr>
        <w:t>roup and manage the positions (including the risk-reducing ones) of non-financial group entities.</w:t>
      </w:r>
    </w:p>
    <w:p w14:paraId="2C3F3112" w14:textId="77777777" w:rsidR="00FE72EF" w:rsidRPr="00273EEE" w:rsidRDefault="00FE72EF" w:rsidP="00273EEE">
      <w:pPr>
        <w:spacing w:line="276" w:lineRule="auto"/>
        <w:jc w:val="both"/>
        <w:rPr>
          <w:rFonts w:asciiTheme="majorHAnsi" w:eastAsia="Calibri" w:hAnsiTheme="majorHAnsi" w:cstheme="majorHAnsi"/>
          <w:sz w:val="22"/>
          <w:szCs w:val="22"/>
          <w:lang w:eastAsia="en-US"/>
        </w:rPr>
      </w:pPr>
    </w:p>
    <w:p w14:paraId="0F4A41B4" w14:textId="50E54237" w:rsidR="00FE72EF" w:rsidRPr="00273EEE" w:rsidRDefault="00FE72EF" w:rsidP="00273EE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For th</w:t>
      </w:r>
      <w:r w:rsidR="00B56179">
        <w:rPr>
          <w:rFonts w:asciiTheme="majorHAnsi" w:eastAsia="Calibri" w:hAnsiTheme="majorHAnsi" w:cstheme="majorHAnsi"/>
          <w:sz w:val="22"/>
          <w:szCs w:val="22"/>
          <w:lang w:eastAsia="en-US"/>
        </w:rPr>
        <w:t>is</w:t>
      </w:r>
      <w:r w:rsidRPr="00273EEE">
        <w:rPr>
          <w:rFonts w:asciiTheme="majorHAnsi" w:eastAsia="Calibri" w:hAnsiTheme="majorHAnsi" w:cstheme="majorHAnsi"/>
          <w:sz w:val="22"/>
          <w:szCs w:val="22"/>
          <w:lang w:eastAsia="en-US"/>
        </w:rPr>
        <w:t xml:space="preserve"> reason, the hedging exemption cannot be considered a universal solution to inappropriately designed pre-trade transparency regime or disproportionate position limits. </w:t>
      </w:r>
    </w:p>
    <w:p w14:paraId="2EC758C7" w14:textId="062A1306" w:rsidR="00FE72EF" w:rsidRPr="00273EEE" w:rsidRDefault="00FE72EF" w:rsidP="00273EEE">
      <w:pPr>
        <w:spacing w:after="200"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An example of </w:t>
      </w:r>
      <w:r w:rsidR="005C0DF1">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 xml:space="preserve">such situation is the so called </w:t>
      </w:r>
      <w:r w:rsidRPr="00273EEE">
        <w:rPr>
          <w:rFonts w:asciiTheme="majorHAnsi" w:eastAsia="Calibri" w:hAnsiTheme="majorHAnsi" w:cstheme="majorHAnsi"/>
          <w:i/>
          <w:sz w:val="22"/>
          <w:szCs w:val="22"/>
          <w:lang w:eastAsia="en-US"/>
        </w:rPr>
        <w:t>Refining Margin Hedge</w:t>
      </w:r>
      <w:r w:rsidR="005C0DF1">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often used in oil markets, whereby an investment bank agrees with its client, a refiner, on a single price of a basket comprising various refined products. Once the refiner agrees the single price for the basket, the bank executes the offsetting trades in the futures market on its own account.</w:t>
      </w:r>
    </w:p>
    <w:p w14:paraId="30A5A196" w14:textId="77777777" w:rsidR="00AB6157" w:rsidRPr="00273EEE" w:rsidRDefault="00FE72EF" w:rsidP="00273EEE">
      <w:pPr>
        <w:spacing w:line="276" w:lineRule="auto"/>
        <w:jc w:val="both"/>
        <w:rPr>
          <w:rFonts w:asciiTheme="majorHAnsi" w:hAnsiTheme="majorHAnsi" w:cstheme="majorHAnsi"/>
          <w:sz w:val="22"/>
          <w:szCs w:val="22"/>
        </w:rPr>
      </w:pPr>
      <w:r w:rsidRPr="00273EEE">
        <w:rPr>
          <w:rFonts w:asciiTheme="majorHAnsi" w:hAnsiTheme="majorHAnsi" w:cstheme="majorHAnsi"/>
          <w:noProof/>
          <w:sz w:val="22"/>
          <w:szCs w:val="22"/>
          <w:lang w:val="en-US" w:eastAsia="en-US"/>
        </w:rPr>
        <w:lastRenderedPageBreak/>
        <w:drawing>
          <wp:inline distT="0" distB="0" distL="0" distR="0" wp14:anchorId="60C2EC93" wp14:editId="30FAAA81">
            <wp:extent cx="5143500" cy="3678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57620" cy="3688580"/>
                    </a:xfrm>
                    <a:prstGeom prst="rect">
                      <a:avLst/>
                    </a:prstGeom>
                  </pic:spPr>
                </pic:pic>
              </a:graphicData>
            </a:graphic>
          </wp:inline>
        </w:drawing>
      </w:r>
    </w:p>
    <w:p w14:paraId="5D34C26B" w14:textId="06193303" w:rsidR="00FE72EF" w:rsidRPr="00273EEE" w:rsidRDefault="00FE72E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Even though within the context of such </w:t>
      </w:r>
      <w:r w:rsidR="00B56179">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 xml:space="preserve">transaction the bank clearly performs a hedging activity, it would not be able to make use of the exemption </w:t>
      </w:r>
      <w:r w:rsidR="00B5061B">
        <w:rPr>
          <w:rFonts w:asciiTheme="majorHAnsi" w:eastAsia="Calibri" w:hAnsiTheme="majorHAnsi" w:cstheme="majorHAnsi"/>
          <w:sz w:val="22"/>
          <w:szCs w:val="22"/>
          <w:lang w:eastAsia="en-US"/>
        </w:rPr>
        <w:t>stipulated</w:t>
      </w:r>
      <w:r w:rsidR="00B5061B" w:rsidRPr="00273EEE">
        <w:rPr>
          <w:rFonts w:asciiTheme="majorHAnsi" w:eastAsia="Calibri" w:hAnsiTheme="majorHAnsi" w:cstheme="majorHAnsi"/>
          <w:sz w:val="22"/>
          <w:szCs w:val="22"/>
          <w:lang w:eastAsia="en-US"/>
        </w:rPr>
        <w:t xml:space="preserve"> </w:t>
      </w:r>
      <w:r w:rsidR="00B5061B">
        <w:rPr>
          <w:rFonts w:asciiTheme="majorHAnsi" w:eastAsia="Calibri" w:hAnsiTheme="majorHAnsi" w:cstheme="majorHAnsi"/>
          <w:sz w:val="22"/>
          <w:szCs w:val="22"/>
          <w:lang w:eastAsia="en-US"/>
        </w:rPr>
        <w:t>in</w:t>
      </w:r>
      <w:r w:rsidRPr="00273EEE">
        <w:rPr>
          <w:rFonts w:asciiTheme="majorHAnsi" w:eastAsia="Calibri" w:hAnsiTheme="majorHAnsi" w:cstheme="majorHAnsi"/>
          <w:sz w:val="22"/>
          <w:szCs w:val="22"/>
          <w:lang w:eastAsia="en-US"/>
        </w:rPr>
        <w:t xml:space="preserve"> MiFIR Article 8 or MiFID Article 57.</w:t>
      </w:r>
    </w:p>
    <w:p w14:paraId="4C137549" w14:textId="77777777" w:rsidR="00837276" w:rsidRPr="00273EEE" w:rsidRDefault="00837276" w:rsidP="00273EEE">
      <w:pPr>
        <w:spacing w:line="276" w:lineRule="auto"/>
        <w:jc w:val="both"/>
        <w:rPr>
          <w:rFonts w:asciiTheme="majorHAnsi" w:eastAsia="Calibri" w:hAnsiTheme="majorHAnsi" w:cstheme="majorHAnsi"/>
          <w:sz w:val="22"/>
          <w:szCs w:val="22"/>
          <w:lang w:eastAsia="en-US"/>
        </w:rPr>
      </w:pPr>
    </w:p>
    <w:p w14:paraId="0099D289" w14:textId="0FC6A7F3" w:rsidR="0011221C" w:rsidRPr="00273EEE" w:rsidRDefault="0011221C"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As a second example, in iron ore and freight, it is possible and sometimes common </w:t>
      </w:r>
      <w:r w:rsidR="00B5061B">
        <w:rPr>
          <w:rFonts w:asciiTheme="majorHAnsi" w:eastAsia="Calibri" w:hAnsiTheme="majorHAnsi" w:cstheme="majorHAnsi"/>
          <w:sz w:val="22"/>
          <w:szCs w:val="22"/>
          <w:lang w:eastAsia="en-US"/>
        </w:rPr>
        <w:t xml:space="preserve">practice </w:t>
      </w:r>
      <w:r w:rsidRPr="00273EEE">
        <w:rPr>
          <w:rFonts w:asciiTheme="majorHAnsi" w:eastAsia="Calibri" w:hAnsiTheme="majorHAnsi" w:cstheme="majorHAnsi"/>
          <w:sz w:val="22"/>
          <w:szCs w:val="22"/>
          <w:lang w:eastAsia="en-US"/>
        </w:rPr>
        <w:t>that a bank would finance a miner or steel mill with the caveat that the business needs to initiate a hedging programme to remove volatility from future costs or revenues (or both). The hedging programme would usually be conducted with the bank on an OTC basis with the bank then offsetting th</w:t>
      </w:r>
      <w:r w:rsidR="00B5061B">
        <w:rPr>
          <w:rFonts w:asciiTheme="majorHAnsi" w:eastAsia="Calibri" w:hAnsiTheme="majorHAnsi" w:cstheme="majorHAnsi"/>
          <w:sz w:val="22"/>
          <w:szCs w:val="22"/>
          <w:lang w:eastAsia="en-US"/>
        </w:rPr>
        <w:t>e</w:t>
      </w:r>
      <w:r w:rsidRPr="00273EEE">
        <w:rPr>
          <w:rFonts w:asciiTheme="majorHAnsi" w:eastAsia="Calibri" w:hAnsiTheme="majorHAnsi" w:cstheme="majorHAnsi"/>
          <w:sz w:val="22"/>
          <w:szCs w:val="22"/>
          <w:lang w:eastAsia="en-US"/>
        </w:rPr>
        <w:t xml:space="preserve"> risk in the cleared market. Again, even though within the context of such </w:t>
      </w:r>
      <w:r w:rsidR="00B5061B">
        <w:rPr>
          <w:rFonts w:asciiTheme="majorHAnsi" w:eastAsia="Calibri" w:hAnsiTheme="majorHAnsi" w:cstheme="majorHAnsi"/>
          <w:sz w:val="22"/>
          <w:szCs w:val="22"/>
          <w:lang w:eastAsia="en-US"/>
        </w:rPr>
        <w:t xml:space="preserve">a </w:t>
      </w:r>
      <w:r w:rsidRPr="00273EEE">
        <w:rPr>
          <w:rFonts w:asciiTheme="majorHAnsi" w:eastAsia="Calibri" w:hAnsiTheme="majorHAnsi" w:cstheme="majorHAnsi"/>
          <w:sz w:val="22"/>
          <w:szCs w:val="22"/>
          <w:lang w:eastAsia="en-US"/>
        </w:rPr>
        <w:t>transaction the bank clearly performs a hedging activity, it would not be able to make use of the exemption envisaged under MiFIR Article 8 or MiFID Article 57.</w:t>
      </w:r>
    </w:p>
    <w:p w14:paraId="1D38E25D" w14:textId="77777777" w:rsidR="0011221C" w:rsidRPr="00273EEE" w:rsidRDefault="0011221C" w:rsidP="00273EEE">
      <w:pPr>
        <w:spacing w:line="276" w:lineRule="auto"/>
        <w:jc w:val="both"/>
        <w:rPr>
          <w:rFonts w:asciiTheme="majorHAnsi" w:eastAsia="Calibri" w:hAnsiTheme="majorHAnsi" w:cstheme="majorHAnsi"/>
          <w:sz w:val="22"/>
          <w:szCs w:val="22"/>
          <w:lang w:eastAsia="en-US"/>
        </w:rPr>
      </w:pPr>
    </w:p>
    <w:p w14:paraId="2187595F" w14:textId="12DE407B" w:rsidR="00837276" w:rsidRPr="00273EEE" w:rsidRDefault="00A2340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Europex</w:t>
      </w:r>
      <w:r w:rsidR="00837276" w:rsidRPr="00273EEE">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members have</w:t>
      </w:r>
      <w:r w:rsidR="00837276" w:rsidRPr="00273EEE">
        <w:rPr>
          <w:rFonts w:asciiTheme="majorHAnsi" w:eastAsia="Calibri" w:hAnsiTheme="majorHAnsi" w:cstheme="majorHAnsi"/>
          <w:sz w:val="22"/>
          <w:szCs w:val="22"/>
          <w:lang w:eastAsia="en-US"/>
        </w:rPr>
        <w:t xml:space="preserve"> extensive experience </w:t>
      </w:r>
      <w:r w:rsidR="00B5061B">
        <w:rPr>
          <w:rFonts w:asciiTheme="majorHAnsi" w:eastAsia="Calibri" w:hAnsiTheme="majorHAnsi" w:cstheme="majorHAnsi"/>
          <w:sz w:val="22"/>
          <w:szCs w:val="22"/>
          <w:lang w:eastAsia="en-US"/>
        </w:rPr>
        <w:t>in</w:t>
      </w:r>
      <w:r w:rsidR="00B5061B" w:rsidRPr="00273EEE">
        <w:rPr>
          <w:rFonts w:asciiTheme="majorHAnsi" w:eastAsia="Calibri" w:hAnsiTheme="majorHAnsi" w:cstheme="majorHAnsi"/>
          <w:sz w:val="22"/>
          <w:szCs w:val="22"/>
          <w:lang w:eastAsia="en-US"/>
        </w:rPr>
        <w:t xml:space="preserve"> </w:t>
      </w:r>
      <w:r w:rsidR="00837276" w:rsidRPr="00273EEE">
        <w:rPr>
          <w:rFonts w:asciiTheme="majorHAnsi" w:eastAsia="Calibri" w:hAnsiTheme="majorHAnsi" w:cstheme="majorHAnsi"/>
          <w:sz w:val="22"/>
          <w:szCs w:val="22"/>
          <w:lang w:eastAsia="en-US"/>
        </w:rPr>
        <w:t>operating position management system</w:t>
      </w:r>
      <w:r w:rsidR="00B5061B">
        <w:rPr>
          <w:rFonts w:asciiTheme="majorHAnsi" w:eastAsia="Calibri" w:hAnsiTheme="majorHAnsi" w:cstheme="majorHAnsi"/>
          <w:sz w:val="22"/>
          <w:szCs w:val="22"/>
          <w:lang w:eastAsia="en-US"/>
        </w:rPr>
        <w:t>s</w:t>
      </w:r>
      <w:r w:rsidR="00837276" w:rsidRPr="00273EEE">
        <w:rPr>
          <w:rFonts w:asciiTheme="majorHAnsi" w:eastAsia="Calibri" w:hAnsiTheme="majorHAnsi" w:cstheme="majorHAnsi"/>
          <w:sz w:val="22"/>
          <w:szCs w:val="22"/>
          <w:lang w:eastAsia="en-US"/>
        </w:rPr>
        <w:t xml:space="preserve"> based on hedging exemptions. Under </w:t>
      </w:r>
      <w:r w:rsidR="00B5061B">
        <w:rPr>
          <w:rFonts w:asciiTheme="majorHAnsi" w:eastAsia="Calibri" w:hAnsiTheme="majorHAnsi" w:cstheme="majorHAnsi"/>
          <w:sz w:val="22"/>
          <w:szCs w:val="22"/>
          <w:lang w:eastAsia="en-US"/>
        </w:rPr>
        <w:t>this</w:t>
      </w:r>
      <w:r w:rsidR="00837276" w:rsidRPr="00273EEE">
        <w:rPr>
          <w:rFonts w:asciiTheme="majorHAnsi" w:eastAsia="Calibri" w:hAnsiTheme="majorHAnsi" w:cstheme="majorHAnsi"/>
          <w:sz w:val="22"/>
          <w:szCs w:val="22"/>
          <w:lang w:eastAsia="en-US"/>
        </w:rPr>
        <w:t xml:space="preserve"> regime, </w:t>
      </w:r>
      <w:r w:rsidR="00B5061B">
        <w:rPr>
          <w:rFonts w:asciiTheme="majorHAnsi" w:eastAsia="Calibri" w:hAnsiTheme="majorHAnsi" w:cstheme="majorHAnsi"/>
          <w:sz w:val="22"/>
          <w:szCs w:val="22"/>
          <w:lang w:eastAsia="en-US"/>
        </w:rPr>
        <w:t>they</w:t>
      </w:r>
      <w:r w:rsidR="00837276" w:rsidRPr="00273EEE">
        <w:rPr>
          <w:rFonts w:asciiTheme="majorHAnsi" w:eastAsia="Calibri" w:hAnsiTheme="majorHAnsi" w:cstheme="majorHAnsi"/>
          <w:sz w:val="22"/>
          <w:szCs w:val="22"/>
          <w:lang w:eastAsia="en-US"/>
        </w:rPr>
        <w:t xml:space="preserve"> can grant such exemptions to any market participant, regardless of their legal status, provided that the hedging intention is adequately documented and demonstrated. This ensures that the genuine hedging activity is not restricted and allows commodity market participants to manage their risks efficiently. </w:t>
      </w:r>
    </w:p>
    <w:p w14:paraId="607C61E8" w14:textId="77777777" w:rsidR="00837276" w:rsidRPr="00273EEE" w:rsidRDefault="00837276" w:rsidP="00273EEE">
      <w:pPr>
        <w:spacing w:line="276" w:lineRule="auto"/>
        <w:jc w:val="both"/>
        <w:rPr>
          <w:rFonts w:asciiTheme="majorHAnsi" w:eastAsia="Calibri" w:hAnsiTheme="majorHAnsi" w:cstheme="majorHAnsi"/>
          <w:sz w:val="22"/>
          <w:szCs w:val="22"/>
          <w:lang w:eastAsia="en-US"/>
        </w:rPr>
      </w:pPr>
    </w:p>
    <w:p w14:paraId="1EC4FDAA" w14:textId="12D803AF" w:rsidR="00837276" w:rsidRPr="00273EEE" w:rsidRDefault="00A2340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Europex </w:t>
      </w:r>
      <w:r w:rsidR="00837276" w:rsidRPr="00273EEE">
        <w:rPr>
          <w:rFonts w:asciiTheme="majorHAnsi" w:eastAsia="Calibri" w:hAnsiTheme="majorHAnsi" w:cstheme="majorHAnsi"/>
          <w:sz w:val="22"/>
          <w:szCs w:val="22"/>
          <w:lang w:eastAsia="en-US"/>
        </w:rPr>
        <w:t>propose</w:t>
      </w:r>
      <w:r w:rsidRPr="00273EEE">
        <w:rPr>
          <w:rFonts w:asciiTheme="majorHAnsi" w:eastAsia="Calibri" w:hAnsiTheme="majorHAnsi" w:cstheme="majorHAnsi"/>
          <w:sz w:val="22"/>
          <w:szCs w:val="22"/>
          <w:lang w:eastAsia="en-US"/>
        </w:rPr>
        <w:t>s</w:t>
      </w:r>
      <w:r w:rsidR="00837276" w:rsidRPr="00273EEE">
        <w:rPr>
          <w:rFonts w:asciiTheme="majorHAnsi" w:eastAsia="Calibri" w:hAnsiTheme="majorHAnsi" w:cstheme="majorHAnsi"/>
          <w:sz w:val="22"/>
          <w:szCs w:val="22"/>
          <w:lang w:eastAsia="en-US"/>
        </w:rPr>
        <w:t xml:space="preserve"> that an analogous regime is introduced within the context of </w:t>
      </w:r>
      <w:r w:rsidR="00B5061B">
        <w:rPr>
          <w:rFonts w:asciiTheme="majorHAnsi" w:eastAsia="Calibri" w:hAnsiTheme="majorHAnsi" w:cstheme="majorHAnsi"/>
          <w:sz w:val="22"/>
          <w:szCs w:val="22"/>
          <w:lang w:eastAsia="en-US"/>
        </w:rPr>
        <w:t xml:space="preserve">the </w:t>
      </w:r>
      <w:r w:rsidR="00837276" w:rsidRPr="00273EEE">
        <w:rPr>
          <w:rFonts w:asciiTheme="majorHAnsi" w:eastAsia="Calibri" w:hAnsiTheme="majorHAnsi" w:cstheme="majorHAnsi"/>
          <w:sz w:val="22"/>
          <w:szCs w:val="22"/>
          <w:lang w:eastAsia="en-US"/>
        </w:rPr>
        <w:t xml:space="preserve">MiFID II/MiFIR package. </w:t>
      </w:r>
    </w:p>
    <w:p w14:paraId="56F8B66E" w14:textId="77777777" w:rsidR="0011221C" w:rsidRPr="00273EEE" w:rsidRDefault="0011221C" w:rsidP="00273EEE">
      <w:pPr>
        <w:spacing w:line="276" w:lineRule="auto"/>
        <w:jc w:val="both"/>
        <w:rPr>
          <w:rFonts w:asciiTheme="majorHAnsi" w:eastAsia="Calibri" w:hAnsiTheme="majorHAnsi" w:cstheme="majorHAnsi"/>
          <w:sz w:val="22"/>
          <w:szCs w:val="22"/>
          <w:lang w:eastAsia="en-US"/>
        </w:rPr>
      </w:pPr>
    </w:p>
    <w:p w14:paraId="3B7AEB1C" w14:textId="50612C83" w:rsidR="0011221C" w:rsidRPr="00273EEE" w:rsidRDefault="0011221C" w:rsidP="00CE18A0">
      <w:pPr>
        <w:pStyle w:val="ListParagraph"/>
        <w:numPr>
          <w:ilvl w:val="0"/>
          <w:numId w:val="25"/>
        </w:numPr>
        <w:rPr>
          <w:rFonts w:asciiTheme="majorHAnsi" w:hAnsiTheme="majorHAnsi" w:cstheme="majorHAnsi"/>
        </w:rPr>
      </w:pPr>
      <w:r w:rsidRPr="00273EEE">
        <w:rPr>
          <w:rFonts w:asciiTheme="majorHAnsi" w:hAnsiTheme="majorHAnsi" w:cstheme="majorHAnsi"/>
        </w:rPr>
        <w:t>The liquidity provision exemption</w:t>
      </w:r>
    </w:p>
    <w:p w14:paraId="759A6709" w14:textId="77777777" w:rsidR="0011221C" w:rsidRPr="00273EEE" w:rsidRDefault="0011221C" w:rsidP="00273EEE">
      <w:pPr>
        <w:spacing w:line="276" w:lineRule="auto"/>
        <w:jc w:val="both"/>
        <w:rPr>
          <w:rFonts w:asciiTheme="majorHAnsi" w:eastAsia="Calibri" w:hAnsiTheme="majorHAnsi" w:cstheme="majorHAnsi"/>
          <w:sz w:val="22"/>
          <w:szCs w:val="22"/>
          <w:lang w:eastAsia="en-US"/>
        </w:rPr>
      </w:pPr>
    </w:p>
    <w:p w14:paraId="5683CCB5" w14:textId="75C0C729" w:rsidR="0011221C" w:rsidRPr="00273EEE" w:rsidRDefault="0011221C"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Similar to this issue, and contrary to the general ancillary activity exemption regime</w:t>
      </w:r>
      <w:r w:rsidR="00E83410">
        <w:rPr>
          <w:rFonts w:asciiTheme="majorHAnsi" w:eastAsia="Calibri" w:hAnsiTheme="majorHAnsi" w:cstheme="majorHAnsi"/>
          <w:sz w:val="22"/>
          <w:szCs w:val="22"/>
          <w:lang w:eastAsia="en-US"/>
        </w:rPr>
        <w:t xml:space="preserve"> </w:t>
      </w:r>
      <w:r w:rsidR="00E83410" w:rsidRPr="00273EEE">
        <w:rPr>
          <w:rFonts w:asciiTheme="majorHAnsi" w:eastAsia="Calibri" w:hAnsiTheme="majorHAnsi" w:cstheme="majorHAnsi"/>
          <w:sz w:val="22"/>
          <w:szCs w:val="22"/>
          <w:lang w:eastAsia="en-US"/>
        </w:rPr>
        <w:t>in Art</w:t>
      </w:r>
      <w:r w:rsidR="00E83410">
        <w:rPr>
          <w:rFonts w:asciiTheme="majorHAnsi" w:eastAsia="Calibri" w:hAnsiTheme="majorHAnsi" w:cstheme="majorHAnsi"/>
          <w:sz w:val="22"/>
          <w:szCs w:val="22"/>
          <w:lang w:eastAsia="en-US"/>
        </w:rPr>
        <w:t>icle</w:t>
      </w:r>
      <w:r w:rsidR="00E83410" w:rsidRPr="00273EEE">
        <w:rPr>
          <w:rFonts w:asciiTheme="majorHAnsi" w:eastAsia="Calibri" w:hAnsiTheme="majorHAnsi" w:cstheme="majorHAnsi"/>
          <w:sz w:val="22"/>
          <w:szCs w:val="22"/>
          <w:lang w:eastAsia="en-US"/>
        </w:rPr>
        <w:t xml:space="preserve"> 2(4) of MiFID II</w:t>
      </w:r>
      <w:r w:rsidRPr="00273EEE">
        <w:rPr>
          <w:rFonts w:asciiTheme="majorHAnsi" w:eastAsia="Calibri" w:hAnsiTheme="majorHAnsi" w:cstheme="majorHAnsi"/>
          <w:sz w:val="22"/>
          <w:szCs w:val="22"/>
          <w:lang w:eastAsia="en-US"/>
        </w:rPr>
        <w:t xml:space="preserve">, 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does not include a liquidity provision exemption. </w:t>
      </w:r>
      <w:r w:rsidR="00E83410">
        <w:rPr>
          <w:rFonts w:asciiTheme="majorHAnsi" w:eastAsia="Calibri" w:hAnsiTheme="majorHAnsi" w:cstheme="majorHAnsi"/>
          <w:sz w:val="22"/>
          <w:szCs w:val="22"/>
          <w:lang w:eastAsia="en-US"/>
        </w:rPr>
        <w:t>Such an exemption is</w:t>
      </w:r>
      <w:r w:rsidRPr="00273EEE">
        <w:rPr>
          <w:rFonts w:asciiTheme="majorHAnsi" w:eastAsia="Calibri" w:hAnsiTheme="majorHAnsi" w:cstheme="majorHAnsi"/>
          <w:sz w:val="22"/>
          <w:szCs w:val="22"/>
          <w:lang w:eastAsia="en-US"/>
        </w:rPr>
        <w:t xml:space="preserve"> particularly necessary for new contracts that need financial entities to </w:t>
      </w:r>
      <w:r w:rsidRPr="00273EEE">
        <w:rPr>
          <w:rFonts w:asciiTheme="majorHAnsi" w:eastAsia="Calibri" w:hAnsiTheme="majorHAnsi" w:cstheme="majorHAnsi"/>
          <w:sz w:val="22"/>
          <w:szCs w:val="22"/>
          <w:lang w:eastAsia="en-US"/>
        </w:rPr>
        <w:lastRenderedPageBreak/>
        <w:t>incentivise trading in the contract</w:t>
      </w:r>
      <w:r w:rsidR="007A4437" w:rsidRPr="00273EEE">
        <w:rPr>
          <w:rFonts w:asciiTheme="majorHAnsi" w:eastAsia="Calibri" w:hAnsiTheme="majorHAnsi" w:cstheme="majorHAnsi"/>
          <w:sz w:val="22"/>
          <w:szCs w:val="22"/>
          <w:lang w:eastAsia="en-US"/>
        </w:rPr>
        <w:t xml:space="preserve">, at least if the </w:t>
      </w:r>
      <w:r w:rsidR="00AA00DB">
        <w:rPr>
          <w:rFonts w:asciiTheme="majorHAnsi" w:eastAsia="Calibri" w:hAnsiTheme="majorHAnsi" w:cstheme="majorHAnsi"/>
          <w:sz w:val="22"/>
          <w:szCs w:val="22"/>
          <w:lang w:eastAsia="en-US"/>
        </w:rPr>
        <w:t>position limit regime</w:t>
      </w:r>
      <w:r w:rsidR="007A4437" w:rsidRPr="00273EEE">
        <w:rPr>
          <w:rFonts w:asciiTheme="majorHAnsi" w:eastAsia="Calibri" w:hAnsiTheme="majorHAnsi" w:cstheme="majorHAnsi"/>
          <w:sz w:val="22"/>
          <w:szCs w:val="22"/>
          <w:lang w:eastAsia="en-US"/>
        </w:rPr>
        <w:t xml:space="preserve"> continues to include the restrictive 2,500 lots limit on new and illiquid contracts</w:t>
      </w:r>
      <w:r w:rsidRPr="00273EEE">
        <w:rPr>
          <w:rFonts w:asciiTheme="majorHAnsi" w:eastAsia="Calibri" w:hAnsiTheme="majorHAnsi" w:cstheme="majorHAnsi"/>
          <w:sz w:val="22"/>
          <w:szCs w:val="22"/>
          <w:lang w:eastAsia="en-US"/>
        </w:rPr>
        <w:t>. If no such exemption is available</w:t>
      </w:r>
      <w:r w:rsidR="007A4437" w:rsidRPr="00273EEE">
        <w:rPr>
          <w:rFonts w:asciiTheme="majorHAnsi" w:eastAsia="Calibri" w:hAnsiTheme="majorHAnsi" w:cstheme="majorHAnsi"/>
          <w:sz w:val="22"/>
          <w:szCs w:val="22"/>
          <w:lang w:eastAsia="en-US"/>
        </w:rPr>
        <w:t xml:space="preserve"> and the 2,500 lots limit continues to apply</w:t>
      </w:r>
      <w:r w:rsidRPr="00273EEE">
        <w:rPr>
          <w:rFonts w:asciiTheme="majorHAnsi" w:eastAsia="Calibri" w:hAnsiTheme="majorHAnsi" w:cstheme="majorHAnsi"/>
          <w:sz w:val="22"/>
          <w:szCs w:val="22"/>
          <w:lang w:eastAsia="en-US"/>
        </w:rPr>
        <w:t xml:space="preserve">, exchanges will have to contract a “panel” of liquidity providers to ensure that none of these firms exceed their position limits. In nascent markets it is highly possible that there may not be the required number of counterparties to build such a ‘panel’ and even </w:t>
      </w:r>
      <w:r w:rsidR="00E41EE1">
        <w:rPr>
          <w:rFonts w:asciiTheme="majorHAnsi" w:eastAsia="Calibri" w:hAnsiTheme="majorHAnsi" w:cstheme="majorHAnsi"/>
          <w:sz w:val="22"/>
          <w:szCs w:val="22"/>
          <w:lang w:eastAsia="en-US"/>
        </w:rPr>
        <w:t xml:space="preserve">if this was </w:t>
      </w:r>
      <w:r w:rsidRPr="00273EEE">
        <w:rPr>
          <w:rFonts w:asciiTheme="majorHAnsi" w:eastAsia="Calibri" w:hAnsiTheme="majorHAnsi" w:cstheme="majorHAnsi"/>
          <w:sz w:val="22"/>
          <w:szCs w:val="22"/>
          <w:lang w:eastAsia="en-US"/>
        </w:rPr>
        <w:t>the case, it adds significant costs for the exchange. In ord</w:t>
      </w:r>
      <w:r w:rsidR="009902F8" w:rsidRPr="00273EEE">
        <w:rPr>
          <w:rFonts w:asciiTheme="majorHAnsi" w:eastAsia="Calibri" w:hAnsiTheme="majorHAnsi" w:cstheme="majorHAnsi"/>
          <w:sz w:val="22"/>
          <w:szCs w:val="22"/>
          <w:lang w:eastAsia="en-US"/>
        </w:rPr>
        <w:t>er to avoid such a situation</w:t>
      </w:r>
      <w:r w:rsidRPr="00273EEE">
        <w:rPr>
          <w:rFonts w:asciiTheme="majorHAnsi" w:eastAsia="Calibri" w:hAnsiTheme="majorHAnsi" w:cstheme="majorHAnsi"/>
          <w:sz w:val="22"/>
          <w:szCs w:val="22"/>
          <w:lang w:eastAsia="en-US"/>
        </w:rPr>
        <w:t xml:space="preserve">, </w:t>
      </w:r>
      <w:r w:rsidR="009902F8" w:rsidRPr="00273EEE">
        <w:rPr>
          <w:rFonts w:asciiTheme="majorHAnsi" w:eastAsia="Calibri" w:hAnsiTheme="majorHAnsi" w:cstheme="majorHAnsi"/>
          <w:sz w:val="22"/>
          <w:szCs w:val="22"/>
          <w:lang w:eastAsia="en-US"/>
        </w:rPr>
        <w:t>Europex</w:t>
      </w:r>
      <w:r w:rsidRPr="00273EEE">
        <w:rPr>
          <w:rFonts w:asciiTheme="majorHAnsi" w:eastAsia="Calibri" w:hAnsiTheme="majorHAnsi" w:cstheme="majorHAnsi"/>
          <w:sz w:val="22"/>
          <w:szCs w:val="22"/>
          <w:lang w:eastAsia="en-US"/>
        </w:rPr>
        <w:t xml:space="preserve"> recommends </w:t>
      </w:r>
      <w:proofErr w:type="gramStart"/>
      <w:r w:rsidR="00E41EE1">
        <w:rPr>
          <w:rFonts w:asciiTheme="majorHAnsi" w:eastAsia="Calibri" w:hAnsiTheme="majorHAnsi" w:cstheme="majorHAnsi"/>
          <w:sz w:val="22"/>
          <w:szCs w:val="22"/>
          <w:lang w:eastAsia="en-US"/>
        </w:rPr>
        <w:t>to include</w:t>
      </w:r>
      <w:proofErr w:type="gramEnd"/>
      <w:r w:rsidR="00E41EE1">
        <w:rPr>
          <w:rFonts w:asciiTheme="majorHAnsi" w:eastAsia="Calibri" w:hAnsiTheme="majorHAnsi" w:cstheme="majorHAnsi"/>
          <w:sz w:val="22"/>
          <w:szCs w:val="22"/>
          <w:lang w:eastAsia="en-US"/>
        </w:rPr>
        <w:t xml:space="preserve"> </w:t>
      </w:r>
      <w:r w:rsidR="00E41EE1" w:rsidRPr="00273EEE">
        <w:rPr>
          <w:rFonts w:asciiTheme="majorHAnsi" w:eastAsia="Calibri" w:hAnsiTheme="majorHAnsi" w:cstheme="majorHAnsi"/>
          <w:sz w:val="22"/>
          <w:szCs w:val="22"/>
          <w:lang w:eastAsia="en-US"/>
        </w:rPr>
        <w:t xml:space="preserve">an exemption </w:t>
      </w:r>
      <w:r w:rsidR="00E41EE1">
        <w:rPr>
          <w:rFonts w:asciiTheme="majorHAnsi" w:eastAsia="Calibri" w:hAnsiTheme="majorHAnsi" w:cstheme="majorHAnsi"/>
          <w:sz w:val="22"/>
          <w:szCs w:val="22"/>
          <w:lang w:eastAsia="en-US"/>
        </w:rPr>
        <w:t>in</w:t>
      </w:r>
      <w:r w:rsidR="00E41EE1" w:rsidRPr="00273EEE">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xml:space="preserve">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based on the same conditions as the liquidity provision exemption outlined in Art</w:t>
      </w:r>
      <w:r w:rsidR="00E41EE1">
        <w:rPr>
          <w:rFonts w:asciiTheme="majorHAnsi" w:eastAsia="Calibri" w:hAnsiTheme="majorHAnsi" w:cstheme="majorHAnsi"/>
          <w:sz w:val="22"/>
          <w:szCs w:val="22"/>
          <w:lang w:eastAsia="en-US"/>
        </w:rPr>
        <w:t>icle</w:t>
      </w:r>
      <w:r w:rsidRPr="00273EEE">
        <w:rPr>
          <w:rFonts w:asciiTheme="majorHAnsi" w:eastAsia="Calibri" w:hAnsiTheme="majorHAnsi" w:cstheme="majorHAnsi"/>
          <w:sz w:val="22"/>
          <w:szCs w:val="22"/>
          <w:lang w:eastAsia="en-US"/>
        </w:rPr>
        <w:t xml:space="preserve"> 2(4) of MiFID II and the ESMA Q&amp;A on MiFID II/MiFIR commodity derivative</w:t>
      </w:r>
      <w:r w:rsidR="00E41EE1">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topics</w:t>
      </w:r>
      <w:r w:rsidR="00E41EE1">
        <w:rPr>
          <w:rFonts w:asciiTheme="majorHAnsi" w:eastAsia="Calibri" w:hAnsiTheme="majorHAnsi" w:cstheme="majorHAnsi"/>
          <w:sz w:val="22"/>
          <w:szCs w:val="22"/>
          <w:lang w:eastAsia="en-US"/>
        </w:rPr>
        <w:t>.</w:t>
      </w:r>
      <w:r w:rsidRPr="00273EEE">
        <w:rPr>
          <w:rFonts w:asciiTheme="majorHAnsi" w:eastAsia="Calibri" w:hAnsiTheme="majorHAnsi" w:cstheme="majorHAnsi"/>
          <w:sz w:val="22"/>
          <w:szCs w:val="22"/>
          <w:lang w:eastAsia="en-US"/>
        </w:rPr>
        <w:t xml:space="preserve"> </w:t>
      </w:r>
      <w:r w:rsidR="00E41EE1">
        <w:rPr>
          <w:rFonts w:asciiTheme="majorHAnsi" w:eastAsia="Calibri" w:hAnsiTheme="majorHAnsi" w:cstheme="majorHAnsi"/>
          <w:sz w:val="22"/>
          <w:szCs w:val="22"/>
          <w:lang w:eastAsia="en-US"/>
        </w:rPr>
        <w:t xml:space="preserve">This </w:t>
      </w:r>
      <w:r w:rsidR="00E41EE1" w:rsidRPr="00CE18A0">
        <w:rPr>
          <w:rFonts w:asciiTheme="majorHAnsi" w:eastAsia="Calibri" w:hAnsiTheme="majorHAnsi" w:cstheme="majorHAnsi"/>
          <w:sz w:val="22"/>
          <w:szCs w:val="22"/>
          <w:highlight w:val="yellow"/>
          <w:lang w:eastAsia="en-US"/>
        </w:rPr>
        <w:t>liquidity provision exemption should be</w:t>
      </w:r>
      <w:r w:rsidRPr="00CE18A0">
        <w:rPr>
          <w:rFonts w:asciiTheme="majorHAnsi" w:eastAsia="Calibri" w:hAnsiTheme="majorHAnsi" w:cstheme="majorHAnsi"/>
          <w:sz w:val="22"/>
          <w:szCs w:val="22"/>
          <w:highlight w:val="yellow"/>
          <w:lang w:eastAsia="en-US"/>
        </w:rPr>
        <w:t xml:space="preserve"> implemented similarly to the hedging exemption under</w:t>
      </w:r>
      <w:r w:rsidRPr="00273EEE">
        <w:rPr>
          <w:rFonts w:asciiTheme="majorHAnsi" w:eastAsia="Calibri" w:hAnsiTheme="majorHAnsi" w:cstheme="majorHAnsi"/>
          <w:sz w:val="22"/>
          <w:szCs w:val="22"/>
          <w:lang w:eastAsia="en-US"/>
        </w:rPr>
        <w:t xml:space="preserve"> the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w:t>
      </w:r>
    </w:p>
    <w:permEnd w:id="675749470"/>
    <w:p w14:paraId="06442A51" w14:textId="77777777" w:rsidR="00AB6157" w:rsidRPr="00273EEE" w:rsidRDefault="00AB6157" w:rsidP="00273EEE">
      <w:pPr>
        <w:spacing w:line="276" w:lineRule="auto"/>
        <w:jc w:val="both"/>
        <w:rPr>
          <w:rFonts w:asciiTheme="majorHAnsi" w:eastAsia="Calibri" w:hAnsiTheme="majorHAnsi" w:cstheme="majorHAnsi"/>
          <w:sz w:val="22"/>
          <w:szCs w:val="22"/>
          <w:lang w:eastAsia="en-US"/>
        </w:rPr>
      </w:pPr>
      <w:r w:rsidRPr="00273EEE">
        <w:rPr>
          <w:rFonts w:asciiTheme="majorHAnsi" w:hAnsiTheme="majorHAnsi" w:cstheme="majorHAnsi"/>
          <w:sz w:val="22"/>
          <w:szCs w:val="22"/>
        </w:rPr>
        <w:t>&lt;ESMA_QUESTION_PLPM_16&gt;</w:t>
      </w:r>
    </w:p>
    <w:p w14:paraId="00182AD0" w14:textId="77777777" w:rsidR="00AB6157" w:rsidRPr="00273EEE" w:rsidRDefault="00AB6157" w:rsidP="00273EEE">
      <w:pPr>
        <w:spacing w:line="276" w:lineRule="auto"/>
        <w:jc w:val="both"/>
        <w:rPr>
          <w:rFonts w:asciiTheme="majorHAnsi" w:hAnsiTheme="majorHAnsi" w:cstheme="majorHAnsi"/>
          <w:sz w:val="22"/>
          <w:szCs w:val="22"/>
        </w:rPr>
      </w:pPr>
    </w:p>
    <w:p w14:paraId="3A2F28AE"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bookmarkStart w:id="4" w:name="_Hlk8205050"/>
      <w:r w:rsidRPr="00273EEE">
        <w:rPr>
          <w:rFonts w:asciiTheme="majorHAnsi" w:hAnsiTheme="majorHAnsi" w:cstheme="majorHAnsi"/>
        </w:rPr>
        <w:t>: Would you see merits in the approach described above and the additional flexibility provided to CAs for setting the spot month limit in cash settled contracts? Please explain.</w:t>
      </w:r>
      <w:bookmarkEnd w:id="4"/>
    </w:p>
    <w:p w14:paraId="3E38811E" w14:textId="499EF826"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&lt;ESMA_QUESTION_PLPM_17&gt;</w:t>
      </w:r>
    </w:p>
    <w:p w14:paraId="18BE1E36" w14:textId="230DFC46" w:rsidR="00FC1366" w:rsidRDefault="00A2340F" w:rsidP="00273EEE">
      <w:pPr>
        <w:spacing w:line="276" w:lineRule="auto"/>
        <w:jc w:val="both"/>
        <w:rPr>
          <w:rFonts w:asciiTheme="majorHAnsi" w:eastAsia="Calibri" w:hAnsiTheme="majorHAnsi" w:cstheme="majorHAnsi"/>
          <w:sz w:val="22"/>
          <w:szCs w:val="22"/>
          <w:lang w:eastAsia="en-US"/>
        </w:rPr>
      </w:pPr>
      <w:permStart w:id="902328625" w:edGrp="everyone"/>
      <w:r w:rsidRPr="00273EEE">
        <w:rPr>
          <w:rFonts w:asciiTheme="majorHAnsi" w:eastAsia="Calibri" w:hAnsiTheme="majorHAnsi" w:cstheme="majorHAnsi"/>
          <w:sz w:val="22"/>
          <w:szCs w:val="22"/>
          <w:lang w:eastAsia="en-US"/>
        </w:rPr>
        <w:t>Yes. Europex</w:t>
      </w:r>
      <w:r w:rsidR="000D48DB" w:rsidRPr="00273EEE">
        <w:rPr>
          <w:rFonts w:asciiTheme="majorHAnsi" w:eastAsia="Calibri" w:hAnsiTheme="majorHAnsi" w:cstheme="majorHAnsi"/>
          <w:sz w:val="22"/>
          <w:szCs w:val="22"/>
          <w:lang w:eastAsia="en-US"/>
        </w:rPr>
        <w:t xml:space="preserve"> agrees that NCAs should have an optionality to set limits </w:t>
      </w:r>
      <w:r w:rsidR="00825B73">
        <w:rPr>
          <w:rFonts w:asciiTheme="majorHAnsi" w:eastAsia="Calibri" w:hAnsiTheme="majorHAnsi" w:cstheme="majorHAnsi"/>
          <w:sz w:val="22"/>
          <w:szCs w:val="22"/>
          <w:lang w:eastAsia="en-US"/>
        </w:rPr>
        <w:t xml:space="preserve">based on open interest </w:t>
      </w:r>
      <w:r w:rsidR="000D48DB" w:rsidRPr="00273EEE">
        <w:rPr>
          <w:rFonts w:asciiTheme="majorHAnsi" w:eastAsia="Calibri" w:hAnsiTheme="majorHAnsi" w:cstheme="majorHAnsi"/>
          <w:sz w:val="22"/>
          <w:szCs w:val="22"/>
          <w:lang w:eastAsia="en-US"/>
        </w:rPr>
        <w:t xml:space="preserve">for both spot and other months. Such a solution would prevent negative unintended consequences of the </w:t>
      </w:r>
      <w:r w:rsidR="007448B5" w:rsidRPr="00273EEE">
        <w:rPr>
          <w:rFonts w:asciiTheme="majorHAnsi" w:eastAsia="Calibri" w:hAnsiTheme="majorHAnsi" w:cstheme="majorHAnsi"/>
          <w:sz w:val="22"/>
          <w:szCs w:val="22"/>
          <w:lang w:eastAsia="en-US"/>
        </w:rPr>
        <w:t>position</w:t>
      </w:r>
      <w:r w:rsidR="000D48DB" w:rsidRPr="00273EEE">
        <w:rPr>
          <w:rFonts w:asciiTheme="majorHAnsi" w:eastAsia="Calibri" w:hAnsiTheme="majorHAnsi" w:cstheme="majorHAnsi"/>
          <w:sz w:val="22"/>
          <w:szCs w:val="22"/>
          <w:lang w:eastAsia="en-US"/>
        </w:rPr>
        <w:t xml:space="preserve"> limits regime for certain commodity derivative contracts which serve as pricing ben</w:t>
      </w:r>
      <w:bookmarkStart w:id="5" w:name="_GoBack"/>
      <w:bookmarkEnd w:id="5"/>
      <w:r w:rsidR="000D48DB" w:rsidRPr="00273EEE">
        <w:rPr>
          <w:rFonts w:asciiTheme="majorHAnsi" w:eastAsia="Calibri" w:hAnsiTheme="majorHAnsi" w:cstheme="majorHAnsi"/>
          <w:sz w:val="22"/>
          <w:szCs w:val="22"/>
          <w:lang w:eastAsia="en-US"/>
        </w:rPr>
        <w:t>chmarks and risk-management proxies in the absence of direct hedging instruments.</w:t>
      </w:r>
    </w:p>
    <w:p w14:paraId="1D75D121" w14:textId="77777777" w:rsidR="00FE4193" w:rsidRPr="00273EEE" w:rsidRDefault="00FE4193" w:rsidP="00273EEE">
      <w:pPr>
        <w:spacing w:line="276" w:lineRule="auto"/>
        <w:jc w:val="both"/>
        <w:rPr>
          <w:rFonts w:asciiTheme="majorHAnsi" w:eastAsia="Calibri" w:hAnsiTheme="majorHAnsi" w:cstheme="majorHAnsi"/>
          <w:color w:val="FF0000"/>
          <w:sz w:val="22"/>
          <w:szCs w:val="22"/>
          <w:lang w:eastAsia="en-US"/>
        </w:rPr>
      </w:pPr>
    </w:p>
    <w:p w14:paraId="5099CDF1" w14:textId="35389013" w:rsidR="00FC1366" w:rsidRPr="00273EEE" w:rsidRDefault="00A2340F" w:rsidP="00273EEE">
      <w:pPr>
        <w:spacing w:line="276" w:lineRule="auto"/>
        <w:jc w:val="both"/>
        <w:rPr>
          <w:rFonts w:asciiTheme="majorHAnsi" w:eastAsia="Calibri" w:hAnsiTheme="majorHAnsi" w:cstheme="majorHAnsi"/>
          <w:sz w:val="22"/>
          <w:szCs w:val="22"/>
          <w:lang w:eastAsia="en-US"/>
        </w:rPr>
      </w:pPr>
      <w:r w:rsidRPr="003C0591">
        <w:rPr>
          <w:rFonts w:asciiTheme="majorHAnsi" w:eastAsia="Calibri" w:hAnsiTheme="majorHAnsi" w:cstheme="majorHAnsi"/>
          <w:sz w:val="22"/>
          <w:szCs w:val="22"/>
          <w:lang w:eastAsia="en-US"/>
        </w:rPr>
        <w:t xml:space="preserve">However, </w:t>
      </w:r>
      <w:r w:rsidR="00FE4193" w:rsidRPr="00875A1B">
        <w:rPr>
          <w:rFonts w:asciiTheme="majorHAnsi" w:eastAsia="Calibri" w:hAnsiTheme="majorHAnsi" w:cstheme="majorHAnsi"/>
          <w:sz w:val="22"/>
          <w:szCs w:val="22"/>
          <w:lang w:eastAsia="en-US"/>
        </w:rPr>
        <w:t xml:space="preserve">it </w:t>
      </w:r>
      <w:r w:rsidR="00FE4193" w:rsidRPr="00B64B6B">
        <w:rPr>
          <w:rFonts w:asciiTheme="majorHAnsi" w:eastAsia="Calibri" w:hAnsiTheme="majorHAnsi" w:cstheme="majorHAnsi"/>
          <w:sz w:val="22"/>
          <w:szCs w:val="22"/>
          <w:lang w:eastAsia="en-US"/>
        </w:rPr>
        <w:t xml:space="preserve">is important to </w:t>
      </w:r>
      <w:r w:rsidR="00FE4193" w:rsidRPr="00270881">
        <w:rPr>
          <w:rFonts w:asciiTheme="majorHAnsi" w:eastAsia="Calibri" w:hAnsiTheme="majorHAnsi" w:cstheme="majorHAnsi"/>
          <w:sz w:val="22"/>
          <w:szCs w:val="22"/>
          <w:lang w:eastAsia="en-US"/>
        </w:rPr>
        <w:t>emphasise</w:t>
      </w:r>
      <w:r w:rsidR="00FC1366" w:rsidRPr="003C0591">
        <w:rPr>
          <w:rFonts w:asciiTheme="majorHAnsi" w:eastAsia="Calibri" w:hAnsiTheme="majorHAnsi" w:cstheme="majorHAnsi"/>
          <w:sz w:val="22"/>
          <w:szCs w:val="22"/>
          <w:lang w:eastAsia="en-US"/>
        </w:rPr>
        <w:t xml:space="preserve"> that setting limits for both spot and other months based on open interest should be an optionality and by no means a rule in setting position limits. It should be </w:t>
      </w:r>
      <w:r w:rsidR="00CD0270" w:rsidRPr="003C0591">
        <w:rPr>
          <w:rFonts w:asciiTheme="majorHAnsi" w:eastAsia="Calibri" w:hAnsiTheme="majorHAnsi" w:cstheme="majorHAnsi"/>
          <w:sz w:val="22"/>
          <w:szCs w:val="22"/>
          <w:lang w:eastAsia="en-US"/>
        </w:rPr>
        <w:t>conditioned upon</w:t>
      </w:r>
      <w:r w:rsidR="00FC1366" w:rsidRPr="003C0591">
        <w:rPr>
          <w:rFonts w:asciiTheme="majorHAnsi" w:eastAsia="Calibri" w:hAnsiTheme="majorHAnsi" w:cstheme="majorHAnsi"/>
          <w:sz w:val="22"/>
          <w:szCs w:val="22"/>
          <w:lang w:eastAsia="en-US"/>
        </w:rPr>
        <w:t xml:space="preserve"> specific characteristics and functions of a commodity </w:t>
      </w:r>
      <w:r w:rsidR="00CD0270" w:rsidRPr="003C0591">
        <w:rPr>
          <w:rFonts w:asciiTheme="majorHAnsi" w:eastAsia="Calibri" w:hAnsiTheme="majorHAnsi" w:cstheme="majorHAnsi"/>
          <w:sz w:val="22"/>
          <w:szCs w:val="22"/>
          <w:lang w:eastAsia="en-US"/>
        </w:rPr>
        <w:t>derivative contract in question.</w:t>
      </w:r>
      <w:r w:rsidR="00273EEE" w:rsidRPr="003C0591">
        <w:rPr>
          <w:rFonts w:asciiTheme="majorHAnsi" w:eastAsia="Calibri" w:hAnsiTheme="majorHAnsi" w:cstheme="majorHAnsi"/>
          <w:sz w:val="22"/>
          <w:szCs w:val="22"/>
          <w:lang w:eastAsia="en-US"/>
        </w:rPr>
        <w:t xml:space="preserve"> For example, in the case of freight, the ESMA MiFID II/MiFIR commodity derivative</w:t>
      </w:r>
      <w:r w:rsidR="00FE4193" w:rsidRPr="003C0591">
        <w:rPr>
          <w:rFonts w:asciiTheme="majorHAnsi" w:eastAsia="Calibri" w:hAnsiTheme="majorHAnsi" w:cstheme="majorHAnsi"/>
          <w:sz w:val="22"/>
          <w:szCs w:val="22"/>
          <w:lang w:eastAsia="en-US"/>
        </w:rPr>
        <w:t>s</w:t>
      </w:r>
      <w:r w:rsidR="00273EEE" w:rsidRPr="003C0591">
        <w:rPr>
          <w:rFonts w:asciiTheme="majorHAnsi" w:eastAsia="Calibri" w:hAnsiTheme="majorHAnsi" w:cstheme="majorHAnsi"/>
          <w:sz w:val="22"/>
          <w:szCs w:val="22"/>
          <w:lang w:eastAsia="en-US"/>
        </w:rPr>
        <w:t xml:space="preserve"> topics Q&amp;A granted flexibility to NCAs to set the spot month position limit based on </w:t>
      </w:r>
      <w:r w:rsidR="00825B73">
        <w:rPr>
          <w:rFonts w:asciiTheme="majorHAnsi" w:eastAsia="Calibri" w:hAnsiTheme="majorHAnsi" w:cstheme="majorHAnsi"/>
          <w:sz w:val="22"/>
          <w:szCs w:val="22"/>
          <w:lang w:eastAsia="en-US"/>
        </w:rPr>
        <w:t>open interest</w:t>
      </w:r>
      <w:r w:rsidR="00273EEE" w:rsidRPr="003C0591">
        <w:rPr>
          <w:rFonts w:asciiTheme="majorHAnsi" w:eastAsia="Calibri" w:hAnsiTheme="majorHAnsi" w:cstheme="majorHAnsi"/>
          <w:sz w:val="22"/>
          <w:szCs w:val="22"/>
          <w:lang w:eastAsia="en-US"/>
        </w:rPr>
        <w:t xml:space="preserve"> as deliverable supply was almost impossible to define.</w:t>
      </w:r>
    </w:p>
    <w:p w14:paraId="07F28008" w14:textId="77777777" w:rsidR="0059634D" w:rsidRPr="00273EEE" w:rsidRDefault="0059634D" w:rsidP="00273EEE">
      <w:pPr>
        <w:spacing w:line="276" w:lineRule="auto"/>
        <w:jc w:val="both"/>
        <w:rPr>
          <w:rFonts w:asciiTheme="majorHAnsi" w:eastAsia="Calibri" w:hAnsiTheme="majorHAnsi" w:cstheme="majorHAnsi"/>
          <w:sz w:val="22"/>
          <w:szCs w:val="22"/>
          <w:lang w:eastAsia="en-US"/>
        </w:rPr>
      </w:pPr>
    </w:p>
    <w:p w14:paraId="61F24D07" w14:textId="62842BC1" w:rsidR="0059634D" w:rsidRPr="00273EEE" w:rsidRDefault="0059634D"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Furthermore, it has to be noted that for power and gas the significant difference between deliverable supply and open interest can be explained by the fact that trading is still happening predominantly bilaterally and is taking place on different exchanges. It is therefore normal that the open interest of exchange-traded derivatives is relatively low compared to the underlying market. To effectively prevent market abuse, it is necessary to adjust the position limit upwards, if deliverable supply is significantly higher than the open interest. This is facilitated by Art. 18 par. 3 of the Delegated Regulation (EU) 2017/591 but not always used by NCAs.</w:t>
      </w:r>
    </w:p>
    <w:p w14:paraId="2781FDA8" w14:textId="77777777" w:rsidR="0059634D" w:rsidRPr="00273EEE" w:rsidRDefault="0059634D" w:rsidP="00273EEE">
      <w:pPr>
        <w:spacing w:line="276" w:lineRule="auto"/>
        <w:jc w:val="both"/>
        <w:rPr>
          <w:rFonts w:asciiTheme="majorHAnsi" w:eastAsia="Calibri" w:hAnsiTheme="majorHAnsi" w:cstheme="majorHAnsi"/>
          <w:sz w:val="22"/>
          <w:szCs w:val="22"/>
          <w:lang w:eastAsia="en-US"/>
        </w:rPr>
      </w:pPr>
    </w:p>
    <w:p w14:paraId="708AAD18" w14:textId="77777777" w:rsidR="0059634D" w:rsidRPr="00273EEE" w:rsidRDefault="0059634D"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As Europex we have long argued that deliverable supply is the right parameter for both spot and other month contracts. The reason for this is that deliverable supply reflects the underlying market that can be squeezed, while open interest only reflects the share of a member’s position in a given contract at a given exchange. However, if a contract is becoming very successful and hence, the open interest is substantially larger than the deliverable supply, it should be possible for the NCA to use open interest as the basis for the position limit, which can be either spot or other month. Considering this need for flexibility, we support optionality for NCAs.</w:t>
      </w:r>
    </w:p>
    <w:permEnd w:id="902328625"/>
    <w:p w14:paraId="377E659A" w14:textId="131F6350"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&lt;ESMA_QUESTION_PLPM_17&gt;</w:t>
      </w:r>
    </w:p>
    <w:p w14:paraId="070C90A0" w14:textId="77777777" w:rsidR="00AB6157" w:rsidRPr="00273EEE" w:rsidRDefault="00AB6157" w:rsidP="00273EEE">
      <w:pPr>
        <w:spacing w:line="276" w:lineRule="auto"/>
        <w:jc w:val="both"/>
        <w:rPr>
          <w:rFonts w:asciiTheme="majorHAnsi" w:hAnsiTheme="majorHAnsi" w:cstheme="majorHAnsi"/>
          <w:sz w:val="22"/>
          <w:szCs w:val="22"/>
        </w:rPr>
      </w:pPr>
    </w:p>
    <w:p w14:paraId="08150F23"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Would you see benefits to review the approach for setting position limits for new and illiquid contracts? If so, what would you suggest? </w:t>
      </w:r>
    </w:p>
    <w:p w14:paraId="2AF2705B" w14:textId="4D2C2648"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&lt;ESMA_QUESTION_PLPM_18&gt;</w:t>
      </w:r>
    </w:p>
    <w:p w14:paraId="31CD2734" w14:textId="1587D16D" w:rsidR="00CD0270" w:rsidRPr="00273EEE" w:rsidRDefault="00CD0270" w:rsidP="00273EEE">
      <w:pPr>
        <w:spacing w:line="276" w:lineRule="auto"/>
        <w:jc w:val="both"/>
        <w:rPr>
          <w:rFonts w:asciiTheme="majorHAnsi" w:eastAsia="Calibri" w:hAnsiTheme="majorHAnsi" w:cstheme="majorHAnsi"/>
          <w:sz w:val="22"/>
          <w:szCs w:val="22"/>
          <w:lang w:eastAsia="en-US"/>
        </w:rPr>
      </w:pPr>
      <w:permStart w:id="1735556310" w:edGrp="everyone"/>
      <w:r w:rsidRPr="00273EEE">
        <w:rPr>
          <w:rFonts w:asciiTheme="majorHAnsi" w:eastAsia="Calibri" w:hAnsiTheme="majorHAnsi" w:cstheme="majorHAnsi"/>
          <w:sz w:val="22"/>
          <w:szCs w:val="22"/>
          <w:lang w:eastAsia="en-US"/>
        </w:rPr>
        <w:t xml:space="preserve">Yes. Considering the negative impact that the MiFID II </w:t>
      </w:r>
      <w:r w:rsidR="00AA00DB">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has </w:t>
      </w:r>
      <w:r w:rsidR="00BB2CC0">
        <w:rPr>
          <w:rFonts w:asciiTheme="majorHAnsi" w:eastAsia="Calibri" w:hAnsiTheme="majorHAnsi" w:cstheme="majorHAnsi"/>
          <w:sz w:val="22"/>
          <w:szCs w:val="22"/>
          <w:lang w:eastAsia="en-US"/>
        </w:rPr>
        <w:t xml:space="preserve">already </w:t>
      </w:r>
      <w:r w:rsidRPr="00273EEE">
        <w:rPr>
          <w:rFonts w:asciiTheme="majorHAnsi" w:eastAsia="Calibri" w:hAnsiTheme="majorHAnsi" w:cstheme="majorHAnsi"/>
          <w:sz w:val="22"/>
          <w:szCs w:val="22"/>
          <w:lang w:eastAsia="en-US"/>
        </w:rPr>
        <w:t xml:space="preserve">had on the proper functioning and further development of nascent commodity derivatives markets </w:t>
      </w:r>
      <w:r w:rsidR="00BB2CC0">
        <w:rPr>
          <w:rFonts w:asciiTheme="majorHAnsi" w:eastAsia="Calibri" w:hAnsiTheme="majorHAnsi" w:cstheme="majorHAnsi"/>
          <w:sz w:val="22"/>
          <w:szCs w:val="22"/>
          <w:lang w:eastAsia="en-US"/>
        </w:rPr>
        <w:t xml:space="preserve">in Europe </w:t>
      </w:r>
      <w:r w:rsidRPr="00273EEE">
        <w:rPr>
          <w:rFonts w:asciiTheme="majorHAnsi" w:eastAsia="Calibri" w:hAnsiTheme="majorHAnsi" w:cstheme="majorHAnsi"/>
          <w:sz w:val="22"/>
          <w:szCs w:val="22"/>
          <w:lang w:eastAsia="en-US"/>
        </w:rPr>
        <w:t xml:space="preserve">as well as </w:t>
      </w:r>
      <w:r w:rsidR="00BB2CC0">
        <w:rPr>
          <w:rFonts w:asciiTheme="majorHAnsi" w:eastAsia="Calibri" w:hAnsiTheme="majorHAnsi" w:cstheme="majorHAnsi"/>
          <w:sz w:val="22"/>
          <w:szCs w:val="22"/>
          <w:lang w:eastAsia="en-US"/>
        </w:rPr>
        <w:t xml:space="preserve">on </w:t>
      </w:r>
      <w:r w:rsidRPr="00273EEE">
        <w:rPr>
          <w:rFonts w:asciiTheme="majorHAnsi" w:eastAsia="Calibri" w:hAnsiTheme="majorHAnsi" w:cstheme="majorHAnsi"/>
          <w:sz w:val="22"/>
          <w:szCs w:val="22"/>
          <w:lang w:eastAsia="en-US"/>
        </w:rPr>
        <w:t>the competitive position of European trading</w:t>
      </w:r>
      <w:r w:rsidR="00A2340F" w:rsidRPr="00273EEE">
        <w:rPr>
          <w:rFonts w:asciiTheme="majorHAnsi" w:eastAsia="Calibri" w:hAnsiTheme="majorHAnsi" w:cstheme="majorHAnsi"/>
          <w:sz w:val="22"/>
          <w:szCs w:val="22"/>
          <w:lang w:eastAsia="en-US"/>
        </w:rPr>
        <w:t xml:space="preserve"> venues, Europex</w:t>
      </w:r>
      <w:r w:rsidRPr="00273EEE">
        <w:rPr>
          <w:rFonts w:asciiTheme="majorHAnsi" w:eastAsia="Calibri" w:hAnsiTheme="majorHAnsi" w:cstheme="majorHAnsi"/>
          <w:sz w:val="22"/>
          <w:szCs w:val="22"/>
          <w:lang w:eastAsia="en-US"/>
        </w:rPr>
        <w:t xml:space="preserve"> </w:t>
      </w:r>
      <w:r w:rsidR="00BB2CC0">
        <w:rPr>
          <w:rFonts w:asciiTheme="majorHAnsi" w:eastAsia="Calibri" w:hAnsiTheme="majorHAnsi" w:cstheme="majorHAnsi"/>
          <w:sz w:val="22"/>
          <w:szCs w:val="22"/>
          <w:lang w:eastAsia="en-US"/>
        </w:rPr>
        <w:t>believes</w:t>
      </w:r>
      <w:r w:rsidRPr="00273EEE">
        <w:rPr>
          <w:rFonts w:asciiTheme="majorHAnsi" w:eastAsia="Calibri" w:hAnsiTheme="majorHAnsi" w:cstheme="majorHAnsi"/>
          <w:sz w:val="22"/>
          <w:szCs w:val="22"/>
          <w:lang w:eastAsia="en-US"/>
        </w:rPr>
        <w:t xml:space="preserve"> that changes are</w:t>
      </w:r>
      <w:r w:rsidR="00B34CAB" w:rsidRPr="00273EEE">
        <w:rPr>
          <w:rFonts w:asciiTheme="majorHAnsi" w:eastAsia="Calibri" w:hAnsiTheme="majorHAnsi" w:cstheme="majorHAnsi"/>
          <w:sz w:val="22"/>
          <w:szCs w:val="22"/>
          <w:lang w:eastAsia="en-US"/>
        </w:rPr>
        <w:t xml:space="preserve"> </w:t>
      </w:r>
      <w:r w:rsidR="0011221C" w:rsidRPr="00273EEE">
        <w:rPr>
          <w:rFonts w:asciiTheme="majorHAnsi" w:eastAsia="Calibri" w:hAnsiTheme="majorHAnsi" w:cstheme="majorHAnsi"/>
          <w:sz w:val="22"/>
          <w:szCs w:val="22"/>
          <w:lang w:eastAsia="en-US"/>
        </w:rPr>
        <w:t>absolutely crucial and urgent</w:t>
      </w:r>
      <w:r w:rsidRPr="00273EEE">
        <w:rPr>
          <w:rFonts w:asciiTheme="majorHAnsi" w:eastAsia="Calibri" w:hAnsiTheme="majorHAnsi" w:cstheme="majorHAnsi"/>
          <w:sz w:val="22"/>
          <w:szCs w:val="22"/>
          <w:lang w:eastAsia="en-US"/>
        </w:rPr>
        <w:t xml:space="preserve">.  </w:t>
      </w:r>
    </w:p>
    <w:p w14:paraId="2665CF0F" w14:textId="77777777" w:rsidR="00CD0270" w:rsidRPr="00273EEE" w:rsidRDefault="00CD0270" w:rsidP="00273EEE">
      <w:pPr>
        <w:spacing w:line="276" w:lineRule="auto"/>
        <w:jc w:val="both"/>
        <w:rPr>
          <w:rFonts w:asciiTheme="majorHAnsi" w:eastAsia="Calibri" w:hAnsiTheme="majorHAnsi" w:cstheme="majorHAnsi"/>
          <w:sz w:val="22"/>
          <w:szCs w:val="22"/>
          <w:lang w:eastAsia="en-US"/>
        </w:rPr>
      </w:pPr>
    </w:p>
    <w:p w14:paraId="2AC52BC5" w14:textId="3E441DB8" w:rsidR="00CD0270" w:rsidRPr="00273EEE" w:rsidRDefault="00A2340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Europex</w:t>
      </w:r>
      <w:r w:rsidR="00CD0270" w:rsidRPr="00273EEE">
        <w:rPr>
          <w:rFonts w:asciiTheme="majorHAnsi" w:eastAsia="Calibri" w:hAnsiTheme="majorHAnsi" w:cstheme="majorHAnsi"/>
          <w:sz w:val="22"/>
          <w:szCs w:val="22"/>
          <w:lang w:eastAsia="en-US"/>
        </w:rPr>
        <w:t xml:space="preserve"> </w:t>
      </w:r>
      <w:r w:rsidR="003C11ED">
        <w:rPr>
          <w:rFonts w:asciiTheme="majorHAnsi" w:eastAsia="Calibri" w:hAnsiTheme="majorHAnsi" w:cstheme="majorHAnsi"/>
          <w:sz w:val="22"/>
          <w:szCs w:val="22"/>
          <w:lang w:eastAsia="en-US"/>
        </w:rPr>
        <w:t>supports the view</w:t>
      </w:r>
      <w:r w:rsidR="00CD0270" w:rsidRPr="00273EEE">
        <w:rPr>
          <w:rFonts w:asciiTheme="majorHAnsi" w:eastAsia="Calibri" w:hAnsiTheme="majorHAnsi" w:cstheme="majorHAnsi"/>
          <w:sz w:val="22"/>
          <w:szCs w:val="22"/>
          <w:lang w:eastAsia="en-US"/>
        </w:rPr>
        <w:t xml:space="preserve"> that position limits should only be imposed on key benchmark contracts which are crucial to </w:t>
      </w:r>
      <w:r w:rsidR="00150825">
        <w:rPr>
          <w:rFonts w:asciiTheme="majorHAnsi" w:eastAsia="Calibri" w:hAnsiTheme="majorHAnsi" w:cstheme="majorHAnsi"/>
          <w:sz w:val="22"/>
          <w:szCs w:val="22"/>
          <w:lang w:eastAsia="en-US"/>
        </w:rPr>
        <w:t xml:space="preserve">the </w:t>
      </w:r>
      <w:r w:rsidR="00CD0270" w:rsidRPr="00273EEE">
        <w:rPr>
          <w:rFonts w:asciiTheme="majorHAnsi" w:eastAsia="Calibri" w:hAnsiTheme="majorHAnsi" w:cstheme="majorHAnsi"/>
          <w:sz w:val="22"/>
          <w:szCs w:val="22"/>
          <w:lang w:eastAsia="en-US"/>
        </w:rPr>
        <w:t xml:space="preserve">orderly functioning of their respective commodity markets, e.g. </w:t>
      </w:r>
      <w:r w:rsidR="00150825">
        <w:rPr>
          <w:rFonts w:asciiTheme="majorHAnsi" w:eastAsia="Calibri" w:hAnsiTheme="majorHAnsi" w:cstheme="majorHAnsi"/>
          <w:sz w:val="22"/>
          <w:szCs w:val="22"/>
          <w:lang w:eastAsia="en-US"/>
        </w:rPr>
        <w:t xml:space="preserve">the </w:t>
      </w:r>
      <w:r w:rsidR="00CD0270" w:rsidRPr="00273EEE">
        <w:rPr>
          <w:rFonts w:asciiTheme="majorHAnsi" w:eastAsia="Calibri" w:hAnsiTheme="majorHAnsi" w:cstheme="majorHAnsi"/>
          <w:sz w:val="22"/>
          <w:szCs w:val="22"/>
          <w:lang w:eastAsia="en-US"/>
        </w:rPr>
        <w:t>ICE Brent Futures contract.</w:t>
      </w:r>
      <w:r w:rsidR="00F94952" w:rsidRPr="00273EEE">
        <w:rPr>
          <w:rFonts w:asciiTheme="majorHAnsi" w:eastAsia="Calibri" w:hAnsiTheme="majorHAnsi" w:cstheme="majorHAnsi"/>
          <w:sz w:val="22"/>
          <w:szCs w:val="22"/>
          <w:lang w:eastAsia="en-US"/>
        </w:rPr>
        <w:t xml:space="preserve"> This is because the price formation mainly occurs in such benchmark products.</w:t>
      </w:r>
      <w:r w:rsidR="00CD0270" w:rsidRPr="00273EEE">
        <w:rPr>
          <w:rFonts w:asciiTheme="majorHAnsi" w:eastAsia="Calibri" w:hAnsiTheme="majorHAnsi" w:cstheme="majorHAnsi"/>
          <w:sz w:val="22"/>
          <w:szCs w:val="22"/>
          <w:lang w:eastAsia="en-US"/>
        </w:rPr>
        <w:t xml:space="preserve"> Other c</w:t>
      </w:r>
      <w:r w:rsidR="00F94952" w:rsidRPr="00273EEE">
        <w:rPr>
          <w:rFonts w:asciiTheme="majorHAnsi" w:eastAsia="Calibri" w:hAnsiTheme="majorHAnsi" w:cstheme="majorHAnsi"/>
          <w:sz w:val="22"/>
          <w:szCs w:val="22"/>
          <w:lang w:eastAsia="en-US"/>
        </w:rPr>
        <w:t xml:space="preserve">ommodity derivatives </w:t>
      </w:r>
      <w:r w:rsidR="0011221C" w:rsidRPr="00273EEE">
        <w:rPr>
          <w:rFonts w:asciiTheme="majorHAnsi" w:eastAsia="Calibri" w:hAnsiTheme="majorHAnsi" w:cstheme="majorHAnsi"/>
          <w:sz w:val="22"/>
          <w:szCs w:val="22"/>
          <w:lang w:eastAsia="en-US"/>
        </w:rPr>
        <w:t xml:space="preserve">typically </w:t>
      </w:r>
      <w:r w:rsidR="00F94952" w:rsidRPr="00273EEE">
        <w:rPr>
          <w:rFonts w:asciiTheme="majorHAnsi" w:eastAsia="Calibri" w:hAnsiTheme="majorHAnsi" w:cstheme="majorHAnsi"/>
          <w:sz w:val="22"/>
          <w:szCs w:val="22"/>
          <w:lang w:eastAsia="en-US"/>
        </w:rPr>
        <w:t xml:space="preserve">follow benchmarks in terms of price formation and </w:t>
      </w:r>
      <w:r w:rsidR="00CD0270" w:rsidRPr="00273EEE">
        <w:rPr>
          <w:rFonts w:asciiTheme="majorHAnsi" w:eastAsia="Calibri" w:hAnsiTheme="majorHAnsi" w:cstheme="majorHAnsi"/>
          <w:sz w:val="22"/>
          <w:szCs w:val="22"/>
          <w:lang w:eastAsia="en-US"/>
        </w:rPr>
        <w:t xml:space="preserve">should </w:t>
      </w:r>
      <w:r w:rsidR="003D1A41" w:rsidRPr="00273EEE">
        <w:rPr>
          <w:rFonts w:asciiTheme="majorHAnsi" w:eastAsia="Calibri" w:hAnsiTheme="majorHAnsi" w:cstheme="majorHAnsi"/>
          <w:sz w:val="22"/>
          <w:szCs w:val="22"/>
          <w:lang w:eastAsia="en-US"/>
        </w:rPr>
        <w:t xml:space="preserve">thus </w:t>
      </w:r>
      <w:r w:rsidR="00CD0270" w:rsidRPr="00273EEE">
        <w:rPr>
          <w:rFonts w:asciiTheme="majorHAnsi" w:eastAsia="Calibri" w:hAnsiTheme="majorHAnsi" w:cstheme="majorHAnsi"/>
          <w:sz w:val="22"/>
          <w:szCs w:val="22"/>
          <w:lang w:eastAsia="en-US"/>
        </w:rPr>
        <w:t xml:space="preserve">not be subject to limits. </w:t>
      </w:r>
    </w:p>
    <w:p w14:paraId="692CFCAE" w14:textId="77777777" w:rsidR="00F94952" w:rsidRPr="00273EEE" w:rsidRDefault="00F94952" w:rsidP="00273EEE">
      <w:pPr>
        <w:spacing w:line="276" w:lineRule="auto"/>
        <w:jc w:val="both"/>
        <w:rPr>
          <w:rFonts w:asciiTheme="majorHAnsi" w:eastAsia="Calibri" w:hAnsiTheme="majorHAnsi" w:cstheme="majorHAnsi"/>
          <w:sz w:val="22"/>
          <w:szCs w:val="22"/>
          <w:lang w:eastAsia="en-US"/>
        </w:rPr>
      </w:pPr>
    </w:p>
    <w:p w14:paraId="7DE6906D" w14:textId="45EDACD6" w:rsidR="00AB6157" w:rsidRPr="00273EEE" w:rsidRDefault="00F94952"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Equally, new</w:t>
      </w:r>
      <w:r w:rsidR="003D1A41">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xml:space="preserve">illiquid and less liquid contracts (i.e. those with </w:t>
      </w:r>
      <w:r w:rsidR="003D1A41">
        <w:rPr>
          <w:rFonts w:asciiTheme="majorHAnsi" w:eastAsia="Calibri" w:hAnsiTheme="majorHAnsi" w:cstheme="majorHAnsi"/>
          <w:sz w:val="22"/>
          <w:szCs w:val="22"/>
          <w:lang w:eastAsia="en-US"/>
        </w:rPr>
        <w:t xml:space="preserve">an </w:t>
      </w:r>
      <w:r w:rsidRPr="00273EEE">
        <w:rPr>
          <w:rFonts w:asciiTheme="majorHAnsi" w:eastAsia="Calibri" w:hAnsiTheme="majorHAnsi" w:cstheme="majorHAnsi"/>
          <w:sz w:val="22"/>
          <w:szCs w:val="22"/>
          <w:lang w:eastAsia="en-US"/>
        </w:rPr>
        <w:t xml:space="preserve">open interest below </w:t>
      </w:r>
      <w:r w:rsidR="003D1A41">
        <w:rPr>
          <w:rFonts w:asciiTheme="majorHAnsi" w:eastAsia="Calibri" w:hAnsiTheme="majorHAnsi" w:cstheme="majorHAnsi"/>
          <w:sz w:val="22"/>
          <w:szCs w:val="22"/>
          <w:lang w:eastAsia="en-US"/>
        </w:rPr>
        <w:t>20,000</w:t>
      </w:r>
      <w:r w:rsidRPr="00273EEE">
        <w:rPr>
          <w:rFonts w:asciiTheme="majorHAnsi" w:eastAsia="Calibri" w:hAnsiTheme="majorHAnsi" w:cstheme="majorHAnsi"/>
          <w:sz w:val="22"/>
          <w:szCs w:val="22"/>
          <w:lang w:eastAsia="en-US"/>
        </w:rPr>
        <w:t xml:space="preserve"> lots) should not be subject to position limits. </w:t>
      </w:r>
      <w:r w:rsidR="006A59E7" w:rsidRPr="00273EEE">
        <w:rPr>
          <w:rFonts w:asciiTheme="majorHAnsi" w:eastAsia="Calibri" w:hAnsiTheme="majorHAnsi" w:cstheme="majorHAnsi"/>
          <w:sz w:val="22"/>
          <w:szCs w:val="22"/>
          <w:lang w:eastAsia="en-US"/>
        </w:rPr>
        <w:t>New and nascent products normally constitute a minor share of commodity markets. Such contracts are unlikely to influence price movements in the underlying physical commodity markets that could negatively impact consumers.</w:t>
      </w:r>
      <w:r w:rsidR="00655F3C" w:rsidRPr="00273EEE">
        <w:rPr>
          <w:rFonts w:asciiTheme="majorHAnsi" w:eastAsia="Calibri" w:hAnsiTheme="majorHAnsi" w:cstheme="majorHAnsi"/>
          <w:sz w:val="22"/>
          <w:szCs w:val="22"/>
          <w:lang w:eastAsia="en-US"/>
        </w:rPr>
        <w:t xml:space="preserve"> </w:t>
      </w:r>
      <w:r w:rsidR="00CD0270" w:rsidRPr="00273EEE">
        <w:rPr>
          <w:rFonts w:asciiTheme="majorHAnsi" w:eastAsia="Calibri" w:hAnsiTheme="majorHAnsi" w:cstheme="majorHAnsi"/>
          <w:sz w:val="22"/>
          <w:szCs w:val="22"/>
          <w:lang w:eastAsia="en-US"/>
        </w:rPr>
        <w:t>Such an amendment would better fulfil the overall policy objective of MiFID II to “</w:t>
      </w:r>
      <w:r w:rsidR="00CD0270" w:rsidRPr="00273EEE">
        <w:rPr>
          <w:rFonts w:asciiTheme="majorHAnsi" w:eastAsia="Calibri" w:hAnsiTheme="majorHAnsi" w:cstheme="majorHAnsi"/>
          <w:i/>
          <w:sz w:val="22"/>
          <w:szCs w:val="22"/>
          <w:lang w:eastAsia="en-US"/>
        </w:rPr>
        <w:t>improve the functioning and transparency of commodity markets and address excessive commodity price volatility</w:t>
      </w:r>
      <w:r w:rsidR="00CD0270" w:rsidRPr="00273EEE">
        <w:rPr>
          <w:rFonts w:asciiTheme="majorHAnsi" w:eastAsia="Calibri" w:hAnsiTheme="majorHAnsi" w:cstheme="majorHAnsi"/>
          <w:sz w:val="22"/>
          <w:szCs w:val="22"/>
          <w:lang w:eastAsia="en-US"/>
        </w:rPr>
        <w:t>”. Furthermore, even in the absence of position limits, these contracts would remain subject to internal position monitoring and management by the trading venues and market surveillance procedures aimed at preventing abuse. Thus, the removal of position limits for such contracts would not pose any risk to the transparency and functioning thereof. Rather, attracting more volume to regulated venues would contribute to a more t</w:t>
      </w:r>
      <w:r w:rsidR="00653B36" w:rsidRPr="00273EEE">
        <w:rPr>
          <w:rFonts w:asciiTheme="majorHAnsi" w:eastAsia="Calibri" w:hAnsiTheme="majorHAnsi" w:cstheme="majorHAnsi"/>
          <w:sz w:val="22"/>
          <w:szCs w:val="22"/>
          <w:lang w:eastAsia="en-US"/>
        </w:rPr>
        <w:t>ransparent trading environment.</w:t>
      </w:r>
    </w:p>
    <w:p w14:paraId="7E4F2414" w14:textId="77777777" w:rsidR="0071227B" w:rsidRPr="00273EEE" w:rsidRDefault="0071227B" w:rsidP="00273EEE">
      <w:pPr>
        <w:spacing w:line="276" w:lineRule="auto"/>
        <w:jc w:val="both"/>
        <w:rPr>
          <w:rFonts w:asciiTheme="majorHAnsi" w:eastAsia="Calibri" w:hAnsiTheme="majorHAnsi" w:cstheme="majorHAnsi"/>
          <w:sz w:val="22"/>
          <w:szCs w:val="22"/>
          <w:lang w:eastAsia="en-US"/>
        </w:rPr>
      </w:pPr>
    </w:p>
    <w:p w14:paraId="6C0EE760" w14:textId="09F01C04" w:rsidR="0071227B" w:rsidRPr="00273EEE" w:rsidRDefault="0071227B"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Please see our response to Q5</w:t>
      </w:r>
      <w:r w:rsidR="00B34CAB" w:rsidRPr="00273EEE">
        <w:rPr>
          <w:rFonts w:asciiTheme="majorHAnsi" w:eastAsia="Calibri" w:hAnsiTheme="majorHAnsi" w:cstheme="majorHAnsi"/>
          <w:sz w:val="22"/>
          <w:szCs w:val="22"/>
          <w:lang w:eastAsia="en-US"/>
        </w:rPr>
        <w:t xml:space="preserve"> for more details</w:t>
      </w:r>
      <w:r w:rsidRPr="00273EEE">
        <w:rPr>
          <w:rFonts w:asciiTheme="majorHAnsi" w:eastAsia="Calibri" w:hAnsiTheme="majorHAnsi" w:cstheme="majorHAnsi"/>
          <w:sz w:val="22"/>
          <w:szCs w:val="22"/>
          <w:lang w:eastAsia="en-US"/>
        </w:rPr>
        <w:t>.</w:t>
      </w:r>
    </w:p>
    <w:permEnd w:id="1735556310"/>
    <w:p w14:paraId="113F910C" w14:textId="12CF4CF5"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&lt;ESMA_QUESTION_PLPM_18&gt;</w:t>
      </w:r>
    </w:p>
    <w:p w14:paraId="4EAC3F1E" w14:textId="77777777" w:rsidR="00BB11C5" w:rsidRPr="00273EEE" w:rsidRDefault="00BB11C5" w:rsidP="00273EEE">
      <w:pPr>
        <w:spacing w:line="276" w:lineRule="auto"/>
        <w:jc w:val="both"/>
        <w:rPr>
          <w:rFonts w:asciiTheme="majorHAnsi" w:hAnsiTheme="majorHAnsi" w:cstheme="majorHAnsi"/>
          <w:sz w:val="22"/>
          <w:szCs w:val="22"/>
        </w:rPr>
      </w:pPr>
    </w:p>
    <w:p w14:paraId="40FE3FDC" w14:textId="77777777" w:rsidR="00AB6157" w:rsidRPr="00273EEE" w:rsidRDefault="00AB6157" w:rsidP="00273EEE">
      <w:pPr>
        <w:spacing w:line="276" w:lineRule="auto"/>
        <w:jc w:val="both"/>
        <w:rPr>
          <w:rFonts w:asciiTheme="majorHAnsi" w:hAnsiTheme="majorHAnsi" w:cstheme="majorHAnsi"/>
          <w:sz w:val="22"/>
          <w:szCs w:val="22"/>
        </w:rPr>
      </w:pPr>
    </w:p>
    <w:p w14:paraId="74E4AC37"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xml:space="preserve">: Would you see merits in a more forward-looking approach to the calculation of open interest used as a baseline for setting position limits? Please elaborate. </w:t>
      </w:r>
    </w:p>
    <w:p w14:paraId="03AFBD42" w14:textId="21F64697"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&lt;ESMA_QUESTION_PLPM_19&gt;</w:t>
      </w:r>
    </w:p>
    <w:p w14:paraId="4580EC92" w14:textId="32ECBC79" w:rsidR="00D55B53" w:rsidRPr="00273EEE" w:rsidRDefault="00D55B53" w:rsidP="00D55B53">
      <w:pPr>
        <w:spacing w:line="276" w:lineRule="auto"/>
        <w:jc w:val="both"/>
        <w:rPr>
          <w:rFonts w:asciiTheme="majorHAnsi" w:eastAsia="Calibri" w:hAnsiTheme="majorHAnsi" w:cstheme="majorHAnsi"/>
          <w:sz w:val="22"/>
          <w:szCs w:val="22"/>
          <w:lang w:eastAsia="en-US"/>
        </w:rPr>
      </w:pPr>
      <w:permStart w:id="842868082" w:edGrp="everyone"/>
      <w:r w:rsidRPr="00273EEE">
        <w:rPr>
          <w:rFonts w:asciiTheme="majorHAnsi" w:eastAsia="Calibri" w:hAnsiTheme="majorHAnsi" w:cstheme="majorHAnsi"/>
          <w:sz w:val="22"/>
          <w:szCs w:val="22"/>
          <w:lang w:eastAsia="en-US"/>
        </w:rPr>
        <w:t xml:space="preserve">Europex supports the introduction of a forward-looking model </w:t>
      </w:r>
      <w:r>
        <w:rPr>
          <w:rFonts w:asciiTheme="majorHAnsi" w:eastAsia="Calibri" w:hAnsiTheme="majorHAnsi" w:cstheme="majorHAnsi"/>
          <w:sz w:val="22"/>
          <w:szCs w:val="22"/>
          <w:lang w:eastAsia="en-US"/>
        </w:rPr>
        <w:t>in which</w:t>
      </w:r>
      <w:r w:rsidRPr="00273EEE">
        <w:rPr>
          <w:rFonts w:asciiTheme="majorHAnsi" w:eastAsia="Calibri" w:hAnsiTheme="majorHAnsi" w:cstheme="majorHAnsi"/>
          <w:sz w:val="22"/>
          <w:szCs w:val="22"/>
          <w:lang w:eastAsia="en-US"/>
        </w:rPr>
        <w:t xml:space="preserve"> the position limit is calculated based on a form of extrapolation of the market’s historical development of open interest in the case of other month contracts and deliverable supply in the case of spot month contracts. This approach would be </w:t>
      </w:r>
      <w:r>
        <w:rPr>
          <w:rFonts w:asciiTheme="majorHAnsi" w:eastAsia="Calibri" w:hAnsiTheme="majorHAnsi" w:cstheme="majorHAnsi"/>
          <w:sz w:val="22"/>
          <w:szCs w:val="22"/>
          <w:lang w:eastAsia="en-US"/>
        </w:rPr>
        <w:t>particularly well</w:t>
      </w:r>
      <w:r w:rsidRPr="00273EEE">
        <w:rPr>
          <w:rFonts w:asciiTheme="majorHAnsi" w:eastAsia="Calibri" w:hAnsiTheme="majorHAnsi" w:cstheme="majorHAnsi"/>
          <w:sz w:val="22"/>
          <w:szCs w:val="22"/>
          <w:lang w:eastAsia="en-US"/>
        </w:rPr>
        <w:t xml:space="preserve"> suited to accommodate for periods of strong market growth.</w:t>
      </w:r>
    </w:p>
    <w:p w14:paraId="7E006AD0" w14:textId="77777777" w:rsidR="00D55B53" w:rsidRPr="00273EEE" w:rsidRDefault="00D55B53" w:rsidP="00D55B53">
      <w:pPr>
        <w:spacing w:line="276" w:lineRule="auto"/>
        <w:jc w:val="both"/>
        <w:rPr>
          <w:rFonts w:asciiTheme="majorHAnsi" w:eastAsia="Calibri" w:hAnsiTheme="majorHAnsi" w:cstheme="majorHAnsi"/>
          <w:sz w:val="22"/>
          <w:szCs w:val="22"/>
          <w:lang w:eastAsia="en-US"/>
        </w:rPr>
      </w:pPr>
    </w:p>
    <w:p w14:paraId="710E9C3B" w14:textId="77777777" w:rsidR="00D55B53" w:rsidRPr="00273EEE" w:rsidRDefault="00D55B53" w:rsidP="00D55B53">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Under the existing model a position limit is based on a percentage of the average amount of open interest in a contract of a certain historical period, which is usually a one, three, six or twelve months period depending on the characteristics of the </w:t>
      </w:r>
      <w:r>
        <w:rPr>
          <w:rFonts w:asciiTheme="majorHAnsi" w:eastAsia="Calibri" w:hAnsiTheme="majorHAnsi" w:cstheme="majorHAnsi"/>
          <w:sz w:val="22"/>
          <w:szCs w:val="22"/>
          <w:lang w:eastAsia="en-US"/>
        </w:rPr>
        <w:t xml:space="preserve">concerned </w:t>
      </w:r>
      <w:r w:rsidRPr="00273EEE">
        <w:rPr>
          <w:rFonts w:asciiTheme="majorHAnsi" w:eastAsia="Calibri" w:hAnsiTheme="majorHAnsi" w:cstheme="majorHAnsi"/>
          <w:sz w:val="22"/>
          <w:szCs w:val="22"/>
          <w:lang w:eastAsia="en-US"/>
        </w:rPr>
        <w:t xml:space="preserve">commodity market. This backward-looking methodology inherently does not properly capture the potential future </w:t>
      </w:r>
      <w:r w:rsidRPr="00273EEE">
        <w:rPr>
          <w:rFonts w:asciiTheme="majorHAnsi" w:eastAsia="Calibri" w:hAnsiTheme="majorHAnsi" w:cstheme="majorHAnsi"/>
          <w:sz w:val="22"/>
          <w:szCs w:val="22"/>
          <w:lang w:eastAsia="en-US"/>
        </w:rPr>
        <w:lastRenderedPageBreak/>
        <w:t>growth of a market and risks applying an over</w:t>
      </w:r>
      <w:r>
        <w:rPr>
          <w:rFonts w:asciiTheme="majorHAnsi" w:eastAsia="Calibri" w:hAnsiTheme="majorHAnsi" w:cstheme="majorHAnsi"/>
          <w:sz w:val="22"/>
          <w:szCs w:val="22"/>
          <w:lang w:eastAsia="en-US"/>
        </w:rPr>
        <w:t>ly</w:t>
      </w:r>
      <w:r w:rsidRPr="00273EEE">
        <w:rPr>
          <w:rFonts w:asciiTheme="majorHAnsi" w:eastAsia="Calibri" w:hAnsiTheme="majorHAnsi" w:cstheme="majorHAnsi"/>
          <w:sz w:val="22"/>
          <w:szCs w:val="22"/>
          <w:lang w:eastAsia="en-US"/>
        </w:rPr>
        <w:t xml:space="preserve"> restrictive limit when a market experiences a period of strong growth. A</w:t>
      </w:r>
      <w:r>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a minimum and where appropriate, it should therefore be allowed to use the smallest possible period for the calculation of open interest levels (i.e. the average open interest of the most recent trading day) under the existing rules.  </w:t>
      </w:r>
    </w:p>
    <w:p w14:paraId="588C6836" w14:textId="77777777" w:rsidR="00D55B53" w:rsidRPr="00273EEE" w:rsidRDefault="00D55B53" w:rsidP="00D55B53">
      <w:pPr>
        <w:spacing w:line="276" w:lineRule="auto"/>
        <w:jc w:val="both"/>
        <w:rPr>
          <w:rFonts w:asciiTheme="majorHAnsi" w:eastAsia="Calibri" w:hAnsiTheme="majorHAnsi" w:cstheme="majorHAnsi"/>
          <w:sz w:val="22"/>
          <w:szCs w:val="22"/>
          <w:lang w:eastAsia="en-US"/>
        </w:rPr>
      </w:pPr>
    </w:p>
    <w:p w14:paraId="7FFEDA4E" w14:textId="44FCFB1F" w:rsidR="000874F1" w:rsidRPr="00273EEE" w:rsidRDefault="00D55B53" w:rsidP="00273EEE">
      <w:pPr>
        <w:spacing w:line="276" w:lineRule="auto"/>
        <w:jc w:val="both"/>
        <w:rPr>
          <w:rFonts w:asciiTheme="majorHAnsi" w:hAnsiTheme="majorHAnsi" w:cstheme="majorHAnsi"/>
          <w:sz w:val="22"/>
          <w:szCs w:val="22"/>
        </w:rPr>
      </w:pPr>
      <w:r>
        <w:rPr>
          <w:rFonts w:asciiTheme="majorHAnsi" w:eastAsia="Calibri" w:hAnsiTheme="majorHAnsi" w:cstheme="majorHAnsi"/>
          <w:sz w:val="22"/>
          <w:szCs w:val="22"/>
          <w:lang w:eastAsia="en-US"/>
        </w:rPr>
        <w:t>The</w:t>
      </w:r>
      <w:r w:rsidRPr="00273EEE">
        <w:rPr>
          <w:rFonts w:asciiTheme="majorHAnsi" w:eastAsia="Calibri" w:hAnsiTheme="majorHAnsi" w:cstheme="majorHAnsi"/>
          <w:sz w:val="22"/>
          <w:szCs w:val="22"/>
          <w:lang w:eastAsia="en-US"/>
        </w:rPr>
        <w:t xml:space="preserve"> </w:t>
      </w:r>
      <w:r>
        <w:rPr>
          <w:rFonts w:asciiTheme="majorHAnsi" w:eastAsia="Calibri" w:hAnsiTheme="majorHAnsi" w:cstheme="majorHAnsi"/>
          <w:sz w:val="22"/>
          <w:szCs w:val="22"/>
          <w:lang w:eastAsia="en-US"/>
        </w:rPr>
        <w:t xml:space="preserve">above-mentioned </w:t>
      </w:r>
      <w:r w:rsidRPr="00273EEE">
        <w:rPr>
          <w:rFonts w:asciiTheme="majorHAnsi" w:eastAsia="Calibri" w:hAnsiTheme="majorHAnsi" w:cstheme="majorHAnsi"/>
          <w:sz w:val="22"/>
          <w:szCs w:val="22"/>
          <w:lang w:eastAsia="en-US"/>
        </w:rPr>
        <w:t xml:space="preserve">forward-looking approach should not only apply to setting the limits, but also to classifying contracts as liquid or not. The development of the market should not be hampered by a delay in the application of a bespoke limit by a NCA, at least if the </w:t>
      </w:r>
      <w:r>
        <w:rPr>
          <w:rFonts w:asciiTheme="majorHAnsi" w:eastAsia="Calibri" w:hAnsiTheme="majorHAnsi" w:cstheme="majorHAnsi"/>
          <w:sz w:val="22"/>
          <w:szCs w:val="22"/>
          <w:lang w:eastAsia="en-US"/>
        </w:rPr>
        <w:t>position limit regime</w:t>
      </w:r>
      <w:r w:rsidRPr="00273EEE">
        <w:rPr>
          <w:rFonts w:asciiTheme="majorHAnsi" w:eastAsia="Calibri" w:hAnsiTheme="majorHAnsi" w:cstheme="majorHAnsi"/>
          <w:sz w:val="22"/>
          <w:szCs w:val="22"/>
          <w:lang w:eastAsia="en-US"/>
        </w:rPr>
        <w:t xml:space="preserve"> continues to include a restrictive 2,500 lots limit for illiquid contracts. Rather, we believe that - if the absolute limit of 2,500 lots continues to apply to illiquid contracts -, as soon as a contract becomes liquid, the 2,500 lots limit does no longer apply and the contract does not have a limit until the NCAs </w:t>
      </w:r>
      <w:r>
        <w:rPr>
          <w:rFonts w:asciiTheme="majorHAnsi" w:eastAsia="Calibri" w:hAnsiTheme="majorHAnsi" w:cstheme="majorHAnsi"/>
          <w:sz w:val="22"/>
          <w:szCs w:val="22"/>
          <w:lang w:eastAsia="en-US"/>
        </w:rPr>
        <w:t>will have</w:t>
      </w:r>
      <w:r w:rsidRPr="00273EEE">
        <w:rPr>
          <w:rFonts w:asciiTheme="majorHAnsi" w:eastAsia="Calibri" w:hAnsiTheme="majorHAnsi" w:cstheme="majorHAnsi"/>
          <w:sz w:val="22"/>
          <w:szCs w:val="22"/>
          <w:lang w:eastAsia="en-US"/>
        </w:rPr>
        <w:t xml:space="preserve"> set a bespoke limit.</w:t>
      </w:r>
      <w:permEnd w:id="842868082"/>
    </w:p>
    <w:p w14:paraId="22469710"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&lt;ESMA_QUESTION_PLPM_19&gt;</w:t>
      </w:r>
    </w:p>
    <w:p w14:paraId="091DF651" w14:textId="77777777" w:rsidR="00AB6157" w:rsidRPr="00273EEE" w:rsidRDefault="00AB6157" w:rsidP="00273EEE">
      <w:pPr>
        <w:spacing w:line="276" w:lineRule="auto"/>
        <w:jc w:val="both"/>
        <w:rPr>
          <w:rFonts w:asciiTheme="majorHAnsi" w:hAnsiTheme="majorHAnsi" w:cstheme="majorHAnsi"/>
          <w:sz w:val="22"/>
          <w:szCs w:val="22"/>
        </w:rPr>
      </w:pPr>
    </w:p>
    <w:p w14:paraId="5D7F2910"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In your view, are there other specific areas where the methodology for calculating the position limits set out in RTS 21 should be reviewed? If so, what would you suggest, and why?</w:t>
      </w:r>
    </w:p>
    <w:p w14:paraId="72572805" w14:textId="464042EA"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&lt;ESMA_QUESTION_PLPM_20&gt;</w:t>
      </w:r>
    </w:p>
    <w:p w14:paraId="3EC9EAC2" w14:textId="45B60856" w:rsidR="0071227B" w:rsidRPr="00273EEE" w:rsidRDefault="0071227B" w:rsidP="00273EEE">
      <w:pPr>
        <w:spacing w:line="276" w:lineRule="auto"/>
        <w:jc w:val="both"/>
        <w:rPr>
          <w:rFonts w:asciiTheme="majorHAnsi" w:hAnsiTheme="majorHAnsi" w:cstheme="majorHAnsi"/>
          <w:sz w:val="22"/>
          <w:szCs w:val="22"/>
        </w:rPr>
      </w:pPr>
      <w:permStart w:id="2037338056" w:edGrp="everyone"/>
      <w:r w:rsidRPr="00273EEE">
        <w:rPr>
          <w:rFonts w:asciiTheme="majorHAnsi" w:hAnsiTheme="majorHAnsi" w:cstheme="majorHAnsi"/>
          <w:sz w:val="22"/>
          <w:szCs w:val="22"/>
        </w:rPr>
        <w:t xml:space="preserve">For markets classified as “liquid” for other months, position limits are based on open interest. </w:t>
      </w:r>
      <w:r w:rsidR="008217BE">
        <w:rPr>
          <w:rFonts w:asciiTheme="majorHAnsi" w:hAnsiTheme="majorHAnsi" w:cstheme="majorHAnsi"/>
          <w:sz w:val="22"/>
          <w:szCs w:val="22"/>
        </w:rPr>
        <w:t>Given that the</w:t>
      </w:r>
      <w:r w:rsidR="008217BE" w:rsidRPr="00273EEE">
        <w:rPr>
          <w:rFonts w:asciiTheme="majorHAnsi" w:hAnsiTheme="majorHAnsi" w:cstheme="majorHAnsi"/>
          <w:sz w:val="22"/>
          <w:szCs w:val="22"/>
        </w:rPr>
        <w:t xml:space="preserve"> </w:t>
      </w:r>
      <w:r w:rsidRPr="00273EEE">
        <w:rPr>
          <w:rFonts w:asciiTheme="majorHAnsi" w:hAnsiTheme="majorHAnsi" w:cstheme="majorHAnsi"/>
          <w:sz w:val="22"/>
          <w:szCs w:val="22"/>
        </w:rPr>
        <w:t xml:space="preserve">methodology </w:t>
      </w:r>
      <w:r w:rsidR="008217BE">
        <w:rPr>
          <w:rFonts w:asciiTheme="majorHAnsi" w:hAnsiTheme="majorHAnsi" w:cstheme="majorHAnsi"/>
          <w:sz w:val="22"/>
          <w:szCs w:val="22"/>
        </w:rPr>
        <w:t>for the</w:t>
      </w:r>
      <w:r w:rsidR="008217BE" w:rsidRPr="00273EEE">
        <w:rPr>
          <w:rFonts w:asciiTheme="majorHAnsi" w:hAnsiTheme="majorHAnsi" w:cstheme="majorHAnsi"/>
          <w:sz w:val="22"/>
          <w:szCs w:val="22"/>
        </w:rPr>
        <w:t xml:space="preserve"> </w:t>
      </w:r>
      <w:r w:rsidRPr="00273EEE">
        <w:rPr>
          <w:rFonts w:asciiTheme="majorHAnsi" w:hAnsiTheme="majorHAnsi" w:cstheme="majorHAnsi"/>
          <w:sz w:val="22"/>
          <w:szCs w:val="22"/>
        </w:rPr>
        <w:t>calculat</w:t>
      </w:r>
      <w:r w:rsidR="008217BE">
        <w:rPr>
          <w:rFonts w:asciiTheme="majorHAnsi" w:hAnsiTheme="majorHAnsi" w:cstheme="majorHAnsi"/>
          <w:sz w:val="22"/>
          <w:szCs w:val="22"/>
        </w:rPr>
        <w:t>ion</w:t>
      </w:r>
      <w:r w:rsidRPr="00273EEE">
        <w:rPr>
          <w:rFonts w:asciiTheme="majorHAnsi" w:hAnsiTheme="majorHAnsi" w:cstheme="majorHAnsi"/>
          <w:sz w:val="22"/>
          <w:szCs w:val="22"/>
        </w:rPr>
        <w:t xml:space="preserve"> </w:t>
      </w:r>
      <w:r w:rsidR="008217BE">
        <w:rPr>
          <w:rFonts w:asciiTheme="majorHAnsi" w:hAnsiTheme="majorHAnsi" w:cstheme="majorHAnsi"/>
          <w:sz w:val="22"/>
          <w:szCs w:val="22"/>
        </w:rPr>
        <w:t>of</w:t>
      </w:r>
      <w:r w:rsidR="008217BE" w:rsidRPr="00273EEE">
        <w:rPr>
          <w:rFonts w:asciiTheme="majorHAnsi" w:hAnsiTheme="majorHAnsi" w:cstheme="majorHAnsi"/>
          <w:sz w:val="22"/>
          <w:szCs w:val="22"/>
        </w:rPr>
        <w:t xml:space="preserve"> </w:t>
      </w:r>
      <w:r w:rsidRPr="00273EEE">
        <w:rPr>
          <w:rFonts w:asciiTheme="majorHAnsi" w:hAnsiTheme="majorHAnsi" w:cstheme="majorHAnsi"/>
          <w:sz w:val="22"/>
          <w:szCs w:val="22"/>
        </w:rPr>
        <w:t xml:space="preserve">open interest is not harmonised in </w:t>
      </w:r>
      <w:r w:rsidR="008217BE">
        <w:rPr>
          <w:rFonts w:asciiTheme="majorHAnsi" w:hAnsiTheme="majorHAnsi" w:cstheme="majorHAnsi"/>
          <w:sz w:val="22"/>
          <w:szCs w:val="22"/>
        </w:rPr>
        <w:t xml:space="preserve">the relevant </w:t>
      </w:r>
      <w:r w:rsidRPr="00273EEE">
        <w:rPr>
          <w:rFonts w:asciiTheme="majorHAnsi" w:hAnsiTheme="majorHAnsi" w:cstheme="majorHAnsi"/>
          <w:sz w:val="22"/>
          <w:szCs w:val="22"/>
        </w:rPr>
        <w:t xml:space="preserve">regulation, different methodologies are </w:t>
      </w:r>
      <w:r w:rsidR="008217BE">
        <w:rPr>
          <w:rFonts w:asciiTheme="majorHAnsi" w:hAnsiTheme="majorHAnsi" w:cstheme="majorHAnsi"/>
          <w:sz w:val="22"/>
          <w:szCs w:val="22"/>
        </w:rPr>
        <w:t>being applied</w:t>
      </w:r>
      <w:r w:rsidR="008217BE" w:rsidRPr="00273EEE">
        <w:rPr>
          <w:rFonts w:asciiTheme="majorHAnsi" w:hAnsiTheme="majorHAnsi" w:cstheme="majorHAnsi"/>
          <w:sz w:val="22"/>
          <w:szCs w:val="22"/>
        </w:rPr>
        <w:t xml:space="preserve"> </w:t>
      </w:r>
      <w:r w:rsidRPr="00273EEE">
        <w:rPr>
          <w:rFonts w:asciiTheme="majorHAnsi" w:hAnsiTheme="majorHAnsi" w:cstheme="majorHAnsi"/>
          <w:sz w:val="22"/>
          <w:szCs w:val="22"/>
        </w:rPr>
        <w:t xml:space="preserve">in different markets. Europex suggests that ESMA analyses the effects of these differences. If </w:t>
      </w:r>
      <w:r w:rsidR="008217BE">
        <w:rPr>
          <w:rFonts w:asciiTheme="majorHAnsi" w:hAnsiTheme="majorHAnsi" w:cstheme="majorHAnsi"/>
          <w:sz w:val="22"/>
          <w:szCs w:val="22"/>
        </w:rPr>
        <w:t xml:space="preserve">the </w:t>
      </w:r>
      <w:r w:rsidR="008217BE" w:rsidRPr="00273EEE">
        <w:rPr>
          <w:rFonts w:asciiTheme="majorHAnsi" w:hAnsiTheme="majorHAnsi" w:cstheme="majorHAnsi"/>
          <w:sz w:val="22"/>
          <w:szCs w:val="22"/>
        </w:rPr>
        <w:t xml:space="preserve">used </w:t>
      </w:r>
      <w:r w:rsidRPr="00273EEE">
        <w:rPr>
          <w:rFonts w:asciiTheme="majorHAnsi" w:hAnsiTheme="majorHAnsi" w:cstheme="majorHAnsi"/>
          <w:sz w:val="22"/>
          <w:szCs w:val="22"/>
        </w:rPr>
        <w:t xml:space="preserve">methodologies are resulting in </w:t>
      </w:r>
      <w:r w:rsidR="008217BE">
        <w:rPr>
          <w:rFonts w:asciiTheme="majorHAnsi" w:hAnsiTheme="majorHAnsi" w:cstheme="majorHAnsi"/>
          <w:sz w:val="22"/>
          <w:szCs w:val="22"/>
        </w:rPr>
        <w:t>significantly</w:t>
      </w:r>
      <w:r w:rsidR="008217BE" w:rsidRPr="00273EEE">
        <w:rPr>
          <w:rFonts w:asciiTheme="majorHAnsi" w:hAnsiTheme="majorHAnsi" w:cstheme="majorHAnsi"/>
          <w:sz w:val="22"/>
          <w:szCs w:val="22"/>
        </w:rPr>
        <w:t xml:space="preserve"> </w:t>
      </w:r>
      <w:r w:rsidRPr="00273EEE">
        <w:rPr>
          <w:rFonts w:asciiTheme="majorHAnsi" w:hAnsiTheme="majorHAnsi" w:cstheme="majorHAnsi"/>
          <w:sz w:val="22"/>
          <w:szCs w:val="22"/>
        </w:rPr>
        <w:t>different outcomes, this may have follow-on effects on the actual setting of position limits, which may not optimally support well-functioning markets across the EU, especially where markets are becoming increasingly integrated.</w:t>
      </w:r>
    </w:p>
    <w:p w14:paraId="633FF4FB" w14:textId="77777777" w:rsidR="0071227B" w:rsidRPr="00273EEE" w:rsidRDefault="0071227B"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 xml:space="preserve"> </w:t>
      </w:r>
    </w:p>
    <w:p w14:paraId="38F355AB" w14:textId="65C588C7" w:rsidR="0071227B" w:rsidRPr="00273EEE" w:rsidRDefault="008B4DFD" w:rsidP="00273EEE">
      <w:pPr>
        <w:spacing w:line="276" w:lineRule="auto"/>
        <w:jc w:val="both"/>
        <w:rPr>
          <w:rFonts w:asciiTheme="majorHAnsi" w:hAnsiTheme="majorHAnsi" w:cstheme="majorHAnsi"/>
          <w:sz w:val="22"/>
          <w:szCs w:val="22"/>
        </w:rPr>
      </w:pPr>
      <w:r>
        <w:rPr>
          <w:rFonts w:asciiTheme="majorHAnsi" w:hAnsiTheme="majorHAnsi" w:cstheme="majorHAnsi"/>
          <w:sz w:val="22"/>
          <w:szCs w:val="22"/>
        </w:rPr>
        <w:t>Should</w:t>
      </w:r>
      <w:r w:rsidRPr="00273EEE">
        <w:rPr>
          <w:rFonts w:asciiTheme="majorHAnsi" w:hAnsiTheme="majorHAnsi" w:cstheme="majorHAnsi"/>
          <w:sz w:val="22"/>
          <w:szCs w:val="22"/>
        </w:rPr>
        <w:t xml:space="preserve"> </w:t>
      </w:r>
      <w:r w:rsidR="0071227B" w:rsidRPr="00273EEE">
        <w:rPr>
          <w:rFonts w:asciiTheme="majorHAnsi" w:hAnsiTheme="majorHAnsi" w:cstheme="majorHAnsi"/>
          <w:sz w:val="22"/>
          <w:szCs w:val="22"/>
        </w:rPr>
        <w:t xml:space="preserve">ESMA </w:t>
      </w:r>
      <w:r>
        <w:rPr>
          <w:rFonts w:asciiTheme="majorHAnsi" w:hAnsiTheme="majorHAnsi" w:cstheme="majorHAnsi"/>
          <w:sz w:val="22"/>
          <w:szCs w:val="22"/>
        </w:rPr>
        <w:t>come to the conclusion that</w:t>
      </w:r>
      <w:r w:rsidRPr="00273EEE">
        <w:rPr>
          <w:rFonts w:asciiTheme="majorHAnsi" w:hAnsiTheme="majorHAnsi" w:cstheme="majorHAnsi"/>
          <w:sz w:val="22"/>
          <w:szCs w:val="22"/>
        </w:rPr>
        <w:t xml:space="preserve"> </w:t>
      </w:r>
      <w:r w:rsidR="0071227B" w:rsidRPr="00273EEE">
        <w:rPr>
          <w:rFonts w:asciiTheme="majorHAnsi" w:hAnsiTheme="majorHAnsi" w:cstheme="majorHAnsi"/>
          <w:sz w:val="22"/>
          <w:szCs w:val="22"/>
        </w:rPr>
        <w:t xml:space="preserve">there is a need to provide views on the methodologies used by exchanges to calculate open interest for the purpose of position limits by means of </w:t>
      </w:r>
      <w:r>
        <w:rPr>
          <w:rFonts w:asciiTheme="majorHAnsi" w:hAnsiTheme="majorHAnsi" w:cstheme="majorHAnsi"/>
          <w:sz w:val="22"/>
          <w:szCs w:val="22"/>
        </w:rPr>
        <w:t>L</w:t>
      </w:r>
      <w:r w:rsidR="0071227B" w:rsidRPr="00273EEE">
        <w:rPr>
          <w:rFonts w:asciiTheme="majorHAnsi" w:hAnsiTheme="majorHAnsi" w:cstheme="majorHAnsi"/>
          <w:sz w:val="22"/>
          <w:szCs w:val="22"/>
        </w:rPr>
        <w:t xml:space="preserve">evel 3 guidance, then Europex considers the use of gross open interest as the most appropriate of the different methodologies that NCAs should be </w:t>
      </w:r>
      <w:r>
        <w:rPr>
          <w:rFonts w:asciiTheme="majorHAnsi" w:hAnsiTheme="majorHAnsi" w:cstheme="majorHAnsi"/>
          <w:sz w:val="22"/>
          <w:szCs w:val="22"/>
        </w:rPr>
        <w:t>entitled</w:t>
      </w:r>
      <w:r w:rsidRPr="00273EEE">
        <w:rPr>
          <w:rFonts w:asciiTheme="majorHAnsi" w:hAnsiTheme="majorHAnsi" w:cstheme="majorHAnsi"/>
          <w:sz w:val="22"/>
          <w:szCs w:val="22"/>
        </w:rPr>
        <w:t xml:space="preserve"> </w:t>
      </w:r>
      <w:r w:rsidR="0071227B" w:rsidRPr="00273EEE">
        <w:rPr>
          <w:rFonts w:asciiTheme="majorHAnsi" w:hAnsiTheme="majorHAnsi" w:cstheme="majorHAnsi"/>
          <w:sz w:val="22"/>
          <w:szCs w:val="22"/>
        </w:rPr>
        <w:t xml:space="preserve">to allow exchanges to implement. This is because the usage of net open interest to determine the other month position limit would be inappropriate as it does not properly reflect trading on behalf of clients. </w:t>
      </w:r>
      <w:r>
        <w:rPr>
          <w:rFonts w:asciiTheme="majorHAnsi" w:hAnsiTheme="majorHAnsi" w:cstheme="majorHAnsi"/>
          <w:sz w:val="22"/>
          <w:szCs w:val="22"/>
        </w:rPr>
        <w:t>As an</w:t>
      </w:r>
      <w:r w:rsidRPr="00273EEE">
        <w:rPr>
          <w:rFonts w:asciiTheme="majorHAnsi" w:hAnsiTheme="majorHAnsi" w:cstheme="majorHAnsi"/>
          <w:sz w:val="22"/>
          <w:szCs w:val="22"/>
        </w:rPr>
        <w:t xml:space="preserve"> </w:t>
      </w:r>
      <w:r w:rsidR="0071227B" w:rsidRPr="00273EEE">
        <w:rPr>
          <w:rFonts w:asciiTheme="majorHAnsi" w:hAnsiTheme="majorHAnsi" w:cstheme="majorHAnsi"/>
          <w:sz w:val="22"/>
          <w:szCs w:val="22"/>
        </w:rPr>
        <w:t>example</w:t>
      </w:r>
      <w:r>
        <w:rPr>
          <w:rFonts w:asciiTheme="majorHAnsi" w:hAnsiTheme="majorHAnsi" w:cstheme="majorHAnsi"/>
          <w:sz w:val="22"/>
          <w:szCs w:val="22"/>
        </w:rPr>
        <w:t>:</w:t>
      </w:r>
      <w:r w:rsidR="0071227B" w:rsidRPr="00273EEE">
        <w:rPr>
          <w:rFonts w:asciiTheme="majorHAnsi" w:hAnsiTheme="majorHAnsi" w:cstheme="majorHAnsi"/>
          <w:sz w:val="22"/>
          <w:szCs w:val="22"/>
        </w:rPr>
        <w:t xml:space="preserve"> if a member holds 5 lots long for client A and 5 lots short for client B, this position should not be netted, as the positions belong to different beneficial owners.</w:t>
      </w:r>
    </w:p>
    <w:permEnd w:id="2037338056"/>
    <w:p w14:paraId="44C15A58"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&lt;ESMA_QUESTION_PLPM_20&gt;</w:t>
      </w:r>
    </w:p>
    <w:p w14:paraId="48B3BEA8" w14:textId="77777777" w:rsidR="00AB6157" w:rsidRPr="00273EEE" w:rsidRDefault="00AB6157" w:rsidP="00273EEE">
      <w:pPr>
        <w:spacing w:line="276" w:lineRule="auto"/>
        <w:jc w:val="both"/>
        <w:rPr>
          <w:rFonts w:asciiTheme="majorHAnsi" w:hAnsiTheme="majorHAnsi" w:cstheme="majorHAnsi"/>
          <w:sz w:val="22"/>
          <w:szCs w:val="22"/>
        </w:rPr>
      </w:pPr>
    </w:p>
    <w:p w14:paraId="32A600F5"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How useful do you consider the information on position management controls available on ESMA’s website?</w:t>
      </w:r>
    </w:p>
    <w:p w14:paraId="257F8D40" w14:textId="6DBAECC7" w:rsidR="00AB6157"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&lt;ESMA_QUESTION_PLPM_21&gt;</w:t>
      </w:r>
    </w:p>
    <w:p w14:paraId="165D8A71" w14:textId="77777777" w:rsidR="000874F1" w:rsidRPr="000D7B40" w:rsidRDefault="000874F1" w:rsidP="000874F1">
      <w:pPr>
        <w:rPr>
          <w:rFonts w:ascii="Arial" w:hAnsi="Arial" w:cs="Arial"/>
          <w:sz w:val="22"/>
          <w:szCs w:val="22"/>
        </w:rPr>
      </w:pPr>
      <w:permStart w:id="225190303" w:edGrp="everyone"/>
      <w:r w:rsidRPr="000D7B40">
        <w:rPr>
          <w:rFonts w:ascii="Arial" w:hAnsi="Arial" w:cs="Arial"/>
          <w:sz w:val="22"/>
          <w:szCs w:val="22"/>
        </w:rPr>
        <w:t>TYPE YOUR TEXT HERE</w:t>
      </w:r>
    </w:p>
    <w:permEnd w:id="225190303"/>
    <w:p w14:paraId="10E0E3B8"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&lt;ESMA_QUESTION_PLPM_21&gt;</w:t>
      </w:r>
    </w:p>
    <w:p w14:paraId="1E8CC617" w14:textId="77777777" w:rsidR="00AB6157" w:rsidRPr="00273EEE" w:rsidRDefault="00AB6157" w:rsidP="00273EEE">
      <w:pPr>
        <w:spacing w:line="276" w:lineRule="auto"/>
        <w:jc w:val="both"/>
        <w:rPr>
          <w:rFonts w:asciiTheme="majorHAnsi" w:hAnsiTheme="majorHAnsi" w:cstheme="majorHAnsi"/>
          <w:sz w:val="22"/>
          <w:szCs w:val="22"/>
        </w:rPr>
      </w:pPr>
    </w:p>
    <w:p w14:paraId="19981555" w14:textId="77777777" w:rsidR="00AB6157" w:rsidRPr="00273EEE" w:rsidRDefault="00AB6157" w:rsidP="00273EEE">
      <w:pPr>
        <w:pStyle w:val="Questionstyle"/>
        <w:numPr>
          <w:ilvl w:val="0"/>
          <w:numId w:val="9"/>
        </w:numPr>
        <w:spacing w:after="250" w:line="276" w:lineRule="auto"/>
        <w:rPr>
          <w:rFonts w:asciiTheme="majorHAnsi" w:hAnsiTheme="majorHAnsi" w:cstheme="majorHAnsi"/>
        </w:rPr>
      </w:pPr>
      <w:r w:rsidRPr="00273EEE">
        <w:rPr>
          <w:rFonts w:asciiTheme="majorHAnsi" w:hAnsiTheme="majorHAnsi" w:cstheme="majorHAnsi"/>
        </w:rPr>
        <w:t>: Do you consider that there is a need to review the list of minimum position management controls to be implemented by commodity derivatives trading venues under Article 57(8) of MiFID II? If so, please explain the changes you would suggest.</w:t>
      </w:r>
    </w:p>
    <w:p w14:paraId="7A772176" w14:textId="77777777"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lastRenderedPageBreak/>
        <w:t>&lt;ESMA_QUESTION_PLPM_22&gt;</w:t>
      </w:r>
    </w:p>
    <w:p w14:paraId="474BA5ED" w14:textId="0F77493F" w:rsidR="00B03464" w:rsidRPr="00273EEE" w:rsidRDefault="00B03464" w:rsidP="00273EEE">
      <w:pPr>
        <w:spacing w:line="276" w:lineRule="auto"/>
        <w:jc w:val="both"/>
        <w:rPr>
          <w:rFonts w:asciiTheme="majorHAnsi" w:eastAsia="Calibri" w:hAnsiTheme="majorHAnsi" w:cstheme="majorHAnsi"/>
          <w:sz w:val="22"/>
          <w:szCs w:val="22"/>
          <w:lang w:eastAsia="en-US"/>
        </w:rPr>
      </w:pPr>
      <w:permStart w:id="86534731" w:edGrp="everyone"/>
      <w:r w:rsidRPr="00273EEE">
        <w:rPr>
          <w:rFonts w:asciiTheme="majorHAnsi" w:eastAsia="Calibri" w:hAnsiTheme="majorHAnsi" w:cstheme="majorHAnsi"/>
          <w:sz w:val="22"/>
          <w:szCs w:val="22"/>
          <w:lang w:eastAsia="en-US"/>
        </w:rPr>
        <w:t>No</w:t>
      </w:r>
      <w:r w:rsidR="00A2340F" w:rsidRPr="00273EEE">
        <w:rPr>
          <w:rFonts w:asciiTheme="majorHAnsi" w:eastAsia="Calibri" w:hAnsiTheme="majorHAnsi" w:cstheme="majorHAnsi"/>
          <w:sz w:val="22"/>
          <w:szCs w:val="22"/>
          <w:lang w:eastAsia="en-US"/>
        </w:rPr>
        <w:t>, Europex</w:t>
      </w:r>
      <w:r w:rsidRPr="00273EEE">
        <w:rPr>
          <w:rFonts w:asciiTheme="majorHAnsi" w:eastAsia="Calibri" w:hAnsiTheme="majorHAnsi" w:cstheme="majorHAnsi"/>
          <w:sz w:val="22"/>
          <w:szCs w:val="22"/>
          <w:lang w:eastAsia="en-US"/>
        </w:rPr>
        <w:t xml:space="preserve"> consider</w:t>
      </w:r>
      <w:r w:rsidR="008217BE">
        <w:rPr>
          <w:rFonts w:asciiTheme="majorHAnsi" w:eastAsia="Calibri" w:hAnsiTheme="majorHAnsi" w:cstheme="majorHAnsi"/>
          <w:sz w:val="22"/>
          <w:szCs w:val="22"/>
          <w:lang w:eastAsia="en-US"/>
        </w:rPr>
        <w:t>s</w:t>
      </w:r>
      <w:r w:rsidRPr="00273EEE">
        <w:rPr>
          <w:rFonts w:asciiTheme="majorHAnsi" w:eastAsia="Calibri" w:hAnsiTheme="majorHAnsi" w:cstheme="majorHAnsi"/>
          <w:sz w:val="22"/>
          <w:szCs w:val="22"/>
          <w:lang w:eastAsia="en-US"/>
        </w:rPr>
        <w:t xml:space="preserve"> </w:t>
      </w:r>
      <w:r w:rsidR="008217BE">
        <w:rPr>
          <w:rFonts w:asciiTheme="majorHAnsi" w:eastAsia="Calibri" w:hAnsiTheme="majorHAnsi" w:cstheme="majorHAnsi"/>
          <w:sz w:val="22"/>
          <w:szCs w:val="22"/>
          <w:lang w:eastAsia="en-US"/>
        </w:rPr>
        <w:t>that no</w:t>
      </w:r>
      <w:r w:rsidR="008217BE" w:rsidRPr="00273EEE">
        <w:rPr>
          <w:rFonts w:asciiTheme="majorHAnsi" w:eastAsia="Calibri" w:hAnsiTheme="majorHAnsi" w:cstheme="majorHAnsi"/>
          <w:sz w:val="22"/>
          <w:szCs w:val="22"/>
          <w:lang w:eastAsia="en-US"/>
        </w:rPr>
        <w:t xml:space="preserve"> </w:t>
      </w:r>
      <w:r w:rsidRPr="00273EEE">
        <w:rPr>
          <w:rFonts w:asciiTheme="majorHAnsi" w:eastAsia="Calibri" w:hAnsiTheme="majorHAnsi" w:cstheme="majorHAnsi"/>
          <w:sz w:val="22"/>
          <w:szCs w:val="22"/>
          <w:lang w:eastAsia="en-US"/>
        </w:rPr>
        <w:t xml:space="preserve">further requirements on position management controls </w:t>
      </w:r>
      <w:r w:rsidR="008217BE">
        <w:rPr>
          <w:rFonts w:asciiTheme="majorHAnsi" w:eastAsia="Calibri" w:hAnsiTheme="majorHAnsi" w:cstheme="majorHAnsi"/>
          <w:sz w:val="22"/>
          <w:szCs w:val="22"/>
          <w:lang w:eastAsia="en-US"/>
        </w:rPr>
        <w:t>are</w:t>
      </w:r>
      <w:r w:rsidRPr="00273EEE">
        <w:rPr>
          <w:rFonts w:asciiTheme="majorHAnsi" w:eastAsia="Calibri" w:hAnsiTheme="majorHAnsi" w:cstheme="majorHAnsi"/>
          <w:sz w:val="22"/>
          <w:szCs w:val="22"/>
          <w:lang w:eastAsia="en-US"/>
        </w:rPr>
        <w:t xml:space="preserve"> necessary.</w:t>
      </w:r>
    </w:p>
    <w:p w14:paraId="3C294AE4" w14:textId="77777777" w:rsidR="00B03464" w:rsidRPr="00273EEE" w:rsidRDefault="00B03464"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 xml:space="preserve"> </w:t>
      </w:r>
    </w:p>
    <w:p w14:paraId="172AE5D9" w14:textId="488E8356" w:rsidR="00B03464" w:rsidRPr="00273EEE" w:rsidRDefault="00A2340F"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Europex membe</w:t>
      </w:r>
      <w:r w:rsidR="00EE0358">
        <w:rPr>
          <w:rFonts w:asciiTheme="majorHAnsi" w:eastAsia="Calibri" w:hAnsiTheme="majorHAnsi" w:cstheme="majorHAnsi"/>
          <w:sz w:val="22"/>
          <w:szCs w:val="22"/>
          <w:lang w:eastAsia="en-US"/>
        </w:rPr>
        <w:t>r</w:t>
      </w:r>
      <w:r w:rsidRPr="00273EEE">
        <w:rPr>
          <w:rFonts w:asciiTheme="majorHAnsi" w:eastAsia="Calibri" w:hAnsiTheme="majorHAnsi" w:cstheme="majorHAnsi"/>
          <w:sz w:val="22"/>
          <w:szCs w:val="22"/>
          <w:lang w:eastAsia="en-US"/>
        </w:rPr>
        <w:t>s have</w:t>
      </w:r>
      <w:r w:rsidR="00B03464" w:rsidRPr="00273EEE">
        <w:rPr>
          <w:rFonts w:asciiTheme="majorHAnsi" w:eastAsia="Calibri" w:hAnsiTheme="majorHAnsi" w:cstheme="majorHAnsi"/>
          <w:sz w:val="22"/>
          <w:szCs w:val="22"/>
          <w:lang w:eastAsia="en-US"/>
        </w:rPr>
        <w:t xml:space="preserve"> operated comprehensive position management regime</w:t>
      </w:r>
      <w:r w:rsidR="008217BE">
        <w:rPr>
          <w:rFonts w:asciiTheme="majorHAnsi" w:eastAsia="Calibri" w:hAnsiTheme="majorHAnsi" w:cstheme="majorHAnsi"/>
          <w:sz w:val="22"/>
          <w:szCs w:val="22"/>
          <w:lang w:eastAsia="en-US"/>
        </w:rPr>
        <w:t>s</w:t>
      </w:r>
      <w:r w:rsidR="00EE0358">
        <w:rPr>
          <w:rFonts w:asciiTheme="majorHAnsi" w:eastAsia="Calibri" w:hAnsiTheme="majorHAnsi" w:cstheme="majorHAnsi"/>
          <w:sz w:val="22"/>
          <w:szCs w:val="22"/>
          <w:lang w:eastAsia="en-US"/>
        </w:rPr>
        <w:t xml:space="preserve"> for many years</w:t>
      </w:r>
      <w:r w:rsidR="00B03464" w:rsidRPr="00273EEE">
        <w:rPr>
          <w:rFonts w:asciiTheme="majorHAnsi" w:eastAsia="Calibri" w:hAnsiTheme="majorHAnsi" w:cstheme="majorHAnsi"/>
          <w:sz w:val="22"/>
          <w:szCs w:val="22"/>
          <w:lang w:eastAsia="en-US"/>
        </w:rPr>
        <w:t xml:space="preserve">, thereby ensuring compliance with </w:t>
      </w:r>
      <w:r w:rsidR="00EE0358">
        <w:rPr>
          <w:rFonts w:asciiTheme="majorHAnsi" w:eastAsia="Calibri" w:hAnsiTheme="majorHAnsi" w:cstheme="majorHAnsi"/>
          <w:sz w:val="22"/>
          <w:szCs w:val="22"/>
          <w:lang w:eastAsia="en-US"/>
        </w:rPr>
        <w:t>their</w:t>
      </w:r>
      <w:r w:rsidR="00EE0358" w:rsidRPr="00273EEE">
        <w:rPr>
          <w:rFonts w:asciiTheme="majorHAnsi" w:eastAsia="Calibri" w:hAnsiTheme="majorHAnsi" w:cstheme="majorHAnsi"/>
          <w:sz w:val="22"/>
          <w:szCs w:val="22"/>
          <w:lang w:eastAsia="en-US"/>
        </w:rPr>
        <w:t xml:space="preserve"> </w:t>
      </w:r>
      <w:r w:rsidR="00EE0358">
        <w:rPr>
          <w:rFonts w:asciiTheme="majorHAnsi" w:eastAsia="Calibri" w:hAnsiTheme="majorHAnsi" w:cstheme="majorHAnsi"/>
          <w:sz w:val="22"/>
          <w:szCs w:val="22"/>
          <w:lang w:eastAsia="en-US"/>
        </w:rPr>
        <w:t>r</w:t>
      </w:r>
      <w:r w:rsidR="00B03464" w:rsidRPr="00273EEE">
        <w:rPr>
          <w:rFonts w:asciiTheme="majorHAnsi" w:eastAsia="Calibri" w:hAnsiTheme="majorHAnsi" w:cstheme="majorHAnsi"/>
          <w:sz w:val="22"/>
          <w:szCs w:val="22"/>
          <w:lang w:eastAsia="en-US"/>
        </w:rPr>
        <w:t>ulebook</w:t>
      </w:r>
      <w:r w:rsidR="00EE0358">
        <w:rPr>
          <w:rFonts w:asciiTheme="majorHAnsi" w:eastAsia="Calibri" w:hAnsiTheme="majorHAnsi" w:cstheme="majorHAnsi"/>
          <w:sz w:val="22"/>
          <w:szCs w:val="22"/>
          <w:lang w:eastAsia="en-US"/>
        </w:rPr>
        <w:t>s</w:t>
      </w:r>
      <w:r w:rsidR="00B03464" w:rsidRPr="00273EEE">
        <w:rPr>
          <w:rFonts w:asciiTheme="majorHAnsi" w:eastAsia="Calibri" w:hAnsiTheme="majorHAnsi" w:cstheme="majorHAnsi"/>
          <w:sz w:val="22"/>
          <w:szCs w:val="22"/>
          <w:lang w:eastAsia="en-US"/>
        </w:rPr>
        <w:t xml:space="preserve"> and </w:t>
      </w:r>
      <w:r w:rsidR="00EE0358">
        <w:rPr>
          <w:rFonts w:asciiTheme="majorHAnsi" w:eastAsia="Calibri" w:hAnsiTheme="majorHAnsi" w:cstheme="majorHAnsi"/>
          <w:sz w:val="22"/>
          <w:szCs w:val="22"/>
          <w:lang w:eastAsia="en-US"/>
        </w:rPr>
        <w:t>meeting</w:t>
      </w:r>
      <w:r w:rsidR="00EE0358" w:rsidRPr="00273EEE">
        <w:rPr>
          <w:rFonts w:asciiTheme="majorHAnsi" w:eastAsia="Calibri" w:hAnsiTheme="majorHAnsi" w:cstheme="majorHAnsi"/>
          <w:sz w:val="22"/>
          <w:szCs w:val="22"/>
          <w:lang w:eastAsia="en-US"/>
        </w:rPr>
        <w:t xml:space="preserve"> </w:t>
      </w:r>
      <w:r w:rsidR="008217BE">
        <w:rPr>
          <w:rFonts w:asciiTheme="majorHAnsi" w:eastAsia="Calibri" w:hAnsiTheme="majorHAnsi" w:cstheme="majorHAnsi"/>
          <w:sz w:val="22"/>
          <w:szCs w:val="22"/>
          <w:lang w:eastAsia="en-US"/>
        </w:rPr>
        <w:t xml:space="preserve">all regulatory </w:t>
      </w:r>
      <w:r w:rsidRPr="00273EEE">
        <w:rPr>
          <w:rFonts w:asciiTheme="majorHAnsi" w:eastAsia="Calibri" w:hAnsiTheme="majorHAnsi" w:cstheme="majorHAnsi"/>
          <w:sz w:val="22"/>
          <w:szCs w:val="22"/>
          <w:lang w:eastAsia="en-US"/>
        </w:rPr>
        <w:t>requirements</w:t>
      </w:r>
      <w:r w:rsidR="00B03464" w:rsidRPr="00273EEE">
        <w:rPr>
          <w:rFonts w:asciiTheme="majorHAnsi" w:eastAsia="Calibri" w:hAnsiTheme="majorHAnsi" w:cstheme="majorHAnsi"/>
          <w:sz w:val="22"/>
          <w:szCs w:val="22"/>
          <w:lang w:eastAsia="en-US"/>
        </w:rPr>
        <w:t xml:space="preserve">. </w:t>
      </w:r>
    </w:p>
    <w:p w14:paraId="63C06137" w14:textId="77777777" w:rsidR="00B03464" w:rsidRPr="00273EEE" w:rsidRDefault="00B03464" w:rsidP="00273EEE">
      <w:pPr>
        <w:spacing w:line="276" w:lineRule="auto"/>
        <w:jc w:val="both"/>
        <w:rPr>
          <w:rFonts w:asciiTheme="majorHAnsi" w:eastAsia="Calibri" w:hAnsiTheme="majorHAnsi" w:cstheme="majorHAnsi"/>
          <w:sz w:val="22"/>
          <w:szCs w:val="22"/>
          <w:lang w:eastAsia="en-US"/>
        </w:rPr>
      </w:pPr>
    </w:p>
    <w:p w14:paraId="0A85D6FE" w14:textId="77777777" w:rsidR="006F594D" w:rsidRDefault="000865FC" w:rsidP="00273EEE">
      <w:pPr>
        <w:spacing w:line="276" w:lineRule="auto"/>
        <w:jc w:val="both"/>
        <w:rPr>
          <w:rFonts w:asciiTheme="majorHAnsi" w:eastAsia="Calibri" w:hAnsiTheme="majorHAnsi" w:cstheme="majorHAnsi"/>
          <w:sz w:val="22"/>
          <w:szCs w:val="22"/>
          <w:lang w:eastAsia="en-US"/>
        </w:rPr>
      </w:pPr>
      <w:r w:rsidRPr="00273EEE">
        <w:rPr>
          <w:rFonts w:asciiTheme="majorHAnsi" w:eastAsia="Calibri" w:hAnsiTheme="majorHAnsi" w:cstheme="majorHAnsi"/>
          <w:sz w:val="22"/>
          <w:szCs w:val="22"/>
          <w:lang w:eastAsia="en-US"/>
        </w:rPr>
        <w:t>Europex</w:t>
      </w:r>
      <w:r w:rsidR="00B03464" w:rsidRPr="00273EEE">
        <w:rPr>
          <w:rFonts w:asciiTheme="majorHAnsi" w:eastAsia="Calibri" w:hAnsiTheme="majorHAnsi" w:cstheme="majorHAnsi"/>
          <w:sz w:val="22"/>
          <w:szCs w:val="22"/>
          <w:lang w:eastAsia="en-US"/>
        </w:rPr>
        <w:t xml:space="preserve"> </w:t>
      </w:r>
      <w:r w:rsidR="008217BE">
        <w:rPr>
          <w:rFonts w:asciiTheme="majorHAnsi" w:eastAsia="Calibri" w:hAnsiTheme="majorHAnsi" w:cstheme="majorHAnsi"/>
          <w:sz w:val="22"/>
          <w:szCs w:val="22"/>
          <w:lang w:eastAsia="en-US"/>
        </w:rPr>
        <w:t>members believe</w:t>
      </w:r>
      <w:r w:rsidR="00B03464" w:rsidRPr="00273EEE">
        <w:rPr>
          <w:rFonts w:asciiTheme="majorHAnsi" w:eastAsia="Calibri" w:hAnsiTheme="majorHAnsi" w:cstheme="majorHAnsi"/>
          <w:sz w:val="22"/>
          <w:szCs w:val="22"/>
          <w:lang w:eastAsia="en-US"/>
        </w:rPr>
        <w:t xml:space="preserve"> that </w:t>
      </w:r>
      <w:r w:rsidR="008217BE">
        <w:rPr>
          <w:rFonts w:asciiTheme="majorHAnsi" w:eastAsia="Calibri" w:hAnsiTheme="majorHAnsi" w:cstheme="majorHAnsi"/>
          <w:sz w:val="22"/>
          <w:szCs w:val="22"/>
          <w:lang w:eastAsia="en-US"/>
        </w:rPr>
        <w:t>their</w:t>
      </w:r>
      <w:r w:rsidR="008217BE" w:rsidRPr="00273EEE">
        <w:rPr>
          <w:rFonts w:asciiTheme="majorHAnsi" w:eastAsia="Calibri" w:hAnsiTheme="majorHAnsi" w:cstheme="majorHAnsi"/>
          <w:sz w:val="22"/>
          <w:szCs w:val="22"/>
          <w:lang w:eastAsia="en-US"/>
        </w:rPr>
        <w:t xml:space="preserve"> </w:t>
      </w:r>
      <w:r w:rsidR="00B03464" w:rsidRPr="00273EEE">
        <w:rPr>
          <w:rFonts w:asciiTheme="majorHAnsi" w:eastAsia="Calibri" w:hAnsiTheme="majorHAnsi" w:cstheme="majorHAnsi"/>
          <w:sz w:val="22"/>
          <w:szCs w:val="22"/>
          <w:lang w:eastAsia="en-US"/>
        </w:rPr>
        <w:t>pre-</w:t>
      </w:r>
      <w:r w:rsidR="008217BE">
        <w:rPr>
          <w:rFonts w:asciiTheme="majorHAnsi" w:eastAsia="Calibri" w:hAnsiTheme="majorHAnsi" w:cstheme="majorHAnsi"/>
          <w:sz w:val="22"/>
          <w:szCs w:val="22"/>
          <w:lang w:eastAsia="en-US"/>
        </w:rPr>
        <w:t>MiFID II</w:t>
      </w:r>
      <w:r w:rsidR="008217BE" w:rsidRPr="00273EEE">
        <w:rPr>
          <w:rFonts w:asciiTheme="majorHAnsi" w:eastAsia="Calibri" w:hAnsiTheme="majorHAnsi" w:cstheme="majorHAnsi"/>
          <w:sz w:val="22"/>
          <w:szCs w:val="22"/>
          <w:lang w:eastAsia="en-US"/>
        </w:rPr>
        <w:t xml:space="preserve"> </w:t>
      </w:r>
      <w:r w:rsidR="00B03464" w:rsidRPr="00273EEE">
        <w:rPr>
          <w:rFonts w:asciiTheme="majorHAnsi" w:eastAsia="Calibri" w:hAnsiTheme="majorHAnsi" w:cstheme="majorHAnsi"/>
          <w:sz w:val="22"/>
          <w:szCs w:val="22"/>
          <w:lang w:eastAsia="en-US"/>
        </w:rPr>
        <w:t>position management regime</w:t>
      </w:r>
      <w:r w:rsidR="008217BE">
        <w:rPr>
          <w:rFonts w:asciiTheme="majorHAnsi" w:eastAsia="Calibri" w:hAnsiTheme="majorHAnsi" w:cstheme="majorHAnsi"/>
          <w:sz w:val="22"/>
          <w:szCs w:val="22"/>
          <w:lang w:eastAsia="en-US"/>
        </w:rPr>
        <w:t>s</w:t>
      </w:r>
      <w:r w:rsidR="00B03464" w:rsidRPr="00273EEE">
        <w:rPr>
          <w:rFonts w:asciiTheme="majorHAnsi" w:eastAsia="Calibri" w:hAnsiTheme="majorHAnsi" w:cstheme="majorHAnsi"/>
          <w:sz w:val="22"/>
          <w:szCs w:val="22"/>
          <w:lang w:eastAsia="en-US"/>
        </w:rPr>
        <w:t xml:space="preserve"> along with </w:t>
      </w:r>
      <w:r w:rsidR="008217BE">
        <w:rPr>
          <w:rFonts w:asciiTheme="majorHAnsi" w:eastAsia="Calibri" w:hAnsiTheme="majorHAnsi" w:cstheme="majorHAnsi"/>
          <w:sz w:val="22"/>
          <w:szCs w:val="22"/>
          <w:lang w:eastAsia="en-US"/>
        </w:rPr>
        <w:t>their</w:t>
      </w:r>
      <w:r w:rsidR="008217BE" w:rsidRPr="00273EEE">
        <w:rPr>
          <w:rFonts w:asciiTheme="majorHAnsi" w:eastAsia="Calibri" w:hAnsiTheme="majorHAnsi" w:cstheme="majorHAnsi"/>
          <w:sz w:val="22"/>
          <w:szCs w:val="22"/>
          <w:lang w:eastAsia="en-US"/>
        </w:rPr>
        <w:t xml:space="preserve"> </w:t>
      </w:r>
      <w:r w:rsidR="00B03464" w:rsidRPr="00273EEE">
        <w:rPr>
          <w:rFonts w:asciiTheme="majorHAnsi" w:eastAsia="Calibri" w:hAnsiTheme="majorHAnsi" w:cstheme="majorHAnsi"/>
          <w:sz w:val="22"/>
          <w:szCs w:val="22"/>
          <w:lang w:eastAsia="en-US"/>
        </w:rPr>
        <w:t xml:space="preserve">market supervision and surveillance systems have contributed substantially </w:t>
      </w:r>
      <w:r w:rsidR="008217BE">
        <w:rPr>
          <w:rFonts w:asciiTheme="majorHAnsi" w:eastAsia="Calibri" w:hAnsiTheme="majorHAnsi" w:cstheme="majorHAnsi"/>
          <w:sz w:val="22"/>
          <w:szCs w:val="22"/>
          <w:lang w:eastAsia="en-US"/>
        </w:rPr>
        <w:t xml:space="preserve">and efficiently </w:t>
      </w:r>
      <w:r w:rsidR="00B03464" w:rsidRPr="00273EEE">
        <w:rPr>
          <w:rFonts w:asciiTheme="majorHAnsi" w:eastAsia="Calibri" w:hAnsiTheme="majorHAnsi" w:cstheme="majorHAnsi"/>
          <w:sz w:val="22"/>
          <w:szCs w:val="22"/>
          <w:lang w:eastAsia="en-US"/>
        </w:rPr>
        <w:t xml:space="preserve">to preventing market abuse and ensuring orderly trading and settlement in </w:t>
      </w:r>
      <w:r w:rsidR="008217BE">
        <w:rPr>
          <w:rFonts w:asciiTheme="majorHAnsi" w:eastAsia="Calibri" w:hAnsiTheme="majorHAnsi" w:cstheme="majorHAnsi"/>
          <w:sz w:val="22"/>
          <w:szCs w:val="22"/>
          <w:lang w:eastAsia="en-US"/>
        </w:rPr>
        <w:t xml:space="preserve">exchange-traded </w:t>
      </w:r>
      <w:r w:rsidR="00B03464" w:rsidRPr="00273EEE">
        <w:rPr>
          <w:rFonts w:asciiTheme="majorHAnsi" w:eastAsia="Calibri" w:hAnsiTheme="majorHAnsi" w:cstheme="majorHAnsi"/>
          <w:sz w:val="22"/>
          <w:szCs w:val="22"/>
          <w:lang w:eastAsia="en-US"/>
        </w:rPr>
        <w:t>commodity markets.</w:t>
      </w:r>
    </w:p>
    <w:permEnd w:id="86534731"/>
    <w:p w14:paraId="4CE2E2B6" w14:textId="0F1A99AA" w:rsidR="00AB6157" w:rsidRPr="00273EEE" w:rsidRDefault="00AB6157" w:rsidP="00273EEE">
      <w:pPr>
        <w:spacing w:line="276" w:lineRule="auto"/>
        <w:jc w:val="both"/>
        <w:rPr>
          <w:rFonts w:asciiTheme="majorHAnsi" w:hAnsiTheme="majorHAnsi" w:cstheme="majorHAnsi"/>
          <w:sz w:val="22"/>
          <w:szCs w:val="22"/>
        </w:rPr>
      </w:pPr>
      <w:r w:rsidRPr="00273EEE">
        <w:rPr>
          <w:rFonts w:asciiTheme="majorHAnsi" w:hAnsiTheme="majorHAnsi" w:cstheme="majorHAnsi"/>
          <w:sz w:val="22"/>
          <w:szCs w:val="22"/>
        </w:rPr>
        <w:t>&lt;ESMA_QUESTION_PLPM_22&gt;</w:t>
      </w:r>
    </w:p>
    <w:p w14:paraId="37202C3F" w14:textId="77777777" w:rsidR="00AB6157" w:rsidRPr="00273EEE" w:rsidRDefault="00AB6157" w:rsidP="00273EEE">
      <w:pPr>
        <w:spacing w:line="276" w:lineRule="auto"/>
        <w:jc w:val="both"/>
        <w:rPr>
          <w:rFonts w:asciiTheme="majorHAnsi" w:hAnsiTheme="majorHAnsi" w:cstheme="majorHAnsi"/>
          <w:sz w:val="22"/>
          <w:szCs w:val="22"/>
        </w:rPr>
      </w:pPr>
    </w:p>
    <w:p w14:paraId="684E3557" w14:textId="77777777" w:rsidR="00AB6157" w:rsidRPr="00273EEE" w:rsidRDefault="00AB6157" w:rsidP="00273EEE">
      <w:pPr>
        <w:spacing w:line="276" w:lineRule="auto"/>
        <w:jc w:val="both"/>
        <w:rPr>
          <w:rFonts w:asciiTheme="majorHAnsi" w:hAnsiTheme="majorHAnsi" w:cstheme="majorHAnsi"/>
          <w:sz w:val="22"/>
          <w:szCs w:val="22"/>
        </w:rPr>
      </w:pPr>
    </w:p>
    <w:bookmarkEnd w:id="0"/>
    <w:p w14:paraId="1B613D40" w14:textId="77777777" w:rsidR="00AB6157" w:rsidRPr="00273EEE" w:rsidRDefault="00AB6157" w:rsidP="00273EEE">
      <w:pPr>
        <w:spacing w:line="276" w:lineRule="auto"/>
        <w:jc w:val="both"/>
        <w:rPr>
          <w:rFonts w:asciiTheme="majorHAnsi" w:hAnsiTheme="majorHAnsi" w:cstheme="majorHAnsi"/>
          <w:b/>
          <w:sz w:val="22"/>
          <w:szCs w:val="22"/>
        </w:rPr>
      </w:pPr>
    </w:p>
    <w:sectPr w:rsidR="00AB6157" w:rsidRPr="00273EEE" w:rsidSect="00C85C8B">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41B8F" w14:textId="77777777" w:rsidR="00DF2949" w:rsidRDefault="00DF2949" w:rsidP="007E7997">
      <w:r>
        <w:separator/>
      </w:r>
    </w:p>
  </w:endnote>
  <w:endnote w:type="continuationSeparator" w:id="0">
    <w:p w14:paraId="147B1B27" w14:textId="77777777" w:rsidR="00DF2949" w:rsidRDefault="00DF2949" w:rsidP="007E7997">
      <w:r>
        <w:continuationSeparator/>
      </w:r>
    </w:p>
  </w:endnote>
  <w:endnote w:type="continuationNotice" w:id="1">
    <w:p w14:paraId="4F51AFA5" w14:textId="77777777" w:rsidR="00DF2949" w:rsidRDefault="00DF2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4B5DF383" w14:textId="77777777" w:rsidR="00E2593C" w:rsidRDefault="00E2593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E53CA12" w14:textId="77777777" w:rsidR="00E2593C" w:rsidRDefault="00E25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61C4A" w14:textId="77777777" w:rsidR="00E2593C" w:rsidRDefault="00E2593C" w:rsidP="007A160F">
    <w:pPr>
      <w:pStyle w:val="Footer"/>
    </w:pPr>
    <w:r>
      <w:rPr>
        <w:rFonts w:asciiTheme="majorHAnsi" w:hAnsiTheme="majorHAnsi"/>
        <w:color w:val="FFFFFF" w:themeColor="background1"/>
      </w:rPr>
      <w:tab/>
    </w:r>
    <w:r>
      <w:rPr>
        <w:rFonts w:asciiTheme="majorHAnsi" w:hAnsiTheme="majorHAnsi"/>
        <w:color w:val="FFFFFF" w:themeColor="background1"/>
      </w:rPr>
      <w:tab/>
      <w:t xml:space="preserve">24 May 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0E614ED4" w14:textId="31D0B37B" w:rsidR="00E2593C" w:rsidRDefault="00E2593C">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4619DCF4" w14:textId="77777777" w:rsidR="00E2593C" w:rsidRDefault="00E2593C"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AD8E1" w14:textId="77777777" w:rsidR="00DF2949" w:rsidRDefault="00DF2949" w:rsidP="007E7997">
      <w:r>
        <w:separator/>
      </w:r>
    </w:p>
  </w:footnote>
  <w:footnote w:type="continuationSeparator" w:id="0">
    <w:p w14:paraId="531701FF" w14:textId="77777777" w:rsidR="00DF2949" w:rsidRDefault="00DF2949" w:rsidP="007E7997">
      <w:r>
        <w:continuationSeparator/>
      </w:r>
    </w:p>
  </w:footnote>
  <w:footnote w:type="continuationNotice" w:id="1">
    <w:p w14:paraId="098AEAFA" w14:textId="77777777" w:rsidR="00DF2949" w:rsidRDefault="00DF2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DC92B" w14:textId="77777777" w:rsidR="00E2593C" w:rsidRDefault="00E2593C">
    <w:pPr>
      <w:pStyle w:val="Header"/>
    </w:pPr>
  </w:p>
  <w:p w14:paraId="3DAB3D47" w14:textId="77777777" w:rsidR="00E2593C" w:rsidRDefault="00E25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9C16" w14:textId="77777777" w:rsidR="00E2593C" w:rsidRDefault="00E2593C">
    <w:pPr>
      <w:pStyle w:val="Header"/>
    </w:pPr>
    <w:r>
      <w:rPr>
        <w:noProof/>
        <w:lang w:val="en-US" w:eastAsia="en-US"/>
      </w:rPr>
      <w:drawing>
        <wp:anchor distT="0" distB="0" distL="114300" distR="114300" simplePos="0" relativeHeight="251658752" behindDoc="0" locked="0" layoutInCell="1" allowOverlap="1" wp14:anchorId="74632B31" wp14:editId="1B7CF3C9">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1" locked="0" layoutInCell="1" allowOverlap="1" wp14:anchorId="23A11899" wp14:editId="7639705C">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C887" w14:textId="77777777" w:rsidR="00E2593C" w:rsidRDefault="00E2593C" w:rsidP="00B50534">
    <w:pPr>
      <w:pStyle w:val="Header"/>
      <w:jc w:val="right"/>
      <w:rPr>
        <w:b/>
        <w:color w:val="FF0000"/>
      </w:rPr>
    </w:pPr>
    <w:r w:rsidRPr="008D5F86">
      <w:rPr>
        <w:rFonts w:ascii="Arial" w:hAnsi="Arial" w:cs="Arial"/>
        <w:noProof/>
        <w:lang w:val="en-US" w:eastAsia="en-US"/>
      </w:rPr>
      <mc:AlternateContent>
        <mc:Choice Requires="wps">
          <w:drawing>
            <wp:anchor distT="0" distB="0" distL="114300" distR="114300" simplePos="0" relativeHeight="251656704" behindDoc="0" locked="0" layoutInCell="1" allowOverlap="1" wp14:anchorId="14985DE7" wp14:editId="345730B9">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7C937"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03A69912" w14:textId="77777777" w:rsidR="00E2593C" w:rsidRPr="00D13661" w:rsidRDefault="00E2593C"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lang w:val="en-US" w:eastAsia="en-US"/>
      </w:rPr>
      <w:drawing>
        <wp:anchor distT="0" distB="0" distL="114300" distR="114300" simplePos="0" relativeHeight="251655680" behindDoc="0" locked="0" layoutInCell="1" allowOverlap="1" wp14:anchorId="0FF4FFD4" wp14:editId="45071A98">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94AF998" w14:textId="77777777" w:rsidR="00E2593C" w:rsidRPr="00C3170E" w:rsidRDefault="00E2593C" w:rsidP="00B50534">
    <w:pPr>
      <w:pStyle w:val="Header"/>
      <w:jc w:val="right"/>
      <w:rPr>
        <w:color w:val="2F5496" w:themeColor="accent5" w:themeShade="BF"/>
        <w:sz w:val="20"/>
      </w:rPr>
    </w:pPr>
  </w:p>
  <w:p w14:paraId="3C55FC95" w14:textId="77777777" w:rsidR="00E2593C" w:rsidRPr="00B50534" w:rsidRDefault="00E2593C"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5424"/>
    <w:multiLevelType w:val="hybridMultilevel"/>
    <w:tmpl w:val="5FF84A6E"/>
    <w:lvl w:ilvl="0" w:tplc="B0BA70AE">
      <w:numFmt w:val="bullet"/>
      <w:lvlText w:val="•"/>
      <w:lvlJc w:val="left"/>
      <w:pPr>
        <w:ind w:left="1070" w:hanging="71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87DC5"/>
    <w:multiLevelType w:val="hybridMultilevel"/>
    <w:tmpl w:val="1ECCDCE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3E6594"/>
    <w:multiLevelType w:val="hybridMultilevel"/>
    <w:tmpl w:val="1B2E32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06DE5"/>
    <w:multiLevelType w:val="multilevel"/>
    <w:tmpl w:val="7F2AD2EE"/>
    <w:lvl w:ilvl="0">
      <w:start w:val="1"/>
      <w:numFmt w:val="decimal"/>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23C6B88"/>
    <w:multiLevelType w:val="multilevel"/>
    <w:tmpl w:val="7708DE7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6239E"/>
    <w:multiLevelType w:val="hybridMultilevel"/>
    <w:tmpl w:val="74CE91B2"/>
    <w:lvl w:ilvl="0" w:tplc="C9D45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21C53"/>
    <w:multiLevelType w:val="multilevel"/>
    <w:tmpl w:val="C72A1D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9C60D8A"/>
    <w:multiLevelType w:val="hybridMultilevel"/>
    <w:tmpl w:val="7A86F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D12B4B0">
      <w:start w:val="1"/>
      <w:numFmt w:val="decimal"/>
      <w:pStyle w:val="ListParagraph"/>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B2200E"/>
    <w:multiLevelType w:val="hybridMultilevel"/>
    <w:tmpl w:val="7AE8B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07E2E"/>
    <w:multiLevelType w:val="hybridMultilevel"/>
    <w:tmpl w:val="E054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B273FDD"/>
    <w:multiLevelType w:val="multilevel"/>
    <w:tmpl w:val="7708DE7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
  </w:num>
  <w:num w:numId="3">
    <w:abstractNumId w:val="18"/>
  </w:num>
  <w:num w:numId="4">
    <w:abstractNumId w:val="4"/>
  </w:num>
  <w:num w:numId="5">
    <w:abstractNumId w:val="15"/>
  </w:num>
  <w:num w:numId="6">
    <w:abstractNumId w:val="20"/>
  </w:num>
  <w:num w:numId="7">
    <w:abstractNumId w:val="14"/>
  </w:num>
  <w:num w:numId="8">
    <w:abstractNumId w:val="5"/>
  </w:num>
  <w:num w:numId="9">
    <w:abstractNumId w:val="11"/>
  </w:num>
  <w:num w:numId="10">
    <w:abstractNumId w:val="7"/>
  </w:num>
  <w:num w:numId="11">
    <w:abstractNumId w:val="6"/>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7"/>
  </w:num>
  <w:num w:numId="16">
    <w:abstractNumId w:val="19"/>
  </w:num>
  <w:num w:numId="17">
    <w:abstractNumId w:val="12"/>
  </w:num>
  <w:num w:numId="18">
    <w:abstractNumId w:val="8"/>
  </w:num>
  <w:num w:numId="19">
    <w:abstractNumId w:val="1"/>
  </w:num>
  <w:num w:numId="20">
    <w:abstractNumId w:val="2"/>
  </w:num>
  <w:num w:numId="21">
    <w:abstractNumId w:val="10"/>
  </w:num>
  <w:num w:numId="22">
    <w:abstractNumId w:val="13"/>
  </w:num>
  <w:num w:numId="23">
    <w:abstractNumId w:val="0"/>
  </w:num>
  <w:num w:numId="24">
    <w:abstractNumId w:val="9"/>
  </w:num>
  <w:num w:numId="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activeWritingStyle w:appName="MSWord" w:lang="fr-BE"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380B"/>
    <w:rsid w:val="00005001"/>
    <w:rsid w:val="00005505"/>
    <w:rsid w:val="00006275"/>
    <w:rsid w:val="00006971"/>
    <w:rsid w:val="00011F6C"/>
    <w:rsid w:val="0001249B"/>
    <w:rsid w:val="00012D68"/>
    <w:rsid w:val="000142BB"/>
    <w:rsid w:val="0001633D"/>
    <w:rsid w:val="0001726F"/>
    <w:rsid w:val="00020098"/>
    <w:rsid w:val="00020300"/>
    <w:rsid w:val="00021A9A"/>
    <w:rsid w:val="00022ADA"/>
    <w:rsid w:val="00024345"/>
    <w:rsid w:val="00026327"/>
    <w:rsid w:val="00027EC9"/>
    <w:rsid w:val="00030A47"/>
    <w:rsid w:val="00033725"/>
    <w:rsid w:val="00033934"/>
    <w:rsid w:val="00036C09"/>
    <w:rsid w:val="000372BF"/>
    <w:rsid w:val="00040A52"/>
    <w:rsid w:val="0004288C"/>
    <w:rsid w:val="00044C5A"/>
    <w:rsid w:val="00044E0A"/>
    <w:rsid w:val="000453CE"/>
    <w:rsid w:val="00054E00"/>
    <w:rsid w:val="00061B2B"/>
    <w:rsid w:val="00061E97"/>
    <w:rsid w:val="0006313F"/>
    <w:rsid w:val="0006448C"/>
    <w:rsid w:val="0006449B"/>
    <w:rsid w:val="000655AD"/>
    <w:rsid w:val="00066FD1"/>
    <w:rsid w:val="00072BF9"/>
    <w:rsid w:val="00073DF9"/>
    <w:rsid w:val="00075172"/>
    <w:rsid w:val="0007767E"/>
    <w:rsid w:val="0007796D"/>
    <w:rsid w:val="00080D44"/>
    <w:rsid w:val="000830DA"/>
    <w:rsid w:val="000836A9"/>
    <w:rsid w:val="00083FBB"/>
    <w:rsid w:val="000865FC"/>
    <w:rsid w:val="000874F1"/>
    <w:rsid w:val="000921E6"/>
    <w:rsid w:val="00093239"/>
    <w:rsid w:val="000A03C9"/>
    <w:rsid w:val="000A0748"/>
    <w:rsid w:val="000A12CC"/>
    <w:rsid w:val="000A15CA"/>
    <w:rsid w:val="000A2738"/>
    <w:rsid w:val="000A2DF1"/>
    <w:rsid w:val="000A3D10"/>
    <w:rsid w:val="000A409B"/>
    <w:rsid w:val="000A66FC"/>
    <w:rsid w:val="000A741E"/>
    <w:rsid w:val="000B1615"/>
    <w:rsid w:val="000B2AAF"/>
    <w:rsid w:val="000B2E26"/>
    <w:rsid w:val="000B4F56"/>
    <w:rsid w:val="000B5D3D"/>
    <w:rsid w:val="000C0CE0"/>
    <w:rsid w:val="000C2400"/>
    <w:rsid w:val="000C299C"/>
    <w:rsid w:val="000C5ACC"/>
    <w:rsid w:val="000D0293"/>
    <w:rsid w:val="000D0850"/>
    <w:rsid w:val="000D1038"/>
    <w:rsid w:val="000D11A9"/>
    <w:rsid w:val="000D2D7B"/>
    <w:rsid w:val="000D48DB"/>
    <w:rsid w:val="000D7B40"/>
    <w:rsid w:val="000E122B"/>
    <w:rsid w:val="000E2232"/>
    <w:rsid w:val="000E3DB1"/>
    <w:rsid w:val="000F0169"/>
    <w:rsid w:val="000F0951"/>
    <w:rsid w:val="000F2598"/>
    <w:rsid w:val="000F29C0"/>
    <w:rsid w:val="000F2BE6"/>
    <w:rsid w:val="000F474D"/>
    <w:rsid w:val="000F5C90"/>
    <w:rsid w:val="000F5EA6"/>
    <w:rsid w:val="000F74C4"/>
    <w:rsid w:val="000F7998"/>
    <w:rsid w:val="00100ADC"/>
    <w:rsid w:val="0010429A"/>
    <w:rsid w:val="00105424"/>
    <w:rsid w:val="001075EC"/>
    <w:rsid w:val="001102CD"/>
    <w:rsid w:val="0011138A"/>
    <w:rsid w:val="0011221C"/>
    <w:rsid w:val="00113C3D"/>
    <w:rsid w:val="00113D82"/>
    <w:rsid w:val="00120F0D"/>
    <w:rsid w:val="001214DA"/>
    <w:rsid w:val="00121565"/>
    <w:rsid w:val="00124079"/>
    <w:rsid w:val="0012722A"/>
    <w:rsid w:val="00130EF9"/>
    <w:rsid w:val="001312B5"/>
    <w:rsid w:val="001319C7"/>
    <w:rsid w:val="001355E6"/>
    <w:rsid w:val="0013644A"/>
    <w:rsid w:val="00140BA6"/>
    <w:rsid w:val="00141946"/>
    <w:rsid w:val="00143DCA"/>
    <w:rsid w:val="00144AAD"/>
    <w:rsid w:val="001455E7"/>
    <w:rsid w:val="0014624E"/>
    <w:rsid w:val="00150825"/>
    <w:rsid w:val="00151493"/>
    <w:rsid w:val="001608B2"/>
    <w:rsid w:val="00160FE0"/>
    <w:rsid w:val="001630A8"/>
    <w:rsid w:val="00163AB3"/>
    <w:rsid w:val="0016411B"/>
    <w:rsid w:val="00164178"/>
    <w:rsid w:val="00165047"/>
    <w:rsid w:val="001650F3"/>
    <w:rsid w:val="00165FF8"/>
    <w:rsid w:val="0016669F"/>
    <w:rsid w:val="00170AD6"/>
    <w:rsid w:val="00172A75"/>
    <w:rsid w:val="001735B8"/>
    <w:rsid w:val="00177AA7"/>
    <w:rsid w:val="00180917"/>
    <w:rsid w:val="00180E53"/>
    <w:rsid w:val="00181CB7"/>
    <w:rsid w:val="00183585"/>
    <w:rsid w:val="001862A5"/>
    <w:rsid w:val="00186A70"/>
    <w:rsid w:val="00190330"/>
    <w:rsid w:val="001903A3"/>
    <w:rsid w:val="00191035"/>
    <w:rsid w:val="001918E5"/>
    <w:rsid w:val="00192A7A"/>
    <w:rsid w:val="001A1EF4"/>
    <w:rsid w:val="001A5CDB"/>
    <w:rsid w:val="001A7046"/>
    <w:rsid w:val="001A710D"/>
    <w:rsid w:val="001A7E6F"/>
    <w:rsid w:val="001B0A77"/>
    <w:rsid w:val="001B1727"/>
    <w:rsid w:val="001B2151"/>
    <w:rsid w:val="001B3CFF"/>
    <w:rsid w:val="001B4957"/>
    <w:rsid w:val="001B4996"/>
    <w:rsid w:val="001B6649"/>
    <w:rsid w:val="001C0E59"/>
    <w:rsid w:val="001C432D"/>
    <w:rsid w:val="001C469E"/>
    <w:rsid w:val="001C56C3"/>
    <w:rsid w:val="001C5D8C"/>
    <w:rsid w:val="001C6C3E"/>
    <w:rsid w:val="001C72AC"/>
    <w:rsid w:val="001C7E0A"/>
    <w:rsid w:val="001D0112"/>
    <w:rsid w:val="001D19F5"/>
    <w:rsid w:val="001D385A"/>
    <w:rsid w:val="001D6B39"/>
    <w:rsid w:val="001E1ECD"/>
    <w:rsid w:val="001E3E0D"/>
    <w:rsid w:val="001E4199"/>
    <w:rsid w:val="001E4A45"/>
    <w:rsid w:val="001E5E30"/>
    <w:rsid w:val="001F0479"/>
    <w:rsid w:val="001F1F10"/>
    <w:rsid w:val="001F1FDF"/>
    <w:rsid w:val="001F3611"/>
    <w:rsid w:val="001F3968"/>
    <w:rsid w:val="001F3999"/>
    <w:rsid w:val="001F3D9D"/>
    <w:rsid w:val="00200894"/>
    <w:rsid w:val="00202333"/>
    <w:rsid w:val="00202FA8"/>
    <w:rsid w:val="002034B8"/>
    <w:rsid w:val="00205922"/>
    <w:rsid w:val="00206FB8"/>
    <w:rsid w:val="0020766F"/>
    <w:rsid w:val="00207A07"/>
    <w:rsid w:val="00210498"/>
    <w:rsid w:val="0021147A"/>
    <w:rsid w:val="00211981"/>
    <w:rsid w:val="00213BFB"/>
    <w:rsid w:val="00215A1F"/>
    <w:rsid w:val="00217478"/>
    <w:rsid w:val="002238AD"/>
    <w:rsid w:val="00223F0D"/>
    <w:rsid w:val="00224806"/>
    <w:rsid w:val="0023250D"/>
    <w:rsid w:val="00232F8E"/>
    <w:rsid w:val="00233071"/>
    <w:rsid w:val="00233F26"/>
    <w:rsid w:val="00235E99"/>
    <w:rsid w:val="00236A99"/>
    <w:rsid w:val="0024299F"/>
    <w:rsid w:val="0024309D"/>
    <w:rsid w:val="002449D8"/>
    <w:rsid w:val="00244B86"/>
    <w:rsid w:val="00244C97"/>
    <w:rsid w:val="0024512F"/>
    <w:rsid w:val="00245406"/>
    <w:rsid w:val="002455D7"/>
    <w:rsid w:val="00245D2E"/>
    <w:rsid w:val="00246E1D"/>
    <w:rsid w:val="002472F6"/>
    <w:rsid w:val="0025020D"/>
    <w:rsid w:val="002525D8"/>
    <w:rsid w:val="00254CC2"/>
    <w:rsid w:val="002574D1"/>
    <w:rsid w:val="00261CCB"/>
    <w:rsid w:val="002630C0"/>
    <w:rsid w:val="0026332A"/>
    <w:rsid w:val="00263E20"/>
    <w:rsid w:val="002645A8"/>
    <w:rsid w:val="0026493B"/>
    <w:rsid w:val="00265566"/>
    <w:rsid w:val="00265F44"/>
    <w:rsid w:val="002665E3"/>
    <w:rsid w:val="00270881"/>
    <w:rsid w:val="00270B7C"/>
    <w:rsid w:val="0027199C"/>
    <w:rsid w:val="00272C4E"/>
    <w:rsid w:val="00273EEE"/>
    <w:rsid w:val="002751FC"/>
    <w:rsid w:val="002753BD"/>
    <w:rsid w:val="00276885"/>
    <w:rsid w:val="00280FAE"/>
    <w:rsid w:val="00282D38"/>
    <w:rsid w:val="00282FBE"/>
    <w:rsid w:val="00284785"/>
    <w:rsid w:val="00284AF2"/>
    <w:rsid w:val="0028536B"/>
    <w:rsid w:val="00285CED"/>
    <w:rsid w:val="00285EB5"/>
    <w:rsid w:val="00287C8F"/>
    <w:rsid w:val="00290893"/>
    <w:rsid w:val="002917B9"/>
    <w:rsid w:val="00291A55"/>
    <w:rsid w:val="0029394C"/>
    <w:rsid w:val="00293F92"/>
    <w:rsid w:val="00297F62"/>
    <w:rsid w:val="002A13B0"/>
    <w:rsid w:val="002A2C91"/>
    <w:rsid w:val="002A45D4"/>
    <w:rsid w:val="002A6C21"/>
    <w:rsid w:val="002A780E"/>
    <w:rsid w:val="002B143B"/>
    <w:rsid w:val="002B144C"/>
    <w:rsid w:val="002B53F3"/>
    <w:rsid w:val="002C03FD"/>
    <w:rsid w:val="002C044D"/>
    <w:rsid w:val="002C1AA5"/>
    <w:rsid w:val="002C2A46"/>
    <w:rsid w:val="002C3048"/>
    <w:rsid w:val="002D2992"/>
    <w:rsid w:val="002D37A0"/>
    <w:rsid w:val="002D5AB5"/>
    <w:rsid w:val="002D6667"/>
    <w:rsid w:val="002D79F3"/>
    <w:rsid w:val="002E1C11"/>
    <w:rsid w:val="002E3D0B"/>
    <w:rsid w:val="002E3E7D"/>
    <w:rsid w:val="002F1AE0"/>
    <w:rsid w:val="002F6279"/>
    <w:rsid w:val="003013B7"/>
    <w:rsid w:val="00301993"/>
    <w:rsid w:val="00301E55"/>
    <w:rsid w:val="00305E19"/>
    <w:rsid w:val="00307397"/>
    <w:rsid w:val="003101EF"/>
    <w:rsid w:val="00312BDD"/>
    <w:rsid w:val="00314117"/>
    <w:rsid w:val="00316A60"/>
    <w:rsid w:val="00317EDF"/>
    <w:rsid w:val="00322E49"/>
    <w:rsid w:val="003265A8"/>
    <w:rsid w:val="003279E7"/>
    <w:rsid w:val="00327B62"/>
    <w:rsid w:val="00331FE9"/>
    <w:rsid w:val="003323B9"/>
    <w:rsid w:val="0033324D"/>
    <w:rsid w:val="0033587C"/>
    <w:rsid w:val="00336BF9"/>
    <w:rsid w:val="003371E8"/>
    <w:rsid w:val="00337471"/>
    <w:rsid w:val="003377AC"/>
    <w:rsid w:val="0034151D"/>
    <w:rsid w:val="00342B5B"/>
    <w:rsid w:val="00343532"/>
    <w:rsid w:val="00345469"/>
    <w:rsid w:val="003454ED"/>
    <w:rsid w:val="00345E32"/>
    <w:rsid w:val="00345EB9"/>
    <w:rsid w:val="0035030F"/>
    <w:rsid w:val="00353C4B"/>
    <w:rsid w:val="003545A6"/>
    <w:rsid w:val="00356C60"/>
    <w:rsid w:val="003578D1"/>
    <w:rsid w:val="00357B8E"/>
    <w:rsid w:val="00366D42"/>
    <w:rsid w:val="0036748C"/>
    <w:rsid w:val="00372615"/>
    <w:rsid w:val="00373A3C"/>
    <w:rsid w:val="00373AD3"/>
    <w:rsid w:val="00375349"/>
    <w:rsid w:val="00376233"/>
    <w:rsid w:val="003807AE"/>
    <w:rsid w:val="00380B30"/>
    <w:rsid w:val="00381784"/>
    <w:rsid w:val="00381EB0"/>
    <w:rsid w:val="00382A72"/>
    <w:rsid w:val="00382EBA"/>
    <w:rsid w:val="0038331A"/>
    <w:rsid w:val="0039135B"/>
    <w:rsid w:val="003940E8"/>
    <w:rsid w:val="003A1C37"/>
    <w:rsid w:val="003A34E7"/>
    <w:rsid w:val="003A3CB1"/>
    <w:rsid w:val="003A3D55"/>
    <w:rsid w:val="003A73A4"/>
    <w:rsid w:val="003A799B"/>
    <w:rsid w:val="003B09B3"/>
    <w:rsid w:val="003B102E"/>
    <w:rsid w:val="003B4E3D"/>
    <w:rsid w:val="003B5E13"/>
    <w:rsid w:val="003C0591"/>
    <w:rsid w:val="003C11ED"/>
    <w:rsid w:val="003C167E"/>
    <w:rsid w:val="003C481D"/>
    <w:rsid w:val="003C4EB5"/>
    <w:rsid w:val="003D1A41"/>
    <w:rsid w:val="003D2CED"/>
    <w:rsid w:val="003D344A"/>
    <w:rsid w:val="003D3BB8"/>
    <w:rsid w:val="003D7C07"/>
    <w:rsid w:val="003E13FD"/>
    <w:rsid w:val="003E1C24"/>
    <w:rsid w:val="003E61FC"/>
    <w:rsid w:val="003E77BC"/>
    <w:rsid w:val="003F0546"/>
    <w:rsid w:val="003F0EDF"/>
    <w:rsid w:val="003F20C7"/>
    <w:rsid w:val="003F39B1"/>
    <w:rsid w:val="00400D9C"/>
    <w:rsid w:val="00400FBE"/>
    <w:rsid w:val="00401300"/>
    <w:rsid w:val="00401F0D"/>
    <w:rsid w:val="004022CF"/>
    <w:rsid w:val="004029B1"/>
    <w:rsid w:val="004038F1"/>
    <w:rsid w:val="00404282"/>
    <w:rsid w:val="0040743A"/>
    <w:rsid w:val="00407623"/>
    <w:rsid w:val="00407A74"/>
    <w:rsid w:val="00414210"/>
    <w:rsid w:val="004159DB"/>
    <w:rsid w:val="00420FD4"/>
    <w:rsid w:val="004242B3"/>
    <w:rsid w:val="00426D62"/>
    <w:rsid w:val="00427A89"/>
    <w:rsid w:val="00430C5B"/>
    <w:rsid w:val="0043109C"/>
    <w:rsid w:val="00431968"/>
    <w:rsid w:val="00433936"/>
    <w:rsid w:val="0043475E"/>
    <w:rsid w:val="0043513A"/>
    <w:rsid w:val="00435A1A"/>
    <w:rsid w:val="00435FE9"/>
    <w:rsid w:val="00436279"/>
    <w:rsid w:val="00436979"/>
    <w:rsid w:val="0044199E"/>
    <w:rsid w:val="0044206D"/>
    <w:rsid w:val="00444803"/>
    <w:rsid w:val="00445696"/>
    <w:rsid w:val="00446E5F"/>
    <w:rsid w:val="00450C4E"/>
    <w:rsid w:val="00451D9E"/>
    <w:rsid w:val="004521D2"/>
    <w:rsid w:val="00455577"/>
    <w:rsid w:val="00456459"/>
    <w:rsid w:val="00456795"/>
    <w:rsid w:val="00460639"/>
    <w:rsid w:val="00461CC8"/>
    <w:rsid w:val="00462B2F"/>
    <w:rsid w:val="00465EAA"/>
    <w:rsid w:val="004708CA"/>
    <w:rsid w:val="004709E7"/>
    <w:rsid w:val="00470ADE"/>
    <w:rsid w:val="00470DEB"/>
    <w:rsid w:val="004712C7"/>
    <w:rsid w:val="004759EB"/>
    <w:rsid w:val="004777FB"/>
    <w:rsid w:val="00477919"/>
    <w:rsid w:val="00481A49"/>
    <w:rsid w:val="00482611"/>
    <w:rsid w:val="004827DC"/>
    <w:rsid w:val="00482A27"/>
    <w:rsid w:val="004864C5"/>
    <w:rsid w:val="00487DCE"/>
    <w:rsid w:val="004950B7"/>
    <w:rsid w:val="00497FEA"/>
    <w:rsid w:val="004A1970"/>
    <w:rsid w:val="004B07B2"/>
    <w:rsid w:val="004B0824"/>
    <w:rsid w:val="004B0955"/>
    <w:rsid w:val="004B1842"/>
    <w:rsid w:val="004B25D0"/>
    <w:rsid w:val="004B3553"/>
    <w:rsid w:val="004B5E92"/>
    <w:rsid w:val="004C0A30"/>
    <w:rsid w:val="004C357C"/>
    <w:rsid w:val="004C3D18"/>
    <w:rsid w:val="004D2A8E"/>
    <w:rsid w:val="004D42B1"/>
    <w:rsid w:val="004D526F"/>
    <w:rsid w:val="004E19C0"/>
    <w:rsid w:val="004E1C54"/>
    <w:rsid w:val="004E217A"/>
    <w:rsid w:val="004E2C37"/>
    <w:rsid w:val="004E5285"/>
    <w:rsid w:val="004F0CF3"/>
    <w:rsid w:val="004F5740"/>
    <w:rsid w:val="004F58C9"/>
    <w:rsid w:val="00501FAB"/>
    <w:rsid w:val="00502743"/>
    <w:rsid w:val="005028B9"/>
    <w:rsid w:val="00505E17"/>
    <w:rsid w:val="00511A59"/>
    <w:rsid w:val="00511C3B"/>
    <w:rsid w:val="00514440"/>
    <w:rsid w:val="005166C3"/>
    <w:rsid w:val="00516960"/>
    <w:rsid w:val="00520F7C"/>
    <w:rsid w:val="00523974"/>
    <w:rsid w:val="00526E5D"/>
    <w:rsid w:val="00531432"/>
    <w:rsid w:val="00532BC8"/>
    <w:rsid w:val="005333E8"/>
    <w:rsid w:val="00534912"/>
    <w:rsid w:val="005370E7"/>
    <w:rsid w:val="005409B7"/>
    <w:rsid w:val="00545E62"/>
    <w:rsid w:val="0054771A"/>
    <w:rsid w:val="00551070"/>
    <w:rsid w:val="00552C8A"/>
    <w:rsid w:val="00554168"/>
    <w:rsid w:val="00554AD8"/>
    <w:rsid w:val="00555156"/>
    <w:rsid w:val="0055535B"/>
    <w:rsid w:val="00555AE8"/>
    <w:rsid w:val="00560A96"/>
    <w:rsid w:val="005619CB"/>
    <w:rsid w:val="00561B71"/>
    <w:rsid w:val="00561F98"/>
    <w:rsid w:val="00562874"/>
    <w:rsid w:val="00564607"/>
    <w:rsid w:val="00565193"/>
    <w:rsid w:val="005652DB"/>
    <w:rsid w:val="005725BD"/>
    <w:rsid w:val="005730B0"/>
    <w:rsid w:val="00575DCC"/>
    <w:rsid w:val="005768C1"/>
    <w:rsid w:val="005779C4"/>
    <w:rsid w:val="005821B0"/>
    <w:rsid w:val="0059175F"/>
    <w:rsid w:val="00591AAC"/>
    <w:rsid w:val="00594D3F"/>
    <w:rsid w:val="00595F08"/>
    <w:rsid w:val="00595FBE"/>
    <w:rsid w:val="0059634D"/>
    <w:rsid w:val="005A1C55"/>
    <w:rsid w:val="005A2C1F"/>
    <w:rsid w:val="005B169D"/>
    <w:rsid w:val="005B4ACA"/>
    <w:rsid w:val="005B5560"/>
    <w:rsid w:val="005B6B12"/>
    <w:rsid w:val="005C0DF1"/>
    <w:rsid w:val="005C19E9"/>
    <w:rsid w:val="005C2DBC"/>
    <w:rsid w:val="005C5F13"/>
    <w:rsid w:val="005C65F9"/>
    <w:rsid w:val="005C6B0E"/>
    <w:rsid w:val="005C7E1F"/>
    <w:rsid w:val="005D1A9A"/>
    <w:rsid w:val="005D1B9E"/>
    <w:rsid w:val="005D1F6B"/>
    <w:rsid w:val="005D2DE7"/>
    <w:rsid w:val="005D331C"/>
    <w:rsid w:val="005D6355"/>
    <w:rsid w:val="005D7AAF"/>
    <w:rsid w:val="005E0B46"/>
    <w:rsid w:val="005E0C59"/>
    <w:rsid w:val="005E1DA3"/>
    <w:rsid w:val="005E306B"/>
    <w:rsid w:val="005E3C68"/>
    <w:rsid w:val="005E53D0"/>
    <w:rsid w:val="005E5785"/>
    <w:rsid w:val="005E6098"/>
    <w:rsid w:val="005E7969"/>
    <w:rsid w:val="005F0C93"/>
    <w:rsid w:val="005F3F22"/>
    <w:rsid w:val="005F4FC0"/>
    <w:rsid w:val="005F540F"/>
    <w:rsid w:val="005F5491"/>
    <w:rsid w:val="005F6144"/>
    <w:rsid w:val="005F6573"/>
    <w:rsid w:val="00601541"/>
    <w:rsid w:val="0060361E"/>
    <w:rsid w:val="00604524"/>
    <w:rsid w:val="00604A25"/>
    <w:rsid w:val="00606683"/>
    <w:rsid w:val="00612151"/>
    <w:rsid w:val="00613BF6"/>
    <w:rsid w:val="00616D27"/>
    <w:rsid w:val="006234FE"/>
    <w:rsid w:val="00623840"/>
    <w:rsid w:val="006255EC"/>
    <w:rsid w:val="00625A25"/>
    <w:rsid w:val="0062736A"/>
    <w:rsid w:val="0063565E"/>
    <w:rsid w:val="00636E02"/>
    <w:rsid w:val="006374F4"/>
    <w:rsid w:val="00641DB1"/>
    <w:rsid w:val="00642297"/>
    <w:rsid w:val="00644A34"/>
    <w:rsid w:val="00653B36"/>
    <w:rsid w:val="00654824"/>
    <w:rsid w:val="00655F3C"/>
    <w:rsid w:val="0065630A"/>
    <w:rsid w:val="006564BF"/>
    <w:rsid w:val="00657474"/>
    <w:rsid w:val="00661766"/>
    <w:rsid w:val="00662882"/>
    <w:rsid w:val="0066298C"/>
    <w:rsid w:val="00663008"/>
    <w:rsid w:val="00663093"/>
    <w:rsid w:val="00665A7C"/>
    <w:rsid w:val="00665B0B"/>
    <w:rsid w:val="006705CD"/>
    <w:rsid w:val="00671363"/>
    <w:rsid w:val="00672780"/>
    <w:rsid w:val="00672842"/>
    <w:rsid w:val="00676CFC"/>
    <w:rsid w:val="00677133"/>
    <w:rsid w:val="00680506"/>
    <w:rsid w:val="00681482"/>
    <w:rsid w:val="00685C88"/>
    <w:rsid w:val="00687BF0"/>
    <w:rsid w:val="006904CF"/>
    <w:rsid w:val="006912FB"/>
    <w:rsid w:val="00695AF2"/>
    <w:rsid w:val="00696A2B"/>
    <w:rsid w:val="00696BD5"/>
    <w:rsid w:val="006971EB"/>
    <w:rsid w:val="006A01B4"/>
    <w:rsid w:val="006A04AE"/>
    <w:rsid w:val="006A0AE4"/>
    <w:rsid w:val="006A13F5"/>
    <w:rsid w:val="006A23F3"/>
    <w:rsid w:val="006A2CF3"/>
    <w:rsid w:val="006A5047"/>
    <w:rsid w:val="006A59E7"/>
    <w:rsid w:val="006A7A10"/>
    <w:rsid w:val="006B0DA4"/>
    <w:rsid w:val="006B1B6B"/>
    <w:rsid w:val="006B1C74"/>
    <w:rsid w:val="006B2C57"/>
    <w:rsid w:val="006B79E0"/>
    <w:rsid w:val="006C1633"/>
    <w:rsid w:val="006C2A29"/>
    <w:rsid w:val="006C5BF8"/>
    <w:rsid w:val="006C7CCB"/>
    <w:rsid w:val="006D11FE"/>
    <w:rsid w:val="006D6009"/>
    <w:rsid w:val="006D7D41"/>
    <w:rsid w:val="006E2F4D"/>
    <w:rsid w:val="006E3732"/>
    <w:rsid w:val="006E3FDD"/>
    <w:rsid w:val="006E58FB"/>
    <w:rsid w:val="006E5D82"/>
    <w:rsid w:val="006E66B2"/>
    <w:rsid w:val="006E6C50"/>
    <w:rsid w:val="006E7A69"/>
    <w:rsid w:val="006E7DE4"/>
    <w:rsid w:val="006F2394"/>
    <w:rsid w:val="006F4EB7"/>
    <w:rsid w:val="006F53E8"/>
    <w:rsid w:val="006F594D"/>
    <w:rsid w:val="006F5FB8"/>
    <w:rsid w:val="0070017B"/>
    <w:rsid w:val="0070427E"/>
    <w:rsid w:val="00704940"/>
    <w:rsid w:val="00704D53"/>
    <w:rsid w:val="007056C3"/>
    <w:rsid w:val="00706072"/>
    <w:rsid w:val="0071227B"/>
    <w:rsid w:val="00713644"/>
    <w:rsid w:val="00721256"/>
    <w:rsid w:val="007217AD"/>
    <w:rsid w:val="00723BA1"/>
    <w:rsid w:val="00724A1B"/>
    <w:rsid w:val="007279EA"/>
    <w:rsid w:val="0073173E"/>
    <w:rsid w:val="00731774"/>
    <w:rsid w:val="007319C3"/>
    <w:rsid w:val="00733364"/>
    <w:rsid w:val="0073454F"/>
    <w:rsid w:val="00735C00"/>
    <w:rsid w:val="007364C6"/>
    <w:rsid w:val="00740BF3"/>
    <w:rsid w:val="00741D5C"/>
    <w:rsid w:val="0074352F"/>
    <w:rsid w:val="007448B5"/>
    <w:rsid w:val="00747C5E"/>
    <w:rsid w:val="00747D2D"/>
    <w:rsid w:val="00750210"/>
    <w:rsid w:val="00754B57"/>
    <w:rsid w:val="0075671D"/>
    <w:rsid w:val="0076002F"/>
    <w:rsid w:val="0076038B"/>
    <w:rsid w:val="00761744"/>
    <w:rsid w:val="00764582"/>
    <w:rsid w:val="00764D02"/>
    <w:rsid w:val="00765FA3"/>
    <w:rsid w:val="00766961"/>
    <w:rsid w:val="00766B5A"/>
    <w:rsid w:val="00770C33"/>
    <w:rsid w:val="00772B8C"/>
    <w:rsid w:val="007741C3"/>
    <w:rsid w:val="00777BE0"/>
    <w:rsid w:val="00780923"/>
    <w:rsid w:val="0078131F"/>
    <w:rsid w:val="007844C6"/>
    <w:rsid w:val="007876EF"/>
    <w:rsid w:val="00790306"/>
    <w:rsid w:val="0079364C"/>
    <w:rsid w:val="007942B9"/>
    <w:rsid w:val="00796C7F"/>
    <w:rsid w:val="00797E0C"/>
    <w:rsid w:val="007A160F"/>
    <w:rsid w:val="007A4198"/>
    <w:rsid w:val="007A4437"/>
    <w:rsid w:val="007A48BC"/>
    <w:rsid w:val="007A5C0A"/>
    <w:rsid w:val="007B0BC1"/>
    <w:rsid w:val="007B354B"/>
    <w:rsid w:val="007B4FC3"/>
    <w:rsid w:val="007B73F3"/>
    <w:rsid w:val="007B7EE5"/>
    <w:rsid w:val="007C1C28"/>
    <w:rsid w:val="007C2A2C"/>
    <w:rsid w:val="007C3577"/>
    <w:rsid w:val="007C5E08"/>
    <w:rsid w:val="007D0002"/>
    <w:rsid w:val="007D245A"/>
    <w:rsid w:val="007D7A59"/>
    <w:rsid w:val="007E0E75"/>
    <w:rsid w:val="007E53F5"/>
    <w:rsid w:val="007E6E9E"/>
    <w:rsid w:val="007E7637"/>
    <w:rsid w:val="007E7997"/>
    <w:rsid w:val="007F014A"/>
    <w:rsid w:val="007F04EF"/>
    <w:rsid w:val="007F0763"/>
    <w:rsid w:val="007F1DE9"/>
    <w:rsid w:val="007F25C2"/>
    <w:rsid w:val="007F4F88"/>
    <w:rsid w:val="007F5822"/>
    <w:rsid w:val="007F5B86"/>
    <w:rsid w:val="007F73C3"/>
    <w:rsid w:val="00800A7F"/>
    <w:rsid w:val="0080285D"/>
    <w:rsid w:val="0081028F"/>
    <w:rsid w:val="008107D9"/>
    <w:rsid w:val="0081093B"/>
    <w:rsid w:val="008116D9"/>
    <w:rsid w:val="00811936"/>
    <w:rsid w:val="00813059"/>
    <w:rsid w:val="008173E2"/>
    <w:rsid w:val="008201C3"/>
    <w:rsid w:val="00820422"/>
    <w:rsid w:val="00820655"/>
    <w:rsid w:val="0082171F"/>
    <w:rsid w:val="008217BE"/>
    <w:rsid w:val="008227D7"/>
    <w:rsid w:val="008249A1"/>
    <w:rsid w:val="00825B73"/>
    <w:rsid w:val="00825D43"/>
    <w:rsid w:val="0082632D"/>
    <w:rsid w:val="00832500"/>
    <w:rsid w:val="00832787"/>
    <w:rsid w:val="008328AA"/>
    <w:rsid w:val="0083531B"/>
    <w:rsid w:val="00835805"/>
    <w:rsid w:val="0083595F"/>
    <w:rsid w:val="00837276"/>
    <w:rsid w:val="008372B6"/>
    <w:rsid w:val="00841FAC"/>
    <w:rsid w:val="00843A1A"/>
    <w:rsid w:val="008452E7"/>
    <w:rsid w:val="00846433"/>
    <w:rsid w:val="008472C2"/>
    <w:rsid w:val="008510D9"/>
    <w:rsid w:val="00851EE3"/>
    <w:rsid w:val="00853121"/>
    <w:rsid w:val="0085458B"/>
    <w:rsid w:val="008555E4"/>
    <w:rsid w:val="00864E60"/>
    <w:rsid w:val="00866A09"/>
    <w:rsid w:val="008712BF"/>
    <w:rsid w:val="00872209"/>
    <w:rsid w:val="00873656"/>
    <w:rsid w:val="00875A1B"/>
    <w:rsid w:val="00880140"/>
    <w:rsid w:val="008842F7"/>
    <w:rsid w:val="00885162"/>
    <w:rsid w:val="00885B94"/>
    <w:rsid w:val="0089075A"/>
    <w:rsid w:val="00890F80"/>
    <w:rsid w:val="0089129A"/>
    <w:rsid w:val="00892BFD"/>
    <w:rsid w:val="0089338A"/>
    <w:rsid w:val="00894199"/>
    <w:rsid w:val="008948BE"/>
    <w:rsid w:val="008A1E27"/>
    <w:rsid w:val="008A2C86"/>
    <w:rsid w:val="008A6000"/>
    <w:rsid w:val="008A70A8"/>
    <w:rsid w:val="008A7FAC"/>
    <w:rsid w:val="008B1FD9"/>
    <w:rsid w:val="008B2AF1"/>
    <w:rsid w:val="008B4DFD"/>
    <w:rsid w:val="008B5191"/>
    <w:rsid w:val="008B710D"/>
    <w:rsid w:val="008B7CA1"/>
    <w:rsid w:val="008C0389"/>
    <w:rsid w:val="008C14A1"/>
    <w:rsid w:val="008C27D3"/>
    <w:rsid w:val="008C4B2B"/>
    <w:rsid w:val="008C5E91"/>
    <w:rsid w:val="008C686D"/>
    <w:rsid w:val="008C6B18"/>
    <w:rsid w:val="008C75E6"/>
    <w:rsid w:val="008C767A"/>
    <w:rsid w:val="008C7A73"/>
    <w:rsid w:val="008D0569"/>
    <w:rsid w:val="008D073F"/>
    <w:rsid w:val="008D25F5"/>
    <w:rsid w:val="008D5C28"/>
    <w:rsid w:val="008E2D26"/>
    <w:rsid w:val="008E4076"/>
    <w:rsid w:val="008E7DBA"/>
    <w:rsid w:val="008F3386"/>
    <w:rsid w:val="008F3AD9"/>
    <w:rsid w:val="008F3DB0"/>
    <w:rsid w:val="008F4642"/>
    <w:rsid w:val="008F4E00"/>
    <w:rsid w:val="008F761D"/>
    <w:rsid w:val="00900D44"/>
    <w:rsid w:val="00901E4B"/>
    <w:rsid w:val="00902520"/>
    <w:rsid w:val="00906DC4"/>
    <w:rsid w:val="00912E6E"/>
    <w:rsid w:val="009138F3"/>
    <w:rsid w:val="0091457F"/>
    <w:rsid w:val="0091729E"/>
    <w:rsid w:val="00926531"/>
    <w:rsid w:val="00934D88"/>
    <w:rsid w:val="0094008E"/>
    <w:rsid w:val="00941C0C"/>
    <w:rsid w:val="009437F2"/>
    <w:rsid w:val="0094528B"/>
    <w:rsid w:val="009455FD"/>
    <w:rsid w:val="00960A46"/>
    <w:rsid w:val="00960A8B"/>
    <w:rsid w:val="00961EE5"/>
    <w:rsid w:val="00965128"/>
    <w:rsid w:val="009657E5"/>
    <w:rsid w:val="00967CC4"/>
    <w:rsid w:val="00973F43"/>
    <w:rsid w:val="00974FDC"/>
    <w:rsid w:val="0097785D"/>
    <w:rsid w:val="0098011D"/>
    <w:rsid w:val="00981912"/>
    <w:rsid w:val="009819C0"/>
    <w:rsid w:val="00987A75"/>
    <w:rsid w:val="009902F8"/>
    <w:rsid w:val="00991A8A"/>
    <w:rsid w:val="00992611"/>
    <w:rsid w:val="00994303"/>
    <w:rsid w:val="00994F9D"/>
    <w:rsid w:val="0099526D"/>
    <w:rsid w:val="009A0054"/>
    <w:rsid w:val="009A0F6E"/>
    <w:rsid w:val="009A5548"/>
    <w:rsid w:val="009A7D0F"/>
    <w:rsid w:val="009B25C1"/>
    <w:rsid w:val="009B5D7F"/>
    <w:rsid w:val="009B7B79"/>
    <w:rsid w:val="009C0383"/>
    <w:rsid w:val="009C145B"/>
    <w:rsid w:val="009C21E6"/>
    <w:rsid w:val="009C3E04"/>
    <w:rsid w:val="009C4FB0"/>
    <w:rsid w:val="009C75D1"/>
    <w:rsid w:val="009C7694"/>
    <w:rsid w:val="009D0570"/>
    <w:rsid w:val="009D3E5C"/>
    <w:rsid w:val="009D495C"/>
    <w:rsid w:val="009D570F"/>
    <w:rsid w:val="009D5E88"/>
    <w:rsid w:val="009D6E1A"/>
    <w:rsid w:val="009D7294"/>
    <w:rsid w:val="009E1690"/>
    <w:rsid w:val="009E18AF"/>
    <w:rsid w:val="009E2C9D"/>
    <w:rsid w:val="009E2CDD"/>
    <w:rsid w:val="009E3545"/>
    <w:rsid w:val="009E4FCE"/>
    <w:rsid w:val="009E522E"/>
    <w:rsid w:val="009E7BEA"/>
    <w:rsid w:val="009F0ABA"/>
    <w:rsid w:val="009F0AF5"/>
    <w:rsid w:val="009F3073"/>
    <w:rsid w:val="00A02199"/>
    <w:rsid w:val="00A026A4"/>
    <w:rsid w:val="00A04044"/>
    <w:rsid w:val="00A11D0C"/>
    <w:rsid w:val="00A16579"/>
    <w:rsid w:val="00A17EC8"/>
    <w:rsid w:val="00A22481"/>
    <w:rsid w:val="00A22DAB"/>
    <w:rsid w:val="00A2340F"/>
    <w:rsid w:val="00A24843"/>
    <w:rsid w:val="00A26D48"/>
    <w:rsid w:val="00A31C7C"/>
    <w:rsid w:val="00A348A8"/>
    <w:rsid w:val="00A367AA"/>
    <w:rsid w:val="00A378DF"/>
    <w:rsid w:val="00A37AC6"/>
    <w:rsid w:val="00A410CC"/>
    <w:rsid w:val="00A42B43"/>
    <w:rsid w:val="00A42BD0"/>
    <w:rsid w:val="00A433DC"/>
    <w:rsid w:val="00A460CD"/>
    <w:rsid w:val="00A50761"/>
    <w:rsid w:val="00A50DDB"/>
    <w:rsid w:val="00A51DF2"/>
    <w:rsid w:val="00A53AF0"/>
    <w:rsid w:val="00A54ED7"/>
    <w:rsid w:val="00A55D5C"/>
    <w:rsid w:val="00A61561"/>
    <w:rsid w:val="00A619CE"/>
    <w:rsid w:val="00A63249"/>
    <w:rsid w:val="00A6691F"/>
    <w:rsid w:val="00A67E6A"/>
    <w:rsid w:val="00A70F49"/>
    <w:rsid w:val="00A72203"/>
    <w:rsid w:val="00A7281F"/>
    <w:rsid w:val="00A73949"/>
    <w:rsid w:val="00A7697E"/>
    <w:rsid w:val="00A76E20"/>
    <w:rsid w:val="00A8284E"/>
    <w:rsid w:val="00A870EE"/>
    <w:rsid w:val="00A8791B"/>
    <w:rsid w:val="00A91D91"/>
    <w:rsid w:val="00A96F81"/>
    <w:rsid w:val="00A9709D"/>
    <w:rsid w:val="00AA00DB"/>
    <w:rsid w:val="00AA054E"/>
    <w:rsid w:val="00AA0A10"/>
    <w:rsid w:val="00AA2094"/>
    <w:rsid w:val="00AA2947"/>
    <w:rsid w:val="00AA7D78"/>
    <w:rsid w:val="00AB1894"/>
    <w:rsid w:val="00AB22DF"/>
    <w:rsid w:val="00AB30EA"/>
    <w:rsid w:val="00AB458B"/>
    <w:rsid w:val="00AB45E4"/>
    <w:rsid w:val="00AB6157"/>
    <w:rsid w:val="00AB7542"/>
    <w:rsid w:val="00AC022D"/>
    <w:rsid w:val="00AC0629"/>
    <w:rsid w:val="00AC14C3"/>
    <w:rsid w:val="00AC70C7"/>
    <w:rsid w:val="00AC79E0"/>
    <w:rsid w:val="00AD32CE"/>
    <w:rsid w:val="00AD3E7A"/>
    <w:rsid w:val="00AD5187"/>
    <w:rsid w:val="00AD6B11"/>
    <w:rsid w:val="00AD6B34"/>
    <w:rsid w:val="00AD6F90"/>
    <w:rsid w:val="00AD7C81"/>
    <w:rsid w:val="00AE0286"/>
    <w:rsid w:val="00AE247F"/>
    <w:rsid w:val="00AE4A24"/>
    <w:rsid w:val="00AE4FC7"/>
    <w:rsid w:val="00AF01E3"/>
    <w:rsid w:val="00AF23AE"/>
    <w:rsid w:val="00AF2EF7"/>
    <w:rsid w:val="00AF3741"/>
    <w:rsid w:val="00AF3B5C"/>
    <w:rsid w:val="00B0014A"/>
    <w:rsid w:val="00B00B50"/>
    <w:rsid w:val="00B00DB2"/>
    <w:rsid w:val="00B01093"/>
    <w:rsid w:val="00B016E3"/>
    <w:rsid w:val="00B01701"/>
    <w:rsid w:val="00B02B0B"/>
    <w:rsid w:val="00B03464"/>
    <w:rsid w:val="00B03817"/>
    <w:rsid w:val="00B04283"/>
    <w:rsid w:val="00B05BA8"/>
    <w:rsid w:val="00B0741D"/>
    <w:rsid w:val="00B07AD8"/>
    <w:rsid w:val="00B07B20"/>
    <w:rsid w:val="00B1081B"/>
    <w:rsid w:val="00B14F01"/>
    <w:rsid w:val="00B15525"/>
    <w:rsid w:val="00B15C0B"/>
    <w:rsid w:val="00B174BA"/>
    <w:rsid w:val="00B17AF3"/>
    <w:rsid w:val="00B2176C"/>
    <w:rsid w:val="00B223B5"/>
    <w:rsid w:val="00B229AD"/>
    <w:rsid w:val="00B237BC"/>
    <w:rsid w:val="00B26EBB"/>
    <w:rsid w:val="00B27499"/>
    <w:rsid w:val="00B3059D"/>
    <w:rsid w:val="00B335C4"/>
    <w:rsid w:val="00B3369E"/>
    <w:rsid w:val="00B33D9A"/>
    <w:rsid w:val="00B34CAB"/>
    <w:rsid w:val="00B40D81"/>
    <w:rsid w:val="00B424F5"/>
    <w:rsid w:val="00B43167"/>
    <w:rsid w:val="00B435BE"/>
    <w:rsid w:val="00B43A9D"/>
    <w:rsid w:val="00B44DBE"/>
    <w:rsid w:val="00B467B0"/>
    <w:rsid w:val="00B47F9B"/>
    <w:rsid w:val="00B50534"/>
    <w:rsid w:val="00B5061B"/>
    <w:rsid w:val="00B51FCB"/>
    <w:rsid w:val="00B5289B"/>
    <w:rsid w:val="00B52E10"/>
    <w:rsid w:val="00B5331D"/>
    <w:rsid w:val="00B543D6"/>
    <w:rsid w:val="00B54CAF"/>
    <w:rsid w:val="00B556B0"/>
    <w:rsid w:val="00B56179"/>
    <w:rsid w:val="00B56285"/>
    <w:rsid w:val="00B57687"/>
    <w:rsid w:val="00B578E3"/>
    <w:rsid w:val="00B57CE5"/>
    <w:rsid w:val="00B648F2"/>
    <w:rsid w:val="00B64B6B"/>
    <w:rsid w:val="00B64DF3"/>
    <w:rsid w:val="00B655D1"/>
    <w:rsid w:val="00B73FF2"/>
    <w:rsid w:val="00B74CBA"/>
    <w:rsid w:val="00B74ED3"/>
    <w:rsid w:val="00B7648F"/>
    <w:rsid w:val="00B768CF"/>
    <w:rsid w:val="00B77B3B"/>
    <w:rsid w:val="00B8118F"/>
    <w:rsid w:val="00B81A44"/>
    <w:rsid w:val="00B83ACD"/>
    <w:rsid w:val="00B86BB5"/>
    <w:rsid w:val="00B91072"/>
    <w:rsid w:val="00B91B6E"/>
    <w:rsid w:val="00B93C70"/>
    <w:rsid w:val="00B94B2C"/>
    <w:rsid w:val="00B96F7D"/>
    <w:rsid w:val="00B970D0"/>
    <w:rsid w:val="00BA49F4"/>
    <w:rsid w:val="00BA5C41"/>
    <w:rsid w:val="00BA6ACA"/>
    <w:rsid w:val="00BA7232"/>
    <w:rsid w:val="00BA7809"/>
    <w:rsid w:val="00BB11C5"/>
    <w:rsid w:val="00BB2CC0"/>
    <w:rsid w:val="00BB449C"/>
    <w:rsid w:val="00BB44D7"/>
    <w:rsid w:val="00BB6E98"/>
    <w:rsid w:val="00BC2561"/>
    <w:rsid w:val="00BC3E3E"/>
    <w:rsid w:val="00BC422A"/>
    <w:rsid w:val="00BC5128"/>
    <w:rsid w:val="00BC5608"/>
    <w:rsid w:val="00BD04C9"/>
    <w:rsid w:val="00BD3536"/>
    <w:rsid w:val="00BD37FD"/>
    <w:rsid w:val="00BE225E"/>
    <w:rsid w:val="00BE237E"/>
    <w:rsid w:val="00BE3703"/>
    <w:rsid w:val="00BE443B"/>
    <w:rsid w:val="00BE567F"/>
    <w:rsid w:val="00BF0A29"/>
    <w:rsid w:val="00BF25CD"/>
    <w:rsid w:val="00BF360A"/>
    <w:rsid w:val="00BF4604"/>
    <w:rsid w:val="00BF5553"/>
    <w:rsid w:val="00BF6B93"/>
    <w:rsid w:val="00BF75CD"/>
    <w:rsid w:val="00C00F1C"/>
    <w:rsid w:val="00C0346D"/>
    <w:rsid w:val="00C0358F"/>
    <w:rsid w:val="00C03BB0"/>
    <w:rsid w:val="00C041CF"/>
    <w:rsid w:val="00C0696A"/>
    <w:rsid w:val="00C1002E"/>
    <w:rsid w:val="00C12034"/>
    <w:rsid w:val="00C1396B"/>
    <w:rsid w:val="00C1562D"/>
    <w:rsid w:val="00C1698A"/>
    <w:rsid w:val="00C17E6C"/>
    <w:rsid w:val="00C20E5C"/>
    <w:rsid w:val="00C249CC"/>
    <w:rsid w:val="00C24E5F"/>
    <w:rsid w:val="00C255B6"/>
    <w:rsid w:val="00C26F3A"/>
    <w:rsid w:val="00C2770B"/>
    <w:rsid w:val="00C30296"/>
    <w:rsid w:val="00C3170E"/>
    <w:rsid w:val="00C31947"/>
    <w:rsid w:val="00C34B6E"/>
    <w:rsid w:val="00C40053"/>
    <w:rsid w:val="00C419B8"/>
    <w:rsid w:val="00C4294D"/>
    <w:rsid w:val="00C444C8"/>
    <w:rsid w:val="00C452DD"/>
    <w:rsid w:val="00C45856"/>
    <w:rsid w:val="00C46603"/>
    <w:rsid w:val="00C54316"/>
    <w:rsid w:val="00C55208"/>
    <w:rsid w:val="00C5527D"/>
    <w:rsid w:val="00C61B1A"/>
    <w:rsid w:val="00C62A53"/>
    <w:rsid w:val="00C63162"/>
    <w:rsid w:val="00C7007D"/>
    <w:rsid w:val="00C707A6"/>
    <w:rsid w:val="00C734D6"/>
    <w:rsid w:val="00C73A70"/>
    <w:rsid w:val="00C76054"/>
    <w:rsid w:val="00C779A2"/>
    <w:rsid w:val="00C80546"/>
    <w:rsid w:val="00C83CAD"/>
    <w:rsid w:val="00C8419E"/>
    <w:rsid w:val="00C851D7"/>
    <w:rsid w:val="00C85C8B"/>
    <w:rsid w:val="00C867AD"/>
    <w:rsid w:val="00C87F9F"/>
    <w:rsid w:val="00C915E9"/>
    <w:rsid w:val="00C9215A"/>
    <w:rsid w:val="00C9235C"/>
    <w:rsid w:val="00C9545D"/>
    <w:rsid w:val="00C956F5"/>
    <w:rsid w:val="00C9625C"/>
    <w:rsid w:val="00C978C6"/>
    <w:rsid w:val="00C97F2A"/>
    <w:rsid w:val="00CA112D"/>
    <w:rsid w:val="00CA1F9F"/>
    <w:rsid w:val="00CA2179"/>
    <w:rsid w:val="00CA3D8A"/>
    <w:rsid w:val="00CB4B3E"/>
    <w:rsid w:val="00CB50EF"/>
    <w:rsid w:val="00CB623F"/>
    <w:rsid w:val="00CB791A"/>
    <w:rsid w:val="00CB7D1B"/>
    <w:rsid w:val="00CC11DF"/>
    <w:rsid w:val="00CC1A6E"/>
    <w:rsid w:val="00CC3F62"/>
    <w:rsid w:val="00CC536E"/>
    <w:rsid w:val="00CC59DD"/>
    <w:rsid w:val="00CC63E8"/>
    <w:rsid w:val="00CC7FC6"/>
    <w:rsid w:val="00CD0270"/>
    <w:rsid w:val="00CD47B2"/>
    <w:rsid w:val="00CD5AFD"/>
    <w:rsid w:val="00CD74EB"/>
    <w:rsid w:val="00CE18A0"/>
    <w:rsid w:val="00CE49F8"/>
    <w:rsid w:val="00CE4E1E"/>
    <w:rsid w:val="00CE6042"/>
    <w:rsid w:val="00CE66B5"/>
    <w:rsid w:val="00CF52DF"/>
    <w:rsid w:val="00CF5832"/>
    <w:rsid w:val="00CF5911"/>
    <w:rsid w:val="00CF7221"/>
    <w:rsid w:val="00CF724E"/>
    <w:rsid w:val="00D012F3"/>
    <w:rsid w:val="00D059F5"/>
    <w:rsid w:val="00D117F5"/>
    <w:rsid w:val="00D13661"/>
    <w:rsid w:val="00D142BD"/>
    <w:rsid w:val="00D146DE"/>
    <w:rsid w:val="00D167DD"/>
    <w:rsid w:val="00D17FEC"/>
    <w:rsid w:val="00D200E7"/>
    <w:rsid w:val="00D21427"/>
    <w:rsid w:val="00D22164"/>
    <w:rsid w:val="00D22B86"/>
    <w:rsid w:val="00D22F2F"/>
    <w:rsid w:val="00D24194"/>
    <w:rsid w:val="00D2460F"/>
    <w:rsid w:val="00D2590F"/>
    <w:rsid w:val="00D27150"/>
    <w:rsid w:val="00D27936"/>
    <w:rsid w:val="00D27EB3"/>
    <w:rsid w:val="00D35E02"/>
    <w:rsid w:val="00D41425"/>
    <w:rsid w:val="00D46275"/>
    <w:rsid w:val="00D467CA"/>
    <w:rsid w:val="00D4759B"/>
    <w:rsid w:val="00D500A4"/>
    <w:rsid w:val="00D5010A"/>
    <w:rsid w:val="00D51205"/>
    <w:rsid w:val="00D516FC"/>
    <w:rsid w:val="00D51F2D"/>
    <w:rsid w:val="00D52F0C"/>
    <w:rsid w:val="00D535EE"/>
    <w:rsid w:val="00D54FC4"/>
    <w:rsid w:val="00D55B53"/>
    <w:rsid w:val="00D574C1"/>
    <w:rsid w:val="00D57615"/>
    <w:rsid w:val="00D577C9"/>
    <w:rsid w:val="00D606B7"/>
    <w:rsid w:val="00D61A94"/>
    <w:rsid w:val="00D62282"/>
    <w:rsid w:val="00D63422"/>
    <w:rsid w:val="00D6356C"/>
    <w:rsid w:val="00D64A32"/>
    <w:rsid w:val="00D6553A"/>
    <w:rsid w:val="00D657CA"/>
    <w:rsid w:val="00D707C3"/>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648D"/>
    <w:rsid w:val="00DA726D"/>
    <w:rsid w:val="00DB40BD"/>
    <w:rsid w:val="00DB4B8E"/>
    <w:rsid w:val="00DB4F4B"/>
    <w:rsid w:val="00DC070F"/>
    <w:rsid w:val="00DC3858"/>
    <w:rsid w:val="00DC3A57"/>
    <w:rsid w:val="00DC7A95"/>
    <w:rsid w:val="00DD1901"/>
    <w:rsid w:val="00DD2E12"/>
    <w:rsid w:val="00DD55C2"/>
    <w:rsid w:val="00DD759E"/>
    <w:rsid w:val="00DE0738"/>
    <w:rsid w:val="00DE1B4D"/>
    <w:rsid w:val="00DE314E"/>
    <w:rsid w:val="00DE4CFB"/>
    <w:rsid w:val="00DF045B"/>
    <w:rsid w:val="00DF1ED8"/>
    <w:rsid w:val="00DF2949"/>
    <w:rsid w:val="00DF3785"/>
    <w:rsid w:val="00DF3D27"/>
    <w:rsid w:val="00DF48E6"/>
    <w:rsid w:val="00DF6074"/>
    <w:rsid w:val="00E02239"/>
    <w:rsid w:val="00E041B3"/>
    <w:rsid w:val="00E047EC"/>
    <w:rsid w:val="00E07D42"/>
    <w:rsid w:val="00E11BBE"/>
    <w:rsid w:val="00E16064"/>
    <w:rsid w:val="00E163E9"/>
    <w:rsid w:val="00E240F5"/>
    <w:rsid w:val="00E2593C"/>
    <w:rsid w:val="00E30004"/>
    <w:rsid w:val="00E333AC"/>
    <w:rsid w:val="00E3456B"/>
    <w:rsid w:val="00E34F82"/>
    <w:rsid w:val="00E35C16"/>
    <w:rsid w:val="00E36085"/>
    <w:rsid w:val="00E36813"/>
    <w:rsid w:val="00E41EE1"/>
    <w:rsid w:val="00E42382"/>
    <w:rsid w:val="00E54BC5"/>
    <w:rsid w:val="00E603DF"/>
    <w:rsid w:val="00E63745"/>
    <w:rsid w:val="00E6699F"/>
    <w:rsid w:val="00E67B40"/>
    <w:rsid w:val="00E703AE"/>
    <w:rsid w:val="00E72373"/>
    <w:rsid w:val="00E73DBE"/>
    <w:rsid w:val="00E76AF9"/>
    <w:rsid w:val="00E83410"/>
    <w:rsid w:val="00E83E5A"/>
    <w:rsid w:val="00E84EF0"/>
    <w:rsid w:val="00E85F32"/>
    <w:rsid w:val="00E8649C"/>
    <w:rsid w:val="00E87886"/>
    <w:rsid w:val="00E87CDE"/>
    <w:rsid w:val="00E91FC1"/>
    <w:rsid w:val="00E92D54"/>
    <w:rsid w:val="00E9323C"/>
    <w:rsid w:val="00E95FD8"/>
    <w:rsid w:val="00E960AB"/>
    <w:rsid w:val="00EA0283"/>
    <w:rsid w:val="00EA2674"/>
    <w:rsid w:val="00EA5DE1"/>
    <w:rsid w:val="00EA7AA7"/>
    <w:rsid w:val="00EB0C86"/>
    <w:rsid w:val="00EB0E16"/>
    <w:rsid w:val="00EB236F"/>
    <w:rsid w:val="00EB237E"/>
    <w:rsid w:val="00EB4519"/>
    <w:rsid w:val="00EB7D0B"/>
    <w:rsid w:val="00EC1546"/>
    <w:rsid w:val="00EC5B23"/>
    <w:rsid w:val="00EC5DED"/>
    <w:rsid w:val="00EC6A22"/>
    <w:rsid w:val="00EC6BD8"/>
    <w:rsid w:val="00ED0356"/>
    <w:rsid w:val="00ED0D71"/>
    <w:rsid w:val="00ED3DCD"/>
    <w:rsid w:val="00ED3DD5"/>
    <w:rsid w:val="00ED56BE"/>
    <w:rsid w:val="00ED74D7"/>
    <w:rsid w:val="00EE0358"/>
    <w:rsid w:val="00EE40F8"/>
    <w:rsid w:val="00EE6DD6"/>
    <w:rsid w:val="00EF0867"/>
    <w:rsid w:val="00EF1957"/>
    <w:rsid w:val="00EF1A10"/>
    <w:rsid w:val="00EF1A9F"/>
    <w:rsid w:val="00EF1B27"/>
    <w:rsid w:val="00EF4370"/>
    <w:rsid w:val="00EF5AD7"/>
    <w:rsid w:val="00F013C6"/>
    <w:rsid w:val="00F03FA7"/>
    <w:rsid w:val="00F048EF"/>
    <w:rsid w:val="00F06AAD"/>
    <w:rsid w:val="00F10373"/>
    <w:rsid w:val="00F146BE"/>
    <w:rsid w:val="00F22013"/>
    <w:rsid w:val="00F22356"/>
    <w:rsid w:val="00F226E0"/>
    <w:rsid w:val="00F2522F"/>
    <w:rsid w:val="00F30180"/>
    <w:rsid w:val="00F30680"/>
    <w:rsid w:val="00F31A29"/>
    <w:rsid w:val="00F3279A"/>
    <w:rsid w:val="00F335A4"/>
    <w:rsid w:val="00F37236"/>
    <w:rsid w:val="00F44634"/>
    <w:rsid w:val="00F45820"/>
    <w:rsid w:val="00F505EC"/>
    <w:rsid w:val="00F5088F"/>
    <w:rsid w:val="00F51011"/>
    <w:rsid w:val="00F51657"/>
    <w:rsid w:val="00F5223C"/>
    <w:rsid w:val="00F57787"/>
    <w:rsid w:val="00F61E82"/>
    <w:rsid w:val="00F6243A"/>
    <w:rsid w:val="00F62AA8"/>
    <w:rsid w:val="00F63323"/>
    <w:rsid w:val="00F636FE"/>
    <w:rsid w:val="00F648B2"/>
    <w:rsid w:val="00F678F5"/>
    <w:rsid w:val="00F67EBD"/>
    <w:rsid w:val="00F70EA4"/>
    <w:rsid w:val="00F77851"/>
    <w:rsid w:val="00F80FAB"/>
    <w:rsid w:val="00F81E3B"/>
    <w:rsid w:val="00F827E1"/>
    <w:rsid w:val="00F86A27"/>
    <w:rsid w:val="00F86BCC"/>
    <w:rsid w:val="00F927B5"/>
    <w:rsid w:val="00F94952"/>
    <w:rsid w:val="00F94BD0"/>
    <w:rsid w:val="00F95403"/>
    <w:rsid w:val="00F96705"/>
    <w:rsid w:val="00F96750"/>
    <w:rsid w:val="00F9704D"/>
    <w:rsid w:val="00FA0166"/>
    <w:rsid w:val="00FA2400"/>
    <w:rsid w:val="00FA3396"/>
    <w:rsid w:val="00FA33E9"/>
    <w:rsid w:val="00FA55C8"/>
    <w:rsid w:val="00FA74C6"/>
    <w:rsid w:val="00FB24ED"/>
    <w:rsid w:val="00FB29AF"/>
    <w:rsid w:val="00FB313D"/>
    <w:rsid w:val="00FB4003"/>
    <w:rsid w:val="00FB4EBA"/>
    <w:rsid w:val="00FB7086"/>
    <w:rsid w:val="00FC1366"/>
    <w:rsid w:val="00FC633A"/>
    <w:rsid w:val="00FC6733"/>
    <w:rsid w:val="00FD1EC8"/>
    <w:rsid w:val="00FD2677"/>
    <w:rsid w:val="00FD28B8"/>
    <w:rsid w:val="00FD362A"/>
    <w:rsid w:val="00FE0BD8"/>
    <w:rsid w:val="00FE1709"/>
    <w:rsid w:val="00FE1FC9"/>
    <w:rsid w:val="00FE4193"/>
    <w:rsid w:val="00FE72EF"/>
    <w:rsid w:val="00FE7B44"/>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9CDC7"/>
  <w15:docId w15:val="{38C21A85-3E81-4E94-900F-9FF45240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46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ilvl w:val="0"/>
        <w:numId w:val="0"/>
      </w:numPr>
      <w:ind w:left="1728" w:hanging="648"/>
    </w:pPr>
    <w:rPr>
      <w:b w:val="0"/>
      <w:sz w:val="28"/>
    </w:rPr>
  </w:style>
  <w:style w:type="character" w:customStyle="1" w:styleId="Title1Char">
    <w:name w:val="Title 1 Char"/>
    <w:basedOn w:val="DefaultParagraphFont"/>
    <w:link w:val="Title1"/>
    <w:rsid w:val="003C4EB5"/>
    <w:rPr>
      <w:rFonts w:ascii="Calibri" w:eastAsia="Calibri" w:hAnsi="Calibri" w:cstheme="minorHAnsi"/>
      <w:bCs/>
      <w:sz w:val="28"/>
      <w:szCs w:val="22"/>
      <w:lang w:val="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7A4437"/>
    <w:pPr>
      <w:numPr>
        <w:ilvl w:val="3"/>
        <w:numId w:val="21"/>
      </w:numPr>
      <w:tabs>
        <w:tab w:val="left" w:pos="0"/>
        <w:tab w:val="left" w:pos="142"/>
        <w:tab w:val="left" w:pos="284"/>
        <w:tab w:val="left" w:pos="567"/>
      </w:tabs>
      <w:autoSpaceDE w:val="0"/>
      <w:autoSpaceDN w:val="0"/>
      <w:adjustRightInd w:val="0"/>
      <w:spacing w:after="200" w:line="276" w:lineRule="auto"/>
      <w:ind w:left="720"/>
      <w:jc w:val="both"/>
    </w:pPr>
    <w:rPr>
      <w:rFonts w:ascii="Calibri" w:eastAsia="Calibri" w:hAnsi="Calibri" w:cstheme="minorHAnsi"/>
      <w:b/>
      <w:bCs/>
      <w:sz w:val="22"/>
      <w:szCs w:val="22"/>
      <w:lang w:eastAsia="en-US"/>
    </w:rPr>
  </w:style>
  <w:style w:type="paragraph" w:customStyle="1" w:styleId="Title3">
    <w:name w:val="Title 3"/>
    <w:basedOn w:val="ListParagraph"/>
    <w:link w:val="Title3Char"/>
    <w:autoRedefine/>
    <w:rsid w:val="002574D1"/>
    <w:pPr>
      <w:numPr>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Calibri" w:eastAsiaTheme="majorEastAsia" w:hAnsi="Calibri" w:cstheme="minorHAnsi"/>
      <w:b w:val="0"/>
      <w:bCs/>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7A4437"/>
    <w:rPr>
      <w:rFonts w:ascii="Calibri" w:eastAsia="Calibri" w:hAnsi="Calibri" w:cstheme="minorHAnsi"/>
      <w:b/>
      <w:bCs/>
      <w:sz w:val="22"/>
      <w:szCs w:val="22"/>
      <w:lang w:val="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5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6120">
      <w:bodyDiv w:val="1"/>
      <w:marLeft w:val="0"/>
      <w:marRight w:val="0"/>
      <w:marTop w:val="0"/>
      <w:marBottom w:val="0"/>
      <w:divBdr>
        <w:top w:val="none" w:sz="0" w:space="0" w:color="auto"/>
        <w:left w:val="none" w:sz="0" w:space="0" w:color="auto"/>
        <w:bottom w:val="none" w:sz="0" w:space="0" w:color="auto"/>
        <w:right w:val="none" w:sz="0" w:space="0" w:color="auto"/>
      </w:divBdr>
    </w:div>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577053727">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48058714">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54549732">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252655">
      <w:bodyDiv w:val="1"/>
      <w:marLeft w:val="0"/>
      <w:marRight w:val="0"/>
      <w:marTop w:val="0"/>
      <w:marBottom w:val="0"/>
      <w:divBdr>
        <w:top w:val="none" w:sz="0" w:space="0" w:color="auto"/>
        <w:left w:val="none" w:sz="0" w:space="0" w:color="auto"/>
        <w:bottom w:val="none" w:sz="0" w:space="0" w:color="auto"/>
        <w:right w:val="none" w:sz="0" w:space="0" w:color="auto"/>
      </w:divBdr>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imo.org/en/mediacentre/hottopics/pages/sulphur-2020.aspx"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0fbe147-bbda-4e53-b6b1-7e8bbff3fe19">ESMA70-156-1362</_dlc_DocId>
    <TaxCatchAll xmlns="20fbe147-bbda-4e53-b6b1-7e8bbff3fe19">
      <Value>474</Value>
      <Value>5</Value>
      <Value>602</Value>
      <Value>2</Value>
      <Value>434</Value>
    </TaxCatchAll>
    <_dlc_DocIdUrl xmlns="20fbe147-bbda-4e53-b6b1-7e8bbff3fe19">
      <Url>https://sherpa.esma.europa.eu/sites/MKT/SMK/_layouts/15/DocIdRedir.aspx?ID=ESMA70-156-1362</Url>
      <Description>ESMA70-156-1362</Description>
    </_dlc_DocIdUrl>
    <Year xmlns="20fbe147-bbda-4e53-b6b1-7e8bbff3fe19">2019</Year>
    <MeetingDate xmlns="20fbe147-bbda-4e53-b6b1-7e8bbff3fe19"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MiFID II 90(1)(f) - Position limits</TermName>
          <TermId xmlns="http://schemas.microsoft.com/office/infopath/2007/PartnerControls">e81dbf1e-3064-4884-a3c8-df0a9f8119ae</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documentManagement>
</p:properties>
</file>

<file path=customXml/item4.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2.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3.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http://schemas.microsoft.com/sharepoint/v4"/>
    <ds:schemaRef ds:uri="20fbe147-bbda-4e53-b6b1-7e8bbff3fe19"/>
  </ds:schemaRefs>
</ds:datastoreItem>
</file>

<file path=customXml/itemProps4.xml><?xml version="1.0" encoding="utf-8"?>
<ds:datastoreItem xmlns:ds="http://schemas.openxmlformats.org/officeDocument/2006/customXml" ds:itemID="{C4A87B1C-94F7-4601-8DD2-296DC1F53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BFA180-C620-F341-8A9E-42814046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C:\Users\Klisovskij\Desktop\Template to Upload\Guidelines and Recommendations Templates\GuidelinesAndRecommendations_Template_Regular.dotx</Template>
  <TotalTime>20</TotalTime>
  <Pages>24</Pages>
  <Words>8399</Words>
  <Characters>47877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56164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Alina.Dragomir@esma.europa.eu</dc:creator>
  <cp:lastModifiedBy>Christian Baer</cp:lastModifiedBy>
  <cp:revision>4</cp:revision>
  <cp:lastPrinted>2019-06-27T13:46:00Z</cp:lastPrinted>
  <dcterms:created xsi:type="dcterms:W3CDTF">2019-07-05T14:56:00Z</dcterms:created>
  <dcterms:modified xsi:type="dcterms:W3CDTF">2019-07-05T15:21:00Z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2;#Restricted|187aa7e6-627f-4951-b138-6ff841dc883d</vt:lpwstr>
  </property>
  <property fmtid="{D5CDD505-2E9C-101B-9397-08002B2CF9AE}" pid="4" name="ContentTypeId">
    <vt:lpwstr>0x01010001BD15C3986B91498E0AE644B715B9EE010D00757D222C6B0DA241B5F74437644107D4</vt:lpwstr>
  </property>
  <property fmtid="{D5CDD505-2E9C-101B-9397-08002B2CF9AE}" pid="5" name="_dlc_DocIdItemGuid">
    <vt:lpwstr>1f1dd253-cb59-4268-8c71-4ba6659b0f5e</vt:lpwstr>
  </property>
  <property fmtid="{D5CDD505-2E9C-101B-9397-08002B2CF9AE}" pid="6" name="DocumentType">
    <vt:lpwstr>602;#Call for Evidence|4dd13041-d074-4513-b0c9-9d450ea451f0</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474;#MiFID reports - MiFID II 90(1)(f) - Position limits|e81dbf1e-3064-4884-a3c8-df0a9f8119ae</vt:lpwstr>
  </property>
</Properties>
</file>