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HAnsi"/>
        </w:rPr>
        <w:id w:val="-973058580"/>
        <w:docPartObj>
          <w:docPartGallery w:val="Cover Pages"/>
          <w:docPartUnique/>
        </w:docPartObj>
      </w:sdtPr>
      <w:sdtEndPr/>
      <w:sdtContent>
        <w:p w14:paraId="61BFF4B7" w14:textId="77777777" w:rsidR="00AF2EF7" w:rsidRPr="00B8572C" w:rsidRDefault="00AF2EF7" w:rsidP="00AF2EF7">
          <w:pPr>
            <w:spacing w:line="276" w:lineRule="auto"/>
            <w:rPr>
              <w:rFonts w:asciiTheme="minorHAnsi" w:hAnsiTheme="minorHAnsi" w:cstheme="minorHAnsi"/>
              <w:color w:val="FF0000"/>
            </w:rPr>
          </w:pPr>
        </w:p>
        <w:p w14:paraId="1C1BFAE2" w14:textId="77777777" w:rsidR="00AF2EF7" w:rsidRPr="00B8572C" w:rsidRDefault="00AF2EF7" w:rsidP="00AF2EF7">
          <w:pPr>
            <w:spacing w:after="120" w:line="276" w:lineRule="auto"/>
            <w:rPr>
              <w:rFonts w:asciiTheme="minorHAnsi" w:hAnsiTheme="minorHAnsi" w:cstheme="minorHAnsi"/>
            </w:rPr>
          </w:pPr>
        </w:p>
        <w:p w14:paraId="787460E0" w14:textId="77777777" w:rsidR="00AF2EF7" w:rsidRPr="00B8572C" w:rsidRDefault="00AF2EF7" w:rsidP="00AF2EF7">
          <w:pPr>
            <w:spacing w:line="276" w:lineRule="auto"/>
            <w:rPr>
              <w:rFonts w:asciiTheme="minorHAnsi" w:hAnsiTheme="minorHAnsi" w:cstheme="minorHAnsi"/>
            </w:rPr>
          </w:pPr>
        </w:p>
        <w:p w14:paraId="23B57B18" w14:textId="77777777" w:rsidR="00AF2EF7" w:rsidRPr="00B8572C" w:rsidRDefault="00AF2EF7" w:rsidP="00AF2EF7">
          <w:pPr>
            <w:spacing w:line="276" w:lineRule="auto"/>
            <w:rPr>
              <w:rFonts w:asciiTheme="minorHAnsi" w:hAnsiTheme="minorHAnsi" w:cstheme="minorHAnsi"/>
            </w:rPr>
          </w:pPr>
        </w:p>
        <w:p w14:paraId="04401C2B" w14:textId="77777777" w:rsidR="00AF2EF7" w:rsidRPr="00B8572C" w:rsidRDefault="00AF2EF7" w:rsidP="00AF2EF7">
          <w:pPr>
            <w:spacing w:line="276" w:lineRule="auto"/>
            <w:rPr>
              <w:rFonts w:asciiTheme="minorHAnsi" w:hAnsiTheme="minorHAnsi" w:cstheme="minorHAnsi"/>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AF2EF7" w:rsidRPr="00B8572C" w14:paraId="55D8B106" w14:textId="77777777" w:rsidTr="00D13661">
            <w:trPr>
              <w:trHeight w:hRule="exact" w:val="1492"/>
            </w:trPr>
            <w:tc>
              <w:tcPr>
                <w:tcW w:w="10490" w:type="dxa"/>
                <w:vAlign w:val="bottom"/>
              </w:tcPr>
              <w:p w14:paraId="2A8545EF" w14:textId="7618F5E0" w:rsidR="00AF2EF7" w:rsidRPr="00B8572C" w:rsidRDefault="00C1698A" w:rsidP="00D13661">
                <w:pPr>
                  <w:pStyle w:val="Title"/>
                  <w:spacing w:line="276" w:lineRule="auto"/>
                  <w:ind w:right="854"/>
                  <w:rPr>
                    <w:rFonts w:asciiTheme="minorHAnsi" w:hAnsiTheme="minorHAnsi" w:cstheme="minorHAnsi"/>
                    <w:sz w:val="48"/>
                    <w:szCs w:val="48"/>
                  </w:rPr>
                </w:pPr>
                <w:r>
                  <w:rPr>
                    <w:rFonts w:asciiTheme="minorHAnsi" w:hAnsiTheme="minorHAnsi" w:cstheme="minorHAnsi"/>
                    <w:sz w:val="48"/>
                    <w:szCs w:val="48"/>
                  </w:rPr>
                  <w:t>Re</w:t>
                </w:r>
                <w:r w:rsidR="00961EE5">
                  <w:rPr>
                    <w:rFonts w:asciiTheme="minorHAnsi" w:hAnsiTheme="minorHAnsi" w:cstheme="minorHAnsi"/>
                    <w:sz w:val="48"/>
                    <w:szCs w:val="48"/>
                  </w:rPr>
                  <w:t xml:space="preserve">ply </w:t>
                </w:r>
                <w:r>
                  <w:rPr>
                    <w:rFonts w:asciiTheme="minorHAnsi" w:hAnsiTheme="minorHAnsi" w:cstheme="minorHAnsi"/>
                    <w:sz w:val="48"/>
                    <w:szCs w:val="48"/>
                  </w:rPr>
                  <w:t xml:space="preserve">Form to the </w:t>
                </w:r>
                <w:r w:rsidR="008B2AF1">
                  <w:rPr>
                    <w:rFonts w:asciiTheme="minorHAnsi" w:hAnsiTheme="minorHAnsi" w:cstheme="minorHAnsi"/>
                    <w:sz w:val="48"/>
                    <w:szCs w:val="48"/>
                  </w:rPr>
                  <w:t>C</w:t>
                </w:r>
                <w:r w:rsidR="000F74C4">
                  <w:rPr>
                    <w:rFonts w:asciiTheme="minorHAnsi" w:hAnsiTheme="minorHAnsi" w:cstheme="minorHAnsi"/>
                    <w:sz w:val="48"/>
                    <w:szCs w:val="48"/>
                  </w:rPr>
                  <w:t xml:space="preserve">all for Evidence </w:t>
                </w:r>
              </w:p>
            </w:tc>
          </w:tr>
          <w:tr w:rsidR="00AB6157" w:rsidRPr="00B8572C" w14:paraId="76D253F5" w14:textId="77777777" w:rsidTr="00D13661">
            <w:trPr>
              <w:trHeight w:hRule="exact" w:val="747"/>
            </w:trPr>
            <w:tc>
              <w:tcPr>
                <w:tcW w:w="10490" w:type="dxa"/>
                <w:tcMar>
                  <w:top w:w="142" w:type="dxa"/>
                </w:tcMar>
              </w:tcPr>
              <w:p w14:paraId="26CF3934" w14:textId="070012CF" w:rsidR="00AB6157" w:rsidRPr="00B8572C" w:rsidRDefault="00AB6157" w:rsidP="00AB6157">
                <w:pPr>
                  <w:pStyle w:val="Heading2"/>
                  <w:numPr>
                    <w:ilvl w:val="0"/>
                    <w:numId w:val="0"/>
                  </w:numPr>
                  <w:ind w:left="576" w:hanging="576"/>
                </w:pPr>
                <w:r>
                  <w:t>Position limits and position management in commodity derivatives</w:t>
                </w:r>
              </w:p>
            </w:tc>
          </w:tr>
        </w:tbl>
        <w:p w14:paraId="7DEBD68F" w14:textId="77777777" w:rsidR="00AF2EF7" w:rsidRPr="00B8572C" w:rsidRDefault="00AF2EF7" w:rsidP="00AF2EF7">
          <w:pPr>
            <w:spacing w:line="276" w:lineRule="auto"/>
            <w:rPr>
              <w:rFonts w:asciiTheme="minorHAnsi" w:hAnsiTheme="minorHAnsi" w:cstheme="minorHAnsi"/>
            </w:rPr>
          </w:pPr>
        </w:p>
        <w:p w14:paraId="5B933631" w14:textId="77777777" w:rsidR="00AF2EF7" w:rsidRPr="00B8572C" w:rsidRDefault="00AF2EF7" w:rsidP="00AF2EF7">
          <w:pPr>
            <w:spacing w:line="276" w:lineRule="auto"/>
            <w:rPr>
              <w:rFonts w:asciiTheme="minorHAnsi" w:hAnsiTheme="minorHAnsi" w:cstheme="minorHAnsi"/>
            </w:rPr>
            <w:sectPr w:rsidR="00AF2EF7" w:rsidRPr="00B8572C" w:rsidSect="007E799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0"/>
              <w:cols w:space="708"/>
              <w:titlePg/>
              <w:docGrid w:linePitch="360"/>
            </w:sectPr>
          </w:pPr>
        </w:p>
        <w:p w14:paraId="3992D496"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p>
        <w:p w14:paraId="50F24FB7"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46CF9AD5"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ESMA invites comments on all matters in this paper and in particular on the specific questions summarised in Annex 1. Comments are most helpful if they:</w:t>
          </w:r>
        </w:p>
        <w:p w14:paraId="2573C72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65ACF578"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3751DA8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5A3A4AE2"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proofErr w:type="gramStart"/>
          <w:r w:rsidRPr="00AB6157">
            <w:rPr>
              <w:rFonts w:asciiTheme="minorHAnsi" w:eastAsiaTheme="minorEastAsia" w:hAnsiTheme="minorHAnsi" w:cstheme="minorBidi"/>
              <w:sz w:val="22"/>
              <w:szCs w:val="20"/>
              <w:lang w:eastAsia="en-US"/>
            </w:rPr>
            <w:t>describe</w:t>
          </w:r>
          <w:proofErr w:type="gramEnd"/>
          <w:r w:rsidRPr="00AB6157">
            <w:rPr>
              <w:rFonts w:asciiTheme="minorHAnsi" w:eastAsiaTheme="minorEastAsia" w:hAnsiTheme="minorHAnsi" w:cstheme="minorBidi"/>
              <w:sz w:val="22"/>
              <w:szCs w:val="20"/>
              <w:lang w:eastAsia="en-US"/>
            </w:rPr>
            <w:t xml:space="preserve"> any alternatives ESMA should consider.</w:t>
          </w:r>
        </w:p>
        <w:p w14:paraId="09579D04"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received by </w:t>
          </w:r>
          <w:r w:rsidRPr="00AB6157">
            <w:rPr>
              <w:rFonts w:asciiTheme="minorHAnsi" w:eastAsiaTheme="minorEastAsia" w:hAnsiTheme="minorHAnsi" w:cstheme="minorBidi"/>
              <w:b/>
              <w:sz w:val="22"/>
              <w:szCs w:val="20"/>
              <w:lang w:eastAsia="en-US"/>
            </w:rPr>
            <w:t xml:space="preserve">5 July 2019. </w:t>
          </w:r>
        </w:p>
        <w:p w14:paraId="6ABAAC1F" w14:textId="012F5EED"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8"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Please follow the instructions given in the document ‘Reply form for the call for evidence on </w:t>
          </w:r>
          <w:r w:rsidRPr="00AB6157">
            <w:rPr>
              <w:rFonts w:asciiTheme="minorHAnsi" w:eastAsiaTheme="minorEastAsia" w:hAnsiTheme="minorHAnsi" w:cstheme="minorBidi"/>
              <w:color w:val="2F5496" w:themeColor="accent5" w:themeShade="BF"/>
              <w:sz w:val="22"/>
              <w:szCs w:val="20"/>
              <w:lang w:eastAsia="en-US"/>
            </w:rPr>
            <w:t>position limits and position management controls in commodity derivatives</w:t>
          </w:r>
          <w:r w:rsidRPr="00AB6157">
            <w:rPr>
              <w:rFonts w:asciiTheme="minorHAnsi" w:eastAsiaTheme="minorEastAsia" w:hAnsiTheme="minorHAnsi" w:cstheme="minorBidi"/>
              <w:sz w:val="22"/>
              <w:szCs w:val="20"/>
              <w:lang w:eastAsia="en-US"/>
            </w:rPr>
            <w:t>’ also published on the ESMA website.</w:t>
          </w:r>
        </w:p>
        <w:p w14:paraId="71848F2A" w14:textId="77777777" w:rsidR="00C85C8B" w:rsidRPr="00C85C8B" w:rsidRDefault="00C85C8B" w:rsidP="00C85C8B">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057542CF" w14:textId="11073FE0"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 C</w:t>
          </w:r>
          <w:r w:rsidR="000F74C4">
            <w:rPr>
              <w:rFonts w:asciiTheme="minorHAnsi" w:eastAsiaTheme="minorEastAsia" w:hAnsiTheme="minorHAnsi" w:cstheme="minorBidi"/>
              <w:sz w:val="22"/>
              <w:szCs w:val="20"/>
              <w:lang w:eastAsia="en-US"/>
            </w:rPr>
            <w:t>all for Evidence</w:t>
          </w:r>
          <w:r w:rsidRPr="00C85C8B">
            <w:rPr>
              <w:rFonts w:asciiTheme="minorHAnsi" w:eastAsiaTheme="minorEastAsia" w:hAnsiTheme="minorHAnsi" w:cstheme="minorBidi"/>
              <w:sz w:val="22"/>
              <w:szCs w:val="20"/>
              <w:lang w:eastAsia="en-US"/>
            </w:rPr>
            <w:t>, respondents are requested to follow the below steps when preparing and submitting their response:</w:t>
          </w:r>
        </w:p>
        <w:p w14:paraId="1200930E" w14:textId="520F1116" w:rsidR="00C85C8B" w:rsidRPr="00C85C8B" w:rsidRDefault="00C85C8B" w:rsidP="00F37499">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Insert your responses to the questions in the C</w:t>
          </w:r>
          <w:r w:rsidR="000F74C4">
            <w:rPr>
              <w:rFonts w:eastAsiaTheme="minorEastAsia" w:cstheme="minorBidi"/>
              <w:szCs w:val="20"/>
              <w:lang w:eastAsia="en-US"/>
            </w:rPr>
            <w:t>all for Evidence</w:t>
          </w:r>
          <w:r w:rsidRPr="00C85C8B">
            <w:rPr>
              <w:rFonts w:eastAsiaTheme="minorEastAsia" w:cstheme="minorBidi"/>
              <w:szCs w:val="20"/>
              <w:lang w:eastAsia="en-US"/>
            </w:rPr>
            <w:t xml:space="preserve"> in the present response form. </w:t>
          </w:r>
        </w:p>
        <w:p w14:paraId="3B16398E" w14:textId="77E76614"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Please do not remove t</w:t>
          </w:r>
          <w:r>
            <w:rPr>
              <w:rFonts w:eastAsiaTheme="minorEastAsia" w:cstheme="minorBidi"/>
              <w:szCs w:val="20"/>
              <w:lang w:eastAsia="en-US"/>
            </w:rPr>
            <w:t>ags of the type &lt;ESMA_QUESTION_</w:t>
          </w:r>
          <w:r w:rsidR="00AB6157">
            <w:rPr>
              <w:rFonts w:eastAsiaTheme="minorEastAsia" w:cstheme="minorBidi"/>
              <w:szCs w:val="20"/>
              <w:lang w:eastAsia="en-US"/>
            </w:rPr>
            <w:t>PLPM</w:t>
          </w:r>
          <w:r w:rsidRPr="00C85C8B">
            <w:rPr>
              <w:rFonts w:eastAsiaTheme="minorEastAsia" w:cstheme="minorBidi"/>
              <w:szCs w:val="20"/>
              <w:lang w:eastAsia="en-US"/>
            </w:rPr>
            <w:t>_1&gt;. Your response to each question has to be framed by the two tags corresponding to the question.</w:t>
          </w:r>
        </w:p>
        <w:p w14:paraId="5CC57030" w14:textId="77777777"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If you do not wish to respond to a given question, please do not delete it but simply leave the text “TYPE YOUR TEXT HERE” between the tags.</w:t>
          </w:r>
        </w:p>
        <w:p w14:paraId="1876A4C8" w14:textId="78CF20CE"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When you have drafted your response, name your response form according to </w:t>
          </w:r>
          <w:r>
            <w:rPr>
              <w:rFonts w:eastAsiaTheme="minorEastAsia" w:cstheme="minorBidi"/>
              <w:szCs w:val="20"/>
              <w:lang w:eastAsia="en-US"/>
            </w:rPr>
            <w:t xml:space="preserve">the following convention: </w:t>
          </w:r>
          <w:proofErr w:type="spellStart"/>
          <w:r>
            <w:rPr>
              <w:rFonts w:eastAsiaTheme="minorEastAsia" w:cstheme="minorBidi"/>
              <w:szCs w:val="20"/>
              <w:lang w:eastAsia="en-US"/>
            </w:rPr>
            <w:t>ESMA_</w:t>
          </w:r>
          <w:r w:rsidR="00AB6157">
            <w:rPr>
              <w:rFonts w:eastAsiaTheme="minorEastAsia" w:cstheme="minorBidi"/>
              <w:szCs w:val="20"/>
              <w:lang w:eastAsia="en-US"/>
            </w:rPr>
            <w:t>PLPM</w:t>
          </w:r>
          <w:r w:rsidRPr="00C85C8B">
            <w:rPr>
              <w:rFonts w:eastAsiaTheme="minorEastAsia" w:cstheme="minorBidi"/>
              <w:szCs w:val="20"/>
              <w:lang w:eastAsia="en-US"/>
            </w:rPr>
            <w:t>_nameofrespondent_RESPONSEFORM</w:t>
          </w:r>
          <w:proofErr w:type="spellEnd"/>
          <w:r w:rsidRPr="00C85C8B">
            <w:rPr>
              <w:rFonts w:eastAsiaTheme="minorEastAsia" w:cstheme="minorBidi"/>
              <w:szCs w:val="20"/>
              <w:lang w:eastAsia="en-US"/>
            </w:rPr>
            <w:t>. For example, for a respondent named ABCD, the response</w:t>
          </w:r>
          <w:r>
            <w:rPr>
              <w:rFonts w:eastAsiaTheme="minorEastAsia" w:cstheme="minorBidi"/>
              <w:szCs w:val="20"/>
              <w:lang w:eastAsia="en-US"/>
            </w:rPr>
            <w:t xml:space="preserve"> form would be entitled ESMA_</w:t>
          </w:r>
          <w:r w:rsidR="00AB6157">
            <w:rPr>
              <w:rFonts w:eastAsiaTheme="minorEastAsia" w:cstheme="minorBidi"/>
              <w:szCs w:val="20"/>
              <w:lang w:eastAsia="en-US"/>
            </w:rPr>
            <w:t>PLPM</w:t>
          </w:r>
          <w:r w:rsidRPr="00C85C8B">
            <w:rPr>
              <w:rFonts w:eastAsiaTheme="minorEastAsia" w:cstheme="minorBidi"/>
              <w:szCs w:val="20"/>
              <w:lang w:eastAsia="en-US"/>
            </w:rPr>
            <w:t>_ABCD_RESPONSEFORM.</w:t>
          </w:r>
        </w:p>
        <w:p w14:paraId="1A9C59D6" w14:textId="013251ED"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Upload the form containing your responses, in Word format, to ESMA’s website (</w:t>
          </w:r>
          <w:hyperlink r:id="rId19" w:history="1">
            <w:r w:rsidRPr="00C85C8B">
              <w:rPr>
                <w:rFonts w:eastAsiaTheme="minorEastAsia" w:cstheme="minorBidi"/>
                <w:szCs w:val="20"/>
                <w:lang w:eastAsia="en-US"/>
              </w:rPr>
              <w:t>www.esma.europa.eu</w:t>
            </w:r>
          </w:hyperlink>
          <w:r w:rsidRPr="00C85C8B">
            <w:rPr>
              <w:rFonts w:eastAsiaTheme="minorEastAsia" w:cstheme="minorBidi"/>
              <w:szCs w:val="20"/>
              <w:lang w:eastAsia="en-US"/>
            </w:rPr>
            <w:t xml:space="preserve"> under the heading “Your input – Open consultations” </w:t>
          </w:r>
          <w:r w:rsidRPr="00C85C8B">
            <w:rPr>
              <w:rFonts w:eastAsiaTheme="minorEastAsia"/>
              <w:lang w:eastAsia="en-US"/>
            </w:rPr>
            <w:sym w:font="Wingdings" w:char="F0E0"/>
          </w:r>
          <w:r w:rsidRPr="00C85C8B">
            <w:rPr>
              <w:rFonts w:eastAsiaTheme="minorEastAsia" w:cstheme="minorBidi"/>
              <w:szCs w:val="20"/>
              <w:lang w:eastAsia="en-US"/>
            </w:rPr>
            <w:t xml:space="preserve"> “C</w:t>
          </w:r>
          <w:r w:rsidR="000F74C4">
            <w:rPr>
              <w:rFonts w:eastAsiaTheme="minorEastAsia" w:cstheme="minorBidi"/>
              <w:szCs w:val="20"/>
              <w:lang w:eastAsia="en-US"/>
            </w:rPr>
            <w:t xml:space="preserve">all for Evidence </w:t>
          </w:r>
          <w:r w:rsidRPr="00C85C8B">
            <w:rPr>
              <w:rFonts w:eastAsiaTheme="minorEastAsia" w:cstheme="minorBidi"/>
              <w:szCs w:val="20"/>
              <w:lang w:eastAsia="en-US"/>
            </w:rPr>
            <w:t xml:space="preserve">on </w:t>
          </w:r>
          <w:r w:rsidR="00AB6157">
            <w:rPr>
              <w:rFonts w:eastAsiaTheme="minorEastAsia" w:cstheme="minorBidi"/>
              <w:szCs w:val="20"/>
              <w:lang w:eastAsia="en-US"/>
            </w:rPr>
            <w:t>Position limits and position management in commodities derivatives</w:t>
          </w:r>
          <w:r w:rsidRPr="00C85C8B">
            <w:rPr>
              <w:rFonts w:eastAsiaTheme="minorEastAsia" w:cstheme="minorBidi"/>
              <w:szCs w:val="20"/>
              <w:lang w:eastAsia="en-US"/>
            </w:rPr>
            <w:t>”).</w:t>
          </w:r>
        </w:p>
        <w:p w14:paraId="078FF80C" w14:textId="145F522B" w:rsidR="00C85C8B" w:rsidRDefault="00C85C8B" w:rsidP="00AF2EF7">
          <w:pPr>
            <w:spacing w:after="250" w:line="276" w:lineRule="auto"/>
            <w:jc w:val="both"/>
            <w:rPr>
              <w:rFonts w:asciiTheme="minorHAnsi" w:eastAsiaTheme="minorEastAsia" w:hAnsiTheme="minorHAnsi" w:cstheme="minorBidi"/>
              <w:sz w:val="22"/>
              <w:szCs w:val="20"/>
              <w:lang w:eastAsia="en-US"/>
            </w:rPr>
          </w:pPr>
        </w:p>
        <w:p w14:paraId="27DFECB3" w14:textId="3EF3C58E" w:rsidR="00A02199" w:rsidRDefault="00A02199" w:rsidP="00AF2EF7">
          <w:pPr>
            <w:spacing w:after="250" w:line="276" w:lineRule="auto"/>
            <w:jc w:val="both"/>
            <w:rPr>
              <w:rFonts w:asciiTheme="minorHAnsi" w:eastAsiaTheme="minorEastAsia" w:hAnsiTheme="minorHAnsi" w:cstheme="minorBidi"/>
              <w:sz w:val="22"/>
              <w:szCs w:val="20"/>
              <w:lang w:eastAsia="en-US"/>
            </w:rPr>
          </w:pPr>
        </w:p>
        <w:p w14:paraId="28EEA743" w14:textId="77777777" w:rsidR="00A02199" w:rsidRPr="00C1698A" w:rsidRDefault="00A02199" w:rsidP="00AF2EF7">
          <w:pPr>
            <w:spacing w:after="250" w:line="276" w:lineRule="auto"/>
            <w:jc w:val="both"/>
            <w:rPr>
              <w:rFonts w:asciiTheme="minorHAnsi" w:eastAsiaTheme="minorEastAsia" w:hAnsiTheme="minorHAnsi" w:cstheme="minorBidi"/>
              <w:sz w:val="22"/>
              <w:szCs w:val="20"/>
              <w:lang w:eastAsia="en-US"/>
            </w:rPr>
          </w:pPr>
        </w:p>
        <w:p w14:paraId="6BB993D0" w14:textId="77777777"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lastRenderedPageBreak/>
            <w:t>Publication of responses</w:t>
          </w:r>
        </w:p>
        <w:p w14:paraId="214D8BBA"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44C43BA" w14:textId="4C539C0B"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D46B82F"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20"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21"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7C02CD7B" w14:textId="77777777" w:rsidR="00AF2EF7" w:rsidRPr="00B8572C" w:rsidRDefault="00AF2EF7" w:rsidP="00AF2EF7">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 xml:space="preserve">Who should read this </w:t>
          </w:r>
          <w:proofErr w:type="gramStart"/>
          <w:r w:rsidRPr="00B8572C">
            <w:rPr>
              <w:rFonts w:asciiTheme="minorHAnsi" w:eastAsiaTheme="minorEastAsia" w:hAnsiTheme="minorHAnsi" w:cstheme="minorBidi"/>
              <w:b/>
              <w:sz w:val="22"/>
              <w:szCs w:val="20"/>
              <w:lang w:eastAsia="en-US"/>
            </w:rPr>
            <w:t>paper</w:t>
          </w:r>
          <w:proofErr w:type="gramEnd"/>
        </w:p>
        <w:p w14:paraId="5B44E0DB"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interested stakeholders are invited to respond to this consultation paper. This consultation paper is primarily of interest to trading venues, investment firms and non-financial counterparties trading in commodity derivatives, but responses are also sought from any other market participant including trade associations, industry bodies and investors.</w:t>
          </w:r>
        </w:p>
        <w:p w14:paraId="14912E5E" w14:textId="1CE85474" w:rsidR="00AF2EF7" w:rsidRPr="00B8572C" w:rsidRDefault="00222A79" w:rsidP="00AF2EF7">
          <w:pPr>
            <w:spacing w:after="120" w:line="276" w:lineRule="auto"/>
            <w:rPr>
              <w:rFonts w:asciiTheme="minorHAnsi" w:hAnsiTheme="minorHAnsi" w:cstheme="minorHAnsi"/>
            </w:rPr>
          </w:pPr>
        </w:p>
      </w:sdtContent>
    </w:sdt>
    <w:p w14:paraId="20AC791C" w14:textId="77777777" w:rsidR="00AF2EF7" w:rsidRPr="00B8572C" w:rsidRDefault="00AF2EF7" w:rsidP="00AF2EF7">
      <w:pPr>
        <w:spacing w:after="120" w:line="276" w:lineRule="auto"/>
        <w:rPr>
          <w:rFonts w:asciiTheme="minorHAnsi" w:hAnsiTheme="minorHAnsi" w:cstheme="minorHAnsi"/>
        </w:rPr>
      </w:pPr>
    </w:p>
    <w:p w14:paraId="13AEDA0D" w14:textId="77777777" w:rsidR="00AF2EF7" w:rsidRPr="00B8572C" w:rsidRDefault="00AF2EF7" w:rsidP="00AF2EF7">
      <w:pPr>
        <w:spacing w:after="120" w:line="276" w:lineRule="auto"/>
        <w:rPr>
          <w:rFonts w:asciiTheme="minorHAnsi" w:hAnsiTheme="minorHAnsi" w:cstheme="minorHAnsi"/>
        </w:rPr>
      </w:pPr>
    </w:p>
    <w:p w14:paraId="4F317815" w14:textId="669653C1" w:rsidR="00AF2EF7" w:rsidRPr="00C1698A" w:rsidRDefault="00AF2EF7" w:rsidP="00C1698A">
      <w:pPr>
        <w:pStyle w:val="Heading1"/>
        <w:numPr>
          <w:ilvl w:val="0"/>
          <w:numId w:val="0"/>
        </w:numPr>
        <w:spacing w:line="276" w:lineRule="auto"/>
        <w:rPr>
          <w:rFonts w:asciiTheme="minorHAnsi" w:hAnsiTheme="minorHAnsi" w:cstheme="minorHAnsi"/>
          <w:sz w:val="24"/>
          <w:szCs w:val="24"/>
        </w:rPr>
      </w:pPr>
      <w:r w:rsidRPr="00B8572C">
        <w:rPr>
          <w:rFonts w:asciiTheme="minorHAnsi" w:hAnsiTheme="minorHAnsi" w:cstheme="minorHAnsi"/>
          <w:sz w:val="24"/>
          <w:szCs w:val="24"/>
        </w:rPr>
        <w:br w:type="page"/>
      </w:r>
    </w:p>
    <w:p w14:paraId="54809E84" w14:textId="38073B1E" w:rsidR="00C85C8B" w:rsidRDefault="00C85C8B" w:rsidP="00C1698A">
      <w:pPr>
        <w:spacing w:line="276" w:lineRule="auto"/>
        <w:rPr>
          <w:rFonts w:asciiTheme="minorHAnsi" w:hAnsiTheme="minorHAnsi" w:cstheme="minorHAnsi"/>
          <w:b/>
          <w:sz w:val="28"/>
          <w:szCs w:val="28"/>
        </w:rPr>
      </w:pPr>
      <w:bookmarkStart w:id="0" w:name="_Toc515564428"/>
    </w:p>
    <w:p w14:paraId="0873C4E5" w14:textId="49BAD52B" w:rsidR="00C85C8B" w:rsidRDefault="00C85C8B" w:rsidP="00C1698A">
      <w:pPr>
        <w:spacing w:line="276" w:lineRule="auto"/>
        <w:rPr>
          <w:rFonts w:asciiTheme="minorHAnsi" w:hAnsiTheme="minorHAnsi" w:cstheme="minorHAnsi"/>
          <w:b/>
          <w:sz w:val="28"/>
          <w:szCs w:val="28"/>
        </w:rPr>
      </w:pPr>
    </w:p>
    <w:p w14:paraId="1F90B8D3" w14:textId="77777777" w:rsidR="00C85C8B" w:rsidRDefault="00C85C8B" w:rsidP="00C1698A">
      <w:pPr>
        <w:spacing w:line="276" w:lineRule="auto"/>
        <w:rPr>
          <w:rFonts w:asciiTheme="minorHAnsi" w:hAnsiTheme="minorHAnsi" w:cstheme="minorHAnsi"/>
          <w:b/>
          <w:sz w:val="28"/>
          <w:szCs w:val="28"/>
        </w:rPr>
      </w:pPr>
    </w:p>
    <w:p w14:paraId="622C18E8" w14:textId="77777777" w:rsidR="00C85C8B" w:rsidRPr="00C85C8B" w:rsidRDefault="00C85C8B" w:rsidP="00C85C8B">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63AA68E2" w14:textId="77777777" w:rsidTr="00F37499">
        <w:tc>
          <w:tcPr>
            <w:tcW w:w="3929" w:type="dxa"/>
            <w:shd w:val="clear" w:color="auto" w:fill="auto"/>
          </w:tcPr>
          <w:p w14:paraId="50C47271" w14:textId="77777777" w:rsidR="00C85C8B" w:rsidRPr="00C85C8B" w:rsidRDefault="00C85C8B" w:rsidP="00C85C8B">
            <w:pPr>
              <w:rPr>
                <w:rFonts w:ascii="Arial" w:hAnsi="Arial" w:cs="Arial"/>
                <w:sz w:val="22"/>
                <w:lang w:eastAsia="de-DE"/>
              </w:rPr>
            </w:pPr>
            <w:permStart w:id="108885406" w:edGrp="everyone" w:colFirst="1" w:colLast="1"/>
            <w:r w:rsidRPr="00C85C8B">
              <w:rPr>
                <w:rFonts w:ascii="Arial" w:hAnsi="Arial" w:cs="Arial"/>
                <w:sz w:val="22"/>
                <w:lang w:eastAsia="de-DE"/>
              </w:rPr>
              <w:t>Name of the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1B67440D" w14:textId="05278E74" w:rsidR="00C85C8B" w:rsidRPr="00C85C8B" w:rsidRDefault="008B3491" w:rsidP="008B3491">
                <w:pPr>
                  <w:rPr>
                    <w:rFonts w:ascii="Arial" w:hAnsi="Arial" w:cs="Arial"/>
                    <w:color w:val="808080"/>
                    <w:sz w:val="20"/>
                    <w:lang w:eastAsia="de-DE"/>
                  </w:rPr>
                </w:pPr>
                <w:r>
                  <w:rPr>
                    <w:rFonts w:ascii="Arial" w:hAnsi="Arial" w:cs="Arial"/>
                    <w:color w:val="808080"/>
                    <w:sz w:val="20"/>
                    <w:lang w:eastAsia="de-DE"/>
                  </w:rPr>
                  <w:t xml:space="preserve">European Energy </w:t>
                </w:r>
                <w:proofErr w:type="spellStart"/>
                <w:r>
                  <w:rPr>
                    <w:rFonts w:ascii="Arial" w:hAnsi="Arial" w:cs="Arial"/>
                    <w:color w:val="808080"/>
                    <w:sz w:val="20"/>
                    <w:lang w:eastAsia="de-DE"/>
                  </w:rPr>
                  <w:t>Echange</w:t>
                </w:r>
                <w:proofErr w:type="spellEnd"/>
                <w:r>
                  <w:rPr>
                    <w:rFonts w:ascii="Arial" w:hAnsi="Arial" w:cs="Arial"/>
                    <w:color w:val="808080"/>
                    <w:sz w:val="20"/>
                    <w:lang w:eastAsia="de-DE"/>
                  </w:rPr>
                  <w:t xml:space="preserve"> Group</w:t>
                </w:r>
              </w:p>
            </w:tc>
          </w:sdtContent>
        </w:sdt>
      </w:tr>
      <w:tr w:rsidR="00C85C8B" w:rsidRPr="00C85C8B" w14:paraId="216F3E57" w14:textId="77777777" w:rsidTr="00F37499">
        <w:tc>
          <w:tcPr>
            <w:tcW w:w="3929" w:type="dxa"/>
            <w:shd w:val="clear" w:color="auto" w:fill="auto"/>
          </w:tcPr>
          <w:p w14:paraId="1B868EDB" w14:textId="77777777" w:rsidR="00C85C8B" w:rsidRPr="00C85C8B" w:rsidRDefault="00C85C8B" w:rsidP="00C85C8B">
            <w:pPr>
              <w:rPr>
                <w:rFonts w:ascii="Arial" w:hAnsi="Arial" w:cs="Arial"/>
                <w:sz w:val="22"/>
                <w:lang w:eastAsia="de-DE"/>
              </w:rPr>
            </w:pPr>
            <w:permStart w:id="11734600" w:edGrp="everyone" w:colFirst="1" w:colLast="1"/>
            <w:permEnd w:id="108885406"/>
            <w:r w:rsidRPr="00C85C8B">
              <w:rPr>
                <w:rFonts w:ascii="Arial" w:hAnsi="Arial" w:cs="Arial"/>
                <w:sz w:val="22"/>
                <w:lang w:eastAsia="de-DE"/>
              </w:rPr>
              <w:t>Activity</w:t>
            </w:r>
          </w:p>
        </w:tc>
        <w:tc>
          <w:tcPr>
            <w:tcW w:w="5595" w:type="dxa"/>
            <w:shd w:val="clear" w:color="auto" w:fill="auto"/>
          </w:tcPr>
          <w:p w14:paraId="1423187D" w14:textId="2C11523E" w:rsidR="00C85C8B" w:rsidRPr="00C85C8B" w:rsidRDefault="00222A79" w:rsidP="00C85C8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8B3491">
                  <w:rPr>
                    <w:rFonts w:ascii="Arial" w:hAnsi="Arial" w:cs="Arial"/>
                    <w:sz w:val="20"/>
                    <w:lang w:eastAsia="de-DE"/>
                  </w:rPr>
                  <w:t>Regulated markets/Exchanges/Trading Systems</w:t>
                </w:r>
              </w:sdtContent>
            </w:sdt>
          </w:p>
        </w:tc>
      </w:tr>
      <w:tr w:rsidR="00C85C8B" w:rsidRPr="00C85C8B" w14:paraId="0D216581" w14:textId="77777777" w:rsidTr="00F37499">
        <w:tc>
          <w:tcPr>
            <w:tcW w:w="3929" w:type="dxa"/>
            <w:shd w:val="clear" w:color="auto" w:fill="auto"/>
          </w:tcPr>
          <w:p w14:paraId="43B75BA8" w14:textId="77777777" w:rsidR="00C85C8B" w:rsidRPr="00C85C8B" w:rsidRDefault="00C85C8B" w:rsidP="00C85C8B">
            <w:pPr>
              <w:rPr>
                <w:rFonts w:ascii="Arial" w:hAnsi="Arial" w:cs="Arial"/>
                <w:sz w:val="22"/>
                <w:lang w:eastAsia="de-DE"/>
              </w:rPr>
            </w:pPr>
            <w:permStart w:id="310511986" w:edGrp="everyone" w:colFirst="1" w:colLast="1"/>
            <w:permEnd w:id="11734600"/>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0"/>
              <w14:checkedState w14:val="2612" w14:font="MS Gothic"/>
              <w14:uncheckedState w14:val="2610" w14:font="MS Gothic"/>
            </w14:checkbox>
          </w:sdtPr>
          <w:sdtEndPr/>
          <w:sdtContent>
            <w:tc>
              <w:tcPr>
                <w:tcW w:w="5595" w:type="dxa"/>
                <w:shd w:val="clear" w:color="auto" w:fill="auto"/>
              </w:tcPr>
              <w:p w14:paraId="6C4423E1" w14:textId="77777777" w:rsidR="00C85C8B" w:rsidRPr="00C85C8B" w:rsidRDefault="00C85C8B" w:rsidP="00C85C8B">
                <w:pPr>
                  <w:rPr>
                    <w:rFonts w:ascii="Arial" w:hAnsi="Arial" w:cs="Arial"/>
                    <w:sz w:val="20"/>
                    <w:lang w:eastAsia="de-DE"/>
                  </w:rPr>
                </w:pPr>
                <w:r w:rsidRPr="00C85C8B">
                  <w:rPr>
                    <w:rFonts w:ascii="Segoe UI Symbol" w:hAnsi="Segoe UI Symbol" w:cs="Segoe UI Symbol"/>
                    <w:sz w:val="20"/>
                    <w:lang w:eastAsia="de-DE"/>
                  </w:rPr>
                  <w:t>☐</w:t>
                </w:r>
              </w:p>
            </w:tc>
          </w:sdtContent>
        </w:sdt>
      </w:tr>
      <w:tr w:rsidR="00C85C8B" w:rsidRPr="00C85C8B" w14:paraId="41DA9EA6" w14:textId="77777777" w:rsidTr="00F37499">
        <w:tc>
          <w:tcPr>
            <w:tcW w:w="3929" w:type="dxa"/>
            <w:shd w:val="clear" w:color="auto" w:fill="auto"/>
          </w:tcPr>
          <w:p w14:paraId="553FB597" w14:textId="77777777" w:rsidR="00C85C8B" w:rsidRPr="00C85C8B" w:rsidRDefault="00C85C8B" w:rsidP="00C85C8B">
            <w:pPr>
              <w:rPr>
                <w:rFonts w:ascii="Arial" w:hAnsi="Arial" w:cs="Arial"/>
                <w:sz w:val="22"/>
                <w:lang w:eastAsia="de-DE"/>
              </w:rPr>
            </w:pPr>
            <w:permStart w:id="1269442871" w:edGrp="everyone" w:colFirst="1" w:colLast="1"/>
            <w:permEnd w:id="310511986"/>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82656BF" w14:textId="3AB8D170" w:rsidR="00C85C8B" w:rsidRPr="00C85C8B" w:rsidRDefault="008B3491" w:rsidP="008B3491">
                <w:pPr>
                  <w:rPr>
                    <w:rFonts w:ascii="Arial" w:hAnsi="Arial" w:cs="Arial"/>
                    <w:sz w:val="20"/>
                    <w:lang w:eastAsia="de-DE"/>
                  </w:rPr>
                </w:pPr>
                <w:r>
                  <w:rPr>
                    <w:rFonts w:ascii="Arial" w:hAnsi="Arial" w:cs="Arial"/>
                    <w:sz w:val="20"/>
                    <w:lang w:eastAsia="de-DE"/>
                  </w:rPr>
                  <w:t>Germany</w:t>
                </w:r>
              </w:p>
            </w:tc>
          </w:sdtContent>
        </w:sdt>
      </w:tr>
      <w:permEnd w:id="1269442871"/>
    </w:tbl>
    <w:p w14:paraId="7B052828"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FE28F47"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19F5D4E"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59CB29E3" w14:textId="77777777" w:rsidR="00C85C8B" w:rsidRPr="00C85C8B" w:rsidRDefault="00C85C8B" w:rsidP="00C85C8B">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212DE47" w14:textId="77777777" w:rsidR="00C85C8B" w:rsidRPr="00C85C8B" w:rsidRDefault="00C85C8B" w:rsidP="00C85C8B">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8E635EB" w14:textId="6E2DCC6F"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AB6157">
        <w:rPr>
          <w:rFonts w:asciiTheme="minorHAnsi" w:eastAsiaTheme="minorEastAsia" w:hAnsiTheme="minorHAnsi" w:cstheme="minorBidi"/>
          <w:sz w:val="22"/>
          <w:szCs w:val="20"/>
          <w:lang w:eastAsia="en-US"/>
        </w:rPr>
        <w:t>PLPM</w:t>
      </w:r>
      <w:r w:rsidRPr="00C85C8B">
        <w:rPr>
          <w:rFonts w:asciiTheme="minorHAnsi" w:eastAsiaTheme="minorEastAsia" w:hAnsiTheme="minorHAnsi" w:cstheme="minorBidi"/>
          <w:sz w:val="22"/>
          <w:szCs w:val="20"/>
          <w:lang w:eastAsia="en-US"/>
        </w:rPr>
        <w:t>_1&gt;</w:t>
      </w:r>
    </w:p>
    <w:p w14:paraId="60FE5BF3" w14:textId="3AC99347" w:rsidR="00737BC6" w:rsidRPr="00737BC6" w:rsidRDefault="00737BC6" w:rsidP="00737BC6">
      <w:pPr>
        <w:spacing w:after="250" w:line="276" w:lineRule="auto"/>
        <w:jc w:val="both"/>
        <w:rPr>
          <w:rFonts w:ascii="Arial" w:eastAsiaTheme="minorEastAsia" w:hAnsi="Arial" w:cs="Arial"/>
          <w:sz w:val="22"/>
          <w:szCs w:val="20"/>
          <w:lang w:eastAsia="en-US"/>
        </w:rPr>
      </w:pPr>
      <w:permStart w:id="885457707" w:edGrp="everyone"/>
      <w:r w:rsidRPr="00737BC6">
        <w:rPr>
          <w:rFonts w:ascii="Arial" w:eastAsiaTheme="minorEastAsia" w:hAnsi="Arial" w:cs="Arial"/>
          <w:sz w:val="22"/>
          <w:szCs w:val="20"/>
          <w:lang w:eastAsia="en-US"/>
        </w:rPr>
        <w:t xml:space="preserve">First of all, EEX Group </w:t>
      </w:r>
      <w:r w:rsidR="004A6B47" w:rsidRPr="004A6B47">
        <w:rPr>
          <w:rFonts w:ascii="Arial" w:eastAsiaTheme="minorEastAsia" w:hAnsi="Arial" w:cs="Arial"/>
          <w:sz w:val="22"/>
          <w:szCs w:val="20"/>
          <w:lang w:eastAsia="en-US"/>
        </w:rPr>
        <w:t xml:space="preserve">appreciates the opportunity to respond to ESMA’s Call for Evidence on position limits and position management in commodity derivatives and to share our observations. DBG welcomes that the survey is wide in scope, enters into a great level of detail and touches upon the most critical elements of the </w:t>
      </w:r>
      <w:r w:rsidR="004A6B47">
        <w:rPr>
          <w:rFonts w:ascii="Arial" w:eastAsiaTheme="minorEastAsia" w:hAnsi="Arial" w:cs="Arial"/>
          <w:sz w:val="22"/>
          <w:szCs w:val="20"/>
          <w:lang w:eastAsia="en-US"/>
        </w:rPr>
        <w:t>position limit regime</w:t>
      </w:r>
      <w:r w:rsidR="004A6B47" w:rsidRPr="004A6B47">
        <w:rPr>
          <w:rFonts w:ascii="Arial" w:eastAsiaTheme="minorEastAsia" w:hAnsi="Arial" w:cs="Arial"/>
          <w:sz w:val="22"/>
          <w:szCs w:val="20"/>
          <w:lang w:eastAsia="en-US"/>
        </w:rPr>
        <w:t>.</w:t>
      </w:r>
    </w:p>
    <w:p w14:paraId="191A59A3" w14:textId="4473B017" w:rsidR="00737BC6" w:rsidRDefault="00737BC6" w:rsidP="00737BC6">
      <w:pPr>
        <w:spacing w:after="250" w:line="276" w:lineRule="auto"/>
        <w:jc w:val="both"/>
        <w:rPr>
          <w:rFonts w:ascii="Arial" w:eastAsiaTheme="minorEastAsia" w:hAnsi="Arial" w:cs="Arial"/>
          <w:sz w:val="22"/>
          <w:szCs w:val="20"/>
          <w:lang w:eastAsia="en-US"/>
        </w:rPr>
      </w:pPr>
      <w:r w:rsidRPr="00737BC6">
        <w:rPr>
          <w:rFonts w:ascii="Arial" w:eastAsiaTheme="minorEastAsia" w:hAnsi="Arial" w:cs="Arial"/>
          <w:sz w:val="22"/>
          <w:szCs w:val="20"/>
          <w:lang w:eastAsia="en-US"/>
        </w:rPr>
        <w:t xml:space="preserve">Considering the important impact the </w:t>
      </w:r>
      <w:r w:rsidR="004A6B47">
        <w:rPr>
          <w:rFonts w:ascii="Arial" w:eastAsiaTheme="minorEastAsia" w:hAnsi="Arial" w:cs="Arial"/>
          <w:sz w:val="22"/>
          <w:szCs w:val="20"/>
          <w:lang w:eastAsia="en-US"/>
        </w:rPr>
        <w:t xml:space="preserve">MiFID II position limit </w:t>
      </w:r>
      <w:r w:rsidRPr="00737BC6">
        <w:rPr>
          <w:rFonts w:ascii="Arial" w:eastAsiaTheme="minorEastAsia" w:hAnsi="Arial" w:cs="Arial"/>
          <w:sz w:val="22"/>
          <w:szCs w:val="20"/>
          <w:lang w:eastAsia="en-US"/>
        </w:rPr>
        <w:t xml:space="preserve">regime has on EEX Group products, we have tried to answer as detailed as possible. However, we </w:t>
      </w:r>
      <w:r w:rsidR="004A6B47">
        <w:rPr>
          <w:rFonts w:ascii="Arial" w:eastAsiaTheme="minorEastAsia" w:hAnsi="Arial" w:cs="Arial"/>
          <w:sz w:val="22"/>
          <w:szCs w:val="20"/>
          <w:lang w:eastAsia="en-US"/>
        </w:rPr>
        <w:t>remain at the disposal of ESMA for any questions or further information</w:t>
      </w:r>
      <w:r w:rsidRPr="00737BC6">
        <w:rPr>
          <w:rFonts w:ascii="Arial" w:eastAsiaTheme="minorEastAsia" w:hAnsi="Arial" w:cs="Arial"/>
          <w:sz w:val="22"/>
          <w:szCs w:val="20"/>
          <w:lang w:eastAsia="en-US"/>
        </w:rPr>
        <w:t>.</w:t>
      </w:r>
    </w:p>
    <w:p w14:paraId="5C50245B" w14:textId="51105DD1" w:rsidR="00737BC6" w:rsidRPr="00737BC6" w:rsidRDefault="004A6B47" w:rsidP="00737BC6">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E</w:t>
      </w:r>
      <w:r w:rsidRPr="004A6B47">
        <w:rPr>
          <w:rFonts w:ascii="Arial" w:eastAsiaTheme="minorEastAsia" w:hAnsi="Arial" w:cs="Arial"/>
          <w:sz w:val="22"/>
          <w:szCs w:val="20"/>
          <w:lang w:eastAsia="en-US"/>
        </w:rPr>
        <w:t xml:space="preserve">EX Group is a group of specialised companies providing market platforms for energy and commodity products across the globe. The offering of the group comprises contracts for </w:t>
      </w:r>
      <w:r>
        <w:rPr>
          <w:rFonts w:ascii="Arial" w:eastAsiaTheme="minorEastAsia" w:hAnsi="Arial" w:cs="Arial"/>
          <w:sz w:val="22"/>
          <w:szCs w:val="20"/>
          <w:lang w:eastAsia="en-US"/>
        </w:rPr>
        <w:t>e</w:t>
      </w:r>
      <w:r w:rsidRPr="004A6B47">
        <w:rPr>
          <w:rFonts w:ascii="Arial" w:eastAsiaTheme="minorEastAsia" w:hAnsi="Arial" w:cs="Arial"/>
          <w:sz w:val="22"/>
          <w:szCs w:val="20"/>
          <w:lang w:eastAsia="en-US"/>
        </w:rPr>
        <w:t xml:space="preserve">nergy, </w:t>
      </w:r>
      <w:proofErr w:type="spellStart"/>
      <w:r>
        <w:rPr>
          <w:rFonts w:ascii="Arial" w:eastAsiaTheme="minorEastAsia" w:hAnsi="Arial" w:cs="Arial"/>
          <w:sz w:val="22"/>
          <w:szCs w:val="20"/>
          <w:lang w:eastAsia="en-US"/>
        </w:rPr>
        <w:t>e</w:t>
      </w:r>
      <w:r w:rsidRPr="004A6B47">
        <w:rPr>
          <w:rFonts w:ascii="Arial" w:eastAsiaTheme="minorEastAsia" w:hAnsi="Arial" w:cs="Arial"/>
          <w:sz w:val="22"/>
          <w:szCs w:val="20"/>
          <w:lang w:eastAsia="en-US"/>
        </w:rPr>
        <w:t>nvironmentals</w:t>
      </w:r>
      <w:proofErr w:type="spellEnd"/>
      <w:r w:rsidRPr="004A6B47">
        <w:rPr>
          <w:rFonts w:ascii="Arial" w:eastAsiaTheme="minorEastAsia" w:hAnsi="Arial" w:cs="Arial"/>
          <w:sz w:val="22"/>
          <w:szCs w:val="20"/>
          <w:lang w:eastAsia="en-US"/>
        </w:rPr>
        <w:t xml:space="preserve">, </w:t>
      </w:r>
      <w:r>
        <w:rPr>
          <w:rFonts w:ascii="Arial" w:eastAsiaTheme="minorEastAsia" w:hAnsi="Arial" w:cs="Arial"/>
          <w:sz w:val="22"/>
          <w:szCs w:val="20"/>
          <w:lang w:eastAsia="en-US"/>
        </w:rPr>
        <w:t>f</w:t>
      </w:r>
      <w:r w:rsidRPr="004A6B47">
        <w:rPr>
          <w:rFonts w:ascii="Arial" w:eastAsiaTheme="minorEastAsia" w:hAnsi="Arial" w:cs="Arial"/>
          <w:sz w:val="22"/>
          <w:szCs w:val="20"/>
          <w:lang w:eastAsia="en-US"/>
        </w:rPr>
        <w:t xml:space="preserve">reight, </w:t>
      </w:r>
      <w:r>
        <w:rPr>
          <w:rFonts w:ascii="Arial" w:eastAsiaTheme="minorEastAsia" w:hAnsi="Arial" w:cs="Arial"/>
          <w:sz w:val="22"/>
          <w:szCs w:val="20"/>
          <w:lang w:eastAsia="en-US"/>
        </w:rPr>
        <w:t>m</w:t>
      </w:r>
      <w:r w:rsidRPr="004A6B47">
        <w:rPr>
          <w:rFonts w:ascii="Arial" w:eastAsiaTheme="minorEastAsia" w:hAnsi="Arial" w:cs="Arial"/>
          <w:sz w:val="22"/>
          <w:szCs w:val="20"/>
          <w:lang w:eastAsia="en-US"/>
        </w:rPr>
        <w:t xml:space="preserve">etals and </w:t>
      </w:r>
      <w:r>
        <w:rPr>
          <w:rFonts w:ascii="Arial" w:eastAsiaTheme="minorEastAsia" w:hAnsi="Arial" w:cs="Arial"/>
          <w:sz w:val="22"/>
          <w:szCs w:val="20"/>
          <w:lang w:eastAsia="en-US"/>
        </w:rPr>
        <w:t>a</w:t>
      </w:r>
      <w:r w:rsidRPr="004A6B47">
        <w:rPr>
          <w:rFonts w:ascii="Arial" w:eastAsiaTheme="minorEastAsia" w:hAnsi="Arial" w:cs="Arial"/>
          <w:sz w:val="22"/>
          <w:szCs w:val="20"/>
          <w:lang w:eastAsia="en-US"/>
        </w:rPr>
        <w:t>gricultural</w:t>
      </w:r>
      <w:r>
        <w:rPr>
          <w:rFonts w:ascii="Arial" w:eastAsiaTheme="minorEastAsia" w:hAnsi="Arial" w:cs="Arial"/>
          <w:sz w:val="22"/>
          <w:szCs w:val="20"/>
          <w:lang w:eastAsia="en-US"/>
        </w:rPr>
        <w:t xml:space="preserve"> product</w:t>
      </w:r>
      <w:r w:rsidRPr="004A6B47">
        <w:rPr>
          <w:rFonts w:ascii="Arial" w:eastAsiaTheme="minorEastAsia" w:hAnsi="Arial" w:cs="Arial"/>
          <w:sz w:val="22"/>
          <w:szCs w:val="20"/>
          <w:lang w:eastAsia="en-US"/>
        </w:rPr>
        <w:t xml:space="preserve">s. </w:t>
      </w:r>
    </w:p>
    <w:p w14:paraId="22ED8C52" w14:textId="7BEBFF07" w:rsidR="00737BC6" w:rsidRPr="00737BC6" w:rsidRDefault="00737BC6" w:rsidP="00737BC6">
      <w:pPr>
        <w:spacing w:after="250" w:line="276" w:lineRule="auto"/>
        <w:jc w:val="both"/>
        <w:rPr>
          <w:rFonts w:ascii="Arial" w:eastAsiaTheme="minorEastAsia" w:hAnsi="Arial" w:cs="Arial"/>
          <w:sz w:val="22"/>
          <w:szCs w:val="20"/>
          <w:lang w:eastAsia="en-US"/>
        </w:rPr>
      </w:pPr>
      <w:r w:rsidRPr="00737BC6">
        <w:rPr>
          <w:rFonts w:ascii="Arial" w:eastAsiaTheme="minorEastAsia" w:hAnsi="Arial" w:cs="Arial"/>
          <w:sz w:val="22"/>
          <w:szCs w:val="20"/>
          <w:lang w:eastAsia="en-US"/>
        </w:rPr>
        <w:t>Looking at the history of the position limit regime and the fact that the regime needed to be built up from scratch, we recognise the great efforts that ESMA and National Competent Authorities (NCAs) have put into its implementation. We appreciate the open dialogue we have had in the past and commit to taking a thorough look at all of its aspects, exploring potential improvements for all parties concerned.</w:t>
      </w:r>
    </w:p>
    <w:p w14:paraId="63DE9BBA" w14:textId="77777777" w:rsidR="009F6D96" w:rsidRDefault="00737BC6" w:rsidP="00737BC6">
      <w:pPr>
        <w:spacing w:after="250" w:line="276" w:lineRule="auto"/>
        <w:jc w:val="both"/>
        <w:rPr>
          <w:rFonts w:ascii="Arial" w:eastAsiaTheme="minorEastAsia" w:hAnsi="Arial" w:cs="Arial"/>
          <w:sz w:val="22"/>
          <w:szCs w:val="20"/>
          <w:lang w:eastAsia="en-US"/>
        </w:rPr>
      </w:pPr>
      <w:r w:rsidRPr="00737BC6">
        <w:rPr>
          <w:rFonts w:ascii="Arial" w:eastAsiaTheme="minorEastAsia" w:hAnsi="Arial" w:cs="Arial"/>
          <w:sz w:val="22"/>
          <w:szCs w:val="20"/>
          <w:lang w:eastAsia="en-US"/>
        </w:rPr>
        <w:t xml:space="preserve">Also considering the limited amount of data available at the start of the position limit regime, we </w:t>
      </w:r>
      <w:r w:rsidR="00F76317">
        <w:rPr>
          <w:rFonts w:ascii="Arial" w:eastAsiaTheme="minorEastAsia" w:hAnsi="Arial" w:cs="Arial"/>
          <w:sz w:val="22"/>
          <w:szCs w:val="20"/>
          <w:lang w:eastAsia="en-US"/>
        </w:rPr>
        <w:t>acknowledge</w:t>
      </w:r>
      <w:r w:rsidRPr="00737BC6">
        <w:rPr>
          <w:rFonts w:ascii="Arial" w:eastAsiaTheme="minorEastAsia" w:hAnsi="Arial" w:cs="Arial"/>
          <w:sz w:val="22"/>
          <w:szCs w:val="20"/>
          <w:lang w:eastAsia="en-US"/>
        </w:rPr>
        <w:t xml:space="preserve"> that the regime has worked well for the highly developed contracts</w:t>
      </w:r>
      <w:r w:rsidR="009F6D96">
        <w:rPr>
          <w:rFonts w:ascii="Arial" w:eastAsiaTheme="minorEastAsia" w:hAnsi="Arial" w:cs="Arial"/>
          <w:sz w:val="22"/>
          <w:szCs w:val="20"/>
          <w:lang w:eastAsia="en-US"/>
        </w:rPr>
        <w:t xml:space="preserve">, which are characterized by a large number of different type of active trading firms and </w:t>
      </w:r>
      <w:r w:rsidR="009F6D96" w:rsidRPr="009F6D96">
        <w:rPr>
          <w:rFonts w:ascii="Arial" w:eastAsiaTheme="minorEastAsia" w:hAnsi="Arial" w:cs="Arial"/>
          <w:sz w:val="22"/>
          <w:szCs w:val="20"/>
          <w:lang w:eastAsia="en-US"/>
        </w:rPr>
        <w:t xml:space="preserve">an overall substantial amount of open interest, and hence did not have a detrimental impact on </w:t>
      </w:r>
      <w:proofErr w:type="gramStart"/>
      <w:r w:rsidR="009F6D96" w:rsidRPr="009F6D96">
        <w:rPr>
          <w:rFonts w:ascii="Arial" w:eastAsiaTheme="minorEastAsia" w:hAnsi="Arial" w:cs="Arial"/>
          <w:sz w:val="22"/>
          <w:szCs w:val="20"/>
          <w:lang w:eastAsia="en-US"/>
        </w:rPr>
        <w:t>volumes  for</w:t>
      </w:r>
      <w:proofErr w:type="gramEnd"/>
      <w:r w:rsidR="009F6D96" w:rsidRPr="009F6D96">
        <w:rPr>
          <w:rFonts w:ascii="Arial" w:eastAsiaTheme="minorEastAsia" w:hAnsi="Arial" w:cs="Arial"/>
          <w:sz w:val="22"/>
          <w:szCs w:val="20"/>
          <w:lang w:eastAsia="en-US"/>
        </w:rPr>
        <w:t xml:space="preserve"> such contracts. </w:t>
      </w:r>
    </w:p>
    <w:p w14:paraId="58D27E3F" w14:textId="77777777" w:rsidR="009F6D96" w:rsidRDefault="009F6D96" w:rsidP="00737BC6">
      <w:pPr>
        <w:spacing w:after="250" w:line="276" w:lineRule="auto"/>
        <w:jc w:val="both"/>
        <w:rPr>
          <w:rFonts w:ascii="Arial" w:eastAsiaTheme="minorEastAsia" w:hAnsi="Arial" w:cs="Arial"/>
          <w:sz w:val="22"/>
          <w:szCs w:val="20"/>
          <w:lang w:eastAsia="en-US"/>
        </w:rPr>
      </w:pPr>
      <w:r w:rsidRPr="009F6D96">
        <w:rPr>
          <w:rFonts w:ascii="Arial" w:eastAsiaTheme="minorEastAsia" w:hAnsi="Arial" w:cs="Arial"/>
          <w:sz w:val="22"/>
          <w:szCs w:val="20"/>
          <w:lang w:eastAsia="en-US"/>
        </w:rPr>
        <w:lastRenderedPageBreak/>
        <w:t xml:space="preserve">However, for the development of new products and growth of existing illiquid or less liquid commodity derivative markets, the position limits regime has proven to have substantial impact, meaning that we have observed a stagnation in markets of which we believe they would have been more liquid in the absence of position limits. </w:t>
      </w:r>
    </w:p>
    <w:p w14:paraId="0E2CF1EB" w14:textId="1E421A3E" w:rsidR="00737BC6" w:rsidRPr="00737BC6" w:rsidRDefault="00737BC6" w:rsidP="00737BC6">
      <w:pPr>
        <w:spacing w:after="250" w:line="276" w:lineRule="auto"/>
        <w:jc w:val="both"/>
        <w:rPr>
          <w:rFonts w:ascii="Arial" w:eastAsiaTheme="minorEastAsia" w:hAnsi="Arial" w:cs="Arial"/>
          <w:sz w:val="22"/>
          <w:szCs w:val="20"/>
          <w:lang w:eastAsia="en-US"/>
        </w:rPr>
      </w:pPr>
      <w:r w:rsidRPr="00737BC6">
        <w:rPr>
          <w:rFonts w:ascii="Arial" w:eastAsiaTheme="minorEastAsia" w:hAnsi="Arial" w:cs="Arial"/>
          <w:sz w:val="22"/>
          <w:szCs w:val="20"/>
          <w:lang w:eastAsia="en-US"/>
        </w:rPr>
        <w:t>Fast growing markets in particular have suffered from</w:t>
      </w:r>
    </w:p>
    <w:p w14:paraId="6D498CD3" w14:textId="77777777" w:rsidR="00737BC6" w:rsidRPr="00737BC6" w:rsidRDefault="00737BC6" w:rsidP="00737BC6">
      <w:pPr>
        <w:numPr>
          <w:ilvl w:val="0"/>
          <w:numId w:val="17"/>
        </w:numPr>
        <w:spacing w:after="250" w:line="276" w:lineRule="auto"/>
        <w:jc w:val="both"/>
        <w:rPr>
          <w:rFonts w:ascii="Arial" w:eastAsiaTheme="minorEastAsia" w:hAnsi="Arial" w:cs="Arial"/>
          <w:sz w:val="22"/>
          <w:szCs w:val="20"/>
          <w:lang w:val="en-US" w:eastAsia="en-US"/>
        </w:rPr>
      </w:pPr>
      <w:r w:rsidRPr="00737BC6">
        <w:rPr>
          <w:rFonts w:ascii="Arial" w:eastAsiaTheme="minorEastAsia" w:hAnsi="Arial" w:cs="Arial"/>
          <w:sz w:val="22"/>
          <w:szCs w:val="20"/>
          <w:lang w:val="en-US" w:eastAsia="en-US"/>
        </w:rPr>
        <w:t xml:space="preserve">The de </w:t>
      </w:r>
      <w:proofErr w:type="spellStart"/>
      <w:r w:rsidRPr="00737BC6">
        <w:rPr>
          <w:rFonts w:ascii="Arial" w:eastAsiaTheme="minorEastAsia" w:hAnsi="Arial" w:cs="Arial"/>
          <w:sz w:val="22"/>
          <w:szCs w:val="20"/>
          <w:lang w:val="en-US" w:eastAsia="en-US"/>
        </w:rPr>
        <w:t>minimis</w:t>
      </w:r>
      <w:proofErr w:type="spellEnd"/>
      <w:r w:rsidRPr="00737BC6">
        <w:rPr>
          <w:rFonts w:ascii="Arial" w:eastAsiaTheme="minorEastAsia" w:hAnsi="Arial" w:cs="Arial"/>
          <w:sz w:val="22"/>
          <w:szCs w:val="20"/>
          <w:lang w:val="en-US" w:eastAsia="en-US"/>
        </w:rPr>
        <w:t xml:space="preserve"> limit of 2,500 lots which appears to be too restrictive when a contracts comes close to 10,000 lots of open interest. For examples in freight and gas, see our response to Q1.</w:t>
      </w:r>
    </w:p>
    <w:p w14:paraId="39AC6D4B" w14:textId="57A5D338" w:rsidR="00737BC6" w:rsidRPr="00737BC6" w:rsidRDefault="00737BC6" w:rsidP="00737BC6">
      <w:pPr>
        <w:numPr>
          <w:ilvl w:val="0"/>
          <w:numId w:val="17"/>
        </w:numPr>
        <w:spacing w:after="250" w:line="276" w:lineRule="auto"/>
        <w:jc w:val="both"/>
        <w:rPr>
          <w:rFonts w:ascii="Arial" w:eastAsiaTheme="minorEastAsia" w:hAnsi="Arial" w:cs="Arial"/>
          <w:sz w:val="22"/>
          <w:szCs w:val="20"/>
          <w:lang w:val="en-US" w:eastAsia="en-US"/>
        </w:rPr>
      </w:pPr>
      <w:r w:rsidRPr="00737BC6">
        <w:rPr>
          <w:rFonts w:ascii="Arial" w:eastAsiaTheme="minorEastAsia" w:hAnsi="Arial" w:cs="Arial"/>
          <w:sz w:val="22"/>
          <w:szCs w:val="20"/>
          <w:lang w:val="en-US" w:eastAsia="en-US"/>
        </w:rPr>
        <w:t xml:space="preserve">The lack of flexibility </w:t>
      </w:r>
      <w:r w:rsidR="00F37499">
        <w:rPr>
          <w:rFonts w:ascii="Arial" w:eastAsiaTheme="minorEastAsia" w:hAnsi="Arial" w:cs="Arial"/>
          <w:sz w:val="22"/>
          <w:szCs w:val="20"/>
          <w:lang w:val="en-US" w:eastAsia="en-US"/>
        </w:rPr>
        <w:t>in</w:t>
      </w:r>
      <w:r w:rsidRPr="00737BC6">
        <w:rPr>
          <w:rFonts w:ascii="Arial" w:eastAsiaTheme="minorEastAsia" w:hAnsi="Arial" w:cs="Arial"/>
          <w:sz w:val="22"/>
          <w:szCs w:val="20"/>
          <w:lang w:val="en-US" w:eastAsia="en-US"/>
        </w:rPr>
        <w:t xml:space="preserve"> the rules for NCAs to deal with special circumstances (by for example using a more forward-looking approach to the calculation of open interest used as a baseline for setting position limits). For examples in freight and power, see our response to Q1.</w:t>
      </w:r>
    </w:p>
    <w:p w14:paraId="318ADB37" w14:textId="77777777" w:rsidR="001813FD" w:rsidRDefault="00737BC6" w:rsidP="00737BC6">
      <w:pPr>
        <w:spacing w:after="250" w:line="276" w:lineRule="auto"/>
        <w:jc w:val="both"/>
        <w:rPr>
          <w:rFonts w:ascii="Arial" w:eastAsiaTheme="minorEastAsia" w:hAnsi="Arial" w:cs="Arial"/>
          <w:sz w:val="22"/>
          <w:szCs w:val="20"/>
          <w:lang w:val="en-US" w:eastAsia="en-US"/>
        </w:rPr>
      </w:pPr>
      <w:r w:rsidRPr="00737BC6">
        <w:rPr>
          <w:rFonts w:ascii="Arial" w:eastAsiaTheme="minorEastAsia" w:hAnsi="Arial" w:cs="Arial"/>
          <w:sz w:val="22"/>
          <w:szCs w:val="20"/>
          <w:lang w:val="en-US" w:eastAsia="en-US"/>
        </w:rPr>
        <w:t>Considering the limited contribution that the position limit regime has on orderly pricing and orderly settlement and prevention of market abuse (see our response to Q3 and Q4), we believe the objective of this review should be to have a more proportionate and efficient position limit regime. This can be achieved by focusing the application of the MiFID II position limit regime on a more limited set of important, critical (benchmark) commodity derivative contracts. Such a refocus of the position limit regime on benchmark contracts would make it more efficient, mitigate the unintended consequences and reduce the compliance burden for all concerned parties (market participants, trading venues, NCAs/ESMA). Most importantly, such a</w:t>
      </w:r>
      <w:r w:rsidR="00C73E0D">
        <w:rPr>
          <w:rFonts w:ascii="Arial" w:eastAsiaTheme="minorEastAsia" w:hAnsi="Arial" w:cs="Arial"/>
          <w:sz w:val="22"/>
          <w:szCs w:val="20"/>
          <w:lang w:val="en-US" w:eastAsia="en-US"/>
        </w:rPr>
        <w:t xml:space="preserve"> targeted</w:t>
      </w:r>
      <w:r w:rsidRPr="00737BC6">
        <w:rPr>
          <w:rFonts w:ascii="Arial" w:eastAsiaTheme="minorEastAsia" w:hAnsi="Arial" w:cs="Arial"/>
          <w:sz w:val="22"/>
          <w:szCs w:val="20"/>
          <w:lang w:val="en-US" w:eastAsia="en-US"/>
        </w:rPr>
        <w:t xml:space="preserve"> approach would </w:t>
      </w:r>
      <w:r w:rsidR="00C73E0D">
        <w:rPr>
          <w:rFonts w:ascii="Arial" w:eastAsiaTheme="minorEastAsia" w:hAnsi="Arial" w:cs="Arial"/>
          <w:sz w:val="22"/>
          <w:szCs w:val="20"/>
          <w:lang w:val="en-US" w:eastAsia="en-US"/>
        </w:rPr>
        <w:t>allow</w:t>
      </w:r>
      <w:r w:rsidRPr="00737BC6">
        <w:rPr>
          <w:rFonts w:ascii="Arial" w:eastAsiaTheme="minorEastAsia" w:hAnsi="Arial" w:cs="Arial"/>
          <w:sz w:val="22"/>
          <w:szCs w:val="20"/>
          <w:lang w:val="en-US" w:eastAsia="en-US"/>
        </w:rPr>
        <w:t xml:space="preserve"> new and nascent products to develop</w:t>
      </w:r>
      <w:r w:rsidR="00C23810">
        <w:rPr>
          <w:rFonts w:ascii="Arial" w:eastAsiaTheme="minorEastAsia" w:hAnsi="Arial" w:cs="Arial"/>
          <w:sz w:val="22"/>
          <w:szCs w:val="20"/>
          <w:lang w:val="en-US" w:eastAsia="en-US"/>
        </w:rPr>
        <w:t xml:space="preserve">, </w:t>
      </w:r>
      <w:r w:rsidRPr="00737BC6">
        <w:rPr>
          <w:rFonts w:ascii="Arial" w:eastAsiaTheme="minorEastAsia" w:hAnsi="Arial" w:cs="Arial"/>
          <w:sz w:val="22"/>
          <w:szCs w:val="20"/>
          <w:lang w:val="en-US" w:eastAsia="en-US"/>
        </w:rPr>
        <w:t>in line with the policy objective of the Directive as expressed in its implementing RTS 21</w:t>
      </w:r>
      <w:r w:rsidR="00C23810">
        <w:rPr>
          <w:rFonts w:ascii="Arial" w:eastAsiaTheme="minorEastAsia" w:hAnsi="Arial" w:cs="Arial"/>
          <w:sz w:val="22"/>
          <w:szCs w:val="20"/>
          <w:lang w:val="en-US" w:eastAsia="en-US"/>
        </w:rPr>
        <w:t>:</w:t>
      </w:r>
      <w:r w:rsidRPr="00737BC6">
        <w:rPr>
          <w:rFonts w:ascii="Arial" w:eastAsiaTheme="minorEastAsia" w:hAnsi="Arial" w:cs="Arial"/>
          <w:sz w:val="22"/>
          <w:szCs w:val="20"/>
          <w:lang w:val="en-US" w:eastAsia="en-US"/>
        </w:rPr>
        <w:t xml:space="preserve"> </w:t>
      </w:r>
    </w:p>
    <w:p w14:paraId="6D96935A" w14:textId="3708A8C5" w:rsidR="00737BC6" w:rsidRPr="00737BC6" w:rsidRDefault="00737BC6" w:rsidP="00737BC6">
      <w:pPr>
        <w:spacing w:after="250" w:line="276" w:lineRule="auto"/>
        <w:jc w:val="both"/>
        <w:rPr>
          <w:rFonts w:ascii="Arial" w:eastAsiaTheme="minorEastAsia" w:hAnsi="Arial" w:cs="Arial"/>
          <w:i/>
          <w:sz w:val="22"/>
          <w:szCs w:val="20"/>
          <w:lang w:val="en-US" w:eastAsia="en-US"/>
        </w:rPr>
      </w:pPr>
      <w:r w:rsidRPr="00737BC6">
        <w:rPr>
          <w:rFonts w:ascii="Arial" w:eastAsiaTheme="minorEastAsia" w:hAnsi="Arial" w:cs="Arial"/>
          <w:i/>
          <w:sz w:val="22"/>
          <w:szCs w:val="20"/>
          <w:lang w:val="en-US" w:eastAsia="en-US"/>
        </w:rPr>
        <w:t xml:space="preserve">“Position limits should not create barriers to the development of new commodity derivatives and should not prevent less liquid sections of the commodity derivative markets from working adequately“ </w:t>
      </w:r>
    </w:p>
    <w:p w14:paraId="6CEF910B" w14:textId="77777777" w:rsidR="001813FD" w:rsidRDefault="00737BC6" w:rsidP="00737BC6">
      <w:pPr>
        <w:spacing w:after="250" w:line="276" w:lineRule="auto"/>
        <w:jc w:val="both"/>
        <w:rPr>
          <w:rFonts w:ascii="Arial" w:eastAsiaTheme="minorEastAsia" w:hAnsi="Arial" w:cs="Arial"/>
          <w:sz w:val="22"/>
          <w:szCs w:val="20"/>
          <w:lang w:val="en-US" w:eastAsia="en-US"/>
        </w:rPr>
      </w:pPr>
      <w:r w:rsidRPr="00737BC6">
        <w:rPr>
          <w:rFonts w:ascii="Arial" w:eastAsiaTheme="minorEastAsia" w:hAnsi="Arial" w:cs="Arial"/>
          <w:sz w:val="22"/>
          <w:szCs w:val="20"/>
          <w:lang w:val="en-US" w:eastAsia="en-US"/>
        </w:rPr>
        <w:t>At the same time, we believe that such an amendment would better fulfil the overall objective of MiFID II to “</w:t>
      </w:r>
      <w:r w:rsidRPr="00737BC6">
        <w:rPr>
          <w:rFonts w:ascii="Arial" w:eastAsiaTheme="minorEastAsia" w:hAnsi="Arial" w:cs="Arial"/>
          <w:i/>
          <w:sz w:val="22"/>
          <w:szCs w:val="20"/>
          <w:lang w:val="en-US" w:eastAsia="en-US"/>
        </w:rPr>
        <w:t>improve the functioning and transparency of commodity markets and address excessive commodity price volatility</w:t>
      </w:r>
      <w:r w:rsidRPr="00737BC6">
        <w:rPr>
          <w:rFonts w:ascii="Arial" w:eastAsiaTheme="minorEastAsia" w:hAnsi="Arial" w:cs="Arial"/>
          <w:sz w:val="22"/>
          <w:szCs w:val="20"/>
          <w:lang w:val="en-US" w:eastAsia="en-US"/>
        </w:rPr>
        <w:t xml:space="preserve">”. </w:t>
      </w:r>
      <w:r w:rsidR="001813FD" w:rsidRPr="001813FD">
        <w:rPr>
          <w:rFonts w:ascii="Arial" w:eastAsiaTheme="minorEastAsia" w:hAnsi="Arial" w:cs="Arial"/>
          <w:sz w:val="22"/>
          <w:szCs w:val="20"/>
          <w:lang w:val="en-US" w:eastAsia="en-US"/>
        </w:rPr>
        <w:t>Thirdly, a more proportionate and efficient regime would contribute to the European Commission’s objective to strengthen the competitiveness of European commodity derivatives markets in context of the international role of the Euro.</w:t>
      </w:r>
    </w:p>
    <w:p w14:paraId="449FD8F5" w14:textId="3D9C3FB8" w:rsidR="00737BC6" w:rsidRPr="00737BC6" w:rsidRDefault="00737BC6" w:rsidP="00737BC6">
      <w:pPr>
        <w:spacing w:after="250" w:line="276" w:lineRule="auto"/>
        <w:jc w:val="both"/>
        <w:rPr>
          <w:rFonts w:ascii="Arial" w:eastAsiaTheme="minorEastAsia" w:hAnsi="Arial" w:cs="Arial"/>
          <w:sz w:val="22"/>
          <w:szCs w:val="20"/>
          <w:lang w:val="en-US" w:eastAsia="en-US"/>
        </w:rPr>
      </w:pPr>
      <w:r w:rsidRPr="00737BC6">
        <w:rPr>
          <w:rFonts w:ascii="Arial" w:eastAsiaTheme="minorEastAsia" w:hAnsi="Arial" w:cs="Arial"/>
          <w:sz w:val="22"/>
          <w:szCs w:val="20"/>
          <w:lang w:val="en-US" w:eastAsia="en-US"/>
        </w:rPr>
        <w:t xml:space="preserve">A refocus of the systems is justified as the price formation mainly occurs in mature products which </w:t>
      </w:r>
      <w:r w:rsidR="00C23810">
        <w:rPr>
          <w:rFonts w:ascii="Arial" w:eastAsiaTheme="minorEastAsia" w:hAnsi="Arial" w:cs="Arial"/>
          <w:sz w:val="22"/>
          <w:szCs w:val="20"/>
          <w:lang w:val="en-US" w:eastAsia="en-US"/>
        </w:rPr>
        <w:t>serve as</w:t>
      </w:r>
      <w:r w:rsidRPr="00737BC6">
        <w:rPr>
          <w:rFonts w:ascii="Arial" w:eastAsiaTheme="minorEastAsia" w:hAnsi="Arial" w:cs="Arial"/>
          <w:sz w:val="22"/>
          <w:szCs w:val="20"/>
          <w:lang w:val="en-US" w:eastAsia="en-US"/>
        </w:rPr>
        <w:t xml:space="preserve"> benchmarks for the respective market. New and nascent products constitute a minor share of commodity markets. Such contracts are unlikely to influence price movements in the underlying physical co</w:t>
      </w:r>
      <w:bookmarkStart w:id="1" w:name="_GoBack"/>
      <w:bookmarkEnd w:id="1"/>
      <w:r w:rsidRPr="00737BC6">
        <w:rPr>
          <w:rFonts w:ascii="Arial" w:eastAsiaTheme="minorEastAsia" w:hAnsi="Arial" w:cs="Arial"/>
          <w:sz w:val="22"/>
          <w:szCs w:val="20"/>
          <w:lang w:val="en-US" w:eastAsia="en-US"/>
        </w:rPr>
        <w:t xml:space="preserve">mmodity markets and thus do not negatively impact consumers. </w:t>
      </w:r>
    </w:p>
    <w:p w14:paraId="4353132F" w14:textId="77777777" w:rsidR="00737BC6" w:rsidRPr="00737BC6" w:rsidRDefault="00737BC6" w:rsidP="00737BC6">
      <w:pPr>
        <w:spacing w:after="250" w:line="276" w:lineRule="auto"/>
        <w:jc w:val="both"/>
        <w:rPr>
          <w:rFonts w:ascii="Arial" w:eastAsiaTheme="minorEastAsia" w:hAnsi="Arial" w:cs="Arial"/>
          <w:sz w:val="22"/>
          <w:szCs w:val="20"/>
          <w:lang w:val="en-US" w:eastAsia="en-US"/>
        </w:rPr>
      </w:pPr>
      <w:r w:rsidRPr="00737BC6">
        <w:rPr>
          <w:rFonts w:ascii="Arial" w:eastAsiaTheme="minorEastAsia" w:hAnsi="Arial" w:cs="Arial"/>
          <w:sz w:val="22"/>
          <w:szCs w:val="20"/>
          <w:lang w:val="en-US" w:eastAsia="en-US"/>
        </w:rPr>
        <w:t xml:space="preserve">The other (non-significant) contracts would remain subject to the position reporting regime under MiFID II Art. 58, the pre-existing position monitoring and position management measures by exchanges and the market oversight practices of the exchanges’ market supervision and market surveillance departments that apply the principles laid down in the Regulation on Energy Markets Integrity and Transparency (REMIT) and the Market Abuse Regulation (MAR). Thus, removing position limits for such contracts would not pose any risk </w:t>
      </w:r>
      <w:r w:rsidRPr="00737BC6">
        <w:rPr>
          <w:rFonts w:ascii="Arial" w:eastAsiaTheme="minorEastAsia" w:hAnsi="Arial" w:cs="Arial"/>
          <w:sz w:val="22"/>
          <w:szCs w:val="20"/>
          <w:lang w:val="en-US" w:eastAsia="en-US"/>
        </w:rPr>
        <w:lastRenderedPageBreak/>
        <w:t>to the transparency and functioning of the respective markets. On the contrary, attracting more volume to regulated venues would contribute to a more transparent trading environment.</w:t>
      </w:r>
    </w:p>
    <w:p w14:paraId="6513C64B" w14:textId="1B3B13D3" w:rsidR="00737BC6" w:rsidRPr="00737BC6" w:rsidRDefault="00737BC6" w:rsidP="00737BC6">
      <w:pPr>
        <w:spacing w:after="250" w:line="276" w:lineRule="auto"/>
        <w:jc w:val="both"/>
        <w:rPr>
          <w:rFonts w:ascii="Arial" w:eastAsiaTheme="minorEastAsia" w:hAnsi="Arial" w:cs="Arial"/>
          <w:sz w:val="22"/>
          <w:szCs w:val="20"/>
          <w:lang w:val="en-US" w:eastAsia="en-US"/>
        </w:rPr>
      </w:pPr>
      <w:r w:rsidRPr="00737BC6">
        <w:rPr>
          <w:rFonts w:ascii="Arial" w:eastAsiaTheme="minorEastAsia" w:hAnsi="Arial" w:cs="Arial"/>
          <w:sz w:val="22"/>
          <w:szCs w:val="20"/>
          <w:lang w:val="en-US" w:eastAsia="en-US"/>
        </w:rPr>
        <w:t xml:space="preserve">Instead of or in addition to limiting the scope of the position limit regime, another approach would be to review the position limit regime in view of making it more flexible, not only for NCAs to deal with special circumstances such as index transfers and bidding zone splits, but also for NCAs to deal with a breach of the position limit in general. So far the majority of breaches of EEX Group position limits were related to errors in position reporting, the lack of a hedging exemption or the lack of a liquidity provision exemption. We believe that there is merit for the position limit regime to function as a warning system that alert NCAs whenever there is a breach so that NCAs can start to investigate whether there is an actual risk of market abuse. In the case of gas and power derivatives, the NCA may forward the case to the Agency of Cooperation of Energy Regulators </w:t>
      </w:r>
      <w:r w:rsidR="0053259A">
        <w:rPr>
          <w:rFonts w:ascii="Arial" w:eastAsiaTheme="minorEastAsia" w:hAnsi="Arial" w:cs="Arial"/>
          <w:sz w:val="22"/>
          <w:szCs w:val="20"/>
          <w:lang w:val="en-US" w:eastAsia="en-US"/>
        </w:rPr>
        <w:t xml:space="preserve">(ACER) </w:t>
      </w:r>
      <w:r w:rsidRPr="00737BC6">
        <w:rPr>
          <w:rFonts w:ascii="Arial" w:eastAsiaTheme="minorEastAsia" w:hAnsi="Arial" w:cs="Arial"/>
          <w:sz w:val="22"/>
          <w:szCs w:val="20"/>
          <w:lang w:val="en-US" w:eastAsia="en-US"/>
        </w:rPr>
        <w:t>whose main task is to prevent market abuse. (See our response to Q5.)</w:t>
      </w:r>
    </w:p>
    <w:permEnd w:id="885457707"/>
    <w:p w14:paraId="15D00E65" w14:textId="1A606BDE"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AB6157">
        <w:rPr>
          <w:rFonts w:asciiTheme="minorHAnsi" w:eastAsiaTheme="minorEastAsia" w:hAnsiTheme="minorHAnsi" w:cs="Arial"/>
          <w:sz w:val="22"/>
          <w:szCs w:val="20"/>
          <w:lang w:eastAsia="en-US"/>
        </w:rPr>
        <w:t>PLPM</w:t>
      </w:r>
      <w:r w:rsidRPr="00C85C8B">
        <w:rPr>
          <w:rFonts w:asciiTheme="minorHAnsi" w:eastAsiaTheme="minorEastAsia" w:hAnsiTheme="minorHAnsi" w:cstheme="minorBidi"/>
          <w:sz w:val="22"/>
          <w:szCs w:val="20"/>
          <w:lang w:eastAsia="en-US"/>
        </w:rPr>
        <w:t>_1&gt;</w:t>
      </w:r>
    </w:p>
    <w:p w14:paraId="58C2F704" w14:textId="77777777" w:rsidR="00C85C8B" w:rsidRDefault="00C85C8B" w:rsidP="00C1698A">
      <w:pPr>
        <w:spacing w:line="276" w:lineRule="auto"/>
        <w:rPr>
          <w:rFonts w:asciiTheme="minorHAnsi" w:hAnsiTheme="minorHAnsi" w:cstheme="minorHAnsi"/>
          <w:b/>
          <w:sz w:val="28"/>
          <w:szCs w:val="28"/>
        </w:rPr>
      </w:pPr>
    </w:p>
    <w:p w14:paraId="4218CA54" w14:textId="77777777" w:rsidR="00C85C8B" w:rsidRDefault="00C85C8B" w:rsidP="00C1698A">
      <w:pPr>
        <w:spacing w:line="276" w:lineRule="auto"/>
        <w:rPr>
          <w:rFonts w:asciiTheme="minorHAnsi" w:hAnsiTheme="minorHAnsi" w:cstheme="minorHAnsi"/>
          <w:b/>
          <w:sz w:val="28"/>
          <w:szCs w:val="28"/>
        </w:rPr>
      </w:pPr>
    </w:p>
    <w:p w14:paraId="0CE5A6A7" w14:textId="77777777" w:rsidR="00C85C8B" w:rsidRDefault="00C85C8B" w:rsidP="00C1698A">
      <w:pPr>
        <w:spacing w:line="276" w:lineRule="auto"/>
        <w:rPr>
          <w:rFonts w:asciiTheme="minorHAnsi" w:hAnsiTheme="minorHAnsi" w:cstheme="minorHAnsi"/>
          <w:b/>
          <w:sz w:val="28"/>
          <w:szCs w:val="28"/>
        </w:rPr>
      </w:pPr>
    </w:p>
    <w:p w14:paraId="0D73DA59" w14:textId="77777777" w:rsidR="00C85C8B" w:rsidRDefault="00C85C8B" w:rsidP="00C1698A">
      <w:pPr>
        <w:spacing w:line="276" w:lineRule="auto"/>
        <w:rPr>
          <w:rFonts w:asciiTheme="minorHAnsi" w:hAnsiTheme="minorHAnsi" w:cstheme="minorHAnsi"/>
          <w:b/>
          <w:sz w:val="28"/>
          <w:szCs w:val="28"/>
        </w:rPr>
      </w:pPr>
    </w:p>
    <w:p w14:paraId="0C037628" w14:textId="77777777" w:rsidR="00C85C8B" w:rsidRDefault="00C85C8B" w:rsidP="00C1698A">
      <w:pPr>
        <w:spacing w:line="276" w:lineRule="auto"/>
        <w:rPr>
          <w:rFonts w:asciiTheme="minorHAnsi" w:hAnsiTheme="minorHAnsi" w:cstheme="minorHAnsi"/>
          <w:b/>
          <w:sz w:val="28"/>
          <w:szCs w:val="28"/>
        </w:rPr>
      </w:pPr>
    </w:p>
    <w:p w14:paraId="1D0DAFF5" w14:textId="77777777" w:rsidR="00C85C8B" w:rsidRDefault="00C85C8B">
      <w:pPr>
        <w:spacing w:after="120" w:line="264" w:lineRule="auto"/>
        <w:rPr>
          <w:rFonts w:asciiTheme="minorHAnsi" w:hAnsiTheme="minorHAnsi" w:cstheme="minorHAnsi"/>
          <w:b/>
          <w:sz w:val="28"/>
          <w:szCs w:val="28"/>
        </w:rPr>
      </w:pPr>
      <w:r>
        <w:rPr>
          <w:rFonts w:asciiTheme="minorHAnsi" w:hAnsiTheme="minorHAnsi" w:cstheme="minorHAnsi"/>
          <w:b/>
          <w:sz w:val="28"/>
          <w:szCs w:val="28"/>
        </w:rPr>
        <w:br w:type="page"/>
      </w:r>
    </w:p>
    <w:p w14:paraId="005F1C41" w14:textId="21C1F329" w:rsidR="00C1698A" w:rsidRDefault="00C1698A" w:rsidP="00C1698A">
      <w:pPr>
        <w:spacing w:line="276" w:lineRule="auto"/>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289A1E31" w14:textId="022DBCBF" w:rsidR="00AB6157" w:rsidRDefault="00AB6157" w:rsidP="00C1698A">
      <w:pPr>
        <w:spacing w:line="276" w:lineRule="auto"/>
        <w:rPr>
          <w:rFonts w:asciiTheme="minorHAnsi" w:hAnsiTheme="minorHAnsi" w:cstheme="minorHAnsi"/>
          <w:b/>
          <w:sz w:val="28"/>
          <w:szCs w:val="28"/>
        </w:rPr>
      </w:pPr>
    </w:p>
    <w:p w14:paraId="67015C34" w14:textId="77777777" w:rsidR="00AB6157" w:rsidRPr="00422240" w:rsidRDefault="00AB6157" w:rsidP="00AB6157">
      <w:pPr>
        <w:pStyle w:val="Questionstyle"/>
        <w:numPr>
          <w:ilvl w:val="0"/>
          <w:numId w:val="9"/>
        </w:numPr>
        <w:spacing w:after="250" w:line="276" w:lineRule="auto"/>
      </w:pPr>
      <w:r>
        <w:t xml:space="preserve">: </w:t>
      </w:r>
      <w:r w:rsidRPr="00422240">
        <w:t>In your view, what impact, if any, did the introduction of position limits have on the availability and liquidity of commodity derivative markets? What are in your views the main factors driving this development, e.g. the mere existence of a position limit and position reporting regime, some specific characteristics of the position limit regime or the level at which position limits are set? Please elaborate by differentiating per commodity asset class or contract where relevant and provide evidence to support your assessment.</w:t>
      </w:r>
    </w:p>
    <w:p w14:paraId="3A3B29FB" w14:textId="77777777" w:rsidR="00AB6157" w:rsidRDefault="00AB6157" w:rsidP="00AB6157">
      <w:pPr>
        <w:rPr>
          <w:rFonts w:ascii="Arial" w:hAnsi="Arial" w:cs="Arial"/>
        </w:rPr>
      </w:pPr>
      <w:r>
        <w:rPr>
          <w:rFonts w:ascii="Arial" w:hAnsi="Arial" w:cs="Arial"/>
        </w:rPr>
        <w:t>&lt;ESMA_QUESTION_PLPM_1&gt;</w:t>
      </w:r>
    </w:p>
    <w:p w14:paraId="39647CCD" w14:textId="3B7E28DC" w:rsidR="0053259A" w:rsidRDefault="0053259A" w:rsidP="00E67925">
      <w:pPr>
        <w:spacing w:after="240" w:line="276" w:lineRule="auto"/>
        <w:jc w:val="both"/>
        <w:rPr>
          <w:rFonts w:asciiTheme="majorHAnsi" w:hAnsiTheme="majorHAnsi" w:cstheme="majorHAnsi"/>
          <w:sz w:val="22"/>
          <w:szCs w:val="22"/>
          <w:lang w:val="en-US"/>
        </w:rPr>
      </w:pPr>
      <w:permStart w:id="612041398" w:edGrp="everyone"/>
      <w:r w:rsidRPr="0053259A">
        <w:rPr>
          <w:rFonts w:asciiTheme="majorHAnsi" w:hAnsiTheme="majorHAnsi" w:cstheme="majorHAnsi"/>
          <w:sz w:val="22"/>
          <w:szCs w:val="22"/>
          <w:lang w:val="en-US"/>
        </w:rPr>
        <w:t>As highlighted in the introductory comments, the MiFID II position limit regime has so far been able to function in a reasonable manner for several well-developed benchmark contracts. For the development of new contracts and the growth of existing illiquid commodities derivative markets as well as the functioning of liquid markets we have identified several shortcomings of the current regime.</w:t>
      </w:r>
    </w:p>
    <w:p w14:paraId="76F0AC1F" w14:textId="77AFB36D" w:rsidR="00E67925"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In our view, the most significant impact has been on new, illiquid and less liquid contracts, meaning contracts between 0 and 20,000 lots open interest. The position limits constituted a </w:t>
      </w:r>
      <w:r w:rsidR="0053259A">
        <w:rPr>
          <w:rFonts w:asciiTheme="majorHAnsi" w:hAnsiTheme="majorHAnsi" w:cstheme="majorHAnsi"/>
          <w:sz w:val="22"/>
          <w:szCs w:val="22"/>
          <w:lang w:val="en-US"/>
        </w:rPr>
        <w:t>major</w:t>
      </w:r>
      <w:r w:rsidRPr="00F961F9">
        <w:rPr>
          <w:rFonts w:asciiTheme="majorHAnsi" w:hAnsiTheme="majorHAnsi" w:cstheme="majorHAnsi"/>
          <w:sz w:val="22"/>
          <w:szCs w:val="22"/>
          <w:lang w:val="en-US"/>
        </w:rPr>
        <w:t xml:space="preserve"> obstacle to the development of new and illiquid contracts in both freight and gas future contracts, and to a lesser extent to the development of less liquid contracts in power contracts.</w:t>
      </w:r>
    </w:p>
    <w:p w14:paraId="543AC3AA" w14:textId="0FA4F393"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With regard to liquid contracts, only the power contracts suffered from the lack of flexibility</w:t>
      </w:r>
      <w:r w:rsidR="00F37499">
        <w:rPr>
          <w:rFonts w:asciiTheme="majorHAnsi" w:hAnsiTheme="majorHAnsi" w:cstheme="majorHAnsi"/>
          <w:sz w:val="22"/>
          <w:szCs w:val="22"/>
          <w:lang w:val="en-US"/>
        </w:rPr>
        <w:t xml:space="preserve"> in the rules</w:t>
      </w:r>
      <w:r w:rsidRPr="00F961F9">
        <w:rPr>
          <w:rFonts w:asciiTheme="majorHAnsi" w:hAnsiTheme="majorHAnsi" w:cstheme="majorHAnsi"/>
          <w:sz w:val="22"/>
          <w:szCs w:val="22"/>
          <w:lang w:val="en-US"/>
        </w:rPr>
        <w:t xml:space="preserve"> for NCAs to deal with special circumstances, such as the German/Austrian bidding zone split. See below.</w:t>
      </w:r>
    </w:p>
    <w:p w14:paraId="6D712D48" w14:textId="77777777" w:rsidR="00737BC6" w:rsidRPr="00E846C1" w:rsidRDefault="00737BC6" w:rsidP="00E67925">
      <w:pPr>
        <w:spacing w:after="240" w:line="276" w:lineRule="auto"/>
        <w:jc w:val="both"/>
        <w:rPr>
          <w:rFonts w:asciiTheme="majorHAnsi" w:hAnsiTheme="majorHAnsi" w:cstheme="majorHAnsi"/>
          <w:sz w:val="22"/>
          <w:szCs w:val="22"/>
          <w:lang w:val="en-US"/>
        </w:rPr>
      </w:pPr>
      <w:r w:rsidRPr="00E846C1">
        <w:rPr>
          <w:rFonts w:asciiTheme="majorHAnsi" w:hAnsiTheme="majorHAnsi" w:cstheme="majorHAnsi"/>
          <w:sz w:val="22"/>
          <w:szCs w:val="22"/>
          <w:lang w:val="en-US"/>
        </w:rPr>
        <w:t>The main factors driving this development according to asset class:</w:t>
      </w:r>
    </w:p>
    <w:p w14:paraId="29E32097" w14:textId="77777777" w:rsidR="00737BC6" w:rsidRPr="00F961F9" w:rsidRDefault="00737BC6" w:rsidP="00E67925">
      <w:pPr>
        <w:spacing w:after="240" w:line="276" w:lineRule="auto"/>
        <w:jc w:val="both"/>
        <w:rPr>
          <w:rFonts w:asciiTheme="majorHAnsi" w:hAnsiTheme="majorHAnsi" w:cstheme="majorHAnsi"/>
          <w:i/>
          <w:sz w:val="22"/>
          <w:szCs w:val="22"/>
          <w:u w:val="single"/>
          <w:lang w:val="en-US"/>
        </w:rPr>
      </w:pPr>
      <w:r w:rsidRPr="00F961F9">
        <w:rPr>
          <w:rFonts w:asciiTheme="majorHAnsi" w:hAnsiTheme="majorHAnsi" w:cstheme="majorHAnsi"/>
          <w:i/>
          <w:sz w:val="22"/>
          <w:szCs w:val="22"/>
          <w:u w:val="single"/>
          <w:lang w:val="en-US"/>
        </w:rPr>
        <w:t xml:space="preserve">Dry bulk freight: </w:t>
      </w:r>
    </w:p>
    <w:p w14:paraId="0965F708" w14:textId="1C67E9FA"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i/>
          <w:sz w:val="22"/>
          <w:szCs w:val="22"/>
          <w:lang w:val="en-US"/>
        </w:rPr>
        <w:t>Background</w:t>
      </w:r>
      <w:r w:rsidRPr="00F961F9">
        <w:rPr>
          <w:rFonts w:asciiTheme="majorHAnsi" w:hAnsiTheme="majorHAnsi" w:cstheme="majorHAnsi"/>
          <w:sz w:val="22"/>
          <w:szCs w:val="22"/>
          <w:lang w:val="en-US"/>
        </w:rPr>
        <w:t>: Since 2015, E</w:t>
      </w:r>
      <w:r w:rsidR="00E846C1">
        <w:rPr>
          <w:rFonts w:asciiTheme="majorHAnsi" w:hAnsiTheme="majorHAnsi" w:cstheme="majorHAnsi"/>
          <w:sz w:val="22"/>
          <w:szCs w:val="22"/>
          <w:lang w:val="en-US"/>
        </w:rPr>
        <w:t xml:space="preserve">uropean </w:t>
      </w:r>
      <w:r w:rsidRPr="00F961F9">
        <w:rPr>
          <w:rFonts w:asciiTheme="majorHAnsi" w:hAnsiTheme="majorHAnsi" w:cstheme="majorHAnsi"/>
          <w:sz w:val="22"/>
          <w:szCs w:val="22"/>
          <w:lang w:val="en-US"/>
        </w:rPr>
        <w:t>C</w:t>
      </w:r>
      <w:r w:rsidR="00E846C1">
        <w:rPr>
          <w:rFonts w:asciiTheme="majorHAnsi" w:hAnsiTheme="majorHAnsi" w:cstheme="majorHAnsi"/>
          <w:sz w:val="22"/>
          <w:szCs w:val="22"/>
          <w:lang w:val="en-US"/>
        </w:rPr>
        <w:t xml:space="preserve">ommodities </w:t>
      </w:r>
      <w:r w:rsidRPr="00F961F9">
        <w:rPr>
          <w:rFonts w:asciiTheme="majorHAnsi" w:hAnsiTheme="majorHAnsi" w:cstheme="majorHAnsi"/>
          <w:sz w:val="22"/>
          <w:szCs w:val="22"/>
          <w:lang w:val="en-US"/>
        </w:rPr>
        <w:t>C</w:t>
      </w:r>
      <w:r w:rsidR="00E846C1">
        <w:rPr>
          <w:rFonts w:asciiTheme="majorHAnsi" w:hAnsiTheme="majorHAnsi" w:cstheme="majorHAnsi"/>
          <w:sz w:val="22"/>
          <w:szCs w:val="22"/>
          <w:lang w:val="en-US"/>
        </w:rPr>
        <w:t>learing (ECC), the clearing house of EEX Group,</w:t>
      </w:r>
      <w:r w:rsidRPr="00F961F9">
        <w:rPr>
          <w:rFonts w:asciiTheme="majorHAnsi" w:hAnsiTheme="majorHAnsi" w:cstheme="majorHAnsi"/>
          <w:sz w:val="22"/>
          <w:szCs w:val="22"/>
          <w:lang w:val="en-US"/>
        </w:rPr>
        <w:t xml:space="preserve"> is offering clearing services for EEX futures on dry bulk freight. The introduction followed EEX’s cooperation with the Singapore-based </w:t>
      </w:r>
      <w:proofErr w:type="spellStart"/>
      <w:r w:rsidRPr="00F961F9">
        <w:rPr>
          <w:rFonts w:asciiTheme="majorHAnsi" w:hAnsiTheme="majorHAnsi" w:cstheme="majorHAnsi"/>
          <w:sz w:val="22"/>
          <w:szCs w:val="22"/>
          <w:lang w:val="en-US"/>
        </w:rPr>
        <w:t>Cleartrade</w:t>
      </w:r>
      <w:proofErr w:type="spellEnd"/>
      <w:r w:rsidRPr="00F961F9">
        <w:rPr>
          <w:rFonts w:asciiTheme="majorHAnsi" w:hAnsiTheme="majorHAnsi" w:cstheme="majorHAnsi"/>
          <w:sz w:val="22"/>
          <w:szCs w:val="22"/>
          <w:lang w:val="en-US"/>
        </w:rPr>
        <w:t xml:space="preserve"> Exchange </w:t>
      </w:r>
      <w:proofErr w:type="spellStart"/>
      <w:r w:rsidRPr="00F961F9">
        <w:rPr>
          <w:rFonts w:asciiTheme="majorHAnsi" w:hAnsiTheme="majorHAnsi" w:cstheme="majorHAnsi"/>
          <w:sz w:val="22"/>
          <w:szCs w:val="22"/>
          <w:lang w:val="en-US"/>
        </w:rPr>
        <w:t>Pte</w:t>
      </w:r>
      <w:proofErr w:type="spellEnd"/>
      <w:r w:rsidRPr="00F961F9">
        <w:rPr>
          <w:rFonts w:asciiTheme="majorHAnsi" w:hAnsiTheme="majorHAnsi" w:cstheme="majorHAnsi"/>
          <w:sz w:val="22"/>
          <w:szCs w:val="22"/>
          <w:lang w:val="en-US"/>
        </w:rPr>
        <w:t xml:space="preserve"> Ltd (CLTX) which now operates under the trading name EEX Asia. Both exchanges, EEX and EEX Asia, offer a trade registration service for cash settled futures in Dry Bulk Freight for the purpose of clearing these transactions with ECC. </w:t>
      </w:r>
    </w:p>
    <w:p w14:paraId="729608AC" w14:textId="5987E879"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EEX lists futures and options contracts on dry bulk freight time charter (</w:t>
      </w:r>
      <w:proofErr w:type="spellStart"/>
      <w:r w:rsidRPr="00F961F9">
        <w:rPr>
          <w:rFonts w:asciiTheme="majorHAnsi" w:hAnsiTheme="majorHAnsi" w:cstheme="majorHAnsi"/>
          <w:sz w:val="22"/>
          <w:szCs w:val="22"/>
          <w:lang w:val="en-US"/>
        </w:rPr>
        <w:t>Capesize</w:t>
      </w:r>
      <w:proofErr w:type="spellEnd"/>
      <w:r w:rsidRPr="00F961F9">
        <w:rPr>
          <w:rFonts w:asciiTheme="majorHAnsi" w:hAnsiTheme="majorHAnsi" w:cstheme="majorHAnsi"/>
          <w:sz w:val="22"/>
          <w:szCs w:val="22"/>
          <w:lang w:val="en-US"/>
        </w:rPr>
        <w:t xml:space="preserve">, </w:t>
      </w:r>
      <w:proofErr w:type="spellStart"/>
      <w:r w:rsidRPr="00F961F9">
        <w:rPr>
          <w:rFonts w:asciiTheme="majorHAnsi" w:hAnsiTheme="majorHAnsi" w:cstheme="majorHAnsi"/>
          <w:sz w:val="22"/>
          <w:szCs w:val="22"/>
          <w:lang w:val="en-US"/>
        </w:rPr>
        <w:t>Panamax</w:t>
      </w:r>
      <w:proofErr w:type="spellEnd"/>
      <w:r w:rsidRPr="00F961F9">
        <w:rPr>
          <w:rFonts w:asciiTheme="majorHAnsi" w:hAnsiTheme="majorHAnsi" w:cstheme="majorHAnsi"/>
          <w:sz w:val="22"/>
          <w:szCs w:val="22"/>
          <w:lang w:val="en-US"/>
        </w:rPr>
        <w:t xml:space="preserve">, </w:t>
      </w:r>
      <w:proofErr w:type="spellStart"/>
      <w:r w:rsidRPr="00F961F9">
        <w:rPr>
          <w:rFonts w:asciiTheme="majorHAnsi" w:hAnsiTheme="majorHAnsi" w:cstheme="majorHAnsi"/>
          <w:sz w:val="22"/>
          <w:szCs w:val="22"/>
          <w:lang w:val="en-US"/>
        </w:rPr>
        <w:t>Supramax</w:t>
      </w:r>
      <w:proofErr w:type="spellEnd"/>
      <w:r w:rsidRPr="00F961F9">
        <w:rPr>
          <w:rFonts w:asciiTheme="majorHAnsi" w:hAnsiTheme="majorHAnsi" w:cstheme="majorHAnsi"/>
          <w:sz w:val="22"/>
          <w:szCs w:val="22"/>
          <w:lang w:val="en-US"/>
        </w:rPr>
        <w:t xml:space="preserve"> and </w:t>
      </w:r>
      <w:proofErr w:type="spellStart"/>
      <w:r w:rsidRPr="00F961F9">
        <w:rPr>
          <w:rFonts w:asciiTheme="majorHAnsi" w:hAnsiTheme="majorHAnsi" w:cstheme="majorHAnsi"/>
          <w:sz w:val="22"/>
          <w:szCs w:val="22"/>
          <w:lang w:val="en-US"/>
        </w:rPr>
        <w:t>Handysize</w:t>
      </w:r>
      <w:proofErr w:type="spellEnd"/>
      <w:r w:rsidRPr="00F961F9">
        <w:rPr>
          <w:rFonts w:asciiTheme="majorHAnsi" w:hAnsiTheme="majorHAnsi" w:cstheme="majorHAnsi"/>
          <w:sz w:val="22"/>
          <w:szCs w:val="22"/>
          <w:lang w:val="en-US"/>
        </w:rPr>
        <w:t>) and futures contracts of dry bulk freight voyages and trips (</w:t>
      </w:r>
      <w:proofErr w:type="spellStart"/>
      <w:r w:rsidRPr="00F961F9">
        <w:rPr>
          <w:rFonts w:asciiTheme="majorHAnsi" w:hAnsiTheme="majorHAnsi" w:cstheme="majorHAnsi"/>
          <w:sz w:val="22"/>
          <w:szCs w:val="22"/>
          <w:lang w:val="en-US"/>
        </w:rPr>
        <w:t>Capesize</w:t>
      </w:r>
      <w:proofErr w:type="spellEnd"/>
      <w:r w:rsidRPr="00F961F9">
        <w:rPr>
          <w:rFonts w:asciiTheme="majorHAnsi" w:hAnsiTheme="majorHAnsi" w:cstheme="majorHAnsi"/>
          <w:sz w:val="22"/>
          <w:szCs w:val="22"/>
          <w:lang w:val="en-US"/>
        </w:rPr>
        <w:t xml:space="preserve"> and </w:t>
      </w:r>
      <w:proofErr w:type="spellStart"/>
      <w:r w:rsidRPr="00F961F9">
        <w:rPr>
          <w:rFonts w:asciiTheme="majorHAnsi" w:hAnsiTheme="majorHAnsi" w:cstheme="majorHAnsi"/>
          <w:sz w:val="22"/>
          <w:szCs w:val="22"/>
          <w:lang w:val="en-US"/>
        </w:rPr>
        <w:t>Panamax</w:t>
      </w:r>
      <w:proofErr w:type="spellEnd"/>
      <w:r w:rsidRPr="00F961F9">
        <w:rPr>
          <w:rFonts w:asciiTheme="majorHAnsi" w:hAnsiTheme="majorHAnsi" w:cstheme="majorHAnsi"/>
          <w:sz w:val="22"/>
          <w:szCs w:val="22"/>
          <w:lang w:val="en-US"/>
        </w:rPr>
        <w:t xml:space="preserve">). In total, the portfolio is comprised of 22 contracts. Under the MiFID II </w:t>
      </w:r>
      <w:r w:rsidR="004A6B47">
        <w:rPr>
          <w:rFonts w:asciiTheme="majorHAnsi" w:hAnsiTheme="majorHAnsi" w:cstheme="majorHAnsi"/>
          <w:sz w:val="22"/>
          <w:szCs w:val="22"/>
          <w:lang w:val="en-US"/>
        </w:rPr>
        <w:t>position limit regime</w:t>
      </w:r>
      <w:r w:rsidRPr="00F961F9">
        <w:rPr>
          <w:rFonts w:asciiTheme="majorHAnsi" w:hAnsiTheme="majorHAnsi" w:cstheme="majorHAnsi"/>
          <w:sz w:val="22"/>
          <w:szCs w:val="22"/>
          <w:lang w:val="en-US"/>
        </w:rPr>
        <w:t xml:space="preserve">, currently only the </w:t>
      </w:r>
      <w:proofErr w:type="spellStart"/>
      <w:r w:rsidRPr="00F961F9">
        <w:rPr>
          <w:rFonts w:asciiTheme="majorHAnsi" w:hAnsiTheme="majorHAnsi" w:cstheme="majorHAnsi"/>
          <w:sz w:val="22"/>
          <w:szCs w:val="22"/>
          <w:lang w:val="en-US"/>
        </w:rPr>
        <w:t>Panamax</w:t>
      </w:r>
      <w:proofErr w:type="spellEnd"/>
      <w:r w:rsidRPr="00F961F9">
        <w:rPr>
          <w:rFonts w:asciiTheme="majorHAnsi" w:hAnsiTheme="majorHAnsi" w:cstheme="majorHAnsi"/>
          <w:sz w:val="22"/>
          <w:szCs w:val="22"/>
          <w:lang w:val="en-US"/>
        </w:rPr>
        <w:t xml:space="preserve"> freight future and option contracts are deemed liquid and have a bespoke limit set by </w:t>
      </w:r>
      <w:proofErr w:type="spellStart"/>
      <w:r w:rsidRPr="00F961F9">
        <w:rPr>
          <w:rFonts w:asciiTheme="majorHAnsi" w:hAnsiTheme="majorHAnsi" w:cstheme="majorHAnsi"/>
          <w:sz w:val="22"/>
          <w:szCs w:val="22"/>
          <w:lang w:val="en-US"/>
        </w:rPr>
        <w:t>BaFin</w:t>
      </w:r>
      <w:proofErr w:type="spellEnd"/>
      <w:r w:rsidRPr="00F961F9">
        <w:rPr>
          <w:rFonts w:asciiTheme="majorHAnsi" w:hAnsiTheme="majorHAnsi" w:cstheme="majorHAnsi"/>
          <w:sz w:val="22"/>
          <w:szCs w:val="22"/>
          <w:lang w:val="en-US"/>
        </w:rPr>
        <w:t xml:space="preserve">, i.e. 4,049 lots for the spot month contract and 4,049 lots for the other month contract. The remaining freight contracts are deemed illiquid and hence are subject to the de </w:t>
      </w:r>
      <w:proofErr w:type="spellStart"/>
      <w:r w:rsidRPr="00F961F9">
        <w:rPr>
          <w:rFonts w:asciiTheme="majorHAnsi" w:hAnsiTheme="majorHAnsi" w:cstheme="majorHAnsi"/>
          <w:sz w:val="22"/>
          <w:szCs w:val="22"/>
          <w:lang w:val="en-US"/>
        </w:rPr>
        <w:t>minimis</w:t>
      </w:r>
      <w:proofErr w:type="spellEnd"/>
      <w:r w:rsidRPr="00F961F9">
        <w:rPr>
          <w:rFonts w:asciiTheme="majorHAnsi" w:hAnsiTheme="majorHAnsi" w:cstheme="majorHAnsi"/>
          <w:sz w:val="22"/>
          <w:szCs w:val="22"/>
          <w:lang w:val="en-US"/>
        </w:rPr>
        <w:t xml:space="preserve"> rule and have a position limit of 2,500 lots for both the spot month and other month contract.</w:t>
      </w:r>
    </w:p>
    <w:p w14:paraId="00D7B090" w14:textId="4B2A109F"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The contracts listed at EEX are currently the only dry bulk freight contracts listed in the EU and hence the only dry bulk freight contracts subject to the MiFID II </w:t>
      </w:r>
      <w:r w:rsidR="004A6B47">
        <w:rPr>
          <w:rFonts w:asciiTheme="majorHAnsi" w:hAnsiTheme="majorHAnsi" w:cstheme="majorHAnsi"/>
          <w:sz w:val="22"/>
          <w:szCs w:val="22"/>
          <w:lang w:val="en-US"/>
        </w:rPr>
        <w:t>position limit regime</w:t>
      </w:r>
      <w:r w:rsidRPr="00F961F9">
        <w:rPr>
          <w:rFonts w:asciiTheme="majorHAnsi" w:hAnsiTheme="majorHAnsi" w:cstheme="majorHAnsi"/>
          <w:sz w:val="22"/>
          <w:szCs w:val="22"/>
          <w:lang w:val="en-US"/>
        </w:rPr>
        <w:t xml:space="preserve">. As the </w:t>
      </w:r>
      <w:r w:rsidRPr="00F961F9">
        <w:rPr>
          <w:rFonts w:asciiTheme="majorHAnsi" w:hAnsiTheme="majorHAnsi" w:cstheme="majorHAnsi"/>
          <w:sz w:val="22"/>
          <w:szCs w:val="22"/>
          <w:lang w:val="en-US"/>
        </w:rPr>
        <w:lastRenderedPageBreak/>
        <w:t>dry bulk freight market is a global market, EEX competes directly with the Singapore Exchange (SGX) in Singapore and Nasdaq Futures Exchange (NFX) in the US.</w:t>
      </w:r>
    </w:p>
    <w:p w14:paraId="6D9D4460" w14:textId="6946D3DF"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As a result, for some clients the driver to prefer trading outside of Europe has been </w:t>
      </w:r>
      <w:r w:rsidRPr="00F961F9">
        <w:rPr>
          <w:rFonts w:asciiTheme="majorHAnsi" w:hAnsiTheme="majorHAnsi" w:cstheme="majorHAnsi"/>
          <w:b/>
          <w:sz w:val="22"/>
          <w:szCs w:val="22"/>
          <w:lang w:val="en-US"/>
        </w:rPr>
        <w:t>the mere existence of a limit and position reporting requirement</w:t>
      </w:r>
      <w:r w:rsidRPr="00F961F9">
        <w:rPr>
          <w:rFonts w:asciiTheme="majorHAnsi" w:hAnsiTheme="majorHAnsi" w:cstheme="majorHAnsi"/>
          <w:sz w:val="22"/>
          <w:szCs w:val="22"/>
          <w:lang w:val="en-US"/>
        </w:rPr>
        <w:t xml:space="preserve">, for other clients </w:t>
      </w:r>
      <w:r w:rsidRPr="00F961F9">
        <w:rPr>
          <w:rFonts w:asciiTheme="majorHAnsi" w:hAnsiTheme="majorHAnsi" w:cstheme="majorHAnsi"/>
          <w:b/>
          <w:sz w:val="22"/>
          <w:szCs w:val="22"/>
          <w:lang w:val="en-US"/>
        </w:rPr>
        <w:t>the mere fact they have to go through the hedging exemption application process</w:t>
      </w:r>
      <w:r w:rsidRPr="00F961F9">
        <w:rPr>
          <w:rFonts w:asciiTheme="majorHAnsi" w:hAnsiTheme="majorHAnsi" w:cstheme="majorHAnsi"/>
          <w:sz w:val="22"/>
          <w:szCs w:val="22"/>
          <w:lang w:val="en-US"/>
        </w:rPr>
        <w:t xml:space="preserve">, which for other exchanges outside Europe with economically fungible contracts they do not. </w:t>
      </w:r>
      <w:proofErr w:type="spellStart"/>
      <w:r w:rsidR="00F37499">
        <w:rPr>
          <w:rFonts w:asciiTheme="majorHAnsi" w:hAnsiTheme="majorHAnsi" w:cstheme="majorHAnsi"/>
          <w:sz w:val="22"/>
          <w:szCs w:val="22"/>
          <w:lang w:val="en-US"/>
        </w:rPr>
        <w:t>Additionnally</w:t>
      </w:r>
      <w:proofErr w:type="spellEnd"/>
      <w:r w:rsidR="00F37499">
        <w:rPr>
          <w:rFonts w:asciiTheme="majorHAnsi" w:hAnsiTheme="majorHAnsi" w:cstheme="majorHAnsi"/>
          <w:sz w:val="22"/>
          <w:szCs w:val="22"/>
          <w:lang w:val="en-US"/>
        </w:rPr>
        <w:t>, we received a number of complaints from clients that the hedging exemption application process is too complex. First the client</w:t>
      </w:r>
      <w:r w:rsidRPr="00F961F9">
        <w:rPr>
          <w:rFonts w:asciiTheme="majorHAnsi" w:hAnsiTheme="majorHAnsi" w:cstheme="majorHAnsi"/>
          <w:sz w:val="22"/>
          <w:szCs w:val="22"/>
          <w:lang w:val="en-US"/>
        </w:rPr>
        <w:t xml:space="preserve"> would need to require technical </w:t>
      </w:r>
      <w:r w:rsidR="00F37499">
        <w:rPr>
          <w:rFonts w:asciiTheme="majorHAnsi" w:hAnsiTheme="majorHAnsi" w:cstheme="majorHAnsi"/>
          <w:sz w:val="22"/>
          <w:szCs w:val="22"/>
          <w:lang w:val="en-US"/>
        </w:rPr>
        <w:t xml:space="preserve">access to the </w:t>
      </w:r>
      <w:proofErr w:type="spellStart"/>
      <w:r w:rsidR="00F37499">
        <w:rPr>
          <w:rFonts w:asciiTheme="majorHAnsi" w:hAnsiTheme="majorHAnsi" w:cstheme="majorHAnsi"/>
          <w:sz w:val="22"/>
          <w:szCs w:val="22"/>
          <w:lang w:val="en-US"/>
        </w:rPr>
        <w:t>BaFin</w:t>
      </w:r>
      <w:proofErr w:type="spellEnd"/>
      <w:r w:rsidR="00F37499">
        <w:rPr>
          <w:rFonts w:asciiTheme="majorHAnsi" w:hAnsiTheme="majorHAnsi" w:cstheme="majorHAnsi"/>
          <w:sz w:val="22"/>
          <w:szCs w:val="22"/>
          <w:lang w:val="en-US"/>
        </w:rPr>
        <w:t xml:space="preserve"> MV</w:t>
      </w:r>
      <w:r w:rsidRPr="00F961F9">
        <w:rPr>
          <w:rFonts w:asciiTheme="majorHAnsi" w:hAnsiTheme="majorHAnsi" w:cstheme="majorHAnsi"/>
          <w:sz w:val="22"/>
          <w:szCs w:val="22"/>
          <w:lang w:val="en-US"/>
        </w:rPr>
        <w:t>P system. Second, it would need to hand in an application in German, describing its business model. After that it has to await its approval or rejection. As the market is global and many of our clients are international players, market participants prefer to trade on NFX or SGX rather than to go through the described application process.</w:t>
      </w:r>
    </w:p>
    <w:p w14:paraId="4554FC54"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However, the most important reason for position limits having hampered the development of EEX freight contracts, and particularly the </w:t>
      </w:r>
      <w:proofErr w:type="spellStart"/>
      <w:r w:rsidRPr="00F961F9">
        <w:rPr>
          <w:rFonts w:asciiTheme="majorHAnsi" w:hAnsiTheme="majorHAnsi" w:cstheme="majorHAnsi"/>
          <w:sz w:val="22"/>
          <w:szCs w:val="22"/>
          <w:lang w:val="en-US"/>
        </w:rPr>
        <w:t>Capesize</w:t>
      </w:r>
      <w:proofErr w:type="spellEnd"/>
      <w:r w:rsidRPr="00F961F9">
        <w:rPr>
          <w:rFonts w:asciiTheme="majorHAnsi" w:hAnsiTheme="majorHAnsi" w:cstheme="majorHAnsi"/>
          <w:sz w:val="22"/>
          <w:szCs w:val="22"/>
          <w:lang w:val="en-US"/>
        </w:rPr>
        <w:t xml:space="preserve"> contract, is the fact that </w:t>
      </w:r>
      <w:r w:rsidRPr="00F961F9">
        <w:rPr>
          <w:rFonts w:asciiTheme="majorHAnsi" w:hAnsiTheme="majorHAnsi" w:cstheme="majorHAnsi"/>
          <w:b/>
          <w:sz w:val="22"/>
          <w:szCs w:val="22"/>
          <w:lang w:val="en-US"/>
        </w:rPr>
        <w:t>for more critical clients, on which the take-off of the contract is fundamentally dependent, the 2,500 lots limit is too restrictive</w:t>
      </w:r>
      <w:r w:rsidRPr="00F961F9">
        <w:rPr>
          <w:rFonts w:asciiTheme="majorHAnsi" w:hAnsiTheme="majorHAnsi" w:cstheme="majorHAnsi"/>
          <w:sz w:val="22"/>
          <w:szCs w:val="22"/>
          <w:lang w:val="en-US"/>
        </w:rPr>
        <w:t>, particularly when the contract comes close to 10,000 lots open interest.</w:t>
      </w:r>
    </w:p>
    <w:p w14:paraId="5D4A29C4"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noProof/>
          <w:sz w:val="22"/>
          <w:szCs w:val="22"/>
          <w:lang w:val="en-US" w:eastAsia="en-US"/>
        </w:rPr>
        <w:drawing>
          <wp:inline distT="0" distB="0" distL="0" distR="0" wp14:anchorId="5D9737A3" wp14:editId="3C99E9A4">
            <wp:extent cx="5804453" cy="3117740"/>
            <wp:effectExtent l="0" t="0" r="635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311A99" w14:textId="77777777" w:rsidR="00737BC6" w:rsidRPr="00550A06" w:rsidRDefault="00737BC6" w:rsidP="00E67925">
      <w:pPr>
        <w:spacing w:after="240" w:line="276" w:lineRule="auto"/>
        <w:jc w:val="both"/>
        <w:rPr>
          <w:rFonts w:asciiTheme="majorHAnsi" w:hAnsiTheme="majorHAnsi" w:cstheme="majorHAnsi"/>
          <w:sz w:val="16"/>
          <w:szCs w:val="16"/>
          <w:lang w:val="en-US"/>
        </w:rPr>
      </w:pPr>
      <w:r w:rsidRPr="00550A06">
        <w:rPr>
          <w:rFonts w:asciiTheme="majorHAnsi" w:hAnsiTheme="majorHAnsi" w:cstheme="majorHAnsi"/>
          <w:sz w:val="16"/>
          <w:szCs w:val="16"/>
          <w:lang w:val="en-US"/>
        </w:rPr>
        <w:t xml:space="preserve">Figure 1: Impact of the 2,500 lots limit being too restrictive for EEX </w:t>
      </w:r>
      <w:proofErr w:type="spellStart"/>
      <w:r w:rsidRPr="00550A06">
        <w:rPr>
          <w:rFonts w:asciiTheme="majorHAnsi" w:hAnsiTheme="majorHAnsi" w:cstheme="majorHAnsi"/>
          <w:sz w:val="16"/>
          <w:szCs w:val="16"/>
          <w:lang w:val="en-US"/>
        </w:rPr>
        <w:t>Capesize</w:t>
      </w:r>
      <w:proofErr w:type="spellEnd"/>
      <w:r w:rsidRPr="00550A06">
        <w:rPr>
          <w:rFonts w:asciiTheme="majorHAnsi" w:hAnsiTheme="majorHAnsi" w:cstheme="majorHAnsi"/>
          <w:sz w:val="16"/>
          <w:szCs w:val="16"/>
          <w:lang w:val="en-US"/>
        </w:rPr>
        <w:t xml:space="preserve"> 5TC contract </w:t>
      </w:r>
    </w:p>
    <w:p w14:paraId="151E48B9" w14:textId="77777777" w:rsidR="0070115C"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Another reason for the position limits having hampered the development of EEX freight contracts is </w:t>
      </w:r>
      <w:r w:rsidRPr="00F961F9">
        <w:rPr>
          <w:rFonts w:asciiTheme="majorHAnsi" w:hAnsiTheme="majorHAnsi" w:cstheme="majorHAnsi"/>
          <w:b/>
          <w:sz w:val="22"/>
          <w:szCs w:val="22"/>
          <w:lang w:val="en-US"/>
        </w:rPr>
        <w:t>the slow pace with which a contract is classified from illiquid to liquid</w:t>
      </w:r>
      <w:r w:rsidRPr="00F961F9">
        <w:rPr>
          <w:rFonts w:asciiTheme="majorHAnsi" w:hAnsiTheme="majorHAnsi" w:cstheme="majorHAnsi"/>
          <w:sz w:val="22"/>
          <w:szCs w:val="22"/>
          <w:lang w:val="en-US"/>
        </w:rPr>
        <w:t xml:space="preserve"> and hence, receives a bespoke position limit. </w:t>
      </w:r>
      <w:r w:rsidR="0070115C">
        <w:rPr>
          <w:rFonts w:asciiTheme="majorHAnsi" w:hAnsiTheme="majorHAnsi" w:cstheme="majorHAnsi"/>
          <w:sz w:val="22"/>
          <w:szCs w:val="22"/>
          <w:lang w:val="en-US"/>
        </w:rPr>
        <w:t>See figure 2.</w:t>
      </w:r>
    </w:p>
    <w:p w14:paraId="59213B8A" w14:textId="1F685F49"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The development of the </w:t>
      </w:r>
      <w:proofErr w:type="spellStart"/>
      <w:r w:rsidRPr="00F961F9">
        <w:rPr>
          <w:rFonts w:asciiTheme="majorHAnsi" w:hAnsiTheme="majorHAnsi" w:cstheme="majorHAnsi"/>
          <w:sz w:val="22"/>
          <w:szCs w:val="22"/>
          <w:lang w:val="en-US"/>
        </w:rPr>
        <w:t>Panamax</w:t>
      </w:r>
      <w:proofErr w:type="spellEnd"/>
      <w:r w:rsidRPr="00F961F9">
        <w:rPr>
          <w:rFonts w:asciiTheme="majorHAnsi" w:hAnsiTheme="majorHAnsi" w:cstheme="majorHAnsi"/>
          <w:sz w:val="22"/>
          <w:szCs w:val="22"/>
          <w:lang w:val="en-US"/>
        </w:rPr>
        <w:t xml:space="preserve"> contract was hampered as the contract moved from the de </w:t>
      </w:r>
      <w:proofErr w:type="spellStart"/>
      <w:r w:rsidRPr="00F961F9">
        <w:rPr>
          <w:rFonts w:asciiTheme="majorHAnsi" w:hAnsiTheme="majorHAnsi" w:cstheme="majorHAnsi"/>
          <w:sz w:val="22"/>
          <w:szCs w:val="22"/>
          <w:lang w:val="en-US"/>
        </w:rPr>
        <w:t>minimis</w:t>
      </w:r>
      <w:proofErr w:type="spellEnd"/>
      <w:r w:rsidRPr="00F961F9">
        <w:rPr>
          <w:rFonts w:asciiTheme="majorHAnsi" w:hAnsiTheme="majorHAnsi" w:cstheme="majorHAnsi"/>
          <w:sz w:val="22"/>
          <w:szCs w:val="22"/>
          <w:lang w:val="en-US"/>
        </w:rPr>
        <w:t xml:space="preserve"> limit of 2,500 lots to a bespoke limit of 4,049 lots only four months (from mid April 2018 until end of July 2018) after the contract had exceeded the 10,000 lots liquidity threshold for more than three consecutive months.</w:t>
      </w:r>
    </w:p>
    <w:p w14:paraId="6AF60BF3"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noProof/>
          <w:sz w:val="22"/>
          <w:szCs w:val="22"/>
          <w:lang w:val="en-US" w:eastAsia="en-US"/>
        </w:rPr>
        <w:lastRenderedPageBreak/>
        <w:drawing>
          <wp:inline distT="0" distB="0" distL="0" distR="0" wp14:anchorId="28D4E09F" wp14:editId="6CC5A237">
            <wp:extent cx="5740842" cy="3103494"/>
            <wp:effectExtent l="0" t="0" r="1270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355BEA" w14:textId="77777777" w:rsidR="00737BC6" w:rsidRPr="00550A06" w:rsidRDefault="00737BC6" w:rsidP="00E67925">
      <w:pPr>
        <w:spacing w:after="240" w:line="276" w:lineRule="auto"/>
        <w:jc w:val="both"/>
        <w:rPr>
          <w:rFonts w:asciiTheme="majorHAnsi" w:hAnsiTheme="majorHAnsi" w:cstheme="majorHAnsi"/>
          <w:sz w:val="16"/>
          <w:szCs w:val="16"/>
          <w:lang w:val="en-US"/>
        </w:rPr>
      </w:pPr>
      <w:r w:rsidRPr="00550A06">
        <w:rPr>
          <w:rFonts w:asciiTheme="majorHAnsi" w:hAnsiTheme="majorHAnsi" w:cstheme="majorHAnsi"/>
          <w:sz w:val="16"/>
          <w:szCs w:val="16"/>
          <w:lang w:val="en-US"/>
        </w:rPr>
        <w:t xml:space="preserve">Figure 2: Impact of slow pace with which the EEX </w:t>
      </w:r>
      <w:proofErr w:type="spellStart"/>
      <w:r w:rsidRPr="00550A06">
        <w:rPr>
          <w:rFonts w:asciiTheme="majorHAnsi" w:hAnsiTheme="majorHAnsi" w:cstheme="majorHAnsi"/>
          <w:sz w:val="16"/>
          <w:szCs w:val="16"/>
          <w:lang w:val="en-US"/>
        </w:rPr>
        <w:t>Panamax</w:t>
      </w:r>
      <w:proofErr w:type="spellEnd"/>
      <w:r w:rsidRPr="00550A06">
        <w:rPr>
          <w:rFonts w:asciiTheme="majorHAnsi" w:hAnsiTheme="majorHAnsi" w:cstheme="majorHAnsi"/>
          <w:sz w:val="16"/>
          <w:szCs w:val="16"/>
          <w:lang w:val="en-US"/>
        </w:rPr>
        <w:t xml:space="preserve"> 4TC contract is classified from illiquid to liquid </w:t>
      </w:r>
    </w:p>
    <w:p w14:paraId="13AA6035" w14:textId="77777777" w:rsidR="0070115C"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Finally, the development of EEX freight contracts is being hampered by </w:t>
      </w:r>
      <w:r w:rsidRPr="00F961F9">
        <w:rPr>
          <w:rFonts w:asciiTheme="majorHAnsi" w:hAnsiTheme="majorHAnsi" w:cstheme="majorHAnsi"/>
          <w:b/>
          <w:sz w:val="22"/>
          <w:szCs w:val="22"/>
          <w:lang w:val="en-US"/>
        </w:rPr>
        <w:t xml:space="preserve">the lack of flexibility </w:t>
      </w:r>
      <w:r w:rsidR="00F37499">
        <w:rPr>
          <w:rFonts w:asciiTheme="majorHAnsi" w:hAnsiTheme="majorHAnsi" w:cstheme="majorHAnsi"/>
          <w:b/>
          <w:sz w:val="22"/>
          <w:szCs w:val="22"/>
          <w:lang w:val="en-US"/>
        </w:rPr>
        <w:t xml:space="preserve">in the rules </w:t>
      </w:r>
      <w:r w:rsidRPr="00F961F9">
        <w:rPr>
          <w:rFonts w:asciiTheme="majorHAnsi" w:hAnsiTheme="majorHAnsi" w:cstheme="majorHAnsi"/>
          <w:b/>
          <w:sz w:val="22"/>
          <w:szCs w:val="22"/>
          <w:lang w:val="en-US"/>
        </w:rPr>
        <w:t>for NCAs to deal with special circumstances</w:t>
      </w:r>
      <w:r w:rsidRPr="00F961F9">
        <w:rPr>
          <w:rFonts w:asciiTheme="majorHAnsi" w:hAnsiTheme="majorHAnsi" w:cstheme="majorHAnsi"/>
          <w:sz w:val="22"/>
          <w:szCs w:val="22"/>
          <w:lang w:val="en-US"/>
        </w:rPr>
        <w:t xml:space="preserve">. </w:t>
      </w:r>
    </w:p>
    <w:p w14:paraId="6CA60F0D" w14:textId="145985EB"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To give an examp</w:t>
      </w:r>
      <w:r w:rsidR="0070115C">
        <w:rPr>
          <w:rFonts w:asciiTheme="majorHAnsi" w:hAnsiTheme="majorHAnsi" w:cstheme="majorHAnsi"/>
          <w:sz w:val="22"/>
          <w:szCs w:val="22"/>
          <w:lang w:val="en-US"/>
        </w:rPr>
        <w:t xml:space="preserve">le for our freight contracts:  </w:t>
      </w:r>
      <w:r w:rsidRPr="00F961F9">
        <w:rPr>
          <w:rFonts w:asciiTheme="majorHAnsi" w:hAnsiTheme="majorHAnsi" w:cstheme="majorHAnsi"/>
          <w:sz w:val="22"/>
          <w:szCs w:val="22"/>
          <w:lang w:val="en-US"/>
        </w:rPr>
        <w:t>EEX freight contracts are – as all other dry bulk freight contracts that use the Baltic exchange indices – going through the process of transferring to a new index that is more representative of the underlying markets. This means that the market will switch trading over time from one product to the other and that until the market has switched to the next product, the old index contract and the new index contract run in parallel to each other. Technically, the contracts are different contracts, but in effect they are simply a different measurements of the same underlying market.</w:t>
      </w:r>
    </w:p>
    <w:p w14:paraId="399C61F4"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To illustrate: The differences between the </w:t>
      </w:r>
      <w:proofErr w:type="spellStart"/>
      <w:r w:rsidRPr="00F961F9">
        <w:rPr>
          <w:rFonts w:asciiTheme="majorHAnsi" w:hAnsiTheme="majorHAnsi" w:cstheme="majorHAnsi"/>
          <w:sz w:val="22"/>
          <w:szCs w:val="22"/>
          <w:lang w:val="en-US"/>
        </w:rPr>
        <w:t>Capesize</w:t>
      </w:r>
      <w:proofErr w:type="spellEnd"/>
      <w:r w:rsidRPr="00F961F9">
        <w:rPr>
          <w:rFonts w:asciiTheme="majorHAnsi" w:hAnsiTheme="majorHAnsi" w:cstheme="majorHAnsi"/>
          <w:sz w:val="22"/>
          <w:szCs w:val="22"/>
          <w:lang w:val="en-US"/>
        </w:rPr>
        <w:t xml:space="preserve"> 4TC and </w:t>
      </w:r>
      <w:proofErr w:type="spellStart"/>
      <w:r w:rsidRPr="00F961F9">
        <w:rPr>
          <w:rFonts w:asciiTheme="majorHAnsi" w:hAnsiTheme="majorHAnsi" w:cstheme="majorHAnsi"/>
          <w:sz w:val="22"/>
          <w:szCs w:val="22"/>
          <w:lang w:val="en-US"/>
        </w:rPr>
        <w:t>Capesize</w:t>
      </w:r>
      <w:proofErr w:type="spellEnd"/>
      <w:r w:rsidRPr="00F961F9">
        <w:rPr>
          <w:rFonts w:asciiTheme="majorHAnsi" w:hAnsiTheme="majorHAnsi" w:cstheme="majorHAnsi"/>
          <w:sz w:val="22"/>
          <w:szCs w:val="22"/>
          <w:lang w:val="en-US"/>
        </w:rPr>
        <w:t xml:space="preserve"> 5TC are mainly down to two changes:</w:t>
      </w:r>
    </w:p>
    <w:p w14:paraId="3F66ADC6" w14:textId="77777777" w:rsidR="00737BC6" w:rsidRPr="00F961F9" w:rsidRDefault="00737BC6" w:rsidP="0070115C">
      <w:pPr>
        <w:numPr>
          <w:ilvl w:val="0"/>
          <w:numId w:val="18"/>
        </w:numPr>
        <w:spacing w:line="276" w:lineRule="auto"/>
        <w:jc w:val="both"/>
        <w:rPr>
          <w:rFonts w:asciiTheme="majorHAnsi" w:hAnsiTheme="majorHAnsi" w:cstheme="majorHAnsi"/>
          <w:sz w:val="22"/>
          <w:szCs w:val="22"/>
          <w:lang w:val="en-US"/>
        </w:rPr>
      </w:pPr>
      <w:proofErr w:type="spellStart"/>
      <w:r w:rsidRPr="00F961F9">
        <w:rPr>
          <w:rFonts w:asciiTheme="majorHAnsi" w:hAnsiTheme="majorHAnsi" w:cstheme="majorHAnsi"/>
          <w:sz w:val="22"/>
          <w:szCs w:val="22"/>
          <w:lang w:val="en-US"/>
        </w:rPr>
        <w:t>Capesize</w:t>
      </w:r>
      <w:proofErr w:type="spellEnd"/>
      <w:r w:rsidRPr="00F961F9">
        <w:rPr>
          <w:rFonts w:asciiTheme="majorHAnsi" w:hAnsiTheme="majorHAnsi" w:cstheme="majorHAnsi"/>
          <w:sz w:val="22"/>
          <w:szCs w:val="22"/>
          <w:lang w:val="en-US"/>
        </w:rPr>
        <w:t xml:space="preserve"> 4TC is the average of a basket of four individual routes whereas the 5TC is the average of basket of five individual routes.</w:t>
      </w:r>
    </w:p>
    <w:p w14:paraId="6125607E" w14:textId="77777777" w:rsidR="00737BC6" w:rsidRPr="00F961F9" w:rsidRDefault="00737BC6" w:rsidP="00E67925">
      <w:pPr>
        <w:numPr>
          <w:ilvl w:val="0"/>
          <w:numId w:val="18"/>
        </w:num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The 5TC vessel description is slightly different from the 4TC vessel description, i.e. it is a slightly larger vessel.</w:t>
      </w:r>
    </w:p>
    <w:p w14:paraId="71F39A43"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The changes were made to the index (from 4TC to 5TC) to reflect changes in the physical market with larger vessels becoming more common and trade patterns changing slightly. Therefore the 5TC is an updated version of the 4TC rather than exactly the same contract, as defined by Art. 5 of Delegated Regulation (EU) 2017/591. Open interest still exists against the 4TC index but the Baltic Exchange does not actually produce the index anymore or a forward curve for the index.</w:t>
      </w:r>
    </w:p>
    <w:p w14:paraId="2971EA09"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Instead the value of the 4TC index is a fixed differential from the 5TC index, i.e. the 5TC index minus $1,064. Moreover, as the market no longer trades 4TC it is not possible to actually close </w:t>
      </w:r>
      <w:r w:rsidRPr="00F961F9">
        <w:rPr>
          <w:rFonts w:asciiTheme="majorHAnsi" w:hAnsiTheme="majorHAnsi" w:cstheme="majorHAnsi"/>
          <w:sz w:val="22"/>
          <w:szCs w:val="22"/>
          <w:lang w:val="en-US"/>
        </w:rPr>
        <w:lastRenderedPageBreak/>
        <w:t xml:space="preserve">open 4TC positions. Instead traders simply ‘close’ positions in the 4TC contract by trading 5TC. (The price correlation is now always </w:t>
      </w:r>
      <w:proofErr w:type="gramStart"/>
      <w:r w:rsidRPr="00F961F9">
        <w:rPr>
          <w:rFonts w:asciiTheme="majorHAnsi" w:hAnsiTheme="majorHAnsi" w:cstheme="majorHAnsi"/>
          <w:sz w:val="22"/>
          <w:szCs w:val="22"/>
          <w:lang w:val="en-US"/>
        </w:rPr>
        <w:t>100%</w:t>
      </w:r>
      <w:proofErr w:type="gramEnd"/>
      <w:r w:rsidRPr="00F961F9">
        <w:rPr>
          <w:rFonts w:asciiTheme="majorHAnsi" w:hAnsiTheme="majorHAnsi" w:cstheme="majorHAnsi"/>
          <w:sz w:val="22"/>
          <w:szCs w:val="22"/>
          <w:lang w:val="en-US"/>
        </w:rPr>
        <w:t>.) So liquidity is effectively spread over two contracts, despite the 4TC contract not being traded anymore.</w:t>
      </w:r>
    </w:p>
    <w:p w14:paraId="122C321D"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The inability of NCAs to for example consider the 4TC and 5TC as same contracts, has resulted in our largest client in this segment breaching the position limit, our second largest client having temporarily suspended all trading on EEX freight contracts and the remaining clients having stopped trading, as liquidity is unsatisfactory.  It is noteworthy that – as for any illiquid contract – the open interest is shared among only a couple of market participants (e.g. 80% of </w:t>
      </w:r>
      <w:proofErr w:type="spellStart"/>
      <w:r w:rsidRPr="00F961F9">
        <w:rPr>
          <w:rFonts w:asciiTheme="majorHAnsi" w:hAnsiTheme="majorHAnsi" w:cstheme="majorHAnsi"/>
          <w:sz w:val="22"/>
          <w:szCs w:val="22"/>
          <w:lang w:val="en-US"/>
        </w:rPr>
        <w:t>Capesize</w:t>
      </w:r>
      <w:proofErr w:type="spellEnd"/>
      <w:r w:rsidRPr="00F961F9">
        <w:rPr>
          <w:rFonts w:asciiTheme="majorHAnsi" w:hAnsiTheme="majorHAnsi" w:cstheme="majorHAnsi"/>
          <w:sz w:val="22"/>
          <w:szCs w:val="22"/>
          <w:lang w:val="en-US"/>
        </w:rPr>
        <w:t xml:space="preserve"> volume comes from only 6 clients, with two of them having been responsible for more than 50% of all positions). Establishing liquidity in a new product/market always relies on a small number of (large) clients doing the first trades together (if two, ending up with 100% of the net open interest) and by that accumulating certain positions in their portfolio. In order to attract new clients trading in new products/markets - so that the distribution of our volumes is more even across them - we first of all need to show them that the market is growing and attracting liquidity. However, all attempts to establish liquidity in a new and regulated market fail if customers are not able to open an adequate portfolio.</w:t>
      </w:r>
    </w:p>
    <w:p w14:paraId="448B4A04" w14:textId="6B10DDAF"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Another hypothetical example where the same flexibility would have been needed to deal with special circumstances can be found with EEX power contracts. The German bidding zone split triggered EEX to split the German/Austrian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benchmark power contract into a German power contract and Austrian power contract. If the EU </w:t>
      </w:r>
      <w:r w:rsidR="004A6B47">
        <w:rPr>
          <w:rFonts w:asciiTheme="majorHAnsi" w:hAnsiTheme="majorHAnsi" w:cstheme="majorHAnsi"/>
          <w:sz w:val="22"/>
          <w:szCs w:val="22"/>
          <w:lang w:val="en-US"/>
        </w:rPr>
        <w:t>position limit regime</w:t>
      </w:r>
      <w:r w:rsidRPr="00F961F9">
        <w:rPr>
          <w:rFonts w:asciiTheme="majorHAnsi" w:hAnsiTheme="majorHAnsi" w:cstheme="majorHAnsi"/>
          <w:sz w:val="22"/>
          <w:szCs w:val="22"/>
          <w:lang w:val="en-US"/>
        </w:rPr>
        <w:t xml:space="preserve"> would have already been in place when the situation occurred, then the transition would have been impossible due to the inability of </w:t>
      </w:r>
      <w:proofErr w:type="spellStart"/>
      <w:r w:rsidRPr="00F961F9">
        <w:rPr>
          <w:rFonts w:asciiTheme="majorHAnsi" w:hAnsiTheme="majorHAnsi" w:cstheme="majorHAnsi"/>
          <w:sz w:val="22"/>
          <w:szCs w:val="22"/>
          <w:lang w:val="en-US"/>
        </w:rPr>
        <w:t>BaFin</w:t>
      </w:r>
      <w:proofErr w:type="spellEnd"/>
      <w:r w:rsidRPr="00F961F9">
        <w:rPr>
          <w:rFonts w:asciiTheme="majorHAnsi" w:hAnsiTheme="majorHAnsi" w:cstheme="majorHAnsi"/>
          <w:sz w:val="22"/>
          <w:szCs w:val="22"/>
          <w:lang w:val="en-US"/>
        </w:rPr>
        <w:t xml:space="preserve"> to consider the contract as the same or set the new limits based on anticipated growth.</w:t>
      </w:r>
    </w:p>
    <w:p w14:paraId="2EA3603C"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i/>
          <w:sz w:val="22"/>
          <w:szCs w:val="22"/>
          <w:u w:val="single"/>
          <w:lang w:val="en-US"/>
        </w:rPr>
        <w:t>Gas</w:t>
      </w:r>
      <w:r w:rsidRPr="00F961F9">
        <w:rPr>
          <w:rFonts w:asciiTheme="majorHAnsi" w:hAnsiTheme="majorHAnsi" w:cstheme="majorHAnsi"/>
          <w:sz w:val="22"/>
          <w:szCs w:val="22"/>
          <w:lang w:val="en-US"/>
        </w:rPr>
        <w:t xml:space="preserve">: </w:t>
      </w:r>
    </w:p>
    <w:p w14:paraId="4CAF9D09"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Background: PEGAS is the central gas trading platform of EEX Group operated by Powernext. It lists gas derivative contracts in the Austrian, Belgian, Czech, Danish, Dutch, French, German, Italian, Spanish and UK market areas. The gas hubs PEG Nord, TTF, GPL, NCG and PSV are considered liquid and hence have received a bespoke position limit. For most of these markets, </w:t>
      </w:r>
      <w:proofErr w:type="spellStart"/>
      <w:r w:rsidRPr="00F961F9">
        <w:rPr>
          <w:rFonts w:asciiTheme="majorHAnsi" w:hAnsiTheme="majorHAnsi" w:cstheme="majorHAnsi"/>
          <w:sz w:val="22"/>
          <w:szCs w:val="22"/>
          <w:lang w:val="en-US"/>
        </w:rPr>
        <w:t>Powernext’s</w:t>
      </w:r>
      <w:proofErr w:type="spellEnd"/>
      <w:r w:rsidRPr="00F961F9">
        <w:rPr>
          <w:rFonts w:asciiTheme="majorHAnsi" w:hAnsiTheme="majorHAnsi" w:cstheme="majorHAnsi"/>
          <w:sz w:val="22"/>
          <w:szCs w:val="22"/>
          <w:lang w:val="en-US"/>
        </w:rPr>
        <w:t xml:space="preserve"> main competitor is ICE </w:t>
      </w:r>
      <w:proofErr w:type="spellStart"/>
      <w:r w:rsidRPr="00F961F9">
        <w:rPr>
          <w:rFonts w:asciiTheme="majorHAnsi" w:hAnsiTheme="majorHAnsi" w:cstheme="majorHAnsi"/>
          <w:sz w:val="22"/>
          <w:szCs w:val="22"/>
          <w:lang w:val="en-US"/>
        </w:rPr>
        <w:t>Endex</w:t>
      </w:r>
      <w:proofErr w:type="spellEnd"/>
      <w:r w:rsidRPr="00F961F9">
        <w:rPr>
          <w:rFonts w:asciiTheme="majorHAnsi" w:hAnsiTheme="majorHAnsi" w:cstheme="majorHAnsi"/>
          <w:sz w:val="22"/>
          <w:szCs w:val="22"/>
          <w:lang w:val="en-US"/>
        </w:rPr>
        <w:t xml:space="preserve"> and ICE Futures Europe. </w:t>
      </w:r>
    </w:p>
    <w:p w14:paraId="082847CD"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Also in the gas market the main reason for the position limits having hampered the development of new, illiquid and less liquid contracts is the </w:t>
      </w:r>
      <w:r w:rsidRPr="00F961F9">
        <w:rPr>
          <w:rFonts w:asciiTheme="majorHAnsi" w:hAnsiTheme="majorHAnsi" w:cstheme="majorHAnsi"/>
          <w:b/>
          <w:sz w:val="22"/>
          <w:szCs w:val="22"/>
          <w:lang w:val="en-US"/>
        </w:rPr>
        <w:t xml:space="preserve">de </w:t>
      </w:r>
      <w:proofErr w:type="spellStart"/>
      <w:r w:rsidRPr="00F961F9">
        <w:rPr>
          <w:rFonts w:asciiTheme="majorHAnsi" w:hAnsiTheme="majorHAnsi" w:cstheme="majorHAnsi"/>
          <w:b/>
          <w:sz w:val="22"/>
          <w:szCs w:val="22"/>
          <w:lang w:val="en-US"/>
        </w:rPr>
        <w:t>minimis</w:t>
      </w:r>
      <w:proofErr w:type="spellEnd"/>
      <w:r w:rsidRPr="00F961F9">
        <w:rPr>
          <w:rFonts w:asciiTheme="majorHAnsi" w:hAnsiTheme="majorHAnsi" w:cstheme="majorHAnsi"/>
          <w:b/>
          <w:sz w:val="22"/>
          <w:szCs w:val="22"/>
          <w:lang w:val="en-US"/>
        </w:rPr>
        <w:t xml:space="preserve"> limit of 2,500 lots being too restrictive particularly for contracts close to 10,000 lots open interest</w:t>
      </w:r>
      <w:r w:rsidRPr="00F961F9">
        <w:rPr>
          <w:rFonts w:asciiTheme="majorHAnsi" w:hAnsiTheme="majorHAnsi" w:cstheme="majorHAnsi"/>
          <w:sz w:val="22"/>
          <w:szCs w:val="22"/>
          <w:lang w:val="en-US"/>
        </w:rPr>
        <w:t xml:space="preserve">. </w:t>
      </w:r>
    </w:p>
    <w:p w14:paraId="0C573BAC"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This has particularly been the case where: </w:t>
      </w:r>
    </w:p>
    <w:p w14:paraId="0998F1CE" w14:textId="77777777" w:rsidR="00737BC6" w:rsidRPr="00F961F9" w:rsidRDefault="00737BC6" w:rsidP="00E67925">
      <w:pPr>
        <w:numPr>
          <w:ilvl w:val="0"/>
          <w:numId w:val="19"/>
        </w:num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A market has been volatile with a total open interest oscillating between 5,000 and 20,000 lots, leading to periods where the 2500 lots limit represented only 12.5 percent of the open interest. The reason for this is the combination of </w:t>
      </w:r>
      <w:r w:rsidRPr="00F961F9">
        <w:rPr>
          <w:rFonts w:asciiTheme="majorHAnsi" w:hAnsiTheme="majorHAnsi" w:cstheme="majorHAnsi"/>
          <w:b/>
          <w:sz w:val="22"/>
          <w:szCs w:val="22"/>
          <w:lang w:val="en-US"/>
        </w:rPr>
        <w:t>the strict definition of a liquid contract</w:t>
      </w:r>
      <w:r w:rsidRPr="00F961F9">
        <w:rPr>
          <w:rFonts w:asciiTheme="majorHAnsi" w:hAnsiTheme="majorHAnsi" w:cstheme="majorHAnsi"/>
          <w:sz w:val="22"/>
          <w:szCs w:val="22"/>
          <w:lang w:val="en-US"/>
        </w:rPr>
        <w:t xml:space="preserve"> (exceeding 10,000 lots of open interest during three consecutive months) </w:t>
      </w:r>
      <w:r w:rsidRPr="00F961F9">
        <w:rPr>
          <w:rFonts w:asciiTheme="majorHAnsi" w:hAnsiTheme="majorHAnsi" w:cstheme="majorHAnsi"/>
          <w:b/>
          <w:sz w:val="22"/>
          <w:szCs w:val="22"/>
          <w:lang w:val="en-US"/>
        </w:rPr>
        <w:t>not being appropriate for contracts that are prone to volatility</w:t>
      </w:r>
      <w:r w:rsidRPr="00F961F9">
        <w:rPr>
          <w:rFonts w:asciiTheme="majorHAnsi" w:hAnsiTheme="majorHAnsi" w:cstheme="majorHAnsi"/>
          <w:sz w:val="22"/>
          <w:szCs w:val="22"/>
          <w:lang w:val="en-US"/>
        </w:rPr>
        <w:t xml:space="preserve"> and the </w:t>
      </w:r>
      <w:r w:rsidRPr="00F961F9">
        <w:rPr>
          <w:rFonts w:asciiTheme="majorHAnsi" w:hAnsiTheme="majorHAnsi" w:cstheme="majorHAnsi"/>
          <w:b/>
          <w:sz w:val="22"/>
          <w:szCs w:val="22"/>
          <w:lang w:val="en-US"/>
        </w:rPr>
        <w:t>slow pace with which contracts are classified from illiquid to liquid and hence receive a bespoke position limit</w:t>
      </w:r>
      <w:r w:rsidRPr="00F961F9">
        <w:rPr>
          <w:rFonts w:asciiTheme="majorHAnsi" w:hAnsiTheme="majorHAnsi" w:cstheme="majorHAnsi"/>
          <w:sz w:val="22"/>
          <w:szCs w:val="22"/>
          <w:lang w:val="en-US"/>
        </w:rPr>
        <w:t xml:space="preserve">. </w:t>
      </w:r>
    </w:p>
    <w:p w14:paraId="4B8127C7" w14:textId="77777777" w:rsidR="00737BC6" w:rsidRPr="00F961F9" w:rsidRDefault="00737BC6" w:rsidP="0070115C">
      <w:pPr>
        <w:spacing w:after="240" w:line="276" w:lineRule="auto"/>
        <w:ind w:left="708"/>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lastRenderedPageBreak/>
        <w:t xml:space="preserve">See picture 3. While there had been no impact the first few months, the open interest started decreasing almost at the same time when the bespoke position limit became applicable. </w:t>
      </w:r>
    </w:p>
    <w:p w14:paraId="0C18F056" w14:textId="77777777" w:rsidR="00737BC6" w:rsidRPr="00550A06" w:rsidRDefault="00737BC6" w:rsidP="0070115C">
      <w:pPr>
        <w:spacing w:after="240" w:line="276" w:lineRule="auto"/>
        <w:ind w:left="708"/>
        <w:jc w:val="both"/>
        <w:rPr>
          <w:rFonts w:asciiTheme="majorHAnsi" w:hAnsiTheme="majorHAnsi" w:cstheme="majorHAnsi"/>
          <w:sz w:val="16"/>
          <w:szCs w:val="16"/>
          <w:lang w:val="en-US"/>
        </w:rPr>
      </w:pPr>
      <w:r w:rsidRPr="00F961F9">
        <w:rPr>
          <w:rFonts w:asciiTheme="majorHAnsi" w:hAnsiTheme="majorHAnsi" w:cstheme="majorHAnsi"/>
          <w:noProof/>
          <w:sz w:val="22"/>
          <w:szCs w:val="22"/>
          <w:lang w:val="en-US" w:eastAsia="en-US"/>
        </w:rPr>
        <w:drawing>
          <wp:inline distT="0" distB="0" distL="0" distR="0" wp14:anchorId="3F137C5D" wp14:editId="382F76A3">
            <wp:extent cx="5349527" cy="3097696"/>
            <wp:effectExtent l="0" t="0" r="3810" b="7620"/>
            <wp:docPr id="7" name="Picture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C6314F0-06B0-46F9-AA78-483D8A29A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C6314F0-06B0-46F9-AA78-483D8A29A48C}"/>
                        </a:ext>
                      </a:extLst>
                    </pic:cNvPr>
                    <pic:cNvPicPr>
                      <a:picLocks noChangeAspect="1"/>
                    </pic:cNvPicPr>
                  </pic:nvPicPr>
                  <pic:blipFill>
                    <a:blip r:embed="rId24"/>
                    <a:stretch>
                      <a:fillRect/>
                    </a:stretch>
                  </pic:blipFill>
                  <pic:spPr>
                    <a:xfrm>
                      <a:off x="0" y="0"/>
                      <a:ext cx="5359753" cy="3103617"/>
                    </a:xfrm>
                    <a:prstGeom prst="rect">
                      <a:avLst/>
                    </a:prstGeom>
                  </pic:spPr>
                </pic:pic>
              </a:graphicData>
            </a:graphic>
          </wp:inline>
        </w:drawing>
      </w:r>
      <w:r w:rsidRPr="00550A06">
        <w:rPr>
          <w:rFonts w:asciiTheme="majorHAnsi" w:hAnsiTheme="majorHAnsi" w:cstheme="majorHAnsi"/>
          <w:sz w:val="16"/>
          <w:szCs w:val="16"/>
        </w:rPr>
        <w:t xml:space="preserve">Figure 3. Impact of strict definition of a liquid contract in combination with the slow pace with which the CEGH VTP contract was classified from illiquid to liquid. </w:t>
      </w:r>
    </w:p>
    <w:p w14:paraId="77A507ED" w14:textId="77777777" w:rsidR="0070115C" w:rsidRDefault="00737BC6" w:rsidP="00E67925">
      <w:pPr>
        <w:numPr>
          <w:ilvl w:val="0"/>
          <w:numId w:val="19"/>
        </w:num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b/>
          <w:sz w:val="22"/>
          <w:szCs w:val="22"/>
          <w:lang w:val="en-US"/>
        </w:rPr>
        <w:t>Financial entities, though mainly engaging in hedging activities, are unable to benefit from the hedging exemption</w:t>
      </w:r>
      <w:r w:rsidRPr="00F961F9">
        <w:rPr>
          <w:rFonts w:asciiTheme="majorHAnsi" w:hAnsiTheme="majorHAnsi" w:cstheme="majorHAnsi"/>
          <w:sz w:val="22"/>
          <w:szCs w:val="22"/>
          <w:lang w:val="en-US"/>
        </w:rPr>
        <w:t xml:space="preserve">. In these cases, the 2,500 lots limit hampered the development of the contract. </w:t>
      </w:r>
    </w:p>
    <w:p w14:paraId="37571FB5" w14:textId="112DF6A7" w:rsidR="00737BC6" w:rsidRPr="00F961F9" w:rsidRDefault="00737BC6" w:rsidP="0070115C">
      <w:pPr>
        <w:spacing w:after="240" w:line="276" w:lineRule="auto"/>
        <w:ind w:left="720"/>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Figure 4 and 5 illustrate this negative impact of the 2,500 lots limit on PEGAS’ Czech Virtual Trading Point, CZ VTP, and PEGAS’ </w:t>
      </w:r>
      <w:proofErr w:type="spellStart"/>
      <w:r w:rsidRPr="00F961F9">
        <w:rPr>
          <w:rFonts w:asciiTheme="majorHAnsi" w:hAnsiTheme="majorHAnsi" w:cstheme="majorHAnsi"/>
          <w:sz w:val="22"/>
          <w:szCs w:val="22"/>
          <w:lang w:val="en-US"/>
        </w:rPr>
        <w:t>Zeebrugge</w:t>
      </w:r>
      <w:proofErr w:type="spellEnd"/>
      <w:r w:rsidRPr="00F961F9">
        <w:rPr>
          <w:rFonts w:asciiTheme="majorHAnsi" w:hAnsiTheme="majorHAnsi" w:cstheme="majorHAnsi"/>
          <w:sz w:val="22"/>
          <w:szCs w:val="22"/>
          <w:lang w:val="en-US"/>
        </w:rPr>
        <w:t xml:space="preserve"> Trading Point (ZTP) gas future markets. Both markets took off in the course of 2018, but then declined when the 2,500 lots limit became too restrictive. With only 10 to 12 market participants registered to trading and only 1 or 2 very active market participants being responsible for most of the volumes – an absolutely normal situation for a new contract -, the position limit put a halt to the further development of the contract. While some participants are eligible for the hedging exemption (and applied for one), some important participants are investment firms and cannot benefit from this exemption, meaning that they have no other option that stop trading and look for other hedging alternatives.</w:t>
      </w:r>
    </w:p>
    <w:p w14:paraId="24683A7F" w14:textId="77777777" w:rsidR="00737BC6" w:rsidRPr="00F961F9" w:rsidRDefault="00737BC6" w:rsidP="00E67925">
      <w:pPr>
        <w:spacing w:after="240" w:line="276" w:lineRule="auto"/>
        <w:jc w:val="both"/>
        <w:rPr>
          <w:rFonts w:asciiTheme="majorHAnsi" w:hAnsiTheme="majorHAnsi" w:cstheme="majorHAnsi"/>
          <w:sz w:val="22"/>
          <w:szCs w:val="22"/>
        </w:rPr>
      </w:pPr>
    </w:p>
    <w:p w14:paraId="7E1CC347" w14:textId="2D198E27" w:rsidR="00737BC6" w:rsidRPr="00F961F9" w:rsidRDefault="00737BC6" w:rsidP="0070115C">
      <w:pPr>
        <w:spacing w:after="240" w:line="276" w:lineRule="auto"/>
        <w:ind w:left="720"/>
        <w:jc w:val="both"/>
        <w:rPr>
          <w:rFonts w:asciiTheme="majorHAnsi" w:hAnsiTheme="majorHAnsi" w:cstheme="majorHAnsi"/>
          <w:sz w:val="22"/>
          <w:szCs w:val="22"/>
        </w:rPr>
      </w:pPr>
      <w:r w:rsidRPr="00F961F9">
        <w:rPr>
          <w:rFonts w:asciiTheme="majorHAnsi" w:hAnsiTheme="majorHAnsi" w:cstheme="majorHAnsi"/>
          <w:noProof/>
          <w:sz w:val="22"/>
          <w:szCs w:val="22"/>
          <w:lang w:val="en-US" w:eastAsia="en-US"/>
        </w:rPr>
        <w:lastRenderedPageBreak/>
        <w:drawing>
          <wp:inline distT="0" distB="0" distL="0" distR="0" wp14:anchorId="58CDC0F8" wp14:editId="4B6CA3AE">
            <wp:extent cx="5269924" cy="2472855"/>
            <wp:effectExtent l="0" t="0" r="6985" b="3810"/>
            <wp:docPr id="10" name="Picture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B154CF7-32FB-4BC6-BECE-3D32DA9FD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B154CF7-32FB-4BC6-BECE-3D32DA9FDF28}"/>
                        </a:ext>
                      </a:extLst>
                    </pic:cNvPr>
                    <pic:cNvPicPr>
                      <a:picLocks noChangeAspect="1"/>
                    </pic:cNvPicPr>
                  </pic:nvPicPr>
                  <pic:blipFill>
                    <a:blip r:embed="rId25"/>
                    <a:stretch>
                      <a:fillRect/>
                    </a:stretch>
                  </pic:blipFill>
                  <pic:spPr>
                    <a:xfrm>
                      <a:off x="0" y="0"/>
                      <a:ext cx="5273877" cy="2474710"/>
                    </a:xfrm>
                    <a:prstGeom prst="rect">
                      <a:avLst/>
                    </a:prstGeom>
                  </pic:spPr>
                </pic:pic>
              </a:graphicData>
            </a:graphic>
          </wp:inline>
        </w:drawing>
      </w:r>
      <w:r w:rsidRPr="00F961F9">
        <w:rPr>
          <w:rFonts w:asciiTheme="majorHAnsi" w:hAnsiTheme="majorHAnsi" w:cstheme="majorHAnsi"/>
          <w:sz w:val="16"/>
          <w:szCs w:val="16"/>
        </w:rPr>
        <w:t xml:space="preserve">Figure 4. Impact of </w:t>
      </w:r>
      <w:r w:rsidR="004A6B47">
        <w:rPr>
          <w:rFonts w:asciiTheme="majorHAnsi" w:hAnsiTheme="majorHAnsi" w:cstheme="majorHAnsi"/>
          <w:sz w:val="16"/>
          <w:szCs w:val="16"/>
        </w:rPr>
        <w:t>position limit regime</w:t>
      </w:r>
      <w:r w:rsidRPr="00F961F9">
        <w:rPr>
          <w:rFonts w:asciiTheme="majorHAnsi" w:hAnsiTheme="majorHAnsi" w:cstheme="majorHAnsi"/>
          <w:sz w:val="16"/>
          <w:szCs w:val="16"/>
        </w:rPr>
        <w:t xml:space="preserve"> on development of PEGAS ZTP gas </w:t>
      </w:r>
      <w:proofErr w:type="spellStart"/>
      <w:r w:rsidRPr="00F961F9">
        <w:rPr>
          <w:rFonts w:asciiTheme="majorHAnsi" w:hAnsiTheme="majorHAnsi" w:cstheme="majorHAnsi"/>
          <w:sz w:val="16"/>
          <w:szCs w:val="16"/>
        </w:rPr>
        <w:t>furtures</w:t>
      </w:r>
      <w:proofErr w:type="spellEnd"/>
      <w:r w:rsidRPr="00F961F9">
        <w:rPr>
          <w:rFonts w:asciiTheme="majorHAnsi" w:hAnsiTheme="majorHAnsi" w:cstheme="majorHAnsi"/>
          <w:sz w:val="16"/>
          <w:szCs w:val="16"/>
        </w:rPr>
        <w:t xml:space="preserve"> market. </w:t>
      </w:r>
    </w:p>
    <w:p w14:paraId="2F376076" w14:textId="6B2B2B73" w:rsidR="00737BC6" w:rsidRPr="00F961F9" w:rsidRDefault="00737BC6" w:rsidP="0070115C">
      <w:pPr>
        <w:spacing w:after="240" w:line="276" w:lineRule="auto"/>
        <w:ind w:left="720"/>
        <w:jc w:val="both"/>
        <w:rPr>
          <w:rFonts w:asciiTheme="majorHAnsi" w:hAnsiTheme="majorHAnsi" w:cstheme="majorHAnsi"/>
          <w:sz w:val="16"/>
          <w:szCs w:val="16"/>
        </w:rPr>
      </w:pPr>
      <w:r w:rsidRPr="00F961F9">
        <w:rPr>
          <w:rFonts w:asciiTheme="majorHAnsi" w:hAnsiTheme="majorHAnsi" w:cstheme="majorHAnsi"/>
          <w:noProof/>
          <w:sz w:val="16"/>
          <w:szCs w:val="16"/>
          <w:lang w:val="en-US" w:eastAsia="en-US"/>
        </w:rPr>
        <w:drawing>
          <wp:inline distT="0" distB="0" distL="0" distR="0" wp14:anchorId="4D638818" wp14:editId="450F281D">
            <wp:extent cx="5303815" cy="2488758"/>
            <wp:effectExtent l="0" t="0" r="0" b="6985"/>
            <wp:docPr id="12" name="Picture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9667B19-3E7B-4818-9788-93F9DEAE3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9667B19-3E7B-4818-9788-93F9DEAE370B}"/>
                        </a:ext>
                      </a:extLst>
                    </pic:cNvPr>
                    <pic:cNvPicPr>
                      <a:picLocks noChangeAspect="1"/>
                    </pic:cNvPicPr>
                  </pic:nvPicPr>
                  <pic:blipFill>
                    <a:blip r:embed="rId26"/>
                    <a:stretch>
                      <a:fillRect/>
                    </a:stretch>
                  </pic:blipFill>
                  <pic:spPr>
                    <a:xfrm>
                      <a:off x="0" y="0"/>
                      <a:ext cx="5304689" cy="2489168"/>
                    </a:xfrm>
                    <a:prstGeom prst="rect">
                      <a:avLst/>
                    </a:prstGeom>
                  </pic:spPr>
                </pic:pic>
              </a:graphicData>
            </a:graphic>
          </wp:inline>
        </w:drawing>
      </w:r>
      <w:r w:rsidRPr="00F961F9">
        <w:rPr>
          <w:rFonts w:asciiTheme="majorHAnsi" w:hAnsiTheme="majorHAnsi" w:cstheme="majorHAnsi"/>
          <w:sz w:val="16"/>
          <w:szCs w:val="16"/>
        </w:rPr>
        <w:t xml:space="preserve">Figure 5. Impact of </w:t>
      </w:r>
      <w:r w:rsidR="004A6B47">
        <w:rPr>
          <w:rFonts w:asciiTheme="majorHAnsi" w:hAnsiTheme="majorHAnsi" w:cstheme="majorHAnsi"/>
          <w:sz w:val="16"/>
          <w:szCs w:val="16"/>
        </w:rPr>
        <w:t>position limit regime</w:t>
      </w:r>
      <w:r w:rsidRPr="00F961F9">
        <w:rPr>
          <w:rFonts w:asciiTheme="majorHAnsi" w:hAnsiTheme="majorHAnsi" w:cstheme="majorHAnsi"/>
          <w:sz w:val="16"/>
          <w:szCs w:val="16"/>
        </w:rPr>
        <w:t xml:space="preserve"> on development of PEGAS Czech VTP gas </w:t>
      </w:r>
      <w:proofErr w:type="spellStart"/>
      <w:r w:rsidRPr="00F961F9">
        <w:rPr>
          <w:rFonts w:asciiTheme="majorHAnsi" w:hAnsiTheme="majorHAnsi" w:cstheme="majorHAnsi"/>
          <w:sz w:val="16"/>
          <w:szCs w:val="16"/>
        </w:rPr>
        <w:t>furtures</w:t>
      </w:r>
      <w:proofErr w:type="spellEnd"/>
      <w:r w:rsidRPr="00F961F9">
        <w:rPr>
          <w:rFonts w:asciiTheme="majorHAnsi" w:hAnsiTheme="majorHAnsi" w:cstheme="majorHAnsi"/>
          <w:sz w:val="16"/>
          <w:szCs w:val="16"/>
        </w:rPr>
        <w:t xml:space="preserve"> market. </w:t>
      </w:r>
    </w:p>
    <w:p w14:paraId="7A7C5C57" w14:textId="77777777" w:rsidR="00737BC6" w:rsidRPr="00F961F9" w:rsidRDefault="00737BC6" w:rsidP="0070115C">
      <w:pPr>
        <w:spacing w:after="240" w:line="276" w:lineRule="auto"/>
        <w:ind w:firstLine="708"/>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Please see Q16 for more information about this problem. </w:t>
      </w:r>
    </w:p>
    <w:p w14:paraId="6F79241A" w14:textId="77777777" w:rsidR="00737BC6" w:rsidRPr="00F961F9" w:rsidRDefault="00737BC6" w:rsidP="00E67925">
      <w:pPr>
        <w:numPr>
          <w:ilvl w:val="0"/>
          <w:numId w:val="19"/>
        </w:numPr>
        <w:spacing w:after="240" w:line="276" w:lineRule="auto"/>
        <w:jc w:val="both"/>
        <w:rPr>
          <w:rFonts w:asciiTheme="majorHAnsi" w:hAnsiTheme="majorHAnsi" w:cstheme="majorHAnsi"/>
          <w:b/>
          <w:sz w:val="22"/>
          <w:szCs w:val="22"/>
          <w:lang w:val="en-US"/>
        </w:rPr>
      </w:pPr>
      <w:r w:rsidRPr="00F961F9">
        <w:rPr>
          <w:rFonts w:asciiTheme="majorHAnsi" w:hAnsiTheme="majorHAnsi" w:cstheme="majorHAnsi"/>
          <w:sz w:val="22"/>
          <w:szCs w:val="22"/>
          <w:lang w:val="en-US"/>
        </w:rPr>
        <w:t xml:space="preserve">The trading engine being used, uses a different definition of lots. </w:t>
      </w:r>
      <w:r w:rsidRPr="00F961F9">
        <w:rPr>
          <w:rFonts w:asciiTheme="majorHAnsi" w:hAnsiTheme="majorHAnsi" w:cstheme="majorHAnsi"/>
          <w:b/>
          <w:sz w:val="22"/>
          <w:szCs w:val="22"/>
          <w:lang w:val="en-US"/>
        </w:rPr>
        <w:t xml:space="preserve">If the definition of lots does not sufficiently follow economic considerations the limit might be artificially low. </w:t>
      </w:r>
    </w:p>
    <w:p w14:paraId="156ADD8D" w14:textId="77777777" w:rsidR="00737BC6" w:rsidRPr="00F961F9" w:rsidRDefault="00737BC6" w:rsidP="00E67925">
      <w:pPr>
        <w:spacing w:after="240" w:line="276" w:lineRule="auto"/>
        <w:jc w:val="both"/>
        <w:rPr>
          <w:rFonts w:asciiTheme="majorHAnsi" w:hAnsiTheme="majorHAnsi" w:cstheme="majorHAnsi"/>
          <w:sz w:val="22"/>
          <w:szCs w:val="22"/>
          <w:lang w:val="en-US"/>
        </w:rPr>
      </w:pPr>
    </w:p>
    <w:p w14:paraId="3FC23779"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i/>
          <w:sz w:val="22"/>
          <w:szCs w:val="22"/>
          <w:u w:val="single"/>
          <w:lang w:val="en-US"/>
        </w:rPr>
        <w:t>Power</w:t>
      </w:r>
      <w:r w:rsidRPr="00F961F9">
        <w:rPr>
          <w:rFonts w:asciiTheme="majorHAnsi" w:hAnsiTheme="majorHAnsi" w:cstheme="majorHAnsi"/>
          <w:sz w:val="22"/>
          <w:szCs w:val="22"/>
          <w:lang w:val="en-US"/>
        </w:rPr>
        <w:t>:</w:t>
      </w:r>
    </w:p>
    <w:p w14:paraId="18D70137" w14:textId="77777777"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t xml:space="preserve">Background: EEX offers trading in power derivatives for cash-settled futures contracts for 20 European power markets across Europe.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power DE (Base and Peak),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power DE/AT (Base and Peak),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power DE/AT OTF (Base), French power (Base and Peak), Italian power (Base and Peak), Spanish power (Base), Swiss power (Base), PXE Czech (Base) and PXE Hungarian power (Base) are considered liquid and hence have received a bespoke position limit.</w:t>
      </w:r>
    </w:p>
    <w:p w14:paraId="0B564FCF" w14:textId="79609CC8" w:rsidR="00737BC6" w:rsidRPr="00F961F9" w:rsidRDefault="00737BC6" w:rsidP="00E67925">
      <w:pPr>
        <w:spacing w:after="240" w:line="276" w:lineRule="auto"/>
        <w:jc w:val="both"/>
        <w:rPr>
          <w:rFonts w:asciiTheme="majorHAnsi" w:hAnsiTheme="majorHAnsi" w:cstheme="majorHAnsi"/>
          <w:sz w:val="22"/>
          <w:szCs w:val="22"/>
          <w:lang w:val="en-US"/>
        </w:rPr>
      </w:pPr>
      <w:r w:rsidRPr="00F961F9">
        <w:rPr>
          <w:rFonts w:asciiTheme="majorHAnsi" w:hAnsiTheme="majorHAnsi" w:cstheme="majorHAnsi"/>
          <w:sz w:val="22"/>
          <w:szCs w:val="22"/>
          <w:lang w:val="en-US"/>
        </w:rPr>
        <w:lastRenderedPageBreak/>
        <w:t xml:space="preserve">In power, there has been no visible impact from the de </w:t>
      </w:r>
      <w:proofErr w:type="spellStart"/>
      <w:r w:rsidRPr="00F961F9">
        <w:rPr>
          <w:rFonts w:asciiTheme="majorHAnsi" w:hAnsiTheme="majorHAnsi" w:cstheme="majorHAnsi"/>
          <w:sz w:val="22"/>
          <w:szCs w:val="22"/>
          <w:lang w:val="en-US"/>
        </w:rPr>
        <w:t>minimis</w:t>
      </w:r>
      <w:proofErr w:type="spellEnd"/>
      <w:r w:rsidRPr="00F961F9">
        <w:rPr>
          <w:rFonts w:asciiTheme="majorHAnsi" w:hAnsiTheme="majorHAnsi" w:cstheme="majorHAnsi"/>
          <w:sz w:val="22"/>
          <w:szCs w:val="22"/>
          <w:lang w:val="en-US"/>
        </w:rPr>
        <w:t xml:space="preserve"> limit being too restrictive. However, </w:t>
      </w:r>
      <w:r w:rsidRPr="00F961F9">
        <w:rPr>
          <w:rFonts w:asciiTheme="majorHAnsi" w:hAnsiTheme="majorHAnsi" w:cstheme="majorHAnsi"/>
          <w:b/>
          <w:sz w:val="22"/>
          <w:szCs w:val="22"/>
          <w:lang w:val="en-US"/>
        </w:rPr>
        <w:t>the development of liquid contracts has to a limited extent been hampered by three elements</w:t>
      </w:r>
      <w:r w:rsidRPr="00F961F9">
        <w:rPr>
          <w:rFonts w:asciiTheme="majorHAnsi" w:hAnsiTheme="majorHAnsi" w:cstheme="majorHAnsi"/>
          <w:sz w:val="22"/>
          <w:szCs w:val="22"/>
          <w:lang w:val="en-US"/>
        </w:rPr>
        <w:t>: (1) the lack of flexibility</w:t>
      </w:r>
      <w:r w:rsidR="00F37499">
        <w:rPr>
          <w:rFonts w:asciiTheme="majorHAnsi" w:hAnsiTheme="majorHAnsi" w:cstheme="majorHAnsi"/>
          <w:sz w:val="22"/>
          <w:szCs w:val="22"/>
          <w:lang w:val="en-US"/>
        </w:rPr>
        <w:t xml:space="preserve"> in the rules</w:t>
      </w:r>
      <w:r w:rsidRPr="00F961F9">
        <w:rPr>
          <w:rFonts w:asciiTheme="majorHAnsi" w:hAnsiTheme="majorHAnsi" w:cstheme="majorHAnsi"/>
          <w:sz w:val="22"/>
          <w:szCs w:val="22"/>
          <w:lang w:val="en-US"/>
        </w:rPr>
        <w:t xml:space="preserve"> for NCAs to deal with special circumstances, (2) the slow pace with which bespoke limits are set and with which bespoke position limits are reviewed, and (3) the relatively complex process to apply for the hedging exemption. </w:t>
      </w:r>
    </w:p>
    <w:p w14:paraId="09406DDA" w14:textId="0A6B9474" w:rsidR="00737BC6" w:rsidRPr="00F961F9" w:rsidRDefault="00737BC6" w:rsidP="00E67925">
      <w:pPr>
        <w:numPr>
          <w:ilvl w:val="0"/>
          <w:numId w:val="20"/>
        </w:numPr>
        <w:spacing w:after="240" w:line="276" w:lineRule="auto"/>
        <w:jc w:val="both"/>
        <w:rPr>
          <w:rFonts w:asciiTheme="majorHAnsi" w:hAnsiTheme="majorHAnsi" w:cstheme="majorHAnsi"/>
          <w:i/>
          <w:sz w:val="22"/>
          <w:szCs w:val="22"/>
          <w:lang w:val="en-US"/>
        </w:rPr>
      </w:pPr>
      <w:r w:rsidRPr="00F961F9">
        <w:rPr>
          <w:rFonts w:asciiTheme="majorHAnsi" w:hAnsiTheme="majorHAnsi" w:cstheme="majorHAnsi"/>
          <w:b/>
          <w:sz w:val="22"/>
          <w:szCs w:val="22"/>
          <w:lang w:val="en-US"/>
        </w:rPr>
        <w:t xml:space="preserve">The lack of flexibility </w:t>
      </w:r>
      <w:r w:rsidR="00F37499">
        <w:rPr>
          <w:rFonts w:asciiTheme="majorHAnsi" w:hAnsiTheme="majorHAnsi" w:cstheme="majorHAnsi"/>
          <w:b/>
          <w:sz w:val="22"/>
          <w:szCs w:val="22"/>
          <w:lang w:val="en-US"/>
        </w:rPr>
        <w:t xml:space="preserve">in the rules </w:t>
      </w:r>
      <w:r w:rsidRPr="00F961F9">
        <w:rPr>
          <w:rFonts w:asciiTheme="majorHAnsi" w:hAnsiTheme="majorHAnsi" w:cstheme="majorHAnsi"/>
          <w:b/>
          <w:sz w:val="22"/>
          <w:szCs w:val="22"/>
          <w:lang w:val="en-US"/>
        </w:rPr>
        <w:t>for NCAs to deal with special circumstances</w:t>
      </w:r>
      <w:r w:rsidRPr="00F961F9">
        <w:rPr>
          <w:rFonts w:asciiTheme="majorHAnsi" w:hAnsiTheme="majorHAnsi" w:cstheme="majorHAnsi"/>
          <w:i/>
          <w:sz w:val="22"/>
          <w:szCs w:val="22"/>
          <w:lang w:val="en-US"/>
        </w:rPr>
        <w:t xml:space="preserve">: </w:t>
      </w:r>
      <w:r w:rsidRPr="00F961F9">
        <w:rPr>
          <w:rFonts w:asciiTheme="majorHAnsi" w:hAnsiTheme="majorHAnsi" w:cstheme="majorHAnsi"/>
          <w:sz w:val="22"/>
          <w:szCs w:val="22"/>
          <w:lang w:val="en-US"/>
        </w:rPr>
        <w:t xml:space="preserve">At the end of 2017, EEX decided to split its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German/Austrian power benchmark contract into a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German power future and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Austrian power future, due to the underlying bidding zone split. Although it was expected that the liquidity in the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German power future would soon pick up after the product would be launched, the </w:t>
      </w:r>
      <w:r w:rsidR="004A6B47">
        <w:rPr>
          <w:rFonts w:asciiTheme="majorHAnsi" w:hAnsiTheme="majorHAnsi" w:cstheme="majorHAnsi"/>
          <w:sz w:val="22"/>
          <w:szCs w:val="22"/>
          <w:lang w:val="en-US"/>
        </w:rPr>
        <w:t>position limit regime</w:t>
      </w:r>
      <w:r w:rsidRPr="00F961F9">
        <w:rPr>
          <w:rFonts w:asciiTheme="majorHAnsi" w:hAnsiTheme="majorHAnsi" w:cstheme="majorHAnsi"/>
          <w:sz w:val="22"/>
          <w:szCs w:val="22"/>
          <w:lang w:val="en-US"/>
        </w:rPr>
        <w:t xml:space="preserve"> does not allow a forward-looking approach to determine the open interest on which the position limit should have been set. As a consequence, </w:t>
      </w:r>
      <w:proofErr w:type="spellStart"/>
      <w:r w:rsidRPr="00F961F9">
        <w:rPr>
          <w:rFonts w:asciiTheme="majorHAnsi" w:hAnsiTheme="majorHAnsi" w:cstheme="majorHAnsi"/>
          <w:sz w:val="22"/>
          <w:szCs w:val="22"/>
          <w:lang w:val="en-US"/>
        </w:rPr>
        <w:t>BaFin</w:t>
      </w:r>
      <w:proofErr w:type="spellEnd"/>
      <w:r w:rsidRPr="00F961F9">
        <w:rPr>
          <w:rFonts w:asciiTheme="majorHAnsi" w:hAnsiTheme="majorHAnsi" w:cstheme="majorHAnsi"/>
          <w:sz w:val="22"/>
          <w:szCs w:val="22"/>
          <w:lang w:val="en-US"/>
        </w:rPr>
        <w:t xml:space="preserve"> had to review the limit not long after it had set a bespoke limit on the contract. </w:t>
      </w:r>
    </w:p>
    <w:p w14:paraId="07C2F9C6" w14:textId="0165B3C9" w:rsidR="00737BC6" w:rsidRPr="00F961F9" w:rsidRDefault="00737BC6" w:rsidP="0070115C">
      <w:pPr>
        <w:numPr>
          <w:ilvl w:val="0"/>
          <w:numId w:val="20"/>
        </w:numPr>
        <w:spacing w:after="240" w:line="276" w:lineRule="auto"/>
        <w:jc w:val="both"/>
        <w:rPr>
          <w:rFonts w:asciiTheme="majorHAnsi" w:hAnsiTheme="majorHAnsi" w:cstheme="majorHAnsi"/>
          <w:i/>
          <w:sz w:val="22"/>
          <w:szCs w:val="22"/>
          <w:lang w:val="en-US"/>
        </w:rPr>
      </w:pPr>
      <w:r w:rsidRPr="00F961F9">
        <w:rPr>
          <w:rFonts w:asciiTheme="majorHAnsi" w:hAnsiTheme="majorHAnsi" w:cstheme="majorHAnsi"/>
          <w:b/>
          <w:sz w:val="22"/>
          <w:szCs w:val="22"/>
          <w:lang w:val="en-US"/>
        </w:rPr>
        <w:t>The slow pace with which bespoke position limits are set and with which bespoke position limits are reviewed:</w:t>
      </w:r>
      <w:r w:rsidRPr="00F961F9">
        <w:rPr>
          <w:rFonts w:asciiTheme="majorHAnsi" w:hAnsiTheme="majorHAnsi" w:cstheme="majorHAnsi"/>
          <w:i/>
          <w:sz w:val="22"/>
          <w:szCs w:val="22"/>
          <w:lang w:val="en-US"/>
        </w:rPr>
        <w:t xml:space="preserve"> </w:t>
      </w:r>
      <w:r w:rsidRPr="00F961F9">
        <w:rPr>
          <w:rFonts w:asciiTheme="majorHAnsi" w:hAnsiTheme="majorHAnsi" w:cstheme="majorHAnsi"/>
          <w:sz w:val="22"/>
          <w:szCs w:val="22"/>
          <w:lang w:val="en-US"/>
        </w:rPr>
        <w:t xml:space="preserve">For most of the power contracts that became liquid after MiFID II went live, the time from the contract having exceeded 10,000 lots open interest during three consecutive months to the time a new bespoke limit became applicable, on average took around two to three months. This delay is merely due to the fact that the German law </w:t>
      </w:r>
      <w:r w:rsidR="0070115C">
        <w:rPr>
          <w:rFonts w:asciiTheme="majorHAnsi" w:hAnsiTheme="majorHAnsi" w:cstheme="majorHAnsi"/>
          <w:sz w:val="22"/>
          <w:szCs w:val="22"/>
          <w:lang w:val="en-US"/>
        </w:rPr>
        <w:t>transposing</w:t>
      </w:r>
      <w:r w:rsidRPr="00F961F9">
        <w:rPr>
          <w:rFonts w:asciiTheme="majorHAnsi" w:hAnsiTheme="majorHAnsi" w:cstheme="majorHAnsi"/>
          <w:sz w:val="22"/>
          <w:szCs w:val="22"/>
          <w:lang w:val="en-US"/>
        </w:rPr>
        <w:t xml:space="preserve"> MiFID II </w:t>
      </w:r>
      <w:r w:rsidR="0070115C" w:rsidRPr="0070115C">
        <w:rPr>
          <w:rFonts w:asciiTheme="majorHAnsi" w:hAnsiTheme="majorHAnsi" w:cstheme="majorHAnsi"/>
          <w:sz w:val="22"/>
          <w:szCs w:val="22"/>
          <w:lang w:val="en-US"/>
        </w:rPr>
        <w:t>(</w:t>
      </w:r>
      <w:proofErr w:type="spellStart"/>
      <w:r w:rsidR="0070115C" w:rsidRPr="0070115C">
        <w:rPr>
          <w:rFonts w:asciiTheme="majorHAnsi" w:hAnsiTheme="majorHAnsi" w:cstheme="majorHAnsi"/>
          <w:sz w:val="22"/>
          <w:szCs w:val="22"/>
          <w:lang w:val="en-US"/>
        </w:rPr>
        <w:t>Zweites</w:t>
      </w:r>
      <w:proofErr w:type="spellEnd"/>
      <w:r w:rsidR="0070115C" w:rsidRPr="0070115C">
        <w:rPr>
          <w:rFonts w:asciiTheme="majorHAnsi" w:hAnsiTheme="majorHAnsi" w:cstheme="majorHAnsi"/>
          <w:sz w:val="22"/>
          <w:szCs w:val="22"/>
          <w:lang w:val="en-US"/>
        </w:rPr>
        <w:t xml:space="preserve"> </w:t>
      </w:r>
      <w:proofErr w:type="spellStart"/>
      <w:r w:rsidR="0070115C" w:rsidRPr="0070115C">
        <w:rPr>
          <w:rFonts w:asciiTheme="majorHAnsi" w:hAnsiTheme="majorHAnsi" w:cstheme="majorHAnsi"/>
          <w:sz w:val="22"/>
          <w:szCs w:val="22"/>
          <w:lang w:val="en-US"/>
        </w:rPr>
        <w:t>Finanzmarktnovellierungsgesetz</w:t>
      </w:r>
      <w:proofErr w:type="spellEnd"/>
      <w:r w:rsidR="0070115C" w:rsidRPr="0070115C">
        <w:rPr>
          <w:rFonts w:asciiTheme="majorHAnsi" w:hAnsiTheme="majorHAnsi" w:cstheme="majorHAnsi"/>
          <w:sz w:val="22"/>
          <w:szCs w:val="22"/>
          <w:lang w:val="en-US"/>
        </w:rPr>
        <w:t xml:space="preserve"> of 23 June 2017 (BGBI. I S. 1693)), </w:t>
      </w:r>
      <w:r w:rsidRPr="00F961F9">
        <w:rPr>
          <w:rFonts w:asciiTheme="majorHAnsi" w:hAnsiTheme="majorHAnsi" w:cstheme="majorHAnsi"/>
          <w:sz w:val="22"/>
          <w:szCs w:val="22"/>
          <w:lang w:val="en-US"/>
        </w:rPr>
        <w:t xml:space="preserve">lays down that every new position limit requires the adoption of an administrative act, and thus also a public consultation, which in total can easily take several months. </w:t>
      </w:r>
      <w:r w:rsidR="002A72F5">
        <w:rPr>
          <w:rFonts w:asciiTheme="majorHAnsi" w:hAnsiTheme="majorHAnsi" w:cstheme="majorHAnsi"/>
          <w:sz w:val="22"/>
          <w:szCs w:val="22"/>
          <w:lang w:val="en-US"/>
        </w:rPr>
        <w:t xml:space="preserve">Fortunately, due to the quick reaction of </w:t>
      </w:r>
      <w:proofErr w:type="spellStart"/>
      <w:r w:rsidR="002A72F5">
        <w:rPr>
          <w:rFonts w:asciiTheme="majorHAnsi" w:hAnsiTheme="majorHAnsi" w:cstheme="majorHAnsi"/>
          <w:sz w:val="22"/>
          <w:szCs w:val="22"/>
          <w:lang w:val="en-US"/>
        </w:rPr>
        <w:t>BaFin</w:t>
      </w:r>
      <w:proofErr w:type="spellEnd"/>
      <w:r w:rsidRPr="00F961F9">
        <w:rPr>
          <w:rFonts w:asciiTheme="majorHAnsi" w:hAnsiTheme="majorHAnsi" w:cstheme="majorHAnsi"/>
          <w:sz w:val="22"/>
          <w:szCs w:val="22"/>
          <w:lang w:val="en-US"/>
        </w:rPr>
        <w:t xml:space="preserve">, we were able to cope with the split of the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German/Austrian power future into a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German and </w:t>
      </w:r>
      <w:proofErr w:type="spellStart"/>
      <w:r w:rsidRPr="00F961F9">
        <w:rPr>
          <w:rFonts w:asciiTheme="majorHAnsi" w:hAnsiTheme="majorHAnsi" w:cstheme="majorHAnsi"/>
          <w:sz w:val="22"/>
          <w:szCs w:val="22"/>
          <w:lang w:val="en-US"/>
        </w:rPr>
        <w:t>Phelix</w:t>
      </w:r>
      <w:proofErr w:type="spellEnd"/>
      <w:r w:rsidRPr="00F961F9">
        <w:rPr>
          <w:rFonts w:asciiTheme="majorHAnsi" w:hAnsiTheme="majorHAnsi" w:cstheme="majorHAnsi"/>
          <w:sz w:val="22"/>
          <w:szCs w:val="22"/>
          <w:lang w:val="en-US"/>
        </w:rPr>
        <w:t xml:space="preserve"> Austrian power future in a relatively smooth manner. </w:t>
      </w:r>
    </w:p>
    <w:p w14:paraId="5DF4CF89" w14:textId="77777777" w:rsidR="00737BC6" w:rsidRPr="00737BC6" w:rsidRDefault="00737BC6" w:rsidP="00E67925">
      <w:pPr>
        <w:numPr>
          <w:ilvl w:val="0"/>
          <w:numId w:val="20"/>
        </w:numPr>
        <w:spacing w:after="240" w:line="276" w:lineRule="auto"/>
        <w:jc w:val="both"/>
        <w:rPr>
          <w:rFonts w:asciiTheme="majorHAnsi" w:hAnsiTheme="majorHAnsi" w:cstheme="majorHAnsi"/>
          <w:i/>
          <w:sz w:val="22"/>
          <w:szCs w:val="22"/>
          <w:lang w:val="en-US"/>
        </w:rPr>
      </w:pPr>
      <w:r w:rsidRPr="00F961F9">
        <w:rPr>
          <w:rFonts w:asciiTheme="majorHAnsi" w:hAnsiTheme="majorHAnsi" w:cstheme="majorHAnsi"/>
          <w:b/>
          <w:sz w:val="22"/>
          <w:szCs w:val="22"/>
          <w:lang w:val="en-US"/>
        </w:rPr>
        <w:t>The relatively complex hedging exemption application process:</w:t>
      </w:r>
      <w:r w:rsidRPr="00F961F9">
        <w:rPr>
          <w:rFonts w:asciiTheme="majorHAnsi" w:hAnsiTheme="majorHAnsi" w:cstheme="majorHAnsi"/>
          <w:i/>
          <w:sz w:val="22"/>
          <w:szCs w:val="22"/>
          <w:lang w:val="en-US"/>
        </w:rPr>
        <w:t xml:space="preserve"> </w:t>
      </w:r>
      <w:r w:rsidRPr="00F961F9">
        <w:rPr>
          <w:rFonts w:asciiTheme="majorHAnsi" w:hAnsiTheme="majorHAnsi" w:cstheme="majorHAnsi"/>
          <w:sz w:val="22"/>
          <w:szCs w:val="22"/>
          <w:lang w:val="en-US"/>
        </w:rPr>
        <w:t xml:space="preserve">Lastly, we received a number of complaints from market participants that believed the hedging exemption application process was too complex. For more information see the section on freight. </w:t>
      </w:r>
    </w:p>
    <w:permEnd w:id="612041398"/>
    <w:p w14:paraId="76C523D9" w14:textId="77777777" w:rsidR="00AB6157" w:rsidRDefault="00AB6157" w:rsidP="00AB6157">
      <w:pPr>
        <w:rPr>
          <w:rFonts w:ascii="Arial" w:hAnsi="Arial" w:cs="Arial"/>
        </w:rPr>
      </w:pPr>
      <w:r>
        <w:rPr>
          <w:rFonts w:ascii="Arial" w:hAnsi="Arial" w:cs="Arial"/>
        </w:rPr>
        <w:t>&lt;ESMA_QUESTION_PLPM_1&gt;</w:t>
      </w:r>
    </w:p>
    <w:p w14:paraId="03FD3B97" w14:textId="77777777" w:rsidR="00AB6157" w:rsidRDefault="00AB6157" w:rsidP="00AB6157">
      <w:pPr>
        <w:rPr>
          <w:rFonts w:ascii="Arial" w:hAnsi="Arial" w:cs="Arial"/>
        </w:rPr>
      </w:pPr>
    </w:p>
    <w:p w14:paraId="24E3B7CB" w14:textId="77777777" w:rsidR="00AB6157" w:rsidRDefault="00AB6157" w:rsidP="00AB6157">
      <w:pPr>
        <w:pStyle w:val="Questionstyle"/>
        <w:numPr>
          <w:ilvl w:val="0"/>
          <w:numId w:val="9"/>
        </w:numPr>
        <w:spacing w:after="250" w:line="276" w:lineRule="auto"/>
      </w:pPr>
      <w:r>
        <w:t>: Have you identified other structural changes in commodity derivative markets or in the underlying markets since the introduction of the MiFID II position limit regime, such as changes in market participants? If so, please provide examples, and where available data, and differentiate per commodity derivative asset class where relevant.</w:t>
      </w:r>
    </w:p>
    <w:p w14:paraId="4F0EB977" w14:textId="77777777" w:rsidR="00AB6157" w:rsidRDefault="00AB6157" w:rsidP="00AB6157">
      <w:pPr>
        <w:rPr>
          <w:rFonts w:ascii="Arial" w:hAnsi="Arial" w:cs="Arial"/>
        </w:rPr>
      </w:pPr>
      <w:r>
        <w:rPr>
          <w:rFonts w:ascii="Arial" w:hAnsi="Arial" w:cs="Arial"/>
        </w:rPr>
        <w:t>&lt;ESMA_QUESTION_PLPM_2&gt;</w:t>
      </w:r>
    </w:p>
    <w:p w14:paraId="02EDF874" w14:textId="6619F939" w:rsidR="00AB6157" w:rsidRPr="00550A06" w:rsidRDefault="00C837A7" w:rsidP="00550A06">
      <w:pPr>
        <w:spacing w:after="240" w:line="276" w:lineRule="auto"/>
        <w:jc w:val="both"/>
        <w:rPr>
          <w:rFonts w:ascii="Arial" w:hAnsi="Arial" w:cs="Arial"/>
          <w:sz w:val="22"/>
          <w:szCs w:val="22"/>
          <w:lang w:val="en-US"/>
        </w:rPr>
      </w:pPr>
      <w:permStart w:id="1851403933" w:edGrp="everyone"/>
      <w:r>
        <w:rPr>
          <w:rFonts w:ascii="Arial" w:hAnsi="Arial" w:cs="Arial"/>
          <w:sz w:val="22"/>
          <w:szCs w:val="22"/>
          <w:lang w:val="en-US"/>
        </w:rPr>
        <w:t>From our point of view, t</w:t>
      </w:r>
      <w:r w:rsidR="00550A06" w:rsidRPr="00550A06">
        <w:rPr>
          <w:rFonts w:ascii="Arial" w:hAnsi="Arial" w:cs="Arial"/>
          <w:sz w:val="22"/>
          <w:szCs w:val="22"/>
          <w:lang w:val="en-US"/>
        </w:rPr>
        <w:t>he most significant structural change is the move from compe</w:t>
      </w:r>
      <w:r>
        <w:rPr>
          <w:rFonts w:ascii="Arial" w:hAnsi="Arial" w:cs="Arial"/>
          <w:sz w:val="22"/>
          <w:szCs w:val="22"/>
          <w:lang w:val="en-US"/>
        </w:rPr>
        <w:t xml:space="preserve">ting European dry bulk freight </w:t>
      </w:r>
      <w:r w:rsidR="00550A06" w:rsidRPr="00550A06">
        <w:rPr>
          <w:rFonts w:ascii="Arial" w:hAnsi="Arial" w:cs="Arial"/>
          <w:sz w:val="22"/>
          <w:szCs w:val="22"/>
          <w:lang w:val="en-US"/>
        </w:rPr>
        <w:t xml:space="preserve">and gas contracts outside of Europe, leading to EEX and Powernext in some cases being the sole operator of these contracts in Europe. For example, CME Group moved its physically settled TTF Futures contracts, which are in direct competition to futures listed in Europe, from the EU to the US prior to MiFID II. Such third-country trading venues benefit from the fact that position limits do not apply. (Also, volumes traded on such platforms </w:t>
      </w:r>
      <w:r w:rsidR="00550A06" w:rsidRPr="00550A06">
        <w:rPr>
          <w:rFonts w:ascii="Arial" w:hAnsi="Arial" w:cs="Arial"/>
          <w:sz w:val="22"/>
          <w:szCs w:val="22"/>
          <w:lang w:val="en-US"/>
        </w:rPr>
        <w:lastRenderedPageBreak/>
        <w:t xml:space="preserve">do not count towards the MiFID II Ancillary Activity threshold or to the EMIR threshold (subject to an equivalence decision, </w:t>
      </w:r>
      <w:r w:rsidR="00013BE8">
        <w:rPr>
          <w:rFonts w:ascii="Arial" w:hAnsi="Arial" w:cs="Arial"/>
          <w:sz w:val="22"/>
          <w:szCs w:val="22"/>
          <w:lang w:val="en-US"/>
        </w:rPr>
        <w:t xml:space="preserve">which </w:t>
      </w:r>
      <w:r w:rsidR="00550A06" w:rsidRPr="00550A06">
        <w:rPr>
          <w:rFonts w:ascii="Arial" w:hAnsi="Arial" w:cs="Arial"/>
          <w:sz w:val="22"/>
          <w:szCs w:val="22"/>
          <w:lang w:val="en-US"/>
        </w:rPr>
        <w:t xml:space="preserve">has been taken for CME)). Similar incentives exist for the OTC segment, since OTC contracts are not classified as financial instruments. Another example is the Polish power exchange delisting its suite of cash-settled contracts in late 2017 prior to the start of </w:t>
      </w:r>
      <w:proofErr w:type="spellStart"/>
      <w:r w:rsidR="00550A06" w:rsidRPr="00550A06">
        <w:rPr>
          <w:rFonts w:ascii="Arial" w:hAnsi="Arial" w:cs="Arial"/>
          <w:sz w:val="22"/>
          <w:szCs w:val="22"/>
          <w:lang w:val="en-US"/>
        </w:rPr>
        <w:t>MiFIDII</w:t>
      </w:r>
      <w:proofErr w:type="spellEnd"/>
      <w:r w:rsidR="00550A06" w:rsidRPr="00550A06">
        <w:rPr>
          <w:rFonts w:ascii="Arial" w:hAnsi="Arial" w:cs="Arial"/>
          <w:sz w:val="22"/>
          <w:szCs w:val="22"/>
          <w:lang w:val="en-US"/>
        </w:rPr>
        <w:t>.</w:t>
      </w:r>
    </w:p>
    <w:permEnd w:id="1851403933"/>
    <w:p w14:paraId="7E613508" w14:textId="77777777" w:rsidR="00AB6157" w:rsidRDefault="00AB6157" w:rsidP="00AB6157">
      <w:pPr>
        <w:rPr>
          <w:rFonts w:ascii="Arial" w:hAnsi="Arial" w:cs="Arial"/>
        </w:rPr>
      </w:pPr>
      <w:r>
        <w:rPr>
          <w:rFonts w:ascii="Arial" w:hAnsi="Arial" w:cs="Arial"/>
        </w:rPr>
        <w:t>&lt;ESMA_QUESTION_PLPM_2&gt;</w:t>
      </w:r>
    </w:p>
    <w:p w14:paraId="723C6B44" w14:textId="77777777" w:rsidR="00AB6157" w:rsidRDefault="00AB6157" w:rsidP="00AB6157">
      <w:pPr>
        <w:rPr>
          <w:rFonts w:ascii="Arial" w:hAnsi="Arial" w:cs="Arial"/>
        </w:rPr>
      </w:pPr>
    </w:p>
    <w:p w14:paraId="12EC0E1C" w14:textId="77777777" w:rsidR="00AB6157" w:rsidRDefault="00AB6157" w:rsidP="00AB6157">
      <w:pPr>
        <w:pStyle w:val="Questionstyle"/>
        <w:numPr>
          <w:ilvl w:val="0"/>
          <w:numId w:val="9"/>
        </w:numPr>
        <w:spacing w:after="250" w:line="276" w:lineRule="auto"/>
      </w:pPr>
      <w:r>
        <w:t xml:space="preserve">: Do you consider that position limits </w:t>
      </w:r>
      <w:r w:rsidRPr="00AC7EE2">
        <w:t xml:space="preserve">contribute to </w:t>
      </w:r>
      <w:r>
        <w:t>the prevention of</w:t>
      </w:r>
      <w:r w:rsidRPr="00AC7EE2">
        <w:t xml:space="preserve"> market abuse in commodity derivatives markets? Please elaborate</w:t>
      </w:r>
      <w:r>
        <w:t xml:space="preserve"> by</w:t>
      </w:r>
      <w:r w:rsidRPr="00AC7EE2">
        <w:t xml:space="preserve"> differentiating per </w:t>
      </w:r>
      <w:r>
        <w:t xml:space="preserve">conduct, per </w:t>
      </w:r>
      <w:r w:rsidRPr="00AC7EE2">
        <w:t>commodity asset classes or contract where relevant and provide evidence to support your assessment when</w:t>
      </w:r>
      <w:r>
        <w:t xml:space="preserve"> available.</w:t>
      </w:r>
    </w:p>
    <w:p w14:paraId="04E60C23" w14:textId="77777777" w:rsidR="00AB6157" w:rsidRDefault="00AB6157" w:rsidP="00AB6157">
      <w:pPr>
        <w:rPr>
          <w:rFonts w:ascii="Arial" w:hAnsi="Arial" w:cs="Arial"/>
        </w:rPr>
      </w:pPr>
      <w:r>
        <w:rPr>
          <w:rFonts w:ascii="Arial" w:hAnsi="Arial" w:cs="Arial"/>
        </w:rPr>
        <w:t>&lt;ESMA_QUESTION_PLPM_3&gt;</w:t>
      </w:r>
    </w:p>
    <w:p w14:paraId="6F6EBD35" w14:textId="77777777" w:rsidR="00550A06" w:rsidRPr="00550A06" w:rsidRDefault="00550A06" w:rsidP="00550A06">
      <w:pPr>
        <w:spacing w:after="240" w:line="276" w:lineRule="auto"/>
        <w:jc w:val="both"/>
        <w:rPr>
          <w:rFonts w:ascii="Arial" w:hAnsi="Arial" w:cs="Arial"/>
          <w:sz w:val="22"/>
          <w:szCs w:val="22"/>
          <w:lang w:val="en-US"/>
        </w:rPr>
      </w:pPr>
      <w:permStart w:id="2132890315" w:edGrp="everyone"/>
      <w:r w:rsidRPr="00550A06">
        <w:rPr>
          <w:rFonts w:ascii="Arial" w:hAnsi="Arial" w:cs="Arial"/>
          <w:sz w:val="22"/>
          <w:szCs w:val="22"/>
          <w:lang w:val="en-US"/>
        </w:rPr>
        <w:t xml:space="preserve">We do not believe the position limits have contributed to the prevention of market abuse in commodity derivatives markets. There are several reasons for this. </w:t>
      </w:r>
    </w:p>
    <w:p w14:paraId="065D85DB" w14:textId="6AC4F6EF" w:rsidR="00550A06" w:rsidRPr="00550A06" w:rsidRDefault="00550A06" w:rsidP="00550A06">
      <w:pPr>
        <w:spacing w:after="240" w:line="276" w:lineRule="auto"/>
        <w:jc w:val="both"/>
        <w:rPr>
          <w:rFonts w:ascii="Arial" w:hAnsi="Arial" w:cs="Arial"/>
          <w:sz w:val="22"/>
          <w:szCs w:val="22"/>
          <w:lang w:val="en-US"/>
        </w:rPr>
      </w:pPr>
      <w:r w:rsidRPr="00550A06">
        <w:rPr>
          <w:rFonts w:ascii="Arial" w:hAnsi="Arial" w:cs="Arial"/>
          <w:sz w:val="22"/>
          <w:szCs w:val="22"/>
          <w:lang w:val="en-US"/>
        </w:rPr>
        <w:t xml:space="preserve">First of all, it has to be noted that it is the </w:t>
      </w:r>
      <w:r w:rsidR="0036305E">
        <w:rPr>
          <w:rFonts w:ascii="Arial" w:hAnsi="Arial" w:cs="Arial"/>
          <w:sz w:val="22"/>
          <w:szCs w:val="22"/>
          <w:lang w:val="en-US"/>
        </w:rPr>
        <w:t xml:space="preserve">legal </w:t>
      </w:r>
      <w:r w:rsidRPr="00550A06">
        <w:rPr>
          <w:rFonts w:ascii="Arial" w:hAnsi="Arial" w:cs="Arial"/>
          <w:sz w:val="22"/>
          <w:szCs w:val="22"/>
          <w:lang w:val="en-US"/>
        </w:rPr>
        <w:t xml:space="preserve">responsibility of the EEX and Powernext Market Surveillance Departments to ensure that trading processes and pricing are carried out on a fair and manipulation-free basis. In Germany, the Market Surveillance Department is an independent and autonomous body of the exchange, which is only subject to instructions by the Saxon State Ministry of Economic Affairs, Labor and Transport. The EEX and Powernext market oversight systems, including the compliance, supervision and surveillance activities, are executed in line with both the Regulation on Energy Markets Integrity and Transparency (REMIT) and the Market Abuse Regulation (MAR), which both apply to gas and power derivative markets. While REMIT introduces a sector-specific legal framework for identifying and penalizing insider trading and market manipulation in wholesale energy markets across Europe, MAR establishes a pan-European regime to prevent and detect market abuse, market manipulation and insider dealing in financial markets, including energy derivative markets. For example, if the EEX Market Surveillance Department has the justified suspicion that an order or transaction violates the provisions of Articles 3 or 5 of REMIT, it has to inform the national (energy) Market Monitoring Authorities or in case of Articles 14 or 15 of the Market Abuse Regulation (ban on engaging in or attempting to engage in insider dealing or market manipulation), it shall inform the German Federal Financial Supervisory Authority thereof. </w:t>
      </w:r>
    </w:p>
    <w:p w14:paraId="4CE4CFBD" w14:textId="345721F2" w:rsidR="00550A06" w:rsidRPr="00550A06" w:rsidRDefault="00550A06" w:rsidP="00550A06">
      <w:pPr>
        <w:spacing w:after="240" w:line="276" w:lineRule="auto"/>
        <w:jc w:val="both"/>
        <w:rPr>
          <w:rFonts w:ascii="Arial" w:hAnsi="Arial" w:cs="Arial"/>
          <w:sz w:val="22"/>
          <w:szCs w:val="22"/>
          <w:lang w:val="en-US"/>
        </w:rPr>
      </w:pPr>
      <w:r w:rsidRPr="00550A06">
        <w:rPr>
          <w:rFonts w:ascii="Arial" w:hAnsi="Arial" w:cs="Arial"/>
          <w:sz w:val="22"/>
          <w:szCs w:val="22"/>
          <w:lang w:val="en-US"/>
        </w:rPr>
        <w:t xml:space="preserve">The EEX and </w:t>
      </w:r>
      <w:proofErr w:type="spellStart"/>
      <w:r w:rsidRPr="00550A06">
        <w:rPr>
          <w:rFonts w:ascii="Arial" w:hAnsi="Arial" w:cs="Arial"/>
          <w:sz w:val="22"/>
          <w:szCs w:val="22"/>
          <w:lang w:val="en-US"/>
        </w:rPr>
        <w:t>Powernext’s</w:t>
      </w:r>
      <w:proofErr w:type="spellEnd"/>
      <w:r w:rsidRPr="00550A06">
        <w:rPr>
          <w:rFonts w:ascii="Arial" w:hAnsi="Arial" w:cs="Arial"/>
          <w:sz w:val="22"/>
          <w:szCs w:val="22"/>
          <w:lang w:val="en-US"/>
        </w:rPr>
        <w:t xml:space="preserve"> market surveillance activities, as well as the pre-existing regulations have been effective in preventing market abuse and excessive speculation. One of the reasons is that, for example, to identify and prevent market abuse, the department monitor trading </w:t>
      </w:r>
      <w:proofErr w:type="spellStart"/>
      <w:r w:rsidRPr="00550A06">
        <w:rPr>
          <w:rFonts w:ascii="Arial" w:hAnsi="Arial" w:cs="Arial"/>
          <w:sz w:val="22"/>
          <w:szCs w:val="22"/>
          <w:lang w:val="en-US"/>
        </w:rPr>
        <w:t>behaviour</w:t>
      </w:r>
      <w:proofErr w:type="spellEnd"/>
      <w:r w:rsidRPr="00550A06">
        <w:rPr>
          <w:rFonts w:ascii="Arial" w:hAnsi="Arial" w:cs="Arial"/>
          <w:sz w:val="22"/>
          <w:szCs w:val="22"/>
          <w:lang w:val="en-US"/>
        </w:rPr>
        <w:t xml:space="preserve"> in combination with position size, while the </w:t>
      </w:r>
      <w:r w:rsidR="004A6B47">
        <w:rPr>
          <w:rFonts w:ascii="Arial" w:hAnsi="Arial" w:cs="Arial"/>
          <w:sz w:val="22"/>
          <w:szCs w:val="22"/>
          <w:lang w:val="en-US"/>
        </w:rPr>
        <w:t>position limit regime</w:t>
      </w:r>
      <w:r w:rsidRPr="00550A06">
        <w:rPr>
          <w:rFonts w:ascii="Arial" w:hAnsi="Arial" w:cs="Arial"/>
          <w:sz w:val="22"/>
          <w:szCs w:val="22"/>
          <w:lang w:val="en-US"/>
        </w:rPr>
        <w:t xml:space="preserve"> only monitors position size. Monitoring position size reflects the ambition to limit market power, rather than </w:t>
      </w:r>
      <w:r w:rsidR="0036305E">
        <w:rPr>
          <w:rFonts w:ascii="Arial" w:hAnsi="Arial" w:cs="Arial"/>
          <w:sz w:val="22"/>
          <w:szCs w:val="22"/>
          <w:lang w:val="en-US"/>
        </w:rPr>
        <w:t xml:space="preserve">the ambition to </w:t>
      </w:r>
      <w:r w:rsidRPr="00550A06">
        <w:rPr>
          <w:rFonts w:ascii="Arial" w:hAnsi="Arial" w:cs="Arial"/>
          <w:sz w:val="22"/>
          <w:szCs w:val="22"/>
          <w:lang w:val="en-US"/>
        </w:rPr>
        <w:t xml:space="preserve">limit market manipulation. As reflected in the application of the hedging exemption, there is no link between a large position and market manipulation. To investigate a potential market abuse, one has to monitor trading activity.  Nevertheless, if limiting market power would be the objective of the </w:t>
      </w:r>
      <w:r w:rsidR="004A6B47">
        <w:rPr>
          <w:rFonts w:ascii="Arial" w:hAnsi="Arial" w:cs="Arial"/>
          <w:sz w:val="22"/>
          <w:szCs w:val="22"/>
          <w:lang w:val="en-US"/>
        </w:rPr>
        <w:t>position limit regime</w:t>
      </w:r>
      <w:r w:rsidRPr="00550A06">
        <w:rPr>
          <w:rFonts w:ascii="Arial" w:hAnsi="Arial" w:cs="Arial"/>
          <w:sz w:val="22"/>
          <w:szCs w:val="22"/>
          <w:lang w:val="en-US"/>
        </w:rPr>
        <w:t>, than it is advisable to set a position limit on the capacity a person can bring on to the market (or withhold from the market) at a specific point in time (and hence set a limit in terms of MW), and not</w:t>
      </w:r>
      <w:r w:rsidR="0036305E">
        <w:rPr>
          <w:rFonts w:ascii="Arial" w:hAnsi="Arial" w:cs="Arial"/>
          <w:sz w:val="22"/>
          <w:szCs w:val="22"/>
          <w:lang w:val="en-US"/>
        </w:rPr>
        <w:t xml:space="preserve"> to</w:t>
      </w:r>
      <w:r w:rsidRPr="00550A06">
        <w:rPr>
          <w:rFonts w:ascii="Arial" w:hAnsi="Arial" w:cs="Arial"/>
          <w:sz w:val="22"/>
          <w:szCs w:val="22"/>
          <w:lang w:val="en-US"/>
        </w:rPr>
        <w:t xml:space="preserve"> set a limit on the generation a person can offer to the market over a period of time (as the current limit expressed in </w:t>
      </w:r>
      <w:proofErr w:type="spellStart"/>
      <w:r w:rsidRPr="00550A06">
        <w:rPr>
          <w:rFonts w:ascii="Arial" w:hAnsi="Arial" w:cs="Arial"/>
          <w:sz w:val="22"/>
          <w:szCs w:val="22"/>
          <w:lang w:val="en-US"/>
        </w:rPr>
        <w:t>MWh</w:t>
      </w:r>
      <w:proofErr w:type="spellEnd"/>
      <w:r w:rsidRPr="00550A06">
        <w:rPr>
          <w:rFonts w:ascii="Arial" w:hAnsi="Arial" w:cs="Arial"/>
          <w:sz w:val="22"/>
          <w:szCs w:val="22"/>
          <w:lang w:val="en-US"/>
        </w:rPr>
        <w:t>).</w:t>
      </w:r>
    </w:p>
    <w:p w14:paraId="56218020" w14:textId="77777777" w:rsidR="00550A06" w:rsidRPr="00550A06" w:rsidRDefault="00550A06" w:rsidP="00550A06">
      <w:pPr>
        <w:spacing w:after="240" w:line="276" w:lineRule="auto"/>
        <w:jc w:val="both"/>
        <w:rPr>
          <w:rFonts w:ascii="Arial" w:hAnsi="Arial" w:cs="Arial"/>
          <w:i/>
          <w:sz w:val="22"/>
          <w:szCs w:val="22"/>
          <w:u w:val="single"/>
          <w:lang w:val="en-US"/>
        </w:rPr>
      </w:pPr>
      <w:r w:rsidRPr="00550A06">
        <w:rPr>
          <w:rFonts w:ascii="Arial" w:hAnsi="Arial" w:cs="Arial"/>
          <w:i/>
          <w:sz w:val="22"/>
          <w:szCs w:val="22"/>
          <w:u w:val="single"/>
          <w:lang w:val="en-US"/>
        </w:rPr>
        <w:lastRenderedPageBreak/>
        <w:t xml:space="preserve">Financially-settled contracts: </w:t>
      </w:r>
      <w:r w:rsidRPr="00550A06">
        <w:rPr>
          <w:rFonts w:ascii="Arial" w:hAnsi="Arial" w:cs="Arial"/>
          <w:i/>
          <w:sz w:val="22"/>
          <w:szCs w:val="22"/>
          <w:lang w:val="en-US"/>
        </w:rPr>
        <w:tab/>
      </w:r>
    </w:p>
    <w:p w14:paraId="5E3D20BE" w14:textId="77777777" w:rsidR="00550A06" w:rsidRPr="00550A06" w:rsidRDefault="00550A06" w:rsidP="00550A06">
      <w:pPr>
        <w:spacing w:after="240" w:line="276" w:lineRule="auto"/>
        <w:jc w:val="both"/>
        <w:rPr>
          <w:rFonts w:ascii="Arial" w:hAnsi="Arial" w:cs="Arial"/>
          <w:sz w:val="22"/>
          <w:szCs w:val="22"/>
          <w:lang w:val="en-US"/>
        </w:rPr>
      </w:pPr>
      <w:r w:rsidRPr="00550A06">
        <w:rPr>
          <w:rFonts w:ascii="Arial" w:hAnsi="Arial" w:cs="Arial"/>
          <w:sz w:val="22"/>
          <w:szCs w:val="22"/>
          <w:lang w:val="en-US"/>
        </w:rPr>
        <w:t xml:space="preserve">Secondly, the misuse of market power can appear only in physically-delivered contracts, where there is a possibility to squeeze or corner the market and/or the underlying physical spot market. EEX Group agricultural and freight products as well as most of EEX Group power contracts are financially-settled (with some of them having the option to be physically-delivered). From our point of view as well as many academics’ point of view, it is nearly impossible to misuse market power derived from a substantial position to corner or squeeze the market without physical delivery. Such contracts do not only have the benefit of having a more practical settlement procedure, they are also known to be less susceptible to market power manipulation (such as squeezing and cornering) than physically-settled contracts. This is because in a cash-settled contract the settlement price at expiration is set equal to the value of some reference price or index value. E. g. The EEX </w:t>
      </w:r>
      <w:proofErr w:type="spellStart"/>
      <w:r w:rsidRPr="00550A06">
        <w:rPr>
          <w:rFonts w:ascii="Arial" w:hAnsi="Arial" w:cs="Arial"/>
          <w:sz w:val="22"/>
          <w:szCs w:val="22"/>
          <w:lang w:val="en-US"/>
        </w:rPr>
        <w:t>Phelix</w:t>
      </w:r>
      <w:proofErr w:type="spellEnd"/>
      <w:r w:rsidRPr="00550A06">
        <w:rPr>
          <w:rFonts w:ascii="Arial" w:hAnsi="Arial" w:cs="Arial"/>
          <w:sz w:val="22"/>
          <w:szCs w:val="22"/>
          <w:lang w:val="en-US"/>
        </w:rPr>
        <w:t xml:space="preserve"> DE power future uses the Physical Electricity Index (</w:t>
      </w:r>
      <w:proofErr w:type="spellStart"/>
      <w:r w:rsidRPr="00550A06">
        <w:rPr>
          <w:rFonts w:ascii="Arial" w:hAnsi="Arial" w:cs="Arial"/>
          <w:sz w:val="22"/>
          <w:szCs w:val="22"/>
          <w:lang w:val="en-US"/>
        </w:rPr>
        <w:t>Phelix</w:t>
      </w:r>
      <w:proofErr w:type="spellEnd"/>
      <w:r w:rsidRPr="00550A06">
        <w:rPr>
          <w:rFonts w:ascii="Arial" w:hAnsi="Arial" w:cs="Arial"/>
          <w:sz w:val="22"/>
          <w:szCs w:val="22"/>
          <w:lang w:val="en-US"/>
        </w:rPr>
        <w:t>) which refers to the base load and peak load price index published daily on the power spot market for the German/Austrian market areas. Hence, in order to corner or squeeze the market, one has to be able to manipulate the underlying reference price or index. As long as the underlying index is sufficiently robust, which is the case particularly for power but also for the freight and agricultural products EEX Group offers, EEX Group does not believe that market squeezes are likely to occur.</w:t>
      </w:r>
    </w:p>
    <w:p w14:paraId="6A1E0B83" w14:textId="77777777" w:rsidR="00550A06" w:rsidRPr="00550A06" w:rsidRDefault="00550A06" w:rsidP="00550A06">
      <w:pPr>
        <w:spacing w:after="240" w:line="276" w:lineRule="auto"/>
        <w:jc w:val="both"/>
        <w:rPr>
          <w:rFonts w:ascii="Arial" w:hAnsi="Arial" w:cs="Arial"/>
          <w:i/>
          <w:sz w:val="22"/>
          <w:szCs w:val="22"/>
          <w:u w:val="single"/>
          <w:lang w:val="en-US"/>
        </w:rPr>
      </w:pPr>
      <w:r w:rsidRPr="00550A06">
        <w:rPr>
          <w:rFonts w:ascii="Arial" w:hAnsi="Arial" w:cs="Arial"/>
          <w:i/>
          <w:sz w:val="22"/>
          <w:szCs w:val="22"/>
          <w:u w:val="single"/>
          <w:lang w:val="en-US"/>
        </w:rPr>
        <w:t>Gas and power contracts</w:t>
      </w:r>
    </w:p>
    <w:p w14:paraId="1DAC8F69" w14:textId="030B9EB9" w:rsidR="00550A06" w:rsidRPr="00550A06" w:rsidRDefault="00550A06" w:rsidP="00550A06">
      <w:pPr>
        <w:spacing w:after="240" w:line="276" w:lineRule="auto"/>
        <w:jc w:val="both"/>
        <w:rPr>
          <w:rFonts w:ascii="Arial" w:hAnsi="Arial" w:cs="Arial"/>
          <w:sz w:val="22"/>
          <w:szCs w:val="22"/>
          <w:lang w:val="en-US"/>
        </w:rPr>
      </w:pPr>
      <w:r w:rsidRPr="00550A06">
        <w:rPr>
          <w:rFonts w:ascii="Arial" w:hAnsi="Arial" w:cs="Arial"/>
          <w:sz w:val="22"/>
          <w:szCs w:val="22"/>
          <w:lang w:val="en-US"/>
        </w:rPr>
        <w:t xml:space="preserve">The contracts that are almost always physically-delivered are gas contracts. However, both gas and power are </w:t>
      </w:r>
      <w:r w:rsidR="0036305E">
        <w:rPr>
          <w:rFonts w:ascii="Arial" w:hAnsi="Arial" w:cs="Arial"/>
          <w:sz w:val="22"/>
          <w:szCs w:val="22"/>
          <w:lang w:val="en-US"/>
        </w:rPr>
        <w:t xml:space="preserve">goods that are </w:t>
      </w:r>
      <w:r w:rsidRPr="00550A06">
        <w:rPr>
          <w:rFonts w:ascii="Arial" w:hAnsi="Arial" w:cs="Arial"/>
          <w:sz w:val="22"/>
          <w:szCs w:val="22"/>
          <w:lang w:val="en-US"/>
        </w:rPr>
        <w:t xml:space="preserve">very difficult </w:t>
      </w:r>
      <w:r w:rsidR="0036305E">
        <w:rPr>
          <w:rFonts w:ascii="Arial" w:hAnsi="Arial" w:cs="Arial"/>
          <w:sz w:val="22"/>
          <w:szCs w:val="22"/>
          <w:lang w:val="en-US"/>
        </w:rPr>
        <w:t xml:space="preserve">for a market participant </w:t>
      </w:r>
      <w:r w:rsidRPr="00550A06">
        <w:rPr>
          <w:rFonts w:ascii="Arial" w:hAnsi="Arial" w:cs="Arial"/>
          <w:sz w:val="22"/>
          <w:szCs w:val="22"/>
          <w:lang w:val="en-US"/>
        </w:rPr>
        <w:t xml:space="preserve">to control. There are a number of reasons for this: </w:t>
      </w:r>
    </w:p>
    <w:p w14:paraId="00067B6D" w14:textId="77777777" w:rsidR="00550A06" w:rsidRPr="00550A06" w:rsidRDefault="00550A06" w:rsidP="00550A06">
      <w:pPr>
        <w:numPr>
          <w:ilvl w:val="0"/>
          <w:numId w:val="21"/>
        </w:numPr>
        <w:spacing w:after="240" w:line="276" w:lineRule="auto"/>
        <w:jc w:val="both"/>
        <w:rPr>
          <w:rFonts w:ascii="Arial" w:hAnsi="Arial" w:cs="Arial"/>
          <w:sz w:val="22"/>
          <w:szCs w:val="22"/>
          <w:lang w:val="en-US"/>
        </w:rPr>
      </w:pPr>
      <w:r w:rsidRPr="00550A06">
        <w:rPr>
          <w:rFonts w:ascii="Arial" w:hAnsi="Arial" w:cs="Arial"/>
          <w:sz w:val="22"/>
          <w:szCs w:val="22"/>
          <w:lang w:val="en-US"/>
        </w:rPr>
        <w:t xml:space="preserve">Power and gas markets are under strict supervision of national and European regulators. First of all, the gas and electricity system in Europe is a critical infrastructure which is therefore under supervision of various national and European regulatory agencies such as ACER. Moreover, all trading activities in the electricity market need to be reported under REMIT. ACER monitors the functioning of gas and electricity markets in general, and of wholesale energy trading in particular. </w:t>
      </w:r>
    </w:p>
    <w:p w14:paraId="13B9B4A1" w14:textId="77777777" w:rsidR="00550A06" w:rsidRPr="00550A06" w:rsidRDefault="00550A06" w:rsidP="00550A06">
      <w:pPr>
        <w:numPr>
          <w:ilvl w:val="0"/>
          <w:numId w:val="21"/>
        </w:numPr>
        <w:spacing w:after="240" w:line="276" w:lineRule="auto"/>
        <w:jc w:val="both"/>
        <w:rPr>
          <w:rFonts w:ascii="Arial" w:hAnsi="Arial" w:cs="Arial"/>
          <w:sz w:val="22"/>
          <w:szCs w:val="22"/>
          <w:lang w:val="en-US"/>
        </w:rPr>
      </w:pPr>
      <w:r w:rsidRPr="00550A06">
        <w:rPr>
          <w:rFonts w:ascii="Arial" w:hAnsi="Arial" w:cs="Arial"/>
          <w:sz w:val="22"/>
          <w:szCs w:val="22"/>
          <w:lang w:val="en-US"/>
        </w:rPr>
        <w:t>Gas and power are grid-bound commodities, where delivery takes place through meshed transmission system grids. This means that market participants have no control over the actual destination of the generated power. Additionally, electricity can still only be stored to a very minimal extent, i.e. by means of battery storage. In fact, electricity is still widely seen as a non-storable commodity.</w:t>
      </w:r>
    </w:p>
    <w:p w14:paraId="56534886" w14:textId="77777777" w:rsidR="00550A06" w:rsidRPr="00550A06" w:rsidRDefault="00550A06" w:rsidP="00550A06">
      <w:pPr>
        <w:numPr>
          <w:ilvl w:val="0"/>
          <w:numId w:val="21"/>
        </w:numPr>
        <w:spacing w:after="240" w:line="276" w:lineRule="auto"/>
        <w:jc w:val="both"/>
        <w:rPr>
          <w:rFonts w:ascii="Arial" w:hAnsi="Arial" w:cs="Arial"/>
          <w:sz w:val="22"/>
          <w:szCs w:val="22"/>
          <w:lang w:val="en-US"/>
        </w:rPr>
      </w:pPr>
      <w:r w:rsidRPr="00550A06">
        <w:rPr>
          <w:rFonts w:ascii="Arial" w:hAnsi="Arial" w:cs="Arial"/>
          <w:sz w:val="22"/>
          <w:szCs w:val="22"/>
          <w:lang w:val="en-US"/>
        </w:rPr>
        <w:t xml:space="preserve">The structure of the gas and power markets is highly diverse. There is a high number of market participants in the spot market and their role in the market is very diverse. According to </w:t>
      </w:r>
      <w:proofErr w:type="spellStart"/>
      <w:r w:rsidRPr="00550A06">
        <w:rPr>
          <w:rFonts w:ascii="Arial" w:hAnsi="Arial" w:cs="Arial"/>
          <w:sz w:val="22"/>
          <w:szCs w:val="22"/>
          <w:lang w:val="en-US"/>
        </w:rPr>
        <w:t>BnetzA</w:t>
      </w:r>
      <w:proofErr w:type="spellEnd"/>
      <w:r w:rsidRPr="00550A06">
        <w:rPr>
          <w:rFonts w:ascii="Arial" w:hAnsi="Arial" w:cs="Arial"/>
          <w:sz w:val="22"/>
          <w:szCs w:val="22"/>
          <w:lang w:val="en-US"/>
        </w:rPr>
        <w:t xml:space="preserve"> data (Feb 2017) there are about 700 companies in Germany holding a license under §5 </w:t>
      </w:r>
      <w:proofErr w:type="spellStart"/>
      <w:r w:rsidRPr="00550A06">
        <w:rPr>
          <w:rFonts w:ascii="Arial" w:hAnsi="Arial" w:cs="Arial"/>
          <w:sz w:val="22"/>
          <w:szCs w:val="22"/>
          <w:lang w:val="en-US"/>
        </w:rPr>
        <w:t>EnWG</w:t>
      </w:r>
      <w:proofErr w:type="spellEnd"/>
      <w:r w:rsidRPr="00550A06">
        <w:rPr>
          <w:rFonts w:ascii="Arial" w:hAnsi="Arial" w:cs="Arial"/>
          <w:sz w:val="22"/>
          <w:szCs w:val="22"/>
          <w:lang w:val="en-US"/>
        </w:rPr>
        <w:t xml:space="preserve"> to supply electricity to retail clients. Moreover, due to the energy transition diversification is further increasing. Germany and all other European electricity markets are currently in a process of fundamental market design changes (‘</w:t>
      </w:r>
      <w:proofErr w:type="spellStart"/>
      <w:r w:rsidRPr="00550A06">
        <w:rPr>
          <w:rFonts w:ascii="Arial" w:hAnsi="Arial" w:cs="Arial"/>
          <w:sz w:val="22"/>
          <w:szCs w:val="22"/>
          <w:lang w:val="en-US"/>
        </w:rPr>
        <w:t>Energiewende</w:t>
      </w:r>
      <w:proofErr w:type="spellEnd"/>
      <w:r w:rsidRPr="00550A06">
        <w:rPr>
          <w:rFonts w:ascii="Arial" w:hAnsi="Arial" w:cs="Arial"/>
          <w:sz w:val="22"/>
          <w:szCs w:val="22"/>
          <w:lang w:val="en-US"/>
        </w:rPr>
        <w:t xml:space="preserve">’). At the same time, more and more renewable energy generation facilities and new generation companies are entering into the market, resulting in a steady decrease in wholesale prices with less generation hours and </w:t>
      </w:r>
      <w:r w:rsidRPr="00550A06">
        <w:rPr>
          <w:rFonts w:ascii="Arial" w:hAnsi="Arial" w:cs="Arial"/>
          <w:sz w:val="22"/>
          <w:szCs w:val="22"/>
          <w:lang w:val="en-US"/>
        </w:rPr>
        <w:lastRenderedPageBreak/>
        <w:t>margin pressure for conventional power plants. The market is thus becoming increasingly diverse, a trend that is further demonstrated by the recent decision from German incumbents RWE and E.ON to split their businesses to focus on conventional energy business on the one hand and the renewable business on the other hand.</w:t>
      </w:r>
    </w:p>
    <w:p w14:paraId="086C4487" w14:textId="4498E161" w:rsidR="00AB6157" w:rsidRPr="00550A06" w:rsidRDefault="00550A06" w:rsidP="00550A06">
      <w:pPr>
        <w:spacing w:after="240" w:line="276" w:lineRule="auto"/>
        <w:jc w:val="both"/>
        <w:rPr>
          <w:rFonts w:ascii="Arial" w:hAnsi="Arial" w:cs="Arial"/>
          <w:lang w:val="en-US"/>
        </w:rPr>
      </w:pPr>
      <w:r w:rsidRPr="00550A06">
        <w:rPr>
          <w:rFonts w:ascii="Arial" w:hAnsi="Arial" w:cs="Arial"/>
          <w:sz w:val="22"/>
          <w:szCs w:val="22"/>
          <w:lang w:val="en-US"/>
        </w:rPr>
        <w:t>In sum, the ease and speed of access with which market participants have access to the underlying commodity is considerably low and hence the position limits contribution to the prevention of market abuse in these markets is perceived to be low too.</w:t>
      </w:r>
    </w:p>
    <w:permEnd w:id="2132890315"/>
    <w:p w14:paraId="3C8DB028" w14:textId="77777777" w:rsidR="00AB6157" w:rsidRDefault="00AB6157" w:rsidP="00AB6157">
      <w:pPr>
        <w:rPr>
          <w:rFonts w:ascii="Arial" w:hAnsi="Arial" w:cs="Arial"/>
        </w:rPr>
      </w:pPr>
      <w:r>
        <w:rPr>
          <w:rFonts w:ascii="Arial" w:hAnsi="Arial" w:cs="Arial"/>
        </w:rPr>
        <w:t>&lt;ESMA_QUESTION_PLPM_3&gt;</w:t>
      </w:r>
    </w:p>
    <w:p w14:paraId="22ABC274" w14:textId="77777777" w:rsidR="00AB6157" w:rsidRDefault="00AB6157" w:rsidP="00AB6157">
      <w:pPr>
        <w:rPr>
          <w:rFonts w:ascii="Arial" w:hAnsi="Arial" w:cs="Arial"/>
        </w:rPr>
      </w:pPr>
    </w:p>
    <w:p w14:paraId="324FA067" w14:textId="77777777" w:rsidR="00AB6157" w:rsidRDefault="00AB6157" w:rsidP="00AB6157">
      <w:pPr>
        <w:pStyle w:val="Questionstyle"/>
        <w:numPr>
          <w:ilvl w:val="0"/>
          <w:numId w:val="9"/>
        </w:numPr>
        <w:spacing w:after="250" w:line="276" w:lineRule="auto"/>
      </w:pPr>
      <w:r>
        <w:t>:</w:t>
      </w:r>
      <w:bookmarkStart w:id="2" w:name="_Hlk8204234"/>
      <w:r>
        <w:t xml:space="preserve"> </w:t>
      </w:r>
      <w:r w:rsidRPr="0029675E">
        <w:t>In your view, what impact do position limits have on the orderly pricing and orderly settlement of commodity derivative contracts? Please elaborate by differentiating per asset class or per contract where relevant and provide evidence to support your answer when available</w:t>
      </w:r>
      <w:r>
        <w:t>.</w:t>
      </w:r>
      <w:bookmarkEnd w:id="2"/>
    </w:p>
    <w:p w14:paraId="33C9551A" w14:textId="77777777" w:rsidR="00AB6157" w:rsidRDefault="00AB6157" w:rsidP="00AB6157">
      <w:pPr>
        <w:rPr>
          <w:rFonts w:ascii="Arial" w:hAnsi="Arial" w:cs="Arial"/>
        </w:rPr>
      </w:pPr>
      <w:r>
        <w:rPr>
          <w:rFonts w:ascii="Arial" w:hAnsi="Arial" w:cs="Arial"/>
        </w:rPr>
        <w:t>&lt;ESMA_QUESTION_PLPM_4&gt;</w:t>
      </w:r>
    </w:p>
    <w:p w14:paraId="4DD29D70" w14:textId="2FB9F493" w:rsidR="00AB6157" w:rsidRPr="00137D1A" w:rsidRDefault="00137D1A" w:rsidP="00137D1A">
      <w:pPr>
        <w:spacing w:after="240" w:line="276" w:lineRule="auto"/>
        <w:jc w:val="both"/>
        <w:rPr>
          <w:rFonts w:ascii="Arial" w:hAnsi="Arial" w:cs="Arial"/>
          <w:sz w:val="22"/>
          <w:szCs w:val="22"/>
          <w:lang w:val="en-US"/>
        </w:rPr>
      </w:pPr>
      <w:permStart w:id="1691776623" w:edGrp="everyone"/>
      <w:r w:rsidRPr="00137D1A">
        <w:rPr>
          <w:rFonts w:ascii="Arial" w:hAnsi="Arial" w:cs="Arial"/>
          <w:sz w:val="22"/>
          <w:szCs w:val="22"/>
          <w:lang w:val="en-US"/>
        </w:rPr>
        <w:t xml:space="preserve">We do not believe that the </w:t>
      </w:r>
      <w:r w:rsidR="004A6B47">
        <w:rPr>
          <w:rFonts w:ascii="Arial" w:hAnsi="Arial" w:cs="Arial"/>
          <w:sz w:val="22"/>
          <w:szCs w:val="22"/>
          <w:lang w:val="en-US"/>
        </w:rPr>
        <w:t>position limit regime</w:t>
      </w:r>
      <w:r w:rsidRPr="00137D1A">
        <w:rPr>
          <w:rFonts w:ascii="Arial" w:hAnsi="Arial" w:cs="Arial"/>
          <w:sz w:val="22"/>
          <w:szCs w:val="22"/>
          <w:lang w:val="en-US"/>
        </w:rPr>
        <w:t xml:space="preserve"> has contributed to or improved the orderly pricing and orderly settlement of commodity derivatives markets. This is because ensuring orderly pricing and orderly settlement is one of the key tasks of an exchange and has been achieved already by a broad range of measures to avoid that any factors which might impact the price formation process are prevented. Open positions have little impact on trading activities and play therefore only a minor factor. Of much more importance are technical risks and other manipulative patterns stemming from order handling (such as painting the tape, spoofing, layering, momentum ignition, ping orders pump and dump </w:t>
      </w:r>
      <w:proofErr w:type="spellStart"/>
      <w:r w:rsidRPr="00137D1A">
        <w:rPr>
          <w:rFonts w:ascii="Arial" w:hAnsi="Arial" w:cs="Arial"/>
          <w:sz w:val="22"/>
          <w:szCs w:val="22"/>
          <w:lang w:val="en-US"/>
        </w:rPr>
        <w:t>etc</w:t>
      </w:r>
      <w:proofErr w:type="spellEnd"/>
      <w:r w:rsidRPr="00137D1A">
        <w:rPr>
          <w:rFonts w:ascii="Arial" w:hAnsi="Arial" w:cs="Arial"/>
          <w:sz w:val="22"/>
          <w:szCs w:val="22"/>
          <w:lang w:val="en-US"/>
        </w:rPr>
        <w:t>). Should transactions be used for trying to manipulate the market by sending misleading price signals, the individual trade and not a position is relevant.  Especially the settlement price, as the strongest market signal, is based on order prices, trade prices or fair values and is entirely independent of members’ positions. Hence, position limits do not have a positive impact</w:t>
      </w:r>
      <w:r w:rsidR="00A5626D">
        <w:rPr>
          <w:rFonts w:ascii="Arial" w:hAnsi="Arial" w:cs="Arial"/>
          <w:sz w:val="22"/>
          <w:szCs w:val="22"/>
          <w:lang w:val="en-US"/>
        </w:rPr>
        <w:t xml:space="preserve"> on</w:t>
      </w:r>
      <w:r w:rsidRPr="00137D1A">
        <w:rPr>
          <w:rFonts w:ascii="Arial" w:hAnsi="Arial" w:cs="Arial"/>
          <w:sz w:val="22"/>
          <w:szCs w:val="22"/>
          <w:lang w:val="en-US"/>
        </w:rPr>
        <w:t xml:space="preserve"> the settlement of a contract. Rather, by excluding market participants from trading, they limit the execution of trades and could have a negative impact on the orderly pricing of contracts</w:t>
      </w:r>
      <w:r w:rsidR="00A5626D">
        <w:rPr>
          <w:rFonts w:ascii="Arial" w:hAnsi="Arial" w:cs="Arial"/>
          <w:sz w:val="22"/>
          <w:szCs w:val="22"/>
          <w:lang w:val="en-US"/>
        </w:rPr>
        <w:t>, as well as the general transparency in the market</w:t>
      </w:r>
      <w:r w:rsidRPr="00137D1A">
        <w:rPr>
          <w:rFonts w:ascii="Arial" w:hAnsi="Arial" w:cs="Arial"/>
          <w:sz w:val="22"/>
          <w:szCs w:val="22"/>
          <w:lang w:val="en-US"/>
        </w:rPr>
        <w:t>.</w:t>
      </w:r>
    </w:p>
    <w:permEnd w:id="1691776623"/>
    <w:p w14:paraId="23EEA71C" w14:textId="77777777" w:rsidR="00AB6157" w:rsidRDefault="00AB6157" w:rsidP="00AB6157">
      <w:pPr>
        <w:rPr>
          <w:rFonts w:ascii="Arial" w:hAnsi="Arial" w:cs="Arial"/>
        </w:rPr>
      </w:pPr>
      <w:r>
        <w:rPr>
          <w:rFonts w:ascii="Arial" w:hAnsi="Arial" w:cs="Arial"/>
        </w:rPr>
        <w:t>&lt;ESMA_QUESTION_PLPM_4&gt;</w:t>
      </w:r>
    </w:p>
    <w:p w14:paraId="158D9359" w14:textId="77777777" w:rsidR="00AB6157" w:rsidRDefault="00AB6157" w:rsidP="00AB6157">
      <w:pPr>
        <w:rPr>
          <w:rFonts w:ascii="Arial" w:hAnsi="Arial" w:cs="Arial"/>
        </w:rPr>
      </w:pPr>
    </w:p>
    <w:p w14:paraId="735A7D51" w14:textId="77777777" w:rsidR="00AB6157" w:rsidRDefault="00AB6157" w:rsidP="00AB6157">
      <w:pPr>
        <w:pStyle w:val="Questionstyle"/>
        <w:numPr>
          <w:ilvl w:val="0"/>
          <w:numId w:val="9"/>
        </w:numPr>
        <w:spacing w:after="250" w:line="276" w:lineRule="auto"/>
      </w:pPr>
      <w:r>
        <w:t xml:space="preserve">: </w:t>
      </w:r>
      <w:r w:rsidRPr="0029675E">
        <w:t xml:space="preserve">More generally, and beyond the specific items identified above, what would be your overall assessment of the impact of position limits on EU commodity derivatives markets since the application of MiFID II? </w:t>
      </w:r>
    </w:p>
    <w:p w14:paraId="71869145" w14:textId="77777777" w:rsidR="00AB6157" w:rsidRDefault="00AB6157" w:rsidP="00AB6157">
      <w:pPr>
        <w:rPr>
          <w:rFonts w:ascii="Arial" w:hAnsi="Arial" w:cs="Arial"/>
        </w:rPr>
      </w:pPr>
      <w:r>
        <w:rPr>
          <w:rFonts w:ascii="Arial" w:hAnsi="Arial" w:cs="Arial"/>
        </w:rPr>
        <w:t>&lt;ESMA_QUESTION_PLPM_5&gt;</w:t>
      </w:r>
    </w:p>
    <w:p w14:paraId="62DA4361" w14:textId="1315C590" w:rsidR="00867AFA" w:rsidRPr="00867AFA" w:rsidRDefault="00A5626D" w:rsidP="00867AFA">
      <w:pPr>
        <w:spacing w:after="240" w:line="276" w:lineRule="auto"/>
        <w:jc w:val="both"/>
        <w:rPr>
          <w:rFonts w:ascii="Arial" w:hAnsi="Arial" w:cs="Arial"/>
          <w:sz w:val="22"/>
          <w:szCs w:val="22"/>
          <w:lang w:val="en-US"/>
        </w:rPr>
      </w:pPr>
      <w:permStart w:id="2095395218" w:edGrp="everyone"/>
      <w:r>
        <w:rPr>
          <w:rFonts w:ascii="Arial" w:hAnsi="Arial" w:cs="Arial"/>
          <w:sz w:val="22"/>
          <w:szCs w:val="22"/>
          <w:lang w:val="en-US"/>
        </w:rPr>
        <w:t>As mentioned above, i</w:t>
      </w:r>
      <w:r w:rsidR="00867AFA" w:rsidRPr="00867AFA">
        <w:rPr>
          <w:rFonts w:ascii="Arial" w:hAnsi="Arial" w:cs="Arial"/>
          <w:sz w:val="22"/>
          <w:szCs w:val="22"/>
          <w:lang w:val="en-US"/>
        </w:rPr>
        <w:t xml:space="preserve">n our opinion, the MiFID II </w:t>
      </w:r>
      <w:r w:rsidR="004A6B47">
        <w:rPr>
          <w:rFonts w:ascii="Arial" w:hAnsi="Arial" w:cs="Arial"/>
          <w:sz w:val="22"/>
          <w:szCs w:val="22"/>
          <w:lang w:val="en-US"/>
        </w:rPr>
        <w:t>position limit regime</w:t>
      </w:r>
      <w:r w:rsidR="00867AFA" w:rsidRPr="00867AFA">
        <w:rPr>
          <w:rFonts w:ascii="Arial" w:hAnsi="Arial" w:cs="Arial"/>
          <w:sz w:val="22"/>
          <w:szCs w:val="22"/>
          <w:lang w:val="en-US"/>
        </w:rPr>
        <w:t xml:space="preserve"> has so far been able to function in a reasonable manner for a number of well-developed and mainly physical benchmark contracts. These highly developed markets are </w:t>
      </w:r>
      <w:proofErr w:type="spellStart"/>
      <w:r w:rsidR="00867AFA" w:rsidRPr="00867AFA">
        <w:rPr>
          <w:rFonts w:ascii="Arial" w:hAnsi="Arial" w:cs="Arial"/>
          <w:sz w:val="22"/>
          <w:szCs w:val="22"/>
          <w:lang w:val="en-US"/>
        </w:rPr>
        <w:t>characterised</w:t>
      </w:r>
      <w:proofErr w:type="spellEnd"/>
      <w:r w:rsidR="00867AFA" w:rsidRPr="00867AFA">
        <w:rPr>
          <w:rFonts w:ascii="Arial" w:hAnsi="Arial" w:cs="Arial"/>
          <w:sz w:val="22"/>
          <w:szCs w:val="22"/>
          <w:lang w:val="en-US"/>
        </w:rPr>
        <w:t xml:space="preserve"> by a large number of different types of active trading firms and an overall substantial amount of open interest. However, for the development of new products and further growth of the existing illiquid commodity derivative markets, the </w:t>
      </w:r>
      <w:r w:rsidR="004A6B47">
        <w:rPr>
          <w:rFonts w:ascii="Arial" w:hAnsi="Arial" w:cs="Arial"/>
          <w:sz w:val="22"/>
          <w:szCs w:val="22"/>
          <w:lang w:val="en-US"/>
        </w:rPr>
        <w:t>position limit regime</w:t>
      </w:r>
      <w:r w:rsidR="00867AFA" w:rsidRPr="00867AFA">
        <w:rPr>
          <w:rFonts w:ascii="Arial" w:hAnsi="Arial" w:cs="Arial"/>
          <w:sz w:val="22"/>
          <w:szCs w:val="22"/>
          <w:lang w:val="en-US"/>
        </w:rPr>
        <w:t xml:space="preserve"> has proven to be a substantial barrier. </w:t>
      </w:r>
    </w:p>
    <w:p w14:paraId="6A57C803" w14:textId="77777777"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Fast growing markets in particular have suffered from:</w:t>
      </w:r>
    </w:p>
    <w:p w14:paraId="44A10AE2" w14:textId="77777777" w:rsidR="00867AFA" w:rsidRPr="00867AFA" w:rsidRDefault="00867AFA" w:rsidP="00867AFA">
      <w:pPr>
        <w:numPr>
          <w:ilvl w:val="0"/>
          <w:numId w:val="22"/>
        </w:numPr>
        <w:spacing w:line="276" w:lineRule="auto"/>
        <w:ind w:left="403"/>
        <w:jc w:val="both"/>
        <w:rPr>
          <w:rFonts w:ascii="Arial" w:hAnsi="Arial" w:cs="Arial"/>
          <w:sz w:val="22"/>
          <w:szCs w:val="22"/>
          <w:lang w:val="en-US"/>
        </w:rPr>
      </w:pPr>
      <w:r w:rsidRPr="00867AFA">
        <w:rPr>
          <w:rFonts w:ascii="Arial" w:hAnsi="Arial" w:cs="Arial"/>
          <w:sz w:val="22"/>
          <w:szCs w:val="22"/>
          <w:lang w:val="en-US"/>
        </w:rPr>
        <w:lastRenderedPageBreak/>
        <w:t xml:space="preserve">The de </w:t>
      </w:r>
      <w:proofErr w:type="spellStart"/>
      <w:r w:rsidRPr="00867AFA">
        <w:rPr>
          <w:rFonts w:ascii="Arial" w:hAnsi="Arial" w:cs="Arial"/>
          <w:sz w:val="22"/>
          <w:szCs w:val="22"/>
          <w:lang w:val="en-US"/>
        </w:rPr>
        <w:t>minimis</w:t>
      </w:r>
      <w:proofErr w:type="spellEnd"/>
      <w:r w:rsidRPr="00867AFA">
        <w:rPr>
          <w:rFonts w:ascii="Arial" w:hAnsi="Arial" w:cs="Arial"/>
          <w:sz w:val="22"/>
          <w:szCs w:val="22"/>
          <w:lang w:val="en-US"/>
        </w:rPr>
        <w:t xml:space="preserve"> limit of 2,500 lots which appears to be too restrictive when a contracts comes close to 10,000 lots of open interest. For examples in freight and gas, see our response to Q1.</w:t>
      </w:r>
    </w:p>
    <w:p w14:paraId="712B5A3D" w14:textId="363D3196" w:rsidR="00867AFA" w:rsidRPr="00867AFA" w:rsidRDefault="00867AFA" w:rsidP="00867AFA">
      <w:pPr>
        <w:numPr>
          <w:ilvl w:val="0"/>
          <w:numId w:val="22"/>
        </w:numPr>
        <w:spacing w:line="276" w:lineRule="auto"/>
        <w:ind w:left="403"/>
        <w:jc w:val="both"/>
        <w:rPr>
          <w:rFonts w:ascii="Arial" w:hAnsi="Arial" w:cs="Arial"/>
          <w:sz w:val="22"/>
          <w:szCs w:val="22"/>
          <w:lang w:val="en-US"/>
        </w:rPr>
      </w:pPr>
      <w:r w:rsidRPr="00867AFA">
        <w:rPr>
          <w:rFonts w:ascii="Arial" w:hAnsi="Arial" w:cs="Arial"/>
          <w:sz w:val="22"/>
          <w:szCs w:val="22"/>
          <w:lang w:val="en-US"/>
        </w:rPr>
        <w:t xml:space="preserve">The lack of flexibility </w:t>
      </w:r>
      <w:r w:rsidR="00F37499">
        <w:rPr>
          <w:rFonts w:ascii="Arial" w:hAnsi="Arial" w:cs="Arial"/>
          <w:sz w:val="22"/>
          <w:szCs w:val="22"/>
          <w:lang w:val="en-US"/>
        </w:rPr>
        <w:t xml:space="preserve">in the rules </w:t>
      </w:r>
      <w:r w:rsidRPr="00867AFA">
        <w:rPr>
          <w:rFonts w:ascii="Arial" w:hAnsi="Arial" w:cs="Arial"/>
          <w:sz w:val="22"/>
          <w:szCs w:val="22"/>
          <w:lang w:val="en-US"/>
        </w:rPr>
        <w:t>for NCAs to deal with special circumstances (by for example using anticipated instead of current or past open interest). For examples in freight and power, see our response to Q1.</w:t>
      </w:r>
    </w:p>
    <w:p w14:paraId="2731C3B5" w14:textId="77777777" w:rsidR="00867AFA" w:rsidRPr="00867AFA" w:rsidRDefault="00867AFA" w:rsidP="00867AFA">
      <w:pPr>
        <w:numPr>
          <w:ilvl w:val="0"/>
          <w:numId w:val="22"/>
        </w:numPr>
        <w:spacing w:line="276" w:lineRule="auto"/>
        <w:ind w:left="403"/>
        <w:jc w:val="both"/>
        <w:rPr>
          <w:rFonts w:ascii="Arial" w:hAnsi="Arial" w:cs="Arial"/>
          <w:sz w:val="22"/>
          <w:szCs w:val="22"/>
          <w:lang w:val="en-US"/>
        </w:rPr>
      </w:pPr>
      <w:r w:rsidRPr="00867AFA">
        <w:rPr>
          <w:rFonts w:ascii="Arial" w:hAnsi="Arial" w:cs="Arial"/>
          <w:sz w:val="22"/>
          <w:szCs w:val="22"/>
          <w:lang w:val="en-US"/>
        </w:rPr>
        <w:t>The slow pace with which bespoke position limits are set and with which bespoke position limits are reviewed. For examples in freight and power, see our response to Q1.</w:t>
      </w:r>
    </w:p>
    <w:p w14:paraId="3B2DBFCF" w14:textId="77777777" w:rsidR="00867AFA" w:rsidRPr="00867AFA" w:rsidRDefault="00867AFA" w:rsidP="00867AFA">
      <w:pPr>
        <w:numPr>
          <w:ilvl w:val="0"/>
          <w:numId w:val="22"/>
        </w:numPr>
        <w:spacing w:after="240" w:line="276" w:lineRule="auto"/>
        <w:ind w:left="403"/>
        <w:jc w:val="both"/>
        <w:rPr>
          <w:rFonts w:ascii="Arial" w:hAnsi="Arial" w:cs="Arial"/>
          <w:sz w:val="22"/>
          <w:szCs w:val="22"/>
          <w:lang w:val="en-US"/>
        </w:rPr>
      </w:pPr>
      <w:r w:rsidRPr="00867AFA">
        <w:rPr>
          <w:rFonts w:ascii="Arial" w:hAnsi="Arial" w:cs="Arial"/>
          <w:sz w:val="22"/>
          <w:szCs w:val="22"/>
          <w:lang w:val="en-US"/>
        </w:rPr>
        <w:t>The relatively complex process to apply for a hedging exemption, as well as the fact that the hedging exemption is only available for non-financial entities, even though there also financial entities engaging in genuine hedging activities. For examples in freight, power and gas, see our response to Q1 and Q16.</w:t>
      </w:r>
    </w:p>
    <w:p w14:paraId="652445DC" w14:textId="77777777"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Furthermore, we believe that the regime may contribute to pushing the liquidity to the largest exchange hosting a benchmark contract, if materially different position applies to similar contracts listed by different exchanges.</w:t>
      </w:r>
    </w:p>
    <w:p w14:paraId="3B98E4B6" w14:textId="6AC46DCF" w:rsidR="00867AFA" w:rsidRPr="00867AFA" w:rsidRDefault="00867AFA" w:rsidP="00867AFA">
      <w:pPr>
        <w:spacing w:after="240" w:line="276" w:lineRule="auto"/>
        <w:jc w:val="both"/>
        <w:rPr>
          <w:rFonts w:ascii="Arial" w:hAnsi="Arial" w:cs="Arial"/>
          <w:sz w:val="22"/>
          <w:szCs w:val="22"/>
        </w:rPr>
      </w:pPr>
      <w:r w:rsidRPr="00867AFA">
        <w:rPr>
          <w:rFonts w:ascii="Arial" w:hAnsi="Arial" w:cs="Arial"/>
          <w:sz w:val="22"/>
          <w:szCs w:val="22"/>
          <w:lang w:val="en-US"/>
        </w:rPr>
        <w:t xml:space="preserve">Considering the limited contribution that the </w:t>
      </w:r>
      <w:r w:rsidR="004A6B47">
        <w:rPr>
          <w:rFonts w:ascii="Arial" w:hAnsi="Arial" w:cs="Arial"/>
          <w:sz w:val="22"/>
          <w:szCs w:val="22"/>
          <w:lang w:val="en-US"/>
        </w:rPr>
        <w:t>position limit regime</w:t>
      </w:r>
      <w:r w:rsidRPr="00867AFA">
        <w:rPr>
          <w:rFonts w:ascii="Arial" w:hAnsi="Arial" w:cs="Arial"/>
          <w:sz w:val="22"/>
          <w:szCs w:val="22"/>
          <w:lang w:val="en-US"/>
        </w:rPr>
        <w:t xml:space="preserve"> has on orderly pricing and orderly settlement and prevention of market abuse, we believe </w:t>
      </w:r>
      <w:r w:rsidRPr="00867AFA">
        <w:rPr>
          <w:rFonts w:ascii="Arial" w:hAnsi="Arial" w:cs="Arial"/>
          <w:b/>
          <w:sz w:val="22"/>
          <w:szCs w:val="22"/>
          <w:lang w:val="en-US"/>
        </w:rPr>
        <w:t xml:space="preserve">the objective of the review of the </w:t>
      </w:r>
      <w:r w:rsidR="004A6B47">
        <w:rPr>
          <w:rFonts w:ascii="Arial" w:hAnsi="Arial" w:cs="Arial"/>
          <w:b/>
          <w:sz w:val="22"/>
          <w:szCs w:val="22"/>
          <w:lang w:val="en-US"/>
        </w:rPr>
        <w:t>position limit regime</w:t>
      </w:r>
      <w:r w:rsidRPr="00867AFA">
        <w:rPr>
          <w:rFonts w:ascii="Arial" w:hAnsi="Arial" w:cs="Arial"/>
          <w:b/>
          <w:sz w:val="22"/>
          <w:szCs w:val="22"/>
          <w:lang w:val="en-US"/>
        </w:rPr>
        <w:t xml:space="preserve"> should be to have a more proportionate and efficient </w:t>
      </w:r>
      <w:r w:rsidR="004A6B47">
        <w:rPr>
          <w:rFonts w:ascii="Arial" w:hAnsi="Arial" w:cs="Arial"/>
          <w:b/>
          <w:sz w:val="22"/>
          <w:szCs w:val="22"/>
          <w:lang w:val="en-US"/>
        </w:rPr>
        <w:t>position limit regime</w:t>
      </w:r>
      <w:r w:rsidRPr="00867AFA">
        <w:rPr>
          <w:rFonts w:ascii="Arial" w:hAnsi="Arial" w:cs="Arial"/>
          <w:sz w:val="22"/>
          <w:szCs w:val="22"/>
          <w:lang w:val="en-US"/>
        </w:rPr>
        <w:t xml:space="preserve">. </w:t>
      </w:r>
      <w:r w:rsidRPr="00867AFA">
        <w:rPr>
          <w:rFonts w:ascii="Arial" w:hAnsi="Arial" w:cs="Arial"/>
          <w:b/>
          <w:sz w:val="22"/>
          <w:szCs w:val="22"/>
          <w:lang w:val="en-US"/>
        </w:rPr>
        <w:t>This can be achieved by</w:t>
      </w:r>
      <w:r w:rsidRPr="00867AFA">
        <w:rPr>
          <w:rFonts w:ascii="Arial" w:hAnsi="Arial" w:cs="Arial"/>
          <w:sz w:val="22"/>
          <w:szCs w:val="22"/>
          <w:lang w:val="en-US"/>
        </w:rPr>
        <w:t xml:space="preserve"> </w:t>
      </w:r>
      <w:r w:rsidRPr="00867AFA">
        <w:rPr>
          <w:rFonts w:ascii="Arial" w:hAnsi="Arial" w:cs="Arial"/>
          <w:b/>
          <w:sz w:val="22"/>
          <w:szCs w:val="22"/>
        </w:rPr>
        <w:t xml:space="preserve">focusing the application of the MiFID II </w:t>
      </w:r>
      <w:r w:rsidR="004A6B47">
        <w:rPr>
          <w:rFonts w:ascii="Arial" w:hAnsi="Arial" w:cs="Arial"/>
          <w:b/>
          <w:sz w:val="22"/>
          <w:szCs w:val="22"/>
        </w:rPr>
        <w:t>position limit regime</w:t>
      </w:r>
      <w:r w:rsidRPr="00867AFA">
        <w:rPr>
          <w:rFonts w:ascii="Arial" w:hAnsi="Arial" w:cs="Arial"/>
          <w:b/>
          <w:sz w:val="22"/>
          <w:szCs w:val="22"/>
        </w:rPr>
        <w:t xml:space="preserve"> on a more limited set of important, critical (benchmark) commodity derivative contracts. </w:t>
      </w:r>
      <w:r w:rsidRPr="00867AFA">
        <w:rPr>
          <w:rFonts w:ascii="Arial" w:hAnsi="Arial" w:cs="Arial"/>
          <w:sz w:val="22"/>
          <w:szCs w:val="22"/>
        </w:rPr>
        <w:t>Such a refocus of the position limit regime on (e.g. physical) benchmark contracts would make it more efficient, mitigate the unintended consequences and reduce the compliance burden for all concerned parties (market participants, trading venues, NCAs/ESMA). Most importantly, such a</w:t>
      </w:r>
      <w:r w:rsidR="00A5626D">
        <w:rPr>
          <w:rFonts w:ascii="Arial" w:hAnsi="Arial" w:cs="Arial"/>
          <w:sz w:val="22"/>
          <w:szCs w:val="22"/>
        </w:rPr>
        <w:t xml:space="preserve"> targeted</w:t>
      </w:r>
      <w:r w:rsidRPr="00867AFA">
        <w:rPr>
          <w:rFonts w:ascii="Arial" w:hAnsi="Arial" w:cs="Arial"/>
          <w:sz w:val="22"/>
          <w:szCs w:val="22"/>
        </w:rPr>
        <w:t xml:space="preserve"> approach </w:t>
      </w:r>
      <w:r w:rsidR="00C73E0D">
        <w:rPr>
          <w:rFonts w:ascii="Arial" w:hAnsi="Arial" w:cs="Arial"/>
          <w:sz w:val="22"/>
          <w:szCs w:val="22"/>
        </w:rPr>
        <w:t>would allow</w:t>
      </w:r>
      <w:r w:rsidRPr="00867AFA">
        <w:rPr>
          <w:rFonts w:ascii="Arial" w:hAnsi="Arial" w:cs="Arial"/>
          <w:sz w:val="22"/>
          <w:szCs w:val="22"/>
        </w:rPr>
        <w:t xml:space="preserve"> new and nascent products to develop</w:t>
      </w:r>
      <w:r w:rsidR="00A5626D">
        <w:rPr>
          <w:rFonts w:ascii="Arial" w:hAnsi="Arial" w:cs="Arial"/>
          <w:sz w:val="22"/>
          <w:szCs w:val="22"/>
        </w:rPr>
        <w:t xml:space="preserve">, </w:t>
      </w:r>
      <w:r w:rsidRPr="00867AFA">
        <w:rPr>
          <w:rFonts w:ascii="Arial" w:hAnsi="Arial" w:cs="Arial"/>
          <w:sz w:val="22"/>
          <w:szCs w:val="22"/>
        </w:rPr>
        <w:t xml:space="preserve">in line with the policy objective of the Directive as expressed in its implementing RTS 21: </w:t>
      </w:r>
    </w:p>
    <w:p w14:paraId="738AE125" w14:textId="77777777" w:rsidR="00867AFA" w:rsidRPr="00867AFA" w:rsidRDefault="00867AFA" w:rsidP="00867AFA">
      <w:pPr>
        <w:spacing w:after="240" w:line="276" w:lineRule="auto"/>
        <w:jc w:val="both"/>
        <w:rPr>
          <w:rFonts w:ascii="Arial" w:hAnsi="Arial" w:cs="Arial"/>
          <w:i/>
          <w:sz w:val="22"/>
          <w:szCs w:val="22"/>
        </w:rPr>
      </w:pPr>
      <w:r w:rsidRPr="00867AFA">
        <w:rPr>
          <w:rFonts w:ascii="Arial" w:hAnsi="Arial" w:cs="Arial"/>
          <w:i/>
          <w:sz w:val="22"/>
          <w:szCs w:val="22"/>
        </w:rPr>
        <w:t xml:space="preserve">“Position limits should not create barriers to the development of new commodity derivatives and should not prevent less liquid sections of the commodity derivative markets from working adequately“ </w:t>
      </w:r>
    </w:p>
    <w:p w14:paraId="31EC5023" w14:textId="183A6F82" w:rsidR="00867AFA" w:rsidRPr="00867AFA" w:rsidRDefault="00867AFA" w:rsidP="00867AFA">
      <w:pPr>
        <w:spacing w:after="240" w:line="276" w:lineRule="auto"/>
        <w:jc w:val="both"/>
        <w:rPr>
          <w:rFonts w:ascii="Arial" w:hAnsi="Arial" w:cs="Arial"/>
          <w:sz w:val="22"/>
          <w:szCs w:val="22"/>
        </w:rPr>
      </w:pPr>
      <w:r w:rsidRPr="00867AFA">
        <w:rPr>
          <w:rFonts w:ascii="Arial" w:hAnsi="Arial" w:cs="Arial"/>
          <w:sz w:val="22"/>
          <w:szCs w:val="22"/>
        </w:rPr>
        <w:t xml:space="preserve">At the same time, we believe that such an amendment would better fulfil the overall objective of MiFID II to “improve the functioning and transparency of commodity markets and address excessive commodity price volatility”. A refocus of the systems is justified as the price formation mainly occurs in mature products which </w:t>
      </w:r>
      <w:r w:rsidR="00A5626D">
        <w:rPr>
          <w:rFonts w:ascii="Arial" w:hAnsi="Arial" w:cs="Arial"/>
          <w:sz w:val="22"/>
          <w:szCs w:val="22"/>
        </w:rPr>
        <w:t>serve as</w:t>
      </w:r>
      <w:r w:rsidRPr="00867AFA">
        <w:rPr>
          <w:rFonts w:ascii="Arial" w:hAnsi="Arial" w:cs="Arial"/>
          <w:sz w:val="22"/>
          <w:szCs w:val="22"/>
        </w:rPr>
        <w:t xml:space="preserve"> benchmarks for the respective market. 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the </w:t>
      </w:r>
      <w:r w:rsidR="004A6B47">
        <w:rPr>
          <w:rFonts w:ascii="Arial" w:hAnsi="Arial" w:cs="Arial"/>
          <w:sz w:val="22"/>
          <w:szCs w:val="22"/>
        </w:rPr>
        <w:t>position limit regime</w:t>
      </w:r>
      <w:r w:rsidRPr="00867AFA">
        <w:rPr>
          <w:rFonts w:ascii="Arial" w:hAnsi="Arial" w:cs="Arial"/>
          <w:sz w:val="22"/>
          <w:szCs w:val="22"/>
        </w:rPr>
        <w:t xml:space="preserve"> would bring us closer to regulatory level-playing field between the EU and US commodity markets and protect the liquidity and competitiveness of EU commodity markets.</w:t>
      </w:r>
    </w:p>
    <w:p w14:paraId="51CB26C1" w14:textId="77777777" w:rsidR="00867AFA" w:rsidRPr="00867AFA" w:rsidRDefault="00867AFA" w:rsidP="00867AFA">
      <w:pPr>
        <w:spacing w:after="240" w:line="276" w:lineRule="auto"/>
        <w:jc w:val="both"/>
        <w:rPr>
          <w:rFonts w:ascii="Arial" w:hAnsi="Arial" w:cs="Arial"/>
          <w:sz w:val="22"/>
          <w:szCs w:val="22"/>
        </w:rPr>
      </w:pPr>
      <w:r w:rsidRPr="00867AFA">
        <w:rPr>
          <w:rFonts w:ascii="Arial" w:hAnsi="Arial" w:cs="Arial"/>
          <w:sz w:val="22"/>
          <w:szCs w:val="22"/>
        </w:rPr>
        <w:t xml:space="preserve">The other (non-significant) contracts would remain subject to the position reporting regime under MiFID II Art. 58, the pre-existing position monitoring and position management measures by exchanges and the market oversight practices of the exchanges’ market </w:t>
      </w:r>
      <w:r w:rsidRPr="00867AFA">
        <w:rPr>
          <w:rFonts w:ascii="Arial" w:hAnsi="Arial" w:cs="Arial"/>
          <w:sz w:val="22"/>
          <w:szCs w:val="22"/>
        </w:rPr>
        <w:lastRenderedPageBreak/>
        <w:t>supervision and market surveillance departments that apply the principles laid down in the Regulation on Energy Markets Integrity and Transparency (REMIT) and the Market Abuse Regulation (MAR). Thus, removing position limits for such contracts would not pose any risk to the transparency and functioning of the respective markets. On the contrary, attracting more volume to regulated venues would contribute to a more transparent trading environment.</w:t>
      </w:r>
    </w:p>
    <w:p w14:paraId="799AA45C" w14:textId="77777777" w:rsidR="00867AFA" w:rsidRPr="00867AFA" w:rsidRDefault="00867AFA" w:rsidP="00867AFA">
      <w:pPr>
        <w:spacing w:after="240" w:line="276" w:lineRule="auto"/>
        <w:jc w:val="both"/>
        <w:rPr>
          <w:rFonts w:ascii="Arial" w:hAnsi="Arial" w:cs="Arial"/>
          <w:sz w:val="22"/>
          <w:szCs w:val="22"/>
        </w:rPr>
      </w:pPr>
      <w:r w:rsidRPr="00867AFA">
        <w:rPr>
          <w:rFonts w:ascii="Arial" w:hAnsi="Arial" w:cs="Arial"/>
          <w:sz w:val="22"/>
          <w:szCs w:val="22"/>
        </w:rPr>
        <w:t xml:space="preserve">However, should such a refocus not be possible, then RTS 21 should suspend the application of the spot and other months’ position limit for commodity derivatives traded on a trading venue with a total combined open interest in spot and other months' contracts not exceeding 20,000 lots over a consecutive three-month period (where this assessment must take place over the total period, and not on a Day 1/single day basis). </w:t>
      </w:r>
    </w:p>
    <w:p w14:paraId="52800637" w14:textId="144FB780" w:rsidR="00AB6157"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Instead of or in addition to limiting the scope of the </w:t>
      </w:r>
      <w:r w:rsidR="004A6B47">
        <w:rPr>
          <w:rFonts w:ascii="Arial" w:hAnsi="Arial" w:cs="Arial"/>
          <w:sz w:val="22"/>
          <w:szCs w:val="22"/>
          <w:lang w:val="en-US"/>
        </w:rPr>
        <w:t>position limit regime</w:t>
      </w:r>
      <w:r w:rsidRPr="00867AFA">
        <w:rPr>
          <w:rFonts w:ascii="Arial" w:hAnsi="Arial" w:cs="Arial"/>
          <w:sz w:val="22"/>
          <w:szCs w:val="22"/>
          <w:lang w:val="en-US"/>
        </w:rPr>
        <w:t xml:space="preserve">, another approach would be to review the </w:t>
      </w:r>
      <w:r w:rsidR="004A6B47">
        <w:rPr>
          <w:rFonts w:ascii="Arial" w:hAnsi="Arial" w:cs="Arial"/>
          <w:sz w:val="22"/>
          <w:szCs w:val="22"/>
          <w:lang w:val="en-US"/>
        </w:rPr>
        <w:t>position limit regime</w:t>
      </w:r>
      <w:r w:rsidRPr="00867AFA">
        <w:rPr>
          <w:rFonts w:ascii="Arial" w:hAnsi="Arial" w:cs="Arial"/>
          <w:sz w:val="22"/>
          <w:szCs w:val="22"/>
          <w:lang w:val="en-US"/>
        </w:rPr>
        <w:t xml:space="preserve"> in view of making it more flexible, not only for NCAs to deal with special circumstances such as index transfers and bidding zone splits, but also for NCAs to deal with a breach of the position limit in general. So far the majority of breaches of EEX Group position limits were related to errors in position reporting, the lack of a hedging exemption or the lack of a liquidity provision exemption. We believe that there is merit for the </w:t>
      </w:r>
      <w:r w:rsidR="004A6B47">
        <w:rPr>
          <w:rFonts w:ascii="Arial" w:hAnsi="Arial" w:cs="Arial"/>
          <w:sz w:val="22"/>
          <w:szCs w:val="22"/>
          <w:lang w:val="en-US"/>
        </w:rPr>
        <w:t>position limit regime</w:t>
      </w:r>
      <w:r w:rsidRPr="00867AFA">
        <w:rPr>
          <w:rFonts w:ascii="Arial" w:hAnsi="Arial" w:cs="Arial"/>
          <w:sz w:val="22"/>
          <w:szCs w:val="22"/>
          <w:lang w:val="en-US"/>
        </w:rPr>
        <w:t xml:space="preserve"> to function as a warning system that alert NCAs whenever there is a breach so that NCAs can start to investigate whether there is an actual risk of market abuse. In the case of gas and power derivatives, </w:t>
      </w:r>
      <w:r w:rsidR="00A5626D">
        <w:rPr>
          <w:rFonts w:ascii="Arial" w:hAnsi="Arial" w:cs="Arial"/>
          <w:sz w:val="22"/>
          <w:szCs w:val="22"/>
          <w:lang w:val="en-US"/>
        </w:rPr>
        <w:t xml:space="preserve">it could be the responsibility of </w:t>
      </w:r>
      <w:r w:rsidRPr="00867AFA">
        <w:rPr>
          <w:rFonts w:ascii="Arial" w:hAnsi="Arial" w:cs="Arial"/>
          <w:sz w:val="22"/>
          <w:szCs w:val="22"/>
          <w:lang w:val="en-US"/>
        </w:rPr>
        <w:t xml:space="preserve">the NCA </w:t>
      </w:r>
      <w:r w:rsidR="00A5626D">
        <w:rPr>
          <w:rFonts w:ascii="Arial" w:hAnsi="Arial" w:cs="Arial"/>
          <w:sz w:val="22"/>
          <w:szCs w:val="22"/>
          <w:lang w:val="en-US"/>
        </w:rPr>
        <w:t>to</w:t>
      </w:r>
      <w:r w:rsidRPr="00867AFA">
        <w:rPr>
          <w:rFonts w:ascii="Arial" w:hAnsi="Arial" w:cs="Arial"/>
          <w:sz w:val="22"/>
          <w:szCs w:val="22"/>
          <w:lang w:val="en-US"/>
        </w:rPr>
        <w:t xml:space="preserve"> forward the case to the Agency of Cooperation of Energy Regulators whose main task is to prevent market abuse.</w:t>
      </w:r>
    </w:p>
    <w:permEnd w:id="2095395218"/>
    <w:p w14:paraId="147B5974" w14:textId="77777777" w:rsidR="00AB6157" w:rsidRDefault="00AB6157" w:rsidP="00AB6157">
      <w:pPr>
        <w:rPr>
          <w:rFonts w:ascii="Arial" w:hAnsi="Arial" w:cs="Arial"/>
        </w:rPr>
      </w:pPr>
      <w:r>
        <w:rPr>
          <w:rFonts w:ascii="Arial" w:hAnsi="Arial" w:cs="Arial"/>
        </w:rPr>
        <w:t>&lt;ESMA_QUESTION_PLPM_5&gt;</w:t>
      </w:r>
    </w:p>
    <w:p w14:paraId="5B237914" w14:textId="77777777" w:rsidR="00AB6157" w:rsidRDefault="00AB6157" w:rsidP="00AB6157">
      <w:pPr>
        <w:rPr>
          <w:rFonts w:ascii="Arial" w:hAnsi="Arial" w:cs="Arial"/>
        </w:rPr>
      </w:pPr>
    </w:p>
    <w:p w14:paraId="7AE8C81B" w14:textId="77777777" w:rsidR="00AB6157" w:rsidRDefault="00AB6157" w:rsidP="00AB6157">
      <w:pPr>
        <w:pStyle w:val="Questionstyle"/>
        <w:numPr>
          <w:ilvl w:val="0"/>
          <w:numId w:val="9"/>
        </w:numPr>
        <w:spacing w:after="250" w:line="276" w:lineRule="auto"/>
      </w:pPr>
      <w:r>
        <w:t>: Do you consider that position management controls have an impact on the liquidity of commodity derivatives markets?</w:t>
      </w:r>
      <w:r w:rsidRPr="0089690D">
        <w:t xml:space="preserve"> </w:t>
      </w:r>
      <w:r>
        <w:t>If so, please elaborate, differentiating per commodity derivative trading venues or contract where appropriate.</w:t>
      </w:r>
    </w:p>
    <w:p w14:paraId="4F51BDD3" w14:textId="77777777" w:rsidR="00AB6157" w:rsidRDefault="00AB6157" w:rsidP="00AB6157">
      <w:pPr>
        <w:rPr>
          <w:rFonts w:ascii="Arial" w:hAnsi="Arial" w:cs="Arial"/>
        </w:rPr>
      </w:pPr>
      <w:r>
        <w:rPr>
          <w:rFonts w:ascii="Arial" w:hAnsi="Arial" w:cs="Arial"/>
        </w:rPr>
        <w:t>&lt;ESMA_QUESTION_PLPM_6&gt;</w:t>
      </w:r>
    </w:p>
    <w:p w14:paraId="0DEC37F9" w14:textId="6D181768" w:rsidR="00AB6157" w:rsidRDefault="00867AFA" w:rsidP="00867AFA">
      <w:pPr>
        <w:spacing w:after="240" w:line="276" w:lineRule="auto"/>
        <w:jc w:val="both"/>
        <w:rPr>
          <w:rFonts w:ascii="Arial" w:hAnsi="Arial" w:cs="Arial"/>
        </w:rPr>
      </w:pPr>
      <w:permStart w:id="2134059337" w:edGrp="everyone"/>
      <w:r w:rsidRPr="00867AFA">
        <w:rPr>
          <w:rFonts w:ascii="Arial" w:hAnsi="Arial" w:cs="Arial"/>
        </w:rPr>
        <w:t>The position management controls have led to a loss of liquidity especially in new and illiquid contract as they prevent major market participants to support an exchange on its way to reach the minimum liquidity which is necessary to attract trading companies to trade these new contracts. For examples in freight and gas, please see our response to Q1.</w:t>
      </w:r>
    </w:p>
    <w:permEnd w:id="2134059337"/>
    <w:p w14:paraId="3A2C09A6" w14:textId="77777777" w:rsidR="00AB6157" w:rsidRDefault="00AB6157" w:rsidP="00AB6157">
      <w:pPr>
        <w:rPr>
          <w:rFonts w:ascii="Arial" w:hAnsi="Arial" w:cs="Arial"/>
        </w:rPr>
      </w:pPr>
      <w:r>
        <w:rPr>
          <w:rFonts w:ascii="Arial" w:hAnsi="Arial" w:cs="Arial"/>
        </w:rPr>
        <w:t>&lt;ESMA_QUESTION_PLPM_6&gt;</w:t>
      </w:r>
    </w:p>
    <w:p w14:paraId="467AF601" w14:textId="77777777" w:rsidR="00AB6157" w:rsidRDefault="00AB6157" w:rsidP="00AB6157">
      <w:pPr>
        <w:rPr>
          <w:rFonts w:ascii="Arial" w:hAnsi="Arial" w:cs="Arial"/>
        </w:rPr>
      </w:pPr>
    </w:p>
    <w:p w14:paraId="763C4FE3" w14:textId="77777777" w:rsidR="00AB6157" w:rsidRPr="00422240" w:rsidRDefault="00AB6157" w:rsidP="00AB6157">
      <w:pPr>
        <w:pStyle w:val="Questionstyle"/>
        <w:numPr>
          <w:ilvl w:val="0"/>
          <w:numId w:val="9"/>
        </w:numPr>
        <w:spacing w:after="250" w:line="276" w:lineRule="auto"/>
      </w:pPr>
      <w:bookmarkStart w:id="3" w:name="_Hlk8204436"/>
      <w:r>
        <w:t xml:space="preserve">: </w:t>
      </w:r>
      <w:r w:rsidRPr="006302EB">
        <w:t xml:space="preserve">Do you consider that position management controls adopted by commodity derivative trading venues have a role on the prevention of market abuse? If so, please elaborate, differentiating per commodity derivative trading venues or contract where appropriate. </w:t>
      </w:r>
    </w:p>
    <w:bookmarkEnd w:id="3"/>
    <w:p w14:paraId="02D1BB45" w14:textId="77777777" w:rsidR="00AB6157" w:rsidRDefault="00AB6157" w:rsidP="00AB6157">
      <w:pPr>
        <w:rPr>
          <w:rFonts w:ascii="Arial" w:hAnsi="Arial" w:cs="Arial"/>
        </w:rPr>
      </w:pPr>
      <w:r>
        <w:rPr>
          <w:rFonts w:ascii="Arial" w:hAnsi="Arial" w:cs="Arial"/>
        </w:rPr>
        <w:t>&lt;ESMA_QUESTION_PLPM_7&gt;</w:t>
      </w:r>
    </w:p>
    <w:p w14:paraId="4309E6A9" w14:textId="418A8EB4" w:rsidR="00AB6157" w:rsidRPr="00867AFA" w:rsidRDefault="00867AFA" w:rsidP="00867AFA">
      <w:pPr>
        <w:spacing w:after="240" w:line="276" w:lineRule="auto"/>
        <w:jc w:val="both"/>
        <w:rPr>
          <w:rFonts w:ascii="Arial" w:hAnsi="Arial" w:cs="Arial"/>
          <w:sz w:val="22"/>
          <w:szCs w:val="22"/>
          <w:lang w:val="en-US"/>
        </w:rPr>
      </w:pPr>
      <w:permStart w:id="381097405" w:edGrp="everyone"/>
      <w:r w:rsidRPr="00867AFA">
        <w:rPr>
          <w:rFonts w:ascii="Arial" w:hAnsi="Arial" w:cs="Arial"/>
          <w:sz w:val="22"/>
          <w:szCs w:val="22"/>
          <w:lang w:val="en-US"/>
        </w:rPr>
        <w:t xml:space="preserve">We do not believe that the </w:t>
      </w:r>
      <w:r w:rsidR="004A6B47">
        <w:rPr>
          <w:rFonts w:ascii="Arial" w:hAnsi="Arial" w:cs="Arial"/>
          <w:sz w:val="22"/>
          <w:szCs w:val="22"/>
          <w:lang w:val="en-US"/>
        </w:rPr>
        <w:t>position limit regime</w:t>
      </w:r>
      <w:r w:rsidRPr="00867AFA">
        <w:rPr>
          <w:rFonts w:ascii="Arial" w:hAnsi="Arial" w:cs="Arial"/>
          <w:sz w:val="22"/>
          <w:szCs w:val="22"/>
          <w:lang w:val="en-US"/>
        </w:rPr>
        <w:t xml:space="preserve"> in its current form, including the position management controls laid down in MiFID II Art. 57, has contributed to the prevention of market abuse. For details see our answer to Questions 3. This is because EEX and </w:t>
      </w:r>
      <w:proofErr w:type="spellStart"/>
      <w:r w:rsidRPr="00867AFA">
        <w:rPr>
          <w:rFonts w:ascii="Arial" w:hAnsi="Arial" w:cs="Arial"/>
          <w:sz w:val="22"/>
          <w:szCs w:val="22"/>
          <w:lang w:val="en-US"/>
        </w:rPr>
        <w:t>Powernext’s</w:t>
      </w:r>
      <w:proofErr w:type="spellEnd"/>
      <w:r w:rsidRPr="00867AFA">
        <w:rPr>
          <w:rFonts w:ascii="Arial" w:hAnsi="Arial" w:cs="Arial"/>
          <w:sz w:val="22"/>
          <w:szCs w:val="22"/>
          <w:lang w:val="en-US"/>
        </w:rPr>
        <w:t xml:space="preserve"> market oversight activities, including the compliance, supervision and surveillance activities, </w:t>
      </w:r>
      <w:r w:rsidRPr="00867AFA">
        <w:rPr>
          <w:rFonts w:ascii="Arial" w:hAnsi="Arial" w:cs="Arial"/>
          <w:sz w:val="22"/>
          <w:szCs w:val="22"/>
          <w:lang w:val="en-US"/>
        </w:rPr>
        <w:lastRenderedPageBreak/>
        <w:t>as well as the pre-existing regulations were already effective in preventing market abuse and excessive speculation and are better tailored to monitor the full range of manipulative patterns and hence to prevent market manipulation.</w:t>
      </w:r>
    </w:p>
    <w:permEnd w:id="381097405"/>
    <w:p w14:paraId="6DE2BBC2" w14:textId="77777777" w:rsidR="00AB6157" w:rsidRDefault="00AB6157" w:rsidP="00AB6157">
      <w:pPr>
        <w:rPr>
          <w:rFonts w:ascii="Arial" w:hAnsi="Arial" w:cs="Arial"/>
        </w:rPr>
      </w:pPr>
      <w:r>
        <w:rPr>
          <w:rFonts w:ascii="Arial" w:hAnsi="Arial" w:cs="Arial"/>
        </w:rPr>
        <w:t>&lt;ESMA_QUESTION_PLPM_7&gt;</w:t>
      </w:r>
    </w:p>
    <w:p w14:paraId="2E49F491" w14:textId="77777777" w:rsidR="00AB6157" w:rsidRDefault="00AB6157" w:rsidP="00AB6157">
      <w:pPr>
        <w:rPr>
          <w:rFonts w:ascii="Arial" w:hAnsi="Arial" w:cs="Arial"/>
        </w:rPr>
      </w:pPr>
    </w:p>
    <w:p w14:paraId="66383883" w14:textId="77777777" w:rsidR="00AB6157" w:rsidRDefault="00AB6157" w:rsidP="00AB6157">
      <w:pPr>
        <w:pStyle w:val="Questionstyle"/>
        <w:numPr>
          <w:ilvl w:val="0"/>
          <w:numId w:val="9"/>
        </w:numPr>
        <w:spacing w:after="250" w:line="276" w:lineRule="auto"/>
      </w:pPr>
      <w:r>
        <w:t xml:space="preserve">: </w:t>
      </w:r>
      <w:r w:rsidRPr="006302EB">
        <w:t>Do you consider that position management controls adopted by commodity derivative trading venues have a role on orderly pricing and settlement conditions? If so, please elaborate, differentiating per commodity derivative trading venues or contract where appropriate.</w:t>
      </w:r>
    </w:p>
    <w:p w14:paraId="15DCF1A1" w14:textId="77777777" w:rsidR="00AB6157" w:rsidRDefault="00AB6157" w:rsidP="00AB6157">
      <w:pPr>
        <w:rPr>
          <w:rFonts w:ascii="Arial" w:hAnsi="Arial" w:cs="Arial"/>
        </w:rPr>
      </w:pPr>
      <w:r>
        <w:rPr>
          <w:rFonts w:ascii="Arial" w:hAnsi="Arial" w:cs="Arial"/>
        </w:rPr>
        <w:t>&lt;ESMA_QUESTION_PLPM_8&gt;</w:t>
      </w:r>
    </w:p>
    <w:p w14:paraId="582E6083" w14:textId="13EF1493" w:rsidR="00AB6157" w:rsidRPr="00867AFA" w:rsidRDefault="00867AFA" w:rsidP="00867AFA">
      <w:pPr>
        <w:spacing w:after="240" w:line="276" w:lineRule="auto"/>
        <w:jc w:val="both"/>
        <w:rPr>
          <w:rFonts w:ascii="Arial" w:hAnsi="Arial" w:cs="Arial"/>
          <w:sz w:val="22"/>
          <w:szCs w:val="22"/>
        </w:rPr>
      </w:pPr>
      <w:permStart w:id="1672613830" w:edGrp="everyone"/>
      <w:r w:rsidRPr="00867AFA">
        <w:rPr>
          <w:rFonts w:ascii="Arial" w:hAnsi="Arial" w:cs="Arial"/>
          <w:sz w:val="22"/>
          <w:szCs w:val="22"/>
          <w:lang w:val="en-US"/>
        </w:rPr>
        <w:t xml:space="preserve">We do not believe that the </w:t>
      </w:r>
      <w:r w:rsidR="004A6B47">
        <w:rPr>
          <w:rFonts w:ascii="Arial" w:hAnsi="Arial" w:cs="Arial"/>
          <w:sz w:val="22"/>
          <w:szCs w:val="22"/>
          <w:lang w:val="en-US"/>
        </w:rPr>
        <w:t>position limit regime</w:t>
      </w:r>
      <w:r w:rsidRPr="00867AFA">
        <w:rPr>
          <w:rFonts w:ascii="Arial" w:hAnsi="Arial" w:cs="Arial"/>
          <w:sz w:val="22"/>
          <w:szCs w:val="22"/>
          <w:lang w:val="en-US"/>
        </w:rPr>
        <w:t xml:space="preserve"> in its current form, including the position management controls laid down in MiFID II Art. 57, has contributed to orderly pricing and settlement. Pricing and settlement are based on order and trading activities and not on position holdings. For more details we refer to our response to Q4. </w:t>
      </w:r>
    </w:p>
    <w:permEnd w:id="1672613830"/>
    <w:p w14:paraId="0639762F" w14:textId="77777777" w:rsidR="00AB6157" w:rsidRDefault="00AB6157" w:rsidP="00AB6157">
      <w:pPr>
        <w:rPr>
          <w:rFonts w:ascii="Arial" w:hAnsi="Arial" w:cs="Arial"/>
        </w:rPr>
      </w:pPr>
      <w:r>
        <w:rPr>
          <w:rFonts w:ascii="Arial" w:hAnsi="Arial" w:cs="Arial"/>
        </w:rPr>
        <w:t>&lt;ESMA_QUESTION_PLPM_8&gt;</w:t>
      </w:r>
    </w:p>
    <w:p w14:paraId="65778E76" w14:textId="77777777" w:rsidR="00AB6157" w:rsidRDefault="00AB6157" w:rsidP="00AB6157">
      <w:pPr>
        <w:rPr>
          <w:rFonts w:ascii="Arial" w:hAnsi="Arial" w:cs="Arial"/>
        </w:rPr>
      </w:pPr>
    </w:p>
    <w:p w14:paraId="36A13735" w14:textId="77777777" w:rsidR="00AB6157" w:rsidRDefault="00AB6157" w:rsidP="00AB6157">
      <w:pPr>
        <w:pStyle w:val="Questionstyle"/>
        <w:numPr>
          <w:ilvl w:val="0"/>
          <w:numId w:val="9"/>
        </w:numPr>
        <w:spacing w:after="250" w:line="276" w:lineRule="auto"/>
      </w:pPr>
      <w:r>
        <w:t xml:space="preserve">: </w:t>
      </w:r>
      <w:r w:rsidRPr="006302EB">
        <w:t>If you are a commodity derivative trading venue, please explain how you have been exercising your position management controls since MiFID II application. In particular</w:t>
      </w:r>
      <w:r>
        <w:t>,</w:t>
      </w:r>
      <w:r w:rsidRPr="006302EB">
        <w:t xml:space="preserve"> how frequently did you ask further information on the size or purpose of a position, on beneficial owners or assets and liabilities in the underlying commodity under Article 57(1</w:t>
      </w:r>
      <w:proofErr w:type="gramStart"/>
      <w:r w:rsidRPr="006302EB">
        <w:t>)(</w:t>
      </w:r>
      <w:proofErr w:type="gramEnd"/>
      <w:r w:rsidRPr="006302EB">
        <w:t xml:space="preserve">b) of MiFID II, require a person to terminate or reduce a position under Article 57(1)(c) of MiFID II, require a person to provide liquidity back into the market under Article 57(1)(d) of MiFID II or exercise any of your additional position management controls? </w:t>
      </w:r>
    </w:p>
    <w:p w14:paraId="61CFCD22" w14:textId="77777777" w:rsidR="00AB6157" w:rsidRDefault="00AB6157" w:rsidP="00AB6157">
      <w:pPr>
        <w:rPr>
          <w:rFonts w:ascii="Arial" w:hAnsi="Arial" w:cs="Arial"/>
        </w:rPr>
      </w:pPr>
      <w:r>
        <w:rPr>
          <w:rFonts w:ascii="Arial" w:hAnsi="Arial" w:cs="Arial"/>
        </w:rPr>
        <w:t>&lt;ESMA_QUESTION_PLPM_9&gt;</w:t>
      </w:r>
    </w:p>
    <w:p w14:paraId="787F73A0" w14:textId="4E41531B" w:rsidR="00867AFA" w:rsidRPr="00867AFA" w:rsidRDefault="00867AFA" w:rsidP="00867AFA">
      <w:pPr>
        <w:spacing w:after="240" w:line="276" w:lineRule="auto"/>
        <w:jc w:val="both"/>
        <w:rPr>
          <w:rFonts w:ascii="Arial" w:hAnsi="Arial" w:cs="Arial"/>
          <w:lang w:val="en-US"/>
        </w:rPr>
      </w:pPr>
      <w:permStart w:id="115699872" w:edGrp="everyone"/>
      <w:r w:rsidRPr="00867AFA">
        <w:rPr>
          <w:rFonts w:ascii="Arial" w:hAnsi="Arial" w:cs="Arial"/>
          <w:lang w:val="en-US"/>
        </w:rPr>
        <w:t xml:space="preserve">EEX and Powernext market surveillance departments are monitoring positions continuously every exchange trading day. </w:t>
      </w:r>
      <w:r w:rsidR="0069042D">
        <w:rPr>
          <w:rFonts w:ascii="Arial" w:hAnsi="Arial" w:cs="Arial"/>
          <w:lang w:val="en-US"/>
        </w:rPr>
        <w:t>Moreover, t</w:t>
      </w:r>
      <w:r w:rsidRPr="00867AFA">
        <w:rPr>
          <w:rFonts w:ascii="Arial" w:hAnsi="Arial" w:cs="Arial"/>
          <w:lang w:val="en-US"/>
        </w:rPr>
        <w:t xml:space="preserve">hey have put in place automatic controls to detect when a member’s position approaches the limit. In this case, the department contacts the member to inform them about a potential breach and verifies if the member has successfully applied for a hedging exemption. </w:t>
      </w:r>
    </w:p>
    <w:p w14:paraId="7BFD8C3B" w14:textId="68F47E36" w:rsidR="00AB6157" w:rsidRPr="00867AFA" w:rsidRDefault="00867AFA" w:rsidP="00867AFA">
      <w:pPr>
        <w:spacing w:after="240" w:line="276" w:lineRule="auto"/>
        <w:jc w:val="both"/>
        <w:rPr>
          <w:rFonts w:ascii="Arial" w:hAnsi="Arial" w:cs="Arial"/>
          <w:lang w:val="en-US"/>
        </w:rPr>
      </w:pPr>
      <w:r w:rsidRPr="00867AFA">
        <w:rPr>
          <w:rFonts w:ascii="Arial" w:hAnsi="Arial" w:cs="Arial"/>
          <w:lang w:val="en-US"/>
        </w:rPr>
        <w:t>In case a member has breached the limit, EEX and Powernext market surveillance departments inform their respective NCA which then takes action, if needed</w:t>
      </w:r>
      <w:r>
        <w:rPr>
          <w:rFonts w:ascii="Arial" w:hAnsi="Arial" w:cs="Arial"/>
          <w:lang w:val="en-US"/>
        </w:rPr>
        <w:t>.</w:t>
      </w:r>
    </w:p>
    <w:permEnd w:id="115699872"/>
    <w:p w14:paraId="48F9AF71" w14:textId="77777777" w:rsidR="00AB6157" w:rsidRDefault="00AB6157" w:rsidP="00AB6157">
      <w:pPr>
        <w:rPr>
          <w:rFonts w:ascii="Arial" w:hAnsi="Arial" w:cs="Arial"/>
        </w:rPr>
      </w:pPr>
      <w:r>
        <w:rPr>
          <w:rFonts w:ascii="Arial" w:hAnsi="Arial" w:cs="Arial"/>
        </w:rPr>
        <w:t>&lt;ESMA_QUESTION_PLPM_9&gt;</w:t>
      </w:r>
    </w:p>
    <w:p w14:paraId="2DCC4D35" w14:textId="77777777" w:rsidR="00AB6157" w:rsidRDefault="00AB6157" w:rsidP="00AB6157">
      <w:pPr>
        <w:rPr>
          <w:rFonts w:ascii="Arial" w:hAnsi="Arial" w:cs="Arial"/>
        </w:rPr>
      </w:pPr>
    </w:p>
    <w:p w14:paraId="11BAA4DA" w14:textId="77777777" w:rsidR="00AB6157" w:rsidRDefault="00AB6157" w:rsidP="00AB6157">
      <w:pPr>
        <w:pStyle w:val="Questionstyle"/>
        <w:numPr>
          <w:ilvl w:val="0"/>
          <w:numId w:val="9"/>
        </w:numPr>
        <w:spacing w:after="250" w:line="276" w:lineRule="auto"/>
      </w:pPr>
      <w:bookmarkStart w:id="4" w:name="_Hlk8204620"/>
      <w:r>
        <w:t xml:space="preserve">: </w:t>
      </w:r>
      <w:r w:rsidRPr="006302EB">
        <w:t xml:space="preserve">Do you have any general comment on the position limit regime and associated position reporting introduced by MiFID II? </w:t>
      </w:r>
      <w:bookmarkEnd w:id="4"/>
    </w:p>
    <w:p w14:paraId="4052F452" w14:textId="77777777" w:rsidR="00AB6157" w:rsidRDefault="00AB6157" w:rsidP="00AB6157">
      <w:pPr>
        <w:rPr>
          <w:rFonts w:ascii="Arial" w:hAnsi="Arial" w:cs="Arial"/>
        </w:rPr>
      </w:pPr>
      <w:r>
        <w:rPr>
          <w:rFonts w:ascii="Arial" w:hAnsi="Arial" w:cs="Arial"/>
        </w:rPr>
        <w:t>&lt;ESMA_QUESTION_PLPM_10&gt;</w:t>
      </w:r>
    </w:p>
    <w:p w14:paraId="556DEFDD" w14:textId="7FF5AC0D" w:rsidR="00867AFA" w:rsidRPr="00867AFA" w:rsidRDefault="0069042D" w:rsidP="00867AFA">
      <w:pPr>
        <w:spacing w:after="240" w:line="276" w:lineRule="auto"/>
        <w:jc w:val="both"/>
        <w:rPr>
          <w:rFonts w:ascii="Arial" w:hAnsi="Arial" w:cs="Arial"/>
          <w:sz w:val="22"/>
          <w:szCs w:val="22"/>
          <w:lang w:val="en-US"/>
        </w:rPr>
      </w:pPr>
      <w:permStart w:id="1704996095" w:edGrp="everyone"/>
      <w:r>
        <w:rPr>
          <w:rFonts w:ascii="Arial" w:hAnsi="Arial" w:cs="Arial"/>
          <w:sz w:val="22"/>
          <w:szCs w:val="22"/>
          <w:lang w:val="en-US"/>
        </w:rPr>
        <w:t>As mentioned in our response to questions 1 and 5, i</w:t>
      </w:r>
      <w:r w:rsidR="00867AFA" w:rsidRPr="00867AFA">
        <w:rPr>
          <w:rFonts w:ascii="Arial" w:hAnsi="Arial" w:cs="Arial"/>
          <w:sz w:val="22"/>
          <w:szCs w:val="22"/>
          <w:lang w:val="en-US"/>
        </w:rPr>
        <w:t xml:space="preserve">n our opinion, the MiFID II </w:t>
      </w:r>
      <w:r w:rsidR="004A6B47">
        <w:rPr>
          <w:rFonts w:ascii="Arial" w:hAnsi="Arial" w:cs="Arial"/>
          <w:sz w:val="22"/>
          <w:szCs w:val="22"/>
          <w:lang w:val="en-US"/>
        </w:rPr>
        <w:t>position limit regime</w:t>
      </w:r>
      <w:r w:rsidR="00867AFA" w:rsidRPr="00867AFA">
        <w:rPr>
          <w:rFonts w:ascii="Arial" w:hAnsi="Arial" w:cs="Arial"/>
          <w:sz w:val="22"/>
          <w:szCs w:val="22"/>
          <w:lang w:val="en-US"/>
        </w:rPr>
        <w:t xml:space="preserve"> has so far been able to function in a reasonable manner for a number of well-developed benchmark contracts. These highly developed markets are </w:t>
      </w:r>
      <w:proofErr w:type="spellStart"/>
      <w:r w:rsidR="00867AFA" w:rsidRPr="00867AFA">
        <w:rPr>
          <w:rFonts w:ascii="Arial" w:hAnsi="Arial" w:cs="Arial"/>
          <w:sz w:val="22"/>
          <w:szCs w:val="22"/>
          <w:lang w:val="en-US"/>
        </w:rPr>
        <w:t>characterised</w:t>
      </w:r>
      <w:proofErr w:type="spellEnd"/>
      <w:r w:rsidR="00867AFA" w:rsidRPr="00867AFA">
        <w:rPr>
          <w:rFonts w:ascii="Arial" w:hAnsi="Arial" w:cs="Arial"/>
          <w:sz w:val="22"/>
          <w:szCs w:val="22"/>
          <w:lang w:val="en-US"/>
        </w:rPr>
        <w:t xml:space="preserve"> by a large number of different types of active trading firms and an overall substantial amount of open interest. </w:t>
      </w:r>
      <w:r w:rsidR="00867AFA" w:rsidRPr="00867AFA">
        <w:rPr>
          <w:rFonts w:ascii="Arial" w:hAnsi="Arial" w:cs="Arial"/>
          <w:sz w:val="22"/>
          <w:szCs w:val="22"/>
          <w:lang w:val="en-US"/>
        </w:rPr>
        <w:lastRenderedPageBreak/>
        <w:t xml:space="preserve">However, for the development of new products and further growth of the existing illiquid commodity derivative markets, the </w:t>
      </w:r>
      <w:r w:rsidR="004A6B47">
        <w:rPr>
          <w:rFonts w:ascii="Arial" w:hAnsi="Arial" w:cs="Arial"/>
          <w:sz w:val="22"/>
          <w:szCs w:val="22"/>
          <w:lang w:val="en-US"/>
        </w:rPr>
        <w:t>position limit regime</w:t>
      </w:r>
      <w:r w:rsidR="00867AFA" w:rsidRPr="00867AFA">
        <w:rPr>
          <w:rFonts w:ascii="Arial" w:hAnsi="Arial" w:cs="Arial"/>
          <w:sz w:val="22"/>
          <w:szCs w:val="22"/>
          <w:lang w:val="en-US"/>
        </w:rPr>
        <w:t xml:space="preserve"> has proven to be a substantial barrier. </w:t>
      </w:r>
    </w:p>
    <w:p w14:paraId="7597DED4" w14:textId="77777777"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Fast growing markets in particular have suffered from:</w:t>
      </w:r>
    </w:p>
    <w:p w14:paraId="5E4C5A48" w14:textId="77777777" w:rsidR="00867AFA" w:rsidRPr="00867AFA" w:rsidRDefault="00867AFA" w:rsidP="00867AFA">
      <w:pPr>
        <w:numPr>
          <w:ilvl w:val="0"/>
          <w:numId w:val="23"/>
        </w:numPr>
        <w:spacing w:line="276" w:lineRule="auto"/>
        <w:jc w:val="both"/>
        <w:rPr>
          <w:rFonts w:ascii="Arial" w:hAnsi="Arial" w:cs="Arial"/>
          <w:sz w:val="22"/>
          <w:szCs w:val="22"/>
          <w:lang w:val="en-US"/>
        </w:rPr>
      </w:pPr>
      <w:r w:rsidRPr="00867AFA">
        <w:rPr>
          <w:rFonts w:ascii="Arial" w:hAnsi="Arial" w:cs="Arial"/>
          <w:sz w:val="22"/>
          <w:szCs w:val="22"/>
          <w:lang w:val="en-US"/>
        </w:rPr>
        <w:t xml:space="preserve">The de </w:t>
      </w:r>
      <w:proofErr w:type="spellStart"/>
      <w:r w:rsidRPr="00867AFA">
        <w:rPr>
          <w:rFonts w:ascii="Arial" w:hAnsi="Arial" w:cs="Arial"/>
          <w:sz w:val="22"/>
          <w:szCs w:val="22"/>
          <w:lang w:val="en-US"/>
        </w:rPr>
        <w:t>minimis</w:t>
      </w:r>
      <w:proofErr w:type="spellEnd"/>
      <w:r w:rsidRPr="00867AFA">
        <w:rPr>
          <w:rFonts w:ascii="Arial" w:hAnsi="Arial" w:cs="Arial"/>
          <w:sz w:val="22"/>
          <w:szCs w:val="22"/>
          <w:lang w:val="en-US"/>
        </w:rPr>
        <w:t xml:space="preserve"> limit of 2,500 lots which appears to be too restrictive when a contracts comes close to 10,000 lots of open interest. For examples in freight and gas, see our response to Q1.</w:t>
      </w:r>
    </w:p>
    <w:p w14:paraId="32307252" w14:textId="64A41EDB" w:rsidR="00867AFA" w:rsidRPr="00867AFA" w:rsidRDefault="00867AFA" w:rsidP="00867AFA">
      <w:pPr>
        <w:numPr>
          <w:ilvl w:val="0"/>
          <w:numId w:val="23"/>
        </w:numPr>
        <w:spacing w:line="276" w:lineRule="auto"/>
        <w:jc w:val="both"/>
        <w:rPr>
          <w:rFonts w:ascii="Arial" w:hAnsi="Arial" w:cs="Arial"/>
          <w:sz w:val="22"/>
          <w:szCs w:val="22"/>
          <w:lang w:val="en-US"/>
        </w:rPr>
      </w:pPr>
      <w:r w:rsidRPr="00867AFA">
        <w:rPr>
          <w:rFonts w:ascii="Arial" w:hAnsi="Arial" w:cs="Arial"/>
          <w:sz w:val="22"/>
          <w:szCs w:val="22"/>
          <w:lang w:val="en-US"/>
        </w:rPr>
        <w:t xml:space="preserve">The lack of flexibility </w:t>
      </w:r>
      <w:r w:rsidR="00F37499">
        <w:rPr>
          <w:rFonts w:ascii="Arial" w:hAnsi="Arial" w:cs="Arial"/>
          <w:sz w:val="22"/>
          <w:szCs w:val="22"/>
          <w:lang w:val="en-US"/>
        </w:rPr>
        <w:t xml:space="preserve">in the rules </w:t>
      </w:r>
      <w:r w:rsidRPr="00867AFA">
        <w:rPr>
          <w:rFonts w:ascii="Arial" w:hAnsi="Arial" w:cs="Arial"/>
          <w:sz w:val="22"/>
          <w:szCs w:val="22"/>
          <w:lang w:val="en-US"/>
        </w:rPr>
        <w:t>for NCAs to deal with special circumstances (by for example using anticipated instead of current or past open interest). For examples in freight and power, see our response to Q1.</w:t>
      </w:r>
    </w:p>
    <w:p w14:paraId="079E786D" w14:textId="77777777" w:rsidR="00867AFA" w:rsidRPr="00867AFA" w:rsidRDefault="00867AFA" w:rsidP="00867AFA">
      <w:pPr>
        <w:numPr>
          <w:ilvl w:val="0"/>
          <w:numId w:val="23"/>
        </w:numPr>
        <w:spacing w:line="276" w:lineRule="auto"/>
        <w:jc w:val="both"/>
        <w:rPr>
          <w:rFonts w:ascii="Arial" w:hAnsi="Arial" w:cs="Arial"/>
          <w:sz w:val="22"/>
          <w:szCs w:val="22"/>
          <w:lang w:val="en-US"/>
        </w:rPr>
      </w:pPr>
      <w:r w:rsidRPr="00867AFA">
        <w:rPr>
          <w:rFonts w:ascii="Arial" w:hAnsi="Arial" w:cs="Arial"/>
          <w:sz w:val="22"/>
          <w:szCs w:val="22"/>
          <w:lang w:val="en-US"/>
        </w:rPr>
        <w:t>The slow pace with which bespoke position limits are set and with which bespoke position limits are reviewed. For examples in freight and power, see our response to Q1.</w:t>
      </w:r>
    </w:p>
    <w:p w14:paraId="657EAFC2" w14:textId="77777777" w:rsidR="00867AFA" w:rsidRPr="00867AFA" w:rsidRDefault="00867AFA" w:rsidP="00867AFA">
      <w:pPr>
        <w:numPr>
          <w:ilvl w:val="0"/>
          <w:numId w:val="23"/>
        </w:numPr>
        <w:spacing w:after="240" w:line="276" w:lineRule="auto"/>
        <w:jc w:val="both"/>
        <w:rPr>
          <w:rFonts w:ascii="Arial" w:hAnsi="Arial" w:cs="Arial"/>
          <w:sz w:val="22"/>
          <w:szCs w:val="22"/>
          <w:lang w:val="en-US"/>
        </w:rPr>
      </w:pPr>
      <w:r w:rsidRPr="00867AFA">
        <w:rPr>
          <w:rFonts w:ascii="Arial" w:hAnsi="Arial" w:cs="Arial"/>
          <w:sz w:val="22"/>
          <w:szCs w:val="22"/>
          <w:lang w:val="en-US"/>
        </w:rPr>
        <w:t>The relatively complex process to apply for a hedging exemption, as well as the fact that the hedging exemption is only available for non-financial entities, even though there also financial entities engaging in genuine hedging activities. For examples in freight, power and gas, see our response to Q1 and Q16.</w:t>
      </w:r>
    </w:p>
    <w:p w14:paraId="48298E3A" w14:textId="77777777"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Furthermore, we believe that the regime may contribute to pushing the liquidity to the largest exchange hosting a benchmark contract, if materially different position applies to similar contracts listed by different exchanges.</w:t>
      </w:r>
    </w:p>
    <w:p w14:paraId="7D421E5C" w14:textId="26A590E6"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Considering the limited contribution that the </w:t>
      </w:r>
      <w:r w:rsidR="004A6B47">
        <w:rPr>
          <w:rFonts w:ascii="Arial" w:hAnsi="Arial" w:cs="Arial"/>
          <w:sz w:val="22"/>
          <w:szCs w:val="22"/>
          <w:lang w:val="en-US"/>
        </w:rPr>
        <w:t>position limit regime</w:t>
      </w:r>
      <w:r w:rsidRPr="00867AFA">
        <w:rPr>
          <w:rFonts w:ascii="Arial" w:hAnsi="Arial" w:cs="Arial"/>
          <w:sz w:val="22"/>
          <w:szCs w:val="22"/>
          <w:lang w:val="en-US"/>
        </w:rPr>
        <w:t xml:space="preserve"> has on orderly pricing and orderly settlement and prevention of market abuse, we believe the objective of th</w:t>
      </w:r>
      <w:r w:rsidR="0069042D">
        <w:rPr>
          <w:rFonts w:ascii="Arial" w:hAnsi="Arial" w:cs="Arial"/>
          <w:sz w:val="22"/>
          <w:szCs w:val="22"/>
          <w:lang w:val="en-US"/>
        </w:rPr>
        <w:t>is</w:t>
      </w:r>
      <w:r w:rsidRPr="00867AFA">
        <w:rPr>
          <w:rFonts w:ascii="Arial" w:hAnsi="Arial" w:cs="Arial"/>
          <w:sz w:val="22"/>
          <w:szCs w:val="22"/>
          <w:lang w:val="en-US"/>
        </w:rPr>
        <w:t xml:space="preserve"> review should be to have a more proportionate and efficient </w:t>
      </w:r>
      <w:r w:rsidR="004A6B47">
        <w:rPr>
          <w:rFonts w:ascii="Arial" w:hAnsi="Arial" w:cs="Arial"/>
          <w:sz w:val="22"/>
          <w:szCs w:val="22"/>
          <w:lang w:val="en-US"/>
        </w:rPr>
        <w:t>position limit regime</w:t>
      </w:r>
      <w:r w:rsidRPr="00867AFA">
        <w:rPr>
          <w:rFonts w:ascii="Arial" w:hAnsi="Arial" w:cs="Arial"/>
          <w:sz w:val="22"/>
          <w:szCs w:val="22"/>
          <w:lang w:val="en-US"/>
        </w:rPr>
        <w:t xml:space="preserve">. This can be achieved by focusing the application of the MiFID II </w:t>
      </w:r>
      <w:r w:rsidR="004A6B47">
        <w:rPr>
          <w:rFonts w:ascii="Arial" w:hAnsi="Arial" w:cs="Arial"/>
          <w:sz w:val="22"/>
          <w:szCs w:val="22"/>
          <w:lang w:val="en-US"/>
        </w:rPr>
        <w:t>position limit regime</w:t>
      </w:r>
      <w:r w:rsidRPr="00867AFA">
        <w:rPr>
          <w:rFonts w:ascii="Arial" w:hAnsi="Arial" w:cs="Arial"/>
          <w:sz w:val="22"/>
          <w:szCs w:val="22"/>
          <w:lang w:val="en-US"/>
        </w:rPr>
        <w:t xml:space="preserve"> on a more limited set of important, critical (benchmark) commodity derivative contracts. Such a refocus of the position limit regime on benchmark contracts would make it more efficient, mitigate the unintended consequences and reduce the compliance burden for all concerned parties (market participants, trading venues, NCAs/ESMA). Most importantly, such a</w:t>
      </w:r>
      <w:r w:rsidR="00C73E0D">
        <w:rPr>
          <w:rFonts w:ascii="Arial" w:hAnsi="Arial" w:cs="Arial"/>
          <w:sz w:val="22"/>
          <w:szCs w:val="22"/>
          <w:lang w:val="en-US"/>
        </w:rPr>
        <w:t xml:space="preserve"> targeted approach would allow</w:t>
      </w:r>
      <w:r w:rsidRPr="00867AFA">
        <w:rPr>
          <w:rFonts w:ascii="Arial" w:hAnsi="Arial" w:cs="Arial"/>
          <w:sz w:val="22"/>
          <w:szCs w:val="22"/>
          <w:lang w:val="en-US"/>
        </w:rPr>
        <w:t xml:space="preserve"> new and nascent products to develop</w:t>
      </w:r>
      <w:r w:rsidR="0069042D">
        <w:rPr>
          <w:rFonts w:ascii="Arial" w:hAnsi="Arial" w:cs="Arial"/>
          <w:sz w:val="22"/>
          <w:szCs w:val="22"/>
          <w:lang w:val="en-US"/>
        </w:rPr>
        <w:t xml:space="preserve">, in </w:t>
      </w:r>
      <w:r w:rsidRPr="00867AFA">
        <w:rPr>
          <w:rFonts w:ascii="Arial" w:hAnsi="Arial" w:cs="Arial"/>
          <w:sz w:val="22"/>
          <w:szCs w:val="22"/>
          <w:lang w:val="en-US"/>
        </w:rPr>
        <w:t xml:space="preserve">line with the policy objective of the Directive as expressed in its implementing RTS 21 which stipulates that: </w:t>
      </w:r>
    </w:p>
    <w:p w14:paraId="6C93A0B6" w14:textId="77777777"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“Position limits should not create barriers to the development of new commodity derivatives and should not prevent less liquid sections of the commodity derivative markets from working adequately“ </w:t>
      </w:r>
    </w:p>
    <w:p w14:paraId="3C2CDED1" w14:textId="77777777" w:rsidR="0069042D"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At the same time, we believe that such an amendment would better fulfil the overall policy objective of MiFID II to “improve the functioning and transparency of commodity markets and address excessive commodity price volatility”. </w:t>
      </w:r>
    </w:p>
    <w:p w14:paraId="76895888" w14:textId="28BEA10E"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A refocus of the systems is justified as the price formation mainly occurs in mature products that </w:t>
      </w:r>
      <w:r w:rsidR="0069042D">
        <w:rPr>
          <w:rFonts w:ascii="Arial" w:hAnsi="Arial" w:cs="Arial"/>
          <w:sz w:val="22"/>
          <w:szCs w:val="22"/>
          <w:lang w:val="en-US"/>
        </w:rPr>
        <w:t>serve as</w:t>
      </w:r>
      <w:r w:rsidRPr="00867AFA">
        <w:rPr>
          <w:rFonts w:ascii="Arial" w:hAnsi="Arial" w:cs="Arial"/>
          <w:sz w:val="22"/>
          <w:szCs w:val="22"/>
          <w:lang w:val="en-US"/>
        </w:rPr>
        <w:t xml:space="preserve"> benchmarks to the respective market. 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w:t>
      </w:r>
      <w:r w:rsidRPr="00867AFA">
        <w:rPr>
          <w:rFonts w:ascii="Arial" w:hAnsi="Arial" w:cs="Arial"/>
          <w:sz w:val="22"/>
          <w:szCs w:val="22"/>
          <w:lang w:val="en-US"/>
        </w:rPr>
        <w:lastRenderedPageBreak/>
        <w:t xml:space="preserve">the </w:t>
      </w:r>
      <w:r w:rsidR="004A6B47">
        <w:rPr>
          <w:rFonts w:ascii="Arial" w:hAnsi="Arial" w:cs="Arial"/>
          <w:sz w:val="22"/>
          <w:szCs w:val="22"/>
          <w:lang w:val="en-US"/>
        </w:rPr>
        <w:t>position limit regime</w:t>
      </w:r>
      <w:r w:rsidRPr="00867AFA">
        <w:rPr>
          <w:rFonts w:ascii="Arial" w:hAnsi="Arial" w:cs="Arial"/>
          <w:sz w:val="22"/>
          <w:szCs w:val="22"/>
          <w:lang w:val="en-US"/>
        </w:rPr>
        <w:t xml:space="preserve"> would bring us closer to regulatory level-playing field between the EU and US commodity markets and protect the liquidity and competitiveness of EU commodity markets.</w:t>
      </w:r>
    </w:p>
    <w:p w14:paraId="0E164156" w14:textId="77777777"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The other (non-significant) contracts would remain subject to the position reporting regime under MiFID II Art. 58, the pre-existing position monitoring and position management measures by exchanges and the market oversight practices of the exchanges’ market supervision and market surveillance departments that apply the principles laid down in the Regulation on Energy Markets Integrity and Transparency (REMIT) and the Market Abuse Regulation (MAR). Thus, removing position limits for such contracts would not pose any risk to the transparency and functioning of the respective markets. On the contrary, attracting more volume to regulated venues would contribute to a more transparent trading environment.</w:t>
      </w:r>
    </w:p>
    <w:p w14:paraId="06D53153" w14:textId="77777777"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However, should such a refocus not be possible, then RTS 21 should suspend the application of the spot and other months’ position limit for commodity derivatives traded on a trading venue with a total combined open interest in spot and other months' contracts not exceeding 20,000 lots over a consecutive three-month period (where this assessment must take place over the total period, and not on a Day 1/single day basis). </w:t>
      </w:r>
    </w:p>
    <w:p w14:paraId="4973BF50" w14:textId="3D637A88" w:rsidR="00AB6157"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Instead of or in addition to limiting the scope of the </w:t>
      </w:r>
      <w:r w:rsidR="004A6B47">
        <w:rPr>
          <w:rFonts w:ascii="Arial" w:hAnsi="Arial" w:cs="Arial"/>
          <w:sz w:val="22"/>
          <w:szCs w:val="22"/>
          <w:lang w:val="en-US"/>
        </w:rPr>
        <w:t>position limit regime</w:t>
      </w:r>
      <w:r w:rsidRPr="00867AFA">
        <w:rPr>
          <w:rFonts w:ascii="Arial" w:hAnsi="Arial" w:cs="Arial"/>
          <w:sz w:val="22"/>
          <w:szCs w:val="22"/>
          <w:lang w:val="en-US"/>
        </w:rPr>
        <w:t xml:space="preserve">, another approach would be to review the </w:t>
      </w:r>
      <w:r w:rsidR="004A6B47">
        <w:rPr>
          <w:rFonts w:ascii="Arial" w:hAnsi="Arial" w:cs="Arial"/>
          <w:sz w:val="22"/>
          <w:szCs w:val="22"/>
          <w:lang w:val="en-US"/>
        </w:rPr>
        <w:t>position limit regime</w:t>
      </w:r>
      <w:r w:rsidRPr="00867AFA">
        <w:rPr>
          <w:rFonts w:ascii="Arial" w:hAnsi="Arial" w:cs="Arial"/>
          <w:sz w:val="22"/>
          <w:szCs w:val="22"/>
          <w:lang w:val="en-US"/>
        </w:rPr>
        <w:t xml:space="preserve"> in view of making it more flexible, not only for NCAs to deal with special circumstances such as index transfers and bidding zone splits, but also for NCAs to deal with a breach of the position limit in general. So far the majority of breaches of EEX Group position limits were related to errors in position reporting, the lack of a hedging exemption or the lack of a liquidity provision exemption. We believe that there is merit for the </w:t>
      </w:r>
      <w:r w:rsidR="004A6B47">
        <w:rPr>
          <w:rFonts w:ascii="Arial" w:hAnsi="Arial" w:cs="Arial"/>
          <w:sz w:val="22"/>
          <w:szCs w:val="22"/>
          <w:lang w:val="en-US"/>
        </w:rPr>
        <w:t>position limit regime</w:t>
      </w:r>
      <w:r w:rsidRPr="00867AFA">
        <w:rPr>
          <w:rFonts w:ascii="Arial" w:hAnsi="Arial" w:cs="Arial"/>
          <w:sz w:val="22"/>
          <w:szCs w:val="22"/>
          <w:lang w:val="en-US"/>
        </w:rPr>
        <w:t xml:space="preserve"> to function as a warning system that alert NCAs whenever there is a breach so that NCAs can start to investigate whether there is an actual risk of market abuse. In the case of gas and power derivatives, </w:t>
      </w:r>
      <w:r w:rsidR="0069042D">
        <w:rPr>
          <w:rFonts w:ascii="Arial" w:hAnsi="Arial" w:cs="Arial"/>
          <w:sz w:val="22"/>
          <w:szCs w:val="22"/>
          <w:lang w:val="en-US"/>
        </w:rPr>
        <w:t xml:space="preserve">it could be the responsibility of </w:t>
      </w:r>
      <w:r w:rsidRPr="00867AFA">
        <w:rPr>
          <w:rFonts w:ascii="Arial" w:hAnsi="Arial" w:cs="Arial"/>
          <w:sz w:val="22"/>
          <w:szCs w:val="22"/>
          <w:lang w:val="en-US"/>
        </w:rPr>
        <w:t xml:space="preserve">the NCA </w:t>
      </w:r>
      <w:r w:rsidR="0069042D">
        <w:rPr>
          <w:rFonts w:ascii="Arial" w:hAnsi="Arial" w:cs="Arial"/>
          <w:sz w:val="22"/>
          <w:szCs w:val="22"/>
          <w:lang w:val="en-US"/>
        </w:rPr>
        <w:t>to</w:t>
      </w:r>
      <w:r w:rsidRPr="00867AFA">
        <w:rPr>
          <w:rFonts w:ascii="Arial" w:hAnsi="Arial" w:cs="Arial"/>
          <w:sz w:val="22"/>
          <w:szCs w:val="22"/>
          <w:lang w:val="en-US"/>
        </w:rPr>
        <w:t xml:space="preserve"> forward the case to the Agency of Cooperation of Energy Regulators whose main task is to prevent market abuse.</w:t>
      </w:r>
    </w:p>
    <w:permEnd w:id="1704996095"/>
    <w:p w14:paraId="787F2B83" w14:textId="77777777" w:rsidR="00AB6157" w:rsidRDefault="00AB6157" w:rsidP="00AB6157">
      <w:pPr>
        <w:rPr>
          <w:rFonts w:ascii="Arial" w:hAnsi="Arial" w:cs="Arial"/>
        </w:rPr>
      </w:pPr>
      <w:r>
        <w:rPr>
          <w:rFonts w:ascii="Arial" w:hAnsi="Arial" w:cs="Arial"/>
        </w:rPr>
        <w:t>&lt;ESMA_QUESTION_PLPM_10&gt;</w:t>
      </w:r>
    </w:p>
    <w:p w14:paraId="41B53D6C" w14:textId="77777777" w:rsidR="00AB6157" w:rsidRDefault="00AB6157" w:rsidP="00AB6157">
      <w:pPr>
        <w:rPr>
          <w:rFonts w:ascii="Arial" w:hAnsi="Arial" w:cs="Arial"/>
        </w:rPr>
      </w:pPr>
    </w:p>
    <w:p w14:paraId="61022363" w14:textId="77777777" w:rsidR="00AB6157" w:rsidRDefault="00AB6157" w:rsidP="00AB6157">
      <w:pPr>
        <w:pStyle w:val="Questionstyle"/>
        <w:numPr>
          <w:ilvl w:val="0"/>
          <w:numId w:val="9"/>
        </w:numPr>
        <w:spacing w:after="250" w:line="276" w:lineRule="auto"/>
      </w:pPr>
      <w:r>
        <w:t xml:space="preserve">: </w:t>
      </w:r>
      <w:r w:rsidRPr="006302EB">
        <w:t>In your view, how will EU commodity derivatives market</w:t>
      </w:r>
      <w:r>
        <w:t>s</w:t>
      </w:r>
      <w:r w:rsidRPr="006302EB">
        <w:t xml:space="preserve"> be impacted by the UK leaving the EU? What consequences do you expect from Brexit on the commodity derivatives regime under MiFID II? </w:t>
      </w:r>
    </w:p>
    <w:p w14:paraId="2A146DEC" w14:textId="77777777" w:rsidR="00AB6157" w:rsidRDefault="00AB6157" w:rsidP="00AB6157">
      <w:pPr>
        <w:rPr>
          <w:rFonts w:ascii="Arial" w:hAnsi="Arial" w:cs="Arial"/>
        </w:rPr>
      </w:pPr>
      <w:r>
        <w:rPr>
          <w:rFonts w:ascii="Arial" w:hAnsi="Arial" w:cs="Arial"/>
        </w:rPr>
        <w:t>&lt;ESMA_QUESTION_PLPM_11&gt;</w:t>
      </w:r>
    </w:p>
    <w:p w14:paraId="1C04D738" w14:textId="22D1326E" w:rsidR="0069042D" w:rsidRPr="0069042D" w:rsidRDefault="0069042D" w:rsidP="0069042D">
      <w:pPr>
        <w:spacing w:after="240" w:line="276" w:lineRule="auto"/>
        <w:jc w:val="both"/>
        <w:rPr>
          <w:rFonts w:ascii="Arial" w:hAnsi="Arial" w:cs="Arial"/>
          <w:sz w:val="22"/>
          <w:szCs w:val="22"/>
          <w:lang w:val="en-US"/>
        </w:rPr>
      </w:pPr>
      <w:permStart w:id="857932020" w:edGrp="everyone"/>
      <w:r w:rsidRPr="0069042D">
        <w:rPr>
          <w:rFonts w:ascii="Arial" w:hAnsi="Arial" w:cs="Arial"/>
          <w:sz w:val="22"/>
          <w:szCs w:val="22"/>
          <w:lang w:val="en-US"/>
        </w:rPr>
        <w:t>The future relationship between the UK and EU, in particular the legal framework for cross-border services, is yet to be agreed. Lacking a ratified withdrawal agreement between the UK and EU, all EU law will cease to apply to the UK from 1 November 2019 and the UK will then become a “third country”. Like any market participant, DBG has been preparing for any scenario that may unfold in light of Brexit, to ensure that our customers continue to have the ability to trade and clear with us.</w:t>
      </w:r>
    </w:p>
    <w:p w14:paraId="10AA5E3D" w14:textId="4E887802" w:rsidR="0069042D" w:rsidRPr="0069042D" w:rsidRDefault="0069042D" w:rsidP="0069042D">
      <w:pPr>
        <w:spacing w:after="240" w:line="276" w:lineRule="auto"/>
        <w:jc w:val="both"/>
        <w:rPr>
          <w:rFonts w:ascii="Arial" w:hAnsi="Arial" w:cs="Arial"/>
          <w:sz w:val="22"/>
          <w:szCs w:val="22"/>
          <w:lang w:val="en-US"/>
        </w:rPr>
      </w:pPr>
      <w:r w:rsidRPr="0069042D">
        <w:rPr>
          <w:rFonts w:ascii="Arial" w:hAnsi="Arial" w:cs="Arial"/>
          <w:sz w:val="22"/>
          <w:szCs w:val="22"/>
          <w:lang w:val="en-US"/>
        </w:rPr>
        <w:t xml:space="preserve">Post-Brexit, close cooperation between the EU and UK regarding the implementation and enforcement of rules will be important to ensure a level playing field and stability in global commodity derivatives markets. In general, a guiding principle in this context should be the </w:t>
      </w:r>
      <w:r w:rsidRPr="0069042D">
        <w:rPr>
          <w:rFonts w:ascii="Arial" w:hAnsi="Arial" w:cs="Arial"/>
          <w:sz w:val="22"/>
          <w:szCs w:val="22"/>
          <w:lang w:val="en-US"/>
        </w:rPr>
        <w:lastRenderedPageBreak/>
        <w:t xml:space="preserve">assurance of reciprocal market access under equivalent conditions. We believe that a comprehensive approach at EU level to equivalence decisions and their long-term applicability should be taken in order to ensure that the conditions under an equivalence regime granted are effectively maintained. </w:t>
      </w:r>
    </w:p>
    <w:p w14:paraId="72EDFB63" w14:textId="77777777" w:rsidR="0069042D" w:rsidRPr="0069042D" w:rsidRDefault="0069042D" w:rsidP="0069042D">
      <w:pPr>
        <w:spacing w:after="240" w:line="276" w:lineRule="auto"/>
        <w:jc w:val="both"/>
        <w:rPr>
          <w:rFonts w:ascii="Arial" w:hAnsi="Arial" w:cs="Arial"/>
          <w:sz w:val="22"/>
          <w:szCs w:val="22"/>
          <w:lang w:val="en-US"/>
        </w:rPr>
      </w:pPr>
      <w:r w:rsidRPr="0069042D">
        <w:rPr>
          <w:rFonts w:ascii="Arial" w:hAnsi="Arial" w:cs="Arial"/>
          <w:sz w:val="22"/>
          <w:szCs w:val="22"/>
          <w:lang w:val="en-US"/>
        </w:rPr>
        <w:t xml:space="preserve">We understand that post-Brexit, in case any equivalence decision is considered, the UK is required to maintain an equivalent regulatory framework that includes a position limits regime, a pre-trade transparency regime and similar reporting obligations. Though we are concerned that it might be implemented in a more efficient way by for example removing the obstacles for the development of new, illiquid and less liquid contracts. </w:t>
      </w:r>
    </w:p>
    <w:p w14:paraId="4807DC52" w14:textId="77777777" w:rsidR="0069042D" w:rsidRPr="0069042D" w:rsidRDefault="0069042D" w:rsidP="0069042D">
      <w:pPr>
        <w:spacing w:after="240" w:line="276" w:lineRule="auto"/>
        <w:jc w:val="both"/>
        <w:rPr>
          <w:rFonts w:ascii="Arial" w:hAnsi="Arial" w:cs="Arial"/>
          <w:sz w:val="22"/>
          <w:szCs w:val="22"/>
          <w:lang w:val="en-US"/>
        </w:rPr>
      </w:pPr>
      <w:r w:rsidRPr="0069042D">
        <w:rPr>
          <w:rFonts w:ascii="Arial" w:hAnsi="Arial" w:cs="Arial"/>
          <w:sz w:val="22"/>
          <w:szCs w:val="22"/>
          <w:lang w:val="en-US"/>
        </w:rPr>
        <w:t>It is noteworthy that for commodity derivative topics Level 3 legislation has had a significant impact on the final implementation of the regime. In other words, the technical details are often essential to determine whether the overall regime is equivalent or not. Furthermore, in case any equivalence decision is considered, we fear that commodity derivative topics will not be the most important element of ESMA’s equivalence assessment.</w:t>
      </w:r>
    </w:p>
    <w:p w14:paraId="6CC9D238" w14:textId="00110335" w:rsidR="00AB6157" w:rsidRPr="00867AFA" w:rsidRDefault="0069042D" w:rsidP="00867AFA">
      <w:pPr>
        <w:spacing w:after="240" w:line="276" w:lineRule="auto"/>
        <w:jc w:val="both"/>
        <w:rPr>
          <w:rFonts w:ascii="Arial" w:hAnsi="Arial" w:cs="Arial"/>
          <w:lang w:val="en-US"/>
        </w:rPr>
      </w:pPr>
      <w:r w:rsidRPr="0069042D">
        <w:rPr>
          <w:rFonts w:ascii="Arial" w:hAnsi="Arial" w:cs="Arial"/>
          <w:sz w:val="22"/>
          <w:szCs w:val="22"/>
          <w:lang w:val="en-US"/>
        </w:rPr>
        <w:t xml:space="preserve">However, rather than calling for a full level playing field between EU27 commodity exchanges and UK venues, we believe the focus of EU institutions should be on making the EU regulatory framework fit for purpose and the commodities trading industry highly competitive </w:t>
      </w:r>
      <w:r>
        <w:rPr>
          <w:rFonts w:ascii="Arial" w:hAnsi="Arial" w:cs="Arial"/>
          <w:sz w:val="22"/>
          <w:szCs w:val="22"/>
          <w:lang w:val="en-US"/>
        </w:rPr>
        <w:t>compared to other jurisdictions</w:t>
      </w:r>
      <w:r w:rsidR="00867AFA">
        <w:rPr>
          <w:rFonts w:ascii="Arial" w:hAnsi="Arial" w:cs="Arial"/>
          <w:lang w:val="en-US"/>
        </w:rPr>
        <w:t>.</w:t>
      </w:r>
    </w:p>
    <w:permEnd w:id="857932020"/>
    <w:p w14:paraId="1592A63B" w14:textId="77777777" w:rsidR="00AB6157" w:rsidRDefault="00AB6157" w:rsidP="00AB6157">
      <w:pPr>
        <w:rPr>
          <w:rFonts w:ascii="Arial" w:hAnsi="Arial" w:cs="Arial"/>
        </w:rPr>
      </w:pPr>
      <w:r>
        <w:rPr>
          <w:rFonts w:ascii="Arial" w:hAnsi="Arial" w:cs="Arial"/>
        </w:rPr>
        <w:t>&lt;ESMA_QUESTION_PLPM_11&gt;</w:t>
      </w:r>
    </w:p>
    <w:p w14:paraId="35FFF0E3" w14:textId="77777777" w:rsidR="00AB6157" w:rsidRDefault="00AB6157" w:rsidP="00AB6157">
      <w:pPr>
        <w:rPr>
          <w:rFonts w:ascii="Arial" w:hAnsi="Arial" w:cs="Arial"/>
        </w:rPr>
      </w:pPr>
    </w:p>
    <w:p w14:paraId="36C90AEF" w14:textId="77777777" w:rsidR="00AB6157" w:rsidRDefault="00AB6157" w:rsidP="00AB6157">
      <w:pPr>
        <w:pStyle w:val="Questionstyle"/>
        <w:numPr>
          <w:ilvl w:val="0"/>
          <w:numId w:val="9"/>
        </w:numPr>
        <w:spacing w:after="250" w:line="276" w:lineRule="auto"/>
      </w:pPr>
      <w:r>
        <w:t xml:space="preserve">: </w:t>
      </w:r>
      <w:r w:rsidRPr="006302EB">
        <w:t>Taking into consideration the intended purposes of position limits, do you consider that they deliver the same benefit across all commodity asset classes and across all types of commodity derivatives? Please explain.</w:t>
      </w:r>
    </w:p>
    <w:p w14:paraId="59B53DD4" w14:textId="77777777" w:rsidR="00AB6157" w:rsidRDefault="00AB6157" w:rsidP="00AB6157">
      <w:pPr>
        <w:rPr>
          <w:rFonts w:ascii="Arial" w:hAnsi="Arial" w:cs="Arial"/>
        </w:rPr>
      </w:pPr>
      <w:r>
        <w:rPr>
          <w:rFonts w:ascii="Arial" w:hAnsi="Arial" w:cs="Arial"/>
        </w:rPr>
        <w:t>&lt;ESMA_QUESTION_PLPM_12&gt;</w:t>
      </w:r>
    </w:p>
    <w:p w14:paraId="53D85BE0" w14:textId="77777777" w:rsidR="00867AFA" w:rsidRPr="00867AFA" w:rsidRDefault="00867AFA" w:rsidP="00867AFA">
      <w:pPr>
        <w:spacing w:after="240" w:line="276" w:lineRule="auto"/>
        <w:jc w:val="both"/>
        <w:rPr>
          <w:rFonts w:ascii="Arial" w:hAnsi="Arial" w:cs="Arial"/>
          <w:sz w:val="22"/>
          <w:szCs w:val="22"/>
          <w:lang w:val="en-US"/>
        </w:rPr>
      </w:pPr>
      <w:permStart w:id="1586459401" w:edGrp="everyone"/>
      <w:r w:rsidRPr="00867AFA">
        <w:rPr>
          <w:rFonts w:ascii="Arial" w:hAnsi="Arial" w:cs="Arial"/>
          <w:sz w:val="22"/>
          <w:szCs w:val="22"/>
          <w:lang w:val="en-US"/>
        </w:rPr>
        <w:t xml:space="preserve">See our response to Q3 and Q4. Depending on the asset class the position limits have had a limited to no contribution to the prevention of market abuse and orderly pricing and orderly settlement. </w:t>
      </w:r>
    </w:p>
    <w:p w14:paraId="2E4972F3" w14:textId="752B957F" w:rsidR="00867AFA" w:rsidRPr="00867AFA" w:rsidRDefault="00867AFA" w:rsidP="00867AFA">
      <w:pPr>
        <w:spacing w:after="240" w:line="276" w:lineRule="auto"/>
        <w:jc w:val="both"/>
        <w:rPr>
          <w:rFonts w:ascii="Arial" w:hAnsi="Arial" w:cs="Arial"/>
          <w:sz w:val="22"/>
          <w:szCs w:val="22"/>
          <w:lang w:val="en-US"/>
        </w:rPr>
      </w:pPr>
      <w:r w:rsidRPr="00867AFA">
        <w:rPr>
          <w:rFonts w:ascii="Arial" w:hAnsi="Arial" w:cs="Arial"/>
          <w:sz w:val="22"/>
          <w:szCs w:val="22"/>
          <w:lang w:val="en-US"/>
        </w:rPr>
        <w:t xml:space="preserve">Please see our response to Q13, outlining which commodity derivative contracts could potentially benefit from a </w:t>
      </w:r>
      <w:r w:rsidR="004A6B47">
        <w:rPr>
          <w:rFonts w:ascii="Arial" w:hAnsi="Arial" w:cs="Arial"/>
          <w:sz w:val="22"/>
          <w:szCs w:val="22"/>
          <w:lang w:val="en-US"/>
        </w:rPr>
        <w:t>position limit regime</w:t>
      </w:r>
      <w:r w:rsidRPr="00867AFA">
        <w:rPr>
          <w:rFonts w:ascii="Arial" w:hAnsi="Arial" w:cs="Arial"/>
          <w:sz w:val="22"/>
          <w:szCs w:val="22"/>
          <w:lang w:val="en-US"/>
        </w:rPr>
        <w:t>.</w:t>
      </w:r>
    </w:p>
    <w:permEnd w:id="1586459401"/>
    <w:p w14:paraId="592759FF" w14:textId="39552BDA" w:rsidR="00AB6157" w:rsidRDefault="00AB6157" w:rsidP="00AB6157">
      <w:pPr>
        <w:rPr>
          <w:rFonts w:ascii="Arial" w:hAnsi="Arial" w:cs="Arial"/>
        </w:rPr>
      </w:pPr>
      <w:r>
        <w:rPr>
          <w:rFonts w:ascii="Arial" w:hAnsi="Arial" w:cs="Arial"/>
        </w:rPr>
        <w:t>&lt;ESMA_QUESTION_PLPM_12&gt;</w:t>
      </w:r>
    </w:p>
    <w:p w14:paraId="55B482C6" w14:textId="77777777" w:rsidR="00AB6157" w:rsidRDefault="00AB6157" w:rsidP="00AB6157">
      <w:pPr>
        <w:rPr>
          <w:rFonts w:ascii="Arial" w:hAnsi="Arial" w:cs="Arial"/>
        </w:rPr>
      </w:pPr>
    </w:p>
    <w:p w14:paraId="0909B86E" w14:textId="77777777" w:rsidR="00AB6157" w:rsidRDefault="00AB6157" w:rsidP="00AB6157">
      <w:pPr>
        <w:pStyle w:val="Questionstyle"/>
        <w:numPr>
          <w:ilvl w:val="0"/>
          <w:numId w:val="9"/>
        </w:numPr>
        <w:spacing w:after="250" w:line="276" w:lineRule="auto"/>
      </w:pPr>
      <w:r>
        <w:t xml:space="preserve">: </w:t>
      </w:r>
      <w:r w:rsidRPr="006302EB">
        <w:t xml:space="preserve">Would you see benefits in limiting the application of position limits to a more limited set of commodity derivatives? If so, to which ones and on which criteria? </w:t>
      </w:r>
    </w:p>
    <w:p w14:paraId="54F506E9" w14:textId="77777777" w:rsidR="00AB6157" w:rsidRDefault="00AB6157" w:rsidP="00AB6157">
      <w:pPr>
        <w:rPr>
          <w:rFonts w:ascii="Arial" w:hAnsi="Arial" w:cs="Arial"/>
        </w:rPr>
      </w:pPr>
      <w:r>
        <w:rPr>
          <w:rFonts w:ascii="Arial" w:hAnsi="Arial" w:cs="Arial"/>
        </w:rPr>
        <w:t>&lt;ESMA_QUESTION_PLPM_13&gt;</w:t>
      </w:r>
    </w:p>
    <w:p w14:paraId="593FC160" w14:textId="77777777" w:rsidR="0069042D" w:rsidRDefault="008B3491" w:rsidP="008B3491">
      <w:pPr>
        <w:spacing w:after="240" w:line="276" w:lineRule="auto"/>
        <w:jc w:val="both"/>
        <w:rPr>
          <w:rFonts w:ascii="Arial" w:hAnsi="Arial" w:cs="Arial"/>
          <w:lang w:val="en-US"/>
        </w:rPr>
      </w:pPr>
      <w:permStart w:id="1189964818" w:edGrp="everyone"/>
      <w:r w:rsidRPr="008B3491">
        <w:rPr>
          <w:rFonts w:ascii="Arial" w:hAnsi="Arial" w:cs="Arial"/>
          <w:lang w:val="en-US"/>
        </w:rPr>
        <w:t xml:space="preserve">Considering the limited contribution that the </w:t>
      </w:r>
      <w:r w:rsidR="004A6B47">
        <w:rPr>
          <w:rFonts w:ascii="Arial" w:hAnsi="Arial" w:cs="Arial"/>
          <w:lang w:val="en-US"/>
        </w:rPr>
        <w:t>position limit regime</w:t>
      </w:r>
      <w:r w:rsidRPr="008B3491">
        <w:rPr>
          <w:rFonts w:ascii="Arial" w:hAnsi="Arial" w:cs="Arial"/>
          <w:lang w:val="en-US"/>
        </w:rPr>
        <w:t xml:space="preserve"> has on orderly pricing and orderly settlement and the prevention of market abuse (see our response to Q3 and Q4) as well as the obstacles it has created for the development of new, illiquid and less liquid contracts (see our response to Q1), we believe there are merits in focusing the application of the MiFID II </w:t>
      </w:r>
      <w:r w:rsidR="004A6B47">
        <w:rPr>
          <w:rFonts w:ascii="Arial" w:hAnsi="Arial" w:cs="Arial"/>
          <w:lang w:val="en-US"/>
        </w:rPr>
        <w:t>position limit regime</w:t>
      </w:r>
      <w:r w:rsidRPr="008B3491">
        <w:rPr>
          <w:rFonts w:ascii="Arial" w:hAnsi="Arial" w:cs="Arial"/>
          <w:lang w:val="en-US"/>
        </w:rPr>
        <w:t xml:space="preserve"> on a more limited set of important, critical (benchmark) commodity derivative contracts. </w:t>
      </w:r>
    </w:p>
    <w:p w14:paraId="701D94B9" w14:textId="0A429529" w:rsidR="008B3491" w:rsidRPr="008B3491" w:rsidRDefault="008B3491" w:rsidP="008B3491">
      <w:pPr>
        <w:spacing w:after="240" w:line="276" w:lineRule="auto"/>
        <w:jc w:val="both"/>
        <w:rPr>
          <w:rFonts w:ascii="Arial" w:hAnsi="Arial" w:cs="Arial"/>
          <w:lang w:val="en-US"/>
        </w:rPr>
      </w:pPr>
      <w:r w:rsidRPr="008B3491">
        <w:rPr>
          <w:rFonts w:ascii="Arial" w:hAnsi="Arial" w:cs="Arial"/>
          <w:lang w:val="en-US"/>
        </w:rPr>
        <w:lastRenderedPageBreak/>
        <w:t>Such a refocus of the position limit regime on benchmark contracts would make it more efficient, mitigate the unintended consequences and reduce the compliance burden for all concerned parties (market participants, trading venues, NCAs/ESMA). Most importantly, such a</w:t>
      </w:r>
      <w:r w:rsidR="00C73E0D">
        <w:rPr>
          <w:rFonts w:ascii="Arial" w:hAnsi="Arial" w:cs="Arial"/>
          <w:lang w:val="en-US"/>
        </w:rPr>
        <w:t xml:space="preserve"> targeted approach would allow</w:t>
      </w:r>
      <w:r w:rsidRPr="008B3491">
        <w:rPr>
          <w:rFonts w:ascii="Arial" w:hAnsi="Arial" w:cs="Arial"/>
          <w:lang w:val="en-US"/>
        </w:rPr>
        <w:t xml:space="preserve"> new and nascent products to develop</w:t>
      </w:r>
      <w:r w:rsidR="0069042D">
        <w:rPr>
          <w:rFonts w:ascii="Arial" w:hAnsi="Arial" w:cs="Arial"/>
          <w:lang w:val="en-US"/>
        </w:rPr>
        <w:t xml:space="preserve">, </w:t>
      </w:r>
      <w:r w:rsidRPr="008B3491">
        <w:rPr>
          <w:rFonts w:ascii="Arial" w:hAnsi="Arial" w:cs="Arial"/>
          <w:lang w:val="en-US"/>
        </w:rPr>
        <w:t xml:space="preserve">in line with the policy objective of the Directive as expressed in its implementing RTS 21 which stipulates that: </w:t>
      </w:r>
    </w:p>
    <w:p w14:paraId="39DF7432" w14:textId="77777777" w:rsidR="008B3491" w:rsidRPr="008B3491" w:rsidRDefault="008B3491" w:rsidP="008B3491">
      <w:pPr>
        <w:spacing w:after="240" w:line="276" w:lineRule="auto"/>
        <w:jc w:val="both"/>
        <w:rPr>
          <w:rFonts w:ascii="Arial" w:hAnsi="Arial" w:cs="Arial"/>
          <w:lang w:val="en-US"/>
        </w:rPr>
      </w:pPr>
      <w:r w:rsidRPr="008B3491">
        <w:rPr>
          <w:rFonts w:ascii="Arial" w:hAnsi="Arial" w:cs="Arial"/>
          <w:lang w:val="en-US"/>
        </w:rPr>
        <w:t xml:space="preserve">“Position limits should not create barriers to the development of new commodity derivatives and should not prevent less liquid sections of the commodity derivative markets from working adequately“ </w:t>
      </w:r>
    </w:p>
    <w:p w14:paraId="4C7966B9" w14:textId="1B058203" w:rsidR="008B3491" w:rsidRPr="008B3491" w:rsidRDefault="008B3491" w:rsidP="008B3491">
      <w:pPr>
        <w:spacing w:after="240" w:line="276" w:lineRule="auto"/>
        <w:jc w:val="both"/>
        <w:rPr>
          <w:rFonts w:ascii="Arial" w:hAnsi="Arial" w:cs="Arial"/>
          <w:lang w:val="en-US"/>
        </w:rPr>
      </w:pPr>
      <w:r w:rsidRPr="008B3491">
        <w:rPr>
          <w:rFonts w:ascii="Arial" w:hAnsi="Arial" w:cs="Arial"/>
          <w:lang w:val="en-US"/>
        </w:rPr>
        <w:t xml:space="preserve">At the same time, we believe that such an amendment would better fulfil the overall objective of MiFID II to “improve the functioning and transparency of commodity markets and address excessive commodity price volatility”. A refocus of the systems is justified as the price formation mainly occurs in benchmark products. 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the </w:t>
      </w:r>
      <w:r w:rsidR="004A6B47">
        <w:rPr>
          <w:rFonts w:ascii="Arial" w:hAnsi="Arial" w:cs="Arial"/>
          <w:lang w:val="en-US"/>
        </w:rPr>
        <w:t>position limit regime</w:t>
      </w:r>
      <w:r w:rsidRPr="008B3491">
        <w:rPr>
          <w:rFonts w:ascii="Arial" w:hAnsi="Arial" w:cs="Arial"/>
          <w:lang w:val="en-US"/>
        </w:rPr>
        <w:t xml:space="preserve"> would bring us closer to regulatory level-playing field between the EU and US commodity markets and protect the liquidity and competitiveness of EU commodity markets.</w:t>
      </w:r>
    </w:p>
    <w:p w14:paraId="6866A8C3" w14:textId="77777777" w:rsidR="008B3491" w:rsidRPr="008B3491" w:rsidRDefault="008B3491" w:rsidP="008B3491">
      <w:pPr>
        <w:spacing w:after="240" w:line="276" w:lineRule="auto"/>
        <w:jc w:val="both"/>
        <w:rPr>
          <w:rFonts w:ascii="Arial" w:hAnsi="Arial" w:cs="Arial"/>
          <w:lang w:val="en-US"/>
        </w:rPr>
      </w:pPr>
      <w:r w:rsidRPr="008B3491">
        <w:rPr>
          <w:rFonts w:ascii="Arial" w:hAnsi="Arial" w:cs="Arial"/>
          <w:lang w:val="en-US"/>
        </w:rPr>
        <w:t xml:space="preserve">When reviewing the scope of the position limits we believe that the following criteria, among others, should be taken into account:   </w:t>
      </w:r>
    </w:p>
    <w:p w14:paraId="45652DB6" w14:textId="77777777" w:rsidR="008B3491" w:rsidRPr="008B3491" w:rsidRDefault="008B3491" w:rsidP="008B3491">
      <w:pPr>
        <w:numPr>
          <w:ilvl w:val="0"/>
          <w:numId w:val="24"/>
        </w:numPr>
        <w:spacing w:line="276" w:lineRule="auto"/>
        <w:jc w:val="both"/>
        <w:rPr>
          <w:rFonts w:ascii="Arial" w:hAnsi="Arial" w:cs="Arial"/>
          <w:lang w:val="en-US"/>
        </w:rPr>
      </w:pPr>
      <w:r w:rsidRPr="008B3491">
        <w:rPr>
          <w:rFonts w:ascii="Arial" w:hAnsi="Arial" w:cs="Arial"/>
          <w:lang w:val="en-US"/>
        </w:rPr>
        <w:t>The contract has to be physically delivered.</w:t>
      </w:r>
    </w:p>
    <w:p w14:paraId="55977608" w14:textId="77777777" w:rsidR="008B3491" w:rsidRPr="008B3491" w:rsidRDefault="008B3491" w:rsidP="008B3491">
      <w:pPr>
        <w:numPr>
          <w:ilvl w:val="0"/>
          <w:numId w:val="24"/>
        </w:numPr>
        <w:spacing w:line="276" w:lineRule="auto"/>
        <w:jc w:val="both"/>
        <w:rPr>
          <w:rFonts w:ascii="Arial" w:hAnsi="Arial" w:cs="Arial"/>
          <w:lang w:val="en-US"/>
        </w:rPr>
      </w:pPr>
      <w:r w:rsidRPr="008B3491">
        <w:rPr>
          <w:rFonts w:ascii="Arial" w:hAnsi="Arial" w:cs="Arial"/>
          <w:lang w:val="en-US"/>
        </w:rPr>
        <w:t xml:space="preserve">It has to be easy for market participants to restrict or control the underlying market. </w:t>
      </w:r>
    </w:p>
    <w:p w14:paraId="19204481" w14:textId="77777777" w:rsidR="008B3491" w:rsidRPr="008B3491" w:rsidRDefault="008B3491" w:rsidP="008B3491">
      <w:pPr>
        <w:numPr>
          <w:ilvl w:val="0"/>
          <w:numId w:val="24"/>
        </w:numPr>
        <w:spacing w:after="240" w:line="276" w:lineRule="auto"/>
        <w:jc w:val="both"/>
        <w:rPr>
          <w:rFonts w:ascii="Arial" w:hAnsi="Arial" w:cs="Arial"/>
          <w:lang w:val="en-US"/>
        </w:rPr>
      </w:pPr>
      <w:r w:rsidRPr="008B3491">
        <w:rPr>
          <w:rFonts w:ascii="Arial" w:hAnsi="Arial" w:cs="Arial"/>
          <w:lang w:val="en-US"/>
        </w:rPr>
        <w:t>The contract is important for price formation in the underlying market.</w:t>
      </w:r>
    </w:p>
    <w:p w14:paraId="05F0C87B" w14:textId="77777777" w:rsidR="008B3491" w:rsidRPr="008B3491" w:rsidRDefault="008B3491" w:rsidP="008B3491">
      <w:pPr>
        <w:spacing w:after="240" w:line="276" w:lineRule="auto"/>
        <w:jc w:val="both"/>
        <w:rPr>
          <w:rFonts w:ascii="Arial" w:hAnsi="Arial" w:cs="Arial"/>
          <w:lang w:val="en-US"/>
        </w:rPr>
      </w:pPr>
      <w:r w:rsidRPr="008B3491">
        <w:rPr>
          <w:rFonts w:ascii="Arial" w:hAnsi="Arial" w:cs="Arial"/>
          <w:lang w:val="en-US"/>
        </w:rPr>
        <w:t>The other (non-significant) contracts would remain subject to the position reporting regime under MiFID II Art. 58, the pre-existing position monitoring and position management measures by exchanges and the market oversight practices of the exchanges’ market supervision and market surveillance departments that apply the principles laid down in the Regulation on Energy Markets Integrity and Transparency (REMIT) and the Market Abuse Regulation (MAR). Thus, removing position limits for such contracts would not pose any risk to the transparency and functioning of the respective markets. On the contrary, attracting more volume to regulated venues would contribute to a more transparent trading environment.</w:t>
      </w:r>
    </w:p>
    <w:p w14:paraId="57170643" w14:textId="4D05D248" w:rsidR="00AB6157" w:rsidRPr="008B3491" w:rsidRDefault="008B3491" w:rsidP="008B3491">
      <w:pPr>
        <w:spacing w:after="240" w:line="276" w:lineRule="auto"/>
        <w:jc w:val="both"/>
        <w:rPr>
          <w:rFonts w:ascii="Arial" w:hAnsi="Arial" w:cs="Arial"/>
          <w:lang w:val="en-US"/>
        </w:rPr>
      </w:pPr>
      <w:r w:rsidRPr="008B3491">
        <w:rPr>
          <w:rFonts w:ascii="Arial" w:hAnsi="Arial" w:cs="Arial"/>
          <w:lang w:val="en-US"/>
        </w:rPr>
        <w:t xml:space="preserve">However, should such a refocus not be possible, then RTS 21 should suspend the application of the spot and other months’ position limit for commodity derivatives traded </w:t>
      </w:r>
      <w:r w:rsidRPr="008B3491">
        <w:rPr>
          <w:rFonts w:ascii="Arial" w:hAnsi="Arial" w:cs="Arial"/>
          <w:lang w:val="en-US"/>
        </w:rPr>
        <w:lastRenderedPageBreak/>
        <w:t xml:space="preserve">on a trading venue with a total combined open interest in spot and other months' contracts not exceeding 20,000 lots over a consecutive three-month period (where this assessment must take place over the total period, and not on a Day 1/single day basis). </w:t>
      </w:r>
    </w:p>
    <w:permEnd w:id="1189964818"/>
    <w:p w14:paraId="29582E94" w14:textId="77777777" w:rsidR="00AB6157" w:rsidRDefault="00AB6157" w:rsidP="00AB6157">
      <w:pPr>
        <w:rPr>
          <w:rFonts w:ascii="Arial" w:hAnsi="Arial" w:cs="Arial"/>
        </w:rPr>
      </w:pPr>
      <w:r>
        <w:rPr>
          <w:rFonts w:ascii="Arial" w:hAnsi="Arial" w:cs="Arial"/>
        </w:rPr>
        <w:t>&lt;ESMA_QUESTION_PLPM_13&gt;</w:t>
      </w:r>
    </w:p>
    <w:p w14:paraId="36FFAF5F" w14:textId="77777777" w:rsidR="00AB6157" w:rsidRDefault="00AB6157" w:rsidP="00AB6157">
      <w:pPr>
        <w:rPr>
          <w:rFonts w:ascii="Arial" w:hAnsi="Arial" w:cs="Arial"/>
        </w:rPr>
      </w:pPr>
    </w:p>
    <w:p w14:paraId="09F78D8E" w14:textId="77777777" w:rsidR="00AB6157" w:rsidRDefault="00AB6157" w:rsidP="00AB6157">
      <w:pPr>
        <w:pStyle w:val="Questionstyle"/>
        <w:numPr>
          <w:ilvl w:val="0"/>
          <w:numId w:val="9"/>
        </w:numPr>
        <w:spacing w:after="250" w:line="276" w:lineRule="auto"/>
      </w:pPr>
      <w:r>
        <w:t xml:space="preserve">: </w:t>
      </w:r>
      <w:r w:rsidRPr="006302EB">
        <w:t xml:space="preserve">More specifically, are you facing any issue with the application of position limits to securitised derivatives? If so, please elaborate. </w:t>
      </w:r>
    </w:p>
    <w:p w14:paraId="78FE4358" w14:textId="77777777" w:rsidR="00AB6157" w:rsidRDefault="00AB6157" w:rsidP="00AB6157">
      <w:pPr>
        <w:rPr>
          <w:rFonts w:ascii="Arial" w:hAnsi="Arial" w:cs="Arial"/>
        </w:rPr>
      </w:pPr>
      <w:r>
        <w:rPr>
          <w:rFonts w:ascii="Arial" w:hAnsi="Arial" w:cs="Arial"/>
        </w:rPr>
        <w:t>&lt;ESMA_QUESTION_PLPM_14&gt;</w:t>
      </w:r>
    </w:p>
    <w:p w14:paraId="4D6A811A" w14:textId="75489B17" w:rsidR="00AB6157" w:rsidRDefault="008B3491" w:rsidP="00AB6157">
      <w:pPr>
        <w:rPr>
          <w:rFonts w:ascii="Arial" w:hAnsi="Arial" w:cs="Arial"/>
        </w:rPr>
      </w:pPr>
      <w:permStart w:id="1808740193" w:edGrp="everyone"/>
      <w:r>
        <w:rPr>
          <w:rFonts w:ascii="Arial" w:hAnsi="Arial" w:cs="Arial"/>
        </w:rPr>
        <w:t>No answer.</w:t>
      </w:r>
    </w:p>
    <w:permEnd w:id="1808740193"/>
    <w:p w14:paraId="09E79F49" w14:textId="77777777" w:rsidR="00AB6157" w:rsidRDefault="00AB6157" w:rsidP="00AB6157">
      <w:pPr>
        <w:rPr>
          <w:rFonts w:ascii="Arial" w:hAnsi="Arial" w:cs="Arial"/>
        </w:rPr>
      </w:pPr>
      <w:r>
        <w:rPr>
          <w:rFonts w:ascii="Arial" w:hAnsi="Arial" w:cs="Arial"/>
        </w:rPr>
        <w:t>&lt;ESMA_QUESTION_PLPM_14&gt;</w:t>
      </w:r>
    </w:p>
    <w:p w14:paraId="15D66905" w14:textId="77777777" w:rsidR="00AB6157" w:rsidRDefault="00AB6157" w:rsidP="00AB6157">
      <w:pPr>
        <w:rPr>
          <w:rFonts w:ascii="Arial" w:hAnsi="Arial" w:cs="Arial"/>
        </w:rPr>
      </w:pPr>
    </w:p>
    <w:p w14:paraId="5D87B2D1" w14:textId="77777777" w:rsidR="00AB6157" w:rsidRDefault="00AB6157" w:rsidP="00AB6157">
      <w:pPr>
        <w:pStyle w:val="Questionstyle"/>
        <w:numPr>
          <w:ilvl w:val="0"/>
          <w:numId w:val="9"/>
        </w:numPr>
        <w:spacing w:after="250" w:line="276" w:lineRule="auto"/>
      </w:pPr>
      <w:r>
        <w:t>: Do you consider that there would be merits in reviewing the definition of EEOTC contracts? If so, please explain the changes you would suggest.</w:t>
      </w:r>
    </w:p>
    <w:p w14:paraId="39E3D923" w14:textId="77777777" w:rsidR="00AB6157" w:rsidRDefault="00AB6157" w:rsidP="00AB6157">
      <w:pPr>
        <w:rPr>
          <w:rFonts w:ascii="Arial" w:hAnsi="Arial" w:cs="Arial"/>
        </w:rPr>
      </w:pPr>
      <w:r>
        <w:rPr>
          <w:rFonts w:ascii="Arial" w:hAnsi="Arial" w:cs="Arial"/>
        </w:rPr>
        <w:t>&lt;ESMA_QUESTION_PLPM_15&gt;</w:t>
      </w:r>
    </w:p>
    <w:p w14:paraId="750DEC0D" w14:textId="2F0B75B7" w:rsidR="00AB6157" w:rsidRDefault="008B3491" w:rsidP="008B3491">
      <w:pPr>
        <w:spacing w:after="240" w:line="276" w:lineRule="auto"/>
        <w:jc w:val="both"/>
        <w:rPr>
          <w:rFonts w:ascii="Arial" w:hAnsi="Arial" w:cs="Arial"/>
        </w:rPr>
      </w:pPr>
      <w:permStart w:id="1339831077" w:edGrp="everyone"/>
      <w:r w:rsidRPr="008B3491">
        <w:rPr>
          <w:rFonts w:ascii="Arial" w:hAnsi="Arial" w:cs="Arial"/>
          <w:lang w:val="en-US"/>
        </w:rPr>
        <w:t xml:space="preserve">Rather than extending the scope of the </w:t>
      </w:r>
      <w:r w:rsidR="004A6B47">
        <w:rPr>
          <w:rFonts w:ascii="Arial" w:hAnsi="Arial" w:cs="Arial"/>
          <w:lang w:val="en-US"/>
        </w:rPr>
        <w:t>position limit regime</w:t>
      </w:r>
      <w:r w:rsidRPr="008B3491">
        <w:rPr>
          <w:rFonts w:ascii="Arial" w:hAnsi="Arial" w:cs="Arial"/>
          <w:lang w:val="en-US"/>
        </w:rPr>
        <w:t xml:space="preserve"> (by broadening the definition of EEOTC and same contracts) and ensuring a level playing field between exchange and OTC trading, as well as between exchanges, we believe that the focus of the review should be on making the </w:t>
      </w:r>
      <w:r w:rsidR="004A6B47">
        <w:rPr>
          <w:rFonts w:ascii="Arial" w:hAnsi="Arial" w:cs="Arial"/>
          <w:lang w:val="en-US"/>
        </w:rPr>
        <w:t>position limit regime</w:t>
      </w:r>
      <w:r w:rsidRPr="008B3491">
        <w:rPr>
          <w:rFonts w:ascii="Arial" w:hAnsi="Arial" w:cs="Arial"/>
          <w:lang w:val="en-US"/>
        </w:rPr>
        <w:t xml:space="preserve"> more proportionate and efficient.</w:t>
      </w:r>
      <w:r w:rsidR="0069042D" w:rsidRPr="0069042D">
        <w:t xml:space="preserve"> </w:t>
      </w:r>
      <w:r w:rsidR="0069042D" w:rsidRPr="0069042D">
        <w:rPr>
          <w:rFonts w:ascii="Arial" w:hAnsi="Arial" w:cs="Arial"/>
          <w:lang w:val="en-US"/>
        </w:rPr>
        <w:t>Please refer to our answers to questions 1, 5 and 13.</w:t>
      </w:r>
    </w:p>
    <w:permEnd w:id="1339831077"/>
    <w:p w14:paraId="3225B4D8" w14:textId="77777777" w:rsidR="00AB6157" w:rsidRDefault="00AB6157" w:rsidP="00AB6157">
      <w:pPr>
        <w:rPr>
          <w:rFonts w:ascii="Arial" w:hAnsi="Arial" w:cs="Arial"/>
        </w:rPr>
      </w:pPr>
      <w:r>
        <w:rPr>
          <w:rFonts w:ascii="Arial" w:hAnsi="Arial" w:cs="Arial"/>
        </w:rPr>
        <w:t>&lt;ESMA_QUESTION_PLPM_15&gt;</w:t>
      </w:r>
    </w:p>
    <w:p w14:paraId="6B97A1B3" w14:textId="77777777" w:rsidR="00AB6157" w:rsidRDefault="00AB6157" w:rsidP="00AB6157">
      <w:pPr>
        <w:rPr>
          <w:rFonts w:ascii="Arial" w:hAnsi="Arial" w:cs="Arial"/>
        </w:rPr>
      </w:pPr>
    </w:p>
    <w:p w14:paraId="33234B10" w14:textId="77777777" w:rsidR="00AB6157" w:rsidRDefault="00AB6157" w:rsidP="00AB6157">
      <w:pPr>
        <w:pStyle w:val="Questionstyle"/>
        <w:numPr>
          <w:ilvl w:val="0"/>
          <w:numId w:val="9"/>
        </w:numPr>
        <w:spacing w:after="250" w:line="276" w:lineRule="auto"/>
      </w:pPr>
      <w:r>
        <w:t xml:space="preserve">: </w:t>
      </w:r>
      <w:r w:rsidRPr="0059718E">
        <w:t>In your view, would there be a need to review the MiFID II position limit exemptions? If so, please elaborate and explain which changes would be desirable.</w:t>
      </w:r>
    </w:p>
    <w:p w14:paraId="6C03622D" w14:textId="77777777" w:rsidR="00AB6157" w:rsidRDefault="00AB6157" w:rsidP="00AB6157">
      <w:pPr>
        <w:rPr>
          <w:rFonts w:ascii="Arial" w:hAnsi="Arial" w:cs="Arial"/>
        </w:rPr>
      </w:pPr>
      <w:r>
        <w:rPr>
          <w:rFonts w:ascii="Arial" w:hAnsi="Arial" w:cs="Arial"/>
        </w:rPr>
        <w:t>&lt;ESMA_QUESTION_PLPM_16&gt;</w:t>
      </w:r>
    </w:p>
    <w:p w14:paraId="15A87B04" w14:textId="77777777" w:rsidR="008B3491" w:rsidRPr="008B3491" w:rsidRDefault="008B3491" w:rsidP="008B3491">
      <w:pPr>
        <w:spacing w:after="240" w:line="276" w:lineRule="auto"/>
        <w:jc w:val="both"/>
        <w:rPr>
          <w:rFonts w:ascii="Arial" w:hAnsi="Arial" w:cs="Arial"/>
          <w:i/>
          <w:sz w:val="22"/>
          <w:szCs w:val="22"/>
          <w:lang w:val="en-US"/>
        </w:rPr>
      </w:pPr>
      <w:permStart w:id="660826917" w:edGrp="everyone"/>
      <w:r w:rsidRPr="008B3491">
        <w:rPr>
          <w:rFonts w:ascii="Arial" w:hAnsi="Arial" w:cs="Arial"/>
          <w:i/>
          <w:sz w:val="22"/>
          <w:szCs w:val="22"/>
          <w:lang w:val="en-US"/>
        </w:rPr>
        <w:t>The hedging exemption</w:t>
      </w:r>
    </w:p>
    <w:p w14:paraId="7B83F58F" w14:textId="77777777"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In line with Europex, we believe that the hedging exemption should also become available for financial entities. Investment banks as well as commodity trading houses play a vital role in providing smaller commercial players with access to commodity derivatives markets. Moreover, also commercial players can be an investment firm under MiFID II. This does not imply that they do not need a hedging exemption anymore for the commercial activities they are undertaking as their main business.</w:t>
      </w:r>
    </w:p>
    <w:p w14:paraId="10705621" w14:textId="77777777"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In iron ore and freight, for example, it is possible and sometimes common that a bank would finance a miner or steel mill with the caveat that the business needs to initiate a hedging </w:t>
      </w:r>
      <w:proofErr w:type="spellStart"/>
      <w:r w:rsidRPr="008B3491">
        <w:rPr>
          <w:rFonts w:ascii="Arial" w:hAnsi="Arial" w:cs="Arial"/>
          <w:sz w:val="22"/>
          <w:szCs w:val="22"/>
          <w:lang w:val="en-US"/>
        </w:rPr>
        <w:t>programme</w:t>
      </w:r>
      <w:proofErr w:type="spellEnd"/>
      <w:r w:rsidRPr="008B3491">
        <w:rPr>
          <w:rFonts w:ascii="Arial" w:hAnsi="Arial" w:cs="Arial"/>
          <w:sz w:val="22"/>
          <w:szCs w:val="22"/>
          <w:lang w:val="en-US"/>
        </w:rPr>
        <w:t xml:space="preserve"> to remove volatility from future costs or revenues (or both). The hedging </w:t>
      </w:r>
      <w:proofErr w:type="spellStart"/>
      <w:r w:rsidRPr="008B3491">
        <w:rPr>
          <w:rFonts w:ascii="Arial" w:hAnsi="Arial" w:cs="Arial"/>
          <w:sz w:val="22"/>
          <w:szCs w:val="22"/>
          <w:lang w:val="en-US"/>
        </w:rPr>
        <w:t>programme</w:t>
      </w:r>
      <w:proofErr w:type="spellEnd"/>
      <w:r w:rsidRPr="008B3491">
        <w:rPr>
          <w:rFonts w:ascii="Arial" w:hAnsi="Arial" w:cs="Arial"/>
          <w:sz w:val="22"/>
          <w:szCs w:val="22"/>
          <w:lang w:val="en-US"/>
        </w:rPr>
        <w:t xml:space="preserve"> would usually be conducted with the bank on an OTC basis with the bank then offsetting that risk in the cleared market. </w:t>
      </w:r>
    </w:p>
    <w:p w14:paraId="40A4E81C" w14:textId="77777777"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Even though within the context of such a transaction the bank clearly performs a hedging activity, it would not be able to make use of the exemption envisaged under </w:t>
      </w:r>
      <w:proofErr w:type="spellStart"/>
      <w:r w:rsidRPr="008B3491">
        <w:rPr>
          <w:rFonts w:ascii="Arial" w:hAnsi="Arial" w:cs="Arial"/>
          <w:sz w:val="22"/>
          <w:szCs w:val="22"/>
          <w:lang w:val="en-US"/>
        </w:rPr>
        <w:t>MiFIR</w:t>
      </w:r>
      <w:proofErr w:type="spellEnd"/>
      <w:r w:rsidRPr="008B3491">
        <w:rPr>
          <w:rFonts w:ascii="Arial" w:hAnsi="Arial" w:cs="Arial"/>
          <w:sz w:val="22"/>
          <w:szCs w:val="22"/>
          <w:lang w:val="en-US"/>
        </w:rPr>
        <w:t xml:space="preserve"> Article 8 or MiFID Article 57.</w:t>
      </w:r>
    </w:p>
    <w:p w14:paraId="116955E3" w14:textId="77777777" w:rsidR="008B3491" w:rsidRPr="008B3491" w:rsidRDefault="008B3491" w:rsidP="008B3491">
      <w:pPr>
        <w:spacing w:after="240" w:line="276" w:lineRule="auto"/>
        <w:jc w:val="both"/>
        <w:rPr>
          <w:rFonts w:ascii="Arial" w:hAnsi="Arial" w:cs="Arial"/>
          <w:i/>
          <w:sz w:val="22"/>
          <w:szCs w:val="22"/>
          <w:lang w:val="en-US"/>
        </w:rPr>
      </w:pPr>
      <w:r w:rsidRPr="008B3491">
        <w:rPr>
          <w:rFonts w:ascii="Arial" w:hAnsi="Arial" w:cs="Arial"/>
          <w:i/>
          <w:sz w:val="22"/>
          <w:szCs w:val="22"/>
          <w:lang w:val="en-US"/>
        </w:rPr>
        <w:lastRenderedPageBreak/>
        <w:t>The liquidity provision exemption</w:t>
      </w:r>
    </w:p>
    <w:p w14:paraId="1110A588" w14:textId="77777777"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Another obstacle to the development of new contracts, such as EEX agriculture and EEX dry bulk freight contracts, has been a lack of a liquidity provision exemption in combination with the de </w:t>
      </w:r>
      <w:proofErr w:type="spellStart"/>
      <w:r w:rsidRPr="008B3491">
        <w:rPr>
          <w:rFonts w:ascii="Arial" w:hAnsi="Arial" w:cs="Arial"/>
          <w:sz w:val="22"/>
          <w:szCs w:val="22"/>
          <w:lang w:val="en-US"/>
        </w:rPr>
        <w:t>minimis</w:t>
      </w:r>
      <w:proofErr w:type="spellEnd"/>
      <w:r w:rsidRPr="008B3491">
        <w:rPr>
          <w:rFonts w:ascii="Arial" w:hAnsi="Arial" w:cs="Arial"/>
          <w:sz w:val="22"/>
          <w:szCs w:val="22"/>
          <w:lang w:val="en-US"/>
        </w:rPr>
        <w:t xml:space="preserve"> limit being too restrictive. </w:t>
      </w:r>
    </w:p>
    <w:p w14:paraId="46AB117F" w14:textId="1865F8EC"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Contrary to the general ancillary activity exemption regime, the </w:t>
      </w:r>
      <w:r w:rsidR="004A6B47">
        <w:rPr>
          <w:rFonts w:ascii="Arial" w:hAnsi="Arial" w:cs="Arial"/>
          <w:sz w:val="22"/>
          <w:szCs w:val="22"/>
          <w:lang w:val="en-US"/>
        </w:rPr>
        <w:t>position limit regime</w:t>
      </w:r>
      <w:r w:rsidRPr="008B3491">
        <w:rPr>
          <w:rFonts w:ascii="Arial" w:hAnsi="Arial" w:cs="Arial"/>
          <w:sz w:val="22"/>
          <w:szCs w:val="22"/>
          <w:lang w:val="en-US"/>
        </w:rPr>
        <w:t xml:space="preserve"> does not include a liquidity provision exemption. An exemption, as outlined in Art. 2(4) of MiFID II, is particularly necessary for new contracts that need financial entities to </w:t>
      </w:r>
      <w:proofErr w:type="spellStart"/>
      <w:r w:rsidRPr="008B3491">
        <w:rPr>
          <w:rFonts w:ascii="Arial" w:hAnsi="Arial" w:cs="Arial"/>
          <w:sz w:val="22"/>
          <w:szCs w:val="22"/>
          <w:lang w:val="en-US"/>
        </w:rPr>
        <w:t>incentivise</w:t>
      </w:r>
      <w:proofErr w:type="spellEnd"/>
      <w:r w:rsidRPr="008B3491">
        <w:rPr>
          <w:rFonts w:ascii="Arial" w:hAnsi="Arial" w:cs="Arial"/>
          <w:sz w:val="22"/>
          <w:szCs w:val="22"/>
          <w:lang w:val="en-US"/>
        </w:rPr>
        <w:t xml:space="preserve"> trading in the contract, </w:t>
      </w:r>
      <w:r w:rsidRPr="008B3491">
        <w:rPr>
          <w:rFonts w:ascii="Arial" w:hAnsi="Arial" w:cs="Arial"/>
          <w:sz w:val="22"/>
          <w:szCs w:val="22"/>
        </w:rPr>
        <w:t xml:space="preserve">at least if the </w:t>
      </w:r>
      <w:r w:rsidR="004A6B47">
        <w:rPr>
          <w:rFonts w:ascii="Arial" w:hAnsi="Arial" w:cs="Arial"/>
          <w:sz w:val="22"/>
          <w:szCs w:val="22"/>
        </w:rPr>
        <w:t>position limit regime</w:t>
      </w:r>
      <w:r w:rsidRPr="008B3491">
        <w:rPr>
          <w:rFonts w:ascii="Arial" w:hAnsi="Arial" w:cs="Arial"/>
          <w:sz w:val="22"/>
          <w:szCs w:val="22"/>
        </w:rPr>
        <w:t xml:space="preserve"> continues to include the restrictive 2,500 lots limit on new and illiquid contracts. If no such exemption is available and the 2,500 lots limit continues to apply, </w:t>
      </w:r>
      <w:r w:rsidRPr="008B3491">
        <w:rPr>
          <w:rFonts w:ascii="Arial" w:hAnsi="Arial" w:cs="Arial"/>
          <w:sz w:val="22"/>
          <w:szCs w:val="22"/>
          <w:lang w:val="en-US"/>
        </w:rPr>
        <w:t xml:space="preserve">exchanges have to contract a “panel” of liquidity providers to ensure that none of these firms exceed the 2,500 lots limit. In nascent markets it is highly possible that there may not be the required number of counterparties to build such a ‘panel’ and even where this is the case, it adds significant costs for the exchange. </w:t>
      </w:r>
    </w:p>
    <w:p w14:paraId="2BCB0CBB" w14:textId="4872946B"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In order to avoid such a situation, EEX Group recommends that the </w:t>
      </w:r>
      <w:r w:rsidR="004A6B47">
        <w:rPr>
          <w:rFonts w:ascii="Arial" w:hAnsi="Arial" w:cs="Arial"/>
          <w:sz w:val="22"/>
          <w:szCs w:val="22"/>
          <w:lang w:val="en-US"/>
        </w:rPr>
        <w:t>position limit regime</w:t>
      </w:r>
      <w:r w:rsidRPr="008B3491">
        <w:rPr>
          <w:rFonts w:ascii="Arial" w:hAnsi="Arial" w:cs="Arial"/>
          <w:sz w:val="22"/>
          <w:szCs w:val="22"/>
          <w:lang w:val="en-US"/>
        </w:rPr>
        <w:t xml:space="preserve"> includes such an exemption based on the same conditions as the liquidity provision exemption outlined in Art. 2(4) of MiFID II and the ESMA Q&amp;A on MiFID II/</w:t>
      </w:r>
      <w:proofErr w:type="spellStart"/>
      <w:r w:rsidRPr="008B3491">
        <w:rPr>
          <w:rFonts w:ascii="Arial" w:hAnsi="Arial" w:cs="Arial"/>
          <w:sz w:val="22"/>
          <w:szCs w:val="22"/>
          <w:lang w:val="en-US"/>
        </w:rPr>
        <w:t>MiFIR</w:t>
      </w:r>
      <w:proofErr w:type="spellEnd"/>
      <w:r w:rsidRPr="008B3491">
        <w:rPr>
          <w:rFonts w:ascii="Arial" w:hAnsi="Arial" w:cs="Arial"/>
          <w:sz w:val="22"/>
          <w:szCs w:val="22"/>
          <w:lang w:val="en-US"/>
        </w:rPr>
        <w:t xml:space="preserve"> commodity derivative topics, and implemented similarly to the hedging exemption under the </w:t>
      </w:r>
      <w:r w:rsidR="004A6B47">
        <w:rPr>
          <w:rFonts w:ascii="Arial" w:hAnsi="Arial" w:cs="Arial"/>
          <w:sz w:val="22"/>
          <w:szCs w:val="22"/>
          <w:lang w:val="en-US"/>
        </w:rPr>
        <w:t>position limit regime</w:t>
      </w:r>
      <w:r w:rsidRPr="008B3491">
        <w:rPr>
          <w:rFonts w:ascii="Arial" w:hAnsi="Arial" w:cs="Arial"/>
          <w:sz w:val="22"/>
          <w:szCs w:val="22"/>
          <w:lang w:val="en-US"/>
        </w:rPr>
        <w:t>.</w:t>
      </w:r>
    </w:p>
    <w:permEnd w:id="660826917"/>
    <w:p w14:paraId="4A281AB1" w14:textId="77777777" w:rsidR="00AB6157" w:rsidRDefault="00AB6157" w:rsidP="00AB6157">
      <w:pPr>
        <w:rPr>
          <w:rFonts w:ascii="Arial" w:hAnsi="Arial" w:cs="Arial"/>
        </w:rPr>
      </w:pPr>
      <w:r>
        <w:rPr>
          <w:rFonts w:ascii="Arial" w:hAnsi="Arial" w:cs="Arial"/>
        </w:rPr>
        <w:t>&lt;ESMA_QUESTION_PLPM_16&gt;</w:t>
      </w:r>
    </w:p>
    <w:p w14:paraId="7F94DF8C" w14:textId="77777777" w:rsidR="00AB6157" w:rsidRDefault="00AB6157" w:rsidP="00AB6157">
      <w:pPr>
        <w:rPr>
          <w:rFonts w:ascii="Arial" w:hAnsi="Arial" w:cs="Arial"/>
        </w:rPr>
      </w:pPr>
    </w:p>
    <w:p w14:paraId="0D51099B" w14:textId="77777777" w:rsidR="00AB6157" w:rsidRDefault="00AB6157" w:rsidP="00AB6157">
      <w:pPr>
        <w:pStyle w:val="Questionstyle"/>
        <w:numPr>
          <w:ilvl w:val="0"/>
          <w:numId w:val="9"/>
        </w:numPr>
        <w:spacing w:after="250" w:line="276" w:lineRule="auto"/>
      </w:pPr>
      <w:bookmarkStart w:id="5" w:name="_Hlk8205050"/>
      <w:r>
        <w:t>: Would you</w:t>
      </w:r>
      <w:r w:rsidRPr="00503AC3">
        <w:t xml:space="preserve"> </w:t>
      </w:r>
      <w:r>
        <w:t xml:space="preserve">see merits in the approach </w:t>
      </w:r>
      <w:r w:rsidRPr="00503AC3">
        <w:t>described above</w:t>
      </w:r>
      <w:r>
        <w:t xml:space="preserve"> and the additional flexibility provided to CAs for setting the spot month limit in cash settled contracts? Please explain</w:t>
      </w:r>
      <w:r w:rsidRPr="00503AC3">
        <w:t>.</w:t>
      </w:r>
      <w:bookmarkEnd w:id="5"/>
    </w:p>
    <w:p w14:paraId="78EA29A4" w14:textId="77777777" w:rsidR="00AB6157" w:rsidRDefault="00AB6157" w:rsidP="00AB6157">
      <w:pPr>
        <w:rPr>
          <w:rFonts w:ascii="Arial" w:hAnsi="Arial" w:cs="Arial"/>
        </w:rPr>
      </w:pPr>
      <w:r>
        <w:rPr>
          <w:rFonts w:ascii="Arial" w:hAnsi="Arial" w:cs="Arial"/>
        </w:rPr>
        <w:t>&lt;ESMA_QUESTION_PLPM_17&gt;</w:t>
      </w:r>
    </w:p>
    <w:p w14:paraId="7E125E64" w14:textId="2278D23B" w:rsidR="008B3491" w:rsidRPr="008B3491" w:rsidRDefault="008B3491" w:rsidP="008B3491">
      <w:pPr>
        <w:spacing w:after="240" w:line="276" w:lineRule="auto"/>
        <w:jc w:val="both"/>
        <w:rPr>
          <w:rFonts w:ascii="Arial" w:hAnsi="Arial" w:cs="Arial"/>
          <w:lang w:val="en-US"/>
        </w:rPr>
      </w:pPr>
      <w:permStart w:id="2134387464" w:edGrp="everyone"/>
      <w:r w:rsidRPr="008B3491">
        <w:rPr>
          <w:rFonts w:ascii="Arial" w:hAnsi="Arial" w:cs="Arial"/>
          <w:lang w:val="en-US"/>
        </w:rPr>
        <w:t xml:space="preserve">First of all, it has to be noted that for power and gas the significant difference between deliverable supply and open interest can be explained by the fact that trading is still happening predominantly bilaterally and is taking place on different exchanges. It is therefore normal that the open interest of exchange-traded derivatives is relatively low compared to the underlying market. To effectively prevent market abuse, it is necessary to adjust the position limit upwards, if deliverable supply is significantly higher than the open interest. This is facilitated by Art. 18 par. 3 of the Delegated Regulation (EU) 2017/591 but not always </w:t>
      </w:r>
      <w:r w:rsidR="0069042D">
        <w:rPr>
          <w:rFonts w:ascii="Arial" w:hAnsi="Arial" w:cs="Arial"/>
          <w:lang w:val="en-US"/>
        </w:rPr>
        <w:t>consistently</w:t>
      </w:r>
      <w:r w:rsidRPr="008B3491">
        <w:rPr>
          <w:rFonts w:ascii="Arial" w:hAnsi="Arial" w:cs="Arial"/>
          <w:lang w:val="en-US"/>
        </w:rPr>
        <w:t xml:space="preserve"> applied by NCAs.</w:t>
      </w:r>
    </w:p>
    <w:p w14:paraId="4A4C6A78" w14:textId="266343A6" w:rsidR="00AB6157" w:rsidRPr="008B3491" w:rsidRDefault="008B3491" w:rsidP="008B3491">
      <w:pPr>
        <w:spacing w:after="240" w:line="276" w:lineRule="auto"/>
        <w:jc w:val="both"/>
        <w:rPr>
          <w:rFonts w:ascii="Arial" w:hAnsi="Arial" w:cs="Arial"/>
          <w:lang w:val="en-US"/>
        </w:rPr>
      </w:pPr>
      <w:r w:rsidRPr="008B3491">
        <w:rPr>
          <w:rFonts w:ascii="Arial" w:hAnsi="Arial" w:cs="Arial"/>
          <w:lang w:val="en-US"/>
        </w:rPr>
        <w:t xml:space="preserve">Secondly, we believe that optionality to use open interest for both spot and other month contracts could prevent unintended consequences of the </w:t>
      </w:r>
      <w:r w:rsidR="004A6B47">
        <w:rPr>
          <w:rFonts w:ascii="Arial" w:hAnsi="Arial" w:cs="Arial"/>
          <w:lang w:val="en-US"/>
        </w:rPr>
        <w:t>position limit regime</w:t>
      </w:r>
      <w:r w:rsidRPr="008B3491">
        <w:rPr>
          <w:rFonts w:ascii="Arial" w:hAnsi="Arial" w:cs="Arial"/>
          <w:lang w:val="en-US"/>
        </w:rPr>
        <w:t xml:space="preserve"> for certain commodity derivative contracts which serve as pricing benchmarks and risk-management proxies in the absence of direct hedging instruments. However, setting limits for both spot and other months based on open interest should be an optionality and by no means a rule in setting position limits. It should be conditioned upon specific characteristics and functions of a commodity derivative contract in question.</w:t>
      </w:r>
    </w:p>
    <w:permEnd w:id="2134387464"/>
    <w:p w14:paraId="709D5B07" w14:textId="77777777" w:rsidR="00AB6157" w:rsidRDefault="00AB6157" w:rsidP="00AB6157">
      <w:pPr>
        <w:rPr>
          <w:rFonts w:ascii="Arial" w:hAnsi="Arial" w:cs="Arial"/>
        </w:rPr>
      </w:pPr>
      <w:r>
        <w:rPr>
          <w:rFonts w:ascii="Arial" w:hAnsi="Arial" w:cs="Arial"/>
        </w:rPr>
        <w:t>&lt;ESMA_QUESTION_PLPM_17&gt;</w:t>
      </w:r>
    </w:p>
    <w:p w14:paraId="5FBA08C9" w14:textId="77777777" w:rsidR="00AB6157" w:rsidRDefault="00AB6157" w:rsidP="00AB6157">
      <w:pPr>
        <w:rPr>
          <w:rFonts w:ascii="Arial" w:hAnsi="Arial" w:cs="Arial"/>
        </w:rPr>
      </w:pPr>
    </w:p>
    <w:p w14:paraId="7EF000ED" w14:textId="77777777" w:rsidR="00AB6157" w:rsidRDefault="00AB6157" w:rsidP="00AB6157">
      <w:pPr>
        <w:pStyle w:val="Questionstyle"/>
        <w:numPr>
          <w:ilvl w:val="0"/>
          <w:numId w:val="9"/>
        </w:numPr>
        <w:spacing w:after="250" w:line="276" w:lineRule="auto"/>
      </w:pPr>
      <w:r>
        <w:lastRenderedPageBreak/>
        <w:t xml:space="preserve">: Would you see benefits to review the approach for setting position limits for new and illiquid contracts? If so, what would you suggest? </w:t>
      </w:r>
    </w:p>
    <w:p w14:paraId="5860723E" w14:textId="77777777" w:rsidR="00AB6157" w:rsidRDefault="00AB6157" w:rsidP="00AB6157">
      <w:pPr>
        <w:rPr>
          <w:rFonts w:ascii="Arial" w:hAnsi="Arial" w:cs="Arial"/>
        </w:rPr>
      </w:pPr>
      <w:r>
        <w:rPr>
          <w:rFonts w:ascii="Arial" w:hAnsi="Arial" w:cs="Arial"/>
        </w:rPr>
        <w:t>&lt;ESMA_QUESTION_PLPM_18&gt;</w:t>
      </w:r>
    </w:p>
    <w:p w14:paraId="070B8EF7" w14:textId="35417D1F" w:rsidR="00AB6157" w:rsidRDefault="0069042D" w:rsidP="0069042D">
      <w:pPr>
        <w:jc w:val="both"/>
        <w:rPr>
          <w:rFonts w:ascii="Arial" w:hAnsi="Arial" w:cs="Arial"/>
        </w:rPr>
      </w:pPr>
      <w:permStart w:id="1672699502" w:edGrp="everyone"/>
      <w:r w:rsidRPr="0069042D">
        <w:rPr>
          <w:rFonts w:ascii="Arial" w:hAnsi="Arial" w:cs="Arial"/>
        </w:rPr>
        <w:t xml:space="preserve">Yes, considering in particular the significant impact that the MiFID II position limit regime has had on the development of new, illiquid and less liquid contracts, we believe changes to make the regime more proportionate and efficient are urgently required. For details, </w:t>
      </w:r>
      <w:proofErr w:type="spellStart"/>
      <w:r w:rsidRPr="0069042D">
        <w:rPr>
          <w:rFonts w:ascii="Arial" w:hAnsi="Arial" w:cs="Arial"/>
        </w:rPr>
        <w:t>pease</w:t>
      </w:r>
      <w:proofErr w:type="spellEnd"/>
      <w:r w:rsidRPr="0069042D">
        <w:rPr>
          <w:rFonts w:ascii="Arial" w:hAnsi="Arial" w:cs="Arial"/>
        </w:rPr>
        <w:t xml:space="preserve"> see our response to Q</w:t>
      </w:r>
      <w:r w:rsidR="008B3491">
        <w:rPr>
          <w:rFonts w:ascii="Arial" w:hAnsi="Arial" w:cs="Arial"/>
        </w:rPr>
        <w:t>13.</w:t>
      </w:r>
    </w:p>
    <w:permEnd w:id="1672699502"/>
    <w:p w14:paraId="6178566C" w14:textId="77777777" w:rsidR="00AB6157" w:rsidRDefault="00AB6157" w:rsidP="00AB6157">
      <w:pPr>
        <w:rPr>
          <w:rFonts w:ascii="Arial" w:hAnsi="Arial" w:cs="Arial"/>
        </w:rPr>
      </w:pPr>
      <w:r>
        <w:rPr>
          <w:rFonts w:ascii="Arial" w:hAnsi="Arial" w:cs="Arial"/>
        </w:rPr>
        <w:t>&lt;ESMA_QUESTION_PLPM_18&gt;</w:t>
      </w:r>
    </w:p>
    <w:p w14:paraId="60984C04" w14:textId="77777777" w:rsidR="00AB6157" w:rsidRDefault="00AB6157" w:rsidP="00AB6157">
      <w:pPr>
        <w:rPr>
          <w:rFonts w:ascii="Arial" w:hAnsi="Arial" w:cs="Arial"/>
        </w:rPr>
      </w:pPr>
    </w:p>
    <w:p w14:paraId="4DA92D0A" w14:textId="77777777" w:rsidR="00AB6157" w:rsidRDefault="00AB6157" w:rsidP="00AB6157">
      <w:pPr>
        <w:pStyle w:val="Questionstyle"/>
        <w:numPr>
          <w:ilvl w:val="0"/>
          <w:numId w:val="9"/>
        </w:numPr>
        <w:spacing w:after="250" w:line="276" w:lineRule="auto"/>
      </w:pPr>
      <w:r>
        <w:t xml:space="preserve">: Would you see merits in a more forward-looking approach to the calculation of open interest used as a baseline for setting position limits? Please elaborate. </w:t>
      </w:r>
    </w:p>
    <w:p w14:paraId="6E31AE93" w14:textId="77777777" w:rsidR="00AB6157" w:rsidRDefault="00AB6157" w:rsidP="00AB6157">
      <w:pPr>
        <w:rPr>
          <w:rFonts w:ascii="Arial" w:hAnsi="Arial" w:cs="Arial"/>
        </w:rPr>
      </w:pPr>
      <w:r>
        <w:rPr>
          <w:rFonts w:ascii="Arial" w:hAnsi="Arial" w:cs="Arial"/>
        </w:rPr>
        <w:t>&lt;ESMA_QUESTION_PLPM_19&gt;</w:t>
      </w:r>
    </w:p>
    <w:p w14:paraId="631641EF" w14:textId="77777777" w:rsidR="008B3491" w:rsidRPr="008B3491" w:rsidRDefault="008B3491" w:rsidP="008B3491">
      <w:pPr>
        <w:spacing w:after="240" w:line="276" w:lineRule="auto"/>
        <w:jc w:val="both"/>
        <w:rPr>
          <w:rFonts w:ascii="Arial" w:hAnsi="Arial" w:cs="Arial"/>
          <w:sz w:val="22"/>
          <w:szCs w:val="22"/>
          <w:lang w:val="en-US"/>
        </w:rPr>
      </w:pPr>
      <w:permStart w:id="393287414" w:edGrp="everyone"/>
      <w:r w:rsidRPr="008B3491">
        <w:rPr>
          <w:rFonts w:ascii="Arial" w:hAnsi="Arial" w:cs="Arial"/>
          <w:sz w:val="22"/>
          <w:szCs w:val="22"/>
          <w:lang w:val="en-US"/>
        </w:rPr>
        <w:t>Yes. We support the introduction of a forward-looking model whereby the position limit is calculated based on a form of extrapolation of the market’s historical development of open interest in the case of other month contracts and deliverable supply in the case of spot month contracts. This approach would be better suited to accommodate for periods of strong market growth.</w:t>
      </w:r>
    </w:p>
    <w:p w14:paraId="67EC5A78" w14:textId="77777777"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Under the existing model a position limit is based on a percentage of the average amount of open interest in a contract of a certain historical period, which is usually a one, three, six or twelve months period depending on the characteristics of the commodity market. This backward-looking methodology inherently does not properly capture the potential future growth of a market and risks applying an over-restrictive limit when a market experiences a period of strong growth. At a minimum and where appropriate, it should therefore be allowed to use the smallest possible period for the calculation of open interest levels (i.e. the average open interest of the most recent trading day) under the existing rules.  </w:t>
      </w:r>
    </w:p>
    <w:p w14:paraId="715795F7" w14:textId="77777777" w:rsidR="008B3491"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Furthermore, the introduction of a forward-looking model would be one way of dealing with the special circumstances we highlighted in our response to Q1. E.g. If NCAs would be allowed to base the position limit on anticipated growth, it would have been able to deal with the index transfers in EEX freight products as well as the German/Austrian power bidding zone split. </w:t>
      </w:r>
    </w:p>
    <w:p w14:paraId="0303245C" w14:textId="2D5390EC" w:rsidR="00AB6157"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lang w:val="en-US"/>
        </w:rPr>
        <w:t xml:space="preserve">Importantly, this forward-looking approach should not only apply to setting the limits, but also to classifying contracts as liquid or not. This way, it could prevent that the development of markets are hampered by a delay in the application of a bespoke limit by a NCA, at least if the </w:t>
      </w:r>
      <w:r w:rsidR="004A6B47">
        <w:rPr>
          <w:rFonts w:ascii="Arial" w:hAnsi="Arial" w:cs="Arial"/>
          <w:sz w:val="22"/>
          <w:szCs w:val="22"/>
          <w:lang w:val="en-US"/>
        </w:rPr>
        <w:t>position limit regime</w:t>
      </w:r>
      <w:r w:rsidRPr="008B3491">
        <w:rPr>
          <w:rFonts w:ascii="Arial" w:hAnsi="Arial" w:cs="Arial"/>
          <w:sz w:val="22"/>
          <w:szCs w:val="22"/>
          <w:lang w:val="en-US"/>
        </w:rPr>
        <w:t xml:space="preserve"> continues to include a restrictive 2,500 lots limit for illiquid contracts. Alternatively, the 2,500 lots limit </w:t>
      </w:r>
      <w:r w:rsidR="0069042D">
        <w:rPr>
          <w:rFonts w:ascii="Arial" w:hAnsi="Arial" w:cs="Arial"/>
          <w:sz w:val="22"/>
          <w:szCs w:val="22"/>
          <w:lang w:val="en-US"/>
        </w:rPr>
        <w:t>sh</w:t>
      </w:r>
      <w:r w:rsidRPr="008B3491">
        <w:rPr>
          <w:rFonts w:ascii="Arial" w:hAnsi="Arial" w:cs="Arial"/>
          <w:sz w:val="22"/>
          <w:szCs w:val="22"/>
          <w:lang w:val="en-US"/>
        </w:rPr>
        <w:t>ould automatically cease to apply, as soon as the contract has become liquid.</w:t>
      </w:r>
    </w:p>
    <w:permEnd w:id="393287414"/>
    <w:p w14:paraId="2A9680B7" w14:textId="77777777" w:rsidR="00AB6157" w:rsidRDefault="00AB6157" w:rsidP="00AB6157">
      <w:pPr>
        <w:rPr>
          <w:rFonts w:ascii="Arial" w:hAnsi="Arial" w:cs="Arial"/>
        </w:rPr>
      </w:pPr>
      <w:r>
        <w:rPr>
          <w:rFonts w:ascii="Arial" w:hAnsi="Arial" w:cs="Arial"/>
        </w:rPr>
        <w:t>&lt;ESMA_QUESTION_PLPM_19&gt;</w:t>
      </w:r>
    </w:p>
    <w:p w14:paraId="6AD4B529" w14:textId="77777777" w:rsidR="00AB6157" w:rsidRDefault="00AB6157" w:rsidP="00AB6157">
      <w:pPr>
        <w:rPr>
          <w:rFonts w:ascii="Arial" w:hAnsi="Arial" w:cs="Arial"/>
        </w:rPr>
      </w:pPr>
    </w:p>
    <w:p w14:paraId="7D36DE13" w14:textId="77777777" w:rsidR="00AB6157" w:rsidRDefault="00AB6157" w:rsidP="00AB6157">
      <w:pPr>
        <w:pStyle w:val="Questionstyle"/>
        <w:numPr>
          <w:ilvl w:val="0"/>
          <w:numId w:val="9"/>
        </w:numPr>
        <w:spacing w:after="250" w:line="276" w:lineRule="auto"/>
      </w:pPr>
      <w:r>
        <w:t>: In your view, are there other specific areas where the methodology for calculating the position limits set out in RTS 21 should be reviewed? If so, what would you suggest, and why?</w:t>
      </w:r>
    </w:p>
    <w:p w14:paraId="3CF28C98" w14:textId="77777777" w:rsidR="00AB6157" w:rsidRDefault="00AB6157" w:rsidP="00AB6157">
      <w:pPr>
        <w:rPr>
          <w:rFonts w:ascii="Arial" w:hAnsi="Arial" w:cs="Arial"/>
        </w:rPr>
      </w:pPr>
      <w:r>
        <w:rPr>
          <w:rFonts w:ascii="Arial" w:hAnsi="Arial" w:cs="Arial"/>
        </w:rPr>
        <w:t>&lt;ESMA_QUESTION_PLPM_20&gt;</w:t>
      </w:r>
    </w:p>
    <w:p w14:paraId="0814B979" w14:textId="77777777" w:rsidR="008B3491" w:rsidRPr="008B3491" w:rsidRDefault="008B3491" w:rsidP="008B3491">
      <w:pPr>
        <w:spacing w:after="240" w:line="276" w:lineRule="auto"/>
        <w:jc w:val="both"/>
        <w:rPr>
          <w:rFonts w:ascii="Arial" w:hAnsi="Arial" w:cs="Arial"/>
          <w:sz w:val="22"/>
          <w:szCs w:val="22"/>
        </w:rPr>
      </w:pPr>
      <w:permStart w:id="738884066" w:edGrp="everyone"/>
      <w:r w:rsidRPr="008B3491">
        <w:rPr>
          <w:rFonts w:ascii="Arial" w:hAnsi="Arial" w:cs="Arial"/>
          <w:sz w:val="22"/>
          <w:szCs w:val="22"/>
          <w:lang w:val="en-US"/>
        </w:rPr>
        <w:lastRenderedPageBreak/>
        <w:t>If ESMA believes there is a need to provide its views on the methodologies used by exchanges to calculate open interest for the purpose of position limits by means of level 3 guidance, then we consider the use of gross open interest as the most appropriate of the different methodologies that NCA’s should be able to allow exchanges to implement. This is because the usage of net open interest to determine the other month position limit would be inappropriate as it does not properly reflect trading on behalf of clients. For example, if a member holds 5 lots long for client A and 5 lots short for client B, this position should not be netted, as the positions belong to different beneficial owners.</w:t>
      </w:r>
      <w:r w:rsidRPr="008B3491">
        <w:rPr>
          <w:rFonts w:ascii="Arial" w:hAnsi="Arial" w:cs="Arial"/>
          <w:sz w:val="22"/>
          <w:szCs w:val="22"/>
        </w:rPr>
        <w:t xml:space="preserve"> To recall, position limits apply to the person holding the position, meaning the end beneficiary is concerned. </w:t>
      </w:r>
    </w:p>
    <w:p w14:paraId="1E1C1D3E" w14:textId="77777777" w:rsidR="008B3491" w:rsidRPr="008B3491" w:rsidRDefault="008B3491" w:rsidP="008B3491">
      <w:pPr>
        <w:spacing w:after="240" w:line="276" w:lineRule="auto"/>
        <w:jc w:val="both"/>
        <w:rPr>
          <w:rFonts w:ascii="Arial" w:hAnsi="Arial" w:cs="Arial"/>
          <w:sz w:val="22"/>
          <w:szCs w:val="22"/>
        </w:rPr>
      </w:pPr>
      <w:r w:rsidRPr="008B3491">
        <w:rPr>
          <w:rFonts w:ascii="Arial" w:hAnsi="Arial" w:cs="Arial"/>
          <w:sz w:val="22"/>
          <w:szCs w:val="22"/>
        </w:rPr>
        <w:t>Let us assume as another example that A is a member of the exchange serving client CA and B is a member of the exchange that serves a client called CB. Then A might buy on behalf of CA 100 units of a certain commodity and sell on its own account the same quantity. If B does the same with his client, then this leads to the following position in the sense of MiFID II position limits.</w:t>
      </w:r>
    </w:p>
    <w:p w14:paraId="379A9589" w14:textId="77777777" w:rsidR="008B3491" w:rsidRPr="008B3491" w:rsidRDefault="008B3491" w:rsidP="008B3491">
      <w:pPr>
        <w:spacing w:line="276" w:lineRule="auto"/>
        <w:jc w:val="both"/>
        <w:rPr>
          <w:rFonts w:ascii="Arial" w:hAnsi="Arial" w:cs="Arial"/>
          <w:sz w:val="22"/>
          <w:szCs w:val="22"/>
        </w:rPr>
      </w:pPr>
      <w:r w:rsidRPr="008B3491">
        <w:rPr>
          <w:rFonts w:ascii="Arial" w:hAnsi="Arial" w:cs="Arial"/>
          <w:sz w:val="22"/>
          <w:szCs w:val="22"/>
        </w:rPr>
        <w:t>A: 100 units short</w:t>
      </w:r>
    </w:p>
    <w:p w14:paraId="40678395" w14:textId="77777777" w:rsidR="008B3491" w:rsidRPr="008B3491" w:rsidRDefault="008B3491" w:rsidP="008B3491">
      <w:pPr>
        <w:spacing w:line="276" w:lineRule="auto"/>
        <w:jc w:val="both"/>
        <w:rPr>
          <w:rFonts w:ascii="Arial" w:hAnsi="Arial" w:cs="Arial"/>
          <w:sz w:val="22"/>
          <w:szCs w:val="22"/>
        </w:rPr>
      </w:pPr>
      <w:r w:rsidRPr="008B3491">
        <w:rPr>
          <w:rFonts w:ascii="Arial" w:hAnsi="Arial" w:cs="Arial"/>
          <w:sz w:val="22"/>
          <w:szCs w:val="22"/>
        </w:rPr>
        <w:t>CA: 100 units long</w:t>
      </w:r>
    </w:p>
    <w:p w14:paraId="5E2FCAA9" w14:textId="77777777" w:rsidR="008B3491" w:rsidRPr="008B3491" w:rsidRDefault="008B3491" w:rsidP="008B3491">
      <w:pPr>
        <w:spacing w:line="276" w:lineRule="auto"/>
        <w:jc w:val="both"/>
        <w:rPr>
          <w:rFonts w:ascii="Arial" w:hAnsi="Arial" w:cs="Arial"/>
          <w:sz w:val="22"/>
          <w:szCs w:val="22"/>
        </w:rPr>
      </w:pPr>
      <w:r w:rsidRPr="008B3491">
        <w:rPr>
          <w:rFonts w:ascii="Arial" w:hAnsi="Arial" w:cs="Arial"/>
          <w:sz w:val="22"/>
          <w:szCs w:val="22"/>
        </w:rPr>
        <w:t>B: 100 units short</w:t>
      </w:r>
    </w:p>
    <w:p w14:paraId="6A7EA5EF" w14:textId="77777777" w:rsidR="008B3491" w:rsidRPr="008B3491" w:rsidRDefault="008B3491" w:rsidP="008B3491">
      <w:pPr>
        <w:spacing w:after="240" w:line="276" w:lineRule="auto"/>
        <w:jc w:val="both"/>
        <w:rPr>
          <w:rFonts w:ascii="Arial" w:hAnsi="Arial" w:cs="Arial"/>
          <w:sz w:val="22"/>
          <w:szCs w:val="22"/>
        </w:rPr>
      </w:pPr>
      <w:r w:rsidRPr="008B3491">
        <w:rPr>
          <w:rFonts w:ascii="Arial" w:hAnsi="Arial" w:cs="Arial"/>
          <w:sz w:val="22"/>
          <w:szCs w:val="22"/>
        </w:rPr>
        <w:t>CB: 100 units long</w:t>
      </w:r>
    </w:p>
    <w:p w14:paraId="17B0BB49" w14:textId="77777777" w:rsidR="008B3491" w:rsidRPr="008B3491" w:rsidRDefault="008B3491" w:rsidP="008B3491">
      <w:pPr>
        <w:spacing w:after="240" w:line="276" w:lineRule="auto"/>
        <w:jc w:val="both"/>
        <w:rPr>
          <w:rFonts w:ascii="Arial" w:hAnsi="Arial" w:cs="Arial"/>
          <w:sz w:val="22"/>
          <w:szCs w:val="22"/>
        </w:rPr>
      </w:pPr>
      <w:r w:rsidRPr="008B3491">
        <w:rPr>
          <w:rFonts w:ascii="Arial" w:hAnsi="Arial" w:cs="Arial"/>
          <w:sz w:val="22"/>
          <w:szCs w:val="22"/>
        </w:rPr>
        <w:t>The gross open interest is the sum of all long or short positions, i.e. 200 units. The relative positions of each party are 50% each (separately for long and short positions). On the contrary, the net open interest would be zero, since the position that A and B are holding on their accounts would be netted against the positions that they hold on behalf. For this reason, it is more appropriate to use gross open interest. Using net open interest – if it can be calculated at all - would mean that the size of the end beneficiary’s position will be compared with a figure that will be considerably smaller than the sum of all end beneficiary’s positions.</w:t>
      </w:r>
    </w:p>
    <w:p w14:paraId="40086947" w14:textId="11559AAE" w:rsidR="00AB6157" w:rsidRPr="008B3491" w:rsidRDefault="008B3491" w:rsidP="008B3491">
      <w:pPr>
        <w:spacing w:after="240" w:line="276" w:lineRule="auto"/>
        <w:jc w:val="both"/>
        <w:rPr>
          <w:rFonts w:ascii="Arial" w:hAnsi="Arial" w:cs="Arial"/>
          <w:sz w:val="22"/>
          <w:szCs w:val="22"/>
          <w:lang w:val="en-US"/>
        </w:rPr>
      </w:pPr>
      <w:r w:rsidRPr="008B3491">
        <w:rPr>
          <w:rFonts w:ascii="Arial" w:hAnsi="Arial" w:cs="Arial"/>
          <w:sz w:val="22"/>
          <w:szCs w:val="22"/>
        </w:rPr>
        <w:t>For this reason we believe that gross open interest is the most appropriate open interest calculation methodology for the purpose of position limits.</w:t>
      </w:r>
    </w:p>
    <w:permEnd w:id="738884066"/>
    <w:p w14:paraId="1DBB9C44" w14:textId="77777777" w:rsidR="00AB6157" w:rsidRDefault="00AB6157" w:rsidP="00AB6157">
      <w:pPr>
        <w:rPr>
          <w:rFonts w:ascii="Arial" w:hAnsi="Arial" w:cs="Arial"/>
        </w:rPr>
      </w:pPr>
      <w:r>
        <w:rPr>
          <w:rFonts w:ascii="Arial" w:hAnsi="Arial" w:cs="Arial"/>
        </w:rPr>
        <w:t>&lt;ESMA_QUESTION_PLPM_20&gt;</w:t>
      </w:r>
    </w:p>
    <w:p w14:paraId="41669D84" w14:textId="77777777" w:rsidR="00AB6157" w:rsidRDefault="00AB6157" w:rsidP="00AB6157">
      <w:pPr>
        <w:rPr>
          <w:rFonts w:ascii="Arial" w:hAnsi="Arial" w:cs="Arial"/>
        </w:rPr>
      </w:pPr>
    </w:p>
    <w:p w14:paraId="18B5AF5E" w14:textId="77777777" w:rsidR="00AB6157" w:rsidRDefault="00AB6157" w:rsidP="00AB6157">
      <w:pPr>
        <w:pStyle w:val="Questionstyle"/>
        <w:numPr>
          <w:ilvl w:val="0"/>
          <w:numId w:val="9"/>
        </w:numPr>
        <w:spacing w:after="250" w:line="276" w:lineRule="auto"/>
      </w:pPr>
      <w:r>
        <w:t xml:space="preserve">: How </w:t>
      </w:r>
      <w:r w:rsidRPr="00BA56BC">
        <w:t>useful do you consider the information on position management controls available on ESMA</w:t>
      </w:r>
      <w:r>
        <w:t>’s</w:t>
      </w:r>
      <w:r w:rsidRPr="00BA56BC">
        <w:t xml:space="preserve"> website?</w:t>
      </w:r>
    </w:p>
    <w:p w14:paraId="0D155788" w14:textId="77777777" w:rsidR="00AB6157" w:rsidRDefault="00AB6157" w:rsidP="00AB6157">
      <w:pPr>
        <w:rPr>
          <w:rFonts w:ascii="Arial" w:hAnsi="Arial" w:cs="Arial"/>
        </w:rPr>
      </w:pPr>
      <w:r>
        <w:rPr>
          <w:rFonts w:ascii="Arial" w:hAnsi="Arial" w:cs="Arial"/>
        </w:rPr>
        <w:t>&lt;ESMA_QUESTION_PLPM_21&gt;</w:t>
      </w:r>
    </w:p>
    <w:p w14:paraId="06CBC098" w14:textId="59114035" w:rsidR="00AB6157" w:rsidRDefault="008B3491" w:rsidP="00AB6157">
      <w:pPr>
        <w:rPr>
          <w:rFonts w:ascii="Arial" w:hAnsi="Arial" w:cs="Arial"/>
        </w:rPr>
      </w:pPr>
      <w:permStart w:id="1128673264" w:edGrp="everyone"/>
      <w:r>
        <w:rPr>
          <w:rFonts w:ascii="Arial" w:hAnsi="Arial" w:cs="Arial"/>
        </w:rPr>
        <w:t>No answer</w:t>
      </w:r>
    </w:p>
    <w:permEnd w:id="1128673264"/>
    <w:p w14:paraId="51A845EF" w14:textId="77777777" w:rsidR="00AB6157" w:rsidRDefault="00AB6157" w:rsidP="00AB6157">
      <w:pPr>
        <w:rPr>
          <w:rFonts w:ascii="Arial" w:hAnsi="Arial" w:cs="Arial"/>
        </w:rPr>
      </w:pPr>
      <w:r>
        <w:rPr>
          <w:rFonts w:ascii="Arial" w:hAnsi="Arial" w:cs="Arial"/>
        </w:rPr>
        <w:t>&lt;ESMA_QUESTION_PLPM_21&gt;</w:t>
      </w:r>
    </w:p>
    <w:p w14:paraId="3F8FBCF0" w14:textId="77777777" w:rsidR="00AB6157" w:rsidRDefault="00AB6157" w:rsidP="00AB6157">
      <w:pPr>
        <w:rPr>
          <w:rFonts w:ascii="Arial" w:hAnsi="Arial" w:cs="Arial"/>
        </w:rPr>
      </w:pPr>
    </w:p>
    <w:p w14:paraId="0850183C" w14:textId="77777777" w:rsidR="00AB6157" w:rsidRPr="00422240" w:rsidRDefault="00AB6157" w:rsidP="00AB6157">
      <w:pPr>
        <w:pStyle w:val="Questionstyle"/>
        <w:numPr>
          <w:ilvl w:val="0"/>
          <w:numId w:val="9"/>
        </w:numPr>
        <w:spacing w:after="250" w:line="276" w:lineRule="auto"/>
      </w:pPr>
      <w:r>
        <w:t>: Do you consider that there is a need to review the list of minimum position management controls to be implemented by commodity derivatives trading venues under Article 57(8) of MiFID II? If so, please explain the changes you would suggest.</w:t>
      </w:r>
    </w:p>
    <w:p w14:paraId="03BE6F7F" w14:textId="77777777" w:rsidR="00AB6157" w:rsidRDefault="00AB6157" w:rsidP="00AB6157">
      <w:pPr>
        <w:rPr>
          <w:rFonts w:ascii="Arial" w:hAnsi="Arial" w:cs="Arial"/>
        </w:rPr>
      </w:pPr>
      <w:r>
        <w:rPr>
          <w:rFonts w:ascii="Arial" w:hAnsi="Arial" w:cs="Arial"/>
        </w:rPr>
        <w:t>&lt;ESMA_QUESTION_PLPM_22&gt;</w:t>
      </w:r>
    </w:p>
    <w:p w14:paraId="3BC8095E" w14:textId="4DAD442D" w:rsidR="00AB6157" w:rsidRPr="008B3491" w:rsidRDefault="008B3491" w:rsidP="008B3491">
      <w:pPr>
        <w:spacing w:after="240" w:line="276" w:lineRule="auto"/>
        <w:jc w:val="both"/>
        <w:rPr>
          <w:rFonts w:ascii="Arial" w:hAnsi="Arial" w:cs="Arial"/>
          <w:sz w:val="22"/>
          <w:szCs w:val="22"/>
          <w:lang w:val="en-US"/>
        </w:rPr>
      </w:pPr>
      <w:permStart w:id="1129916202" w:edGrp="everyone"/>
      <w:r w:rsidRPr="008B3491">
        <w:rPr>
          <w:rFonts w:ascii="Arial" w:hAnsi="Arial" w:cs="Arial"/>
          <w:sz w:val="22"/>
          <w:szCs w:val="22"/>
          <w:lang w:val="en-US"/>
        </w:rPr>
        <w:t xml:space="preserve">We do not consider any further requirements on position management controls to be necessary. As stated in our response to Q3, the EEX and </w:t>
      </w:r>
      <w:proofErr w:type="spellStart"/>
      <w:r w:rsidRPr="008B3491">
        <w:rPr>
          <w:rFonts w:ascii="Arial" w:hAnsi="Arial" w:cs="Arial"/>
          <w:sz w:val="22"/>
          <w:szCs w:val="22"/>
          <w:lang w:val="en-US"/>
        </w:rPr>
        <w:t>Powernext’s</w:t>
      </w:r>
      <w:proofErr w:type="spellEnd"/>
      <w:r w:rsidRPr="008B3491">
        <w:rPr>
          <w:rFonts w:ascii="Arial" w:hAnsi="Arial" w:cs="Arial"/>
          <w:sz w:val="22"/>
          <w:szCs w:val="22"/>
          <w:lang w:val="en-US"/>
        </w:rPr>
        <w:t xml:space="preserve"> market oversight </w:t>
      </w:r>
      <w:r w:rsidRPr="008B3491">
        <w:rPr>
          <w:rFonts w:ascii="Arial" w:hAnsi="Arial" w:cs="Arial"/>
          <w:sz w:val="22"/>
          <w:szCs w:val="22"/>
          <w:lang w:val="en-US"/>
        </w:rPr>
        <w:lastRenderedPageBreak/>
        <w:t>activities, including the compliance, supervision and surveillance activities, as well as the pre-existing regulations have been effective in preventing market abuse and ensuring orderly trading and settlement in EEX Group commodity markets.</w:t>
      </w:r>
    </w:p>
    <w:permEnd w:id="1129916202"/>
    <w:p w14:paraId="041C37C4" w14:textId="77777777" w:rsidR="00AB6157" w:rsidRDefault="00AB6157" w:rsidP="00AB6157">
      <w:pPr>
        <w:rPr>
          <w:rFonts w:ascii="Arial" w:hAnsi="Arial" w:cs="Arial"/>
        </w:rPr>
      </w:pPr>
      <w:r>
        <w:rPr>
          <w:rFonts w:ascii="Arial" w:hAnsi="Arial" w:cs="Arial"/>
        </w:rPr>
        <w:t>&lt;ESMA_QUESTION_PLPM_22&gt;</w:t>
      </w:r>
    </w:p>
    <w:p w14:paraId="4993FACC" w14:textId="77777777" w:rsidR="00AB6157" w:rsidRDefault="00AB6157" w:rsidP="00AB6157">
      <w:pPr>
        <w:rPr>
          <w:rFonts w:ascii="Arial" w:hAnsi="Arial" w:cs="Arial"/>
        </w:rPr>
      </w:pPr>
    </w:p>
    <w:p w14:paraId="4D093E79" w14:textId="77777777" w:rsidR="00AB6157" w:rsidRPr="007B52B2" w:rsidRDefault="00AB6157" w:rsidP="00AB6157">
      <w:pPr>
        <w:rPr>
          <w:rFonts w:ascii="Arial" w:hAnsi="Arial" w:cs="Arial"/>
        </w:rPr>
      </w:pPr>
    </w:p>
    <w:bookmarkEnd w:id="0"/>
    <w:p w14:paraId="2FAEAD2D" w14:textId="77777777" w:rsidR="00AB6157" w:rsidRDefault="00AB6157" w:rsidP="00C1698A">
      <w:pPr>
        <w:spacing w:line="276" w:lineRule="auto"/>
        <w:rPr>
          <w:rFonts w:asciiTheme="minorHAnsi" w:hAnsiTheme="minorHAnsi" w:cstheme="minorHAnsi"/>
          <w:b/>
          <w:sz w:val="28"/>
          <w:szCs w:val="28"/>
        </w:rPr>
      </w:pPr>
    </w:p>
    <w:sectPr w:rsidR="00AB6157" w:rsidSect="00C85C8B">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F393A" w14:textId="77777777" w:rsidR="00222A79" w:rsidRDefault="00222A79" w:rsidP="007E7997">
      <w:r>
        <w:separator/>
      </w:r>
    </w:p>
  </w:endnote>
  <w:endnote w:type="continuationSeparator" w:id="0">
    <w:p w14:paraId="7F11BA36" w14:textId="77777777" w:rsidR="00222A79" w:rsidRDefault="00222A79" w:rsidP="007E7997">
      <w:r>
        <w:continuationSeparator/>
      </w:r>
    </w:p>
  </w:endnote>
  <w:endnote w:type="continuationNotice" w:id="1">
    <w:p w14:paraId="3665590D" w14:textId="77777777" w:rsidR="00222A79" w:rsidRDefault="00222A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F8EE0" w14:textId="77777777" w:rsidR="00F37499" w:rsidRDefault="00F374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752671"/>
      <w:docPartObj>
        <w:docPartGallery w:val="Page Numbers (Bottom of Page)"/>
        <w:docPartUnique/>
      </w:docPartObj>
    </w:sdtPr>
    <w:sdtEndPr>
      <w:rPr>
        <w:noProof/>
      </w:rPr>
    </w:sdtEndPr>
    <w:sdtContent>
      <w:p w14:paraId="0CF5505D" w14:textId="212D7D4F" w:rsidR="00F37499" w:rsidRDefault="00F3749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A18C8B1" w14:textId="77777777" w:rsidR="00F37499" w:rsidRDefault="00F374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F3915" w14:textId="117DAE32" w:rsidR="00F37499" w:rsidRDefault="00F37499" w:rsidP="007A160F">
    <w:pPr>
      <w:pStyle w:val="Footer"/>
    </w:pPr>
    <w:r>
      <w:rPr>
        <w:rFonts w:asciiTheme="majorHAnsi" w:hAnsiTheme="majorHAnsi"/>
        <w:color w:val="FFFFFF" w:themeColor="background1"/>
      </w:rPr>
      <w:tab/>
    </w:r>
    <w:r>
      <w:rPr>
        <w:rFonts w:asciiTheme="majorHAnsi" w:hAnsiTheme="majorHAnsi"/>
        <w:color w:val="FFFFFF" w:themeColor="background1"/>
      </w:rPr>
      <w:tab/>
      <w:t xml:space="preserve">24 May 2019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752247"/>
      <w:docPartObj>
        <w:docPartGallery w:val="Page Numbers (Bottom of Page)"/>
        <w:docPartUnique/>
      </w:docPartObj>
    </w:sdtPr>
    <w:sdtEndPr>
      <w:rPr>
        <w:noProof/>
      </w:rPr>
    </w:sdtEndPr>
    <w:sdtContent>
      <w:p w14:paraId="4C9B3DBF" w14:textId="6ECC1B82" w:rsidR="00F37499" w:rsidRDefault="00F37499">
        <w:pPr>
          <w:pStyle w:val="Footer"/>
          <w:jc w:val="center"/>
        </w:pPr>
        <w:r>
          <w:fldChar w:fldCharType="begin"/>
        </w:r>
        <w:r>
          <w:instrText xml:space="preserve"> PAGE   \* MERGEFORMAT </w:instrText>
        </w:r>
        <w:r>
          <w:fldChar w:fldCharType="separate"/>
        </w:r>
        <w:r w:rsidR="00D826AA">
          <w:rPr>
            <w:noProof/>
          </w:rPr>
          <w:t>19</w:t>
        </w:r>
        <w:r>
          <w:rPr>
            <w:noProof/>
          </w:rPr>
          <w:fldChar w:fldCharType="end"/>
        </w:r>
      </w:p>
    </w:sdtContent>
  </w:sdt>
  <w:p w14:paraId="5EAB6EC7" w14:textId="1F85019A" w:rsidR="00F37499" w:rsidRDefault="00F37499" w:rsidP="00FB24E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2B4B3" w14:textId="77777777" w:rsidR="00222A79" w:rsidRDefault="00222A79" w:rsidP="007E7997">
      <w:r>
        <w:separator/>
      </w:r>
    </w:p>
  </w:footnote>
  <w:footnote w:type="continuationSeparator" w:id="0">
    <w:p w14:paraId="0DE4F4B2" w14:textId="77777777" w:rsidR="00222A79" w:rsidRDefault="00222A79" w:rsidP="007E7997">
      <w:r>
        <w:continuationSeparator/>
      </w:r>
    </w:p>
  </w:footnote>
  <w:footnote w:type="continuationNotice" w:id="1">
    <w:p w14:paraId="4E06250F" w14:textId="77777777" w:rsidR="00222A79" w:rsidRDefault="00222A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EA5C" w14:textId="77777777" w:rsidR="00F37499" w:rsidRDefault="00F37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956F7" w14:textId="77777777" w:rsidR="00F37499" w:rsidRDefault="00F37499">
    <w:pPr>
      <w:pStyle w:val="Header"/>
    </w:pPr>
  </w:p>
  <w:p w14:paraId="59FA3C9D" w14:textId="77777777" w:rsidR="00F37499" w:rsidRDefault="00F374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91035" w14:textId="77777777" w:rsidR="00F37499" w:rsidRDefault="00F37499">
    <w:pPr>
      <w:pStyle w:val="Header"/>
    </w:pPr>
    <w:r>
      <w:rPr>
        <w:noProof/>
        <w:lang w:val="en-US" w:eastAsia="en-US"/>
      </w:rPr>
      <w:drawing>
        <wp:anchor distT="0" distB="0" distL="114300" distR="114300" simplePos="0" relativeHeight="251658752" behindDoc="0" locked="0" layoutInCell="1" allowOverlap="1" wp14:anchorId="4D6D79BE" wp14:editId="7BE45F50">
          <wp:simplePos x="0" y="0"/>
          <wp:positionH relativeFrom="page">
            <wp:posOffset>366395</wp:posOffset>
          </wp:positionH>
          <wp:positionV relativeFrom="page">
            <wp:posOffset>372745</wp:posOffset>
          </wp:positionV>
          <wp:extent cx="2209800" cy="904875"/>
          <wp:effectExtent l="0" t="0" r="0" b="9525"/>
          <wp:wrapNone/>
          <wp:docPr id="5" name="Picture 5"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1" locked="0" layoutInCell="1" allowOverlap="1" wp14:anchorId="0329727B" wp14:editId="68199A3E">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B6EC4" w14:textId="5E62980F" w:rsidR="00F37499" w:rsidRDefault="00F37499" w:rsidP="00B50534">
    <w:pPr>
      <w:pStyle w:val="Header"/>
      <w:jc w:val="right"/>
      <w:rPr>
        <w:b/>
        <w:color w:val="FF0000"/>
      </w:rPr>
    </w:pPr>
    <w:r w:rsidRPr="008D5F86">
      <w:rPr>
        <w:rFonts w:ascii="Arial" w:hAnsi="Arial" w:cs="Arial"/>
        <w:noProof/>
        <w:lang w:val="en-US" w:eastAsia="en-US"/>
      </w:rPr>
      <mc:AlternateContent>
        <mc:Choice Requires="wps">
          <w:drawing>
            <wp:anchor distT="0" distB="0" distL="114300" distR="114300" simplePos="0" relativeHeight="251656704"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93E49E"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EAB6EC5" w14:textId="74FAFBAA" w:rsidR="00F37499" w:rsidRPr="00D13661" w:rsidRDefault="00F37499"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lang w:val="en-US" w:eastAsia="en-US"/>
      </w:rPr>
      <w:drawing>
        <wp:anchor distT="0" distB="0" distL="114300" distR="114300" simplePos="0" relativeHeight="251655680"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76D8625" w14:textId="77777777" w:rsidR="00F37499" w:rsidRPr="00C3170E" w:rsidRDefault="00F37499" w:rsidP="00B50534">
    <w:pPr>
      <w:pStyle w:val="Header"/>
      <w:jc w:val="right"/>
      <w:rPr>
        <w:color w:val="2F5496" w:themeColor="accent5" w:themeShade="BF"/>
        <w:sz w:val="20"/>
      </w:rPr>
    </w:pPr>
  </w:p>
  <w:p w14:paraId="5EAB6EC6" w14:textId="77777777" w:rsidR="00F37499" w:rsidRPr="00B50534" w:rsidRDefault="00F37499" w:rsidP="00B50534">
    <w:pPr>
      <w:pStyle w:val="Header"/>
      <w:jc w:val="right"/>
      <w:rP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E750C"/>
    <w:multiLevelType w:val="hybridMultilevel"/>
    <w:tmpl w:val="4F6AE8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3B6B4E"/>
    <w:multiLevelType w:val="hybridMultilevel"/>
    <w:tmpl w:val="B4A0CE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87EF7"/>
    <w:multiLevelType w:val="hybridMultilevel"/>
    <w:tmpl w:val="5846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2D60C7"/>
    <w:multiLevelType w:val="hybridMultilevel"/>
    <w:tmpl w:val="441EB976"/>
    <w:lvl w:ilvl="0" w:tplc="034E276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D181D69"/>
    <w:multiLevelType w:val="hybridMultilevel"/>
    <w:tmpl w:val="0A189E10"/>
    <w:lvl w:ilvl="0" w:tplc="52DE78C0">
      <w:start w:val="1"/>
      <w:numFmt w:val="upperLetter"/>
      <w:pStyle w:val="ListParagraph"/>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35567B"/>
    <w:multiLevelType w:val="hybridMultilevel"/>
    <w:tmpl w:val="DE340236"/>
    <w:lvl w:ilvl="0" w:tplc="52E6A67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1">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52A3A5C"/>
    <w:multiLevelType w:val="hybridMultilevel"/>
    <w:tmpl w:val="2DCA1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A9916C1"/>
    <w:multiLevelType w:val="hybridMultilevel"/>
    <w:tmpl w:val="F30A7144"/>
    <w:lvl w:ilvl="0" w:tplc="BAB2B9F2">
      <w:start w:val="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E25FDC"/>
    <w:multiLevelType w:val="hybridMultilevel"/>
    <w:tmpl w:val="441EB976"/>
    <w:lvl w:ilvl="0" w:tplc="034E276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5"/>
  </w:num>
  <w:num w:numId="4">
    <w:abstractNumId w:val="5"/>
  </w:num>
  <w:num w:numId="5">
    <w:abstractNumId w:val="12"/>
  </w:num>
  <w:num w:numId="6">
    <w:abstractNumId w:val="17"/>
  </w:num>
  <w:num w:numId="7">
    <w:abstractNumId w:val="11"/>
  </w:num>
  <w:num w:numId="8">
    <w:abstractNumId w:val="6"/>
  </w:num>
  <w:num w:numId="9">
    <w:abstractNumId w:val="9"/>
  </w:num>
  <w:num w:numId="10">
    <w:abstractNumId w:val="8"/>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3"/>
  </w:num>
  <w:num w:numId="18">
    <w:abstractNumId w:val="2"/>
  </w:num>
  <w:num w:numId="19">
    <w:abstractNumId w:val="0"/>
  </w:num>
  <w:num w:numId="20">
    <w:abstractNumId w:val="1"/>
  </w:num>
  <w:num w:numId="21">
    <w:abstractNumId w:val="14"/>
  </w:num>
  <w:num w:numId="22">
    <w:abstractNumId w:val="10"/>
  </w:num>
  <w:num w:numId="23">
    <w:abstractNumId w:val="20"/>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842"/>
    <w:rsid w:val="0000380B"/>
    <w:rsid w:val="00005505"/>
    <w:rsid w:val="00006275"/>
    <w:rsid w:val="00006971"/>
    <w:rsid w:val="00011F6C"/>
    <w:rsid w:val="0001249B"/>
    <w:rsid w:val="00012D68"/>
    <w:rsid w:val="00013BE8"/>
    <w:rsid w:val="000142BB"/>
    <w:rsid w:val="0001633D"/>
    <w:rsid w:val="0001726F"/>
    <w:rsid w:val="00020098"/>
    <w:rsid w:val="00020300"/>
    <w:rsid w:val="00021A9A"/>
    <w:rsid w:val="00022ADA"/>
    <w:rsid w:val="00026327"/>
    <w:rsid w:val="00027EC9"/>
    <w:rsid w:val="00033934"/>
    <w:rsid w:val="00036C09"/>
    <w:rsid w:val="000372BF"/>
    <w:rsid w:val="00040A52"/>
    <w:rsid w:val="00044C5A"/>
    <w:rsid w:val="00044E0A"/>
    <w:rsid w:val="00054E00"/>
    <w:rsid w:val="00061B2B"/>
    <w:rsid w:val="0006448C"/>
    <w:rsid w:val="0006449B"/>
    <w:rsid w:val="000655AD"/>
    <w:rsid w:val="00066FD1"/>
    <w:rsid w:val="00072BF9"/>
    <w:rsid w:val="00073DF9"/>
    <w:rsid w:val="0007767E"/>
    <w:rsid w:val="0007796D"/>
    <w:rsid w:val="000830DA"/>
    <w:rsid w:val="00083FBB"/>
    <w:rsid w:val="000921E6"/>
    <w:rsid w:val="00093239"/>
    <w:rsid w:val="000A03C9"/>
    <w:rsid w:val="000A12CC"/>
    <w:rsid w:val="000A2738"/>
    <w:rsid w:val="000A2DF1"/>
    <w:rsid w:val="000A3D10"/>
    <w:rsid w:val="000A409B"/>
    <w:rsid w:val="000A66FC"/>
    <w:rsid w:val="000A741E"/>
    <w:rsid w:val="000B1615"/>
    <w:rsid w:val="000B2AAF"/>
    <w:rsid w:val="000B2E26"/>
    <w:rsid w:val="000B5D3D"/>
    <w:rsid w:val="000C0CE0"/>
    <w:rsid w:val="000C2400"/>
    <w:rsid w:val="000C299C"/>
    <w:rsid w:val="000C5ACC"/>
    <w:rsid w:val="000D0293"/>
    <w:rsid w:val="000D0850"/>
    <w:rsid w:val="000D1038"/>
    <w:rsid w:val="000D11A9"/>
    <w:rsid w:val="000D2D7B"/>
    <w:rsid w:val="000E2232"/>
    <w:rsid w:val="000E3DB1"/>
    <w:rsid w:val="000F0169"/>
    <w:rsid w:val="000F0951"/>
    <w:rsid w:val="000F2598"/>
    <w:rsid w:val="000F29C0"/>
    <w:rsid w:val="000F2BE6"/>
    <w:rsid w:val="000F474D"/>
    <w:rsid w:val="000F5C90"/>
    <w:rsid w:val="000F5EA6"/>
    <w:rsid w:val="000F74C4"/>
    <w:rsid w:val="000F7998"/>
    <w:rsid w:val="00100ADC"/>
    <w:rsid w:val="0010429A"/>
    <w:rsid w:val="00105424"/>
    <w:rsid w:val="001075EC"/>
    <w:rsid w:val="00113D82"/>
    <w:rsid w:val="00120F0D"/>
    <w:rsid w:val="001214DA"/>
    <w:rsid w:val="0012722A"/>
    <w:rsid w:val="00130EF9"/>
    <w:rsid w:val="001319C7"/>
    <w:rsid w:val="001355E6"/>
    <w:rsid w:val="0013644A"/>
    <w:rsid w:val="00137D1A"/>
    <w:rsid w:val="00140BA6"/>
    <w:rsid w:val="00141946"/>
    <w:rsid w:val="00143DCA"/>
    <w:rsid w:val="00144AAD"/>
    <w:rsid w:val="001455E7"/>
    <w:rsid w:val="0014624E"/>
    <w:rsid w:val="001608B2"/>
    <w:rsid w:val="00160FE0"/>
    <w:rsid w:val="00163AB3"/>
    <w:rsid w:val="00165047"/>
    <w:rsid w:val="00165FF8"/>
    <w:rsid w:val="0016669F"/>
    <w:rsid w:val="00170AD6"/>
    <w:rsid w:val="001735B8"/>
    <w:rsid w:val="00177AA7"/>
    <w:rsid w:val="00180917"/>
    <w:rsid w:val="00180E53"/>
    <w:rsid w:val="001813FD"/>
    <w:rsid w:val="00181CB7"/>
    <w:rsid w:val="001862A5"/>
    <w:rsid w:val="00186A70"/>
    <w:rsid w:val="00191035"/>
    <w:rsid w:val="001918E5"/>
    <w:rsid w:val="00192A7A"/>
    <w:rsid w:val="001A1EF4"/>
    <w:rsid w:val="001A7046"/>
    <w:rsid w:val="001A710D"/>
    <w:rsid w:val="001A7E6F"/>
    <w:rsid w:val="001B0A77"/>
    <w:rsid w:val="001B1727"/>
    <w:rsid w:val="001B2151"/>
    <w:rsid w:val="001B3CFF"/>
    <w:rsid w:val="001B4957"/>
    <w:rsid w:val="001B4996"/>
    <w:rsid w:val="001C0E59"/>
    <w:rsid w:val="001C432D"/>
    <w:rsid w:val="001C469E"/>
    <w:rsid w:val="001C56C3"/>
    <w:rsid w:val="001C5D8C"/>
    <w:rsid w:val="001C7E0A"/>
    <w:rsid w:val="001D0112"/>
    <w:rsid w:val="001D19F5"/>
    <w:rsid w:val="001D385A"/>
    <w:rsid w:val="001D6B39"/>
    <w:rsid w:val="001E1ECD"/>
    <w:rsid w:val="001E3E0D"/>
    <w:rsid w:val="001E4A45"/>
    <w:rsid w:val="001E5E30"/>
    <w:rsid w:val="001F0479"/>
    <w:rsid w:val="001F1F10"/>
    <w:rsid w:val="001F3999"/>
    <w:rsid w:val="001F3D9D"/>
    <w:rsid w:val="00200894"/>
    <w:rsid w:val="00202333"/>
    <w:rsid w:val="00202FA8"/>
    <w:rsid w:val="002034B8"/>
    <w:rsid w:val="00205922"/>
    <w:rsid w:val="00206FB8"/>
    <w:rsid w:val="0020766F"/>
    <w:rsid w:val="00207A07"/>
    <w:rsid w:val="00210498"/>
    <w:rsid w:val="0021147A"/>
    <w:rsid w:val="00213BFB"/>
    <w:rsid w:val="00217478"/>
    <w:rsid w:val="00222A79"/>
    <w:rsid w:val="00224806"/>
    <w:rsid w:val="0023250D"/>
    <w:rsid w:val="00232F8E"/>
    <w:rsid w:val="00233071"/>
    <w:rsid w:val="00235E99"/>
    <w:rsid w:val="0024299F"/>
    <w:rsid w:val="002449D8"/>
    <w:rsid w:val="00244B86"/>
    <w:rsid w:val="00244C97"/>
    <w:rsid w:val="0024512F"/>
    <w:rsid w:val="00245406"/>
    <w:rsid w:val="002455D7"/>
    <w:rsid w:val="00245D2E"/>
    <w:rsid w:val="00246E1D"/>
    <w:rsid w:val="002472F6"/>
    <w:rsid w:val="0025020D"/>
    <w:rsid w:val="00254CC2"/>
    <w:rsid w:val="002574D1"/>
    <w:rsid w:val="00261CCB"/>
    <w:rsid w:val="002630C0"/>
    <w:rsid w:val="0026332A"/>
    <w:rsid w:val="002645A8"/>
    <w:rsid w:val="0026493B"/>
    <w:rsid w:val="00265566"/>
    <w:rsid w:val="00265F44"/>
    <w:rsid w:val="002665E3"/>
    <w:rsid w:val="00270B7C"/>
    <w:rsid w:val="0027199C"/>
    <w:rsid w:val="00272C4E"/>
    <w:rsid w:val="002751FC"/>
    <w:rsid w:val="002753BD"/>
    <w:rsid w:val="00282D38"/>
    <w:rsid w:val="00282FBE"/>
    <w:rsid w:val="00284AF2"/>
    <w:rsid w:val="0028536B"/>
    <w:rsid w:val="00285CED"/>
    <w:rsid w:val="00285EB5"/>
    <w:rsid w:val="00287C8F"/>
    <w:rsid w:val="00290893"/>
    <w:rsid w:val="002917B9"/>
    <w:rsid w:val="00291A55"/>
    <w:rsid w:val="0029394C"/>
    <w:rsid w:val="002A13B0"/>
    <w:rsid w:val="002A2C91"/>
    <w:rsid w:val="002A6C21"/>
    <w:rsid w:val="002A72F5"/>
    <w:rsid w:val="002A780E"/>
    <w:rsid w:val="002B144C"/>
    <w:rsid w:val="002B53F3"/>
    <w:rsid w:val="002C03FD"/>
    <w:rsid w:val="002C044D"/>
    <w:rsid w:val="002C1AA5"/>
    <w:rsid w:val="002C2A46"/>
    <w:rsid w:val="002C3048"/>
    <w:rsid w:val="002D2992"/>
    <w:rsid w:val="002D37A0"/>
    <w:rsid w:val="002D5AB5"/>
    <w:rsid w:val="002D6667"/>
    <w:rsid w:val="002D79F3"/>
    <w:rsid w:val="002E1C11"/>
    <w:rsid w:val="002E3D0B"/>
    <w:rsid w:val="002E3E7D"/>
    <w:rsid w:val="002F6279"/>
    <w:rsid w:val="003013B7"/>
    <w:rsid w:val="00301993"/>
    <w:rsid w:val="00301E55"/>
    <w:rsid w:val="00307397"/>
    <w:rsid w:val="003101EF"/>
    <w:rsid w:val="00312BDD"/>
    <w:rsid w:val="00314117"/>
    <w:rsid w:val="00317EDF"/>
    <w:rsid w:val="003279E7"/>
    <w:rsid w:val="00327B62"/>
    <w:rsid w:val="00331FE9"/>
    <w:rsid w:val="0033324D"/>
    <w:rsid w:val="0033587C"/>
    <w:rsid w:val="00336BF9"/>
    <w:rsid w:val="003371E8"/>
    <w:rsid w:val="00337471"/>
    <w:rsid w:val="0034151D"/>
    <w:rsid w:val="00342B5B"/>
    <w:rsid w:val="00343532"/>
    <w:rsid w:val="00345469"/>
    <w:rsid w:val="003454ED"/>
    <w:rsid w:val="00345EB9"/>
    <w:rsid w:val="0035030F"/>
    <w:rsid w:val="00353C4B"/>
    <w:rsid w:val="003545A6"/>
    <w:rsid w:val="00356C60"/>
    <w:rsid w:val="003578D1"/>
    <w:rsid w:val="0036305E"/>
    <w:rsid w:val="00366D42"/>
    <w:rsid w:val="0036748C"/>
    <w:rsid w:val="00372615"/>
    <w:rsid w:val="00373A3C"/>
    <w:rsid w:val="00376233"/>
    <w:rsid w:val="00380B30"/>
    <w:rsid w:val="00381784"/>
    <w:rsid w:val="00381EB0"/>
    <w:rsid w:val="00382A72"/>
    <w:rsid w:val="00382EBA"/>
    <w:rsid w:val="0038331A"/>
    <w:rsid w:val="0039135B"/>
    <w:rsid w:val="003A34E7"/>
    <w:rsid w:val="003A3CB1"/>
    <w:rsid w:val="003A3D55"/>
    <w:rsid w:val="003A73A4"/>
    <w:rsid w:val="003B102E"/>
    <w:rsid w:val="003B4E3D"/>
    <w:rsid w:val="003C167E"/>
    <w:rsid w:val="003C481D"/>
    <w:rsid w:val="003C4EB5"/>
    <w:rsid w:val="003D2CED"/>
    <w:rsid w:val="003D344A"/>
    <w:rsid w:val="003D3BB8"/>
    <w:rsid w:val="003D7C07"/>
    <w:rsid w:val="003E13FD"/>
    <w:rsid w:val="003E1C24"/>
    <w:rsid w:val="003E61FC"/>
    <w:rsid w:val="003E77BC"/>
    <w:rsid w:val="003F0EDF"/>
    <w:rsid w:val="003F20C7"/>
    <w:rsid w:val="003F39B1"/>
    <w:rsid w:val="00400D9C"/>
    <w:rsid w:val="00400FBE"/>
    <w:rsid w:val="004022CF"/>
    <w:rsid w:val="004029B1"/>
    <w:rsid w:val="004038F1"/>
    <w:rsid w:val="00404282"/>
    <w:rsid w:val="0040743A"/>
    <w:rsid w:val="00407623"/>
    <w:rsid w:val="00407A74"/>
    <w:rsid w:val="00414210"/>
    <w:rsid w:val="004159DB"/>
    <w:rsid w:val="00420FD4"/>
    <w:rsid w:val="004242B3"/>
    <w:rsid w:val="00426D62"/>
    <w:rsid w:val="00427A89"/>
    <w:rsid w:val="00430C5B"/>
    <w:rsid w:val="00431968"/>
    <w:rsid w:val="00433936"/>
    <w:rsid w:val="0043475E"/>
    <w:rsid w:val="00435FE9"/>
    <w:rsid w:val="00436279"/>
    <w:rsid w:val="0044199E"/>
    <w:rsid w:val="0044206D"/>
    <w:rsid w:val="00444803"/>
    <w:rsid w:val="00445696"/>
    <w:rsid w:val="00446E5F"/>
    <w:rsid w:val="00450C4E"/>
    <w:rsid w:val="00451D9E"/>
    <w:rsid w:val="00455577"/>
    <w:rsid w:val="00456795"/>
    <w:rsid w:val="00461CC8"/>
    <w:rsid w:val="00462B2F"/>
    <w:rsid w:val="00465EAA"/>
    <w:rsid w:val="004708CA"/>
    <w:rsid w:val="004709E7"/>
    <w:rsid w:val="00470ADE"/>
    <w:rsid w:val="004712C7"/>
    <w:rsid w:val="004759EB"/>
    <w:rsid w:val="00477919"/>
    <w:rsid w:val="00482611"/>
    <w:rsid w:val="00482A27"/>
    <w:rsid w:val="00487DCE"/>
    <w:rsid w:val="004950B7"/>
    <w:rsid w:val="00497FEA"/>
    <w:rsid w:val="004A6B47"/>
    <w:rsid w:val="004B07B2"/>
    <w:rsid w:val="004B0955"/>
    <w:rsid w:val="004B1842"/>
    <w:rsid w:val="004B25D0"/>
    <w:rsid w:val="004B3553"/>
    <w:rsid w:val="004B5E92"/>
    <w:rsid w:val="004C0A30"/>
    <w:rsid w:val="004C357C"/>
    <w:rsid w:val="004C3D18"/>
    <w:rsid w:val="004D42B1"/>
    <w:rsid w:val="004D526F"/>
    <w:rsid w:val="004E19C0"/>
    <w:rsid w:val="004E1C54"/>
    <w:rsid w:val="004E2C37"/>
    <w:rsid w:val="004E5285"/>
    <w:rsid w:val="004F0CF3"/>
    <w:rsid w:val="004F5740"/>
    <w:rsid w:val="004F58C9"/>
    <w:rsid w:val="005028B9"/>
    <w:rsid w:val="00505E17"/>
    <w:rsid w:val="00511A59"/>
    <w:rsid w:val="00511C3B"/>
    <w:rsid w:val="00514440"/>
    <w:rsid w:val="005166C3"/>
    <w:rsid w:val="00520F7C"/>
    <w:rsid w:val="00523974"/>
    <w:rsid w:val="00526E5D"/>
    <w:rsid w:val="00531432"/>
    <w:rsid w:val="0053259A"/>
    <w:rsid w:val="00532BC8"/>
    <w:rsid w:val="005333E8"/>
    <w:rsid w:val="00534912"/>
    <w:rsid w:val="005370E7"/>
    <w:rsid w:val="005409B7"/>
    <w:rsid w:val="00545E62"/>
    <w:rsid w:val="00550A06"/>
    <w:rsid w:val="00551070"/>
    <w:rsid w:val="00552C8A"/>
    <w:rsid w:val="00555156"/>
    <w:rsid w:val="0055535B"/>
    <w:rsid w:val="00560A96"/>
    <w:rsid w:val="005619CB"/>
    <w:rsid w:val="00561B71"/>
    <w:rsid w:val="00561F98"/>
    <w:rsid w:val="00564607"/>
    <w:rsid w:val="00565193"/>
    <w:rsid w:val="005725BD"/>
    <w:rsid w:val="005730B0"/>
    <w:rsid w:val="00575DCC"/>
    <w:rsid w:val="005821B0"/>
    <w:rsid w:val="0059175F"/>
    <w:rsid w:val="00591AAC"/>
    <w:rsid w:val="00595F08"/>
    <w:rsid w:val="00595FBE"/>
    <w:rsid w:val="005A1C55"/>
    <w:rsid w:val="005B169D"/>
    <w:rsid w:val="005B4ACA"/>
    <w:rsid w:val="005B6B12"/>
    <w:rsid w:val="005C19E9"/>
    <w:rsid w:val="005C2DBC"/>
    <w:rsid w:val="005C5F13"/>
    <w:rsid w:val="005C65F9"/>
    <w:rsid w:val="005C6B0E"/>
    <w:rsid w:val="005C7E1F"/>
    <w:rsid w:val="005D1B9E"/>
    <w:rsid w:val="005D1F6B"/>
    <w:rsid w:val="005D2DE7"/>
    <w:rsid w:val="005D331C"/>
    <w:rsid w:val="005D6355"/>
    <w:rsid w:val="005D7AAF"/>
    <w:rsid w:val="005E0C59"/>
    <w:rsid w:val="005E1DA3"/>
    <w:rsid w:val="005E306B"/>
    <w:rsid w:val="005E53D0"/>
    <w:rsid w:val="005E5785"/>
    <w:rsid w:val="005E6098"/>
    <w:rsid w:val="005E7969"/>
    <w:rsid w:val="005F0C93"/>
    <w:rsid w:val="005F3F22"/>
    <w:rsid w:val="005F4FC0"/>
    <w:rsid w:val="005F540F"/>
    <w:rsid w:val="005F5491"/>
    <w:rsid w:val="005F6144"/>
    <w:rsid w:val="005F6573"/>
    <w:rsid w:val="00601541"/>
    <w:rsid w:val="0060361E"/>
    <w:rsid w:val="00604A25"/>
    <w:rsid w:val="00606683"/>
    <w:rsid w:val="00613BF6"/>
    <w:rsid w:val="00616D27"/>
    <w:rsid w:val="006234FE"/>
    <w:rsid w:val="00623840"/>
    <w:rsid w:val="006255EC"/>
    <w:rsid w:val="00625A25"/>
    <w:rsid w:val="0062736A"/>
    <w:rsid w:val="0063565E"/>
    <w:rsid w:val="00636E02"/>
    <w:rsid w:val="00641DB1"/>
    <w:rsid w:val="00642297"/>
    <w:rsid w:val="00644A34"/>
    <w:rsid w:val="00654824"/>
    <w:rsid w:val="00661766"/>
    <w:rsid w:val="00662882"/>
    <w:rsid w:val="0066298C"/>
    <w:rsid w:val="00663008"/>
    <w:rsid w:val="00663093"/>
    <w:rsid w:val="00665A7C"/>
    <w:rsid w:val="00665B0B"/>
    <w:rsid w:val="006705CD"/>
    <w:rsid w:val="00671363"/>
    <w:rsid w:val="00672780"/>
    <w:rsid w:val="00672842"/>
    <w:rsid w:val="00676CFC"/>
    <w:rsid w:val="00677133"/>
    <w:rsid w:val="00681482"/>
    <w:rsid w:val="00687BF0"/>
    <w:rsid w:val="0069042D"/>
    <w:rsid w:val="006904CF"/>
    <w:rsid w:val="006912FB"/>
    <w:rsid w:val="00695AF2"/>
    <w:rsid w:val="00696A2B"/>
    <w:rsid w:val="00696BD5"/>
    <w:rsid w:val="006A04AE"/>
    <w:rsid w:val="006A0AE4"/>
    <w:rsid w:val="006A23F3"/>
    <w:rsid w:val="006A2CF3"/>
    <w:rsid w:val="006A5047"/>
    <w:rsid w:val="006A7A10"/>
    <w:rsid w:val="006B0DA4"/>
    <w:rsid w:val="006B1B6B"/>
    <w:rsid w:val="006B2C57"/>
    <w:rsid w:val="006B79E0"/>
    <w:rsid w:val="006C1633"/>
    <w:rsid w:val="006C5BF8"/>
    <w:rsid w:val="006C7CCB"/>
    <w:rsid w:val="006D6009"/>
    <w:rsid w:val="006D7D41"/>
    <w:rsid w:val="006E2F4D"/>
    <w:rsid w:val="006E3FDD"/>
    <w:rsid w:val="006E58FB"/>
    <w:rsid w:val="006E5D82"/>
    <w:rsid w:val="006E66B2"/>
    <w:rsid w:val="006E6C50"/>
    <w:rsid w:val="006E7A69"/>
    <w:rsid w:val="006E7DE4"/>
    <w:rsid w:val="006F53E8"/>
    <w:rsid w:val="006F5FB8"/>
    <w:rsid w:val="0070017B"/>
    <w:rsid w:val="0070115C"/>
    <w:rsid w:val="0070427E"/>
    <w:rsid w:val="00704D53"/>
    <w:rsid w:val="007056C3"/>
    <w:rsid w:val="00706072"/>
    <w:rsid w:val="00713644"/>
    <w:rsid w:val="00721256"/>
    <w:rsid w:val="007217AD"/>
    <w:rsid w:val="00723BA1"/>
    <w:rsid w:val="00724A1B"/>
    <w:rsid w:val="0073173E"/>
    <w:rsid w:val="007319C3"/>
    <w:rsid w:val="0073454F"/>
    <w:rsid w:val="00735C00"/>
    <w:rsid w:val="007364C6"/>
    <w:rsid w:val="00737BC6"/>
    <w:rsid w:val="00740BF3"/>
    <w:rsid w:val="00741D5C"/>
    <w:rsid w:val="0074352F"/>
    <w:rsid w:val="00747C5E"/>
    <w:rsid w:val="00750210"/>
    <w:rsid w:val="00754B57"/>
    <w:rsid w:val="0075671D"/>
    <w:rsid w:val="0076002F"/>
    <w:rsid w:val="0076038B"/>
    <w:rsid w:val="00761744"/>
    <w:rsid w:val="00762409"/>
    <w:rsid w:val="00764582"/>
    <w:rsid w:val="00765FA3"/>
    <w:rsid w:val="00766961"/>
    <w:rsid w:val="00766B5A"/>
    <w:rsid w:val="00770C33"/>
    <w:rsid w:val="007741C3"/>
    <w:rsid w:val="00777BE0"/>
    <w:rsid w:val="00780923"/>
    <w:rsid w:val="0078131F"/>
    <w:rsid w:val="007844C6"/>
    <w:rsid w:val="007876EF"/>
    <w:rsid w:val="00790306"/>
    <w:rsid w:val="0079364C"/>
    <w:rsid w:val="007942B9"/>
    <w:rsid w:val="00796C7F"/>
    <w:rsid w:val="00797E0C"/>
    <w:rsid w:val="007A160F"/>
    <w:rsid w:val="007A48BC"/>
    <w:rsid w:val="007B0BC1"/>
    <w:rsid w:val="007B354B"/>
    <w:rsid w:val="007B4FC3"/>
    <w:rsid w:val="007B73F3"/>
    <w:rsid w:val="007B7EE5"/>
    <w:rsid w:val="007C1C28"/>
    <w:rsid w:val="007C2A2C"/>
    <w:rsid w:val="007C3577"/>
    <w:rsid w:val="007C5E08"/>
    <w:rsid w:val="007D0002"/>
    <w:rsid w:val="007D7A59"/>
    <w:rsid w:val="007E53F5"/>
    <w:rsid w:val="007E6E9E"/>
    <w:rsid w:val="007E7637"/>
    <w:rsid w:val="007E7997"/>
    <w:rsid w:val="007F014A"/>
    <w:rsid w:val="007F04EF"/>
    <w:rsid w:val="007F0763"/>
    <w:rsid w:val="007F1DE9"/>
    <w:rsid w:val="007F25C2"/>
    <w:rsid w:val="007F4F88"/>
    <w:rsid w:val="007F5822"/>
    <w:rsid w:val="007F5B86"/>
    <w:rsid w:val="00800A7F"/>
    <w:rsid w:val="0080285D"/>
    <w:rsid w:val="0081028F"/>
    <w:rsid w:val="008107D9"/>
    <w:rsid w:val="0081093B"/>
    <w:rsid w:val="008116D9"/>
    <w:rsid w:val="00811936"/>
    <w:rsid w:val="00813059"/>
    <w:rsid w:val="008173E2"/>
    <w:rsid w:val="008201C3"/>
    <w:rsid w:val="00820422"/>
    <w:rsid w:val="00820655"/>
    <w:rsid w:val="008227D7"/>
    <w:rsid w:val="008249A1"/>
    <w:rsid w:val="00825D43"/>
    <w:rsid w:val="0082632D"/>
    <w:rsid w:val="00832500"/>
    <w:rsid w:val="00832787"/>
    <w:rsid w:val="00835805"/>
    <w:rsid w:val="0083595F"/>
    <w:rsid w:val="008372B6"/>
    <w:rsid w:val="00843A1A"/>
    <w:rsid w:val="00846433"/>
    <w:rsid w:val="008472C2"/>
    <w:rsid w:val="008510D9"/>
    <w:rsid w:val="00851EE3"/>
    <w:rsid w:val="00853121"/>
    <w:rsid w:val="008555E4"/>
    <w:rsid w:val="00864E60"/>
    <w:rsid w:val="00866A09"/>
    <w:rsid w:val="00867AFA"/>
    <w:rsid w:val="008712BF"/>
    <w:rsid w:val="00872209"/>
    <w:rsid w:val="00873656"/>
    <w:rsid w:val="00880140"/>
    <w:rsid w:val="008842F7"/>
    <w:rsid w:val="00885B94"/>
    <w:rsid w:val="0089075A"/>
    <w:rsid w:val="00890F80"/>
    <w:rsid w:val="00892BFD"/>
    <w:rsid w:val="0089338A"/>
    <w:rsid w:val="00894199"/>
    <w:rsid w:val="008948BE"/>
    <w:rsid w:val="008A1E27"/>
    <w:rsid w:val="008A2C86"/>
    <w:rsid w:val="008A6000"/>
    <w:rsid w:val="008A70A8"/>
    <w:rsid w:val="008A7FAC"/>
    <w:rsid w:val="008B1FD9"/>
    <w:rsid w:val="008B2AF1"/>
    <w:rsid w:val="008B3491"/>
    <w:rsid w:val="008B5191"/>
    <w:rsid w:val="008B710D"/>
    <w:rsid w:val="008B7CA1"/>
    <w:rsid w:val="008C0389"/>
    <w:rsid w:val="008C27D3"/>
    <w:rsid w:val="008C4B2B"/>
    <w:rsid w:val="008C5E91"/>
    <w:rsid w:val="008C686D"/>
    <w:rsid w:val="008C6B18"/>
    <w:rsid w:val="008C75E6"/>
    <w:rsid w:val="008C767A"/>
    <w:rsid w:val="008C7A73"/>
    <w:rsid w:val="008D0569"/>
    <w:rsid w:val="008D5C28"/>
    <w:rsid w:val="008E2D26"/>
    <w:rsid w:val="008E4076"/>
    <w:rsid w:val="008E7DBA"/>
    <w:rsid w:val="008F3386"/>
    <w:rsid w:val="008F3AD9"/>
    <w:rsid w:val="008F4642"/>
    <w:rsid w:val="008F4E00"/>
    <w:rsid w:val="008F761D"/>
    <w:rsid w:val="00900D44"/>
    <w:rsid w:val="00902520"/>
    <w:rsid w:val="00906DC4"/>
    <w:rsid w:val="0091457F"/>
    <w:rsid w:val="0091729E"/>
    <w:rsid w:val="0094008E"/>
    <w:rsid w:val="00941C0C"/>
    <w:rsid w:val="009437F2"/>
    <w:rsid w:val="0094528B"/>
    <w:rsid w:val="00960A8B"/>
    <w:rsid w:val="00961EE5"/>
    <w:rsid w:val="00965128"/>
    <w:rsid w:val="00973F43"/>
    <w:rsid w:val="0097785D"/>
    <w:rsid w:val="0098011D"/>
    <w:rsid w:val="00981912"/>
    <w:rsid w:val="009819C0"/>
    <w:rsid w:val="00987A75"/>
    <w:rsid w:val="00991A8A"/>
    <w:rsid w:val="00992611"/>
    <w:rsid w:val="00994303"/>
    <w:rsid w:val="0099526D"/>
    <w:rsid w:val="009A0054"/>
    <w:rsid w:val="009A0F6E"/>
    <w:rsid w:val="009A5548"/>
    <w:rsid w:val="009B25C1"/>
    <w:rsid w:val="009B7B79"/>
    <w:rsid w:val="009C0383"/>
    <w:rsid w:val="009C145B"/>
    <w:rsid w:val="009C3E04"/>
    <w:rsid w:val="009C4FB0"/>
    <w:rsid w:val="009C75D1"/>
    <w:rsid w:val="009C7694"/>
    <w:rsid w:val="009D0570"/>
    <w:rsid w:val="009D3E5C"/>
    <w:rsid w:val="009D495C"/>
    <w:rsid w:val="009D570F"/>
    <w:rsid w:val="009D5E88"/>
    <w:rsid w:val="009D6E1A"/>
    <w:rsid w:val="009D7294"/>
    <w:rsid w:val="009E1690"/>
    <w:rsid w:val="009E18AF"/>
    <w:rsid w:val="009E2C9D"/>
    <w:rsid w:val="009E2CDD"/>
    <w:rsid w:val="009E3545"/>
    <w:rsid w:val="009E4FCE"/>
    <w:rsid w:val="009E522E"/>
    <w:rsid w:val="009F0ABA"/>
    <w:rsid w:val="009F0AF5"/>
    <w:rsid w:val="009F6D96"/>
    <w:rsid w:val="00A02199"/>
    <w:rsid w:val="00A026A4"/>
    <w:rsid w:val="00A04044"/>
    <w:rsid w:val="00A11D0C"/>
    <w:rsid w:val="00A16579"/>
    <w:rsid w:val="00A24843"/>
    <w:rsid w:val="00A26D48"/>
    <w:rsid w:val="00A31C7C"/>
    <w:rsid w:val="00A367AA"/>
    <w:rsid w:val="00A378DF"/>
    <w:rsid w:val="00A37AC6"/>
    <w:rsid w:val="00A410CC"/>
    <w:rsid w:val="00A42B43"/>
    <w:rsid w:val="00A42BD0"/>
    <w:rsid w:val="00A433DC"/>
    <w:rsid w:val="00A460CD"/>
    <w:rsid w:val="00A50761"/>
    <w:rsid w:val="00A51DF2"/>
    <w:rsid w:val="00A53AF0"/>
    <w:rsid w:val="00A54ED7"/>
    <w:rsid w:val="00A5626D"/>
    <w:rsid w:val="00A61561"/>
    <w:rsid w:val="00A63249"/>
    <w:rsid w:val="00A6691F"/>
    <w:rsid w:val="00A67E6A"/>
    <w:rsid w:val="00A70F49"/>
    <w:rsid w:val="00A72203"/>
    <w:rsid w:val="00A7281F"/>
    <w:rsid w:val="00A73949"/>
    <w:rsid w:val="00A7697E"/>
    <w:rsid w:val="00A76E20"/>
    <w:rsid w:val="00A8284E"/>
    <w:rsid w:val="00A870EE"/>
    <w:rsid w:val="00A91D91"/>
    <w:rsid w:val="00A96F81"/>
    <w:rsid w:val="00A9709D"/>
    <w:rsid w:val="00AA054E"/>
    <w:rsid w:val="00AA0A10"/>
    <w:rsid w:val="00AA2094"/>
    <w:rsid w:val="00AA2947"/>
    <w:rsid w:val="00AB1894"/>
    <w:rsid w:val="00AB22DF"/>
    <w:rsid w:val="00AB30EA"/>
    <w:rsid w:val="00AB458B"/>
    <w:rsid w:val="00AB45E4"/>
    <w:rsid w:val="00AB6157"/>
    <w:rsid w:val="00AB7542"/>
    <w:rsid w:val="00AC022D"/>
    <w:rsid w:val="00AC0629"/>
    <w:rsid w:val="00AC70C7"/>
    <w:rsid w:val="00AC79E0"/>
    <w:rsid w:val="00AD32CE"/>
    <w:rsid w:val="00AD5187"/>
    <w:rsid w:val="00AD6B11"/>
    <w:rsid w:val="00AD6B34"/>
    <w:rsid w:val="00AD6F90"/>
    <w:rsid w:val="00AE0286"/>
    <w:rsid w:val="00AE247F"/>
    <w:rsid w:val="00AE4A24"/>
    <w:rsid w:val="00AE4FC7"/>
    <w:rsid w:val="00AF01E3"/>
    <w:rsid w:val="00AF23AE"/>
    <w:rsid w:val="00AF2EF7"/>
    <w:rsid w:val="00AF3741"/>
    <w:rsid w:val="00AF3B5C"/>
    <w:rsid w:val="00B0014A"/>
    <w:rsid w:val="00B00B50"/>
    <w:rsid w:val="00B00DB2"/>
    <w:rsid w:val="00B016E3"/>
    <w:rsid w:val="00B02B0B"/>
    <w:rsid w:val="00B03817"/>
    <w:rsid w:val="00B04283"/>
    <w:rsid w:val="00B05BA8"/>
    <w:rsid w:val="00B0741D"/>
    <w:rsid w:val="00B07AD8"/>
    <w:rsid w:val="00B07B20"/>
    <w:rsid w:val="00B1081B"/>
    <w:rsid w:val="00B14F01"/>
    <w:rsid w:val="00B15525"/>
    <w:rsid w:val="00B15C0B"/>
    <w:rsid w:val="00B174BA"/>
    <w:rsid w:val="00B17AF3"/>
    <w:rsid w:val="00B223B5"/>
    <w:rsid w:val="00B229AD"/>
    <w:rsid w:val="00B237BC"/>
    <w:rsid w:val="00B26EBB"/>
    <w:rsid w:val="00B27499"/>
    <w:rsid w:val="00B335C4"/>
    <w:rsid w:val="00B3369E"/>
    <w:rsid w:val="00B33D9A"/>
    <w:rsid w:val="00B40D81"/>
    <w:rsid w:val="00B424F5"/>
    <w:rsid w:val="00B43167"/>
    <w:rsid w:val="00B435BE"/>
    <w:rsid w:val="00B43A9D"/>
    <w:rsid w:val="00B467B0"/>
    <w:rsid w:val="00B47F9B"/>
    <w:rsid w:val="00B50534"/>
    <w:rsid w:val="00B51FCB"/>
    <w:rsid w:val="00B5289B"/>
    <w:rsid w:val="00B52E10"/>
    <w:rsid w:val="00B5331D"/>
    <w:rsid w:val="00B543D6"/>
    <w:rsid w:val="00B556B0"/>
    <w:rsid w:val="00B57687"/>
    <w:rsid w:val="00B578E3"/>
    <w:rsid w:val="00B57CE5"/>
    <w:rsid w:val="00B648F2"/>
    <w:rsid w:val="00B655D1"/>
    <w:rsid w:val="00B73FF2"/>
    <w:rsid w:val="00B74CBA"/>
    <w:rsid w:val="00B74ED3"/>
    <w:rsid w:val="00B768CF"/>
    <w:rsid w:val="00B81A44"/>
    <w:rsid w:val="00B86BB5"/>
    <w:rsid w:val="00B91072"/>
    <w:rsid w:val="00B91B6E"/>
    <w:rsid w:val="00B94B2C"/>
    <w:rsid w:val="00B96F7D"/>
    <w:rsid w:val="00B970D0"/>
    <w:rsid w:val="00BA49F4"/>
    <w:rsid w:val="00BA5C41"/>
    <w:rsid w:val="00BA6ACA"/>
    <w:rsid w:val="00BA7232"/>
    <w:rsid w:val="00BA7809"/>
    <w:rsid w:val="00BB449C"/>
    <w:rsid w:val="00BB44D7"/>
    <w:rsid w:val="00BC2561"/>
    <w:rsid w:val="00BC3E3E"/>
    <w:rsid w:val="00BC422A"/>
    <w:rsid w:val="00BC5128"/>
    <w:rsid w:val="00BC5608"/>
    <w:rsid w:val="00BD04C9"/>
    <w:rsid w:val="00BD3536"/>
    <w:rsid w:val="00BD37FD"/>
    <w:rsid w:val="00BE225E"/>
    <w:rsid w:val="00BE237E"/>
    <w:rsid w:val="00BE3703"/>
    <w:rsid w:val="00BE567F"/>
    <w:rsid w:val="00BF0A29"/>
    <w:rsid w:val="00BF25CD"/>
    <w:rsid w:val="00BF5553"/>
    <w:rsid w:val="00BF75CD"/>
    <w:rsid w:val="00C00F1C"/>
    <w:rsid w:val="00C0346D"/>
    <w:rsid w:val="00C0358F"/>
    <w:rsid w:val="00C03BB0"/>
    <w:rsid w:val="00C041CF"/>
    <w:rsid w:val="00C0696A"/>
    <w:rsid w:val="00C12034"/>
    <w:rsid w:val="00C1396B"/>
    <w:rsid w:val="00C1698A"/>
    <w:rsid w:val="00C17E6C"/>
    <w:rsid w:val="00C23810"/>
    <w:rsid w:val="00C249CC"/>
    <w:rsid w:val="00C24E5F"/>
    <w:rsid w:val="00C255B6"/>
    <w:rsid w:val="00C26F3A"/>
    <w:rsid w:val="00C2770B"/>
    <w:rsid w:val="00C30296"/>
    <w:rsid w:val="00C3170E"/>
    <w:rsid w:val="00C31947"/>
    <w:rsid w:val="00C40053"/>
    <w:rsid w:val="00C4294D"/>
    <w:rsid w:val="00C444C8"/>
    <w:rsid w:val="00C452DD"/>
    <w:rsid w:val="00C45856"/>
    <w:rsid w:val="00C46603"/>
    <w:rsid w:val="00C54316"/>
    <w:rsid w:val="00C55208"/>
    <w:rsid w:val="00C5527D"/>
    <w:rsid w:val="00C61B1A"/>
    <w:rsid w:val="00C62A53"/>
    <w:rsid w:val="00C73A70"/>
    <w:rsid w:val="00C73E0D"/>
    <w:rsid w:val="00C76054"/>
    <w:rsid w:val="00C779A2"/>
    <w:rsid w:val="00C80546"/>
    <w:rsid w:val="00C837A7"/>
    <w:rsid w:val="00C83CAD"/>
    <w:rsid w:val="00C8419E"/>
    <w:rsid w:val="00C851D7"/>
    <w:rsid w:val="00C85C8B"/>
    <w:rsid w:val="00C867AD"/>
    <w:rsid w:val="00C87F9F"/>
    <w:rsid w:val="00C9545D"/>
    <w:rsid w:val="00C9625C"/>
    <w:rsid w:val="00C978C6"/>
    <w:rsid w:val="00C97F2A"/>
    <w:rsid w:val="00CA112D"/>
    <w:rsid w:val="00CA1F9F"/>
    <w:rsid w:val="00CA2179"/>
    <w:rsid w:val="00CA3D8A"/>
    <w:rsid w:val="00CB4B3E"/>
    <w:rsid w:val="00CB50EF"/>
    <w:rsid w:val="00CB623F"/>
    <w:rsid w:val="00CB791A"/>
    <w:rsid w:val="00CB7D1B"/>
    <w:rsid w:val="00CC11DF"/>
    <w:rsid w:val="00CC1A6E"/>
    <w:rsid w:val="00CC3F62"/>
    <w:rsid w:val="00CC536E"/>
    <w:rsid w:val="00CC59DD"/>
    <w:rsid w:val="00CC7FC6"/>
    <w:rsid w:val="00CD47B2"/>
    <w:rsid w:val="00CD5AFD"/>
    <w:rsid w:val="00CD74EB"/>
    <w:rsid w:val="00CE49F8"/>
    <w:rsid w:val="00CE4E1E"/>
    <w:rsid w:val="00CE66B5"/>
    <w:rsid w:val="00CF52DF"/>
    <w:rsid w:val="00CF5832"/>
    <w:rsid w:val="00CF5911"/>
    <w:rsid w:val="00CF7221"/>
    <w:rsid w:val="00CF724E"/>
    <w:rsid w:val="00D059F5"/>
    <w:rsid w:val="00D117F5"/>
    <w:rsid w:val="00D13661"/>
    <w:rsid w:val="00D142BD"/>
    <w:rsid w:val="00D146DE"/>
    <w:rsid w:val="00D17FEC"/>
    <w:rsid w:val="00D200E7"/>
    <w:rsid w:val="00D21427"/>
    <w:rsid w:val="00D22164"/>
    <w:rsid w:val="00D22B86"/>
    <w:rsid w:val="00D22F2F"/>
    <w:rsid w:val="00D24194"/>
    <w:rsid w:val="00D2460F"/>
    <w:rsid w:val="00D2590F"/>
    <w:rsid w:val="00D27150"/>
    <w:rsid w:val="00D27B54"/>
    <w:rsid w:val="00D27EB3"/>
    <w:rsid w:val="00D35E02"/>
    <w:rsid w:val="00D41425"/>
    <w:rsid w:val="00D46275"/>
    <w:rsid w:val="00D467CA"/>
    <w:rsid w:val="00D4759B"/>
    <w:rsid w:val="00D500A4"/>
    <w:rsid w:val="00D51205"/>
    <w:rsid w:val="00D516FC"/>
    <w:rsid w:val="00D51F2D"/>
    <w:rsid w:val="00D535EE"/>
    <w:rsid w:val="00D54FC4"/>
    <w:rsid w:val="00D574C1"/>
    <w:rsid w:val="00D57615"/>
    <w:rsid w:val="00D577C9"/>
    <w:rsid w:val="00D606B7"/>
    <w:rsid w:val="00D61A94"/>
    <w:rsid w:val="00D62282"/>
    <w:rsid w:val="00D6356C"/>
    <w:rsid w:val="00D64A32"/>
    <w:rsid w:val="00D6553A"/>
    <w:rsid w:val="00D657CA"/>
    <w:rsid w:val="00D73338"/>
    <w:rsid w:val="00D775F3"/>
    <w:rsid w:val="00D77868"/>
    <w:rsid w:val="00D77F25"/>
    <w:rsid w:val="00D826AA"/>
    <w:rsid w:val="00D84C2A"/>
    <w:rsid w:val="00D9064B"/>
    <w:rsid w:val="00D978C6"/>
    <w:rsid w:val="00DA03F6"/>
    <w:rsid w:val="00DA134A"/>
    <w:rsid w:val="00DA1A2E"/>
    <w:rsid w:val="00DA3413"/>
    <w:rsid w:val="00DA426E"/>
    <w:rsid w:val="00DA4339"/>
    <w:rsid w:val="00DA4B1B"/>
    <w:rsid w:val="00DA4EFC"/>
    <w:rsid w:val="00DA648D"/>
    <w:rsid w:val="00DA726D"/>
    <w:rsid w:val="00DB40BD"/>
    <w:rsid w:val="00DB4B8E"/>
    <w:rsid w:val="00DB4F4B"/>
    <w:rsid w:val="00DC070F"/>
    <w:rsid w:val="00DC3858"/>
    <w:rsid w:val="00DC3A57"/>
    <w:rsid w:val="00DC7A95"/>
    <w:rsid w:val="00DD55C2"/>
    <w:rsid w:val="00DD759E"/>
    <w:rsid w:val="00DE314E"/>
    <w:rsid w:val="00DE4CFB"/>
    <w:rsid w:val="00DE5F3F"/>
    <w:rsid w:val="00DF045B"/>
    <w:rsid w:val="00DF1ED8"/>
    <w:rsid w:val="00DF3785"/>
    <w:rsid w:val="00DF3D27"/>
    <w:rsid w:val="00DF6074"/>
    <w:rsid w:val="00E02239"/>
    <w:rsid w:val="00E047EC"/>
    <w:rsid w:val="00E07D42"/>
    <w:rsid w:val="00E163E9"/>
    <w:rsid w:val="00E240F5"/>
    <w:rsid w:val="00E30004"/>
    <w:rsid w:val="00E333AC"/>
    <w:rsid w:val="00E3456B"/>
    <w:rsid w:val="00E35C16"/>
    <w:rsid w:val="00E36085"/>
    <w:rsid w:val="00E36813"/>
    <w:rsid w:val="00E42382"/>
    <w:rsid w:val="00E603DF"/>
    <w:rsid w:val="00E63745"/>
    <w:rsid w:val="00E6699F"/>
    <w:rsid w:val="00E67925"/>
    <w:rsid w:val="00E67B40"/>
    <w:rsid w:val="00E703AE"/>
    <w:rsid w:val="00E72373"/>
    <w:rsid w:val="00E76AF9"/>
    <w:rsid w:val="00E846C1"/>
    <w:rsid w:val="00E84EF0"/>
    <w:rsid w:val="00E8649C"/>
    <w:rsid w:val="00E87886"/>
    <w:rsid w:val="00E87CDE"/>
    <w:rsid w:val="00E91FC1"/>
    <w:rsid w:val="00E92D54"/>
    <w:rsid w:val="00E9323C"/>
    <w:rsid w:val="00E95FD8"/>
    <w:rsid w:val="00EA0283"/>
    <w:rsid w:val="00EA5DE1"/>
    <w:rsid w:val="00EB0C86"/>
    <w:rsid w:val="00EB0E16"/>
    <w:rsid w:val="00EB236F"/>
    <w:rsid w:val="00EB237E"/>
    <w:rsid w:val="00EC1546"/>
    <w:rsid w:val="00EC5B23"/>
    <w:rsid w:val="00EC5DED"/>
    <w:rsid w:val="00EC6BD8"/>
    <w:rsid w:val="00ED0356"/>
    <w:rsid w:val="00ED0D71"/>
    <w:rsid w:val="00ED3DCD"/>
    <w:rsid w:val="00ED3DD5"/>
    <w:rsid w:val="00ED56BE"/>
    <w:rsid w:val="00ED74D7"/>
    <w:rsid w:val="00EE40F8"/>
    <w:rsid w:val="00EE6DD6"/>
    <w:rsid w:val="00EF0867"/>
    <w:rsid w:val="00EF1A10"/>
    <w:rsid w:val="00EF1A9F"/>
    <w:rsid w:val="00EF1B27"/>
    <w:rsid w:val="00EF4370"/>
    <w:rsid w:val="00EF5AD7"/>
    <w:rsid w:val="00F03FA7"/>
    <w:rsid w:val="00F048EF"/>
    <w:rsid w:val="00F06AAD"/>
    <w:rsid w:val="00F146BE"/>
    <w:rsid w:val="00F22013"/>
    <w:rsid w:val="00F22356"/>
    <w:rsid w:val="00F226E0"/>
    <w:rsid w:val="00F2522F"/>
    <w:rsid w:val="00F30180"/>
    <w:rsid w:val="00F31A29"/>
    <w:rsid w:val="00F3279A"/>
    <w:rsid w:val="00F37236"/>
    <w:rsid w:val="00F37499"/>
    <w:rsid w:val="00F44634"/>
    <w:rsid w:val="00F505EC"/>
    <w:rsid w:val="00F5088F"/>
    <w:rsid w:val="00F51657"/>
    <w:rsid w:val="00F5223C"/>
    <w:rsid w:val="00F57787"/>
    <w:rsid w:val="00F61E82"/>
    <w:rsid w:val="00F6243A"/>
    <w:rsid w:val="00F63323"/>
    <w:rsid w:val="00F636FE"/>
    <w:rsid w:val="00F648B2"/>
    <w:rsid w:val="00F67EBD"/>
    <w:rsid w:val="00F70EA4"/>
    <w:rsid w:val="00F76317"/>
    <w:rsid w:val="00F77851"/>
    <w:rsid w:val="00F80FAB"/>
    <w:rsid w:val="00F81E3B"/>
    <w:rsid w:val="00F827E1"/>
    <w:rsid w:val="00F927B5"/>
    <w:rsid w:val="00F94BD0"/>
    <w:rsid w:val="00F95403"/>
    <w:rsid w:val="00F961F9"/>
    <w:rsid w:val="00F96705"/>
    <w:rsid w:val="00F96750"/>
    <w:rsid w:val="00F9704D"/>
    <w:rsid w:val="00FA0166"/>
    <w:rsid w:val="00FA2400"/>
    <w:rsid w:val="00FA33E9"/>
    <w:rsid w:val="00FA55C8"/>
    <w:rsid w:val="00FA74C6"/>
    <w:rsid w:val="00FB24ED"/>
    <w:rsid w:val="00FB29AF"/>
    <w:rsid w:val="00FB313D"/>
    <w:rsid w:val="00FB4003"/>
    <w:rsid w:val="00FB4EBA"/>
    <w:rsid w:val="00FB7086"/>
    <w:rsid w:val="00FC6733"/>
    <w:rsid w:val="00FD2677"/>
    <w:rsid w:val="00FD28B8"/>
    <w:rsid w:val="00FE0BD8"/>
    <w:rsid w:val="00FE1709"/>
    <w:rsid w:val="00FE1FC9"/>
    <w:rsid w:val="00FE7B44"/>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95AF2"/>
    <w:pPr>
      <w:numPr>
        <w:numId w:val="8"/>
      </w:numPr>
      <w:tabs>
        <w:tab w:val="left" w:pos="0"/>
        <w:tab w:val="left" w:pos="142"/>
        <w:tab w:val="left" w:pos="284"/>
        <w:tab w:val="left" w:pos="567"/>
      </w:tabs>
      <w:autoSpaceDE w:val="0"/>
      <w:autoSpaceDN w:val="0"/>
      <w:adjustRightInd w:val="0"/>
      <w:spacing w:line="264" w:lineRule="auto"/>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DefaultParagraphFont"/>
    <w:link w:val="Questionstyle"/>
    <w:rsid w:val="00F77851"/>
    <w:rPr>
      <w:rFonts w:eastAsia="Times New Roman" w:cstheme="minorHAnsi"/>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E1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95AF2"/>
    <w:rPr>
      <w:rFonts w:eastAsiaTheme="majorEastAsia" w:cstheme="minorHAnsi"/>
      <w:sz w:val="22"/>
      <w:szCs w:val="22"/>
      <w:lang w:val="en-GB" w:eastAsia="en-GB"/>
    </w:rPr>
  </w:style>
  <w:style w:type="table" w:customStyle="1" w:styleId="TableGrid3">
    <w:name w:val="Table Grid3"/>
    <w:basedOn w:val="TableNormal"/>
    <w:uiPriority w:val="59"/>
    <w:rsid w:val="00F372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A2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esma.europa.eu"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esma.europa.eu/legal-notic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esma.europa.e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www.esma.europa.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100" baseline="0" dirty="0" smtClean="0">
                <a:solidFill>
                  <a:schemeClr val="tx1">
                    <a:lumMod val="65000"/>
                    <a:lumOff val="35000"/>
                  </a:schemeClr>
                </a:solidFill>
                <a:latin typeface="Arial" panose="020B0604020202020204" pitchFamily="34" charset="0"/>
                <a:cs typeface="Arial" panose="020B0604020202020204" pitchFamily="34" charset="0"/>
              </a:rPr>
              <a:t>Open Interest (Capesize 5TC) – Lots (1 lot = 1 day of TC hire)</a:t>
            </a:r>
            <a:endParaRPr lang="en-GB" sz="1100" baseline="0" dirty="0">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1.1956938976377953E-2"/>
          <c:y val="9.3749994232898981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411786417322829E-2"/>
          <c:y val="9.5707117636127118E-2"/>
          <c:w val="0.74151722440944867"/>
          <c:h val="0.85427320040150101"/>
        </c:manualLayout>
      </c:layout>
      <c:lineChart>
        <c:grouping val="standard"/>
        <c:varyColors val="0"/>
        <c:ser>
          <c:idx val="0"/>
          <c:order val="0"/>
          <c:tx>
            <c:strRef>
              <c:f>Sheet1!$B$1</c:f>
              <c:strCache>
                <c:ptCount val="1"/>
                <c:pt idx="0">
                  <c:v>3 Month avg.</c:v>
                </c:pt>
              </c:strCache>
            </c:strRef>
          </c:tx>
          <c:spPr>
            <a:ln w="31750" cap="rnd">
              <a:solidFill>
                <a:schemeClr val="accent1"/>
              </a:solidFill>
              <a:round/>
            </a:ln>
            <a:effectLst/>
          </c:spPr>
          <c:marker>
            <c:symbol val="none"/>
          </c:marker>
          <c:cat>
            <c:numRef>
              <c:f>Sheet1!$A$2:$A$274</c:f>
              <c:numCache>
                <c:formatCode>m/d/yyyy</c:formatCode>
                <c:ptCount val="273"/>
                <c:pt idx="0">
                  <c:v>43276</c:v>
                </c:pt>
                <c:pt idx="1">
                  <c:v>43277</c:v>
                </c:pt>
                <c:pt idx="2">
                  <c:v>43278</c:v>
                </c:pt>
                <c:pt idx="3">
                  <c:v>43279</c:v>
                </c:pt>
                <c:pt idx="4">
                  <c:v>43280</c:v>
                </c:pt>
                <c:pt idx="5">
                  <c:v>43283</c:v>
                </c:pt>
                <c:pt idx="6">
                  <c:v>43284</c:v>
                </c:pt>
                <c:pt idx="7">
                  <c:v>43285</c:v>
                </c:pt>
                <c:pt idx="8">
                  <c:v>43286</c:v>
                </c:pt>
                <c:pt idx="9">
                  <c:v>43287</c:v>
                </c:pt>
                <c:pt idx="10">
                  <c:v>43290</c:v>
                </c:pt>
                <c:pt idx="11">
                  <c:v>43291</c:v>
                </c:pt>
                <c:pt idx="12">
                  <c:v>43292</c:v>
                </c:pt>
                <c:pt idx="13">
                  <c:v>43293</c:v>
                </c:pt>
                <c:pt idx="14">
                  <c:v>43294</c:v>
                </c:pt>
                <c:pt idx="15">
                  <c:v>43297</c:v>
                </c:pt>
                <c:pt idx="16">
                  <c:v>43298</c:v>
                </c:pt>
                <c:pt idx="17">
                  <c:v>43299</c:v>
                </c:pt>
                <c:pt idx="18">
                  <c:v>43300</c:v>
                </c:pt>
                <c:pt idx="19">
                  <c:v>43301</c:v>
                </c:pt>
                <c:pt idx="20">
                  <c:v>43304</c:v>
                </c:pt>
                <c:pt idx="21">
                  <c:v>43305</c:v>
                </c:pt>
                <c:pt idx="22">
                  <c:v>43306</c:v>
                </c:pt>
                <c:pt idx="23">
                  <c:v>43307</c:v>
                </c:pt>
                <c:pt idx="24">
                  <c:v>43308</c:v>
                </c:pt>
                <c:pt idx="25">
                  <c:v>43311</c:v>
                </c:pt>
                <c:pt idx="26">
                  <c:v>43312</c:v>
                </c:pt>
                <c:pt idx="27">
                  <c:v>43313</c:v>
                </c:pt>
                <c:pt idx="28">
                  <c:v>43314</c:v>
                </c:pt>
                <c:pt idx="29">
                  <c:v>43315</c:v>
                </c:pt>
                <c:pt idx="30">
                  <c:v>43318</c:v>
                </c:pt>
                <c:pt idx="31">
                  <c:v>43319</c:v>
                </c:pt>
                <c:pt idx="32">
                  <c:v>43320</c:v>
                </c:pt>
                <c:pt idx="33">
                  <c:v>43321</c:v>
                </c:pt>
                <c:pt idx="34">
                  <c:v>43322</c:v>
                </c:pt>
                <c:pt idx="35">
                  <c:v>43325</c:v>
                </c:pt>
                <c:pt idx="36">
                  <c:v>43326</c:v>
                </c:pt>
                <c:pt idx="37">
                  <c:v>43327</c:v>
                </c:pt>
                <c:pt idx="38">
                  <c:v>43328</c:v>
                </c:pt>
                <c:pt idx="39">
                  <c:v>43329</c:v>
                </c:pt>
                <c:pt idx="40">
                  <c:v>43332</c:v>
                </c:pt>
                <c:pt idx="41">
                  <c:v>43333</c:v>
                </c:pt>
                <c:pt idx="42">
                  <c:v>43334</c:v>
                </c:pt>
                <c:pt idx="43">
                  <c:v>43335</c:v>
                </c:pt>
                <c:pt idx="44">
                  <c:v>43336</c:v>
                </c:pt>
                <c:pt idx="45">
                  <c:v>43339</c:v>
                </c:pt>
                <c:pt idx="46">
                  <c:v>43340</c:v>
                </c:pt>
                <c:pt idx="47">
                  <c:v>43341</c:v>
                </c:pt>
                <c:pt idx="48">
                  <c:v>43342</c:v>
                </c:pt>
                <c:pt idx="49">
                  <c:v>43343</c:v>
                </c:pt>
                <c:pt idx="50">
                  <c:v>43346</c:v>
                </c:pt>
                <c:pt idx="51">
                  <c:v>43347</c:v>
                </c:pt>
                <c:pt idx="52">
                  <c:v>43348</c:v>
                </c:pt>
                <c:pt idx="53">
                  <c:v>43349</c:v>
                </c:pt>
                <c:pt idx="54">
                  <c:v>43350</c:v>
                </c:pt>
                <c:pt idx="55">
                  <c:v>43353</c:v>
                </c:pt>
                <c:pt idx="56">
                  <c:v>43354</c:v>
                </c:pt>
                <c:pt idx="57">
                  <c:v>43355</c:v>
                </c:pt>
                <c:pt idx="58">
                  <c:v>43356</c:v>
                </c:pt>
                <c:pt idx="59">
                  <c:v>43357</c:v>
                </c:pt>
                <c:pt idx="60">
                  <c:v>43360</c:v>
                </c:pt>
                <c:pt idx="61">
                  <c:v>43361</c:v>
                </c:pt>
                <c:pt idx="62">
                  <c:v>43362</c:v>
                </c:pt>
                <c:pt idx="63">
                  <c:v>43363</c:v>
                </c:pt>
                <c:pt idx="64">
                  <c:v>43364</c:v>
                </c:pt>
                <c:pt idx="65">
                  <c:v>43367</c:v>
                </c:pt>
                <c:pt idx="66">
                  <c:v>43368</c:v>
                </c:pt>
                <c:pt idx="67">
                  <c:v>43369</c:v>
                </c:pt>
                <c:pt idx="68">
                  <c:v>43370</c:v>
                </c:pt>
                <c:pt idx="69">
                  <c:v>43371</c:v>
                </c:pt>
                <c:pt idx="70">
                  <c:v>43374</c:v>
                </c:pt>
                <c:pt idx="71">
                  <c:v>43375</c:v>
                </c:pt>
                <c:pt idx="72">
                  <c:v>43376</c:v>
                </c:pt>
                <c:pt idx="73">
                  <c:v>43377</c:v>
                </c:pt>
                <c:pt idx="74">
                  <c:v>43378</c:v>
                </c:pt>
                <c:pt idx="75">
                  <c:v>43381</c:v>
                </c:pt>
                <c:pt idx="76">
                  <c:v>43382</c:v>
                </c:pt>
                <c:pt idx="77">
                  <c:v>43383</c:v>
                </c:pt>
                <c:pt idx="78">
                  <c:v>43384</c:v>
                </c:pt>
                <c:pt idx="79">
                  <c:v>43385</c:v>
                </c:pt>
                <c:pt idx="80">
                  <c:v>43388</c:v>
                </c:pt>
                <c:pt idx="81">
                  <c:v>43389</c:v>
                </c:pt>
                <c:pt idx="82">
                  <c:v>43390</c:v>
                </c:pt>
                <c:pt idx="83">
                  <c:v>43391</c:v>
                </c:pt>
                <c:pt idx="84">
                  <c:v>43392</c:v>
                </c:pt>
                <c:pt idx="85">
                  <c:v>43395</c:v>
                </c:pt>
                <c:pt idx="86">
                  <c:v>43396</c:v>
                </c:pt>
                <c:pt idx="87">
                  <c:v>43397</c:v>
                </c:pt>
                <c:pt idx="88">
                  <c:v>43398</c:v>
                </c:pt>
                <c:pt idx="89">
                  <c:v>43399</c:v>
                </c:pt>
                <c:pt idx="90">
                  <c:v>43402</c:v>
                </c:pt>
                <c:pt idx="91">
                  <c:v>43403</c:v>
                </c:pt>
                <c:pt idx="92">
                  <c:v>43404</c:v>
                </c:pt>
                <c:pt idx="93">
                  <c:v>43405</c:v>
                </c:pt>
                <c:pt idx="94">
                  <c:v>43406</c:v>
                </c:pt>
                <c:pt idx="95">
                  <c:v>43409</c:v>
                </c:pt>
                <c:pt idx="96">
                  <c:v>43410</c:v>
                </c:pt>
                <c:pt idx="97">
                  <c:v>43411</c:v>
                </c:pt>
                <c:pt idx="98">
                  <c:v>43412</c:v>
                </c:pt>
                <c:pt idx="99">
                  <c:v>43413</c:v>
                </c:pt>
                <c:pt idx="100">
                  <c:v>43416</c:v>
                </c:pt>
                <c:pt idx="101">
                  <c:v>43417</c:v>
                </c:pt>
                <c:pt idx="102">
                  <c:v>43418</c:v>
                </c:pt>
                <c:pt idx="103">
                  <c:v>43419</c:v>
                </c:pt>
                <c:pt idx="104">
                  <c:v>43420</c:v>
                </c:pt>
                <c:pt idx="105">
                  <c:v>43423</c:v>
                </c:pt>
                <c:pt idx="106">
                  <c:v>43424</c:v>
                </c:pt>
                <c:pt idx="107">
                  <c:v>43425</c:v>
                </c:pt>
                <c:pt idx="108">
                  <c:v>43426</c:v>
                </c:pt>
                <c:pt idx="109">
                  <c:v>43427</c:v>
                </c:pt>
                <c:pt idx="110">
                  <c:v>43430</c:v>
                </c:pt>
                <c:pt idx="111">
                  <c:v>43431</c:v>
                </c:pt>
                <c:pt idx="112">
                  <c:v>43432</c:v>
                </c:pt>
                <c:pt idx="113">
                  <c:v>43433</c:v>
                </c:pt>
                <c:pt idx="114">
                  <c:v>43434</c:v>
                </c:pt>
                <c:pt idx="115">
                  <c:v>43437</c:v>
                </c:pt>
                <c:pt idx="116">
                  <c:v>43438</c:v>
                </c:pt>
                <c:pt idx="117">
                  <c:v>43439</c:v>
                </c:pt>
                <c:pt idx="118">
                  <c:v>43440</c:v>
                </c:pt>
                <c:pt idx="119">
                  <c:v>43441</c:v>
                </c:pt>
                <c:pt idx="120">
                  <c:v>43444</c:v>
                </c:pt>
                <c:pt idx="121">
                  <c:v>43445</c:v>
                </c:pt>
                <c:pt idx="122">
                  <c:v>43446</c:v>
                </c:pt>
                <c:pt idx="123">
                  <c:v>43447</c:v>
                </c:pt>
                <c:pt idx="124">
                  <c:v>43448</c:v>
                </c:pt>
                <c:pt idx="125">
                  <c:v>43451</c:v>
                </c:pt>
                <c:pt idx="126">
                  <c:v>43452</c:v>
                </c:pt>
                <c:pt idx="127">
                  <c:v>43453</c:v>
                </c:pt>
                <c:pt idx="128">
                  <c:v>43454</c:v>
                </c:pt>
                <c:pt idx="129">
                  <c:v>43455</c:v>
                </c:pt>
                <c:pt idx="130">
                  <c:v>43458</c:v>
                </c:pt>
                <c:pt idx="131">
                  <c:v>43460</c:v>
                </c:pt>
                <c:pt idx="132">
                  <c:v>43461</c:v>
                </c:pt>
                <c:pt idx="133">
                  <c:v>43462</c:v>
                </c:pt>
                <c:pt idx="134">
                  <c:v>43465</c:v>
                </c:pt>
                <c:pt idx="135">
                  <c:v>43467</c:v>
                </c:pt>
                <c:pt idx="136">
                  <c:v>43468</c:v>
                </c:pt>
                <c:pt idx="137">
                  <c:v>43469</c:v>
                </c:pt>
                <c:pt idx="138">
                  <c:v>43472</c:v>
                </c:pt>
                <c:pt idx="139">
                  <c:v>43473</c:v>
                </c:pt>
                <c:pt idx="140">
                  <c:v>43474</c:v>
                </c:pt>
                <c:pt idx="141">
                  <c:v>43475</c:v>
                </c:pt>
                <c:pt idx="142">
                  <c:v>43476</c:v>
                </c:pt>
                <c:pt idx="143">
                  <c:v>43479</c:v>
                </c:pt>
                <c:pt idx="144">
                  <c:v>43480</c:v>
                </c:pt>
                <c:pt idx="145">
                  <c:v>43481</c:v>
                </c:pt>
                <c:pt idx="146">
                  <c:v>43482</c:v>
                </c:pt>
                <c:pt idx="147">
                  <c:v>43483</c:v>
                </c:pt>
                <c:pt idx="148">
                  <c:v>43486</c:v>
                </c:pt>
                <c:pt idx="149">
                  <c:v>43487</c:v>
                </c:pt>
                <c:pt idx="150">
                  <c:v>43488</c:v>
                </c:pt>
                <c:pt idx="151">
                  <c:v>43489</c:v>
                </c:pt>
                <c:pt idx="152">
                  <c:v>43490</c:v>
                </c:pt>
                <c:pt idx="153">
                  <c:v>43493</c:v>
                </c:pt>
                <c:pt idx="154">
                  <c:v>43494</c:v>
                </c:pt>
                <c:pt idx="155">
                  <c:v>43495</c:v>
                </c:pt>
                <c:pt idx="156">
                  <c:v>43496</c:v>
                </c:pt>
                <c:pt idx="157">
                  <c:v>43497</c:v>
                </c:pt>
                <c:pt idx="158">
                  <c:v>43500</c:v>
                </c:pt>
                <c:pt idx="159">
                  <c:v>43501</c:v>
                </c:pt>
                <c:pt idx="160">
                  <c:v>43502</c:v>
                </c:pt>
                <c:pt idx="161">
                  <c:v>43503</c:v>
                </c:pt>
                <c:pt idx="162">
                  <c:v>43504</c:v>
                </c:pt>
                <c:pt idx="163">
                  <c:v>43507</c:v>
                </c:pt>
                <c:pt idx="164">
                  <c:v>43508</c:v>
                </c:pt>
                <c:pt idx="165">
                  <c:v>43509</c:v>
                </c:pt>
                <c:pt idx="166">
                  <c:v>43510</c:v>
                </c:pt>
                <c:pt idx="167">
                  <c:v>43511</c:v>
                </c:pt>
                <c:pt idx="168">
                  <c:v>43514</c:v>
                </c:pt>
                <c:pt idx="169">
                  <c:v>43515</c:v>
                </c:pt>
                <c:pt idx="170">
                  <c:v>43516</c:v>
                </c:pt>
                <c:pt idx="171">
                  <c:v>43517</c:v>
                </c:pt>
                <c:pt idx="172">
                  <c:v>43518</c:v>
                </c:pt>
                <c:pt idx="173">
                  <c:v>43521</c:v>
                </c:pt>
                <c:pt idx="174">
                  <c:v>43522</c:v>
                </c:pt>
                <c:pt idx="175">
                  <c:v>43523</c:v>
                </c:pt>
                <c:pt idx="176">
                  <c:v>43524</c:v>
                </c:pt>
                <c:pt idx="177">
                  <c:v>43525</c:v>
                </c:pt>
                <c:pt idx="178">
                  <c:v>43528</c:v>
                </c:pt>
                <c:pt idx="179">
                  <c:v>43529</c:v>
                </c:pt>
                <c:pt idx="180">
                  <c:v>43530</c:v>
                </c:pt>
                <c:pt idx="181">
                  <c:v>43531</c:v>
                </c:pt>
                <c:pt idx="182">
                  <c:v>43532</c:v>
                </c:pt>
                <c:pt idx="183">
                  <c:v>43535</c:v>
                </c:pt>
                <c:pt idx="184">
                  <c:v>43536</c:v>
                </c:pt>
                <c:pt idx="185">
                  <c:v>43537</c:v>
                </c:pt>
                <c:pt idx="186">
                  <c:v>43538</c:v>
                </c:pt>
                <c:pt idx="187">
                  <c:v>43539</c:v>
                </c:pt>
                <c:pt idx="188">
                  <c:v>43542</c:v>
                </c:pt>
                <c:pt idx="189">
                  <c:v>43543</c:v>
                </c:pt>
                <c:pt idx="190">
                  <c:v>43544</c:v>
                </c:pt>
                <c:pt idx="191">
                  <c:v>43545</c:v>
                </c:pt>
                <c:pt idx="192">
                  <c:v>43546</c:v>
                </c:pt>
                <c:pt idx="193">
                  <c:v>43549</c:v>
                </c:pt>
                <c:pt idx="194">
                  <c:v>43550</c:v>
                </c:pt>
                <c:pt idx="195">
                  <c:v>43551</c:v>
                </c:pt>
                <c:pt idx="196">
                  <c:v>43552</c:v>
                </c:pt>
                <c:pt idx="197">
                  <c:v>43553</c:v>
                </c:pt>
                <c:pt idx="198">
                  <c:v>43556</c:v>
                </c:pt>
                <c:pt idx="199">
                  <c:v>43557</c:v>
                </c:pt>
                <c:pt idx="200">
                  <c:v>43558</c:v>
                </c:pt>
                <c:pt idx="201">
                  <c:v>43559</c:v>
                </c:pt>
                <c:pt idx="202">
                  <c:v>43560</c:v>
                </c:pt>
                <c:pt idx="203">
                  <c:v>43563</c:v>
                </c:pt>
                <c:pt idx="204">
                  <c:v>43564</c:v>
                </c:pt>
                <c:pt idx="205">
                  <c:v>43565</c:v>
                </c:pt>
                <c:pt idx="206">
                  <c:v>43566</c:v>
                </c:pt>
                <c:pt idx="207">
                  <c:v>43567</c:v>
                </c:pt>
                <c:pt idx="208">
                  <c:v>43570</c:v>
                </c:pt>
                <c:pt idx="209">
                  <c:v>43571</c:v>
                </c:pt>
                <c:pt idx="210">
                  <c:v>43572</c:v>
                </c:pt>
                <c:pt idx="211">
                  <c:v>43573</c:v>
                </c:pt>
                <c:pt idx="212">
                  <c:v>43578</c:v>
                </c:pt>
                <c:pt idx="213">
                  <c:v>43579</c:v>
                </c:pt>
                <c:pt idx="214">
                  <c:v>43580</c:v>
                </c:pt>
                <c:pt idx="215">
                  <c:v>43581</c:v>
                </c:pt>
                <c:pt idx="216">
                  <c:v>43584</c:v>
                </c:pt>
                <c:pt idx="217">
                  <c:v>43585</c:v>
                </c:pt>
                <c:pt idx="218">
                  <c:v>43586</c:v>
                </c:pt>
                <c:pt idx="219">
                  <c:v>43587</c:v>
                </c:pt>
                <c:pt idx="220">
                  <c:v>43588</c:v>
                </c:pt>
                <c:pt idx="221">
                  <c:v>43591</c:v>
                </c:pt>
                <c:pt idx="222">
                  <c:v>43592</c:v>
                </c:pt>
                <c:pt idx="223">
                  <c:v>43593</c:v>
                </c:pt>
                <c:pt idx="224">
                  <c:v>43594</c:v>
                </c:pt>
                <c:pt idx="225">
                  <c:v>43595</c:v>
                </c:pt>
                <c:pt idx="226">
                  <c:v>43598</c:v>
                </c:pt>
                <c:pt idx="227">
                  <c:v>43599</c:v>
                </c:pt>
                <c:pt idx="228">
                  <c:v>43600</c:v>
                </c:pt>
                <c:pt idx="229">
                  <c:v>43601</c:v>
                </c:pt>
                <c:pt idx="230">
                  <c:v>43602</c:v>
                </c:pt>
                <c:pt idx="231">
                  <c:v>43605</c:v>
                </c:pt>
                <c:pt idx="232">
                  <c:v>43606</c:v>
                </c:pt>
                <c:pt idx="233">
                  <c:v>43607</c:v>
                </c:pt>
                <c:pt idx="234">
                  <c:v>43608</c:v>
                </c:pt>
                <c:pt idx="235">
                  <c:v>43609</c:v>
                </c:pt>
                <c:pt idx="236">
                  <c:v>43612</c:v>
                </c:pt>
                <c:pt idx="237">
                  <c:v>43613</c:v>
                </c:pt>
                <c:pt idx="238">
                  <c:v>43614</c:v>
                </c:pt>
                <c:pt idx="239">
                  <c:v>43615</c:v>
                </c:pt>
                <c:pt idx="240">
                  <c:v>43616</c:v>
                </c:pt>
                <c:pt idx="241">
                  <c:v>43619</c:v>
                </c:pt>
                <c:pt idx="242">
                  <c:v>43620</c:v>
                </c:pt>
                <c:pt idx="243">
                  <c:v>43621</c:v>
                </c:pt>
                <c:pt idx="244">
                  <c:v>43622</c:v>
                </c:pt>
                <c:pt idx="245">
                  <c:v>43623</c:v>
                </c:pt>
                <c:pt idx="246">
                  <c:v>43626</c:v>
                </c:pt>
                <c:pt idx="247">
                  <c:v>43627</c:v>
                </c:pt>
                <c:pt idx="248">
                  <c:v>43628</c:v>
                </c:pt>
                <c:pt idx="249">
                  <c:v>43629</c:v>
                </c:pt>
                <c:pt idx="250">
                  <c:v>43630</c:v>
                </c:pt>
                <c:pt idx="251">
                  <c:v>43633</c:v>
                </c:pt>
                <c:pt idx="252">
                  <c:v>43634</c:v>
                </c:pt>
                <c:pt idx="253">
                  <c:v>43635</c:v>
                </c:pt>
                <c:pt idx="254">
                  <c:v>43636</c:v>
                </c:pt>
                <c:pt idx="255">
                  <c:v>43637</c:v>
                </c:pt>
                <c:pt idx="256">
                  <c:v>43640</c:v>
                </c:pt>
                <c:pt idx="257">
                  <c:v>43641</c:v>
                </c:pt>
                <c:pt idx="258">
                  <c:v>43642</c:v>
                </c:pt>
                <c:pt idx="259">
                  <c:v>43643</c:v>
                </c:pt>
                <c:pt idx="260">
                  <c:v>43644</c:v>
                </c:pt>
                <c:pt idx="261">
                  <c:v>43647</c:v>
                </c:pt>
                <c:pt idx="262">
                  <c:v>43648</c:v>
                </c:pt>
                <c:pt idx="263">
                  <c:v>43649</c:v>
                </c:pt>
                <c:pt idx="264">
                  <c:v>43650</c:v>
                </c:pt>
                <c:pt idx="265">
                  <c:v>43651</c:v>
                </c:pt>
                <c:pt idx="266">
                  <c:v>43654</c:v>
                </c:pt>
                <c:pt idx="267">
                  <c:v>43655</c:v>
                </c:pt>
                <c:pt idx="268">
                  <c:v>43656</c:v>
                </c:pt>
                <c:pt idx="269">
                  <c:v>43657</c:v>
                </c:pt>
                <c:pt idx="270">
                  <c:v>43658</c:v>
                </c:pt>
                <c:pt idx="271">
                  <c:v>43661</c:v>
                </c:pt>
                <c:pt idx="272">
                  <c:v>43662</c:v>
                </c:pt>
              </c:numCache>
            </c:numRef>
          </c:cat>
          <c:val>
            <c:numRef>
              <c:f>Sheet1!$B$2:$B$274</c:f>
              <c:numCache>
                <c:formatCode>General</c:formatCode>
                <c:ptCount val="273"/>
                <c:pt idx="5" formatCode="#,##0">
                  <c:v>3771.1666666666665</c:v>
                </c:pt>
                <c:pt idx="6" formatCode="#,##0">
                  <c:v>3771.5555555555557</c:v>
                </c:pt>
                <c:pt idx="7" formatCode="#,##0">
                  <c:v>3772.1111111111113</c:v>
                </c:pt>
                <c:pt idx="8" formatCode="#,##0">
                  <c:v>3771.8888888888887</c:v>
                </c:pt>
                <c:pt idx="9" formatCode="#,##0">
                  <c:v>3771.6666666666665</c:v>
                </c:pt>
                <c:pt idx="10" formatCode="#,##0">
                  <c:v>3769.9444444444443</c:v>
                </c:pt>
                <c:pt idx="11" formatCode="#,##0">
                  <c:v>3771.6111111111113</c:v>
                </c:pt>
                <c:pt idx="12" formatCode="#,##0">
                  <c:v>3772.9444444444443</c:v>
                </c:pt>
                <c:pt idx="13" formatCode="#,##0">
                  <c:v>3773.7777777777778</c:v>
                </c:pt>
                <c:pt idx="14" formatCode="#,##0">
                  <c:v>3774.5</c:v>
                </c:pt>
                <c:pt idx="15" formatCode="#,##0">
                  <c:v>3773.8888888888887</c:v>
                </c:pt>
                <c:pt idx="16" formatCode="#,##0">
                  <c:v>3773.4444444444443</c:v>
                </c:pt>
                <c:pt idx="17" formatCode="#,##0">
                  <c:v>3770.1111111111113</c:v>
                </c:pt>
                <c:pt idx="18" formatCode="#,##0">
                  <c:v>3766.6666666666665</c:v>
                </c:pt>
                <c:pt idx="19" formatCode="#,##0">
                  <c:v>3763.2222222222222</c:v>
                </c:pt>
                <c:pt idx="20" formatCode="#,##0">
                  <c:v>3758.1111111111113</c:v>
                </c:pt>
                <c:pt idx="21" formatCode="#,##0">
                  <c:v>3754.1111111111113</c:v>
                </c:pt>
                <c:pt idx="22" formatCode="#,##0">
                  <c:v>3750.6111111111113</c:v>
                </c:pt>
                <c:pt idx="23" formatCode="#,##0">
                  <c:v>3747.2222222222222</c:v>
                </c:pt>
                <c:pt idx="24" formatCode="#,##0">
                  <c:v>3744</c:v>
                </c:pt>
                <c:pt idx="25" formatCode="#,##0">
                  <c:v>3741.1111111111113</c:v>
                </c:pt>
                <c:pt idx="26" formatCode="#,##0">
                  <c:v>3738.3333333333335</c:v>
                </c:pt>
                <c:pt idx="27" formatCode="#,##0">
                  <c:v>3730.7777777777778</c:v>
                </c:pt>
                <c:pt idx="28" formatCode="#,##0">
                  <c:v>3723.3333333333335</c:v>
                </c:pt>
                <c:pt idx="29" formatCode="#,##0">
                  <c:v>3716.1111111111113</c:v>
                </c:pt>
                <c:pt idx="30" formatCode="#,##0">
                  <c:v>3708.8888888888887</c:v>
                </c:pt>
                <c:pt idx="31" formatCode="#,##0">
                  <c:v>3701.1111111111113</c:v>
                </c:pt>
                <c:pt idx="32" formatCode="#,##0">
                  <c:v>3698.3333333333335</c:v>
                </c:pt>
                <c:pt idx="33" formatCode="#,##0">
                  <c:v>3695.2222222222222</c:v>
                </c:pt>
                <c:pt idx="34" formatCode="#,##0">
                  <c:v>3691.1666666666665</c:v>
                </c:pt>
                <c:pt idx="35" formatCode="#,##0">
                  <c:v>3685.8333333333335</c:v>
                </c:pt>
                <c:pt idx="36" formatCode="#,##0">
                  <c:v>3680.5</c:v>
                </c:pt>
                <c:pt idx="37" formatCode="#,##0">
                  <c:v>3676.1666666666665</c:v>
                </c:pt>
                <c:pt idx="38" formatCode="#,##0">
                  <c:v>3672.1666666666665</c:v>
                </c:pt>
                <c:pt idx="39" formatCode="#,##0">
                  <c:v>3667.8333333333335</c:v>
                </c:pt>
                <c:pt idx="40" formatCode="#,##0">
                  <c:v>3663.5</c:v>
                </c:pt>
                <c:pt idx="41" formatCode="#,##0">
                  <c:v>3659.1666666666665</c:v>
                </c:pt>
                <c:pt idx="42" formatCode="#,##0">
                  <c:v>3655</c:v>
                </c:pt>
                <c:pt idx="43" formatCode="#,##0">
                  <c:v>3648.9444444444443</c:v>
                </c:pt>
                <c:pt idx="44" formatCode="#,##0">
                  <c:v>3642.8333333333335</c:v>
                </c:pt>
                <c:pt idx="45" formatCode="#,##0">
                  <c:v>3637.0555555555557</c:v>
                </c:pt>
                <c:pt idx="46" formatCode="#,##0">
                  <c:v>3630.8333333333335</c:v>
                </c:pt>
                <c:pt idx="47" formatCode="#,##0">
                  <c:v>3624.4444444444443</c:v>
                </c:pt>
                <c:pt idx="48" formatCode="#,##0">
                  <c:v>3617.9444444444443</c:v>
                </c:pt>
                <c:pt idx="49" formatCode="#,##0">
                  <c:v>3611.7777777777778</c:v>
                </c:pt>
                <c:pt idx="50" formatCode="#,##0">
                  <c:v>3599.9444444444443</c:v>
                </c:pt>
                <c:pt idx="51" formatCode="#,##0">
                  <c:v>3588.2777777777778</c:v>
                </c:pt>
                <c:pt idx="52" formatCode="#,##0">
                  <c:v>3582</c:v>
                </c:pt>
                <c:pt idx="53" formatCode="#,##0">
                  <c:v>3575.7222222222222</c:v>
                </c:pt>
                <c:pt idx="54" formatCode="#,##0">
                  <c:v>3569.7777777777778</c:v>
                </c:pt>
                <c:pt idx="55" formatCode="#,##0">
                  <c:v>3563.8888888888887</c:v>
                </c:pt>
                <c:pt idx="56" formatCode="#,##0">
                  <c:v>3558.8333333333335</c:v>
                </c:pt>
                <c:pt idx="57" formatCode="#,##0">
                  <c:v>3553.9444444444443</c:v>
                </c:pt>
                <c:pt idx="58" formatCode="#,##0">
                  <c:v>3550.0555555555557</c:v>
                </c:pt>
                <c:pt idx="59" formatCode="#,##0">
                  <c:v>3545.9444444444443</c:v>
                </c:pt>
                <c:pt idx="60" formatCode="#,##0">
                  <c:v>3544.3888888888887</c:v>
                </c:pt>
                <c:pt idx="61" formatCode="#,##0">
                  <c:v>3543.5</c:v>
                </c:pt>
                <c:pt idx="62" formatCode="#,##0">
                  <c:v>3545.1111111111113</c:v>
                </c:pt>
                <c:pt idx="63" formatCode="#,##0">
                  <c:v>3550.7222222222222</c:v>
                </c:pt>
                <c:pt idx="64" formatCode="#,##0">
                  <c:v>3556.4444444444443</c:v>
                </c:pt>
                <c:pt idx="65" formatCode="#,##0">
                  <c:v>3563.6111111111113</c:v>
                </c:pt>
                <c:pt idx="66" formatCode="#,##0">
                  <c:v>3571.2222222222222</c:v>
                </c:pt>
                <c:pt idx="67" formatCode="#,##0">
                  <c:v>3579.6111111111113</c:v>
                </c:pt>
                <c:pt idx="68" formatCode="#,##0">
                  <c:v>3592.8333333333335</c:v>
                </c:pt>
                <c:pt idx="69" formatCode="#,##0">
                  <c:v>3607.1666666666665</c:v>
                </c:pt>
                <c:pt idx="70" formatCode="#,##0">
                  <c:v>3614.0555555555557</c:v>
                </c:pt>
                <c:pt idx="71" formatCode="#,##0">
                  <c:v>3621.3888888888887</c:v>
                </c:pt>
                <c:pt idx="72" formatCode="#,##0">
                  <c:v>3631.5</c:v>
                </c:pt>
                <c:pt idx="73" formatCode="#,##0">
                  <c:v>3641.3888888888887</c:v>
                </c:pt>
                <c:pt idx="74" formatCode="#,##0">
                  <c:v>3659.4444444444443</c:v>
                </c:pt>
                <c:pt idx="75" formatCode="#,##0">
                  <c:v>3681.4444444444443</c:v>
                </c:pt>
                <c:pt idx="76" formatCode="#,##0">
                  <c:v>3702.9444444444443</c:v>
                </c:pt>
                <c:pt idx="77" formatCode="#,##0">
                  <c:v>3726.6111111111113</c:v>
                </c:pt>
                <c:pt idx="78" formatCode="#,##0">
                  <c:v>3761.0555555555557</c:v>
                </c:pt>
                <c:pt idx="79" formatCode="#,##0">
                  <c:v>3794.2777777777778</c:v>
                </c:pt>
                <c:pt idx="80" formatCode="#,##0">
                  <c:v>3827.7222222222222</c:v>
                </c:pt>
                <c:pt idx="81" formatCode="#,##0">
                  <c:v>3861.2222222222222</c:v>
                </c:pt>
                <c:pt idx="82" formatCode="#,##0">
                  <c:v>3894.7222222222222</c:v>
                </c:pt>
                <c:pt idx="83" formatCode="#,##0">
                  <c:v>3928.6666666666665</c:v>
                </c:pt>
                <c:pt idx="84" formatCode="#,##0">
                  <c:v>3965.8333333333335</c:v>
                </c:pt>
                <c:pt idx="85" formatCode="#,##0">
                  <c:v>4003.1666666666665</c:v>
                </c:pt>
                <c:pt idx="86" formatCode="#,##0">
                  <c:v>4040.7777777777778</c:v>
                </c:pt>
                <c:pt idx="87" formatCode="#,##0">
                  <c:v>4077.7222222222222</c:v>
                </c:pt>
                <c:pt idx="88" formatCode="#,##0">
                  <c:v>4113.5</c:v>
                </c:pt>
                <c:pt idx="89" formatCode="#,##0">
                  <c:v>4151.7777777777774</c:v>
                </c:pt>
                <c:pt idx="90" formatCode="#,##0">
                  <c:v>4189.666666666667</c:v>
                </c:pt>
                <c:pt idx="91" formatCode="#,##0">
                  <c:v>4227.5555555555557</c:v>
                </c:pt>
                <c:pt idx="92" formatCode="#,##0">
                  <c:v>4265.4444444444443</c:v>
                </c:pt>
                <c:pt idx="93" formatCode="#,##0">
                  <c:v>4290.4444444444443</c:v>
                </c:pt>
                <c:pt idx="94" formatCode="#,##0">
                  <c:v>4315.4444444444443</c:v>
                </c:pt>
                <c:pt idx="95" formatCode="#,##0">
                  <c:v>4348.0555555555557</c:v>
                </c:pt>
                <c:pt idx="96" formatCode="#,##0">
                  <c:v>4380.333333333333</c:v>
                </c:pt>
                <c:pt idx="97" formatCode="#,##0">
                  <c:v>4412.7222222222226</c:v>
                </c:pt>
                <c:pt idx="98" formatCode="#,##0">
                  <c:v>4448.2222222222226</c:v>
                </c:pt>
                <c:pt idx="99" formatCode="#,##0">
                  <c:v>4483.833333333333</c:v>
                </c:pt>
                <c:pt idx="100" formatCode="#,##0">
                  <c:v>4520.1111111111113</c:v>
                </c:pt>
                <c:pt idx="101" formatCode="#,##0">
                  <c:v>4557.8888888888887</c:v>
                </c:pt>
                <c:pt idx="102" formatCode="#,##0">
                  <c:v>4597.5</c:v>
                </c:pt>
                <c:pt idx="103" formatCode="#,##0">
                  <c:v>4637.4444444444443</c:v>
                </c:pt>
                <c:pt idx="104" formatCode="#,##0">
                  <c:v>4678</c:v>
                </c:pt>
                <c:pt idx="105" formatCode="#,##0">
                  <c:v>4718.3888888888887</c:v>
                </c:pt>
                <c:pt idx="106" formatCode="#,##0">
                  <c:v>4758.7777777777774</c:v>
                </c:pt>
                <c:pt idx="107" formatCode="#,##0">
                  <c:v>4800.3888888888887</c:v>
                </c:pt>
                <c:pt idx="108" formatCode="#,##0">
                  <c:v>4843.5</c:v>
                </c:pt>
                <c:pt idx="109" formatCode="#,##0">
                  <c:v>4886.7777777777774</c:v>
                </c:pt>
                <c:pt idx="110" formatCode="#,##0">
                  <c:v>4930.7222222222226</c:v>
                </c:pt>
                <c:pt idx="111" formatCode="#,##0">
                  <c:v>4973.833333333333</c:v>
                </c:pt>
                <c:pt idx="112" formatCode="#,##0">
                  <c:v>5016.4444444444443</c:v>
                </c:pt>
                <c:pt idx="113" formatCode="#,##0">
                  <c:v>5059.9444444444443</c:v>
                </c:pt>
                <c:pt idx="114" formatCode="#,##0">
                  <c:v>5103.2777777777774</c:v>
                </c:pt>
                <c:pt idx="115" formatCode="#,##0">
                  <c:v>5137.0555555555557</c:v>
                </c:pt>
                <c:pt idx="116" formatCode="#,##0">
                  <c:v>5170.7222222222226</c:v>
                </c:pt>
                <c:pt idx="117" formatCode="#,##0">
                  <c:v>5209.833333333333</c:v>
                </c:pt>
                <c:pt idx="118" formatCode="#,##0">
                  <c:v>5249.5</c:v>
                </c:pt>
                <c:pt idx="119" formatCode="#,##0">
                  <c:v>5288.9444444444443</c:v>
                </c:pt>
                <c:pt idx="120" formatCode="#,##0">
                  <c:v>5328.3888888888887</c:v>
                </c:pt>
                <c:pt idx="121" formatCode="#,##0">
                  <c:v>5367.8888888888887</c:v>
                </c:pt>
                <c:pt idx="122" formatCode="#,##0">
                  <c:v>5407.4444444444443</c:v>
                </c:pt>
                <c:pt idx="123" formatCode="#,##0">
                  <c:v>5447</c:v>
                </c:pt>
                <c:pt idx="124" formatCode="#,##0">
                  <c:v>5486.8888888888887</c:v>
                </c:pt>
                <c:pt idx="125" formatCode="#,##0">
                  <c:v>5526.8888888888887</c:v>
                </c:pt>
                <c:pt idx="126" formatCode="#,##0">
                  <c:v>5566.5555555555557</c:v>
                </c:pt>
                <c:pt idx="127" formatCode="#,##0">
                  <c:v>5605.2222222222226</c:v>
                </c:pt>
                <c:pt idx="128" formatCode="#,##0">
                  <c:v>5643.5555555555557</c:v>
                </c:pt>
                <c:pt idx="129" formatCode="#,##0">
                  <c:v>5681.5555555555557</c:v>
                </c:pt>
                <c:pt idx="130" formatCode="#,##0">
                  <c:v>5719.5555555555557</c:v>
                </c:pt>
                <c:pt idx="131" formatCode="#,##0">
                  <c:v>5757.5555555555557</c:v>
                </c:pt>
                <c:pt idx="132" formatCode="#,##0">
                  <c:v>5795.3888888888887</c:v>
                </c:pt>
                <c:pt idx="133" formatCode="#,##0">
                  <c:v>5824.7222222222226</c:v>
                </c:pt>
                <c:pt idx="134" formatCode="#,##0">
                  <c:v>5854.0555555555557</c:v>
                </c:pt>
                <c:pt idx="135" formatCode="#,##0">
                  <c:v>5882.8888888888887</c:v>
                </c:pt>
                <c:pt idx="136" formatCode="#,##0">
                  <c:v>5911.8888888888887</c:v>
                </c:pt>
                <c:pt idx="137" formatCode="#,##0">
                  <c:v>5941.2222222222226</c:v>
                </c:pt>
                <c:pt idx="138" formatCode="#,##0">
                  <c:v>5970.5555555555557</c:v>
                </c:pt>
                <c:pt idx="139" formatCode="#,##0">
                  <c:v>5999.3888888888887</c:v>
                </c:pt>
                <c:pt idx="140" formatCode="#,##0">
                  <c:v>6034.5555555555557</c:v>
                </c:pt>
                <c:pt idx="141" formatCode="#,##0">
                  <c:v>6071.0555555555557</c:v>
                </c:pt>
                <c:pt idx="142" formatCode="#,##0">
                  <c:v>6107.5555555555557</c:v>
                </c:pt>
                <c:pt idx="143" formatCode="#,##0">
                  <c:v>6144.0555555555557</c:v>
                </c:pt>
                <c:pt idx="144" formatCode="#,##0">
                  <c:v>6180.2222222222226</c:v>
                </c:pt>
                <c:pt idx="145" formatCode="#,##0">
                  <c:v>6216.333333333333</c:v>
                </c:pt>
                <c:pt idx="146" formatCode="#,##0">
                  <c:v>6251.6111111111113</c:v>
                </c:pt>
                <c:pt idx="147" formatCode="#,##0">
                  <c:v>6287.4444444444443</c:v>
                </c:pt>
                <c:pt idx="148" formatCode="#,##0">
                  <c:v>6323.2777777777774</c:v>
                </c:pt>
                <c:pt idx="149" formatCode="#,##0">
                  <c:v>6359.333333333333</c:v>
                </c:pt>
                <c:pt idx="150" formatCode="#,##0">
                  <c:v>6392.833333333333</c:v>
                </c:pt>
                <c:pt idx="151" formatCode="#,##0">
                  <c:v>6425.666666666667</c:v>
                </c:pt>
                <c:pt idx="152" formatCode="#,##0">
                  <c:v>6455.5</c:v>
                </c:pt>
                <c:pt idx="153" formatCode="#,##0">
                  <c:v>6479.666666666667</c:v>
                </c:pt>
                <c:pt idx="154" formatCode="#,##0">
                  <c:v>6503.7222222222226</c:v>
                </c:pt>
                <c:pt idx="155" formatCode="#,##0">
                  <c:v>6526.333333333333</c:v>
                </c:pt>
                <c:pt idx="156" formatCode="#,##0">
                  <c:v>6548.5</c:v>
                </c:pt>
                <c:pt idx="157" formatCode="#,##0">
                  <c:v>6564.8888888888887</c:v>
                </c:pt>
                <c:pt idx="158" formatCode="#,##0">
                  <c:v>6576.7777777777774</c:v>
                </c:pt>
                <c:pt idx="159" formatCode="#,##0">
                  <c:v>6587.6111111111113</c:v>
                </c:pt>
                <c:pt idx="160" formatCode="#,##0">
                  <c:v>6606.8888888888887</c:v>
                </c:pt>
                <c:pt idx="161" formatCode="#,##0">
                  <c:v>6625.666666666667</c:v>
                </c:pt>
                <c:pt idx="162" formatCode="#,##0">
                  <c:v>6642.166666666667</c:v>
                </c:pt>
                <c:pt idx="163" formatCode="#,##0">
                  <c:v>6658.8888888888887</c:v>
                </c:pt>
                <c:pt idx="164" formatCode="#,##0">
                  <c:v>6673.7777777777774</c:v>
                </c:pt>
                <c:pt idx="165" formatCode="#,##0">
                  <c:v>6684.7222222222226</c:v>
                </c:pt>
                <c:pt idx="166" formatCode="#,##0">
                  <c:v>6696.166666666667</c:v>
                </c:pt>
                <c:pt idx="167" formatCode="#,##0">
                  <c:v>6705.4444444444443</c:v>
                </c:pt>
                <c:pt idx="168" formatCode="#,##0">
                  <c:v>6701.2777777777774</c:v>
                </c:pt>
                <c:pt idx="169" formatCode="#,##0">
                  <c:v>6697</c:v>
                </c:pt>
                <c:pt idx="170" formatCode="#,##0">
                  <c:v>6693.333333333333</c:v>
                </c:pt>
                <c:pt idx="171" formatCode="#,##0">
                  <c:v>6690.2777777777774</c:v>
                </c:pt>
                <c:pt idx="172" formatCode="#,##0">
                  <c:v>6687.7777777777774</c:v>
                </c:pt>
                <c:pt idx="173" formatCode="#,##0">
                  <c:v>6683.4444444444443</c:v>
                </c:pt>
                <c:pt idx="174" formatCode="#,##0">
                  <c:v>6676.0555555555557</c:v>
                </c:pt>
                <c:pt idx="175" formatCode="#,##0">
                  <c:v>6669.833333333333</c:v>
                </c:pt>
                <c:pt idx="176" formatCode="#,##0">
                  <c:v>6664</c:v>
                </c:pt>
                <c:pt idx="177" formatCode="#,##0">
                  <c:v>6652.5</c:v>
                </c:pt>
                <c:pt idx="178" formatCode="#,##0">
                  <c:v>6641.1111111111113</c:v>
                </c:pt>
                <c:pt idx="179" formatCode="#,##0">
                  <c:v>6627.7777777777774</c:v>
                </c:pt>
                <c:pt idx="180" formatCode="#,##0">
                  <c:v>6614.666666666667</c:v>
                </c:pt>
                <c:pt idx="181" formatCode="#,##0">
                  <c:v>6601.7222222222226</c:v>
                </c:pt>
                <c:pt idx="182" formatCode="#,##0">
                  <c:v>6590.4444444444443</c:v>
                </c:pt>
                <c:pt idx="183" formatCode="#,##0">
                  <c:v>6591.1111111111113</c:v>
                </c:pt>
                <c:pt idx="184" formatCode="#,##0">
                  <c:v>6591.7777777777774</c:v>
                </c:pt>
                <c:pt idx="185" formatCode="#,##0">
                  <c:v>6591.7222222222226</c:v>
                </c:pt>
                <c:pt idx="186" formatCode="#,##0">
                  <c:v>6591.666666666667</c:v>
                </c:pt>
                <c:pt idx="187" formatCode="#,##0">
                  <c:v>6592</c:v>
                </c:pt>
                <c:pt idx="188" formatCode="#,##0">
                  <c:v>6591.333333333333</c:v>
                </c:pt>
                <c:pt idx="189" formatCode="#,##0">
                  <c:v>6590</c:v>
                </c:pt>
                <c:pt idx="190" formatCode="#,##0">
                  <c:v>6587.9444444444443</c:v>
                </c:pt>
                <c:pt idx="191" formatCode="#,##0">
                  <c:v>6584.5555555555557</c:v>
                </c:pt>
                <c:pt idx="192" formatCode="#,##0">
                  <c:v>6579.666666666667</c:v>
                </c:pt>
                <c:pt idx="193" formatCode="#,##0">
                  <c:v>6590.4444444444443</c:v>
                </c:pt>
                <c:pt idx="194" formatCode="#,##0">
                  <c:v>6601.166666666667</c:v>
                </c:pt>
                <c:pt idx="195" formatCode="#,##0">
                  <c:v>6612.2222222222226</c:v>
                </c:pt>
                <c:pt idx="196" formatCode="#,##0">
                  <c:v>6624.1111111111113</c:v>
                </c:pt>
                <c:pt idx="197" formatCode="#,##0">
                  <c:v>6635.166666666667</c:v>
                </c:pt>
                <c:pt idx="198" formatCode="#,##0">
                  <c:v>6640.666666666667</c:v>
                </c:pt>
                <c:pt idx="199" formatCode="#,##0">
                  <c:v>6645.8888888888887</c:v>
                </c:pt>
                <c:pt idx="200" formatCode="#,##0">
                  <c:v>6656.7222222222226</c:v>
                </c:pt>
                <c:pt idx="201" formatCode="#,##0">
                  <c:v>6667.833333333333</c:v>
                </c:pt>
                <c:pt idx="202" formatCode="#,##0">
                  <c:v>6679.1111111111113</c:v>
                </c:pt>
                <c:pt idx="203" formatCode="#,##0">
                  <c:v>6689.3888888888887</c:v>
                </c:pt>
                <c:pt idx="204" formatCode="#,##0">
                  <c:v>6699.666666666667</c:v>
                </c:pt>
                <c:pt idx="205" formatCode="#,##0">
                  <c:v>6719.166666666667</c:v>
                </c:pt>
                <c:pt idx="206" formatCode="#,##0">
                  <c:v>6738.666666666667</c:v>
                </c:pt>
                <c:pt idx="207" formatCode="#,##0">
                  <c:v>6757.5</c:v>
                </c:pt>
                <c:pt idx="208" formatCode="#,##0">
                  <c:v>6775.666666666667</c:v>
                </c:pt>
                <c:pt idx="209" formatCode="#,##0">
                  <c:v>6793.833333333333</c:v>
                </c:pt>
                <c:pt idx="210" formatCode="#,##0">
                  <c:v>6812.166666666667</c:v>
                </c:pt>
                <c:pt idx="211" formatCode="#,##0">
                  <c:v>6830.9444444444443</c:v>
                </c:pt>
                <c:pt idx="212" formatCode="#,##0">
                  <c:v>6849.666666666667</c:v>
                </c:pt>
                <c:pt idx="213" formatCode="#,##0">
                  <c:v>6869.0555555555557</c:v>
                </c:pt>
                <c:pt idx="214" formatCode="#,##0">
                  <c:v>6888.4444444444443</c:v>
                </c:pt>
                <c:pt idx="215" formatCode="#,##0">
                  <c:v>6908.3888888888887</c:v>
                </c:pt>
                <c:pt idx="216" formatCode="#,##0">
                  <c:v>6930.5</c:v>
                </c:pt>
                <c:pt idx="217" formatCode="#,##0">
                  <c:v>6954.0555555555557</c:v>
                </c:pt>
                <c:pt idx="218" formatCode="#,##0">
                  <c:v>6970.5555555555557</c:v>
                </c:pt>
                <c:pt idx="219" formatCode="#,##0">
                  <c:v>6987.166666666667</c:v>
                </c:pt>
                <c:pt idx="220" formatCode="#,##0">
                  <c:v>7003.7777777777774</c:v>
                </c:pt>
                <c:pt idx="221" formatCode="#,##0">
                  <c:v>7020.5555555555557</c:v>
                </c:pt>
                <c:pt idx="222" formatCode="#,##0">
                  <c:v>7037.333333333333</c:v>
                </c:pt>
                <c:pt idx="223" formatCode="#,##0">
                  <c:v>7062.7222222222226</c:v>
                </c:pt>
                <c:pt idx="224" formatCode="#,##0">
                  <c:v>7088.0555555555557</c:v>
                </c:pt>
                <c:pt idx="225" formatCode="#,##0">
                  <c:v>7113.4444444444443</c:v>
                </c:pt>
                <c:pt idx="226" formatCode="#,##0">
                  <c:v>7138.7777777777774</c:v>
                </c:pt>
                <c:pt idx="227" formatCode="#,##0">
                  <c:v>7163.7777777777774</c:v>
                </c:pt>
                <c:pt idx="228" formatCode="#,##0">
                  <c:v>7188.9444444444443</c:v>
                </c:pt>
                <c:pt idx="229" formatCode="#,##0">
                  <c:v>7214.1111111111113</c:v>
                </c:pt>
                <c:pt idx="230" formatCode="#,##0">
                  <c:v>7239.2777777777774</c:v>
                </c:pt>
                <c:pt idx="231" formatCode="#,##0">
                  <c:v>7263</c:v>
                </c:pt>
                <c:pt idx="232" formatCode="#,##0">
                  <c:v>7286.7222222222226</c:v>
                </c:pt>
                <c:pt idx="233" formatCode="#,##0">
                  <c:v>7310.4444444444443</c:v>
                </c:pt>
                <c:pt idx="234" formatCode="#,##0">
                  <c:v>7334.166666666667</c:v>
                </c:pt>
                <c:pt idx="235" formatCode="#,##0">
                  <c:v>7358.9444444444443</c:v>
                </c:pt>
                <c:pt idx="236" formatCode="#,##0">
                  <c:v>7383.7222222222226</c:v>
                </c:pt>
                <c:pt idx="237" formatCode="#,##0">
                  <c:v>7407.7777777777774</c:v>
                </c:pt>
                <c:pt idx="238" formatCode="#,##0">
                  <c:v>7428.166666666667</c:v>
                </c:pt>
                <c:pt idx="239" formatCode="#,##0">
                  <c:v>7448.5555555555557</c:v>
                </c:pt>
                <c:pt idx="240" formatCode="#,##0">
                  <c:v>7469.0555555555557</c:v>
                </c:pt>
                <c:pt idx="241" formatCode="#,##0">
                  <c:v>7476.6111111111113</c:v>
                </c:pt>
                <c:pt idx="242" formatCode="#,##0">
                  <c:v>7484.166666666667</c:v>
                </c:pt>
                <c:pt idx="243" formatCode="#,##0">
                  <c:v>7493</c:v>
                </c:pt>
                <c:pt idx="244" formatCode="#,##0">
                  <c:v>7502.5</c:v>
                </c:pt>
                <c:pt idx="245" formatCode="#,##0">
                  <c:v>7511.4444444444443</c:v>
                </c:pt>
                <c:pt idx="246" formatCode="#,##0">
                  <c:v>7520.3888888888887</c:v>
                </c:pt>
                <c:pt idx="247" formatCode="#,##0">
                  <c:v>7534.333333333333</c:v>
                </c:pt>
                <c:pt idx="248" formatCode="#,##0">
                  <c:v>7547.9444444444443</c:v>
                </c:pt>
                <c:pt idx="249" formatCode="#,##0">
                  <c:v>7561.5</c:v>
                </c:pt>
                <c:pt idx="250" formatCode="#,##0">
                  <c:v>7575.7777777777774</c:v>
                </c:pt>
                <c:pt idx="251" formatCode="#,##0">
                  <c:v>7588.7777777777774</c:v>
                </c:pt>
                <c:pt idx="252" formatCode="#,##0">
                  <c:v>7601.3888888888887</c:v>
                </c:pt>
                <c:pt idx="253" formatCode="#,##0">
                  <c:v>7614</c:v>
                </c:pt>
                <c:pt idx="254" formatCode="#,##0">
                  <c:v>7626.6111111111113</c:v>
                </c:pt>
                <c:pt idx="255" formatCode="#,##0">
                  <c:v>7639.9444444444443</c:v>
                </c:pt>
                <c:pt idx="256" formatCode="#,##0">
                  <c:v>7653.2777777777774</c:v>
                </c:pt>
                <c:pt idx="257" formatCode="#,##0">
                  <c:v>7667.7777777777774</c:v>
                </c:pt>
                <c:pt idx="258" formatCode="#,##0">
                  <c:v>7682.2777777777774</c:v>
                </c:pt>
                <c:pt idx="259" formatCode="#,##0">
                  <c:v>7696.7777777777774</c:v>
                </c:pt>
                <c:pt idx="260" formatCode="#,##0">
                  <c:v>7710.6111111111113</c:v>
                </c:pt>
                <c:pt idx="261" formatCode="#,##0">
                  <c:v>7718.5555555555557</c:v>
                </c:pt>
                <c:pt idx="262" formatCode="#,##0">
                  <c:v>7724.2777777777774</c:v>
                </c:pt>
              </c:numCache>
            </c:numRef>
          </c:val>
          <c:smooth val="0"/>
          <c:extLst xmlns:c16r2="http://schemas.microsoft.com/office/drawing/2015/06/chart">
            <c:ext xmlns:c16="http://schemas.microsoft.com/office/drawing/2014/chart" uri="{C3380CC4-5D6E-409C-BE32-E72D297353CC}">
              <c16:uniqueId val="{00000000-244E-4DBA-B364-49EA19987659}"/>
            </c:ext>
          </c:extLst>
        </c:ser>
        <c:ser>
          <c:idx val="1"/>
          <c:order val="1"/>
          <c:tx>
            <c:strRef>
              <c:f>Sheet1!$C$1</c:f>
              <c:strCache>
                <c:ptCount val="1"/>
                <c:pt idx="0">
                  <c:v>Open Interest</c:v>
                </c:pt>
              </c:strCache>
            </c:strRef>
          </c:tx>
          <c:spPr>
            <a:ln w="31750"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cat>
            <c:numRef>
              <c:f>Sheet1!$A$2:$A$274</c:f>
              <c:numCache>
                <c:formatCode>m/d/yyyy</c:formatCode>
                <c:ptCount val="273"/>
                <c:pt idx="0">
                  <c:v>43276</c:v>
                </c:pt>
                <c:pt idx="1">
                  <c:v>43277</c:v>
                </c:pt>
                <c:pt idx="2">
                  <c:v>43278</c:v>
                </c:pt>
                <c:pt idx="3">
                  <c:v>43279</c:v>
                </c:pt>
                <c:pt idx="4">
                  <c:v>43280</c:v>
                </c:pt>
                <c:pt idx="5">
                  <c:v>43283</c:v>
                </c:pt>
                <c:pt idx="6">
                  <c:v>43284</c:v>
                </c:pt>
                <c:pt idx="7">
                  <c:v>43285</c:v>
                </c:pt>
                <c:pt idx="8">
                  <c:v>43286</c:v>
                </c:pt>
                <c:pt idx="9">
                  <c:v>43287</c:v>
                </c:pt>
                <c:pt idx="10">
                  <c:v>43290</c:v>
                </c:pt>
                <c:pt idx="11">
                  <c:v>43291</c:v>
                </c:pt>
                <c:pt idx="12">
                  <c:v>43292</c:v>
                </c:pt>
                <c:pt idx="13">
                  <c:v>43293</c:v>
                </c:pt>
                <c:pt idx="14">
                  <c:v>43294</c:v>
                </c:pt>
                <c:pt idx="15">
                  <c:v>43297</c:v>
                </c:pt>
                <c:pt idx="16">
                  <c:v>43298</c:v>
                </c:pt>
                <c:pt idx="17">
                  <c:v>43299</c:v>
                </c:pt>
                <c:pt idx="18">
                  <c:v>43300</c:v>
                </c:pt>
                <c:pt idx="19">
                  <c:v>43301</c:v>
                </c:pt>
                <c:pt idx="20">
                  <c:v>43304</c:v>
                </c:pt>
                <c:pt idx="21">
                  <c:v>43305</c:v>
                </c:pt>
                <c:pt idx="22">
                  <c:v>43306</c:v>
                </c:pt>
                <c:pt idx="23">
                  <c:v>43307</c:v>
                </c:pt>
                <c:pt idx="24">
                  <c:v>43308</c:v>
                </c:pt>
                <c:pt idx="25">
                  <c:v>43311</c:v>
                </c:pt>
                <c:pt idx="26">
                  <c:v>43312</c:v>
                </c:pt>
                <c:pt idx="27">
                  <c:v>43313</c:v>
                </c:pt>
                <c:pt idx="28">
                  <c:v>43314</c:v>
                </c:pt>
                <c:pt idx="29">
                  <c:v>43315</c:v>
                </c:pt>
                <c:pt idx="30">
                  <c:v>43318</c:v>
                </c:pt>
                <c:pt idx="31">
                  <c:v>43319</c:v>
                </c:pt>
                <c:pt idx="32">
                  <c:v>43320</c:v>
                </c:pt>
                <c:pt idx="33">
                  <c:v>43321</c:v>
                </c:pt>
                <c:pt idx="34">
                  <c:v>43322</c:v>
                </c:pt>
                <c:pt idx="35">
                  <c:v>43325</c:v>
                </c:pt>
                <c:pt idx="36">
                  <c:v>43326</c:v>
                </c:pt>
                <c:pt idx="37">
                  <c:v>43327</c:v>
                </c:pt>
                <c:pt idx="38">
                  <c:v>43328</c:v>
                </c:pt>
                <c:pt idx="39">
                  <c:v>43329</c:v>
                </c:pt>
                <c:pt idx="40">
                  <c:v>43332</c:v>
                </c:pt>
                <c:pt idx="41">
                  <c:v>43333</c:v>
                </c:pt>
                <c:pt idx="42">
                  <c:v>43334</c:v>
                </c:pt>
                <c:pt idx="43">
                  <c:v>43335</c:v>
                </c:pt>
                <c:pt idx="44">
                  <c:v>43336</c:v>
                </c:pt>
                <c:pt idx="45">
                  <c:v>43339</c:v>
                </c:pt>
                <c:pt idx="46">
                  <c:v>43340</c:v>
                </c:pt>
                <c:pt idx="47">
                  <c:v>43341</c:v>
                </c:pt>
                <c:pt idx="48">
                  <c:v>43342</c:v>
                </c:pt>
                <c:pt idx="49">
                  <c:v>43343</c:v>
                </c:pt>
                <c:pt idx="50">
                  <c:v>43346</c:v>
                </c:pt>
                <c:pt idx="51">
                  <c:v>43347</c:v>
                </c:pt>
                <c:pt idx="52">
                  <c:v>43348</c:v>
                </c:pt>
                <c:pt idx="53">
                  <c:v>43349</c:v>
                </c:pt>
                <c:pt idx="54">
                  <c:v>43350</c:v>
                </c:pt>
                <c:pt idx="55">
                  <c:v>43353</c:v>
                </c:pt>
                <c:pt idx="56">
                  <c:v>43354</c:v>
                </c:pt>
                <c:pt idx="57">
                  <c:v>43355</c:v>
                </c:pt>
                <c:pt idx="58">
                  <c:v>43356</c:v>
                </c:pt>
                <c:pt idx="59">
                  <c:v>43357</c:v>
                </c:pt>
                <c:pt idx="60">
                  <c:v>43360</c:v>
                </c:pt>
                <c:pt idx="61">
                  <c:v>43361</c:v>
                </c:pt>
                <c:pt idx="62">
                  <c:v>43362</c:v>
                </c:pt>
                <c:pt idx="63">
                  <c:v>43363</c:v>
                </c:pt>
                <c:pt idx="64">
                  <c:v>43364</c:v>
                </c:pt>
                <c:pt idx="65">
                  <c:v>43367</c:v>
                </c:pt>
                <c:pt idx="66">
                  <c:v>43368</c:v>
                </c:pt>
                <c:pt idx="67">
                  <c:v>43369</c:v>
                </c:pt>
                <c:pt idx="68">
                  <c:v>43370</c:v>
                </c:pt>
                <c:pt idx="69">
                  <c:v>43371</c:v>
                </c:pt>
                <c:pt idx="70">
                  <c:v>43374</c:v>
                </c:pt>
                <c:pt idx="71">
                  <c:v>43375</c:v>
                </c:pt>
                <c:pt idx="72">
                  <c:v>43376</c:v>
                </c:pt>
                <c:pt idx="73">
                  <c:v>43377</c:v>
                </c:pt>
                <c:pt idx="74">
                  <c:v>43378</c:v>
                </c:pt>
                <c:pt idx="75">
                  <c:v>43381</c:v>
                </c:pt>
                <c:pt idx="76">
                  <c:v>43382</c:v>
                </c:pt>
                <c:pt idx="77">
                  <c:v>43383</c:v>
                </c:pt>
                <c:pt idx="78">
                  <c:v>43384</c:v>
                </c:pt>
                <c:pt idx="79">
                  <c:v>43385</c:v>
                </c:pt>
                <c:pt idx="80">
                  <c:v>43388</c:v>
                </c:pt>
                <c:pt idx="81">
                  <c:v>43389</c:v>
                </c:pt>
                <c:pt idx="82">
                  <c:v>43390</c:v>
                </c:pt>
                <c:pt idx="83">
                  <c:v>43391</c:v>
                </c:pt>
                <c:pt idx="84">
                  <c:v>43392</c:v>
                </c:pt>
                <c:pt idx="85">
                  <c:v>43395</c:v>
                </c:pt>
                <c:pt idx="86">
                  <c:v>43396</c:v>
                </c:pt>
                <c:pt idx="87">
                  <c:v>43397</c:v>
                </c:pt>
                <c:pt idx="88">
                  <c:v>43398</c:v>
                </c:pt>
                <c:pt idx="89">
                  <c:v>43399</c:v>
                </c:pt>
                <c:pt idx="90">
                  <c:v>43402</c:v>
                </c:pt>
                <c:pt idx="91">
                  <c:v>43403</c:v>
                </c:pt>
                <c:pt idx="92">
                  <c:v>43404</c:v>
                </c:pt>
                <c:pt idx="93">
                  <c:v>43405</c:v>
                </c:pt>
                <c:pt idx="94">
                  <c:v>43406</c:v>
                </c:pt>
                <c:pt idx="95">
                  <c:v>43409</c:v>
                </c:pt>
                <c:pt idx="96">
                  <c:v>43410</c:v>
                </c:pt>
                <c:pt idx="97">
                  <c:v>43411</c:v>
                </c:pt>
                <c:pt idx="98">
                  <c:v>43412</c:v>
                </c:pt>
                <c:pt idx="99">
                  <c:v>43413</c:v>
                </c:pt>
                <c:pt idx="100">
                  <c:v>43416</c:v>
                </c:pt>
                <c:pt idx="101">
                  <c:v>43417</c:v>
                </c:pt>
                <c:pt idx="102">
                  <c:v>43418</c:v>
                </c:pt>
                <c:pt idx="103">
                  <c:v>43419</c:v>
                </c:pt>
                <c:pt idx="104">
                  <c:v>43420</c:v>
                </c:pt>
                <c:pt idx="105">
                  <c:v>43423</c:v>
                </c:pt>
                <c:pt idx="106">
                  <c:v>43424</c:v>
                </c:pt>
                <c:pt idx="107">
                  <c:v>43425</c:v>
                </c:pt>
                <c:pt idx="108">
                  <c:v>43426</c:v>
                </c:pt>
                <c:pt idx="109">
                  <c:v>43427</c:v>
                </c:pt>
                <c:pt idx="110">
                  <c:v>43430</c:v>
                </c:pt>
                <c:pt idx="111">
                  <c:v>43431</c:v>
                </c:pt>
                <c:pt idx="112">
                  <c:v>43432</c:v>
                </c:pt>
                <c:pt idx="113">
                  <c:v>43433</c:v>
                </c:pt>
                <c:pt idx="114">
                  <c:v>43434</c:v>
                </c:pt>
                <c:pt idx="115">
                  <c:v>43437</c:v>
                </c:pt>
                <c:pt idx="116">
                  <c:v>43438</c:v>
                </c:pt>
                <c:pt idx="117">
                  <c:v>43439</c:v>
                </c:pt>
                <c:pt idx="118">
                  <c:v>43440</c:v>
                </c:pt>
                <c:pt idx="119">
                  <c:v>43441</c:v>
                </c:pt>
                <c:pt idx="120">
                  <c:v>43444</c:v>
                </c:pt>
                <c:pt idx="121">
                  <c:v>43445</c:v>
                </c:pt>
                <c:pt idx="122">
                  <c:v>43446</c:v>
                </c:pt>
                <c:pt idx="123">
                  <c:v>43447</c:v>
                </c:pt>
                <c:pt idx="124">
                  <c:v>43448</c:v>
                </c:pt>
                <c:pt idx="125">
                  <c:v>43451</c:v>
                </c:pt>
                <c:pt idx="126">
                  <c:v>43452</c:v>
                </c:pt>
                <c:pt idx="127">
                  <c:v>43453</c:v>
                </c:pt>
                <c:pt idx="128">
                  <c:v>43454</c:v>
                </c:pt>
                <c:pt idx="129">
                  <c:v>43455</c:v>
                </c:pt>
                <c:pt idx="130">
                  <c:v>43458</c:v>
                </c:pt>
                <c:pt idx="131">
                  <c:v>43460</c:v>
                </c:pt>
                <c:pt idx="132">
                  <c:v>43461</c:v>
                </c:pt>
                <c:pt idx="133">
                  <c:v>43462</c:v>
                </c:pt>
                <c:pt idx="134">
                  <c:v>43465</c:v>
                </c:pt>
                <c:pt idx="135">
                  <c:v>43467</c:v>
                </c:pt>
                <c:pt idx="136">
                  <c:v>43468</c:v>
                </c:pt>
                <c:pt idx="137">
                  <c:v>43469</c:v>
                </c:pt>
                <c:pt idx="138">
                  <c:v>43472</c:v>
                </c:pt>
                <c:pt idx="139">
                  <c:v>43473</c:v>
                </c:pt>
                <c:pt idx="140">
                  <c:v>43474</c:v>
                </c:pt>
                <c:pt idx="141">
                  <c:v>43475</c:v>
                </c:pt>
                <c:pt idx="142">
                  <c:v>43476</c:v>
                </c:pt>
                <c:pt idx="143">
                  <c:v>43479</c:v>
                </c:pt>
                <c:pt idx="144">
                  <c:v>43480</c:v>
                </c:pt>
                <c:pt idx="145">
                  <c:v>43481</c:v>
                </c:pt>
                <c:pt idx="146">
                  <c:v>43482</c:v>
                </c:pt>
                <c:pt idx="147">
                  <c:v>43483</c:v>
                </c:pt>
                <c:pt idx="148">
                  <c:v>43486</c:v>
                </c:pt>
                <c:pt idx="149">
                  <c:v>43487</c:v>
                </c:pt>
                <c:pt idx="150">
                  <c:v>43488</c:v>
                </c:pt>
                <c:pt idx="151">
                  <c:v>43489</c:v>
                </c:pt>
                <c:pt idx="152">
                  <c:v>43490</c:v>
                </c:pt>
                <c:pt idx="153">
                  <c:v>43493</c:v>
                </c:pt>
                <c:pt idx="154">
                  <c:v>43494</c:v>
                </c:pt>
                <c:pt idx="155">
                  <c:v>43495</c:v>
                </c:pt>
                <c:pt idx="156">
                  <c:v>43496</c:v>
                </c:pt>
                <c:pt idx="157">
                  <c:v>43497</c:v>
                </c:pt>
                <c:pt idx="158">
                  <c:v>43500</c:v>
                </c:pt>
                <c:pt idx="159">
                  <c:v>43501</c:v>
                </c:pt>
                <c:pt idx="160">
                  <c:v>43502</c:v>
                </c:pt>
                <c:pt idx="161">
                  <c:v>43503</c:v>
                </c:pt>
                <c:pt idx="162">
                  <c:v>43504</c:v>
                </c:pt>
                <c:pt idx="163">
                  <c:v>43507</c:v>
                </c:pt>
                <c:pt idx="164">
                  <c:v>43508</c:v>
                </c:pt>
                <c:pt idx="165">
                  <c:v>43509</c:v>
                </c:pt>
                <c:pt idx="166">
                  <c:v>43510</c:v>
                </c:pt>
                <c:pt idx="167">
                  <c:v>43511</c:v>
                </c:pt>
                <c:pt idx="168">
                  <c:v>43514</c:v>
                </c:pt>
                <c:pt idx="169">
                  <c:v>43515</c:v>
                </c:pt>
                <c:pt idx="170">
                  <c:v>43516</c:v>
                </c:pt>
                <c:pt idx="171">
                  <c:v>43517</c:v>
                </c:pt>
                <c:pt idx="172">
                  <c:v>43518</c:v>
                </c:pt>
                <c:pt idx="173">
                  <c:v>43521</c:v>
                </c:pt>
                <c:pt idx="174">
                  <c:v>43522</c:v>
                </c:pt>
                <c:pt idx="175">
                  <c:v>43523</c:v>
                </c:pt>
                <c:pt idx="176">
                  <c:v>43524</c:v>
                </c:pt>
                <c:pt idx="177">
                  <c:v>43525</c:v>
                </c:pt>
                <c:pt idx="178">
                  <c:v>43528</c:v>
                </c:pt>
                <c:pt idx="179">
                  <c:v>43529</c:v>
                </c:pt>
                <c:pt idx="180">
                  <c:v>43530</c:v>
                </c:pt>
                <c:pt idx="181">
                  <c:v>43531</c:v>
                </c:pt>
                <c:pt idx="182">
                  <c:v>43532</c:v>
                </c:pt>
                <c:pt idx="183">
                  <c:v>43535</c:v>
                </c:pt>
                <c:pt idx="184">
                  <c:v>43536</c:v>
                </c:pt>
                <c:pt idx="185">
                  <c:v>43537</c:v>
                </c:pt>
                <c:pt idx="186">
                  <c:v>43538</c:v>
                </c:pt>
                <c:pt idx="187">
                  <c:v>43539</c:v>
                </c:pt>
                <c:pt idx="188">
                  <c:v>43542</c:v>
                </c:pt>
                <c:pt idx="189">
                  <c:v>43543</c:v>
                </c:pt>
                <c:pt idx="190">
                  <c:v>43544</c:v>
                </c:pt>
                <c:pt idx="191">
                  <c:v>43545</c:v>
                </c:pt>
                <c:pt idx="192">
                  <c:v>43546</c:v>
                </c:pt>
                <c:pt idx="193">
                  <c:v>43549</c:v>
                </c:pt>
                <c:pt idx="194">
                  <c:v>43550</c:v>
                </c:pt>
                <c:pt idx="195">
                  <c:v>43551</c:v>
                </c:pt>
                <c:pt idx="196">
                  <c:v>43552</c:v>
                </c:pt>
                <c:pt idx="197">
                  <c:v>43553</c:v>
                </c:pt>
                <c:pt idx="198">
                  <c:v>43556</c:v>
                </c:pt>
                <c:pt idx="199">
                  <c:v>43557</c:v>
                </c:pt>
                <c:pt idx="200">
                  <c:v>43558</c:v>
                </c:pt>
                <c:pt idx="201">
                  <c:v>43559</c:v>
                </c:pt>
                <c:pt idx="202">
                  <c:v>43560</c:v>
                </c:pt>
                <c:pt idx="203">
                  <c:v>43563</c:v>
                </c:pt>
                <c:pt idx="204">
                  <c:v>43564</c:v>
                </c:pt>
                <c:pt idx="205">
                  <c:v>43565</c:v>
                </c:pt>
                <c:pt idx="206">
                  <c:v>43566</c:v>
                </c:pt>
                <c:pt idx="207">
                  <c:v>43567</c:v>
                </c:pt>
                <c:pt idx="208">
                  <c:v>43570</c:v>
                </c:pt>
                <c:pt idx="209">
                  <c:v>43571</c:v>
                </c:pt>
                <c:pt idx="210">
                  <c:v>43572</c:v>
                </c:pt>
                <c:pt idx="211">
                  <c:v>43573</c:v>
                </c:pt>
                <c:pt idx="212">
                  <c:v>43578</c:v>
                </c:pt>
                <c:pt idx="213">
                  <c:v>43579</c:v>
                </c:pt>
                <c:pt idx="214">
                  <c:v>43580</c:v>
                </c:pt>
                <c:pt idx="215">
                  <c:v>43581</c:v>
                </c:pt>
                <c:pt idx="216">
                  <c:v>43584</c:v>
                </c:pt>
                <c:pt idx="217">
                  <c:v>43585</c:v>
                </c:pt>
                <c:pt idx="218">
                  <c:v>43586</c:v>
                </c:pt>
                <c:pt idx="219">
                  <c:v>43587</c:v>
                </c:pt>
                <c:pt idx="220">
                  <c:v>43588</c:v>
                </c:pt>
                <c:pt idx="221">
                  <c:v>43591</c:v>
                </c:pt>
                <c:pt idx="222">
                  <c:v>43592</c:v>
                </c:pt>
                <c:pt idx="223">
                  <c:v>43593</c:v>
                </c:pt>
                <c:pt idx="224">
                  <c:v>43594</c:v>
                </c:pt>
                <c:pt idx="225">
                  <c:v>43595</c:v>
                </c:pt>
                <c:pt idx="226">
                  <c:v>43598</c:v>
                </c:pt>
                <c:pt idx="227">
                  <c:v>43599</c:v>
                </c:pt>
                <c:pt idx="228">
                  <c:v>43600</c:v>
                </c:pt>
                <c:pt idx="229">
                  <c:v>43601</c:v>
                </c:pt>
                <c:pt idx="230">
                  <c:v>43602</c:v>
                </c:pt>
                <c:pt idx="231">
                  <c:v>43605</c:v>
                </c:pt>
                <c:pt idx="232">
                  <c:v>43606</c:v>
                </c:pt>
                <c:pt idx="233">
                  <c:v>43607</c:v>
                </c:pt>
                <c:pt idx="234">
                  <c:v>43608</c:v>
                </c:pt>
                <c:pt idx="235">
                  <c:v>43609</c:v>
                </c:pt>
                <c:pt idx="236">
                  <c:v>43612</c:v>
                </c:pt>
                <c:pt idx="237">
                  <c:v>43613</c:v>
                </c:pt>
                <c:pt idx="238">
                  <c:v>43614</c:v>
                </c:pt>
                <c:pt idx="239">
                  <c:v>43615</c:v>
                </c:pt>
                <c:pt idx="240">
                  <c:v>43616</c:v>
                </c:pt>
                <c:pt idx="241">
                  <c:v>43619</c:v>
                </c:pt>
                <c:pt idx="242">
                  <c:v>43620</c:v>
                </c:pt>
                <c:pt idx="243">
                  <c:v>43621</c:v>
                </c:pt>
                <c:pt idx="244">
                  <c:v>43622</c:v>
                </c:pt>
                <c:pt idx="245">
                  <c:v>43623</c:v>
                </c:pt>
                <c:pt idx="246">
                  <c:v>43626</c:v>
                </c:pt>
                <c:pt idx="247">
                  <c:v>43627</c:v>
                </c:pt>
                <c:pt idx="248">
                  <c:v>43628</c:v>
                </c:pt>
                <c:pt idx="249">
                  <c:v>43629</c:v>
                </c:pt>
                <c:pt idx="250">
                  <c:v>43630</c:v>
                </c:pt>
                <c:pt idx="251">
                  <c:v>43633</c:v>
                </c:pt>
                <c:pt idx="252">
                  <c:v>43634</c:v>
                </c:pt>
                <c:pt idx="253">
                  <c:v>43635</c:v>
                </c:pt>
                <c:pt idx="254">
                  <c:v>43636</c:v>
                </c:pt>
                <c:pt idx="255">
                  <c:v>43637</c:v>
                </c:pt>
                <c:pt idx="256">
                  <c:v>43640</c:v>
                </c:pt>
                <c:pt idx="257">
                  <c:v>43641</c:v>
                </c:pt>
                <c:pt idx="258">
                  <c:v>43642</c:v>
                </c:pt>
                <c:pt idx="259">
                  <c:v>43643</c:v>
                </c:pt>
                <c:pt idx="260">
                  <c:v>43644</c:v>
                </c:pt>
                <c:pt idx="261">
                  <c:v>43647</c:v>
                </c:pt>
                <c:pt idx="262">
                  <c:v>43648</c:v>
                </c:pt>
                <c:pt idx="263">
                  <c:v>43649</c:v>
                </c:pt>
                <c:pt idx="264">
                  <c:v>43650</c:v>
                </c:pt>
                <c:pt idx="265">
                  <c:v>43651</c:v>
                </c:pt>
                <c:pt idx="266">
                  <c:v>43654</c:v>
                </c:pt>
                <c:pt idx="267">
                  <c:v>43655</c:v>
                </c:pt>
                <c:pt idx="268">
                  <c:v>43656</c:v>
                </c:pt>
                <c:pt idx="269">
                  <c:v>43657</c:v>
                </c:pt>
                <c:pt idx="270">
                  <c:v>43658</c:v>
                </c:pt>
                <c:pt idx="271">
                  <c:v>43661</c:v>
                </c:pt>
                <c:pt idx="272">
                  <c:v>43662</c:v>
                </c:pt>
              </c:numCache>
            </c:numRef>
          </c:cat>
          <c:val>
            <c:numRef>
              <c:f>Sheet1!$C$2:$C$274</c:f>
              <c:numCache>
                <c:formatCode>General</c:formatCode>
                <c:ptCount val="273"/>
                <c:pt idx="5" formatCode="#,##0">
                  <c:v>3455</c:v>
                </c:pt>
                <c:pt idx="6" formatCode="#,##0">
                  <c:v>3485</c:v>
                </c:pt>
                <c:pt idx="7" formatCode="#,##0">
                  <c:v>3500</c:v>
                </c:pt>
                <c:pt idx="8" formatCode="#,##0">
                  <c:v>3430</c:v>
                </c:pt>
                <c:pt idx="9" formatCode="#,##0">
                  <c:v>3430</c:v>
                </c:pt>
                <c:pt idx="10" formatCode="#,##0">
                  <c:v>3430</c:v>
                </c:pt>
                <c:pt idx="11" formatCode="#,##0">
                  <c:v>3415</c:v>
                </c:pt>
                <c:pt idx="12" formatCode="#,##0">
                  <c:v>3415</c:v>
                </c:pt>
                <c:pt idx="13" formatCode="#,##0">
                  <c:v>3415</c:v>
                </c:pt>
                <c:pt idx="14" formatCode="#,##0">
                  <c:v>3425</c:v>
                </c:pt>
                <c:pt idx="15" formatCode="#,##0">
                  <c:v>3425</c:v>
                </c:pt>
                <c:pt idx="16" formatCode="#,##0">
                  <c:v>3440</c:v>
                </c:pt>
                <c:pt idx="17" formatCode="#,##0">
                  <c:v>3450</c:v>
                </c:pt>
                <c:pt idx="18" formatCode="#,##0">
                  <c:v>3440</c:v>
                </c:pt>
                <c:pt idx="19" formatCode="#,##0">
                  <c:v>3440</c:v>
                </c:pt>
                <c:pt idx="20" formatCode="#,##0">
                  <c:v>3440</c:v>
                </c:pt>
                <c:pt idx="21" formatCode="#,##0">
                  <c:v>3515</c:v>
                </c:pt>
                <c:pt idx="22" formatCode="#,##0">
                  <c:v>3560</c:v>
                </c:pt>
                <c:pt idx="23" formatCode="#,##0">
                  <c:v>3570</c:v>
                </c:pt>
                <c:pt idx="24" formatCode="#,##0">
                  <c:v>3585</c:v>
                </c:pt>
                <c:pt idx="25" formatCode="#,##0">
                  <c:v>3615</c:v>
                </c:pt>
                <c:pt idx="26" formatCode="#,##0">
                  <c:v>3625</c:v>
                </c:pt>
                <c:pt idx="27" formatCode="#,##0">
                  <c:v>3195</c:v>
                </c:pt>
                <c:pt idx="28" formatCode="#,##0">
                  <c:v>3205</c:v>
                </c:pt>
                <c:pt idx="29" formatCode="#,##0">
                  <c:v>3225</c:v>
                </c:pt>
                <c:pt idx="30" formatCode="#,##0">
                  <c:v>3225</c:v>
                </c:pt>
                <c:pt idx="31" formatCode="#,##0">
                  <c:v>3225</c:v>
                </c:pt>
                <c:pt idx="32" formatCode="#,##0">
                  <c:v>3225</c:v>
                </c:pt>
                <c:pt idx="33" formatCode="#,##0">
                  <c:v>3225</c:v>
                </c:pt>
                <c:pt idx="34" formatCode="#,##0">
                  <c:v>3225</c:v>
                </c:pt>
                <c:pt idx="35" formatCode="#,##0">
                  <c:v>3225</c:v>
                </c:pt>
                <c:pt idx="36" formatCode="#,##0">
                  <c:v>3225</c:v>
                </c:pt>
                <c:pt idx="37" formatCode="#,##0">
                  <c:v>3315</c:v>
                </c:pt>
                <c:pt idx="38" formatCode="#,##0">
                  <c:v>3345</c:v>
                </c:pt>
                <c:pt idx="39" formatCode="#,##0">
                  <c:v>3375</c:v>
                </c:pt>
                <c:pt idx="40" formatCode="#,##0">
                  <c:v>3375</c:v>
                </c:pt>
                <c:pt idx="41" formatCode="#,##0">
                  <c:v>3375</c:v>
                </c:pt>
                <c:pt idx="42" formatCode="#,##0">
                  <c:v>3390</c:v>
                </c:pt>
                <c:pt idx="43" formatCode="#,##0">
                  <c:v>3390</c:v>
                </c:pt>
                <c:pt idx="44" formatCode="#,##0">
                  <c:v>3390</c:v>
                </c:pt>
                <c:pt idx="45" formatCode="#,##0">
                  <c:v>3435</c:v>
                </c:pt>
                <c:pt idx="46" formatCode="#,##0">
                  <c:v>3435</c:v>
                </c:pt>
                <c:pt idx="47" formatCode="#,##0">
                  <c:v>3435</c:v>
                </c:pt>
                <c:pt idx="48" formatCode="#,##0">
                  <c:v>3435</c:v>
                </c:pt>
                <c:pt idx="49" formatCode="#,##0">
                  <c:v>3480</c:v>
                </c:pt>
                <c:pt idx="50" formatCode="#,##0">
                  <c:v>2970</c:v>
                </c:pt>
                <c:pt idx="51" formatCode="#,##0">
                  <c:v>2985</c:v>
                </c:pt>
                <c:pt idx="52" formatCode="#,##0">
                  <c:v>2985</c:v>
                </c:pt>
                <c:pt idx="53" formatCode="#,##0">
                  <c:v>2985</c:v>
                </c:pt>
                <c:pt idx="54" formatCode="#,##0">
                  <c:v>3015</c:v>
                </c:pt>
                <c:pt idx="55" formatCode="#,##0">
                  <c:v>3020</c:v>
                </c:pt>
                <c:pt idx="56" formatCode="#,##0">
                  <c:v>3095</c:v>
                </c:pt>
                <c:pt idx="57" formatCode="#,##0">
                  <c:v>3110</c:v>
                </c:pt>
                <c:pt idx="58" formatCode="#,##0">
                  <c:v>3440</c:v>
                </c:pt>
                <c:pt idx="59" formatCode="#,##0">
                  <c:v>3420</c:v>
                </c:pt>
                <c:pt idx="60" formatCode="#,##0">
                  <c:v>3650</c:v>
                </c:pt>
                <c:pt idx="61" formatCode="#,##0">
                  <c:v>3710</c:v>
                </c:pt>
                <c:pt idx="62" formatCode="#,##0">
                  <c:v>3980</c:v>
                </c:pt>
                <c:pt idx="63" formatCode="#,##0">
                  <c:v>4490</c:v>
                </c:pt>
                <c:pt idx="64" formatCode="#,##0">
                  <c:v>4500</c:v>
                </c:pt>
                <c:pt idx="65" formatCode="#,##0">
                  <c:v>4630</c:v>
                </c:pt>
                <c:pt idx="66" formatCode="#,##0">
                  <c:v>4670</c:v>
                </c:pt>
                <c:pt idx="67" formatCode="#,##0">
                  <c:v>4740</c:v>
                </c:pt>
                <c:pt idx="68" formatCode="#,##0">
                  <c:v>5175</c:v>
                </c:pt>
                <c:pt idx="69" formatCode="#,##0">
                  <c:v>5275</c:v>
                </c:pt>
                <c:pt idx="70" formatCode="#,##0">
                  <c:v>4605</c:v>
                </c:pt>
                <c:pt idx="71" formatCode="#,##0">
                  <c:v>4645</c:v>
                </c:pt>
                <c:pt idx="72" formatCode="#,##0">
                  <c:v>4895</c:v>
                </c:pt>
                <c:pt idx="73" formatCode="#,##0">
                  <c:v>4875</c:v>
                </c:pt>
                <c:pt idx="74" formatCode="#,##0">
                  <c:v>5040</c:v>
                </c:pt>
                <c:pt idx="75" formatCode="#,##0">
                  <c:v>5395</c:v>
                </c:pt>
                <c:pt idx="76" formatCode="#,##0">
                  <c:v>5350</c:v>
                </c:pt>
                <c:pt idx="77" formatCode="#,##0">
                  <c:v>5545</c:v>
                </c:pt>
                <c:pt idx="78" formatCode="#,##0">
                  <c:v>6755</c:v>
                </c:pt>
                <c:pt idx="79" formatCode="#,##0">
                  <c:v>6765</c:v>
                </c:pt>
                <c:pt idx="80" formatCode="#,##0">
                  <c:v>6770</c:v>
                </c:pt>
                <c:pt idx="81" formatCode="#,##0">
                  <c:v>6775</c:v>
                </c:pt>
                <c:pt idx="82" formatCode="#,##0">
                  <c:v>6775</c:v>
                </c:pt>
                <c:pt idx="83" formatCode="#,##0">
                  <c:v>6940</c:v>
                </c:pt>
                <c:pt idx="84" formatCode="#,##0">
                  <c:v>7215</c:v>
                </c:pt>
                <c:pt idx="85" formatCode="#,##0">
                  <c:v>7215</c:v>
                </c:pt>
                <c:pt idx="86" formatCode="#,##0">
                  <c:v>7240</c:v>
                </c:pt>
                <c:pt idx="87" formatCode="#,##0">
                  <c:v>7240</c:v>
                </c:pt>
                <c:pt idx="88" formatCode="#,##0">
                  <c:v>7240</c:v>
                </c:pt>
                <c:pt idx="89" formatCode="#,##0">
                  <c:v>7465</c:v>
                </c:pt>
                <c:pt idx="90" formatCode="#,##0">
                  <c:v>7430</c:v>
                </c:pt>
                <c:pt idx="91" formatCode="#,##0">
                  <c:v>7430</c:v>
                </c:pt>
                <c:pt idx="92" formatCode="#,##0">
                  <c:v>7430</c:v>
                </c:pt>
                <c:pt idx="93" formatCode="#,##0">
                  <c:v>6315</c:v>
                </c:pt>
                <c:pt idx="94" formatCode="#,##0">
                  <c:v>6315</c:v>
                </c:pt>
                <c:pt idx="95" formatCode="#,##0">
                  <c:v>6390</c:v>
                </c:pt>
                <c:pt idx="96" formatCode="#,##0">
                  <c:v>6390</c:v>
                </c:pt>
                <c:pt idx="97" formatCode="#,##0">
                  <c:v>6415</c:v>
                </c:pt>
                <c:pt idx="98" formatCode="#,##0">
                  <c:v>6625</c:v>
                </c:pt>
                <c:pt idx="99" formatCode="#,##0">
                  <c:v>6635</c:v>
                </c:pt>
                <c:pt idx="100" formatCode="#,##0">
                  <c:v>6695</c:v>
                </c:pt>
                <c:pt idx="101" formatCode="#,##0">
                  <c:v>6815</c:v>
                </c:pt>
                <c:pt idx="102" formatCode="#,##0">
                  <c:v>6980</c:v>
                </c:pt>
                <c:pt idx="103" formatCode="#,##0">
                  <c:v>7010</c:v>
                </c:pt>
                <c:pt idx="104" formatCode="#,##0">
                  <c:v>7075</c:v>
                </c:pt>
                <c:pt idx="105" formatCode="#,##0">
                  <c:v>7060</c:v>
                </c:pt>
                <c:pt idx="106" formatCode="#,##0">
                  <c:v>7075</c:v>
                </c:pt>
                <c:pt idx="107" formatCode="#,##0">
                  <c:v>7195</c:v>
                </c:pt>
                <c:pt idx="108" formatCode="#,##0">
                  <c:v>7320</c:v>
                </c:pt>
                <c:pt idx="109" formatCode="#,##0">
                  <c:v>7335</c:v>
                </c:pt>
                <c:pt idx="110" formatCode="#,##0">
                  <c:v>7395</c:v>
                </c:pt>
                <c:pt idx="111" formatCode="#,##0">
                  <c:v>7395</c:v>
                </c:pt>
                <c:pt idx="112" formatCode="#,##0">
                  <c:v>7395</c:v>
                </c:pt>
                <c:pt idx="113" formatCode="#,##0">
                  <c:v>7485</c:v>
                </c:pt>
                <c:pt idx="114" formatCode="#,##0">
                  <c:v>7485</c:v>
                </c:pt>
                <c:pt idx="115" formatCode="#,##0">
                  <c:v>6655</c:v>
                </c:pt>
                <c:pt idx="116" formatCode="#,##0">
                  <c:v>6655</c:v>
                </c:pt>
                <c:pt idx="117" formatCode="#,##0">
                  <c:v>6715</c:v>
                </c:pt>
                <c:pt idx="118" formatCode="#,##0">
                  <c:v>6775</c:v>
                </c:pt>
                <c:pt idx="119" formatCode="#,##0">
                  <c:v>6775</c:v>
                </c:pt>
                <c:pt idx="120" formatCode="#,##0">
                  <c:v>6775</c:v>
                </c:pt>
                <c:pt idx="121" formatCode="#,##0">
                  <c:v>6780</c:v>
                </c:pt>
                <c:pt idx="122" formatCode="#,##0">
                  <c:v>6785</c:v>
                </c:pt>
                <c:pt idx="123" formatCode="#,##0">
                  <c:v>6785</c:v>
                </c:pt>
                <c:pt idx="124" formatCode="#,##0">
                  <c:v>6815</c:v>
                </c:pt>
                <c:pt idx="125" formatCode="#,##0">
                  <c:v>6825</c:v>
                </c:pt>
                <c:pt idx="126" formatCode="#,##0">
                  <c:v>6795</c:v>
                </c:pt>
                <c:pt idx="127" formatCode="#,##0">
                  <c:v>6795</c:v>
                </c:pt>
                <c:pt idx="128" formatCode="#,##0">
                  <c:v>6795</c:v>
                </c:pt>
                <c:pt idx="129" formatCode="#,##0">
                  <c:v>6795</c:v>
                </c:pt>
                <c:pt idx="130" formatCode="#,##0">
                  <c:v>6795</c:v>
                </c:pt>
                <c:pt idx="131" formatCode="#,##0">
                  <c:v>6795</c:v>
                </c:pt>
                <c:pt idx="132" formatCode="#,##0">
                  <c:v>6795</c:v>
                </c:pt>
                <c:pt idx="133" formatCode="#,##0">
                  <c:v>6030</c:v>
                </c:pt>
                <c:pt idx="134" formatCode="#,##0">
                  <c:v>6030</c:v>
                </c:pt>
                <c:pt idx="135" formatCode="#,##0">
                  <c:v>6030</c:v>
                </c:pt>
                <c:pt idx="136" formatCode="#,##0">
                  <c:v>6045</c:v>
                </c:pt>
                <c:pt idx="137" formatCode="#,##0">
                  <c:v>6075</c:v>
                </c:pt>
                <c:pt idx="138" formatCode="#,##0">
                  <c:v>6075</c:v>
                </c:pt>
                <c:pt idx="139" formatCode="#,##0">
                  <c:v>6075</c:v>
                </c:pt>
                <c:pt idx="140" formatCode="#,##0">
                  <c:v>6135</c:v>
                </c:pt>
                <c:pt idx="141" formatCode="#,##0">
                  <c:v>6270</c:v>
                </c:pt>
                <c:pt idx="142" formatCode="#,##0">
                  <c:v>6270</c:v>
                </c:pt>
                <c:pt idx="143" formatCode="#,##0">
                  <c:v>6270</c:v>
                </c:pt>
                <c:pt idx="144" formatCode="#,##0">
                  <c:v>6270</c:v>
                </c:pt>
                <c:pt idx="145" formatCode="#,##0">
                  <c:v>6270</c:v>
                </c:pt>
                <c:pt idx="146" formatCode="#,##0">
                  <c:v>6270</c:v>
                </c:pt>
                <c:pt idx="147" formatCode="#,##0">
                  <c:v>6335</c:v>
                </c:pt>
                <c:pt idx="148" formatCode="#,##0">
                  <c:v>6665</c:v>
                </c:pt>
                <c:pt idx="149" formatCode="#,##0">
                  <c:v>6665</c:v>
                </c:pt>
                <c:pt idx="150" formatCode="#,##0">
                  <c:v>6665</c:v>
                </c:pt>
                <c:pt idx="151" formatCode="#,##0">
                  <c:v>6665</c:v>
                </c:pt>
                <c:pt idx="152" formatCode="#,##0">
                  <c:v>6665</c:v>
                </c:pt>
                <c:pt idx="153" formatCode="#,##0">
                  <c:v>6665</c:v>
                </c:pt>
                <c:pt idx="154" formatCode="#,##0">
                  <c:v>6665</c:v>
                </c:pt>
                <c:pt idx="155" formatCode="#,##0">
                  <c:v>6665</c:v>
                </c:pt>
                <c:pt idx="156" formatCode="#,##0">
                  <c:v>6665</c:v>
                </c:pt>
                <c:pt idx="157" formatCode="#,##0">
                  <c:v>6215</c:v>
                </c:pt>
                <c:pt idx="158" formatCode="#,##0">
                  <c:v>6245</c:v>
                </c:pt>
                <c:pt idx="159" formatCode="#,##0">
                  <c:v>6250</c:v>
                </c:pt>
                <c:pt idx="160" formatCode="#,##0">
                  <c:v>6340</c:v>
                </c:pt>
                <c:pt idx="161" formatCode="#,##0">
                  <c:v>6335</c:v>
                </c:pt>
                <c:pt idx="162" formatCode="#,##0">
                  <c:v>6380</c:v>
                </c:pt>
                <c:pt idx="163" formatCode="#,##0">
                  <c:v>6380</c:v>
                </c:pt>
                <c:pt idx="164" formatCode="#,##0">
                  <c:v>6380</c:v>
                </c:pt>
                <c:pt idx="165" formatCode="#,##0">
                  <c:v>6380</c:v>
                </c:pt>
                <c:pt idx="166" formatCode="#,##0">
                  <c:v>6380</c:v>
                </c:pt>
                <c:pt idx="167" formatCode="#,##0">
                  <c:v>6380</c:v>
                </c:pt>
                <c:pt idx="168" formatCode="#,##0">
                  <c:v>6380</c:v>
                </c:pt>
                <c:pt idx="169" formatCode="#,##0">
                  <c:v>6380</c:v>
                </c:pt>
                <c:pt idx="170" formatCode="#,##0">
                  <c:v>6440</c:v>
                </c:pt>
                <c:pt idx="171" formatCode="#,##0">
                  <c:v>6500</c:v>
                </c:pt>
                <c:pt idx="172" formatCode="#,##0">
                  <c:v>6550</c:v>
                </c:pt>
                <c:pt idx="173" formatCode="#,##0">
                  <c:v>6550</c:v>
                </c:pt>
                <c:pt idx="174" formatCode="#,##0">
                  <c:v>6550</c:v>
                </c:pt>
                <c:pt idx="175" formatCode="#,##0">
                  <c:v>6655</c:v>
                </c:pt>
                <c:pt idx="176" formatCode="#,##0">
                  <c:v>6715</c:v>
                </c:pt>
                <c:pt idx="177" formatCode="#,##0">
                  <c:v>6205</c:v>
                </c:pt>
                <c:pt idx="178" formatCode="#,##0">
                  <c:v>6215</c:v>
                </c:pt>
                <c:pt idx="179" formatCode="#,##0">
                  <c:v>6265</c:v>
                </c:pt>
                <c:pt idx="180" formatCode="#,##0">
                  <c:v>6250</c:v>
                </c:pt>
                <c:pt idx="181" formatCode="#,##0">
                  <c:v>6265</c:v>
                </c:pt>
                <c:pt idx="182" formatCode="#,##0">
                  <c:v>6415</c:v>
                </c:pt>
                <c:pt idx="183" formatCode="#,##0">
                  <c:v>6375</c:v>
                </c:pt>
                <c:pt idx="184" formatCode="#,##0">
                  <c:v>6375</c:v>
                </c:pt>
                <c:pt idx="185" formatCode="#,##0">
                  <c:v>6385</c:v>
                </c:pt>
                <c:pt idx="186" formatCode="#,##0">
                  <c:v>6385</c:v>
                </c:pt>
                <c:pt idx="187" formatCode="#,##0">
                  <c:v>6445</c:v>
                </c:pt>
                <c:pt idx="188" formatCode="#,##0">
                  <c:v>6565</c:v>
                </c:pt>
                <c:pt idx="189" formatCode="#,##0">
                  <c:v>6515</c:v>
                </c:pt>
                <c:pt idx="190" formatCode="#,##0">
                  <c:v>6510</c:v>
                </c:pt>
                <c:pt idx="191" formatCode="#,##0">
                  <c:v>6510</c:v>
                </c:pt>
                <c:pt idx="192" formatCode="#,##0">
                  <c:v>6540</c:v>
                </c:pt>
                <c:pt idx="193" formatCode="#,##0">
                  <c:v>7980</c:v>
                </c:pt>
                <c:pt idx="194" formatCode="#,##0">
                  <c:v>8040</c:v>
                </c:pt>
                <c:pt idx="195" formatCode="#,##0">
                  <c:v>8055</c:v>
                </c:pt>
                <c:pt idx="196" formatCode="#,##0">
                  <c:v>8145</c:v>
                </c:pt>
                <c:pt idx="197" formatCode="#,##0">
                  <c:v>8190</c:v>
                </c:pt>
                <c:pt idx="198" formatCode="#,##0">
                  <c:v>7815</c:v>
                </c:pt>
                <c:pt idx="199" formatCode="#,##0">
                  <c:v>7805</c:v>
                </c:pt>
                <c:pt idx="200" formatCode="#,##0">
                  <c:v>8370</c:v>
                </c:pt>
                <c:pt idx="201" formatCode="#,##0">
                  <c:v>8395</c:v>
                </c:pt>
                <c:pt idx="202" formatCode="#,##0">
                  <c:v>8410</c:v>
                </c:pt>
                <c:pt idx="203" formatCode="#,##0">
                  <c:v>8410</c:v>
                </c:pt>
                <c:pt idx="204" formatCode="#,##0">
                  <c:v>8410</c:v>
                </c:pt>
                <c:pt idx="205" formatCode="#,##0">
                  <c:v>8410</c:v>
                </c:pt>
                <c:pt idx="206" formatCode="#,##0">
                  <c:v>8410</c:v>
                </c:pt>
                <c:pt idx="207" formatCode="#,##0">
                  <c:v>8410</c:v>
                </c:pt>
                <c:pt idx="208" formatCode="#,##0">
                  <c:v>8410</c:v>
                </c:pt>
                <c:pt idx="209" formatCode="#,##0">
                  <c:v>8410</c:v>
                </c:pt>
                <c:pt idx="210" formatCode="#,##0">
                  <c:v>8425</c:v>
                </c:pt>
                <c:pt idx="211" formatCode="#,##0">
                  <c:v>8470</c:v>
                </c:pt>
                <c:pt idx="212" formatCode="#,##0">
                  <c:v>8470</c:v>
                </c:pt>
                <c:pt idx="213" formatCode="#,##0">
                  <c:v>8530</c:v>
                </c:pt>
                <c:pt idx="214" formatCode="#,##0">
                  <c:v>8560</c:v>
                </c:pt>
                <c:pt idx="215" formatCode="#,##0">
                  <c:v>8620</c:v>
                </c:pt>
                <c:pt idx="216">
                  <c:v>8785</c:v>
                </c:pt>
                <c:pt idx="217">
                  <c:v>8915</c:v>
                </c:pt>
                <c:pt idx="218">
                  <c:v>8280</c:v>
                </c:pt>
                <c:pt idx="219">
                  <c:v>8290</c:v>
                </c:pt>
                <c:pt idx="220">
                  <c:v>8290</c:v>
                </c:pt>
                <c:pt idx="221">
                  <c:v>8305</c:v>
                </c:pt>
                <c:pt idx="222">
                  <c:v>8305</c:v>
                </c:pt>
                <c:pt idx="223">
                  <c:v>8315</c:v>
                </c:pt>
                <c:pt idx="224">
                  <c:v>8310</c:v>
                </c:pt>
                <c:pt idx="225">
                  <c:v>8315</c:v>
                </c:pt>
                <c:pt idx="226">
                  <c:v>8325</c:v>
                </c:pt>
                <c:pt idx="227">
                  <c:v>8325</c:v>
                </c:pt>
                <c:pt idx="228">
                  <c:v>8340</c:v>
                </c:pt>
                <c:pt idx="229">
                  <c:v>8340</c:v>
                </c:pt>
                <c:pt idx="230">
                  <c:v>8400</c:v>
                </c:pt>
                <c:pt idx="231">
                  <c:v>8405</c:v>
                </c:pt>
                <c:pt idx="232">
                  <c:v>8405</c:v>
                </c:pt>
                <c:pt idx="233">
                  <c:v>8405</c:v>
                </c:pt>
                <c:pt idx="234">
                  <c:v>8405</c:v>
                </c:pt>
                <c:pt idx="235">
                  <c:v>8500</c:v>
                </c:pt>
                <c:pt idx="236">
                  <c:v>8500</c:v>
                </c:pt>
                <c:pt idx="237">
                  <c:v>8500</c:v>
                </c:pt>
                <c:pt idx="238">
                  <c:v>8500</c:v>
                </c:pt>
                <c:pt idx="239">
                  <c:v>8500</c:v>
                </c:pt>
                <c:pt idx="240">
                  <c:v>8510</c:v>
                </c:pt>
                <c:pt idx="241">
                  <c:v>7345</c:v>
                </c:pt>
                <c:pt idx="242">
                  <c:v>7345</c:v>
                </c:pt>
                <c:pt idx="243">
                  <c:v>7460</c:v>
                </c:pt>
                <c:pt idx="244">
                  <c:v>7520</c:v>
                </c:pt>
                <c:pt idx="245">
                  <c:v>7470</c:v>
                </c:pt>
                <c:pt idx="246">
                  <c:v>7470</c:v>
                </c:pt>
                <c:pt idx="247">
                  <c:v>7470</c:v>
                </c:pt>
                <c:pt idx="248">
                  <c:v>7470</c:v>
                </c:pt>
                <c:pt idx="249">
                  <c:v>7470</c:v>
                </c:pt>
                <c:pt idx="250">
                  <c:v>7625</c:v>
                </c:pt>
                <c:pt idx="251">
                  <c:v>7505</c:v>
                </c:pt>
                <c:pt idx="252">
                  <c:v>7515</c:v>
                </c:pt>
                <c:pt idx="253">
                  <c:v>7515</c:v>
                </c:pt>
                <c:pt idx="254">
                  <c:v>7515</c:v>
                </c:pt>
                <c:pt idx="255">
                  <c:v>7580</c:v>
                </c:pt>
                <c:pt idx="256">
                  <c:v>7580</c:v>
                </c:pt>
                <c:pt idx="257">
                  <c:v>7685</c:v>
                </c:pt>
                <c:pt idx="258">
                  <c:v>7685</c:v>
                </c:pt>
                <c:pt idx="259">
                  <c:v>7685</c:v>
                </c:pt>
                <c:pt idx="260">
                  <c:v>7685</c:v>
                </c:pt>
                <c:pt idx="261">
                  <c:v>7215</c:v>
                </c:pt>
                <c:pt idx="262">
                  <c:v>7065</c:v>
                </c:pt>
              </c:numCache>
            </c:numRef>
          </c:val>
          <c:smooth val="0"/>
          <c:extLst xmlns:c16r2="http://schemas.microsoft.com/office/drawing/2015/06/chart">
            <c:ext xmlns:c16="http://schemas.microsoft.com/office/drawing/2014/chart" uri="{C3380CC4-5D6E-409C-BE32-E72D297353CC}">
              <c16:uniqueId val="{00000001-244E-4DBA-B364-49EA19987659}"/>
            </c:ext>
          </c:extLst>
        </c:ser>
        <c:dLbls>
          <c:showLegendKey val="0"/>
          <c:showVal val="0"/>
          <c:showCatName val="0"/>
          <c:showSerName val="0"/>
          <c:showPercent val="0"/>
          <c:showBubbleSize val="0"/>
        </c:dLbls>
        <c:smooth val="0"/>
        <c:axId val="326745144"/>
        <c:axId val="326745536"/>
      </c:lineChart>
      <c:dateAx>
        <c:axId val="326745144"/>
        <c:scaling>
          <c:orientation val="minMax"/>
        </c:scaling>
        <c:delete val="0"/>
        <c:axPos val="b"/>
        <c:numFmt formatCode="m/d/yyyy" sourceLinked="1"/>
        <c:majorTickMark val="in"/>
        <c:minorTickMark val="none"/>
        <c:tickLblPos val="nextTo"/>
        <c:spPr>
          <a:noFill/>
          <a:ln w="9525" cap="flat" cmpd="sng" algn="ctr">
            <a:solidFill>
              <a:schemeClr val="bg2"/>
            </a:solidFill>
            <a:round/>
          </a:ln>
          <a:effectLst/>
        </c:spPr>
        <c:txPr>
          <a:bodyPr rot="0" spcFirstLastPara="1" vertOverflow="ellipsis" wrap="square" anchor="ctr" anchorCtr="1"/>
          <a:lstStyle/>
          <a:p>
            <a:pPr>
              <a:defRPr sz="800" b="0" i="0" u="none" strike="noStrike" kern="1200" baseline="0">
                <a:solidFill>
                  <a:schemeClr val="bg1">
                    <a:lumMod val="65000"/>
                  </a:schemeClr>
                </a:solidFill>
                <a:latin typeface="+mn-lt"/>
                <a:ea typeface="+mn-ea"/>
                <a:cs typeface="+mn-cs"/>
              </a:defRPr>
            </a:pPr>
            <a:endParaRPr lang="en-US"/>
          </a:p>
        </c:txPr>
        <c:crossAx val="326745536"/>
        <c:crosses val="autoZero"/>
        <c:auto val="1"/>
        <c:lblOffset val="100"/>
        <c:baseTimeUnit val="days"/>
        <c:majorUnit val="2"/>
        <c:majorTimeUnit val="months"/>
      </c:dateAx>
      <c:valAx>
        <c:axId val="326745536"/>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en-US"/>
          </a:p>
        </c:txPr>
        <c:crossAx val="326745144"/>
        <c:crosses val="autoZero"/>
        <c:crossBetween val="midCat"/>
      </c:valAx>
      <c:spPr>
        <a:noFill/>
        <a:ln>
          <a:solidFill>
            <a:schemeClr val="bg2"/>
          </a:solidFill>
        </a:ln>
        <a:effectLst/>
      </c:spPr>
    </c:plotArea>
    <c:legend>
      <c:legendPos val="r"/>
      <c:layout>
        <c:manualLayout>
          <c:xMode val="edge"/>
          <c:yMode val="edge"/>
          <c:x val="0.8353196358267716"/>
          <c:y val="9.7815016128505378E-2"/>
          <c:w val="0.15196136811023622"/>
          <c:h val="9.592469882352984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en-US"/>
        </a:p>
      </c:txPr>
    </c:legend>
    <c:plotVisOnly val="1"/>
    <c:dispBlanksAs val="gap"/>
    <c:showDLblsOverMax val="0"/>
  </c:chart>
  <c:spPr>
    <a:noFill/>
    <a:ln w="95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100" baseline="0" dirty="0" smtClean="0">
                <a:solidFill>
                  <a:schemeClr val="tx1">
                    <a:lumMod val="65000"/>
                    <a:lumOff val="35000"/>
                  </a:schemeClr>
                </a:solidFill>
                <a:latin typeface="Arial" panose="020B0604020202020204" pitchFamily="34" charset="0"/>
                <a:cs typeface="Arial" panose="020B0604020202020204" pitchFamily="34" charset="0"/>
              </a:rPr>
              <a:t>Open Interest (Panamax 4TC) – Lots (1 lot = 1 day of TC hire)</a:t>
            </a:r>
            <a:endParaRPr lang="en-GB" sz="1100" baseline="0" dirty="0">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1.1956938976377953E-2"/>
          <c:y val="9.3749994232898981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3 Month avg.</c:v>
                </c:pt>
              </c:strCache>
            </c:strRef>
          </c:tx>
          <c:spPr>
            <a:ln w="31750" cap="rnd">
              <a:solidFill>
                <a:schemeClr val="accent1"/>
              </a:solidFill>
              <a:round/>
            </a:ln>
            <a:effectLst/>
          </c:spPr>
          <c:marker>
            <c:symbol val="none"/>
          </c:marker>
          <c:cat>
            <c:numRef>
              <c:f>Sheet1!$A$2:$A$325</c:f>
              <c:numCache>
                <c:formatCode>m/d/yyyy</c:formatCode>
                <c:ptCount val="324"/>
                <c:pt idx="0">
                  <c:v>43182</c:v>
                </c:pt>
                <c:pt idx="1">
                  <c:v>43185</c:v>
                </c:pt>
                <c:pt idx="2">
                  <c:v>43186</c:v>
                </c:pt>
                <c:pt idx="3">
                  <c:v>43187</c:v>
                </c:pt>
                <c:pt idx="4">
                  <c:v>43188</c:v>
                </c:pt>
                <c:pt idx="5">
                  <c:v>43193</c:v>
                </c:pt>
                <c:pt idx="6">
                  <c:v>43194</c:v>
                </c:pt>
                <c:pt idx="7">
                  <c:v>43195</c:v>
                </c:pt>
                <c:pt idx="8">
                  <c:v>43196</c:v>
                </c:pt>
                <c:pt idx="9">
                  <c:v>43199</c:v>
                </c:pt>
                <c:pt idx="10">
                  <c:v>43200</c:v>
                </c:pt>
                <c:pt idx="11">
                  <c:v>43201</c:v>
                </c:pt>
                <c:pt idx="12">
                  <c:v>43202</c:v>
                </c:pt>
                <c:pt idx="13">
                  <c:v>43203</c:v>
                </c:pt>
                <c:pt idx="14">
                  <c:v>43206</c:v>
                </c:pt>
                <c:pt idx="15">
                  <c:v>43207</c:v>
                </c:pt>
                <c:pt idx="16">
                  <c:v>43208</c:v>
                </c:pt>
                <c:pt idx="17">
                  <c:v>43209</c:v>
                </c:pt>
                <c:pt idx="18">
                  <c:v>43210</c:v>
                </c:pt>
                <c:pt idx="19">
                  <c:v>43213</c:v>
                </c:pt>
                <c:pt idx="20">
                  <c:v>43214</c:v>
                </c:pt>
                <c:pt idx="21">
                  <c:v>43215</c:v>
                </c:pt>
                <c:pt idx="22">
                  <c:v>43216</c:v>
                </c:pt>
                <c:pt idx="23">
                  <c:v>43217</c:v>
                </c:pt>
                <c:pt idx="24">
                  <c:v>43220</c:v>
                </c:pt>
                <c:pt idx="25">
                  <c:v>43222</c:v>
                </c:pt>
                <c:pt idx="26">
                  <c:v>43223</c:v>
                </c:pt>
                <c:pt idx="27">
                  <c:v>43224</c:v>
                </c:pt>
                <c:pt idx="28">
                  <c:v>43227</c:v>
                </c:pt>
                <c:pt idx="29">
                  <c:v>43228</c:v>
                </c:pt>
                <c:pt idx="30">
                  <c:v>43229</c:v>
                </c:pt>
                <c:pt idx="31">
                  <c:v>43230</c:v>
                </c:pt>
                <c:pt idx="32">
                  <c:v>43231</c:v>
                </c:pt>
                <c:pt idx="33">
                  <c:v>43234</c:v>
                </c:pt>
                <c:pt idx="34">
                  <c:v>43235</c:v>
                </c:pt>
                <c:pt idx="35">
                  <c:v>43236</c:v>
                </c:pt>
                <c:pt idx="36">
                  <c:v>43237</c:v>
                </c:pt>
                <c:pt idx="37">
                  <c:v>43238</c:v>
                </c:pt>
                <c:pt idx="38">
                  <c:v>43241</c:v>
                </c:pt>
                <c:pt idx="39">
                  <c:v>43242</c:v>
                </c:pt>
                <c:pt idx="40">
                  <c:v>43243</c:v>
                </c:pt>
                <c:pt idx="41">
                  <c:v>43244</c:v>
                </c:pt>
                <c:pt idx="42">
                  <c:v>43245</c:v>
                </c:pt>
                <c:pt idx="43">
                  <c:v>43248</c:v>
                </c:pt>
                <c:pt idx="44">
                  <c:v>43249</c:v>
                </c:pt>
                <c:pt idx="45">
                  <c:v>43250</c:v>
                </c:pt>
                <c:pt idx="46">
                  <c:v>43251</c:v>
                </c:pt>
                <c:pt idx="47">
                  <c:v>43252</c:v>
                </c:pt>
                <c:pt idx="48">
                  <c:v>43255</c:v>
                </c:pt>
                <c:pt idx="49">
                  <c:v>43256</c:v>
                </c:pt>
                <c:pt idx="50">
                  <c:v>43257</c:v>
                </c:pt>
                <c:pt idx="51">
                  <c:v>43258</c:v>
                </c:pt>
                <c:pt idx="52">
                  <c:v>43259</c:v>
                </c:pt>
                <c:pt idx="53">
                  <c:v>43262</c:v>
                </c:pt>
                <c:pt idx="54">
                  <c:v>43263</c:v>
                </c:pt>
                <c:pt idx="55">
                  <c:v>43264</c:v>
                </c:pt>
                <c:pt idx="56">
                  <c:v>43265</c:v>
                </c:pt>
                <c:pt idx="57">
                  <c:v>43266</c:v>
                </c:pt>
                <c:pt idx="58">
                  <c:v>43269</c:v>
                </c:pt>
                <c:pt idx="59">
                  <c:v>43270</c:v>
                </c:pt>
                <c:pt idx="60">
                  <c:v>43271</c:v>
                </c:pt>
                <c:pt idx="61">
                  <c:v>43272</c:v>
                </c:pt>
                <c:pt idx="62">
                  <c:v>43273</c:v>
                </c:pt>
                <c:pt idx="63">
                  <c:v>43276</c:v>
                </c:pt>
                <c:pt idx="64">
                  <c:v>43277</c:v>
                </c:pt>
                <c:pt idx="65">
                  <c:v>43278</c:v>
                </c:pt>
                <c:pt idx="66">
                  <c:v>43279</c:v>
                </c:pt>
                <c:pt idx="67">
                  <c:v>43280</c:v>
                </c:pt>
                <c:pt idx="68">
                  <c:v>43283</c:v>
                </c:pt>
                <c:pt idx="69">
                  <c:v>43284</c:v>
                </c:pt>
                <c:pt idx="70">
                  <c:v>43285</c:v>
                </c:pt>
                <c:pt idx="71">
                  <c:v>43286</c:v>
                </c:pt>
                <c:pt idx="72">
                  <c:v>43287</c:v>
                </c:pt>
                <c:pt idx="73">
                  <c:v>43290</c:v>
                </c:pt>
                <c:pt idx="74">
                  <c:v>43291</c:v>
                </c:pt>
                <c:pt idx="75">
                  <c:v>43292</c:v>
                </c:pt>
                <c:pt idx="76">
                  <c:v>43293</c:v>
                </c:pt>
                <c:pt idx="77">
                  <c:v>43294</c:v>
                </c:pt>
                <c:pt idx="78">
                  <c:v>43297</c:v>
                </c:pt>
                <c:pt idx="79">
                  <c:v>43298</c:v>
                </c:pt>
                <c:pt idx="80">
                  <c:v>43299</c:v>
                </c:pt>
                <c:pt idx="81">
                  <c:v>43300</c:v>
                </c:pt>
                <c:pt idx="82">
                  <c:v>43301</c:v>
                </c:pt>
                <c:pt idx="83">
                  <c:v>43304</c:v>
                </c:pt>
                <c:pt idx="84">
                  <c:v>43305</c:v>
                </c:pt>
                <c:pt idx="85">
                  <c:v>43306</c:v>
                </c:pt>
                <c:pt idx="86">
                  <c:v>43307</c:v>
                </c:pt>
                <c:pt idx="87">
                  <c:v>43308</c:v>
                </c:pt>
                <c:pt idx="88">
                  <c:v>43311</c:v>
                </c:pt>
                <c:pt idx="89">
                  <c:v>43312</c:v>
                </c:pt>
                <c:pt idx="90">
                  <c:v>43313</c:v>
                </c:pt>
                <c:pt idx="91">
                  <c:v>43314</c:v>
                </c:pt>
                <c:pt idx="92">
                  <c:v>43315</c:v>
                </c:pt>
                <c:pt idx="93">
                  <c:v>43318</c:v>
                </c:pt>
                <c:pt idx="94">
                  <c:v>43319</c:v>
                </c:pt>
                <c:pt idx="95">
                  <c:v>43320</c:v>
                </c:pt>
                <c:pt idx="96">
                  <c:v>43321</c:v>
                </c:pt>
                <c:pt idx="97">
                  <c:v>43322</c:v>
                </c:pt>
                <c:pt idx="98">
                  <c:v>43325</c:v>
                </c:pt>
                <c:pt idx="99">
                  <c:v>43326</c:v>
                </c:pt>
                <c:pt idx="100">
                  <c:v>43327</c:v>
                </c:pt>
                <c:pt idx="101">
                  <c:v>43328</c:v>
                </c:pt>
                <c:pt idx="102">
                  <c:v>43329</c:v>
                </c:pt>
                <c:pt idx="103">
                  <c:v>43332</c:v>
                </c:pt>
                <c:pt idx="104">
                  <c:v>43333</c:v>
                </c:pt>
                <c:pt idx="105">
                  <c:v>43334</c:v>
                </c:pt>
                <c:pt idx="106">
                  <c:v>43335</c:v>
                </c:pt>
                <c:pt idx="107">
                  <c:v>43336</c:v>
                </c:pt>
                <c:pt idx="108">
                  <c:v>43339</c:v>
                </c:pt>
                <c:pt idx="109">
                  <c:v>43340</c:v>
                </c:pt>
                <c:pt idx="110">
                  <c:v>43341</c:v>
                </c:pt>
                <c:pt idx="111">
                  <c:v>43342</c:v>
                </c:pt>
                <c:pt idx="112">
                  <c:v>43343</c:v>
                </c:pt>
                <c:pt idx="113">
                  <c:v>43346</c:v>
                </c:pt>
                <c:pt idx="114">
                  <c:v>43347</c:v>
                </c:pt>
                <c:pt idx="115">
                  <c:v>43348</c:v>
                </c:pt>
                <c:pt idx="116">
                  <c:v>43349</c:v>
                </c:pt>
                <c:pt idx="117">
                  <c:v>43350</c:v>
                </c:pt>
                <c:pt idx="118">
                  <c:v>43353</c:v>
                </c:pt>
                <c:pt idx="119">
                  <c:v>43354</c:v>
                </c:pt>
                <c:pt idx="120">
                  <c:v>43355</c:v>
                </c:pt>
                <c:pt idx="121">
                  <c:v>43356</c:v>
                </c:pt>
                <c:pt idx="122">
                  <c:v>43357</c:v>
                </c:pt>
                <c:pt idx="123">
                  <c:v>43360</c:v>
                </c:pt>
                <c:pt idx="124">
                  <c:v>43361</c:v>
                </c:pt>
                <c:pt idx="125">
                  <c:v>43362</c:v>
                </c:pt>
                <c:pt idx="126">
                  <c:v>43363</c:v>
                </c:pt>
                <c:pt idx="127">
                  <c:v>43364</c:v>
                </c:pt>
                <c:pt idx="128">
                  <c:v>43367</c:v>
                </c:pt>
                <c:pt idx="129">
                  <c:v>43368</c:v>
                </c:pt>
                <c:pt idx="130">
                  <c:v>43369</c:v>
                </c:pt>
                <c:pt idx="131">
                  <c:v>43370</c:v>
                </c:pt>
                <c:pt idx="132">
                  <c:v>43371</c:v>
                </c:pt>
                <c:pt idx="133">
                  <c:v>43374</c:v>
                </c:pt>
                <c:pt idx="134">
                  <c:v>43375</c:v>
                </c:pt>
                <c:pt idx="135">
                  <c:v>43376</c:v>
                </c:pt>
                <c:pt idx="136">
                  <c:v>43377</c:v>
                </c:pt>
                <c:pt idx="137">
                  <c:v>43378</c:v>
                </c:pt>
                <c:pt idx="138">
                  <c:v>43381</c:v>
                </c:pt>
                <c:pt idx="139">
                  <c:v>43382</c:v>
                </c:pt>
                <c:pt idx="140">
                  <c:v>43383</c:v>
                </c:pt>
                <c:pt idx="141">
                  <c:v>43384</c:v>
                </c:pt>
                <c:pt idx="142">
                  <c:v>43385</c:v>
                </c:pt>
                <c:pt idx="143">
                  <c:v>43388</c:v>
                </c:pt>
                <c:pt idx="144">
                  <c:v>43389</c:v>
                </c:pt>
                <c:pt idx="145">
                  <c:v>43390</c:v>
                </c:pt>
                <c:pt idx="146">
                  <c:v>43391</c:v>
                </c:pt>
                <c:pt idx="147">
                  <c:v>43392</c:v>
                </c:pt>
                <c:pt idx="148">
                  <c:v>43395</c:v>
                </c:pt>
                <c:pt idx="149">
                  <c:v>43396</c:v>
                </c:pt>
                <c:pt idx="150">
                  <c:v>43397</c:v>
                </c:pt>
                <c:pt idx="151">
                  <c:v>43398</c:v>
                </c:pt>
                <c:pt idx="152">
                  <c:v>43399</c:v>
                </c:pt>
                <c:pt idx="153">
                  <c:v>43402</c:v>
                </c:pt>
                <c:pt idx="154">
                  <c:v>43403</c:v>
                </c:pt>
                <c:pt idx="155">
                  <c:v>43404</c:v>
                </c:pt>
                <c:pt idx="156">
                  <c:v>43405</c:v>
                </c:pt>
                <c:pt idx="157">
                  <c:v>43406</c:v>
                </c:pt>
                <c:pt idx="158">
                  <c:v>43409</c:v>
                </c:pt>
                <c:pt idx="159">
                  <c:v>43410</c:v>
                </c:pt>
                <c:pt idx="160">
                  <c:v>43411</c:v>
                </c:pt>
                <c:pt idx="161">
                  <c:v>43412</c:v>
                </c:pt>
                <c:pt idx="162">
                  <c:v>43413</c:v>
                </c:pt>
                <c:pt idx="163">
                  <c:v>43416</c:v>
                </c:pt>
                <c:pt idx="164">
                  <c:v>43417</c:v>
                </c:pt>
                <c:pt idx="165">
                  <c:v>43418</c:v>
                </c:pt>
                <c:pt idx="166">
                  <c:v>43419</c:v>
                </c:pt>
                <c:pt idx="167">
                  <c:v>43420</c:v>
                </c:pt>
                <c:pt idx="168">
                  <c:v>43423</c:v>
                </c:pt>
                <c:pt idx="169">
                  <c:v>43424</c:v>
                </c:pt>
                <c:pt idx="170">
                  <c:v>43425</c:v>
                </c:pt>
                <c:pt idx="171">
                  <c:v>43426</c:v>
                </c:pt>
                <c:pt idx="172">
                  <c:v>43427</c:v>
                </c:pt>
                <c:pt idx="173">
                  <c:v>43430</c:v>
                </c:pt>
                <c:pt idx="174">
                  <c:v>43431</c:v>
                </c:pt>
                <c:pt idx="175">
                  <c:v>43432</c:v>
                </c:pt>
                <c:pt idx="176">
                  <c:v>43433</c:v>
                </c:pt>
                <c:pt idx="177">
                  <c:v>43434</c:v>
                </c:pt>
                <c:pt idx="178">
                  <c:v>43437</c:v>
                </c:pt>
                <c:pt idx="179">
                  <c:v>43438</c:v>
                </c:pt>
                <c:pt idx="180">
                  <c:v>43439</c:v>
                </c:pt>
                <c:pt idx="181">
                  <c:v>43440</c:v>
                </c:pt>
                <c:pt idx="182">
                  <c:v>43441</c:v>
                </c:pt>
                <c:pt idx="183">
                  <c:v>43444</c:v>
                </c:pt>
                <c:pt idx="184">
                  <c:v>43445</c:v>
                </c:pt>
                <c:pt idx="185">
                  <c:v>43446</c:v>
                </c:pt>
                <c:pt idx="186">
                  <c:v>43447</c:v>
                </c:pt>
                <c:pt idx="187">
                  <c:v>43448</c:v>
                </c:pt>
                <c:pt idx="188">
                  <c:v>43451</c:v>
                </c:pt>
                <c:pt idx="189">
                  <c:v>43452</c:v>
                </c:pt>
                <c:pt idx="190">
                  <c:v>43453</c:v>
                </c:pt>
                <c:pt idx="191">
                  <c:v>43454</c:v>
                </c:pt>
                <c:pt idx="192">
                  <c:v>43455</c:v>
                </c:pt>
                <c:pt idx="193">
                  <c:v>43458</c:v>
                </c:pt>
                <c:pt idx="194">
                  <c:v>43460</c:v>
                </c:pt>
                <c:pt idx="195">
                  <c:v>43461</c:v>
                </c:pt>
                <c:pt idx="196">
                  <c:v>43462</c:v>
                </c:pt>
                <c:pt idx="197">
                  <c:v>43465</c:v>
                </c:pt>
                <c:pt idx="198">
                  <c:v>43467</c:v>
                </c:pt>
                <c:pt idx="199">
                  <c:v>43468</c:v>
                </c:pt>
                <c:pt idx="200">
                  <c:v>43469</c:v>
                </c:pt>
                <c:pt idx="201">
                  <c:v>43472</c:v>
                </c:pt>
                <c:pt idx="202">
                  <c:v>43473</c:v>
                </c:pt>
                <c:pt idx="203">
                  <c:v>43474</c:v>
                </c:pt>
                <c:pt idx="204">
                  <c:v>43475</c:v>
                </c:pt>
                <c:pt idx="205">
                  <c:v>43476</c:v>
                </c:pt>
                <c:pt idx="206">
                  <c:v>43479</c:v>
                </c:pt>
                <c:pt idx="207">
                  <c:v>43480</c:v>
                </c:pt>
                <c:pt idx="208">
                  <c:v>43481</c:v>
                </c:pt>
                <c:pt idx="209">
                  <c:v>43482</c:v>
                </c:pt>
                <c:pt idx="210">
                  <c:v>43483</c:v>
                </c:pt>
                <c:pt idx="211">
                  <c:v>43486</c:v>
                </c:pt>
                <c:pt idx="212">
                  <c:v>43487</c:v>
                </c:pt>
                <c:pt idx="213">
                  <c:v>43488</c:v>
                </c:pt>
                <c:pt idx="214">
                  <c:v>43489</c:v>
                </c:pt>
                <c:pt idx="215">
                  <c:v>43490</c:v>
                </c:pt>
                <c:pt idx="216">
                  <c:v>43493</c:v>
                </c:pt>
                <c:pt idx="217">
                  <c:v>43494</c:v>
                </c:pt>
                <c:pt idx="218">
                  <c:v>43495</c:v>
                </c:pt>
                <c:pt idx="219">
                  <c:v>43496</c:v>
                </c:pt>
                <c:pt idx="220">
                  <c:v>43497</c:v>
                </c:pt>
                <c:pt idx="221">
                  <c:v>43500</c:v>
                </c:pt>
                <c:pt idx="222">
                  <c:v>43501</c:v>
                </c:pt>
                <c:pt idx="223">
                  <c:v>43502</c:v>
                </c:pt>
                <c:pt idx="224">
                  <c:v>43503</c:v>
                </c:pt>
                <c:pt idx="225">
                  <c:v>43504</c:v>
                </c:pt>
                <c:pt idx="226">
                  <c:v>43507</c:v>
                </c:pt>
                <c:pt idx="227">
                  <c:v>43508</c:v>
                </c:pt>
                <c:pt idx="228">
                  <c:v>43509</c:v>
                </c:pt>
                <c:pt idx="229">
                  <c:v>43510</c:v>
                </c:pt>
                <c:pt idx="230">
                  <c:v>43511</c:v>
                </c:pt>
                <c:pt idx="231">
                  <c:v>43514</c:v>
                </c:pt>
                <c:pt idx="232">
                  <c:v>43515</c:v>
                </c:pt>
                <c:pt idx="233">
                  <c:v>43516</c:v>
                </c:pt>
                <c:pt idx="234">
                  <c:v>43517</c:v>
                </c:pt>
                <c:pt idx="235">
                  <c:v>43518</c:v>
                </c:pt>
                <c:pt idx="236">
                  <c:v>43521</c:v>
                </c:pt>
                <c:pt idx="237">
                  <c:v>43522</c:v>
                </c:pt>
                <c:pt idx="238">
                  <c:v>43523</c:v>
                </c:pt>
                <c:pt idx="239">
                  <c:v>43524</c:v>
                </c:pt>
                <c:pt idx="240">
                  <c:v>43525</c:v>
                </c:pt>
                <c:pt idx="241">
                  <c:v>43528</c:v>
                </c:pt>
                <c:pt idx="242">
                  <c:v>43529</c:v>
                </c:pt>
                <c:pt idx="243">
                  <c:v>43530</c:v>
                </c:pt>
                <c:pt idx="244">
                  <c:v>43531</c:v>
                </c:pt>
                <c:pt idx="245">
                  <c:v>43532</c:v>
                </c:pt>
                <c:pt idx="246">
                  <c:v>43535</c:v>
                </c:pt>
                <c:pt idx="247">
                  <c:v>43536</c:v>
                </c:pt>
                <c:pt idx="248">
                  <c:v>43537</c:v>
                </c:pt>
                <c:pt idx="249">
                  <c:v>43538</c:v>
                </c:pt>
                <c:pt idx="250">
                  <c:v>43539</c:v>
                </c:pt>
                <c:pt idx="251">
                  <c:v>43542</c:v>
                </c:pt>
                <c:pt idx="252">
                  <c:v>43543</c:v>
                </c:pt>
                <c:pt idx="253">
                  <c:v>43544</c:v>
                </c:pt>
                <c:pt idx="254">
                  <c:v>43545</c:v>
                </c:pt>
                <c:pt idx="255">
                  <c:v>43546</c:v>
                </c:pt>
                <c:pt idx="256">
                  <c:v>43549</c:v>
                </c:pt>
                <c:pt idx="257">
                  <c:v>43550</c:v>
                </c:pt>
                <c:pt idx="258">
                  <c:v>43551</c:v>
                </c:pt>
                <c:pt idx="259">
                  <c:v>43552</c:v>
                </c:pt>
                <c:pt idx="260">
                  <c:v>43553</c:v>
                </c:pt>
                <c:pt idx="261">
                  <c:v>43556</c:v>
                </c:pt>
                <c:pt idx="262">
                  <c:v>43557</c:v>
                </c:pt>
                <c:pt idx="263">
                  <c:v>43558</c:v>
                </c:pt>
                <c:pt idx="264">
                  <c:v>43559</c:v>
                </c:pt>
                <c:pt idx="265">
                  <c:v>43560</c:v>
                </c:pt>
                <c:pt idx="266">
                  <c:v>43563</c:v>
                </c:pt>
                <c:pt idx="267">
                  <c:v>43564</c:v>
                </c:pt>
                <c:pt idx="268">
                  <c:v>43565</c:v>
                </c:pt>
                <c:pt idx="269">
                  <c:v>43566</c:v>
                </c:pt>
                <c:pt idx="270">
                  <c:v>43567</c:v>
                </c:pt>
                <c:pt idx="271">
                  <c:v>43570</c:v>
                </c:pt>
                <c:pt idx="272">
                  <c:v>43571</c:v>
                </c:pt>
                <c:pt idx="273">
                  <c:v>43572</c:v>
                </c:pt>
                <c:pt idx="274">
                  <c:v>43573</c:v>
                </c:pt>
                <c:pt idx="275">
                  <c:v>43578</c:v>
                </c:pt>
                <c:pt idx="276">
                  <c:v>43579</c:v>
                </c:pt>
                <c:pt idx="277">
                  <c:v>43580</c:v>
                </c:pt>
                <c:pt idx="278">
                  <c:v>43581</c:v>
                </c:pt>
                <c:pt idx="279">
                  <c:v>43584</c:v>
                </c:pt>
                <c:pt idx="280">
                  <c:v>43585</c:v>
                </c:pt>
                <c:pt idx="281">
                  <c:v>43586</c:v>
                </c:pt>
                <c:pt idx="282">
                  <c:v>43587</c:v>
                </c:pt>
                <c:pt idx="283">
                  <c:v>43588</c:v>
                </c:pt>
                <c:pt idx="284">
                  <c:v>43591</c:v>
                </c:pt>
                <c:pt idx="285">
                  <c:v>43592</c:v>
                </c:pt>
                <c:pt idx="286">
                  <c:v>43593</c:v>
                </c:pt>
                <c:pt idx="287">
                  <c:v>43594</c:v>
                </c:pt>
                <c:pt idx="288">
                  <c:v>43595</c:v>
                </c:pt>
                <c:pt idx="289">
                  <c:v>43598</c:v>
                </c:pt>
                <c:pt idx="290">
                  <c:v>43599</c:v>
                </c:pt>
                <c:pt idx="291">
                  <c:v>43600</c:v>
                </c:pt>
                <c:pt idx="292">
                  <c:v>43601</c:v>
                </c:pt>
                <c:pt idx="293">
                  <c:v>43602</c:v>
                </c:pt>
                <c:pt idx="294">
                  <c:v>43605</c:v>
                </c:pt>
                <c:pt idx="295">
                  <c:v>43606</c:v>
                </c:pt>
                <c:pt idx="296">
                  <c:v>43607</c:v>
                </c:pt>
                <c:pt idx="297">
                  <c:v>43608</c:v>
                </c:pt>
                <c:pt idx="298">
                  <c:v>43609</c:v>
                </c:pt>
                <c:pt idx="299">
                  <c:v>43612</c:v>
                </c:pt>
                <c:pt idx="300">
                  <c:v>43613</c:v>
                </c:pt>
                <c:pt idx="301">
                  <c:v>43614</c:v>
                </c:pt>
                <c:pt idx="302">
                  <c:v>43615</c:v>
                </c:pt>
                <c:pt idx="303">
                  <c:v>43616</c:v>
                </c:pt>
                <c:pt idx="304">
                  <c:v>43619</c:v>
                </c:pt>
                <c:pt idx="305">
                  <c:v>43620</c:v>
                </c:pt>
                <c:pt idx="306">
                  <c:v>43621</c:v>
                </c:pt>
                <c:pt idx="307">
                  <c:v>43622</c:v>
                </c:pt>
                <c:pt idx="308">
                  <c:v>43623</c:v>
                </c:pt>
                <c:pt idx="309">
                  <c:v>43626</c:v>
                </c:pt>
                <c:pt idx="310">
                  <c:v>43627</c:v>
                </c:pt>
                <c:pt idx="311">
                  <c:v>43628</c:v>
                </c:pt>
                <c:pt idx="312">
                  <c:v>43629</c:v>
                </c:pt>
                <c:pt idx="313">
                  <c:v>43630</c:v>
                </c:pt>
                <c:pt idx="314">
                  <c:v>43633</c:v>
                </c:pt>
                <c:pt idx="315">
                  <c:v>43634</c:v>
                </c:pt>
                <c:pt idx="316">
                  <c:v>43635</c:v>
                </c:pt>
                <c:pt idx="317">
                  <c:v>43636</c:v>
                </c:pt>
                <c:pt idx="318">
                  <c:v>43637</c:v>
                </c:pt>
                <c:pt idx="319">
                  <c:v>43640</c:v>
                </c:pt>
                <c:pt idx="320">
                  <c:v>43641</c:v>
                </c:pt>
                <c:pt idx="321">
                  <c:v>43642</c:v>
                </c:pt>
                <c:pt idx="322">
                  <c:v>43643</c:v>
                </c:pt>
                <c:pt idx="323">
                  <c:v>43644</c:v>
                </c:pt>
              </c:numCache>
            </c:numRef>
          </c:cat>
          <c:val>
            <c:numRef>
              <c:f>Sheet1!$B$2:$B$325</c:f>
              <c:numCache>
                <c:formatCode>General</c:formatCode>
                <c:ptCount val="324"/>
                <c:pt idx="5" formatCode="#,##0">
                  <c:v>16692.866666666665</c:v>
                </c:pt>
                <c:pt idx="6" formatCode="#,##0">
                  <c:v>16655.577777777777</c:v>
                </c:pt>
                <c:pt idx="7" formatCode="#,##0">
                  <c:v>16620.177777777779</c:v>
                </c:pt>
                <c:pt idx="8" formatCode="#,##0">
                  <c:v>16579.444444444445</c:v>
                </c:pt>
                <c:pt idx="9" formatCode="#,##0">
                  <c:v>16560.822222222221</c:v>
                </c:pt>
                <c:pt idx="10" formatCode="#,##0">
                  <c:v>16540.866666666665</c:v>
                </c:pt>
                <c:pt idx="11" formatCode="#,##0">
                  <c:v>16520.411111111112</c:v>
                </c:pt>
                <c:pt idx="12" formatCode="#,##0">
                  <c:v>16499.566666666666</c:v>
                </c:pt>
                <c:pt idx="13" formatCode="#,##0">
                  <c:v>16493.555555555555</c:v>
                </c:pt>
                <c:pt idx="14" formatCode="#,##0">
                  <c:v>16493.944444444445</c:v>
                </c:pt>
                <c:pt idx="15" formatCode="#,##0">
                  <c:v>16494.333333333332</c:v>
                </c:pt>
                <c:pt idx="16" formatCode="#,##0">
                  <c:v>16493.055555555555</c:v>
                </c:pt>
                <c:pt idx="17" formatCode="#,##0">
                  <c:v>16496.277777777777</c:v>
                </c:pt>
                <c:pt idx="18" formatCode="#,##0">
                  <c:v>16494.833333333332</c:v>
                </c:pt>
                <c:pt idx="19" formatCode="#,##0">
                  <c:v>16493.611111111109</c:v>
                </c:pt>
                <c:pt idx="20" formatCode="#,##0">
                  <c:v>16490.5</c:v>
                </c:pt>
                <c:pt idx="21" formatCode="#,##0">
                  <c:v>16487.777777777777</c:v>
                </c:pt>
                <c:pt idx="22" formatCode="#,##0">
                  <c:v>16481.833333333332</c:v>
                </c:pt>
                <c:pt idx="23" formatCode="#,##0">
                  <c:v>16478.777777777777</c:v>
                </c:pt>
                <c:pt idx="24" formatCode="#,##0">
                  <c:v>16475.777777777777</c:v>
                </c:pt>
                <c:pt idx="25" formatCode="#,##0">
                  <c:v>16458.888888888891</c:v>
                </c:pt>
                <c:pt idx="26" formatCode="#,##0">
                  <c:v>16442.111111111109</c:v>
                </c:pt>
                <c:pt idx="27" formatCode="#,##0">
                  <c:v>16421.766666666666</c:v>
                </c:pt>
                <c:pt idx="28" formatCode="#,##0">
                  <c:v>16398.922222222223</c:v>
                </c:pt>
                <c:pt idx="29" formatCode="#,##0">
                  <c:v>16375.911111111111</c:v>
                </c:pt>
                <c:pt idx="30" formatCode="#,##0">
                  <c:v>16369.9</c:v>
                </c:pt>
                <c:pt idx="31" formatCode="#,##0">
                  <c:v>16365.222222222223</c:v>
                </c:pt>
                <c:pt idx="32" formatCode="#,##0">
                  <c:v>16361.211111111112</c:v>
                </c:pt>
                <c:pt idx="33" formatCode="#,##0">
                  <c:v>16358.866666666667</c:v>
                </c:pt>
                <c:pt idx="34" formatCode="#,##0">
                  <c:v>16355.133333333333</c:v>
                </c:pt>
                <c:pt idx="35" formatCode="#,##0">
                  <c:v>16349.122222222222</c:v>
                </c:pt>
                <c:pt idx="36" formatCode="#,##0">
                  <c:v>16344.111111111111</c:v>
                </c:pt>
                <c:pt idx="37" formatCode="#,##0">
                  <c:v>16338.877777777778</c:v>
                </c:pt>
                <c:pt idx="38" formatCode="#,##0">
                  <c:v>16331.533333333333</c:v>
                </c:pt>
                <c:pt idx="39" formatCode="#,##0">
                  <c:v>16323.68888888889</c:v>
                </c:pt>
                <c:pt idx="40" formatCode="#,##0">
                  <c:v>16316.122222222222</c:v>
                </c:pt>
                <c:pt idx="41" formatCode="#,##0">
                  <c:v>16305.888888888889</c:v>
                </c:pt>
                <c:pt idx="42" formatCode="#,##0">
                  <c:v>16295.877777777778</c:v>
                </c:pt>
                <c:pt idx="43" formatCode="#,##0">
                  <c:v>16282.31111111111</c:v>
                </c:pt>
                <c:pt idx="44" formatCode="#,##0">
                  <c:v>16272.744444444445</c:v>
                </c:pt>
                <c:pt idx="45" formatCode="#,##0">
                  <c:v>16263.844444444445</c:v>
                </c:pt>
                <c:pt idx="46" formatCode="#,##0">
                  <c:v>16250.444444444445</c:v>
                </c:pt>
                <c:pt idx="47" formatCode="#,##0">
                  <c:v>16215.155555555555</c:v>
                </c:pt>
                <c:pt idx="48" formatCode="#,##0">
                  <c:v>16179.366666666667</c:v>
                </c:pt>
                <c:pt idx="49" formatCode="#,##0">
                  <c:v>16143.633333333333</c:v>
                </c:pt>
                <c:pt idx="50" formatCode="#,##0">
                  <c:v>16105.955555555556</c:v>
                </c:pt>
                <c:pt idx="51" formatCode="#,##0">
                  <c:v>16070.555555555555</c:v>
                </c:pt>
                <c:pt idx="52" formatCode="#,##0">
                  <c:v>16032.822222222223</c:v>
                </c:pt>
                <c:pt idx="53" formatCode="#,##0">
                  <c:v>15996.033333333333</c:v>
                </c:pt>
                <c:pt idx="54" formatCode="#,##0">
                  <c:v>15970.355555555556</c:v>
                </c:pt>
                <c:pt idx="55" formatCode="#,##0">
                  <c:v>15951.233333333334</c:v>
                </c:pt>
                <c:pt idx="56" formatCode="#,##0">
                  <c:v>15932.222222222223</c:v>
                </c:pt>
                <c:pt idx="57" formatCode="#,##0">
                  <c:v>15913.211111111112</c:v>
                </c:pt>
                <c:pt idx="58" formatCode="#,##0">
                  <c:v>15894.088888888889</c:v>
                </c:pt>
                <c:pt idx="59" formatCode="#,##0">
                  <c:v>15873.633333333333</c:v>
                </c:pt>
                <c:pt idx="60" formatCode="#,##0">
                  <c:v>15852.677777777777</c:v>
                </c:pt>
                <c:pt idx="61" formatCode="#,##0">
                  <c:v>15832.166666666666</c:v>
                </c:pt>
                <c:pt idx="62" formatCode="#,##0">
                  <c:v>15811.488888888889</c:v>
                </c:pt>
                <c:pt idx="63" formatCode="#,##0">
                  <c:v>15790.922222222222</c:v>
                </c:pt>
                <c:pt idx="64" formatCode="#,##0">
                  <c:v>15771.133333333333</c:v>
                </c:pt>
                <c:pt idx="65" formatCode="#,##0">
                  <c:v>15751.011111111111</c:v>
                </c:pt>
                <c:pt idx="66" formatCode="#,##0">
                  <c:v>15731.555555555555</c:v>
                </c:pt>
                <c:pt idx="67" formatCode="#,##0">
                  <c:v>15711.1</c:v>
                </c:pt>
                <c:pt idx="68" formatCode="#,##0">
                  <c:v>15671.144444444444</c:v>
                </c:pt>
                <c:pt idx="69" formatCode="#,##0">
                  <c:v>15630.911111111111</c:v>
                </c:pt>
                <c:pt idx="70" formatCode="#,##0">
                  <c:v>15590.844444444445</c:v>
                </c:pt>
                <c:pt idx="71" formatCode="#,##0">
                  <c:v>15548.833333333334</c:v>
                </c:pt>
                <c:pt idx="72" formatCode="#,##0">
                  <c:v>15507.933333333332</c:v>
                </c:pt>
                <c:pt idx="73" formatCode="#,##0">
                  <c:v>15466.866666666667</c:v>
                </c:pt>
                <c:pt idx="74" formatCode="#,##0">
                  <c:v>15442.133333333333</c:v>
                </c:pt>
                <c:pt idx="75" formatCode="#,##0">
                  <c:v>15417.177777777777</c:v>
                </c:pt>
                <c:pt idx="76" formatCode="#,##0">
                  <c:v>15392.055555555555</c:v>
                </c:pt>
                <c:pt idx="77" formatCode="#,##0">
                  <c:v>15366.266666666666</c:v>
                </c:pt>
                <c:pt idx="78" formatCode="#,##0">
                  <c:v>15339.81111111111</c:v>
                </c:pt>
                <c:pt idx="79" formatCode="#,##0">
                  <c:v>15313.244444444445</c:v>
                </c:pt>
                <c:pt idx="80" formatCode="#,##0">
                  <c:v>15284.011111111111</c:v>
                </c:pt>
                <c:pt idx="81" formatCode="#,##0">
                  <c:v>15255.111111111111</c:v>
                </c:pt>
                <c:pt idx="82" formatCode="#,##0">
                  <c:v>15226.1</c:v>
                </c:pt>
                <c:pt idx="83" formatCode="#,##0">
                  <c:v>15193.588888888889</c:v>
                </c:pt>
                <c:pt idx="84" formatCode="#,##0">
                  <c:v>15161.577777777778</c:v>
                </c:pt>
                <c:pt idx="85" formatCode="#,##0">
                  <c:v>15129.566666666668</c:v>
                </c:pt>
                <c:pt idx="86" formatCode="#,##0">
                  <c:v>15097.555555555555</c:v>
                </c:pt>
                <c:pt idx="87" formatCode="#,##0">
                  <c:v>15066.433333333332</c:v>
                </c:pt>
                <c:pt idx="88" formatCode="#,##0">
                  <c:v>15034.31111111111</c:v>
                </c:pt>
                <c:pt idx="89" formatCode="#,##0">
                  <c:v>15002.633333333333</c:v>
                </c:pt>
                <c:pt idx="90" formatCode="#,##0">
                  <c:v>14955.644444444444</c:v>
                </c:pt>
                <c:pt idx="91" formatCode="#,##0">
                  <c:v>14907.822222222223</c:v>
                </c:pt>
                <c:pt idx="92" formatCode="#,##0">
                  <c:v>14859.833333333334</c:v>
                </c:pt>
                <c:pt idx="93" formatCode="#,##0">
                  <c:v>14812.066666666668</c:v>
                </c:pt>
                <c:pt idx="94" formatCode="#,##0">
                  <c:v>14763.633333333333</c:v>
                </c:pt>
                <c:pt idx="95" formatCode="#,##0">
                  <c:v>14729.866666666667</c:v>
                </c:pt>
                <c:pt idx="96" formatCode="#,##0">
                  <c:v>14696.766666666666</c:v>
                </c:pt>
                <c:pt idx="97" formatCode="#,##0">
                  <c:v>14662.722222222223</c:v>
                </c:pt>
                <c:pt idx="98" formatCode="#,##0">
                  <c:v>14627.788888888888</c:v>
                </c:pt>
                <c:pt idx="99" formatCode="#,##0">
                  <c:v>14568.633333333333</c:v>
                </c:pt>
                <c:pt idx="100" formatCode="#,##0">
                  <c:v>14509.477777777778</c:v>
                </c:pt>
                <c:pt idx="101" formatCode="#,##0">
                  <c:v>14451.822222222223</c:v>
                </c:pt>
                <c:pt idx="102" formatCode="#,##0">
                  <c:v>14393.444444444445</c:v>
                </c:pt>
                <c:pt idx="103" formatCode="#,##0">
                  <c:v>14336.122222222222</c:v>
                </c:pt>
                <c:pt idx="104" formatCode="#,##0">
                  <c:v>14278.466666666667</c:v>
                </c:pt>
                <c:pt idx="105" formatCode="#,##0">
                  <c:v>14220.977777777778</c:v>
                </c:pt>
                <c:pt idx="106" formatCode="#,##0">
                  <c:v>14163.544444444444</c:v>
                </c:pt>
                <c:pt idx="107" formatCode="#,##0">
                  <c:v>14100.777777777777</c:v>
                </c:pt>
                <c:pt idx="108" formatCode="#,##0">
                  <c:v>14042.455555555556</c:v>
                </c:pt>
                <c:pt idx="109" formatCode="#,##0">
                  <c:v>13983.577777777778</c:v>
                </c:pt>
                <c:pt idx="110" formatCode="#,##0">
                  <c:v>13925.422222222222</c:v>
                </c:pt>
                <c:pt idx="111" formatCode="#,##0">
                  <c:v>13866.933333333332</c:v>
                </c:pt>
                <c:pt idx="112" formatCode="#,##0">
                  <c:v>13808.5</c:v>
                </c:pt>
                <c:pt idx="113" formatCode="#,##0">
                  <c:v>13731.755555555555</c:v>
                </c:pt>
                <c:pt idx="114" formatCode="#,##0">
                  <c:v>13655.233333333334</c:v>
                </c:pt>
                <c:pt idx="115" formatCode="#,##0">
                  <c:v>13592.6</c:v>
                </c:pt>
                <c:pt idx="116" formatCode="#,##0">
                  <c:v>13530.18888888889</c:v>
                </c:pt>
                <c:pt idx="117" formatCode="#,##0">
                  <c:v>13471.511111111111</c:v>
                </c:pt>
                <c:pt idx="118" formatCode="#,##0">
                  <c:v>13414</c:v>
                </c:pt>
                <c:pt idx="119" formatCode="#,##0">
                  <c:v>13357.488888888889</c:v>
                </c:pt>
                <c:pt idx="120" formatCode="#,##0">
                  <c:v>13300.81111111111</c:v>
                </c:pt>
                <c:pt idx="121" formatCode="#,##0">
                  <c:v>13243.8</c:v>
                </c:pt>
                <c:pt idx="122" formatCode="#,##0">
                  <c:v>13187.288888888888</c:v>
                </c:pt>
                <c:pt idx="123" formatCode="#,##0">
                  <c:v>13129.611111111111</c:v>
                </c:pt>
                <c:pt idx="124" formatCode="#,##0">
                  <c:v>13069.933333333332</c:v>
                </c:pt>
                <c:pt idx="125" formatCode="#,##0">
                  <c:v>13012.2</c:v>
                </c:pt>
                <c:pt idx="126" formatCode="#,##0">
                  <c:v>12955.355555555556</c:v>
                </c:pt>
                <c:pt idx="127" formatCode="#,##0">
                  <c:v>12898.844444444445</c:v>
                </c:pt>
                <c:pt idx="128" formatCode="#,##0">
                  <c:v>12842.333333333334</c:v>
                </c:pt>
                <c:pt idx="129" formatCode="#,##0">
                  <c:v>12785.822222222223</c:v>
                </c:pt>
                <c:pt idx="130" formatCode="#,##0">
                  <c:v>12732.977777777778</c:v>
                </c:pt>
                <c:pt idx="131" formatCode="#,##0">
                  <c:v>12684.133333333333</c:v>
                </c:pt>
                <c:pt idx="132" formatCode="#,##0">
                  <c:v>12635.566666666668</c:v>
                </c:pt>
                <c:pt idx="133" formatCode="#,##0">
                  <c:v>12566.588888888889</c:v>
                </c:pt>
                <c:pt idx="134" formatCode="#,##0">
                  <c:v>12498</c:v>
                </c:pt>
                <c:pt idx="135" formatCode="#,##0">
                  <c:v>12429.133333333333</c:v>
                </c:pt>
                <c:pt idx="136" formatCode="#,##0">
                  <c:v>12359.266666666666</c:v>
                </c:pt>
                <c:pt idx="137" formatCode="#,##0">
                  <c:v>12311.244444444445</c:v>
                </c:pt>
                <c:pt idx="138" formatCode="#,##0">
                  <c:v>12262.722222222223</c:v>
                </c:pt>
                <c:pt idx="139" formatCode="#,##0">
                  <c:v>12214.366666666667</c:v>
                </c:pt>
                <c:pt idx="140" formatCode="#,##0">
                  <c:v>12167.011111111111</c:v>
                </c:pt>
                <c:pt idx="141" formatCode="#,##0">
                  <c:v>12126.322222222223</c:v>
                </c:pt>
                <c:pt idx="142" formatCode="#,##0">
                  <c:v>12089.855555555556</c:v>
                </c:pt>
                <c:pt idx="143" formatCode="#,##0">
                  <c:v>12051.833333333334</c:v>
                </c:pt>
                <c:pt idx="144" formatCode="#,##0">
                  <c:v>12014.533333333333</c:v>
                </c:pt>
                <c:pt idx="145" formatCode="#,##0">
                  <c:v>11976.955555555556</c:v>
                </c:pt>
                <c:pt idx="146" formatCode="#,##0">
                  <c:v>11938.377777777778</c:v>
                </c:pt>
                <c:pt idx="147" formatCode="#,##0">
                  <c:v>11900.966666666667</c:v>
                </c:pt>
                <c:pt idx="148" formatCode="#,##0">
                  <c:v>11863.222222222223</c:v>
                </c:pt>
                <c:pt idx="149" formatCode="#,##0">
                  <c:v>11826.255555555555</c:v>
                </c:pt>
                <c:pt idx="150" formatCode="#,##0">
                  <c:v>11791.011111111111</c:v>
                </c:pt>
                <c:pt idx="151" formatCode="#,##0">
                  <c:v>11757.377777777778</c:v>
                </c:pt>
                <c:pt idx="152" formatCode="#,##0">
                  <c:v>11724.633333333333</c:v>
                </c:pt>
                <c:pt idx="153" formatCode="#,##0">
                  <c:v>11691.5</c:v>
                </c:pt>
                <c:pt idx="154" formatCode="#,##0">
                  <c:v>11658.2</c:v>
                </c:pt>
                <c:pt idx="155" formatCode="#,##0">
                  <c:v>11626.622222222222</c:v>
                </c:pt>
                <c:pt idx="156" formatCode="#,##0">
                  <c:v>11579.233333333334</c:v>
                </c:pt>
                <c:pt idx="157" formatCode="#,##0">
                  <c:v>11533.511111111111</c:v>
                </c:pt>
                <c:pt idx="158" formatCode="#,##0">
                  <c:v>11506.566666666668</c:v>
                </c:pt>
                <c:pt idx="159" formatCode="#,##0">
                  <c:v>11479.622222222222</c:v>
                </c:pt>
                <c:pt idx="160" formatCode="#,##0">
                  <c:v>11453.788888888888</c:v>
                </c:pt>
                <c:pt idx="161" formatCode="#,##0">
                  <c:v>11432.122222222222</c:v>
                </c:pt>
                <c:pt idx="162" formatCode="#,##0">
                  <c:v>11410.788888888888</c:v>
                </c:pt>
                <c:pt idx="163" formatCode="#,##0">
                  <c:v>11395.511111111111</c:v>
                </c:pt>
                <c:pt idx="164" formatCode="#,##0">
                  <c:v>11381.733333333334</c:v>
                </c:pt>
                <c:pt idx="165" formatCode="#,##0">
                  <c:v>11369.233333333334</c:v>
                </c:pt>
                <c:pt idx="166" formatCode="#,##0">
                  <c:v>11355.677777777777</c:v>
                </c:pt>
                <c:pt idx="167" formatCode="#,##0">
                  <c:v>11342.066666666668</c:v>
                </c:pt>
                <c:pt idx="168" formatCode="#,##0">
                  <c:v>11329.122222222222</c:v>
                </c:pt>
                <c:pt idx="169" formatCode="#,##0">
                  <c:v>11316.4</c:v>
                </c:pt>
                <c:pt idx="170" formatCode="#,##0">
                  <c:v>11306.622222222222</c:v>
                </c:pt>
                <c:pt idx="171" formatCode="#,##0">
                  <c:v>11298.511111111111</c:v>
                </c:pt>
                <c:pt idx="172" formatCode="#,##0">
                  <c:v>11290.011111111111</c:v>
                </c:pt>
                <c:pt idx="173" formatCode="#,##0">
                  <c:v>11282.844444444445</c:v>
                </c:pt>
                <c:pt idx="174" formatCode="#,##0">
                  <c:v>11278.233333333334</c:v>
                </c:pt>
                <c:pt idx="175" formatCode="#,##0">
                  <c:v>11272.233333333334</c:v>
                </c:pt>
                <c:pt idx="176" formatCode="#,##0">
                  <c:v>11265.566666666668</c:v>
                </c:pt>
                <c:pt idx="177" formatCode="#,##0">
                  <c:v>11257.511111111111</c:v>
                </c:pt>
                <c:pt idx="178" formatCode="#,##0">
                  <c:v>11234.544444444444</c:v>
                </c:pt>
                <c:pt idx="179" formatCode="#,##0">
                  <c:v>11213.244444444445</c:v>
                </c:pt>
                <c:pt idx="180" formatCode="#,##0">
                  <c:v>11208.31111111111</c:v>
                </c:pt>
                <c:pt idx="181" formatCode="#,##0">
                  <c:v>11202.544444444444</c:v>
                </c:pt>
                <c:pt idx="182" formatCode="#,##0">
                  <c:v>11196.833333333334</c:v>
                </c:pt>
                <c:pt idx="183" formatCode="#,##0">
                  <c:v>11190.955555555556</c:v>
                </c:pt>
                <c:pt idx="184" formatCode="#,##0">
                  <c:v>11185.244444444445</c:v>
                </c:pt>
                <c:pt idx="185" formatCode="#,##0">
                  <c:v>11180.255555555555</c:v>
                </c:pt>
                <c:pt idx="186" formatCode="#,##0">
                  <c:v>11173.155555555555</c:v>
                </c:pt>
                <c:pt idx="187" formatCode="#,##0">
                  <c:v>11168.722222222223</c:v>
                </c:pt>
                <c:pt idx="188" formatCode="#,##0">
                  <c:v>11165.4</c:v>
                </c:pt>
                <c:pt idx="189" formatCode="#,##0">
                  <c:v>11160.744444444445</c:v>
                </c:pt>
                <c:pt idx="190" formatCode="#,##0">
                  <c:v>11158.255555555555</c:v>
                </c:pt>
                <c:pt idx="191" formatCode="#,##0">
                  <c:v>11157.933333333332</c:v>
                </c:pt>
                <c:pt idx="192" formatCode="#,##0">
                  <c:v>11159</c:v>
                </c:pt>
                <c:pt idx="193" formatCode="#,##0">
                  <c:v>11159.733333333334</c:v>
                </c:pt>
                <c:pt idx="194" formatCode="#,##0">
                  <c:v>11160.8</c:v>
                </c:pt>
                <c:pt idx="195" formatCode="#,##0">
                  <c:v>11161.7</c:v>
                </c:pt>
                <c:pt idx="196" formatCode="#,##0">
                  <c:v>11143.966666666667</c:v>
                </c:pt>
                <c:pt idx="197" formatCode="#,##0">
                  <c:v>11126.566666666668</c:v>
                </c:pt>
                <c:pt idx="198" formatCode="#,##0">
                  <c:v>11109.055555555555</c:v>
                </c:pt>
                <c:pt idx="199" formatCode="#,##0">
                  <c:v>11092.988888888889</c:v>
                </c:pt>
                <c:pt idx="200" formatCode="#,##0">
                  <c:v>11077.644444444444</c:v>
                </c:pt>
                <c:pt idx="201" formatCode="#,##0">
                  <c:v>11062.077777777778</c:v>
                </c:pt>
                <c:pt idx="202" formatCode="#,##0">
                  <c:v>11047.344444444445</c:v>
                </c:pt>
                <c:pt idx="203" formatCode="#,##0">
                  <c:v>11048.755555555555</c:v>
                </c:pt>
                <c:pt idx="204" formatCode="#,##0">
                  <c:v>11053.5</c:v>
                </c:pt>
                <c:pt idx="205" formatCode="#,##0">
                  <c:v>11055.466666666667</c:v>
                </c:pt>
                <c:pt idx="206" formatCode="#,##0">
                  <c:v>11057.1</c:v>
                </c:pt>
                <c:pt idx="207" formatCode="#,##0">
                  <c:v>11060.733333333334</c:v>
                </c:pt>
                <c:pt idx="208" formatCode="#,##0">
                  <c:v>11080.366666666667</c:v>
                </c:pt>
                <c:pt idx="209" formatCode="#,##0">
                  <c:v>11098.777777777777</c:v>
                </c:pt>
                <c:pt idx="210" formatCode="#,##0">
                  <c:v>11118.855555555556</c:v>
                </c:pt>
                <c:pt idx="211" formatCode="#,##0">
                  <c:v>11137.6</c:v>
                </c:pt>
                <c:pt idx="212" formatCode="#,##0">
                  <c:v>11155.955555555556</c:v>
                </c:pt>
                <c:pt idx="213" formatCode="#,##0">
                  <c:v>11176.644444444444</c:v>
                </c:pt>
                <c:pt idx="214" formatCode="#,##0">
                  <c:v>11197.333333333334</c:v>
                </c:pt>
                <c:pt idx="215" formatCode="#,##0">
                  <c:v>11217.022222222222</c:v>
                </c:pt>
                <c:pt idx="216" formatCode="#,##0">
                  <c:v>11238.377777777778</c:v>
                </c:pt>
                <c:pt idx="217" formatCode="#,##0">
                  <c:v>11259.733333333334</c:v>
                </c:pt>
                <c:pt idx="218" formatCode="#,##0">
                  <c:v>11284.588888888889</c:v>
                </c:pt>
                <c:pt idx="219" formatCode="#,##0">
                  <c:v>11313.222222222223</c:v>
                </c:pt>
                <c:pt idx="220" formatCode="#,##0">
                  <c:v>11325.744444444445</c:v>
                </c:pt>
                <c:pt idx="221" formatCode="#,##0">
                  <c:v>11333.766666666666</c:v>
                </c:pt>
                <c:pt idx="222" formatCode="#,##0">
                  <c:v>11343.677777777777</c:v>
                </c:pt>
                <c:pt idx="223" formatCode="#,##0">
                  <c:v>11376.666666666666</c:v>
                </c:pt>
                <c:pt idx="224" formatCode="#,##0">
                  <c:v>11409.6</c:v>
                </c:pt>
                <c:pt idx="225" formatCode="#,##0">
                  <c:v>11440.81111111111</c:v>
                </c:pt>
                <c:pt idx="226" formatCode="#,##0">
                  <c:v>11474.411111111111</c:v>
                </c:pt>
                <c:pt idx="227" formatCode="#,##0">
                  <c:v>11509.111111111111</c:v>
                </c:pt>
                <c:pt idx="228" formatCode="#,##0">
                  <c:v>11547.644444444444</c:v>
                </c:pt>
                <c:pt idx="229" formatCode="#,##0">
                  <c:v>11586.511111111111</c:v>
                </c:pt>
                <c:pt idx="230" formatCode="#,##0">
                  <c:v>11625.322222222223</c:v>
                </c:pt>
                <c:pt idx="231" formatCode="#,##0">
                  <c:v>11657.744444444445</c:v>
                </c:pt>
                <c:pt idx="232" formatCode="#,##0">
                  <c:v>11685.888888888889</c:v>
                </c:pt>
                <c:pt idx="233" formatCode="#,##0">
                  <c:v>11716.588888888889</c:v>
                </c:pt>
                <c:pt idx="234" formatCode="#,##0">
                  <c:v>11751.955555555556</c:v>
                </c:pt>
                <c:pt idx="235" formatCode="#,##0">
                  <c:v>11785.211111111112</c:v>
                </c:pt>
                <c:pt idx="236" formatCode="#,##0">
                  <c:v>11820.577777777778</c:v>
                </c:pt>
                <c:pt idx="237" formatCode="#,##0">
                  <c:v>11855.5</c:v>
                </c:pt>
                <c:pt idx="238" formatCode="#,##0">
                  <c:v>11893.422222222222</c:v>
                </c:pt>
                <c:pt idx="239" formatCode="#,##0">
                  <c:v>11932.677777777777</c:v>
                </c:pt>
                <c:pt idx="240" formatCode="#,##0">
                  <c:v>11954.322222222223</c:v>
                </c:pt>
                <c:pt idx="241" formatCode="#,##0">
                  <c:v>11975.911111111111</c:v>
                </c:pt>
                <c:pt idx="242" formatCode="#,##0">
                  <c:v>11998.055555555555</c:v>
                </c:pt>
                <c:pt idx="243" formatCode="#,##0">
                  <c:v>12039.644444444444</c:v>
                </c:pt>
                <c:pt idx="244" formatCode="#,##0">
                  <c:v>12101.788888888888</c:v>
                </c:pt>
                <c:pt idx="245" formatCode="#,##0">
                  <c:v>12163.377777777778</c:v>
                </c:pt>
                <c:pt idx="246" formatCode="#,##0">
                  <c:v>12240</c:v>
                </c:pt>
                <c:pt idx="247" formatCode="#,##0">
                  <c:v>12316.733333333334</c:v>
                </c:pt>
                <c:pt idx="248" formatCode="#,##0">
                  <c:v>12396.68888888889</c:v>
                </c:pt>
                <c:pt idx="249" formatCode="#,##0">
                  <c:v>12477.422222222222</c:v>
                </c:pt>
                <c:pt idx="250" formatCode="#,##0">
                  <c:v>12557.488888888889</c:v>
                </c:pt>
                <c:pt idx="251" formatCode="#,##0">
                  <c:v>12633.944444444445</c:v>
                </c:pt>
                <c:pt idx="252" formatCode="#,##0">
                  <c:v>12712.566666666668</c:v>
                </c:pt>
                <c:pt idx="253" formatCode="#,##0">
                  <c:v>12792.022222222222</c:v>
                </c:pt>
                <c:pt idx="254" formatCode="#,##0">
                  <c:v>12867.477777777778</c:v>
                </c:pt>
                <c:pt idx="255" formatCode="#,##0">
                  <c:v>12941.211111111112</c:v>
                </c:pt>
                <c:pt idx="256" formatCode="#,##0">
                  <c:v>13016.777777777777</c:v>
                </c:pt>
                <c:pt idx="257" formatCode="#,##0">
                  <c:v>13093.233333333334</c:v>
                </c:pt>
                <c:pt idx="258" formatCode="#,##0">
                  <c:v>13167.133333333333</c:v>
                </c:pt>
                <c:pt idx="259" formatCode="#,##0">
                  <c:v>13243.422222222222</c:v>
                </c:pt>
                <c:pt idx="260" formatCode="#,##0">
                  <c:v>13319.433333333332</c:v>
                </c:pt>
                <c:pt idx="261" formatCode="#,##0">
                  <c:v>13371.444444444445</c:v>
                </c:pt>
                <c:pt idx="262" formatCode="#,##0">
                  <c:v>13423.288888888888</c:v>
                </c:pt>
                <c:pt idx="263" formatCode="#,##0">
                  <c:v>13474.133333333333</c:v>
                </c:pt>
                <c:pt idx="264" formatCode="#,##0">
                  <c:v>13521.755555555555</c:v>
                </c:pt>
                <c:pt idx="265" formatCode="#,##0">
                  <c:v>13571.877777777778</c:v>
                </c:pt>
                <c:pt idx="266" formatCode="#,##0">
                  <c:v>13627.444444444445</c:v>
                </c:pt>
                <c:pt idx="267" formatCode="#,##0">
                  <c:v>13683.344444444445</c:v>
                </c:pt>
                <c:pt idx="268" formatCode="#,##0">
                  <c:v>13760.266666666666</c:v>
                </c:pt>
                <c:pt idx="269" formatCode="#,##0">
                  <c:v>13836.022222222222</c:v>
                </c:pt>
                <c:pt idx="270" formatCode="#,##0">
                  <c:v>13911.388888888889</c:v>
                </c:pt>
                <c:pt idx="271" formatCode="#,##0">
                  <c:v>13990.81111111111</c:v>
                </c:pt>
                <c:pt idx="272" formatCode="#,##0">
                  <c:v>14068.822222222223</c:v>
                </c:pt>
                <c:pt idx="273" formatCode="#,##0">
                  <c:v>14146.855555555556</c:v>
                </c:pt>
                <c:pt idx="274" formatCode="#,##0">
                  <c:v>14225.277777777777</c:v>
                </c:pt>
                <c:pt idx="275" formatCode="#,##0">
                  <c:v>14304.477777777778</c:v>
                </c:pt>
                <c:pt idx="276" formatCode="#,##0">
                  <c:v>14385.955555555556</c:v>
                </c:pt>
                <c:pt idx="277" formatCode="#,##0">
                  <c:v>14471.6</c:v>
                </c:pt>
                <c:pt idx="278" formatCode="#,##0">
                  <c:v>14560.077777777778</c:v>
                </c:pt>
                <c:pt idx="279" formatCode="#,##0">
                  <c:v>14650.388888888889</c:v>
                </c:pt>
                <c:pt idx="280" formatCode="#,##0">
                  <c:v>14739.588888888889</c:v>
                </c:pt>
                <c:pt idx="281" formatCode="#,##0">
                  <c:v>14801.233333333334</c:v>
                </c:pt>
                <c:pt idx="282" formatCode="#,##0">
                  <c:v>14865.1</c:v>
                </c:pt>
                <c:pt idx="283" formatCode="#,##0">
                  <c:v>14931.411111111111</c:v>
                </c:pt>
                <c:pt idx="284" formatCode="#,##0">
                  <c:v>14998.111111111111</c:v>
                </c:pt>
                <c:pt idx="285" formatCode="#,##0">
                  <c:v>15065.644444444444</c:v>
                </c:pt>
                <c:pt idx="286" formatCode="#,##0">
                  <c:v>15158.7</c:v>
                </c:pt>
                <c:pt idx="287" formatCode="#,##0">
                  <c:v>15251.644444444444</c:v>
                </c:pt>
                <c:pt idx="288" formatCode="#,##0">
                  <c:v>15345.977777777778</c:v>
                </c:pt>
                <c:pt idx="289" formatCode="#,##0">
                  <c:v>15439.7</c:v>
                </c:pt>
                <c:pt idx="290" formatCode="#,##0">
                  <c:v>15533.7</c:v>
                </c:pt>
                <c:pt idx="291" formatCode="#,##0">
                  <c:v>15627.922222222222</c:v>
                </c:pt>
                <c:pt idx="292" formatCode="#,##0">
                  <c:v>15721.81111111111</c:v>
                </c:pt>
                <c:pt idx="293" formatCode="#,##0">
                  <c:v>15815.588888888889</c:v>
                </c:pt>
                <c:pt idx="294" formatCode="#,##0">
                  <c:v>15906.588888888889</c:v>
                </c:pt>
                <c:pt idx="295" formatCode="#,##0">
                  <c:v>16000.31111111111</c:v>
                </c:pt>
                <c:pt idx="296" formatCode="#,##0">
                  <c:v>16095.366666666667</c:v>
                </c:pt>
                <c:pt idx="297" formatCode="#,##0">
                  <c:v>16188.755555555555</c:v>
                </c:pt>
                <c:pt idx="298" formatCode="#,##0">
                  <c:v>16267.033333333333</c:v>
                </c:pt>
                <c:pt idx="299" formatCode="#,##0">
                  <c:v>16344.866666666667</c:v>
                </c:pt>
                <c:pt idx="300" formatCode="#,##0">
                  <c:v>16421.2</c:v>
                </c:pt>
                <c:pt idx="301" formatCode="#,##0">
                  <c:v>16497.2</c:v>
                </c:pt>
                <c:pt idx="302" formatCode="#,##0">
                  <c:v>16573.533333333333</c:v>
                </c:pt>
                <c:pt idx="303" formatCode="#,##0">
                  <c:v>16647.422222222223</c:v>
                </c:pt>
                <c:pt idx="304" formatCode="#,##0">
                  <c:v>16701.255555555555</c:v>
                </c:pt>
                <c:pt idx="305" formatCode="#,##0">
                  <c:v>16755.644444444446</c:v>
                </c:pt>
                <c:pt idx="306" formatCode="#,##0">
                  <c:v>16807.588888888888</c:v>
                </c:pt>
                <c:pt idx="307" formatCode="#,##0">
                  <c:v>16861.144444444446</c:v>
                </c:pt>
                <c:pt idx="308" formatCode="#,##0">
                  <c:v>16911.977777777778</c:v>
                </c:pt>
                <c:pt idx="309" formatCode="#,##0">
                  <c:v>16959.31111111111</c:v>
                </c:pt>
                <c:pt idx="310" formatCode="#,##0">
                  <c:v>17018.81111111111</c:v>
                </c:pt>
                <c:pt idx="311" formatCode="#,##0">
                  <c:v>17078.755555555555</c:v>
                </c:pt>
                <c:pt idx="312" formatCode="#,##0">
                  <c:v>17137.81111111111</c:v>
                </c:pt>
                <c:pt idx="313" formatCode="#,##0">
                  <c:v>17194.31111111111</c:v>
                </c:pt>
                <c:pt idx="314" formatCode="#,##0">
                  <c:v>17252.144444444446</c:v>
                </c:pt>
                <c:pt idx="315" formatCode="#,##0">
                  <c:v>17309.81111111111</c:v>
                </c:pt>
                <c:pt idx="316" formatCode="#,##0">
                  <c:v>17366.588888888888</c:v>
                </c:pt>
                <c:pt idx="317" formatCode="#,##0">
                  <c:v>17422.31111111111</c:v>
                </c:pt>
                <c:pt idx="318" formatCode="#,##0">
                  <c:v>17475.2</c:v>
                </c:pt>
              </c:numCache>
            </c:numRef>
          </c:val>
          <c:smooth val="0"/>
          <c:extLst xmlns:c16r2="http://schemas.microsoft.com/office/drawing/2015/06/chart">
            <c:ext xmlns:c16="http://schemas.microsoft.com/office/drawing/2014/chart" uri="{C3380CC4-5D6E-409C-BE32-E72D297353CC}">
              <c16:uniqueId val="{00000000-0D00-4D2C-8161-824E774DB8F5}"/>
            </c:ext>
          </c:extLst>
        </c:ser>
        <c:ser>
          <c:idx val="1"/>
          <c:order val="1"/>
          <c:tx>
            <c:strRef>
              <c:f>Sheet1!$C$1</c:f>
              <c:strCache>
                <c:ptCount val="1"/>
                <c:pt idx="0">
                  <c:v>Open Interest</c:v>
                </c:pt>
              </c:strCache>
            </c:strRef>
          </c:tx>
          <c:spPr>
            <a:ln w="31750" cap="rnd">
              <a:solidFill>
                <a:schemeClr val="tx1">
                  <a:lumMod val="50000"/>
                  <a:lumOff val="50000"/>
                </a:schemeClr>
              </a:solidFill>
              <a:round/>
            </a:ln>
            <a:effectLst/>
          </c:spPr>
          <c:marker>
            <c:symbol val="circle"/>
            <c:size val="5"/>
            <c:spPr>
              <a:solidFill>
                <a:schemeClr val="tx1">
                  <a:lumMod val="50000"/>
                  <a:lumOff val="50000"/>
                </a:schemeClr>
              </a:solidFill>
              <a:ln w="9525" cap="sq" cmpd="sng">
                <a:solidFill>
                  <a:schemeClr val="tx1">
                    <a:lumMod val="50000"/>
                    <a:lumOff val="50000"/>
                  </a:schemeClr>
                </a:solidFill>
                <a:round/>
              </a:ln>
              <a:effectLst/>
            </c:spPr>
          </c:marker>
          <c:cat>
            <c:numRef>
              <c:f>Sheet1!$A$2:$A$325</c:f>
              <c:numCache>
                <c:formatCode>m/d/yyyy</c:formatCode>
                <c:ptCount val="324"/>
                <c:pt idx="0">
                  <c:v>43182</c:v>
                </c:pt>
                <c:pt idx="1">
                  <c:v>43185</c:v>
                </c:pt>
                <c:pt idx="2">
                  <c:v>43186</c:v>
                </c:pt>
                <c:pt idx="3">
                  <c:v>43187</c:v>
                </c:pt>
                <c:pt idx="4">
                  <c:v>43188</c:v>
                </c:pt>
                <c:pt idx="5">
                  <c:v>43193</c:v>
                </c:pt>
                <c:pt idx="6">
                  <c:v>43194</c:v>
                </c:pt>
                <c:pt idx="7">
                  <c:v>43195</c:v>
                </c:pt>
                <c:pt idx="8">
                  <c:v>43196</c:v>
                </c:pt>
                <c:pt idx="9">
                  <c:v>43199</c:v>
                </c:pt>
                <c:pt idx="10">
                  <c:v>43200</c:v>
                </c:pt>
                <c:pt idx="11">
                  <c:v>43201</c:v>
                </c:pt>
                <c:pt idx="12">
                  <c:v>43202</c:v>
                </c:pt>
                <c:pt idx="13">
                  <c:v>43203</c:v>
                </c:pt>
                <c:pt idx="14">
                  <c:v>43206</c:v>
                </c:pt>
                <c:pt idx="15">
                  <c:v>43207</c:v>
                </c:pt>
                <c:pt idx="16">
                  <c:v>43208</c:v>
                </c:pt>
                <c:pt idx="17">
                  <c:v>43209</c:v>
                </c:pt>
                <c:pt idx="18">
                  <c:v>43210</c:v>
                </c:pt>
                <c:pt idx="19">
                  <c:v>43213</c:v>
                </c:pt>
                <c:pt idx="20">
                  <c:v>43214</c:v>
                </c:pt>
                <c:pt idx="21">
                  <c:v>43215</c:v>
                </c:pt>
                <c:pt idx="22">
                  <c:v>43216</c:v>
                </c:pt>
                <c:pt idx="23">
                  <c:v>43217</c:v>
                </c:pt>
                <c:pt idx="24">
                  <c:v>43220</c:v>
                </c:pt>
                <c:pt idx="25">
                  <c:v>43222</c:v>
                </c:pt>
                <c:pt idx="26">
                  <c:v>43223</c:v>
                </c:pt>
                <c:pt idx="27">
                  <c:v>43224</c:v>
                </c:pt>
                <c:pt idx="28">
                  <c:v>43227</c:v>
                </c:pt>
                <c:pt idx="29">
                  <c:v>43228</c:v>
                </c:pt>
                <c:pt idx="30">
                  <c:v>43229</c:v>
                </c:pt>
                <c:pt idx="31">
                  <c:v>43230</c:v>
                </c:pt>
                <c:pt idx="32">
                  <c:v>43231</c:v>
                </c:pt>
                <c:pt idx="33">
                  <c:v>43234</c:v>
                </c:pt>
                <c:pt idx="34">
                  <c:v>43235</c:v>
                </c:pt>
                <c:pt idx="35">
                  <c:v>43236</c:v>
                </c:pt>
                <c:pt idx="36">
                  <c:v>43237</c:v>
                </c:pt>
                <c:pt idx="37">
                  <c:v>43238</c:v>
                </c:pt>
                <c:pt idx="38">
                  <c:v>43241</c:v>
                </c:pt>
                <c:pt idx="39">
                  <c:v>43242</c:v>
                </c:pt>
                <c:pt idx="40">
                  <c:v>43243</c:v>
                </c:pt>
                <c:pt idx="41">
                  <c:v>43244</c:v>
                </c:pt>
                <c:pt idx="42">
                  <c:v>43245</c:v>
                </c:pt>
                <c:pt idx="43">
                  <c:v>43248</c:v>
                </c:pt>
                <c:pt idx="44">
                  <c:v>43249</c:v>
                </c:pt>
                <c:pt idx="45">
                  <c:v>43250</c:v>
                </c:pt>
                <c:pt idx="46">
                  <c:v>43251</c:v>
                </c:pt>
                <c:pt idx="47">
                  <c:v>43252</c:v>
                </c:pt>
                <c:pt idx="48">
                  <c:v>43255</c:v>
                </c:pt>
                <c:pt idx="49">
                  <c:v>43256</c:v>
                </c:pt>
                <c:pt idx="50">
                  <c:v>43257</c:v>
                </c:pt>
                <c:pt idx="51">
                  <c:v>43258</c:v>
                </c:pt>
                <c:pt idx="52">
                  <c:v>43259</c:v>
                </c:pt>
                <c:pt idx="53">
                  <c:v>43262</c:v>
                </c:pt>
                <c:pt idx="54">
                  <c:v>43263</c:v>
                </c:pt>
                <c:pt idx="55">
                  <c:v>43264</c:v>
                </c:pt>
                <c:pt idx="56">
                  <c:v>43265</c:v>
                </c:pt>
                <c:pt idx="57">
                  <c:v>43266</c:v>
                </c:pt>
                <c:pt idx="58">
                  <c:v>43269</c:v>
                </c:pt>
                <c:pt idx="59">
                  <c:v>43270</c:v>
                </c:pt>
                <c:pt idx="60">
                  <c:v>43271</c:v>
                </c:pt>
                <c:pt idx="61">
                  <c:v>43272</c:v>
                </c:pt>
                <c:pt idx="62">
                  <c:v>43273</c:v>
                </c:pt>
                <c:pt idx="63">
                  <c:v>43276</c:v>
                </c:pt>
                <c:pt idx="64">
                  <c:v>43277</c:v>
                </c:pt>
                <c:pt idx="65">
                  <c:v>43278</c:v>
                </c:pt>
                <c:pt idx="66">
                  <c:v>43279</c:v>
                </c:pt>
                <c:pt idx="67">
                  <c:v>43280</c:v>
                </c:pt>
                <c:pt idx="68">
                  <c:v>43283</c:v>
                </c:pt>
                <c:pt idx="69">
                  <c:v>43284</c:v>
                </c:pt>
                <c:pt idx="70">
                  <c:v>43285</c:v>
                </c:pt>
                <c:pt idx="71">
                  <c:v>43286</c:v>
                </c:pt>
                <c:pt idx="72">
                  <c:v>43287</c:v>
                </c:pt>
                <c:pt idx="73">
                  <c:v>43290</c:v>
                </c:pt>
                <c:pt idx="74">
                  <c:v>43291</c:v>
                </c:pt>
                <c:pt idx="75">
                  <c:v>43292</c:v>
                </c:pt>
                <c:pt idx="76">
                  <c:v>43293</c:v>
                </c:pt>
                <c:pt idx="77">
                  <c:v>43294</c:v>
                </c:pt>
                <c:pt idx="78">
                  <c:v>43297</c:v>
                </c:pt>
                <c:pt idx="79">
                  <c:v>43298</c:v>
                </c:pt>
                <c:pt idx="80">
                  <c:v>43299</c:v>
                </c:pt>
                <c:pt idx="81">
                  <c:v>43300</c:v>
                </c:pt>
                <c:pt idx="82">
                  <c:v>43301</c:v>
                </c:pt>
                <c:pt idx="83">
                  <c:v>43304</c:v>
                </c:pt>
                <c:pt idx="84">
                  <c:v>43305</c:v>
                </c:pt>
                <c:pt idx="85">
                  <c:v>43306</c:v>
                </c:pt>
                <c:pt idx="86">
                  <c:v>43307</c:v>
                </c:pt>
                <c:pt idx="87">
                  <c:v>43308</c:v>
                </c:pt>
                <c:pt idx="88">
                  <c:v>43311</c:v>
                </c:pt>
                <c:pt idx="89">
                  <c:v>43312</c:v>
                </c:pt>
                <c:pt idx="90">
                  <c:v>43313</c:v>
                </c:pt>
                <c:pt idx="91">
                  <c:v>43314</c:v>
                </c:pt>
                <c:pt idx="92">
                  <c:v>43315</c:v>
                </c:pt>
                <c:pt idx="93">
                  <c:v>43318</c:v>
                </c:pt>
                <c:pt idx="94">
                  <c:v>43319</c:v>
                </c:pt>
                <c:pt idx="95">
                  <c:v>43320</c:v>
                </c:pt>
                <c:pt idx="96">
                  <c:v>43321</c:v>
                </c:pt>
                <c:pt idx="97">
                  <c:v>43322</c:v>
                </c:pt>
                <c:pt idx="98">
                  <c:v>43325</c:v>
                </c:pt>
                <c:pt idx="99">
                  <c:v>43326</c:v>
                </c:pt>
                <c:pt idx="100">
                  <c:v>43327</c:v>
                </c:pt>
                <c:pt idx="101">
                  <c:v>43328</c:v>
                </c:pt>
                <c:pt idx="102">
                  <c:v>43329</c:v>
                </c:pt>
                <c:pt idx="103">
                  <c:v>43332</c:v>
                </c:pt>
                <c:pt idx="104">
                  <c:v>43333</c:v>
                </c:pt>
                <c:pt idx="105">
                  <c:v>43334</c:v>
                </c:pt>
                <c:pt idx="106">
                  <c:v>43335</c:v>
                </c:pt>
                <c:pt idx="107">
                  <c:v>43336</c:v>
                </c:pt>
                <c:pt idx="108">
                  <c:v>43339</c:v>
                </c:pt>
                <c:pt idx="109">
                  <c:v>43340</c:v>
                </c:pt>
                <c:pt idx="110">
                  <c:v>43341</c:v>
                </c:pt>
                <c:pt idx="111">
                  <c:v>43342</c:v>
                </c:pt>
                <c:pt idx="112">
                  <c:v>43343</c:v>
                </c:pt>
                <c:pt idx="113">
                  <c:v>43346</c:v>
                </c:pt>
                <c:pt idx="114">
                  <c:v>43347</c:v>
                </c:pt>
                <c:pt idx="115">
                  <c:v>43348</c:v>
                </c:pt>
                <c:pt idx="116">
                  <c:v>43349</c:v>
                </c:pt>
                <c:pt idx="117">
                  <c:v>43350</c:v>
                </c:pt>
                <c:pt idx="118">
                  <c:v>43353</c:v>
                </c:pt>
                <c:pt idx="119">
                  <c:v>43354</c:v>
                </c:pt>
                <c:pt idx="120">
                  <c:v>43355</c:v>
                </c:pt>
                <c:pt idx="121">
                  <c:v>43356</c:v>
                </c:pt>
                <c:pt idx="122">
                  <c:v>43357</c:v>
                </c:pt>
                <c:pt idx="123">
                  <c:v>43360</c:v>
                </c:pt>
                <c:pt idx="124">
                  <c:v>43361</c:v>
                </c:pt>
                <c:pt idx="125">
                  <c:v>43362</c:v>
                </c:pt>
                <c:pt idx="126">
                  <c:v>43363</c:v>
                </c:pt>
                <c:pt idx="127">
                  <c:v>43364</c:v>
                </c:pt>
                <c:pt idx="128">
                  <c:v>43367</c:v>
                </c:pt>
                <c:pt idx="129">
                  <c:v>43368</c:v>
                </c:pt>
                <c:pt idx="130">
                  <c:v>43369</c:v>
                </c:pt>
                <c:pt idx="131">
                  <c:v>43370</c:v>
                </c:pt>
                <c:pt idx="132">
                  <c:v>43371</c:v>
                </c:pt>
                <c:pt idx="133">
                  <c:v>43374</c:v>
                </c:pt>
                <c:pt idx="134">
                  <c:v>43375</c:v>
                </c:pt>
                <c:pt idx="135">
                  <c:v>43376</c:v>
                </c:pt>
                <c:pt idx="136">
                  <c:v>43377</c:v>
                </c:pt>
                <c:pt idx="137">
                  <c:v>43378</c:v>
                </c:pt>
                <c:pt idx="138">
                  <c:v>43381</c:v>
                </c:pt>
                <c:pt idx="139">
                  <c:v>43382</c:v>
                </c:pt>
                <c:pt idx="140">
                  <c:v>43383</c:v>
                </c:pt>
                <c:pt idx="141">
                  <c:v>43384</c:v>
                </c:pt>
                <c:pt idx="142">
                  <c:v>43385</c:v>
                </c:pt>
                <c:pt idx="143">
                  <c:v>43388</c:v>
                </c:pt>
                <c:pt idx="144">
                  <c:v>43389</c:v>
                </c:pt>
                <c:pt idx="145">
                  <c:v>43390</c:v>
                </c:pt>
                <c:pt idx="146">
                  <c:v>43391</c:v>
                </c:pt>
                <c:pt idx="147">
                  <c:v>43392</c:v>
                </c:pt>
                <c:pt idx="148">
                  <c:v>43395</c:v>
                </c:pt>
                <c:pt idx="149">
                  <c:v>43396</c:v>
                </c:pt>
                <c:pt idx="150">
                  <c:v>43397</c:v>
                </c:pt>
                <c:pt idx="151">
                  <c:v>43398</c:v>
                </c:pt>
                <c:pt idx="152">
                  <c:v>43399</c:v>
                </c:pt>
                <c:pt idx="153">
                  <c:v>43402</c:v>
                </c:pt>
                <c:pt idx="154">
                  <c:v>43403</c:v>
                </c:pt>
                <c:pt idx="155">
                  <c:v>43404</c:v>
                </c:pt>
                <c:pt idx="156">
                  <c:v>43405</c:v>
                </c:pt>
                <c:pt idx="157">
                  <c:v>43406</c:v>
                </c:pt>
                <c:pt idx="158">
                  <c:v>43409</c:v>
                </c:pt>
                <c:pt idx="159">
                  <c:v>43410</c:v>
                </c:pt>
                <c:pt idx="160">
                  <c:v>43411</c:v>
                </c:pt>
                <c:pt idx="161">
                  <c:v>43412</c:v>
                </c:pt>
                <c:pt idx="162">
                  <c:v>43413</c:v>
                </c:pt>
                <c:pt idx="163">
                  <c:v>43416</c:v>
                </c:pt>
                <c:pt idx="164">
                  <c:v>43417</c:v>
                </c:pt>
                <c:pt idx="165">
                  <c:v>43418</c:v>
                </c:pt>
                <c:pt idx="166">
                  <c:v>43419</c:v>
                </c:pt>
                <c:pt idx="167">
                  <c:v>43420</c:v>
                </c:pt>
                <c:pt idx="168">
                  <c:v>43423</c:v>
                </c:pt>
                <c:pt idx="169">
                  <c:v>43424</c:v>
                </c:pt>
                <c:pt idx="170">
                  <c:v>43425</c:v>
                </c:pt>
                <c:pt idx="171">
                  <c:v>43426</c:v>
                </c:pt>
                <c:pt idx="172">
                  <c:v>43427</c:v>
                </c:pt>
                <c:pt idx="173">
                  <c:v>43430</c:v>
                </c:pt>
                <c:pt idx="174">
                  <c:v>43431</c:v>
                </c:pt>
                <c:pt idx="175">
                  <c:v>43432</c:v>
                </c:pt>
                <c:pt idx="176">
                  <c:v>43433</c:v>
                </c:pt>
                <c:pt idx="177">
                  <c:v>43434</c:v>
                </c:pt>
                <c:pt idx="178">
                  <c:v>43437</c:v>
                </c:pt>
                <c:pt idx="179">
                  <c:v>43438</c:v>
                </c:pt>
                <c:pt idx="180">
                  <c:v>43439</c:v>
                </c:pt>
                <c:pt idx="181">
                  <c:v>43440</c:v>
                </c:pt>
                <c:pt idx="182">
                  <c:v>43441</c:v>
                </c:pt>
                <c:pt idx="183">
                  <c:v>43444</c:v>
                </c:pt>
                <c:pt idx="184">
                  <c:v>43445</c:v>
                </c:pt>
                <c:pt idx="185">
                  <c:v>43446</c:v>
                </c:pt>
                <c:pt idx="186">
                  <c:v>43447</c:v>
                </c:pt>
                <c:pt idx="187">
                  <c:v>43448</c:v>
                </c:pt>
                <c:pt idx="188">
                  <c:v>43451</c:v>
                </c:pt>
                <c:pt idx="189">
                  <c:v>43452</c:v>
                </c:pt>
                <c:pt idx="190">
                  <c:v>43453</c:v>
                </c:pt>
                <c:pt idx="191">
                  <c:v>43454</c:v>
                </c:pt>
                <c:pt idx="192">
                  <c:v>43455</c:v>
                </c:pt>
                <c:pt idx="193">
                  <c:v>43458</c:v>
                </c:pt>
                <c:pt idx="194">
                  <c:v>43460</c:v>
                </c:pt>
                <c:pt idx="195">
                  <c:v>43461</c:v>
                </c:pt>
                <c:pt idx="196">
                  <c:v>43462</c:v>
                </c:pt>
                <c:pt idx="197">
                  <c:v>43465</c:v>
                </c:pt>
                <c:pt idx="198">
                  <c:v>43467</c:v>
                </c:pt>
                <c:pt idx="199">
                  <c:v>43468</c:v>
                </c:pt>
                <c:pt idx="200">
                  <c:v>43469</c:v>
                </c:pt>
                <c:pt idx="201">
                  <c:v>43472</c:v>
                </c:pt>
                <c:pt idx="202">
                  <c:v>43473</c:v>
                </c:pt>
                <c:pt idx="203">
                  <c:v>43474</c:v>
                </c:pt>
                <c:pt idx="204">
                  <c:v>43475</c:v>
                </c:pt>
                <c:pt idx="205">
                  <c:v>43476</c:v>
                </c:pt>
                <c:pt idx="206">
                  <c:v>43479</c:v>
                </c:pt>
                <c:pt idx="207">
                  <c:v>43480</c:v>
                </c:pt>
                <c:pt idx="208">
                  <c:v>43481</c:v>
                </c:pt>
                <c:pt idx="209">
                  <c:v>43482</c:v>
                </c:pt>
                <c:pt idx="210">
                  <c:v>43483</c:v>
                </c:pt>
                <c:pt idx="211">
                  <c:v>43486</c:v>
                </c:pt>
                <c:pt idx="212">
                  <c:v>43487</c:v>
                </c:pt>
                <c:pt idx="213">
                  <c:v>43488</c:v>
                </c:pt>
                <c:pt idx="214">
                  <c:v>43489</c:v>
                </c:pt>
                <c:pt idx="215">
                  <c:v>43490</c:v>
                </c:pt>
                <c:pt idx="216">
                  <c:v>43493</c:v>
                </c:pt>
                <c:pt idx="217">
                  <c:v>43494</c:v>
                </c:pt>
                <c:pt idx="218">
                  <c:v>43495</c:v>
                </c:pt>
                <c:pt idx="219">
                  <c:v>43496</c:v>
                </c:pt>
                <c:pt idx="220">
                  <c:v>43497</c:v>
                </c:pt>
                <c:pt idx="221">
                  <c:v>43500</c:v>
                </c:pt>
                <c:pt idx="222">
                  <c:v>43501</c:v>
                </c:pt>
                <c:pt idx="223">
                  <c:v>43502</c:v>
                </c:pt>
                <c:pt idx="224">
                  <c:v>43503</c:v>
                </c:pt>
                <c:pt idx="225">
                  <c:v>43504</c:v>
                </c:pt>
                <c:pt idx="226">
                  <c:v>43507</c:v>
                </c:pt>
                <c:pt idx="227">
                  <c:v>43508</c:v>
                </c:pt>
                <c:pt idx="228">
                  <c:v>43509</c:v>
                </c:pt>
                <c:pt idx="229">
                  <c:v>43510</c:v>
                </c:pt>
                <c:pt idx="230">
                  <c:v>43511</c:v>
                </c:pt>
                <c:pt idx="231">
                  <c:v>43514</c:v>
                </c:pt>
                <c:pt idx="232">
                  <c:v>43515</c:v>
                </c:pt>
                <c:pt idx="233">
                  <c:v>43516</c:v>
                </c:pt>
                <c:pt idx="234">
                  <c:v>43517</c:v>
                </c:pt>
                <c:pt idx="235">
                  <c:v>43518</c:v>
                </c:pt>
                <c:pt idx="236">
                  <c:v>43521</c:v>
                </c:pt>
                <c:pt idx="237">
                  <c:v>43522</c:v>
                </c:pt>
                <c:pt idx="238">
                  <c:v>43523</c:v>
                </c:pt>
                <c:pt idx="239">
                  <c:v>43524</c:v>
                </c:pt>
                <c:pt idx="240">
                  <c:v>43525</c:v>
                </c:pt>
                <c:pt idx="241">
                  <c:v>43528</c:v>
                </c:pt>
                <c:pt idx="242">
                  <c:v>43529</c:v>
                </c:pt>
                <c:pt idx="243">
                  <c:v>43530</c:v>
                </c:pt>
                <c:pt idx="244">
                  <c:v>43531</c:v>
                </c:pt>
                <c:pt idx="245">
                  <c:v>43532</c:v>
                </c:pt>
                <c:pt idx="246">
                  <c:v>43535</c:v>
                </c:pt>
                <c:pt idx="247">
                  <c:v>43536</c:v>
                </c:pt>
                <c:pt idx="248">
                  <c:v>43537</c:v>
                </c:pt>
                <c:pt idx="249">
                  <c:v>43538</c:v>
                </c:pt>
                <c:pt idx="250">
                  <c:v>43539</c:v>
                </c:pt>
                <c:pt idx="251">
                  <c:v>43542</c:v>
                </c:pt>
                <c:pt idx="252">
                  <c:v>43543</c:v>
                </c:pt>
                <c:pt idx="253">
                  <c:v>43544</c:v>
                </c:pt>
                <c:pt idx="254">
                  <c:v>43545</c:v>
                </c:pt>
                <c:pt idx="255">
                  <c:v>43546</c:v>
                </c:pt>
                <c:pt idx="256">
                  <c:v>43549</c:v>
                </c:pt>
                <c:pt idx="257">
                  <c:v>43550</c:v>
                </c:pt>
                <c:pt idx="258">
                  <c:v>43551</c:v>
                </c:pt>
                <c:pt idx="259">
                  <c:v>43552</c:v>
                </c:pt>
                <c:pt idx="260">
                  <c:v>43553</c:v>
                </c:pt>
                <c:pt idx="261">
                  <c:v>43556</c:v>
                </c:pt>
                <c:pt idx="262">
                  <c:v>43557</c:v>
                </c:pt>
                <c:pt idx="263">
                  <c:v>43558</c:v>
                </c:pt>
                <c:pt idx="264">
                  <c:v>43559</c:v>
                </c:pt>
                <c:pt idx="265">
                  <c:v>43560</c:v>
                </c:pt>
                <c:pt idx="266">
                  <c:v>43563</c:v>
                </c:pt>
                <c:pt idx="267">
                  <c:v>43564</c:v>
                </c:pt>
                <c:pt idx="268">
                  <c:v>43565</c:v>
                </c:pt>
                <c:pt idx="269">
                  <c:v>43566</c:v>
                </c:pt>
                <c:pt idx="270">
                  <c:v>43567</c:v>
                </c:pt>
                <c:pt idx="271">
                  <c:v>43570</c:v>
                </c:pt>
                <c:pt idx="272">
                  <c:v>43571</c:v>
                </c:pt>
                <c:pt idx="273">
                  <c:v>43572</c:v>
                </c:pt>
                <c:pt idx="274">
                  <c:v>43573</c:v>
                </c:pt>
                <c:pt idx="275">
                  <c:v>43578</c:v>
                </c:pt>
                <c:pt idx="276">
                  <c:v>43579</c:v>
                </c:pt>
                <c:pt idx="277">
                  <c:v>43580</c:v>
                </c:pt>
                <c:pt idx="278">
                  <c:v>43581</c:v>
                </c:pt>
                <c:pt idx="279">
                  <c:v>43584</c:v>
                </c:pt>
                <c:pt idx="280">
                  <c:v>43585</c:v>
                </c:pt>
                <c:pt idx="281">
                  <c:v>43586</c:v>
                </c:pt>
                <c:pt idx="282">
                  <c:v>43587</c:v>
                </c:pt>
                <c:pt idx="283">
                  <c:v>43588</c:v>
                </c:pt>
                <c:pt idx="284">
                  <c:v>43591</c:v>
                </c:pt>
                <c:pt idx="285">
                  <c:v>43592</c:v>
                </c:pt>
                <c:pt idx="286">
                  <c:v>43593</c:v>
                </c:pt>
                <c:pt idx="287">
                  <c:v>43594</c:v>
                </c:pt>
                <c:pt idx="288">
                  <c:v>43595</c:v>
                </c:pt>
                <c:pt idx="289">
                  <c:v>43598</c:v>
                </c:pt>
                <c:pt idx="290">
                  <c:v>43599</c:v>
                </c:pt>
                <c:pt idx="291">
                  <c:v>43600</c:v>
                </c:pt>
                <c:pt idx="292">
                  <c:v>43601</c:v>
                </c:pt>
                <c:pt idx="293">
                  <c:v>43602</c:v>
                </c:pt>
                <c:pt idx="294">
                  <c:v>43605</c:v>
                </c:pt>
                <c:pt idx="295">
                  <c:v>43606</c:v>
                </c:pt>
                <c:pt idx="296">
                  <c:v>43607</c:v>
                </c:pt>
                <c:pt idx="297">
                  <c:v>43608</c:v>
                </c:pt>
                <c:pt idx="298">
                  <c:v>43609</c:v>
                </c:pt>
                <c:pt idx="299">
                  <c:v>43612</c:v>
                </c:pt>
                <c:pt idx="300">
                  <c:v>43613</c:v>
                </c:pt>
                <c:pt idx="301">
                  <c:v>43614</c:v>
                </c:pt>
                <c:pt idx="302">
                  <c:v>43615</c:v>
                </c:pt>
                <c:pt idx="303">
                  <c:v>43616</c:v>
                </c:pt>
                <c:pt idx="304">
                  <c:v>43619</c:v>
                </c:pt>
                <c:pt idx="305">
                  <c:v>43620</c:v>
                </c:pt>
                <c:pt idx="306">
                  <c:v>43621</c:v>
                </c:pt>
                <c:pt idx="307">
                  <c:v>43622</c:v>
                </c:pt>
                <c:pt idx="308">
                  <c:v>43623</c:v>
                </c:pt>
                <c:pt idx="309">
                  <c:v>43626</c:v>
                </c:pt>
                <c:pt idx="310">
                  <c:v>43627</c:v>
                </c:pt>
                <c:pt idx="311">
                  <c:v>43628</c:v>
                </c:pt>
                <c:pt idx="312">
                  <c:v>43629</c:v>
                </c:pt>
                <c:pt idx="313">
                  <c:v>43630</c:v>
                </c:pt>
                <c:pt idx="314">
                  <c:v>43633</c:v>
                </c:pt>
                <c:pt idx="315">
                  <c:v>43634</c:v>
                </c:pt>
                <c:pt idx="316">
                  <c:v>43635</c:v>
                </c:pt>
                <c:pt idx="317">
                  <c:v>43636</c:v>
                </c:pt>
                <c:pt idx="318">
                  <c:v>43637</c:v>
                </c:pt>
                <c:pt idx="319">
                  <c:v>43640</c:v>
                </c:pt>
                <c:pt idx="320">
                  <c:v>43641</c:v>
                </c:pt>
                <c:pt idx="321">
                  <c:v>43642</c:v>
                </c:pt>
                <c:pt idx="322">
                  <c:v>43643</c:v>
                </c:pt>
                <c:pt idx="323">
                  <c:v>43644</c:v>
                </c:pt>
              </c:numCache>
            </c:numRef>
          </c:cat>
          <c:val>
            <c:numRef>
              <c:f>Sheet1!$C$2:$C$325</c:f>
              <c:numCache>
                <c:formatCode>General</c:formatCode>
                <c:ptCount val="324"/>
                <c:pt idx="5" formatCode="#,##0">
                  <c:v>14715</c:v>
                </c:pt>
                <c:pt idx="6" formatCode="#,##0">
                  <c:v>14715</c:v>
                </c:pt>
                <c:pt idx="7" formatCode="#,##0">
                  <c:v>14805</c:v>
                </c:pt>
                <c:pt idx="8" formatCode="#,##0">
                  <c:v>14820</c:v>
                </c:pt>
                <c:pt idx="9" formatCode="#,##0">
                  <c:v>17000</c:v>
                </c:pt>
                <c:pt idx="10" formatCode="#,##0">
                  <c:v>17000</c:v>
                </c:pt>
                <c:pt idx="11" formatCode="#,##0">
                  <c:v>16880</c:v>
                </c:pt>
                <c:pt idx="12" formatCode="#,##0">
                  <c:v>16945</c:v>
                </c:pt>
                <c:pt idx="13" formatCode="#,##0">
                  <c:v>16880</c:v>
                </c:pt>
                <c:pt idx="14" formatCode="#,##0">
                  <c:v>16880</c:v>
                </c:pt>
                <c:pt idx="15" formatCode="#,##0">
                  <c:v>16880</c:v>
                </c:pt>
                <c:pt idx="16" formatCode="#,##0">
                  <c:v>16910</c:v>
                </c:pt>
                <c:pt idx="17" formatCode="#,##0">
                  <c:v>17360</c:v>
                </c:pt>
                <c:pt idx="18" formatCode="#,##0">
                  <c:v>16970</c:v>
                </c:pt>
                <c:pt idx="19" formatCode="#,##0">
                  <c:v>17020</c:v>
                </c:pt>
                <c:pt idx="20" formatCode="#,##0">
                  <c:v>16985</c:v>
                </c:pt>
                <c:pt idx="21" formatCode="#,##0">
                  <c:v>17035</c:v>
                </c:pt>
                <c:pt idx="22" formatCode="#,##0">
                  <c:v>17030</c:v>
                </c:pt>
                <c:pt idx="23" formatCode="#,##0">
                  <c:v>17255</c:v>
                </c:pt>
                <c:pt idx="24" formatCode="#,##0">
                  <c:v>17235</c:v>
                </c:pt>
                <c:pt idx="25" formatCode="#,##0">
                  <c:v>15985</c:v>
                </c:pt>
                <c:pt idx="26" formatCode="#,##0">
                  <c:v>15995</c:v>
                </c:pt>
                <c:pt idx="27" formatCode="#,##0">
                  <c:v>15689</c:v>
                </c:pt>
                <c:pt idx="28" formatCode="#,##0">
                  <c:v>15644</c:v>
                </c:pt>
                <c:pt idx="29" formatCode="#,##0">
                  <c:v>15644</c:v>
                </c:pt>
                <c:pt idx="30" formatCode="#,##0">
                  <c:v>15644</c:v>
                </c:pt>
                <c:pt idx="31" formatCode="#,##0">
                  <c:v>15764</c:v>
                </c:pt>
                <c:pt idx="32" formatCode="#,##0">
                  <c:v>15824</c:v>
                </c:pt>
                <c:pt idx="33" formatCode="#,##0">
                  <c:v>15974</c:v>
                </c:pt>
                <c:pt idx="34" formatCode="#,##0">
                  <c:v>16154</c:v>
                </c:pt>
                <c:pt idx="35" formatCode="#,##0">
                  <c:v>16049</c:v>
                </c:pt>
                <c:pt idx="36" formatCode="#,##0">
                  <c:v>16109</c:v>
                </c:pt>
                <c:pt idx="37" formatCode="#,##0">
                  <c:v>16089</c:v>
                </c:pt>
                <c:pt idx="38" formatCode="#,##0">
                  <c:v>16089</c:v>
                </c:pt>
                <c:pt idx="39" formatCode="#,##0">
                  <c:v>16089</c:v>
                </c:pt>
                <c:pt idx="40" formatCode="#,##0">
                  <c:v>16089</c:v>
                </c:pt>
                <c:pt idx="41" formatCode="#,##0">
                  <c:v>16104</c:v>
                </c:pt>
                <c:pt idx="42" formatCode="#,##0">
                  <c:v>16109</c:v>
                </c:pt>
                <c:pt idx="43" formatCode="#,##0">
                  <c:v>16109</c:v>
                </c:pt>
                <c:pt idx="44" formatCode="#,##0">
                  <c:v>16089</c:v>
                </c:pt>
                <c:pt idx="45" formatCode="#,##0">
                  <c:v>16209</c:v>
                </c:pt>
                <c:pt idx="46" formatCode="#,##0">
                  <c:v>16209</c:v>
                </c:pt>
                <c:pt idx="47" formatCode="#,##0">
                  <c:v>14239</c:v>
                </c:pt>
                <c:pt idx="48" formatCode="#,##0">
                  <c:v>14269</c:v>
                </c:pt>
                <c:pt idx="49" formatCode="#,##0">
                  <c:v>14254</c:v>
                </c:pt>
                <c:pt idx="50" formatCode="#,##0">
                  <c:v>14254</c:v>
                </c:pt>
                <c:pt idx="51" formatCode="#,##0">
                  <c:v>14329</c:v>
                </c:pt>
                <c:pt idx="52" formatCode="#,##0">
                  <c:v>14329</c:v>
                </c:pt>
                <c:pt idx="53" formatCode="#,##0">
                  <c:v>14374</c:v>
                </c:pt>
                <c:pt idx="54" formatCode="#,##0">
                  <c:v>14419</c:v>
                </c:pt>
                <c:pt idx="55" formatCode="#,##0">
                  <c:v>14449</c:v>
                </c:pt>
                <c:pt idx="56" formatCode="#,##0">
                  <c:v>14449</c:v>
                </c:pt>
                <c:pt idx="57" formatCode="#,##0">
                  <c:v>14449</c:v>
                </c:pt>
                <c:pt idx="58" formatCode="#,##0">
                  <c:v>14449</c:v>
                </c:pt>
                <c:pt idx="59" formatCode="#,##0">
                  <c:v>14449</c:v>
                </c:pt>
                <c:pt idx="60" formatCode="#,##0">
                  <c:v>14449</c:v>
                </c:pt>
                <c:pt idx="61" formatCode="#,##0">
                  <c:v>14449</c:v>
                </c:pt>
                <c:pt idx="62" formatCode="#,##0">
                  <c:v>14449</c:v>
                </c:pt>
                <c:pt idx="63" formatCode="#,##0">
                  <c:v>14449</c:v>
                </c:pt>
                <c:pt idx="64" formatCode="#,##0">
                  <c:v>14499</c:v>
                </c:pt>
                <c:pt idx="65" formatCode="#,##0">
                  <c:v>14499</c:v>
                </c:pt>
                <c:pt idx="66" formatCode="#,##0">
                  <c:v>14529</c:v>
                </c:pt>
                <c:pt idx="67" formatCode="#,##0">
                  <c:v>14529</c:v>
                </c:pt>
                <c:pt idx="68" formatCode="#,##0">
                  <c:v>12839</c:v>
                </c:pt>
                <c:pt idx="69" formatCode="#,##0">
                  <c:v>12839</c:v>
                </c:pt>
                <c:pt idx="70" formatCode="#,##0">
                  <c:v>12854</c:v>
                </c:pt>
                <c:pt idx="71" formatCode="#,##0">
                  <c:v>12899</c:v>
                </c:pt>
                <c:pt idx="72" formatCode="#,##0">
                  <c:v>12869</c:v>
                </c:pt>
                <c:pt idx="73" formatCode="#,##0">
                  <c:v>12879</c:v>
                </c:pt>
                <c:pt idx="74" formatCode="#,##0">
                  <c:v>12879</c:v>
                </c:pt>
                <c:pt idx="75" formatCode="#,##0">
                  <c:v>12879</c:v>
                </c:pt>
                <c:pt idx="76" formatCode="#,##0">
                  <c:v>12879</c:v>
                </c:pt>
                <c:pt idx="77" formatCode="#,##0">
                  <c:v>12879</c:v>
                </c:pt>
                <c:pt idx="78" formatCode="#,##0">
                  <c:v>12954</c:v>
                </c:pt>
                <c:pt idx="79" formatCode="#,##0">
                  <c:v>12944</c:v>
                </c:pt>
                <c:pt idx="80" formatCode="#,##0">
                  <c:v>12944</c:v>
                </c:pt>
                <c:pt idx="81" formatCode="#,##0">
                  <c:v>12974</c:v>
                </c:pt>
                <c:pt idx="82" formatCode="#,##0">
                  <c:v>12994</c:v>
                </c:pt>
                <c:pt idx="83" formatCode="#,##0">
                  <c:v>12979</c:v>
                </c:pt>
                <c:pt idx="84" formatCode="#,##0">
                  <c:v>13024</c:v>
                </c:pt>
                <c:pt idx="85" formatCode="#,##0">
                  <c:v>13024</c:v>
                </c:pt>
                <c:pt idx="86" formatCode="#,##0">
                  <c:v>13024</c:v>
                </c:pt>
                <c:pt idx="87" formatCode="#,##0">
                  <c:v>13104</c:v>
                </c:pt>
                <c:pt idx="88" formatCode="#,##0">
                  <c:v>13064</c:v>
                </c:pt>
                <c:pt idx="89" formatCode="#,##0">
                  <c:v>13064</c:v>
                </c:pt>
                <c:pt idx="90" formatCode="#,##0">
                  <c:v>11686</c:v>
                </c:pt>
                <c:pt idx="91" formatCode="#,##0">
                  <c:v>11671</c:v>
                </c:pt>
                <c:pt idx="92" formatCode="#,##0">
                  <c:v>11671</c:v>
                </c:pt>
                <c:pt idx="93" formatCode="#,##0">
                  <c:v>11691</c:v>
                </c:pt>
                <c:pt idx="94" formatCode="#,##0">
                  <c:v>11676</c:v>
                </c:pt>
                <c:pt idx="95" formatCode="#,##0">
                  <c:v>11676</c:v>
                </c:pt>
                <c:pt idx="96" formatCode="#,##0">
                  <c:v>11736</c:v>
                </c:pt>
                <c:pt idx="97" formatCode="#,##0">
                  <c:v>11741</c:v>
                </c:pt>
                <c:pt idx="98" formatCode="#,##0">
                  <c:v>11676</c:v>
                </c:pt>
                <c:pt idx="99" formatCode="#,##0">
                  <c:v>11676</c:v>
                </c:pt>
                <c:pt idx="100" formatCode="#,##0">
                  <c:v>11676</c:v>
                </c:pt>
                <c:pt idx="101" formatCode="#,##0">
                  <c:v>11691</c:v>
                </c:pt>
                <c:pt idx="102" formatCode="#,##0">
                  <c:v>11691</c:v>
                </c:pt>
                <c:pt idx="103" formatCode="#,##0">
                  <c:v>11721</c:v>
                </c:pt>
                <c:pt idx="104" formatCode="#,##0">
                  <c:v>11691</c:v>
                </c:pt>
                <c:pt idx="105" formatCode="#,##0">
                  <c:v>11706</c:v>
                </c:pt>
                <c:pt idx="106" formatCode="#,##0">
                  <c:v>11741</c:v>
                </c:pt>
                <c:pt idx="107" formatCode="#,##0">
                  <c:v>11711</c:v>
                </c:pt>
                <c:pt idx="108" formatCode="#,##0">
                  <c:v>11721</c:v>
                </c:pt>
                <c:pt idx="109" formatCode="#,##0">
                  <c:v>11721</c:v>
                </c:pt>
                <c:pt idx="110" formatCode="#,##0">
                  <c:v>11751</c:v>
                </c:pt>
                <c:pt idx="111" formatCode="#,##0">
                  <c:v>11771</c:v>
                </c:pt>
                <c:pt idx="112" formatCode="#,##0">
                  <c:v>11771</c:v>
                </c:pt>
                <c:pt idx="113" formatCode="#,##0">
                  <c:v>10348</c:v>
                </c:pt>
                <c:pt idx="114" formatCode="#,##0">
                  <c:v>10348</c:v>
                </c:pt>
                <c:pt idx="115" formatCode="#,##0">
                  <c:v>10348</c:v>
                </c:pt>
                <c:pt idx="116" formatCode="#,##0">
                  <c:v>10378</c:v>
                </c:pt>
                <c:pt idx="117" formatCode="#,##0">
                  <c:v>10408</c:v>
                </c:pt>
                <c:pt idx="118" formatCode="#,##0">
                  <c:v>10468</c:v>
                </c:pt>
                <c:pt idx="119" formatCode="#,##0">
                  <c:v>10558</c:v>
                </c:pt>
                <c:pt idx="120" formatCode="#,##0">
                  <c:v>10543</c:v>
                </c:pt>
                <c:pt idx="121" formatCode="#,##0">
                  <c:v>10633</c:v>
                </c:pt>
                <c:pt idx="122" formatCode="#,##0">
                  <c:v>10738</c:v>
                </c:pt>
                <c:pt idx="123" formatCode="#,##0">
                  <c:v>10783</c:v>
                </c:pt>
                <c:pt idx="124" formatCode="#,##0">
                  <c:v>10783</c:v>
                </c:pt>
                <c:pt idx="125" formatCode="#,##0">
                  <c:v>10853</c:v>
                </c:pt>
                <c:pt idx="126" formatCode="#,##0">
                  <c:v>10993</c:v>
                </c:pt>
                <c:pt idx="127" formatCode="#,##0">
                  <c:v>11003</c:v>
                </c:pt>
                <c:pt idx="128" formatCode="#,##0">
                  <c:v>11003</c:v>
                </c:pt>
                <c:pt idx="129" formatCode="#,##0">
                  <c:v>11003</c:v>
                </c:pt>
                <c:pt idx="130" formatCode="#,##0">
                  <c:v>11333</c:v>
                </c:pt>
                <c:pt idx="131" formatCode="#,##0">
                  <c:v>11708</c:v>
                </c:pt>
                <c:pt idx="132" formatCode="#,##0">
                  <c:v>11738</c:v>
                </c:pt>
                <c:pt idx="133" formatCode="#,##0">
                  <c:v>9901</c:v>
                </c:pt>
                <c:pt idx="134" formatCode="#,##0">
                  <c:v>9916</c:v>
                </c:pt>
                <c:pt idx="135" formatCode="#,##0">
                  <c:v>10011</c:v>
                </c:pt>
                <c:pt idx="136" formatCode="#,##0">
                  <c:v>9921</c:v>
                </c:pt>
                <c:pt idx="137" formatCode="#,##0">
                  <c:v>9917</c:v>
                </c:pt>
                <c:pt idx="138" formatCode="#,##0">
                  <c:v>9902</c:v>
                </c:pt>
                <c:pt idx="139" formatCode="#,##0">
                  <c:v>9902</c:v>
                </c:pt>
                <c:pt idx="140" formatCode="#,##0">
                  <c:v>9992</c:v>
                </c:pt>
                <c:pt idx="141" formatCode="#,##0">
                  <c:v>10667</c:v>
                </c:pt>
                <c:pt idx="142" formatCode="#,##0">
                  <c:v>11047</c:v>
                </c:pt>
                <c:pt idx="143" formatCode="#,##0">
                  <c:v>10952</c:v>
                </c:pt>
                <c:pt idx="144" formatCode="#,##0">
                  <c:v>11062</c:v>
                </c:pt>
                <c:pt idx="145" formatCode="#,##0">
                  <c:v>11067</c:v>
                </c:pt>
                <c:pt idx="146" formatCode="#,##0">
                  <c:v>10977</c:v>
                </c:pt>
                <c:pt idx="147" formatCode="#,##0">
                  <c:v>11082</c:v>
                </c:pt>
                <c:pt idx="148" formatCode="#,##0">
                  <c:v>11052</c:v>
                </c:pt>
                <c:pt idx="149" formatCode="#,##0">
                  <c:v>11122</c:v>
                </c:pt>
                <c:pt idx="150" formatCode="#,##0">
                  <c:v>11277</c:v>
                </c:pt>
                <c:pt idx="151" formatCode="#,##0">
                  <c:v>11422</c:v>
                </c:pt>
                <c:pt idx="152" formatCode="#,##0">
                  <c:v>11502</c:v>
                </c:pt>
                <c:pt idx="153" formatCode="#,##0">
                  <c:v>11467</c:v>
                </c:pt>
                <c:pt idx="154" formatCode="#,##0">
                  <c:v>11502</c:v>
                </c:pt>
                <c:pt idx="155" formatCode="#,##0">
                  <c:v>11657</c:v>
                </c:pt>
                <c:pt idx="156" formatCode="#,##0">
                  <c:v>10264</c:v>
                </c:pt>
                <c:pt idx="157" formatCode="#,##0">
                  <c:v>10414</c:v>
                </c:pt>
                <c:pt idx="158" formatCode="#,##0">
                  <c:v>10414</c:v>
                </c:pt>
                <c:pt idx="159" formatCode="#,##0">
                  <c:v>10414</c:v>
                </c:pt>
                <c:pt idx="160" formatCode="#,##0">
                  <c:v>10529</c:v>
                </c:pt>
                <c:pt idx="161" formatCode="#,##0">
                  <c:v>10949</c:v>
                </c:pt>
                <c:pt idx="162" formatCode="#,##0">
                  <c:v>10949</c:v>
                </c:pt>
                <c:pt idx="163" formatCode="#,##0">
                  <c:v>11504</c:v>
                </c:pt>
                <c:pt idx="164" formatCode="#,##0">
                  <c:v>11639</c:v>
                </c:pt>
                <c:pt idx="165" formatCode="#,##0">
                  <c:v>11754</c:v>
                </c:pt>
                <c:pt idx="166" formatCode="#,##0">
                  <c:v>11659</c:v>
                </c:pt>
                <c:pt idx="167" formatCode="#,##0">
                  <c:v>11654</c:v>
                </c:pt>
                <c:pt idx="168" formatCode="#,##0">
                  <c:v>11789</c:v>
                </c:pt>
                <c:pt idx="169" formatCode="#,##0">
                  <c:v>11799</c:v>
                </c:pt>
                <c:pt idx="170" formatCode="#,##0">
                  <c:v>12064</c:v>
                </c:pt>
                <c:pt idx="171" formatCode="#,##0">
                  <c:v>12244</c:v>
                </c:pt>
                <c:pt idx="172" formatCode="#,##0">
                  <c:v>12229</c:v>
                </c:pt>
                <c:pt idx="173" formatCode="#,##0">
                  <c:v>12334</c:v>
                </c:pt>
                <c:pt idx="174" formatCode="#,##0">
                  <c:v>12609</c:v>
                </c:pt>
                <c:pt idx="175" formatCode="#,##0">
                  <c:v>12484</c:v>
                </c:pt>
                <c:pt idx="176" formatCode="#,##0">
                  <c:v>12424</c:v>
                </c:pt>
                <c:pt idx="177" formatCode="#,##0">
                  <c:v>12379</c:v>
                </c:pt>
                <c:pt idx="178" formatCode="#,##0">
                  <c:v>10997</c:v>
                </c:pt>
                <c:pt idx="179" formatCode="#,##0">
                  <c:v>11147</c:v>
                </c:pt>
                <c:pt idx="180" formatCode="#,##0">
                  <c:v>11242</c:v>
                </c:pt>
                <c:pt idx="181" formatCode="#,##0">
                  <c:v>11152</c:v>
                </c:pt>
                <c:pt idx="182" formatCode="#,##0">
                  <c:v>11157</c:v>
                </c:pt>
                <c:pt idx="183" formatCode="#,##0">
                  <c:v>11162</c:v>
                </c:pt>
                <c:pt idx="184" formatCode="#,##0">
                  <c:v>11162</c:v>
                </c:pt>
                <c:pt idx="185" formatCode="#,##0">
                  <c:v>11227</c:v>
                </c:pt>
                <c:pt idx="186" formatCode="#,##0">
                  <c:v>11097</c:v>
                </c:pt>
                <c:pt idx="187" formatCode="#,##0">
                  <c:v>11342</c:v>
                </c:pt>
                <c:pt idx="188" formatCode="#,##0">
                  <c:v>11377</c:v>
                </c:pt>
                <c:pt idx="189" formatCode="#,##0">
                  <c:v>11257</c:v>
                </c:pt>
                <c:pt idx="190" formatCode="#,##0">
                  <c:v>11452</c:v>
                </c:pt>
                <c:pt idx="191" formatCode="#,##0">
                  <c:v>11662</c:v>
                </c:pt>
                <c:pt idx="192" formatCode="#,##0">
                  <c:v>11787</c:v>
                </c:pt>
                <c:pt idx="193" formatCode="#,##0">
                  <c:v>11787</c:v>
                </c:pt>
                <c:pt idx="194" formatCode="#,##0">
                  <c:v>11787</c:v>
                </c:pt>
                <c:pt idx="195" formatCode="#,##0">
                  <c:v>11787</c:v>
                </c:pt>
                <c:pt idx="196" formatCode="#,##0">
                  <c:v>10145</c:v>
                </c:pt>
                <c:pt idx="197" formatCode="#,##0">
                  <c:v>10145</c:v>
                </c:pt>
                <c:pt idx="198" formatCode="#,##0">
                  <c:v>10145</c:v>
                </c:pt>
                <c:pt idx="199" formatCode="#,##0">
                  <c:v>10275</c:v>
                </c:pt>
                <c:pt idx="200" formatCode="#,##0">
                  <c:v>10370</c:v>
                </c:pt>
                <c:pt idx="201" formatCode="#,##0">
                  <c:v>10370</c:v>
                </c:pt>
                <c:pt idx="202" formatCode="#,##0">
                  <c:v>10445</c:v>
                </c:pt>
                <c:pt idx="203" formatCode="#,##0">
                  <c:v>10475</c:v>
                </c:pt>
                <c:pt idx="204" formatCode="#,##0">
                  <c:v>10775</c:v>
                </c:pt>
                <c:pt idx="205" formatCode="#,##0">
                  <c:v>10525</c:v>
                </c:pt>
                <c:pt idx="206" formatCode="#,##0">
                  <c:v>10525</c:v>
                </c:pt>
                <c:pt idx="207" formatCode="#,##0">
                  <c:v>10735</c:v>
                </c:pt>
                <c:pt idx="208" formatCode="#,##0">
                  <c:v>12235</c:v>
                </c:pt>
                <c:pt idx="209" formatCode="#,##0">
                  <c:v>12215</c:v>
                </c:pt>
                <c:pt idx="210" formatCode="#,##0">
                  <c:v>12350</c:v>
                </c:pt>
                <c:pt idx="211" formatCode="#,##0">
                  <c:v>12320</c:v>
                </c:pt>
                <c:pt idx="212" formatCode="#,##0">
                  <c:v>12390</c:v>
                </c:pt>
                <c:pt idx="213" formatCode="#,##0">
                  <c:v>12645</c:v>
                </c:pt>
                <c:pt idx="214" formatCode="#,##0">
                  <c:v>12645</c:v>
                </c:pt>
                <c:pt idx="215" formatCode="#,##0">
                  <c:v>12625</c:v>
                </c:pt>
                <c:pt idx="216" formatCode="#,##0">
                  <c:v>12915</c:v>
                </c:pt>
                <c:pt idx="217" formatCode="#,##0">
                  <c:v>12925</c:v>
                </c:pt>
                <c:pt idx="218" formatCode="#,##0">
                  <c:v>13240</c:v>
                </c:pt>
                <c:pt idx="219" formatCode="#,##0">
                  <c:v>13580</c:v>
                </c:pt>
                <c:pt idx="220" formatCode="#,##0">
                  <c:v>12460</c:v>
                </c:pt>
                <c:pt idx="221" formatCode="#,##0">
                  <c:v>12430</c:v>
                </c:pt>
                <c:pt idx="222" formatCode="#,##0">
                  <c:v>12630</c:v>
                </c:pt>
                <c:pt idx="223" formatCode="#,##0">
                  <c:v>12870</c:v>
                </c:pt>
                <c:pt idx="224" formatCode="#,##0">
                  <c:v>12880</c:v>
                </c:pt>
                <c:pt idx="225" formatCode="#,##0">
                  <c:v>12820</c:v>
                </c:pt>
                <c:pt idx="226" formatCode="#,##0">
                  <c:v>12945</c:v>
                </c:pt>
                <c:pt idx="227" formatCode="#,##0">
                  <c:v>13040</c:v>
                </c:pt>
                <c:pt idx="228" formatCode="#,##0">
                  <c:v>13370</c:v>
                </c:pt>
                <c:pt idx="229" formatCode="#,##0">
                  <c:v>13400</c:v>
                </c:pt>
                <c:pt idx="230" formatCode="#,##0">
                  <c:v>13485</c:v>
                </c:pt>
                <c:pt idx="231" formatCode="#,##0">
                  <c:v>13585</c:v>
                </c:pt>
                <c:pt idx="232" formatCode="#,##0">
                  <c:v>13580</c:v>
                </c:pt>
                <c:pt idx="233" formatCode="#,##0">
                  <c:v>13715</c:v>
                </c:pt>
                <c:pt idx="234" formatCode="#,##0">
                  <c:v>14245</c:v>
                </c:pt>
                <c:pt idx="235" formatCode="#,##0">
                  <c:v>14060</c:v>
                </c:pt>
                <c:pt idx="236" formatCode="#,##0">
                  <c:v>14160</c:v>
                </c:pt>
                <c:pt idx="237" formatCode="#,##0">
                  <c:v>14225</c:v>
                </c:pt>
                <c:pt idx="238" formatCode="#,##0">
                  <c:v>14465</c:v>
                </c:pt>
                <c:pt idx="239" formatCode="#,##0">
                  <c:v>14655</c:v>
                </c:pt>
                <c:pt idx="240" formatCode="#,##0">
                  <c:v>13225</c:v>
                </c:pt>
                <c:pt idx="241" formatCode="#,##0">
                  <c:v>13365</c:v>
                </c:pt>
                <c:pt idx="242" formatCode="#,##0">
                  <c:v>13495</c:v>
                </c:pt>
                <c:pt idx="243" formatCode="#,##0">
                  <c:v>15210</c:v>
                </c:pt>
                <c:pt idx="244" formatCode="#,##0">
                  <c:v>17095</c:v>
                </c:pt>
                <c:pt idx="245" formatCode="#,##0">
                  <c:v>17200</c:v>
                </c:pt>
                <c:pt idx="246" formatCode="#,##0">
                  <c:v>17160</c:v>
                </c:pt>
                <c:pt idx="247" formatCode="#,##0">
                  <c:v>17320</c:v>
                </c:pt>
                <c:pt idx="248" formatCode="#,##0">
                  <c:v>17610</c:v>
                </c:pt>
                <c:pt idx="249" formatCode="#,##0">
                  <c:v>17680</c:v>
                </c:pt>
                <c:pt idx="250" formatCode="#,##0">
                  <c:v>17735</c:v>
                </c:pt>
                <c:pt idx="251" formatCode="#,##0">
                  <c:v>17830</c:v>
                </c:pt>
                <c:pt idx="252" formatCode="#,##0">
                  <c:v>18025</c:v>
                </c:pt>
                <c:pt idx="253" formatCode="#,##0">
                  <c:v>18655</c:v>
                </c:pt>
                <c:pt idx="254" formatCode="#,##0">
                  <c:v>18430</c:v>
                </c:pt>
                <c:pt idx="255" formatCode="#,##0">
                  <c:v>18390</c:v>
                </c:pt>
                <c:pt idx="256" formatCode="#,##0">
                  <c:v>18460</c:v>
                </c:pt>
                <c:pt idx="257" formatCode="#,##0">
                  <c:v>18535</c:v>
                </c:pt>
                <c:pt idx="258" formatCode="#,##0">
                  <c:v>18440</c:v>
                </c:pt>
                <c:pt idx="259" formatCode="#,##0">
                  <c:v>18665</c:v>
                </c:pt>
                <c:pt idx="260" formatCode="#,##0">
                  <c:v>18905</c:v>
                </c:pt>
                <c:pt idx="261" formatCode="#,##0">
                  <c:v>16925</c:v>
                </c:pt>
                <c:pt idx="262" formatCode="#,##0">
                  <c:v>16895</c:v>
                </c:pt>
                <c:pt idx="263" formatCode="#,##0">
                  <c:v>16910</c:v>
                </c:pt>
                <c:pt idx="264" formatCode="#,##0">
                  <c:v>16895</c:v>
                </c:pt>
                <c:pt idx="265" formatCode="#,##0">
                  <c:v>16995</c:v>
                </c:pt>
                <c:pt idx="266" formatCode="#,##0">
                  <c:v>17425</c:v>
                </c:pt>
                <c:pt idx="267" formatCode="#,##0">
                  <c:v>17410</c:v>
                </c:pt>
                <c:pt idx="268" formatCode="#,##0">
                  <c:v>17920</c:v>
                </c:pt>
                <c:pt idx="269" formatCode="#,##0">
                  <c:v>17965</c:v>
                </c:pt>
                <c:pt idx="270" formatCode="#,##0">
                  <c:v>18025</c:v>
                </c:pt>
                <c:pt idx="271" formatCode="#,##0">
                  <c:v>18300</c:v>
                </c:pt>
                <c:pt idx="272" formatCode="#,##0">
                  <c:v>18178</c:v>
                </c:pt>
                <c:pt idx="273" formatCode="#,##0">
                  <c:v>18185</c:v>
                </c:pt>
                <c:pt idx="274" formatCode="#,##0">
                  <c:v>18220</c:v>
                </c:pt>
                <c:pt idx="275" formatCode="#,##0">
                  <c:v>18355</c:v>
                </c:pt>
                <c:pt idx="276" formatCode="#,##0">
                  <c:v>18430</c:v>
                </c:pt>
                <c:pt idx="277" formatCode="#,##0">
                  <c:v>19050</c:v>
                </c:pt>
                <c:pt idx="278" formatCode="#,##0">
                  <c:v>19340</c:v>
                </c:pt>
                <c:pt idx="279" formatCode="#,##0">
                  <c:v>19385</c:v>
                </c:pt>
                <c:pt idx="280" formatCode="#,##0">
                  <c:v>19480</c:v>
                </c:pt>
                <c:pt idx="281" formatCode="#,##0">
                  <c:v>17210</c:v>
                </c:pt>
                <c:pt idx="282" formatCode="#,##0">
                  <c:v>17535</c:v>
                </c:pt>
                <c:pt idx="283" formatCode="#,##0">
                  <c:v>17755</c:v>
                </c:pt>
                <c:pt idx="284" formatCode="#,##0">
                  <c:v>17790</c:v>
                </c:pt>
                <c:pt idx="285" formatCode="#,##0">
                  <c:v>17865</c:v>
                </c:pt>
                <c:pt idx="286" formatCode="#,##0">
                  <c:v>18520</c:v>
                </c:pt>
                <c:pt idx="287" formatCode="#,##0">
                  <c:v>18510</c:v>
                </c:pt>
                <c:pt idx="288" formatCode="#,##0">
                  <c:v>18635</c:v>
                </c:pt>
                <c:pt idx="289" formatCode="#,##0">
                  <c:v>18710</c:v>
                </c:pt>
                <c:pt idx="290" formatCode="#,##0">
                  <c:v>18830</c:v>
                </c:pt>
                <c:pt idx="291" formatCode="#,##0">
                  <c:v>18850</c:v>
                </c:pt>
                <c:pt idx="292" formatCode="#,##0">
                  <c:v>18895</c:v>
                </c:pt>
                <c:pt idx="293" formatCode="#,##0">
                  <c:v>18915</c:v>
                </c:pt>
                <c:pt idx="294" formatCode="#,##0">
                  <c:v>18965</c:v>
                </c:pt>
                <c:pt idx="295" formatCode="#,##0">
                  <c:v>18960</c:v>
                </c:pt>
                <c:pt idx="296" formatCode="#,##0">
                  <c:v>19080</c:v>
                </c:pt>
                <c:pt idx="297" formatCode="#,##0">
                  <c:v>19140</c:v>
                </c:pt>
                <c:pt idx="298" formatCode="#,##0">
                  <c:v>19280</c:v>
                </c:pt>
                <c:pt idx="299" formatCode="#,##0">
                  <c:v>19220</c:v>
                </c:pt>
                <c:pt idx="300" formatCode="#,##0">
                  <c:v>19220</c:v>
                </c:pt>
                <c:pt idx="301" formatCode="#,##0">
                  <c:v>19160</c:v>
                </c:pt>
                <c:pt idx="302" formatCode="#,##0">
                  <c:v>19260</c:v>
                </c:pt>
                <c:pt idx="303" formatCode="#,##0">
                  <c:v>19295</c:v>
                </c:pt>
                <c:pt idx="304" formatCode="#,##0">
                  <c:v>17490</c:v>
                </c:pt>
                <c:pt idx="305" formatCode="#,##0">
                  <c:v>17520</c:v>
                </c:pt>
                <c:pt idx="306" formatCode="#,##0">
                  <c:v>17590</c:v>
                </c:pt>
                <c:pt idx="307" formatCode="#,##0">
                  <c:v>17745</c:v>
                </c:pt>
                <c:pt idx="308" formatCode="#,##0">
                  <c:v>17815</c:v>
                </c:pt>
                <c:pt idx="309" formatCode="#,##0">
                  <c:v>17840</c:v>
                </c:pt>
                <c:pt idx="310" formatCode="#,##0">
                  <c:v>17815</c:v>
                </c:pt>
                <c:pt idx="311" formatCode="#,##0">
                  <c:v>17825</c:v>
                </c:pt>
                <c:pt idx="312" formatCode="#,##0">
                  <c:v>17945</c:v>
                </c:pt>
                <c:pt idx="313" formatCode="#,##0">
                  <c:v>17955</c:v>
                </c:pt>
                <c:pt idx="314" formatCode="#,##0">
                  <c:v>18085</c:v>
                </c:pt>
                <c:pt idx="315" formatCode="#,##0">
                  <c:v>18010</c:v>
                </c:pt>
                <c:pt idx="316" formatCode="#,##0">
                  <c:v>18055</c:v>
                </c:pt>
                <c:pt idx="317" formatCode="#,##0">
                  <c:v>18055</c:v>
                </c:pt>
                <c:pt idx="318" formatCode="#,##0">
                  <c:v>18130</c:v>
                </c:pt>
              </c:numCache>
            </c:numRef>
          </c:val>
          <c:smooth val="0"/>
          <c:extLst xmlns:c16r2="http://schemas.microsoft.com/office/drawing/2015/06/chart">
            <c:ext xmlns:c16="http://schemas.microsoft.com/office/drawing/2014/chart" uri="{C3380CC4-5D6E-409C-BE32-E72D297353CC}">
              <c16:uniqueId val="{00000001-0D00-4D2C-8161-824E774DB8F5}"/>
            </c:ext>
          </c:extLst>
        </c:ser>
        <c:dLbls>
          <c:showLegendKey val="0"/>
          <c:showVal val="0"/>
          <c:showCatName val="0"/>
          <c:showSerName val="0"/>
          <c:showPercent val="0"/>
          <c:showBubbleSize val="0"/>
        </c:dLbls>
        <c:smooth val="0"/>
        <c:axId val="326746320"/>
        <c:axId val="430567032"/>
      </c:lineChart>
      <c:dateAx>
        <c:axId val="326746320"/>
        <c:scaling>
          <c:orientation val="minMax"/>
        </c:scaling>
        <c:delete val="0"/>
        <c:axPos val="b"/>
        <c:numFmt formatCode="m/d/yyyy" sourceLinked="1"/>
        <c:majorTickMark val="in"/>
        <c:minorTickMark val="none"/>
        <c:tickLblPos val="nextTo"/>
        <c:spPr>
          <a:noFill/>
          <a:ln w="9525" cap="flat" cmpd="sng" algn="ctr">
            <a:solidFill>
              <a:schemeClr val="bg2"/>
            </a:solidFill>
            <a:round/>
          </a:ln>
          <a:effectLst/>
        </c:spPr>
        <c:txPr>
          <a:bodyPr rot="0" spcFirstLastPara="1" vertOverflow="ellipsis" wrap="square" anchor="ctr" anchorCtr="1"/>
          <a:lstStyle/>
          <a:p>
            <a:pPr>
              <a:defRPr sz="800" b="0" i="0" u="none" strike="noStrike" kern="1200" baseline="0">
                <a:solidFill>
                  <a:schemeClr val="bg1">
                    <a:lumMod val="65000"/>
                  </a:schemeClr>
                </a:solidFill>
                <a:latin typeface="+mn-lt"/>
                <a:ea typeface="+mn-ea"/>
                <a:cs typeface="+mn-cs"/>
              </a:defRPr>
            </a:pPr>
            <a:endParaRPr lang="en-US"/>
          </a:p>
        </c:txPr>
        <c:crossAx val="430567032"/>
        <c:crosses val="autoZero"/>
        <c:auto val="1"/>
        <c:lblOffset val="100"/>
        <c:baseTimeUnit val="days"/>
        <c:majorUnit val="2"/>
        <c:majorTimeUnit val="months"/>
      </c:dateAx>
      <c:valAx>
        <c:axId val="430567032"/>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en-US"/>
          </a:p>
        </c:txPr>
        <c:crossAx val="326746320"/>
        <c:crosses val="autoZero"/>
        <c:crossBetween val="midCat"/>
      </c:valAx>
      <c:spPr>
        <a:noFill/>
        <a:ln>
          <a:solidFill>
            <a:schemeClr val="bg2"/>
          </a:solidFill>
        </a:ln>
        <a:effectLst/>
      </c:spPr>
    </c:plotArea>
    <c:legend>
      <c:legendPos val="r"/>
      <c:layout>
        <c:manualLayout>
          <c:xMode val="edge"/>
          <c:yMode val="edge"/>
          <c:x val="0.80719463582677164"/>
          <c:y val="0.10250251584015035"/>
          <c:w val="0.15196136811023622"/>
          <c:h val="9.592469882352984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0fbe147-bbda-4e53-b6b1-7e8bbff3fe19">ESMA70-156-1362</_dlc_DocId>
    <TaxCatchAll xmlns="20fbe147-bbda-4e53-b6b1-7e8bbff3fe19">
      <Value>474</Value>
      <Value>5</Value>
      <Value>602</Value>
      <Value>2</Value>
      <Value>434</Value>
    </TaxCatchAll>
    <_dlc_DocIdUrl xmlns="20fbe147-bbda-4e53-b6b1-7e8bbff3fe19">
      <Url>https://sherpa.esma.europa.eu/sites/MKT/SMK/_layouts/15/DocIdRedir.aspx?ID=ESMA70-156-1362</Url>
      <Description>ESMA70-156-1362</Description>
    </_dlc_DocIdUrl>
    <Year xmlns="20fbe147-bbda-4e53-b6b1-7e8bbff3fe19">2019</Year>
    <MeetingDate xmlns="20fbe147-bbda-4e53-b6b1-7e8bbff3fe19"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64c18f63-8e0f-46d8-84d6-b5a5f7a39938</TermId>
        </TermInfo>
      </Terms>
    </bce29119141747ccb9ac7d87218ed4af>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MiFID II 90(1)(f) - Position limits</TermName>
          <TermId xmlns="http://schemas.microsoft.com/office/infopath/2007/PartnerControls">e81dbf1e-3064-4884-a3c8-df0a9f8119ae</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eed0a0b2ea6941718a34434e243f3d8f>
  </documentManagement>
</p:properties>
</file>

<file path=customXml/item2.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 ds:uri="http://schemas.microsoft.com/sharepoint/v4"/>
    <ds:schemaRef ds:uri="20fbe147-bbda-4e53-b6b1-7e8bbff3fe19"/>
  </ds:schemaRefs>
</ds:datastoreItem>
</file>

<file path=customXml/itemProps2.xml><?xml version="1.0" encoding="utf-8"?>
<ds:datastoreItem xmlns:ds="http://schemas.openxmlformats.org/officeDocument/2006/customXml" ds:itemID="{C4A87B1C-94F7-4601-8DD2-296DC1F53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4.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5.xml><?xml version="1.0" encoding="utf-8"?>
<ds:datastoreItem xmlns:ds="http://schemas.openxmlformats.org/officeDocument/2006/customXml" ds:itemID="{3206B50A-A539-4B9C-B88F-8EC69167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Template>
  <TotalTime>115</TotalTime>
  <Pages>28</Pages>
  <Words>10172</Words>
  <Characters>57987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68023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Anje Stiers</cp:lastModifiedBy>
  <cp:revision>12</cp:revision>
  <cp:lastPrinted>2017-07-24T14:47:00Z</cp:lastPrinted>
  <dcterms:created xsi:type="dcterms:W3CDTF">2019-07-05T06:52:00Z</dcterms:created>
  <dcterms:modified xsi:type="dcterms:W3CDTF">2019-07-05T13:58:00Z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2;#Restricted|187aa7e6-627f-4951-b138-6ff841dc883d</vt:lpwstr>
  </property>
  <property fmtid="{D5CDD505-2E9C-101B-9397-08002B2CF9AE}" pid="4" name="ContentTypeId">
    <vt:lpwstr>0x01010001BD15C3986B91498E0AE644B715B9EE010D00757D222C6B0DA241B5F74437644107D4</vt:lpwstr>
  </property>
  <property fmtid="{D5CDD505-2E9C-101B-9397-08002B2CF9AE}" pid="5" name="_dlc_DocIdItemGuid">
    <vt:lpwstr>1f1dd253-cb59-4268-8c71-4ba6659b0f5e</vt:lpwstr>
  </property>
  <property fmtid="{D5CDD505-2E9C-101B-9397-08002B2CF9AE}" pid="6" name="DocumentType">
    <vt:lpwstr>602;#Call for Evidence|4dd13041-d074-4513-b0c9-9d450ea451f0</vt:lpwstr>
  </property>
  <property fmtid="{D5CDD505-2E9C-101B-9397-08002B2CF9AE}" pid="7" name="Topic">
    <vt:lpwstr>434;#MiFID reports|3c5cc422-10d2-4956-abed-da9583ea216a</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5;#Secondary Markets|64c18f63-8e0f-46d8-84d6-b5a5f7a39938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474;#MiFID reports - MiFID II 90(1)(f) - Position limits|e81dbf1e-3064-4884-a3c8-df0a9f8119ae</vt:lpwstr>
  </property>
</Properties>
</file>