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490" w:type="dxa"/>
            <w:tblLayout w:type="fixed"/>
            <w:tblCellMar>
              <w:left w:w="0" w:type="dxa"/>
              <w:right w:w="0" w:type="dxa"/>
            </w:tblCellMar>
            <w:tblLook w:val="01E0" w:firstRow="1" w:lastRow="1" w:firstColumn="1" w:lastColumn="1" w:noHBand="0" w:noVBand="0"/>
          </w:tblPr>
          <w:tblGrid>
            <w:gridCol w:w="10490"/>
          </w:tblGrid>
          <w:tr w:rsidR="00AF2EF7" w:rsidRPr="00B8572C" w14:paraId="55D8B106" w14:textId="77777777" w:rsidTr="00D13661">
            <w:trPr>
              <w:trHeight w:hRule="exact" w:val="1492"/>
            </w:trPr>
            <w:tc>
              <w:tcPr>
                <w:tcW w:w="10490" w:type="dxa"/>
                <w:vAlign w:val="bottom"/>
              </w:tcPr>
              <w:p w14:paraId="2A8545EF" w14:textId="7618F5E0" w:rsidR="00AF2EF7" w:rsidRPr="00B8572C" w:rsidRDefault="00C1698A" w:rsidP="00D13661">
                <w:pPr>
                  <w:pStyle w:val="Titre"/>
                  <w:spacing w:line="276" w:lineRule="auto"/>
                  <w:ind w:right="854"/>
                  <w:rPr>
                    <w:rFonts w:asciiTheme="minorHAnsi" w:hAnsiTheme="minorHAnsi" w:cstheme="minorHAnsi"/>
                    <w:sz w:val="48"/>
                    <w:szCs w:val="48"/>
                  </w:rPr>
                </w:pPr>
                <w:r>
                  <w:rPr>
                    <w:rFonts w:asciiTheme="minorHAnsi" w:hAnsiTheme="minorHAnsi" w:cstheme="minorHAnsi"/>
                    <w:sz w:val="48"/>
                    <w:szCs w:val="48"/>
                  </w:rPr>
                  <w:t>Re</w:t>
                </w:r>
                <w:r w:rsidR="00961EE5">
                  <w:rPr>
                    <w:rFonts w:asciiTheme="minorHAnsi" w:hAnsiTheme="minorHAnsi" w:cstheme="minorHAnsi"/>
                    <w:sz w:val="48"/>
                    <w:szCs w:val="48"/>
                  </w:rPr>
                  <w:t xml:space="preserve">ply </w:t>
                </w:r>
                <w:r>
                  <w:rPr>
                    <w:rFonts w:asciiTheme="minorHAnsi" w:hAnsiTheme="minorHAnsi" w:cstheme="minorHAnsi"/>
                    <w:sz w:val="48"/>
                    <w:szCs w:val="48"/>
                  </w:rPr>
                  <w:t xml:space="preserve">Form to the </w:t>
                </w:r>
                <w:r w:rsidR="008B2AF1">
                  <w:rPr>
                    <w:rFonts w:asciiTheme="minorHAnsi" w:hAnsiTheme="minorHAnsi" w:cstheme="minorHAnsi"/>
                    <w:sz w:val="48"/>
                    <w:szCs w:val="48"/>
                  </w:rPr>
                  <w:t>C</w:t>
                </w:r>
                <w:r w:rsidR="000F74C4">
                  <w:rPr>
                    <w:rFonts w:asciiTheme="minorHAnsi" w:hAnsiTheme="minorHAnsi" w:cstheme="minorHAnsi"/>
                    <w:sz w:val="48"/>
                    <w:szCs w:val="48"/>
                  </w:rPr>
                  <w:t xml:space="preserve">all for Evidence </w:t>
                </w:r>
              </w:p>
            </w:tc>
          </w:tr>
          <w:tr w:rsidR="00AB6157" w:rsidRPr="00B8572C" w14:paraId="76D253F5" w14:textId="77777777" w:rsidTr="00D13661">
            <w:trPr>
              <w:trHeight w:hRule="exact" w:val="747"/>
            </w:trPr>
            <w:tc>
              <w:tcPr>
                <w:tcW w:w="10490" w:type="dxa"/>
                <w:tcMar>
                  <w:top w:w="142" w:type="dxa"/>
                </w:tcMar>
              </w:tcPr>
              <w:p w14:paraId="26CF3934" w14:textId="070012CF" w:rsidR="00AB6157" w:rsidRPr="00B8572C" w:rsidRDefault="00AB6157" w:rsidP="00AB6157">
                <w:pPr>
                  <w:pStyle w:val="Titre2"/>
                  <w:numPr>
                    <w:ilvl w:val="0"/>
                    <w:numId w:val="0"/>
                  </w:numPr>
                  <w:ind w:left="576" w:hanging="576"/>
                </w:pPr>
                <w:r>
                  <w:t>Position limits and position management in commodity derivatives</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w:t>
          </w:r>
          <w:proofErr w:type="gramStart"/>
          <w:r w:rsidRPr="00AB6157">
            <w:rPr>
              <w:rFonts w:asciiTheme="minorHAnsi" w:eastAsiaTheme="minorEastAsia" w:hAnsiTheme="minorHAnsi" w:cstheme="minorBidi"/>
              <w:sz w:val="22"/>
              <w:szCs w:val="20"/>
              <w:lang w:eastAsia="en-US"/>
            </w:rPr>
            <w:t>in particular on</w:t>
          </w:r>
          <w:proofErr w:type="gramEnd"/>
          <w:r w:rsidRPr="00AB6157">
            <w:rPr>
              <w:rFonts w:asciiTheme="minorHAnsi" w:eastAsiaTheme="minorEastAsia" w:hAnsiTheme="minorHAnsi" w:cstheme="minorBidi"/>
              <w:sz w:val="22"/>
              <w:szCs w:val="20"/>
              <w:lang w:eastAsia="en-US"/>
            </w:rPr>
            <w:t xml:space="preserve"> the specific questions summarised in Annex 1.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by </w:t>
          </w:r>
          <w:r w:rsidRPr="00AB6157">
            <w:rPr>
              <w:rFonts w:asciiTheme="minorHAnsi" w:eastAsiaTheme="minorEastAsia" w:hAnsiTheme="minorHAnsi" w:cstheme="minorBidi"/>
              <w:b/>
              <w:sz w:val="22"/>
              <w:szCs w:val="20"/>
              <w:lang w:eastAsia="en-US"/>
            </w:rPr>
            <w:t xml:space="preserve">5 July 2019. </w:t>
          </w:r>
        </w:p>
        <w:p w14:paraId="6ABAAC1F" w14:textId="012F5EED"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8"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Please follow the instructions given in the document ‘Reply form for the call for evidence on </w:t>
          </w:r>
          <w:r w:rsidRPr="00AB6157">
            <w:rPr>
              <w:rFonts w:asciiTheme="minorHAnsi" w:eastAsiaTheme="minorEastAsia" w:hAnsiTheme="minorHAnsi" w:cstheme="minorBidi"/>
              <w:color w:val="2F5496" w:themeColor="accent5" w:themeShade="BF"/>
              <w:sz w:val="22"/>
              <w:szCs w:val="20"/>
              <w:lang w:eastAsia="en-US"/>
            </w:rPr>
            <w:t>position limits and position management controls in commodity derivatives</w:t>
          </w:r>
          <w:r w:rsidRPr="00AB6157">
            <w:rPr>
              <w:rFonts w:asciiTheme="minorHAnsi" w:eastAsiaTheme="minorEastAsia" w:hAnsiTheme="minorHAnsi" w:cstheme="minorBidi"/>
              <w:sz w:val="22"/>
              <w:szCs w:val="20"/>
              <w:lang w:eastAsia="en-US"/>
            </w:rPr>
            <w:t>’ also published on the ESMA website.</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11073FE0"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proofErr w:type="gramStart"/>
          <w:r w:rsidRPr="00C85C8B">
            <w:rPr>
              <w:rFonts w:asciiTheme="minorHAnsi" w:eastAsiaTheme="minorEastAsia" w:hAnsiTheme="minorHAnsi" w:cstheme="minorBidi"/>
              <w:sz w:val="22"/>
              <w:szCs w:val="20"/>
              <w:lang w:eastAsia="en-US"/>
            </w:rPr>
            <w:t>In order to</w:t>
          </w:r>
          <w:proofErr w:type="gramEnd"/>
          <w:r w:rsidRPr="00C85C8B">
            <w:rPr>
              <w:rFonts w:asciiTheme="minorHAnsi" w:eastAsiaTheme="minorEastAsia" w:hAnsiTheme="minorHAnsi" w:cstheme="minorBidi"/>
              <w:sz w:val="22"/>
              <w:szCs w:val="20"/>
              <w:lang w:eastAsia="en-US"/>
            </w:rPr>
            <w:t xml:space="preserve"> facilitate analysis of responses to the C</w:t>
          </w:r>
          <w:r w:rsidR="000F74C4">
            <w:rPr>
              <w:rFonts w:asciiTheme="minorHAnsi" w:eastAsiaTheme="minorEastAsia" w:hAnsiTheme="minorHAnsi" w:cstheme="minorBidi"/>
              <w:sz w:val="22"/>
              <w:szCs w:val="20"/>
              <w:lang w:eastAsia="en-US"/>
            </w:rPr>
            <w:t>all for Evidence</w:t>
          </w:r>
          <w:r w:rsidRPr="00C85C8B">
            <w:rPr>
              <w:rFonts w:asciiTheme="minorHAnsi" w:eastAsiaTheme="minorEastAsia" w:hAnsiTheme="minorHAnsi" w:cstheme="minorBidi"/>
              <w:sz w:val="22"/>
              <w:szCs w:val="20"/>
              <w:lang w:eastAsia="en-US"/>
            </w:rPr>
            <w:t>, respondents are requested to follow the below steps when preparing and submitting their response:</w:t>
          </w:r>
        </w:p>
        <w:p w14:paraId="1200930E" w14:textId="520F1116" w:rsidR="00C85C8B" w:rsidRPr="00C85C8B" w:rsidRDefault="00C85C8B" w:rsidP="00E7297E">
          <w:pPr>
            <w:pStyle w:val="Paragraphedelist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Insert your responses to the questions in the C</w:t>
          </w:r>
          <w:r w:rsidR="000F74C4">
            <w:rPr>
              <w:rFonts w:eastAsiaTheme="minorEastAsia" w:cstheme="minorBidi"/>
              <w:szCs w:val="20"/>
              <w:lang w:eastAsia="en-US"/>
            </w:rPr>
            <w:t>all for Evidence</w:t>
          </w:r>
          <w:r w:rsidRPr="00C85C8B">
            <w:rPr>
              <w:rFonts w:eastAsiaTheme="minorEastAsia" w:cstheme="minorBidi"/>
              <w:szCs w:val="20"/>
              <w:lang w:eastAsia="en-US"/>
            </w:rPr>
            <w:t xml:space="preserve"> in the present response form. </w:t>
          </w:r>
        </w:p>
        <w:p w14:paraId="3B16398E" w14:textId="77E76614" w:rsidR="00C85C8B" w:rsidRPr="00C85C8B" w:rsidRDefault="00C85C8B" w:rsidP="00C85C8B">
          <w:pPr>
            <w:pStyle w:val="Paragraphedelist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AB6157">
            <w:rPr>
              <w:rFonts w:eastAsiaTheme="minorEastAsia" w:cstheme="minorBidi"/>
              <w:szCs w:val="20"/>
              <w:lang w:eastAsia="en-US"/>
            </w:rPr>
            <w:t>PLPM</w:t>
          </w:r>
          <w:r w:rsidRPr="00C85C8B">
            <w:rPr>
              <w:rFonts w:eastAsiaTheme="minorEastAsia" w:cstheme="minorBidi"/>
              <w:szCs w:val="20"/>
              <w:lang w:eastAsia="en-US"/>
            </w:rPr>
            <w:t xml:space="preserve">_1&gt;. Your response to each question </w:t>
          </w:r>
          <w:proofErr w:type="gramStart"/>
          <w:r w:rsidRPr="00C85C8B">
            <w:rPr>
              <w:rFonts w:eastAsiaTheme="minorEastAsia" w:cstheme="minorBidi"/>
              <w:szCs w:val="20"/>
              <w:lang w:eastAsia="en-US"/>
            </w:rPr>
            <w:t>has to</w:t>
          </w:r>
          <w:proofErr w:type="gramEnd"/>
          <w:r w:rsidRPr="00C85C8B">
            <w:rPr>
              <w:rFonts w:eastAsiaTheme="minorEastAsia" w:cstheme="minorBidi"/>
              <w:szCs w:val="20"/>
              <w:lang w:eastAsia="en-US"/>
            </w:rPr>
            <w:t xml:space="preserve"> be framed by the two tags corresponding to the question.</w:t>
          </w:r>
        </w:p>
        <w:p w14:paraId="5CC57030" w14:textId="77777777" w:rsidR="00C85C8B" w:rsidRPr="00C85C8B" w:rsidRDefault="00C85C8B" w:rsidP="00C85C8B">
          <w:pPr>
            <w:pStyle w:val="Paragraphedelist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3A80B99F" w:rsidR="00C85C8B" w:rsidRPr="00C85C8B" w:rsidRDefault="00C85C8B" w:rsidP="00C85C8B">
          <w:pPr>
            <w:pStyle w:val="Paragraphedelist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 xml:space="preserve">the following convention: </w:t>
          </w:r>
          <w:proofErr w:type="spellStart"/>
          <w:r>
            <w:rPr>
              <w:rFonts w:eastAsiaTheme="minorEastAsia" w:cstheme="minorBidi"/>
              <w:szCs w:val="20"/>
              <w:lang w:eastAsia="en-US"/>
            </w:rPr>
            <w:t>ESMA_</w:t>
          </w:r>
          <w:r w:rsidR="00AB6157">
            <w:rPr>
              <w:rFonts w:eastAsiaTheme="minorEastAsia" w:cstheme="minorBidi"/>
              <w:szCs w:val="20"/>
              <w:lang w:eastAsia="en-US"/>
            </w:rPr>
            <w:t>PLPM</w:t>
          </w:r>
          <w:r w:rsidRPr="00C85C8B">
            <w:rPr>
              <w:rFonts w:eastAsiaTheme="minorEastAsia" w:cstheme="minorBidi"/>
              <w:szCs w:val="20"/>
              <w:lang w:eastAsia="en-US"/>
            </w:rPr>
            <w:t>_nameofrespondent_RESPONSEFORM</w:t>
          </w:r>
          <w:proofErr w:type="spellEnd"/>
          <w:r w:rsidRPr="00C85C8B">
            <w:rPr>
              <w:rFonts w:eastAsiaTheme="minorEastAsia" w:cstheme="minorBidi"/>
              <w:szCs w:val="20"/>
              <w:lang w:eastAsia="en-US"/>
            </w:rPr>
            <w:t>. For example, for a respondent named ABCD, the response</w:t>
          </w:r>
          <w:r>
            <w:rPr>
              <w:rFonts w:eastAsiaTheme="minorEastAsia" w:cstheme="minorBidi"/>
              <w:szCs w:val="20"/>
              <w:lang w:eastAsia="en-US"/>
            </w:rPr>
            <w:t xml:space="preserve"> form would be entitled </w:t>
          </w:r>
          <w:bookmarkStart w:id="0" w:name="_GoBack"/>
          <w:r>
            <w:rPr>
              <w:rFonts w:eastAsiaTheme="minorEastAsia" w:cstheme="minorBidi"/>
              <w:szCs w:val="20"/>
              <w:lang w:eastAsia="en-US"/>
            </w:rPr>
            <w:t>ESMA_</w:t>
          </w:r>
          <w:r w:rsidR="00AB6157">
            <w:rPr>
              <w:rFonts w:eastAsiaTheme="minorEastAsia" w:cstheme="minorBidi"/>
              <w:szCs w:val="20"/>
              <w:lang w:eastAsia="en-US"/>
            </w:rPr>
            <w:t>PLPM</w:t>
          </w:r>
          <w:r w:rsidRPr="00C85C8B">
            <w:rPr>
              <w:rFonts w:eastAsiaTheme="minorEastAsia" w:cstheme="minorBidi"/>
              <w:szCs w:val="20"/>
              <w:lang w:eastAsia="en-US"/>
            </w:rPr>
            <w:t>_</w:t>
          </w:r>
          <w:r w:rsidR="00FF0F66">
            <w:rPr>
              <w:rFonts w:eastAsiaTheme="minorEastAsia" w:cstheme="minorBidi"/>
              <w:szCs w:val="20"/>
              <w:lang w:eastAsia="en-US"/>
            </w:rPr>
            <w:t>INVIVO TRADING</w:t>
          </w:r>
          <w:r w:rsidRPr="00C85C8B">
            <w:rPr>
              <w:rFonts w:eastAsiaTheme="minorEastAsia" w:cstheme="minorBidi"/>
              <w:szCs w:val="20"/>
              <w:lang w:eastAsia="en-US"/>
            </w:rPr>
            <w:t>_RESPONSEFORM.</w:t>
          </w:r>
          <w:bookmarkEnd w:id="0"/>
        </w:p>
        <w:p w14:paraId="1A9C59D6" w14:textId="013251ED" w:rsidR="00C85C8B" w:rsidRPr="00C85C8B" w:rsidRDefault="00C85C8B" w:rsidP="00C85C8B">
          <w:pPr>
            <w:pStyle w:val="Paragraphedeliste"/>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9"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“C</w:t>
          </w:r>
          <w:r w:rsidR="000F74C4">
            <w:rPr>
              <w:rFonts w:eastAsiaTheme="minorEastAsia" w:cstheme="minorBidi"/>
              <w:szCs w:val="20"/>
              <w:lang w:eastAsia="en-US"/>
            </w:rPr>
            <w:t xml:space="preserve">all for Evidence </w:t>
          </w:r>
          <w:r w:rsidRPr="00C85C8B">
            <w:rPr>
              <w:rFonts w:eastAsiaTheme="minorEastAsia" w:cstheme="minorBidi"/>
              <w:szCs w:val="20"/>
              <w:lang w:eastAsia="en-US"/>
            </w:rPr>
            <w:t xml:space="preserve">on </w:t>
          </w:r>
          <w:r w:rsidR="00AB6157">
            <w:rPr>
              <w:rFonts w:eastAsiaTheme="minorEastAsia" w:cstheme="minorBidi"/>
              <w:szCs w:val="20"/>
              <w:lang w:eastAsia="en-US"/>
            </w:rPr>
            <w:t>Position limits and position management in commodities derivatives</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214D8BBA"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received will be published following the close of the consultation, unless you request otherwise. Please clearly and prominently indicate in your submission any part you do not wish to be </w:t>
          </w:r>
          <w:proofErr w:type="spellStart"/>
          <w:r w:rsidRPr="00AB6157">
            <w:rPr>
              <w:rFonts w:asciiTheme="minorHAnsi" w:eastAsiaTheme="minorEastAsia" w:hAnsiTheme="minorHAnsi" w:cstheme="minorBidi"/>
              <w:sz w:val="22"/>
              <w:szCs w:val="20"/>
              <w:lang w:eastAsia="en-US"/>
            </w:rPr>
            <w:t>publically</w:t>
          </w:r>
          <w:proofErr w:type="spellEnd"/>
          <w:r w:rsidRPr="00AB6157">
            <w:rPr>
              <w:rFonts w:asciiTheme="minorHAnsi" w:eastAsiaTheme="minorEastAsia" w:hAnsiTheme="minorHAnsi" w:cstheme="minorBidi"/>
              <w:sz w:val="22"/>
              <w:szCs w:val="20"/>
              <w:lang w:eastAsia="en-US"/>
            </w:rPr>
            <w:t xml:space="preserve">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t>Data protection</w:t>
          </w:r>
        </w:p>
        <w:p w14:paraId="1D46B82F"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Information on data protection can be found at </w:t>
          </w:r>
          <w:hyperlink r:id="rId20"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w:t>
          </w:r>
          <w:hyperlink r:id="rId21" w:history="1">
            <w:r w:rsidRPr="00AB6157">
              <w:rPr>
                <w:rFonts w:asciiTheme="minorHAnsi" w:eastAsiaTheme="minorEastAsia" w:hAnsiTheme="minorHAnsi" w:cstheme="minorBidi"/>
                <w:color w:val="0563C1" w:themeColor="hyperlink"/>
                <w:sz w:val="22"/>
                <w:szCs w:val="20"/>
                <w:u w:val="single"/>
                <w:lang w:eastAsia="en-US"/>
              </w:rPr>
              <w:t>Legal Notice</w:t>
            </w:r>
          </w:hyperlink>
          <w:r w:rsidRPr="00AB6157">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5B44E0DB" w14:textId="7777777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All interested stakeholders are invited to respond to this consultation paper. This consultation paper is primarily of interest to trading venues, investment firms and non-financial counterparties trading in commodity derivatives, but responses are also sought from any other market participant including trade associations, industry bodies and investors.</w:t>
          </w:r>
        </w:p>
        <w:p w14:paraId="14912E5E" w14:textId="1CE85474" w:rsidR="00AF2EF7" w:rsidRPr="00B8572C" w:rsidRDefault="00E50F80" w:rsidP="00AF2EF7">
          <w:pPr>
            <w:spacing w:after="120" w:line="276" w:lineRule="auto"/>
            <w:rPr>
              <w:rFonts w:asciiTheme="minorHAnsi" w:hAnsiTheme="minorHAnsi" w:cstheme="minorHAnsi"/>
            </w:rPr>
          </w:pP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Titre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1"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234CC4BE" w:rsidR="00C85C8B" w:rsidRPr="00C85C8B" w:rsidRDefault="00BA1914" w:rsidP="00C85C8B">
                <w:pPr>
                  <w:rPr>
                    <w:rFonts w:ascii="Arial" w:hAnsi="Arial" w:cs="Arial"/>
                    <w:color w:val="808080"/>
                    <w:sz w:val="20"/>
                    <w:lang w:eastAsia="de-DE"/>
                  </w:rPr>
                </w:pPr>
                <w:r>
                  <w:rPr>
                    <w:rFonts w:ascii="Arial" w:hAnsi="Arial" w:cs="Arial"/>
                    <w:color w:val="808080"/>
                    <w:sz w:val="20"/>
                    <w:lang w:eastAsia="de-DE"/>
                  </w:rPr>
                  <w:t>INVIVO TRADING</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0ECF78D5" w:rsidR="00C85C8B" w:rsidRPr="00C85C8B" w:rsidRDefault="00E50F80"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A1914">
                  <w:rPr>
                    <w:rFonts w:ascii="Arial" w:hAnsi="Arial" w:cs="Arial"/>
                    <w:sz w:val="20"/>
                    <w:lang w:eastAsia="de-DE"/>
                  </w:rPr>
                  <w:t>Non-financial counterparty</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C85C8B" w:rsidRDefault="00C85C8B" w:rsidP="00C85C8B">
                <w:pPr>
                  <w:rPr>
                    <w:rFonts w:ascii="Arial" w:hAnsi="Arial" w:cs="Arial"/>
                    <w:sz w:val="20"/>
                    <w:lang w:eastAsia="de-DE"/>
                  </w:rPr>
                </w:pPr>
                <w:r w:rsidRPr="00C85C8B">
                  <w:rPr>
                    <w:rFonts w:ascii="Segoe UI Symbol" w:hAnsi="Segoe UI Symbol" w:cs="Segoe UI Symbol"/>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17B3E794" w:rsidR="00C85C8B" w:rsidRPr="00C85C8B" w:rsidRDefault="00BA1914" w:rsidP="00C85C8B">
                <w:pPr>
                  <w:rPr>
                    <w:rFonts w:ascii="Arial" w:hAnsi="Arial" w:cs="Arial"/>
                    <w:sz w:val="20"/>
                    <w:lang w:eastAsia="de-DE"/>
                  </w:rPr>
                </w:pPr>
                <w:r>
                  <w:rPr>
                    <w:rFonts w:ascii="Arial" w:hAnsi="Arial" w:cs="Arial"/>
                    <w:sz w:val="20"/>
                    <w:lang w:eastAsia="de-DE"/>
                  </w:rPr>
                  <w:t>France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6E2DCC6F"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AB6157">
        <w:rPr>
          <w:rFonts w:asciiTheme="minorHAnsi" w:eastAsiaTheme="minorEastAsia" w:hAnsiTheme="minorHAnsi" w:cstheme="minorBidi"/>
          <w:sz w:val="22"/>
          <w:szCs w:val="20"/>
          <w:lang w:eastAsia="en-US"/>
        </w:rPr>
        <w:t>PLPM</w:t>
      </w:r>
      <w:r w:rsidRPr="00C85C8B">
        <w:rPr>
          <w:rFonts w:asciiTheme="minorHAnsi" w:eastAsiaTheme="minorEastAsia" w:hAnsiTheme="minorHAnsi" w:cstheme="minorBidi"/>
          <w:sz w:val="22"/>
          <w:szCs w:val="20"/>
          <w:lang w:eastAsia="en-US"/>
        </w:rPr>
        <w:t>_1&gt;</w:t>
      </w:r>
    </w:p>
    <w:p w14:paraId="01F80660" w14:textId="765D0EAA" w:rsidR="006D4714" w:rsidRDefault="006D4714" w:rsidP="006D4714">
      <w:pPr>
        <w:rPr>
          <w:lang w:val="en-US"/>
        </w:rPr>
      </w:pPr>
      <w:proofErr w:type="spellStart"/>
      <w:r>
        <w:rPr>
          <w:lang w:val="en-US"/>
        </w:rPr>
        <w:t>InVivo</w:t>
      </w:r>
      <w:proofErr w:type="spellEnd"/>
      <w:r>
        <w:rPr>
          <w:lang w:val="en-US"/>
        </w:rPr>
        <w:t xml:space="preserve"> Trading</w:t>
      </w:r>
      <w:r w:rsidRPr="00A005BC">
        <w:rPr>
          <w:lang w:val="en-US"/>
        </w:rPr>
        <w:t xml:space="preserve"> is the</w:t>
      </w:r>
      <w:r>
        <w:rPr>
          <w:lang w:val="en-US"/>
        </w:rPr>
        <w:t xml:space="preserve"> union of French</w:t>
      </w:r>
      <w:r w:rsidRPr="00A005BC">
        <w:rPr>
          <w:lang w:val="en-US"/>
        </w:rPr>
        <w:t xml:space="preserve"> </w:t>
      </w:r>
      <w:r>
        <w:rPr>
          <w:lang w:val="en-US"/>
        </w:rPr>
        <w:t>Cooperatives, active in</w:t>
      </w:r>
      <w:r>
        <w:rPr>
          <w:lang w:val="en-US"/>
        </w:rPr>
        <w:t xml:space="preserve"> </w:t>
      </w:r>
      <w:proofErr w:type="spellStart"/>
      <w:r>
        <w:rPr>
          <w:lang w:val="en-US"/>
        </w:rPr>
        <w:t>agri</w:t>
      </w:r>
      <w:proofErr w:type="spellEnd"/>
      <w:r>
        <w:rPr>
          <w:lang w:val="en-US"/>
        </w:rPr>
        <w:t xml:space="preserve">-commodities </w:t>
      </w:r>
      <w:r>
        <w:rPr>
          <w:lang w:val="en-US"/>
        </w:rPr>
        <w:t xml:space="preserve">markets </w:t>
      </w:r>
      <w:r>
        <w:rPr>
          <w:lang w:val="en-US"/>
        </w:rPr>
        <w:t>and is happy to respond to this consultation by ESMA.</w:t>
      </w:r>
    </w:p>
    <w:p w14:paraId="23193511" w14:textId="77777777" w:rsidR="006D4714" w:rsidRDefault="006D4714" w:rsidP="006D4714">
      <w:pPr>
        <w:rPr>
          <w:lang w:val="en-US"/>
        </w:rPr>
      </w:pPr>
      <w:r>
        <w:rPr>
          <w:lang w:val="en-US"/>
        </w:rPr>
        <w:t xml:space="preserve">As a reminder, </w:t>
      </w:r>
      <w:proofErr w:type="spellStart"/>
      <w:r>
        <w:rPr>
          <w:lang w:val="en-US"/>
        </w:rPr>
        <w:t>InVivo</w:t>
      </w:r>
      <w:proofErr w:type="spellEnd"/>
      <w:r>
        <w:rPr>
          <w:lang w:val="en-US"/>
        </w:rPr>
        <w:t xml:space="preserve"> Trading wants to point that the use of derivatives in EU </w:t>
      </w:r>
      <w:proofErr w:type="spellStart"/>
      <w:r>
        <w:rPr>
          <w:lang w:val="en-US"/>
        </w:rPr>
        <w:t>agri</w:t>
      </w:r>
      <w:proofErr w:type="spellEnd"/>
      <w:r>
        <w:rPr>
          <w:lang w:val="en-US"/>
        </w:rPr>
        <w:t xml:space="preserve"> markets is a recent development, and that these contracts represent a minor portion of the traded volumes worldwide in this asset class…</w:t>
      </w:r>
    </w:p>
    <w:p w14:paraId="15D00E65" w14:textId="1A606BDE"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AB6157">
        <w:rPr>
          <w:rFonts w:asciiTheme="minorHAnsi" w:eastAsiaTheme="minorEastAsia" w:hAnsiTheme="minorHAnsi" w:cs="Arial"/>
          <w:sz w:val="22"/>
          <w:szCs w:val="20"/>
          <w:lang w:eastAsia="en-US"/>
        </w:rPr>
        <w:t>PLPM</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022DBCBF" w:rsidR="00AB6157" w:rsidRDefault="00AB6157" w:rsidP="00C1698A">
      <w:pPr>
        <w:spacing w:line="276" w:lineRule="auto"/>
        <w:rPr>
          <w:rFonts w:asciiTheme="minorHAnsi" w:hAnsiTheme="minorHAnsi" w:cstheme="minorHAnsi"/>
          <w:b/>
          <w:sz w:val="28"/>
          <w:szCs w:val="28"/>
        </w:rPr>
      </w:pPr>
    </w:p>
    <w:p w14:paraId="67015C34" w14:textId="77777777" w:rsidR="00AB6157" w:rsidRPr="00422240" w:rsidRDefault="00AB6157" w:rsidP="00AB6157">
      <w:pPr>
        <w:pStyle w:val="Questionstyle"/>
        <w:numPr>
          <w:ilvl w:val="0"/>
          <w:numId w:val="9"/>
        </w:numPr>
        <w:spacing w:after="250" w:line="276" w:lineRule="auto"/>
      </w:pPr>
      <w:r>
        <w:t xml:space="preserve">: </w:t>
      </w:r>
      <w:r w:rsidRPr="00422240">
        <w:t>In your view, what impact, if any, did the introduction of position limits have on the availability and liquidity of commodity derivative markets? What are in your views the main factors driving this development, e.g. the mere existence of a position limit and position reporting regime, some specific characteristics of the position limit regime or the level at which position limits are set? Please elaborate by differentiating per commodity asset class or contract where relevant and provide evidence to support your assessment.</w:t>
      </w:r>
    </w:p>
    <w:p w14:paraId="3A3B29FB" w14:textId="77777777" w:rsidR="00AB6157" w:rsidRDefault="00AB6157" w:rsidP="00AB6157">
      <w:pPr>
        <w:rPr>
          <w:rFonts w:ascii="Arial" w:hAnsi="Arial" w:cs="Arial"/>
        </w:rPr>
      </w:pPr>
      <w:r>
        <w:rPr>
          <w:rFonts w:ascii="Arial" w:hAnsi="Arial" w:cs="Arial"/>
        </w:rPr>
        <w:t>&lt;ESMA_QUESTION_PLPM_1&gt;</w:t>
      </w:r>
    </w:p>
    <w:p w14:paraId="43CB3D5A" w14:textId="2D8442C2" w:rsidR="00BA1914" w:rsidRDefault="00BA1914" w:rsidP="00BA1914">
      <w:pPr>
        <w:rPr>
          <w:lang w:val="en-US"/>
        </w:rPr>
      </w:pPr>
      <w:permStart w:id="612041398" w:edGrp="everyone"/>
      <w:proofErr w:type="spellStart"/>
      <w:r>
        <w:rPr>
          <w:lang w:val="en-US"/>
        </w:rPr>
        <w:t>InVivo</w:t>
      </w:r>
      <w:proofErr w:type="spellEnd"/>
      <w:r>
        <w:rPr>
          <w:lang w:val="en-US"/>
        </w:rPr>
        <w:t xml:space="preserve"> Trading cannot identify any significant impact on liquidity of the derivative markets due to the introduction of position limits by </w:t>
      </w:r>
      <w:proofErr w:type="spellStart"/>
      <w:r>
        <w:rPr>
          <w:lang w:val="en-US"/>
        </w:rPr>
        <w:t>Mifid</w:t>
      </w:r>
      <w:proofErr w:type="spellEnd"/>
      <w:r>
        <w:rPr>
          <w:lang w:val="en-US"/>
        </w:rPr>
        <w:t xml:space="preserve"> II.</w:t>
      </w:r>
      <w:r w:rsidRPr="00E73D14">
        <w:rPr>
          <w:lang w:val="en-US"/>
        </w:rPr>
        <w:t xml:space="preserve"> </w:t>
      </w:r>
    </w:p>
    <w:p w14:paraId="0AC65C07" w14:textId="66FD8454" w:rsidR="00AB6157" w:rsidRDefault="00BA1914" w:rsidP="00BA1914">
      <w:pPr>
        <w:rPr>
          <w:rFonts w:ascii="Arial" w:hAnsi="Arial" w:cs="Arial"/>
        </w:rPr>
      </w:pPr>
      <w:r>
        <w:rPr>
          <w:lang w:val="en-US"/>
        </w:rPr>
        <w:t xml:space="preserve">Liquidity is, among other factors, a function of the hedging needs, themselves depending, also among others, on the volatility of the markets. These last five years, </w:t>
      </w:r>
      <w:proofErr w:type="spellStart"/>
      <w:r>
        <w:rPr>
          <w:lang w:val="en-US"/>
        </w:rPr>
        <w:t>agri</w:t>
      </w:r>
      <w:proofErr w:type="spellEnd"/>
      <w:r>
        <w:rPr>
          <w:lang w:val="en-US"/>
        </w:rPr>
        <w:t>-commodities in general, have seen quite low prices and low volatility, because of global fundamental situation. The grain and oilseeds supply side of the equation was comfortable enough to meet the global increase of the demand side. The ample</w:t>
      </w:r>
      <w:r w:rsidRPr="00010F4B">
        <w:rPr>
          <w:lang w:val="en-US"/>
        </w:rPr>
        <w:t xml:space="preserve"> supply has led to a steady increase of the open interest in most of </w:t>
      </w:r>
      <w:proofErr w:type="spellStart"/>
      <w:r w:rsidRPr="00010F4B">
        <w:rPr>
          <w:lang w:val="en-US"/>
        </w:rPr>
        <w:t>agri</w:t>
      </w:r>
      <w:proofErr w:type="spellEnd"/>
      <w:r w:rsidRPr="00010F4B">
        <w:rPr>
          <w:lang w:val="en-US"/>
        </w:rPr>
        <w:t xml:space="preserve"> commodities</w:t>
      </w:r>
      <w:r>
        <w:rPr>
          <w:lang w:val="en-US"/>
        </w:rPr>
        <w:t xml:space="preserve">, comforting the fact that </w:t>
      </w:r>
      <w:proofErr w:type="spellStart"/>
      <w:r>
        <w:rPr>
          <w:lang w:val="en-US"/>
        </w:rPr>
        <w:t>agris</w:t>
      </w:r>
      <w:proofErr w:type="spellEnd"/>
      <w:r w:rsidRPr="00010F4B">
        <w:rPr>
          <w:lang w:val="en-US"/>
        </w:rPr>
        <w:t xml:space="preserve"> market</w:t>
      </w:r>
      <w:r>
        <w:rPr>
          <w:lang w:val="en-US"/>
        </w:rPr>
        <w:t>s</w:t>
      </w:r>
      <w:r w:rsidRPr="00010F4B">
        <w:rPr>
          <w:lang w:val="en-US"/>
        </w:rPr>
        <w:t xml:space="preserve"> remain liquid with less volatility</w:t>
      </w:r>
      <w:r>
        <w:rPr>
          <w:lang w:val="en-US"/>
        </w:rPr>
        <w:t>.</w:t>
      </w:r>
    </w:p>
    <w:permEnd w:id="612041398"/>
    <w:p w14:paraId="76C523D9" w14:textId="77777777" w:rsidR="00AB6157" w:rsidRDefault="00AB6157" w:rsidP="00AB6157">
      <w:pPr>
        <w:rPr>
          <w:rFonts w:ascii="Arial" w:hAnsi="Arial" w:cs="Arial"/>
        </w:rPr>
      </w:pPr>
      <w:r>
        <w:rPr>
          <w:rFonts w:ascii="Arial" w:hAnsi="Arial" w:cs="Arial"/>
        </w:rPr>
        <w:t>&lt;ESMA_QUESTION_PLPM_1&gt;</w:t>
      </w:r>
    </w:p>
    <w:p w14:paraId="03FD3B97" w14:textId="77777777" w:rsidR="00AB6157" w:rsidRDefault="00AB6157" w:rsidP="00AB6157">
      <w:pPr>
        <w:rPr>
          <w:rFonts w:ascii="Arial" w:hAnsi="Arial" w:cs="Arial"/>
        </w:rPr>
      </w:pPr>
    </w:p>
    <w:p w14:paraId="24E3B7CB" w14:textId="77777777" w:rsidR="00AB6157" w:rsidRDefault="00AB6157" w:rsidP="00AB6157">
      <w:pPr>
        <w:pStyle w:val="Questionstyle"/>
        <w:numPr>
          <w:ilvl w:val="0"/>
          <w:numId w:val="9"/>
        </w:numPr>
        <w:spacing w:after="250" w:line="276" w:lineRule="auto"/>
      </w:pPr>
      <w:r>
        <w:t>: Have you identified other structural changes in commodity derivative markets or in the underlying markets since the introduction of the MiFID II position limit regime, such as changes in market participants? If so, please provide examples, and where available data, and differentiate per commodity derivative asset class where relevant.</w:t>
      </w:r>
    </w:p>
    <w:p w14:paraId="4F0EB977" w14:textId="77777777" w:rsidR="00AB6157" w:rsidRDefault="00AB6157" w:rsidP="00AB6157">
      <w:pPr>
        <w:rPr>
          <w:rFonts w:ascii="Arial" w:hAnsi="Arial" w:cs="Arial"/>
        </w:rPr>
      </w:pPr>
      <w:r>
        <w:rPr>
          <w:rFonts w:ascii="Arial" w:hAnsi="Arial" w:cs="Arial"/>
        </w:rPr>
        <w:t>&lt;ESMA_QUESTION_PLPM_2&gt;</w:t>
      </w:r>
    </w:p>
    <w:p w14:paraId="363CBAFB" w14:textId="77777777" w:rsidR="00BA1914" w:rsidRDefault="00BA1914" w:rsidP="00BA1914">
      <w:pPr>
        <w:rPr>
          <w:lang w:val="en-US"/>
        </w:rPr>
      </w:pPr>
      <w:r>
        <w:rPr>
          <w:lang w:val="en-US"/>
        </w:rPr>
        <w:t xml:space="preserve">The recently observed disengagement of certain financial participants from </w:t>
      </w:r>
      <w:proofErr w:type="spellStart"/>
      <w:r>
        <w:rPr>
          <w:lang w:val="en-US"/>
        </w:rPr>
        <w:t>agri</w:t>
      </w:r>
      <w:proofErr w:type="spellEnd"/>
      <w:r>
        <w:rPr>
          <w:lang w:val="en-US"/>
        </w:rPr>
        <w:t xml:space="preserve">-derivatives markets cannot be linked to the introduction of position limits, but rather to the lack of volatility. </w:t>
      </w:r>
    </w:p>
    <w:p w14:paraId="52DDF850" w14:textId="77777777" w:rsidR="00BA1914" w:rsidRDefault="00BA1914" w:rsidP="00BA1914">
      <w:pPr>
        <w:rPr>
          <w:lang w:val="en-US"/>
        </w:rPr>
      </w:pPr>
      <w:r>
        <w:rPr>
          <w:lang w:val="en-US"/>
        </w:rPr>
        <w:t xml:space="preserve">Indeed, some companies acting as first buyers from producers have merged, but this does not reduce the hedging needs, since worldwide production itself is steadily increasing.  </w:t>
      </w:r>
    </w:p>
    <w:p w14:paraId="7E613508" w14:textId="77777777" w:rsidR="00AB6157" w:rsidRDefault="00AB6157" w:rsidP="00AB6157">
      <w:pPr>
        <w:rPr>
          <w:rFonts w:ascii="Arial" w:hAnsi="Arial" w:cs="Arial"/>
        </w:rPr>
      </w:pPr>
      <w:r>
        <w:rPr>
          <w:rFonts w:ascii="Arial" w:hAnsi="Arial" w:cs="Arial"/>
        </w:rPr>
        <w:t>&lt;ESMA_QUESTION_PLPM_2&gt;</w:t>
      </w:r>
    </w:p>
    <w:p w14:paraId="723C6B44" w14:textId="77777777" w:rsidR="00AB6157" w:rsidRDefault="00AB6157" w:rsidP="00AB6157">
      <w:pPr>
        <w:rPr>
          <w:rFonts w:ascii="Arial" w:hAnsi="Arial" w:cs="Arial"/>
        </w:rPr>
      </w:pPr>
    </w:p>
    <w:p w14:paraId="12EC0E1C" w14:textId="77777777" w:rsidR="00AB6157" w:rsidRDefault="00AB6157" w:rsidP="00AB6157">
      <w:pPr>
        <w:pStyle w:val="Questionstyle"/>
        <w:numPr>
          <w:ilvl w:val="0"/>
          <w:numId w:val="9"/>
        </w:numPr>
        <w:spacing w:after="250" w:line="276" w:lineRule="auto"/>
      </w:pPr>
      <w:r>
        <w:t xml:space="preserve">: Do you consider that position limits </w:t>
      </w:r>
      <w:r w:rsidRPr="00AC7EE2">
        <w:t xml:space="preserve">contribute to </w:t>
      </w:r>
      <w:r>
        <w:t>the prevention of</w:t>
      </w:r>
      <w:r w:rsidRPr="00AC7EE2">
        <w:t xml:space="preserve"> market abuse in commodity derivatives markets? Please elaborate</w:t>
      </w:r>
      <w:r>
        <w:t xml:space="preserve"> by</w:t>
      </w:r>
      <w:r w:rsidRPr="00AC7EE2">
        <w:t xml:space="preserve"> differentiating per </w:t>
      </w:r>
      <w:r>
        <w:t xml:space="preserve">conduct, per </w:t>
      </w:r>
      <w:r w:rsidRPr="00AC7EE2">
        <w:t>commodity asset classes or contract where relevant and provide evidence to support your assessment when</w:t>
      </w:r>
      <w:r>
        <w:t xml:space="preserve"> available.</w:t>
      </w:r>
    </w:p>
    <w:p w14:paraId="04E60C23" w14:textId="77777777" w:rsidR="00AB6157" w:rsidRDefault="00AB6157" w:rsidP="00AB6157">
      <w:pPr>
        <w:rPr>
          <w:rFonts w:ascii="Arial" w:hAnsi="Arial" w:cs="Arial"/>
        </w:rPr>
      </w:pPr>
      <w:r>
        <w:rPr>
          <w:rFonts w:ascii="Arial" w:hAnsi="Arial" w:cs="Arial"/>
        </w:rPr>
        <w:t>&lt;ESMA_QUESTION_PLPM_3&gt;</w:t>
      </w:r>
    </w:p>
    <w:p w14:paraId="1CF6D2F8" w14:textId="4CC8B977" w:rsidR="00BA1914" w:rsidRDefault="00BA1914" w:rsidP="00BA1914">
      <w:pPr>
        <w:rPr>
          <w:lang w:val="en-US"/>
        </w:rPr>
      </w:pPr>
      <w:r>
        <w:rPr>
          <w:lang w:val="en-US"/>
        </w:rPr>
        <w:t>Answer to questions 3 /4 /</w:t>
      </w:r>
      <w:proofErr w:type="gramStart"/>
      <w:r>
        <w:rPr>
          <w:lang w:val="en-US"/>
        </w:rPr>
        <w:t>5 :</w:t>
      </w:r>
      <w:proofErr w:type="gramEnd"/>
      <w:r>
        <w:rPr>
          <w:lang w:val="en-US"/>
        </w:rPr>
        <w:t xml:space="preserve"> </w:t>
      </w:r>
      <w:proofErr w:type="spellStart"/>
      <w:r>
        <w:rPr>
          <w:lang w:val="en-US"/>
        </w:rPr>
        <w:t>InVivo</w:t>
      </w:r>
      <w:proofErr w:type="spellEnd"/>
      <w:r>
        <w:rPr>
          <w:lang w:val="en-US"/>
        </w:rPr>
        <w:t xml:space="preserve"> Trading could not identify any case of market abuse for Agri markets since the introduction of position limits by </w:t>
      </w:r>
      <w:proofErr w:type="spellStart"/>
      <w:r>
        <w:rPr>
          <w:lang w:val="en-US"/>
        </w:rPr>
        <w:t>Mifid</w:t>
      </w:r>
      <w:proofErr w:type="spellEnd"/>
      <w:r>
        <w:rPr>
          <w:lang w:val="en-US"/>
        </w:rPr>
        <w:t xml:space="preserve"> II. </w:t>
      </w:r>
      <w:proofErr w:type="gramStart"/>
      <w:r>
        <w:rPr>
          <w:lang w:val="en-US"/>
        </w:rPr>
        <w:t>Generally speaking, the</w:t>
      </w:r>
      <w:proofErr w:type="gramEnd"/>
      <w:r>
        <w:rPr>
          <w:lang w:val="en-US"/>
        </w:rPr>
        <w:t xml:space="preserve"> level of transparency in the markets</w:t>
      </w:r>
      <w:r w:rsidRPr="001130DA">
        <w:rPr>
          <w:lang w:val="en-US"/>
        </w:rPr>
        <w:t xml:space="preserve"> </w:t>
      </w:r>
      <w:r>
        <w:rPr>
          <w:lang w:val="en-US"/>
        </w:rPr>
        <w:t xml:space="preserve">has increased, which we are happy with, and we cannot find any evidence of a market participant having a dominant position in the market, leading to a potential risk of market abuse, either on orderly pricing or settlement. </w:t>
      </w:r>
    </w:p>
    <w:p w14:paraId="3C8DB028" w14:textId="77777777" w:rsidR="00AB6157" w:rsidRDefault="00AB6157" w:rsidP="00AB6157">
      <w:pPr>
        <w:rPr>
          <w:rFonts w:ascii="Arial" w:hAnsi="Arial" w:cs="Arial"/>
        </w:rPr>
      </w:pPr>
      <w:r>
        <w:rPr>
          <w:rFonts w:ascii="Arial" w:hAnsi="Arial" w:cs="Arial"/>
        </w:rPr>
        <w:t>&lt;ESMA_QUESTION_PLPM_3&gt;</w:t>
      </w:r>
    </w:p>
    <w:p w14:paraId="22ABC274" w14:textId="77777777" w:rsidR="00AB6157" w:rsidRDefault="00AB6157" w:rsidP="00AB6157">
      <w:pPr>
        <w:rPr>
          <w:rFonts w:ascii="Arial" w:hAnsi="Arial" w:cs="Arial"/>
        </w:rPr>
      </w:pPr>
    </w:p>
    <w:p w14:paraId="324FA067" w14:textId="77777777" w:rsidR="00AB6157" w:rsidRDefault="00AB6157" w:rsidP="00AB6157">
      <w:pPr>
        <w:pStyle w:val="Questionstyle"/>
        <w:numPr>
          <w:ilvl w:val="0"/>
          <w:numId w:val="9"/>
        </w:numPr>
        <w:spacing w:after="250" w:line="276" w:lineRule="auto"/>
      </w:pPr>
      <w:r>
        <w:lastRenderedPageBreak/>
        <w:t>:</w:t>
      </w:r>
      <w:bookmarkStart w:id="2" w:name="_Hlk8204234"/>
      <w:r>
        <w:t xml:space="preserve"> </w:t>
      </w:r>
      <w:r w:rsidRPr="0029675E">
        <w:t>In your view, what impact do position limits have on the orderly pricing and orderly settlement of commodity derivative contracts? Please elaborate by differentiating per asset class or per contract where relevant and provide evidence to support your answer when available</w:t>
      </w:r>
      <w:r>
        <w:t>.</w:t>
      </w:r>
      <w:bookmarkEnd w:id="2"/>
    </w:p>
    <w:p w14:paraId="33C9551A" w14:textId="77777777" w:rsidR="00AB6157" w:rsidRDefault="00AB6157" w:rsidP="00AB6157">
      <w:pPr>
        <w:rPr>
          <w:rFonts w:ascii="Arial" w:hAnsi="Arial" w:cs="Arial"/>
        </w:rPr>
      </w:pPr>
      <w:r>
        <w:rPr>
          <w:rFonts w:ascii="Arial" w:hAnsi="Arial" w:cs="Arial"/>
        </w:rPr>
        <w:t>&lt;ESMA_QUESTION_PLPM_4&gt;</w:t>
      </w:r>
    </w:p>
    <w:p w14:paraId="4DD29D70" w14:textId="77777777" w:rsidR="00AB6157" w:rsidRDefault="00AB6157" w:rsidP="00AB6157">
      <w:pPr>
        <w:rPr>
          <w:rFonts w:ascii="Arial" w:hAnsi="Arial" w:cs="Arial"/>
        </w:rPr>
      </w:pPr>
      <w:permStart w:id="1691776623" w:edGrp="everyone"/>
      <w:r>
        <w:rPr>
          <w:rFonts w:ascii="Arial" w:hAnsi="Arial" w:cs="Arial"/>
        </w:rPr>
        <w:t>TYPE YOUR TEXT HERE</w:t>
      </w:r>
    </w:p>
    <w:permEnd w:id="1691776623"/>
    <w:p w14:paraId="23EEA71C" w14:textId="77777777" w:rsidR="00AB6157" w:rsidRDefault="00AB6157" w:rsidP="00AB6157">
      <w:pPr>
        <w:rPr>
          <w:rFonts w:ascii="Arial" w:hAnsi="Arial" w:cs="Arial"/>
        </w:rPr>
      </w:pPr>
      <w:r>
        <w:rPr>
          <w:rFonts w:ascii="Arial" w:hAnsi="Arial" w:cs="Arial"/>
        </w:rPr>
        <w:t>&lt;ESMA_QUESTION_PLPM_4&gt;</w:t>
      </w:r>
    </w:p>
    <w:p w14:paraId="158D9359" w14:textId="77777777" w:rsidR="00AB6157" w:rsidRDefault="00AB6157" w:rsidP="00AB6157">
      <w:pPr>
        <w:rPr>
          <w:rFonts w:ascii="Arial" w:hAnsi="Arial" w:cs="Arial"/>
        </w:rPr>
      </w:pPr>
    </w:p>
    <w:p w14:paraId="735A7D51" w14:textId="77777777" w:rsidR="00AB6157" w:rsidRDefault="00AB6157" w:rsidP="00AB6157">
      <w:pPr>
        <w:pStyle w:val="Questionstyle"/>
        <w:numPr>
          <w:ilvl w:val="0"/>
          <w:numId w:val="9"/>
        </w:numPr>
        <w:spacing w:after="250" w:line="276" w:lineRule="auto"/>
      </w:pPr>
      <w:r>
        <w:t xml:space="preserve">: </w:t>
      </w:r>
      <w:r w:rsidRPr="0029675E">
        <w:t xml:space="preserve">More generally, and beyond the specific items identified above, what would be your overall assessment of the impact of position limits on EU commodity derivatives markets since the application of MiFID II? </w:t>
      </w:r>
    </w:p>
    <w:p w14:paraId="71869145" w14:textId="77777777" w:rsidR="00AB6157" w:rsidRDefault="00AB6157" w:rsidP="00AB6157">
      <w:pPr>
        <w:rPr>
          <w:rFonts w:ascii="Arial" w:hAnsi="Arial" w:cs="Arial"/>
        </w:rPr>
      </w:pPr>
      <w:r>
        <w:rPr>
          <w:rFonts w:ascii="Arial" w:hAnsi="Arial" w:cs="Arial"/>
        </w:rPr>
        <w:t>&lt;ESMA_QUESTION_PLPM_5&gt;</w:t>
      </w:r>
    </w:p>
    <w:p w14:paraId="52800637" w14:textId="77777777" w:rsidR="00AB6157" w:rsidRDefault="00AB6157" w:rsidP="00AB6157">
      <w:pPr>
        <w:rPr>
          <w:rFonts w:ascii="Arial" w:hAnsi="Arial" w:cs="Arial"/>
        </w:rPr>
      </w:pPr>
      <w:permStart w:id="2095395218" w:edGrp="everyone"/>
      <w:r>
        <w:rPr>
          <w:rFonts w:ascii="Arial" w:hAnsi="Arial" w:cs="Arial"/>
        </w:rPr>
        <w:t>TYPE YOUR TEXT HERE</w:t>
      </w:r>
    </w:p>
    <w:permEnd w:id="2095395218"/>
    <w:p w14:paraId="147B5974" w14:textId="77777777" w:rsidR="00AB6157" w:rsidRDefault="00AB6157" w:rsidP="00AB6157">
      <w:pPr>
        <w:rPr>
          <w:rFonts w:ascii="Arial" w:hAnsi="Arial" w:cs="Arial"/>
        </w:rPr>
      </w:pPr>
      <w:r>
        <w:rPr>
          <w:rFonts w:ascii="Arial" w:hAnsi="Arial" w:cs="Arial"/>
        </w:rPr>
        <w:t>&lt;ESMA_QUESTION_PLPM_5&gt;</w:t>
      </w:r>
    </w:p>
    <w:p w14:paraId="5B237914" w14:textId="77777777" w:rsidR="00AB6157" w:rsidRDefault="00AB6157" w:rsidP="00AB6157">
      <w:pPr>
        <w:rPr>
          <w:rFonts w:ascii="Arial" w:hAnsi="Arial" w:cs="Arial"/>
        </w:rPr>
      </w:pPr>
    </w:p>
    <w:p w14:paraId="7AE8C81B" w14:textId="77777777" w:rsidR="00AB6157" w:rsidRDefault="00AB6157" w:rsidP="00AB6157">
      <w:pPr>
        <w:pStyle w:val="Questionstyle"/>
        <w:numPr>
          <w:ilvl w:val="0"/>
          <w:numId w:val="9"/>
        </w:numPr>
        <w:spacing w:after="250" w:line="276" w:lineRule="auto"/>
      </w:pPr>
      <w:r>
        <w:t>: Do you consider that position management controls have an impact on the liquidity of commodity derivatives markets?</w:t>
      </w:r>
      <w:r w:rsidRPr="0089690D">
        <w:t xml:space="preserve"> </w:t>
      </w:r>
      <w:r>
        <w:t>If so, please elaborate, differentiating per commodity derivative trading venues or contract where appropriate.</w:t>
      </w:r>
    </w:p>
    <w:p w14:paraId="4F51BDD3" w14:textId="77777777" w:rsidR="00AB6157" w:rsidRDefault="00AB6157" w:rsidP="00AB6157">
      <w:pPr>
        <w:rPr>
          <w:rFonts w:ascii="Arial" w:hAnsi="Arial" w:cs="Arial"/>
        </w:rPr>
      </w:pPr>
      <w:r>
        <w:rPr>
          <w:rFonts w:ascii="Arial" w:hAnsi="Arial" w:cs="Arial"/>
        </w:rPr>
        <w:t>&lt;ESMA_QUESTION_PLPM_6&gt;</w:t>
      </w:r>
    </w:p>
    <w:p w14:paraId="411B8E3A" w14:textId="661405BA" w:rsidR="00BA1914" w:rsidRDefault="00BA1914" w:rsidP="00BA1914">
      <w:pPr>
        <w:rPr>
          <w:lang w:val="en-US"/>
        </w:rPr>
      </w:pPr>
      <w:r>
        <w:rPr>
          <w:lang w:val="en-US"/>
        </w:rPr>
        <w:t xml:space="preserve">Answer to Questions 6 / 7 / 8 </w:t>
      </w:r>
      <w:r>
        <w:rPr>
          <w:lang w:val="en-US"/>
        </w:rPr>
        <w:t xml:space="preserve">Like ESMA, </w:t>
      </w:r>
      <w:proofErr w:type="spellStart"/>
      <w:r>
        <w:rPr>
          <w:lang w:val="en-US"/>
        </w:rPr>
        <w:t>InVivo</w:t>
      </w:r>
      <w:proofErr w:type="spellEnd"/>
      <w:r>
        <w:rPr>
          <w:lang w:val="en-US"/>
        </w:rPr>
        <w:t xml:space="preserve"> Trading cannot find any negative impact of position management controls on the </w:t>
      </w:r>
      <w:proofErr w:type="spellStart"/>
      <w:r>
        <w:rPr>
          <w:lang w:val="en-US"/>
        </w:rPr>
        <w:t>agri</w:t>
      </w:r>
      <w:proofErr w:type="spellEnd"/>
      <w:r>
        <w:rPr>
          <w:lang w:val="en-US"/>
        </w:rPr>
        <w:t xml:space="preserve">-commodities markets liquidity. </w:t>
      </w:r>
    </w:p>
    <w:p w14:paraId="592C2C86" w14:textId="77777777" w:rsidR="00BA1914" w:rsidRDefault="00BA1914" w:rsidP="00BA1914">
      <w:pPr>
        <w:rPr>
          <w:lang w:val="en-US"/>
        </w:rPr>
      </w:pPr>
      <w:r>
        <w:rPr>
          <w:lang w:val="en-US"/>
        </w:rPr>
        <w:t xml:space="preserve">Even if it is difficult for physical market participants to detect any unfair practice or market abuse, these processes, by increasing market transparency, are beneficial to the market.  Talking about grains and oilseeds, </w:t>
      </w:r>
      <w:proofErr w:type="spellStart"/>
      <w:r>
        <w:rPr>
          <w:lang w:val="en-US"/>
        </w:rPr>
        <w:t>InVivo</w:t>
      </w:r>
      <w:proofErr w:type="spellEnd"/>
      <w:r>
        <w:rPr>
          <w:lang w:val="en-US"/>
        </w:rPr>
        <w:t xml:space="preserve"> Trading recognizes positively the many number of actions taken by Euronext, for securing the delivery processes, particularly during the last days before expiry, because they ensure even more efficiently prices convergence. This increase the participants’ confidence in the markets and secure prices convergence.</w:t>
      </w:r>
    </w:p>
    <w:p w14:paraId="3A2C09A6" w14:textId="77777777" w:rsidR="00AB6157" w:rsidRDefault="00AB6157" w:rsidP="00AB6157">
      <w:pPr>
        <w:rPr>
          <w:rFonts w:ascii="Arial" w:hAnsi="Arial" w:cs="Arial"/>
        </w:rPr>
      </w:pPr>
      <w:r>
        <w:rPr>
          <w:rFonts w:ascii="Arial" w:hAnsi="Arial" w:cs="Arial"/>
        </w:rPr>
        <w:t>&lt;ESMA_QUESTION_PLPM_6&gt;</w:t>
      </w:r>
    </w:p>
    <w:p w14:paraId="467AF601" w14:textId="77777777" w:rsidR="00AB6157" w:rsidRDefault="00AB6157" w:rsidP="00AB6157">
      <w:pPr>
        <w:rPr>
          <w:rFonts w:ascii="Arial" w:hAnsi="Arial" w:cs="Arial"/>
        </w:rPr>
      </w:pPr>
    </w:p>
    <w:p w14:paraId="763C4FE3" w14:textId="77777777" w:rsidR="00AB6157" w:rsidRPr="00422240" w:rsidRDefault="00AB6157" w:rsidP="00AB6157">
      <w:pPr>
        <w:pStyle w:val="Questionstyle"/>
        <w:numPr>
          <w:ilvl w:val="0"/>
          <w:numId w:val="9"/>
        </w:numPr>
        <w:spacing w:after="250" w:line="276" w:lineRule="auto"/>
      </w:pPr>
      <w:bookmarkStart w:id="3" w:name="_Hlk8204436"/>
      <w:r>
        <w:t xml:space="preserve">: </w:t>
      </w:r>
      <w:r w:rsidRPr="006302EB">
        <w:t xml:space="preserve">Do you consider that position management controls adopted by commodity derivative trading venues have a role on the prevention of market abuse? If so, please elaborate, differentiating per commodity derivative trading venues or contract where appropriate. </w:t>
      </w:r>
    </w:p>
    <w:bookmarkEnd w:id="3"/>
    <w:p w14:paraId="02D1BB45" w14:textId="77777777" w:rsidR="00AB6157" w:rsidRDefault="00AB6157" w:rsidP="00AB6157">
      <w:pPr>
        <w:rPr>
          <w:rFonts w:ascii="Arial" w:hAnsi="Arial" w:cs="Arial"/>
        </w:rPr>
      </w:pPr>
      <w:r>
        <w:rPr>
          <w:rFonts w:ascii="Arial" w:hAnsi="Arial" w:cs="Arial"/>
        </w:rPr>
        <w:t>&lt;ESMA_QUESTION_PLPM_7&gt;</w:t>
      </w:r>
    </w:p>
    <w:p w14:paraId="4309E6A9" w14:textId="77777777" w:rsidR="00AB6157" w:rsidRDefault="00AB6157" w:rsidP="00AB6157">
      <w:pPr>
        <w:rPr>
          <w:rFonts w:ascii="Arial" w:hAnsi="Arial" w:cs="Arial"/>
        </w:rPr>
      </w:pPr>
      <w:permStart w:id="381097405" w:edGrp="everyone"/>
      <w:r>
        <w:rPr>
          <w:rFonts w:ascii="Arial" w:hAnsi="Arial" w:cs="Arial"/>
        </w:rPr>
        <w:t>TYPE YOUR TEXT HERE</w:t>
      </w:r>
    </w:p>
    <w:permEnd w:id="381097405"/>
    <w:p w14:paraId="6DE2BBC2" w14:textId="77777777" w:rsidR="00AB6157" w:rsidRDefault="00AB6157" w:rsidP="00AB6157">
      <w:pPr>
        <w:rPr>
          <w:rFonts w:ascii="Arial" w:hAnsi="Arial" w:cs="Arial"/>
        </w:rPr>
      </w:pPr>
      <w:r>
        <w:rPr>
          <w:rFonts w:ascii="Arial" w:hAnsi="Arial" w:cs="Arial"/>
        </w:rPr>
        <w:t>&lt;ESMA_QUESTION_PLPM_7&gt;</w:t>
      </w:r>
    </w:p>
    <w:p w14:paraId="2E49F491" w14:textId="77777777" w:rsidR="00AB6157" w:rsidRDefault="00AB6157" w:rsidP="00AB6157">
      <w:pPr>
        <w:rPr>
          <w:rFonts w:ascii="Arial" w:hAnsi="Arial" w:cs="Arial"/>
        </w:rPr>
      </w:pPr>
    </w:p>
    <w:p w14:paraId="66383883" w14:textId="77777777" w:rsidR="00AB6157" w:rsidRDefault="00AB6157" w:rsidP="00AB6157">
      <w:pPr>
        <w:pStyle w:val="Questionstyle"/>
        <w:numPr>
          <w:ilvl w:val="0"/>
          <w:numId w:val="9"/>
        </w:numPr>
        <w:spacing w:after="250" w:line="276" w:lineRule="auto"/>
      </w:pPr>
      <w:r>
        <w:t xml:space="preserve">: </w:t>
      </w:r>
      <w:r w:rsidRPr="006302EB">
        <w:t>Do you consider that position management controls adopted by commodity derivative trading venues have a role on orderly pricing and settlement conditions? If so, please elaborate, differentiating per commodity derivative trading venues or contract where appropriate.</w:t>
      </w:r>
    </w:p>
    <w:p w14:paraId="15DCF1A1" w14:textId="77777777" w:rsidR="00AB6157" w:rsidRDefault="00AB6157" w:rsidP="00AB6157">
      <w:pPr>
        <w:rPr>
          <w:rFonts w:ascii="Arial" w:hAnsi="Arial" w:cs="Arial"/>
        </w:rPr>
      </w:pPr>
      <w:r>
        <w:rPr>
          <w:rFonts w:ascii="Arial" w:hAnsi="Arial" w:cs="Arial"/>
        </w:rPr>
        <w:t>&lt;ESMA_QUESTION_PLPM_8&gt;</w:t>
      </w:r>
    </w:p>
    <w:p w14:paraId="582E6083" w14:textId="77777777" w:rsidR="00AB6157" w:rsidRDefault="00AB6157" w:rsidP="00AB6157">
      <w:pPr>
        <w:rPr>
          <w:rFonts w:ascii="Arial" w:hAnsi="Arial" w:cs="Arial"/>
        </w:rPr>
      </w:pPr>
      <w:permStart w:id="1672613830" w:edGrp="everyone"/>
      <w:r>
        <w:rPr>
          <w:rFonts w:ascii="Arial" w:hAnsi="Arial" w:cs="Arial"/>
        </w:rPr>
        <w:t>TYPE YOUR TEXT HERE</w:t>
      </w:r>
    </w:p>
    <w:permEnd w:id="1672613830"/>
    <w:p w14:paraId="0639762F" w14:textId="77777777" w:rsidR="00AB6157" w:rsidRDefault="00AB6157" w:rsidP="00AB6157">
      <w:pPr>
        <w:rPr>
          <w:rFonts w:ascii="Arial" w:hAnsi="Arial" w:cs="Arial"/>
        </w:rPr>
      </w:pPr>
      <w:r>
        <w:rPr>
          <w:rFonts w:ascii="Arial" w:hAnsi="Arial" w:cs="Arial"/>
        </w:rPr>
        <w:t>&lt;ESMA_QUESTION_PLPM_8&gt;</w:t>
      </w:r>
    </w:p>
    <w:p w14:paraId="65778E76" w14:textId="77777777" w:rsidR="00AB6157" w:rsidRDefault="00AB6157" w:rsidP="00AB6157">
      <w:pPr>
        <w:rPr>
          <w:rFonts w:ascii="Arial" w:hAnsi="Arial" w:cs="Arial"/>
        </w:rPr>
      </w:pPr>
    </w:p>
    <w:p w14:paraId="36A13735" w14:textId="77777777" w:rsidR="00AB6157" w:rsidRDefault="00AB6157" w:rsidP="00AB6157">
      <w:pPr>
        <w:pStyle w:val="Questionstyle"/>
        <w:numPr>
          <w:ilvl w:val="0"/>
          <w:numId w:val="9"/>
        </w:numPr>
        <w:spacing w:after="250" w:line="276" w:lineRule="auto"/>
      </w:pPr>
      <w:r>
        <w:lastRenderedPageBreak/>
        <w:t xml:space="preserve">: </w:t>
      </w:r>
      <w:r w:rsidRPr="006302EB">
        <w:t>If you are a commodity derivative trading venue, please explain how you have been exercising your position management controls since MiFID II application. In particular</w:t>
      </w:r>
      <w:r>
        <w:t>,</w:t>
      </w:r>
      <w:r w:rsidRPr="006302EB">
        <w:t xml:space="preserve"> how frequently did you ask further information on the size or purpose of a position, on beneficial owners or assets and liabilities in the underlying commodity under Article 57(1)(b) of MiFID II, require a person to terminate or reduce a position under Article 57(1)(c) of MiFID II, require a person to provide liquidity back into the market under Article 57(1)(d) of MiFID II or exercise any of your additional position management controls? </w:t>
      </w:r>
    </w:p>
    <w:p w14:paraId="61CFCD22" w14:textId="77777777" w:rsidR="00AB6157" w:rsidRDefault="00AB6157" w:rsidP="00AB6157">
      <w:pPr>
        <w:rPr>
          <w:rFonts w:ascii="Arial" w:hAnsi="Arial" w:cs="Arial"/>
        </w:rPr>
      </w:pPr>
      <w:r>
        <w:rPr>
          <w:rFonts w:ascii="Arial" w:hAnsi="Arial" w:cs="Arial"/>
        </w:rPr>
        <w:t>&lt;ESMA_QUESTION_PLPM_9&gt;</w:t>
      </w:r>
    </w:p>
    <w:p w14:paraId="7BFD8C3B" w14:textId="66FE2F10" w:rsidR="00AB6157" w:rsidRDefault="00BA1914" w:rsidP="00AB6157">
      <w:pPr>
        <w:rPr>
          <w:rFonts w:ascii="Arial" w:hAnsi="Arial" w:cs="Arial"/>
        </w:rPr>
      </w:pPr>
      <w:permStart w:id="115699872" w:edGrp="everyone"/>
      <w:r>
        <w:rPr>
          <w:rFonts w:ascii="Arial" w:hAnsi="Arial" w:cs="Arial"/>
        </w:rPr>
        <w:t xml:space="preserve">Not relevant for </w:t>
      </w:r>
      <w:proofErr w:type="spellStart"/>
      <w:r>
        <w:rPr>
          <w:rFonts w:ascii="Arial" w:hAnsi="Arial" w:cs="Arial"/>
        </w:rPr>
        <w:t>InVivo</w:t>
      </w:r>
      <w:proofErr w:type="spellEnd"/>
      <w:r>
        <w:rPr>
          <w:rFonts w:ascii="Arial" w:hAnsi="Arial" w:cs="Arial"/>
        </w:rPr>
        <w:t xml:space="preserve"> Trading</w:t>
      </w:r>
    </w:p>
    <w:permEnd w:id="115699872"/>
    <w:p w14:paraId="48F9AF71" w14:textId="77777777" w:rsidR="00AB6157" w:rsidRDefault="00AB6157" w:rsidP="00AB6157">
      <w:pPr>
        <w:rPr>
          <w:rFonts w:ascii="Arial" w:hAnsi="Arial" w:cs="Arial"/>
        </w:rPr>
      </w:pPr>
      <w:r>
        <w:rPr>
          <w:rFonts w:ascii="Arial" w:hAnsi="Arial" w:cs="Arial"/>
        </w:rPr>
        <w:t>&lt;ESMA_QUESTION_PLPM_9&gt;</w:t>
      </w:r>
    </w:p>
    <w:p w14:paraId="2DCC4D35" w14:textId="77777777" w:rsidR="00AB6157" w:rsidRDefault="00AB6157" w:rsidP="00AB6157">
      <w:pPr>
        <w:rPr>
          <w:rFonts w:ascii="Arial" w:hAnsi="Arial" w:cs="Arial"/>
        </w:rPr>
      </w:pPr>
    </w:p>
    <w:p w14:paraId="11BAA4DA" w14:textId="77777777" w:rsidR="00AB6157" w:rsidRDefault="00AB6157" w:rsidP="00AB6157">
      <w:pPr>
        <w:pStyle w:val="Questionstyle"/>
        <w:numPr>
          <w:ilvl w:val="0"/>
          <w:numId w:val="9"/>
        </w:numPr>
        <w:spacing w:after="250" w:line="276" w:lineRule="auto"/>
      </w:pPr>
      <w:bookmarkStart w:id="4" w:name="_Hlk8204620"/>
      <w:r>
        <w:t xml:space="preserve">: </w:t>
      </w:r>
      <w:r w:rsidRPr="006302EB">
        <w:t xml:space="preserve">Do you have any general comment on the position limit regime and associated position reporting introduced by MiFID II? </w:t>
      </w:r>
      <w:bookmarkEnd w:id="4"/>
    </w:p>
    <w:p w14:paraId="4052F452" w14:textId="77777777" w:rsidR="00AB6157" w:rsidRDefault="00AB6157" w:rsidP="00AB6157">
      <w:pPr>
        <w:rPr>
          <w:rFonts w:ascii="Arial" w:hAnsi="Arial" w:cs="Arial"/>
        </w:rPr>
      </w:pPr>
      <w:r>
        <w:rPr>
          <w:rFonts w:ascii="Arial" w:hAnsi="Arial" w:cs="Arial"/>
        </w:rPr>
        <w:t>&lt;ESMA_QUESTION_PLPM_10&gt;</w:t>
      </w:r>
    </w:p>
    <w:p w14:paraId="703751C3" w14:textId="77777777" w:rsidR="00BA1914" w:rsidRDefault="00BA1914" w:rsidP="00BA1914">
      <w:pPr>
        <w:rPr>
          <w:lang w:val="en-US"/>
        </w:rPr>
      </w:pPr>
      <w:r>
        <w:rPr>
          <w:lang w:val="en-US"/>
        </w:rPr>
        <w:t>Despite a serious administrative burden for the clearing houses and their clients at the start of implementation, position reporting is now installed in a sort of “routine”, well accepted and monitored by all, and which requires no change in our views.</w:t>
      </w:r>
    </w:p>
    <w:p w14:paraId="1548A645" w14:textId="77777777" w:rsidR="00BA1914" w:rsidRDefault="00BA1914" w:rsidP="00BA1914">
      <w:pPr>
        <w:rPr>
          <w:lang w:val="en-US"/>
        </w:rPr>
      </w:pPr>
      <w:r>
        <w:rPr>
          <w:lang w:val="en-US"/>
        </w:rPr>
        <w:t xml:space="preserve">The Commitment of Traders report by Euronext is a very useful tool for market transparency, from which one can understand that our Agri markets have a strong and solid base of commercial companies using them for their hedging needs.  </w:t>
      </w:r>
    </w:p>
    <w:p w14:paraId="1F1F656F" w14:textId="77777777" w:rsidR="00BA1914" w:rsidRDefault="00BA1914" w:rsidP="00BA1914">
      <w:pPr>
        <w:rPr>
          <w:lang w:val="en-US"/>
        </w:rPr>
      </w:pPr>
      <w:r w:rsidRPr="00010F4B">
        <w:rPr>
          <w:lang w:val="en-US"/>
        </w:rPr>
        <w:t xml:space="preserve">We can </w:t>
      </w:r>
      <w:r>
        <w:rPr>
          <w:lang w:val="en-US"/>
        </w:rPr>
        <w:t xml:space="preserve">also </w:t>
      </w:r>
      <w:r w:rsidRPr="00010F4B">
        <w:rPr>
          <w:lang w:val="en-US"/>
        </w:rPr>
        <w:t>add that transp</w:t>
      </w:r>
      <w:r>
        <w:rPr>
          <w:lang w:val="en-US"/>
        </w:rPr>
        <w:t>arency would have been even high</w:t>
      </w:r>
      <w:r w:rsidRPr="00010F4B">
        <w:rPr>
          <w:lang w:val="en-US"/>
        </w:rPr>
        <w:t>er if the market participant</w:t>
      </w:r>
      <w:r>
        <w:rPr>
          <w:lang w:val="en-US"/>
        </w:rPr>
        <w:t>s</w:t>
      </w:r>
      <w:r w:rsidRPr="00010F4B">
        <w:rPr>
          <w:lang w:val="en-US"/>
        </w:rPr>
        <w:t xml:space="preserve"> definitions were the same between US </w:t>
      </w:r>
      <w:r>
        <w:rPr>
          <w:lang w:val="en-US"/>
        </w:rPr>
        <w:t xml:space="preserve">based CFTC and </w:t>
      </w:r>
      <w:proofErr w:type="spellStart"/>
      <w:r>
        <w:rPr>
          <w:lang w:val="en-US"/>
        </w:rPr>
        <w:t>Esma</w:t>
      </w:r>
      <w:proofErr w:type="spellEnd"/>
      <w:r>
        <w:rPr>
          <w:lang w:val="en-US"/>
        </w:rPr>
        <w:t>, as US</w:t>
      </w:r>
      <w:r w:rsidRPr="00010F4B">
        <w:rPr>
          <w:lang w:val="en-US"/>
        </w:rPr>
        <w:t xml:space="preserve"> </w:t>
      </w:r>
      <w:proofErr w:type="spellStart"/>
      <w:r w:rsidRPr="00010F4B">
        <w:rPr>
          <w:lang w:val="en-US"/>
        </w:rPr>
        <w:t>agri</w:t>
      </w:r>
      <w:proofErr w:type="spellEnd"/>
      <w:r w:rsidRPr="00010F4B">
        <w:rPr>
          <w:lang w:val="en-US"/>
        </w:rPr>
        <w:t xml:space="preserve"> markets are largely dominant in world market price</w:t>
      </w:r>
      <w:r>
        <w:rPr>
          <w:lang w:val="en-US"/>
        </w:rPr>
        <w:t>s</w:t>
      </w:r>
      <w:r w:rsidRPr="00010F4B">
        <w:rPr>
          <w:lang w:val="en-US"/>
        </w:rPr>
        <w:t xml:space="preserve"> discovery.</w:t>
      </w:r>
    </w:p>
    <w:p w14:paraId="787F2B83" w14:textId="77777777" w:rsidR="00AB6157" w:rsidRDefault="00AB6157" w:rsidP="00AB6157">
      <w:pPr>
        <w:rPr>
          <w:rFonts w:ascii="Arial" w:hAnsi="Arial" w:cs="Arial"/>
        </w:rPr>
      </w:pPr>
      <w:r>
        <w:rPr>
          <w:rFonts w:ascii="Arial" w:hAnsi="Arial" w:cs="Arial"/>
        </w:rPr>
        <w:t>&lt;ESMA_QUESTION_PLPM_10&gt;</w:t>
      </w:r>
    </w:p>
    <w:p w14:paraId="41B53D6C" w14:textId="77777777" w:rsidR="00AB6157" w:rsidRDefault="00AB6157" w:rsidP="00AB6157">
      <w:pPr>
        <w:rPr>
          <w:rFonts w:ascii="Arial" w:hAnsi="Arial" w:cs="Arial"/>
        </w:rPr>
      </w:pPr>
    </w:p>
    <w:p w14:paraId="61022363" w14:textId="77777777" w:rsidR="00AB6157" w:rsidRDefault="00AB6157" w:rsidP="00AB6157">
      <w:pPr>
        <w:pStyle w:val="Questionstyle"/>
        <w:numPr>
          <w:ilvl w:val="0"/>
          <w:numId w:val="9"/>
        </w:numPr>
        <w:spacing w:after="250" w:line="276" w:lineRule="auto"/>
      </w:pPr>
      <w:r>
        <w:t xml:space="preserve">: </w:t>
      </w:r>
      <w:r w:rsidRPr="006302EB">
        <w:t>In your view, how will EU commodity derivatives market</w:t>
      </w:r>
      <w:r>
        <w:t>s</w:t>
      </w:r>
      <w:r w:rsidRPr="006302EB">
        <w:t xml:space="preserve"> be impacted by the UK leaving the EU? What consequences do you expect from Brexit on the commodity derivatives regime under MiFID II? </w:t>
      </w:r>
    </w:p>
    <w:p w14:paraId="2A146DEC" w14:textId="77777777" w:rsidR="00AB6157" w:rsidRDefault="00AB6157" w:rsidP="00AB6157">
      <w:pPr>
        <w:rPr>
          <w:rFonts w:ascii="Arial" w:hAnsi="Arial" w:cs="Arial"/>
        </w:rPr>
      </w:pPr>
      <w:r>
        <w:rPr>
          <w:rFonts w:ascii="Arial" w:hAnsi="Arial" w:cs="Arial"/>
        </w:rPr>
        <w:t>&lt;ESMA_QUESTION_PLPM_11&gt;</w:t>
      </w:r>
    </w:p>
    <w:p w14:paraId="787C38A4" w14:textId="77777777" w:rsidR="00BA1914" w:rsidRDefault="00BA1914" w:rsidP="00BA1914">
      <w:pPr>
        <w:rPr>
          <w:lang w:val="en-US"/>
        </w:rPr>
      </w:pPr>
      <w:r>
        <w:rPr>
          <w:lang w:val="en-US"/>
        </w:rPr>
        <w:t>Brexit is certainly a major challenge for Agri commodities markets, since roughly 2/3 of the volumes (notional) are traded in UK, which means that the market size would be divided by 3 after Brexit! But it is even more impacting on other asset classes…</w:t>
      </w:r>
    </w:p>
    <w:p w14:paraId="5095F598" w14:textId="77777777" w:rsidR="00BA1914" w:rsidRDefault="00BA1914" w:rsidP="00BA1914">
      <w:pPr>
        <w:rPr>
          <w:lang w:val="en-US"/>
        </w:rPr>
      </w:pPr>
      <w:r>
        <w:rPr>
          <w:lang w:val="en-US"/>
        </w:rPr>
        <w:t xml:space="preserve">UK has declared they would still apply </w:t>
      </w:r>
      <w:proofErr w:type="spellStart"/>
      <w:r>
        <w:rPr>
          <w:lang w:val="en-US"/>
        </w:rPr>
        <w:t>Mifid</w:t>
      </w:r>
      <w:proofErr w:type="spellEnd"/>
      <w:r>
        <w:rPr>
          <w:lang w:val="en-US"/>
        </w:rPr>
        <w:t xml:space="preserve"> II after Brexit, (this certainly depending on the Brexit conditions which are unclear at this moment). Thus, in our views, the best solution would be to change nothing in the quantitative approach and redraft the legal aspects of </w:t>
      </w:r>
      <w:proofErr w:type="spellStart"/>
      <w:r>
        <w:rPr>
          <w:lang w:val="en-US"/>
        </w:rPr>
        <w:t>Mifid</w:t>
      </w:r>
      <w:proofErr w:type="spellEnd"/>
      <w:r>
        <w:rPr>
          <w:lang w:val="en-US"/>
        </w:rPr>
        <w:t xml:space="preserve"> II to still include UK venues and markets, despite no longer in the EU.</w:t>
      </w:r>
    </w:p>
    <w:p w14:paraId="23FBB88A" w14:textId="77777777" w:rsidR="00BA1914" w:rsidRDefault="00BA1914" w:rsidP="00BA1914">
      <w:pPr>
        <w:rPr>
          <w:lang w:val="en-US"/>
        </w:rPr>
      </w:pPr>
      <w:r>
        <w:rPr>
          <w:lang w:val="en-US"/>
        </w:rPr>
        <w:t xml:space="preserve">If this is not possible, then a full review of </w:t>
      </w:r>
      <w:proofErr w:type="spellStart"/>
      <w:r>
        <w:rPr>
          <w:lang w:val="en-US"/>
        </w:rPr>
        <w:t>Mifid</w:t>
      </w:r>
      <w:proofErr w:type="spellEnd"/>
      <w:r>
        <w:rPr>
          <w:lang w:val="en-US"/>
        </w:rPr>
        <w:t xml:space="preserve"> II seems needed, and not only the position limits aspects, but also the ancillary activity tests…</w:t>
      </w:r>
    </w:p>
    <w:p w14:paraId="1592A63B" w14:textId="77777777" w:rsidR="00AB6157" w:rsidRDefault="00AB6157" w:rsidP="00AB6157">
      <w:pPr>
        <w:rPr>
          <w:rFonts w:ascii="Arial" w:hAnsi="Arial" w:cs="Arial"/>
        </w:rPr>
      </w:pPr>
      <w:r>
        <w:rPr>
          <w:rFonts w:ascii="Arial" w:hAnsi="Arial" w:cs="Arial"/>
        </w:rPr>
        <w:t>&lt;ESMA_QUESTION_PLPM_11&gt;</w:t>
      </w:r>
    </w:p>
    <w:p w14:paraId="35FFF0E3" w14:textId="77777777" w:rsidR="00AB6157" w:rsidRDefault="00AB6157" w:rsidP="00AB6157">
      <w:pPr>
        <w:rPr>
          <w:rFonts w:ascii="Arial" w:hAnsi="Arial" w:cs="Arial"/>
        </w:rPr>
      </w:pPr>
    </w:p>
    <w:p w14:paraId="36C90AEF" w14:textId="77777777" w:rsidR="00AB6157" w:rsidRDefault="00AB6157" w:rsidP="00AB6157">
      <w:pPr>
        <w:pStyle w:val="Questionstyle"/>
        <w:numPr>
          <w:ilvl w:val="0"/>
          <w:numId w:val="9"/>
        </w:numPr>
        <w:spacing w:after="250" w:line="276" w:lineRule="auto"/>
      </w:pPr>
      <w:r>
        <w:t xml:space="preserve">: </w:t>
      </w:r>
      <w:r w:rsidRPr="006302EB">
        <w:t>Taking into consideration the intended purposes of position limits, do you consider that they deliver the same benefit across all commodity asset classes and across all types of commodity derivatives? Please explain.</w:t>
      </w:r>
    </w:p>
    <w:p w14:paraId="59B53DD4" w14:textId="77777777" w:rsidR="00AB6157" w:rsidRDefault="00AB6157" w:rsidP="00AB6157">
      <w:pPr>
        <w:rPr>
          <w:rFonts w:ascii="Arial" w:hAnsi="Arial" w:cs="Arial"/>
        </w:rPr>
      </w:pPr>
      <w:r>
        <w:rPr>
          <w:rFonts w:ascii="Arial" w:hAnsi="Arial" w:cs="Arial"/>
        </w:rPr>
        <w:t>&lt;ESMA_QUESTION_PLPM_12&gt;</w:t>
      </w:r>
    </w:p>
    <w:p w14:paraId="34D408A5" w14:textId="5F761DBD" w:rsidR="00BA1914" w:rsidRDefault="00BA1914" w:rsidP="00AB6157">
      <w:pPr>
        <w:rPr>
          <w:lang w:val="en-US"/>
        </w:rPr>
      </w:pPr>
      <w:r w:rsidRPr="00751AD3">
        <w:rPr>
          <w:lang w:val="en-US"/>
        </w:rPr>
        <w:lastRenderedPageBreak/>
        <w:t>No</w:t>
      </w:r>
      <w:r>
        <w:rPr>
          <w:lang w:val="en-US"/>
        </w:rPr>
        <w:t>t</w:t>
      </w:r>
      <w:r w:rsidRPr="00751AD3">
        <w:rPr>
          <w:lang w:val="en-US"/>
        </w:rPr>
        <w:t xml:space="preserve"> relevant </w:t>
      </w:r>
      <w:r>
        <w:rPr>
          <w:lang w:val="en-US"/>
        </w:rPr>
        <w:t>for</w:t>
      </w:r>
      <w:r w:rsidRPr="00751AD3">
        <w:rPr>
          <w:lang w:val="en-US"/>
        </w:rPr>
        <w:t xml:space="preserve"> </w:t>
      </w:r>
      <w:proofErr w:type="spellStart"/>
      <w:r>
        <w:rPr>
          <w:lang w:val="en-US"/>
        </w:rPr>
        <w:t>InVivo</w:t>
      </w:r>
      <w:proofErr w:type="spellEnd"/>
      <w:r>
        <w:rPr>
          <w:lang w:val="en-US"/>
        </w:rPr>
        <w:t xml:space="preserve"> Trading</w:t>
      </w:r>
      <w:r>
        <w:rPr>
          <w:lang w:val="en-US"/>
        </w:rPr>
        <w:t>, involved only in Agri-commodities</w:t>
      </w:r>
      <w:r>
        <w:rPr>
          <w:lang w:val="en-US"/>
        </w:rPr>
        <w:t xml:space="preserve"> </w:t>
      </w:r>
    </w:p>
    <w:p w14:paraId="592759FF" w14:textId="447E1AB9" w:rsidR="00AB6157" w:rsidRDefault="00AB6157" w:rsidP="00AB6157">
      <w:pPr>
        <w:rPr>
          <w:rFonts w:ascii="Arial" w:hAnsi="Arial" w:cs="Arial"/>
        </w:rPr>
      </w:pPr>
      <w:r>
        <w:rPr>
          <w:rFonts w:ascii="Arial" w:hAnsi="Arial" w:cs="Arial"/>
        </w:rPr>
        <w:t>&lt;ESMA_QUESTION_PLPM_12&gt;</w:t>
      </w:r>
    </w:p>
    <w:p w14:paraId="55B482C6" w14:textId="77777777" w:rsidR="00AB6157" w:rsidRDefault="00AB6157" w:rsidP="00AB6157">
      <w:pPr>
        <w:rPr>
          <w:rFonts w:ascii="Arial" w:hAnsi="Arial" w:cs="Arial"/>
        </w:rPr>
      </w:pPr>
    </w:p>
    <w:p w14:paraId="0909B86E" w14:textId="77777777" w:rsidR="00AB6157" w:rsidRDefault="00AB6157" w:rsidP="00AB6157">
      <w:pPr>
        <w:pStyle w:val="Questionstyle"/>
        <w:numPr>
          <w:ilvl w:val="0"/>
          <w:numId w:val="9"/>
        </w:numPr>
        <w:spacing w:after="250" w:line="276" w:lineRule="auto"/>
      </w:pPr>
      <w:r>
        <w:t xml:space="preserve">: </w:t>
      </w:r>
      <w:r w:rsidRPr="006302EB">
        <w:t xml:space="preserve">Would you see benefits in limiting the application of position limits to a more limited set of commodity derivatives? If so, to which ones and on which criteria? </w:t>
      </w:r>
    </w:p>
    <w:p w14:paraId="54F506E9" w14:textId="77777777" w:rsidR="00AB6157" w:rsidRDefault="00AB6157" w:rsidP="00AB6157">
      <w:pPr>
        <w:rPr>
          <w:rFonts w:ascii="Arial" w:hAnsi="Arial" w:cs="Arial"/>
        </w:rPr>
      </w:pPr>
      <w:r>
        <w:rPr>
          <w:rFonts w:ascii="Arial" w:hAnsi="Arial" w:cs="Arial"/>
        </w:rPr>
        <w:t>&lt;ESMA_QUESTION_PLPM_13&gt;</w:t>
      </w:r>
    </w:p>
    <w:p w14:paraId="0A03A6BF" w14:textId="77777777" w:rsidR="00BA1914" w:rsidRDefault="00BA1914" w:rsidP="00BA1914">
      <w:pPr>
        <w:rPr>
          <w:lang w:val="en-US"/>
        </w:rPr>
      </w:pPr>
      <w:r w:rsidRPr="00986080">
        <w:rPr>
          <w:lang w:val="en-US"/>
        </w:rPr>
        <w:t xml:space="preserve">The question is a </w:t>
      </w:r>
      <w:r>
        <w:rPr>
          <w:lang w:val="en-US"/>
        </w:rPr>
        <w:t>good</w:t>
      </w:r>
      <w:r w:rsidRPr="00986080">
        <w:rPr>
          <w:lang w:val="en-US"/>
        </w:rPr>
        <w:t xml:space="preserve"> question </w:t>
      </w:r>
      <w:r>
        <w:rPr>
          <w:lang w:val="en-US"/>
        </w:rPr>
        <w:t>for</w:t>
      </w:r>
      <w:r w:rsidRPr="00986080">
        <w:rPr>
          <w:lang w:val="en-US"/>
        </w:rPr>
        <w:t xml:space="preserve"> Agri commodities</w:t>
      </w:r>
      <w:r>
        <w:rPr>
          <w:lang w:val="en-US"/>
        </w:rPr>
        <w:t xml:space="preserve">: </w:t>
      </w:r>
      <w:proofErr w:type="spellStart"/>
      <w:r>
        <w:rPr>
          <w:lang w:val="en-US"/>
        </w:rPr>
        <w:t>InVivo</w:t>
      </w:r>
      <w:proofErr w:type="spellEnd"/>
      <w:r>
        <w:rPr>
          <w:lang w:val="en-US"/>
        </w:rPr>
        <w:t xml:space="preserve"> Trading considers that there is only one major futures contract in continental EU, </w:t>
      </w:r>
      <w:proofErr w:type="spellStart"/>
      <w:r>
        <w:rPr>
          <w:lang w:val="en-US"/>
        </w:rPr>
        <w:t>ie</w:t>
      </w:r>
      <w:proofErr w:type="spellEnd"/>
      <w:r>
        <w:rPr>
          <w:lang w:val="en-US"/>
        </w:rPr>
        <w:t xml:space="preserve"> Euronext wheat. Corn must not be mentioned, and anyhow, this a rather feed oriented contract… Even rapeseed, which is an active and essential contract at EU’s level but of small dimension, does not require a drastic limitation of the position a given market participant can hold, also because almost 70% of EU rapeseed oil production is dedicated to biofuels, and not to food markets. </w:t>
      </w:r>
    </w:p>
    <w:p w14:paraId="29582E94" w14:textId="77777777" w:rsidR="00AB6157" w:rsidRDefault="00AB6157" w:rsidP="00AB6157">
      <w:pPr>
        <w:rPr>
          <w:rFonts w:ascii="Arial" w:hAnsi="Arial" w:cs="Arial"/>
        </w:rPr>
      </w:pPr>
      <w:r>
        <w:rPr>
          <w:rFonts w:ascii="Arial" w:hAnsi="Arial" w:cs="Arial"/>
        </w:rPr>
        <w:t>&lt;ESMA_QUESTION_PLPM_13&gt;</w:t>
      </w:r>
    </w:p>
    <w:p w14:paraId="36FFAF5F" w14:textId="77777777" w:rsidR="00AB6157" w:rsidRDefault="00AB6157" w:rsidP="00AB6157">
      <w:pPr>
        <w:rPr>
          <w:rFonts w:ascii="Arial" w:hAnsi="Arial" w:cs="Arial"/>
        </w:rPr>
      </w:pPr>
    </w:p>
    <w:p w14:paraId="09F78D8E" w14:textId="77777777" w:rsidR="00AB6157" w:rsidRDefault="00AB6157" w:rsidP="00AB6157">
      <w:pPr>
        <w:pStyle w:val="Questionstyle"/>
        <w:numPr>
          <w:ilvl w:val="0"/>
          <w:numId w:val="9"/>
        </w:numPr>
        <w:spacing w:after="250" w:line="276" w:lineRule="auto"/>
      </w:pPr>
      <w:r>
        <w:t xml:space="preserve">: </w:t>
      </w:r>
      <w:r w:rsidRPr="006302EB">
        <w:t xml:space="preserve">More specifically, are you facing any issue with the application of position limits to securitised derivatives? If so, please elaborate. </w:t>
      </w:r>
    </w:p>
    <w:p w14:paraId="78FE4358" w14:textId="77777777" w:rsidR="00AB6157" w:rsidRDefault="00AB6157" w:rsidP="00AB6157">
      <w:pPr>
        <w:rPr>
          <w:rFonts w:ascii="Arial" w:hAnsi="Arial" w:cs="Arial"/>
        </w:rPr>
      </w:pPr>
      <w:r>
        <w:rPr>
          <w:rFonts w:ascii="Arial" w:hAnsi="Arial" w:cs="Arial"/>
        </w:rPr>
        <w:t>&lt;ESMA_QUESTION_PLPM_14&gt;</w:t>
      </w:r>
    </w:p>
    <w:p w14:paraId="45649F11" w14:textId="77777777" w:rsidR="00BA1914" w:rsidRDefault="00BA1914" w:rsidP="00AB6157">
      <w:pPr>
        <w:rPr>
          <w:rFonts w:ascii="Arial" w:hAnsi="Arial" w:cs="Arial"/>
        </w:rPr>
      </w:pPr>
      <w:r>
        <w:rPr>
          <w:lang w:val="en-US"/>
        </w:rPr>
        <w:t xml:space="preserve">not relevant for </w:t>
      </w:r>
      <w:proofErr w:type="spellStart"/>
      <w:r>
        <w:rPr>
          <w:lang w:val="en-US"/>
        </w:rPr>
        <w:t>InVivo</w:t>
      </w:r>
      <w:proofErr w:type="spellEnd"/>
      <w:r>
        <w:rPr>
          <w:lang w:val="en-US"/>
        </w:rPr>
        <w:t xml:space="preserve"> Trading</w:t>
      </w:r>
      <w:r>
        <w:rPr>
          <w:rFonts w:ascii="Arial" w:hAnsi="Arial" w:cs="Arial"/>
        </w:rPr>
        <w:t xml:space="preserve"> </w:t>
      </w:r>
    </w:p>
    <w:p w14:paraId="09E79F49" w14:textId="781B2B9A" w:rsidR="00AB6157" w:rsidRDefault="00AB6157" w:rsidP="00AB6157">
      <w:pPr>
        <w:rPr>
          <w:rFonts w:ascii="Arial" w:hAnsi="Arial" w:cs="Arial"/>
        </w:rPr>
      </w:pPr>
      <w:r>
        <w:rPr>
          <w:rFonts w:ascii="Arial" w:hAnsi="Arial" w:cs="Arial"/>
        </w:rPr>
        <w:t>&lt;ESMA_QUESTION_PLPM_14&gt;</w:t>
      </w:r>
    </w:p>
    <w:p w14:paraId="15D66905" w14:textId="77777777" w:rsidR="00AB6157" w:rsidRDefault="00AB6157" w:rsidP="00AB6157">
      <w:pPr>
        <w:rPr>
          <w:rFonts w:ascii="Arial" w:hAnsi="Arial" w:cs="Arial"/>
        </w:rPr>
      </w:pPr>
    </w:p>
    <w:p w14:paraId="5D87B2D1" w14:textId="77777777" w:rsidR="00AB6157" w:rsidRDefault="00AB6157" w:rsidP="00AB6157">
      <w:pPr>
        <w:pStyle w:val="Questionstyle"/>
        <w:numPr>
          <w:ilvl w:val="0"/>
          <w:numId w:val="9"/>
        </w:numPr>
        <w:spacing w:after="250" w:line="276" w:lineRule="auto"/>
      </w:pPr>
      <w:r>
        <w:t>: Do you consider that there would be merits in reviewing the definition of EEOTC contracts? If so, please explain the changes you would suggest.</w:t>
      </w:r>
    </w:p>
    <w:p w14:paraId="39E3D923" w14:textId="77777777" w:rsidR="00AB6157" w:rsidRDefault="00AB6157" w:rsidP="00AB6157">
      <w:pPr>
        <w:rPr>
          <w:rFonts w:ascii="Arial" w:hAnsi="Arial" w:cs="Arial"/>
        </w:rPr>
      </w:pPr>
      <w:r>
        <w:rPr>
          <w:rFonts w:ascii="Arial" w:hAnsi="Arial" w:cs="Arial"/>
        </w:rPr>
        <w:t>&lt;ESMA_QUESTION_PLPM_15&gt;</w:t>
      </w:r>
    </w:p>
    <w:p w14:paraId="47CEDEE4" w14:textId="77777777" w:rsidR="00BA1914" w:rsidRDefault="00BA1914" w:rsidP="00BA1914">
      <w:pPr>
        <w:rPr>
          <w:lang w:val="en-US"/>
        </w:rPr>
      </w:pPr>
      <w:proofErr w:type="spellStart"/>
      <w:r>
        <w:rPr>
          <w:lang w:val="en-US"/>
        </w:rPr>
        <w:t>InVivo</w:t>
      </w:r>
      <w:proofErr w:type="spellEnd"/>
      <w:r>
        <w:rPr>
          <w:lang w:val="en-US"/>
        </w:rPr>
        <w:t xml:space="preserve"> Trading does not see a reason to modify the definition of EEOTC contracts. In our views, should we make this definition more flexible, we would face the risk to have cleared OTC switching to non-cleared contracts, which would reduce the market transparency and security.</w:t>
      </w:r>
    </w:p>
    <w:p w14:paraId="3225B4D8" w14:textId="77777777" w:rsidR="00AB6157" w:rsidRDefault="00AB6157" w:rsidP="00AB6157">
      <w:pPr>
        <w:rPr>
          <w:rFonts w:ascii="Arial" w:hAnsi="Arial" w:cs="Arial"/>
        </w:rPr>
      </w:pPr>
      <w:r>
        <w:rPr>
          <w:rFonts w:ascii="Arial" w:hAnsi="Arial" w:cs="Arial"/>
        </w:rPr>
        <w:t>&lt;ESMA_QUESTION_PLPM_15&gt;</w:t>
      </w:r>
    </w:p>
    <w:p w14:paraId="6B97A1B3" w14:textId="77777777" w:rsidR="00AB6157" w:rsidRDefault="00AB6157" w:rsidP="00AB6157">
      <w:pPr>
        <w:rPr>
          <w:rFonts w:ascii="Arial" w:hAnsi="Arial" w:cs="Arial"/>
        </w:rPr>
      </w:pPr>
    </w:p>
    <w:p w14:paraId="33234B10" w14:textId="77777777" w:rsidR="00AB6157" w:rsidRDefault="00AB6157" w:rsidP="00AB6157">
      <w:pPr>
        <w:pStyle w:val="Questionstyle"/>
        <w:numPr>
          <w:ilvl w:val="0"/>
          <w:numId w:val="9"/>
        </w:numPr>
        <w:spacing w:after="250" w:line="276" w:lineRule="auto"/>
      </w:pPr>
      <w:r>
        <w:t xml:space="preserve">: </w:t>
      </w:r>
      <w:r w:rsidRPr="0059718E">
        <w:t>In your view, would there be a need to review the MiFID II position limit exemptions? If so, please elaborate and explain which changes would be desirable.</w:t>
      </w:r>
    </w:p>
    <w:p w14:paraId="6C03622D" w14:textId="77777777" w:rsidR="00AB6157" w:rsidRDefault="00AB6157" w:rsidP="00AB6157">
      <w:pPr>
        <w:rPr>
          <w:rFonts w:ascii="Arial" w:hAnsi="Arial" w:cs="Arial"/>
        </w:rPr>
      </w:pPr>
      <w:r>
        <w:rPr>
          <w:rFonts w:ascii="Arial" w:hAnsi="Arial" w:cs="Arial"/>
        </w:rPr>
        <w:t>&lt;ESMA_QUESTION_PLPM_16&gt;</w:t>
      </w:r>
    </w:p>
    <w:p w14:paraId="039E1F4F" w14:textId="77777777" w:rsidR="006D4714" w:rsidRDefault="006D4714" w:rsidP="006D4714">
      <w:pPr>
        <w:rPr>
          <w:lang w:val="en-US"/>
        </w:rPr>
      </w:pPr>
      <w:r>
        <w:rPr>
          <w:lang w:val="en-US"/>
        </w:rPr>
        <w:t xml:space="preserve">So far, the position limits regime for Agri commodities has not shown any difficulty in its practical management by NCA. This means that it has been well tailored to the markets requirements and particularities from the enforcement of </w:t>
      </w:r>
      <w:proofErr w:type="spellStart"/>
      <w:r>
        <w:rPr>
          <w:lang w:val="en-US"/>
        </w:rPr>
        <w:t>MiFid</w:t>
      </w:r>
      <w:proofErr w:type="spellEnd"/>
      <w:r>
        <w:rPr>
          <w:lang w:val="en-US"/>
        </w:rPr>
        <w:t xml:space="preserve"> II in January 2018.</w:t>
      </w:r>
    </w:p>
    <w:p w14:paraId="6423DB2F" w14:textId="77777777" w:rsidR="006D4714" w:rsidRDefault="006D4714" w:rsidP="006D4714">
      <w:pPr>
        <w:rPr>
          <w:lang w:val="en-US"/>
        </w:rPr>
      </w:pPr>
      <w:r>
        <w:rPr>
          <w:lang w:val="en-US"/>
        </w:rPr>
        <w:t xml:space="preserve">Although </w:t>
      </w:r>
      <w:proofErr w:type="spellStart"/>
      <w:r>
        <w:rPr>
          <w:lang w:val="en-US"/>
        </w:rPr>
        <w:t>InVivo</w:t>
      </w:r>
      <w:proofErr w:type="spellEnd"/>
      <w:r>
        <w:rPr>
          <w:lang w:val="en-US"/>
        </w:rPr>
        <w:t xml:space="preserve"> Trading recognizes the potential need to better harmonize the limits management processes for different NCA across EU for one given asset class, for Agri commodities, </w:t>
      </w:r>
      <w:proofErr w:type="spellStart"/>
      <w:r>
        <w:rPr>
          <w:lang w:val="en-US"/>
        </w:rPr>
        <w:t>InVivo</w:t>
      </w:r>
      <w:proofErr w:type="spellEnd"/>
      <w:r>
        <w:rPr>
          <w:lang w:val="en-US"/>
        </w:rPr>
        <w:t xml:space="preserve"> Trading does not see any reason to change both position limits and the management process by the regulators. </w:t>
      </w:r>
    </w:p>
    <w:p w14:paraId="4A281AB1" w14:textId="77777777" w:rsidR="00AB6157" w:rsidRDefault="00AB6157" w:rsidP="00AB6157">
      <w:pPr>
        <w:rPr>
          <w:rFonts w:ascii="Arial" w:hAnsi="Arial" w:cs="Arial"/>
        </w:rPr>
      </w:pPr>
      <w:r>
        <w:rPr>
          <w:rFonts w:ascii="Arial" w:hAnsi="Arial" w:cs="Arial"/>
        </w:rPr>
        <w:t>&lt;ESMA_QUESTION_PLPM_16&gt;</w:t>
      </w:r>
    </w:p>
    <w:p w14:paraId="7F94DF8C" w14:textId="77777777" w:rsidR="00AB6157" w:rsidRDefault="00AB6157" w:rsidP="00AB6157">
      <w:pPr>
        <w:rPr>
          <w:rFonts w:ascii="Arial" w:hAnsi="Arial" w:cs="Arial"/>
        </w:rPr>
      </w:pPr>
    </w:p>
    <w:p w14:paraId="0D51099B" w14:textId="77777777" w:rsidR="00AB6157" w:rsidRDefault="00AB6157" w:rsidP="00AB6157">
      <w:pPr>
        <w:pStyle w:val="Questionstyle"/>
        <w:numPr>
          <w:ilvl w:val="0"/>
          <w:numId w:val="9"/>
        </w:numPr>
        <w:spacing w:after="250" w:line="276" w:lineRule="auto"/>
      </w:pPr>
      <w:bookmarkStart w:id="5" w:name="_Hlk8205050"/>
      <w:r>
        <w:t>: Would you</w:t>
      </w:r>
      <w:r w:rsidRPr="00503AC3">
        <w:t xml:space="preserve"> </w:t>
      </w:r>
      <w:r>
        <w:t xml:space="preserve">see merits in the approach </w:t>
      </w:r>
      <w:r w:rsidRPr="00503AC3">
        <w:t>described above</w:t>
      </w:r>
      <w:r>
        <w:t xml:space="preserve"> and the additional flexibility provided to CAs for setting the spot month limit in cash settled contracts? Please explain</w:t>
      </w:r>
      <w:r w:rsidRPr="00503AC3">
        <w:t>.</w:t>
      </w:r>
      <w:bookmarkEnd w:id="5"/>
    </w:p>
    <w:p w14:paraId="78EA29A4" w14:textId="77777777" w:rsidR="00AB6157" w:rsidRDefault="00AB6157" w:rsidP="00AB6157">
      <w:pPr>
        <w:rPr>
          <w:rFonts w:ascii="Arial" w:hAnsi="Arial" w:cs="Arial"/>
        </w:rPr>
      </w:pPr>
      <w:r>
        <w:rPr>
          <w:rFonts w:ascii="Arial" w:hAnsi="Arial" w:cs="Arial"/>
        </w:rPr>
        <w:lastRenderedPageBreak/>
        <w:t>&lt;ESMA_QUESTION_PLPM_17&gt;</w:t>
      </w:r>
    </w:p>
    <w:p w14:paraId="14B93D71" w14:textId="3D2435B8" w:rsidR="006D4714" w:rsidRDefault="006D4714" w:rsidP="006D4714">
      <w:pPr>
        <w:rPr>
          <w:lang w:val="en-US"/>
        </w:rPr>
      </w:pPr>
      <w:r>
        <w:rPr>
          <w:lang w:val="en-US"/>
        </w:rPr>
        <w:t xml:space="preserve">For the front month limit, in </w:t>
      </w:r>
      <w:proofErr w:type="spellStart"/>
      <w:r>
        <w:rPr>
          <w:lang w:val="en-US"/>
        </w:rPr>
        <w:t>InVivo</w:t>
      </w:r>
      <w:proofErr w:type="spellEnd"/>
      <w:r>
        <w:rPr>
          <w:lang w:val="en-US"/>
        </w:rPr>
        <w:t xml:space="preserve"> Trading’</w:t>
      </w:r>
      <w:r>
        <w:rPr>
          <w:lang w:val="en-US"/>
        </w:rPr>
        <w:t>s</w:t>
      </w:r>
      <w:r>
        <w:rPr>
          <w:lang w:val="en-US"/>
        </w:rPr>
        <w:t xml:space="preserve"> views, the notion of “deliverable supply” is totally adapted to our commodities, since the quality aspects are extremely important for the last trading weeks before expiry, as opposed to other asset classes. The largest the deliverable supply is, the best is the prices convergence. Euronext regime for the last trading days offers the best guarantees for the physical </w:t>
      </w:r>
      <w:proofErr w:type="gramStart"/>
      <w:r>
        <w:rPr>
          <w:lang w:val="en-US"/>
        </w:rPr>
        <w:t>markets, and</w:t>
      </w:r>
      <w:proofErr w:type="gramEnd"/>
      <w:r>
        <w:rPr>
          <w:lang w:val="en-US"/>
        </w:rPr>
        <w:t xml:space="preserve"> is also very well accepted by all market participants.</w:t>
      </w:r>
      <w:r w:rsidRPr="004F7650">
        <w:rPr>
          <w:lang w:val="en-US"/>
        </w:rPr>
        <w:t xml:space="preserve"> </w:t>
      </w:r>
    </w:p>
    <w:p w14:paraId="2176D32C" w14:textId="77777777" w:rsidR="006D4714" w:rsidRDefault="006D4714" w:rsidP="006D4714">
      <w:pPr>
        <w:rPr>
          <w:lang w:val="en-US"/>
        </w:rPr>
      </w:pPr>
      <w:proofErr w:type="spellStart"/>
      <w:r>
        <w:rPr>
          <w:lang w:val="en-US"/>
        </w:rPr>
        <w:t>InVivo</w:t>
      </w:r>
      <w:proofErr w:type="spellEnd"/>
      <w:r>
        <w:rPr>
          <w:lang w:val="en-US"/>
        </w:rPr>
        <w:t xml:space="preserve"> Trading is not by principle opposed though to have a distinct rationale for other asset classes, if relevant.</w:t>
      </w:r>
    </w:p>
    <w:p w14:paraId="668FFE86" w14:textId="77777777" w:rsidR="006D4714" w:rsidRDefault="006D4714" w:rsidP="006D4714">
      <w:pPr>
        <w:rPr>
          <w:lang w:val="en-US"/>
        </w:rPr>
      </w:pPr>
      <w:r>
        <w:rPr>
          <w:lang w:val="en-US"/>
        </w:rPr>
        <w:t xml:space="preserve">For the other months, open interest is </w:t>
      </w:r>
      <w:proofErr w:type="gramStart"/>
      <w:r>
        <w:rPr>
          <w:lang w:val="en-US"/>
        </w:rPr>
        <w:t>definitely the</w:t>
      </w:r>
      <w:proofErr w:type="gramEnd"/>
      <w:r>
        <w:rPr>
          <w:lang w:val="en-US"/>
        </w:rPr>
        <w:t xml:space="preserve"> best and easy to monitor indicator, known with precision on a daily basis.</w:t>
      </w:r>
    </w:p>
    <w:p w14:paraId="709D5B07" w14:textId="77777777" w:rsidR="00AB6157" w:rsidRDefault="00AB6157" w:rsidP="00AB6157">
      <w:pPr>
        <w:rPr>
          <w:rFonts w:ascii="Arial" w:hAnsi="Arial" w:cs="Arial"/>
        </w:rPr>
      </w:pPr>
      <w:r>
        <w:rPr>
          <w:rFonts w:ascii="Arial" w:hAnsi="Arial" w:cs="Arial"/>
        </w:rPr>
        <w:t>&lt;ESMA_QUESTION_PLPM_17&gt;</w:t>
      </w:r>
    </w:p>
    <w:p w14:paraId="5FBA08C9" w14:textId="77777777" w:rsidR="00AB6157" w:rsidRDefault="00AB6157" w:rsidP="00AB6157">
      <w:pPr>
        <w:rPr>
          <w:rFonts w:ascii="Arial" w:hAnsi="Arial" w:cs="Arial"/>
        </w:rPr>
      </w:pPr>
    </w:p>
    <w:p w14:paraId="7EF000ED" w14:textId="77777777" w:rsidR="00AB6157" w:rsidRDefault="00AB6157" w:rsidP="00AB6157">
      <w:pPr>
        <w:pStyle w:val="Questionstyle"/>
        <w:numPr>
          <w:ilvl w:val="0"/>
          <w:numId w:val="9"/>
        </w:numPr>
        <w:spacing w:after="250" w:line="276" w:lineRule="auto"/>
      </w:pPr>
      <w:r>
        <w:t xml:space="preserve">: Would you see benefits to review the approach for setting position limits for new and illiquid contracts? If so, what would you suggest? </w:t>
      </w:r>
    </w:p>
    <w:p w14:paraId="5860723E" w14:textId="77777777" w:rsidR="00AB6157" w:rsidRDefault="00AB6157" w:rsidP="00AB6157">
      <w:pPr>
        <w:rPr>
          <w:rFonts w:ascii="Arial" w:hAnsi="Arial" w:cs="Arial"/>
        </w:rPr>
      </w:pPr>
      <w:r>
        <w:rPr>
          <w:rFonts w:ascii="Arial" w:hAnsi="Arial" w:cs="Arial"/>
        </w:rPr>
        <w:t>&lt;ESMA_QUESTION_PLPM_18&gt;</w:t>
      </w:r>
    </w:p>
    <w:p w14:paraId="3EA9988D" w14:textId="56D9BE98" w:rsidR="006D4714" w:rsidRDefault="006D4714" w:rsidP="006D4714">
      <w:pPr>
        <w:rPr>
          <w:lang w:val="en-US"/>
        </w:rPr>
      </w:pPr>
      <w:r>
        <w:rPr>
          <w:lang w:val="en-US"/>
        </w:rPr>
        <w:t xml:space="preserve">Answer to questions 18 / </w:t>
      </w:r>
      <w:proofErr w:type="gramStart"/>
      <w:r>
        <w:rPr>
          <w:lang w:val="en-US"/>
        </w:rPr>
        <w:t>19 :</w:t>
      </w:r>
      <w:proofErr w:type="gramEnd"/>
      <w:r>
        <w:rPr>
          <w:lang w:val="en-US"/>
        </w:rPr>
        <w:t xml:space="preserve"> </w:t>
      </w:r>
      <w:r>
        <w:rPr>
          <w:lang w:val="en-US"/>
        </w:rPr>
        <w:t xml:space="preserve">As far as Agri commodities are concerned, </w:t>
      </w:r>
      <w:proofErr w:type="spellStart"/>
      <w:r>
        <w:rPr>
          <w:lang w:val="en-US"/>
        </w:rPr>
        <w:t>InVivo</w:t>
      </w:r>
      <w:proofErr w:type="spellEnd"/>
      <w:r>
        <w:rPr>
          <w:lang w:val="en-US"/>
        </w:rPr>
        <w:t xml:space="preserve"> Trading is in favor of excluding new and illiquid contracts of the </w:t>
      </w:r>
      <w:proofErr w:type="spellStart"/>
      <w:r>
        <w:rPr>
          <w:lang w:val="en-US"/>
        </w:rPr>
        <w:t>Mifid</w:t>
      </w:r>
      <w:proofErr w:type="spellEnd"/>
      <w:r>
        <w:rPr>
          <w:lang w:val="en-US"/>
        </w:rPr>
        <w:t xml:space="preserve"> II position limits regime, of course, as long as they are new and illiquid… For these contracts, we believe the Euronext rules before expiry are efficient enough to manage a good prices convergence without risk for the markets.</w:t>
      </w:r>
    </w:p>
    <w:p w14:paraId="6178566C" w14:textId="77777777" w:rsidR="00AB6157" w:rsidRDefault="00AB6157" w:rsidP="00AB6157">
      <w:pPr>
        <w:rPr>
          <w:rFonts w:ascii="Arial" w:hAnsi="Arial" w:cs="Arial"/>
        </w:rPr>
      </w:pPr>
      <w:r>
        <w:rPr>
          <w:rFonts w:ascii="Arial" w:hAnsi="Arial" w:cs="Arial"/>
        </w:rPr>
        <w:t>&lt;ESMA_QUESTION_PLPM_18&gt;</w:t>
      </w:r>
    </w:p>
    <w:p w14:paraId="60984C04" w14:textId="77777777" w:rsidR="00AB6157" w:rsidRDefault="00AB6157" w:rsidP="00AB6157">
      <w:pPr>
        <w:rPr>
          <w:rFonts w:ascii="Arial" w:hAnsi="Arial" w:cs="Arial"/>
        </w:rPr>
      </w:pPr>
    </w:p>
    <w:p w14:paraId="4DA92D0A" w14:textId="77777777" w:rsidR="00AB6157" w:rsidRDefault="00AB6157" w:rsidP="00AB6157">
      <w:pPr>
        <w:pStyle w:val="Questionstyle"/>
        <w:numPr>
          <w:ilvl w:val="0"/>
          <w:numId w:val="9"/>
        </w:numPr>
        <w:spacing w:after="250" w:line="276" w:lineRule="auto"/>
      </w:pPr>
      <w:r>
        <w:t xml:space="preserve">: Would you see merits in a more forward-looking approach to the calculation of open interest used as a baseline for setting position limits? Please elaborate. </w:t>
      </w:r>
    </w:p>
    <w:p w14:paraId="6E31AE93" w14:textId="77777777" w:rsidR="00AB6157" w:rsidRDefault="00AB6157" w:rsidP="00AB6157">
      <w:pPr>
        <w:rPr>
          <w:rFonts w:ascii="Arial" w:hAnsi="Arial" w:cs="Arial"/>
        </w:rPr>
      </w:pPr>
      <w:r>
        <w:rPr>
          <w:rFonts w:ascii="Arial" w:hAnsi="Arial" w:cs="Arial"/>
        </w:rPr>
        <w:t>&lt;ESMA_QUESTION_PLPM_19&gt;</w:t>
      </w:r>
    </w:p>
    <w:p w14:paraId="0303245C" w14:textId="77777777" w:rsidR="00AB6157" w:rsidRDefault="00AB6157" w:rsidP="00AB6157">
      <w:pPr>
        <w:rPr>
          <w:rFonts w:ascii="Arial" w:hAnsi="Arial" w:cs="Arial"/>
        </w:rPr>
      </w:pPr>
      <w:permStart w:id="393287414" w:edGrp="everyone"/>
      <w:r>
        <w:rPr>
          <w:rFonts w:ascii="Arial" w:hAnsi="Arial" w:cs="Arial"/>
        </w:rPr>
        <w:t>TYPE YOUR TEXT HERE</w:t>
      </w:r>
    </w:p>
    <w:permEnd w:id="393287414"/>
    <w:p w14:paraId="2A9680B7" w14:textId="77777777" w:rsidR="00AB6157" w:rsidRDefault="00AB6157" w:rsidP="00AB6157">
      <w:pPr>
        <w:rPr>
          <w:rFonts w:ascii="Arial" w:hAnsi="Arial" w:cs="Arial"/>
        </w:rPr>
      </w:pPr>
      <w:r>
        <w:rPr>
          <w:rFonts w:ascii="Arial" w:hAnsi="Arial" w:cs="Arial"/>
        </w:rPr>
        <w:t>&lt;ESMA_QUESTION_PLPM_19&gt;</w:t>
      </w:r>
    </w:p>
    <w:p w14:paraId="6AD4B529" w14:textId="77777777" w:rsidR="00AB6157" w:rsidRDefault="00AB6157" w:rsidP="00AB6157">
      <w:pPr>
        <w:rPr>
          <w:rFonts w:ascii="Arial" w:hAnsi="Arial" w:cs="Arial"/>
        </w:rPr>
      </w:pPr>
    </w:p>
    <w:p w14:paraId="7D36DE13" w14:textId="77777777" w:rsidR="00AB6157" w:rsidRDefault="00AB6157" w:rsidP="00AB6157">
      <w:pPr>
        <w:pStyle w:val="Questionstyle"/>
        <w:numPr>
          <w:ilvl w:val="0"/>
          <w:numId w:val="9"/>
        </w:numPr>
        <w:spacing w:after="250" w:line="276" w:lineRule="auto"/>
      </w:pPr>
      <w:r>
        <w:t>: In your view, are there other specific areas where the methodology for calculating the position limits set out in RTS 21 should be reviewed? If so, what would you suggest, and why?</w:t>
      </w:r>
    </w:p>
    <w:p w14:paraId="3CF28C98" w14:textId="77777777" w:rsidR="00AB6157" w:rsidRDefault="00AB6157" w:rsidP="00AB6157">
      <w:pPr>
        <w:rPr>
          <w:rFonts w:ascii="Arial" w:hAnsi="Arial" w:cs="Arial"/>
        </w:rPr>
      </w:pPr>
      <w:r>
        <w:rPr>
          <w:rFonts w:ascii="Arial" w:hAnsi="Arial" w:cs="Arial"/>
        </w:rPr>
        <w:t>&lt;ESMA_QUESTION_PLPM_20&gt;</w:t>
      </w:r>
    </w:p>
    <w:p w14:paraId="69ECF117" w14:textId="77777777" w:rsidR="006D4714" w:rsidRDefault="006D4714" w:rsidP="006D4714">
      <w:pPr>
        <w:rPr>
          <w:lang w:val="en-US"/>
        </w:rPr>
      </w:pPr>
      <w:r>
        <w:rPr>
          <w:lang w:val="en-US"/>
        </w:rPr>
        <w:t xml:space="preserve">Nothing to mention. </w:t>
      </w:r>
    </w:p>
    <w:p w14:paraId="41E9E3D6" w14:textId="77777777" w:rsidR="006D4714" w:rsidRDefault="006D4714" w:rsidP="006D4714">
      <w:pPr>
        <w:rPr>
          <w:lang w:val="en-US"/>
        </w:rPr>
      </w:pPr>
      <w:r>
        <w:rPr>
          <w:lang w:val="en-US"/>
        </w:rPr>
        <w:t xml:space="preserve">RTS21 is very well adapted to </w:t>
      </w:r>
      <w:proofErr w:type="spellStart"/>
      <w:r>
        <w:rPr>
          <w:lang w:val="en-US"/>
        </w:rPr>
        <w:t>agri</w:t>
      </w:r>
      <w:proofErr w:type="spellEnd"/>
      <w:r>
        <w:rPr>
          <w:lang w:val="en-US"/>
        </w:rPr>
        <w:t xml:space="preserve"> commodities futures markets.</w:t>
      </w:r>
    </w:p>
    <w:p w14:paraId="1DBB9C44" w14:textId="77777777" w:rsidR="00AB6157" w:rsidRDefault="00AB6157" w:rsidP="00AB6157">
      <w:pPr>
        <w:rPr>
          <w:rFonts w:ascii="Arial" w:hAnsi="Arial" w:cs="Arial"/>
        </w:rPr>
      </w:pPr>
      <w:r>
        <w:rPr>
          <w:rFonts w:ascii="Arial" w:hAnsi="Arial" w:cs="Arial"/>
        </w:rPr>
        <w:t>&lt;ESMA_QUESTION_PLPM_20&gt;</w:t>
      </w:r>
    </w:p>
    <w:p w14:paraId="41669D84" w14:textId="77777777" w:rsidR="00AB6157" w:rsidRDefault="00AB6157" w:rsidP="00AB6157">
      <w:pPr>
        <w:rPr>
          <w:rFonts w:ascii="Arial" w:hAnsi="Arial" w:cs="Arial"/>
        </w:rPr>
      </w:pPr>
    </w:p>
    <w:p w14:paraId="18B5AF5E" w14:textId="77777777" w:rsidR="00AB6157" w:rsidRDefault="00AB6157" w:rsidP="00AB6157">
      <w:pPr>
        <w:pStyle w:val="Questionstyle"/>
        <w:numPr>
          <w:ilvl w:val="0"/>
          <w:numId w:val="9"/>
        </w:numPr>
        <w:spacing w:after="250" w:line="276" w:lineRule="auto"/>
      </w:pPr>
      <w:r>
        <w:t xml:space="preserve">: How </w:t>
      </w:r>
      <w:r w:rsidRPr="00BA56BC">
        <w:t>useful do you consider the information on position management controls available on ESMA</w:t>
      </w:r>
      <w:r>
        <w:t>’s</w:t>
      </w:r>
      <w:r w:rsidRPr="00BA56BC">
        <w:t xml:space="preserve"> website?</w:t>
      </w:r>
    </w:p>
    <w:p w14:paraId="0D155788" w14:textId="77777777" w:rsidR="00AB6157" w:rsidRDefault="00AB6157" w:rsidP="00AB6157">
      <w:pPr>
        <w:rPr>
          <w:rFonts w:ascii="Arial" w:hAnsi="Arial" w:cs="Arial"/>
        </w:rPr>
      </w:pPr>
      <w:r>
        <w:rPr>
          <w:rFonts w:ascii="Arial" w:hAnsi="Arial" w:cs="Arial"/>
        </w:rPr>
        <w:t>&lt;ESMA_QUESTION_PLPM_21&gt;</w:t>
      </w:r>
    </w:p>
    <w:p w14:paraId="06CBC098" w14:textId="77777777" w:rsidR="00AB6157" w:rsidRDefault="00AB6157" w:rsidP="00AB6157">
      <w:pPr>
        <w:rPr>
          <w:rFonts w:ascii="Arial" w:hAnsi="Arial" w:cs="Arial"/>
        </w:rPr>
      </w:pPr>
      <w:permStart w:id="1128673264" w:edGrp="everyone"/>
      <w:r>
        <w:rPr>
          <w:rFonts w:ascii="Arial" w:hAnsi="Arial" w:cs="Arial"/>
        </w:rPr>
        <w:t>TYPE YOUR TEXT HERE</w:t>
      </w:r>
    </w:p>
    <w:permEnd w:id="1128673264"/>
    <w:p w14:paraId="51A845EF" w14:textId="77777777" w:rsidR="00AB6157" w:rsidRDefault="00AB6157" w:rsidP="00AB6157">
      <w:pPr>
        <w:rPr>
          <w:rFonts w:ascii="Arial" w:hAnsi="Arial" w:cs="Arial"/>
        </w:rPr>
      </w:pPr>
      <w:r>
        <w:rPr>
          <w:rFonts w:ascii="Arial" w:hAnsi="Arial" w:cs="Arial"/>
        </w:rPr>
        <w:t>&lt;ESMA_QUESTION_PLPM_21&gt;</w:t>
      </w:r>
    </w:p>
    <w:p w14:paraId="3F8FBCF0" w14:textId="77777777" w:rsidR="00AB6157" w:rsidRDefault="00AB6157" w:rsidP="00AB6157">
      <w:pPr>
        <w:rPr>
          <w:rFonts w:ascii="Arial" w:hAnsi="Arial" w:cs="Arial"/>
        </w:rPr>
      </w:pPr>
    </w:p>
    <w:p w14:paraId="0850183C" w14:textId="77777777" w:rsidR="00AB6157" w:rsidRPr="00422240" w:rsidRDefault="00AB6157" w:rsidP="00AB6157">
      <w:pPr>
        <w:pStyle w:val="Questionstyle"/>
        <w:numPr>
          <w:ilvl w:val="0"/>
          <w:numId w:val="9"/>
        </w:numPr>
        <w:spacing w:after="250" w:line="276" w:lineRule="auto"/>
      </w:pPr>
      <w:r>
        <w:lastRenderedPageBreak/>
        <w:t>: Do you consider that there is a need to review the list of minimum position management controls to be implemented by commodity derivatives trading venues under Article 57(8) of MiFID II? If so, please explain the changes you would suggest.</w:t>
      </w:r>
    </w:p>
    <w:p w14:paraId="03BE6F7F" w14:textId="77777777" w:rsidR="00AB6157" w:rsidRDefault="00AB6157" w:rsidP="00AB6157">
      <w:pPr>
        <w:rPr>
          <w:rFonts w:ascii="Arial" w:hAnsi="Arial" w:cs="Arial"/>
        </w:rPr>
      </w:pPr>
      <w:r>
        <w:rPr>
          <w:rFonts w:ascii="Arial" w:hAnsi="Arial" w:cs="Arial"/>
        </w:rPr>
        <w:t>&lt;ESMA_QUESTION_PLPM_22&gt;</w:t>
      </w:r>
    </w:p>
    <w:p w14:paraId="3BC8095E" w14:textId="77777777" w:rsidR="00AB6157" w:rsidRDefault="00AB6157" w:rsidP="00AB6157">
      <w:pPr>
        <w:rPr>
          <w:rFonts w:ascii="Arial" w:hAnsi="Arial" w:cs="Arial"/>
        </w:rPr>
      </w:pPr>
      <w:permStart w:id="1129916202" w:edGrp="everyone"/>
      <w:r>
        <w:rPr>
          <w:rFonts w:ascii="Arial" w:hAnsi="Arial" w:cs="Arial"/>
        </w:rPr>
        <w:t>TYPE YOUR TEXT HERE</w:t>
      </w:r>
    </w:p>
    <w:permEnd w:id="1129916202"/>
    <w:p w14:paraId="041C37C4" w14:textId="77777777" w:rsidR="00AB6157" w:rsidRDefault="00AB6157" w:rsidP="00AB6157">
      <w:pPr>
        <w:rPr>
          <w:rFonts w:ascii="Arial" w:hAnsi="Arial" w:cs="Arial"/>
        </w:rPr>
      </w:pPr>
      <w:r>
        <w:rPr>
          <w:rFonts w:ascii="Arial" w:hAnsi="Arial" w:cs="Arial"/>
        </w:rPr>
        <w:t>&lt;ESMA_QUESTION_PLPM_22&gt;</w:t>
      </w:r>
    </w:p>
    <w:p w14:paraId="4993FACC" w14:textId="77777777" w:rsidR="00AB6157" w:rsidRDefault="00AB6157" w:rsidP="00AB6157">
      <w:pPr>
        <w:rPr>
          <w:rFonts w:ascii="Arial" w:hAnsi="Arial" w:cs="Arial"/>
        </w:rPr>
      </w:pPr>
    </w:p>
    <w:p w14:paraId="4D093E79" w14:textId="77777777" w:rsidR="00AB6157" w:rsidRPr="007B52B2" w:rsidRDefault="00AB6157" w:rsidP="00AB6157">
      <w:pPr>
        <w:rPr>
          <w:rFonts w:ascii="Arial" w:hAnsi="Arial" w:cs="Arial"/>
        </w:rPr>
      </w:pPr>
    </w:p>
    <w:bookmarkEnd w:id="1"/>
    <w:p w14:paraId="2FAEAD2D" w14:textId="77777777" w:rsidR="00AB6157" w:rsidRDefault="00AB6157" w:rsidP="00C1698A">
      <w:pPr>
        <w:spacing w:line="276" w:lineRule="auto"/>
        <w:rPr>
          <w:rFonts w:asciiTheme="minorHAnsi" w:hAnsiTheme="minorHAnsi" w:cstheme="minorHAnsi"/>
          <w:b/>
          <w:sz w:val="28"/>
          <w:szCs w:val="28"/>
        </w:rPr>
      </w:pPr>
    </w:p>
    <w:sectPr w:rsidR="00AB6157" w:rsidSect="00C85C8B">
      <w:headerReference w:type="default" r:id="rId22"/>
      <w:footerReference w:type="default" r:id="rId2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52439" w14:textId="77777777" w:rsidR="00E50F80" w:rsidRDefault="00E50F80" w:rsidP="007E7997">
      <w:r>
        <w:separator/>
      </w:r>
    </w:p>
  </w:endnote>
  <w:endnote w:type="continuationSeparator" w:id="0">
    <w:p w14:paraId="2DD5EE40" w14:textId="77777777" w:rsidR="00E50F80" w:rsidRDefault="00E50F80" w:rsidP="007E7997">
      <w:r>
        <w:continuationSeparator/>
      </w:r>
    </w:p>
  </w:endnote>
  <w:endnote w:type="continuationNotice" w:id="1">
    <w:p w14:paraId="422D62C2" w14:textId="77777777" w:rsidR="00E50F80" w:rsidRDefault="00E50F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F8EE0" w14:textId="77777777" w:rsidR="00961EE5" w:rsidRDefault="00961EE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Pieddepage"/>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117DAE32" w:rsidR="00E36813" w:rsidRDefault="00E36813" w:rsidP="007A160F">
    <w:pPr>
      <w:pStyle w:val="Pieddepage"/>
    </w:pPr>
    <w:r>
      <w:rPr>
        <w:rFonts w:asciiTheme="majorHAnsi" w:hAnsiTheme="majorHAnsi"/>
        <w:color w:val="FFFFFF" w:themeColor="background1"/>
      </w:rPr>
      <w:tab/>
    </w:r>
    <w:r>
      <w:rPr>
        <w:rFonts w:asciiTheme="majorHAnsi" w:hAnsiTheme="majorHAnsi"/>
        <w:color w:val="FFFFFF" w:themeColor="background1"/>
      </w:rPr>
      <w:tab/>
    </w:r>
    <w:r w:rsidR="00AB6157">
      <w:rPr>
        <w:rFonts w:asciiTheme="majorHAnsi" w:hAnsiTheme="majorHAnsi"/>
        <w:color w:val="FFFFFF" w:themeColor="background1"/>
      </w:rPr>
      <w:t>2</w:t>
    </w:r>
    <w:r w:rsidR="00270B7C">
      <w:rPr>
        <w:rFonts w:asciiTheme="majorHAnsi" w:hAnsiTheme="majorHAnsi"/>
        <w:color w:val="FFFFFF" w:themeColor="background1"/>
      </w:rPr>
      <w:t>4</w:t>
    </w:r>
    <w:r w:rsidR="00AB6157">
      <w:rPr>
        <w:rFonts w:asciiTheme="majorHAnsi" w:hAnsiTheme="majorHAnsi"/>
        <w:color w:val="FFFFFF" w:themeColor="background1"/>
      </w:rPr>
      <w:t xml:space="preserve"> May 2019</w:t>
    </w:r>
    <w:r w:rsidR="00FF6930">
      <w:rPr>
        <w:rFonts w:asciiTheme="majorHAnsi" w:hAnsiTheme="majorHAnsi"/>
        <w:color w:val="FFFFFF" w:themeColor="background1"/>
      </w:rPr>
      <w:t xml:space="preserve"> </w:t>
    </w:r>
    <w:r w:rsidR="00961EE5">
      <w:rPr>
        <w:rFonts w:asciiTheme="majorHAnsi" w:hAnsiTheme="majorHAnsi"/>
        <w:color w:val="FFFFFF" w:themeColor="background1"/>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Pieddepage"/>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3022A" w14:textId="77777777" w:rsidR="00E50F80" w:rsidRDefault="00E50F80" w:rsidP="007E7997">
      <w:r>
        <w:separator/>
      </w:r>
    </w:p>
  </w:footnote>
  <w:footnote w:type="continuationSeparator" w:id="0">
    <w:p w14:paraId="2616C470" w14:textId="77777777" w:rsidR="00E50F80" w:rsidRDefault="00E50F80" w:rsidP="007E7997">
      <w:r>
        <w:continuationSeparator/>
      </w:r>
    </w:p>
  </w:footnote>
  <w:footnote w:type="continuationNotice" w:id="1">
    <w:p w14:paraId="4CA1B4EE" w14:textId="77777777" w:rsidR="00E50F80" w:rsidRDefault="00E50F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2EA5C" w14:textId="77777777" w:rsidR="00961EE5" w:rsidRDefault="00961EE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En-tte"/>
    </w:pPr>
  </w:p>
  <w:p w14:paraId="59FA3C9D" w14:textId="77777777" w:rsidR="00E36813" w:rsidRDefault="00E3681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En-tte"/>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En-tte"/>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3E49E"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74FAFBAA" w:rsidR="00E36813" w:rsidRPr="00D13661" w:rsidRDefault="00E36813" w:rsidP="00B50534">
    <w:pPr>
      <w:pStyle w:val="En-tte"/>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r w:rsidRPr="00D13661">
      <w:rPr>
        <w:rFonts w:asciiTheme="minorHAnsi" w:hAnsiTheme="minorHAnsi" w:cstheme="minorHAnsi"/>
        <w:color w:val="2F5496" w:themeColor="accent5" w:themeShade="BF"/>
        <w:sz w:val="20"/>
      </w:rPr>
      <w:t>ESMA REGULAR USE</w:t>
    </w:r>
  </w:p>
  <w:p w14:paraId="276D8625" w14:textId="77777777" w:rsidR="00E36813" w:rsidRPr="00C3170E" w:rsidRDefault="00E36813" w:rsidP="00B50534">
    <w:pPr>
      <w:pStyle w:val="En-tte"/>
      <w:jc w:val="right"/>
      <w:rPr>
        <w:color w:val="2F5496" w:themeColor="accent5" w:themeShade="BF"/>
        <w:sz w:val="20"/>
      </w:rPr>
    </w:pPr>
  </w:p>
  <w:p w14:paraId="5EAB6EC6" w14:textId="77777777" w:rsidR="00E36813" w:rsidRPr="00B50534" w:rsidRDefault="00E36813" w:rsidP="00B50534">
    <w:pPr>
      <w:pStyle w:val="En-tte"/>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Titre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Paragraphedeliste"/>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Titre1"/>
      <w:lvlText w:val="%1."/>
      <w:lvlJc w:val="righ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proofState w:spelling="clean" w:grammar="clean"/>
  <w:attachedTemplate r:id="rId1"/>
  <w:documentProtection w:edit="readOnly"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4C4"/>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2333"/>
    <w:rsid w:val="00202FA8"/>
    <w:rsid w:val="002034B8"/>
    <w:rsid w:val="00205922"/>
    <w:rsid w:val="00206FB8"/>
    <w:rsid w:val="0020766F"/>
    <w:rsid w:val="00207A07"/>
    <w:rsid w:val="00210498"/>
    <w:rsid w:val="0021147A"/>
    <w:rsid w:val="00213BFB"/>
    <w:rsid w:val="00217478"/>
    <w:rsid w:val="00224806"/>
    <w:rsid w:val="0023250D"/>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0B7C"/>
    <w:rsid w:val="0027199C"/>
    <w:rsid w:val="00272C4E"/>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3C4B"/>
    <w:rsid w:val="003545A6"/>
    <w:rsid w:val="00356C60"/>
    <w:rsid w:val="003578D1"/>
    <w:rsid w:val="00366D42"/>
    <w:rsid w:val="0036748C"/>
    <w:rsid w:val="00372615"/>
    <w:rsid w:val="00373A3C"/>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1D9E"/>
    <w:rsid w:val="00455577"/>
    <w:rsid w:val="00456795"/>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4714"/>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73E2"/>
    <w:rsid w:val="008201C3"/>
    <w:rsid w:val="00820422"/>
    <w:rsid w:val="00820655"/>
    <w:rsid w:val="008227D7"/>
    <w:rsid w:val="008249A1"/>
    <w:rsid w:val="00825D43"/>
    <w:rsid w:val="0082632D"/>
    <w:rsid w:val="00832500"/>
    <w:rsid w:val="00832787"/>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389"/>
    <w:rsid w:val="008C27D3"/>
    <w:rsid w:val="008C4B2B"/>
    <w:rsid w:val="008C5E91"/>
    <w:rsid w:val="008C686D"/>
    <w:rsid w:val="008C6B18"/>
    <w:rsid w:val="008C75E6"/>
    <w:rsid w:val="008C767A"/>
    <w:rsid w:val="008C7A73"/>
    <w:rsid w:val="008D0569"/>
    <w:rsid w:val="008D5C28"/>
    <w:rsid w:val="008E2D26"/>
    <w:rsid w:val="008E4076"/>
    <w:rsid w:val="008E7DBA"/>
    <w:rsid w:val="008F3386"/>
    <w:rsid w:val="008F3AD9"/>
    <w:rsid w:val="008F4642"/>
    <w:rsid w:val="008F4E00"/>
    <w:rsid w:val="008F761D"/>
    <w:rsid w:val="00900D44"/>
    <w:rsid w:val="00902520"/>
    <w:rsid w:val="00906DC4"/>
    <w:rsid w:val="0091457F"/>
    <w:rsid w:val="0091729E"/>
    <w:rsid w:val="0094008E"/>
    <w:rsid w:val="00941C0C"/>
    <w:rsid w:val="009437F2"/>
    <w:rsid w:val="0094528B"/>
    <w:rsid w:val="00960A8B"/>
    <w:rsid w:val="00961EE5"/>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1D0C"/>
    <w:rsid w:val="00A16579"/>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8F2"/>
    <w:rsid w:val="00B655D1"/>
    <w:rsid w:val="00B73FF2"/>
    <w:rsid w:val="00B74CBA"/>
    <w:rsid w:val="00B74ED3"/>
    <w:rsid w:val="00B768CF"/>
    <w:rsid w:val="00B81A44"/>
    <w:rsid w:val="00B86BB5"/>
    <w:rsid w:val="00B91072"/>
    <w:rsid w:val="00B91B6E"/>
    <w:rsid w:val="00B94B2C"/>
    <w:rsid w:val="00B96F7D"/>
    <w:rsid w:val="00B970D0"/>
    <w:rsid w:val="00BA1914"/>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50F80"/>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E7B44"/>
    <w:rsid w:val="00FF0F66"/>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Titre1">
    <w:name w:val="heading 1"/>
    <w:basedOn w:val="Normal"/>
    <w:next w:val="Normal"/>
    <w:link w:val="Titre1C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Titre3">
    <w:name w:val="heading 3"/>
    <w:basedOn w:val="Normal"/>
    <w:next w:val="Normal"/>
    <w:link w:val="Titre3C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Titre4">
    <w:name w:val="heading 4"/>
    <w:basedOn w:val="Normal"/>
    <w:next w:val="Normal"/>
    <w:link w:val="Titre4C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Titre5">
    <w:name w:val="heading 5"/>
    <w:basedOn w:val="Normal"/>
    <w:next w:val="Normal"/>
    <w:link w:val="Titre5C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Titre6">
    <w:name w:val="heading 6"/>
    <w:basedOn w:val="Normal"/>
    <w:next w:val="Normal"/>
    <w:link w:val="Titre6C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Titre7">
    <w:name w:val="heading 7"/>
    <w:basedOn w:val="Normal"/>
    <w:next w:val="Normal"/>
    <w:link w:val="Titre7C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Titre8">
    <w:name w:val="heading 8"/>
    <w:basedOn w:val="Normal"/>
    <w:next w:val="Normal"/>
    <w:link w:val="Titre8C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Titre9">
    <w:name w:val="heading 9"/>
    <w:basedOn w:val="Normal"/>
    <w:next w:val="Normal"/>
    <w:link w:val="Titre9C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B6B12"/>
    <w:pPr>
      <w:spacing w:after="0" w:line="240" w:lineRule="auto"/>
    </w:pPr>
    <w:rPr>
      <w:lang w:val="en-GB"/>
    </w:rPr>
  </w:style>
  <w:style w:type="character" w:customStyle="1" w:styleId="Titre4Car">
    <w:name w:val="Titre 4 Car"/>
    <w:basedOn w:val="Policepardfaut"/>
    <w:link w:val="Titre4"/>
    <w:rsid w:val="00020300"/>
    <w:rPr>
      <w:rFonts w:asciiTheme="majorHAnsi" w:eastAsiaTheme="majorEastAsia" w:hAnsiTheme="majorHAnsi" w:cstheme="majorBidi"/>
      <w:sz w:val="24"/>
      <w:szCs w:val="22"/>
      <w:lang w:val="en-GB" w:eastAsia="en-GB"/>
    </w:rPr>
  </w:style>
  <w:style w:type="character" w:customStyle="1" w:styleId="Titre3Car">
    <w:name w:val="Titre 3 Car"/>
    <w:basedOn w:val="Policepardfaut"/>
    <w:link w:val="Titre3"/>
    <w:rsid w:val="00020300"/>
    <w:rPr>
      <w:rFonts w:asciiTheme="majorHAnsi" w:eastAsiaTheme="majorEastAsia" w:hAnsiTheme="majorHAnsi" w:cstheme="majorBidi"/>
      <w:sz w:val="24"/>
      <w:szCs w:val="24"/>
      <w:lang w:val="en-GB" w:eastAsia="en-GB"/>
    </w:rPr>
  </w:style>
  <w:style w:type="character" w:customStyle="1" w:styleId="Titre1Car">
    <w:name w:val="Titre 1 Car"/>
    <w:basedOn w:val="Policepardfaut"/>
    <w:link w:val="Titre1"/>
    <w:rsid w:val="00FE0BD8"/>
    <w:rPr>
      <w:rFonts w:asciiTheme="majorHAnsi" w:eastAsiaTheme="majorEastAsia" w:hAnsiTheme="majorHAnsi" w:cstheme="majorBidi"/>
      <w:b/>
      <w:sz w:val="32"/>
      <w:szCs w:val="32"/>
      <w:lang w:val="en-GB" w:eastAsia="en-GB"/>
    </w:rPr>
  </w:style>
  <w:style w:type="character" w:customStyle="1" w:styleId="Titre2Car">
    <w:name w:val="Titre 2 Car"/>
    <w:basedOn w:val="Policepardfaut"/>
    <w:link w:val="Titre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Policepardfaut"/>
    <w:link w:val="Subtitle1"/>
    <w:rsid w:val="003C4EB5"/>
    <w:rPr>
      <w:rFonts w:cs="Times New Roman"/>
      <w:b/>
      <w:sz w:val="20"/>
      <w:szCs w:val="24"/>
      <w:lang w:val="en-GB" w:eastAsia="de-DE"/>
    </w:rPr>
  </w:style>
  <w:style w:type="paragraph" w:customStyle="1" w:styleId="Title1">
    <w:name w:val="Title 1"/>
    <w:basedOn w:val="Paragraphedeliste"/>
    <w:link w:val="Title1Char"/>
    <w:autoRedefine/>
    <w:rsid w:val="002574D1"/>
    <w:pPr>
      <w:numPr>
        <w:numId w:val="2"/>
      </w:numPr>
    </w:pPr>
    <w:rPr>
      <w:b/>
      <w:sz w:val="28"/>
    </w:rPr>
  </w:style>
  <w:style w:type="character" w:customStyle="1" w:styleId="Title1Char">
    <w:name w:val="Title 1 Char"/>
    <w:basedOn w:val="Policepardfaut"/>
    <w:link w:val="Title1"/>
    <w:rsid w:val="003C4EB5"/>
    <w:rPr>
      <w:rFonts w:eastAsiaTheme="majorEastAsia" w:cstheme="minorHAnsi"/>
      <w:b/>
      <w:sz w:val="28"/>
      <w:szCs w:val="22"/>
      <w:lang w:val="en-GB" w:eastAsia="en-GB"/>
    </w:rPr>
  </w:style>
  <w:style w:type="paragraph" w:styleId="Paragraphedeliste">
    <w:name w:val="List Paragraph"/>
    <w:aliases w:val="Paragraphe EI,Paragraphe de liste1,EC,Normal Nivel 1,List Paragraph Main,List first level,List Paragraph_Sections"/>
    <w:basedOn w:val="Normal"/>
    <w:link w:val="ParagraphedelisteC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Paragraphedeliste"/>
    <w:link w:val="Title3Char"/>
    <w:autoRedefine/>
    <w:rsid w:val="002574D1"/>
    <w:pPr>
      <w:numPr>
        <w:ilvl w:val="3"/>
        <w:numId w:val="2"/>
      </w:numPr>
    </w:pPr>
  </w:style>
  <w:style w:type="character" w:customStyle="1" w:styleId="Title3Char">
    <w:name w:val="Title 3 Char"/>
    <w:basedOn w:val="Policepardfau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Policepardfau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olicepardfau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Policepardfau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Policepardfau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Policepardfaut"/>
    <w:link w:val="Introductionheading"/>
    <w:rsid w:val="00044C5A"/>
    <w:rPr>
      <w:rFonts w:ascii="Arial" w:eastAsia="Times New Roman" w:hAnsi="Arial" w:cs="Times New Roman"/>
      <w:b/>
      <w:sz w:val="28"/>
      <w:szCs w:val="24"/>
      <w:lang w:val="en-GB" w:eastAsia="de-DE"/>
    </w:rPr>
  </w:style>
  <w:style w:type="character" w:customStyle="1" w:styleId="Titre5Car">
    <w:name w:val="Titre 5 Car"/>
    <w:basedOn w:val="Policepardfaut"/>
    <w:link w:val="Titre5"/>
    <w:uiPriority w:val="9"/>
    <w:rsid w:val="007E7997"/>
    <w:rPr>
      <w:rFonts w:asciiTheme="majorHAnsi" w:eastAsiaTheme="majorEastAsia" w:hAnsiTheme="majorHAnsi" w:cstheme="majorBidi"/>
      <w:sz w:val="24"/>
      <w:szCs w:val="22"/>
      <w:lang w:val="en-GB" w:eastAsia="en-GB"/>
    </w:rPr>
  </w:style>
  <w:style w:type="paragraph" w:styleId="Corpsdetexte">
    <w:name w:val="Body Text"/>
    <w:basedOn w:val="Normal"/>
    <w:link w:val="CorpsdetexteCar"/>
    <w:uiPriority w:val="99"/>
    <w:semiHidden/>
    <w:unhideWhenUsed/>
    <w:rsid w:val="00044C5A"/>
  </w:style>
  <w:style w:type="character" w:customStyle="1" w:styleId="CorpsdetexteCar">
    <w:name w:val="Corps de texte Car"/>
    <w:basedOn w:val="Policepardfaut"/>
    <w:link w:val="Corpsdetexte"/>
    <w:uiPriority w:val="99"/>
    <w:semiHidden/>
    <w:rsid w:val="00044C5A"/>
    <w:rPr>
      <w:rFonts w:ascii="Arial" w:eastAsiaTheme="minorEastAsia" w:hAnsi="Arial"/>
    </w:rPr>
  </w:style>
  <w:style w:type="paragraph" w:styleId="Retrait1religne">
    <w:name w:val="Body Text First Indent"/>
    <w:basedOn w:val="Corpsdetexte"/>
    <w:link w:val="Retrait1religneCar"/>
    <w:uiPriority w:val="99"/>
    <w:semiHidden/>
    <w:unhideWhenUsed/>
    <w:rsid w:val="00044C5A"/>
    <w:pPr>
      <w:ind w:firstLine="360"/>
    </w:pPr>
  </w:style>
  <w:style w:type="character" w:customStyle="1" w:styleId="Retrait1religneCar">
    <w:name w:val="Retrait 1re ligne Car"/>
    <w:basedOn w:val="CorpsdetexteCar"/>
    <w:link w:val="Retrait1religne"/>
    <w:uiPriority w:val="99"/>
    <w:semiHidden/>
    <w:rsid w:val="00044C5A"/>
    <w:rPr>
      <w:rFonts w:ascii="Arial" w:eastAsiaTheme="minorEastAsia" w:hAnsi="Arial"/>
    </w:rPr>
  </w:style>
  <w:style w:type="character" w:customStyle="1" w:styleId="Titre6Car">
    <w:name w:val="Titre 6 Car"/>
    <w:basedOn w:val="Policepardfaut"/>
    <w:link w:val="Titre6"/>
    <w:rsid w:val="00AA054E"/>
    <w:rPr>
      <w:rFonts w:asciiTheme="majorHAnsi" w:eastAsiaTheme="majorEastAsia" w:hAnsiTheme="majorHAnsi" w:cstheme="majorBidi"/>
      <w:i/>
      <w:iCs/>
      <w:color w:val="44546A" w:themeColor="text2"/>
      <w:sz w:val="21"/>
      <w:szCs w:val="21"/>
      <w:lang w:val="en-GB" w:eastAsia="en-GB"/>
    </w:rPr>
  </w:style>
  <w:style w:type="paragraph" w:styleId="Titre">
    <w:name w:val="Title"/>
    <w:basedOn w:val="Normal"/>
    <w:next w:val="Normal"/>
    <w:link w:val="TitreC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reCar">
    <w:name w:val="Titre Car"/>
    <w:basedOn w:val="Policepardfaut"/>
    <w:link w:val="Titr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ous-titre">
    <w:name w:val="Subtitle"/>
    <w:basedOn w:val="Normal"/>
    <w:next w:val="Normal"/>
    <w:link w:val="Sous-titreCar"/>
    <w:uiPriority w:val="11"/>
    <w:qFormat/>
    <w:rsid w:val="00366D42"/>
    <w:pPr>
      <w:numPr>
        <w:ilvl w:val="1"/>
      </w:numPr>
    </w:pPr>
    <w:rPr>
      <w:rFonts w:asciiTheme="majorHAnsi" w:eastAsiaTheme="majorEastAsia" w:hAnsiTheme="majorHAnsi" w:cstheme="majorBidi"/>
      <w:b/>
      <w:sz w:val="28"/>
    </w:rPr>
  </w:style>
  <w:style w:type="character" w:customStyle="1" w:styleId="Sous-titreCar">
    <w:name w:val="Sous-titre Car"/>
    <w:basedOn w:val="Policepardfaut"/>
    <w:link w:val="Sous-titre"/>
    <w:uiPriority w:val="11"/>
    <w:rsid w:val="00366D42"/>
    <w:rPr>
      <w:rFonts w:asciiTheme="majorHAnsi" w:eastAsiaTheme="majorEastAsia" w:hAnsiTheme="majorHAnsi" w:cstheme="majorBidi"/>
      <w:b/>
      <w:sz w:val="28"/>
      <w:szCs w:val="24"/>
      <w:lang w:val="en-GB"/>
    </w:rPr>
  </w:style>
  <w:style w:type="character" w:customStyle="1" w:styleId="Titre7Car">
    <w:name w:val="Titre 7 Car"/>
    <w:basedOn w:val="Policepardfaut"/>
    <w:link w:val="Titre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Titre8Car">
    <w:name w:val="Titre 8 Car"/>
    <w:basedOn w:val="Policepardfaut"/>
    <w:link w:val="Titre8"/>
    <w:rsid w:val="00AA054E"/>
    <w:rPr>
      <w:rFonts w:asciiTheme="majorHAnsi" w:eastAsiaTheme="majorEastAsia" w:hAnsiTheme="majorHAnsi" w:cstheme="majorBidi"/>
      <w:b/>
      <w:bCs/>
      <w:color w:val="44546A" w:themeColor="text2"/>
      <w:sz w:val="24"/>
      <w:szCs w:val="24"/>
      <w:lang w:val="en-GB" w:eastAsia="en-GB"/>
    </w:rPr>
  </w:style>
  <w:style w:type="character" w:customStyle="1" w:styleId="Titre9Car">
    <w:name w:val="Titre 9 Car"/>
    <w:basedOn w:val="Policepardfaut"/>
    <w:link w:val="Titre9"/>
    <w:rsid w:val="00AA054E"/>
    <w:rPr>
      <w:rFonts w:asciiTheme="majorHAnsi" w:eastAsiaTheme="majorEastAsia" w:hAnsiTheme="majorHAnsi" w:cstheme="majorBidi"/>
      <w:b/>
      <w:bCs/>
      <w:i/>
      <w:iCs/>
      <w:color w:val="44546A" w:themeColor="text2"/>
      <w:sz w:val="24"/>
      <w:szCs w:val="24"/>
      <w:lang w:val="en-GB" w:eastAsia="en-GB"/>
    </w:rPr>
  </w:style>
  <w:style w:type="paragraph" w:styleId="Lgende">
    <w:name w:val="caption"/>
    <w:basedOn w:val="Normal"/>
    <w:next w:val="Normal"/>
    <w:uiPriority w:val="35"/>
    <w:semiHidden/>
    <w:unhideWhenUsed/>
    <w:qFormat/>
    <w:rsid w:val="00AA054E"/>
    <w:rPr>
      <w:b/>
      <w:bCs/>
      <w:smallCaps/>
      <w:color w:val="595959" w:themeColor="text1" w:themeTint="A6"/>
      <w:spacing w:val="6"/>
    </w:rPr>
  </w:style>
  <w:style w:type="character" w:styleId="lev">
    <w:name w:val="Strong"/>
    <w:basedOn w:val="Policepardfaut"/>
    <w:uiPriority w:val="22"/>
    <w:qFormat/>
    <w:rsid w:val="00AA054E"/>
    <w:rPr>
      <w:b/>
      <w:bCs/>
    </w:rPr>
  </w:style>
  <w:style w:type="character" w:styleId="Accentuation">
    <w:name w:val="Emphasis"/>
    <w:basedOn w:val="Policepardfaut"/>
    <w:uiPriority w:val="20"/>
    <w:qFormat/>
    <w:rsid w:val="00AA054E"/>
    <w:rPr>
      <w:i/>
      <w:iCs/>
    </w:rPr>
  </w:style>
  <w:style w:type="paragraph" w:styleId="Citation">
    <w:name w:val="Quote"/>
    <w:basedOn w:val="Normal"/>
    <w:next w:val="Normal"/>
    <w:link w:val="CitationCar"/>
    <w:uiPriority w:val="29"/>
    <w:qFormat/>
    <w:rsid w:val="00AA054E"/>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AA054E"/>
    <w:rPr>
      <w:i/>
      <w:iCs/>
      <w:color w:val="404040" w:themeColor="text1" w:themeTint="BF"/>
    </w:rPr>
  </w:style>
  <w:style w:type="paragraph" w:styleId="Citationintense">
    <w:name w:val="Intense Quote"/>
    <w:basedOn w:val="Normal"/>
    <w:next w:val="Normal"/>
    <w:link w:val="CitationintenseC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CitationintenseCar">
    <w:name w:val="Citation intense Car"/>
    <w:basedOn w:val="Policepardfaut"/>
    <w:link w:val="Citationintense"/>
    <w:uiPriority w:val="30"/>
    <w:rsid w:val="00AA054E"/>
    <w:rPr>
      <w:rFonts w:asciiTheme="majorHAnsi" w:eastAsiaTheme="majorEastAsia" w:hAnsiTheme="majorHAnsi" w:cstheme="majorBidi"/>
      <w:color w:val="5B9BD5" w:themeColor="accent1"/>
      <w:sz w:val="28"/>
      <w:szCs w:val="28"/>
    </w:rPr>
  </w:style>
  <w:style w:type="character" w:styleId="Accentuationlgre">
    <w:name w:val="Subtle Emphasis"/>
    <w:basedOn w:val="Policepardfaut"/>
    <w:uiPriority w:val="19"/>
    <w:qFormat/>
    <w:rsid w:val="00287C8F"/>
    <w:rPr>
      <w:rFonts w:asciiTheme="majorHAnsi" w:hAnsiTheme="majorHAnsi"/>
      <w:i/>
      <w:iCs/>
      <w:color w:val="auto"/>
      <w:sz w:val="22"/>
    </w:rPr>
  </w:style>
  <w:style w:type="character" w:styleId="Accentuationintense">
    <w:name w:val="Intense Emphasis"/>
    <w:basedOn w:val="Policepardfaut"/>
    <w:uiPriority w:val="21"/>
    <w:qFormat/>
    <w:rsid w:val="00AA054E"/>
    <w:rPr>
      <w:b/>
      <w:bCs/>
      <w:i/>
      <w:iCs/>
    </w:rPr>
  </w:style>
  <w:style w:type="character" w:styleId="Rfrenceple">
    <w:name w:val="Subtle Reference"/>
    <w:basedOn w:val="Policepardfaut"/>
    <w:uiPriority w:val="31"/>
    <w:qFormat/>
    <w:rsid w:val="00AA054E"/>
    <w:rPr>
      <w:smallCaps/>
      <w:color w:val="404040" w:themeColor="text1" w:themeTint="BF"/>
      <w:u w:val="single" w:color="7F7F7F" w:themeColor="text1" w:themeTint="80"/>
    </w:rPr>
  </w:style>
  <w:style w:type="character" w:styleId="Rfrenceintense">
    <w:name w:val="Intense Reference"/>
    <w:basedOn w:val="Policepardfaut"/>
    <w:uiPriority w:val="32"/>
    <w:qFormat/>
    <w:rsid w:val="00AA054E"/>
    <w:rPr>
      <w:b/>
      <w:bCs/>
      <w:smallCaps/>
      <w:spacing w:val="5"/>
      <w:u w:val="single"/>
    </w:rPr>
  </w:style>
  <w:style w:type="character" w:styleId="Titredulivre">
    <w:name w:val="Book Title"/>
    <w:basedOn w:val="Policepardfaut"/>
    <w:uiPriority w:val="33"/>
    <w:qFormat/>
    <w:rsid w:val="00AA054E"/>
    <w:rPr>
      <w:b/>
      <w:bCs/>
      <w:smallCaps/>
    </w:rPr>
  </w:style>
  <w:style w:type="paragraph" w:styleId="En-ttedetabledesmatires">
    <w:name w:val="TOC Heading"/>
    <w:basedOn w:val="Titre1"/>
    <w:next w:val="Normal"/>
    <w:uiPriority w:val="39"/>
    <w:unhideWhenUsed/>
    <w:qFormat/>
    <w:rsid w:val="00AA054E"/>
    <w:pPr>
      <w:outlineLvl w:val="9"/>
    </w:pPr>
  </w:style>
  <w:style w:type="character" w:customStyle="1" w:styleId="SansinterligneCar">
    <w:name w:val="Sans interligne Car"/>
    <w:basedOn w:val="Policepardfaut"/>
    <w:link w:val="Sansinterligne"/>
    <w:uiPriority w:val="1"/>
    <w:rsid w:val="005B6B12"/>
    <w:rPr>
      <w:lang w:val="en-GB"/>
    </w:rPr>
  </w:style>
  <w:style w:type="paragraph" w:styleId="En-tte">
    <w:name w:val="header"/>
    <w:basedOn w:val="Normal"/>
    <w:link w:val="En-tteCar"/>
    <w:unhideWhenUsed/>
    <w:rsid w:val="007E7997"/>
    <w:pPr>
      <w:tabs>
        <w:tab w:val="center" w:pos="4536"/>
        <w:tab w:val="right" w:pos="9072"/>
      </w:tabs>
    </w:pPr>
  </w:style>
  <w:style w:type="character" w:customStyle="1" w:styleId="En-tteCar">
    <w:name w:val="En-tête Car"/>
    <w:basedOn w:val="Policepardfaut"/>
    <w:link w:val="En-tte"/>
    <w:uiPriority w:val="99"/>
    <w:rsid w:val="007E7997"/>
    <w:rPr>
      <w:sz w:val="22"/>
    </w:rPr>
  </w:style>
  <w:style w:type="paragraph" w:styleId="Pieddepage">
    <w:name w:val="footer"/>
    <w:basedOn w:val="Normal"/>
    <w:link w:val="PieddepageCar"/>
    <w:uiPriority w:val="99"/>
    <w:unhideWhenUsed/>
    <w:rsid w:val="007E7997"/>
    <w:pPr>
      <w:tabs>
        <w:tab w:val="center" w:pos="4536"/>
        <w:tab w:val="right" w:pos="9072"/>
      </w:tabs>
    </w:pPr>
  </w:style>
  <w:style w:type="character" w:customStyle="1" w:styleId="PieddepageCar">
    <w:name w:val="Pied de page Car"/>
    <w:basedOn w:val="Policepardfaut"/>
    <w:link w:val="Pieddepage"/>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M1">
    <w:name w:val="toc 1"/>
    <w:basedOn w:val="Normal"/>
    <w:next w:val="Normal"/>
    <w:autoRedefine/>
    <w:uiPriority w:val="39"/>
    <w:unhideWhenUsed/>
    <w:rsid w:val="00B81A44"/>
    <w:pPr>
      <w:tabs>
        <w:tab w:val="left" w:pos="440"/>
        <w:tab w:val="right" w:leader="dot" w:pos="9062"/>
      </w:tabs>
      <w:spacing w:after="100"/>
    </w:pPr>
  </w:style>
  <w:style w:type="paragraph" w:styleId="TM2">
    <w:name w:val="toc 2"/>
    <w:basedOn w:val="Normal"/>
    <w:next w:val="Normal"/>
    <w:autoRedefine/>
    <w:uiPriority w:val="39"/>
    <w:unhideWhenUsed/>
    <w:rsid w:val="00BC422A"/>
    <w:pPr>
      <w:spacing w:after="100"/>
      <w:ind w:left="220"/>
    </w:pPr>
  </w:style>
  <w:style w:type="paragraph" w:styleId="TM3">
    <w:name w:val="toc 3"/>
    <w:basedOn w:val="Normal"/>
    <w:next w:val="Normal"/>
    <w:autoRedefine/>
    <w:uiPriority w:val="39"/>
    <w:unhideWhenUsed/>
    <w:rsid w:val="00BC422A"/>
    <w:pPr>
      <w:spacing w:after="100"/>
      <w:ind w:left="440"/>
    </w:pPr>
  </w:style>
  <w:style w:type="character" w:styleId="Lienhypertexte">
    <w:name w:val="Hyperlink"/>
    <w:basedOn w:val="Policepardfau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Policepardfau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Policepardfaut"/>
    <w:link w:val="Listing2"/>
    <w:rsid w:val="00DF3785"/>
    <w:rPr>
      <w:lang w:val="en-GB"/>
    </w:rPr>
  </w:style>
  <w:style w:type="table" w:styleId="Grilledutableau">
    <w:name w:val="Table Grid"/>
    <w:basedOn w:val="Tableau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B50534"/>
  </w:style>
  <w:style w:type="character" w:customStyle="1" w:styleId="NotedefinCar">
    <w:name w:val="Note de fin Car"/>
    <w:basedOn w:val="Policepardfaut"/>
    <w:link w:val="Notedefin"/>
    <w:uiPriority w:val="99"/>
    <w:semiHidden/>
    <w:rsid w:val="00B50534"/>
    <w:rPr>
      <w:lang w:val="en-GB"/>
    </w:rPr>
  </w:style>
  <w:style w:type="character" w:styleId="Appeldenotedefin">
    <w:name w:val="endnote reference"/>
    <w:basedOn w:val="Policepardfaut"/>
    <w:uiPriority w:val="99"/>
    <w:semiHidden/>
    <w:unhideWhenUsed/>
    <w:rsid w:val="00B50534"/>
    <w:rPr>
      <w:vertAlign w:val="superscript"/>
    </w:rPr>
  </w:style>
  <w:style w:type="paragraph" w:styleId="Notedebasdepage">
    <w:name w:val="footnote text"/>
    <w:basedOn w:val="Normal"/>
    <w:link w:val="NotedebasdepageCar"/>
    <w:autoRedefine/>
    <w:uiPriority w:val="99"/>
    <w:semiHidden/>
    <w:unhideWhenUsed/>
    <w:qFormat/>
    <w:rsid w:val="006F53E8"/>
    <w:rPr>
      <w:sz w:val="16"/>
    </w:rPr>
  </w:style>
  <w:style w:type="character" w:customStyle="1" w:styleId="NotedebasdepageCar">
    <w:name w:val="Note de bas de page Car"/>
    <w:basedOn w:val="Policepardfaut"/>
    <w:link w:val="Notedebasdepage"/>
    <w:uiPriority w:val="99"/>
    <w:semiHidden/>
    <w:rsid w:val="006F53E8"/>
    <w:rPr>
      <w:sz w:val="16"/>
      <w:lang w:val="en-GB"/>
    </w:rPr>
  </w:style>
  <w:style w:type="character" w:styleId="Appelnotedebasdep">
    <w:name w:val="footnote reference"/>
    <w:aliases w:val="SUPERS,Footnote reference number,Footnote symbol,note TESI,-E Fußnotenzeichen,number,BVI fnr,Footnote Reference Superscript,(Footnote Reference),EN Footnote Reference,Voetnootverwijzing,Times 10 Point,Exposant 3 Poi,16 Point"/>
    <w:basedOn w:val="Policepardfaut"/>
    <w:uiPriority w:val="99"/>
    <w:unhideWhenUsed/>
    <w:qFormat/>
    <w:rsid w:val="00A91D91"/>
    <w:rPr>
      <w:rFonts w:asciiTheme="majorHAnsi" w:hAnsiTheme="majorHAnsi"/>
      <w:sz w:val="16"/>
      <w:vertAlign w:val="superscript"/>
    </w:rPr>
  </w:style>
  <w:style w:type="paragraph" w:customStyle="1" w:styleId="Footnote">
    <w:name w:val="Footnote"/>
    <w:basedOn w:val="Notedebasdepage"/>
    <w:link w:val="FootnoteChar"/>
    <w:rsid w:val="00B50534"/>
    <w:rPr>
      <w:lang w:val="nl-BE"/>
    </w:rPr>
  </w:style>
  <w:style w:type="character" w:customStyle="1" w:styleId="FootnoteChar">
    <w:name w:val="Footnote Char"/>
    <w:basedOn w:val="NotedebasdepageCar"/>
    <w:link w:val="Footnote"/>
    <w:rsid w:val="00B50534"/>
    <w:rPr>
      <w:sz w:val="16"/>
      <w:lang w:val="en-GB"/>
    </w:rPr>
  </w:style>
  <w:style w:type="table" w:customStyle="1" w:styleId="GridTable4-Accent11">
    <w:name w:val="Grid Table 4 - Accent 11"/>
    <w:basedOn w:val="Tableau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Textedebulles">
    <w:name w:val="Balloon Text"/>
    <w:basedOn w:val="Normal"/>
    <w:link w:val="TextedebullesCar"/>
    <w:uiPriority w:val="99"/>
    <w:semiHidden/>
    <w:unhideWhenUsed/>
    <w:rsid w:val="003C167E"/>
    <w:rPr>
      <w:rFonts w:ascii="Tahoma" w:hAnsi="Tahoma" w:cs="Tahoma"/>
      <w:sz w:val="16"/>
      <w:szCs w:val="16"/>
    </w:rPr>
  </w:style>
  <w:style w:type="character" w:customStyle="1" w:styleId="TextedebullesCar">
    <w:name w:val="Texte de bulles Car"/>
    <w:basedOn w:val="Policepardfaut"/>
    <w:link w:val="Textedebulles"/>
    <w:uiPriority w:val="99"/>
    <w:semiHidden/>
    <w:rsid w:val="003C167E"/>
    <w:rPr>
      <w:rFonts w:ascii="Tahoma" w:hAnsi="Tahoma" w:cs="Tahoma"/>
      <w:sz w:val="16"/>
      <w:szCs w:val="16"/>
      <w:lang w:val="en-GB"/>
    </w:rPr>
  </w:style>
  <w:style w:type="character" w:styleId="Marquedecommentaire">
    <w:name w:val="annotation reference"/>
    <w:basedOn w:val="Policepardfaut"/>
    <w:uiPriority w:val="99"/>
    <w:semiHidden/>
    <w:unhideWhenUsed/>
    <w:rsid w:val="00FA2400"/>
    <w:rPr>
      <w:sz w:val="16"/>
      <w:szCs w:val="16"/>
    </w:rPr>
  </w:style>
  <w:style w:type="paragraph" w:styleId="Commentaire">
    <w:name w:val="annotation text"/>
    <w:basedOn w:val="Normal"/>
    <w:link w:val="CommentaireCar"/>
    <w:uiPriority w:val="99"/>
    <w:unhideWhenUsed/>
    <w:rsid w:val="00FA2400"/>
    <w:rPr>
      <w:sz w:val="20"/>
    </w:rPr>
  </w:style>
  <w:style w:type="character" w:customStyle="1" w:styleId="CommentaireCar">
    <w:name w:val="Commentaire Car"/>
    <w:basedOn w:val="Policepardfaut"/>
    <w:link w:val="Commentaire"/>
    <w:uiPriority w:val="99"/>
    <w:rsid w:val="00FA2400"/>
    <w:rPr>
      <w:lang w:val="en-GB"/>
    </w:rPr>
  </w:style>
  <w:style w:type="paragraph" w:styleId="Objetducommentaire">
    <w:name w:val="annotation subject"/>
    <w:basedOn w:val="Commentaire"/>
    <w:next w:val="Commentaire"/>
    <w:link w:val="ObjetducommentaireCar"/>
    <w:uiPriority w:val="99"/>
    <w:semiHidden/>
    <w:unhideWhenUsed/>
    <w:rsid w:val="00FA2400"/>
    <w:rPr>
      <w:b/>
      <w:bCs/>
    </w:rPr>
  </w:style>
  <w:style w:type="character" w:customStyle="1" w:styleId="ObjetducommentaireCar">
    <w:name w:val="Objet du commentaire Car"/>
    <w:basedOn w:val="CommentaireCar"/>
    <w:link w:val="Objetducommentaire"/>
    <w:uiPriority w:val="99"/>
    <w:semiHidden/>
    <w:rsid w:val="00FA2400"/>
    <w:rPr>
      <w:b/>
      <w:bCs/>
      <w:lang w:val="en-GB"/>
    </w:rPr>
  </w:style>
  <w:style w:type="paragraph" w:styleId="R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Lienhypertextesuivivisit">
    <w:name w:val="FollowedHyperlink"/>
    <w:basedOn w:val="Policepardfau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Policepardfau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auNormal"/>
    <w:next w:val="Grilledutableau"/>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auNormal"/>
    <w:next w:val="Grilledutableau"/>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edelisteCar">
    <w:name w:val="Paragraphe de liste Car"/>
    <w:aliases w:val="Paragraphe EI Car,Paragraphe de liste1 Car,EC Car,Normal Nivel 1 Car,List Paragraph Main Car,List first level Car,List Paragraph_Sections Car"/>
    <w:basedOn w:val="Policepardfaut"/>
    <w:link w:val="Paragraphedeliste"/>
    <w:uiPriority w:val="34"/>
    <w:rsid w:val="00695AF2"/>
    <w:rPr>
      <w:rFonts w:eastAsiaTheme="majorEastAsia" w:cstheme="minorHAnsi"/>
      <w:sz w:val="22"/>
      <w:szCs w:val="22"/>
      <w:lang w:val="en-GB" w:eastAsia="en-GB"/>
    </w:rPr>
  </w:style>
  <w:style w:type="table" w:customStyle="1" w:styleId="TableGrid3">
    <w:name w:val="Table Grid3"/>
    <w:basedOn w:val="Tableau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auNormal"/>
    <w:next w:val="Grilledutableau"/>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yperlink" Target="http://www.esma.europa.eu/legal-notice"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esma.europa.e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6" ma:contentTypeDescription="" ma:contentTypeScope="" ma:versionID="8ee7228954dca49665f07e42400ad76d">
  <xsd:schema xmlns:xsd="http://www.w3.org/2001/XMLSchema" xmlns:xs="http://www.w3.org/2001/XMLSchema" xmlns:p="http://schemas.microsoft.com/office/2006/metadata/properties" xmlns:ns1="http://schemas.microsoft.com/sharepoint/v3" xmlns:ns2="20fbe147-bbda-4e53-b6b1-7e8bbff3fe19" xmlns:ns3="http://schemas.microsoft.com/sharepoint/v4" targetNamespace="http://schemas.microsoft.com/office/2006/metadata/properties" ma:root="true" ma:fieldsID="44925884f65367f862a25afa2b9086ca" ns1:_="" ns2:_="" ns3:_="">
    <xsd:import namespace="http://schemas.microsoft.com/sharepoint/v3"/>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8" nillable="true" ma:displayName="Declared Record" ma:hidden="true" ma:internalName="_vti_ItemDeclaredRecord" ma:readOnly="true">
      <xsd:simpleType>
        <xsd:restriction base="dms:DateTime"/>
      </xsd:simpleType>
    </xsd:element>
    <xsd:element name="_vti_ItemHoldRecordStatus" ma:index="2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ESMA70-156-1362</_dlc_DocId>
    <TaxCatchAll xmlns="20fbe147-bbda-4e53-b6b1-7e8bbff3fe19">
      <Value>474</Value>
      <Value>5</Value>
      <Value>602</Value>
      <Value>2</Value>
      <Value>434</Value>
    </TaxCatchAll>
    <_dlc_DocIdUrl xmlns="20fbe147-bbda-4e53-b6b1-7e8bbff3fe19">
      <Url>https://sherpa.esma.europa.eu/sites/MKT/SMK/_layouts/15/DocIdRedir.aspx?ID=ESMA70-156-1362</Url>
      <Description>ESMA70-156-1362</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MiFID reports</TermName>
          <TermId xmlns="http://schemas.microsoft.com/office/infopath/2007/PartnerControls">3c5cc422-10d2-4956-abed-da9583ea216a</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MiFID reports - MiFID II 90(1)(f) - Position limits</TermName>
          <TermId xmlns="http://schemas.microsoft.com/office/infopath/2007/PartnerControls">e81dbf1e-3064-4884-a3c8-df0a9f8119ae</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eed0a0b2ea6941718a34434e243f3d8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2.xml><?xml version="1.0" encoding="utf-8"?>
<ds:datastoreItem xmlns:ds="http://schemas.openxmlformats.org/officeDocument/2006/customXml" ds:itemID="{C4A87B1C-94F7-4601-8DD2-296DC1F53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4.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5.xml><?xml version="1.0" encoding="utf-8"?>
<ds:datastoreItem xmlns:ds="http://schemas.openxmlformats.org/officeDocument/2006/customXml" ds:itemID="{3F1225A1-C6FA-4061-AF9F-C126059F0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TotalTime>
  <Pages>10</Pages>
  <Words>2573</Words>
  <Characters>14152</Characters>
  <Application>Microsoft Office Word</Application>
  <DocSecurity>0</DocSecurity>
  <Lines>117</Lines>
  <Paragraphs>33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ESMA</Company>
  <LinksUpToDate>false</LinksUpToDate>
  <CharactersWithSpaces>16692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MITKO Philippe</cp:lastModifiedBy>
  <cp:revision>2</cp:revision>
  <cp:lastPrinted>2017-07-24T14:47:00Z</cp:lastPrinted>
  <dcterms:created xsi:type="dcterms:W3CDTF">2019-06-28T06:46:00Z</dcterms:created>
  <dcterms:modified xsi:type="dcterms:W3CDTF">2019-06-28T06:46:00Z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2;#Restricted|187aa7e6-627f-4951-b138-6ff841dc883d</vt:lpwstr>
  </property>
  <property fmtid="{D5CDD505-2E9C-101B-9397-08002B2CF9AE}" pid="4" name="ContentTypeId">
    <vt:lpwstr>0x01010001BD15C3986B91498E0AE644B715B9EE010D00757D222C6B0DA241B5F74437644107D4</vt:lpwstr>
  </property>
  <property fmtid="{D5CDD505-2E9C-101B-9397-08002B2CF9AE}" pid="5" name="_dlc_DocIdItemGuid">
    <vt:lpwstr>1f1dd253-cb59-4268-8c71-4ba6659b0f5e</vt:lpwstr>
  </property>
  <property fmtid="{D5CDD505-2E9C-101B-9397-08002B2CF9AE}" pid="6" name="DocumentType">
    <vt:lpwstr>602;#Call for Evidence|4dd13041-d074-4513-b0c9-9d450ea451f0</vt:lpwstr>
  </property>
  <property fmtid="{D5CDD505-2E9C-101B-9397-08002B2CF9AE}" pid="7" name="Topic">
    <vt:lpwstr>434;#MiFID reports|3c5cc422-10d2-4956-abed-da9583ea216a</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5;#Secondary Markets|64c18f63-8e0f-46d8-84d6-b5a5f7a39938</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474;#MiFID reports - MiFID II 90(1)(f) - Position limits|e81dbf1e-3064-4884-a3c8-df0a9f8119ae</vt:lpwstr>
  </property>
</Properties>
</file>