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312BB" w14:textId="5733F92C" w:rsidR="004A18EB" w:rsidRDefault="000E5570" w:rsidP="004A18EB">
      <w:pPr>
        <w:pStyle w:val="Date"/>
      </w:pPr>
      <w:r>
        <w:t>29</w:t>
      </w:r>
      <w:r w:rsidR="00771235">
        <w:t xml:space="preserve"> June 2019</w:t>
      </w:r>
    </w:p>
    <w:p w14:paraId="45DC1CB7" w14:textId="77777777" w:rsidR="007C44C4" w:rsidRDefault="007C44C4" w:rsidP="007C44C4">
      <w:pPr>
        <w:spacing w:after="0"/>
        <w:rPr>
          <w:rFonts w:ascii="Arial" w:hAnsi="Arial" w:cs="Arial"/>
          <w:lang w:val="en-US" w:eastAsia="en-GB"/>
        </w:rPr>
      </w:pPr>
      <w:r>
        <w:rPr>
          <w:rFonts w:ascii="Arial" w:hAnsi="Arial" w:cs="Arial"/>
          <w:lang w:val="en-US" w:eastAsia="en-GB"/>
        </w:rPr>
        <w:t>European Securities and Markets Authority</w:t>
      </w:r>
    </w:p>
    <w:p w14:paraId="284666C8" w14:textId="77777777" w:rsidR="007C44C4" w:rsidRDefault="007C44C4" w:rsidP="007C44C4">
      <w:pPr>
        <w:spacing w:after="0"/>
        <w:rPr>
          <w:rFonts w:ascii="Arial" w:hAnsi="Arial" w:cs="Arial"/>
          <w:lang w:eastAsia="en-GB"/>
        </w:rPr>
      </w:pPr>
      <w:r>
        <w:rPr>
          <w:rFonts w:ascii="Arial" w:hAnsi="Arial" w:cs="Arial"/>
          <w:lang w:eastAsia="en-GB"/>
        </w:rPr>
        <w:t xml:space="preserve">103 rue de </w:t>
      </w:r>
      <w:proofErr w:type="spellStart"/>
      <w:r>
        <w:rPr>
          <w:rFonts w:ascii="Arial" w:hAnsi="Arial" w:cs="Arial"/>
          <w:lang w:eastAsia="en-GB"/>
        </w:rPr>
        <w:t>Grenelle</w:t>
      </w:r>
      <w:proofErr w:type="spellEnd"/>
    </w:p>
    <w:p w14:paraId="2FE1D961" w14:textId="77777777" w:rsidR="007C44C4" w:rsidRPr="00110FB0" w:rsidRDefault="007C44C4" w:rsidP="007C44C4">
      <w:pPr>
        <w:spacing w:after="0"/>
        <w:rPr>
          <w:rFonts w:ascii="Arial" w:hAnsi="Arial" w:cs="Arial"/>
          <w:lang w:val="en-US" w:eastAsia="en-GB"/>
        </w:rPr>
      </w:pPr>
      <w:r>
        <w:rPr>
          <w:rFonts w:ascii="Arial" w:hAnsi="Arial" w:cs="Arial"/>
          <w:lang w:eastAsia="en-GB"/>
        </w:rPr>
        <w:t xml:space="preserve">75007 </w:t>
      </w:r>
      <w:r>
        <w:rPr>
          <w:rFonts w:ascii="Arial" w:hAnsi="Arial" w:cs="Arial"/>
          <w:lang w:val="en-US" w:eastAsia="en-GB"/>
        </w:rPr>
        <w:t>Paris</w:t>
      </w:r>
    </w:p>
    <w:p w14:paraId="065D2619" w14:textId="0785760A" w:rsidR="007C44C4" w:rsidRDefault="007C44C4" w:rsidP="007C44C4">
      <w:pPr>
        <w:spacing w:after="0"/>
        <w:rPr>
          <w:rFonts w:ascii="Arial" w:hAnsi="Arial" w:cs="Arial"/>
          <w:lang w:val="en-US" w:eastAsia="en-GB"/>
        </w:rPr>
      </w:pPr>
      <w:r>
        <w:rPr>
          <w:rFonts w:ascii="Arial" w:hAnsi="Arial" w:cs="Arial"/>
          <w:lang w:val="en-US" w:eastAsia="en-GB"/>
        </w:rPr>
        <w:t>France</w:t>
      </w:r>
    </w:p>
    <w:p w14:paraId="006E1CF2" w14:textId="77777777" w:rsidR="00E65E31" w:rsidRPr="00E65E31" w:rsidRDefault="00E65E31" w:rsidP="004A18EB">
      <w:pPr>
        <w:pStyle w:val="Salutation"/>
        <w:spacing w:before="0" w:after="0" w:line="240" w:lineRule="auto"/>
        <w:ind w:left="720" w:hanging="720"/>
      </w:pPr>
    </w:p>
    <w:p w14:paraId="67A2395A" w14:textId="4791F27A" w:rsidR="004A18EB" w:rsidRDefault="004A18EB" w:rsidP="004A18EB">
      <w:pPr>
        <w:pStyle w:val="Salutation"/>
        <w:spacing w:before="0" w:after="0" w:line="240" w:lineRule="auto"/>
        <w:ind w:left="720" w:hanging="720"/>
        <w:rPr>
          <w:b/>
        </w:rPr>
      </w:pPr>
      <w:r w:rsidRPr="005A0EB2">
        <w:rPr>
          <w:b/>
        </w:rPr>
        <w:t xml:space="preserve">Re: </w:t>
      </w:r>
      <w:r>
        <w:rPr>
          <w:b/>
        </w:rPr>
        <w:tab/>
      </w:r>
      <w:r w:rsidR="00956AA3">
        <w:rPr>
          <w:b/>
        </w:rPr>
        <w:t>C</w:t>
      </w:r>
      <w:r w:rsidR="00BD274D">
        <w:rPr>
          <w:b/>
        </w:rPr>
        <w:t xml:space="preserve">onsultation document on </w:t>
      </w:r>
      <w:r w:rsidR="00E65463">
        <w:rPr>
          <w:b/>
        </w:rPr>
        <w:t xml:space="preserve">the draft RTS </w:t>
      </w:r>
      <w:r w:rsidR="00731059">
        <w:rPr>
          <w:b/>
        </w:rPr>
        <w:t>under Article 25 of the ELTIF Regulation.</w:t>
      </w:r>
    </w:p>
    <w:p w14:paraId="557F187F" w14:textId="77777777" w:rsidR="004A18EB" w:rsidRDefault="004A18EB" w:rsidP="004A18EB">
      <w:pPr>
        <w:spacing w:after="0" w:line="240" w:lineRule="auto"/>
      </w:pPr>
    </w:p>
    <w:p w14:paraId="07DBA212" w14:textId="77777777" w:rsidR="004A18EB" w:rsidRDefault="004A18EB" w:rsidP="004A18EB">
      <w:pPr>
        <w:spacing w:after="0" w:line="240" w:lineRule="auto"/>
      </w:pPr>
    </w:p>
    <w:p w14:paraId="0FE54F87" w14:textId="3F49ED68" w:rsidR="004A18EB" w:rsidRPr="00D70AEE" w:rsidRDefault="004A18EB" w:rsidP="004F65B0">
      <w:pPr>
        <w:spacing w:after="0" w:line="240" w:lineRule="auto"/>
        <w:jc w:val="both"/>
      </w:pPr>
      <w:r>
        <w:t xml:space="preserve">Dear </w:t>
      </w:r>
      <w:r w:rsidR="00937A02">
        <w:t>ESMA</w:t>
      </w:r>
      <w:r>
        <w:t>,</w:t>
      </w:r>
    </w:p>
    <w:p w14:paraId="6B28B05A" w14:textId="77777777" w:rsidR="004A18EB" w:rsidRPr="008B6C7A" w:rsidRDefault="004A18EB" w:rsidP="004F65B0">
      <w:pPr>
        <w:pStyle w:val="NoSpacing"/>
        <w:jc w:val="both"/>
      </w:pPr>
    </w:p>
    <w:p w14:paraId="2FBFB1A5" w14:textId="54FE3041" w:rsidR="00770BD7" w:rsidRDefault="004A18EB" w:rsidP="004F65B0">
      <w:pPr>
        <w:autoSpaceDE w:val="0"/>
        <w:autoSpaceDN w:val="0"/>
        <w:adjustRightInd w:val="0"/>
        <w:jc w:val="both"/>
        <w:rPr>
          <w:rFonts w:ascii="Arial" w:hAnsi="Arial" w:cs="Arial"/>
          <w:lang w:val="en-US" w:eastAsia="en-GB"/>
        </w:rPr>
      </w:pPr>
      <w:r w:rsidRPr="00E72DA8">
        <w:rPr>
          <w:rFonts w:ascii="Arial" w:hAnsi="Arial" w:cs="Arial"/>
          <w:lang w:val="en-US" w:eastAsia="en-GB"/>
        </w:rPr>
        <w:t xml:space="preserve">CFA Institute appreciates the opportunity to </w:t>
      </w:r>
      <w:r w:rsidR="007C44C4">
        <w:rPr>
          <w:rFonts w:ascii="Arial" w:hAnsi="Arial" w:cs="Arial"/>
          <w:lang w:val="en-US" w:eastAsia="en-GB"/>
        </w:rPr>
        <w:t xml:space="preserve">comment on ESMA’s </w:t>
      </w:r>
      <w:r w:rsidR="0019676E">
        <w:rPr>
          <w:rFonts w:ascii="Arial" w:hAnsi="Arial" w:cs="Arial"/>
          <w:lang w:val="en-US" w:eastAsia="en-GB"/>
        </w:rPr>
        <w:t xml:space="preserve">consultation paper on the </w:t>
      </w:r>
      <w:r w:rsidR="00E65463">
        <w:rPr>
          <w:rFonts w:ascii="Arial" w:hAnsi="Arial" w:cs="Arial"/>
          <w:lang w:val="en-US" w:eastAsia="en-GB"/>
        </w:rPr>
        <w:t>draft regulatory technical standards (RTS)</w:t>
      </w:r>
      <w:r w:rsidR="007C44C4">
        <w:rPr>
          <w:rFonts w:ascii="Arial" w:hAnsi="Arial" w:cs="Arial"/>
          <w:lang w:val="en-US" w:eastAsia="en-GB"/>
        </w:rPr>
        <w:t xml:space="preserve"> </w:t>
      </w:r>
      <w:r w:rsidR="00E65463">
        <w:rPr>
          <w:rFonts w:ascii="Arial" w:hAnsi="Arial" w:cs="Arial"/>
          <w:lang w:val="en-US" w:eastAsia="en-GB"/>
        </w:rPr>
        <w:t>under Article 25 of the ELTIF Regulation.</w:t>
      </w:r>
      <w:r w:rsidR="007C44C4">
        <w:rPr>
          <w:rFonts w:ascii="Arial" w:hAnsi="Arial" w:cs="Arial"/>
          <w:lang w:val="en-US" w:eastAsia="en-GB"/>
        </w:rPr>
        <w:t xml:space="preserve"> </w:t>
      </w:r>
    </w:p>
    <w:p w14:paraId="06F09740" w14:textId="1D991A13" w:rsidR="00B10F1F" w:rsidRDefault="00D33E7E" w:rsidP="004F65B0">
      <w:pPr>
        <w:autoSpaceDE w:val="0"/>
        <w:autoSpaceDN w:val="0"/>
        <w:adjustRightInd w:val="0"/>
        <w:jc w:val="both"/>
      </w:pPr>
      <w:r w:rsidRPr="00D33E7E">
        <w:t>CFA Institute is the global association of investment professionals that sets the standard for professional excellence and credentials. The organization is a champion for ethical behaviour in investment markets and a respected source of knowledge in the global financial community. The end goal: to create an environment where investors’ interests come first, markets function at their best, and economies grow. CFA Institute has more than 140,000 members in 150 countries and territories, including 133,000 Chartered Financial Analyst® charterholders, and 147 member societies.</w:t>
      </w:r>
    </w:p>
    <w:p w14:paraId="31F45500" w14:textId="2A87FBFF" w:rsidR="00010989" w:rsidRDefault="00393455">
      <w:pPr>
        <w:rPr>
          <w:b/>
        </w:rPr>
      </w:pPr>
      <w:r>
        <w:rPr>
          <w:b/>
        </w:rPr>
        <w:t>General</w:t>
      </w:r>
      <w:r w:rsidRPr="0019676E">
        <w:rPr>
          <w:b/>
        </w:rPr>
        <w:t xml:space="preserve"> </w:t>
      </w:r>
      <w:r w:rsidR="007409A1">
        <w:rPr>
          <w:b/>
        </w:rPr>
        <w:t>c</w:t>
      </w:r>
      <w:r w:rsidR="0019676E" w:rsidRPr="0019676E">
        <w:rPr>
          <w:b/>
        </w:rPr>
        <w:t>omments</w:t>
      </w:r>
    </w:p>
    <w:p w14:paraId="208952DF" w14:textId="005C53CF" w:rsidR="007409A1" w:rsidRDefault="00393455" w:rsidP="007409A1">
      <w:pPr>
        <w:jc w:val="both"/>
      </w:pPr>
      <w:r w:rsidRPr="0091187D">
        <w:rPr>
          <w:bCs/>
        </w:rPr>
        <w:t>CFA Institute believes that convergence</w:t>
      </w:r>
      <w:r>
        <w:rPr>
          <w:b/>
        </w:rPr>
        <w:t xml:space="preserve"> </w:t>
      </w:r>
      <w:r>
        <w:t>and harmonisation, as much as possible, should be the driving principles of the EU’s rules and directives on investment funds reporting requirements.</w:t>
      </w:r>
      <w:r w:rsidR="007409A1">
        <w:t xml:space="preserve"> This standardisation will greatly help firms implement these requirements and should help foster a common understanding of the information that is being provided, which should in turn help fulfil cross-distribution and cross-marketing of the products.</w:t>
      </w:r>
    </w:p>
    <w:p w14:paraId="4F3CFB12" w14:textId="77777777" w:rsidR="007409A1" w:rsidRDefault="007409A1" w:rsidP="007409A1">
      <w:pPr>
        <w:jc w:val="both"/>
      </w:pPr>
      <w:r>
        <w:t xml:space="preserve">This comment is made irrespective of the potential review to the PRIIPs delegated regulations and accompanying appendices dedicated to the calculation method and interpretation rules. </w:t>
      </w:r>
    </w:p>
    <w:p w14:paraId="7178B502" w14:textId="11FAA237" w:rsidR="007409A1" w:rsidRDefault="007409A1" w:rsidP="007409A1">
      <w:pPr>
        <w:jc w:val="both"/>
      </w:pPr>
      <w:r>
        <w:t xml:space="preserve">ELTIF products are in principle very similar to other forms of private equity funds, which are classed as Alternative Investment Funds (AIFs) and subject to the AIFMD. We believe there should be only minimal </w:t>
      </w:r>
      <w:r w:rsidR="002D4F66">
        <w:t>differences</w:t>
      </w:r>
      <w:r>
        <w:t xml:space="preserve"> in how these two type</w:t>
      </w:r>
      <w:r w:rsidR="002D4F66">
        <w:t>s</w:t>
      </w:r>
      <w:r>
        <w:t xml:space="preserve"> of AIFs are treated from a reporting perspective (including Key Information Documents).</w:t>
      </w:r>
    </w:p>
    <w:p w14:paraId="4FE88C39" w14:textId="6078AD1B" w:rsidR="003F0AE3" w:rsidRDefault="0091187D" w:rsidP="007409A1">
      <w:pPr>
        <w:jc w:val="both"/>
      </w:pPr>
      <w:r>
        <w:t xml:space="preserve">We also believe that great care should be taken </w:t>
      </w:r>
      <w:r w:rsidR="007635E0">
        <w:t>in allowing ELTIFs to be distributed to retail investors. There should be significant burden of disclosure to retail investors, specifically about the investment horizon and illiquidity of the underlying assets.</w:t>
      </w:r>
    </w:p>
    <w:p w14:paraId="049FA005" w14:textId="4F311311" w:rsidR="00180FD7" w:rsidRDefault="0071127E" w:rsidP="007409A1">
      <w:pPr>
        <w:jc w:val="both"/>
      </w:pPr>
      <w:r w:rsidRPr="0071127E">
        <w:t>ELTIFs</w:t>
      </w:r>
      <w:r w:rsidR="00010989" w:rsidRPr="00010989">
        <w:t xml:space="preserve"> are by nature complex and illiquid and it will be important for any information or report on these to be done with the level of transparency and education that would be required, as part of any marketing campaign or initiative targeting retail investors. </w:t>
      </w:r>
    </w:p>
    <w:p w14:paraId="28B565E5" w14:textId="5212B930" w:rsidR="00180FD7" w:rsidRDefault="00180FD7" w:rsidP="007409A1">
      <w:pPr>
        <w:jc w:val="both"/>
      </w:pPr>
    </w:p>
    <w:p w14:paraId="33574CB7" w14:textId="3726DFFF" w:rsidR="00180FD7" w:rsidRDefault="00180FD7" w:rsidP="007409A1">
      <w:pPr>
        <w:jc w:val="both"/>
      </w:pPr>
    </w:p>
    <w:p w14:paraId="696C1978" w14:textId="77777777" w:rsidR="00180FD7" w:rsidRDefault="00180FD7" w:rsidP="007409A1">
      <w:pPr>
        <w:jc w:val="both"/>
      </w:pPr>
    </w:p>
    <w:p w14:paraId="65D91F26" w14:textId="5A6A51F2" w:rsidR="00393455" w:rsidRDefault="007409A1">
      <w:pPr>
        <w:rPr>
          <w:b/>
        </w:rPr>
      </w:pPr>
      <w:r>
        <w:rPr>
          <w:b/>
        </w:rPr>
        <w:lastRenderedPageBreak/>
        <w:t>Specific comments</w:t>
      </w:r>
    </w:p>
    <w:p w14:paraId="1E4CE0AB" w14:textId="260E202C" w:rsidR="00573FEB" w:rsidRDefault="00E42FFF" w:rsidP="00DB54D2">
      <w:pPr>
        <w:jc w:val="both"/>
        <w:rPr>
          <w:b/>
        </w:rPr>
      </w:pPr>
      <w:r w:rsidRPr="009C05F9">
        <w:rPr>
          <w:b/>
        </w:rPr>
        <w:t xml:space="preserve">Q1 Taking into account the </w:t>
      </w:r>
      <w:r w:rsidR="0096536A">
        <w:rPr>
          <w:b/>
        </w:rPr>
        <w:t>new cost disclosure fram</w:t>
      </w:r>
      <w:r w:rsidR="00573FEB">
        <w:rPr>
          <w:b/>
        </w:rPr>
        <w:t>ework introduced by the PRIIPs Regulation, do you agree that the abovementioned pieces of legislation and regulatory material are relevant for the purpose of the RTS on Article 25(3) of the ELTIF Regulation? Which other pieces of legislation and regulatory material do you consider relevant for that purpose?</w:t>
      </w:r>
    </w:p>
    <w:p w14:paraId="4F796C0B" w14:textId="679CE424" w:rsidR="00B10F1F" w:rsidRDefault="00DE23EB" w:rsidP="00DE23EB">
      <w:pPr>
        <w:jc w:val="both"/>
        <w:rPr>
          <w:bCs/>
        </w:rPr>
      </w:pPr>
      <w:r w:rsidRPr="00DE23EB">
        <w:rPr>
          <w:bCs/>
        </w:rPr>
        <w:t>CFA Institute agrees that the abovementioned pieces of legislation are relevant; we are not aware of additional pieces of regulatory material that are relevant.</w:t>
      </w:r>
    </w:p>
    <w:p w14:paraId="08E9188A" w14:textId="77777777" w:rsidR="00284327" w:rsidRPr="00DE23EB" w:rsidRDefault="00284327" w:rsidP="00DE23EB">
      <w:pPr>
        <w:jc w:val="both"/>
        <w:rPr>
          <w:bCs/>
        </w:rPr>
      </w:pPr>
    </w:p>
    <w:p w14:paraId="0EF32568" w14:textId="2FF0B69B" w:rsidR="00CD3930" w:rsidRDefault="00076B53" w:rsidP="00CD3930">
      <w:pPr>
        <w:jc w:val="both"/>
      </w:pPr>
      <w:r w:rsidRPr="00076B53">
        <w:rPr>
          <w:b/>
        </w:rPr>
        <w:t xml:space="preserve">Q2: </w:t>
      </w:r>
      <w:r w:rsidR="001A612A">
        <w:rPr>
          <w:b/>
        </w:rPr>
        <w:t>Taking into account the new cost disclosure framework introduced by the PRIIPs Regulation, do you agree with the abovementioned assumptions? In particular, do you agree with the proposal included in paragraph 21 above? With respect to the overall cost indicator, would you see merit in aligning the level 1 framework on cost disclosure under the ELTIF Regulation with the PRIIPs level 2 framework on cost disclosure?</w:t>
      </w:r>
      <w:r w:rsidRPr="00076B53">
        <w:rPr>
          <w:b/>
        </w:rPr>
        <w:t xml:space="preserve"> </w:t>
      </w:r>
    </w:p>
    <w:p w14:paraId="425EB1AF" w14:textId="5BEC78B0" w:rsidR="00E3683C" w:rsidRDefault="00E3683C" w:rsidP="0091187D">
      <w:pPr>
        <w:jc w:val="both"/>
      </w:pPr>
      <w:r>
        <w:t>CFA Institute agrees with the abovementioned assumptions and the proposal in paragraph 21.</w:t>
      </w:r>
    </w:p>
    <w:p w14:paraId="19DEE75C" w14:textId="77777777" w:rsidR="00180FD7" w:rsidRDefault="00180FD7" w:rsidP="0091187D">
      <w:pPr>
        <w:jc w:val="both"/>
      </w:pPr>
    </w:p>
    <w:p w14:paraId="52398DAE" w14:textId="00CA40E9" w:rsidR="00076B53" w:rsidRDefault="00076B53" w:rsidP="003C48C8">
      <w:pPr>
        <w:jc w:val="both"/>
        <w:rPr>
          <w:b/>
        </w:rPr>
      </w:pPr>
      <w:r w:rsidRPr="00076B53">
        <w:rPr>
          <w:b/>
        </w:rPr>
        <w:t xml:space="preserve">Q3: </w:t>
      </w:r>
      <w:r w:rsidR="00260410">
        <w:rPr>
          <w:b/>
        </w:rPr>
        <w:t xml:space="preserve">Taking into account the new cost disclosure framework introduced by the PRIIPs Regulation, do you agree that they </w:t>
      </w:r>
      <w:proofErr w:type="gramStart"/>
      <w:r w:rsidR="00260410">
        <w:rPr>
          <w:b/>
        </w:rPr>
        <w:t>types</w:t>
      </w:r>
      <w:proofErr w:type="gramEnd"/>
      <w:r w:rsidR="00260410">
        <w:rPr>
          <w:b/>
        </w:rPr>
        <w:t xml:space="preserve"> of cost mentioned in the present paragraph are annual costs that could be expressed as a percentage of the capital?</w:t>
      </w:r>
    </w:p>
    <w:p w14:paraId="48F2982D" w14:textId="337E530F" w:rsidR="0082413A" w:rsidRPr="0082413A" w:rsidRDefault="0082413A" w:rsidP="0082413A">
      <w:r>
        <w:t>CFA Institute notes that p</w:t>
      </w:r>
      <w:r w:rsidRPr="0082413A">
        <w:t>erformance fees are not a ‘fixed’ or an ‘annual’ cost; they are, by definition based on the performance of the vehicle which varies and therefore may not apply annually.</w:t>
      </w:r>
    </w:p>
    <w:p w14:paraId="1DC4CCBE" w14:textId="5176E3DE" w:rsidR="0082413A" w:rsidRPr="0082413A" w:rsidRDefault="0082413A" w:rsidP="0082413A">
      <w:r>
        <w:t>Performance fees</w:t>
      </w:r>
      <w:r w:rsidRPr="0082413A">
        <w:t xml:space="preserve"> are specifically mentioned in the paragraphs prior to </w:t>
      </w:r>
      <w:r>
        <w:t xml:space="preserve">paragraph referred to by this question, </w:t>
      </w:r>
      <w:r w:rsidRPr="0082413A">
        <w:t>so the</w:t>
      </w:r>
      <w:r>
        <w:t>y</w:t>
      </w:r>
      <w:r w:rsidRPr="0082413A">
        <w:t xml:space="preserve"> should </w:t>
      </w:r>
      <w:r w:rsidRPr="0082413A">
        <w:rPr>
          <w:u w:val="single"/>
        </w:rPr>
        <w:t>not</w:t>
      </w:r>
      <w:r w:rsidRPr="0082413A">
        <w:t xml:space="preserve"> be included as a type of co</w:t>
      </w:r>
      <w:r>
        <w:t>s</w:t>
      </w:r>
      <w:r w:rsidRPr="0082413A">
        <w:t>t that is an annual cost. Most of the time a performance fee is generated over a period greater than a single year (typically they can apply after first 36 months). There are clawbacks and other aspects of performance fees that could distort the annual percentage of capital methodology; for clarity, performance fees should be expressed separately.</w:t>
      </w:r>
    </w:p>
    <w:p w14:paraId="76386B96" w14:textId="5E94D07D" w:rsidR="0082413A" w:rsidRPr="0082413A" w:rsidRDefault="009204A5" w:rsidP="009204A5">
      <w:r>
        <w:t>We would also suggest that there should be a b</w:t>
      </w:r>
      <w:r w:rsidR="0082413A" w:rsidRPr="0082413A">
        <w:t xml:space="preserve">etter distinction between one-off costs, fixed costs (repeating but unchanging; those which are </w:t>
      </w:r>
      <w:r w:rsidR="0082413A" w:rsidRPr="0082413A">
        <w:rPr>
          <w:i/>
          <w:iCs/>
        </w:rPr>
        <w:t>x</w:t>
      </w:r>
      <w:r w:rsidR="0082413A" w:rsidRPr="0082413A">
        <w:t xml:space="preserve"> basis points of total assets or a flat fee) and variable costs. These </w:t>
      </w:r>
      <w:r>
        <w:t>appear to be</w:t>
      </w:r>
      <w:r w:rsidR="0082413A" w:rsidRPr="0082413A">
        <w:t xml:space="preserve"> mixed up in Article 25 (1) </w:t>
      </w:r>
      <w:r>
        <w:t xml:space="preserve">- </w:t>
      </w:r>
      <w:r w:rsidR="0082413A" w:rsidRPr="0082413A">
        <w:t xml:space="preserve">management could be a fixed basis point whereas performance fees are </w:t>
      </w:r>
      <w:proofErr w:type="gramStart"/>
      <w:r w:rsidR="0082413A" w:rsidRPr="0082413A">
        <w:t>variabl</w:t>
      </w:r>
      <w:r>
        <w:t>e.</w:t>
      </w:r>
      <w:r w:rsidR="0082413A" w:rsidRPr="0082413A">
        <w:t>.</w:t>
      </w:r>
      <w:proofErr w:type="gramEnd"/>
      <w:r w:rsidR="0082413A" w:rsidRPr="0082413A">
        <w:t xml:space="preserve"> </w:t>
      </w:r>
    </w:p>
    <w:p w14:paraId="018F3586" w14:textId="77777777" w:rsidR="0082413A" w:rsidRPr="00D133F7" w:rsidRDefault="0082413A" w:rsidP="0091187D"/>
    <w:p w14:paraId="57659A2E" w14:textId="77777777" w:rsidR="00EC7619" w:rsidRDefault="00076B53" w:rsidP="00076B53">
      <w:pPr>
        <w:jc w:val="both"/>
        <w:rPr>
          <w:b/>
        </w:rPr>
      </w:pPr>
      <w:r w:rsidRPr="00076B53">
        <w:rPr>
          <w:b/>
        </w:rPr>
        <w:t xml:space="preserve">Q4: </w:t>
      </w:r>
      <w:r w:rsidR="00260410">
        <w:rPr>
          <w:b/>
        </w:rPr>
        <w:t>Taking into account the new cost disclosure framework introduced by the PRIIPs Regulation</w:t>
      </w:r>
      <w:r w:rsidR="00EC7619">
        <w:rPr>
          <w:b/>
        </w:rPr>
        <w:t>, do you agree that the types of cost mentioned in paragraph 24 are fixed costs and that an assumption on the duration of the investment is necessary to calculate these costs in the numerator of the overall ratio mentioned in Article 25(2), provided that this overall ratio is a yearly ratio?</w:t>
      </w:r>
    </w:p>
    <w:p w14:paraId="7D438FD6" w14:textId="175E6BB9" w:rsidR="007635E0" w:rsidRDefault="00E04D23" w:rsidP="00076B53">
      <w:pPr>
        <w:jc w:val="both"/>
      </w:pPr>
      <w:r>
        <w:t xml:space="preserve">CFA Institute agrees that the types of costs mentioned in paragraph 24 are fixed costs, with some caveats. </w:t>
      </w:r>
      <w:r w:rsidR="00124FD1">
        <w:t xml:space="preserve">Distribution costs can be considered in the world of private investments as placement and introduction fees. Under the new rules related to inducements, these fees should in most cases be fixed </w:t>
      </w:r>
      <w:r w:rsidR="00124FD1">
        <w:lastRenderedPageBreak/>
        <w:t>and/or eventually calculated as a percentage of commitments, but payment may be made in instalments over the life of the fund.</w:t>
      </w:r>
    </w:p>
    <w:p w14:paraId="1C574DA2" w14:textId="77777777" w:rsidR="00180FD7" w:rsidRPr="00937A02" w:rsidRDefault="00180FD7" w:rsidP="00076B53">
      <w:pPr>
        <w:jc w:val="both"/>
      </w:pPr>
    </w:p>
    <w:p w14:paraId="31FED64B" w14:textId="2F98D24D" w:rsidR="00520FB3" w:rsidRDefault="00076B53" w:rsidP="007635E0">
      <w:pPr>
        <w:jc w:val="both"/>
      </w:pPr>
      <w:r w:rsidRPr="00076B53">
        <w:rPr>
          <w:b/>
        </w:rPr>
        <w:t>Q</w:t>
      </w:r>
      <w:r w:rsidR="00C94A71">
        <w:rPr>
          <w:b/>
        </w:rPr>
        <w:t>5</w:t>
      </w:r>
      <w:r w:rsidRPr="00076B53">
        <w:rPr>
          <w:b/>
        </w:rPr>
        <w:t xml:space="preserve">: </w:t>
      </w:r>
      <w:r w:rsidR="00C94A71">
        <w:rPr>
          <w:b/>
        </w:rPr>
        <w:t>Taking into account the new cost disclosure framework introduced by the PRIIPs Regulation, do you agree that the types of costs mentioned in paragraph 27 may be considered as fixed costs in the case of an ELTIF?</w:t>
      </w:r>
    </w:p>
    <w:p w14:paraId="5C41D819" w14:textId="23F2058C" w:rsidR="00B10F1F" w:rsidRDefault="00E04D23" w:rsidP="007635E0">
      <w:r>
        <w:t xml:space="preserve">CFA Institute does not agree that the types of costs mentioned in paragraph 27 may be considered as fixed costs in the case of an ELTIF. We believe that </w:t>
      </w:r>
      <w:r w:rsidR="00322A8D">
        <w:t xml:space="preserve">ELTIFs, like private equity funds, have significant transaction costs as part of their nature. This should be reflected as </w:t>
      </w:r>
      <w:proofErr w:type="spellStart"/>
      <w:proofErr w:type="gramStart"/>
      <w:r w:rsidR="00322A8D">
        <w:t>such</w:t>
      </w:r>
      <w:r>
        <w:t>,</w:t>
      </w:r>
      <w:r w:rsidR="00322A8D">
        <w:t>an</w:t>
      </w:r>
      <w:r>
        <w:t>d</w:t>
      </w:r>
      <w:proofErr w:type="spellEnd"/>
      <w:proofErr w:type="gramEnd"/>
      <w:r w:rsidR="00322A8D">
        <w:t xml:space="preserve"> acquisition costs should be treated as transaction costs</w:t>
      </w:r>
      <w:r w:rsidR="00496F86">
        <w:t xml:space="preserve"> and calculated as </w:t>
      </w:r>
      <w:proofErr w:type="spellStart"/>
      <w:r w:rsidR="00496F86">
        <w:t>prescribred</w:t>
      </w:r>
      <w:proofErr w:type="spellEnd"/>
      <w:r w:rsidR="00496F86">
        <w:t xml:space="preserve"> under PRIIPs in a harmonised manner)</w:t>
      </w:r>
    </w:p>
    <w:p w14:paraId="16CB88A1" w14:textId="77777777" w:rsidR="007635E0" w:rsidRPr="00036195" w:rsidRDefault="007635E0" w:rsidP="007635E0"/>
    <w:p w14:paraId="141D2EA8" w14:textId="7E5AE8AB" w:rsidR="00076B53" w:rsidRDefault="00076B53" w:rsidP="00076B53">
      <w:pPr>
        <w:jc w:val="both"/>
        <w:rPr>
          <w:b/>
        </w:rPr>
      </w:pPr>
      <w:r w:rsidRPr="00076B53">
        <w:rPr>
          <w:b/>
        </w:rPr>
        <w:t>Q</w:t>
      </w:r>
      <w:r w:rsidR="00C94A71">
        <w:rPr>
          <w:b/>
        </w:rPr>
        <w:t>6</w:t>
      </w:r>
      <w:r w:rsidRPr="00076B53">
        <w:rPr>
          <w:b/>
        </w:rPr>
        <w:t xml:space="preserve">: Do you </w:t>
      </w:r>
      <w:r w:rsidR="00C94A71">
        <w:rPr>
          <w:b/>
        </w:rPr>
        <w:t>agree with the views expressed in paragraph 28 on the presentation formats of the costs in the context of the ELTIF cost disclosure?</w:t>
      </w:r>
    </w:p>
    <w:p w14:paraId="2C8431EF" w14:textId="71018EAE" w:rsidR="00CB6C64" w:rsidRPr="00CB6C64" w:rsidRDefault="00CB6C64" w:rsidP="00524223">
      <w:r w:rsidRPr="00524223">
        <w:t xml:space="preserve">CFA Institute believes that while </w:t>
      </w:r>
      <w:r w:rsidRPr="00CB6C64">
        <w:t xml:space="preserve">no specific presentation format should be indicated, we would support ensuring all cost related information necessary for the investor to make comparisons between investment products and to make an informed decision regarding fees and costs are presented in a ‘costs section’. </w:t>
      </w:r>
      <w:r w:rsidR="00BB1372" w:rsidRPr="00524223">
        <w:t>This belief is reflected in our own Global Investment Performance Standards.</w:t>
      </w:r>
    </w:p>
    <w:p w14:paraId="55B8B312" w14:textId="77777777" w:rsidR="00B10F1F" w:rsidRPr="00F23308" w:rsidRDefault="00B10F1F" w:rsidP="00076B53">
      <w:pPr>
        <w:jc w:val="both"/>
      </w:pPr>
    </w:p>
    <w:p w14:paraId="410C0F90" w14:textId="146351EB" w:rsidR="00C94A71" w:rsidRDefault="00076B53" w:rsidP="00076B53">
      <w:pPr>
        <w:jc w:val="both"/>
        <w:rPr>
          <w:b/>
        </w:rPr>
      </w:pPr>
      <w:r w:rsidRPr="00076B53">
        <w:rPr>
          <w:b/>
        </w:rPr>
        <w:t>Q</w:t>
      </w:r>
      <w:r w:rsidR="00C94A71">
        <w:rPr>
          <w:b/>
        </w:rPr>
        <w:t>7</w:t>
      </w:r>
      <w:r w:rsidRPr="00076B53">
        <w:rPr>
          <w:b/>
        </w:rPr>
        <w:t xml:space="preserve">: </w:t>
      </w:r>
      <w:r w:rsidR="00C94A71">
        <w:rPr>
          <w:b/>
        </w:rPr>
        <w:t>Given that the RTS enter into force after the date of application of the ELTIF Regulation and authorisations have been granted between the date of application of the ELTIF Regulation and the date of application of the proposed RTS, do you see a need for specific transitional/grandfathering provisions for the proposed RTS?</w:t>
      </w:r>
    </w:p>
    <w:p w14:paraId="24270F30" w14:textId="7125D684" w:rsidR="00524223" w:rsidRDefault="00180FD7" w:rsidP="00D2150A">
      <w:pPr>
        <w:jc w:val="both"/>
      </w:pPr>
      <w:r>
        <w:t xml:space="preserve">CFA Institute </w:t>
      </w:r>
      <w:r w:rsidR="006175CC">
        <w:t xml:space="preserve">generally supports the use of limited and reasonable </w:t>
      </w:r>
      <w:bookmarkStart w:id="0" w:name="_GoBack"/>
      <w:bookmarkEnd w:id="0"/>
      <w:r w:rsidR="006175CC">
        <w:t>grandfathering provisions for cases of highly-prescriptive and technical regulations that require significant firm resources to implement</w:t>
      </w:r>
      <w:r w:rsidR="0091187D">
        <w:t>.</w:t>
      </w:r>
    </w:p>
    <w:p w14:paraId="190B17EB" w14:textId="77777777" w:rsidR="001E2E26" w:rsidRPr="00937A02" w:rsidRDefault="001E2E26" w:rsidP="00D2150A">
      <w:pPr>
        <w:jc w:val="both"/>
      </w:pPr>
    </w:p>
    <w:p w14:paraId="6C9CBE18" w14:textId="676EE3D3" w:rsidR="00834B09" w:rsidRPr="00834B09" w:rsidRDefault="00834B09" w:rsidP="00D2150A">
      <w:pPr>
        <w:jc w:val="both"/>
        <w:rPr>
          <w:b/>
        </w:rPr>
      </w:pPr>
      <w:r w:rsidRPr="00834B09">
        <w:rPr>
          <w:b/>
        </w:rPr>
        <w:t>Concluding Remarks</w:t>
      </w:r>
    </w:p>
    <w:p w14:paraId="116F9863" w14:textId="77777777" w:rsidR="0071127E" w:rsidRDefault="00007C5E" w:rsidP="0071127E">
      <w:pPr>
        <w:jc w:val="both"/>
      </w:pPr>
      <w:r>
        <w:t xml:space="preserve">We </w:t>
      </w:r>
      <w:r w:rsidR="004A18EB">
        <w:t xml:space="preserve">welcome </w:t>
      </w:r>
      <w:r w:rsidR="00BB375D">
        <w:t>this</w:t>
      </w:r>
      <w:r w:rsidR="004A18EB">
        <w:t xml:space="preserve"> opportunity to comment on</w:t>
      </w:r>
      <w:r w:rsidR="00BB375D">
        <w:t xml:space="preserve"> </w:t>
      </w:r>
      <w:r w:rsidR="00301DC8">
        <w:t>draft RTS for the ELTIF Regulation</w:t>
      </w:r>
      <w:r w:rsidR="006E32FC">
        <w:t>.</w:t>
      </w:r>
      <w:r w:rsidR="0071127E">
        <w:t xml:space="preserve"> In summary, CFA Institute believes that:</w:t>
      </w:r>
    </w:p>
    <w:p w14:paraId="4445E5D9" w14:textId="239FE1E6" w:rsidR="0071127E" w:rsidRDefault="0071127E" w:rsidP="0071127E">
      <w:pPr>
        <w:pStyle w:val="ListParagraph"/>
        <w:numPr>
          <w:ilvl w:val="0"/>
          <w:numId w:val="29"/>
        </w:numPr>
        <w:jc w:val="both"/>
      </w:pPr>
      <w:r w:rsidRPr="00010989">
        <w:t>ELTIFs are complex instruments not to be taken lightly when it comes to marketing to retail</w:t>
      </w:r>
      <w:r>
        <w:t xml:space="preserve"> investors</w:t>
      </w:r>
      <w:r w:rsidR="00524223">
        <w:t>;</w:t>
      </w:r>
    </w:p>
    <w:p w14:paraId="2678430F" w14:textId="77777777" w:rsidR="00524223" w:rsidRDefault="0071127E" w:rsidP="0071127E">
      <w:pPr>
        <w:pStyle w:val="ListParagraph"/>
        <w:numPr>
          <w:ilvl w:val="0"/>
          <w:numId w:val="29"/>
        </w:numPr>
        <w:jc w:val="both"/>
      </w:pPr>
      <w:r w:rsidRPr="00010989">
        <w:t>We support harmonisation across reporting standards where possible</w:t>
      </w:r>
      <w:r w:rsidR="00524223">
        <w:t>;</w:t>
      </w:r>
      <w:r w:rsidRPr="00010989">
        <w:t xml:space="preserve"> </w:t>
      </w:r>
      <w:r w:rsidR="00524223">
        <w:t xml:space="preserve">and </w:t>
      </w:r>
    </w:p>
    <w:p w14:paraId="5B70031C" w14:textId="24E36496" w:rsidR="0071127E" w:rsidRPr="00010989" w:rsidRDefault="0071127E" w:rsidP="0071127E">
      <w:pPr>
        <w:pStyle w:val="ListParagraph"/>
        <w:numPr>
          <w:ilvl w:val="0"/>
          <w:numId w:val="29"/>
        </w:numPr>
        <w:jc w:val="both"/>
      </w:pPr>
      <w:r w:rsidRPr="00010989">
        <w:t xml:space="preserve">PRIIPs </w:t>
      </w:r>
      <w:r w:rsidR="00524223">
        <w:t>could be adapted</w:t>
      </w:r>
      <w:r w:rsidRPr="00010989">
        <w:t xml:space="preserve"> to better reflect the nature of </w:t>
      </w:r>
      <w:r w:rsidR="00524223">
        <w:t>ELTIFs.</w:t>
      </w:r>
    </w:p>
    <w:p w14:paraId="58F4FCA9" w14:textId="33D94750" w:rsidR="004A18EB" w:rsidRDefault="006E32FC" w:rsidP="003C48C8">
      <w:pPr>
        <w:jc w:val="both"/>
      </w:pPr>
      <w:r>
        <w:t xml:space="preserve"> </w:t>
      </w:r>
      <w:r w:rsidR="004A18EB">
        <w:t>Please do not hesitate to contact us should you wish further elaboration of the points raised.</w:t>
      </w:r>
    </w:p>
    <w:p w14:paraId="5CBD47D4" w14:textId="6A1914ED" w:rsidR="004A18EB" w:rsidRDefault="00FF7F94" w:rsidP="004A18EB">
      <w:pPr>
        <w:jc w:val="both"/>
      </w:pPr>
      <w:r>
        <w:rPr>
          <w:noProof/>
          <w:lang w:val="it-IT"/>
        </w:rPr>
        <w:lastRenderedPageBreak/>
        <w:drawing>
          <wp:anchor distT="0" distB="0" distL="114300" distR="114300" simplePos="0" relativeHeight="251660288" behindDoc="0" locked="0" layoutInCell="1" allowOverlap="1" wp14:anchorId="789BAA67" wp14:editId="10CCC2F7">
            <wp:simplePos x="0" y="0"/>
            <wp:positionH relativeFrom="column">
              <wp:posOffset>3061416</wp:posOffset>
            </wp:positionH>
            <wp:positionV relativeFrom="paragraph">
              <wp:posOffset>276860</wp:posOffset>
            </wp:positionV>
            <wp:extent cx="2681605" cy="854710"/>
            <wp:effectExtent l="0" t="0" r="0" b="0"/>
            <wp:wrapThrough wrapText="bothSides">
              <wp:wrapPolygon edited="0">
                <wp:start x="0" y="0"/>
                <wp:lineTo x="0" y="21183"/>
                <wp:lineTo x="21482" y="21183"/>
                <wp:lineTo x="2148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Josina 1.jpg"/>
                    <pic:cNvPicPr/>
                  </pic:nvPicPr>
                  <pic:blipFill>
                    <a:blip r:embed="rId11"/>
                    <a:stretch>
                      <a:fillRect/>
                    </a:stretch>
                  </pic:blipFill>
                  <pic:spPr>
                    <a:xfrm>
                      <a:off x="0" y="0"/>
                      <a:ext cx="2681605" cy="854710"/>
                    </a:xfrm>
                    <a:prstGeom prst="rect">
                      <a:avLst/>
                    </a:prstGeom>
                  </pic:spPr>
                </pic:pic>
              </a:graphicData>
            </a:graphic>
            <wp14:sizeRelH relativeFrom="page">
              <wp14:pctWidth>0</wp14:pctWidth>
            </wp14:sizeRelH>
            <wp14:sizeRelV relativeFrom="page">
              <wp14:pctHeight>0</wp14:pctHeight>
            </wp14:sizeRelV>
          </wp:anchor>
        </w:drawing>
      </w:r>
      <w:r w:rsidR="004A18EB">
        <w:t>Yours faithfully,</w:t>
      </w:r>
    </w:p>
    <w:p w14:paraId="647987D3" w14:textId="06223A09" w:rsidR="004A18EB" w:rsidRDefault="0027590B" w:rsidP="004A18EB">
      <w:pPr>
        <w:jc w:val="both"/>
      </w:pPr>
      <w:r w:rsidRPr="00361FA6">
        <w:rPr>
          <w:noProof/>
          <w:lang w:val="it-IT" w:eastAsia="it-IT"/>
        </w:rPr>
        <w:drawing>
          <wp:anchor distT="0" distB="0" distL="114300" distR="114300" simplePos="0" relativeHeight="251659264" behindDoc="1" locked="0" layoutInCell="1" allowOverlap="1" wp14:anchorId="5204FD83" wp14:editId="493B5B45">
            <wp:simplePos x="0" y="0"/>
            <wp:positionH relativeFrom="margin">
              <wp:posOffset>-276022</wp:posOffset>
            </wp:positionH>
            <wp:positionV relativeFrom="paragraph">
              <wp:posOffset>106680</wp:posOffset>
            </wp:positionV>
            <wp:extent cx="2531745" cy="73342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174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4A18EB">
        <w:tab/>
      </w:r>
      <w:r w:rsidR="004A18EB">
        <w:tab/>
      </w:r>
      <w:r w:rsidR="004A18EB">
        <w:tab/>
      </w:r>
      <w:r w:rsidR="004A18EB">
        <w:tab/>
      </w:r>
      <w:r w:rsidR="004A18EB">
        <w:tab/>
      </w:r>
      <w:r w:rsidR="004A18EB">
        <w:tab/>
        <w:t xml:space="preserve">   </w:t>
      </w:r>
      <w:r w:rsidR="004A18EB">
        <w:tab/>
      </w:r>
    </w:p>
    <w:p w14:paraId="255C9481" w14:textId="726EDDD0" w:rsidR="004A18EB" w:rsidRDefault="004A18EB" w:rsidP="004A18EB">
      <w:pPr>
        <w:jc w:val="both"/>
      </w:pPr>
    </w:p>
    <w:p w14:paraId="6BB9CD16" w14:textId="5F253815" w:rsidR="004A18EB" w:rsidRDefault="004A18EB" w:rsidP="004A18EB">
      <w:pPr>
        <w:jc w:val="both"/>
      </w:pPr>
    </w:p>
    <w:p w14:paraId="51FDB5FC" w14:textId="1FB74C19" w:rsidR="004A18EB" w:rsidRDefault="004A18EB" w:rsidP="004A18EB">
      <w:pPr>
        <w:pStyle w:val="Signature"/>
        <w:spacing w:after="0" w:line="264" w:lineRule="auto"/>
      </w:pPr>
      <w:r>
        <w:t>Sviatoslav Rosov, PhD, CFA</w:t>
      </w:r>
      <w:r>
        <w:tab/>
      </w:r>
      <w:r>
        <w:tab/>
      </w:r>
      <w:r>
        <w:tab/>
      </w:r>
      <w:r>
        <w:tab/>
      </w:r>
      <w:r>
        <w:tab/>
      </w:r>
      <w:proofErr w:type="spellStart"/>
      <w:r w:rsidR="00FF7F94">
        <w:t>Josina</w:t>
      </w:r>
      <w:proofErr w:type="spellEnd"/>
      <w:r w:rsidR="00FF7F94">
        <w:t xml:space="preserve"> </w:t>
      </w:r>
      <w:proofErr w:type="spellStart"/>
      <w:r w:rsidR="00FF7F94">
        <w:t>Kamerling</w:t>
      </w:r>
      <w:proofErr w:type="spellEnd"/>
    </w:p>
    <w:p w14:paraId="0D3B5B18" w14:textId="2C2B799A" w:rsidR="004A18EB" w:rsidRDefault="00A20FE8" w:rsidP="004A18EB">
      <w:pPr>
        <w:spacing w:after="0"/>
      </w:pPr>
      <w:r>
        <w:t>Director</w:t>
      </w:r>
      <w:r w:rsidR="004A18EB">
        <w:t>, Capital Markets Policy, EMEA</w:t>
      </w:r>
      <w:r w:rsidR="004A18EB">
        <w:tab/>
      </w:r>
      <w:r w:rsidR="004A18EB">
        <w:tab/>
      </w:r>
      <w:r w:rsidR="004A18EB">
        <w:tab/>
      </w:r>
      <w:r w:rsidR="004A18EB">
        <w:tab/>
        <w:t xml:space="preserve">Head, </w:t>
      </w:r>
      <w:r w:rsidR="00BC5D30">
        <w:t>Regulatory Outreach</w:t>
      </w:r>
      <w:r w:rsidR="004A18EB">
        <w:t>, EMEA</w:t>
      </w:r>
    </w:p>
    <w:p w14:paraId="39225354" w14:textId="77777777" w:rsidR="004A18EB" w:rsidRPr="009960A2" w:rsidRDefault="004A18EB" w:rsidP="004A18EB">
      <w:pPr>
        <w:spacing w:after="0"/>
        <w:rPr>
          <w:lang w:val="it-IT"/>
        </w:rPr>
      </w:pPr>
      <w:r w:rsidRPr="009960A2">
        <w:rPr>
          <w:lang w:val="it-IT"/>
        </w:rPr>
        <w:t>CFA Institute</w:t>
      </w:r>
      <w:r w:rsidRPr="009960A2">
        <w:rPr>
          <w:lang w:val="it-IT"/>
        </w:rPr>
        <w:tab/>
      </w:r>
      <w:r w:rsidRPr="009960A2">
        <w:rPr>
          <w:lang w:val="it-IT"/>
        </w:rPr>
        <w:tab/>
      </w:r>
      <w:r w:rsidRPr="009960A2">
        <w:rPr>
          <w:lang w:val="it-IT"/>
        </w:rPr>
        <w:tab/>
      </w:r>
      <w:r w:rsidRPr="009960A2">
        <w:rPr>
          <w:lang w:val="it-IT"/>
        </w:rPr>
        <w:tab/>
      </w:r>
      <w:r w:rsidRPr="009960A2">
        <w:rPr>
          <w:lang w:val="it-IT"/>
        </w:rPr>
        <w:tab/>
      </w:r>
      <w:r w:rsidRPr="009960A2">
        <w:rPr>
          <w:lang w:val="it-IT"/>
        </w:rPr>
        <w:tab/>
      </w:r>
      <w:r w:rsidRPr="009960A2">
        <w:rPr>
          <w:lang w:val="it-IT"/>
        </w:rPr>
        <w:tab/>
        <w:t>CFA Institute</w:t>
      </w:r>
    </w:p>
    <w:p w14:paraId="74E38C6A" w14:textId="7FBA1BDF" w:rsidR="004A18EB" w:rsidRPr="009960A2" w:rsidRDefault="004A18EB" w:rsidP="004A18EB">
      <w:pPr>
        <w:spacing w:after="0"/>
        <w:rPr>
          <w:lang w:val="it-IT"/>
        </w:rPr>
      </w:pPr>
    </w:p>
    <w:p w14:paraId="588EA29C" w14:textId="0659E58C" w:rsidR="004A18EB" w:rsidRPr="009960A2" w:rsidRDefault="004A18EB" w:rsidP="004A18EB">
      <w:pPr>
        <w:spacing w:after="0"/>
        <w:rPr>
          <w:lang w:val="it-IT"/>
        </w:rPr>
      </w:pPr>
      <w:r w:rsidRPr="009960A2">
        <w:rPr>
          <w:lang w:val="it-IT"/>
        </w:rPr>
        <w:t>+44 20 7330 9558</w:t>
      </w:r>
      <w:r w:rsidRPr="009960A2">
        <w:rPr>
          <w:lang w:val="it-IT"/>
        </w:rPr>
        <w:tab/>
      </w:r>
      <w:r w:rsidRPr="009960A2">
        <w:rPr>
          <w:lang w:val="it-IT"/>
        </w:rPr>
        <w:tab/>
      </w:r>
      <w:r w:rsidRPr="009960A2">
        <w:rPr>
          <w:lang w:val="it-IT"/>
        </w:rPr>
        <w:tab/>
      </w:r>
      <w:r w:rsidRPr="009960A2">
        <w:rPr>
          <w:lang w:val="it-IT"/>
        </w:rPr>
        <w:tab/>
      </w:r>
      <w:r w:rsidRPr="009960A2">
        <w:rPr>
          <w:lang w:val="it-IT"/>
        </w:rPr>
        <w:tab/>
      </w:r>
      <w:r w:rsidRPr="009960A2">
        <w:rPr>
          <w:lang w:val="it-IT"/>
        </w:rPr>
        <w:tab/>
        <w:t>+</w:t>
      </w:r>
      <w:r w:rsidR="009F3EC1">
        <w:rPr>
          <w:lang w:val="it-IT"/>
        </w:rPr>
        <w:t>32</w:t>
      </w:r>
      <w:r w:rsidRPr="009960A2">
        <w:rPr>
          <w:lang w:val="it-IT"/>
        </w:rPr>
        <w:t xml:space="preserve"> </w:t>
      </w:r>
      <w:r w:rsidR="0049178F">
        <w:rPr>
          <w:lang w:val="it-IT"/>
        </w:rPr>
        <w:t>2 207</w:t>
      </w:r>
      <w:r w:rsidRPr="009960A2">
        <w:rPr>
          <w:lang w:val="it-IT"/>
        </w:rPr>
        <w:t xml:space="preserve"> </w:t>
      </w:r>
      <w:r w:rsidR="0049178F">
        <w:rPr>
          <w:lang w:val="it-IT"/>
        </w:rPr>
        <w:t>1212</w:t>
      </w:r>
    </w:p>
    <w:p w14:paraId="4EB2E947" w14:textId="793DE0EA" w:rsidR="00D27D95" w:rsidRDefault="00685825" w:rsidP="00F50508">
      <w:pPr>
        <w:rPr>
          <w:lang w:val="it-IT"/>
        </w:rPr>
      </w:pPr>
      <w:hyperlink r:id="rId13" w:history="1">
        <w:r w:rsidR="004A18EB" w:rsidRPr="009960A2">
          <w:rPr>
            <w:rStyle w:val="Hyperlink"/>
            <w:lang w:val="it-IT"/>
          </w:rPr>
          <w:t>sviatoslav.rosov@cfainstitute.org</w:t>
        </w:r>
      </w:hyperlink>
      <w:r w:rsidR="004A18EB" w:rsidRPr="009960A2">
        <w:rPr>
          <w:lang w:val="it-IT"/>
        </w:rPr>
        <w:t xml:space="preserve"> </w:t>
      </w:r>
      <w:r w:rsidR="004A18EB" w:rsidRPr="009960A2">
        <w:rPr>
          <w:lang w:val="it-IT"/>
        </w:rPr>
        <w:tab/>
      </w:r>
      <w:r w:rsidR="004A18EB" w:rsidRPr="009960A2">
        <w:rPr>
          <w:lang w:val="it-IT"/>
        </w:rPr>
        <w:tab/>
      </w:r>
      <w:r w:rsidR="004A18EB" w:rsidRPr="009960A2">
        <w:rPr>
          <w:lang w:val="it-IT"/>
        </w:rPr>
        <w:tab/>
      </w:r>
      <w:r w:rsidR="004A18EB" w:rsidRPr="009960A2">
        <w:rPr>
          <w:lang w:val="it-IT"/>
        </w:rPr>
        <w:tab/>
      </w:r>
      <w:hyperlink r:id="rId14" w:history="1">
        <w:r w:rsidR="00BC5D30">
          <w:rPr>
            <w:rStyle w:val="Hyperlink"/>
            <w:lang w:val="it-IT"/>
          </w:rPr>
          <w:t>josina.kamerling@cfainstitute.org</w:t>
        </w:r>
      </w:hyperlink>
      <w:r w:rsidR="004A18EB" w:rsidRPr="009960A2">
        <w:rPr>
          <w:lang w:val="it-IT"/>
        </w:rPr>
        <w:t xml:space="preserve"> </w:t>
      </w:r>
    </w:p>
    <w:p w14:paraId="3EFC60F2" w14:textId="194D1721" w:rsidR="00D45535" w:rsidRDefault="00D45535" w:rsidP="00F50508">
      <w:pPr>
        <w:rPr>
          <w:lang w:val="it-IT"/>
        </w:rPr>
      </w:pPr>
    </w:p>
    <w:p w14:paraId="2C59B22B" w14:textId="1A2A0BFC" w:rsidR="00D45535" w:rsidRPr="009960A2" w:rsidRDefault="00D45535" w:rsidP="00F50508">
      <w:pPr>
        <w:rPr>
          <w:lang w:val="it-IT"/>
        </w:rPr>
      </w:pPr>
    </w:p>
    <w:sectPr w:rsidR="00D45535" w:rsidRPr="009960A2" w:rsidSect="006E39AE">
      <w:headerReference w:type="default" r:id="rId15"/>
      <w:footerReference w:type="default" r:id="rId16"/>
      <w:headerReference w:type="first" r:id="rId17"/>
      <w:pgSz w:w="11907" w:h="16839"/>
      <w:pgMar w:top="288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5A6CA" w14:textId="77777777" w:rsidR="00685825" w:rsidRDefault="00685825" w:rsidP="00626081">
      <w:pPr>
        <w:spacing w:after="0" w:line="240" w:lineRule="auto"/>
      </w:pPr>
      <w:r>
        <w:separator/>
      </w:r>
    </w:p>
  </w:endnote>
  <w:endnote w:type="continuationSeparator" w:id="0">
    <w:p w14:paraId="2DB9188F" w14:textId="77777777" w:rsidR="00685825" w:rsidRDefault="00685825" w:rsidP="00626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3804163"/>
      <w:docPartObj>
        <w:docPartGallery w:val="Page Numbers (Bottom of Page)"/>
        <w:docPartUnique/>
      </w:docPartObj>
    </w:sdtPr>
    <w:sdtEndPr>
      <w:rPr>
        <w:noProof/>
      </w:rPr>
    </w:sdtEndPr>
    <w:sdtContent>
      <w:p w14:paraId="17F279E2" w14:textId="2B1B6D11" w:rsidR="0065054C" w:rsidRDefault="0065054C">
        <w:pPr>
          <w:pStyle w:val="Footer"/>
          <w:jc w:val="right"/>
        </w:pPr>
        <w:r>
          <w:fldChar w:fldCharType="begin"/>
        </w:r>
        <w:r>
          <w:instrText xml:space="preserve"> PAGE   \* MERGEFORMAT </w:instrText>
        </w:r>
        <w:r>
          <w:fldChar w:fldCharType="separate"/>
        </w:r>
        <w:r w:rsidR="00D30A34">
          <w:rPr>
            <w:noProof/>
          </w:rPr>
          <w:t>2</w:t>
        </w:r>
        <w:r>
          <w:rPr>
            <w:noProof/>
          </w:rPr>
          <w:fldChar w:fldCharType="end"/>
        </w:r>
      </w:p>
    </w:sdtContent>
  </w:sdt>
  <w:p w14:paraId="4C3AA1ED" w14:textId="77777777" w:rsidR="0065054C" w:rsidRDefault="00650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99172" w14:textId="77777777" w:rsidR="00685825" w:rsidRDefault="00685825" w:rsidP="00626081">
      <w:pPr>
        <w:spacing w:after="0" w:line="240" w:lineRule="auto"/>
      </w:pPr>
      <w:r>
        <w:separator/>
      </w:r>
    </w:p>
  </w:footnote>
  <w:footnote w:type="continuationSeparator" w:id="0">
    <w:p w14:paraId="6A69C319" w14:textId="77777777" w:rsidR="00685825" w:rsidRDefault="00685825" w:rsidP="00626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C8027" w14:textId="77777777" w:rsidR="0065054C" w:rsidRDefault="0065054C">
    <w:pPr>
      <w:pStyle w:val="Header"/>
    </w:pPr>
    <w:r>
      <w:rPr>
        <w:noProof/>
        <w:lang w:val="it-IT" w:eastAsia="it-IT"/>
      </w:rPr>
      <w:drawing>
        <wp:inline distT="0" distB="0" distL="0" distR="0" wp14:anchorId="2A26E79D" wp14:editId="319049ED">
          <wp:extent cx="2133604" cy="460249"/>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A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3604" cy="46024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4752B" w14:textId="06B96CA0" w:rsidR="0065054C" w:rsidRPr="006E39AE" w:rsidRDefault="00DA722E" w:rsidP="006E39AE">
    <w:pPr>
      <w:pStyle w:val="Header"/>
    </w:pPr>
    <w:r>
      <w:rPr>
        <w:noProof/>
        <w:lang w:val="it-IT" w:eastAsia="it-IT"/>
      </w:rPr>
      <w:drawing>
        <wp:inline distT="0" distB="0" distL="0" distR="0" wp14:anchorId="68F75924" wp14:editId="70A1341E">
          <wp:extent cx="5730875" cy="62801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6280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74C091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99A02BA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F718B4"/>
    <w:multiLevelType w:val="hybridMultilevel"/>
    <w:tmpl w:val="CC1CE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4600A5"/>
    <w:multiLevelType w:val="hybridMultilevel"/>
    <w:tmpl w:val="DF902FB0"/>
    <w:lvl w:ilvl="0" w:tplc="3FA85D26">
      <w:numFmt w:val="bullet"/>
      <w:lvlText w:val="-"/>
      <w:lvlJc w:val="left"/>
      <w:pPr>
        <w:ind w:left="1080" w:hanging="360"/>
      </w:pPr>
      <w:rPr>
        <w:rFonts w:ascii="Calibri" w:eastAsiaTheme="minorHAnsi" w:hAnsi="Calibri"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8153F0E"/>
    <w:multiLevelType w:val="hybridMultilevel"/>
    <w:tmpl w:val="A8BA74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786DF5"/>
    <w:multiLevelType w:val="hybridMultilevel"/>
    <w:tmpl w:val="2F008A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607AF0"/>
    <w:multiLevelType w:val="hybridMultilevel"/>
    <w:tmpl w:val="32E02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B67E9C"/>
    <w:multiLevelType w:val="hybridMultilevel"/>
    <w:tmpl w:val="E54AF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7F5FD4"/>
    <w:multiLevelType w:val="hybridMultilevel"/>
    <w:tmpl w:val="8FFC6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477215"/>
    <w:multiLevelType w:val="multilevel"/>
    <w:tmpl w:val="CB506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8C38D1"/>
    <w:multiLevelType w:val="hybridMultilevel"/>
    <w:tmpl w:val="C0E4993E"/>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65B3305"/>
    <w:multiLevelType w:val="hybridMultilevel"/>
    <w:tmpl w:val="F7E80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7206B2"/>
    <w:multiLevelType w:val="hybridMultilevel"/>
    <w:tmpl w:val="A75871D0"/>
    <w:lvl w:ilvl="0" w:tplc="C040EFF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E67381"/>
    <w:multiLevelType w:val="hybridMultilevel"/>
    <w:tmpl w:val="CF966A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AA476F"/>
    <w:multiLevelType w:val="multilevel"/>
    <w:tmpl w:val="73D89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C428B8"/>
    <w:multiLevelType w:val="hybridMultilevel"/>
    <w:tmpl w:val="F61C5BCA"/>
    <w:lvl w:ilvl="0" w:tplc="3154ECD4">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16C08"/>
    <w:multiLevelType w:val="hybridMultilevel"/>
    <w:tmpl w:val="0934707C"/>
    <w:lvl w:ilvl="0" w:tplc="C5C462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4E7495"/>
    <w:multiLevelType w:val="hybridMultilevel"/>
    <w:tmpl w:val="E32804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06D2EA6"/>
    <w:multiLevelType w:val="hybridMultilevel"/>
    <w:tmpl w:val="CAF81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D4230B"/>
    <w:multiLevelType w:val="hybridMultilevel"/>
    <w:tmpl w:val="04B4B1E0"/>
    <w:lvl w:ilvl="0" w:tplc="D4B824A4">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504AF8"/>
    <w:multiLevelType w:val="hybridMultilevel"/>
    <w:tmpl w:val="814EFAA2"/>
    <w:lvl w:ilvl="0" w:tplc="947CE8F4">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5139C6"/>
    <w:multiLevelType w:val="hybridMultilevel"/>
    <w:tmpl w:val="1A76A8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9A43762"/>
    <w:multiLevelType w:val="hybridMultilevel"/>
    <w:tmpl w:val="58400D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BF766ED"/>
    <w:multiLevelType w:val="hybridMultilevel"/>
    <w:tmpl w:val="CA10420C"/>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CED1F6F"/>
    <w:multiLevelType w:val="hybridMultilevel"/>
    <w:tmpl w:val="5A004784"/>
    <w:lvl w:ilvl="0" w:tplc="5CF21F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C71D16"/>
    <w:multiLevelType w:val="hybridMultilevel"/>
    <w:tmpl w:val="1F20772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336EE3"/>
    <w:multiLevelType w:val="hybridMultilevel"/>
    <w:tmpl w:val="86C23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E6527A"/>
    <w:multiLevelType w:val="hybridMultilevel"/>
    <w:tmpl w:val="F28680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F32A90"/>
    <w:multiLevelType w:val="hybridMultilevel"/>
    <w:tmpl w:val="35DE1616"/>
    <w:lvl w:ilvl="0" w:tplc="08090001">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8"/>
  </w:num>
  <w:num w:numId="4">
    <w:abstractNumId w:val="21"/>
  </w:num>
  <w:num w:numId="5">
    <w:abstractNumId w:val="17"/>
  </w:num>
  <w:num w:numId="6">
    <w:abstractNumId w:val="4"/>
  </w:num>
  <w:num w:numId="7">
    <w:abstractNumId w:val="5"/>
  </w:num>
  <w:num w:numId="8">
    <w:abstractNumId w:val="26"/>
  </w:num>
  <w:num w:numId="9">
    <w:abstractNumId w:val="14"/>
  </w:num>
  <w:num w:numId="10">
    <w:abstractNumId w:val="19"/>
  </w:num>
  <w:num w:numId="11">
    <w:abstractNumId w:val="6"/>
  </w:num>
  <w:num w:numId="12">
    <w:abstractNumId w:val="22"/>
  </w:num>
  <w:num w:numId="13">
    <w:abstractNumId w:val="11"/>
  </w:num>
  <w:num w:numId="14">
    <w:abstractNumId w:val="18"/>
  </w:num>
  <w:num w:numId="15">
    <w:abstractNumId w:val="2"/>
  </w:num>
  <w:num w:numId="16">
    <w:abstractNumId w:val="28"/>
  </w:num>
  <w:num w:numId="17">
    <w:abstractNumId w:val="13"/>
  </w:num>
  <w:num w:numId="18">
    <w:abstractNumId w:val="16"/>
  </w:num>
  <w:num w:numId="19">
    <w:abstractNumId w:val="10"/>
  </w:num>
  <w:num w:numId="20">
    <w:abstractNumId w:val="25"/>
  </w:num>
  <w:num w:numId="21">
    <w:abstractNumId w:val="20"/>
  </w:num>
  <w:num w:numId="22">
    <w:abstractNumId w:val="12"/>
  </w:num>
  <w:num w:numId="23">
    <w:abstractNumId w:val="7"/>
  </w:num>
  <w:num w:numId="24">
    <w:abstractNumId w:val="27"/>
  </w:num>
  <w:num w:numId="25">
    <w:abstractNumId w:val="3"/>
  </w:num>
  <w:num w:numId="26">
    <w:abstractNumId w:val="15"/>
  </w:num>
  <w:num w:numId="27">
    <w:abstractNumId w:val="23"/>
  </w:num>
  <w:num w:numId="28">
    <w:abstractNumId w:val="9"/>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9AE"/>
    <w:rsid w:val="00000EF9"/>
    <w:rsid w:val="000067C0"/>
    <w:rsid w:val="000070D5"/>
    <w:rsid w:val="000072E3"/>
    <w:rsid w:val="000079F7"/>
    <w:rsid w:val="00007C5E"/>
    <w:rsid w:val="00010989"/>
    <w:rsid w:val="00010C01"/>
    <w:rsid w:val="000114B2"/>
    <w:rsid w:val="00017530"/>
    <w:rsid w:val="00020E3D"/>
    <w:rsid w:val="00023966"/>
    <w:rsid w:val="000266E3"/>
    <w:rsid w:val="000271AA"/>
    <w:rsid w:val="0002723C"/>
    <w:rsid w:val="0002775F"/>
    <w:rsid w:val="00027CA1"/>
    <w:rsid w:val="00031209"/>
    <w:rsid w:val="000335DD"/>
    <w:rsid w:val="00034711"/>
    <w:rsid w:val="000347A8"/>
    <w:rsid w:val="00036195"/>
    <w:rsid w:val="00043A8A"/>
    <w:rsid w:val="00046851"/>
    <w:rsid w:val="0005241A"/>
    <w:rsid w:val="00052DB9"/>
    <w:rsid w:val="00056871"/>
    <w:rsid w:val="00057F14"/>
    <w:rsid w:val="00061911"/>
    <w:rsid w:val="000660FB"/>
    <w:rsid w:val="00067B24"/>
    <w:rsid w:val="0007351C"/>
    <w:rsid w:val="0007361E"/>
    <w:rsid w:val="000763E0"/>
    <w:rsid w:val="00076B53"/>
    <w:rsid w:val="00077581"/>
    <w:rsid w:val="0008408C"/>
    <w:rsid w:val="00090CC2"/>
    <w:rsid w:val="00095FFA"/>
    <w:rsid w:val="00097544"/>
    <w:rsid w:val="000A32A1"/>
    <w:rsid w:val="000A6BCF"/>
    <w:rsid w:val="000B1661"/>
    <w:rsid w:val="000B2156"/>
    <w:rsid w:val="000B2224"/>
    <w:rsid w:val="000B5293"/>
    <w:rsid w:val="000B6E3B"/>
    <w:rsid w:val="000C19C4"/>
    <w:rsid w:val="000C630E"/>
    <w:rsid w:val="000C66AA"/>
    <w:rsid w:val="000C7D68"/>
    <w:rsid w:val="000D2835"/>
    <w:rsid w:val="000D4204"/>
    <w:rsid w:val="000D48D6"/>
    <w:rsid w:val="000E1DE3"/>
    <w:rsid w:val="000E2467"/>
    <w:rsid w:val="000E3097"/>
    <w:rsid w:val="000E356D"/>
    <w:rsid w:val="000E5570"/>
    <w:rsid w:val="000F53DD"/>
    <w:rsid w:val="000F6634"/>
    <w:rsid w:val="000F7664"/>
    <w:rsid w:val="00100A9E"/>
    <w:rsid w:val="00101134"/>
    <w:rsid w:val="00103A51"/>
    <w:rsid w:val="00105996"/>
    <w:rsid w:val="001079A1"/>
    <w:rsid w:val="0011467E"/>
    <w:rsid w:val="00115995"/>
    <w:rsid w:val="00116980"/>
    <w:rsid w:val="00124FD1"/>
    <w:rsid w:val="00127510"/>
    <w:rsid w:val="001308C2"/>
    <w:rsid w:val="00130C9A"/>
    <w:rsid w:val="00132571"/>
    <w:rsid w:val="00132FCC"/>
    <w:rsid w:val="0013657C"/>
    <w:rsid w:val="0014238A"/>
    <w:rsid w:val="0014341E"/>
    <w:rsid w:val="00144034"/>
    <w:rsid w:val="00144815"/>
    <w:rsid w:val="0014532C"/>
    <w:rsid w:val="001453C7"/>
    <w:rsid w:val="0014551A"/>
    <w:rsid w:val="0014593B"/>
    <w:rsid w:val="001478B3"/>
    <w:rsid w:val="00152046"/>
    <w:rsid w:val="00153B5F"/>
    <w:rsid w:val="00154E50"/>
    <w:rsid w:val="00156F2F"/>
    <w:rsid w:val="00161748"/>
    <w:rsid w:val="00161884"/>
    <w:rsid w:val="001667C5"/>
    <w:rsid w:val="00173425"/>
    <w:rsid w:val="00177C49"/>
    <w:rsid w:val="00180FD7"/>
    <w:rsid w:val="0018195D"/>
    <w:rsid w:val="001838CA"/>
    <w:rsid w:val="00183C25"/>
    <w:rsid w:val="00184466"/>
    <w:rsid w:val="00184FFC"/>
    <w:rsid w:val="00187874"/>
    <w:rsid w:val="00194371"/>
    <w:rsid w:val="0019493F"/>
    <w:rsid w:val="00196074"/>
    <w:rsid w:val="0019676E"/>
    <w:rsid w:val="001A3A57"/>
    <w:rsid w:val="001A3E44"/>
    <w:rsid w:val="001A612A"/>
    <w:rsid w:val="001A61E0"/>
    <w:rsid w:val="001B2F71"/>
    <w:rsid w:val="001B43FD"/>
    <w:rsid w:val="001B4996"/>
    <w:rsid w:val="001B4CA5"/>
    <w:rsid w:val="001C175C"/>
    <w:rsid w:val="001C33A7"/>
    <w:rsid w:val="001C46B9"/>
    <w:rsid w:val="001C4D05"/>
    <w:rsid w:val="001D3806"/>
    <w:rsid w:val="001D4F32"/>
    <w:rsid w:val="001D57CF"/>
    <w:rsid w:val="001D7BD0"/>
    <w:rsid w:val="001E21F0"/>
    <w:rsid w:val="001E2E26"/>
    <w:rsid w:val="001E3E96"/>
    <w:rsid w:val="001E44F5"/>
    <w:rsid w:val="001E4522"/>
    <w:rsid w:val="001E6434"/>
    <w:rsid w:val="001E7271"/>
    <w:rsid w:val="001E79B4"/>
    <w:rsid w:val="001F01A4"/>
    <w:rsid w:val="001F1078"/>
    <w:rsid w:val="001F2559"/>
    <w:rsid w:val="001F74B8"/>
    <w:rsid w:val="001F74F6"/>
    <w:rsid w:val="00203BB2"/>
    <w:rsid w:val="0020776F"/>
    <w:rsid w:val="00207867"/>
    <w:rsid w:val="00214D40"/>
    <w:rsid w:val="0022116A"/>
    <w:rsid w:val="00221831"/>
    <w:rsid w:val="002260A1"/>
    <w:rsid w:val="002323A7"/>
    <w:rsid w:val="002331E0"/>
    <w:rsid w:val="00235C78"/>
    <w:rsid w:val="00235D43"/>
    <w:rsid w:val="0023696C"/>
    <w:rsid w:val="00240705"/>
    <w:rsid w:val="00240D01"/>
    <w:rsid w:val="002429A7"/>
    <w:rsid w:val="002429BF"/>
    <w:rsid w:val="00243B23"/>
    <w:rsid w:val="00244DDE"/>
    <w:rsid w:val="002455A4"/>
    <w:rsid w:val="002461E0"/>
    <w:rsid w:val="00250930"/>
    <w:rsid w:val="0025182D"/>
    <w:rsid w:val="00253669"/>
    <w:rsid w:val="00260410"/>
    <w:rsid w:val="0026110F"/>
    <w:rsid w:val="0026130B"/>
    <w:rsid w:val="002630A0"/>
    <w:rsid w:val="002658AF"/>
    <w:rsid w:val="0027472E"/>
    <w:rsid w:val="0027590B"/>
    <w:rsid w:val="00276484"/>
    <w:rsid w:val="00276AC5"/>
    <w:rsid w:val="00284327"/>
    <w:rsid w:val="0028695E"/>
    <w:rsid w:val="00286F66"/>
    <w:rsid w:val="00287A33"/>
    <w:rsid w:val="00287ED5"/>
    <w:rsid w:val="0029102B"/>
    <w:rsid w:val="0029200C"/>
    <w:rsid w:val="00293D21"/>
    <w:rsid w:val="002A14BC"/>
    <w:rsid w:val="002A2B39"/>
    <w:rsid w:val="002A2FFC"/>
    <w:rsid w:val="002B202F"/>
    <w:rsid w:val="002B3103"/>
    <w:rsid w:val="002B325D"/>
    <w:rsid w:val="002B45BA"/>
    <w:rsid w:val="002B49D6"/>
    <w:rsid w:val="002B733A"/>
    <w:rsid w:val="002C0F2A"/>
    <w:rsid w:val="002C1C8A"/>
    <w:rsid w:val="002C1F83"/>
    <w:rsid w:val="002C28C6"/>
    <w:rsid w:val="002C2E9A"/>
    <w:rsid w:val="002C3C1F"/>
    <w:rsid w:val="002C54FD"/>
    <w:rsid w:val="002C6BF1"/>
    <w:rsid w:val="002C744D"/>
    <w:rsid w:val="002D328C"/>
    <w:rsid w:val="002D3E67"/>
    <w:rsid w:val="002D4734"/>
    <w:rsid w:val="002D4F66"/>
    <w:rsid w:val="002D7580"/>
    <w:rsid w:val="002E1D31"/>
    <w:rsid w:val="002E2A2F"/>
    <w:rsid w:val="002E362F"/>
    <w:rsid w:val="002E53B2"/>
    <w:rsid w:val="002F04D4"/>
    <w:rsid w:val="002F39DD"/>
    <w:rsid w:val="002F493F"/>
    <w:rsid w:val="002F504B"/>
    <w:rsid w:val="00300431"/>
    <w:rsid w:val="00301DC8"/>
    <w:rsid w:val="00302478"/>
    <w:rsid w:val="00304A65"/>
    <w:rsid w:val="003052EF"/>
    <w:rsid w:val="0030587A"/>
    <w:rsid w:val="00305DB1"/>
    <w:rsid w:val="00314081"/>
    <w:rsid w:val="00315E12"/>
    <w:rsid w:val="00320F15"/>
    <w:rsid w:val="00322A8D"/>
    <w:rsid w:val="00323172"/>
    <w:rsid w:val="0032350D"/>
    <w:rsid w:val="00324478"/>
    <w:rsid w:val="00326532"/>
    <w:rsid w:val="003304C2"/>
    <w:rsid w:val="003321C1"/>
    <w:rsid w:val="00340ECE"/>
    <w:rsid w:val="00343F65"/>
    <w:rsid w:val="00351B18"/>
    <w:rsid w:val="00355698"/>
    <w:rsid w:val="0035729C"/>
    <w:rsid w:val="00357925"/>
    <w:rsid w:val="00360417"/>
    <w:rsid w:val="003607C8"/>
    <w:rsid w:val="00361FA6"/>
    <w:rsid w:val="0036572E"/>
    <w:rsid w:val="0036666F"/>
    <w:rsid w:val="00371612"/>
    <w:rsid w:val="00374019"/>
    <w:rsid w:val="00380AB0"/>
    <w:rsid w:val="003836C2"/>
    <w:rsid w:val="00387C1A"/>
    <w:rsid w:val="003902BF"/>
    <w:rsid w:val="003926F6"/>
    <w:rsid w:val="00393455"/>
    <w:rsid w:val="00395615"/>
    <w:rsid w:val="003964CB"/>
    <w:rsid w:val="003965FF"/>
    <w:rsid w:val="003A191F"/>
    <w:rsid w:val="003A1BEF"/>
    <w:rsid w:val="003A1D42"/>
    <w:rsid w:val="003A6051"/>
    <w:rsid w:val="003A7FD5"/>
    <w:rsid w:val="003B0421"/>
    <w:rsid w:val="003B3621"/>
    <w:rsid w:val="003B3B0F"/>
    <w:rsid w:val="003B4984"/>
    <w:rsid w:val="003B4C12"/>
    <w:rsid w:val="003B4DB7"/>
    <w:rsid w:val="003B6202"/>
    <w:rsid w:val="003B6823"/>
    <w:rsid w:val="003C1677"/>
    <w:rsid w:val="003C2837"/>
    <w:rsid w:val="003C41C7"/>
    <w:rsid w:val="003C48C8"/>
    <w:rsid w:val="003D0D1F"/>
    <w:rsid w:val="003D0D2D"/>
    <w:rsid w:val="003D1EF2"/>
    <w:rsid w:val="003D39E9"/>
    <w:rsid w:val="003D4386"/>
    <w:rsid w:val="003D6FA0"/>
    <w:rsid w:val="003E3003"/>
    <w:rsid w:val="003E3285"/>
    <w:rsid w:val="003E4E6C"/>
    <w:rsid w:val="003F0AE3"/>
    <w:rsid w:val="003F248F"/>
    <w:rsid w:val="003F3B06"/>
    <w:rsid w:val="003F488A"/>
    <w:rsid w:val="00405BE8"/>
    <w:rsid w:val="00410E40"/>
    <w:rsid w:val="00414457"/>
    <w:rsid w:val="004157A9"/>
    <w:rsid w:val="00431C03"/>
    <w:rsid w:val="00431E55"/>
    <w:rsid w:val="0043452B"/>
    <w:rsid w:val="004347EC"/>
    <w:rsid w:val="0045335D"/>
    <w:rsid w:val="00454A1A"/>
    <w:rsid w:val="0045674A"/>
    <w:rsid w:val="00456A1D"/>
    <w:rsid w:val="00461953"/>
    <w:rsid w:val="00467902"/>
    <w:rsid w:val="004701CF"/>
    <w:rsid w:val="004711CB"/>
    <w:rsid w:val="004728BC"/>
    <w:rsid w:val="004739BD"/>
    <w:rsid w:val="00474F31"/>
    <w:rsid w:val="00475F19"/>
    <w:rsid w:val="004808DA"/>
    <w:rsid w:val="0048228B"/>
    <w:rsid w:val="0048280B"/>
    <w:rsid w:val="00490807"/>
    <w:rsid w:val="0049178F"/>
    <w:rsid w:val="00493866"/>
    <w:rsid w:val="00496F86"/>
    <w:rsid w:val="004A017D"/>
    <w:rsid w:val="004A09F5"/>
    <w:rsid w:val="004A18EB"/>
    <w:rsid w:val="004A42C0"/>
    <w:rsid w:val="004A4D99"/>
    <w:rsid w:val="004A57DC"/>
    <w:rsid w:val="004A60EC"/>
    <w:rsid w:val="004B3BE8"/>
    <w:rsid w:val="004B4EDB"/>
    <w:rsid w:val="004C0566"/>
    <w:rsid w:val="004C2C27"/>
    <w:rsid w:val="004D2AD7"/>
    <w:rsid w:val="004D35B4"/>
    <w:rsid w:val="004D3B01"/>
    <w:rsid w:val="004D5F9C"/>
    <w:rsid w:val="004D6680"/>
    <w:rsid w:val="004F0415"/>
    <w:rsid w:val="004F2495"/>
    <w:rsid w:val="004F2630"/>
    <w:rsid w:val="004F6478"/>
    <w:rsid w:val="004F65B0"/>
    <w:rsid w:val="004F7290"/>
    <w:rsid w:val="004F7374"/>
    <w:rsid w:val="005039C4"/>
    <w:rsid w:val="005151F6"/>
    <w:rsid w:val="00517F6B"/>
    <w:rsid w:val="00520FB3"/>
    <w:rsid w:val="00521122"/>
    <w:rsid w:val="00521B16"/>
    <w:rsid w:val="00522074"/>
    <w:rsid w:val="00522A78"/>
    <w:rsid w:val="00522E5B"/>
    <w:rsid w:val="00524223"/>
    <w:rsid w:val="0052587B"/>
    <w:rsid w:val="005276BB"/>
    <w:rsid w:val="005312A2"/>
    <w:rsid w:val="005322EF"/>
    <w:rsid w:val="0053652D"/>
    <w:rsid w:val="00540F50"/>
    <w:rsid w:val="00553BC6"/>
    <w:rsid w:val="00554094"/>
    <w:rsid w:val="00556D4D"/>
    <w:rsid w:val="005573D2"/>
    <w:rsid w:val="005657F0"/>
    <w:rsid w:val="00565CB0"/>
    <w:rsid w:val="005670A2"/>
    <w:rsid w:val="00573FEB"/>
    <w:rsid w:val="005743A2"/>
    <w:rsid w:val="00587BFA"/>
    <w:rsid w:val="005949FB"/>
    <w:rsid w:val="00595A86"/>
    <w:rsid w:val="00596BB7"/>
    <w:rsid w:val="00597A2A"/>
    <w:rsid w:val="005A111B"/>
    <w:rsid w:val="005A188B"/>
    <w:rsid w:val="005A20AE"/>
    <w:rsid w:val="005A3CB8"/>
    <w:rsid w:val="005A3ECF"/>
    <w:rsid w:val="005A3F9E"/>
    <w:rsid w:val="005A4EDC"/>
    <w:rsid w:val="005A61EB"/>
    <w:rsid w:val="005A65A3"/>
    <w:rsid w:val="005B38D5"/>
    <w:rsid w:val="005B45C0"/>
    <w:rsid w:val="005B5004"/>
    <w:rsid w:val="005B76C2"/>
    <w:rsid w:val="005C2E97"/>
    <w:rsid w:val="005C61D4"/>
    <w:rsid w:val="005C6BF1"/>
    <w:rsid w:val="005D261D"/>
    <w:rsid w:val="005D31D5"/>
    <w:rsid w:val="005D3DAF"/>
    <w:rsid w:val="005D53FC"/>
    <w:rsid w:val="005D5988"/>
    <w:rsid w:val="005D5D60"/>
    <w:rsid w:val="005D6F48"/>
    <w:rsid w:val="005E096F"/>
    <w:rsid w:val="005E30DD"/>
    <w:rsid w:val="005F1A78"/>
    <w:rsid w:val="005F3343"/>
    <w:rsid w:val="005F5B63"/>
    <w:rsid w:val="0060273B"/>
    <w:rsid w:val="00603231"/>
    <w:rsid w:val="006041B8"/>
    <w:rsid w:val="00606B17"/>
    <w:rsid w:val="006147B8"/>
    <w:rsid w:val="006150A3"/>
    <w:rsid w:val="006175CC"/>
    <w:rsid w:val="00622188"/>
    <w:rsid w:val="00623B49"/>
    <w:rsid w:val="00624E03"/>
    <w:rsid w:val="00626081"/>
    <w:rsid w:val="00626284"/>
    <w:rsid w:val="006273F8"/>
    <w:rsid w:val="00635E23"/>
    <w:rsid w:val="00637B6A"/>
    <w:rsid w:val="006424AF"/>
    <w:rsid w:val="006426B4"/>
    <w:rsid w:val="00642744"/>
    <w:rsid w:val="00642E65"/>
    <w:rsid w:val="006446FA"/>
    <w:rsid w:val="00646B01"/>
    <w:rsid w:val="00646E5B"/>
    <w:rsid w:val="0064758A"/>
    <w:rsid w:val="0065054C"/>
    <w:rsid w:val="00651403"/>
    <w:rsid w:val="0065256A"/>
    <w:rsid w:val="00653D5E"/>
    <w:rsid w:val="0066372F"/>
    <w:rsid w:val="00666366"/>
    <w:rsid w:val="006672B1"/>
    <w:rsid w:val="00671B13"/>
    <w:rsid w:val="0067500F"/>
    <w:rsid w:val="00676415"/>
    <w:rsid w:val="0067714D"/>
    <w:rsid w:val="00681B04"/>
    <w:rsid w:val="00684F24"/>
    <w:rsid w:val="00685825"/>
    <w:rsid w:val="00686049"/>
    <w:rsid w:val="00687FC9"/>
    <w:rsid w:val="0069124F"/>
    <w:rsid w:val="00691A60"/>
    <w:rsid w:val="00692A51"/>
    <w:rsid w:val="00692F36"/>
    <w:rsid w:val="00695463"/>
    <w:rsid w:val="00696D2D"/>
    <w:rsid w:val="006978E9"/>
    <w:rsid w:val="006A7162"/>
    <w:rsid w:val="006B12E4"/>
    <w:rsid w:val="006B3776"/>
    <w:rsid w:val="006B5E2E"/>
    <w:rsid w:val="006B6E23"/>
    <w:rsid w:val="006B6E2B"/>
    <w:rsid w:val="006C529D"/>
    <w:rsid w:val="006E041B"/>
    <w:rsid w:val="006E28D5"/>
    <w:rsid w:val="006E32FC"/>
    <w:rsid w:val="006E368F"/>
    <w:rsid w:val="006E39AE"/>
    <w:rsid w:val="006E6EF1"/>
    <w:rsid w:val="006F06A1"/>
    <w:rsid w:val="006F0BC9"/>
    <w:rsid w:val="006F27DA"/>
    <w:rsid w:val="006F5A2B"/>
    <w:rsid w:val="006F7B92"/>
    <w:rsid w:val="006F7F8A"/>
    <w:rsid w:val="0070287B"/>
    <w:rsid w:val="00702B6D"/>
    <w:rsid w:val="00703966"/>
    <w:rsid w:val="007055C4"/>
    <w:rsid w:val="0071127E"/>
    <w:rsid w:val="00712FCE"/>
    <w:rsid w:val="00713309"/>
    <w:rsid w:val="00717959"/>
    <w:rsid w:val="00731059"/>
    <w:rsid w:val="00731F29"/>
    <w:rsid w:val="00732BC9"/>
    <w:rsid w:val="00733732"/>
    <w:rsid w:val="00735C16"/>
    <w:rsid w:val="007371B6"/>
    <w:rsid w:val="007409A1"/>
    <w:rsid w:val="00742B90"/>
    <w:rsid w:val="00743DC0"/>
    <w:rsid w:val="00745C75"/>
    <w:rsid w:val="00747E80"/>
    <w:rsid w:val="00750BD1"/>
    <w:rsid w:val="00751578"/>
    <w:rsid w:val="007554BB"/>
    <w:rsid w:val="007562E2"/>
    <w:rsid w:val="00757892"/>
    <w:rsid w:val="007635E0"/>
    <w:rsid w:val="00767949"/>
    <w:rsid w:val="00770BD7"/>
    <w:rsid w:val="00771235"/>
    <w:rsid w:val="007761CD"/>
    <w:rsid w:val="007768ED"/>
    <w:rsid w:val="00782856"/>
    <w:rsid w:val="0078423F"/>
    <w:rsid w:val="00792288"/>
    <w:rsid w:val="00794D33"/>
    <w:rsid w:val="007951C5"/>
    <w:rsid w:val="00796910"/>
    <w:rsid w:val="00796F76"/>
    <w:rsid w:val="007A3217"/>
    <w:rsid w:val="007A34C2"/>
    <w:rsid w:val="007C2389"/>
    <w:rsid w:val="007C44C4"/>
    <w:rsid w:val="007C4CA5"/>
    <w:rsid w:val="007C5E51"/>
    <w:rsid w:val="007C7DCE"/>
    <w:rsid w:val="007D0BAC"/>
    <w:rsid w:val="007D7371"/>
    <w:rsid w:val="007E261A"/>
    <w:rsid w:val="007E33B6"/>
    <w:rsid w:val="007E55C9"/>
    <w:rsid w:val="007E6CBD"/>
    <w:rsid w:val="007E700D"/>
    <w:rsid w:val="007F039F"/>
    <w:rsid w:val="007F14E7"/>
    <w:rsid w:val="007F23F6"/>
    <w:rsid w:val="007F2DCC"/>
    <w:rsid w:val="0080299D"/>
    <w:rsid w:val="00802BBB"/>
    <w:rsid w:val="008052CF"/>
    <w:rsid w:val="00805916"/>
    <w:rsid w:val="0080656F"/>
    <w:rsid w:val="00806D3D"/>
    <w:rsid w:val="00807DEC"/>
    <w:rsid w:val="0081129F"/>
    <w:rsid w:val="008112B4"/>
    <w:rsid w:val="00813617"/>
    <w:rsid w:val="00813EE5"/>
    <w:rsid w:val="00820982"/>
    <w:rsid w:val="0082413A"/>
    <w:rsid w:val="008247CD"/>
    <w:rsid w:val="0082634A"/>
    <w:rsid w:val="00833B9D"/>
    <w:rsid w:val="00834B09"/>
    <w:rsid w:val="00835E25"/>
    <w:rsid w:val="00842F55"/>
    <w:rsid w:val="00846C48"/>
    <w:rsid w:val="008500E9"/>
    <w:rsid w:val="00850EEC"/>
    <w:rsid w:val="00853D9E"/>
    <w:rsid w:val="008563FB"/>
    <w:rsid w:val="008564E6"/>
    <w:rsid w:val="00863166"/>
    <w:rsid w:val="0086499C"/>
    <w:rsid w:val="008702AE"/>
    <w:rsid w:val="008762C0"/>
    <w:rsid w:val="00876E94"/>
    <w:rsid w:val="0088027B"/>
    <w:rsid w:val="0088091E"/>
    <w:rsid w:val="00881FCA"/>
    <w:rsid w:val="00882DC3"/>
    <w:rsid w:val="00886F47"/>
    <w:rsid w:val="00895468"/>
    <w:rsid w:val="0089672C"/>
    <w:rsid w:val="008A4646"/>
    <w:rsid w:val="008A54BF"/>
    <w:rsid w:val="008A656F"/>
    <w:rsid w:val="008B0985"/>
    <w:rsid w:val="008B22B0"/>
    <w:rsid w:val="008B4D46"/>
    <w:rsid w:val="008B63DA"/>
    <w:rsid w:val="008B6C7A"/>
    <w:rsid w:val="008B6EB7"/>
    <w:rsid w:val="008C1F2E"/>
    <w:rsid w:val="008C7B55"/>
    <w:rsid w:val="008D33F2"/>
    <w:rsid w:val="008D4895"/>
    <w:rsid w:val="008D55A3"/>
    <w:rsid w:val="008D596D"/>
    <w:rsid w:val="008D5D34"/>
    <w:rsid w:val="008E4A06"/>
    <w:rsid w:val="008E62E5"/>
    <w:rsid w:val="008F233D"/>
    <w:rsid w:val="008F2BFA"/>
    <w:rsid w:val="008F383E"/>
    <w:rsid w:val="008F4D40"/>
    <w:rsid w:val="008F625A"/>
    <w:rsid w:val="008F769E"/>
    <w:rsid w:val="00900235"/>
    <w:rsid w:val="009027C3"/>
    <w:rsid w:val="0090642E"/>
    <w:rsid w:val="00906C48"/>
    <w:rsid w:val="00910165"/>
    <w:rsid w:val="009117AC"/>
    <w:rsid w:val="0091187D"/>
    <w:rsid w:val="00912747"/>
    <w:rsid w:val="00912A42"/>
    <w:rsid w:val="00912D53"/>
    <w:rsid w:val="00912EEF"/>
    <w:rsid w:val="009137E3"/>
    <w:rsid w:val="009204A5"/>
    <w:rsid w:val="0092214F"/>
    <w:rsid w:val="009228EA"/>
    <w:rsid w:val="0093049E"/>
    <w:rsid w:val="00933E07"/>
    <w:rsid w:val="0093506E"/>
    <w:rsid w:val="00937A02"/>
    <w:rsid w:val="00940A84"/>
    <w:rsid w:val="009414F4"/>
    <w:rsid w:val="00942087"/>
    <w:rsid w:val="00943B46"/>
    <w:rsid w:val="00951C12"/>
    <w:rsid w:val="00954D52"/>
    <w:rsid w:val="00956AA3"/>
    <w:rsid w:val="00956E30"/>
    <w:rsid w:val="00957D1A"/>
    <w:rsid w:val="0096536A"/>
    <w:rsid w:val="0096651D"/>
    <w:rsid w:val="0096667D"/>
    <w:rsid w:val="0097165F"/>
    <w:rsid w:val="009724B8"/>
    <w:rsid w:val="0097376A"/>
    <w:rsid w:val="009763F6"/>
    <w:rsid w:val="00976B34"/>
    <w:rsid w:val="00980745"/>
    <w:rsid w:val="00980E85"/>
    <w:rsid w:val="00982F0A"/>
    <w:rsid w:val="00983878"/>
    <w:rsid w:val="00984A2C"/>
    <w:rsid w:val="00986659"/>
    <w:rsid w:val="009903FC"/>
    <w:rsid w:val="0099114E"/>
    <w:rsid w:val="0099171A"/>
    <w:rsid w:val="009960A2"/>
    <w:rsid w:val="00996AF4"/>
    <w:rsid w:val="009A11DB"/>
    <w:rsid w:val="009A1380"/>
    <w:rsid w:val="009A28A1"/>
    <w:rsid w:val="009A4AD8"/>
    <w:rsid w:val="009A7929"/>
    <w:rsid w:val="009B0703"/>
    <w:rsid w:val="009B1B89"/>
    <w:rsid w:val="009B20C5"/>
    <w:rsid w:val="009B22D3"/>
    <w:rsid w:val="009B2BE6"/>
    <w:rsid w:val="009B357E"/>
    <w:rsid w:val="009B45C7"/>
    <w:rsid w:val="009B7092"/>
    <w:rsid w:val="009B75CD"/>
    <w:rsid w:val="009B77CC"/>
    <w:rsid w:val="009C02F1"/>
    <w:rsid w:val="009C0365"/>
    <w:rsid w:val="009C05F9"/>
    <w:rsid w:val="009C23D8"/>
    <w:rsid w:val="009C2DC8"/>
    <w:rsid w:val="009C564C"/>
    <w:rsid w:val="009C7061"/>
    <w:rsid w:val="009D2D51"/>
    <w:rsid w:val="009D38E5"/>
    <w:rsid w:val="009D420A"/>
    <w:rsid w:val="009D5275"/>
    <w:rsid w:val="009E254C"/>
    <w:rsid w:val="009E4145"/>
    <w:rsid w:val="009E51DB"/>
    <w:rsid w:val="009E54A2"/>
    <w:rsid w:val="009F2185"/>
    <w:rsid w:val="009F3EC1"/>
    <w:rsid w:val="009F4B29"/>
    <w:rsid w:val="00A00C95"/>
    <w:rsid w:val="00A01B74"/>
    <w:rsid w:val="00A01D98"/>
    <w:rsid w:val="00A02580"/>
    <w:rsid w:val="00A02A2C"/>
    <w:rsid w:val="00A03036"/>
    <w:rsid w:val="00A04CBB"/>
    <w:rsid w:val="00A06F6F"/>
    <w:rsid w:val="00A100DA"/>
    <w:rsid w:val="00A10BDB"/>
    <w:rsid w:val="00A12DAC"/>
    <w:rsid w:val="00A141F1"/>
    <w:rsid w:val="00A14C5B"/>
    <w:rsid w:val="00A163EC"/>
    <w:rsid w:val="00A17615"/>
    <w:rsid w:val="00A20724"/>
    <w:rsid w:val="00A20FE8"/>
    <w:rsid w:val="00A21573"/>
    <w:rsid w:val="00A238EA"/>
    <w:rsid w:val="00A262FE"/>
    <w:rsid w:val="00A26D1C"/>
    <w:rsid w:val="00A27906"/>
    <w:rsid w:val="00A30D96"/>
    <w:rsid w:val="00A30F1D"/>
    <w:rsid w:val="00A35A9B"/>
    <w:rsid w:val="00A361E6"/>
    <w:rsid w:val="00A42B54"/>
    <w:rsid w:val="00A435CE"/>
    <w:rsid w:val="00A43A43"/>
    <w:rsid w:val="00A50FBA"/>
    <w:rsid w:val="00A5444D"/>
    <w:rsid w:val="00A55364"/>
    <w:rsid w:val="00A55DEC"/>
    <w:rsid w:val="00A56864"/>
    <w:rsid w:val="00A6060E"/>
    <w:rsid w:val="00A6453D"/>
    <w:rsid w:val="00A66955"/>
    <w:rsid w:val="00A67AEE"/>
    <w:rsid w:val="00A72D50"/>
    <w:rsid w:val="00A7619E"/>
    <w:rsid w:val="00A77D43"/>
    <w:rsid w:val="00A806E8"/>
    <w:rsid w:val="00A82052"/>
    <w:rsid w:val="00A82DBB"/>
    <w:rsid w:val="00A85704"/>
    <w:rsid w:val="00A87317"/>
    <w:rsid w:val="00A905C6"/>
    <w:rsid w:val="00A90861"/>
    <w:rsid w:val="00A91322"/>
    <w:rsid w:val="00A91743"/>
    <w:rsid w:val="00A94E68"/>
    <w:rsid w:val="00A967FE"/>
    <w:rsid w:val="00A96F8B"/>
    <w:rsid w:val="00AA4FDE"/>
    <w:rsid w:val="00AA5B69"/>
    <w:rsid w:val="00AA7077"/>
    <w:rsid w:val="00AB1A72"/>
    <w:rsid w:val="00AB202E"/>
    <w:rsid w:val="00AB4693"/>
    <w:rsid w:val="00AB77FF"/>
    <w:rsid w:val="00AC0C44"/>
    <w:rsid w:val="00AC244A"/>
    <w:rsid w:val="00AC374F"/>
    <w:rsid w:val="00AC37D3"/>
    <w:rsid w:val="00AC756D"/>
    <w:rsid w:val="00AD1553"/>
    <w:rsid w:val="00AD69B3"/>
    <w:rsid w:val="00AE1A3C"/>
    <w:rsid w:val="00AF03D9"/>
    <w:rsid w:val="00AF281E"/>
    <w:rsid w:val="00AF3CD8"/>
    <w:rsid w:val="00B019AB"/>
    <w:rsid w:val="00B01A70"/>
    <w:rsid w:val="00B04850"/>
    <w:rsid w:val="00B05259"/>
    <w:rsid w:val="00B10F1F"/>
    <w:rsid w:val="00B136BE"/>
    <w:rsid w:val="00B13E19"/>
    <w:rsid w:val="00B14FD2"/>
    <w:rsid w:val="00B15C90"/>
    <w:rsid w:val="00B16015"/>
    <w:rsid w:val="00B24E0A"/>
    <w:rsid w:val="00B33FCA"/>
    <w:rsid w:val="00B421DB"/>
    <w:rsid w:val="00B44AB8"/>
    <w:rsid w:val="00B47254"/>
    <w:rsid w:val="00B53DB1"/>
    <w:rsid w:val="00B55343"/>
    <w:rsid w:val="00B57789"/>
    <w:rsid w:val="00B64997"/>
    <w:rsid w:val="00B64C26"/>
    <w:rsid w:val="00B77ECF"/>
    <w:rsid w:val="00B813FB"/>
    <w:rsid w:val="00B9072D"/>
    <w:rsid w:val="00B96949"/>
    <w:rsid w:val="00BA229B"/>
    <w:rsid w:val="00BA6913"/>
    <w:rsid w:val="00BB1372"/>
    <w:rsid w:val="00BB1C62"/>
    <w:rsid w:val="00BB2DC0"/>
    <w:rsid w:val="00BB35C6"/>
    <w:rsid w:val="00BB375D"/>
    <w:rsid w:val="00BB4142"/>
    <w:rsid w:val="00BB5FBA"/>
    <w:rsid w:val="00BB675A"/>
    <w:rsid w:val="00BB6FDD"/>
    <w:rsid w:val="00BC248B"/>
    <w:rsid w:val="00BC38A4"/>
    <w:rsid w:val="00BC5D30"/>
    <w:rsid w:val="00BC5ECD"/>
    <w:rsid w:val="00BC6980"/>
    <w:rsid w:val="00BC776E"/>
    <w:rsid w:val="00BD274D"/>
    <w:rsid w:val="00BD5CFA"/>
    <w:rsid w:val="00BD70BF"/>
    <w:rsid w:val="00BE15F9"/>
    <w:rsid w:val="00BE170E"/>
    <w:rsid w:val="00C00DA1"/>
    <w:rsid w:val="00C01105"/>
    <w:rsid w:val="00C013B5"/>
    <w:rsid w:val="00C02287"/>
    <w:rsid w:val="00C03F0D"/>
    <w:rsid w:val="00C111B4"/>
    <w:rsid w:val="00C112A7"/>
    <w:rsid w:val="00C1175F"/>
    <w:rsid w:val="00C11A92"/>
    <w:rsid w:val="00C12879"/>
    <w:rsid w:val="00C20883"/>
    <w:rsid w:val="00C25128"/>
    <w:rsid w:val="00C25441"/>
    <w:rsid w:val="00C265AD"/>
    <w:rsid w:val="00C31676"/>
    <w:rsid w:val="00C321CC"/>
    <w:rsid w:val="00C32867"/>
    <w:rsid w:val="00C34222"/>
    <w:rsid w:val="00C358A8"/>
    <w:rsid w:val="00C37076"/>
    <w:rsid w:val="00C373E7"/>
    <w:rsid w:val="00C4171C"/>
    <w:rsid w:val="00C44035"/>
    <w:rsid w:val="00C445B7"/>
    <w:rsid w:val="00C50DF2"/>
    <w:rsid w:val="00C579CE"/>
    <w:rsid w:val="00C6118D"/>
    <w:rsid w:val="00C65B6F"/>
    <w:rsid w:val="00C65CE1"/>
    <w:rsid w:val="00C70EB4"/>
    <w:rsid w:val="00C71AD8"/>
    <w:rsid w:val="00C71CFA"/>
    <w:rsid w:val="00C73A74"/>
    <w:rsid w:val="00C756E3"/>
    <w:rsid w:val="00C802E2"/>
    <w:rsid w:val="00C80FC1"/>
    <w:rsid w:val="00C8164A"/>
    <w:rsid w:val="00C83005"/>
    <w:rsid w:val="00C84873"/>
    <w:rsid w:val="00C91C61"/>
    <w:rsid w:val="00C93185"/>
    <w:rsid w:val="00C946F6"/>
    <w:rsid w:val="00C94A71"/>
    <w:rsid w:val="00CA37D0"/>
    <w:rsid w:val="00CA7088"/>
    <w:rsid w:val="00CB4460"/>
    <w:rsid w:val="00CB6C64"/>
    <w:rsid w:val="00CB7B82"/>
    <w:rsid w:val="00CC254C"/>
    <w:rsid w:val="00CC2AB6"/>
    <w:rsid w:val="00CC4D76"/>
    <w:rsid w:val="00CD0D77"/>
    <w:rsid w:val="00CD122E"/>
    <w:rsid w:val="00CD3930"/>
    <w:rsid w:val="00CD3EE5"/>
    <w:rsid w:val="00CD4334"/>
    <w:rsid w:val="00CD56BC"/>
    <w:rsid w:val="00CD6455"/>
    <w:rsid w:val="00CE4673"/>
    <w:rsid w:val="00CE4CC4"/>
    <w:rsid w:val="00CE6ECB"/>
    <w:rsid w:val="00CF03C6"/>
    <w:rsid w:val="00CF1962"/>
    <w:rsid w:val="00CF1B10"/>
    <w:rsid w:val="00CF6911"/>
    <w:rsid w:val="00CF7126"/>
    <w:rsid w:val="00CF7BAA"/>
    <w:rsid w:val="00D013BF"/>
    <w:rsid w:val="00D01506"/>
    <w:rsid w:val="00D03887"/>
    <w:rsid w:val="00D049BA"/>
    <w:rsid w:val="00D05B81"/>
    <w:rsid w:val="00D101FC"/>
    <w:rsid w:val="00D11F02"/>
    <w:rsid w:val="00D133F7"/>
    <w:rsid w:val="00D14243"/>
    <w:rsid w:val="00D1740A"/>
    <w:rsid w:val="00D20886"/>
    <w:rsid w:val="00D2150A"/>
    <w:rsid w:val="00D23210"/>
    <w:rsid w:val="00D27D95"/>
    <w:rsid w:val="00D30A34"/>
    <w:rsid w:val="00D33E7E"/>
    <w:rsid w:val="00D37D29"/>
    <w:rsid w:val="00D415BA"/>
    <w:rsid w:val="00D419C6"/>
    <w:rsid w:val="00D45535"/>
    <w:rsid w:val="00D52584"/>
    <w:rsid w:val="00D62B66"/>
    <w:rsid w:val="00D635A1"/>
    <w:rsid w:val="00D65551"/>
    <w:rsid w:val="00D70AEE"/>
    <w:rsid w:val="00D70ECB"/>
    <w:rsid w:val="00D73ABC"/>
    <w:rsid w:val="00D75076"/>
    <w:rsid w:val="00D762E6"/>
    <w:rsid w:val="00D76DD7"/>
    <w:rsid w:val="00D81018"/>
    <w:rsid w:val="00D8177F"/>
    <w:rsid w:val="00D8300A"/>
    <w:rsid w:val="00D8317D"/>
    <w:rsid w:val="00D8688B"/>
    <w:rsid w:val="00D8759E"/>
    <w:rsid w:val="00DA085C"/>
    <w:rsid w:val="00DA282E"/>
    <w:rsid w:val="00DA57D0"/>
    <w:rsid w:val="00DA5985"/>
    <w:rsid w:val="00DA7150"/>
    <w:rsid w:val="00DA722E"/>
    <w:rsid w:val="00DB127E"/>
    <w:rsid w:val="00DB54D2"/>
    <w:rsid w:val="00DB7C09"/>
    <w:rsid w:val="00DC0259"/>
    <w:rsid w:val="00DC568E"/>
    <w:rsid w:val="00DC5840"/>
    <w:rsid w:val="00DD48F2"/>
    <w:rsid w:val="00DE23EB"/>
    <w:rsid w:val="00DE5BD7"/>
    <w:rsid w:val="00DE6F89"/>
    <w:rsid w:val="00DE734B"/>
    <w:rsid w:val="00DE7691"/>
    <w:rsid w:val="00DF0644"/>
    <w:rsid w:val="00DF16DD"/>
    <w:rsid w:val="00DF260B"/>
    <w:rsid w:val="00DF66CB"/>
    <w:rsid w:val="00DF74B1"/>
    <w:rsid w:val="00E014E3"/>
    <w:rsid w:val="00E02C00"/>
    <w:rsid w:val="00E0373B"/>
    <w:rsid w:val="00E04D23"/>
    <w:rsid w:val="00E17E31"/>
    <w:rsid w:val="00E20DDD"/>
    <w:rsid w:val="00E223F5"/>
    <w:rsid w:val="00E23338"/>
    <w:rsid w:val="00E25A3D"/>
    <w:rsid w:val="00E2681E"/>
    <w:rsid w:val="00E301D5"/>
    <w:rsid w:val="00E318D9"/>
    <w:rsid w:val="00E332AD"/>
    <w:rsid w:val="00E34730"/>
    <w:rsid w:val="00E35E51"/>
    <w:rsid w:val="00E3683C"/>
    <w:rsid w:val="00E376B2"/>
    <w:rsid w:val="00E42FFF"/>
    <w:rsid w:val="00E52D45"/>
    <w:rsid w:val="00E61401"/>
    <w:rsid w:val="00E616AC"/>
    <w:rsid w:val="00E65463"/>
    <w:rsid w:val="00E65E31"/>
    <w:rsid w:val="00E678E9"/>
    <w:rsid w:val="00E67BF5"/>
    <w:rsid w:val="00E7107D"/>
    <w:rsid w:val="00E72DA8"/>
    <w:rsid w:val="00E72EC6"/>
    <w:rsid w:val="00E75289"/>
    <w:rsid w:val="00E761CF"/>
    <w:rsid w:val="00E764E9"/>
    <w:rsid w:val="00E800B8"/>
    <w:rsid w:val="00E84F71"/>
    <w:rsid w:val="00E8567C"/>
    <w:rsid w:val="00E85D79"/>
    <w:rsid w:val="00E86E6B"/>
    <w:rsid w:val="00E874B2"/>
    <w:rsid w:val="00E91B3A"/>
    <w:rsid w:val="00E92782"/>
    <w:rsid w:val="00E92DFA"/>
    <w:rsid w:val="00E944A4"/>
    <w:rsid w:val="00E977E6"/>
    <w:rsid w:val="00EA1980"/>
    <w:rsid w:val="00EA4A29"/>
    <w:rsid w:val="00EA77EF"/>
    <w:rsid w:val="00EB4DA5"/>
    <w:rsid w:val="00EC13C5"/>
    <w:rsid w:val="00EC2B17"/>
    <w:rsid w:val="00EC2BEE"/>
    <w:rsid w:val="00EC5AA0"/>
    <w:rsid w:val="00EC7619"/>
    <w:rsid w:val="00ED1302"/>
    <w:rsid w:val="00ED7657"/>
    <w:rsid w:val="00EE092E"/>
    <w:rsid w:val="00EE0DE2"/>
    <w:rsid w:val="00EE4313"/>
    <w:rsid w:val="00EF1907"/>
    <w:rsid w:val="00EF1AC6"/>
    <w:rsid w:val="00EF29CF"/>
    <w:rsid w:val="00EF2DEA"/>
    <w:rsid w:val="00EF65FB"/>
    <w:rsid w:val="00EF736E"/>
    <w:rsid w:val="00F01EF8"/>
    <w:rsid w:val="00F109AB"/>
    <w:rsid w:val="00F14ACB"/>
    <w:rsid w:val="00F23308"/>
    <w:rsid w:val="00F24543"/>
    <w:rsid w:val="00F25E84"/>
    <w:rsid w:val="00F41554"/>
    <w:rsid w:val="00F416F8"/>
    <w:rsid w:val="00F42040"/>
    <w:rsid w:val="00F422D1"/>
    <w:rsid w:val="00F4408D"/>
    <w:rsid w:val="00F4458B"/>
    <w:rsid w:val="00F44AD9"/>
    <w:rsid w:val="00F44D16"/>
    <w:rsid w:val="00F4591F"/>
    <w:rsid w:val="00F50508"/>
    <w:rsid w:val="00F55336"/>
    <w:rsid w:val="00F64FC2"/>
    <w:rsid w:val="00F6734C"/>
    <w:rsid w:val="00F679BE"/>
    <w:rsid w:val="00F73253"/>
    <w:rsid w:val="00F73EBD"/>
    <w:rsid w:val="00F743CA"/>
    <w:rsid w:val="00F80D6C"/>
    <w:rsid w:val="00F85D59"/>
    <w:rsid w:val="00F85D93"/>
    <w:rsid w:val="00F97BD5"/>
    <w:rsid w:val="00FA03FC"/>
    <w:rsid w:val="00FA234F"/>
    <w:rsid w:val="00FA7F51"/>
    <w:rsid w:val="00FB2BD7"/>
    <w:rsid w:val="00FB5F69"/>
    <w:rsid w:val="00FB61D5"/>
    <w:rsid w:val="00FD0525"/>
    <w:rsid w:val="00FD1BE5"/>
    <w:rsid w:val="00FD5B97"/>
    <w:rsid w:val="00FE36BB"/>
    <w:rsid w:val="00FE68AA"/>
    <w:rsid w:val="00FE6A9E"/>
    <w:rsid w:val="00FF0C5B"/>
    <w:rsid w:val="00FF32D4"/>
    <w:rsid w:val="00FF7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5380FA"/>
  <w15:docId w15:val="{360E3C02-991C-4A6C-82E0-60676194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2"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8E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2B1"/>
    <w:pPr>
      <w:spacing w:after="480" w:line="240" w:lineRule="auto"/>
    </w:pPr>
  </w:style>
  <w:style w:type="character" w:customStyle="1" w:styleId="HeaderChar">
    <w:name w:val="Header Char"/>
    <w:basedOn w:val="DefaultParagraphFont"/>
    <w:link w:val="Header"/>
    <w:uiPriority w:val="99"/>
    <w:rsid w:val="006672B1"/>
  </w:style>
  <w:style w:type="paragraph" w:styleId="Footer">
    <w:name w:val="footer"/>
    <w:basedOn w:val="Normal"/>
    <w:link w:val="FooterChar"/>
    <w:uiPriority w:val="99"/>
    <w:unhideWhenUsed/>
    <w:rsid w:val="006260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081"/>
  </w:style>
  <w:style w:type="paragraph" w:styleId="BalloonText">
    <w:name w:val="Balloon Text"/>
    <w:basedOn w:val="Normal"/>
    <w:link w:val="BalloonTextChar"/>
    <w:uiPriority w:val="99"/>
    <w:semiHidden/>
    <w:unhideWhenUsed/>
    <w:rsid w:val="00626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081"/>
    <w:rPr>
      <w:rFonts w:ascii="Tahoma" w:hAnsi="Tahoma" w:cs="Tahoma"/>
      <w:sz w:val="16"/>
      <w:szCs w:val="16"/>
    </w:rPr>
  </w:style>
  <w:style w:type="character" w:styleId="PlaceholderText">
    <w:name w:val="Placeholder Text"/>
    <w:basedOn w:val="DefaultParagraphFont"/>
    <w:uiPriority w:val="99"/>
    <w:semiHidden/>
    <w:rsid w:val="00C756E3"/>
    <w:rPr>
      <w:color w:val="808080"/>
    </w:rPr>
  </w:style>
  <w:style w:type="paragraph" w:styleId="Date">
    <w:name w:val="Date"/>
    <w:basedOn w:val="Normal"/>
    <w:next w:val="Normal"/>
    <w:link w:val="DateChar"/>
    <w:uiPriority w:val="99"/>
    <w:unhideWhenUsed/>
    <w:rsid w:val="00C756E3"/>
    <w:pPr>
      <w:spacing w:after="400"/>
    </w:pPr>
  </w:style>
  <w:style w:type="character" w:customStyle="1" w:styleId="DateChar">
    <w:name w:val="Date Char"/>
    <w:basedOn w:val="DefaultParagraphFont"/>
    <w:link w:val="Date"/>
    <w:uiPriority w:val="99"/>
    <w:rsid w:val="00C756E3"/>
  </w:style>
  <w:style w:type="paragraph" w:styleId="Salutation">
    <w:name w:val="Salutation"/>
    <w:basedOn w:val="Normal"/>
    <w:next w:val="Normal"/>
    <w:link w:val="SalutationChar"/>
    <w:uiPriority w:val="2"/>
    <w:unhideWhenUsed/>
    <w:qFormat/>
    <w:rsid w:val="00C756E3"/>
    <w:pPr>
      <w:spacing w:before="400" w:after="600"/>
    </w:pPr>
  </w:style>
  <w:style w:type="character" w:customStyle="1" w:styleId="SalutationChar">
    <w:name w:val="Salutation Char"/>
    <w:basedOn w:val="DefaultParagraphFont"/>
    <w:link w:val="Salutation"/>
    <w:uiPriority w:val="2"/>
    <w:rsid w:val="00D8300A"/>
  </w:style>
  <w:style w:type="paragraph" w:styleId="Closing">
    <w:name w:val="Closing"/>
    <w:basedOn w:val="Normal"/>
    <w:next w:val="Signature"/>
    <w:link w:val="ClosingChar"/>
    <w:uiPriority w:val="2"/>
    <w:unhideWhenUsed/>
    <w:qFormat/>
    <w:rsid w:val="005670A2"/>
    <w:pPr>
      <w:spacing w:before="600" w:after="960" w:line="240" w:lineRule="auto"/>
    </w:pPr>
  </w:style>
  <w:style w:type="character" w:customStyle="1" w:styleId="ClosingChar">
    <w:name w:val="Closing Char"/>
    <w:basedOn w:val="DefaultParagraphFont"/>
    <w:link w:val="Closing"/>
    <w:uiPriority w:val="2"/>
    <w:rsid w:val="00D8300A"/>
  </w:style>
  <w:style w:type="paragraph" w:styleId="Signature">
    <w:name w:val="Signature"/>
    <w:basedOn w:val="Normal"/>
    <w:next w:val="Normal"/>
    <w:link w:val="SignatureChar"/>
    <w:uiPriority w:val="2"/>
    <w:unhideWhenUsed/>
    <w:qFormat/>
    <w:rsid w:val="005670A2"/>
    <w:pPr>
      <w:spacing w:after="600" w:line="240" w:lineRule="auto"/>
    </w:pPr>
  </w:style>
  <w:style w:type="character" w:customStyle="1" w:styleId="SignatureChar">
    <w:name w:val="Signature Char"/>
    <w:basedOn w:val="DefaultParagraphFont"/>
    <w:link w:val="Signature"/>
    <w:uiPriority w:val="2"/>
    <w:rsid w:val="00D8300A"/>
  </w:style>
  <w:style w:type="paragraph" w:customStyle="1" w:styleId="CC">
    <w:name w:val="CC"/>
    <w:basedOn w:val="Signature"/>
    <w:uiPriority w:val="2"/>
    <w:qFormat/>
    <w:rsid w:val="0080299D"/>
    <w:pPr>
      <w:tabs>
        <w:tab w:val="left" w:pos="360"/>
      </w:tabs>
      <w:ind w:left="360" w:hanging="360"/>
    </w:pPr>
  </w:style>
  <w:style w:type="paragraph" w:styleId="NoSpacing">
    <w:name w:val="No Spacing"/>
    <w:uiPriority w:val="1"/>
    <w:qFormat/>
    <w:rsid w:val="00D8300A"/>
    <w:pPr>
      <w:spacing w:after="0"/>
    </w:pPr>
    <w:rPr>
      <w:lang w:val="en-GB"/>
    </w:rPr>
  </w:style>
  <w:style w:type="table" w:styleId="TableGrid">
    <w:name w:val="Table Grid"/>
    <w:basedOn w:val="TableNormal"/>
    <w:uiPriority w:val="59"/>
    <w:rsid w:val="00034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0347A8"/>
    <w:pPr>
      <w:spacing w:after="0" w:line="240" w:lineRule="auto"/>
    </w:pPr>
    <w:tblPr>
      <w:tblStyleRowBandSize w:val="1"/>
      <w:tblStyleColBandSize w:val="1"/>
      <w:tblBorders>
        <w:top w:val="single" w:sz="8" w:space="0" w:color="00B5E2" w:themeColor="accent2"/>
        <w:left w:val="single" w:sz="8" w:space="0" w:color="00B5E2" w:themeColor="accent2"/>
        <w:bottom w:val="single" w:sz="8" w:space="0" w:color="00B5E2" w:themeColor="accent2"/>
        <w:right w:val="single" w:sz="8" w:space="0" w:color="00B5E2" w:themeColor="accent2"/>
      </w:tblBorders>
    </w:tblPr>
    <w:tblStylePr w:type="firstRow">
      <w:pPr>
        <w:spacing w:before="0" w:after="0" w:line="240" w:lineRule="auto"/>
      </w:pPr>
      <w:rPr>
        <w:b/>
        <w:bCs/>
        <w:color w:val="FFFFFF" w:themeColor="background1"/>
      </w:rPr>
      <w:tblPr/>
      <w:tcPr>
        <w:shd w:val="clear" w:color="auto" w:fill="00B5E2" w:themeFill="accent2"/>
      </w:tcPr>
    </w:tblStylePr>
    <w:tblStylePr w:type="lastRow">
      <w:pPr>
        <w:spacing w:before="0" w:after="0" w:line="240" w:lineRule="auto"/>
      </w:pPr>
      <w:rPr>
        <w:b/>
        <w:bCs/>
      </w:rPr>
      <w:tblPr/>
      <w:tcPr>
        <w:tcBorders>
          <w:top w:val="double" w:sz="6" w:space="0" w:color="00B5E2" w:themeColor="accent2"/>
          <w:left w:val="single" w:sz="8" w:space="0" w:color="00B5E2" w:themeColor="accent2"/>
          <w:bottom w:val="single" w:sz="8" w:space="0" w:color="00B5E2" w:themeColor="accent2"/>
          <w:right w:val="single" w:sz="8" w:space="0" w:color="00B5E2" w:themeColor="accent2"/>
        </w:tcBorders>
      </w:tcPr>
    </w:tblStylePr>
    <w:tblStylePr w:type="firstCol">
      <w:rPr>
        <w:b/>
        <w:bCs/>
      </w:rPr>
    </w:tblStylePr>
    <w:tblStylePr w:type="lastCol">
      <w:rPr>
        <w:b/>
        <w:bCs/>
      </w:rPr>
    </w:tblStylePr>
    <w:tblStylePr w:type="band1Vert">
      <w:tblPr/>
      <w:tcPr>
        <w:tcBorders>
          <w:top w:val="single" w:sz="8" w:space="0" w:color="00B5E2" w:themeColor="accent2"/>
          <w:left w:val="single" w:sz="8" w:space="0" w:color="00B5E2" w:themeColor="accent2"/>
          <w:bottom w:val="single" w:sz="8" w:space="0" w:color="00B5E2" w:themeColor="accent2"/>
          <w:right w:val="single" w:sz="8" w:space="0" w:color="00B5E2" w:themeColor="accent2"/>
        </w:tcBorders>
      </w:tcPr>
    </w:tblStylePr>
    <w:tblStylePr w:type="band1Horz">
      <w:tblPr/>
      <w:tcPr>
        <w:tcBorders>
          <w:top w:val="single" w:sz="8" w:space="0" w:color="00B5E2" w:themeColor="accent2"/>
          <w:left w:val="single" w:sz="8" w:space="0" w:color="00B5E2" w:themeColor="accent2"/>
          <w:bottom w:val="single" w:sz="8" w:space="0" w:color="00B5E2" w:themeColor="accent2"/>
          <w:right w:val="single" w:sz="8" w:space="0" w:color="00B5E2" w:themeColor="accent2"/>
        </w:tcBorders>
      </w:tcPr>
    </w:tblStylePr>
  </w:style>
  <w:style w:type="table" w:styleId="LightShading-Accent1">
    <w:name w:val="Light Shading Accent 1"/>
    <w:basedOn w:val="TableNormal"/>
    <w:uiPriority w:val="60"/>
    <w:rsid w:val="000347A8"/>
    <w:pPr>
      <w:spacing w:after="0" w:line="240" w:lineRule="auto"/>
    </w:pPr>
    <w:rPr>
      <w:color w:val="00724C" w:themeColor="accent1" w:themeShade="BF"/>
    </w:rPr>
    <w:tblPr>
      <w:tblStyleRowBandSize w:val="1"/>
      <w:tblStyleColBandSize w:val="1"/>
      <w:tblBorders>
        <w:top w:val="single" w:sz="8" w:space="0" w:color="009966" w:themeColor="accent1"/>
        <w:bottom w:val="single" w:sz="8" w:space="0" w:color="009966" w:themeColor="accent1"/>
      </w:tblBorders>
    </w:tblPr>
    <w:tblStylePr w:type="firstRow">
      <w:pPr>
        <w:spacing w:before="0" w:after="0" w:line="240" w:lineRule="auto"/>
      </w:pPr>
      <w:rPr>
        <w:b/>
        <w:bCs/>
      </w:rPr>
      <w:tblPr/>
      <w:tcPr>
        <w:tcBorders>
          <w:top w:val="single" w:sz="8" w:space="0" w:color="009966" w:themeColor="accent1"/>
          <w:left w:val="nil"/>
          <w:bottom w:val="single" w:sz="8" w:space="0" w:color="009966" w:themeColor="accent1"/>
          <w:right w:val="nil"/>
          <w:insideH w:val="nil"/>
          <w:insideV w:val="nil"/>
        </w:tcBorders>
      </w:tcPr>
    </w:tblStylePr>
    <w:tblStylePr w:type="lastRow">
      <w:pPr>
        <w:spacing w:before="0" w:after="0" w:line="240" w:lineRule="auto"/>
      </w:pPr>
      <w:rPr>
        <w:b/>
        <w:bCs/>
      </w:rPr>
      <w:tblPr/>
      <w:tcPr>
        <w:tcBorders>
          <w:top w:val="single" w:sz="8" w:space="0" w:color="009966" w:themeColor="accent1"/>
          <w:left w:val="nil"/>
          <w:bottom w:val="single" w:sz="8" w:space="0" w:color="0099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FE1" w:themeFill="accent1" w:themeFillTint="3F"/>
      </w:tcPr>
    </w:tblStylePr>
    <w:tblStylePr w:type="band1Horz">
      <w:tblPr/>
      <w:tcPr>
        <w:tcBorders>
          <w:left w:val="nil"/>
          <w:right w:val="nil"/>
          <w:insideH w:val="nil"/>
          <w:insideV w:val="nil"/>
        </w:tcBorders>
        <w:shd w:val="clear" w:color="auto" w:fill="A6FFE1" w:themeFill="accent1" w:themeFillTint="3F"/>
      </w:tcPr>
    </w:tblStylePr>
  </w:style>
  <w:style w:type="table" w:styleId="LightList-Accent1">
    <w:name w:val="Light List Accent 1"/>
    <w:basedOn w:val="TableNormal"/>
    <w:uiPriority w:val="61"/>
    <w:rsid w:val="000347A8"/>
    <w:pPr>
      <w:spacing w:after="0" w:line="240" w:lineRule="auto"/>
    </w:pPr>
    <w:tblPr>
      <w:tblStyleRowBandSize w:val="1"/>
      <w:tblStyleColBandSize w:val="1"/>
      <w:tblBorders>
        <w:top w:val="single" w:sz="8" w:space="0" w:color="009966" w:themeColor="accent1"/>
        <w:left w:val="single" w:sz="8" w:space="0" w:color="009966" w:themeColor="accent1"/>
        <w:bottom w:val="single" w:sz="8" w:space="0" w:color="009966" w:themeColor="accent1"/>
        <w:right w:val="single" w:sz="8" w:space="0" w:color="009966" w:themeColor="accent1"/>
      </w:tblBorders>
    </w:tblPr>
    <w:tblStylePr w:type="firstRow">
      <w:pPr>
        <w:spacing w:before="0" w:after="0" w:line="240" w:lineRule="auto"/>
      </w:pPr>
      <w:rPr>
        <w:b/>
        <w:bCs/>
        <w:color w:val="FFFFFF" w:themeColor="background1"/>
      </w:rPr>
      <w:tblPr/>
      <w:tcPr>
        <w:shd w:val="clear" w:color="auto" w:fill="009966" w:themeFill="accent1"/>
      </w:tcPr>
    </w:tblStylePr>
    <w:tblStylePr w:type="lastRow">
      <w:pPr>
        <w:spacing w:before="0" w:after="0" w:line="240" w:lineRule="auto"/>
      </w:pPr>
      <w:rPr>
        <w:b/>
        <w:bCs/>
      </w:rPr>
      <w:tblPr/>
      <w:tcPr>
        <w:tcBorders>
          <w:top w:val="double" w:sz="6" w:space="0" w:color="009966" w:themeColor="accent1"/>
          <w:left w:val="single" w:sz="8" w:space="0" w:color="009966" w:themeColor="accent1"/>
          <w:bottom w:val="single" w:sz="8" w:space="0" w:color="009966" w:themeColor="accent1"/>
          <w:right w:val="single" w:sz="8" w:space="0" w:color="009966" w:themeColor="accent1"/>
        </w:tcBorders>
      </w:tcPr>
    </w:tblStylePr>
    <w:tblStylePr w:type="firstCol">
      <w:rPr>
        <w:b/>
        <w:bCs/>
      </w:rPr>
    </w:tblStylePr>
    <w:tblStylePr w:type="lastCol">
      <w:rPr>
        <w:b/>
        <w:bCs/>
      </w:rPr>
    </w:tblStylePr>
    <w:tblStylePr w:type="band1Vert">
      <w:tblPr/>
      <w:tcPr>
        <w:tcBorders>
          <w:top w:val="single" w:sz="8" w:space="0" w:color="009966" w:themeColor="accent1"/>
          <w:left w:val="single" w:sz="8" w:space="0" w:color="009966" w:themeColor="accent1"/>
          <w:bottom w:val="single" w:sz="8" w:space="0" w:color="009966" w:themeColor="accent1"/>
          <w:right w:val="single" w:sz="8" w:space="0" w:color="009966" w:themeColor="accent1"/>
        </w:tcBorders>
      </w:tcPr>
    </w:tblStylePr>
    <w:tblStylePr w:type="band1Horz">
      <w:tblPr/>
      <w:tcPr>
        <w:tcBorders>
          <w:top w:val="single" w:sz="8" w:space="0" w:color="009966" w:themeColor="accent1"/>
          <w:left w:val="single" w:sz="8" w:space="0" w:color="009966" w:themeColor="accent1"/>
          <w:bottom w:val="single" w:sz="8" w:space="0" w:color="009966" w:themeColor="accent1"/>
          <w:right w:val="single" w:sz="8" w:space="0" w:color="009966" w:themeColor="accent1"/>
        </w:tcBorders>
      </w:tcPr>
    </w:tblStylePr>
  </w:style>
  <w:style w:type="paragraph" w:styleId="ListBullet">
    <w:name w:val="List Bullet"/>
    <w:basedOn w:val="Normal"/>
    <w:uiPriority w:val="3"/>
    <w:unhideWhenUsed/>
    <w:qFormat/>
    <w:rsid w:val="005A188B"/>
    <w:pPr>
      <w:numPr>
        <w:numId w:val="1"/>
      </w:numPr>
      <w:contextualSpacing/>
    </w:pPr>
  </w:style>
  <w:style w:type="paragraph" w:styleId="ListNumber">
    <w:name w:val="List Number"/>
    <w:basedOn w:val="Normal"/>
    <w:uiPriority w:val="3"/>
    <w:unhideWhenUsed/>
    <w:qFormat/>
    <w:rsid w:val="005A188B"/>
    <w:pPr>
      <w:numPr>
        <w:numId w:val="2"/>
      </w:numPr>
      <w:contextualSpacing/>
    </w:pPr>
  </w:style>
  <w:style w:type="table" w:customStyle="1" w:styleId="CFA">
    <w:name w:val="CFA"/>
    <w:basedOn w:val="TableNormal"/>
    <w:uiPriority w:val="99"/>
    <w:rsid w:val="00DB7C09"/>
    <w:pPr>
      <w:spacing w:after="0" w:line="240" w:lineRule="auto"/>
    </w:pPr>
    <w:tblPr>
      <w:tblBorders>
        <w:top w:val="single" w:sz="8" w:space="0" w:color="008ED6" w:themeColor="background2"/>
        <w:left w:val="single" w:sz="8" w:space="0" w:color="008ED6" w:themeColor="background2"/>
        <w:bottom w:val="single" w:sz="8" w:space="0" w:color="008ED6" w:themeColor="background2"/>
        <w:right w:val="single" w:sz="8" w:space="0" w:color="008ED6" w:themeColor="background2"/>
        <w:insideH w:val="single" w:sz="8" w:space="0" w:color="008ED6" w:themeColor="background2"/>
      </w:tblBorders>
    </w:tblPr>
    <w:tblStylePr w:type="firstRow">
      <w:rPr>
        <w:color w:val="FFFFFF" w:themeColor="background1"/>
      </w:rPr>
      <w:tblPr/>
      <w:tcPr>
        <w:shd w:val="clear" w:color="auto" w:fill="008ED6" w:themeFill="background2"/>
      </w:tcPr>
    </w:tblStylePr>
    <w:tblStylePr w:type="firstCol">
      <w:rPr>
        <w:b/>
      </w:rPr>
    </w:tblStylePr>
  </w:style>
  <w:style w:type="character" w:styleId="Hyperlink">
    <w:name w:val="Hyperlink"/>
    <w:basedOn w:val="DefaultParagraphFont"/>
    <w:uiPriority w:val="99"/>
    <w:unhideWhenUsed/>
    <w:rsid w:val="00AB202E"/>
    <w:rPr>
      <w:color w:val="5B77CC" w:themeColor="hyperlink"/>
      <w:u w:val="single"/>
    </w:rPr>
  </w:style>
  <w:style w:type="character" w:styleId="CommentReference">
    <w:name w:val="annotation reference"/>
    <w:basedOn w:val="DefaultParagraphFont"/>
    <w:uiPriority w:val="99"/>
    <w:semiHidden/>
    <w:unhideWhenUsed/>
    <w:rsid w:val="003D0D1F"/>
    <w:rPr>
      <w:sz w:val="16"/>
      <w:szCs w:val="16"/>
    </w:rPr>
  </w:style>
  <w:style w:type="paragraph" w:styleId="CommentText">
    <w:name w:val="annotation text"/>
    <w:basedOn w:val="Normal"/>
    <w:link w:val="CommentTextChar"/>
    <w:uiPriority w:val="99"/>
    <w:semiHidden/>
    <w:unhideWhenUsed/>
    <w:rsid w:val="003D0D1F"/>
    <w:pPr>
      <w:spacing w:line="240" w:lineRule="auto"/>
    </w:pPr>
  </w:style>
  <w:style w:type="character" w:customStyle="1" w:styleId="CommentTextChar">
    <w:name w:val="Comment Text Char"/>
    <w:basedOn w:val="DefaultParagraphFont"/>
    <w:link w:val="CommentText"/>
    <w:uiPriority w:val="99"/>
    <w:semiHidden/>
    <w:rsid w:val="003D0D1F"/>
    <w:rPr>
      <w:lang w:val="en-GB"/>
    </w:rPr>
  </w:style>
  <w:style w:type="paragraph" w:styleId="CommentSubject">
    <w:name w:val="annotation subject"/>
    <w:basedOn w:val="CommentText"/>
    <w:next w:val="CommentText"/>
    <w:link w:val="CommentSubjectChar"/>
    <w:uiPriority w:val="99"/>
    <w:semiHidden/>
    <w:unhideWhenUsed/>
    <w:rsid w:val="003D0D1F"/>
    <w:rPr>
      <w:b/>
      <w:bCs/>
    </w:rPr>
  </w:style>
  <w:style w:type="character" w:customStyle="1" w:styleId="CommentSubjectChar">
    <w:name w:val="Comment Subject Char"/>
    <w:basedOn w:val="CommentTextChar"/>
    <w:link w:val="CommentSubject"/>
    <w:uiPriority w:val="99"/>
    <w:semiHidden/>
    <w:rsid w:val="003D0D1F"/>
    <w:rPr>
      <w:b/>
      <w:bCs/>
      <w:lang w:val="en-GB"/>
    </w:rPr>
  </w:style>
  <w:style w:type="paragraph" w:styleId="ListParagraph">
    <w:name w:val="List Paragraph"/>
    <w:basedOn w:val="Normal"/>
    <w:uiPriority w:val="34"/>
    <w:unhideWhenUsed/>
    <w:qFormat/>
    <w:rsid w:val="00DE6F89"/>
    <w:pPr>
      <w:ind w:left="720"/>
      <w:contextualSpacing/>
    </w:pPr>
  </w:style>
  <w:style w:type="paragraph" w:styleId="FootnoteText">
    <w:name w:val="footnote text"/>
    <w:basedOn w:val="Normal"/>
    <w:link w:val="FootnoteTextChar"/>
    <w:uiPriority w:val="99"/>
    <w:unhideWhenUsed/>
    <w:rsid w:val="00596BB7"/>
    <w:pPr>
      <w:spacing w:after="0" w:line="240" w:lineRule="auto"/>
    </w:pPr>
  </w:style>
  <w:style w:type="character" w:customStyle="1" w:styleId="FootnoteTextChar">
    <w:name w:val="Footnote Text Char"/>
    <w:basedOn w:val="DefaultParagraphFont"/>
    <w:link w:val="FootnoteText"/>
    <w:uiPriority w:val="99"/>
    <w:rsid w:val="00596BB7"/>
    <w:rPr>
      <w:lang w:val="en-GB"/>
    </w:rPr>
  </w:style>
  <w:style w:type="character" w:styleId="FootnoteReference">
    <w:name w:val="footnote reference"/>
    <w:basedOn w:val="DefaultParagraphFont"/>
    <w:uiPriority w:val="99"/>
    <w:unhideWhenUsed/>
    <w:rsid w:val="00596BB7"/>
    <w:rPr>
      <w:vertAlign w:val="superscript"/>
    </w:rPr>
  </w:style>
  <w:style w:type="character" w:styleId="FollowedHyperlink">
    <w:name w:val="FollowedHyperlink"/>
    <w:basedOn w:val="DefaultParagraphFont"/>
    <w:uiPriority w:val="99"/>
    <w:semiHidden/>
    <w:unhideWhenUsed/>
    <w:rsid w:val="009A11DB"/>
    <w:rPr>
      <w:color w:val="5C068C" w:themeColor="followedHyperlink"/>
      <w:u w:val="single"/>
    </w:rPr>
  </w:style>
  <w:style w:type="paragraph" w:styleId="NormalWeb">
    <w:name w:val="Normal (Web)"/>
    <w:basedOn w:val="Normal"/>
    <w:uiPriority w:val="99"/>
    <w:semiHidden/>
    <w:unhideWhenUsed/>
    <w:rsid w:val="006F7B92"/>
    <w:rPr>
      <w:rFonts w:ascii="Times New Roman" w:hAnsi="Times New Roman" w:cs="Times New Roman"/>
      <w:sz w:val="24"/>
      <w:szCs w:val="24"/>
    </w:rPr>
  </w:style>
  <w:style w:type="paragraph" w:customStyle="1" w:styleId="Default">
    <w:name w:val="Default"/>
    <w:rsid w:val="00D27D95"/>
    <w:pPr>
      <w:autoSpaceDE w:val="0"/>
      <w:autoSpaceDN w:val="0"/>
      <w:adjustRightInd w:val="0"/>
      <w:spacing w:after="0" w:line="240" w:lineRule="auto"/>
    </w:pPr>
    <w:rPr>
      <w:rFonts w:ascii="Segoe UI" w:hAnsi="Segoe UI" w:cs="Segoe UI"/>
      <w:color w:val="000000"/>
      <w:sz w:val="24"/>
      <w:szCs w:val="24"/>
    </w:rPr>
  </w:style>
  <w:style w:type="paragraph" w:styleId="Revision">
    <w:name w:val="Revision"/>
    <w:hidden/>
    <w:uiPriority w:val="99"/>
    <w:semiHidden/>
    <w:rsid w:val="00BC248B"/>
    <w:pPr>
      <w:spacing w:after="0" w:line="240" w:lineRule="auto"/>
    </w:pPr>
    <w:rPr>
      <w:lang w:val="en-GB"/>
    </w:rPr>
  </w:style>
  <w:style w:type="character" w:styleId="HTMLCite">
    <w:name w:val="HTML Cite"/>
    <w:basedOn w:val="DefaultParagraphFont"/>
    <w:uiPriority w:val="99"/>
    <w:semiHidden/>
    <w:unhideWhenUsed/>
    <w:rsid w:val="00983878"/>
    <w:rPr>
      <w:i/>
      <w:iCs/>
    </w:rPr>
  </w:style>
  <w:style w:type="character" w:customStyle="1" w:styleId="Mention1">
    <w:name w:val="Mention1"/>
    <w:basedOn w:val="DefaultParagraphFont"/>
    <w:uiPriority w:val="99"/>
    <w:rsid w:val="006F5A2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988317">
      <w:bodyDiv w:val="1"/>
      <w:marLeft w:val="0"/>
      <w:marRight w:val="0"/>
      <w:marTop w:val="0"/>
      <w:marBottom w:val="0"/>
      <w:divBdr>
        <w:top w:val="none" w:sz="0" w:space="0" w:color="auto"/>
        <w:left w:val="none" w:sz="0" w:space="0" w:color="auto"/>
        <w:bottom w:val="none" w:sz="0" w:space="0" w:color="auto"/>
        <w:right w:val="none" w:sz="0" w:space="0" w:color="auto"/>
      </w:divBdr>
    </w:div>
    <w:div w:id="561407597">
      <w:bodyDiv w:val="1"/>
      <w:marLeft w:val="0"/>
      <w:marRight w:val="0"/>
      <w:marTop w:val="0"/>
      <w:marBottom w:val="0"/>
      <w:divBdr>
        <w:top w:val="none" w:sz="0" w:space="0" w:color="auto"/>
        <w:left w:val="none" w:sz="0" w:space="0" w:color="auto"/>
        <w:bottom w:val="none" w:sz="0" w:space="0" w:color="auto"/>
        <w:right w:val="none" w:sz="0" w:space="0" w:color="auto"/>
      </w:divBdr>
    </w:div>
    <w:div w:id="640964418">
      <w:bodyDiv w:val="1"/>
      <w:marLeft w:val="0"/>
      <w:marRight w:val="0"/>
      <w:marTop w:val="0"/>
      <w:marBottom w:val="0"/>
      <w:divBdr>
        <w:top w:val="none" w:sz="0" w:space="0" w:color="auto"/>
        <w:left w:val="none" w:sz="0" w:space="0" w:color="auto"/>
        <w:bottom w:val="none" w:sz="0" w:space="0" w:color="auto"/>
        <w:right w:val="none" w:sz="0" w:space="0" w:color="auto"/>
      </w:divBdr>
    </w:div>
    <w:div w:id="681054638">
      <w:bodyDiv w:val="1"/>
      <w:marLeft w:val="0"/>
      <w:marRight w:val="0"/>
      <w:marTop w:val="0"/>
      <w:marBottom w:val="0"/>
      <w:divBdr>
        <w:top w:val="none" w:sz="0" w:space="0" w:color="auto"/>
        <w:left w:val="none" w:sz="0" w:space="0" w:color="auto"/>
        <w:bottom w:val="none" w:sz="0" w:space="0" w:color="auto"/>
        <w:right w:val="none" w:sz="0" w:space="0" w:color="auto"/>
      </w:divBdr>
      <w:divsChild>
        <w:div w:id="839660225">
          <w:marLeft w:val="0"/>
          <w:marRight w:val="0"/>
          <w:marTop w:val="0"/>
          <w:marBottom w:val="0"/>
          <w:divBdr>
            <w:top w:val="none" w:sz="0" w:space="0" w:color="auto"/>
            <w:left w:val="none" w:sz="0" w:space="0" w:color="auto"/>
            <w:bottom w:val="none" w:sz="0" w:space="0" w:color="auto"/>
            <w:right w:val="none" w:sz="0" w:space="0" w:color="auto"/>
          </w:divBdr>
          <w:divsChild>
            <w:div w:id="1952665090">
              <w:marLeft w:val="0"/>
              <w:marRight w:val="0"/>
              <w:marTop w:val="0"/>
              <w:marBottom w:val="0"/>
              <w:divBdr>
                <w:top w:val="none" w:sz="0" w:space="0" w:color="auto"/>
                <w:left w:val="none" w:sz="0" w:space="0" w:color="auto"/>
                <w:bottom w:val="none" w:sz="0" w:space="0" w:color="auto"/>
                <w:right w:val="none" w:sz="0" w:space="0" w:color="auto"/>
              </w:divBdr>
              <w:divsChild>
                <w:div w:id="1229917405">
                  <w:marLeft w:val="0"/>
                  <w:marRight w:val="0"/>
                  <w:marTop w:val="0"/>
                  <w:marBottom w:val="0"/>
                  <w:divBdr>
                    <w:top w:val="none" w:sz="0" w:space="0" w:color="auto"/>
                    <w:left w:val="none" w:sz="0" w:space="0" w:color="auto"/>
                    <w:bottom w:val="none" w:sz="0" w:space="0" w:color="auto"/>
                    <w:right w:val="none" w:sz="0" w:space="0" w:color="auto"/>
                  </w:divBdr>
                  <w:divsChild>
                    <w:div w:id="579632002">
                      <w:marLeft w:val="0"/>
                      <w:marRight w:val="0"/>
                      <w:marTop w:val="0"/>
                      <w:marBottom w:val="0"/>
                      <w:divBdr>
                        <w:top w:val="none" w:sz="0" w:space="0" w:color="auto"/>
                        <w:left w:val="none" w:sz="0" w:space="0" w:color="auto"/>
                        <w:bottom w:val="none" w:sz="0" w:space="0" w:color="auto"/>
                        <w:right w:val="none" w:sz="0" w:space="0" w:color="auto"/>
                      </w:divBdr>
                      <w:divsChild>
                        <w:div w:id="1730760997">
                          <w:marLeft w:val="0"/>
                          <w:marRight w:val="0"/>
                          <w:marTop w:val="0"/>
                          <w:marBottom w:val="0"/>
                          <w:divBdr>
                            <w:top w:val="none" w:sz="0" w:space="0" w:color="auto"/>
                            <w:left w:val="none" w:sz="0" w:space="0" w:color="auto"/>
                            <w:bottom w:val="none" w:sz="0" w:space="0" w:color="auto"/>
                            <w:right w:val="none" w:sz="0" w:space="0" w:color="auto"/>
                          </w:divBdr>
                          <w:divsChild>
                            <w:div w:id="96877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412063">
      <w:bodyDiv w:val="1"/>
      <w:marLeft w:val="0"/>
      <w:marRight w:val="0"/>
      <w:marTop w:val="0"/>
      <w:marBottom w:val="0"/>
      <w:divBdr>
        <w:top w:val="none" w:sz="0" w:space="0" w:color="auto"/>
        <w:left w:val="none" w:sz="0" w:space="0" w:color="auto"/>
        <w:bottom w:val="none" w:sz="0" w:space="0" w:color="auto"/>
        <w:right w:val="none" w:sz="0" w:space="0" w:color="auto"/>
      </w:divBdr>
      <w:divsChild>
        <w:div w:id="548148390">
          <w:marLeft w:val="0"/>
          <w:marRight w:val="0"/>
          <w:marTop w:val="0"/>
          <w:marBottom w:val="0"/>
          <w:divBdr>
            <w:top w:val="none" w:sz="0" w:space="0" w:color="auto"/>
            <w:left w:val="none" w:sz="0" w:space="0" w:color="auto"/>
            <w:bottom w:val="none" w:sz="0" w:space="0" w:color="auto"/>
            <w:right w:val="none" w:sz="0" w:space="0" w:color="auto"/>
          </w:divBdr>
          <w:divsChild>
            <w:div w:id="1802915319">
              <w:marLeft w:val="0"/>
              <w:marRight w:val="0"/>
              <w:marTop w:val="0"/>
              <w:marBottom w:val="0"/>
              <w:divBdr>
                <w:top w:val="none" w:sz="0" w:space="0" w:color="auto"/>
                <w:left w:val="none" w:sz="0" w:space="0" w:color="auto"/>
                <w:bottom w:val="none" w:sz="0" w:space="0" w:color="auto"/>
                <w:right w:val="none" w:sz="0" w:space="0" w:color="auto"/>
              </w:divBdr>
              <w:divsChild>
                <w:div w:id="207886514">
                  <w:marLeft w:val="0"/>
                  <w:marRight w:val="0"/>
                  <w:marTop w:val="0"/>
                  <w:marBottom w:val="0"/>
                  <w:divBdr>
                    <w:top w:val="none" w:sz="0" w:space="0" w:color="auto"/>
                    <w:left w:val="none" w:sz="0" w:space="0" w:color="auto"/>
                    <w:bottom w:val="none" w:sz="0" w:space="0" w:color="auto"/>
                    <w:right w:val="none" w:sz="0" w:space="0" w:color="auto"/>
                  </w:divBdr>
                  <w:divsChild>
                    <w:div w:id="2141143562">
                      <w:marLeft w:val="0"/>
                      <w:marRight w:val="0"/>
                      <w:marTop w:val="0"/>
                      <w:marBottom w:val="0"/>
                      <w:divBdr>
                        <w:top w:val="none" w:sz="0" w:space="0" w:color="auto"/>
                        <w:left w:val="none" w:sz="0" w:space="0" w:color="auto"/>
                        <w:bottom w:val="none" w:sz="0" w:space="0" w:color="auto"/>
                        <w:right w:val="none" w:sz="0" w:space="0" w:color="auto"/>
                      </w:divBdr>
                      <w:divsChild>
                        <w:div w:id="1869760577">
                          <w:marLeft w:val="0"/>
                          <w:marRight w:val="0"/>
                          <w:marTop w:val="0"/>
                          <w:marBottom w:val="0"/>
                          <w:divBdr>
                            <w:top w:val="none" w:sz="0" w:space="0" w:color="auto"/>
                            <w:left w:val="none" w:sz="0" w:space="0" w:color="auto"/>
                            <w:bottom w:val="none" w:sz="0" w:space="0" w:color="auto"/>
                            <w:right w:val="none" w:sz="0" w:space="0" w:color="auto"/>
                          </w:divBdr>
                          <w:divsChild>
                            <w:div w:id="95919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33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viatoslav.rosov@cfainstitute.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sina.kamerling@cfainstitut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XF\AppData\Roaming\Microsoft\Templates\CFA%20Letterhead.dotm" TargetMode="External"/></Relationships>
</file>

<file path=word/theme/theme1.xml><?xml version="1.0" encoding="utf-8"?>
<a:theme xmlns:a="http://schemas.openxmlformats.org/drawingml/2006/main" name="CFA">
  <a:themeElements>
    <a:clrScheme name="CFA">
      <a:dk1>
        <a:srgbClr val="000000"/>
      </a:dk1>
      <a:lt1>
        <a:srgbClr val="FFFFFF"/>
      </a:lt1>
      <a:dk2>
        <a:srgbClr val="777777"/>
      </a:dk2>
      <a:lt2>
        <a:srgbClr val="008ED6"/>
      </a:lt2>
      <a:accent1>
        <a:srgbClr val="009966"/>
      </a:accent1>
      <a:accent2>
        <a:srgbClr val="00B5E2"/>
      </a:accent2>
      <a:accent3>
        <a:srgbClr val="5B77CC"/>
      </a:accent3>
      <a:accent4>
        <a:srgbClr val="5C068C"/>
      </a:accent4>
      <a:accent5>
        <a:srgbClr val="FFD100"/>
      </a:accent5>
      <a:accent6>
        <a:srgbClr val="5A4522"/>
      </a:accent6>
      <a:hlink>
        <a:srgbClr val="5B77CC"/>
      </a:hlink>
      <a:folHlink>
        <a:srgbClr val="5C068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FA">
      <a:fillStyleLst>
        <a:solidFill>
          <a:schemeClr val="phClr"/>
        </a:solidFill>
        <a:solidFill>
          <a:schemeClr val="phClr"/>
        </a:solidFill>
        <a:solidFill>
          <a:schemeClr val="phClr"/>
        </a:solidFill>
      </a:fillStyleLst>
      <a:lnStyleLst>
        <a:ln w="12700" cap="flat" cmpd="sng" algn="ctr">
          <a:solidFill>
            <a:schemeClr val="phClr"/>
          </a:solidFill>
          <a:miter lim="800000"/>
        </a:ln>
        <a:ln w="12700" cap="flat" cmpd="sng" algn="ctr">
          <a:solidFill>
            <a:schemeClr val="phClr"/>
          </a:solidFill>
          <a:miter lim="800000"/>
        </a:ln>
        <a:ln w="12700" cap="flat" cmpd="sng" algn="ctr">
          <a:solidFill>
            <a:schemeClr val="phClr"/>
          </a:solidFill>
          <a:miter lim="800000"/>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bg2"/>
          </a:solidFill>
          <a:miter lim="800000"/>
        </a:ln>
      </a:spPr>
      <a:bodyPr/>
      <a:lstStyle/>
      <a:style>
        <a:lnRef idx="1">
          <a:schemeClr val="accent1"/>
        </a:lnRef>
        <a:fillRef idx="0">
          <a:schemeClr val="accent1"/>
        </a:fillRef>
        <a:effectRef idx="0">
          <a:schemeClr val="accent1"/>
        </a:effectRef>
        <a:fontRef idx="minor">
          <a:schemeClr val="tx1"/>
        </a:fontRef>
      </a:style>
    </a:lnDef>
    <a:txDef>
      <a:spPr>
        <a:noFill/>
      </a:spPr>
      <a:bodyPr wrap="none" rtlCol="0">
        <a:noAutofit/>
      </a:bodyPr>
      <a:lstStyle>
        <a:defPPr>
          <a:defRPr/>
        </a:defPPr>
      </a:lstStyle>
    </a:txDef>
  </a:objectDefaults>
  <a:extraClrSchemeLst/>
  <a:custClrLst>
    <a:custClr name="Cool Gray 6">
      <a:srgbClr val="A7A8AA"/>
    </a:custClr>
    <a:custClr name="Pantone 368">
      <a:srgbClr val="78BE20"/>
    </a:custClr>
    <a:custClr name="Pantone 293">
      <a:srgbClr val="003DA5"/>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37550671E2B24C9F044B939A9848DB" ma:contentTypeVersion="0" ma:contentTypeDescription="Create a new document." ma:contentTypeScope="" ma:versionID="03900a8eb19fb04e274b8b2b56b16704">
  <xsd:schema xmlns:xsd="http://www.w3.org/2001/XMLSchema" xmlns:xs="http://www.w3.org/2001/XMLSchema" xmlns:p="http://schemas.microsoft.com/office/2006/metadata/properties" targetNamespace="http://schemas.microsoft.com/office/2006/metadata/properties" ma:root="true" ma:fieldsID="c6d994b93ca1435d89b2af8f56e9799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6A7E8-A8B5-427D-A46E-B101455FF1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DB74F9-7BEE-46B6-9670-DC859F93E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0D9BDFB-7A34-4175-8C4B-E0A053BF4297}">
  <ds:schemaRefs>
    <ds:schemaRef ds:uri="http://schemas.microsoft.com/sharepoint/v3/contenttype/forms"/>
  </ds:schemaRefs>
</ds:datastoreItem>
</file>

<file path=customXml/itemProps4.xml><?xml version="1.0" encoding="utf-8"?>
<ds:datastoreItem xmlns:ds="http://schemas.openxmlformats.org/officeDocument/2006/customXml" ds:itemID="{57AD4CC7-B058-6B4E-B592-717174B6E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C:\Users\OXF\AppData\Roaming\Microsoft\Templates\CFA Letterhead.dotm</Template>
  <TotalTime>336</TotalTime>
  <Pages>4</Pages>
  <Words>1221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CFA Institute</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rgp</dc:creator>
  <cp:lastModifiedBy>Sviatoslav Rosov</cp:lastModifiedBy>
  <cp:revision>134</cp:revision>
  <cp:lastPrinted>2012-06-01T10:10:00Z</cp:lastPrinted>
  <dcterms:created xsi:type="dcterms:W3CDTF">2019-06-24T19:18:00Z</dcterms:created>
  <dcterms:modified xsi:type="dcterms:W3CDTF">2019-06-28T16:38:00Z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0x0101006737550671E2B24C9F044B939A9848DB</vt:lpwstr>
  </property>
</Properties>
</file>