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E4F86">
        <w:rPr>
          <w:rStyle w:val="SubtleEmphasis"/>
          <w:b w:val="0"/>
          <w:sz w:val="22"/>
        </w:rPr>
        <w:t>LST</w:t>
      </w:r>
      <w:r w:rsidRPr="00E40A5C">
        <w:rPr>
          <w:rStyle w:val="SubtleEmphasis"/>
          <w:b w:val="0"/>
          <w:sz w:val="22"/>
        </w:rPr>
        <w:t>_nameofrespondent_RESPONSEFORM. For example, for a respondent named ABCD, the response form would be entitled ESMA_</w:t>
      </w:r>
      <w:r w:rsidR="002E4F86">
        <w:rPr>
          <w:rStyle w:val="SubtleEmphasis"/>
          <w:b w:val="0"/>
          <w:sz w:val="22"/>
        </w:rPr>
        <w:t>LST</w:t>
      </w:r>
      <w:r w:rsidRPr="00E40A5C">
        <w:rPr>
          <w:rStyle w:val="SubtleEmphasis"/>
          <w:b w:val="0"/>
          <w:sz w:val="22"/>
        </w:rPr>
        <w:t>_ABCD_RESPONSEFORM.</w:t>
      </w:r>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18C4FE37" w:rsidR="00B327E9" w:rsidRPr="00AB6D88" w:rsidRDefault="009268E7" w:rsidP="009268E7">
                <w:pPr>
                  <w:rPr>
                    <w:rStyle w:val="PlaceholderText"/>
                    <w:rFonts w:cs="Arial"/>
                  </w:rPr>
                </w:pPr>
                <w:r>
                  <w:rPr>
                    <w:rStyle w:val="PlaceholderText"/>
                    <w:rFonts w:cs="Arial"/>
                  </w:rPr>
                  <w:t>Deutsche Bank</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D352DD9" w:rsidR="00B327E9" w:rsidRPr="00AB6D88" w:rsidRDefault="0000353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66012">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39E4F2F2" w:rsidR="00B327E9" w:rsidRPr="00AB6D88" w:rsidRDefault="009268E7"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3BB8D37" w:rsidR="00B327E9" w:rsidRPr="00AB6D88" w:rsidRDefault="00E66012" w:rsidP="00F136A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6A3CB061" w14:textId="77777777" w:rsidR="00B327E9" w:rsidRDefault="00B327E9" w:rsidP="00B327E9">
      <w:permStart w:id="411981036" w:edGrp="everyone"/>
      <w:r>
        <w:t>TYPE YOUR TEXT HERE</w:t>
      </w:r>
    </w:p>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3BEA87A2" w14:textId="77777777" w:rsidR="00E66012" w:rsidRDefault="00E66012" w:rsidP="00E66012">
      <w:pPr>
        <w:rPr>
          <w:lang w:val="en-US"/>
        </w:rPr>
      </w:pPr>
      <w:permStart w:id="1296003605" w:edGrp="everyone"/>
      <w:r>
        <w:rPr>
          <w:lang w:val="en-US"/>
        </w:rPr>
        <w:t xml:space="preserve">Establishing Liquidity Stress Testing (LST) programs across all products that are investment strategy-specific will result in substantial one-off and on-going costs. </w:t>
      </w:r>
    </w:p>
    <w:p w14:paraId="07C076BF" w14:textId="77777777" w:rsidR="00E66012" w:rsidRDefault="00E66012" w:rsidP="00E66012">
      <w:pPr>
        <w:rPr>
          <w:lang w:val="en-US"/>
        </w:rPr>
      </w:pPr>
    </w:p>
    <w:p w14:paraId="2F622FD0" w14:textId="77777777" w:rsidR="00E66012" w:rsidRDefault="00E66012" w:rsidP="00E66012">
      <w:pPr>
        <w:rPr>
          <w:lang w:val="en-US"/>
        </w:rPr>
      </w:pPr>
      <w:r w:rsidRPr="00FA0B62">
        <w:rPr>
          <w:lang w:val="en-US"/>
        </w:rPr>
        <w:t>More precisely, we expect to have one-off implementation effort (</w:t>
      </w:r>
      <w:r>
        <w:rPr>
          <w:lang w:val="en-US"/>
        </w:rPr>
        <w:t>“Change the Bank”</w:t>
      </w:r>
      <w:r w:rsidRPr="00FA0B62">
        <w:rPr>
          <w:lang w:val="en-US"/>
        </w:rPr>
        <w:t xml:space="preserve">) related to the </w:t>
      </w:r>
      <w:r w:rsidRPr="00A27AB1">
        <w:rPr>
          <w:lang w:val="en-US"/>
        </w:rPr>
        <w:t xml:space="preserve">management of data-intensive and analytics aspects of the stress testing (e.g. Investor Concentration, Historical Stress Testing or Reverse Stress Testing) as well as ongoing effort (e.g. Data and Model Validation, hypothetical Scenario generation). While </w:t>
      </w:r>
      <w:r>
        <w:rPr>
          <w:lang w:val="en-US"/>
        </w:rPr>
        <w:t xml:space="preserve">it is difficult to provide </w:t>
      </w:r>
      <w:r w:rsidRPr="00A27AB1">
        <w:rPr>
          <w:lang w:val="en-US"/>
        </w:rPr>
        <w:t xml:space="preserve">explicit estimates are difficult, one can assume that data management </w:t>
      </w:r>
      <w:r>
        <w:rPr>
          <w:lang w:val="en-US"/>
        </w:rPr>
        <w:t>related projects</w:t>
      </w:r>
      <w:r w:rsidRPr="00A27AB1">
        <w:rPr>
          <w:lang w:val="en-US"/>
        </w:rPr>
        <w:t xml:space="preserve"> could reach a high 6 Digit € Amount for DWS group</w:t>
      </w:r>
      <w:r>
        <w:rPr>
          <w:lang w:val="en-US"/>
        </w:rPr>
        <w:t xml:space="preserve"> and will require </w:t>
      </w:r>
      <w:r w:rsidRPr="00A27AB1">
        <w:rPr>
          <w:lang w:val="en-US"/>
        </w:rPr>
        <w:t xml:space="preserve">1-2 </w:t>
      </w:r>
      <w:r>
        <w:rPr>
          <w:lang w:val="en-US"/>
        </w:rPr>
        <w:t xml:space="preserve">full-time </w:t>
      </w:r>
      <w:r w:rsidRPr="00A27AB1">
        <w:rPr>
          <w:lang w:val="en-US"/>
        </w:rPr>
        <w:t>Risk Managers purely dedicated to the activities on an ongoing basis.</w:t>
      </w:r>
    </w:p>
    <w:p w14:paraId="5394CECF" w14:textId="77777777" w:rsidR="00E66012" w:rsidRDefault="00E66012" w:rsidP="00E66012">
      <w:pPr>
        <w:rPr>
          <w:lang w:val="en-US"/>
        </w:rPr>
      </w:pPr>
    </w:p>
    <w:p w14:paraId="0ECEC646" w14:textId="77777777" w:rsidR="00E66012" w:rsidRDefault="00E66012" w:rsidP="00E66012">
      <w:pPr>
        <w:rPr>
          <w:lang w:val="en-US"/>
        </w:rPr>
      </w:pPr>
      <w:r>
        <w:rPr>
          <w:lang w:val="en-US"/>
        </w:rPr>
        <w:t xml:space="preserve">While some of the requirements proposed by ESMA are already taken into account in LSTs, as indicated above, others will result in increased costs and may have limited added value for certain types of funds. </w:t>
      </w:r>
    </w:p>
    <w:p w14:paraId="69823693" w14:textId="77777777" w:rsidR="00E66012" w:rsidRDefault="00E66012" w:rsidP="00E66012">
      <w:pPr>
        <w:rPr>
          <w:lang w:val="en-US"/>
        </w:rPr>
      </w:pPr>
    </w:p>
    <w:p w14:paraId="64D10FDC" w14:textId="2D993490" w:rsidR="00E66012" w:rsidRDefault="00E66012" w:rsidP="00E66012">
      <w:pPr>
        <w:rPr>
          <w:lang w:val="en-US"/>
        </w:rPr>
      </w:pPr>
      <w:r>
        <w:rPr>
          <w:lang w:val="en-US"/>
        </w:rPr>
        <w:t>This is particularly the case for the following requirements:</w:t>
      </w:r>
    </w:p>
    <w:p w14:paraId="435A47D5" w14:textId="77777777" w:rsidR="00E66012" w:rsidRDefault="00E66012" w:rsidP="00E66012">
      <w:pPr>
        <w:pStyle w:val="ListParagraph"/>
        <w:numPr>
          <w:ilvl w:val="0"/>
          <w:numId w:val="45"/>
        </w:numPr>
        <w:spacing w:after="120" w:line="260" w:lineRule="atLeast"/>
        <w:rPr>
          <w:lang w:val="en-US"/>
        </w:rPr>
      </w:pPr>
      <w:r>
        <w:rPr>
          <w:lang w:val="en-US"/>
        </w:rPr>
        <w:t>Adapt assumptions regarding investor behavior (estimating both gross and net redemptions in particular for Retail Funds) and asset liquidation (guideline 7): this would generate additional data management costs;</w:t>
      </w:r>
    </w:p>
    <w:p w14:paraId="79829935" w14:textId="77777777" w:rsidR="00E66012" w:rsidRDefault="00E66012" w:rsidP="00E66012">
      <w:pPr>
        <w:pStyle w:val="ListParagraph"/>
        <w:numPr>
          <w:ilvl w:val="0"/>
          <w:numId w:val="45"/>
        </w:numPr>
        <w:spacing w:after="120" w:line="260" w:lineRule="atLeast"/>
        <w:rPr>
          <w:lang w:val="en-US"/>
        </w:rPr>
      </w:pPr>
      <w:r>
        <w:rPr>
          <w:lang w:val="en-US"/>
        </w:rPr>
        <w:t>Conduct reverse stress testing (RSTs) (guideline 8): RSTs would not be appropriate to be implemented all funds with very few exceptions (e.g. MMFs, please refer to our response to Q8);</w:t>
      </w:r>
    </w:p>
    <w:p w14:paraId="223C7680" w14:textId="77777777" w:rsidR="00E66012" w:rsidRDefault="00E66012" w:rsidP="00E66012">
      <w:pPr>
        <w:pStyle w:val="ListParagraph"/>
        <w:numPr>
          <w:ilvl w:val="0"/>
          <w:numId w:val="45"/>
        </w:numPr>
        <w:spacing w:after="120" w:line="260" w:lineRule="atLeast"/>
        <w:rPr>
          <w:lang w:val="en-US"/>
        </w:rPr>
      </w:pPr>
      <w:r>
        <w:rPr>
          <w:lang w:val="en-US"/>
        </w:rPr>
        <w:t>Conduct Historical Liquidity Stress Testing (guideline 8): Retrieving historical liquidity parameters and applying them to current funds would generate significant costs in particular for Fixed Income and Alternative Products as market data are scarce ;</w:t>
      </w:r>
    </w:p>
    <w:p w14:paraId="049AC3E0" w14:textId="77777777" w:rsidR="00E66012" w:rsidRDefault="00E66012" w:rsidP="00E66012">
      <w:pPr>
        <w:pStyle w:val="ListParagraph"/>
        <w:numPr>
          <w:ilvl w:val="0"/>
          <w:numId w:val="45"/>
        </w:numPr>
        <w:spacing w:after="120" w:line="260" w:lineRule="atLeast"/>
        <w:rPr>
          <w:lang w:val="en-US"/>
        </w:rPr>
      </w:pPr>
      <w:r>
        <w:rPr>
          <w:lang w:val="en-US"/>
        </w:rPr>
        <w:t>Demonstrate ability to overcome the limitations of third party data (guideline 9): this would require additional resources;</w:t>
      </w:r>
    </w:p>
    <w:p w14:paraId="405924C4" w14:textId="77777777" w:rsidR="00E66012" w:rsidRDefault="00E66012" w:rsidP="00E66012">
      <w:pPr>
        <w:pStyle w:val="ListParagraph"/>
        <w:numPr>
          <w:ilvl w:val="0"/>
          <w:numId w:val="45"/>
        </w:numPr>
        <w:spacing w:after="120" w:line="260" w:lineRule="atLeast"/>
        <w:rPr>
          <w:lang w:val="en-US"/>
        </w:rPr>
      </w:pPr>
      <w:r>
        <w:rPr>
          <w:lang w:val="en-US"/>
        </w:rPr>
        <w:t>Cross-reference LSTs with other indicators (guideline 10): this would require the development of additional systems in particular for highly regulated products (like UCITS funds or MMFs required to comply with many investment guidelines;</w:t>
      </w:r>
    </w:p>
    <w:p w14:paraId="36E45C7A" w14:textId="77777777" w:rsidR="00E66012" w:rsidRPr="00FA0B62" w:rsidRDefault="00E66012" w:rsidP="00E66012">
      <w:pPr>
        <w:pStyle w:val="ListParagraph"/>
        <w:numPr>
          <w:ilvl w:val="0"/>
          <w:numId w:val="45"/>
        </w:numPr>
        <w:spacing w:after="120" w:line="260" w:lineRule="atLeast"/>
        <w:rPr>
          <w:lang w:val="en-US"/>
        </w:rPr>
      </w:pPr>
      <w:r>
        <w:rPr>
          <w:lang w:val="en-US"/>
        </w:rPr>
        <w:t>Incorporate risk factors to investor type and concentration (guideline 12): data may not be available in particular for Retail Funds.</w:t>
      </w:r>
    </w:p>
    <w:p w14:paraId="249FA8E7" w14:textId="0A99A7F4" w:rsidR="00407232" w:rsidRPr="00E66012" w:rsidRDefault="00E66012" w:rsidP="00407232">
      <w:pPr>
        <w:rPr>
          <w:lang w:val="en-US"/>
        </w:rPr>
      </w:pPr>
      <w:r>
        <w:rPr>
          <w:lang w:val="en-US"/>
        </w:rPr>
        <w:t>Therefore, to limit development costs and to balance costs against benefits, we believe these requirements should</w:t>
      </w:r>
      <w:r w:rsidRPr="00C97E44">
        <w:rPr>
          <w:lang w:val="en-US"/>
        </w:rPr>
        <w:t xml:space="preserve"> only </w:t>
      </w:r>
      <w:r>
        <w:rPr>
          <w:lang w:val="en-US"/>
        </w:rPr>
        <w:t xml:space="preserve">be </w:t>
      </w:r>
      <w:r w:rsidRPr="00C97E44">
        <w:rPr>
          <w:lang w:val="en-US"/>
        </w:rPr>
        <w:t xml:space="preserve">implemented for a subset of the funds managed). Several of the above, in particular </w:t>
      </w:r>
      <w:r>
        <w:rPr>
          <w:lang w:val="en-US"/>
        </w:rPr>
        <w:t>RST</w:t>
      </w:r>
      <w:r w:rsidRPr="00C97E44">
        <w:rPr>
          <w:lang w:val="en-US"/>
        </w:rPr>
        <w:t xml:space="preserve"> or Historical </w:t>
      </w:r>
      <w:r>
        <w:rPr>
          <w:lang w:val="en-US"/>
        </w:rPr>
        <w:t xml:space="preserve">Liquidity </w:t>
      </w:r>
      <w:r w:rsidRPr="00C97E44">
        <w:rPr>
          <w:lang w:val="en-US"/>
        </w:rPr>
        <w:t xml:space="preserve">Stress Testing would </w:t>
      </w:r>
      <w:r>
        <w:rPr>
          <w:lang w:val="en-US"/>
        </w:rPr>
        <w:t>result in</w:t>
      </w:r>
      <w:r w:rsidRPr="00C97E44">
        <w:rPr>
          <w:lang w:val="en-US"/>
        </w:rPr>
        <w:t xml:space="preserve"> significant cost across the value chain. Furthermore, parameters</w:t>
      </w:r>
      <w:r>
        <w:rPr>
          <w:lang w:val="en-US"/>
        </w:rPr>
        <w:t xml:space="preserve">, </w:t>
      </w:r>
      <w:r w:rsidRPr="00C97E44">
        <w:rPr>
          <w:lang w:val="en-US"/>
        </w:rPr>
        <w:t xml:space="preserve">assumptions or expert estimates </w:t>
      </w:r>
      <w:r>
        <w:rPr>
          <w:lang w:val="en-US"/>
        </w:rPr>
        <w:t>would need to be validated by an expert and doing so would</w:t>
      </w:r>
      <w:r>
        <w:rPr>
          <w:lang w:val="en-US"/>
        </w:rPr>
        <w:t xml:space="preserve"> significantly increase costs.</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7708BD97" w14:textId="21392CAE" w:rsidR="00407232" w:rsidRDefault="00E66012" w:rsidP="00407232">
      <w:pPr>
        <w:rPr>
          <w:rFonts w:cs="Arial"/>
        </w:rPr>
      </w:pPr>
      <w:permStart w:id="706622868" w:edGrp="everyone"/>
      <w:r>
        <w:t xml:space="preserve">Yes, we agree with the scope of the guidelines, taking into account that </w:t>
      </w:r>
      <w:r w:rsidRPr="006A3430">
        <w:t>more granular requirements</w:t>
      </w:r>
      <w:r>
        <w:t xml:space="preserve"> </w:t>
      </w:r>
      <w:r w:rsidRPr="006A3430">
        <w:t>under the MMFR</w:t>
      </w:r>
      <w:r>
        <w:t xml:space="preserve"> should prevail. We believe that certain funds should be excluded from the scope of guidelines. For specific types of funds such as single investors, closed end funds or pension structures, the requirements should only be applied where appropriate, depending on the respective risk profile of the fund.</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lastRenderedPageBreak/>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02D62177" w14:textId="77777777" w:rsidR="00E66012" w:rsidRDefault="00E66012" w:rsidP="00E66012">
      <w:permStart w:id="86838892" w:edGrp="everyone"/>
      <w:r>
        <w:t>We believe the scope set out in the Guidelines is clear.</w:t>
      </w:r>
    </w:p>
    <w:p w14:paraId="5FE697C1" w14:textId="77777777" w:rsidR="00E66012" w:rsidRDefault="00E66012" w:rsidP="00E66012"/>
    <w:p w14:paraId="6BCE7153" w14:textId="77777777" w:rsidR="00E66012" w:rsidRDefault="00E66012" w:rsidP="00E66012">
      <w:r>
        <w:t xml:space="preserve">Depending on the ‘nature, scale and complexity’ of a fund and respective risk profile, we believe it </w:t>
      </w:r>
      <w:r w:rsidRPr="00306C5E">
        <w:t>should be</w:t>
      </w:r>
      <w:r>
        <w:t xml:space="preserve"> left to the discretion of the a</w:t>
      </w:r>
      <w:r w:rsidRPr="00306C5E">
        <w:t xml:space="preserve">sset </w:t>
      </w:r>
      <w:r>
        <w:t>m</w:t>
      </w:r>
      <w:r w:rsidRPr="00306C5E">
        <w:t>anager to determine which type of stress tests are relevant for s</w:t>
      </w:r>
      <w:r>
        <w:t>pecific funds and which might not be appropriate.</w:t>
      </w:r>
    </w:p>
    <w:p w14:paraId="22A64660" w14:textId="77777777" w:rsidR="00E66012" w:rsidRDefault="00E66012" w:rsidP="00E66012"/>
    <w:p w14:paraId="3413053A" w14:textId="13ECBDCF" w:rsidR="00407232" w:rsidRPr="00E66012" w:rsidRDefault="00E66012" w:rsidP="00407232">
      <w:r>
        <w:t>S</w:t>
      </w:r>
      <w:r w:rsidRPr="00306C5E">
        <w:t xml:space="preserve">ome of the stress tests would not </w:t>
      </w:r>
      <w:r>
        <w:t>be suitable for certain types of funds (such as</w:t>
      </w:r>
      <w:r w:rsidRPr="00306C5E">
        <w:t xml:space="preserve"> </w:t>
      </w:r>
      <w:r>
        <w:t>Exchange Traded Funds (</w:t>
      </w:r>
      <w:r w:rsidRPr="00306C5E">
        <w:t>ETF</w:t>
      </w:r>
      <w:r>
        <w:t>s)</w:t>
      </w:r>
      <w:r w:rsidRPr="00306C5E">
        <w:t xml:space="preserve"> wit</w:t>
      </w:r>
      <w:r>
        <w:t>h the ability to redeem in kind) but they could be appropriate for others, depending on an assessment of the Risk Manager.</w:t>
      </w: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3DE71257" w14:textId="7AD9B005" w:rsidR="00407232" w:rsidRPr="00E66012" w:rsidRDefault="00E66012" w:rsidP="00407232">
      <w:permStart w:id="758265983" w:edGrp="everyone"/>
      <w:r w:rsidRPr="00D51819">
        <w:t>Given the wide range of products</w:t>
      </w:r>
      <w:r>
        <w:t xml:space="preserve"> impacted</w:t>
      </w:r>
      <w:r w:rsidRPr="00D51819">
        <w:t xml:space="preserve"> and the differences in their liquidity profile, an implementation period of </w:t>
      </w:r>
      <w:r>
        <w:t xml:space="preserve">at least </w:t>
      </w:r>
      <w:r w:rsidRPr="00D51819">
        <w:t xml:space="preserve">18 months </w:t>
      </w:r>
      <w:r>
        <w:t>would be</w:t>
      </w:r>
      <w:r w:rsidRPr="00D51819">
        <w:t xml:space="preserve"> appropriate (i.e.</w:t>
      </w:r>
      <w:r>
        <w:t xml:space="preserve"> application at the end</w:t>
      </w:r>
      <w:r w:rsidRPr="00D51819">
        <w:t xml:space="preserve"> </w:t>
      </w:r>
      <w:r>
        <w:t>of</w:t>
      </w:r>
      <w:r w:rsidRPr="00D51819">
        <w:t xml:space="preserve"> 2020).</w:t>
      </w:r>
      <w:r>
        <w:t xml:space="preserve"> This takes into account IT budget allocation plans to develop and implement specific requirements.</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0AC2EA38" w14:textId="77777777" w:rsidR="00E66012" w:rsidRDefault="00E66012" w:rsidP="00E66012">
      <w:pPr>
        <w:rPr>
          <w:lang w:val="en-US"/>
        </w:rPr>
      </w:pPr>
      <w:permStart w:id="948246633" w:edGrp="everyone"/>
      <w:r>
        <w:rPr>
          <w:lang w:val="en-US"/>
        </w:rPr>
        <w:t>We agree with the proposed approach that the 15 guidelines should remain principles-based. ESMA should provide further</w:t>
      </w:r>
      <w:r w:rsidRPr="00B43E06">
        <w:rPr>
          <w:lang w:val="en-US"/>
        </w:rPr>
        <w:t xml:space="preserve"> explanatory guidelines </w:t>
      </w:r>
      <w:r>
        <w:rPr>
          <w:lang w:val="en-US"/>
        </w:rPr>
        <w:t xml:space="preserve">and examples </w:t>
      </w:r>
      <w:r w:rsidRPr="00B43E06">
        <w:rPr>
          <w:lang w:val="en-US"/>
        </w:rPr>
        <w:t>to limit the room for interpretation and divergence between minimum standard</w:t>
      </w:r>
      <w:r>
        <w:rPr>
          <w:lang w:val="en-US"/>
        </w:rPr>
        <w:t>s</w:t>
      </w:r>
      <w:r w:rsidRPr="00B43E06">
        <w:rPr>
          <w:lang w:val="en-US"/>
        </w:rPr>
        <w:t xml:space="preserve"> implemented across the </w:t>
      </w:r>
      <w:r>
        <w:rPr>
          <w:lang w:val="en-US"/>
        </w:rPr>
        <w:t>asset m</w:t>
      </w:r>
      <w:r w:rsidRPr="00B43E06">
        <w:rPr>
          <w:lang w:val="en-US"/>
        </w:rPr>
        <w:t xml:space="preserve">anagers. </w:t>
      </w:r>
    </w:p>
    <w:p w14:paraId="7FC8C364" w14:textId="77777777" w:rsidR="00E66012" w:rsidRPr="00B43E06" w:rsidRDefault="00E66012" w:rsidP="00E66012">
      <w:pPr>
        <w:rPr>
          <w:lang w:val="en-US"/>
        </w:rPr>
      </w:pPr>
    </w:p>
    <w:p w14:paraId="5C434A70" w14:textId="00B299FF" w:rsidR="00407232" w:rsidRPr="00E66012" w:rsidRDefault="00E66012" w:rsidP="00407232">
      <w:pPr>
        <w:rPr>
          <w:lang w:val="en-US"/>
        </w:rPr>
      </w:pPr>
      <w:r>
        <w:rPr>
          <w:lang w:val="en-US"/>
        </w:rPr>
        <w:t>There should also be</w:t>
      </w:r>
      <w:r w:rsidRPr="00B43E06">
        <w:rPr>
          <w:lang w:val="en-US"/>
        </w:rPr>
        <w:t xml:space="preserve"> room for the </w:t>
      </w:r>
      <w:r>
        <w:rPr>
          <w:lang w:val="en-US"/>
        </w:rPr>
        <w:t>a</w:t>
      </w:r>
      <w:r w:rsidRPr="00B43E06">
        <w:rPr>
          <w:lang w:val="en-US"/>
        </w:rPr>
        <w:t xml:space="preserve">sset </w:t>
      </w:r>
      <w:r>
        <w:rPr>
          <w:lang w:val="en-US"/>
        </w:rPr>
        <w:t>m</w:t>
      </w:r>
      <w:r w:rsidRPr="00B43E06">
        <w:rPr>
          <w:lang w:val="en-US"/>
        </w:rPr>
        <w:t xml:space="preserve">anager to define internal standards </w:t>
      </w:r>
      <w:r>
        <w:rPr>
          <w:lang w:val="en-US"/>
        </w:rPr>
        <w:t>to justify which liquidity s</w:t>
      </w:r>
      <w:r w:rsidRPr="00B43E06">
        <w:rPr>
          <w:lang w:val="en-US"/>
        </w:rPr>
        <w:t xml:space="preserve">tress </w:t>
      </w:r>
      <w:r>
        <w:rPr>
          <w:lang w:val="en-US"/>
        </w:rPr>
        <w:t>test s</w:t>
      </w:r>
      <w:r w:rsidRPr="00B43E06">
        <w:rPr>
          <w:lang w:val="en-US"/>
        </w:rPr>
        <w:t xml:space="preserve">cenarios are relevant and applied for which fund ranges / products. </w:t>
      </w:r>
      <w:r>
        <w:rPr>
          <w:lang w:val="en-US"/>
        </w:rPr>
        <w:t>T</w:t>
      </w:r>
      <w:r w:rsidRPr="00B43E06">
        <w:rPr>
          <w:lang w:val="en-US"/>
        </w:rPr>
        <w:t>here is a limited set of funds where all liquidity stress tests are relevant or where the liquidity risk of the product would require the implementation o</w:t>
      </w:r>
      <w:r>
        <w:rPr>
          <w:lang w:val="en-US"/>
        </w:rPr>
        <w:t>f the full set of stress tests, especially taking into account alternative strategies.</w:t>
      </w:r>
    </w:p>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4BBD3D9C" w14:textId="77777777" w:rsidR="00E66012" w:rsidRDefault="00E66012" w:rsidP="00E66012">
      <w:permStart w:id="899314546" w:edGrp="everyone"/>
      <w:r>
        <w:t xml:space="preserve">In general, while we agree with the proposed guidelines we believe that they should </w:t>
      </w:r>
    </w:p>
    <w:p w14:paraId="35F17352" w14:textId="77777777" w:rsidR="00E66012" w:rsidRDefault="00E66012" w:rsidP="00E66012">
      <w:pPr>
        <w:pStyle w:val="ListParagraph"/>
        <w:numPr>
          <w:ilvl w:val="0"/>
          <w:numId w:val="46"/>
        </w:numPr>
        <w:spacing w:after="120" w:line="260" w:lineRule="atLeast"/>
      </w:pPr>
      <w:r>
        <w:t>Leave flexibility for asset managers to tailor stress tests depending on the risk profile and asset type;</w:t>
      </w:r>
    </w:p>
    <w:p w14:paraId="0AE1EEFA" w14:textId="77777777" w:rsidR="00E66012" w:rsidRDefault="00E66012" w:rsidP="00E66012">
      <w:pPr>
        <w:pStyle w:val="ListParagraph"/>
        <w:numPr>
          <w:ilvl w:val="0"/>
          <w:numId w:val="46"/>
        </w:numPr>
        <w:spacing w:after="120" w:line="260" w:lineRule="atLeast"/>
      </w:pPr>
      <w:r>
        <w:t>Allow for expert judgement where data is not available;</w:t>
      </w:r>
    </w:p>
    <w:p w14:paraId="359474EE" w14:textId="0D3D843B" w:rsidR="00407232" w:rsidRPr="00E66012" w:rsidRDefault="00E66012" w:rsidP="00407232">
      <w:pPr>
        <w:pStyle w:val="ListParagraph"/>
        <w:numPr>
          <w:ilvl w:val="0"/>
          <w:numId w:val="46"/>
        </w:numPr>
        <w:spacing w:after="120" w:line="260" w:lineRule="atLeast"/>
      </w:pPr>
      <w:r>
        <w:t>Additional examples should be provided and ESMA should indicate which requirements would be mandatory, conditional on compliance with some requirements, or optional.</w:t>
      </w:r>
    </w:p>
    <w:permEnd w:id="899314546"/>
    <w:p w14:paraId="1B56AC93" w14:textId="77777777" w:rsidR="00407232" w:rsidRDefault="00407232" w:rsidP="00407232">
      <w:pPr>
        <w:rPr>
          <w:rFonts w:cs="Arial"/>
        </w:rPr>
      </w:pPr>
      <w:r>
        <w:rPr>
          <w:rFonts w:cs="Arial"/>
        </w:rPr>
        <w:lastRenderedPageBreak/>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31BAA498" w14:textId="28A54CAB" w:rsidR="00407232" w:rsidRPr="00E66012" w:rsidRDefault="00E66012" w:rsidP="00407232">
      <w:permStart w:id="84614278" w:edGrp="everyone"/>
      <w:r>
        <w:t>Yes, we believe they are useful if they keep a balance between flexibility and standardisation.</w:t>
      </w:r>
    </w:p>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280AF978" w14:textId="77777777" w:rsidR="00E66012" w:rsidRDefault="00E66012" w:rsidP="00E66012">
      <w:permStart w:id="158734123" w:edGrp="everyone"/>
      <w:r>
        <w:t>Reverse Stress Testing (RST)</w:t>
      </w:r>
      <w:r w:rsidRPr="00200AA6">
        <w:t xml:space="preserve"> can be understood in different ways. </w:t>
      </w:r>
      <w:r>
        <w:t xml:space="preserve">They could be either a </w:t>
      </w:r>
      <w:r w:rsidRPr="00200AA6">
        <w:t>pure quantitative concept</w:t>
      </w:r>
      <w:r>
        <w:t xml:space="preserve">, </w:t>
      </w:r>
      <w:r w:rsidRPr="00200AA6">
        <w:t>within which an expected outcome is achieved by variation of a set of underlying parameters. On the other hand, it can be considered as a part of a qualitative assessment within the setup / configuration of a fund</w:t>
      </w:r>
      <w:r>
        <w:t xml:space="preserve">, </w:t>
      </w:r>
      <w:r w:rsidRPr="00200AA6">
        <w:t>particular</w:t>
      </w:r>
      <w:r>
        <w:t>ly</w:t>
      </w:r>
      <w:r w:rsidRPr="00200AA6">
        <w:t xml:space="preserve"> during the configuration of </w:t>
      </w:r>
      <w:r>
        <w:t>Liquidity Mitigating Techniques (</w:t>
      </w:r>
      <w:r w:rsidRPr="00200AA6">
        <w:t>LMTs</w:t>
      </w:r>
      <w:r>
        <w:t>)</w:t>
      </w:r>
      <w:r w:rsidRPr="00200AA6">
        <w:t xml:space="preserve"> implemented for a fund.</w:t>
      </w:r>
    </w:p>
    <w:p w14:paraId="343559C0" w14:textId="77777777" w:rsidR="00E66012" w:rsidRDefault="00E66012" w:rsidP="00E66012"/>
    <w:p w14:paraId="48114377" w14:textId="77777777" w:rsidR="00E66012" w:rsidRDefault="00E66012" w:rsidP="00E66012">
      <w:r>
        <w:t xml:space="preserve">Due to the high complexity and the high dependency on data (it is difficult in particular to model data and how funds will react to different scenarios), we believe that quantitative reverse stress tests should only be considered for a very limited set of situations and products (such as for MMFs). The IT costs required to model a reverse stress test with multiple parameters are prohibitively high. </w:t>
      </w:r>
    </w:p>
    <w:p w14:paraId="105AA06A" w14:textId="77777777" w:rsidR="00E66012" w:rsidRDefault="00E66012" w:rsidP="00E66012"/>
    <w:p w14:paraId="115EA13F" w14:textId="570AF17E" w:rsidR="00407232" w:rsidRPr="00E66012" w:rsidRDefault="00E66012" w:rsidP="00407232">
      <w:r>
        <w:t>In conclusion, we do not recommend to include RST, as the costs to implement a quantitative procedure with several parameters as well as the limitations due to difficult to model data are not compensated by the benefits generated by the results.</w:t>
      </w:r>
    </w:p>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6BABE617" w14:textId="77777777" w:rsidR="00E66012" w:rsidRDefault="00E66012" w:rsidP="00E66012">
      <w:permStart w:id="1525233582" w:edGrp="everyone"/>
      <w:r>
        <w:t>Yes, we believe that data availability and the costs of data should be considered as relevant factors during the setup of the requirements. Therefore, we believe that the following additional considerations should be considered when data is scarce:</w:t>
      </w:r>
    </w:p>
    <w:p w14:paraId="2BDB4CEE" w14:textId="77777777" w:rsidR="00E66012" w:rsidRDefault="00E66012" w:rsidP="00E66012">
      <w:pPr>
        <w:pStyle w:val="ListParagraph"/>
        <w:numPr>
          <w:ilvl w:val="0"/>
          <w:numId w:val="47"/>
        </w:numPr>
        <w:spacing w:after="120" w:line="260" w:lineRule="atLeast"/>
      </w:pPr>
      <w:r>
        <w:t>If no quantitative data from an external data source is available (i.e. no daily trading volume data), expert estimates and/ or modelling of these parameters is required.</w:t>
      </w:r>
    </w:p>
    <w:p w14:paraId="19324EA5" w14:textId="3664E0A2" w:rsidR="00407232" w:rsidRPr="00E66012" w:rsidRDefault="00E66012" w:rsidP="00E66012">
      <w:pPr>
        <w:pStyle w:val="ListParagraph"/>
        <w:numPr>
          <w:ilvl w:val="0"/>
          <w:numId w:val="47"/>
        </w:numPr>
        <w:spacing w:after="120" w:line="260" w:lineRule="atLeast"/>
      </w:pPr>
      <w:r>
        <w:t>While we agree that it is important to assess the quality of the information used, one should not require to have an independent validation of the estimate for every expert estimate done. In particular, if the expert can be considered independent from the liquidity management of the fund and no conflict of interest is identified, this expert estimate should be allowed to be used without explicit validation procedure by a second independent expert.</w:t>
      </w: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4C91A5E1" w14:textId="77777777" w:rsidR="00E66012" w:rsidRDefault="00E66012" w:rsidP="00E66012">
      <w:permStart w:id="1920426643" w:edGrp="everyone"/>
      <w:r>
        <w:t xml:space="preserve">Yes, the asset manager should be given discretion to apply both methods as </w:t>
      </w:r>
      <w:r w:rsidRPr="00B830FF">
        <w:t xml:space="preserve">there is not one correct approach </w:t>
      </w:r>
      <w:r>
        <w:t>for</w:t>
      </w:r>
      <w:r w:rsidRPr="00B830FF">
        <w:t xml:space="preserve"> asset liquidation models. Both methods, </w:t>
      </w:r>
      <w:r>
        <w:t>whether they are used separately or together</w:t>
      </w:r>
      <w:r w:rsidRPr="00B830FF">
        <w:t xml:space="preserve">, might </w:t>
      </w:r>
      <w:r>
        <w:t xml:space="preserve">be </w:t>
      </w:r>
      <w:r w:rsidRPr="00B830FF">
        <w:lastRenderedPageBreak/>
        <w:t>considered relevant for one fund</w:t>
      </w:r>
      <w:r>
        <w:t>. T</w:t>
      </w:r>
      <w:r w:rsidRPr="00B830FF">
        <w:t xml:space="preserve">he result of the stress test could be an outcome depending </w:t>
      </w:r>
      <w:r>
        <w:t xml:space="preserve">on </w:t>
      </w:r>
      <w:r w:rsidRPr="00B830FF">
        <w:t>one or both of the stress tests.</w:t>
      </w:r>
    </w:p>
    <w:p w14:paraId="233B2AE6" w14:textId="77777777" w:rsidR="00E66012" w:rsidRDefault="00E66012" w:rsidP="00E66012"/>
    <w:p w14:paraId="696EAD38" w14:textId="351A22C3" w:rsidR="00407232" w:rsidRPr="00E66012" w:rsidRDefault="00E66012" w:rsidP="00407232">
      <w:r>
        <w:t>For example, the vertical slicing method (pro-rata) could be used for index tracking funds and funds experiencing high outflows to ensure equal treatment of investors. Meanwhile, the waterfall liquidity method accounts for fulfilling smaller outflows which can be covered mainly by cash holdings or other highly liquid assets</w:t>
      </w:r>
      <w:r>
        <w:t>.</w:t>
      </w: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1AE676A8" w14:textId="48834323" w:rsidR="00407232" w:rsidRPr="00E66012" w:rsidRDefault="00E66012" w:rsidP="00407232">
      <w:permStart w:id="1254426529" w:edGrp="everyone"/>
      <w:r>
        <w:t>Generally we agree with the wording. However, taking into account the complexity and difficulty to model s</w:t>
      </w:r>
      <w:r w:rsidRPr="000F683E">
        <w:t xml:space="preserve">econd round effects explicitly </w:t>
      </w:r>
      <w:r>
        <w:t xml:space="preserve">and </w:t>
      </w:r>
      <w:r w:rsidRPr="000F683E">
        <w:t>separately</w:t>
      </w:r>
      <w:r>
        <w:t>, w</w:t>
      </w:r>
      <w:r w:rsidRPr="000F683E">
        <w:t xml:space="preserve">e </w:t>
      </w:r>
      <w:r>
        <w:t>recommend not to incorporate them separately into the LST process</w:t>
      </w:r>
      <w:r w:rsidRPr="000F683E">
        <w:t>.</w:t>
      </w:r>
      <w:r>
        <w:t xml:space="preserve"> Modelling this will generate additional development costs without adding clear benefits.</w:t>
      </w: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29B161E7" w14:textId="69402DD5" w:rsidR="00407232" w:rsidRPr="00E66012" w:rsidRDefault="00E66012" w:rsidP="00407232">
      <w:permStart w:id="210646563" w:edGrp="everyone"/>
      <w:r w:rsidRPr="008B53BE">
        <w:t xml:space="preserve">There are several factors which are interrelated when it comes to </w:t>
      </w:r>
      <w:r>
        <w:t>l</w:t>
      </w:r>
      <w:r w:rsidRPr="008B53BE">
        <w:t xml:space="preserve">iquidity </w:t>
      </w:r>
      <w:r>
        <w:t>a</w:t>
      </w:r>
      <w:r w:rsidRPr="008B53BE">
        <w:t>ssessments in particular for illiquid assets</w:t>
      </w:r>
      <w:r>
        <w:t xml:space="preserve"> such as applying a haircut on the price</w:t>
      </w:r>
      <w:r w:rsidRPr="008B53BE">
        <w:t>. Price uncertainty is a factor which is in some way connected to a</w:t>
      </w:r>
      <w:r>
        <w:t>n illiquidity premium (b</w:t>
      </w:r>
      <w:r w:rsidRPr="008B53BE">
        <w:t>id-</w:t>
      </w:r>
      <w:r>
        <w:t>a</w:t>
      </w:r>
      <w:r w:rsidRPr="008B53BE">
        <w:t xml:space="preserve">sk </w:t>
      </w:r>
      <w:r>
        <w:t>s</w:t>
      </w:r>
      <w:r w:rsidRPr="008B53BE">
        <w:t xml:space="preserve">pread) as well as to the </w:t>
      </w:r>
      <w:r>
        <w:t>l</w:t>
      </w:r>
      <w:r w:rsidRPr="008B53BE">
        <w:t>iquidation period</w:t>
      </w:r>
      <w:r>
        <w:t>,</w:t>
      </w:r>
      <w:r w:rsidRPr="008B53BE">
        <w:t xml:space="preserve"> which is targeted a</w:t>
      </w:r>
      <w:r>
        <w:t>t</w:t>
      </w:r>
      <w:r w:rsidRPr="008B53BE">
        <w:t xml:space="preserve"> liquidation. </w:t>
      </w:r>
      <w:r>
        <w:t>T</w:t>
      </w:r>
      <w:r w:rsidRPr="008B53BE">
        <w:t xml:space="preserve">hese factors can and should be considered within a </w:t>
      </w:r>
      <w:r>
        <w:t>l</w:t>
      </w:r>
      <w:r w:rsidRPr="008B53BE">
        <w:t>iquidity assessment</w:t>
      </w:r>
      <w:r>
        <w:t>. However,</w:t>
      </w:r>
      <w:r w:rsidRPr="008B53BE">
        <w:t xml:space="preserve"> we would not recommend to</w:t>
      </w:r>
      <w:r>
        <w:t xml:space="preserve"> </w:t>
      </w:r>
      <w:r w:rsidRPr="008B53BE">
        <w:t>consider them as separate factors but within the assessment of the parameters</w:t>
      </w:r>
      <w:r>
        <w:t>,</w:t>
      </w:r>
      <w:r w:rsidRPr="008B53BE">
        <w:t xml:space="preserve"> which are already included within the liquidity models.</w:t>
      </w: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23F2DC5E" w14:textId="77777777" w:rsidR="00E66012" w:rsidRDefault="00E66012" w:rsidP="00E66012">
      <w:permStart w:id="166614932" w:edGrp="everyone"/>
      <w:r>
        <w:t>In principle, we agree with the considerations, but would like to ask for explanatory examples and clarity on the statement that RST may be a valuable tool in low probability, high impact scenarios. In this direction, please refer to question 8 for detailed comments made for reverse stress testing.</w:t>
      </w:r>
    </w:p>
    <w:p w14:paraId="56622126" w14:textId="77777777" w:rsidR="00003537" w:rsidRDefault="00003537" w:rsidP="00E66012"/>
    <w:p w14:paraId="36FCBE8B" w14:textId="77777777" w:rsidR="00E66012" w:rsidRDefault="00E66012" w:rsidP="00E66012">
      <w:r>
        <w:t>In addition, we believe that a strong focus should be made on a consistent contingency plan to be in place especially for less liquid funds in advance of stressed market events.</w:t>
      </w:r>
    </w:p>
    <w:p w14:paraId="6CE1E38F" w14:textId="77777777" w:rsidR="00003537" w:rsidRDefault="00003537" w:rsidP="00E66012"/>
    <w:p w14:paraId="7AEB57EE" w14:textId="7971807C" w:rsidR="00407232" w:rsidRPr="00E66012" w:rsidRDefault="00E66012" w:rsidP="00407232">
      <w:r>
        <w:t>For ETFs, we do not believe that specific considerations need to be mentioned here. All characteristics of an ETF as well as the related implications on liquidity risk (e.g. pro-rata constraints) are known by market participants.</w:t>
      </w: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52557BE0" w14:textId="77777777" w:rsidR="00E66012" w:rsidRDefault="00E66012" w:rsidP="00E66012">
      <w:permStart w:id="397612480" w:edGrp="everyone"/>
      <w:r>
        <w:lastRenderedPageBreak/>
        <w:t>We generally agree with the considerations, in particular to the anticipation of the net flows expected by the asset manager. Still, we believe it is important to leave it up to the asset manager to decide which approach makes sense to analyse potential redemptions. The selection of either a quantitative analysis of the redemptions, observation of the linkage of the fund to redemption behaviour for peer funds or a more customized approach (e.g. for single investor structures) should be left to the discretion of the Asset Manager</w:t>
      </w:r>
    </w:p>
    <w:p w14:paraId="0F5516A0" w14:textId="347E32A4" w:rsidR="00E66012" w:rsidRDefault="00E66012" w:rsidP="00E66012">
      <w:r>
        <w:t>.</w:t>
      </w:r>
    </w:p>
    <w:p w14:paraId="6869977D" w14:textId="77777777" w:rsidR="00E66012" w:rsidRDefault="00E66012" w:rsidP="00E66012">
      <w:r>
        <w:t>Additionally, we believe that the “other types of liabilities” mentioned within the section can be considered, but only if these are considered to have a significant impact on the liquidity profile of a fund. For example, for most of the funds using derivatives and the related exchange of collateral / margin, the impact of that portion will typically be much smaller than the effects expected from potential redemptions.</w:t>
      </w:r>
    </w:p>
    <w:p w14:paraId="4E51C227" w14:textId="35E5956A" w:rsidR="00E66012" w:rsidRDefault="00E66012" w:rsidP="00E66012">
      <w:r>
        <w:t xml:space="preserve"> </w:t>
      </w:r>
    </w:p>
    <w:p w14:paraId="0EAEA293" w14:textId="43A1D8C7" w:rsidR="00407232" w:rsidRPr="00E66012" w:rsidRDefault="00E66012" w:rsidP="00407232">
      <w:r>
        <w:t>Therefore, we recommend that the asset managers should define within the liquidity profile of the fund whether they expect these factors to have a significant impact on the liquidity profile of the fund – and where it is expected to be less material. Given the outcome of this profiling, the factors should then be omitted to avoid substantial data exercises that do not have relevant / material impact on the liquidity program. The aspects of additional costs due to data collection and IT implementation requirements should also be considered.</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6D22C3DE" w14:textId="54953C43" w:rsidR="00407232" w:rsidRPr="00E66012" w:rsidRDefault="00E66012" w:rsidP="00407232">
      <w:pPr>
        <w:rPr>
          <w:lang w:val="en-US"/>
        </w:rPr>
      </w:pPr>
      <w:permStart w:id="1059675830" w:edGrp="everyone"/>
      <w:r>
        <w:rPr>
          <w:lang w:val="en-US"/>
        </w:rPr>
        <w:t xml:space="preserve">Yes but we think the </w:t>
      </w:r>
      <w:r w:rsidRPr="009A4085">
        <w:rPr>
          <w:lang w:val="en-US"/>
        </w:rPr>
        <w:t>Asset Manager</w:t>
      </w:r>
      <w:r>
        <w:rPr>
          <w:lang w:val="en-US"/>
        </w:rPr>
        <w:t xml:space="preserve"> should have discretion</w:t>
      </w:r>
      <w:r w:rsidRPr="009A4085">
        <w:rPr>
          <w:lang w:val="en-US"/>
        </w:rPr>
        <w:t xml:space="preserve"> to decide how these factors </w:t>
      </w:r>
      <w:r>
        <w:rPr>
          <w:lang w:val="en-US"/>
        </w:rPr>
        <w:t>should</w:t>
      </w:r>
      <w:r w:rsidRPr="009A4085">
        <w:rPr>
          <w:lang w:val="en-US"/>
        </w:rPr>
        <w:t xml:space="preserve"> be included in the assessment, as these factors are only relevant in specific circumstances and should than be tailored to the relevant setup</w:t>
      </w:r>
      <w:r>
        <w:rPr>
          <w:lang w:val="en-US"/>
        </w:rPr>
        <w:t xml:space="preserve"> and risk profile</w:t>
      </w:r>
      <w:r w:rsidRPr="009A4085">
        <w:rPr>
          <w:lang w:val="en-US"/>
        </w:rPr>
        <w:t>.</w:t>
      </w:r>
      <w:r>
        <w:rPr>
          <w:lang w:val="en-US"/>
        </w:rPr>
        <w:t xml:space="preserve"> Additional liabilities would only have a material impact on redemptions for a limited subset of funds which we manage hence it would not be sensible to factor them for all funds.</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094DE543" w14:textId="61323833" w:rsidR="00407232" w:rsidRPr="00E66012" w:rsidRDefault="00E66012" w:rsidP="00407232">
      <w:permStart w:id="1783317944" w:edGrp="everyone"/>
      <w:r>
        <w:t>For RST p</w:t>
      </w:r>
      <w:r w:rsidRPr="0058795D">
        <w:t>lease consider the comment</w:t>
      </w:r>
      <w:r>
        <w:t>s</w:t>
      </w:r>
      <w:r w:rsidRPr="0058795D">
        <w:t xml:space="preserve"> made in </w:t>
      </w:r>
      <w:r>
        <w:t>q</w:t>
      </w:r>
      <w:r w:rsidRPr="0058795D">
        <w:t>uestion 8</w:t>
      </w:r>
      <w:r>
        <w:t xml:space="preserve"> especially taking into account the significant costs involved to assess the different factors specific to each fund.</w:t>
      </w: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3E64B59B" w14:textId="77777777" w:rsidR="00E66012" w:rsidRDefault="00E66012" w:rsidP="00E66012">
      <w:permStart w:id="2029944753" w:edGrp="everyone"/>
      <w:r w:rsidRPr="0058795D">
        <w:t xml:space="preserve">We believe that the consideration of investor’s behaviour can make sense, but </w:t>
      </w:r>
      <w:r>
        <w:t>can create significant challenges to</w:t>
      </w:r>
      <w:r w:rsidRPr="0058795D">
        <w:t xml:space="preserve"> aggregat</w:t>
      </w:r>
      <w:r>
        <w:t>e</w:t>
      </w:r>
      <w:r w:rsidRPr="0058795D">
        <w:t xml:space="preserve"> and manage investor information. </w:t>
      </w:r>
      <w:r>
        <w:t>D</w:t>
      </w:r>
      <w:r w:rsidRPr="0058795D">
        <w:t>ue to the diverse distribution setups existing within the marke</w:t>
      </w:r>
      <w:r>
        <w:t>t</w:t>
      </w:r>
      <w:r w:rsidRPr="0058795D">
        <w:t xml:space="preserve"> and the lack of data exchange standards between intermediaries, asset manager and transfer agents,</w:t>
      </w:r>
      <w:r>
        <w:t xml:space="preserve"> incorporating investor behaviour considerations within the l</w:t>
      </w:r>
      <w:r w:rsidRPr="0058795D">
        <w:t xml:space="preserve">iquidity </w:t>
      </w:r>
      <w:r>
        <w:t>r</w:t>
      </w:r>
      <w:r w:rsidRPr="0058795D">
        <w:t xml:space="preserve">isk </w:t>
      </w:r>
      <w:r>
        <w:t>m</w:t>
      </w:r>
      <w:r w:rsidRPr="0058795D">
        <w:t xml:space="preserve">odels </w:t>
      </w:r>
      <w:r>
        <w:t>will require</w:t>
      </w:r>
      <w:r w:rsidRPr="0058795D">
        <w:t xml:space="preserve"> significant implementation and data maintenance costs. </w:t>
      </w:r>
    </w:p>
    <w:p w14:paraId="33EFE371" w14:textId="77777777" w:rsidR="00E66012" w:rsidRDefault="00E66012" w:rsidP="00E66012"/>
    <w:p w14:paraId="7F5C1D4B" w14:textId="0B7A4870" w:rsidR="00407232" w:rsidRPr="00E66012" w:rsidRDefault="00E66012" w:rsidP="00407232">
      <w:r w:rsidRPr="0058795D">
        <w:t>Therefore, we believe that these requirements can only be implemen</w:t>
      </w:r>
      <w:r>
        <w:t>ted if legal frameworks allow the</w:t>
      </w:r>
      <w:r w:rsidRPr="0058795D">
        <w:t xml:space="preserve"> exchange in a standardized way</w:t>
      </w:r>
      <w:r>
        <w:t>, where</w:t>
      </w:r>
      <w:r w:rsidRPr="0058795D">
        <w:t xml:space="preserve"> at least investor Meta</w:t>
      </w:r>
      <w:r>
        <w:t xml:space="preserve"> data/ information support</w:t>
      </w:r>
      <w:r w:rsidRPr="0058795D">
        <w:t xml:space="preserve"> the analysis. If no </w:t>
      </w:r>
      <w:r w:rsidRPr="0058795D">
        <w:lastRenderedPageBreak/>
        <w:t>such standard is being developed</w:t>
      </w:r>
      <w:r>
        <w:t xml:space="preserve"> on the transfer agent side</w:t>
      </w:r>
      <w:r w:rsidRPr="0058795D">
        <w:t>, the cost generated within the market will be significant</w:t>
      </w:r>
      <w:r>
        <w:t xml:space="preserve"> and will not outweigh the benefits of increased transparency of investor behaviour.</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2C7F398B" w14:textId="351941FF" w:rsidR="00407232" w:rsidRPr="00E66012" w:rsidRDefault="00E66012" w:rsidP="00407232">
      <w:permStart w:id="876048399" w:edGrp="everyone"/>
      <w:r w:rsidRPr="0058795D">
        <w:t>We generally agree with the approac</w:t>
      </w:r>
      <w:r>
        <w:t>h as well as the considerations to combine LST on both sides of the balance sheet, as the combination is the only possibility to provide a full and transparent overview of the liquidity in normal and stressed market conditions.</w:t>
      </w:r>
    </w:p>
    <w:permEnd w:id="876048399"/>
    <w:p w14:paraId="27CF613D" w14:textId="77777777" w:rsidR="00407232" w:rsidRDefault="00407232" w:rsidP="00407232">
      <w:pPr>
        <w:rPr>
          <w:rFonts w:cs="Arial"/>
        </w:rPr>
      </w:pPr>
      <w:r>
        <w:rPr>
          <w:rFonts w:cs="Arial"/>
        </w:rPr>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7DC47393" w14:textId="2EC53D6C" w:rsidR="00407232" w:rsidRPr="00E66012" w:rsidRDefault="00E66012" w:rsidP="00407232">
      <w:permStart w:id="316303533" w:edGrp="everyone"/>
      <w:r>
        <w:rPr>
          <w:rStyle w:val="normaltextrun"/>
          <w:rFonts w:cs="Arial"/>
          <w:lang w:val="en-US"/>
        </w:rPr>
        <w:t>We see limited benefit in aggregating LST results across funds, as this would impose significant additional effort on the liquidity risk program and might not be relevant considering the various diverse and uncorrelated structures of products as well as investors behind these products. Aggregation should only be considered if several very similar products are managed within the same market by one asset manager.</w:t>
      </w:r>
    </w:p>
    <w:permEnd w:id="316303533"/>
    <w:p w14:paraId="7492C23D" w14:textId="77777777" w:rsidR="00407232" w:rsidRDefault="00407232" w:rsidP="00407232">
      <w:pPr>
        <w:rPr>
          <w:rFonts w:cs="Arial"/>
        </w:rPr>
      </w:pPr>
      <w:r>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356392A7" w14:textId="4E22C26F" w:rsidR="00407232" w:rsidRPr="00E66012" w:rsidRDefault="00E66012" w:rsidP="00407232">
      <w:permStart w:id="904553863" w:edGrp="everyone"/>
      <w:r w:rsidRPr="006C7A66">
        <w:t>We have very limited experience in the usage of aggregated stress testing, with the exception of the simulation of the default of a counterparty to securities lending transactions across all funds managed on the platform.</w:t>
      </w: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7B86AC2C" w14:textId="54E5C6E7" w:rsidR="00407232" w:rsidRPr="00E66012" w:rsidRDefault="00E66012" w:rsidP="00407232">
      <w:permStart w:id="503251337" w:edGrp="everyone"/>
      <w:r w:rsidRPr="006C7A66">
        <w:t xml:space="preserve">We do not believe it is reasonable to perform quantitative analysis based on an explicit model portfolio pre-launch. </w:t>
      </w:r>
      <w:r>
        <w:t>Based on our view</w:t>
      </w:r>
      <w:r w:rsidRPr="006C7A66">
        <w:t>, it is important to consider relevant factors like target size of the product, asset profile within the fund and/or expected investor structure. Given t</w:t>
      </w:r>
      <w:r>
        <w:t>hese factors, the right set of l</w:t>
      </w:r>
      <w:r w:rsidRPr="006C7A66">
        <w:t xml:space="preserve">iquidity </w:t>
      </w:r>
      <w:r>
        <w:t>m</w:t>
      </w:r>
      <w:r w:rsidRPr="006C7A66">
        <w:t xml:space="preserve">itigation techniques as </w:t>
      </w:r>
      <w:r>
        <w:t>well as product configuration (n</w:t>
      </w:r>
      <w:r w:rsidRPr="006C7A66">
        <w:t xml:space="preserve">otice </w:t>
      </w:r>
      <w:r>
        <w:t>p</w:t>
      </w:r>
      <w:r w:rsidRPr="006C7A66">
        <w:t xml:space="preserve">eriod, </w:t>
      </w:r>
      <w:r>
        <w:t>r</w:t>
      </w:r>
      <w:r w:rsidRPr="006C7A66">
        <w:t xml:space="preserve">edemption </w:t>
      </w:r>
      <w:r>
        <w:t>f</w:t>
      </w:r>
      <w:r w:rsidRPr="006C7A66">
        <w:t xml:space="preserve">requency, </w:t>
      </w:r>
      <w:r>
        <w:t>lock-</w:t>
      </w:r>
      <w:r w:rsidRPr="006C7A66">
        <w:t xml:space="preserve">up </w:t>
      </w:r>
      <w:r>
        <w:t>p</w:t>
      </w:r>
      <w:r w:rsidRPr="006C7A66">
        <w:t xml:space="preserve">eriod, </w:t>
      </w:r>
      <w:r>
        <w:t>o</w:t>
      </w:r>
      <w:r w:rsidRPr="006C7A66">
        <w:t xml:space="preserve">pen vs. </w:t>
      </w:r>
      <w:r>
        <w:t>c</w:t>
      </w:r>
      <w:r w:rsidRPr="006C7A66">
        <w:t>losed ended) should be defined.</w:t>
      </w:r>
    </w:p>
    <w:permEnd w:id="503251337"/>
    <w:p w14:paraId="78881DED" w14:textId="77777777" w:rsidR="00407232" w:rsidRDefault="00407232" w:rsidP="00407232">
      <w:pPr>
        <w:rPr>
          <w:rFonts w:cs="Arial"/>
        </w:rPr>
      </w:pPr>
      <w:r>
        <w:rPr>
          <w:rFonts w:cs="Arial"/>
        </w:rPr>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7792502C" w14:textId="77777777" w:rsidR="00E66012" w:rsidRDefault="00E66012" w:rsidP="00E66012">
      <w:permStart w:id="576811323" w:edGrp="everyone"/>
      <w:r>
        <w:t xml:space="preserve">In our experience, LST only provides </w:t>
      </w:r>
      <w:r w:rsidRPr="006C7A66">
        <w:t>a</w:t>
      </w:r>
      <w:r>
        <w:t xml:space="preserve"> </w:t>
      </w:r>
      <w:r w:rsidRPr="006C7A66">
        <w:t xml:space="preserve">limited value to determine </w:t>
      </w:r>
      <w:r>
        <w:t>if an investment is appropriate</w:t>
      </w:r>
      <w:r w:rsidRPr="006C7A66">
        <w:t xml:space="preserve"> for </w:t>
      </w:r>
      <w:r>
        <w:t>a</w:t>
      </w:r>
      <w:r w:rsidRPr="006C7A66">
        <w:t xml:space="preserve"> fund. </w:t>
      </w:r>
    </w:p>
    <w:p w14:paraId="6E9199D2" w14:textId="77777777" w:rsidR="00E66012" w:rsidRDefault="00E66012" w:rsidP="00E66012"/>
    <w:p w14:paraId="34CC31F3" w14:textId="6CA559F2" w:rsidR="00407232" w:rsidRPr="00E66012" w:rsidRDefault="00E66012" w:rsidP="00407232">
      <w:r w:rsidRPr="006C7A66">
        <w:t>Usually, the investment policy, the legal fund structure as well as the investor profile is known pre-launch of the fund and the factors are considered appropriately by the Portfolio Manager.</w:t>
      </w: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lastRenderedPageBreak/>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2647F002" w14:textId="6A594A2F" w:rsidR="00407232" w:rsidRPr="00E66012" w:rsidRDefault="00E66012" w:rsidP="00407232">
      <w:permStart w:id="1935288628" w:edGrp="everyone"/>
      <w:r>
        <w:t>No, a</w:t>
      </w:r>
      <w:r w:rsidRPr="006C7A66">
        <w:t xml:space="preserve">ll relevant situations have been mentioned. We still believe that </w:t>
      </w:r>
      <w:r>
        <w:t>LST</w:t>
      </w:r>
      <w:r w:rsidRPr="006C7A66">
        <w:t xml:space="preserve"> </w:t>
      </w:r>
      <w:bookmarkStart w:id="1" w:name="_GoBack"/>
      <w:bookmarkEnd w:id="1"/>
      <w:r w:rsidRPr="006C7A66">
        <w:t xml:space="preserve">is not useful in each of the mentioned situations. For example, in times of </w:t>
      </w:r>
      <w:r>
        <w:t>stressed liquidity</w:t>
      </w:r>
      <w:r w:rsidRPr="006C7A66">
        <w:t xml:space="preserve">, it is important that all </w:t>
      </w:r>
      <w:r>
        <w:t>LMTs</w:t>
      </w:r>
      <w:r w:rsidRPr="006C7A66">
        <w:t xml:space="preserve"> are in place already and that in these scenarios all </w:t>
      </w:r>
      <w:r>
        <w:t>l</w:t>
      </w:r>
      <w:r w:rsidRPr="006C7A66">
        <w:t xml:space="preserve">iquidity </w:t>
      </w:r>
      <w:r>
        <w:t>m</w:t>
      </w:r>
      <w:r w:rsidRPr="006C7A66">
        <w:t xml:space="preserve">anagement procedures required are </w:t>
      </w:r>
      <w:r>
        <w:t>functional</w:t>
      </w:r>
      <w:r w:rsidRPr="006C7A66">
        <w:t>.</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6CE6DFAA" w14:textId="188C01A9" w:rsidR="00407232" w:rsidRPr="00E66012" w:rsidRDefault="00E66012" w:rsidP="00407232">
      <w:permStart w:id="1996162431" w:edGrp="everyone"/>
      <w:r w:rsidRPr="0011686F">
        <w:t xml:space="preserve">We agree </w:t>
      </w:r>
      <w:r>
        <w:t>with</w:t>
      </w:r>
      <w:r w:rsidRPr="0011686F">
        <w:t xml:space="preserve"> annual review</w:t>
      </w:r>
      <w:r>
        <w:t>s</w:t>
      </w:r>
      <w:r w:rsidRPr="0011686F">
        <w:t xml:space="preserve"> of the </w:t>
      </w:r>
      <w:r>
        <w:t>LST</w:t>
      </w:r>
      <w:r w:rsidRPr="0011686F">
        <w:t xml:space="preserve"> activity. </w:t>
      </w:r>
      <w:r>
        <w:t>Howev</w:t>
      </w:r>
      <w:r w:rsidRPr="0011686F">
        <w:t>e</w:t>
      </w:r>
      <w:r>
        <w:t>r, we</w:t>
      </w:r>
      <w:r w:rsidRPr="0011686F">
        <w:t xml:space="preserve"> do not believe that this should be repeated </w:t>
      </w:r>
      <w:r>
        <w:t>more often than that</w:t>
      </w:r>
      <w:r w:rsidRPr="0011686F">
        <w:t xml:space="preserve"> as </w:t>
      </w:r>
      <w:r>
        <w:t xml:space="preserve">the </w:t>
      </w:r>
      <w:r w:rsidRPr="0011686F">
        <w:t>results are typically rather stable and the quality of the results is not increased through a high frequent repetition of the activity.</w:t>
      </w:r>
      <w:r>
        <w:t xml:space="preserve"> Depending on the liquidity assessment, the frequency of undertaking LST should be appropriate to the risk profile.</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7113D307" w14:textId="6E9A4E92" w:rsidR="00407232" w:rsidRPr="00E66012" w:rsidRDefault="00E66012" w:rsidP="00407232">
      <w:permStart w:id="779766412" w:edGrp="everyone"/>
      <w:r w:rsidRPr="003C380F">
        <w:t xml:space="preserve">No, we believe this should be defined by the </w:t>
      </w:r>
      <w:r>
        <w:t>a</w:t>
      </w:r>
      <w:r w:rsidRPr="003C380F">
        <w:t xml:space="preserve">sset </w:t>
      </w:r>
      <w:r>
        <w:t>m</w:t>
      </w:r>
      <w:r w:rsidRPr="003C380F">
        <w:t>anager within its internal procedures.</w:t>
      </w:r>
    </w:p>
    <w:permEnd w:id="779766412"/>
    <w:p w14:paraId="20939CE5" w14:textId="77777777" w:rsidR="00407232" w:rsidRDefault="00407232" w:rsidP="00407232">
      <w:pPr>
        <w:rPr>
          <w:rFonts w:cs="Arial"/>
        </w:rPr>
      </w:pPr>
      <w:r>
        <w:rPr>
          <w:rFonts w:cs="Arial"/>
        </w:rPr>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0693EF7F" w14:textId="1B10D8A1" w:rsidR="00407232" w:rsidRPr="00E66012" w:rsidRDefault="00E66012" w:rsidP="00407232">
      <w:permStart w:id="51653807" w:edGrp="everyone"/>
      <w:r>
        <w:t>W</w:t>
      </w:r>
      <w:r w:rsidRPr="006B782E">
        <w:t xml:space="preserve">e believe in case of </w:t>
      </w:r>
      <w:r>
        <w:t>stressed liquidity events</w:t>
      </w:r>
      <w:r w:rsidRPr="006B782E">
        <w:t>, most procedures are already in place and the ordinary</w:t>
      </w:r>
      <w:r>
        <w:t xml:space="preserve"> or </w:t>
      </w:r>
      <w:proofErr w:type="spellStart"/>
      <w:r>
        <w:t>adhoc</w:t>
      </w:r>
      <w:proofErr w:type="spellEnd"/>
      <w:r w:rsidRPr="006B782E">
        <w:t xml:space="preserve"> liquidity stress testing program</w:t>
      </w:r>
      <w:r>
        <w:t xml:space="preserve"> might not useful as the intention of the ordinary programs focus on pre-assessing potential drawbacks instead of retrospectively providing feedback. Therefore the use of </w:t>
      </w:r>
      <w:proofErr w:type="spellStart"/>
      <w:r>
        <w:t>adhoc</w:t>
      </w:r>
      <w:proofErr w:type="spellEnd"/>
      <w:r>
        <w:t xml:space="preserve"> LST is not recommended and such a program should only be put in place ex-ante.</w:t>
      </w: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7D768846" w14:textId="77777777" w:rsidR="00E66012" w:rsidRDefault="00E66012" w:rsidP="00E66012">
      <w:permStart w:id="1189693986" w:edGrp="everyone"/>
      <w:r>
        <w:t xml:space="preserve">We agree but would like to include the comment made in response to Question 9, where there should not be a requirement for independent validation for every expert estimate. </w:t>
      </w:r>
    </w:p>
    <w:p w14:paraId="3B7834B9" w14:textId="77777777" w:rsidR="00E66012" w:rsidRDefault="00E66012" w:rsidP="00407232"/>
    <w:p w14:paraId="2CD38351" w14:textId="685030A7" w:rsidR="00407232" w:rsidRPr="00E66012" w:rsidRDefault="00E66012" w:rsidP="00407232">
      <w:r>
        <w:t>In cases where expert estimates are required, it should be sufficient to have only one independent expert on the asset class being involved in the assessment. As long as it can be validated that no conflict of interest is being identified for the expert selected, this estimate should not be required to be validated by a separate expert.</w:t>
      </w: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375E5BD1" w14:textId="117F4614" w:rsidR="00407232" w:rsidRPr="00E66012" w:rsidRDefault="00E66012" w:rsidP="00407232">
      <w:permStart w:id="1403792818" w:edGrp="everyone"/>
      <w:r>
        <w:lastRenderedPageBreak/>
        <w:t>No.</w:t>
      </w: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6C01B60C" w14:textId="5595D0D3" w:rsidR="00407232" w:rsidRPr="00E66012" w:rsidRDefault="00E66012" w:rsidP="00407232">
      <w:permStart w:id="1124483521" w:edGrp="everyone"/>
      <w:r w:rsidRPr="00834464">
        <w:t xml:space="preserve">We believe that several options in terms of roles and responsibilities exist to setup a </w:t>
      </w:r>
      <w:r>
        <w:t xml:space="preserve">LST </w:t>
      </w:r>
      <w:r w:rsidRPr="00834464">
        <w:t>framework. We believe that data provided by external parties (</w:t>
      </w:r>
      <w:r>
        <w:t>a</w:t>
      </w:r>
      <w:r w:rsidRPr="00834464">
        <w:t xml:space="preserve">sset </w:t>
      </w:r>
      <w:r>
        <w:t>c</w:t>
      </w:r>
      <w:r w:rsidRPr="00834464">
        <w:t xml:space="preserve">lass experts / </w:t>
      </w:r>
      <w:r>
        <w:t>m</w:t>
      </w:r>
      <w:r w:rsidRPr="00834464">
        <w:t xml:space="preserve">arket </w:t>
      </w:r>
      <w:r>
        <w:t>d</w:t>
      </w:r>
      <w:r w:rsidRPr="00834464">
        <w:t xml:space="preserve">ata providers) or internal functions (independent functions such as </w:t>
      </w:r>
      <w:r>
        <w:t>t</w:t>
      </w:r>
      <w:r w:rsidRPr="00834464">
        <w:t xml:space="preserve">rading </w:t>
      </w:r>
      <w:r>
        <w:t>d</w:t>
      </w:r>
      <w:r w:rsidRPr="00834464">
        <w:t xml:space="preserve">epartments) can be included into the program. In </w:t>
      </w:r>
      <w:r>
        <w:t>cases where the</w:t>
      </w:r>
      <w:r w:rsidRPr="00834464">
        <w:t xml:space="preserve">se sources of information or expertise are not available, the </w:t>
      </w:r>
      <w:r>
        <w:t>r</w:t>
      </w:r>
      <w:r w:rsidRPr="00834464">
        <w:t xml:space="preserve">isk </w:t>
      </w:r>
      <w:r>
        <w:t>m</w:t>
      </w:r>
      <w:r w:rsidRPr="00834464">
        <w:t xml:space="preserve">anagement </w:t>
      </w:r>
      <w:r>
        <w:t>f</w:t>
      </w:r>
      <w:r w:rsidRPr="00834464">
        <w:t>unction should have sufficient expertise to assess the appropriateness of the figures and factors used within the LST program.</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4CDB5ECC" w14:textId="1996CDC2" w:rsidR="00407232" w:rsidRDefault="00E66012" w:rsidP="00407232">
      <w:pPr>
        <w:rPr>
          <w:rFonts w:cs="Arial"/>
        </w:rPr>
      </w:pPr>
      <w:permStart w:id="985795538" w:edGrp="everyone"/>
      <w:r>
        <w:rPr>
          <w:rFonts w:cs="Arial"/>
        </w:rPr>
        <w:t>Yes</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t>&lt;ESMA_QUESTION_LST_31&gt;</w:t>
      </w:r>
    </w:p>
    <w:p w14:paraId="7C10B5DD" w14:textId="1F4A70F7" w:rsidR="00407232" w:rsidRPr="00E66012" w:rsidRDefault="00E66012" w:rsidP="00407232">
      <w:permStart w:id="819552036" w:edGrp="everyone"/>
      <w:r w:rsidRPr="00834464">
        <w:t xml:space="preserve">Depositaries review the overall structure </w:t>
      </w:r>
      <w:r>
        <w:t xml:space="preserve">and </w:t>
      </w:r>
      <w:r w:rsidRPr="00834464">
        <w:t xml:space="preserve">assess the existence of various components of the risk management policy. </w:t>
      </w:r>
      <w:r>
        <w:t>Some</w:t>
      </w:r>
      <w:r w:rsidRPr="00834464">
        <w:t xml:space="preserve"> </w:t>
      </w:r>
      <w:r>
        <w:t>d</w:t>
      </w:r>
      <w:r w:rsidRPr="00834464">
        <w:t xml:space="preserve">epositaries </w:t>
      </w:r>
      <w:r>
        <w:t xml:space="preserve">request </w:t>
      </w:r>
      <w:r w:rsidRPr="00834464">
        <w:t xml:space="preserve">further details on the procedures in place, </w:t>
      </w:r>
      <w:r>
        <w:t xml:space="preserve">to perform assessments similar to that </w:t>
      </w:r>
      <w:r w:rsidRPr="00834464">
        <w:t xml:space="preserve">of an internal or external </w:t>
      </w:r>
      <w:r>
        <w:t>a</w:t>
      </w:r>
      <w:r w:rsidRPr="00834464">
        <w:t xml:space="preserve">uditor. </w:t>
      </w:r>
      <w:r>
        <w:t>Generally, there is</w:t>
      </w:r>
      <w:r w:rsidRPr="00834464">
        <w:t xml:space="preserve"> no uniform standard for </w:t>
      </w:r>
      <w:r>
        <w:t>d</w:t>
      </w:r>
      <w:r w:rsidRPr="00834464">
        <w:t xml:space="preserve">ue </w:t>
      </w:r>
      <w:r>
        <w:t>d</w:t>
      </w:r>
      <w:r w:rsidRPr="00834464">
        <w:t xml:space="preserve">iligence activities of the </w:t>
      </w:r>
      <w:r>
        <w:t>d</w:t>
      </w:r>
      <w:r w:rsidRPr="00834464">
        <w:t xml:space="preserve">epositary on the </w:t>
      </w:r>
      <w:r>
        <w:t>a</w:t>
      </w:r>
      <w:r w:rsidRPr="00834464">
        <w:t xml:space="preserve">sset </w:t>
      </w:r>
      <w:r>
        <w:t>m</w:t>
      </w:r>
      <w:r w:rsidRPr="00834464">
        <w:t>anager.</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0D64CE20" w14:textId="3A8873AC" w:rsidR="00E66012" w:rsidRDefault="00E66012" w:rsidP="00E66012">
      <w:permStart w:id="244857125" w:edGrp="everyone"/>
      <w:r>
        <w:t>Yes. Unlike AIFMD reporting, which has now been harmonised across Europe, UCITS reporting in general varies significantly between Member States, which goes against the intent of harmonisation of the directive. ESMA should provide further guidance to establish a uniform European standard on reporting activities</w:t>
      </w:r>
      <w:r w:rsidR="009268E7">
        <w:t>.</w:t>
      </w:r>
    </w:p>
    <w:p w14:paraId="306F57CF" w14:textId="77777777" w:rsidR="009268E7" w:rsidRDefault="009268E7" w:rsidP="00E66012"/>
    <w:p w14:paraId="246696FA" w14:textId="1FCA4E4D" w:rsidR="00407232" w:rsidRPr="009268E7" w:rsidRDefault="00E66012" w:rsidP="00407232">
      <w:r w:rsidRPr="00834464">
        <w:t>Even if this standard differ</w:t>
      </w:r>
      <w:r>
        <w:t>s</w:t>
      </w:r>
      <w:r w:rsidRPr="00834464">
        <w:t xml:space="preserve"> for different </w:t>
      </w:r>
      <w:r>
        <w:t>a</w:t>
      </w:r>
      <w:r w:rsidRPr="00834464">
        <w:t xml:space="preserve">sset </w:t>
      </w:r>
      <w:r>
        <w:t>c</w:t>
      </w:r>
      <w:r w:rsidRPr="00834464">
        <w:t xml:space="preserve">lasses or </w:t>
      </w:r>
      <w:r>
        <w:t>f</w:t>
      </w:r>
      <w:r w:rsidRPr="00834464">
        <w:t xml:space="preserve">und </w:t>
      </w:r>
      <w:r>
        <w:t>s</w:t>
      </w:r>
      <w:r w:rsidRPr="00834464">
        <w:t xml:space="preserve">tructures (e.g. UCITS vs. Illiquid AIFs), it would be beneficial for the industry to define a European standard to avoid multiple implementation projects within the different countries. This simplifies and reduces the effort for </w:t>
      </w:r>
      <w:r>
        <w:t>s</w:t>
      </w:r>
      <w:r w:rsidRPr="00834464">
        <w:t xml:space="preserve">ervice </w:t>
      </w:r>
      <w:r>
        <w:t>p</w:t>
      </w:r>
      <w:r w:rsidRPr="00834464">
        <w:t xml:space="preserve">roviders and </w:t>
      </w:r>
      <w:r>
        <w:t>a</w:t>
      </w:r>
      <w:r w:rsidRPr="00834464">
        <w:t xml:space="preserve">sset </w:t>
      </w:r>
      <w:r>
        <w:t>m</w:t>
      </w:r>
      <w:r w:rsidRPr="00834464">
        <w:t xml:space="preserve">anagers and will </w:t>
      </w:r>
      <w:r>
        <w:t xml:space="preserve">allow </w:t>
      </w:r>
      <w:r w:rsidRPr="00834464">
        <w:t>ESMA to compare the results on a European level.</w:t>
      </w: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03537">
            <w:rPr>
              <w:rFonts w:cs="Arial"/>
              <w:noProof/>
              <w:sz w:val="22"/>
              <w:szCs w:val="22"/>
            </w:rPr>
            <w:t>12</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77777777" w:rsidR="00811EDA" w:rsidRDefault="00DE66EB">
    <w:pPr>
      <w:pStyle w:val="Header"/>
    </w:pPr>
    <w:r>
      <w:rPr>
        <w:noProof/>
        <w:lang w:val="en-SG" w:eastAsia="zh-CN"/>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zh-CN"/>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77777777" w:rsidR="00811EDA" w:rsidRDefault="00DE66EB" w:rsidP="00013CCE">
    <w:pPr>
      <w:pStyle w:val="Header"/>
      <w:jc w:val="right"/>
    </w:pPr>
    <w:r>
      <w:rPr>
        <w:noProof/>
        <w:lang w:val="en-SG" w:eastAsia="zh-CN"/>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zh-CN"/>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val="en-SG" w:eastAsia="zh-CN"/>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SG" w:eastAsia="zh-CN"/>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846907"/>
    <w:multiLevelType w:val="hybridMultilevel"/>
    <w:tmpl w:val="1750C4A2"/>
    <w:lvl w:ilvl="0" w:tplc="4EE870F0">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3D0E94"/>
    <w:multiLevelType w:val="hybridMultilevel"/>
    <w:tmpl w:val="F1BA1C42"/>
    <w:lvl w:ilvl="0" w:tplc="08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A20826"/>
    <w:multiLevelType w:val="hybridMultilevel"/>
    <w:tmpl w:val="B9104BD2"/>
    <w:lvl w:ilvl="0" w:tplc="0DD62CFA">
      <w:start w:val="9"/>
      <w:numFmt w:val="bullet"/>
      <w:lvlText w:val=""/>
      <w:lvlJc w:val="left"/>
      <w:pPr>
        <w:ind w:left="1074" w:hanging="360"/>
      </w:pPr>
      <w:rPr>
        <w:rFonts w:ascii="Wingdings" w:eastAsiaTheme="minorHAnsi" w:hAnsi="Wingdings"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10"/>
  </w:num>
  <w:num w:numId="16">
    <w:abstractNumId w:val="1"/>
  </w:num>
  <w:num w:numId="17">
    <w:abstractNumId w:val="17"/>
  </w:num>
  <w:num w:numId="18">
    <w:abstractNumId w:val="18"/>
  </w:num>
  <w:num w:numId="19">
    <w:abstractNumId w:val="20"/>
  </w:num>
  <w:num w:numId="20">
    <w:abstractNumId w:val="32"/>
  </w:num>
  <w:num w:numId="21">
    <w:abstractNumId w:val="43"/>
  </w:num>
  <w:num w:numId="22">
    <w:abstractNumId w:val="30"/>
  </w:num>
  <w:num w:numId="23">
    <w:abstractNumId w:val="9"/>
  </w:num>
  <w:num w:numId="24">
    <w:abstractNumId w:val="35"/>
  </w:num>
  <w:num w:numId="25">
    <w:abstractNumId w:val="34"/>
  </w:num>
  <w:num w:numId="26">
    <w:abstractNumId w:val="23"/>
  </w:num>
  <w:num w:numId="27">
    <w:abstractNumId w:val="40"/>
  </w:num>
  <w:num w:numId="28">
    <w:abstractNumId w:val="45"/>
  </w:num>
  <w:num w:numId="29">
    <w:abstractNumId w:val="6"/>
  </w:num>
  <w:num w:numId="30">
    <w:abstractNumId w:val="2"/>
  </w:num>
  <w:num w:numId="31">
    <w:abstractNumId w:val="25"/>
  </w:num>
  <w:num w:numId="32">
    <w:abstractNumId w:val="24"/>
  </w:num>
  <w:num w:numId="33">
    <w:abstractNumId w:val="42"/>
  </w:num>
  <w:num w:numId="34">
    <w:abstractNumId w:val="41"/>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 w:numId="39">
    <w:abstractNumId w:val="15"/>
  </w:num>
  <w:num w:numId="40">
    <w:abstractNumId w:val="12"/>
  </w:num>
  <w:num w:numId="41">
    <w:abstractNumId w:val="21"/>
  </w:num>
  <w:num w:numId="42">
    <w:abstractNumId w:val="38"/>
  </w:num>
  <w:num w:numId="43">
    <w:abstractNumId w:val="29"/>
  </w:num>
  <w:num w:numId="44">
    <w:abstractNumId w:val="29"/>
    <w:lvlOverride w:ilvl="0">
      <w:startOverride w:val="1"/>
    </w:lvlOverride>
  </w:num>
  <w:num w:numId="45">
    <w:abstractNumId w:val="8"/>
  </w:num>
  <w:num w:numId="46">
    <w:abstractNumId w:val="39"/>
  </w:num>
  <w:num w:numId="47">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537"/>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363"/>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768"/>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68E7"/>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012"/>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character" w:customStyle="1" w:styleId="normaltextrun">
    <w:name w:val="normaltextrun"/>
    <w:basedOn w:val="DefaultParagraphFont"/>
    <w:rsid w:val="00E6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35c8e399-07b8-49e4-91bf-01a20105d4df"/>
    <ds:schemaRef ds:uri="http://schemas.microsoft.com/sharepoint/v4"/>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824AB622-DBF8-4B64-B785-FBCC000D5A30}">
  <ds:schemaRefs>
    <ds:schemaRef ds:uri="http://schemas.openxmlformats.org/officeDocument/2006/bibliography"/>
  </ds:schemaRefs>
</ds:datastoreItem>
</file>

<file path=customXml/itemProps6.xml><?xml version="1.0" encoding="utf-8"?>
<ds:datastoreItem xmlns:ds="http://schemas.openxmlformats.org/officeDocument/2006/customXml" ds:itemID="{6D97A1AD-BB45-4A8E-98A6-81C42FB3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4079</Words>
  <Characters>22926</Characters>
  <Application>Microsoft Office Word</Application>
  <DocSecurity>8</DocSecurity>
  <Lines>358</Lines>
  <Paragraphs>132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26873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ESMA;Deutsche Bank</dc:creator>
  <cp:lastModifiedBy>Queenie Choong</cp:lastModifiedBy>
  <cp:revision>4</cp:revision>
  <cp:lastPrinted>2019-01-31T13:10:00Z</cp:lastPrinted>
  <dcterms:created xsi:type="dcterms:W3CDTF">2019-04-01T14:05:00Z</dcterms:created>
  <dcterms:modified xsi:type="dcterms:W3CDTF">2019-04-01T14:49:00Z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y fmtid="{D5CDD505-2E9C-101B-9397-08002B2CF9AE}" pid="17" name="TitusGUID">
    <vt:lpwstr>e29ae1a2-3094-42fe-a8b1-517c08226057</vt:lpwstr>
  </property>
</Properties>
</file>